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D85350" w:rsidRPr="00FE1F72" w:rsidTr="006D07B0">
        <w:trPr>
          <w:gridBefore w:val="1"/>
          <w:wBefore w:w="17" w:type="dxa"/>
          <w:trHeight w:val="1196"/>
        </w:trPr>
        <w:tc>
          <w:tcPr>
            <w:tcW w:w="1350" w:type="dxa"/>
            <w:tcBorders>
              <w:bottom w:val="single" w:sz="12" w:space="0" w:color="000000"/>
            </w:tcBorders>
          </w:tcPr>
          <w:p w:rsidR="00D85350" w:rsidRPr="00FE1F72" w:rsidRDefault="00D85350" w:rsidP="006D07B0">
            <w:pPr>
              <w:pStyle w:val="Header"/>
              <w:tabs>
                <w:tab w:val="clear" w:pos="4320"/>
                <w:tab w:val="clear" w:pos="8640"/>
              </w:tabs>
              <w:rPr>
                <w:noProof/>
                <w:lang w:val="fr-FR"/>
              </w:rPr>
            </w:pPr>
            <w:bookmarkStart w:id="0" w:name="Meeting"/>
            <w:bookmarkStart w:id="1" w:name="_GoBack"/>
            <w:bookmarkEnd w:id="1"/>
            <w:r>
              <w:rPr>
                <w:noProof/>
                <w:lang w:eastAsia="en-GB"/>
              </w:rPr>
              <w:drawing>
                <wp:anchor distT="0" distB="0" distL="114300" distR="114300" simplePos="0" relativeHeight="251660288" behindDoc="0" locked="1" layoutInCell="1" allowOverlap="0" wp14:anchorId="1B5C34F5" wp14:editId="3B685958">
                  <wp:simplePos x="0" y="0"/>
                  <wp:positionH relativeFrom="column">
                    <wp:posOffset>78105</wp:posOffset>
                  </wp:positionH>
                  <wp:positionV relativeFrom="page">
                    <wp:posOffset>69215</wp:posOffset>
                  </wp:positionV>
                  <wp:extent cx="495300" cy="5810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D85350" w:rsidRPr="00FE1F72" w:rsidRDefault="00D85350" w:rsidP="006D07B0">
            <w:pPr>
              <w:rPr>
                <w:noProof/>
                <w:lang w:val="fr-FR"/>
              </w:rPr>
            </w:pPr>
            <w:r>
              <w:rPr>
                <w:noProof/>
                <w:sz w:val="20"/>
                <w:lang w:eastAsia="en-GB"/>
              </w:rPr>
              <w:drawing>
                <wp:anchor distT="0" distB="0" distL="114300" distR="114300" simplePos="0" relativeHeight="251659264" behindDoc="0" locked="1" layoutInCell="1" allowOverlap="0" wp14:anchorId="2D38639B" wp14:editId="6751F498">
                  <wp:simplePos x="0" y="0"/>
                  <wp:positionH relativeFrom="column">
                    <wp:posOffset>-26035</wp:posOffset>
                  </wp:positionH>
                  <wp:positionV relativeFrom="page">
                    <wp:posOffset>635</wp:posOffset>
                  </wp:positionV>
                  <wp:extent cx="822960" cy="5829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D85350" w:rsidRPr="00FE1F72" w:rsidRDefault="00D85350" w:rsidP="006D07B0">
            <w:pPr>
              <w:jc w:val="right"/>
              <w:rPr>
                <w:rFonts w:ascii="Univers" w:hAnsi="Univers"/>
                <w:b/>
                <w:noProof/>
                <w:sz w:val="32"/>
                <w:lang w:val="fr-FR"/>
              </w:rPr>
            </w:pPr>
            <w:r>
              <w:rPr>
                <w:rFonts w:ascii="Univers" w:hAnsi="Univers"/>
                <w:b/>
                <w:noProof/>
                <w:sz w:val="32"/>
                <w:lang w:val="fr-FR"/>
              </w:rPr>
              <w:t>CBD</w:t>
            </w:r>
          </w:p>
          <w:p w:rsidR="00D85350" w:rsidRPr="00FE1F72" w:rsidRDefault="00D85350" w:rsidP="006D07B0">
            <w:pPr>
              <w:jc w:val="left"/>
              <w:rPr>
                <w:rFonts w:ascii="Univers" w:hAnsi="Univers"/>
                <w:b/>
                <w:noProof/>
                <w:sz w:val="32"/>
                <w:lang w:val="fr-FR"/>
              </w:rPr>
            </w:pPr>
          </w:p>
        </w:tc>
      </w:tr>
      <w:tr w:rsidR="00D85350" w:rsidRPr="00FE1F72" w:rsidTr="006D07B0">
        <w:trPr>
          <w:trHeight w:val="1693"/>
        </w:trPr>
        <w:tc>
          <w:tcPr>
            <w:tcW w:w="5238" w:type="dxa"/>
            <w:gridSpan w:val="4"/>
          </w:tcPr>
          <w:p w:rsidR="00D85350" w:rsidRPr="00FE1F72" w:rsidRDefault="00D85350" w:rsidP="006D07B0">
            <w:pPr>
              <w:jc w:val="left"/>
              <w:rPr>
                <w:noProof/>
                <w:lang w:val="fr-FR"/>
              </w:rPr>
            </w:pPr>
            <w:r>
              <w:rPr>
                <w:bCs/>
                <w:noProof/>
                <w:szCs w:val="22"/>
                <w:lang w:eastAsia="en-GB"/>
              </w:rPr>
              <w:drawing>
                <wp:inline distT="0" distB="0" distL="0" distR="0" wp14:anchorId="4E214967" wp14:editId="6E09DA9E">
                  <wp:extent cx="2857500" cy="1076325"/>
                  <wp:effectExtent l="0" t="0" r="0" b="9525"/>
                  <wp:docPr id="3" name="Picture 3"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D85350" w:rsidRPr="00FE1F72" w:rsidRDefault="00D85350" w:rsidP="006D07B0">
            <w:pPr>
              <w:rPr>
                <w:noProof/>
                <w:lang w:val="fr-FR"/>
              </w:rPr>
            </w:pPr>
          </w:p>
        </w:tc>
        <w:tc>
          <w:tcPr>
            <w:tcW w:w="2941" w:type="dxa"/>
          </w:tcPr>
          <w:p w:rsidR="00D85350" w:rsidRPr="00FE1F72" w:rsidRDefault="00D85350" w:rsidP="006D07B0">
            <w:pPr>
              <w:ind w:left="37"/>
              <w:rPr>
                <w:noProof/>
                <w:lang w:val="fr-FR"/>
              </w:rPr>
            </w:pPr>
            <w:r w:rsidRPr="00FE1F72">
              <w:rPr>
                <w:noProof/>
                <w:lang w:val="fr-FR"/>
              </w:rPr>
              <w:t>Distr.</w:t>
            </w:r>
          </w:p>
          <w:p w:rsidR="00D85350" w:rsidRPr="00FE1F72" w:rsidRDefault="00D85350" w:rsidP="006D07B0">
            <w:pPr>
              <w:ind w:left="37"/>
              <w:rPr>
                <w:noProof/>
                <w:lang w:val="fr-FR"/>
              </w:rPr>
            </w:pPr>
            <w:r w:rsidRPr="00FE1F72">
              <w:rPr>
                <w:noProof/>
                <w:lang w:val="fr-FR"/>
              </w:rPr>
              <w:t>GÉNÉRALE</w:t>
            </w:r>
            <w:r>
              <w:rPr>
                <w:noProof/>
                <w:lang w:val="fr-FR"/>
              </w:rPr>
              <w:t xml:space="preserve"> </w:t>
            </w:r>
          </w:p>
          <w:p w:rsidR="00D85350" w:rsidRPr="00FE1F72" w:rsidRDefault="00D85350" w:rsidP="006D07B0">
            <w:pPr>
              <w:ind w:left="37"/>
              <w:rPr>
                <w:noProof/>
                <w:lang w:val="fr-FR"/>
              </w:rPr>
            </w:pPr>
          </w:p>
          <w:p w:rsidR="00D85350" w:rsidRPr="00FE1F72" w:rsidRDefault="00D85350" w:rsidP="006D07B0">
            <w:pPr>
              <w:tabs>
                <w:tab w:val="left" w:pos="0"/>
              </w:tabs>
              <w:suppressAutoHyphens/>
              <w:ind w:left="37"/>
              <w:rPr>
                <w:noProof/>
                <w:lang w:val="fr-FR"/>
              </w:rPr>
            </w:pPr>
            <w:r>
              <w:rPr>
                <w:noProof/>
                <w:lang w:val="fr-FR"/>
              </w:rPr>
              <w:t>CBD/SBI/2/16</w:t>
            </w:r>
          </w:p>
          <w:p w:rsidR="00D85350" w:rsidRPr="00FE1F72" w:rsidRDefault="00D85350" w:rsidP="006D07B0">
            <w:pPr>
              <w:ind w:left="37"/>
              <w:rPr>
                <w:noProof/>
                <w:lang w:val="fr-FR"/>
              </w:rPr>
            </w:pPr>
            <w:r>
              <w:rPr>
                <w:noProof/>
                <w:lang w:val="fr-FR"/>
              </w:rPr>
              <w:t>31 mai 2018</w:t>
            </w:r>
          </w:p>
          <w:p w:rsidR="00D85350" w:rsidRPr="00FE1F72" w:rsidRDefault="00D85350" w:rsidP="006D07B0">
            <w:pPr>
              <w:ind w:left="37"/>
              <w:rPr>
                <w:noProof/>
                <w:lang w:val="fr-FR"/>
              </w:rPr>
            </w:pPr>
          </w:p>
          <w:p w:rsidR="00D85350" w:rsidRPr="00FE1F72" w:rsidRDefault="00D85350" w:rsidP="006D07B0">
            <w:pPr>
              <w:ind w:left="37"/>
              <w:rPr>
                <w:noProof/>
                <w:lang w:val="fr-FR"/>
              </w:rPr>
            </w:pPr>
            <w:r w:rsidRPr="00FE1F72">
              <w:rPr>
                <w:noProof/>
                <w:lang w:val="fr-FR"/>
              </w:rPr>
              <w:t>FRANÇAIS</w:t>
            </w:r>
          </w:p>
          <w:p w:rsidR="00D85350" w:rsidRPr="00FE1F72" w:rsidRDefault="00D85350" w:rsidP="006D07B0">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p w:rsidR="00CA6B87" w:rsidRPr="00717F31" w:rsidRDefault="00E56013" w:rsidP="00941B6D">
      <w:pPr>
        <w:pStyle w:val="meetingname"/>
        <w:ind w:left="0" w:right="3973" w:firstLine="0"/>
        <w:rPr>
          <w:kern w:val="22"/>
          <w:szCs w:val="22"/>
        </w:rPr>
      </w:pPr>
      <w:sdt>
        <w:sdtPr>
          <w:alias w:val="Meeting"/>
          <w:tag w:val="Meeting"/>
          <w:id w:val="1412045910"/>
          <w:placeholder>
            <w:docPart w:val="DefaultPlaceholder_1082065158"/>
          </w:placeholder>
          <w:text/>
        </w:sdtPr>
        <w:sdtEndPr/>
        <w:sdtContent>
          <w:r w:rsidR="00666896">
            <w:t>ORGANE SUBSIDIAIRE CHARGÉ DE L’APPLICATION</w:t>
          </w:r>
        </w:sdtContent>
      </w:sdt>
      <w:bookmarkEnd w:id="0"/>
    </w:p>
    <w:p w:rsidR="008E4C46" w:rsidRPr="00555502" w:rsidRDefault="008E4C46" w:rsidP="008E4C46">
      <w:pPr>
        <w:tabs>
          <w:tab w:val="left" w:pos="5954"/>
        </w:tabs>
        <w:autoSpaceDE w:val="0"/>
        <w:autoSpaceDN w:val="0"/>
        <w:adjustRightInd w:val="0"/>
        <w:ind w:right="3406"/>
        <w:rPr>
          <w:snapToGrid w:val="0"/>
          <w:kern w:val="22"/>
          <w:szCs w:val="22"/>
          <w:lang w:val="fr-FR"/>
        </w:rPr>
      </w:pPr>
      <w:r w:rsidRPr="00555502">
        <w:rPr>
          <w:snapToGrid w:val="0"/>
          <w:kern w:val="22"/>
          <w:szCs w:val="22"/>
          <w:lang w:val="fr-FR"/>
        </w:rPr>
        <w:t>Deuxième réunion</w:t>
      </w:r>
    </w:p>
    <w:p w:rsidR="008E4C46" w:rsidRPr="00555502" w:rsidRDefault="008E4C46" w:rsidP="008E4C46">
      <w:pPr>
        <w:autoSpaceDE w:val="0"/>
        <w:autoSpaceDN w:val="0"/>
        <w:adjustRightInd w:val="0"/>
        <w:ind w:right="3124"/>
        <w:rPr>
          <w:snapToGrid w:val="0"/>
          <w:kern w:val="22"/>
          <w:szCs w:val="22"/>
          <w:lang w:val="fr-FR"/>
        </w:rPr>
      </w:pPr>
      <w:r w:rsidRPr="00555502">
        <w:rPr>
          <w:snapToGrid w:val="0"/>
          <w:kern w:val="22"/>
          <w:szCs w:val="22"/>
          <w:lang w:val="fr-FR"/>
        </w:rPr>
        <w:t>Montréal, Canada, 9-13 juillet 2018</w:t>
      </w:r>
    </w:p>
    <w:p w:rsidR="00CA6B87" w:rsidRPr="00717F31" w:rsidRDefault="008E4C46" w:rsidP="008E4C46">
      <w:pPr>
        <w:rPr>
          <w:snapToGrid w:val="0"/>
          <w:kern w:val="22"/>
          <w:szCs w:val="22"/>
          <w:lang w:eastAsia="nb-NO"/>
        </w:rPr>
      </w:pPr>
      <w:r>
        <w:rPr>
          <w:snapToGrid w:val="0"/>
          <w:kern w:val="22"/>
          <w:szCs w:val="22"/>
          <w:lang w:val="fr-FR"/>
        </w:rPr>
        <w:t>Point 15</w:t>
      </w:r>
      <w:r w:rsidRPr="00555502">
        <w:rPr>
          <w:snapToGrid w:val="0"/>
          <w:kern w:val="22"/>
          <w:szCs w:val="22"/>
          <w:lang w:val="fr-FR"/>
        </w:rPr>
        <w:t xml:space="preserve"> de l’ordre du jour provisoire</w:t>
      </w:r>
      <w:r w:rsidRPr="00555502">
        <w:rPr>
          <w:rStyle w:val="FootnoteReference"/>
          <w:snapToGrid w:val="0"/>
          <w:kern w:val="22"/>
          <w:szCs w:val="22"/>
          <w:lang w:val="fr-FR"/>
        </w:rPr>
        <w:footnoteReference w:customMarkFollows="1" w:id="1"/>
        <w:t>*</w:t>
      </w:r>
    </w:p>
    <w:p w:rsidR="00066160" w:rsidRPr="00F71676" w:rsidRDefault="00E56013" w:rsidP="00717F31">
      <w:pPr>
        <w:pStyle w:val="heading2notforTOC"/>
        <w:tabs>
          <w:tab w:val="clear" w:pos="567"/>
        </w:tabs>
        <w:rPr>
          <w:b/>
          <w:i w:val="0"/>
          <w:snapToGrid w:val="0"/>
          <w:kern w:val="22"/>
          <w:szCs w:val="22"/>
          <w:lang w:val="fr-FR"/>
        </w:rPr>
      </w:pPr>
      <w:sdt>
        <w:sdtPr>
          <w:rPr>
            <w:b/>
            <w:i w:val="0"/>
            <w:caps/>
            <w:snapToGrid w:val="0"/>
            <w:kern w:val="22"/>
            <w:szCs w:val="22"/>
            <w:lang w:val="fr-FR"/>
          </w:rPr>
          <w:alias w:val="Title"/>
          <w:tag w:val=""/>
          <w:id w:val="1665894259"/>
          <w:placeholder>
            <w:docPart w:val="C16D1CAE4A344423B0F4F04BD3446B31"/>
          </w:placeholder>
          <w:dataBinding w:prefixMappings="xmlns:ns0='http://purl.org/dc/elements/1.1/' xmlns:ns1='http://schemas.openxmlformats.org/package/2006/metadata/core-properties' " w:xpath="/ns1:coreProperties[1]/ns0:title[1]" w:storeItemID="{6C3C8BC8-F283-45AE-878A-BAB7291924A1}"/>
          <w:text/>
        </w:sdtPr>
        <w:sdtEndPr/>
        <w:sdtContent>
          <w:r w:rsidR="00666896">
            <w:rPr>
              <w:b/>
              <w:i w:val="0"/>
              <w:caps/>
              <w:snapToGrid w:val="0"/>
              <w:kern w:val="22"/>
              <w:szCs w:val="22"/>
            </w:rPr>
            <w:t>EXAMEN DE L'EFFICACITÉ DES PROCESSUS RELEVANT DE LA CONVENTION ET DE SES PROTOCOLES</w:t>
          </w:r>
        </w:sdtContent>
      </w:sdt>
    </w:p>
    <w:p w:rsidR="00C85EA4" w:rsidRPr="00F71676" w:rsidRDefault="003A5A20" w:rsidP="00066160">
      <w:pPr>
        <w:pStyle w:val="Heading1"/>
        <w:rPr>
          <w:b w:val="0"/>
          <w:i/>
          <w:kern w:val="22"/>
          <w:szCs w:val="22"/>
          <w:lang w:val="fr-FR"/>
        </w:rPr>
      </w:pPr>
      <w:r w:rsidRPr="00F71676">
        <w:rPr>
          <w:b w:val="0"/>
          <w:i/>
          <w:caps w:val="0"/>
          <w:kern w:val="22"/>
          <w:szCs w:val="22"/>
          <w:lang w:val="fr-FR"/>
        </w:rPr>
        <w:t xml:space="preserve">Note </w:t>
      </w:r>
      <w:r w:rsidR="00F71676" w:rsidRPr="00F71676">
        <w:rPr>
          <w:b w:val="0"/>
          <w:i/>
          <w:caps w:val="0"/>
          <w:kern w:val="22"/>
          <w:szCs w:val="22"/>
          <w:lang w:val="fr-FR"/>
        </w:rPr>
        <w:t>de la Secrétaire exécutive</w:t>
      </w:r>
    </w:p>
    <w:p w:rsidR="008B11D3" w:rsidRPr="00F71676" w:rsidRDefault="00AA560B" w:rsidP="00451CAB">
      <w:pPr>
        <w:pStyle w:val="ListParagraph"/>
        <w:numPr>
          <w:ilvl w:val="0"/>
          <w:numId w:val="37"/>
        </w:numPr>
        <w:spacing w:before="120" w:after="120"/>
        <w:ind w:left="0" w:firstLine="0"/>
        <w:contextualSpacing w:val="0"/>
        <w:rPr>
          <w:kern w:val="22"/>
          <w:szCs w:val="22"/>
          <w:lang w:val="fr-FR"/>
        </w:rPr>
      </w:pPr>
      <w:r>
        <w:rPr>
          <w:kern w:val="22"/>
          <w:szCs w:val="22"/>
          <w:lang w:val="fr-FR"/>
        </w:rPr>
        <w:t>Selon le programme de travail pluriannuel jusqu’en</w:t>
      </w:r>
      <w:r w:rsidR="000656F5" w:rsidRPr="00F71676">
        <w:rPr>
          <w:kern w:val="22"/>
          <w:szCs w:val="22"/>
          <w:lang w:val="fr-FR"/>
        </w:rPr>
        <w:t xml:space="preserve"> 2020 </w:t>
      </w:r>
      <w:r w:rsidR="008B11D3" w:rsidRPr="00F71676">
        <w:rPr>
          <w:kern w:val="22"/>
          <w:szCs w:val="22"/>
          <w:lang w:val="fr-FR"/>
        </w:rPr>
        <w:t>(</w:t>
      </w:r>
      <w:r>
        <w:rPr>
          <w:kern w:val="22"/>
          <w:szCs w:val="22"/>
          <w:lang w:val="fr-FR"/>
        </w:rPr>
        <w:t>dé</w:t>
      </w:r>
      <w:r w:rsidR="00864F5F" w:rsidRPr="00F71676">
        <w:rPr>
          <w:kern w:val="22"/>
          <w:szCs w:val="22"/>
          <w:lang w:val="fr-FR"/>
        </w:rPr>
        <w:t xml:space="preserve">cision </w:t>
      </w:r>
      <w:hyperlink r:id="rId12" w:history="1">
        <w:r w:rsidR="00864F5F" w:rsidRPr="00F71676">
          <w:rPr>
            <w:rStyle w:val="Hyperlink"/>
            <w:kern w:val="22"/>
            <w:szCs w:val="22"/>
            <w:lang w:val="fr-FR"/>
          </w:rPr>
          <w:t>XI/10</w:t>
        </w:r>
      </w:hyperlink>
      <w:r>
        <w:rPr>
          <w:kern w:val="22"/>
          <w:szCs w:val="22"/>
          <w:lang w:val="fr-FR"/>
        </w:rPr>
        <w:t xml:space="preserve"> mise à jour par l’annexe de la décision</w:t>
      </w:r>
      <w:r w:rsidR="008B11D3" w:rsidRPr="00F71676">
        <w:rPr>
          <w:kern w:val="22"/>
          <w:szCs w:val="22"/>
          <w:lang w:val="fr-FR"/>
        </w:rPr>
        <w:t xml:space="preserve"> </w:t>
      </w:r>
      <w:hyperlink r:id="rId13" w:history="1">
        <w:r w:rsidR="008B11D3" w:rsidRPr="00F71676">
          <w:rPr>
            <w:rStyle w:val="Hyperlink"/>
            <w:kern w:val="22"/>
            <w:szCs w:val="22"/>
            <w:lang w:val="fr-FR"/>
          </w:rPr>
          <w:t>XII/31</w:t>
        </w:r>
      </w:hyperlink>
      <w:r w:rsidR="008B11D3" w:rsidRPr="00F71676">
        <w:rPr>
          <w:kern w:val="22"/>
          <w:szCs w:val="22"/>
          <w:lang w:val="fr-FR"/>
        </w:rPr>
        <w:t>)</w:t>
      </w:r>
      <w:r w:rsidR="00644C74" w:rsidRPr="00F71676">
        <w:rPr>
          <w:kern w:val="22"/>
          <w:szCs w:val="22"/>
          <w:lang w:val="fr-FR"/>
        </w:rPr>
        <w:t xml:space="preserve">, </w:t>
      </w:r>
      <w:r w:rsidR="002E5E77">
        <w:rPr>
          <w:kern w:val="22"/>
          <w:szCs w:val="22"/>
          <w:lang w:val="fr-FR"/>
        </w:rPr>
        <w:t>la Conférence des Parties</w:t>
      </w:r>
      <w:r w:rsidR="00BC6E0F">
        <w:rPr>
          <w:kern w:val="22"/>
          <w:szCs w:val="22"/>
          <w:lang w:val="fr-FR"/>
        </w:rPr>
        <w:t xml:space="preserve"> abordera « l’examen de l’efficacité des processus au titre de la Convention et de ses protocoles » une des questions stratégique inscrite à l’ordre du jour de sa quatorzième réunion. L’Organe subsidiaire chargé de l’application devrait examiner la question à sa deuxième réunion en vue de formuler une recommandation pour examen par la Conférence des Parties à la Convention à </w:t>
      </w:r>
      <w:r w:rsidR="000D5008">
        <w:rPr>
          <w:kern w:val="22"/>
          <w:szCs w:val="22"/>
          <w:lang w:val="fr-FR"/>
        </w:rPr>
        <w:t>sa quatorzième réunion, par la r</w:t>
      </w:r>
      <w:r w:rsidR="00BC6E0F">
        <w:rPr>
          <w:kern w:val="22"/>
          <w:szCs w:val="22"/>
          <w:lang w:val="fr-FR"/>
        </w:rPr>
        <w:t>éunion des Parties au Protocole de Cartagena à</w:t>
      </w:r>
      <w:r w:rsidR="000D5008">
        <w:rPr>
          <w:kern w:val="22"/>
          <w:szCs w:val="22"/>
          <w:lang w:val="fr-FR"/>
        </w:rPr>
        <w:t xml:space="preserve"> sa neuvième réunion et par la r</w:t>
      </w:r>
      <w:r w:rsidR="00BC6E0F">
        <w:rPr>
          <w:kern w:val="22"/>
          <w:szCs w:val="22"/>
          <w:lang w:val="fr-FR"/>
        </w:rPr>
        <w:t>éunion des Parties au Protocole de Nagoya à sa troisième réunion.</w:t>
      </w:r>
      <w:r w:rsidR="000D5008">
        <w:rPr>
          <w:kern w:val="22"/>
          <w:szCs w:val="22"/>
          <w:lang w:val="fr-FR"/>
        </w:rPr>
        <w:t xml:space="preserve"> La Secrétaire exécutive a élaboré le présent document afin de faciliter cet examen.</w:t>
      </w:r>
    </w:p>
    <w:p w:rsidR="00A60495" w:rsidRPr="00F71676" w:rsidRDefault="005F3B7A" w:rsidP="00717F31">
      <w:pPr>
        <w:pStyle w:val="ListParagraph"/>
        <w:numPr>
          <w:ilvl w:val="0"/>
          <w:numId w:val="37"/>
        </w:numPr>
        <w:spacing w:before="120" w:after="120"/>
        <w:ind w:left="0" w:firstLine="0"/>
        <w:contextualSpacing w:val="0"/>
        <w:rPr>
          <w:kern w:val="22"/>
          <w:szCs w:val="22"/>
          <w:lang w:val="fr-FR"/>
        </w:rPr>
      </w:pPr>
      <w:r>
        <w:rPr>
          <w:kern w:val="22"/>
          <w:szCs w:val="22"/>
          <w:lang w:val="fr-FR"/>
        </w:rPr>
        <w:t xml:space="preserve">L’examen  et l’amélioration de l’efficacité des structures et des processus relevant de la Convention a fait l’objet d’une attention continue de la part de la Conférence des Parties. À sa septième réunion en 2004, la Conférence des Parties a créé </w:t>
      </w:r>
      <w:r>
        <w:rPr>
          <w:lang w:val="fr-CA"/>
        </w:rPr>
        <w:t>un groupe de travail spécial à composition non limitée sur l’examen de l’application de la Convention</w:t>
      </w:r>
      <w:r w:rsidR="00D455C1" w:rsidRPr="00F71676">
        <w:rPr>
          <w:kern w:val="22"/>
          <w:szCs w:val="22"/>
          <w:lang w:val="fr-FR"/>
        </w:rPr>
        <w:t xml:space="preserve"> </w:t>
      </w:r>
      <w:r w:rsidR="00C257DC" w:rsidRPr="00F71676">
        <w:rPr>
          <w:kern w:val="22"/>
          <w:szCs w:val="22"/>
          <w:lang w:val="fr-FR"/>
        </w:rPr>
        <w:t>(</w:t>
      </w:r>
      <w:r w:rsidR="005D0930" w:rsidRPr="00F71676">
        <w:rPr>
          <w:kern w:val="22"/>
          <w:szCs w:val="22"/>
          <w:lang w:val="fr-FR"/>
        </w:rPr>
        <w:t>d</w:t>
      </w:r>
      <w:r w:rsidR="006C5AF0">
        <w:rPr>
          <w:kern w:val="22"/>
          <w:szCs w:val="22"/>
          <w:lang w:val="fr-FR"/>
        </w:rPr>
        <w:t>é</w:t>
      </w:r>
      <w:r w:rsidR="00C257DC" w:rsidRPr="00F71676">
        <w:rPr>
          <w:kern w:val="22"/>
          <w:szCs w:val="22"/>
          <w:lang w:val="fr-FR"/>
        </w:rPr>
        <w:t xml:space="preserve">cision </w:t>
      </w:r>
      <w:hyperlink r:id="rId14" w:history="1">
        <w:r w:rsidR="00C257DC" w:rsidRPr="00F71676">
          <w:rPr>
            <w:rStyle w:val="Hyperlink"/>
            <w:kern w:val="22"/>
            <w:szCs w:val="22"/>
            <w:lang w:val="fr-FR"/>
          </w:rPr>
          <w:t>VII/30</w:t>
        </w:r>
      </w:hyperlink>
      <w:r w:rsidR="006C5AF0">
        <w:rPr>
          <w:kern w:val="22"/>
          <w:szCs w:val="22"/>
          <w:lang w:val="fr-FR"/>
        </w:rPr>
        <w:t>, par</w:t>
      </w:r>
      <w:r w:rsidR="00773B72" w:rsidRPr="00F71676">
        <w:rPr>
          <w:kern w:val="22"/>
          <w:szCs w:val="22"/>
          <w:lang w:val="fr-FR"/>
        </w:rPr>
        <w:t>. </w:t>
      </w:r>
      <w:r w:rsidR="006C5AF0">
        <w:rPr>
          <w:kern w:val="22"/>
          <w:szCs w:val="22"/>
          <w:lang w:val="fr-FR"/>
        </w:rPr>
        <w:t>23) chargé, entre autres, « </w:t>
      </w:r>
      <w:r w:rsidR="006C5AF0">
        <w:rPr>
          <w:lang w:val="fr-CA"/>
        </w:rPr>
        <w:t>d’évaluer les conséquences et l’efficacité des processus existants de la Convention »</w:t>
      </w:r>
      <w:r w:rsidR="00716A78" w:rsidRPr="00F71676">
        <w:rPr>
          <w:rStyle w:val="FootnoteReference"/>
          <w:kern w:val="22"/>
          <w:sz w:val="22"/>
          <w:szCs w:val="22"/>
          <w:lang w:val="fr-FR"/>
        </w:rPr>
        <w:footnoteReference w:id="2"/>
      </w:r>
      <w:r w:rsidR="006C5AF0">
        <w:rPr>
          <w:lang w:val="fr-CA"/>
        </w:rPr>
        <w:t xml:space="preserve">. À sa première réunion en 2005, le Groupe de travail sur l’examen de l’application a entrepris un examen exhaustif des processus relevant de la Convention qui a abouti à l’adoption de la décision </w:t>
      </w:r>
      <w:hyperlink r:id="rId15" w:history="1">
        <w:r w:rsidR="00B233F9" w:rsidRPr="00F71676">
          <w:rPr>
            <w:rStyle w:val="Hyperlink"/>
            <w:kern w:val="22"/>
            <w:szCs w:val="22"/>
            <w:lang w:val="fr-FR"/>
          </w:rPr>
          <w:t>VIII/10</w:t>
        </w:r>
      </w:hyperlink>
      <w:r w:rsidR="006C5AF0">
        <w:rPr>
          <w:kern w:val="22"/>
          <w:szCs w:val="22"/>
          <w:lang w:val="fr-FR"/>
        </w:rPr>
        <w:t xml:space="preserve"> sur le fonctionnement de la Convention. Lors de ses réunions suivantes, le Groupe de travail a examiné des aspects spécifiques du fonctionnement de la Convention. Suite à l’adoption du Protocole de Nagoya en 2010 et son entrée en vigueur en </w:t>
      </w:r>
      <w:r w:rsidR="003049A9" w:rsidRPr="00F71676">
        <w:rPr>
          <w:kern w:val="22"/>
          <w:szCs w:val="22"/>
          <w:lang w:val="fr-FR"/>
        </w:rPr>
        <w:t>2014</w:t>
      </w:r>
      <w:r w:rsidR="008E0DAA" w:rsidRPr="00F71676">
        <w:rPr>
          <w:rStyle w:val="FootnoteReference"/>
          <w:kern w:val="22"/>
          <w:sz w:val="22"/>
          <w:szCs w:val="22"/>
          <w:lang w:val="fr-FR"/>
        </w:rPr>
        <w:footnoteReference w:id="3"/>
      </w:r>
      <w:r w:rsidR="006C5AF0">
        <w:rPr>
          <w:kern w:val="22"/>
          <w:szCs w:val="22"/>
          <w:lang w:val="fr-FR"/>
        </w:rPr>
        <w:t>,</w:t>
      </w:r>
      <w:r w:rsidR="00CE7215" w:rsidRPr="00F71676">
        <w:rPr>
          <w:kern w:val="22"/>
          <w:szCs w:val="22"/>
          <w:lang w:val="fr-FR"/>
        </w:rPr>
        <w:t xml:space="preserve"> </w:t>
      </w:r>
      <w:r w:rsidR="006C5AF0">
        <w:rPr>
          <w:kern w:val="22"/>
          <w:szCs w:val="22"/>
          <w:lang w:val="fr-FR"/>
        </w:rPr>
        <w:t xml:space="preserve">la Conférence des Parties a décidé, à sa douzième réunion, de </w:t>
      </w:r>
      <w:r w:rsidR="00B82F96">
        <w:rPr>
          <w:kern w:val="22"/>
          <w:szCs w:val="22"/>
          <w:lang w:val="fr-FR"/>
        </w:rPr>
        <w:t>tenir les réunions de la Conférence des Parties en même temps que les réunions des Parties aux deux protocol</w:t>
      </w:r>
      <w:r w:rsidR="00E75082">
        <w:rPr>
          <w:kern w:val="22"/>
          <w:szCs w:val="22"/>
          <w:lang w:val="fr-FR"/>
        </w:rPr>
        <w:t>es. À la même réunion, la Conférence des Parties a également créé l’Organe subsidiaire chargé de l’application, et a adopté son mode de fonctionnement à sa treizième réunion.</w:t>
      </w:r>
    </w:p>
    <w:p w:rsidR="00E53C89" w:rsidRPr="00F71676" w:rsidRDefault="00E75082" w:rsidP="00717F31">
      <w:pPr>
        <w:pStyle w:val="ListParagraph"/>
        <w:numPr>
          <w:ilvl w:val="0"/>
          <w:numId w:val="37"/>
        </w:numPr>
        <w:spacing w:before="120" w:after="120"/>
        <w:ind w:left="0" w:firstLine="0"/>
        <w:contextualSpacing w:val="0"/>
        <w:rPr>
          <w:kern w:val="22"/>
          <w:szCs w:val="22"/>
          <w:lang w:val="fr-FR"/>
        </w:rPr>
      </w:pPr>
      <w:r>
        <w:rPr>
          <w:kern w:val="22"/>
          <w:szCs w:val="22"/>
          <w:lang w:val="fr-FR"/>
        </w:rPr>
        <w:t xml:space="preserve">Plus particulièrement, la Conférence des Parties à sa douzième réunion, la Conférence des Parties siégeant en tant que réunion des Parties au Protocole de Cartagena à </w:t>
      </w:r>
      <w:r w:rsidR="000D5008">
        <w:rPr>
          <w:kern w:val="22"/>
          <w:szCs w:val="22"/>
          <w:lang w:val="fr-FR"/>
        </w:rPr>
        <w:t xml:space="preserve">sa </w:t>
      </w:r>
      <w:r>
        <w:rPr>
          <w:kern w:val="22"/>
          <w:szCs w:val="22"/>
          <w:lang w:val="fr-FR"/>
        </w:rPr>
        <w:t xml:space="preserve">septième réunion et la Conférence des Parties siégeant en tant que réunion des Parties au Protocole de Nagoya à sa première réunion ont décidé </w:t>
      </w:r>
      <w:r w:rsidR="001E273E">
        <w:rPr>
          <w:kern w:val="22"/>
          <w:szCs w:val="22"/>
          <w:lang w:val="fr-FR"/>
        </w:rPr>
        <w:t xml:space="preserve">d’examiner l’expérience de la tenue de réunions concomitantes aux quatorzième et quinzième </w:t>
      </w:r>
      <w:r w:rsidR="001E273E">
        <w:rPr>
          <w:kern w:val="22"/>
          <w:szCs w:val="22"/>
          <w:lang w:val="fr-FR"/>
        </w:rPr>
        <w:lastRenderedPageBreak/>
        <w:t>réunions de la Conférence des Parties et réunions concomitantes des protocoles</w:t>
      </w:r>
      <w:r w:rsidR="00F34E70" w:rsidRPr="00F71676">
        <w:rPr>
          <w:iCs/>
          <w:snapToGrid w:val="0"/>
          <w:kern w:val="22"/>
          <w:szCs w:val="22"/>
          <w:lang w:val="fr-FR"/>
        </w:rPr>
        <w:t xml:space="preserve"> (</w:t>
      </w:r>
      <w:r w:rsidR="00354341" w:rsidRPr="00F71676">
        <w:rPr>
          <w:iCs/>
          <w:snapToGrid w:val="0"/>
          <w:kern w:val="22"/>
          <w:szCs w:val="22"/>
          <w:lang w:val="fr-FR"/>
        </w:rPr>
        <w:t>d</w:t>
      </w:r>
      <w:r w:rsidR="001E273E">
        <w:rPr>
          <w:iCs/>
          <w:snapToGrid w:val="0"/>
          <w:kern w:val="22"/>
          <w:szCs w:val="22"/>
          <w:lang w:val="fr-FR"/>
        </w:rPr>
        <w:t>é</w:t>
      </w:r>
      <w:r w:rsidR="00F34E70" w:rsidRPr="00F71676">
        <w:rPr>
          <w:iCs/>
          <w:snapToGrid w:val="0"/>
          <w:kern w:val="22"/>
          <w:szCs w:val="22"/>
          <w:lang w:val="fr-FR"/>
        </w:rPr>
        <w:t xml:space="preserve">cisions </w:t>
      </w:r>
      <w:hyperlink r:id="rId16" w:history="1">
        <w:r w:rsidR="00F34E70" w:rsidRPr="00F71676">
          <w:rPr>
            <w:rStyle w:val="Hyperlink"/>
            <w:kern w:val="22"/>
            <w:szCs w:val="22"/>
            <w:lang w:val="fr-FR"/>
          </w:rPr>
          <w:t>X</w:t>
        </w:r>
        <w:r w:rsidR="00354341" w:rsidRPr="00F71676">
          <w:rPr>
            <w:rStyle w:val="Hyperlink"/>
            <w:kern w:val="22"/>
            <w:szCs w:val="22"/>
            <w:lang w:val="fr-FR"/>
          </w:rPr>
          <w:t>I</w:t>
        </w:r>
        <w:r w:rsidR="00F34E70" w:rsidRPr="00F71676">
          <w:rPr>
            <w:rStyle w:val="Hyperlink"/>
            <w:kern w:val="22"/>
            <w:szCs w:val="22"/>
            <w:lang w:val="fr-FR"/>
          </w:rPr>
          <w:t>I/27</w:t>
        </w:r>
      </w:hyperlink>
      <w:r w:rsidR="00F34E70" w:rsidRPr="00F71676">
        <w:rPr>
          <w:kern w:val="22"/>
          <w:szCs w:val="22"/>
          <w:lang w:val="fr-FR"/>
        </w:rPr>
        <w:t xml:space="preserve">, </w:t>
      </w:r>
      <w:hyperlink r:id="rId17" w:history="1">
        <w:r w:rsidR="00F34E70" w:rsidRPr="00F71676">
          <w:rPr>
            <w:rStyle w:val="Hyperlink"/>
            <w:kern w:val="22"/>
            <w:szCs w:val="22"/>
            <w:lang w:val="fr-FR"/>
          </w:rPr>
          <w:t>CP-7/</w:t>
        </w:r>
        <w:r w:rsidR="00340466" w:rsidRPr="00F71676">
          <w:rPr>
            <w:rStyle w:val="Hyperlink"/>
            <w:kern w:val="22"/>
            <w:szCs w:val="22"/>
            <w:lang w:val="fr-FR"/>
          </w:rPr>
          <w:t>9</w:t>
        </w:r>
      </w:hyperlink>
      <w:r w:rsidR="00F34E70" w:rsidRPr="00F71676">
        <w:rPr>
          <w:kern w:val="22"/>
          <w:szCs w:val="22"/>
          <w:lang w:val="fr-FR"/>
        </w:rPr>
        <w:t xml:space="preserve"> </w:t>
      </w:r>
      <w:r w:rsidR="001E273E">
        <w:rPr>
          <w:kern w:val="22"/>
          <w:szCs w:val="22"/>
          <w:lang w:val="fr-FR"/>
        </w:rPr>
        <w:t>et</w:t>
      </w:r>
      <w:r w:rsidR="00F34E70" w:rsidRPr="00F71676">
        <w:rPr>
          <w:kern w:val="22"/>
          <w:szCs w:val="22"/>
          <w:lang w:val="fr-FR"/>
        </w:rPr>
        <w:t xml:space="preserve"> </w:t>
      </w:r>
      <w:hyperlink r:id="rId18" w:history="1">
        <w:r w:rsidR="00F34E70" w:rsidRPr="00F71676">
          <w:rPr>
            <w:rStyle w:val="Hyperlink"/>
            <w:kern w:val="22"/>
            <w:szCs w:val="22"/>
            <w:lang w:val="fr-FR"/>
          </w:rPr>
          <w:t>NP-1</w:t>
        </w:r>
        <w:r w:rsidR="00340466" w:rsidRPr="00F71676">
          <w:rPr>
            <w:rStyle w:val="Hyperlink"/>
            <w:kern w:val="22"/>
            <w:szCs w:val="22"/>
            <w:lang w:val="fr-FR"/>
          </w:rPr>
          <w:t>/12</w:t>
        </w:r>
      </w:hyperlink>
      <w:r w:rsidR="00F34E70" w:rsidRPr="00F71676">
        <w:rPr>
          <w:kern w:val="22"/>
          <w:szCs w:val="22"/>
          <w:lang w:val="fr-FR"/>
        </w:rPr>
        <w:t>)</w:t>
      </w:r>
      <w:r w:rsidR="00E96230" w:rsidRPr="00F71676">
        <w:rPr>
          <w:iCs/>
          <w:snapToGrid w:val="0"/>
          <w:kern w:val="22"/>
          <w:szCs w:val="22"/>
          <w:lang w:val="fr-FR"/>
        </w:rPr>
        <w:t>.</w:t>
      </w:r>
      <w:r w:rsidR="00F34E70" w:rsidRPr="00F71676">
        <w:rPr>
          <w:iCs/>
          <w:snapToGrid w:val="0"/>
          <w:kern w:val="22"/>
          <w:szCs w:val="22"/>
          <w:lang w:val="fr-FR"/>
        </w:rPr>
        <w:t xml:space="preserve"> </w:t>
      </w:r>
      <w:r w:rsidR="001E273E">
        <w:rPr>
          <w:iCs/>
          <w:snapToGrid w:val="0"/>
          <w:kern w:val="22"/>
          <w:szCs w:val="22"/>
          <w:lang w:val="fr-FR"/>
        </w:rPr>
        <w:t xml:space="preserve">À leurs réunions suivantes en </w:t>
      </w:r>
      <w:r w:rsidR="00F34E70" w:rsidRPr="00F71676">
        <w:rPr>
          <w:iCs/>
          <w:snapToGrid w:val="0"/>
          <w:kern w:val="22"/>
          <w:szCs w:val="22"/>
          <w:lang w:val="fr-FR"/>
        </w:rPr>
        <w:t>2016</w:t>
      </w:r>
      <w:r w:rsidR="00E96230" w:rsidRPr="00F71676">
        <w:rPr>
          <w:iCs/>
          <w:snapToGrid w:val="0"/>
          <w:kern w:val="22"/>
          <w:szCs w:val="22"/>
          <w:lang w:val="fr-FR"/>
        </w:rPr>
        <w:t>,</w:t>
      </w:r>
      <w:r w:rsidR="00F34E70" w:rsidRPr="00F71676">
        <w:rPr>
          <w:iCs/>
          <w:snapToGrid w:val="0"/>
          <w:kern w:val="22"/>
          <w:szCs w:val="22"/>
          <w:lang w:val="fr-FR"/>
        </w:rPr>
        <w:t xml:space="preserve"> </w:t>
      </w:r>
      <w:r w:rsidR="0067629E">
        <w:rPr>
          <w:iCs/>
          <w:snapToGrid w:val="0"/>
          <w:kern w:val="22"/>
          <w:szCs w:val="22"/>
          <w:lang w:val="fr-FR"/>
        </w:rPr>
        <w:t xml:space="preserve">les trois organes ont achevé la mise au point des critères de cet examen </w:t>
      </w:r>
      <w:r w:rsidR="00F34E70" w:rsidRPr="00F71676">
        <w:rPr>
          <w:iCs/>
          <w:snapToGrid w:val="0"/>
          <w:kern w:val="22"/>
          <w:szCs w:val="22"/>
          <w:lang w:val="fr-FR"/>
        </w:rPr>
        <w:t>(</w:t>
      </w:r>
      <w:r w:rsidR="00354341" w:rsidRPr="00F71676">
        <w:rPr>
          <w:iCs/>
          <w:snapToGrid w:val="0"/>
          <w:kern w:val="22"/>
          <w:szCs w:val="22"/>
          <w:lang w:val="fr-FR"/>
        </w:rPr>
        <w:t>d</w:t>
      </w:r>
      <w:r w:rsidR="0067629E">
        <w:rPr>
          <w:iCs/>
          <w:snapToGrid w:val="0"/>
          <w:kern w:val="22"/>
          <w:szCs w:val="22"/>
          <w:lang w:val="fr-FR"/>
        </w:rPr>
        <w:t>é</w:t>
      </w:r>
      <w:r w:rsidR="00F34E70" w:rsidRPr="00F71676">
        <w:rPr>
          <w:iCs/>
          <w:snapToGrid w:val="0"/>
          <w:kern w:val="22"/>
          <w:szCs w:val="22"/>
          <w:lang w:val="fr-FR"/>
        </w:rPr>
        <w:t xml:space="preserve">cisions </w:t>
      </w:r>
      <w:hyperlink r:id="rId19" w:history="1">
        <w:r w:rsidR="00F34E70" w:rsidRPr="00F71676">
          <w:rPr>
            <w:rStyle w:val="Hyperlink"/>
            <w:kern w:val="22"/>
            <w:szCs w:val="22"/>
            <w:lang w:val="fr-FR"/>
          </w:rPr>
          <w:t>XIII/26</w:t>
        </w:r>
      </w:hyperlink>
      <w:r w:rsidR="00F34E70" w:rsidRPr="00F71676">
        <w:rPr>
          <w:kern w:val="22"/>
          <w:szCs w:val="22"/>
          <w:lang w:val="fr-FR"/>
        </w:rPr>
        <w:t xml:space="preserve">, </w:t>
      </w:r>
      <w:hyperlink r:id="rId20" w:history="1">
        <w:r w:rsidR="00F34E70" w:rsidRPr="00F71676">
          <w:rPr>
            <w:rStyle w:val="Hyperlink"/>
            <w:kern w:val="22"/>
            <w:szCs w:val="22"/>
            <w:lang w:val="fr-FR"/>
          </w:rPr>
          <w:t>CP-8/10</w:t>
        </w:r>
      </w:hyperlink>
      <w:r w:rsidR="00F34E70" w:rsidRPr="00F71676">
        <w:rPr>
          <w:kern w:val="22"/>
          <w:szCs w:val="22"/>
          <w:lang w:val="fr-FR"/>
        </w:rPr>
        <w:t xml:space="preserve"> and </w:t>
      </w:r>
      <w:hyperlink r:id="rId21" w:history="1">
        <w:r w:rsidR="00F34E70" w:rsidRPr="00F71676">
          <w:rPr>
            <w:rStyle w:val="Hyperlink"/>
            <w:kern w:val="22"/>
            <w:szCs w:val="22"/>
            <w:lang w:val="fr-FR"/>
          </w:rPr>
          <w:t>NP-2/12</w:t>
        </w:r>
      </w:hyperlink>
      <w:r w:rsidR="00F34E70" w:rsidRPr="00F71676">
        <w:rPr>
          <w:kern w:val="22"/>
          <w:szCs w:val="22"/>
          <w:lang w:val="fr-FR"/>
        </w:rPr>
        <w:t>).</w:t>
      </w:r>
    </w:p>
    <w:p w:rsidR="00A5634D" w:rsidRPr="00F71676" w:rsidRDefault="0067629E" w:rsidP="00717F31">
      <w:pPr>
        <w:pStyle w:val="ListParagraph"/>
        <w:numPr>
          <w:ilvl w:val="0"/>
          <w:numId w:val="37"/>
        </w:numPr>
        <w:spacing w:before="120" w:after="120"/>
        <w:ind w:left="0" w:firstLine="0"/>
        <w:contextualSpacing w:val="0"/>
        <w:rPr>
          <w:kern w:val="22"/>
          <w:szCs w:val="22"/>
          <w:lang w:val="fr-FR"/>
        </w:rPr>
      </w:pPr>
      <w:r>
        <w:rPr>
          <w:kern w:val="22"/>
          <w:szCs w:val="22"/>
          <w:lang w:val="fr-FR"/>
        </w:rPr>
        <w:t>Des questions relatives aux processus relevant de la Convention et de ses protocoles seront aussi examinées par l’Organe subsidiaire chargé de l’application à sa deuxième réunion au titre d’autres points inscrits à l’ordre du jour, notamment : mécanismes d’examen de l’application (point</w:t>
      </w:r>
      <w:r w:rsidR="00CA00DA">
        <w:rPr>
          <w:kern w:val="22"/>
          <w:szCs w:val="22"/>
          <w:lang w:val="fr-FR"/>
        </w:rPr>
        <w:t xml:space="preserve"> 12) ;</w:t>
      </w:r>
      <w:r w:rsidR="00E53C89" w:rsidRPr="00F71676">
        <w:rPr>
          <w:kern w:val="22"/>
          <w:szCs w:val="22"/>
          <w:lang w:val="fr-FR"/>
        </w:rPr>
        <w:t xml:space="preserve"> </w:t>
      </w:r>
      <w:r w:rsidR="000D5008">
        <w:rPr>
          <w:lang w:val="fr-FR"/>
        </w:rPr>
        <w:t>r</w:t>
      </w:r>
      <w:r w:rsidRPr="00894A6C">
        <w:rPr>
          <w:lang w:val="fr-FR"/>
        </w:rPr>
        <w:t>apports nationaux, et évaluation et examen, établis au ti</w:t>
      </w:r>
      <w:r>
        <w:rPr>
          <w:lang w:val="fr-FR"/>
        </w:rPr>
        <w:t>tre de la Convention et de ses p</w:t>
      </w:r>
      <w:r w:rsidRPr="00894A6C">
        <w:rPr>
          <w:lang w:val="fr-FR"/>
        </w:rPr>
        <w:t>rotocoles</w:t>
      </w:r>
      <w:r>
        <w:rPr>
          <w:kern w:val="22"/>
          <w:szCs w:val="22"/>
          <w:lang w:val="fr-FR"/>
        </w:rPr>
        <w:t xml:space="preserve"> (point</w:t>
      </w:r>
      <w:r w:rsidR="00CA00DA">
        <w:rPr>
          <w:kern w:val="22"/>
          <w:szCs w:val="22"/>
          <w:lang w:val="fr-FR"/>
        </w:rPr>
        <w:t xml:space="preserve"> 13) ;</w:t>
      </w:r>
      <w:r w:rsidR="00E53C89" w:rsidRPr="00F71676">
        <w:rPr>
          <w:kern w:val="22"/>
          <w:szCs w:val="22"/>
          <w:lang w:val="fr-FR"/>
        </w:rPr>
        <w:t xml:space="preserve"> </w:t>
      </w:r>
      <w:r w:rsidR="00CA00DA">
        <w:rPr>
          <w:lang w:val="fr-FR"/>
        </w:rPr>
        <w:t>a</w:t>
      </w:r>
      <w:r w:rsidR="00CA00DA" w:rsidRPr="00894A6C">
        <w:rPr>
          <w:lang w:val="fr-FR"/>
        </w:rPr>
        <w:t xml:space="preserve">llocation des ressources et possibilités de participation du secteur privé: Fonds </w:t>
      </w:r>
      <w:r w:rsidR="00CA00DA">
        <w:rPr>
          <w:lang w:val="fr-FR"/>
        </w:rPr>
        <w:t xml:space="preserve">d’affectation spéciale </w:t>
      </w:r>
      <w:r w:rsidR="00CA00DA" w:rsidRPr="00894A6C">
        <w:rPr>
          <w:lang w:val="fr-FR"/>
        </w:rPr>
        <w:t>pour la participation des Parties au processus de la Convention</w:t>
      </w:r>
      <w:r w:rsidR="00CA00DA" w:rsidRPr="00F71676">
        <w:rPr>
          <w:kern w:val="22"/>
          <w:szCs w:val="22"/>
          <w:lang w:val="fr-FR"/>
        </w:rPr>
        <w:t xml:space="preserve"> </w:t>
      </w:r>
      <w:r w:rsidR="00CA00DA">
        <w:rPr>
          <w:kern w:val="22"/>
          <w:szCs w:val="22"/>
          <w:lang w:val="fr-FR"/>
        </w:rPr>
        <w:t xml:space="preserve">(point 17). </w:t>
      </w:r>
      <w:r w:rsidR="00CA00DA">
        <w:rPr>
          <w:sz w:val="24"/>
          <w:lang w:val="fr-FR" w:eastAsia="zh-CN"/>
        </w:rPr>
        <w:t xml:space="preserve">La préparation du </w:t>
      </w:r>
      <w:r w:rsidR="00CA00DA">
        <w:rPr>
          <w:lang w:val="fr-FR"/>
        </w:rPr>
        <w:t>s</w:t>
      </w:r>
      <w:r w:rsidR="00CA00DA" w:rsidRPr="00783760">
        <w:rPr>
          <w:lang w:val="fr-FR"/>
        </w:rPr>
        <w:t>uivi du Plan stratégique pour la diversité biologique 2011-2020</w:t>
      </w:r>
      <w:r w:rsidR="00CA00DA">
        <w:rPr>
          <w:lang w:val="fr-FR"/>
        </w:rPr>
        <w:t xml:space="preserve"> est également pertinente (point 16).</w:t>
      </w:r>
    </w:p>
    <w:p w:rsidR="00005C38" w:rsidRPr="00F71676" w:rsidRDefault="00CA00DA" w:rsidP="00717F31">
      <w:pPr>
        <w:pStyle w:val="ListParagraph"/>
        <w:numPr>
          <w:ilvl w:val="0"/>
          <w:numId w:val="37"/>
        </w:numPr>
        <w:spacing w:before="120" w:after="120"/>
        <w:ind w:left="0" w:firstLine="0"/>
        <w:contextualSpacing w:val="0"/>
        <w:rPr>
          <w:kern w:val="22"/>
          <w:szCs w:val="22"/>
          <w:lang w:val="fr-FR"/>
        </w:rPr>
      </w:pPr>
      <w:r>
        <w:rPr>
          <w:kern w:val="22"/>
          <w:szCs w:val="22"/>
          <w:lang w:val="fr-FR"/>
        </w:rPr>
        <w:t xml:space="preserve">Le vingt-cinquième anniversaire de l’entrée en vigueur de la Convention sera célébré en décembre </w:t>
      </w:r>
      <w:r w:rsidR="00A60495" w:rsidRPr="00F71676">
        <w:rPr>
          <w:kern w:val="22"/>
          <w:szCs w:val="22"/>
          <w:lang w:val="fr-FR"/>
        </w:rPr>
        <w:t xml:space="preserve">2018. </w:t>
      </w:r>
      <w:r w:rsidR="002F7B42">
        <w:rPr>
          <w:kern w:val="22"/>
          <w:szCs w:val="22"/>
          <w:lang w:val="fr-FR"/>
        </w:rPr>
        <w:t xml:space="preserve">Ce sera une </w:t>
      </w:r>
      <w:r>
        <w:rPr>
          <w:kern w:val="22"/>
          <w:szCs w:val="22"/>
          <w:lang w:val="fr-FR"/>
        </w:rPr>
        <w:t>occasion de t</w:t>
      </w:r>
      <w:r w:rsidR="002F7B42">
        <w:rPr>
          <w:kern w:val="22"/>
          <w:szCs w:val="22"/>
          <w:lang w:val="fr-FR"/>
        </w:rPr>
        <w:t>irer des enseignements des expériences passées et de réfléchir aux moyens possibles d’améliorer l’efficacité des processus relevant de la Convention et de ses protocoles afin de s’assurer qu’ils répondent à l’objectif prévu et favorisent les changements transformateurs nécessaires pour réaliser la Vision 2050 pour la diversit</w:t>
      </w:r>
      <w:r w:rsidR="00082518">
        <w:rPr>
          <w:kern w:val="22"/>
          <w:szCs w:val="22"/>
          <w:lang w:val="fr-FR"/>
        </w:rPr>
        <w:t xml:space="preserve">é biologique, y compris par la voie du </w:t>
      </w:r>
      <w:r w:rsidR="002F7B42">
        <w:rPr>
          <w:kern w:val="22"/>
          <w:szCs w:val="22"/>
          <w:lang w:val="fr-FR"/>
        </w:rPr>
        <w:t>cadre mondial la biodiversité</w:t>
      </w:r>
      <w:r w:rsidR="00082518">
        <w:rPr>
          <w:kern w:val="22"/>
          <w:szCs w:val="22"/>
          <w:lang w:val="fr-FR"/>
        </w:rPr>
        <w:t xml:space="preserve"> pour l’après-2020.</w:t>
      </w:r>
    </w:p>
    <w:p w:rsidR="00E11546" w:rsidRPr="00717F31" w:rsidRDefault="00C14762" w:rsidP="00717F31">
      <w:pPr>
        <w:pStyle w:val="ListParagraph"/>
        <w:numPr>
          <w:ilvl w:val="0"/>
          <w:numId w:val="37"/>
        </w:numPr>
        <w:spacing w:before="120" w:after="120"/>
        <w:ind w:left="0" w:firstLine="0"/>
        <w:contextualSpacing w:val="0"/>
        <w:rPr>
          <w:kern w:val="22"/>
          <w:szCs w:val="22"/>
        </w:rPr>
      </w:pPr>
      <w:r>
        <w:rPr>
          <w:kern w:val="22"/>
          <w:szCs w:val="22"/>
          <w:lang w:val="fr-FR"/>
        </w:rPr>
        <w:t>La section</w:t>
      </w:r>
      <w:r w:rsidR="001C2A38" w:rsidRPr="00F71676">
        <w:rPr>
          <w:kern w:val="22"/>
          <w:szCs w:val="22"/>
          <w:lang w:val="fr-FR"/>
        </w:rPr>
        <w:t xml:space="preserve"> I </w:t>
      </w:r>
      <w:r>
        <w:rPr>
          <w:kern w:val="22"/>
          <w:szCs w:val="22"/>
          <w:lang w:val="fr-FR"/>
        </w:rPr>
        <w:t xml:space="preserve">du présent document contient un résumé des examens précédents et des principales démarches récentes entreprises pour améliorer l’efficacité des structures et des processus. La section II et l’additif </w:t>
      </w:r>
      <w:r w:rsidR="00354341" w:rsidRPr="00F71676">
        <w:rPr>
          <w:kern w:val="22"/>
          <w:szCs w:val="22"/>
          <w:lang w:val="fr-FR"/>
        </w:rPr>
        <w:t>(</w:t>
      </w:r>
      <w:r w:rsidR="00F34E70" w:rsidRPr="00F71676">
        <w:rPr>
          <w:kern w:val="22"/>
          <w:szCs w:val="22"/>
          <w:lang w:val="fr-FR"/>
        </w:rPr>
        <w:t>CBD/SBI/2/16/</w:t>
      </w:r>
      <w:r w:rsidR="00F016A7" w:rsidRPr="00F71676">
        <w:rPr>
          <w:kern w:val="22"/>
          <w:szCs w:val="22"/>
          <w:lang w:val="fr-FR"/>
        </w:rPr>
        <w:t>A</w:t>
      </w:r>
      <w:r w:rsidR="00F34E70" w:rsidRPr="00F71676">
        <w:rPr>
          <w:kern w:val="22"/>
          <w:szCs w:val="22"/>
          <w:lang w:val="fr-FR"/>
        </w:rPr>
        <w:t>dd.1</w:t>
      </w:r>
      <w:r w:rsidR="00F016A7" w:rsidRPr="00F71676">
        <w:rPr>
          <w:kern w:val="22"/>
          <w:szCs w:val="22"/>
          <w:lang w:val="fr-FR"/>
        </w:rPr>
        <w:t>)</w:t>
      </w:r>
      <w:r>
        <w:rPr>
          <w:kern w:val="22"/>
          <w:szCs w:val="22"/>
          <w:lang w:val="fr-FR"/>
        </w:rPr>
        <w:t xml:space="preserve"> examinent l’expérience de la tenue de réunions concomitantes de la Conférences des Parties et des réunions des protocoles. La section III souligne certains points concernant la question d’éviter les conflits d’intérêts et de les gérer, question qui est devenue importante au cours des dernières années dans le contexte de l’amélioration de l’efficacité de groupes d’experts techniques. Enfin, la section IV contient des éléments d’une recommandation pour examen par l’Organe subsidiaire chargé de l’application à sa deuxième réunion.</w:t>
      </w:r>
    </w:p>
    <w:p w:rsidR="00AC7923" w:rsidRPr="00717F31" w:rsidRDefault="00C37EB6" w:rsidP="00451CAB">
      <w:pPr>
        <w:pStyle w:val="Heading2"/>
        <w:tabs>
          <w:tab w:val="clear" w:pos="720"/>
          <w:tab w:val="left" w:pos="1560"/>
        </w:tabs>
        <w:ind w:left="1560" w:hanging="993"/>
        <w:jc w:val="left"/>
        <w:rPr>
          <w:kern w:val="22"/>
          <w:szCs w:val="22"/>
        </w:rPr>
      </w:pPr>
      <w:r w:rsidRPr="00717F31">
        <w:rPr>
          <w:kern w:val="22"/>
          <w:szCs w:val="22"/>
        </w:rPr>
        <w:t>I.</w:t>
      </w:r>
      <w:r w:rsidRPr="00717F31">
        <w:rPr>
          <w:kern w:val="22"/>
          <w:szCs w:val="22"/>
        </w:rPr>
        <w:tab/>
      </w:r>
      <w:r w:rsidR="00C14762">
        <w:rPr>
          <w:kern w:val="22"/>
          <w:szCs w:val="22"/>
        </w:rPr>
        <w:t>EXAMEN DES ÉVALUATIONS PRÉCÉDENTES ET RÉSUMÉ</w:t>
      </w:r>
      <w:r w:rsidR="00940CFC">
        <w:rPr>
          <w:kern w:val="22"/>
          <w:szCs w:val="22"/>
        </w:rPr>
        <w:t xml:space="preserve"> </w:t>
      </w:r>
      <w:r w:rsidR="00C14762">
        <w:rPr>
          <w:kern w:val="22"/>
          <w:szCs w:val="22"/>
        </w:rPr>
        <w:t>DES MESURES PRISES RÉCEMMENT POUR AMÉLIORER L’EFFICACIT</w:t>
      </w:r>
      <w:r w:rsidR="00940CFC">
        <w:rPr>
          <w:kern w:val="22"/>
          <w:szCs w:val="22"/>
        </w:rPr>
        <w:t>É DES PROCESSUS ET DES STRUCTURES</w:t>
      </w:r>
    </w:p>
    <w:p w:rsidR="009B6E33" w:rsidRPr="00940CFC" w:rsidRDefault="00940CFC" w:rsidP="00717F31">
      <w:pPr>
        <w:pStyle w:val="ListParagraph"/>
        <w:numPr>
          <w:ilvl w:val="0"/>
          <w:numId w:val="37"/>
        </w:numPr>
        <w:spacing w:before="120" w:after="120"/>
        <w:ind w:left="0" w:firstLine="0"/>
        <w:contextualSpacing w:val="0"/>
        <w:rPr>
          <w:kern w:val="22"/>
          <w:szCs w:val="22"/>
          <w:lang w:val="fr-FR"/>
        </w:rPr>
      </w:pPr>
      <w:r w:rsidRPr="00940CFC">
        <w:rPr>
          <w:kern w:val="22"/>
          <w:szCs w:val="22"/>
          <w:lang w:val="fr-FR"/>
        </w:rPr>
        <w:t>Comme mentionné ci-dessus</w:t>
      </w:r>
      <w:r w:rsidR="00810BAB" w:rsidRPr="00940CFC">
        <w:rPr>
          <w:kern w:val="22"/>
          <w:szCs w:val="22"/>
          <w:lang w:val="fr-FR"/>
        </w:rPr>
        <w:t xml:space="preserve">, </w:t>
      </w:r>
      <w:r w:rsidR="008076C0">
        <w:rPr>
          <w:kern w:val="22"/>
          <w:szCs w:val="22"/>
          <w:lang w:val="fr-FR"/>
        </w:rPr>
        <w:t>à sa première réunion en 2005, le Groupe de travail sur l’examen de l’application a entrepris un examen complet des processus relevant de la Convention. La documentation élaborée pour cet examen</w:t>
      </w:r>
      <w:r w:rsidR="00AB4206" w:rsidRPr="00940CFC">
        <w:rPr>
          <w:rStyle w:val="FootnoteReference"/>
          <w:kern w:val="22"/>
          <w:sz w:val="22"/>
          <w:szCs w:val="22"/>
          <w:lang w:val="fr-FR"/>
        </w:rPr>
        <w:footnoteReference w:id="4"/>
      </w:r>
      <w:r w:rsidR="008076C0">
        <w:rPr>
          <w:kern w:val="22"/>
          <w:szCs w:val="22"/>
          <w:lang w:val="fr-FR"/>
        </w:rPr>
        <w:t xml:space="preserve"> était fondée sur les conclusions des examens précédents de la Conférence des Parties, des évaluations extérieures et les communications des Parties. Elle comprenait une analyse des incidences et de l’efficacité des processus de la Convention fondé</w:t>
      </w:r>
      <w:r w:rsidR="00B2583A">
        <w:rPr>
          <w:kern w:val="22"/>
          <w:szCs w:val="22"/>
          <w:lang w:val="fr-FR"/>
        </w:rPr>
        <w:t>e sur deux questions clés : a) l</w:t>
      </w:r>
      <w:r w:rsidR="008076C0">
        <w:rPr>
          <w:kern w:val="22"/>
          <w:szCs w:val="22"/>
          <w:lang w:val="fr-FR"/>
        </w:rPr>
        <w:t>es produits de ces processus démontrent-ils qu’ils</w:t>
      </w:r>
      <w:r w:rsidR="006F58AE">
        <w:rPr>
          <w:kern w:val="22"/>
          <w:szCs w:val="22"/>
          <w:lang w:val="fr-FR"/>
        </w:rPr>
        <w:t xml:space="preserve"> exécutent leur mission ? b)</w:t>
      </w:r>
      <w:r w:rsidR="008076C0">
        <w:rPr>
          <w:kern w:val="22"/>
          <w:szCs w:val="22"/>
          <w:lang w:val="fr-FR"/>
        </w:rPr>
        <w:t xml:space="preserve"> </w:t>
      </w:r>
      <w:r w:rsidR="00810BAB" w:rsidRPr="00940CFC">
        <w:rPr>
          <w:kern w:val="22"/>
          <w:szCs w:val="22"/>
          <w:lang w:val="fr-FR"/>
        </w:rPr>
        <w:t xml:space="preserve"> </w:t>
      </w:r>
      <w:r w:rsidR="006F58AE">
        <w:rPr>
          <w:kern w:val="22"/>
          <w:szCs w:val="22"/>
          <w:lang w:val="fr-FR"/>
        </w:rPr>
        <w:t xml:space="preserve">les processus contribuent-ils à l’application de la Convention? L’analyse a conclu que </w:t>
      </w:r>
      <w:r w:rsidR="00DE5EAF">
        <w:rPr>
          <w:kern w:val="22"/>
          <w:szCs w:val="22"/>
          <w:lang w:val="fr-FR"/>
        </w:rPr>
        <w:t xml:space="preserve">dans l’ensemble, </w:t>
      </w:r>
      <w:r w:rsidR="006F58AE">
        <w:rPr>
          <w:kern w:val="22"/>
          <w:szCs w:val="22"/>
          <w:lang w:val="fr-FR"/>
        </w:rPr>
        <w:t>les organes de la Convention s’acquittent</w:t>
      </w:r>
      <w:r w:rsidR="00DE5EAF">
        <w:rPr>
          <w:kern w:val="22"/>
          <w:szCs w:val="22"/>
          <w:lang w:val="fr-FR"/>
        </w:rPr>
        <w:t xml:space="preserve"> de leurs mandats. Elle a noté cependant que la Conférence des Parties pourrait examiner l’application de la Convention de manière plus systématique et efficace et que l’Organe subsidiaire chargé de fournir des avis scientifiques, techniques et technologiques pourrait augmenter la qualité de ses avis et accorder plus d’attention à l’exécution de ses fonctions spécifiques.</w:t>
      </w:r>
      <w:r w:rsidR="006F58AE">
        <w:rPr>
          <w:kern w:val="22"/>
          <w:szCs w:val="22"/>
          <w:lang w:val="fr-FR"/>
        </w:rPr>
        <w:t xml:space="preserve"> </w:t>
      </w:r>
      <w:r w:rsidR="00DE5EAF">
        <w:rPr>
          <w:kern w:val="22"/>
          <w:szCs w:val="22"/>
          <w:lang w:val="fr-FR"/>
        </w:rPr>
        <w:t>L’analyse a conclu en outre que tous les processus pourraient contribuer à l’application de la Convention de manière plus efficace</w:t>
      </w:r>
      <w:r w:rsidR="009B6E33" w:rsidRPr="00940CFC">
        <w:rPr>
          <w:kern w:val="22"/>
          <w:szCs w:val="22"/>
          <w:lang w:val="fr-FR"/>
        </w:rPr>
        <w:t>.</w:t>
      </w:r>
    </w:p>
    <w:p w:rsidR="009B6E33" w:rsidRPr="00940CFC" w:rsidRDefault="00DE5EAF" w:rsidP="00717F31">
      <w:pPr>
        <w:pStyle w:val="ListParagraph"/>
        <w:numPr>
          <w:ilvl w:val="0"/>
          <w:numId w:val="37"/>
        </w:numPr>
        <w:spacing w:before="120" w:after="120"/>
        <w:ind w:left="0" w:firstLine="0"/>
        <w:contextualSpacing w:val="0"/>
        <w:rPr>
          <w:kern w:val="22"/>
          <w:szCs w:val="22"/>
          <w:lang w:val="fr-FR"/>
        </w:rPr>
      </w:pPr>
      <w:r>
        <w:rPr>
          <w:iCs/>
          <w:kern w:val="22"/>
          <w:szCs w:val="22"/>
          <w:lang w:val="fr-FR"/>
        </w:rPr>
        <w:t xml:space="preserve">Compte tenu des résultats de cet examen, dans la décision VIII/10 sur le fonctionnement de la Convention, la Conférence des Parties a, entre autres : </w:t>
      </w:r>
    </w:p>
    <w:p w:rsidR="009B6E33" w:rsidRPr="00940CFC" w:rsidRDefault="00DE5EAF" w:rsidP="00717F31">
      <w:pPr>
        <w:pStyle w:val="ListParagraph"/>
        <w:numPr>
          <w:ilvl w:val="0"/>
          <w:numId w:val="39"/>
        </w:numPr>
        <w:spacing w:before="120" w:after="120"/>
        <w:ind w:left="0" w:firstLine="709"/>
        <w:contextualSpacing w:val="0"/>
        <w:rPr>
          <w:kern w:val="22"/>
          <w:szCs w:val="22"/>
          <w:lang w:val="fr-FR"/>
        </w:rPr>
      </w:pPr>
      <w:r>
        <w:rPr>
          <w:iCs/>
          <w:kern w:val="22"/>
          <w:szCs w:val="22"/>
          <w:lang w:val="fr-FR"/>
        </w:rPr>
        <w:t>Adopté</w:t>
      </w:r>
      <w:r w:rsidR="00CD158B" w:rsidRPr="00940CFC">
        <w:rPr>
          <w:kern w:val="22"/>
          <w:szCs w:val="22"/>
          <w:lang w:val="fr-FR"/>
        </w:rPr>
        <w:t xml:space="preserve"> </w:t>
      </w:r>
      <w:r w:rsidR="00D74F36" w:rsidRPr="00EF0FD4">
        <w:rPr>
          <w:lang w:val="fr-FR"/>
        </w:rPr>
        <w:t>le programme de travail pluriannuel affiné de la Conférence des Parties jusqu'à 2010, précisant des questions stratégiques pour l'évaluation des progrès accomplis ou le soutien de l'application</w:t>
      </w:r>
      <w:r w:rsidR="00D74F36">
        <w:rPr>
          <w:lang w:val="fr-FR"/>
        </w:rPr>
        <w:t> ;</w:t>
      </w:r>
    </w:p>
    <w:p w:rsidR="009B6E33" w:rsidRPr="00940CFC" w:rsidRDefault="00D74F36" w:rsidP="00717F31">
      <w:pPr>
        <w:pStyle w:val="ListParagraph"/>
        <w:numPr>
          <w:ilvl w:val="0"/>
          <w:numId w:val="39"/>
        </w:numPr>
        <w:spacing w:before="120" w:after="120"/>
        <w:ind w:left="0" w:firstLine="709"/>
        <w:contextualSpacing w:val="0"/>
        <w:rPr>
          <w:kern w:val="22"/>
          <w:szCs w:val="22"/>
          <w:lang w:val="fr-FR"/>
        </w:rPr>
      </w:pPr>
      <w:r>
        <w:rPr>
          <w:kern w:val="22"/>
          <w:szCs w:val="22"/>
          <w:lang w:val="fr-FR"/>
        </w:rPr>
        <w:t xml:space="preserve">Examiné la périodicité de ses réunions ordinaires et décidé de les maintenir à tous les deux ans jusqu’en 2010 (cette question a été examinée plus avant aux neuvième et dixième réunions de la </w:t>
      </w:r>
      <w:r>
        <w:rPr>
          <w:kern w:val="22"/>
          <w:szCs w:val="22"/>
          <w:lang w:val="fr-FR"/>
        </w:rPr>
        <w:lastRenderedPageBreak/>
        <w:t>Conférence des Parties qui, dans la décision IX/10, a décidé de nouveau de maintenir la même périodicité) ;</w:t>
      </w:r>
      <w:r w:rsidR="009B6E33" w:rsidRPr="00940CFC">
        <w:rPr>
          <w:kern w:val="22"/>
          <w:szCs w:val="22"/>
          <w:lang w:val="fr-FR"/>
        </w:rPr>
        <w:t xml:space="preserve"> </w:t>
      </w:r>
    </w:p>
    <w:p w:rsidR="009B6E33" w:rsidRPr="00940CFC" w:rsidRDefault="00220D29" w:rsidP="00717F31">
      <w:pPr>
        <w:pStyle w:val="ListParagraph"/>
        <w:numPr>
          <w:ilvl w:val="0"/>
          <w:numId w:val="39"/>
        </w:numPr>
        <w:spacing w:before="120" w:after="120"/>
        <w:ind w:left="0" w:firstLine="709"/>
        <w:contextualSpacing w:val="0"/>
        <w:rPr>
          <w:kern w:val="22"/>
          <w:szCs w:val="22"/>
          <w:lang w:val="fr-FR"/>
        </w:rPr>
      </w:pPr>
      <w:r>
        <w:rPr>
          <w:kern w:val="22"/>
          <w:szCs w:val="22"/>
          <w:lang w:val="fr-FR"/>
        </w:rPr>
        <w:t>Examiné les modalités des consultations ministérielles</w:t>
      </w:r>
      <w:r w:rsidR="001F18FF">
        <w:rPr>
          <w:kern w:val="22"/>
          <w:szCs w:val="22"/>
          <w:lang w:val="fr-FR"/>
        </w:rPr>
        <w:t xml:space="preserve"> et demandé la coopération entre le pays hôte, le Secrétariat et le Bureaux, afin d’augmenter leur contribution aux travaux de la Conférence des</w:t>
      </w:r>
      <w:r w:rsidR="001F18FF" w:rsidRPr="00EF0FD4">
        <w:rPr>
          <w:lang w:val="fr-FR"/>
        </w:rPr>
        <w:t>, ainsi que la sensibilisation aux questions relatives à la diversité biologique et à l'application de la Convention et leur soutien</w:t>
      </w:r>
      <w:r w:rsidR="001F18FF">
        <w:rPr>
          <w:lang w:val="fr-FR"/>
        </w:rPr>
        <w:t> ;</w:t>
      </w:r>
    </w:p>
    <w:p w:rsidR="009B6E33" w:rsidRPr="00940CFC" w:rsidRDefault="001F18FF" w:rsidP="00717F31">
      <w:pPr>
        <w:pStyle w:val="ListParagraph"/>
        <w:numPr>
          <w:ilvl w:val="0"/>
          <w:numId w:val="39"/>
        </w:numPr>
        <w:spacing w:before="120" w:after="120"/>
        <w:ind w:left="0" w:firstLine="709"/>
        <w:contextualSpacing w:val="0"/>
        <w:rPr>
          <w:kern w:val="22"/>
          <w:szCs w:val="22"/>
          <w:lang w:val="fr-FR"/>
        </w:rPr>
      </w:pPr>
      <w:r>
        <w:rPr>
          <w:kern w:val="22"/>
          <w:szCs w:val="22"/>
          <w:lang w:val="fr-FR"/>
        </w:rPr>
        <w:t xml:space="preserve">Examiné des moyens d’améliorer </w:t>
      </w:r>
      <w:r w:rsidR="00884138">
        <w:rPr>
          <w:kern w:val="22"/>
          <w:szCs w:val="22"/>
          <w:lang w:val="fr-FR"/>
        </w:rPr>
        <w:t xml:space="preserve">la préparation de décisions en vue de maintenir le nombre de décisions à un niveau possible à gérer, </w:t>
      </w:r>
      <w:r w:rsidR="00B2583A">
        <w:rPr>
          <w:kern w:val="22"/>
          <w:szCs w:val="22"/>
          <w:lang w:val="fr-FR"/>
        </w:rPr>
        <w:t xml:space="preserve">de </w:t>
      </w:r>
      <w:r w:rsidR="00884138">
        <w:rPr>
          <w:kern w:val="22"/>
          <w:szCs w:val="22"/>
          <w:lang w:val="fr-FR"/>
        </w:rPr>
        <w:t xml:space="preserve">réduire au minimum le chevauchement et de mener une analyse des lacunes avant d’élaborer de nouveaux outils et orientations en vertu de la Convention. La Conférence des Parties a également demandé que soient élaborées des orientations </w:t>
      </w:r>
      <w:r w:rsidR="00884138" w:rsidRPr="00EF0FD4">
        <w:rPr>
          <w:lang w:val="fr-FR"/>
        </w:rPr>
        <w:t>pou</w:t>
      </w:r>
      <w:r w:rsidR="00884138">
        <w:rPr>
          <w:lang w:val="fr-FR"/>
        </w:rPr>
        <w:t xml:space="preserve">r le futur examen et retrait de ses décisions, mais décidé </w:t>
      </w:r>
      <w:r w:rsidR="008F4413">
        <w:rPr>
          <w:lang w:val="fr-FR"/>
        </w:rPr>
        <w:t xml:space="preserve">d’abroger le processus de consolidation des décisions. Le processus de retrait des décisions a également été abrogé par la suite </w:t>
      </w:r>
      <w:r w:rsidR="00CE295A" w:rsidRPr="00940CFC">
        <w:rPr>
          <w:kern w:val="22"/>
          <w:szCs w:val="22"/>
          <w:lang w:val="fr-FR"/>
        </w:rPr>
        <w:t>(</w:t>
      </w:r>
      <w:r w:rsidR="008F4413">
        <w:rPr>
          <w:kern w:val="22"/>
          <w:szCs w:val="22"/>
          <w:lang w:val="fr-FR"/>
        </w:rPr>
        <w:t>voir par.</w:t>
      </w:r>
      <w:r w:rsidR="009B6E33" w:rsidRPr="00940CFC">
        <w:rPr>
          <w:kern w:val="22"/>
          <w:szCs w:val="22"/>
          <w:lang w:val="fr-FR"/>
        </w:rPr>
        <w:t xml:space="preserve"> </w:t>
      </w:r>
      <w:r w:rsidR="004A47BF" w:rsidRPr="00940CFC">
        <w:rPr>
          <w:kern w:val="22"/>
          <w:szCs w:val="22"/>
          <w:lang w:val="fr-FR"/>
        </w:rPr>
        <w:t>12c</w:t>
      </w:r>
      <w:r w:rsidR="006D6A41" w:rsidRPr="00940CFC">
        <w:rPr>
          <w:kern w:val="22"/>
          <w:szCs w:val="22"/>
          <w:lang w:val="fr-FR"/>
        </w:rPr>
        <w:t>)</w:t>
      </w:r>
      <w:r w:rsidR="008F4413">
        <w:rPr>
          <w:kern w:val="22"/>
          <w:szCs w:val="22"/>
          <w:lang w:val="fr-FR"/>
        </w:rPr>
        <w:t xml:space="preserve"> ci-dessous</w:t>
      </w:r>
      <w:r w:rsidR="009B6E33" w:rsidRPr="00940CFC">
        <w:rPr>
          <w:kern w:val="22"/>
          <w:szCs w:val="22"/>
          <w:lang w:val="fr-FR"/>
        </w:rPr>
        <w:t>)</w:t>
      </w:r>
      <w:r w:rsidR="008F4413">
        <w:rPr>
          <w:kern w:val="22"/>
          <w:szCs w:val="22"/>
          <w:lang w:val="fr-FR"/>
        </w:rPr>
        <w:t> ;</w:t>
      </w:r>
    </w:p>
    <w:p w:rsidR="009B6E33" w:rsidRPr="00940CFC" w:rsidRDefault="004D57B8" w:rsidP="00717F31">
      <w:pPr>
        <w:pStyle w:val="ListParagraph"/>
        <w:numPr>
          <w:ilvl w:val="0"/>
          <w:numId w:val="39"/>
        </w:numPr>
        <w:spacing w:before="120" w:after="120"/>
        <w:ind w:left="0" w:firstLine="709"/>
        <w:contextualSpacing w:val="0"/>
        <w:rPr>
          <w:kern w:val="22"/>
          <w:szCs w:val="22"/>
          <w:lang w:val="fr-FR"/>
        </w:rPr>
      </w:pPr>
      <w:r>
        <w:rPr>
          <w:kern w:val="22"/>
          <w:szCs w:val="22"/>
          <w:lang w:val="fr-FR"/>
        </w:rPr>
        <w:t>Prié le Secrétaire exécutif, lors de la préparation des réunions de la Conférence des Parties,</w:t>
      </w:r>
      <w:r w:rsidRPr="004D57B8">
        <w:rPr>
          <w:lang w:val="fr-FR"/>
        </w:rPr>
        <w:t xml:space="preserve"> </w:t>
      </w:r>
      <w:r>
        <w:rPr>
          <w:lang w:val="fr-FR"/>
        </w:rPr>
        <w:t>d</w:t>
      </w:r>
      <w:r w:rsidR="00B2583A">
        <w:rPr>
          <w:lang w:val="fr-FR"/>
        </w:rPr>
        <w:t>e</w:t>
      </w:r>
      <w:r>
        <w:rPr>
          <w:lang w:val="fr-FR"/>
        </w:rPr>
        <w:t xml:space="preserve"> réduire au minimum </w:t>
      </w:r>
      <w:r w:rsidRPr="00EF0FD4">
        <w:rPr>
          <w:lang w:val="fr-FR"/>
        </w:rPr>
        <w:t>le nombre et la longueur des documents, et de distribuer les documents aux Parties dès que possible, de préférence trois mois avant chaque réunion au plus tard</w:t>
      </w:r>
      <w:r>
        <w:rPr>
          <w:lang w:val="fr-FR"/>
        </w:rPr>
        <w:t> </w:t>
      </w:r>
      <w:r>
        <w:rPr>
          <w:kern w:val="22"/>
          <w:szCs w:val="22"/>
          <w:lang w:val="fr-FR"/>
        </w:rPr>
        <w:t>;</w:t>
      </w:r>
    </w:p>
    <w:p w:rsidR="009B6E33" w:rsidRPr="00940CFC" w:rsidRDefault="004D57B8" w:rsidP="00717F31">
      <w:pPr>
        <w:pStyle w:val="ListParagraph"/>
        <w:numPr>
          <w:ilvl w:val="0"/>
          <w:numId w:val="39"/>
        </w:numPr>
        <w:spacing w:before="120" w:after="120"/>
        <w:ind w:left="0" w:firstLine="709"/>
        <w:contextualSpacing w:val="0"/>
        <w:rPr>
          <w:kern w:val="22"/>
          <w:szCs w:val="22"/>
          <w:lang w:val="fr-FR"/>
        </w:rPr>
      </w:pPr>
      <w:r>
        <w:rPr>
          <w:kern w:val="22"/>
          <w:szCs w:val="22"/>
          <w:lang w:val="fr-FR"/>
        </w:rPr>
        <w:t>Décidé d’élaborer des procédures pour l’admission d’organes ou d’organismes</w:t>
      </w:r>
      <w:r w:rsidR="009B6E33" w:rsidRPr="00940CFC">
        <w:rPr>
          <w:kern w:val="22"/>
          <w:szCs w:val="22"/>
          <w:lang w:val="fr-FR"/>
        </w:rPr>
        <w:t xml:space="preserve"> </w:t>
      </w:r>
      <w:r w:rsidR="002B2DFA">
        <w:rPr>
          <w:kern w:val="22"/>
          <w:szCs w:val="22"/>
          <w:lang w:val="fr-FR"/>
        </w:rPr>
        <w:t xml:space="preserve">(adoptées par la suite dans la décision </w:t>
      </w:r>
      <w:r w:rsidR="009B6E33" w:rsidRPr="00940CFC">
        <w:rPr>
          <w:kern w:val="22"/>
          <w:szCs w:val="22"/>
          <w:lang w:val="fr-FR"/>
        </w:rPr>
        <w:t>IX/29)</w:t>
      </w:r>
      <w:r w:rsidR="003C462D" w:rsidRPr="00940CFC">
        <w:rPr>
          <w:kern w:val="22"/>
          <w:szCs w:val="22"/>
          <w:lang w:val="fr-FR"/>
        </w:rPr>
        <w:t>;</w:t>
      </w:r>
    </w:p>
    <w:p w:rsidR="009B6E33" w:rsidRPr="00940CFC" w:rsidRDefault="002B2DFA" w:rsidP="00717F31">
      <w:pPr>
        <w:pStyle w:val="ListParagraph"/>
        <w:numPr>
          <w:ilvl w:val="0"/>
          <w:numId w:val="39"/>
        </w:numPr>
        <w:spacing w:before="120" w:after="120"/>
        <w:ind w:left="0" w:firstLine="709"/>
        <w:contextualSpacing w:val="0"/>
        <w:rPr>
          <w:kern w:val="22"/>
          <w:szCs w:val="22"/>
          <w:lang w:val="fr-FR"/>
        </w:rPr>
      </w:pPr>
      <w:r>
        <w:rPr>
          <w:lang w:val="fr-FR"/>
        </w:rPr>
        <w:t xml:space="preserve">Appelé </w:t>
      </w:r>
      <w:r w:rsidRPr="00EF0FD4">
        <w:rPr>
          <w:lang w:val="fr-FR"/>
        </w:rPr>
        <w:t>les Parties qui sont des pays développés à fournir</w:t>
      </w:r>
      <w:r w:rsidR="00B07246">
        <w:rPr>
          <w:lang w:val="fr-FR"/>
        </w:rPr>
        <w:t xml:space="preserve"> des ressources financières</w:t>
      </w:r>
      <w:r w:rsidRPr="00EF0FD4">
        <w:rPr>
          <w:lang w:val="fr-FR"/>
        </w:rPr>
        <w:t xml:space="preserve"> au Fonds spécial de contributions volontaires additionnelles à l’appui des</w:t>
      </w:r>
      <w:r w:rsidR="00B07246">
        <w:rPr>
          <w:lang w:val="fr-FR"/>
        </w:rPr>
        <w:t xml:space="preserve"> activités approuvées </w:t>
      </w:r>
      <w:r w:rsidRPr="00EF0FD4">
        <w:rPr>
          <w:lang w:val="fr-FR"/>
        </w:rPr>
        <w:t xml:space="preserve">et au </w:t>
      </w:r>
      <w:r w:rsidRPr="00EF0FD4">
        <w:rPr>
          <w:szCs w:val="22"/>
          <w:lang w:val="fr-FR"/>
        </w:rPr>
        <w:t>Fonds spécial de contributions volontaires additionnelles pour faciliter la participation des parties au processus de la Convention,</w:t>
      </w:r>
      <w:r w:rsidR="00B07246">
        <w:rPr>
          <w:lang w:val="fr-FR"/>
        </w:rPr>
        <w:t xml:space="preserve"> et introduit une procédure pour orienter l’établissement de priorités pour l’allocation des ressources financières par la Conférence des Parties (cette requête a été répétée à chaque réunion).</w:t>
      </w:r>
    </w:p>
    <w:p w:rsidR="009B6E33" w:rsidRPr="00940CFC" w:rsidRDefault="00B07246" w:rsidP="00717F31">
      <w:pPr>
        <w:pStyle w:val="ListParagraph"/>
        <w:numPr>
          <w:ilvl w:val="0"/>
          <w:numId w:val="39"/>
        </w:numPr>
        <w:spacing w:before="120" w:after="120"/>
        <w:ind w:left="0" w:firstLine="709"/>
        <w:contextualSpacing w:val="0"/>
        <w:rPr>
          <w:kern w:val="22"/>
          <w:szCs w:val="22"/>
          <w:lang w:val="fr-FR"/>
        </w:rPr>
      </w:pPr>
      <w:r>
        <w:rPr>
          <w:iCs/>
          <w:lang w:val="fr-FR"/>
        </w:rPr>
        <w:t>Invité</w:t>
      </w:r>
      <w:r w:rsidRPr="00EF0FD4">
        <w:rPr>
          <w:i/>
          <w:iCs/>
          <w:lang w:val="fr-FR"/>
        </w:rPr>
        <w:t xml:space="preserve"> </w:t>
      </w:r>
      <w:r w:rsidRPr="00EF0FD4">
        <w:rPr>
          <w:lang w:val="fr-FR"/>
        </w:rPr>
        <w:t>les Parties à faciliter l</w:t>
      </w:r>
      <w:r w:rsidR="00C7534D">
        <w:rPr>
          <w:lang w:val="fr-FR"/>
        </w:rPr>
        <w:t>a préparation régionale et infra</w:t>
      </w:r>
      <w:r w:rsidRPr="00EF0FD4">
        <w:rPr>
          <w:lang w:val="fr-FR"/>
        </w:rPr>
        <w:t>régionale des réunions de la Conférence des Parties et l'application de la Convention</w:t>
      </w:r>
      <w:r w:rsidR="00C7534D">
        <w:rPr>
          <w:lang w:val="fr-FR"/>
        </w:rPr>
        <w:t xml:space="preserve"> aux niveaux régional et infra</w:t>
      </w:r>
      <w:r w:rsidRPr="00EF0FD4">
        <w:rPr>
          <w:lang w:val="fr-FR"/>
        </w:rPr>
        <w:t>régional</w:t>
      </w:r>
      <w:r w:rsidR="00C7534D">
        <w:rPr>
          <w:lang w:val="fr-FR"/>
        </w:rPr>
        <w:t> ;</w:t>
      </w:r>
    </w:p>
    <w:p w:rsidR="002B4C73" w:rsidRPr="00940CFC" w:rsidRDefault="00C7534D" w:rsidP="00717F31">
      <w:pPr>
        <w:pStyle w:val="ListParagraph"/>
        <w:numPr>
          <w:ilvl w:val="0"/>
          <w:numId w:val="39"/>
        </w:numPr>
        <w:spacing w:before="120" w:after="120"/>
        <w:ind w:left="0" w:firstLine="709"/>
        <w:contextualSpacing w:val="0"/>
        <w:rPr>
          <w:kern w:val="22"/>
          <w:szCs w:val="22"/>
          <w:lang w:val="fr-FR"/>
        </w:rPr>
      </w:pPr>
      <w:r>
        <w:rPr>
          <w:kern w:val="22"/>
          <w:szCs w:val="22"/>
          <w:lang w:val="fr-FR"/>
        </w:rPr>
        <w:t>Fourni des orientations sur les responsabilités des correspondants nationaux et des points focaux de l’Organe subsidiaire chargé de fournir des avis scientifiques, techniques et technologique.</w:t>
      </w:r>
    </w:p>
    <w:p w:rsidR="002B4C73" w:rsidRPr="00940CFC" w:rsidRDefault="00C7534D" w:rsidP="00717F31">
      <w:pPr>
        <w:pStyle w:val="ListParagraph"/>
        <w:numPr>
          <w:ilvl w:val="0"/>
          <w:numId w:val="37"/>
        </w:numPr>
        <w:spacing w:before="120" w:after="120"/>
        <w:ind w:left="0" w:firstLine="0"/>
        <w:contextualSpacing w:val="0"/>
        <w:rPr>
          <w:bCs/>
          <w:iCs/>
          <w:kern w:val="22"/>
          <w:szCs w:val="22"/>
          <w:lang w:val="fr-FR"/>
        </w:rPr>
      </w:pPr>
      <w:r>
        <w:rPr>
          <w:iCs/>
          <w:kern w:val="22"/>
          <w:szCs w:val="22"/>
          <w:lang w:val="fr-FR"/>
        </w:rPr>
        <w:t>La Conférence des Parties a également approuvé le mode de fonctionnement consolidé de l’Organe subsidiaire chargé de fournir des avis scientifiques, techniques et technologiques, notamment en : identifiant les questions nouvelles et émergentes comme nouvelle fonction de l’Organe subsid</w:t>
      </w:r>
      <w:r w:rsidR="00114436">
        <w:rPr>
          <w:iCs/>
          <w:kern w:val="22"/>
          <w:szCs w:val="22"/>
          <w:lang w:val="fr-FR"/>
        </w:rPr>
        <w:t>i</w:t>
      </w:r>
      <w:r>
        <w:rPr>
          <w:iCs/>
          <w:kern w:val="22"/>
          <w:szCs w:val="22"/>
          <w:lang w:val="fr-FR"/>
        </w:rPr>
        <w:t>aire en plus de celles qui sont précisées à l’article 25</w:t>
      </w:r>
      <w:r w:rsidR="00114436">
        <w:rPr>
          <w:iCs/>
          <w:kern w:val="22"/>
          <w:szCs w:val="22"/>
          <w:lang w:val="fr-FR"/>
        </w:rPr>
        <w:t>, fournissant des orientations sur la conduite des évaluations scientifiques et techniques et sur les procédures des réunions spéciales d’experts techniques, ainsi que des options pour faciliter l’échange d’information et de points de vue sur les questions inscrites à l’ordre du jour des réunions de l’Organe subsidiaire</w:t>
      </w:r>
      <w:r w:rsidR="00114436">
        <w:rPr>
          <w:kern w:val="22"/>
          <w:szCs w:val="22"/>
          <w:lang w:val="fr-FR"/>
        </w:rPr>
        <w:t>. Le mode de fonctionnement de celui-ci a été développé dans la décision IX/29. Dans la décision</w:t>
      </w:r>
      <w:r w:rsidR="009B6E33" w:rsidRPr="00940CFC">
        <w:rPr>
          <w:kern w:val="22"/>
          <w:szCs w:val="22"/>
          <w:lang w:val="fr-FR"/>
        </w:rPr>
        <w:t xml:space="preserve"> XI/13, </w:t>
      </w:r>
      <w:r w:rsidR="00114436">
        <w:rPr>
          <w:kern w:val="22"/>
          <w:szCs w:val="22"/>
          <w:lang w:val="fr-FR"/>
        </w:rPr>
        <w:t xml:space="preserve">la Conférence des Parties a examiné d’autres moyens d’améliorer l’efficacité de l’Organe subsidiaire chargé de fournir des avis scientifiques, techniques et technologiques et sa collaboration avec la Plateforme </w:t>
      </w:r>
      <w:r w:rsidR="00AE63F7">
        <w:rPr>
          <w:kern w:val="22"/>
          <w:szCs w:val="22"/>
          <w:lang w:val="fr-FR"/>
        </w:rPr>
        <w:t>intergouvernementale scientifique et politique sur la biodiversité et les services écosystémiques à la lumière de la création de cet organe.</w:t>
      </w:r>
    </w:p>
    <w:p w:rsidR="00445FD6" w:rsidRPr="00940CFC" w:rsidRDefault="00AE63F7" w:rsidP="00717F31">
      <w:pPr>
        <w:pStyle w:val="ListParagraph"/>
        <w:numPr>
          <w:ilvl w:val="0"/>
          <w:numId w:val="37"/>
        </w:numPr>
        <w:spacing w:before="120" w:after="120"/>
        <w:ind w:left="0" w:firstLine="0"/>
        <w:contextualSpacing w:val="0"/>
        <w:rPr>
          <w:kern w:val="22"/>
          <w:szCs w:val="22"/>
          <w:lang w:val="fr-FR"/>
        </w:rPr>
      </w:pPr>
      <w:r>
        <w:rPr>
          <w:kern w:val="22"/>
          <w:szCs w:val="22"/>
          <w:lang w:val="fr-FR"/>
        </w:rPr>
        <w:t xml:space="preserve">Des changements importants ont résulté de l’adoption, par la Conférence des Parties, du Protocole de Nagoya et du Plan stratégique pour la diversité biologique </w:t>
      </w:r>
      <w:r w:rsidR="002B4C73" w:rsidRPr="00940CFC">
        <w:rPr>
          <w:kern w:val="22"/>
          <w:szCs w:val="22"/>
          <w:lang w:val="fr-FR"/>
        </w:rPr>
        <w:t xml:space="preserve">2011-2020. </w:t>
      </w:r>
      <w:r>
        <w:rPr>
          <w:kern w:val="22"/>
          <w:szCs w:val="22"/>
          <w:lang w:val="fr-FR"/>
        </w:rPr>
        <w:t xml:space="preserve">Le premier a entraîné la prise de mesures aux réunions suivantes de la Conférence des Parties pour intégrer les travaux de la Convention et de ses protocoles (voir ci-dessous) ; le dernier a conduit à une plus grande intégration des travaux de la Convention, plus d’accent étant mis sur les buts et les objectifs communs </w:t>
      </w:r>
      <w:r w:rsidR="007F74E9">
        <w:rPr>
          <w:kern w:val="22"/>
          <w:szCs w:val="22"/>
          <w:lang w:val="fr-FR"/>
        </w:rPr>
        <w:t>incarnés dans le plan et moins d’accent sur les programmes de travail individuels.</w:t>
      </w:r>
    </w:p>
    <w:p w:rsidR="00AB5139" w:rsidRPr="00940CFC" w:rsidRDefault="00494C69" w:rsidP="00717F31">
      <w:pPr>
        <w:pStyle w:val="ListParagraph"/>
        <w:numPr>
          <w:ilvl w:val="0"/>
          <w:numId w:val="37"/>
        </w:numPr>
        <w:spacing w:before="120" w:after="120"/>
        <w:ind w:left="0" w:firstLine="0"/>
        <w:contextualSpacing w:val="0"/>
        <w:rPr>
          <w:kern w:val="22"/>
          <w:szCs w:val="22"/>
          <w:lang w:val="fr-FR"/>
        </w:rPr>
      </w:pPr>
      <w:r>
        <w:rPr>
          <w:kern w:val="22"/>
          <w:szCs w:val="22"/>
          <w:lang w:val="fr-FR"/>
        </w:rPr>
        <w:t>Les principales mesures prises au cours des dernières années pour améliorer l’efficacité des processus et des structures sont les suivantes :</w:t>
      </w:r>
    </w:p>
    <w:p w:rsidR="00CE7120" w:rsidRPr="00940CFC" w:rsidRDefault="00494C69" w:rsidP="00717F31">
      <w:pPr>
        <w:pStyle w:val="ListParagraph"/>
        <w:numPr>
          <w:ilvl w:val="1"/>
          <w:numId w:val="43"/>
        </w:numPr>
        <w:spacing w:before="120" w:after="120"/>
        <w:ind w:left="0" w:firstLine="720"/>
        <w:contextualSpacing w:val="0"/>
        <w:rPr>
          <w:kern w:val="22"/>
          <w:szCs w:val="22"/>
          <w:lang w:val="fr-FR"/>
        </w:rPr>
      </w:pPr>
      <w:r>
        <w:rPr>
          <w:i/>
          <w:kern w:val="22"/>
          <w:szCs w:val="22"/>
          <w:lang w:val="fr-FR"/>
        </w:rPr>
        <w:t>La création de l’Organe subsidiaire chargé de l’application</w:t>
      </w:r>
      <w:r w:rsidR="00D9020C" w:rsidRPr="00940CFC">
        <w:rPr>
          <w:kern w:val="22"/>
          <w:szCs w:val="22"/>
          <w:lang w:val="fr-FR"/>
        </w:rPr>
        <w:t xml:space="preserve"> </w:t>
      </w:r>
      <w:r>
        <w:rPr>
          <w:kern w:val="22"/>
          <w:szCs w:val="22"/>
          <w:lang w:val="fr-FR"/>
        </w:rPr>
        <w:t xml:space="preserve">en vertu de la décision XII/26, remplaçant le Groupe de travail spécial à composition non limitée sur l’examen de l’application de la Convention. Le mandat de l’Organe subsidiaire chargé de l’application comprend l’examen des </w:t>
      </w:r>
      <w:r>
        <w:rPr>
          <w:kern w:val="22"/>
          <w:szCs w:val="22"/>
          <w:lang w:val="fr-FR"/>
        </w:rPr>
        <w:lastRenderedPageBreak/>
        <w:t>incidences et de l’efficacité des processus existants relevant de la Convention et l’identification de moyens d’augmenter l’efficacité, y compris une approche intégrée de l’application de la Convention et de ses protocoles. L’Organe subsidiaire chargé de l’application entreprend également des tâches</w:t>
      </w:r>
      <w:r w:rsidR="007115A2">
        <w:rPr>
          <w:kern w:val="22"/>
          <w:szCs w:val="22"/>
          <w:lang w:val="fr-FR"/>
        </w:rPr>
        <w:t xml:space="preserve"> à la demande de la Conférence des Parties siégeant en tant que réunion des Parties aux Protocoles de Cartagena et de Nagoya ;</w:t>
      </w:r>
    </w:p>
    <w:p w:rsidR="00B70370" w:rsidRPr="00940CFC" w:rsidRDefault="007115A2" w:rsidP="00717F31">
      <w:pPr>
        <w:pStyle w:val="ListParagraph"/>
        <w:numPr>
          <w:ilvl w:val="1"/>
          <w:numId w:val="43"/>
        </w:numPr>
        <w:spacing w:before="120" w:after="120"/>
        <w:ind w:left="0" w:firstLine="720"/>
        <w:contextualSpacing w:val="0"/>
        <w:rPr>
          <w:kern w:val="22"/>
          <w:szCs w:val="22"/>
          <w:lang w:val="fr-FR"/>
        </w:rPr>
      </w:pPr>
      <w:r>
        <w:rPr>
          <w:i/>
          <w:kern w:val="22"/>
          <w:szCs w:val="22"/>
          <w:lang w:val="fr-FR"/>
        </w:rPr>
        <w:t>La tenue de réunions concomitantes de la Conférence des Parties à la Convention et de la Conférence des Parties siégeant en tant que réunions des Parties aux protocoles</w:t>
      </w:r>
      <w:r>
        <w:rPr>
          <w:kern w:val="22"/>
          <w:szCs w:val="22"/>
          <w:lang w:val="fr-FR"/>
        </w:rPr>
        <w:t>. Cette disposition est décrite dans la section II ci-dessous ;</w:t>
      </w:r>
    </w:p>
    <w:p w:rsidR="00810BAB" w:rsidRPr="00940CFC" w:rsidRDefault="007115A2" w:rsidP="00717F31">
      <w:pPr>
        <w:pStyle w:val="ListParagraph"/>
        <w:numPr>
          <w:ilvl w:val="1"/>
          <w:numId w:val="43"/>
        </w:numPr>
        <w:spacing w:before="120" w:after="120"/>
        <w:ind w:left="0" w:firstLine="720"/>
        <w:contextualSpacing w:val="0"/>
        <w:rPr>
          <w:kern w:val="22"/>
          <w:szCs w:val="22"/>
          <w:lang w:val="fr-FR"/>
        </w:rPr>
      </w:pPr>
      <w:r>
        <w:rPr>
          <w:i/>
          <w:kern w:val="22"/>
          <w:szCs w:val="22"/>
          <w:lang w:val="fr-FR"/>
        </w:rPr>
        <w:t>Outil de suivi des décisions</w:t>
      </w:r>
      <w:r w:rsidR="00810BAB" w:rsidRPr="00940CFC">
        <w:rPr>
          <w:kern w:val="22"/>
          <w:szCs w:val="22"/>
          <w:lang w:val="fr-FR"/>
        </w:rPr>
        <w:t xml:space="preserve">. </w:t>
      </w:r>
      <w:r>
        <w:rPr>
          <w:snapToGrid w:val="0"/>
          <w:kern w:val="22"/>
          <w:szCs w:val="22"/>
          <w:lang w:val="fr-FR"/>
        </w:rPr>
        <w:t>Dans la dé</w:t>
      </w:r>
      <w:r w:rsidR="00810BAB" w:rsidRPr="00940CFC">
        <w:rPr>
          <w:snapToGrid w:val="0"/>
          <w:kern w:val="22"/>
          <w:szCs w:val="22"/>
          <w:lang w:val="fr-FR"/>
        </w:rPr>
        <w:t>cisio</w:t>
      </w:r>
      <w:r>
        <w:rPr>
          <w:snapToGrid w:val="0"/>
          <w:kern w:val="22"/>
          <w:szCs w:val="22"/>
          <w:lang w:val="fr-FR"/>
        </w:rPr>
        <w:t xml:space="preserve">n XII/28, la Conférence des </w:t>
      </w:r>
      <w:r w:rsidR="00810BAB" w:rsidRPr="00940CFC">
        <w:rPr>
          <w:snapToGrid w:val="0"/>
          <w:kern w:val="22"/>
          <w:szCs w:val="22"/>
          <w:lang w:val="fr-FR"/>
        </w:rPr>
        <w:t xml:space="preserve">Parties </w:t>
      </w:r>
      <w:r>
        <w:rPr>
          <w:snapToGrid w:val="0"/>
          <w:kern w:val="22"/>
          <w:szCs w:val="22"/>
          <w:lang w:val="fr-FR"/>
        </w:rPr>
        <w:t>a décidé de</w:t>
      </w:r>
      <w:r w:rsidRPr="003A1C1B">
        <w:rPr>
          <w:rFonts w:eastAsia="MS Mincho" w:cs="Angsana New"/>
          <w:i/>
          <w:kern w:val="22"/>
          <w:lang w:val="fr-FR"/>
        </w:rPr>
        <w:t xml:space="preserve"> </w:t>
      </w:r>
      <w:r w:rsidRPr="003A1C1B">
        <w:rPr>
          <w:rFonts w:cs="Angsana New"/>
          <w:lang w:val="fr-FR"/>
        </w:rPr>
        <w:t>d</w:t>
      </w:r>
      <w:r>
        <w:rPr>
          <w:rFonts w:cs="Angsana New"/>
          <w:lang w:val="fr-FR"/>
        </w:rPr>
        <w:t xml:space="preserve">iscontinuer la pratique </w:t>
      </w:r>
      <w:r w:rsidRPr="003A1C1B">
        <w:rPr>
          <w:rFonts w:cs="Angsana New"/>
          <w:lang w:val="fr-FR"/>
        </w:rPr>
        <w:t>de retrait des décisions</w:t>
      </w:r>
      <w:r>
        <w:rPr>
          <w:rFonts w:cs="Angsana New"/>
          <w:lang w:val="fr-FR"/>
        </w:rPr>
        <w:t xml:space="preserve"> introduite à sa sixième réunion en 2002, </w:t>
      </w:r>
      <w:r w:rsidRPr="003A1C1B">
        <w:rPr>
          <w:rFonts w:cs="Angsana New"/>
          <w:lang w:val="fr-FR"/>
        </w:rPr>
        <w:t>et de remplacer l’exercice par une nouvelle approche de l’examen des décisions ou éléments de décisions, d’une manière qui appuie la mise en œuvre et crée une bonne base pour la préparation et l’adoption de nouvelles décisions</w:t>
      </w:r>
      <w:r w:rsidR="00EB1E1A">
        <w:rPr>
          <w:rFonts w:cs="Angsana New"/>
          <w:lang w:val="fr-FR"/>
        </w:rPr>
        <w:t xml:space="preserve">. </w:t>
      </w:r>
      <w:r w:rsidR="00EB1E1A">
        <w:rPr>
          <w:lang w:val="fr-FR"/>
        </w:rPr>
        <w:t>À</w:t>
      </w:r>
      <w:r w:rsidR="00EB1E1A">
        <w:rPr>
          <w:rFonts w:cs="Angsana New"/>
          <w:lang w:val="fr-FR"/>
        </w:rPr>
        <w:t xml:space="preserve"> cette fin, un outil de suivi des décisions a été développé par le Secrétariat. De plus amples renseignements sur l’outil de suivi des décisions sont disponibles dans la note de la Secrétaire exécutive sur les mécanismes propres à faciliter l’examen de l’application </w:t>
      </w:r>
      <w:r w:rsidR="001A0C9A" w:rsidRPr="00940CFC">
        <w:rPr>
          <w:snapToGrid w:val="0"/>
          <w:kern w:val="22"/>
          <w:szCs w:val="22"/>
          <w:lang w:val="fr-FR"/>
        </w:rPr>
        <w:t>(</w:t>
      </w:r>
      <w:r w:rsidR="00810BAB" w:rsidRPr="00940CFC">
        <w:rPr>
          <w:snapToGrid w:val="0"/>
          <w:kern w:val="22"/>
          <w:szCs w:val="22"/>
          <w:lang w:val="fr-FR"/>
        </w:rPr>
        <w:t>CBD/SBI/2/11</w:t>
      </w:r>
      <w:r w:rsidR="001A0C9A" w:rsidRPr="00940CFC">
        <w:rPr>
          <w:snapToGrid w:val="0"/>
          <w:kern w:val="22"/>
          <w:szCs w:val="22"/>
          <w:lang w:val="fr-FR"/>
        </w:rPr>
        <w:t>)</w:t>
      </w:r>
      <w:r w:rsidR="00277493" w:rsidRPr="00940CFC">
        <w:rPr>
          <w:snapToGrid w:val="0"/>
          <w:kern w:val="22"/>
          <w:szCs w:val="22"/>
          <w:lang w:val="fr-FR"/>
        </w:rPr>
        <w:t>;</w:t>
      </w:r>
    </w:p>
    <w:p w:rsidR="008B0140" w:rsidRPr="00940CFC" w:rsidRDefault="00EB1E1A" w:rsidP="00717F31">
      <w:pPr>
        <w:pStyle w:val="ListParagraph"/>
        <w:numPr>
          <w:ilvl w:val="1"/>
          <w:numId w:val="43"/>
        </w:numPr>
        <w:spacing w:before="120" w:after="120"/>
        <w:ind w:left="0" w:firstLine="720"/>
        <w:contextualSpacing w:val="0"/>
        <w:rPr>
          <w:kern w:val="22"/>
          <w:szCs w:val="22"/>
          <w:lang w:val="fr-FR"/>
        </w:rPr>
      </w:pPr>
      <w:r>
        <w:rPr>
          <w:i/>
          <w:snapToGrid w:val="0"/>
          <w:kern w:val="22"/>
          <w:szCs w:val="22"/>
          <w:lang w:val="fr-FR"/>
        </w:rPr>
        <w:t>Questions administratives et budgétaires.</w:t>
      </w:r>
      <w:r>
        <w:rPr>
          <w:snapToGrid w:val="0"/>
          <w:kern w:val="22"/>
          <w:szCs w:val="22"/>
          <w:lang w:val="fr-FR"/>
        </w:rPr>
        <w:t xml:space="preserve"> Suite à la décision de tenir des réunions concomitantes et à la demande de la Conférence des Parties siégeant en tant que réunion des Parties au Protocole de Cartagena, la Conférence des Parties a décidé </w:t>
      </w:r>
      <w:r w:rsidR="004C634C" w:rsidRPr="00314810">
        <w:rPr>
          <w:rFonts w:eastAsia="Calibri"/>
          <w:kern w:val="22"/>
          <w:szCs w:val="22"/>
          <w:lang w:val="fr-FR" w:eastAsia="ko-KR"/>
        </w:rPr>
        <w:t>de fusionner le</w:t>
      </w:r>
      <w:r w:rsidR="004C634C">
        <w:rPr>
          <w:rFonts w:eastAsia="Calibri"/>
          <w:kern w:val="22"/>
          <w:szCs w:val="22"/>
          <w:lang w:val="fr-FR" w:eastAsia="ko-KR"/>
        </w:rPr>
        <w:t>s f</w:t>
      </w:r>
      <w:r w:rsidR="004C634C" w:rsidRPr="00314810">
        <w:rPr>
          <w:rFonts w:eastAsia="Calibri"/>
          <w:kern w:val="22"/>
          <w:szCs w:val="22"/>
          <w:lang w:val="fr-FR" w:eastAsia="ko-KR"/>
        </w:rPr>
        <w:t>onds d'af</w:t>
      </w:r>
      <w:r w:rsidR="00F75BA7">
        <w:rPr>
          <w:rFonts w:eastAsia="Calibri"/>
          <w:kern w:val="22"/>
          <w:szCs w:val="22"/>
          <w:lang w:val="fr-FR" w:eastAsia="ko-KR"/>
        </w:rPr>
        <w:t xml:space="preserve">fectation </w:t>
      </w:r>
      <w:r w:rsidR="004C634C">
        <w:rPr>
          <w:rFonts w:eastAsia="Calibri"/>
          <w:kern w:val="22"/>
          <w:szCs w:val="22"/>
          <w:lang w:val="fr-FR" w:eastAsia="ko-KR"/>
        </w:rPr>
        <w:t xml:space="preserve"> volontaires utilisés pour faciliter</w:t>
      </w:r>
      <w:r w:rsidR="004C634C" w:rsidRPr="00314810">
        <w:rPr>
          <w:rFonts w:eastAsia="Calibri"/>
          <w:kern w:val="22"/>
          <w:szCs w:val="22"/>
          <w:lang w:val="fr-FR" w:eastAsia="ko-KR"/>
        </w:rPr>
        <w:t xml:space="preserve"> la participation des Parties</w:t>
      </w:r>
      <w:r w:rsidR="004C634C">
        <w:rPr>
          <w:rFonts w:eastAsia="Calibri"/>
          <w:kern w:val="22"/>
          <w:szCs w:val="22"/>
          <w:lang w:val="fr-FR" w:eastAsia="ko-KR"/>
        </w:rPr>
        <w:t xml:space="preserve"> admissibles</w:t>
      </w:r>
      <w:r w:rsidR="00F75BA7">
        <w:rPr>
          <w:rFonts w:eastAsia="Calibri"/>
          <w:kern w:val="22"/>
          <w:szCs w:val="22"/>
          <w:lang w:val="fr-FR" w:eastAsia="ko-KR"/>
        </w:rPr>
        <w:t xml:space="preserve"> aux réunions relatives à la Convention et au </w:t>
      </w:r>
      <w:r w:rsidR="004C634C" w:rsidRPr="00314810">
        <w:rPr>
          <w:rFonts w:eastAsia="Calibri"/>
          <w:kern w:val="22"/>
          <w:szCs w:val="22"/>
          <w:lang w:val="fr-FR" w:eastAsia="ko-KR"/>
        </w:rPr>
        <w:t>Protocole</w:t>
      </w:r>
      <w:r w:rsidR="004C634C">
        <w:rPr>
          <w:rFonts w:eastAsia="Calibri"/>
          <w:kern w:val="22"/>
          <w:szCs w:val="22"/>
          <w:lang w:val="fr-FR" w:eastAsia="ko-KR"/>
        </w:rPr>
        <w:t>s</w:t>
      </w:r>
      <w:r w:rsidR="004C634C" w:rsidRPr="00314810">
        <w:rPr>
          <w:rFonts w:eastAsia="Calibri"/>
          <w:kern w:val="22"/>
          <w:szCs w:val="22"/>
          <w:lang w:val="fr-FR" w:eastAsia="ko-KR"/>
        </w:rPr>
        <w:t xml:space="preserve"> de Cartagena</w:t>
      </w:r>
      <w:r w:rsidR="004C634C">
        <w:rPr>
          <w:rFonts w:eastAsia="Calibri"/>
          <w:kern w:val="22"/>
          <w:szCs w:val="22"/>
          <w:lang w:val="fr-FR" w:eastAsia="ko-KR"/>
        </w:rPr>
        <w:t xml:space="preserve"> et d’utiliser ce fonds fusionné pour les réunions relatives au Protocole de Nagoya</w:t>
      </w:r>
      <w:r w:rsidR="00277493" w:rsidRPr="00940CFC">
        <w:rPr>
          <w:rStyle w:val="FootnoteReference"/>
          <w:snapToGrid w:val="0"/>
          <w:kern w:val="22"/>
          <w:sz w:val="22"/>
          <w:szCs w:val="22"/>
          <w:lang w:val="fr-FR"/>
        </w:rPr>
        <w:footnoteReference w:id="5"/>
      </w:r>
      <w:r w:rsidR="004C634C">
        <w:rPr>
          <w:rFonts w:eastAsia="Calibri"/>
          <w:kern w:val="22"/>
          <w:szCs w:val="22"/>
          <w:lang w:val="fr-FR" w:eastAsia="ko-KR"/>
        </w:rPr>
        <w:t xml:space="preserve">. Elle a décidé également </w:t>
      </w:r>
      <w:r w:rsidR="00165D7F">
        <w:rPr>
          <w:rFonts w:eastAsia="Calibri"/>
          <w:kern w:val="22"/>
          <w:szCs w:val="22"/>
          <w:lang w:val="fr-FR" w:eastAsia="ko-KR"/>
        </w:rPr>
        <w:t xml:space="preserve">de fusionner les </w:t>
      </w:r>
      <w:r w:rsidR="000E4666">
        <w:rPr>
          <w:color w:val="0D0D0D"/>
          <w:kern w:val="22"/>
          <w:lang w:val="fr-FR" w:eastAsia="ko-KR"/>
        </w:rPr>
        <w:t>f</w:t>
      </w:r>
      <w:r w:rsidR="000E4666" w:rsidRPr="00633398">
        <w:rPr>
          <w:color w:val="0D0D0D"/>
          <w:kern w:val="22"/>
          <w:lang w:val="fr-FR" w:eastAsia="ko-KR"/>
        </w:rPr>
        <w:t>onds d'affectation spéciale de contributions volontaires en appui aux activités approuvées au titre de la Convention et des Protocoles</w:t>
      </w:r>
      <w:r w:rsidR="000E4666">
        <w:rPr>
          <w:color w:val="0D0D0D"/>
          <w:kern w:val="22"/>
          <w:lang w:val="fr-FR" w:eastAsia="ko-KR"/>
        </w:rPr>
        <w:t xml:space="preserve"> de Cartagena et de Nagoya</w:t>
      </w:r>
      <w:r w:rsidR="000E4666" w:rsidRPr="00633398">
        <w:rPr>
          <w:color w:val="0D0D0D"/>
          <w:kern w:val="22"/>
          <w:lang w:val="fr-FR" w:eastAsia="ko-KR"/>
        </w:rPr>
        <w:t xml:space="preserve"> de sorte que les ressources puissent être utilisées pour des projets destinés à plusieurs instruments et </w:t>
      </w:r>
      <w:r w:rsidR="000E4666" w:rsidRPr="000E4666">
        <w:rPr>
          <w:color w:val="0D0D0D"/>
          <w:kern w:val="22"/>
          <w:lang w:val="fr-FR" w:eastAsia="ko-KR"/>
        </w:rPr>
        <w:t>demandé</w:t>
      </w:r>
      <w:r w:rsidR="000E4666" w:rsidRPr="00633398">
        <w:rPr>
          <w:color w:val="0D0D0D"/>
          <w:kern w:val="22"/>
          <w:lang w:val="fr-FR" w:eastAsia="ko-KR"/>
        </w:rPr>
        <w:t xml:space="preserve"> au Directeur </w:t>
      </w:r>
      <w:r w:rsidR="000E4666" w:rsidRPr="00633398">
        <w:rPr>
          <w:color w:val="0D0D0D"/>
          <w:kern w:val="22"/>
          <w:lang w:val="fr-FR"/>
        </w:rPr>
        <w:t>exécutif</w:t>
      </w:r>
      <w:r w:rsidR="000E4666" w:rsidRPr="00633398">
        <w:rPr>
          <w:color w:val="0D0D0D"/>
          <w:kern w:val="22"/>
          <w:lang w:val="fr-FR" w:eastAsia="ko-KR"/>
        </w:rPr>
        <w:t xml:space="preserve"> du Programme des Nations U</w:t>
      </w:r>
      <w:r w:rsidR="006D61CB">
        <w:rPr>
          <w:color w:val="0D0D0D"/>
          <w:kern w:val="22"/>
          <w:lang w:val="fr-FR" w:eastAsia="ko-KR"/>
        </w:rPr>
        <w:t xml:space="preserve">nies pour l'environnement </w:t>
      </w:r>
      <w:r w:rsidR="000E4666" w:rsidRPr="00633398">
        <w:rPr>
          <w:color w:val="0D0D0D"/>
          <w:kern w:val="22"/>
          <w:lang w:val="fr-FR" w:eastAsia="ko-KR"/>
        </w:rPr>
        <w:t xml:space="preserve">d’utiliser désormais l’expression « Fonds d'affectation spéciale de contributions volontaires en appui aux activités additionnelles approuvées au titre de la Convention sur la </w:t>
      </w:r>
      <w:r w:rsidR="000E4666" w:rsidRPr="00633398">
        <w:rPr>
          <w:snapToGrid w:val="0"/>
          <w:color w:val="0D0D0D"/>
          <w:kern w:val="22"/>
          <w:lang w:val="fr-FR" w:eastAsia="ko-KR" w:bidi="fr-FR"/>
        </w:rPr>
        <w:t>diversité biologique</w:t>
      </w:r>
      <w:r w:rsidR="00F75BA7">
        <w:rPr>
          <w:color w:val="0D0D0D"/>
          <w:kern w:val="22"/>
          <w:lang w:val="fr-FR" w:eastAsia="ko-KR"/>
        </w:rPr>
        <w:t xml:space="preserve"> et de ses p</w:t>
      </w:r>
      <w:r w:rsidR="000E4666" w:rsidRPr="00633398">
        <w:rPr>
          <w:color w:val="0D0D0D"/>
          <w:kern w:val="22"/>
          <w:lang w:val="fr-FR" w:eastAsia="ko-KR"/>
        </w:rPr>
        <w:t>rotocoles »</w:t>
      </w:r>
      <w:r w:rsidR="00277493" w:rsidRPr="00940CFC">
        <w:rPr>
          <w:rStyle w:val="FootnoteReference"/>
          <w:snapToGrid w:val="0"/>
          <w:kern w:val="22"/>
          <w:sz w:val="22"/>
          <w:szCs w:val="22"/>
          <w:lang w:val="fr-FR"/>
        </w:rPr>
        <w:footnoteReference w:id="6"/>
      </w:r>
      <w:r w:rsidR="002B01D4">
        <w:rPr>
          <w:color w:val="0D0D0D"/>
          <w:kern w:val="22"/>
          <w:lang w:val="fr-FR" w:eastAsia="ko-KR"/>
        </w:rPr>
        <w:t xml:space="preserve">. Afin d’accroître l’efficacité du Secrétariat, au paragraphe 25 de la décision </w:t>
      </w:r>
      <w:r w:rsidR="002B01D4">
        <w:rPr>
          <w:snapToGrid w:val="0"/>
          <w:kern w:val="22"/>
          <w:szCs w:val="22"/>
          <w:lang w:val="fr-FR"/>
        </w:rPr>
        <w:t xml:space="preserve">XI/31, la Conférence des Parties a prié le Secrétaire exécutif </w:t>
      </w:r>
      <w:r w:rsidR="002B01D4" w:rsidRPr="009C27B5">
        <w:rPr>
          <w:szCs w:val="22"/>
          <w:lang w:val="fr-FR"/>
        </w:rPr>
        <w:t>d’entreprendre un examen fonctionnel approfondi du Secrétariat</w:t>
      </w:r>
      <w:r w:rsidR="002B01D4">
        <w:rPr>
          <w:snapToGrid w:val="0"/>
          <w:kern w:val="22"/>
          <w:szCs w:val="22"/>
          <w:lang w:val="fr-FR"/>
        </w:rPr>
        <w:t xml:space="preserve">. Le rapport final de cet examen approfondi a été présenté à la Conférence des Parties à sa treizième réunion, qui a eu lieu en décembre 2016 à Cancún, au Mexique. Au paragraphe 4 de sa décision </w:t>
      </w:r>
      <w:r w:rsidR="00B70370" w:rsidRPr="00940CFC">
        <w:rPr>
          <w:snapToGrid w:val="0"/>
          <w:kern w:val="22"/>
          <w:szCs w:val="22"/>
          <w:lang w:val="fr-FR"/>
        </w:rPr>
        <w:t>XIII/3</w:t>
      </w:r>
      <w:r w:rsidR="002B01D4">
        <w:rPr>
          <w:snapToGrid w:val="0"/>
          <w:kern w:val="22"/>
          <w:szCs w:val="22"/>
          <w:lang w:val="fr-FR"/>
        </w:rPr>
        <w:t>2, la Confé</w:t>
      </w:r>
      <w:r w:rsidR="005773CC">
        <w:rPr>
          <w:snapToGrid w:val="0"/>
          <w:kern w:val="22"/>
          <w:szCs w:val="22"/>
          <w:lang w:val="fr-FR"/>
        </w:rPr>
        <w:t xml:space="preserve">rence des Parties a pris note </w:t>
      </w:r>
      <w:r w:rsidR="005773CC" w:rsidRPr="00633398">
        <w:rPr>
          <w:iCs/>
          <w:color w:val="000000"/>
          <w:kern w:val="18"/>
          <w:lang w:val="fr-FR" w:eastAsia="x-none"/>
        </w:rPr>
        <w:t>des ré</w:t>
      </w:r>
      <w:r w:rsidR="005773CC">
        <w:rPr>
          <w:iCs/>
          <w:color w:val="000000"/>
          <w:kern w:val="18"/>
          <w:lang w:val="fr-FR" w:eastAsia="x-none"/>
        </w:rPr>
        <w:t>sultats de l’examen fonctionnel et accueilli</w:t>
      </w:r>
      <w:r w:rsidR="005773CC" w:rsidRPr="00633398">
        <w:rPr>
          <w:iCs/>
          <w:color w:val="000000"/>
          <w:kern w:val="18"/>
          <w:lang w:val="fr-FR" w:eastAsia="x-none"/>
        </w:rPr>
        <w:t xml:space="preserve"> avec satisfaction la nouvelle structure du Secrétariat </w:t>
      </w:r>
      <w:r w:rsidR="005773CC">
        <w:rPr>
          <w:iCs/>
          <w:color w:val="000000"/>
          <w:kern w:val="18"/>
          <w:lang w:val="fr-FR" w:eastAsia="x-none"/>
        </w:rPr>
        <w:t>« </w:t>
      </w:r>
      <w:r w:rsidR="005773CC" w:rsidRPr="00633398">
        <w:rPr>
          <w:iCs/>
          <w:color w:val="000000"/>
          <w:kern w:val="18"/>
          <w:lang w:val="fr-FR" w:eastAsia="x-none"/>
        </w:rPr>
        <w:t>qui devrait conduire à davantage de synergie et d’efficacité</w:t>
      </w:r>
      <w:r w:rsidR="005773CC">
        <w:rPr>
          <w:iCs/>
          <w:color w:val="000000"/>
          <w:kern w:val="18"/>
          <w:lang w:val="fr-FR" w:eastAsia="x-none"/>
        </w:rPr>
        <w:t> ».</w:t>
      </w:r>
    </w:p>
    <w:p w:rsidR="00BA30BA" w:rsidRPr="00940CFC" w:rsidRDefault="000E288B" w:rsidP="00717F31">
      <w:pPr>
        <w:pStyle w:val="ListParagraph"/>
        <w:numPr>
          <w:ilvl w:val="0"/>
          <w:numId w:val="37"/>
        </w:numPr>
        <w:spacing w:before="120" w:after="120"/>
        <w:ind w:left="0" w:firstLine="0"/>
        <w:contextualSpacing w:val="0"/>
        <w:rPr>
          <w:kern w:val="22"/>
          <w:szCs w:val="22"/>
          <w:lang w:val="fr-FR"/>
        </w:rPr>
      </w:pPr>
      <w:r>
        <w:rPr>
          <w:snapToGrid w:val="0"/>
          <w:kern w:val="22"/>
          <w:szCs w:val="22"/>
          <w:lang w:val="fr-FR"/>
        </w:rPr>
        <w:t>Parmi les questions relatives à l’efficacité des processus relevant de la Convention et de ses protocoles au-delà de celles qui sont examinées par l’Organe subsidiaire à sa deuxième réunion au titre d’autres points de l’ordre du jour (voir le paragraphe 4 ci-dessus)</w:t>
      </w:r>
      <w:r w:rsidR="00BA30BA" w:rsidRPr="00940CFC">
        <w:rPr>
          <w:kern w:val="22"/>
          <w:szCs w:val="22"/>
          <w:lang w:val="fr-FR"/>
        </w:rPr>
        <w:t xml:space="preserve"> </w:t>
      </w:r>
      <w:r>
        <w:rPr>
          <w:kern w:val="22"/>
          <w:szCs w:val="22"/>
          <w:lang w:val="fr-FR"/>
        </w:rPr>
        <w:t>et qui pourraient nécessiter un examen plus approfondi figurent :</w:t>
      </w:r>
    </w:p>
    <w:p w:rsidR="00BA30BA" w:rsidRPr="00940CFC" w:rsidRDefault="0030069B" w:rsidP="00717F31">
      <w:pPr>
        <w:pStyle w:val="ListParagraph"/>
        <w:numPr>
          <w:ilvl w:val="1"/>
          <w:numId w:val="44"/>
        </w:numPr>
        <w:spacing w:before="120" w:after="120"/>
        <w:ind w:left="0" w:firstLine="720"/>
        <w:contextualSpacing w:val="0"/>
        <w:rPr>
          <w:kern w:val="22"/>
          <w:szCs w:val="22"/>
          <w:lang w:val="fr-FR"/>
        </w:rPr>
      </w:pPr>
      <w:r>
        <w:rPr>
          <w:kern w:val="22"/>
          <w:szCs w:val="22"/>
          <w:lang w:val="fr-FR"/>
        </w:rPr>
        <w:t>Des travaux supplémentaires pour optimiser l’organisation des travaux et la prise de décisions des réunions concomitantes des trois organes (voir également la section II ci-dessous) ;</w:t>
      </w:r>
    </w:p>
    <w:p w:rsidR="00BA30BA" w:rsidRPr="00717F31" w:rsidRDefault="0030069B" w:rsidP="00717F31">
      <w:pPr>
        <w:pStyle w:val="ListParagraph"/>
        <w:numPr>
          <w:ilvl w:val="1"/>
          <w:numId w:val="44"/>
        </w:numPr>
        <w:spacing w:before="120" w:after="120"/>
        <w:ind w:left="0" w:firstLine="720"/>
        <w:contextualSpacing w:val="0"/>
        <w:rPr>
          <w:kern w:val="22"/>
          <w:szCs w:val="22"/>
        </w:rPr>
      </w:pPr>
      <w:r>
        <w:rPr>
          <w:kern w:val="22"/>
          <w:szCs w:val="22"/>
          <w:lang w:val="fr-FR"/>
        </w:rPr>
        <w:t>Assurer l’intégrité scientifique des travaux de l’Organe subsidiaire chargé de fournir des avis scientifiques, techniques et technologique et des groupes d’experts connexes (voir également la section III ci-dessous) et renforcer les travaux de l’Organe subsidiaire à la lumière de la création de la Plateforme intergouvernementale scientifique et politique sur la biodiversité et les services écosystémiques (IPBES).</w:t>
      </w:r>
    </w:p>
    <w:p w:rsidR="0030069B" w:rsidRDefault="0030069B">
      <w:pPr>
        <w:jc w:val="left"/>
        <w:rPr>
          <w:rFonts w:ascii="Times New Roman Bold" w:hAnsi="Times New Roman Bold" w:cs="Times New Roman Bold"/>
          <w:b/>
          <w:snapToGrid w:val="0"/>
          <w:kern w:val="22"/>
          <w:szCs w:val="22"/>
        </w:rPr>
      </w:pPr>
      <w:r>
        <w:rPr>
          <w:rFonts w:ascii="Times New Roman Bold" w:hAnsi="Times New Roman Bold" w:cs="Times New Roman Bold"/>
          <w:caps/>
          <w:snapToGrid w:val="0"/>
          <w:kern w:val="22"/>
          <w:szCs w:val="22"/>
        </w:rPr>
        <w:br w:type="page"/>
      </w:r>
    </w:p>
    <w:p w:rsidR="008C0535" w:rsidRPr="00717F31" w:rsidRDefault="0030069B" w:rsidP="00717F31">
      <w:pPr>
        <w:pStyle w:val="Heading1longmultiline"/>
        <w:tabs>
          <w:tab w:val="clear" w:pos="720"/>
        </w:tabs>
        <w:ind w:left="1426" w:hanging="720"/>
        <w:rPr>
          <w:rFonts w:ascii="Times New Roman Bold" w:hAnsi="Times New Roman Bold" w:cs="Times New Roman Bold"/>
          <w:snapToGrid w:val="0"/>
          <w:kern w:val="22"/>
          <w:szCs w:val="22"/>
        </w:rPr>
      </w:pPr>
      <w:r>
        <w:rPr>
          <w:rFonts w:ascii="Times New Roman Bold" w:hAnsi="Times New Roman Bold" w:cs="Times New Roman Bold"/>
          <w:caps w:val="0"/>
          <w:snapToGrid w:val="0"/>
          <w:kern w:val="22"/>
          <w:szCs w:val="22"/>
        </w:rPr>
        <w:lastRenderedPageBreak/>
        <w:t>II.</w:t>
      </w:r>
      <w:r>
        <w:rPr>
          <w:rFonts w:ascii="Times New Roman Bold" w:hAnsi="Times New Roman Bold" w:cs="Times New Roman Bold"/>
          <w:caps w:val="0"/>
          <w:snapToGrid w:val="0"/>
          <w:kern w:val="22"/>
          <w:szCs w:val="22"/>
        </w:rPr>
        <w:tab/>
        <w:t>EXAMEN DE L’EFFICACITÉ DE LA CONFÉRENCE DES NATIONS UNIES SUR LA BIODIVERSITÉ 2016, Y COMPRIS L’EXPÉRIENCE DE LA TENUE CONCOMITANTE DES LA RÉUNION DE LA CONFÉRENCE DES PARTIES ET DES RÉUNIONS DES PARTIES AUX PROTOCOLES</w:t>
      </w:r>
    </w:p>
    <w:p w:rsidR="005945B6" w:rsidRPr="0030069B" w:rsidRDefault="005945B6" w:rsidP="00717F31">
      <w:pPr>
        <w:pStyle w:val="ListParagraph"/>
        <w:numPr>
          <w:ilvl w:val="0"/>
          <w:numId w:val="37"/>
        </w:numPr>
        <w:spacing w:before="120" w:after="120"/>
        <w:ind w:left="0" w:firstLine="0"/>
        <w:contextualSpacing w:val="0"/>
        <w:rPr>
          <w:iCs/>
          <w:snapToGrid w:val="0"/>
          <w:kern w:val="22"/>
          <w:szCs w:val="22"/>
          <w:lang w:val="fr-FR"/>
        </w:rPr>
      </w:pPr>
      <w:r w:rsidRPr="00F10CBD">
        <w:rPr>
          <w:iCs/>
          <w:snapToGrid w:val="0"/>
          <w:kern w:val="22"/>
          <w:szCs w:val="22"/>
          <w:lang w:val="fr-FR"/>
        </w:rPr>
        <w:t xml:space="preserve"> </w:t>
      </w:r>
      <w:r w:rsidR="00F10CBD" w:rsidRPr="00F10CBD">
        <w:rPr>
          <w:iCs/>
          <w:snapToGrid w:val="0"/>
          <w:kern w:val="22"/>
          <w:szCs w:val="22"/>
          <w:lang w:val="fr-FR"/>
        </w:rPr>
        <w:t>Après l’entrée en vigueur du Protocole de Nagoya</w:t>
      </w:r>
      <w:r w:rsidR="00F10CBD">
        <w:rPr>
          <w:iCs/>
          <w:snapToGrid w:val="0"/>
          <w:kern w:val="22"/>
          <w:szCs w:val="22"/>
          <w:lang w:val="fr-FR"/>
        </w:rPr>
        <w:t xml:space="preserve">, </w:t>
      </w:r>
      <w:r w:rsidR="008B04D8">
        <w:rPr>
          <w:iCs/>
          <w:snapToGrid w:val="0"/>
          <w:kern w:val="22"/>
          <w:szCs w:val="22"/>
          <w:lang w:val="fr-FR"/>
        </w:rPr>
        <w:t>la deuxième moitié de la douzième réunion de la Conférence des Parties à la Convention a eu lieu en octobre 2014 à</w:t>
      </w:r>
      <w:r w:rsidRPr="0030069B">
        <w:rPr>
          <w:iCs/>
          <w:snapToGrid w:val="0"/>
          <w:kern w:val="22"/>
          <w:szCs w:val="22"/>
          <w:lang w:val="fr-FR"/>
        </w:rPr>
        <w:t xml:space="preserve"> </w:t>
      </w:r>
      <w:r w:rsidRPr="0030069B">
        <w:rPr>
          <w:iCs/>
          <w:noProof/>
          <w:snapToGrid w:val="0"/>
          <w:kern w:val="22"/>
          <w:szCs w:val="22"/>
          <w:lang w:val="fr-FR"/>
        </w:rPr>
        <w:t>Pyeongchang</w:t>
      </w:r>
      <w:r w:rsidRPr="0030069B">
        <w:rPr>
          <w:iCs/>
          <w:snapToGrid w:val="0"/>
          <w:kern w:val="22"/>
          <w:szCs w:val="22"/>
          <w:lang w:val="fr-FR"/>
        </w:rPr>
        <w:t xml:space="preserve">, </w:t>
      </w:r>
      <w:r w:rsidR="008B04D8">
        <w:rPr>
          <w:iCs/>
          <w:snapToGrid w:val="0"/>
          <w:kern w:val="22"/>
          <w:szCs w:val="22"/>
          <w:lang w:val="fr-FR"/>
        </w:rPr>
        <w:t xml:space="preserve">en République de Corée, concurremment avec la première réunion des Parties au Protocole de Nagoya. En outre, à sa douzième réunion, la Conférence des Parties a décidé de tenir ses futures réunions ordinaires </w:t>
      </w:r>
      <w:r w:rsidR="008B04D8" w:rsidRPr="003A1C1B">
        <w:rPr>
          <w:snapToGrid w:val="0"/>
          <w:szCs w:val="18"/>
          <w:lang w:val="fr-FR"/>
        </w:rPr>
        <w:t>durant une période de deux semaines qui comprendra</w:t>
      </w:r>
      <w:r w:rsidR="008B04D8">
        <w:rPr>
          <w:snapToGrid w:val="0"/>
          <w:szCs w:val="18"/>
          <w:lang w:val="fr-FR"/>
        </w:rPr>
        <w:t>it</w:t>
      </w:r>
      <w:r w:rsidR="008B04D8" w:rsidRPr="003A1C1B">
        <w:rPr>
          <w:snapToGrid w:val="0"/>
          <w:szCs w:val="18"/>
          <w:lang w:val="fr-FR"/>
        </w:rPr>
        <w:t xml:space="preserve"> également les réunions de la Conférence des Parties siégeant en tant que réunion des Parties au Protocole de Cartagena ainsi que les réunions des Parties au Protocole de Nagoya </w:t>
      </w:r>
      <w:r w:rsidRPr="0030069B">
        <w:rPr>
          <w:iCs/>
          <w:snapToGrid w:val="0"/>
          <w:kern w:val="22"/>
          <w:szCs w:val="22"/>
          <w:lang w:val="fr-FR"/>
        </w:rPr>
        <w:t xml:space="preserve"> </w:t>
      </w:r>
      <w:r w:rsidR="008B04D8">
        <w:rPr>
          <w:snapToGrid w:val="0"/>
          <w:kern w:val="22"/>
          <w:szCs w:val="22"/>
          <w:lang w:val="fr-FR"/>
        </w:rPr>
        <w:t>(dé</w:t>
      </w:r>
      <w:r w:rsidR="00435259" w:rsidRPr="0030069B">
        <w:rPr>
          <w:snapToGrid w:val="0"/>
          <w:kern w:val="22"/>
          <w:szCs w:val="22"/>
          <w:lang w:val="fr-FR"/>
        </w:rPr>
        <w:t>cision XII/27)</w:t>
      </w:r>
      <w:r w:rsidR="00277493" w:rsidRPr="0030069B">
        <w:rPr>
          <w:iCs/>
          <w:snapToGrid w:val="0"/>
          <w:kern w:val="22"/>
          <w:szCs w:val="22"/>
          <w:lang w:val="fr-FR"/>
        </w:rPr>
        <w:t>.</w:t>
      </w:r>
      <w:r w:rsidR="008B04D8">
        <w:rPr>
          <w:iCs/>
          <w:snapToGrid w:val="0"/>
          <w:kern w:val="22"/>
          <w:szCs w:val="22"/>
          <w:lang w:val="fr-FR"/>
        </w:rPr>
        <w:t xml:space="preserve"> Cette disposition a été convenue par les organes directeurs des deux protocoles (décisions BS-VII/9 et NP-I/12). Cela étant, la treizième réunion de la Conférence des Parties, la huitième réunion des Parties au Protocole de Cartagena et la deuxième réunion des Parties au Protocole de Nagoya ont été tenues concurremment en décembre 2016 à Cancún, au Mexique. </w:t>
      </w:r>
      <w:r w:rsidR="000425BB">
        <w:rPr>
          <w:iCs/>
          <w:snapToGrid w:val="0"/>
          <w:kern w:val="22"/>
          <w:szCs w:val="22"/>
          <w:lang w:val="fr-FR"/>
        </w:rPr>
        <w:t>En sa qualité de pays hôte de ces réunions, le gouvernement mexicain a décid</w:t>
      </w:r>
      <w:r w:rsidR="00D80A2A">
        <w:rPr>
          <w:iCs/>
          <w:snapToGrid w:val="0"/>
          <w:kern w:val="22"/>
          <w:szCs w:val="22"/>
          <w:lang w:val="fr-FR"/>
        </w:rPr>
        <w:t>é de tenir le débat</w:t>
      </w:r>
      <w:r w:rsidR="000425BB">
        <w:rPr>
          <w:iCs/>
          <w:snapToGrid w:val="0"/>
          <w:kern w:val="22"/>
          <w:szCs w:val="22"/>
          <w:lang w:val="fr-FR"/>
        </w:rPr>
        <w:t xml:space="preserve"> de haut niveau avant ces réunions plutôt que durant la deuxième semaine de la réunion de la Conférence des Parties, ce qui était le cas auparavant. Les réunions des trois organes</w:t>
      </w:r>
      <w:r w:rsidR="009A292B">
        <w:rPr>
          <w:iCs/>
          <w:snapToGrid w:val="0"/>
          <w:kern w:val="22"/>
          <w:szCs w:val="22"/>
          <w:lang w:val="fr-FR"/>
        </w:rPr>
        <w:t>,</w:t>
      </w:r>
      <w:r w:rsidR="000425BB">
        <w:rPr>
          <w:iCs/>
          <w:snapToGrid w:val="0"/>
          <w:kern w:val="22"/>
          <w:szCs w:val="22"/>
          <w:lang w:val="fr-FR"/>
        </w:rPr>
        <w:t xml:space="preserve"> </w:t>
      </w:r>
      <w:r w:rsidR="00D80A2A">
        <w:rPr>
          <w:iCs/>
          <w:snapToGrid w:val="0"/>
          <w:kern w:val="22"/>
          <w:szCs w:val="22"/>
          <w:lang w:val="fr-FR"/>
        </w:rPr>
        <w:t>avec la réunion</w:t>
      </w:r>
      <w:r w:rsidR="000425BB">
        <w:rPr>
          <w:iCs/>
          <w:snapToGrid w:val="0"/>
          <w:kern w:val="22"/>
          <w:szCs w:val="22"/>
          <w:lang w:val="fr-FR"/>
        </w:rPr>
        <w:t xml:space="preserve"> de haut niveau</w:t>
      </w:r>
      <w:r w:rsidR="009A292B">
        <w:rPr>
          <w:iCs/>
          <w:snapToGrid w:val="0"/>
          <w:kern w:val="22"/>
          <w:szCs w:val="22"/>
          <w:lang w:val="fr-FR"/>
        </w:rPr>
        <w:t>,</w:t>
      </w:r>
      <w:r w:rsidR="000425BB">
        <w:rPr>
          <w:iCs/>
          <w:snapToGrid w:val="0"/>
          <w:kern w:val="22"/>
          <w:szCs w:val="22"/>
          <w:lang w:val="fr-FR"/>
        </w:rPr>
        <w:t xml:space="preserve"> ont été appelées</w:t>
      </w:r>
      <w:r w:rsidR="009A292B">
        <w:rPr>
          <w:iCs/>
          <w:snapToGrid w:val="0"/>
          <w:kern w:val="22"/>
          <w:szCs w:val="22"/>
          <w:lang w:val="fr-FR"/>
        </w:rPr>
        <w:t xml:space="preserve"> officieusement « la Conférence des Nations Unies sur la biodiversité, Cancún, Mexique, 2016 ».</w:t>
      </w:r>
    </w:p>
    <w:p w:rsidR="0040090D" w:rsidRPr="0030069B" w:rsidRDefault="009A292B" w:rsidP="00717F31">
      <w:pPr>
        <w:pStyle w:val="ListParagraph"/>
        <w:numPr>
          <w:ilvl w:val="0"/>
          <w:numId w:val="37"/>
        </w:numPr>
        <w:spacing w:before="120" w:after="120"/>
        <w:ind w:left="0" w:firstLine="0"/>
        <w:contextualSpacing w:val="0"/>
        <w:rPr>
          <w:snapToGrid w:val="0"/>
          <w:kern w:val="22"/>
          <w:szCs w:val="22"/>
          <w:lang w:val="fr-FR"/>
        </w:rPr>
      </w:pPr>
      <w:r>
        <w:rPr>
          <w:snapToGrid w:val="0"/>
          <w:kern w:val="22"/>
          <w:szCs w:val="22"/>
          <w:lang w:val="fr-FR"/>
        </w:rPr>
        <w:t xml:space="preserve">La tenue concomitante des réunions de la Convention et des protocoles avait pour objet de renforcer l’application de la Convention et des protocoles, augmenter leur intégration et améliorer l’efficacité par rapport au coût. La Conférence des Parties à la Convention et les </w:t>
      </w:r>
      <w:r w:rsidR="00366A36">
        <w:rPr>
          <w:snapToGrid w:val="0"/>
          <w:kern w:val="22"/>
          <w:szCs w:val="22"/>
          <w:lang w:val="fr-FR"/>
        </w:rPr>
        <w:t>organes directeurs des Protocoles de Cartagena et de Nagoya sont convenus (dé</w:t>
      </w:r>
      <w:r w:rsidR="005945B6" w:rsidRPr="0030069B">
        <w:rPr>
          <w:snapToGrid w:val="0"/>
          <w:kern w:val="22"/>
          <w:szCs w:val="22"/>
          <w:lang w:val="fr-FR"/>
        </w:rPr>
        <w:t>cision</w:t>
      </w:r>
      <w:r w:rsidR="00C90043" w:rsidRPr="0030069B">
        <w:rPr>
          <w:snapToGrid w:val="0"/>
          <w:kern w:val="22"/>
          <w:szCs w:val="22"/>
          <w:lang w:val="fr-FR"/>
        </w:rPr>
        <w:t>s</w:t>
      </w:r>
      <w:r w:rsidR="00366A36">
        <w:rPr>
          <w:snapToGrid w:val="0"/>
          <w:kern w:val="22"/>
          <w:szCs w:val="22"/>
          <w:lang w:val="fr-FR"/>
        </w:rPr>
        <w:t xml:space="preserve"> XIII/26, CP-VIII/10 et NP-2/12, respectivement) d’examiner l’expérience de la tenue concomitante de leurs réunions et ont identifié les critères de cet examen.</w:t>
      </w:r>
    </w:p>
    <w:p w:rsidR="005945B6" w:rsidRPr="0030069B" w:rsidRDefault="00366A36" w:rsidP="00717F31">
      <w:pPr>
        <w:pStyle w:val="ListParagraph"/>
        <w:numPr>
          <w:ilvl w:val="0"/>
          <w:numId w:val="37"/>
        </w:numPr>
        <w:spacing w:before="120" w:after="120"/>
        <w:ind w:left="0" w:firstLine="0"/>
        <w:contextualSpacing w:val="0"/>
        <w:rPr>
          <w:snapToGrid w:val="0"/>
          <w:kern w:val="22"/>
          <w:szCs w:val="22"/>
          <w:lang w:val="fr-FR"/>
        </w:rPr>
      </w:pPr>
      <w:r>
        <w:rPr>
          <w:snapToGrid w:val="0"/>
          <w:kern w:val="22"/>
          <w:szCs w:val="22"/>
          <w:lang w:val="fr-FR"/>
        </w:rPr>
        <w:t>Le Secrétaire exécutif a été prié de préparer une évaluation préliminaire de l’expérience de la tenue de réunions concomitantes en utilisant les critères convenus</w:t>
      </w:r>
      <w:r w:rsidR="00271F29">
        <w:rPr>
          <w:snapToGrid w:val="0"/>
          <w:kern w:val="22"/>
          <w:szCs w:val="22"/>
          <w:lang w:val="fr-FR"/>
        </w:rPr>
        <w:t>,</w:t>
      </w:r>
      <w:r>
        <w:rPr>
          <w:snapToGrid w:val="0"/>
          <w:kern w:val="22"/>
          <w:szCs w:val="22"/>
          <w:lang w:val="fr-FR"/>
        </w:rPr>
        <w:t xml:space="preserve"> pour examen par l’Organe subsidiaire chargé de l’application à sa deuxième réunion. Cet examen est diffusé dans l’additif </w:t>
      </w:r>
      <w:r w:rsidR="0040090D" w:rsidRPr="0030069B">
        <w:rPr>
          <w:iCs/>
          <w:snapToGrid w:val="0"/>
          <w:kern w:val="22"/>
          <w:szCs w:val="22"/>
          <w:lang w:val="fr-FR"/>
        </w:rPr>
        <w:t xml:space="preserve"> </w:t>
      </w:r>
      <w:r w:rsidR="003047C0" w:rsidRPr="0030069B">
        <w:rPr>
          <w:snapToGrid w:val="0"/>
          <w:kern w:val="22"/>
          <w:szCs w:val="22"/>
          <w:lang w:val="fr-FR"/>
        </w:rPr>
        <w:t>CBD/</w:t>
      </w:r>
      <w:r w:rsidR="00633089">
        <w:rPr>
          <w:snapToGrid w:val="0"/>
          <w:kern w:val="22"/>
          <w:szCs w:val="22"/>
          <w:lang w:val="fr-FR"/>
        </w:rPr>
        <w:t xml:space="preserve">SBI/2/16/Add.1, qui est complété par deux documents d’information </w:t>
      </w:r>
      <w:r w:rsidR="0040090D" w:rsidRPr="0030069B">
        <w:rPr>
          <w:snapToGrid w:val="0"/>
          <w:kern w:val="22"/>
          <w:szCs w:val="22"/>
          <w:lang w:val="fr-FR"/>
        </w:rPr>
        <w:t>(</w:t>
      </w:r>
      <w:r w:rsidR="003047C0" w:rsidRPr="0030069B">
        <w:rPr>
          <w:snapToGrid w:val="0"/>
          <w:kern w:val="22"/>
          <w:szCs w:val="22"/>
          <w:lang w:val="fr-FR"/>
        </w:rPr>
        <w:t>CBD/</w:t>
      </w:r>
      <w:r w:rsidR="00633089">
        <w:rPr>
          <w:snapToGrid w:val="0"/>
          <w:kern w:val="22"/>
          <w:szCs w:val="22"/>
          <w:lang w:val="fr-FR"/>
        </w:rPr>
        <w:t>SBI/2/INF/1 et</w:t>
      </w:r>
      <w:r w:rsidR="0040090D" w:rsidRPr="0030069B">
        <w:rPr>
          <w:snapToGrid w:val="0"/>
          <w:kern w:val="22"/>
          <w:szCs w:val="22"/>
          <w:lang w:val="fr-FR"/>
        </w:rPr>
        <w:t xml:space="preserve"> </w:t>
      </w:r>
      <w:r w:rsidR="003047C0" w:rsidRPr="0030069B">
        <w:rPr>
          <w:snapToGrid w:val="0"/>
          <w:kern w:val="22"/>
          <w:szCs w:val="22"/>
          <w:lang w:val="fr-FR"/>
        </w:rPr>
        <w:t>CBD/</w:t>
      </w:r>
      <w:r w:rsidR="0040090D" w:rsidRPr="0030069B">
        <w:rPr>
          <w:snapToGrid w:val="0"/>
          <w:kern w:val="22"/>
          <w:szCs w:val="22"/>
          <w:lang w:val="fr-FR"/>
        </w:rPr>
        <w:t>SBI/2/INF/2).</w:t>
      </w:r>
    </w:p>
    <w:p w:rsidR="0040090D" w:rsidRPr="0030069B" w:rsidRDefault="00633089" w:rsidP="00717F31">
      <w:pPr>
        <w:pStyle w:val="ListParagraph"/>
        <w:numPr>
          <w:ilvl w:val="0"/>
          <w:numId w:val="37"/>
        </w:numPr>
        <w:spacing w:before="120" w:after="120"/>
        <w:ind w:left="0" w:firstLine="0"/>
        <w:contextualSpacing w:val="0"/>
        <w:rPr>
          <w:snapToGrid w:val="0"/>
          <w:kern w:val="22"/>
          <w:szCs w:val="22"/>
          <w:lang w:val="fr-FR"/>
        </w:rPr>
      </w:pPr>
      <w:r>
        <w:rPr>
          <w:snapToGrid w:val="0"/>
          <w:kern w:val="22"/>
          <w:szCs w:val="22"/>
          <w:lang w:val="fr-FR"/>
        </w:rPr>
        <w:t>Sur la base des informations contenues dans les documents</w:t>
      </w:r>
      <w:r w:rsidR="0040090D" w:rsidRPr="0030069B">
        <w:rPr>
          <w:snapToGrid w:val="0"/>
          <w:kern w:val="22"/>
          <w:szCs w:val="22"/>
          <w:lang w:val="fr-FR"/>
        </w:rPr>
        <w:t xml:space="preserve"> </w:t>
      </w:r>
      <w:r w:rsidR="003047C0" w:rsidRPr="0030069B">
        <w:rPr>
          <w:snapToGrid w:val="0"/>
          <w:kern w:val="22"/>
          <w:szCs w:val="22"/>
          <w:lang w:val="fr-FR"/>
        </w:rPr>
        <w:t>CBD/</w:t>
      </w:r>
      <w:r>
        <w:rPr>
          <w:snapToGrid w:val="0"/>
          <w:kern w:val="22"/>
          <w:szCs w:val="22"/>
          <w:lang w:val="fr-FR"/>
        </w:rPr>
        <w:t>SBI/2/16/Add.1 et</w:t>
      </w:r>
      <w:r w:rsidR="0040090D" w:rsidRPr="0030069B">
        <w:rPr>
          <w:snapToGrid w:val="0"/>
          <w:kern w:val="22"/>
          <w:szCs w:val="22"/>
          <w:lang w:val="fr-FR"/>
        </w:rPr>
        <w:t xml:space="preserve"> </w:t>
      </w:r>
      <w:r w:rsidR="003047C0" w:rsidRPr="0030069B">
        <w:rPr>
          <w:snapToGrid w:val="0"/>
          <w:kern w:val="22"/>
          <w:szCs w:val="22"/>
          <w:lang w:val="fr-FR"/>
        </w:rPr>
        <w:t>CBD/</w:t>
      </w:r>
      <w:r>
        <w:rPr>
          <w:snapToGrid w:val="0"/>
          <w:kern w:val="22"/>
          <w:szCs w:val="22"/>
          <w:lang w:val="fr-FR"/>
        </w:rPr>
        <w:t>SBI/2/INF/1, les élément</w:t>
      </w:r>
      <w:r w:rsidR="00271F29">
        <w:rPr>
          <w:snapToGrid w:val="0"/>
          <w:kern w:val="22"/>
          <w:szCs w:val="22"/>
          <w:lang w:val="fr-FR"/>
        </w:rPr>
        <w:t>s d’un projet de recommandation</w:t>
      </w:r>
      <w:r>
        <w:rPr>
          <w:snapToGrid w:val="0"/>
          <w:kern w:val="22"/>
          <w:szCs w:val="22"/>
          <w:lang w:val="fr-FR"/>
        </w:rPr>
        <w:t xml:space="preserve"> sont présentés dans la section IV.</w:t>
      </w:r>
    </w:p>
    <w:p w:rsidR="0040090D" w:rsidRPr="0030069B" w:rsidRDefault="00633089" w:rsidP="00717F31">
      <w:pPr>
        <w:pStyle w:val="ListParagraph"/>
        <w:numPr>
          <w:ilvl w:val="0"/>
          <w:numId w:val="37"/>
        </w:numPr>
        <w:spacing w:before="120" w:after="120"/>
        <w:ind w:left="0" w:firstLine="0"/>
        <w:contextualSpacing w:val="0"/>
        <w:rPr>
          <w:snapToGrid w:val="0"/>
          <w:kern w:val="22"/>
          <w:szCs w:val="22"/>
          <w:lang w:val="fr-FR"/>
        </w:rPr>
      </w:pPr>
      <w:r>
        <w:rPr>
          <w:snapToGrid w:val="0"/>
          <w:kern w:val="22"/>
          <w:szCs w:val="22"/>
          <w:lang w:val="fr-FR"/>
        </w:rPr>
        <w:t xml:space="preserve">Outre l’examen de l’expérience de la tenue de réunions concomitantes des trois organes directeurs, le document </w:t>
      </w:r>
      <w:r w:rsidR="003047C0" w:rsidRPr="0030069B">
        <w:rPr>
          <w:snapToGrid w:val="0"/>
          <w:kern w:val="22"/>
          <w:szCs w:val="22"/>
          <w:lang w:val="fr-FR"/>
        </w:rPr>
        <w:t>CBD/</w:t>
      </w:r>
      <w:r w:rsidR="0040090D" w:rsidRPr="0030069B">
        <w:rPr>
          <w:snapToGrid w:val="0"/>
          <w:kern w:val="22"/>
          <w:szCs w:val="22"/>
          <w:lang w:val="fr-FR"/>
        </w:rPr>
        <w:t>SBI/2/I</w:t>
      </w:r>
      <w:r>
        <w:rPr>
          <w:snapToGrid w:val="0"/>
          <w:kern w:val="22"/>
          <w:szCs w:val="22"/>
          <w:lang w:val="fr-FR"/>
        </w:rPr>
        <w:t>NF/2 contient d’autres informations sur les points de vue des participants aux réunions concernant le format de la réunion de haut niveau, les manifestations parallèles et certaines questions de logistique. Les principaux points de cet examen sont résumés dans les paragraphes qui suivent.</w:t>
      </w:r>
    </w:p>
    <w:p w:rsidR="008C0535" w:rsidRPr="0030069B" w:rsidRDefault="00633089" w:rsidP="00717F31">
      <w:pPr>
        <w:pStyle w:val="ListParagraph"/>
        <w:numPr>
          <w:ilvl w:val="0"/>
          <w:numId w:val="37"/>
        </w:numPr>
        <w:spacing w:before="120" w:after="120"/>
        <w:ind w:left="0" w:firstLine="0"/>
        <w:contextualSpacing w:val="0"/>
        <w:rPr>
          <w:snapToGrid w:val="0"/>
          <w:kern w:val="22"/>
          <w:szCs w:val="22"/>
          <w:lang w:val="fr-FR"/>
        </w:rPr>
      </w:pPr>
      <w:r>
        <w:rPr>
          <w:snapToGrid w:val="0"/>
          <w:kern w:val="22"/>
          <w:szCs w:val="22"/>
          <w:lang w:val="fr-FR"/>
        </w:rPr>
        <w:t>Dans l’ensemble, s’agissant de la réunion de haut niveau, la participation de différents secteurs et de ministres a é</w:t>
      </w:r>
      <w:r w:rsidR="00D80A2A">
        <w:rPr>
          <w:snapToGrid w:val="0"/>
          <w:kern w:val="22"/>
          <w:szCs w:val="22"/>
          <w:lang w:val="fr-FR"/>
        </w:rPr>
        <w:t xml:space="preserve">té considérée comme ayant encouragé l’examen de l’intégration et favorisé le dialogue. Cependant, plusieurs répondants étaient d’avis que cette réunion aurait été plus efficace s’il y avait eu plus de possibilités de discussion. </w:t>
      </w:r>
      <w:r w:rsidR="003830A1">
        <w:rPr>
          <w:snapToGrid w:val="0"/>
          <w:kern w:val="22"/>
          <w:szCs w:val="22"/>
          <w:lang w:val="fr-FR"/>
        </w:rPr>
        <w:t xml:space="preserve">En ce qui concerne le choix de la date du débat de haut niveau par rapport aux autres réunions, la majorité des répondants étaient d’avis que la tenue du débat de haut niveau avant l’ouverture officielle des réunions concomitantes s’est avérée efficace. Certains répondants ont cependant fait observer que cela signifiait aussi qu’un grand nombre de participants de haut niveau n’étaient pas disponibles pour aider à traiter les questions </w:t>
      </w:r>
      <w:r w:rsidR="00491646">
        <w:rPr>
          <w:snapToGrid w:val="0"/>
          <w:kern w:val="22"/>
          <w:szCs w:val="22"/>
          <w:lang w:val="fr-FR"/>
        </w:rPr>
        <w:t xml:space="preserve">controversées à la fin des réunions. Dans l’ensemble, bien que plupart des répondants aient indiqué qu’ils étaient d’avis que les futures réunions de haut niveau devraient continuer à avoir lieu avant le début officiel des réunions concomitantes, </w:t>
      </w:r>
      <w:r w:rsidR="003830A1">
        <w:rPr>
          <w:snapToGrid w:val="0"/>
          <w:kern w:val="22"/>
          <w:szCs w:val="22"/>
          <w:lang w:val="fr-FR"/>
        </w:rPr>
        <w:t xml:space="preserve"> </w:t>
      </w:r>
      <w:r w:rsidR="00491646">
        <w:rPr>
          <w:snapToGrid w:val="0"/>
          <w:kern w:val="22"/>
          <w:szCs w:val="22"/>
          <w:lang w:val="fr-FR"/>
        </w:rPr>
        <w:t>leurs points de vue étaient plus partagés. Plusieurs répondants ont fait observer que le choix de la date de la réunion d</w:t>
      </w:r>
      <w:r w:rsidR="00271F29">
        <w:rPr>
          <w:snapToGrid w:val="0"/>
          <w:kern w:val="22"/>
          <w:szCs w:val="22"/>
          <w:lang w:val="fr-FR"/>
        </w:rPr>
        <w:t>e haut niveau devrait être basé</w:t>
      </w:r>
      <w:r w:rsidR="00491646">
        <w:rPr>
          <w:snapToGrid w:val="0"/>
          <w:kern w:val="22"/>
          <w:szCs w:val="22"/>
          <w:lang w:val="fr-FR"/>
        </w:rPr>
        <w:t xml:space="preserve"> sur son but et sur les questions à examiner, et que sa date devrait donc être décidée au cas par cas.</w:t>
      </w:r>
    </w:p>
    <w:p w:rsidR="008C0535" w:rsidRPr="0030069B" w:rsidRDefault="005A6AE6" w:rsidP="00717F31">
      <w:pPr>
        <w:pStyle w:val="ListParagraph"/>
        <w:numPr>
          <w:ilvl w:val="0"/>
          <w:numId w:val="37"/>
        </w:numPr>
        <w:spacing w:before="120" w:after="120"/>
        <w:ind w:left="0" w:firstLine="0"/>
        <w:contextualSpacing w:val="0"/>
        <w:rPr>
          <w:snapToGrid w:val="0"/>
          <w:kern w:val="22"/>
          <w:szCs w:val="22"/>
          <w:lang w:val="fr-FR"/>
        </w:rPr>
      </w:pPr>
      <w:r>
        <w:rPr>
          <w:snapToGrid w:val="0"/>
          <w:kern w:val="22"/>
          <w:szCs w:val="22"/>
          <w:lang w:val="fr-FR"/>
        </w:rPr>
        <w:lastRenderedPageBreak/>
        <w:t>Les répondants ont pensé que les sujets abordés par les manifestations parallèles et l</w:t>
      </w:r>
      <w:r w:rsidR="004E099E">
        <w:rPr>
          <w:snapToGrid w:val="0"/>
          <w:kern w:val="22"/>
          <w:szCs w:val="22"/>
          <w:lang w:val="fr-FR"/>
        </w:rPr>
        <w:t>e Congrès CESP étaient pertinents. Certains étaient d’</w:t>
      </w:r>
      <w:r w:rsidR="00875CF6">
        <w:rPr>
          <w:snapToGrid w:val="0"/>
          <w:kern w:val="22"/>
          <w:szCs w:val="22"/>
          <w:lang w:val="fr-FR"/>
        </w:rPr>
        <w:t>avis que les</w:t>
      </w:r>
      <w:r w:rsidR="004E099E">
        <w:rPr>
          <w:snapToGrid w:val="0"/>
          <w:kern w:val="22"/>
          <w:szCs w:val="22"/>
          <w:lang w:val="fr-FR"/>
        </w:rPr>
        <w:t xml:space="preserve"> manifestations</w:t>
      </w:r>
      <w:r w:rsidR="00875CF6">
        <w:rPr>
          <w:snapToGrid w:val="0"/>
          <w:kern w:val="22"/>
          <w:szCs w:val="22"/>
          <w:lang w:val="fr-FR"/>
        </w:rPr>
        <w:t xml:space="preserve"> sont peut-être trop nombreuses</w:t>
      </w:r>
      <w:r w:rsidR="004E099E">
        <w:rPr>
          <w:snapToGrid w:val="0"/>
          <w:kern w:val="22"/>
          <w:szCs w:val="22"/>
          <w:lang w:val="fr-FR"/>
        </w:rPr>
        <w:t> ; d’autres ont indiqué qu’ils ne participent pas à ces manifestations compte tenu du peu de temps disponible. Il aussi été noté que les manifestations sont importantes pour veiller à ce que les différents points de vue et perspectives puissent être partagés.</w:t>
      </w:r>
    </w:p>
    <w:p w:rsidR="004555F9" w:rsidRPr="00717F31" w:rsidRDefault="004E099E" w:rsidP="00717F31">
      <w:pPr>
        <w:pStyle w:val="ListParagraph"/>
        <w:numPr>
          <w:ilvl w:val="0"/>
          <w:numId w:val="37"/>
        </w:numPr>
        <w:spacing w:before="120" w:after="120"/>
        <w:ind w:left="0" w:firstLine="0"/>
        <w:contextualSpacing w:val="0"/>
        <w:rPr>
          <w:snapToGrid w:val="0"/>
          <w:kern w:val="22"/>
          <w:szCs w:val="22"/>
        </w:rPr>
      </w:pPr>
      <w:r>
        <w:rPr>
          <w:snapToGrid w:val="0"/>
          <w:kern w:val="22"/>
          <w:szCs w:val="22"/>
          <w:lang w:val="fr-FR"/>
        </w:rPr>
        <w:t xml:space="preserve">En ce qui concerne les questions logistiques, les répondants ont considéré que les dispositions </w:t>
      </w:r>
      <w:r w:rsidR="006E2408">
        <w:rPr>
          <w:snapToGrid w:val="0"/>
          <w:kern w:val="22"/>
          <w:szCs w:val="22"/>
          <w:lang w:val="fr-FR"/>
        </w:rPr>
        <w:t>de transport et la distribution</w:t>
      </w:r>
      <w:r>
        <w:rPr>
          <w:snapToGrid w:val="0"/>
          <w:kern w:val="22"/>
          <w:szCs w:val="22"/>
          <w:lang w:val="fr-FR"/>
        </w:rPr>
        <w:t xml:space="preserve"> des documents étaient en général positives</w:t>
      </w:r>
      <w:r w:rsidR="004555F9" w:rsidRPr="0030069B">
        <w:rPr>
          <w:snapToGrid w:val="0"/>
          <w:kern w:val="22"/>
          <w:szCs w:val="22"/>
          <w:lang w:val="fr-FR"/>
        </w:rPr>
        <w:t>.</w:t>
      </w:r>
    </w:p>
    <w:p w:rsidR="003B0A5F" w:rsidRPr="006E2408" w:rsidRDefault="003B0A5F" w:rsidP="00717F31">
      <w:pPr>
        <w:pStyle w:val="Heading1longmultiline"/>
        <w:tabs>
          <w:tab w:val="clear" w:pos="720"/>
        </w:tabs>
        <w:ind w:left="1440" w:hanging="720"/>
        <w:rPr>
          <w:snapToGrid w:val="0"/>
          <w:kern w:val="22"/>
          <w:szCs w:val="22"/>
          <w:lang w:val="fr-FR"/>
        </w:rPr>
      </w:pPr>
      <w:r w:rsidRPr="006E2408">
        <w:rPr>
          <w:snapToGrid w:val="0"/>
          <w:kern w:val="22"/>
          <w:szCs w:val="22"/>
          <w:lang w:val="fr-FR"/>
        </w:rPr>
        <w:t>II</w:t>
      </w:r>
      <w:r w:rsidR="008C0535" w:rsidRPr="006E2408">
        <w:rPr>
          <w:snapToGrid w:val="0"/>
          <w:kern w:val="22"/>
          <w:szCs w:val="22"/>
          <w:lang w:val="fr-FR"/>
        </w:rPr>
        <w:t>I</w:t>
      </w:r>
      <w:r w:rsidRPr="006E2408">
        <w:rPr>
          <w:snapToGrid w:val="0"/>
          <w:kern w:val="22"/>
          <w:szCs w:val="22"/>
          <w:lang w:val="fr-FR"/>
        </w:rPr>
        <w:t>.</w:t>
      </w:r>
      <w:r w:rsidRPr="006E2408">
        <w:rPr>
          <w:snapToGrid w:val="0"/>
          <w:kern w:val="22"/>
          <w:szCs w:val="22"/>
          <w:lang w:val="fr-FR"/>
        </w:rPr>
        <w:tab/>
      </w:r>
      <w:r w:rsidR="006E2408" w:rsidRPr="006E2408">
        <w:rPr>
          <w:snapToGrid w:val="0"/>
          <w:kern w:val="22"/>
          <w:szCs w:val="22"/>
          <w:lang w:val="fr-FR"/>
        </w:rPr>
        <w:t>Éviter et gÉrer les conflits d’intÉrÊt et accroÎtre l’efficacitÉ des groupes d’experts</w:t>
      </w:r>
    </w:p>
    <w:p w:rsidR="00D772F7" w:rsidRPr="006E2408" w:rsidRDefault="00297E88" w:rsidP="00717F31">
      <w:pPr>
        <w:pStyle w:val="Heading2"/>
        <w:rPr>
          <w:snapToGrid w:val="0"/>
          <w:kern w:val="22"/>
          <w:szCs w:val="22"/>
          <w:lang w:val="fr-FR"/>
        </w:rPr>
      </w:pPr>
      <w:r w:rsidRPr="006E2408">
        <w:rPr>
          <w:snapToGrid w:val="0"/>
          <w:kern w:val="22"/>
          <w:szCs w:val="22"/>
          <w:lang w:val="fr-FR"/>
        </w:rPr>
        <w:t>A.</w:t>
      </w:r>
      <w:r w:rsidRPr="006E2408">
        <w:rPr>
          <w:snapToGrid w:val="0"/>
          <w:kern w:val="22"/>
          <w:szCs w:val="22"/>
          <w:lang w:val="fr-FR"/>
        </w:rPr>
        <w:tab/>
      </w:r>
      <w:r w:rsidR="006E2408" w:rsidRPr="006E2408">
        <w:rPr>
          <w:snapToGrid w:val="0"/>
          <w:kern w:val="22"/>
          <w:szCs w:val="22"/>
          <w:lang w:val="fr-FR"/>
        </w:rPr>
        <w:t>L’utilisation des avis d’experts et la nécessité d’objectivité et d’indépendance</w:t>
      </w:r>
    </w:p>
    <w:p w:rsidR="00477E7F" w:rsidRPr="006E2408" w:rsidRDefault="00C6605C" w:rsidP="00717F31">
      <w:pPr>
        <w:pStyle w:val="ListParagraph"/>
        <w:numPr>
          <w:ilvl w:val="0"/>
          <w:numId w:val="37"/>
        </w:numPr>
        <w:spacing w:before="120" w:after="120"/>
        <w:ind w:left="0" w:firstLine="0"/>
        <w:contextualSpacing w:val="0"/>
        <w:rPr>
          <w:kern w:val="22"/>
          <w:szCs w:val="22"/>
          <w:lang w:val="fr-FR"/>
        </w:rPr>
      </w:pPr>
      <w:r>
        <w:rPr>
          <w:kern w:val="22"/>
          <w:szCs w:val="22"/>
          <w:lang w:val="fr-FR"/>
        </w:rPr>
        <w:t>L’utilisation de groupes d’experts pour offrir des avis et faire des recommandations est une pratique courante dans les processus relevant de la Convention sur la diversité biologique. La Conférence des Parties à la Convention et la Conférence des Parties siégeant en tant que réunion des Parties aux Protocoles de Cartagena et de Nagoya créent de temps en temps des groupes d’experts pour faire progresser leurs travaux</w:t>
      </w:r>
      <w:r w:rsidR="00262E1C">
        <w:rPr>
          <w:kern w:val="22"/>
          <w:szCs w:val="22"/>
          <w:lang w:val="fr-FR"/>
        </w:rPr>
        <w:t xml:space="preserve"> relatifs à des questions scientifiques, techniques et technologiques existantes ou émergentes. </w:t>
      </w:r>
      <w:r w:rsidR="00BC2BFB">
        <w:rPr>
          <w:kern w:val="22"/>
          <w:szCs w:val="22"/>
          <w:lang w:val="fr-FR"/>
        </w:rPr>
        <w:t>Aux termes de son mode de fonctionnement</w:t>
      </w:r>
      <w:r w:rsidR="00CD7F0F">
        <w:rPr>
          <w:kern w:val="22"/>
          <w:szCs w:val="22"/>
          <w:lang w:val="fr-FR"/>
        </w:rPr>
        <w:t xml:space="preserve">, </w:t>
      </w:r>
      <w:r w:rsidR="00D83C89" w:rsidRPr="006E2408">
        <w:rPr>
          <w:kern w:val="22"/>
          <w:szCs w:val="22"/>
          <w:lang w:val="fr-FR"/>
        </w:rPr>
        <w:t xml:space="preserve"> </w:t>
      </w:r>
      <w:r w:rsidR="00BC2BFB">
        <w:rPr>
          <w:kern w:val="22"/>
          <w:szCs w:val="22"/>
          <w:lang w:val="fr-FR"/>
        </w:rPr>
        <w:t>l’Organe subsidiaire chargé de fournir des avis scientifiques, techniques et technologiques peu</w:t>
      </w:r>
      <w:r w:rsidR="0034779B">
        <w:rPr>
          <w:kern w:val="22"/>
          <w:szCs w:val="22"/>
          <w:lang w:val="fr-FR"/>
        </w:rPr>
        <w:t>t aussi créer</w:t>
      </w:r>
      <w:r w:rsidR="00BC2BFB">
        <w:rPr>
          <w:kern w:val="22"/>
          <w:szCs w:val="22"/>
          <w:lang w:val="fr-FR"/>
        </w:rPr>
        <w:t xml:space="preserve"> des groupes spéciaux d’experts techniques</w:t>
      </w:r>
      <w:r w:rsidR="0034779B">
        <w:rPr>
          <w:kern w:val="22"/>
          <w:szCs w:val="22"/>
          <w:lang w:val="fr-FR"/>
        </w:rPr>
        <w:t xml:space="preserve"> sous la direction de la Conférence des Parties</w:t>
      </w:r>
      <w:r w:rsidR="00631340" w:rsidRPr="006E2408">
        <w:rPr>
          <w:kern w:val="22"/>
          <w:szCs w:val="22"/>
          <w:lang w:val="fr-FR"/>
        </w:rPr>
        <w:t>.</w:t>
      </w:r>
      <w:r w:rsidR="0034779B">
        <w:rPr>
          <w:kern w:val="22"/>
          <w:szCs w:val="22"/>
          <w:lang w:val="fr-FR"/>
        </w:rPr>
        <w:t xml:space="preserve"> Ces groupes d’experts techniques présentent leurs travaux à l’Organe subsidiaire chargé de fournir des avis scientifiques, techniques et technologiques. Selon son mode de fonctionnement, l’Organe subsidiaire chargé de l’application peut aussi, sur décision de la Conférence des Parties, créer des groupes spéciaux d’experts techniques équilibrés</w:t>
      </w:r>
      <w:r w:rsidR="001274BD">
        <w:rPr>
          <w:kern w:val="22"/>
          <w:szCs w:val="22"/>
          <w:lang w:val="fr-FR"/>
        </w:rPr>
        <w:t xml:space="preserve"> sur le plan géographique pour faciliter la préparation des travaux de l’Organe subsidiaire chargé de l’application.  Ces groupes d</w:t>
      </w:r>
      <w:r w:rsidR="00875CF6">
        <w:rPr>
          <w:kern w:val="22"/>
          <w:szCs w:val="22"/>
          <w:lang w:val="fr-FR"/>
        </w:rPr>
        <w:t>’experts travaillent dans le cadre de</w:t>
      </w:r>
      <w:r w:rsidR="001274BD">
        <w:rPr>
          <w:kern w:val="22"/>
          <w:szCs w:val="22"/>
          <w:lang w:val="fr-FR"/>
        </w:rPr>
        <w:t xml:space="preserve"> forums de discussion en ligne ou de réunions en personne.</w:t>
      </w:r>
      <w:r w:rsidR="0034779B">
        <w:rPr>
          <w:kern w:val="22"/>
          <w:szCs w:val="22"/>
          <w:lang w:val="fr-FR"/>
        </w:rPr>
        <w:t xml:space="preserve">  </w:t>
      </w:r>
    </w:p>
    <w:p w:rsidR="00D83C89" w:rsidRPr="006E2408" w:rsidRDefault="001274BD" w:rsidP="00717F31">
      <w:pPr>
        <w:pStyle w:val="ListParagraph"/>
        <w:numPr>
          <w:ilvl w:val="0"/>
          <w:numId w:val="37"/>
        </w:numPr>
        <w:spacing w:before="120" w:after="120"/>
        <w:ind w:left="0" w:firstLine="0"/>
        <w:contextualSpacing w:val="0"/>
        <w:rPr>
          <w:kern w:val="22"/>
          <w:szCs w:val="22"/>
          <w:lang w:val="fr-FR"/>
        </w:rPr>
      </w:pPr>
      <w:r>
        <w:rPr>
          <w:kern w:val="22"/>
          <w:szCs w:val="22"/>
          <w:lang w:val="fr-FR"/>
        </w:rPr>
        <w:t>Selon son mode de fonctionnement</w:t>
      </w:r>
      <w:r w:rsidR="00C627F6" w:rsidRPr="006E2408">
        <w:rPr>
          <w:kern w:val="22"/>
          <w:szCs w:val="22"/>
          <w:lang w:val="fr-FR"/>
        </w:rPr>
        <w:t xml:space="preserve">, </w:t>
      </w:r>
      <w:r w:rsidRPr="00EF0FD4">
        <w:rPr>
          <w:lang w:val="fr-FR"/>
        </w:rPr>
        <w:t>l'Organe subsidiaire chargé de fournir des avis scientifiques,</w:t>
      </w:r>
      <w:r>
        <w:rPr>
          <w:lang w:val="fr-FR"/>
        </w:rPr>
        <w:t xml:space="preserve"> techniques et technologiques doit</w:t>
      </w:r>
      <w:r w:rsidRPr="00EF0FD4">
        <w:rPr>
          <w:lang w:val="fr-FR"/>
        </w:rPr>
        <w:t xml:space="preserve"> </w:t>
      </w:r>
      <w:r>
        <w:rPr>
          <w:lang w:val="fr-FR"/>
        </w:rPr>
        <w:t>« </w:t>
      </w:r>
      <w:r w:rsidRPr="00EF0FD4">
        <w:rPr>
          <w:lang w:val="fr-FR"/>
        </w:rPr>
        <w:t>veiller à ce que les évaluations soient effectuées de manière objective et fiable</w:t>
      </w:r>
      <w:r>
        <w:rPr>
          <w:lang w:val="fr-FR"/>
        </w:rPr>
        <w:t> »</w:t>
      </w:r>
      <w:r w:rsidR="0070502C" w:rsidRPr="006E2408">
        <w:rPr>
          <w:rStyle w:val="FootnoteReference"/>
          <w:kern w:val="22"/>
          <w:sz w:val="22"/>
          <w:szCs w:val="22"/>
          <w:lang w:val="fr-FR"/>
        </w:rPr>
        <w:footnoteReference w:id="7"/>
      </w:r>
      <w:r>
        <w:rPr>
          <w:kern w:val="22"/>
          <w:szCs w:val="22"/>
          <w:lang w:val="fr-FR"/>
        </w:rPr>
        <w:t>.</w:t>
      </w:r>
      <w:r w:rsidR="006B404B" w:rsidRPr="006E2408">
        <w:rPr>
          <w:kern w:val="22"/>
          <w:szCs w:val="22"/>
          <w:lang w:val="fr-FR"/>
        </w:rPr>
        <w:t xml:space="preserve"> </w:t>
      </w:r>
      <w:r w:rsidR="00875CF6">
        <w:rPr>
          <w:kern w:val="22"/>
          <w:szCs w:val="22"/>
          <w:lang w:val="fr-FR"/>
        </w:rPr>
        <w:t>Cette obligation</w:t>
      </w:r>
      <w:r>
        <w:rPr>
          <w:kern w:val="22"/>
          <w:szCs w:val="22"/>
          <w:lang w:val="fr-FR"/>
        </w:rPr>
        <w:t xml:space="preserve"> s’applique aussi aux groupes spéciaux d’experts techniques. Veiller à l’objectivité des travaux d’un groupe d’experts dépend</w:t>
      </w:r>
      <w:r w:rsidR="00F63BD6">
        <w:rPr>
          <w:kern w:val="22"/>
          <w:szCs w:val="22"/>
          <w:lang w:val="fr-FR"/>
        </w:rPr>
        <w:t xml:space="preserve"> en grande partie de la mesure dans laquelle chaque participant ou expert est libre de tout </w:t>
      </w:r>
      <w:r w:rsidR="00FC2349">
        <w:rPr>
          <w:kern w:val="22"/>
          <w:szCs w:val="22"/>
          <w:lang w:val="fr-FR"/>
        </w:rPr>
        <w:t>conflit d’intérêts</w:t>
      </w:r>
      <w:r w:rsidR="00F63BD6">
        <w:rPr>
          <w:kern w:val="22"/>
          <w:szCs w:val="22"/>
          <w:lang w:val="fr-FR"/>
        </w:rPr>
        <w:t xml:space="preserve"> direct ou indirect.</w:t>
      </w:r>
    </w:p>
    <w:p w:rsidR="00C627F6" w:rsidRPr="006E2408" w:rsidRDefault="00F63BD6" w:rsidP="00717F31">
      <w:pPr>
        <w:pStyle w:val="ListParagraph"/>
        <w:numPr>
          <w:ilvl w:val="0"/>
          <w:numId w:val="37"/>
        </w:numPr>
        <w:spacing w:before="120" w:after="120"/>
        <w:ind w:left="0" w:firstLine="0"/>
        <w:contextualSpacing w:val="0"/>
        <w:rPr>
          <w:kern w:val="22"/>
          <w:szCs w:val="22"/>
          <w:lang w:val="fr-FR"/>
        </w:rPr>
      </w:pPr>
      <w:r>
        <w:rPr>
          <w:kern w:val="22"/>
          <w:szCs w:val="22"/>
          <w:lang w:val="fr-FR"/>
        </w:rPr>
        <w:t xml:space="preserve">Un </w:t>
      </w:r>
      <w:r w:rsidR="00FC2349">
        <w:rPr>
          <w:kern w:val="22"/>
          <w:szCs w:val="22"/>
          <w:lang w:val="fr-FR"/>
        </w:rPr>
        <w:t>conflit d’intérêts</w:t>
      </w:r>
      <w:r>
        <w:rPr>
          <w:kern w:val="22"/>
          <w:szCs w:val="22"/>
          <w:lang w:val="fr-FR"/>
        </w:rPr>
        <w:t xml:space="preserve"> survient lorsque les intérêts personnels de l’expert influencent indûment l’exécution des tâches et des responsabilités de cet </w:t>
      </w:r>
      <w:r w:rsidR="000B647A">
        <w:rPr>
          <w:kern w:val="22"/>
          <w:szCs w:val="22"/>
          <w:lang w:val="fr-FR"/>
        </w:rPr>
        <w:t>expert, compromettant ainsi l’indépendance et</w:t>
      </w:r>
      <w:r>
        <w:rPr>
          <w:kern w:val="22"/>
          <w:szCs w:val="22"/>
          <w:lang w:val="fr-FR"/>
        </w:rPr>
        <w:t xml:space="preserve"> </w:t>
      </w:r>
      <w:r w:rsidR="000B647A">
        <w:rPr>
          <w:kern w:val="22"/>
          <w:szCs w:val="22"/>
          <w:lang w:val="fr-FR"/>
        </w:rPr>
        <w:t>l’</w:t>
      </w:r>
      <w:r>
        <w:rPr>
          <w:kern w:val="22"/>
          <w:szCs w:val="22"/>
          <w:lang w:val="fr-FR"/>
        </w:rPr>
        <w:t>objectivité</w:t>
      </w:r>
      <w:r w:rsidR="000B647A">
        <w:rPr>
          <w:kern w:val="22"/>
          <w:szCs w:val="22"/>
          <w:lang w:val="fr-FR"/>
        </w:rPr>
        <w:t xml:space="preserve"> de son jugement dans l’exécution de ses fonctions et de ses responsabilités au sein </w:t>
      </w:r>
      <w:r>
        <w:rPr>
          <w:kern w:val="22"/>
          <w:szCs w:val="22"/>
          <w:lang w:val="fr-FR"/>
        </w:rPr>
        <w:t xml:space="preserve">du groupe d’experts. Il s’agit d’un conflit entre </w:t>
      </w:r>
      <w:r w:rsidR="00C84E89">
        <w:rPr>
          <w:kern w:val="22"/>
          <w:szCs w:val="22"/>
          <w:lang w:val="fr-FR"/>
        </w:rPr>
        <w:t>le devoir d’objectivité d’une part, et les intérêts personnels impliqués de l’autre</w:t>
      </w:r>
      <w:r>
        <w:rPr>
          <w:kern w:val="22"/>
          <w:szCs w:val="22"/>
          <w:lang w:val="fr-FR"/>
        </w:rPr>
        <w:t>.</w:t>
      </w:r>
      <w:r w:rsidR="00C84E89">
        <w:rPr>
          <w:kern w:val="22"/>
          <w:szCs w:val="22"/>
          <w:lang w:val="fr-FR"/>
        </w:rPr>
        <w:t xml:space="preserve"> Plusieurs organisations et traités q</w:t>
      </w:r>
      <w:r w:rsidR="00925DA2">
        <w:rPr>
          <w:kern w:val="22"/>
          <w:szCs w:val="22"/>
          <w:lang w:val="fr-FR"/>
        </w:rPr>
        <w:t xml:space="preserve">ui disposent de groupes </w:t>
      </w:r>
      <w:r w:rsidR="00C84E89">
        <w:rPr>
          <w:kern w:val="22"/>
          <w:szCs w:val="22"/>
          <w:lang w:val="fr-FR"/>
        </w:rPr>
        <w:t>d’experts</w:t>
      </w:r>
      <w:r w:rsidR="00925DA2">
        <w:rPr>
          <w:kern w:val="22"/>
          <w:szCs w:val="22"/>
          <w:lang w:val="fr-FR"/>
        </w:rPr>
        <w:t>, de comités</w:t>
      </w:r>
      <w:r w:rsidR="00C84E89">
        <w:rPr>
          <w:kern w:val="22"/>
          <w:szCs w:val="22"/>
          <w:lang w:val="fr-FR"/>
        </w:rPr>
        <w:t xml:space="preserve"> et de groupes consultatifs ont </w:t>
      </w:r>
      <w:r w:rsidR="000B647A">
        <w:rPr>
          <w:kern w:val="22"/>
          <w:szCs w:val="22"/>
          <w:lang w:val="fr-FR"/>
        </w:rPr>
        <w:t xml:space="preserve">adopté </w:t>
      </w:r>
      <w:r w:rsidR="00C84E89">
        <w:rPr>
          <w:kern w:val="22"/>
          <w:szCs w:val="22"/>
          <w:lang w:val="fr-FR"/>
        </w:rPr>
        <w:t xml:space="preserve">des politiques en matière de conflits d’intérêts. Un examen de ces politiques montre </w:t>
      </w:r>
      <w:r w:rsidR="000B647A">
        <w:rPr>
          <w:kern w:val="22"/>
          <w:szCs w:val="22"/>
          <w:lang w:val="fr-FR"/>
        </w:rPr>
        <w:t xml:space="preserve">que </w:t>
      </w:r>
      <w:r w:rsidR="00C84E89">
        <w:rPr>
          <w:kern w:val="22"/>
          <w:szCs w:val="22"/>
          <w:lang w:val="fr-FR"/>
        </w:rPr>
        <w:t xml:space="preserve">les définitions du </w:t>
      </w:r>
      <w:r w:rsidR="00FC2349">
        <w:rPr>
          <w:kern w:val="22"/>
          <w:szCs w:val="22"/>
          <w:lang w:val="fr-FR"/>
        </w:rPr>
        <w:t>conflit d’intérêts</w:t>
      </w:r>
      <w:r w:rsidR="00C84E89">
        <w:rPr>
          <w:kern w:val="22"/>
          <w:szCs w:val="22"/>
          <w:lang w:val="fr-FR"/>
        </w:rPr>
        <w:t xml:space="preserve"> et les moyens ou mesures adoptés pour gérer ou éviter les conflits d’intérêts </w:t>
      </w:r>
      <w:r w:rsidR="004E69DF">
        <w:rPr>
          <w:kern w:val="22"/>
          <w:szCs w:val="22"/>
          <w:lang w:val="fr-FR"/>
        </w:rPr>
        <w:t>ont beaucoup d’éléments en comm</w:t>
      </w:r>
      <w:r w:rsidR="000B647A">
        <w:rPr>
          <w:kern w:val="22"/>
          <w:szCs w:val="22"/>
          <w:lang w:val="fr-FR"/>
        </w:rPr>
        <w:t>un, comme par exemple l’obligation</w:t>
      </w:r>
      <w:r w:rsidR="004E69DF">
        <w:rPr>
          <w:kern w:val="22"/>
          <w:szCs w:val="22"/>
          <w:lang w:val="fr-FR"/>
        </w:rPr>
        <w:t xml:space="preserve"> de </w:t>
      </w:r>
      <w:r w:rsidR="000B647A">
        <w:rPr>
          <w:kern w:val="22"/>
          <w:szCs w:val="22"/>
          <w:lang w:val="fr-FR"/>
        </w:rPr>
        <w:t>déclarer</w:t>
      </w:r>
      <w:r w:rsidR="00925DA2">
        <w:rPr>
          <w:kern w:val="22"/>
          <w:szCs w:val="22"/>
          <w:lang w:val="fr-FR"/>
        </w:rPr>
        <w:t xml:space="preserve"> ces intérêts en remplissant un formulaire de déclaration de </w:t>
      </w:r>
      <w:r w:rsidR="00FC2349">
        <w:rPr>
          <w:kern w:val="22"/>
          <w:szCs w:val="22"/>
          <w:lang w:val="fr-FR"/>
        </w:rPr>
        <w:t>conflit d’intérêts</w:t>
      </w:r>
      <w:r w:rsidR="00925DA2">
        <w:rPr>
          <w:kern w:val="22"/>
          <w:szCs w:val="22"/>
          <w:lang w:val="fr-FR"/>
        </w:rPr>
        <w:t xml:space="preserve"> avant de participer aux travaux d’un groupe d’experts ou d’un comité à titre individuel.</w:t>
      </w:r>
      <w:r w:rsidR="004E69DF">
        <w:rPr>
          <w:kern w:val="22"/>
          <w:szCs w:val="22"/>
          <w:lang w:val="fr-FR"/>
        </w:rPr>
        <w:t xml:space="preserve"> </w:t>
      </w:r>
    </w:p>
    <w:p w:rsidR="00D772F7" w:rsidRPr="006E2408" w:rsidRDefault="00925DA2" w:rsidP="00717F31">
      <w:pPr>
        <w:pStyle w:val="ListParagraph"/>
        <w:numPr>
          <w:ilvl w:val="0"/>
          <w:numId w:val="37"/>
        </w:numPr>
        <w:spacing w:before="120" w:after="120"/>
        <w:ind w:left="0" w:firstLine="0"/>
        <w:contextualSpacing w:val="0"/>
        <w:rPr>
          <w:kern w:val="22"/>
          <w:szCs w:val="22"/>
          <w:lang w:val="fr-FR"/>
        </w:rPr>
      </w:pPr>
      <w:r>
        <w:rPr>
          <w:kern w:val="22"/>
          <w:szCs w:val="22"/>
          <w:lang w:val="fr-FR"/>
        </w:rPr>
        <w:t xml:space="preserve">Il arrive que la Conférence des Parties, la Conférence des Parties siégeant en tant que réunion des Parties aux protocoles ou l’Organe subsidiaire chargé de fournir des avis scientifiques, techniques et technologiques  confient à des groupes d’experts le travail d’évaluer les mêmes </w:t>
      </w:r>
      <w:r w:rsidR="009002FC">
        <w:rPr>
          <w:kern w:val="22"/>
          <w:szCs w:val="22"/>
          <w:lang w:val="fr-FR"/>
        </w:rPr>
        <w:t xml:space="preserve">sujets, mais selon des perspectives très diverses (le groupe spécial d’experts techniques sur la biologie synthétique et le groupe spécial d’experts techniques sur </w:t>
      </w:r>
      <w:r w:rsidR="00840FFC">
        <w:rPr>
          <w:kern w:val="22"/>
          <w:szCs w:val="22"/>
          <w:lang w:val="fr-FR"/>
        </w:rPr>
        <w:t xml:space="preserve">l’information de séquençage numérique sont des exemples </w:t>
      </w:r>
      <w:r w:rsidR="000B647A">
        <w:rPr>
          <w:kern w:val="22"/>
          <w:szCs w:val="22"/>
          <w:lang w:val="fr-FR"/>
        </w:rPr>
        <w:t xml:space="preserve">de </w:t>
      </w:r>
      <w:r w:rsidR="00840FFC">
        <w:rPr>
          <w:kern w:val="22"/>
          <w:szCs w:val="22"/>
          <w:lang w:val="fr-FR"/>
        </w:rPr>
        <w:t>ces types de disposition). Lorsque l’on traite de questions aussi</w:t>
      </w:r>
      <w:r w:rsidR="006D046F">
        <w:rPr>
          <w:kern w:val="22"/>
          <w:szCs w:val="22"/>
          <w:lang w:val="fr-FR"/>
        </w:rPr>
        <w:t xml:space="preserve"> sensibles, il est particulièrement important d’éviter ou de gérer les conflits d’intérêts potentiels.</w:t>
      </w:r>
    </w:p>
    <w:p w:rsidR="00D772F7" w:rsidRPr="006E2408" w:rsidRDefault="00297E88" w:rsidP="00717F31">
      <w:pPr>
        <w:pStyle w:val="Heading2"/>
        <w:rPr>
          <w:kern w:val="22"/>
          <w:szCs w:val="22"/>
          <w:lang w:val="fr-FR"/>
        </w:rPr>
      </w:pPr>
      <w:r w:rsidRPr="006E2408">
        <w:rPr>
          <w:kern w:val="22"/>
          <w:szCs w:val="22"/>
          <w:lang w:val="fr-FR"/>
        </w:rPr>
        <w:lastRenderedPageBreak/>
        <w:t>B.</w:t>
      </w:r>
      <w:r w:rsidRPr="006E2408">
        <w:rPr>
          <w:kern w:val="22"/>
          <w:szCs w:val="22"/>
          <w:lang w:val="fr-FR"/>
        </w:rPr>
        <w:tab/>
      </w:r>
      <w:r w:rsidR="006D046F">
        <w:rPr>
          <w:kern w:val="22"/>
          <w:szCs w:val="22"/>
          <w:lang w:val="fr-FR"/>
        </w:rPr>
        <w:t xml:space="preserve">Expérience </w:t>
      </w:r>
      <w:r w:rsidR="00497CFD">
        <w:rPr>
          <w:kern w:val="22"/>
          <w:szCs w:val="22"/>
          <w:lang w:val="fr-FR"/>
        </w:rPr>
        <w:t>de la gestion d</w:t>
      </w:r>
      <w:r w:rsidR="00C21FB6">
        <w:rPr>
          <w:kern w:val="22"/>
          <w:szCs w:val="22"/>
          <w:lang w:val="fr-FR"/>
        </w:rPr>
        <w:t>es</w:t>
      </w:r>
      <w:r w:rsidR="00497CFD">
        <w:rPr>
          <w:kern w:val="22"/>
          <w:szCs w:val="22"/>
          <w:lang w:val="fr-FR"/>
        </w:rPr>
        <w:t xml:space="preserve"> conflit</w:t>
      </w:r>
      <w:r w:rsidR="00C21FB6">
        <w:rPr>
          <w:kern w:val="22"/>
          <w:szCs w:val="22"/>
          <w:lang w:val="fr-FR"/>
        </w:rPr>
        <w:t>s</w:t>
      </w:r>
      <w:r w:rsidR="006D046F">
        <w:rPr>
          <w:kern w:val="22"/>
          <w:szCs w:val="22"/>
          <w:lang w:val="fr-FR"/>
        </w:rPr>
        <w:t xml:space="preserve"> d’intér</w:t>
      </w:r>
      <w:r w:rsidR="00497CFD">
        <w:rPr>
          <w:kern w:val="22"/>
          <w:szCs w:val="22"/>
          <w:lang w:val="fr-FR"/>
        </w:rPr>
        <w:t>êt</w:t>
      </w:r>
      <w:r w:rsidR="006D046F">
        <w:rPr>
          <w:kern w:val="22"/>
          <w:szCs w:val="22"/>
          <w:lang w:val="fr-FR"/>
        </w:rPr>
        <w:t xml:space="preserve"> au titre de la Convention et de ses Protocoles</w:t>
      </w:r>
    </w:p>
    <w:p w:rsidR="0051473A" w:rsidRPr="006E2408" w:rsidRDefault="006D046F" w:rsidP="00717F31">
      <w:pPr>
        <w:pStyle w:val="ListParagraph"/>
        <w:numPr>
          <w:ilvl w:val="0"/>
          <w:numId w:val="37"/>
        </w:numPr>
        <w:spacing w:before="120" w:after="120"/>
        <w:ind w:left="0" w:firstLine="0"/>
        <w:contextualSpacing w:val="0"/>
        <w:rPr>
          <w:kern w:val="22"/>
          <w:szCs w:val="22"/>
          <w:lang w:val="fr-FR"/>
        </w:rPr>
      </w:pPr>
      <w:r>
        <w:rPr>
          <w:kern w:val="22"/>
          <w:szCs w:val="22"/>
          <w:lang w:val="fr-FR"/>
        </w:rPr>
        <w:t>Conformément à la décision</w:t>
      </w:r>
      <w:r w:rsidR="00BF3C64" w:rsidRPr="006E2408">
        <w:rPr>
          <w:kern w:val="22"/>
          <w:szCs w:val="22"/>
          <w:lang w:val="fr-FR"/>
        </w:rPr>
        <w:t xml:space="preserve"> </w:t>
      </w:r>
      <w:hyperlink r:id="rId22" w:history="1">
        <w:r w:rsidR="00BF3C64" w:rsidRPr="006E2408">
          <w:rPr>
            <w:rStyle w:val="Hyperlink"/>
            <w:kern w:val="22"/>
            <w:szCs w:val="22"/>
            <w:lang w:val="fr-FR"/>
          </w:rPr>
          <w:t>BS-I/4</w:t>
        </w:r>
      </w:hyperlink>
      <w:r>
        <w:rPr>
          <w:kern w:val="22"/>
          <w:szCs w:val="22"/>
          <w:lang w:val="fr-FR"/>
        </w:rPr>
        <w:t xml:space="preserve"> de la Conférence des Parties siégeant en tant que réunion des Parties au Protocole de Cartagena sur la prévention des risques biotechnologiques, le Secrétariat administre</w:t>
      </w:r>
      <w:r w:rsidR="003675F1">
        <w:rPr>
          <w:kern w:val="22"/>
          <w:szCs w:val="22"/>
          <w:lang w:val="fr-FR"/>
        </w:rPr>
        <w:t xml:space="preserve"> le fichier d’experts en prévention des risques biotechnologiques. Bien que l’utilisation du fichier ait été très limitée au fil des ans, il existe d</w:t>
      </w:r>
      <w:r w:rsidR="000B647A">
        <w:rPr>
          <w:kern w:val="22"/>
          <w:szCs w:val="22"/>
          <w:lang w:val="fr-FR"/>
        </w:rPr>
        <w:t xml:space="preserve">es lignes directrices </w:t>
      </w:r>
      <w:r w:rsidR="003675F1">
        <w:rPr>
          <w:kern w:val="22"/>
          <w:szCs w:val="22"/>
          <w:lang w:val="fr-FR"/>
        </w:rPr>
        <w:t>qui décrivent le mandat, les conditions d’accès au fichier, les conditions d’inscription et les obligations des experts individuels figurant dans le fichier</w:t>
      </w:r>
      <w:r w:rsidR="003A2B80" w:rsidRPr="006E2408">
        <w:rPr>
          <w:rStyle w:val="FootnoteReference"/>
          <w:kern w:val="22"/>
          <w:sz w:val="22"/>
          <w:szCs w:val="22"/>
          <w:lang w:val="fr-FR"/>
        </w:rPr>
        <w:footnoteReference w:id="8"/>
      </w:r>
      <w:r w:rsidR="003675F1">
        <w:rPr>
          <w:kern w:val="22"/>
          <w:szCs w:val="22"/>
          <w:lang w:val="fr-FR"/>
        </w:rPr>
        <w:t>.</w:t>
      </w:r>
      <w:r w:rsidR="000B657F" w:rsidRPr="006E2408">
        <w:rPr>
          <w:kern w:val="22"/>
          <w:szCs w:val="22"/>
          <w:lang w:val="fr-FR"/>
        </w:rPr>
        <w:t xml:space="preserve"> </w:t>
      </w:r>
      <w:r w:rsidR="003675F1">
        <w:rPr>
          <w:kern w:val="22"/>
          <w:szCs w:val="22"/>
          <w:lang w:val="fr-FR"/>
        </w:rPr>
        <w:t>Cha</w:t>
      </w:r>
      <w:r w:rsidR="00DB4DD0">
        <w:rPr>
          <w:kern w:val="22"/>
          <w:szCs w:val="22"/>
          <w:lang w:val="fr-FR"/>
        </w:rPr>
        <w:t>que membre du fichier doit signer</w:t>
      </w:r>
      <w:r w:rsidR="003675F1">
        <w:rPr>
          <w:kern w:val="22"/>
          <w:szCs w:val="22"/>
          <w:lang w:val="fr-FR"/>
        </w:rPr>
        <w:t xml:space="preserve"> une d</w:t>
      </w:r>
      <w:r w:rsidR="000B647A">
        <w:rPr>
          <w:kern w:val="22"/>
          <w:szCs w:val="22"/>
          <w:lang w:val="fr-FR"/>
        </w:rPr>
        <w:t>éclaration de</w:t>
      </w:r>
      <w:r w:rsidR="003675F1">
        <w:rPr>
          <w:kern w:val="22"/>
          <w:szCs w:val="22"/>
          <w:lang w:val="fr-FR"/>
        </w:rPr>
        <w:t xml:space="preserve"> conflit d’intérêt</w:t>
      </w:r>
      <w:r w:rsidR="000B647A">
        <w:rPr>
          <w:kern w:val="22"/>
          <w:szCs w:val="22"/>
          <w:lang w:val="fr-FR"/>
        </w:rPr>
        <w:t>s</w:t>
      </w:r>
      <w:r w:rsidR="003675F1">
        <w:rPr>
          <w:kern w:val="22"/>
          <w:szCs w:val="22"/>
          <w:lang w:val="fr-FR"/>
        </w:rPr>
        <w:t xml:space="preserve"> avant d’entreprendre tout</w:t>
      </w:r>
      <w:r w:rsidR="00DB4DD0">
        <w:rPr>
          <w:kern w:val="22"/>
          <w:szCs w:val="22"/>
          <w:lang w:val="fr-FR"/>
        </w:rPr>
        <w:t>e mission qui lui est proposée.</w:t>
      </w:r>
      <w:r w:rsidR="00DB4DD0" w:rsidRPr="00DB4DD0">
        <w:rPr>
          <w:snapToGrid w:val="0"/>
          <w:sz w:val="23"/>
          <w:lang w:val="fr-FR" w:eastAsia="fr-FR"/>
        </w:rPr>
        <w:t xml:space="preserve"> </w:t>
      </w:r>
      <w:r w:rsidR="00DB4DD0">
        <w:rPr>
          <w:snapToGrid w:val="0"/>
          <w:sz w:val="23"/>
          <w:lang w:val="fr-FR" w:eastAsia="fr-FR"/>
        </w:rPr>
        <w:t>S</w:t>
      </w:r>
      <w:r w:rsidR="000B647A">
        <w:rPr>
          <w:snapToGrid w:val="0"/>
          <w:sz w:val="23"/>
          <w:lang w:val="fr-FR" w:eastAsia="fr-FR"/>
        </w:rPr>
        <w:t>i</w:t>
      </w:r>
      <w:r w:rsidR="00DB4DD0">
        <w:rPr>
          <w:snapToGrid w:val="0"/>
          <w:sz w:val="23"/>
          <w:lang w:val="fr-FR" w:eastAsia="fr-FR"/>
        </w:rPr>
        <w:t xml:space="preserve"> le membre a </w:t>
      </w:r>
      <w:r w:rsidR="00DB4DD0" w:rsidRPr="0022050C">
        <w:rPr>
          <w:snapToGrid w:val="0"/>
          <w:sz w:val="23"/>
          <w:lang w:val="fr-FR" w:eastAsia="fr-FR"/>
        </w:rPr>
        <w:t>des intérêts ou des arrangements personnels, professionnels ou institutionnels</w:t>
      </w:r>
      <w:r w:rsidR="000B647A">
        <w:rPr>
          <w:snapToGrid w:val="0"/>
          <w:sz w:val="23"/>
          <w:lang w:val="fr-FR" w:eastAsia="fr-FR"/>
        </w:rPr>
        <w:t xml:space="preserve"> susceptibles de</w:t>
      </w:r>
      <w:r w:rsidR="00DB4DD0" w:rsidRPr="0022050C">
        <w:rPr>
          <w:snapToGrid w:val="0"/>
          <w:sz w:val="23"/>
          <w:lang w:val="fr-FR" w:eastAsia="fr-FR"/>
        </w:rPr>
        <w:t xml:space="preserve"> créer un conflit d’intérêts ou </w:t>
      </w:r>
      <w:r w:rsidR="000B647A">
        <w:rPr>
          <w:snapToGrid w:val="0"/>
          <w:sz w:val="23"/>
          <w:lang w:val="fr-FR" w:eastAsia="fr-FR"/>
        </w:rPr>
        <w:t xml:space="preserve">qui </w:t>
      </w:r>
      <w:r w:rsidR="00DB4DD0" w:rsidRPr="0022050C">
        <w:rPr>
          <w:snapToGrid w:val="0"/>
          <w:sz w:val="23"/>
          <w:lang w:val="fr-FR" w:eastAsia="fr-FR"/>
        </w:rPr>
        <w:t>pourraient raisonnablement être vus comme créant un conflit d’intérêts</w:t>
      </w:r>
      <w:r w:rsidR="00DB4DD0">
        <w:rPr>
          <w:snapToGrid w:val="0"/>
          <w:sz w:val="23"/>
          <w:lang w:val="fr-FR" w:eastAsia="fr-FR"/>
        </w:rPr>
        <w:t>, le membre à l’obligati</w:t>
      </w:r>
      <w:r w:rsidR="000B647A">
        <w:rPr>
          <w:snapToGrid w:val="0"/>
          <w:sz w:val="23"/>
          <w:lang w:val="fr-FR" w:eastAsia="fr-FR"/>
        </w:rPr>
        <w:t>on de le déclarer et de s’abstenir de</w:t>
      </w:r>
      <w:r w:rsidR="00DB4DD0">
        <w:rPr>
          <w:snapToGrid w:val="0"/>
          <w:sz w:val="23"/>
          <w:lang w:val="fr-FR" w:eastAsia="fr-FR"/>
        </w:rPr>
        <w:t xml:space="preserve"> toute mission susceptible de créer un conflit d’intérêts avéré ou apparent. </w:t>
      </w:r>
      <w:r w:rsidR="00DB4DD0" w:rsidRPr="0022050C">
        <w:rPr>
          <w:snapToGrid w:val="0"/>
          <w:sz w:val="23"/>
          <w:lang w:val="fr-FR" w:eastAsia="fr-FR"/>
        </w:rPr>
        <w:t xml:space="preserve">Si </w:t>
      </w:r>
      <w:r w:rsidR="00736D4F">
        <w:rPr>
          <w:snapToGrid w:val="0"/>
          <w:sz w:val="23"/>
          <w:lang w:val="fr-FR" w:eastAsia="fr-FR"/>
        </w:rPr>
        <w:t xml:space="preserve">cette déclaration soulève certaines préoccupations et que </w:t>
      </w:r>
      <w:r w:rsidR="00DB4DD0" w:rsidRPr="0022050C">
        <w:rPr>
          <w:snapToGrid w:val="0"/>
          <w:sz w:val="23"/>
          <w:lang w:val="fr-FR" w:eastAsia="fr-FR"/>
        </w:rPr>
        <w:t>des préoccupations légitimes subsistent</w:t>
      </w:r>
      <w:r w:rsidR="00DB4DD0">
        <w:rPr>
          <w:snapToGrid w:val="0"/>
          <w:sz w:val="23"/>
          <w:lang w:val="fr-FR" w:eastAsia="fr-FR"/>
        </w:rPr>
        <w:t xml:space="preserve"> après</w:t>
      </w:r>
      <w:r w:rsidR="00736D4F">
        <w:rPr>
          <w:snapToGrid w:val="0"/>
          <w:sz w:val="23"/>
          <w:lang w:val="fr-FR" w:eastAsia="fr-FR"/>
        </w:rPr>
        <w:t xml:space="preserve"> un examen plus poussé, les lignes directrices </w:t>
      </w:r>
      <w:r w:rsidR="00A24E92">
        <w:rPr>
          <w:snapToGrid w:val="0"/>
          <w:sz w:val="23"/>
          <w:lang w:val="fr-FR" w:eastAsia="fr-FR"/>
        </w:rPr>
        <w:t>recommandent que t</w:t>
      </w:r>
      <w:r w:rsidR="00DB4DD0" w:rsidRPr="0022050C">
        <w:rPr>
          <w:snapToGrid w:val="0"/>
          <w:sz w:val="23"/>
          <w:lang w:val="fr-FR" w:eastAsia="fr-FR"/>
        </w:rPr>
        <w:t>oute appréciation quant à l’existence d’un conflit soit empreinte de la plus grande prudence afin que le pro</w:t>
      </w:r>
      <w:r w:rsidR="00A24E92">
        <w:rPr>
          <w:snapToGrid w:val="0"/>
          <w:sz w:val="23"/>
          <w:lang w:val="fr-FR" w:eastAsia="fr-FR"/>
        </w:rPr>
        <w:t>cessus reste hautemen</w:t>
      </w:r>
      <w:r w:rsidR="00EC3289">
        <w:rPr>
          <w:snapToGrid w:val="0"/>
          <w:sz w:val="23"/>
          <w:lang w:val="fr-FR" w:eastAsia="fr-FR"/>
        </w:rPr>
        <w:t>t crédible. Tout expert inscrit dans le fichier et choisi pour effectuer une mission doit « </w:t>
      </w:r>
      <w:r w:rsidR="00EC3289" w:rsidRPr="0022050C">
        <w:rPr>
          <w:snapToGrid w:val="0"/>
          <w:sz w:val="23"/>
          <w:lang w:val="fr-FR" w:eastAsia="fr-FR"/>
        </w:rPr>
        <w:t>se conforme</w:t>
      </w:r>
      <w:r w:rsidR="00EC3289">
        <w:rPr>
          <w:snapToGrid w:val="0"/>
          <w:sz w:val="23"/>
          <w:lang w:val="fr-FR" w:eastAsia="fr-FR"/>
        </w:rPr>
        <w:t>r</w:t>
      </w:r>
      <w:r w:rsidR="00EC3289" w:rsidRPr="0022050C">
        <w:rPr>
          <w:snapToGrid w:val="0"/>
          <w:sz w:val="23"/>
          <w:lang w:val="fr-FR" w:eastAsia="fr-FR"/>
        </w:rPr>
        <w:t xml:space="preserve"> à toutes les normes professionnelles pertinentes, de m</w:t>
      </w:r>
      <w:r w:rsidR="00EC3289">
        <w:rPr>
          <w:snapToGrid w:val="0"/>
          <w:sz w:val="23"/>
          <w:lang w:val="fr-FR" w:eastAsia="fr-FR"/>
        </w:rPr>
        <w:t>anière objective et neutre, et faire</w:t>
      </w:r>
      <w:r w:rsidR="00EC3289" w:rsidRPr="0022050C">
        <w:rPr>
          <w:snapToGrid w:val="0"/>
          <w:sz w:val="23"/>
          <w:lang w:val="fr-FR" w:eastAsia="fr-FR"/>
        </w:rPr>
        <w:t xml:space="preserve"> preuve d’un degré élevé de probité professionnelle pendant la mission</w:t>
      </w:r>
      <w:r w:rsidR="00EC3289">
        <w:rPr>
          <w:snapToGrid w:val="0"/>
          <w:sz w:val="23"/>
          <w:lang w:val="fr-FR" w:eastAsia="fr-FR"/>
        </w:rPr>
        <w:t> »</w:t>
      </w:r>
      <w:r w:rsidR="003A2B80" w:rsidRPr="006E2408">
        <w:rPr>
          <w:rStyle w:val="FootnoteReference"/>
          <w:kern w:val="22"/>
          <w:sz w:val="22"/>
          <w:szCs w:val="22"/>
          <w:lang w:val="fr-FR"/>
        </w:rPr>
        <w:footnoteReference w:id="9"/>
      </w:r>
      <w:r w:rsidR="00EC3289">
        <w:rPr>
          <w:snapToGrid w:val="0"/>
          <w:sz w:val="23"/>
          <w:lang w:val="fr-FR" w:eastAsia="fr-FR"/>
        </w:rPr>
        <w:t>.</w:t>
      </w:r>
    </w:p>
    <w:p w:rsidR="00EB1BCA" w:rsidRPr="00717F31" w:rsidRDefault="00EC3289" w:rsidP="00717F31">
      <w:pPr>
        <w:pStyle w:val="ListParagraph"/>
        <w:numPr>
          <w:ilvl w:val="0"/>
          <w:numId w:val="37"/>
        </w:numPr>
        <w:spacing w:before="120" w:after="120"/>
        <w:ind w:left="0" w:firstLine="0"/>
        <w:contextualSpacing w:val="0"/>
        <w:rPr>
          <w:kern w:val="22"/>
          <w:szCs w:val="22"/>
        </w:rPr>
      </w:pPr>
      <w:r>
        <w:rPr>
          <w:kern w:val="22"/>
          <w:szCs w:val="22"/>
          <w:lang w:val="fr-FR"/>
        </w:rPr>
        <w:t xml:space="preserve">Les procédures et les mécanismes de </w:t>
      </w:r>
      <w:r w:rsidR="000364EB">
        <w:rPr>
          <w:kern w:val="22"/>
          <w:szCs w:val="22"/>
          <w:lang w:val="fr-FR"/>
        </w:rPr>
        <w:t>respect des obligations aux termes</w:t>
      </w:r>
      <w:r>
        <w:rPr>
          <w:kern w:val="22"/>
          <w:szCs w:val="22"/>
          <w:lang w:val="fr-FR"/>
        </w:rPr>
        <w:t xml:space="preserve"> du Protocole de Cartagena et les proc</w:t>
      </w:r>
      <w:r w:rsidR="000364EB">
        <w:rPr>
          <w:kern w:val="22"/>
          <w:szCs w:val="22"/>
          <w:lang w:val="fr-FR"/>
        </w:rPr>
        <w:t xml:space="preserve">édures et mécanismes institutionnels de coopération </w:t>
      </w:r>
      <w:r w:rsidR="000364EB" w:rsidRPr="00091D32">
        <w:rPr>
          <w:noProof/>
          <w:szCs w:val="22"/>
          <w:lang w:val="fr-FR"/>
        </w:rPr>
        <w:t>propres à encourager le respect des dispositions du Protocole et à traiter les cas de non-respect</w:t>
      </w:r>
      <w:r w:rsidR="000364EB">
        <w:rPr>
          <w:noProof/>
          <w:szCs w:val="22"/>
          <w:lang w:val="fr-FR"/>
        </w:rPr>
        <w:t xml:space="preserve"> aux termes du Protocole de Nagoya exigent que les membres (y compris les peuples autochtones</w:t>
      </w:r>
      <w:r w:rsidR="000364EB">
        <w:rPr>
          <w:kern w:val="22"/>
          <w:szCs w:val="22"/>
          <w:lang w:val="fr-FR"/>
        </w:rPr>
        <w:t xml:space="preserve"> et les communautés locales en qualité d’observateurs dans le cas du Comité</w:t>
      </w:r>
      <w:r w:rsidR="00D118B0">
        <w:rPr>
          <w:kern w:val="22"/>
          <w:szCs w:val="22"/>
          <w:lang w:val="fr-FR"/>
        </w:rPr>
        <w:t xml:space="preserve"> relevant du Protocole de Nagoya) des comités </w:t>
      </w:r>
      <w:r w:rsidR="00343E0C">
        <w:rPr>
          <w:kern w:val="22"/>
          <w:szCs w:val="22"/>
          <w:lang w:val="fr-FR"/>
        </w:rPr>
        <w:t>chargés du respect des obligations</w:t>
      </w:r>
      <w:r w:rsidR="00D118B0">
        <w:rPr>
          <w:kern w:val="22"/>
          <w:szCs w:val="22"/>
          <w:lang w:val="fr-FR"/>
        </w:rPr>
        <w:t xml:space="preserve"> respectifs </w:t>
      </w:r>
      <w:r w:rsidR="00343E0C">
        <w:rPr>
          <w:lang w:val="fr-FR"/>
        </w:rPr>
        <w:t>possè</w:t>
      </w:r>
      <w:r w:rsidR="00343E0C" w:rsidRPr="00343E0C">
        <w:rPr>
          <w:lang w:val="fr-FR"/>
        </w:rPr>
        <w:t xml:space="preserve">dent </w:t>
      </w:r>
      <w:r w:rsidR="00343E0C">
        <w:rPr>
          <w:lang w:val="fr-FR"/>
        </w:rPr>
        <w:t>une compé</w:t>
      </w:r>
      <w:r w:rsidR="00343E0C" w:rsidRPr="00343E0C">
        <w:rPr>
          <w:lang w:val="fr-FR"/>
        </w:rPr>
        <w:t>tence re</w:t>
      </w:r>
      <w:r w:rsidR="00343E0C">
        <w:rPr>
          <w:lang w:val="fr-FR"/>
        </w:rPr>
        <w:t>connue et siègent objectivement et à</w:t>
      </w:r>
      <w:r w:rsidR="00343E0C" w:rsidRPr="00343E0C">
        <w:rPr>
          <w:lang w:val="fr-FR"/>
        </w:rPr>
        <w:t xml:space="preserve"> titre personnel</w:t>
      </w:r>
      <w:r w:rsidR="007632D0" w:rsidRPr="006E2408">
        <w:rPr>
          <w:rStyle w:val="FootnoteReference"/>
          <w:kern w:val="22"/>
          <w:sz w:val="22"/>
          <w:szCs w:val="22"/>
          <w:lang w:val="fr-FR"/>
        </w:rPr>
        <w:footnoteReference w:id="10"/>
      </w:r>
      <w:r w:rsidR="00343E0C">
        <w:rPr>
          <w:lang w:val="fr-FR"/>
        </w:rPr>
        <w:t>.</w:t>
      </w:r>
      <w:r w:rsidR="007632D0" w:rsidRPr="006E2408">
        <w:rPr>
          <w:kern w:val="22"/>
          <w:szCs w:val="22"/>
          <w:lang w:val="fr-FR"/>
        </w:rPr>
        <w:t xml:space="preserve"> </w:t>
      </w:r>
      <w:r w:rsidR="00343E0C">
        <w:rPr>
          <w:kern w:val="22"/>
          <w:szCs w:val="22"/>
          <w:lang w:val="fr-FR"/>
        </w:rPr>
        <w:t>C</w:t>
      </w:r>
      <w:r w:rsidR="00774C83">
        <w:rPr>
          <w:kern w:val="22"/>
          <w:szCs w:val="22"/>
          <w:lang w:val="fr-FR"/>
        </w:rPr>
        <w:t>ompte tenu de ces obligations</w:t>
      </w:r>
      <w:r w:rsidR="00343E0C">
        <w:rPr>
          <w:kern w:val="22"/>
          <w:szCs w:val="22"/>
          <w:lang w:val="fr-FR"/>
        </w:rPr>
        <w:t>, les règlements intérieurs des réunions des comités chargés du respect des obligations des deux protocoles comprennent des articles sur les conflits d’intérêts. L’article 11</w:t>
      </w:r>
      <w:r w:rsidR="000B647A">
        <w:rPr>
          <w:kern w:val="22"/>
          <w:szCs w:val="22"/>
          <w:lang w:val="fr-FR"/>
        </w:rPr>
        <w:t xml:space="preserve"> d</w:t>
      </w:r>
      <w:r w:rsidR="00774C83">
        <w:rPr>
          <w:kern w:val="22"/>
          <w:szCs w:val="22"/>
          <w:lang w:val="fr-FR"/>
        </w:rPr>
        <w:t>es</w:t>
      </w:r>
      <w:r w:rsidR="00F50CFB">
        <w:rPr>
          <w:kern w:val="22"/>
          <w:szCs w:val="22"/>
          <w:lang w:val="fr-FR"/>
        </w:rPr>
        <w:t xml:space="preserve"> règlement</w:t>
      </w:r>
      <w:r w:rsidR="000B647A">
        <w:rPr>
          <w:kern w:val="22"/>
          <w:szCs w:val="22"/>
          <w:lang w:val="fr-FR"/>
        </w:rPr>
        <w:t>s</w:t>
      </w:r>
      <w:r w:rsidR="00F50CFB">
        <w:rPr>
          <w:kern w:val="22"/>
          <w:szCs w:val="22"/>
          <w:lang w:val="fr-FR"/>
        </w:rPr>
        <w:t xml:space="preserve"> intérieur</w:t>
      </w:r>
      <w:r w:rsidR="000B647A">
        <w:rPr>
          <w:kern w:val="22"/>
          <w:szCs w:val="22"/>
          <w:lang w:val="fr-FR"/>
        </w:rPr>
        <w:t>s</w:t>
      </w:r>
      <w:r w:rsidR="00F50CFB">
        <w:rPr>
          <w:kern w:val="22"/>
          <w:szCs w:val="22"/>
          <w:lang w:val="fr-FR"/>
        </w:rPr>
        <w:t xml:space="preserve"> respectif</w:t>
      </w:r>
      <w:r w:rsidR="000B647A">
        <w:rPr>
          <w:kern w:val="22"/>
          <w:szCs w:val="22"/>
          <w:lang w:val="fr-FR"/>
        </w:rPr>
        <w:t>s</w:t>
      </w:r>
      <w:r w:rsidR="00F50CFB">
        <w:rPr>
          <w:kern w:val="22"/>
          <w:szCs w:val="22"/>
          <w:lang w:val="fr-FR"/>
        </w:rPr>
        <w:t xml:space="preserve"> prévoit que c</w:t>
      </w:r>
      <w:r w:rsidR="00F50CFB">
        <w:rPr>
          <w:lang w:val="fr-FR"/>
        </w:rPr>
        <w:t>haque me</w:t>
      </w:r>
      <w:r w:rsidR="00774C83">
        <w:rPr>
          <w:lang w:val="fr-FR"/>
        </w:rPr>
        <w:t>mbre du Comité doit</w:t>
      </w:r>
      <w:r w:rsidR="00F50CFB">
        <w:rPr>
          <w:lang w:val="fr-FR"/>
        </w:rPr>
        <w:t>, pour toute question à l’étude par le Comité, éviter les conflits d’intérêt directs ou indirects. Si un m</w:t>
      </w:r>
      <w:r w:rsidR="00774C83">
        <w:rPr>
          <w:lang w:val="fr-FR"/>
        </w:rPr>
        <w:t xml:space="preserve">embre se trouve en </w:t>
      </w:r>
      <w:r w:rsidR="00F50CFB">
        <w:rPr>
          <w:lang w:val="fr-FR"/>
        </w:rPr>
        <w:t xml:space="preserve">situation de </w:t>
      </w:r>
      <w:r w:rsidR="00FC2349">
        <w:rPr>
          <w:lang w:val="fr-FR"/>
        </w:rPr>
        <w:t>conflit d’intérêts</w:t>
      </w:r>
      <w:r w:rsidR="00F50CFB">
        <w:rPr>
          <w:lang w:val="fr-FR"/>
        </w:rPr>
        <w:t xml:space="preserve"> dir</w:t>
      </w:r>
      <w:r w:rsidR="00774C83">
        <w:rPr>
          <w:lang w:val="fr-FR"/>
        </w:rPr>
        <w:t>ect ou indirect, ce membre doit</w:t>
      </w:r>
      <w:r w:rsidR="00F50CFB">
        <w:rPr>
          <w:lang w:val="fr-FR"/>
        </w:rPr>
        <w:t xml:space="preserve"> en informer le Comité avant l’examen de cette question particulière. Le membre concerné ne pourra pas participer à l’élaboration et à l’adoption d’une recommandation du Comité liée à cette question.</w:t>
      </w:r>
    </w:p>
    <w:p w:rsidR="00EB1BCA" w:rsidRPr="0025700D" w:rsidRDefault="00297E88" w:rsidP="00717F31">
      <w:pPr>
        <w:pStyle w:val="Heading2"/>
        <w:ind w:left="1560" w:hanging="709"/>
        <w:jc w:val="left"/>
        <w:rPr>
          <w:b w:val="0"/>
          <w:kern w:val="22"/>
          <w:szCs w:val="22"/>
          <w:lang w:val="fr-FR"/>
        </w:rPr>
      </w:pPr>
      <w:r w:rsidRPr="0025700D">
        <w:rPr>
          <w:kern w:val="22"/>
          <w:szCs w:val="22"/>
          <w:lang w:val="fr-FR"/>
        </w:rPr>
        <w:t>C.</w:t>
      </w:r>
      <w:r w:rsidRPr="0025700D">
        <w:rPr>
          <w:kern w:val="22"/>
          <w:szCs w:val="22"/>
          <w:lang w:val="fr-FR"/>
        </w:rPr>
        <w:tab/>
      </w:r>
      <w:r w:rsidR="0025700D" w:rsidRPr="0025700D">
        <w:rPr>
          <w:kern w:val="22"/>
          <w:szCs w:val="22"/>
          <w:lang w:val="fr-FR"/>
        </w:rPr>
        <w:t>Expérie</w:t>
      </w:r>
      <w:r w:rsidR="00C21FB6">
        <w:rPr>
          <w:kern w:val="22"/>
          <w:szCs w:val="22"/>
          <w:lang w:val="fr-FR"/>
        </w:rPr>
        <w:t>nce de la gestion des</w:t>
      </w:r>
      <w:r w:rsidR="0025700D" w:rsidRPr="0025700D">
        <w:rPr>
          <w:kern w:val="22"/>
          <w:szCs w:val="22"/>
          <w:lang w:val="fr-FR"/>
        </w:rPr>
        <w:t xml:space="preserve"> conflit</w:t>
      </w:r>
      <w:r w:rsidR="00C21FB6">
        <w:rPr>
          <w:kern w:val="22"/>
          <w:szCs w:val="22"/>
          <w:lang w:val="fr-FR"/>
        </w:rPr>
        <w:t>s</w:t>
      </w:r>
      <w:r w:rsidR="0025700D" w:rsidRPr="0025700D">
        <w:rPr>
          <w:kern w:val="22"/>
          <w:szCs w:val="22"/>
          <w:lang w:val="fr-FR"/>
        </w:rPr>
        <w:t xml:space="preserve"> d’intérêt</w:t>
      </w:r>
      <w:r w:rsidR="00FC2349">
        <w:rPr>
          <w:kern w:val="22"/>
          <w:szCs w:val="22"/>
          <w:lang w:val="fr-FR"/>
        </w:rPr>
        <w:t>s</w:t>
      </w:r>
      <w:r w:rsidR="0025700D" w:rsidRPr="0025700D">
        <w:rPr>
          <w:kern w:val="22"/>
          <w:szCs w:val="22"/>
          <w:lang w:val="fr-FR"/>
        </w:rPr>
        <w:t xml:space="preserve"> dans d’autres conventions et organisations internationales</w:t>
      </w:r>
    </w:p>
    <w:p w:rsidR="005928CE" w:rsidRPr="0025700D" w:rsidRDefault="001D0A77" w:rsidP="00717F31">
      <w:pPr>
        <w:pStyle w:val="ListParagraph"/>
        <w:numPr>
          <w:ilvl w:val="0"/>
          <w:numId w:val="37"/>
        </w:numPr>
        <w:spacing w:before="120" w:after="120"/>
        <w:ind w:left="0" w:firstLine="0"/>
        <w:contextualSpacing w:val="0"/>
        <w:rPr>
          <w:kern w:val="22"/>
          <w:szCs w:val="22"/>
          <w:lang w:val="fr-FR"/>
        </w:rPr>
      </w:pPr>
      <w:r>
        <w:rPr>
          <w:kern w:val="22"/>
          <w:szCs w:val="22"/>
          <w:lang w:val="fr-FR"/>
        </w:rPr>
        <w:t>Des procédures et des pratiques</w:t>
      </w:r>
      <w:r w:rsidR="00F22C87">
        <w:rPr>
          <w:kern w:val="22"/>
          <w:szCs w:val="22"/>
          <w:lang w:val="fr-FR"/>
        </w:rPr>
        <w:t xml:space="preserve"> visant à éviter les conflits d’intérêt ont également été </w:t>
      </w:r>
      <w:r w:rsidR="00F22C87">
        <w:rPr>
          <w:noProof/>
          <w:kern w:val="22"/>
          <w:szCs w:val="22"/>
          <w:lang w:val="fr-FR"/>
        </w:rPr>
        <w:t xml:space="preserve">élaborées </w:t>
      </w:r>
      <w:r w:rsidR="00F22C87">
        <w:rPr>
          <w:kern w:val="22"/>
          <w:szCs w:val="22"/>
          <w:lang w:val="fr-FR"/>
        </w:rPr>
        <w:t xml:space="preserve">dans le cadre d’autres accords multilatéraux sur l’environnement. Par exemple, en application de la résolution </w:t>
      </w:r>
      <w:r w:rsidR="005928CE" w:rsidRPr="0025700D">
        <w:rPr>
          <w:noProof/>
          <w:kern w:val="22"/>
          <w:szCs w:val="22"/>
          <w:lang w:val="fr-FR"/>
        </w:rPr>
        <w:t>Conf. 11.1 (Rev. CoP17)</w:t>
      </w:r>
      <w:r w:rsidR="009E0F1E" w:rsidRPr="0025700D">
        <w:rPr>
          <w:kern w:val="22"/>
          <w:szCs w:val="22"/>
          <w:lang w:val="fr-FR"/>
        </w:rPr>
        <w:t xml:space="preserve"> </w:t>
      </w:r>
      <w:r w:rsidR="00F22C87">
        <w:rPr>
          <w:kern w:val="22"/>
          <w:szCs w:val="22"/>
          <w:lang w:val="fr-FR"/>
        </w:rPr>
        <w:t xml:space="preserve">de la Conférence des Parties, la Convention sur le commerce international des espèces de faune et de flore sauvages menacées d’extinction (CITES) évalue actuellement le fonctionnement de la politique en matière de </w:t>
      </w:r>
      <w:r w:rsidR="00FC2349">
        <w:rPr>
          <w:kern w:val="22"/>
          <w:szCs w:val="22"/>
          <w:lang w:val="fr-FR"/>
        </w:rPr>
        <w:t>conflit d’intérêts</w:t>
      </w:r>
      <w:r w:rsidR="00F22C87">
        <w:rPr>
          <w:kern w:val="22"/>
          <w:szCs w:val="22"/>
          <w:lang w:val="fr-FR"/>
        </w:rPr>
        <w:t xml:space="preserve"> concernant la représentation des comités pour les animaux et les plantes. Le Comité permanent formulera des recommandations sur la base d’un examen effectué par le secrétariat</w:t>
      </w:r>
      <w:r w:rsidR="005928CE" w:rsidRPr="0025700D">
        <w:rPr>
          <w:rStyle w:val="FootnoteReference"/>
          <w:kern w:val="22"/>
          <w:sz w:val="22"/>
          <w:szCs w:val="22"/>
          <w:lang w:val="fr-FR"/>
        </w:rPr>
        <w:footnoteReference w:id="11"/>
      </w:r>
      <w:r w:rsidR="001C39EC">
        <w:rPr>
          <w:kern w:val="22"/>
          <w:szCs w:val="22"/>
          <w:lang w:val="fr-FR"/>
        </w:rPr>
        <w:t xml:space="preserve"> afin d’affiner la définition du </w:t>
      </w:r>
      <w:r w:rsidR="00FC2349">
        <w:rPr>
          <w:kern w:val="22"/>
          <w:szCs w:val="22"/>
          <w:lang w:val="fr-FR"/>
        </w:rPr>
        <w:t>conflit d’intérêts</w:t>
      </w:r>
      <w:r w:rsidR="001C39EC">
        <w:rPr>
          <w:kern w:val="22"/>
          <w:szCs w:val="22"/>
          <w:lang w:val="fr-FR"/>
        </w:rPr>
        <w:t>, le cas échéant, en tenant compte de l’expérience d’autres accords multilatéraux sur l’environnement ou organisations et organisme</w:t>
      </w:r>
      <w:r w:rsidR="00E4166B">
        <w:rPr>
          <w:kern w:val="22"/>
          <w:szCs w:val="22"/>
          <w:lang w:val="fr-FR"/>
        </w:rPr>
        <w:t>s internationaux pertinents de</w:t>
      </w:r>
      <w:r w:rsidR="001C39EC">
        <w:rPr>
          <w:kern w:val="22"/>
          <w:szCs w:val="22"/>
          <w:lang w:val="fr-FR"/>
        </w:rPr>
        <w:t xml:space="preserve"> la mise en place de tels mécanismes. La Conférence des Parties à la CITES devrait être saisi de la recommandation à sa dix-huitième réunion.</w:t>
      </w:r>
    </w:p>
    <w:p w:rsidR="004F2164" w:rsidRPr="0025700D" w:rsidRDefault="00C8452B" w:rsidP="00717F31">
      <w:pPr>
        <w:pStyle w:val="ListParagraph"/>
        <w:numPr>
          <w:ilvl w:val="0"/>
          <w:numId w:val="37"/>
        </w:numPr>
        <w:spacing w:before="120" w:after="120"/>
        <w:ind w:left="0" w:firstLine="0"/>
        <w:contextualSpacing w:val="0"/>
        <w:rPr>
          <w:kern w:val="22"/>
          <w:szCs w:val="22"/>
          <w:lang w:val="fr-FR"/>
        </w:rPr>
      </w:pPr>
      <w:r>
        <w:rPr>
          <w:kern w:val="22"/>
          <w:szCs w:val="22"/>
          <w:lang w:val="fr-FR"/>
        </w:rPr>
        <w:lastRenderedPageBreak/>
        <w:t>Chaque membre et expert invité du Comité des polluants organiques persistants de la Convention de Stockholm</w:t>
      </w:r>
      <w:r w:rsidR="004F2164" w:rsidRPr="0025700D">
        <w:rPr>
          <w:rStyle w:val="FootnoteReference"/>
          <w:kern w:val="22"/>
          <w:sz w:val="22"/>
          <w:szCs w:val="22"/>
          <w:lang w:val="fr-FR"/>
        </w:rPr>
        <w:footnoteReference w:id="12"/>
      </w:r>
      <w:r>
        <w:rPr>
          <w:kern w:val="22"/>
          <w:szCs w:val="22"/>
          <w:lang w:val="fr-FR"/>
        </w:rPr>
        <w:t xml:space="preserve"> et du Comité d’étude des produits chimiques de la Convention de Rotterdam</w:t>
      </w:r>
      <w:r w:rsidR="004F2164" w:rsidRPr="0025700D">
        <w:rPr>
          <w:rStyle w:val="FootnoteReference"/>
          <w:kern w:val="22"/>
          <w:sz w:val="22"/>
          <w:szCs w:val="22"/>
          <w:lang w:val="fr-FR"/>
        </w:rPr>
        <w:footnoteReference w:id="13"/>
      </w:r>
      <w:r w:rsidR="00B3380D">
        <w:rPr>
          <w:kern w:val="22"/>
          <w:szCs w:val="22"/>
          <w:lang w:val="fr-FR"/>
        </w:rPr>
        <w:t xml:space="preserve"> doit signer une déclaration de conflit</w:t>
      </w:r>
      <w:r>
        <w:rPr>
          <w:kern w:val="22"/>
          <w:szCs w:val="22"/>
          <w:lang w:val="fr-FR"/>
        </w:rPr>
        <w:t xml:space="preserve"> d’intérêt</w:t>
      </w:r>
      <w:r w:rsidR="00B3380D">
        <w:rPr>
          <w:kern w:val="22"/>
          <w:szCs w:val="22"/>
          <w:lang w:val="fr-FR"/>
        </w:rPr>
        <w:t>s</w:t>
      </w:r>
      <w:r>
        <w:rPr>
          <w:kern w:val="22"/>
          <w:szCs w:val="22"/>
          <w:lang w:val="fr-FR"/>
        </w:rPr>
        <w:t xml:space="preserve"> avant de participer aux travaux du comité respectif. Cette exigence a pour objectif déclaré d’assurer l’intégrité technique des travaux des comités respectifs et d’éviter les situations dans lesquelles des intérêts financiers ou autres pourraient influencer le résultat du travail du comité.</w:t>
      </w:r>
    </w:p>
    <w:p w:rsidR="00D31E44" w:rsidRPr="0025700D" w:rsidRDefault="00F841D4" w:rsidP="00717F31">
      <w:pPr>
        <w:pStyle w:val="ListParagraph"/>
        <w:numPr>
          <w:ilvl w:val="0"/>
          <w:numId w:val="37"/>
        </w:numPr>
        <w:spacing w:before="120" w:after="120"/>
        <w:ind w:left="0" w:firstLine="0"/>
        <w:contextualSpacing w:val="0"/>
        <w:rPr>
          <w:kern w:val="22"/>
          <w:szCs w:val="22"/>
          <w:lang w:val="fr-FR"/>
        </w:rPr>
      </w:pPr>
      <w:r>
        <w:rPr>
          <w:kern w:val="22"/>
          <w:szCs w:val="22"/>
          <w:lang w:val="fr-FR"/>
        </w:rPr>
        <w:t xml:space="preserve">La Plénière de la Plateforme intergouvernementale scientifique et politique sur la biodiversité et les services écosystémiques (IPBES) a adopté « une politique en matière de conflits d’intérêts et des procédures d’application » dans l’annexe II de sa décision </w:t>
      </w:r>
      <w:r w:rsidR="00D31E44" w:rsidRPr="0025700D">
        <w:rPr>
          <w:iCs/>
          <w:kern w:val="22"/>
          <w:szCs w:val="22"/>
          <w:lang w:val="fr-FR"/>
        </w:rPr>
        <w:t>IPBES-3/3</w:t>
      </w:r>
      <w:r w:rsidR="00D31E44" w:rsidRPr="0025700D">
        <w:rPr>
          <w:i/>
          <w:iCs/>
          <w:kern w:val="22"/>
          <w:szCs w:val="22"/>
          <w:lang w:val="fr-FR"/>
        </w:rPr>
        <w:t xml:space="preserve">. </w:t>
      </w:r>
      <w:r>
        <w:rPr>
          <w:kern w:val="22"/>
          <w:szCs w:val="22"/>
          <w:lang w:val="fr-FR"/>
        </w:rPr>
        <w:t>Comme il est précisé dans la politique, l</w:t>
      </w:r>
      <w:r w:rsidR="00E93F06">
        <w:rPr>
          <w:kern w:val="22"/>
          <w:szCs w:val="22"/>
          <w:lang w:val="fr-FR"/>
        </w:rPr>
        <w:t xml:space="preserve">’objet de la politique est de </w:t>
      </w:r>
      <w:r w:rsidRPr="009C4AA9">
        <w:rPr>
          <w:lang w:val="fr-FR"/>
        </w:rPr>
        <w:t>protéger la légitimité, l</w:t>
      </w:r>
      <w:r>
        <w:rPr>
          <w:lang w:val="fr-FR"/>
        </w:rPr>
        <w:t>’</w:t>
      </w:r>
      <w:r w:rsidRPr="009C4AA9">
        <w:rPr>
          <w:lang w:val="fr-FR"/>
        </w:rPr>
        <w:t>intégrité et la crédibilité de la Plateforme et de ses produits ainsi que la confiance dans ses activités et dans les personnes qui participent directement à l</w:t>
      </w:r>
      <w:r>
        <w:rPr>
          <w:lang w:val="fr-FR"/>
        </w:rPr>
        <w:t>’</w:t>
      </w:r>
      <w:r w:rsidRPr="009C4AA9">
        <w:rPr>
          <w:lang w:val="fr-FR"/>
        </w:rPr>
        <w:t>élaboration des rapports et autres produits</w:t>
      </w:r>
      <w:r w:rsidR="00E93F06">
        <w:rPr>
          <w:lang w:val="fr-FR"/>
        </w:rPr>
        <w:t> »</w:t>
      </w:r>
      <w:r w:rsidR="00D31E44" w:rsidRPr="0025700D">
        <w:rPr>
          <w:rStyle w:val="FootnoteReference"/>
          <w:kern w:val="22"/>
          <w:sz w:val="22"/>
          <w:szCs w:val="22"/>
          <w:lang w:val="fr-FR"/>
        </w:rPr>
        <w:footnoteReference w:id="14"/>
      </w:r>
      <w:r w:rsidR="00E93F06">
        <w:rPr>
          <w:lang w:val="fr-FR"/>
        </w:rPr>
        <w:t>.</w:t>
      </w:r>
      <w:r w:rsidR="00D31E44" w:rsidRPr="0025700D">
        <w:rPr>
          <w:kern w:val="22"/>
          <w:szCs w:val="22"/>
          <w:lang w:val="fr-FR"/>
        </w:rPr>
        <w:t xml:space="preserve"> </w:t>
      </w:r>
      <w:r w:rsidR="00E93F06">
        <w:rPr>
          <w:kern w:val="22"/>
          <w:szCs w:val="22"/>
          <w:lang w:val="fr-FR"/>
        </w:rPr>
        <w:t>Selon les procédures d</w:t>
      </w:r>
      <w:r w:rsidR="007C2501">
        <w:rPr>
          <w:kern w:val="22"/>
          <w:szCs w:val="22"/>
          <w:lang w:val="fr-FR"/>
        </w:rPr>
        <w:t>’application</w:t>
      </w:r>
      <w:r w:rsidR="00D20E6A" w:rsidRPr="0025700D">
        <w:rPr>
          <w:rStyle w:val="FootnoteReference"/>
          <w:kern w:val="22"/>
          <w:sz w:val="22"/>
          <w:szCs w:val="22"/>
          <w:lang w:val="fr-FR"/>
        </w:rPr>
        <w:footnoteReference w:id="15"/>
      </w:r>
      <w:r w:rsidR="00E93F06">
        <w:rPr>
          <w:kern w:val="22"/>
          <w:szCs w:val="22"/>
          <w:lang w:val="fr-FR"/>
        </w:rPr>
        <w:t xml:space="preserve">, </w:t>
      </w:r>
      <w:r w:rsidR="00472FF7">
        <w:rPr>
          <w:kern w:val="22"/>
          <w:szCs w:val="22"/>
          <w:lang w:val="fr-FR"/>
        </w:rPr>
        <w:t>toute personne</w:t>
      </w:r>
      <w:r w:rsidR="00E93F06">
        <w:rPr>
          <w:kern w:val="22"/>
          <w:szCs w:val="22"/>
          <w:lang w:val="fr-FR"/>
        </w:rPr>
        <w:t xml:space="preserve"> est tenu</w:t>
      </w:r>
      <w:r w:rsidR="00472FF7">
        <w:rPr>
          <w:kern w:val="22"/>
          <w:szCs w:val="22"/>
          <w:lang w:val="fr-FR"/>
        </w:rPr>
        <w:t>e</w:t>
      </w:r>
      <w:r w:rsidR="00E93F06">
        <w:rPr>
          <w:kern w:val="22"/>
          <w:szCs w:val="22"/>
          <w:lang w:val="fr-FR"/>
        </w:rPr>
        <w:t xml:space="preserve"> </w:t>
      </w:r>
      <w:r w:rsidR="00472FF7">
        <w:rPr>
          <w:kern w:val="22"/>
          <w:szCs w:val="22"/>
          <w:lang w:val="fr-FR"/>
        </w:rPr>
        <w:t xml:space="preserve">de </w:t>
      </w:r>
      <w:r w:rsidR="00E93F06">
        <w:rPr>
          <w:kern w:val="22"/>
          <w:szCs w:val="22"/>
          <w:lang w:val="fr-FR"/>
        </w:rPr>
        <w:t>remplir un formu</w:t>
      </w:r>
      <w:r w:rsidR="007C2501">
        <w:rPr>
          <w:kern w:val="22"/>
          <w:szCs w:val="22"/>
          <w:lang w:val="fr-FR"/>
        </w:rPr>
        <w:t>laire de déclaration de conflit</w:t>
      </w:r>
      <w:r w:rsidR="00E93F06">
        <w:rPr>
          <w:kern w:val="22"/>
          <w:szCs w:val="22"/>
          <w:lang w:val="fr-FR"/>
        </w:rPr>
        <w:t xml:space="preserve"> d’intérêts avant</w:t>
      </w:r>
      <w:r w:rsidR="00472FF7">
        <w:rPr>
          <w:kern w:val="22"/>
          <w:szCs w:val="22"/>
          <w:lang w:val="fr-FR"/>
        </w:rPr>
        <w:t xml:space="preserve"> d’être nommée </w:t>
      </w:r>
      <w:r w:rsidR="00472FF7" w:rsidRPr="009C4AA9">
        <w:rPr>
          <w:lang w:val="fr-FR"/>
        </w:rPr>
        <w:t>membre de l</w:t>
      </w:r>
      <w:r w:rsidR="00472FF7">
        <w:rPr>
          <w:lang w:val="fr-FR"/>
        </w:rPr>
        <w:t>’</w:t>
      </w:r>
      <w:r w:rsidR="00472FF7" w:rsidRPr="009C4AA9">
        <w:rPr>
          <w:lang w:val="fr-FR"/>
        </w:rPr>
        <w:t>équipe spéciale ou du groupe d</w:t>
      </w:r>
      <w:r w:rsidR="00472FF7">
        <w:rPr>
          <w:lang w:val="fr-FR"/>
        </w:rPr>
        <w:t>’</w:t>
      </w:r>
      <w:r w:rsidR="00472FF7" w:rsidRPr="009C4AA9">
        <w:rPr>
          <w:lang w:val="fr-FR"/>
        </w:rPr>
        <w:t>experts, coprésident du rapport, auteur principal chargé de la coordination, auteur principal ou éditeur examinateur</w:t>
      </w:r>
      <w:r w:rsidR="00472FF7">
        <w:rPr>
          <w:lang w:val="fr-FR"/>
        </w:rPr>
        <w:t>. Le formulaire rempli est ensuite présent</w:t>
      </w:r>
      <w:r w:rsidR="007C2501">
        <w:rPr>
          <w:lang w:val="fr-FR"/>
        </w:rPr>
        <w:t>é au secrétariat du Comité des</w:t>
      </w:r>
      <w:r w:rsidR="00472FF7">
        <w:rPr>
          <w:lang w:val="fr-FR"/>
        </w:rPr>
        <w:t xml:space="preserve"> conflits d’intérêts</w:t>
      </w:r>
      <w:r w:rsidR="005F0A60">
        <w:rPr>
          <w:lang w:val="fr-FR"/>
        </w:rPr>
        <w:t xml:space="preserve">, qui l’examine </w:t>
      </w:r>
      <w:r w:rsidR="005F0A60" w:rsidRPr="009C4AA9">
        <w:rPr>
          <w:lang w:val="fr-FR"/>
        </w:rPr>
        <w:t>afin de déterminer si cette personne pourrait se trouver dans une situation de conflit d</w:t>
      </w:r>
      <w:r w:rsidR="005F0A60">
        <w:rPr>
          <w:lang w:val="fr-FR"/>
        </w:rPr>
        <w:t>’</w:t>
      </w:r>
      <w:r w:rsidR="005F0A60" w:rsidRPr="009C4AA9">
        <w:rPr>
          <w:lang w:val="fr-FR"/>
        </w:rPr>
        <w:t>intérêts potentiel qui ne peut pas être résolue</w:t>
      </w:r>
      <w:r w:rsidR="005F0A60">
        <w:rPr>
          <w:kern w:val="22"/>
          <w:szCs w:val="22"/>
          <w:lang w:val="fr-FR"/>
        </w:rPr>
        <w:t xml:space="preserve">. </w:t>
      </w:r>
      <w:r w:rsidR="005F0A60" w:rsidRPr="009C4AA9">
        <w:rPr>
          <w:lang w:val="fr-FR"/>
        </w:rPr>
        <w:t>Si le Comité établit que la personne se trouve dans une telle situation, cette dernière n</w:t>
      </w:r>
      <w:r w:rsidR="005F0A60">
        <w:rPr>
          <w:lang w:val="fr-FR"/>
        </w:rPr>
        <w:t>’</w:t>
      </w:r>
      <w:r w:rsidR="007C2501">
        <w:rPr>
          <w:lang w:val="fr-FR"/>
        </w:rPr>
        <w:t>est plus admissible</w:t>
      </w:r>
      <w:r w:rsidR="005F0A60" w:rsidRPr="009C4AA9">
        <w:rPr>
          <w:lang w:val="fr-FR"/>
        </w:rPr>
        <w:t xml:space="preserve"> à participer à l</w:t>
      </w:r>
      <w:r w:rsidR="005F0A60">
        <w:rPr>
          <w:lang w:val="fr-FR"/>
        </w:rPr>
        <w:t>’</w:t>
      </w:r>
      <w:r w:rsidR="005F0A60" w:rsidRPr="009C4AA9">
        <w:rPr>
          <w:lang w:val="fr-FR"/>
        </w:rPr>
        <w:t xml:space="preserve">élaboration du produit de la Plateforme. </w:t>
      </w:r>
      <w:r w:rsidR="005F0A60">
        <w:rPr>
          <w:lang w:val="fr-FR"/>
        </w:rPr>
        <w:t xml:space="preserve">Le secrétariat de l’IPBES doit aussi être informé de tout changement dans la situation de la personne qui pourrait survenir après sa nomination. </w:t>
      </w:r>
    </w:p>
    <w:p w:rsidR="00D772F7" w:rsidRPr="00717F31" w:rsidRDefault="00104024" w:rsidP="00717F31">
      <w:pPr>
        <w:pStyle w:val="ListParagraph"/>
        <w:numPr>
          <w:ilvl w:val="0"/>
          <w:numId w:val="37"/>
        </w:numPr>
        <w:spacing w:before="120" w:after="120"/>
        <w:ind w:left="0" w:firstLine="0"/>
        <w:contextualSpacing w:val="0"/>
        <w:rPr>
          <w:kern w:val="22"/>
          <w:szCs w:val="22"/>
        </w:rPr>
      </w:pPr>
      <w:r>
        <w:rPr>
          <w:kern w:val="22"/>
          <w:szCs w:val="22"/>
          <w:lang w:val="fr-FR"/>
        </w:rPr>
        <w:t xml:space="preserve">Plusieurs autres organisations ou organismes ont adopté des lignes directrices ou des politiques en matière de conflits d’intérêts. L’Organisation mondiale de la santé (OMS), par exemple, </w:t>
      </w:r>
      <w:r w:rsidR="00E67E6E">
        <w:rPr>
          <w:kern w:val="22"/>
          <w:szCs w:val="22"/>
          <w:lang w:val="fr-FR"/>
        </w:rPr>
        <w:t>a des lignes directrices complè</w:t>
      </w:r>
      <w:r w:rsidR="007C2501">
        <w:rPr>
          <w:kern w:val="22"/>
          <w:szCs w:val="22"/>
          <w:lang w:val="fr-FR"/>
        </w:rPr>
        <w:t>tes sur les conflits d’intérêts</w:t>
      </w:r>
      <w:r w:rsidR="00E67E6E">
        <w:rPr>
          <w:kern w:val="22"/>
          <w:szCs w:val="22"/>
          <w:lang w:val="fr-FR"/>
        </w:rPr>
        <w:t xml:space="preserve"> qui s’appliquent aux experts qui sont invités à fournir des avis indépendants qui permettent à l’OMS de prendre une décision ou de formuler des recommandations solides à ses États membres ou aux autres parties prenantes</w:t>
      </w:r>
      <w:r w:rsidR="002968BD" w:rsidRPr="0025700D">
        <w:rPr>
          <w:rStyle w:val="FootnoteReference"/>
          <w:kern w:val="22"/>
          <w:sz w:val="22"/>
          <w:szCs w:val="22"/>
          <w:lang w:val="fr-FR"/>
        </w:rPr>
        <w:footnoteReference w:id="16"/>
      </w:r>
      <w:r w:rsidR="00E67E6E">
        <w:rPr>
          <w:kern w:val="22"/>
          <w:szCs w:val="22"/>
          <w:lang w:val="fr-FR"/>
        </w:rPr>
        <w:t>.</w:t>
      </w:r>
      <w:r w:rsidR="00A840D4" w:rsidRPr="0025700D">
        <w:rPr>
          <w:kern w:val="22"/>
          <w:szCs w:val="22"/>
          <w:lang w:val="fr-FR"/>
        </w:rPr>
        <w:t xml:space="preserve"> </w:t>
      </w:r>
      <w:r w:rsidR="00E67E6E">
        <w:rPr>
          <w:kern w:val="22"/>
          <w:szCs w:val="22"/>
          <w:lang w:val="fr-FR"/>
        </w:rPr>
        <w:t>L’Organisation des Nations Unies pour l’alimentation et l’agriculture (FAO) requiert que ses experts remplissent un formulaire</w:t>
      </w:r>
      <w:r w:rsidR="00E97709">
        <w:rPr>
          <w:kern w:val="22"/>
          <w:szCs w:val="22"/>
          <w:lang w:val="fr-FR"/>
        </w:rPr>
        <w:t xml:space="preserve"> de déclaration de conflit d’intérêts. Le règlement du Fonds vert pour le climat prévoit que les membres du Conseil et l</w:t>
      </w:r>
      <w:r w:rsidR="007C2501">
        <w:rPr>
          <w:kern w:val="22"/>
          <w:szCs w:val="22"/>
          <w:lang w:val="fr-FR"/>
        </w:rPr>
        <w:t>es membres suppléants déclarent</w:t>
      </w:r>
      <w:r w:rsidR="00E97709">
        <w:rPr>
          <w:kern w:val="22"/>
          <w:szCs w:val="22"/>
          <w:lang w:val="fr-FR"/>
        </w:rPr>
        <w:t xml:space="preserve"> tout conflit d’intérêts qu’ils pourraient avoir par rapport aux points inscrits à l’ordre du jour et de</w:t>
      </w:r>
      <w:r w:rsidR="00A52E16">
        <w:rPr>
          <w:kern w:val="22"/>
          <w:szCs w:val="22"/>
          <w:lang w:val="fr-FR"/>
        </w:rPr>
        <w:t xml:space="preserve"> s’abstenir</w:t>
      </w:r>
      <w:r w:rsidR="00E97709">
        <w:rPr>
          <w:kern w:val="22"/>
          <w:szCs w:val="22"/>
          <w:lang w:val="fr-FR"/>
        </w:rPr>
        <w:t xml:space="preserve"> de participer à toute décision concernant un projet et/ou impliquant un organisme</w:t>
      </w:r>
      <w:r w:rsidR="00A52E16">
        <w:rPr>
          <w:kern w:val="22"/>
          <w:szCs w:val="22"/>
          <w:lang w:val="fr-FR"/>
        </w:rPr>
        <w:t xml:space="preserve"> à l’égard duquel ils ont un conflit d’intérêts, tel que défini dans les normes sur </w:t>
      </w:r>
      <w:r w:rsidR="00E24F24">
        <w:rPr>
          <w:kern w:val="22"/>
          <w:szCs w:val="22"/>
          <w:lang w:val="fr-FR"/>
        </w:rPr>
        <w:t>l’éthique et le</w:t>
      </w:r>
      <w:r w:rsidR="007C2501">
        <w:rPr>
          <w:kern w:val="22"/>
          <w:szCs w:val="22"/>
          <w:lang w:val="fr-FR"/>
        </w:rPr>
        <w:t>s</w:t>
      </w:r>
      <w:r w:rsidR="00E24F24">
        <w:rPr>
          <w:kern w:val="22"/>
          <w:szCs w:val="22"/>
          <w:lang w:val="fr-FR"/>
        </w:rPr>
        <w:t xml:space="preserve"> conflit</w:t>
      </w:r>
      <w:r w:rsidR="007C2501">
        <w:rPr>
          <w:kern w:val="22"/>
          <w:szCs w:val="22"/>
          <w:lang w:val="fr-FR"/>
        </w:rPr>
        <w:t>s</w:t>
      </w:r>
      <w:r w:rsidR="00E24F24">
        <w:rPr>
          <w:kern w:val="22"/>
          <w:szCs w:val="22"/>
          <w:lang w:val="fr-FR"/>
        </w:rPr>
        <w:t xml:space="preserve"> d’intérêts. Les observateurs actifs qui participent aux réunions du Conse</w:t>
      </w:r>
      <w:r w:rsidR="007C2501">
        <w:rPr>
          <w:kern w:val="22"/>
          <w:szCs w:val="22"/>
          <w:lang w:val="fr-FR"/>
        </w:rPr>
        <w:t>il sont aussi tenus de déclarer</w:t>
      </w:r>
      <w:r w:rsidR="00E24F24">
        <w:rPr>
          <w:kern w:val="22"/>
          <w:szCs w:val="22"/>
          <w:lang w:val="fr-FR"/>
        </w:rPr>
        <w:t xml:space="preserve"> tout co</w:t>
      </w:r>
      <w:r w:rsidR="007C2501">
        <w:rPr>
          <w:kern w:val="22"/>
          <w:szCs w:val="22"/>
          <w:lang w:val="fr-FR"/>
        </w:rPr>
        <w:t>nflit d’intérêts qu’ils pourraient</w:t>
      </w:r>
      <w:r w:rsidR="00E24F24">
        <w:rPr>
          <w:kern w:val="22"/>
          <w:szCs w:val="22"/>
          <w:lang w:val="fr-FR"/>
        </w:rPr>
        <w:t xml:space="preserve"> avoir </w:t>
      </w:r>
      <w:r w:rsidR="00BE5265">
        <w:rPr>
          <w:kern w:val="22"/>
          <w:szCs w:val="22"/>
          <w:lang w:val="fr-FR"/>
        </w:rPr>
        <w:t>par rapport à des points à l’ordre du jour et de s’abstenir de participer aux débats sur ce point</w:t>
      </w:r>
      <w:r w:rsidR="0013604D" w:rsidRPr="0025700D">
        <w:rPr>
          <w:rStyle w:val="FootnoteReference"/>
          <w:kern w:val="22"/>
          <w:sz w:val="22"/>
          <w:szCs w:val="22"/>
          <w:lang w:val="fr-FR"/>
        </w:rPr>
        <w:footnoteReference w:id="17"/>
      </w:r>
      <w:r w:rsidR="006B75B0">
        <w:rPr>
          <w:kern w:val="22"/>
          <w:szCs w:val="22"/>
          <w:lang w:val="fr-FR"/>
        </w:rPr>
        <w:t>.</w:t>
      </w:r>
    </w:p>
    <w:p w:rsidR="00D772F7" w:rsidRPr="00E30D4B" w:rsidRDefault="00297E88" w:rsidP="007C2501">
      <w:pPr>
        <w:pStyle w:val="Heading2"/>
        <w:tabs>
          <w:tab w:val="clear" w:pos="720"/>
        </w:tabs>
        <w:ind w:left="1418" w:hanging="709"/>
        <w:jc w:val="left"/>
        <w:rPr>
          <w:kern w:val="22"/>
          <w:szCs w:val="22"/>
          <w:lang w:val="fr-FR"/>
        </w:rPr>
      </w:pPr>
      <w:r w:rsidRPr="00717F31">
        <w:rPr>
          <w:kern w:val="22"/>
          <w:szCs w:val="22"/>
        </w:rPr>
        <w:t>D.</w:t>
      </w:r>
      <w:r w:rsidRPr="00717F31">
        <w:rPr>
          <w:kern w:val="22"/>
          <w:szCs w:val="22"/>
        </w:rPr>
        <w:tab/>
      </w:r>
      <w:r w:rsidR="006B75B0" w:rsidRPr="00E30D4B">
        <w:rPr>
          <w:kern w:val="22"/>
          <w:szCs w:val="22"/>
          <w:lang w:val="fr-FR"/>
        </w:rPr>
        <w:t xml:space="preserve">Proposition de </w:t>
      </w:r>
      <w:r w:rsidR="00E30D4B">
        <w:rPr>
          <w:kern w:val="22"/>
          <w:szCs w:val="22"/>
          <w:lang w:val="fr-FR"/>
        </w:rPr>
        <w:t>procé</w:t>
      </w:r>
      <w:r w:rsidR="006B75B0" w:rsidRPr="00E30D4B">
        <w:rPr>
          <w:kern w:val="22"/>
          <w:szCs w:val="22"/>
          <w:lang w:val="fr-FR"/>
        </w:rPr>
        <w:t xml:space="preserve">dures pour éviter </w:t>
      </w:r>
      <w:proofErr w:type="gramStart"/>
      <w:r w:rsidR="006B75B0" w:rsidRPr="00E30D4B">
        <w:rPr>
          <w:kern w:val="22"/>
          <w:szCs w:val="22"/>
          <w:lang w:val="fr-FR"/>
        </w:rPr>
        <w:t>et</w:t>
      </w:r>
      <w:proofErr w:type="gramEnd"/>
      <w:r w:rsidR="006B75B0" w:rsidRPr="00E30D4B">
        <w:rPr>
          <w:kern w:val="22"/>
          <w:szCs w:val="22"/>
          <w:lang w:val="fr-FR"/>
        </w:rPr>
        <w:t xml:space="preserve"> gérer les conflits d’intérêts au sein des groupes d’experts</w:t>
      </w:r>
    </w:p>
    <w:p w:rsidR="006D7D9F" w:rsidRPr="00E30D4B" w:rsidRDefault="00E30D4B" w:rsidP="00717F31">
      <w:pPr>
        <w:pStyle w:val="ListParagraph"/>
        <w:numPr>
          <w:ilvl w:val="0"/>
          <w:numId w:val="37"/>
        </w:numPr>
        <w:spacing w:before="120" w:after="120"/>
        <w:ind w:left="0" w:firstLine="0"/>
        <w:contextualSpacing w:val="0"/>
        <w:rPr>
          <w:kern w:val="22"/>
          <w:szCs w:val="22"/>
          <w:lang w:val="fr-FR"/>
        </w:rPr>
      </w:pPr>
      <w:r>
        <w:rPr>
          <w:kern w:val="22"/>
          <w:szCs w:val="22"/>
          <w:lang w:val="fr-FR"/>
        </w:rPr>
        <w:t>Les progrès et la complexité croissante de la recherche et du développement en biosciences ont augmenté la nécessité, pour les Parties à la Convention et à ses protocoles, de solliciter plus d’avis d’experts pour traiter les questions scientifiques, techniques et technologiques. Les contributions des experts ou scientifiques les plus</w:t>
      </w:r>
      <w:r w:rsidR="00807B01">
        <w:rPr>
          <w:kern w:val="22"/>
          <w:szCs w:val="22"/>
          <w:lang w:val="fr-FR"/>
        </w:rPr>
        <w:t xml:space="preserve"> chevronnés et avisés sont devenues très importantes afin de veiller à ce que les Parties adoptent des décisions fondées sur des données scientifiques et éclairées. En même temps, </w:t>
      </w:r>
      <w:r w:rsidR="00807B01">
        <w:rPr>
          <w:kern w:val="22"/>
          <w:szCs w:val="22"/>
          <w:lang w:val="fr-FR"/>
        </w:rPr>
        <w:lastRenderedPageBreak/>
        <w:t xml:space="preserve">cette situation a augmenté les enjeux, les préoccupations et les controverses concernant </w:t>
      </w:r>
      <w:r w:rsidR="00C644C4">
        <w:rPr>
          <w:kern w:val="22"/>
          <w:szCs w:val="22"/>
          <w:lang w:val="fr-FR"/>
        </w:rPr>
        <w:t>les questions d’éthique et les questions relatives aux conflits d’intérêt</w:t>
      </w:r>
      <w:r w:rsidR="00E56CE2" w:rsidRPr="00E30D4B">
        <w:rPr>
          <w:kern w:val="22"/>
          <w:szCs w:val="22"/>
          <w:lang w:val="fr-FR"/>
        </w:rPr>
        <w:t>.</w:t>
      </w:r>
      <w:r w:rsidR="00E56CE2" w:rsidRPr="00E30D4B">
        <w:rPr>
          <w:rStyle w:val="FootnoteReference"/>
          <w:kern w:val="22"/>
          <w:sz w:val="22"/>
          <w:szCs w:val="22"/>
          <w:lang w:val="fr-FR"/>
        </w:rPr>
        <w:footnoteReference w:id="18"/>
      </w:r>
    </w:p>
    <w:p w:rsidR="00084305" w:rsidRPr="00E30D4B" w:rsidRDefault="00C644C4" w:rsidP="00717F31">
      <w:pPr>
        <w:pStyle w:val="ListParagraph"/>
        <w:numPr>
          <w:ilvl w:val="0"/>
          <w:numId w:val="37"/>
        </w:numPr>
        <w:spacing w:before="120" w:after="120"/>
        <w:ind w:left="0" w:firstLine="0"/>
        <w:contextualSpacing w:val="0"/>
        <w:rPr>
          <w:kern w:val="22"/>
          <w:szCs w:val="22"/>
          <w:lang w:val="fr-FR"/>
        </w:rPr>
      </w:pPr>
      <w:r>
        <w:rPr>
          <w:kern w:val="22"/>
          <w:szCs w:val="22"/>
          <w:lang w:val="fr-FR"/>
        </w:rPr>
        <w:t xml:space="preserve">Par conséquent, il est nécessaire d’envisager de formaliser les procédures d’évitement et de gestion des conflits d’intérêts afin d’assurer l’intégrité scientifique et technique des travaux des groupes d’experts techniques qui sont </w:t>
      </w:r>
      <w:r w:rsidR="00C17A34">
        <w:rPr>
          <w:kern w:val="22"/>
          <w:szCs w:val="22"/>
          <w:lang w:val="fr-FR"/>
        </w:rPr>
        <w:t xml:space="preserve">effectués </w:t>
      </w:r>
      <w:r>
        <w:rPr>
          <w:kern w:val="22"/>
          <w:szCs w:val="22"/>
          <w:lang w:val="fr-FR"/>
        </w:rPr>
        <w:t xml:space="preserve">au titre de la Convention et de ses protocoles. Chaque expert nommé membre d’un </w:t>
      </w:r>
      <w:r w:rsidR="003C3433">
        <w:rPr>
          <w:kern w:val="22"/>
          <w:szCs w:val="22"/>
          <w:lang w:val="fr-FR"/>
        </w:rPr>
        <w:t>groupe d’experts qui opère en ligne, en personne ou les deux devrait avoir l’obli</w:t>
      </w:r>
      <w:r w:rsidR="000B0BCE">
        <w:rPr>
          <w:kern w:val="22"/>
          <w:szCs w:val="22"/>
          <w:lang w:val="fr-FR"/>
        </w:rPr>
        <w:t>gation de déclarer tout intérêt</w:t>
      </w:r>
      <w:r w:rsidR="003C3433">
        <w:rPr>
          <w:kern w:val="22"/>
          <w:szCs w:val="22"/>
          <w:lang w:val="fr-FR"/>
        </w:rPr>
        <w:t xml:space="preserve"> qu’il pourrait avoir susceptible de constituer un conflit réel ou potentiel par rapport à sa responsabilité de membre d’un groupe d’experts.</w:t>
      </w:r>
    </w:p>
    <w:p w:rsidR="0040393B" w:rsidRPr="00E30D4B" w:rsidRDefault="003C3433" w:rsidP="00717F31">
      <w:pPr>
        <w:pStyle w:val="ListParagraph"/>
        <w:numPr>
          <w:ilvl w:val="0"/>
          <w:numId w:val="37"/>
        </w:numPr>
        <w:spacing w:before="120" w:after="120"/>
        <w:ind w:left="0" w:firstLine="0"/>
        <w:contextualSpacing w:val="0"/>
        <w:rPr>
          <w:kern w:val="22"/>
          <w:szCs w:val="22"/>
          <w:lang w:val="fr-FR"/>
        </w:rPr>
      </w:pPr>
      <w:r>
        <w:rPr>
          <w:kern w:val="22"/>
          <w:szCs w:val="22"/>
          <w:lang w:val="fr-FR"/>
        </w:rPr>
        <w:t>Les procédures proposées, ainsi qu’un formulaire de déclaration de conflit d’intérêts sont joints en annexe au présent document pour examen par l’Organe subsidiaire chargé de l’application à sa deuxième réunion.</w:t>
      </w:r>
    </w:p>
    <w:p w:rsidR="00084305" w:rsidRPr="00E30D4B" w:rsidRDefault="008C0535" w:rsidP="00717F31">
      <w:pPr>
        <w:pStyle w:val="Heading1"/>
        <w:rPr>
          <w:kern w:val="22"/>
          <w:szCs w:val="22"/>
          <w:lang w:val="fr-FR"/>
        </w:rPr>
      </w:pPr>
      <w:r w:rsidRPr="00E30D4B">
        <w:rPr>
          <w:kern w:val="22"/>
          <w:szCs w:val="22"/>
          <w:lang w:val="fr-FR"/>
        </w:rPr>
        <w:t>IV</w:t>
      </w:r>
      <w:r w:rsidR="00084305" w:rsidRPr="00E30D4B">
        <w:rPr>
          <w:kern w:val="22"/>
          <w:szCs w:val="22"/>
          <w:lang w:val="fr-FR"/>
        </w:rPr>
        <w:t>.</w:t>
      </w:r>
      <w:r w:rsidR="00084305" w:rsidRPr="00E30D4B">
        <w:rPr>
          <w:kern w:val="22"/>
          <w:szCs w:val="22"/>
          <w:lang w:val="fr-FR"/>
        </w:rPr>
        <w:tab/>
      </w:r>
      <w:r w:rsidR="00027425">
        <w:rPr>
          <w:kern w:val="22"/>
          <w:szCs w:val="22"/>
          <w:lang w:val="fr-FR"/>
        </w:rPr>
        <w:t>proposition d’</w:t>
      </w:r>
      <w:r w:rsidR="003C3433">
        <w:rPr>
          <w:kern w:val="22"/>
          <w:szCs w:val="22"/>
          <w:lang w:val="fr-FR"/>
        </w:rPr>
        <w:t>ÉLÉMENTS d’une RECOMMa</w:t>
      </w:r>
      <w:r w:rsidR="00084305" w:rsidRPr="00E30D4B">
        <w:rPr>
          <w:kern w:val="22"/>
          <w:szCs w:val="22"/>
          <w:lang w:val="fr-FR"/>
        </w:rPr>
        <w:t>NDATION</w:t>
      </w:r>
    </w:p>
    <w:p w:rsidR="00C164DE" w:rsidRPr="00E30D4B" w:rsidRDefault="003C3433" w:rsidP="00717F31">
      <w:pPr>
        <w:pStyle w:val="ListParagraph"/>
        <w:numPr>
          <w:ilvl w:val="0"/>
          <w:numId w:val="37"/>
        </w:numPr>
        <w:spacing w:before="120" w:after="120"/>
        <w:ind w:left="0" w:firstLine="0"/>
        <w:contextualSpacing w:val="0"/>
        <w:rPr>
          <w:kern w:val="22"/>
          <w:szCs w:val="22"/>
          <w:lang w:val="fr-FR"/>
        </w:rPr>
      </w:pPr>
      <w:r>
        <w:rPr>
          <w:kern w:val="22"/>
          <w:szCs w:val="22"/>
          <w:lang w:val="fr-FR"/>
        </w:rPr>
        <w:t>L’Organe subsidiaire chargé de l’application pourrait souhaiter adopter une recommandation dans ce sens :</w:t>
      </w:r>
    </w:p>
    <w:p w:rsidR="00C164DE" w:rsidRPr="00E30D4B" w:rsidRDefault="003C3433" w:rsidP="00717F31">
      <w:pPr>
        <w:spacing w:before="120" w:after="120"/>
        <w:ind w:firstLine="709"/>
        <w:rPr>
          <w:i/>
          <w:kern w:val="22"/>
          <w:szCs w:val="22"/>
          <w:lang w:val="fr-FR"/>
        </w:rPr>
      </w:pPr>
      <w:r>
        <w:rPr>
          <w:i/>
          <w:kern w:val="22"/>
          <w:szCs w:val="22"/>
          <w:lang w:val="fr-FR"/>
        </w:rPr>
        <w:t>L’Organe subsidiaire chargé de l’application</w:t>
      </w:r>
    </w:p>
    <w:p w:rsidR="00C164DE" w:rsidRPr="00E30D4B" w:rsidRDefault="003C3433" w:rsidP="00717F31">
      <w:pPr>
        <w:spacing w:before="120" w:after="120"/>
        <w:ind w:firstLine="709"/>
        <w:rPr>
          <w:kern w:val="22"/>
          <w:szCs w:val="22"/>
          <w:lang w:val="fr-FR"/>
        </w:rPr>
      </w:pPr>
      <w:r>
        <w:rPr>
          <w:i/>
          <w:kern w:val="22"/>
          <w:szCs w:val="22"/>
          <w:lang w:val="fr-FR"/>
        </w:rPr>
        <w:t>Demande</w:t>
      </w:r>
      <w:r>
        <w:rPr>
          <w:kern w:val="22"/>
          <w:szCs w:val="22"/>
          <w:lang w:val="fr-FR"/>
        </w:rPr>
        <w:t xml:space="preserve"> au Bureau et à la Secrétaire exécutive, lors de la mise au point finale </w:t>
      </w:r>
      <w:r w:rsidR="00FE4D68">
        <w:rPr>
          <w:kern w:val="22"/>
          <w:szCs w:val="22"/>
          <w:lang w:val="fr-FR"/>
        </w:rPr>
        <w:t>de l’organisation des travaux proposée pour la quatorzième réunion de la Conférence des Parties à la Convention, la neuvième réunion de la Conférence des Parties siégeant en tant que réunion des Parties au Protocole de Cartagena et la troisième réunion de la Conférence des Parties siégeant en tant que réunion des Parties au Protocole de Nagoya, de prendre en comp</w:t>
      </w:r>
      <w:r w:rsidR="000B0BCE">
        <w:rPr>
          <w:kern w:val="22"/>
          <w:szCs w:val="22"/>
          <w:lang w:val="fr-FR"/>
        </w:rPr>
        <w:t>te la présente recommandation, l</w:t>
      </w:r>
      <w:r w:rsidR="00FE4D68">
        <w:rPr>
          <w:kern w:val="22"/>
          <w:szCs w:val="22"/>
          <w:lang w:val="fr-FR"/>
        </w:rPr>
        <w:t>es informations qui figurent dans la note de la Secrétaire exécutive sur l’expérience de la tenue de réunions concomitantes de la Conférence des Parties à la Convention et des réunions des Parties aux protocoles</w:t>
      </w:r>
      <w:r w:rsidR="00302B3C" w:rsidRPr="00E30D4B">
        <w:rPr>
          <w:rStyle w:val="FootnoteReference"/>
          <w:kern w:val="22"/>
          <w:sz w:val="22"/>
          <w:szCs w:val="22"/>
          <w:lang w:val="fr-FR"/>
        </w:rPr>
        <w:footnoteReference w:id="19"/>
      </w:r>
      <w:r w:rsidR="000B0BCE">
        <w:rPr>
          <w:kern w:val="22"/>
          <w:szCs w:val="22"/>
          <w:lang w:val="fr-FR"/>
        </w:rPr>
        <w:t xml:space="preserve"> et l</w:t>
      </w:r>
      <w:r w:rsidR="00FE4D68">
        <w:rPr>
          <w:kern w:val="22"/>
          <w:szCs w:val="22"/>
          <w:lang w:val="fr-FR"/>
        </w:rPr>
        <w:t xml:space="preserve">es </w:t>
      </w:r>
      <w:r w:rsidR="00C164DE" w:rsidRPr="00E30D4B">
        <w:rPr>
          <w:kern w:val="22"/>
          <w:szCs w:val="22"/>
          <w:lang w:val="fr-FR"/>
        </w:rPr>
        <w:t>notes</w:t>
      </w:r>
      <w:r w:rsidR="00FE4D68">
        <w:rPr>
          <w:kern w:val="22"/>
          <w:szCs w:val="22"/>
          <w:lang w:val="fr-FR"/>
        </w:rPr>
        <w:t xml:space="preserve"> d’information y relatives.</w:t>
      </w:r>
      <w:r w:rsidR="00302B3C" w:rsidRPr="00E30D4B">
        <w:rPr>
          <w:rStyle w:val="FootnoteReference"/>
          <w:kern w:val="22"/>
          <w:sz w:val="22"/>
          <w:szCs w:val="22"/>
          <w:lang w:val="fr-FR"/>
        </w:rPr>
        <w:footnoteReference w:id="20"/>
      </w:r>
    </w:p>
    <w:p w:rsidR="00C164DE" w:rsidRPr="00E30D4B" w:rsidRDefault="00FE4D68" w:rsidP="00717F31">
      <w:pPr>
        <w:pStyle w:val="ListParagraph"/>
        <w:numPr>
          <w:ilvl w:val="0"/>
          <w:numId w:val="37"/>
        </w:numPr>
        <w:spacing w:before="120" w:after="120"/>
        <w:ind w:left="0" w:firstLine="0"/>
        <w:contextualSpacing w:val="0"/>
        <w:rPr>
          <w:kern w:val="22"/>
          <w:szCs w:val="22"/>
          <w:lang w:val="fr-FR"/>
        </w:rPr>
      </w:pPr>
      <w:r>
        <w:rPr>
          <w:kern w:val="22"/>
          <w:szCs w:val="22"/>
          <w:lang w:val="fr-FR"/>
        </w:rPr>
        <w:t>L’Organe subsidiaire chargé de l’application pourrait aussi souhaiter recommander à la Conférence des Parties à la Convention,</w:t>
      </w:r>
      <w:r w:rsidR="00C164DE" w:rsidRPr="00E30D4B">
        <w:rPr>
          <w:kern w:val="22"/>
          <w:szCs w:val="22"/>
          <w:lang w:val="fr-FR"/>
        </w:rPr>
        <w:t xml:space="preserve"> </w:t>
      </w:r>
      <w:r>
        <w:rPr>
          <w:kern w:val="22"/>
          <w:szCs w:val="22"/>
          <w:lang w:val="fr-FR"/>
        </w:rPr>
        <w:t>la Conférence des Parties siégeant en tant que réunion des Parties au Protocole de Cartagena</w:t>
      </w:r>
      <w:r w:rsidRPr="00E30D4B">
        <w:rPr>
          <w:kern w:val="22"/>
          <w:szCs w:val="22"/>
          <w:lang w:val="fr-FR"/>
        </w:rPr>
        <w:t xml:space="preserve"> </w:t>
      </w:r>
      <w:r>
        <w:rPr>
          <w:kern w:val="22"/>
          <w:szCs w:val="22"/>
          <w:lang w:val="fr-FR"/>
        </w:rPr>
        <w:t>et la Conférence des Parties siégeant en tant que réunion des Parties au Protocole de Nagoya d’adopter, respectivement, une décision dans ce sens :</w:t>
      </w:r>
    </w:p>
    <w:p w:rsidR="00B749F5" w:rsidRPr="00E30D4B" w:rsidRDefault="00FE4D68" w:rsidP="00717F31">
      <w:pPr>
        <w:pStyle w:val="ListParagraph"/>
        <w:keepNext/>
        <w:spacing w:before="120" w:after="120"/>
        <w:ind w:left="0" w:firstLine="709"/>
        <w:contextualSpacing w:val="0"/>
        <w:rPr>
          <w:kern w:val="22"/>
          <w:szCs w:val="22"/>
          <w:lang w:val="fr-FR"/>
        </w:rPr>
      </w:pPr>
      <w:r>
        <w:rPr>
          <w:i/>
          <w:kern w:val="22"/>
          <w:szCs w:val="22"/>
          <w:lang w:val="fr-FR"/>
        </w:rPr>
        <w:t>La Conférence des Parties</w:t>
      </w:r>
      <w:r w:rsidR="00757851" w:rsidRPr="00E30D4B">
        <w:rPr>
          <w:i/>
          <w:kern w:val="22"/>
          <w:szCs w:val="22"/>
          <w:lang w:val="fr-FR"/>
        </w:rPr>
        <w:t>,</w:t>
      </w:r>
    </w:p>
    <w:p w:rsidR="00B749F5" w:rsidRPr="00E30D4B" w:rsidRDefault="00027425" w:rsidP="00717F31">
      <w:pPr>
        <w:pStyle w:val="ListParagraph"/>
        <w:spacing w:before="120" w:after="120"/>
        <w:ind w:left="0" w:firstLine="709"/>
        <w:contextualSpacing w:val="0"/>
        <w:rPr>
          <w:kern w:val="22"/>
          <w:szCs w:val="22"/>
          <w:lang w:val="fr-FR"/>
        </w:rPr>
      </w:pPr>
      <w:r w:rsidRPr="00027425">
        <w:rPr>
          <w:i/>
          <w:kern w:val="22"/>
          <w:szCs w:val="22"/>
          <w:lang w:val="fr-FR"/>
        </w:rPr>
        <w:t>La Conférence des Parties siégeant en tant que réunion des Parties au Protocole de Cartagena</w:t>
      </w:r>
      <w:r>
        <w:rPr>
          <w:i/>
          <w:kern w:val="22"/>
          <w:szCs w:val="22"/>
          <w:lang w:val="fr-FR"/>
        </w:rPr>
        <w:t xml:space="preserve"> sur la prévention des risques biotechnologiques</w:t>
      </w:r>
      <w:r w:rsidR="00B749F5" w:rsidRPr="00E30D4B">
        <w:rPr>
          <w:i/>
          <w:kern w:val="22"/>
          <w:szCs w:val="22"/>
          <w:lang w:val="fr-FR"/>
        </w:rPr>
        <w:t>,</w:t>
      </w:r>
    </w:p>
    <w:p w:rsidR="00757851" w:rsidRPr="00E30D4B" w:rsidRDefault="00027425" w:rsidP="00717F31">
      <w:pPr>
        <w:pStyle w:val="ListParagraph"/>
        <w:spacing w:before="120" w:after="120"/>
        <w:ind w:left="0" w:firstLine="709"/>
        <w:contextualSpacing w:val="0"/>
        <w:rPr>
          <w:i/>
          <w:kern w:val="22"/>
          <w:szCs w:val="22"/>
          <w:lang w:val="fr-FR"/>
        </w:rPr>
      </w:pPr>
      <w:r w:rsidRPr="00027425">
        <w:rPr>
          <w:i/>
          <w:kern w:val="22"/>
          <w:szCs w:val="22"/>
          <w:lang w:val="fr-FR"/>
        </w:rPr>
        <w:t>La Conférence des Parties siégeant en tant que réunion des P</w:t>
      </w:r>
      <w:r>
        <w:rPr>
          <w:i/>
          <w:kern w:val="22"/>
          <w:szCs w:val="22"/>
          <w:lang w:val="fr-FR"/>
        </w:rPr>
        <w:t>arties au Protocole de Nagoya sur l’accès et le partage des avantages</w:t>
      </w:r>
      <w:r w:rsidR="00B749F5" w:rsidRPr="00E30D4B">
        <w:rPr>
          <w:i/>
          <w:kern w:val="22"/>
          <w:szCs w:val="22"/>
          <w:lang w:val="fr-FR"/>
        </w:rPr>
        <w:t>,</w:t>
      </w:r>
    </w:p>
    <w:p w:rsidR="005A18BD" w:rsidRPr="00E30D4B" w:rsidRDefault="00887615" w:rsidP="00717F31">
      <w:pPr>
        <w:spacing w:before="120" w:after="120"/>
        <w:ind w:left="709" w:hanging="567"/>
        <w:rPr>
          <w:b/>
          <w:kern w:val="22"/>
          <w:szCs w:val="22"/>
          <w:lang w:val="fr-FR"/>
        </w:rPr>
      </w:pPr>
      <w:r w:rsidRPr="00E30D4B">
        <w:rPr>
          <w:b/>
          <w:kern w:val="22"/>
          <w:szCs w:val="22"/>
          <w:lang w:val="fr-FR"/>
        </w:rPr>
        <w:t>A.</w:t>
      </w:r>
      <w:r w:rsidRPr="00E30D4B">
        <w:rPr>
          <w:b/>
          <w:kern w:val="22"/>
          <w:szCs w:val="22"/>
          <w:lang w:val="fr-FR"/>
        </w:rPr>
        <w:tab/>
      </w:r>
      <w:r w:rsidR="00751FF7">
        <w:rPr>
          <w:b/>
          <w:kern w:val="22"/>
          <w:szCs w:val="22"/>
          <w:lang w:val="fr-FR"/>
        </w:rPr>
        <w:t xml:space="preserve">Examen de l’expérience de la tenue de réunions concomitantes de la Conférence des Parties à la Convention, la </w:t>
      </w:r>
      <w:r w:rsidR="00751FF7" w:rsidRPr="00751FF7">
        <w:rPr>
          <w:b/>
          <w:kern w:val="22"/>
          <w:szCs w:val="22"/>
          <w:lang w:val="fr-FR"/>
        </w:rPr>
        <w:t>Conférence des Parties siégeant en tant que réunion des Parties au Protocole de Cartagena</w:t>
      </w:r>
      <w:r w:rsidR="00751FF7">
        <w:rPr>
          <w:b/>
          <w:kern w:val="22"/>
          <w:szCs w:val="22"/>
          <w:lang w:val="fr-FR"/>
        </w:rPr>
        <w:t xml:space="preserve"> et la </w:t>
      </w:r>
      <w:r w:rsidR="00751FF7" w:rsidRPr="00751FF7">
        <w:rPr>
          <w:b/>
          <w:kern w:val="22"/>
          <w:szCs w:val="22"/>
          <w:lang w:val="fr-FR"/>
        </w:rPr>
        <w:t>Conférence des Parties siégeant en tant que réunion des P</w:t>
      </w:r>
      <w:r w:rsidR="00751FF7">
        <w:rPr>
          <w:b/>
          <w:kern w:val="22"/>
          <w:szCs w:val="22"/>
          <w:lang w:val="fr-FR"/>
        </w:rPr>
        <w:t>arties au Protocole de Nagoya</w:t>
      </w:r>
    </w:p>
    <w:p w:rsidR="00C164DE" w:rsidRPr="00E30D4B" w:rsidRDefault="00C164DE" w:rsidP="00717F31">
      <w:pPr>
        <w:spacing w:before="120" w:after="120"/>
        <w:ind w:firstLine="720"/>
        <w:rPr>
          <w:kern w:val="22"/>
          <w:szCs w:val="22"/>
          <w:lang w:val="fr-FR"/>
        </w:rPr>
      </w:pPr>
      <w:r w:rsidRPr="00E30D4B">
        <w:rPr>
          <w:i/>
          <w:iCs/>
          <w:kern w:val="22"/>
          <w:szCs w:val="22"/>
          <w:lang w:val="fr-FR"/>
        </w:rPr>
        <w:t>R</w:t>
      </w:r>
      <w:r w:rsidR="00027425">
        <w:rPr>
          <w:i/>
          <w:iCs/>
          <w:kern w:val="22"/>
          <w:szCs w:val="22"/>
          <w:lang w:val="fr-FR"/>
        </w:rPr>
        <w:t>appelant</w:t>
      </w:r>
      <w:r w:rsidR="00027425">
        <w:rPr>
          <w:kern w:val="22"/>
          <w:szCs w:val="22"/>
          <w:lang w:val="fr-FR"/>
        </w:rPr>
        <w:t xml:space="preserve"> les dé</w:t>
      </w:r>
      <w:r w:rsidRPr="00E30D4B">
        <w:rPr>
          <w:kern w:val="22"/>
          <w:szCs w:val="22"/>
          <w:lang w:val="fr-FR"/>
        </w:rPr>
        <w:t xml:space="preserve">cisions </w:t>
      </w:r>
      <w:hyperlink r:id="rId23" w:history="1">
        <w:r w:rsidRPr="00E30D4B">
          <w:rPr>
            <w:rStyle w:val="Hyperlink"/>
            <w:kern w:val="22"/>
            <w:szCs w:val="22"/>
            <w:lang w:val="fr-FR"/>
          </w:rPr>
          <w:t>X</w:t>
        </w:r>
        <w:r w:rsidR="0033653D" w:rsidRPr="00E30D4B">
          <w:rPr>
            <w:rStyle w:val="Hyperlink"/>
            <w:kern w:val="22"/>
            <w:szCs w:val="22"/>
            <w:lang w:val="fr-FR"/>
          </w:rPr>
          <w:t>I</w:t>
        </w:r>
        <w:r w:rsidRPr="00E30D4B">
          <w:rPr>
            <w:rStyle w:val="Hyperlink"/>
            <w:kern w:val="22"/>
            <w:szCs w:val="22"/>
            <w:lang w:val="fr-FR"/>
          </w:rPr>
          <w:t>I/27</w:t>
        </w:r>
      </w:hyperlink>
      <w:r w:rsidRPr="00E30D4B">
        <w:rPr>
          <w:kern w:val="22"/>
          <w:szCs w:val="22"/>
          <w:lang w:val="fr-FR"/>
        </w:rPr>
        <w:t xml:space="preserve">, </w:t>
      </w:r>
      <w:hyperlink r:id="rId24" w:history="1">
        <w:r w:rsidR="00F34E70" w:rsidRPr="00E30D4B">
          <w:rPr>
            <w:rStyle w:val="Hyperlink"/>
            <w:kern w:val="22"/>
            <w:szCs w:val="22"/>
            <w:lang w:val="fr-FR"/>
          </w:rPr>
          <w:t>CP-7/</w:t>
        </w:r>
        <w:r w:rsidR="00340466" w:rsidRPr="00E30D4B">
          <w:rPr>
            <w:rStyle w:val="Hyperlink"/>
            <w:kern w:val="22"/>
            <w:szCs w:val="22"/>
            <w:lang w:val="fr-FR"/>
          </w:rPr>
          <w:t>9</w:t>
        </w:r>
      </w:hyperlink>
      <w:r w:rsidR="00027425">
        <w:rPr>
          <w:kern w:val="22"/>
          <w:szCs w:val="22"/>
          <w:lang w:val="fr-FR"/>
        </w:rPr>
        <w:t>,</w:t>
      </w:r>
      <w:r w:rsidR="00F34E70" w:rsidRPr="00E30D4B">
        <w:rPr>
          <w:kern w:val="22"/>
          <w:szCs w:val="22"/>
          <w:lang w:val="fr-FR"/>
        </w:rPr>
        <w:t xml:space="preserve"> </w:t>
      </w:r>
      <w:hyperlink r:id="rId25" w:history="1">
        <w:r w:rsidR="00F34E70" w:rsidRPr="00E30D4B">
          <w:rPr>
            <w:rStyle w:val="Hyperlink"/>
            <w:kern w:val="22"/>
            <w:szCs w:val="22"/>
            <w:lang w:val="fr-FR"/>
          </w:rPr>
          <w:t>NP-1/</w:t>
        </w:r>
        <w:r w:rsidR="00340466" w:rsidRPr="00E30D4B">
          <w:rPr>
            <w:rStyle w:val="Hyperlink"/>
            <w:kern w:val="22"/>
            <w:szCs w:val="22"/>
            <w:lang w:val="fr-FR"/>
          </w:rPr>
          <w:t>12</w:t>
        </w:r>
      </w:hyperlink>
      <w:r w:rsidR="00F34E70" w:rsidRPr="00E30D4B">
        <w:rPr>
          <w:kern w:val="22"/>
          <w:szCs w:val="22"/>
          <w:lang w:val="fr-FR"/>
        </w:rPr>
        <w:t xml:space="preserve">, </w:t>
      </w:r>
      <w:hyperlink r:id="rId26" w:history="1">
        <w:r w:rsidRPr="00E30D4B">
          <w:rPr>
            <w:rStyle w:val="Hyperlink"/>
            <w:kern w:val="22"/>
            <w:szCs w:val="22"/>
            <w:lang w:val="fr-FR"/>
          </w:rPr>
          <w:t>XIII/26</w:t>
        </w:r>
      </w:hyperlink>
      <w:r w:rsidRPr="00E30D4B">
        <w:rPr>
          <w:kern w:val="22"/>
          <w:szCs w:val="22"/>
          <w:lang w:val="fr-FR"/>
        </w:rPr>
        <w:t xml:space="preserve">, </w:t>
      </w:r>
      <w:hyperlink r:id="rId27" w:history="1">
        <w:r w:rsidR="004A1645" w:rsidRPr="00E30D4B">
          <w:rPr>
            <w:rStyle w:val="Hyperlink"/>
            <w:kern w:val="22"/>
            <w:szCs w:val="22"/>
            <w:lang w:val="fr-FR"/>
          </w:rPr>
          <w:t>XIII/33</w:t>
        </w:r>
      </w:hyperlink>
      <w:r w:rsidR="004A1645" w:rsidRPr="00E30D4B">
        <w:rPr>
          <w:kern w:val="22"/>
          <w:szCs w:val="22"/>
          <w:lang w:val="fr-FR"/>
        </w:rPr>
        <w:t xml:space="preserve">, </w:t>
      </w:r>
      <w:hyperlink r:id="rId28" w:history="1">
        <w:r w:rsidRPr="00E30D4B">
          <w:rPr>
            <w:rStyle w:val="Hyperlink"/>
            <w:kern w:val="22"/>
            <w:szCs w:val="22"/>
            <w:lang w:val="fr-FR"/>
          </w:rPr>
          <w:t>CP-</w:t>
        </w:r>
        <w:r w:rsidR="004A1645" w:rsidRPr="00E30D4B">
          <w:rPr>
            <w:rStyle w:val="Hyperlink"/>
            <w:kern w:val="22"/>
            <w:szCs w:val="22"/>
            <w:lang w:val="fr-FR"/>
          </w:rPr>
          <w:t>8/10</w:t>
        </w:r>
      </w:hyperlink>
      <w:r w:rsidR="00027425">
        <w:rPr>
          <w:kern w:val="22"/>
          <w:szCs w:val="22"/>
          <w:lang w:val="fr-FR"/>
        </w:rPr>
        <w:t xml:space="preserve"> et</w:t>
      </w:r>
      <w:r w:rsidRPr="00E30D4B">
        <w:rPr>
          <w:kern w:val="22"/>
          <w:szCs w:val="22"/>
          <w:lang w:val="fr-FR"/>
        </w:rPr>
        <w:t xml:space="preserve"> </w:t>
      </w:r>
      <w:hyperlink r:id="rId29" w:history="1">
        <w:r w:rsidRPr="00E30D4B">
          <w:rPr>
            <w:rStyle w:val="Hyperlink"/>
            <w:kern w:val="22"/>
            <w:szCs w:val="22"/>
            <w:lang w:val="fr-FR"/>
          </w:rPr>
          <w:t>NP-</w:t>
        </w:r>
        <w:r w:rsidR="004A1645" w:rsidRPr="00E30D4B">
          <w:rPr>
            <w:rStyle w:val="Hyperlink"/>
            <w:kern w:val="22"/>
            <w:szCs w:val="22"/>
            <w:lang w:val="fr-FR"/>
          </w:rPr>
          <w:t>2/12</w:t>
        </w:r>
      </w:hyperlink>
      <w:r w:rsidR="004A1645" w:rsidRPr="00E30D4B">
        <w:rPr>
          <w:kern w:val="22"/>
          <w:szCs w:val="22"/>
          <w:lang w:val="fr-FR"/>
        </w:rPr>
        <w:t>,</w:t>
      </w:r>
    </w:p>
    <w:p w:rsidR="00C164DE" w:rsidRPr="00E30D4B" w:rsidRDefault="00027425" w:rsidP="00717F31">
      <w:pPr>
        <w:spacing w:before="120" w:after="120"/>
        <w:ind w:firstLine="720"/>
        <w:rPr>
          <w:kern w:val="22"/>
          <w:szCs w:val="22"/>
          <w:lang w:val="fr-FR"/>
        </w:rPr>
      </w:pPr>
      <w:r>
        <w:rPr>
          <w:i/>
          <w:iCs/>
          <w:kern w:val="22"/>
          <w:szCs w:val="22"/>
          <w:lang w:val="fr-FR"/>
        </w:rPr>
        <w:t>Ayant examiné</w:t>
      </w:r>
      <w:r w:rsidR="00751FF7">
        <w:rPr>
          <w:i/>
          <w:iCs/>
          <w:kern w:val="22"/>
          <w:szCs w:val="22"/>
          <w:lang w:val="fr-FR"/>
        </w:rPr>
        <w:t xml:space="preserve"> </w:t>
      </w:r>
      <w:r w:rsidR="00751FF7" w:rsidRPr="00751FF7">
        <w:rPr>
          <w:kern w:val="22"/>
          <w:szCs w:val="22"/>
          <w:lang w:val="fr-FR"/>
        </w:rPr>
        <w:t xml:space="preserve">l’expérience de la tenue de réunions concomitantes de la Conférence des Parties à la Convention, la Conférence des Parties siégeant en tant que réunion des Parties au Protocole de </w:t>
      </w:r>
      <w:r w:rsidR="00751FF7" w:rsidRPr="00751FF7">
        <w:rPr>
          <w:kern w:val="22"/>
          <w:szCs w:val="22"/>
          <w:lang w:val="fr-FR"/>
        </w:rPr>
        <w:lastRenderedPageBreak/>
        <w:t>Cartagena  et la Conférence des Parties siégeant en tant que réunion des Parties au Protocole de Nagoya</w:t>
      </w:r>
      <w:r w:rsidR="00751FF7">
        <w:rPr>
          <w:kern w:val="22"/>
          <w:szCs w:val="22"/>
          <w:lang w:val="fr-FR"/>
        </w:rPr>
        <w:t xml:space="preserve">, en utilisant les critères établis dans les décisions </w:t>
      </w:r>
      <w:r w:rsidR="00BD1875">
        <w:rPr>
          <w:kern w:val="22"/>
          <w:szCs w:val="22"/>
          <w:lang w:val="fr-FR"/>
        </w:rPr>
        <w:t>XIII/26, CP-VIII/10 et</w:t>
      </w:r>
      <w:r w:rsidR="00C717E5" w:rsidRPr="00E30D4B">
        <w:rPr>
          <w:kern w:val="22"/>
          <w:szCs w:val="22"/>
          <w:lang w:val="fr-FR"/>
        </w:rPr>
        <w:t xml:space="preserve"> NP-2/12, res</w:t>
      </w:r>
      <w:r w:rsidR="00751FF7">
        <w:rPr>
          <w:kern w:val="22"/>
          <w:szCs w:val="22"/>
          <w:lang w:val="fr-FR"/>
        </w:rPr>
        <w:t>pectivement</w:t>
      </w:r>
      <w:r w:rsidR="00C164DE" w:rsidRPr="00E30D4B">
        <w:rPr>
          <w:i/>
          <w:iCs/>
          <w:kern w:val="22"/>
          <w:szCs w:val="22"/>
          <w:lang w:val="fr-FR"/>
        </w:rPr>
        <w:t>,</w:t>
      </w:r>
      <w:r w:rsidR="002D3CEF" w:rsidRPr="00E30D4B">
        <w:rPr>
          <w:i/>
          <w:iCs/>
          <w:kern w:val="22"/>
          <w:szCs w:val="22"/>
          <w:lang w:val="fr-FR"/>
        </w:rPr>
        <w:t xml:space="preserve"> </w:t>
      </w:r>
      <w:r w:rsidR="00751FF7">
        <w:rPr>
          <w:kern w:val="22"/>
          <w:szCs w:val="22"/>
          <w:lang w:val="fr-FR"/>
        </w:rPr>
        <w:t>et</w:t>
      </w:r>
      <w:r w:rsidR="00C717E5" w:rsidRPr="00E30D4B">
        <w:rPr>
          <w:i/>
          <w:iCs/>
          <w:kern w:val="22"/>
          <w:szCs w:val="22"/>
          <w:lang w:val="fr-FR"/>
        </w:rPr>
        <w:t xml:space="preserve"> </w:t>
      </w:r>
      <w:r w:rsidR="00C164DE" w:rsidRPr="00E30D4B">
        <w:rPr>
          <w:i/>
          <w:iCs/>
          <w:kern w:val="22"/>
          <w:szCs w:val="22"/>
          <w:lang w:val="fr-FR"/>
        </w:rPr>
        <w:t>t</w:t>
      </w:r>
      <w:r w:rsidR="00751FF7">
        <w:rPr>
          <w:i/>
          <w:iCs/>
          <w:kern w:val="22"/>
          <w:szCs w:val="22"/>
          <w:lang w:val="fr-FR"/>
        </w:rPr>
        <w:t>enant compte</w:t>
      </w:r>
      <w:r w:rsidR="00751FF7">
        <w:rPr>
          <w:kern w:val="22"/>
          <w:szCs w:val="22"/>
          <w:lang w:val="fr-FR"/>
        </w:rPr>
        <w:t xml:space="preserve"> des points de vue des Parties, des observateurs et des participants à la treizième réunion de la Conférence des Parties, la huitième réunion de </w:t>
      </w:r>
      <w:r w:rsidR="00751FF7" w:rsidRPr="00751FF7">
        <w:rPr>
          <w:kern w:val="22"/>
          <w:szCs w:val="22"/>
          <w:lang w:val="fr-FR"/>
        </w:rPr>
        <w:t xml:space="preserve">la Conférence des Parties siégeant en tant que réunion des Parties au Protocole de Cartagena </w:t>
      </w:r>
      <w:r w:rsidR="00751FF7">
        <w:rPr>
          <w:kern w:val="22"/>
          <w:szCs w:val="22"/>
          <w:lang w:val="fr-FR"/>
        </w:rPr>
        <w:t xml:space="preserve"> </w:t>
      </w:r>
      <w:r w:rsidR="00751FF7" w:rsidRPr="00751FF7">
        <w:rPr>
          <w:kern w:val="22"/>
          <w:szCs w:val="22"/>
          <w:lang w:val="fr-FR"/>
        </w:rPr>
        <w:t>et la</w:t>
      </w:r>
      <w:r w:rsidR="00751FF7">
        <w:rPr>
          <w:kern w:val="22"/>
          <w:szCs w:val="22"/>
          <w:lang w:val="fr-FR"/>
        </w:rPr>
        <w:t xml:space="preserve"> deuxième réunion de la</w:t>
      </w:r>
      <w:r w:rsidR="00751FF7" w:rsidRPr="00751FF7">
        <w:rPr>
          <w:kern w:val="22"/>
          <w:szCs w:val="22"/>
          <w:lang w:val="fr-FR"/>
        </w:rPr>
        <w:t xml:space="preserve"> Conférence des Parties siégeant en tant que réunion des Parties au Protocole de Nagoya</w:t>
      </w:r>
      <w:r w:rsidR="00506853">
        <w:rPr>
          <w:kern w:val="22"/>
          <w:szCs w:val="22"/>
          <w:lang w:val="fr-FR"/>
        </w:rPr>
        <w:t>,</w:t>
      </w:r>
      <w:r w:rsidR="00751FF7">
        <w:rPr>
          <w:kern w:val="22"/>
          <w:szCs w:val="22"/>
          <w:lang w:val="fr-FR"/>
        </w:rPr>
        <w:t xml:space="preserve"> de la synthèse et analyse </w:t>
      </w:r>
      <w:r w:rsidR="00506853">
        <w:rPr>
          <w:kern w:val="22"/>
          <w:szCs w:val="22"/>
          <w:lang w:val="fr-FR"/>
        </w:rPr>
        <w:t>fournie par le Secrétariat dans la note de la Secrétaire exécutive sur l’examen de la tenue de réunions concomitantes de la Conférence des Parties à la Convention et des réunions des Parties aux protocoles</w:t>
      </w:r>
      <w:bookmarkStart w:id="2" w:name="_Ref516065392"/>
      <w:r w:rsidR="00E653E4" w:rsidRPr="00E30D4B">
        <w:rPr>
          <w:rStyle w:val="FootnoteReference"/>
          <w:kern w:val="22"/>
          <w:sz w:val="22"/>
          <w:szCs w:val="22"/>
          <w:lang w:val="fr-FR"/>
        </w:rPr>
        <w:footnoteReference w:id="21"/>
      </w:r>
      <w:bookmarkEnd w:id="2"/>
      <w:r w:rsidR="0033653D" w:rsidRPr="00E30D4B">
        <w:rPr>
          <w:kern w:val="22"/>
          <w:szCs w:val="22"/>
          <w:lang w:val="fr-FR"/>
        </w:rPr>
        <w:t xml:space="preserve"> </w:t>
      </w:r>
      <w:r w:rsidR="00506853">
        <w:rPr>
          <w:kern w:val="22"/>
          <w:szCs w:val="22"/>
          <w:lang w:val="fr-FR"/>
        </w:rPr>
        <w:t>et des documents d’information connexes</w:t>
      </w:r>
      <w:r w:rsidR="00C164DE" w:rsidRPr="00E30D4B">
        <w:rPr>
          <w:kern w:val="22"/>
          <w:szCs w:val="22"/>
          <w:lang w:val="fr-FR"/>
        </w:rPr>
        <w:t>,</w:t>
      </w:r>
      <w:bookmarkStart w:id="3" w:name="_Ref516065398"/>
      <w:r w:rsidR="00F11F9F" w:rsidRPr="00E30D4B">
        <w:rPr>
          <w:rStyle w:val="FootnoteReference"/>
          <w:kern w:val="22"/>
          <w:sz w:val="22"/>
          <w:szCs w:val="22"/>
          <w:lang w:val="fr-FR"/>
        </w:rPr>
        <w:footnoteReference w:id="22"/>
      </w:r>
      <w:bookmarkEnd w:id="3"/>
    </w:p>
    <w:p w:rsidR="00C164DE" w:rsidRPr="00E30D4B" w:rsidRDefault="00506853" w:rsidP="00717F31">
      <w:pPr>
        <w:spacing w:before="120" w:after="120"/>
        <w:ind w:firstLine="720"/>
        <w:rPr>
          <w:kern w:val="22"/>
          <w:szCs w:val="22"/>
          <w:lang w:val="fr-FR"/>
        </w:rPr>
      </w:pPr>
      <w:r>
        <w:rPr>
          <w:i/>
          <w:iCs/>
          <w:kern w:val="22"/>
          <w:szCs w:val="22"/>
          <w:lang w:val="fr-FR"/>
        </w:rPr>
        <w:t>Sachant</w:t>
      </w:r>
      <w:r>
        <w:rPr>
          <w:kern w:val="22"/>
          <w:szCs w:val="22"/>
          <w:lang w:val="fr-FR"/>
        </w:rPr>
        <w:t xml:space="preserve"> qu’</w:t>
      </w:r>
      <w:r w:rsidR="0068017F">
        <w:rPr>
          <w:kern w:val="22"/>
          <w:szCs w:val="22"/>
          <w:lang w:val="fr-FR"/>
        </w:rPr>
        <w:t xml:space="preserve">un autre examen sera effectué à la quinzième réunion de la Conférence des Parties à la Convention, </w:t>
      </w:r>
      <w:r w:rsidR="00CE2269">
        <w:rPr>
          <w:kern w:val="22"/>
          <w:szCs w:val="22"/>
          <w:lang w:val="fr-FR"/>
        </w:rPr>
        <w:t>la dixième réunion de la Conférence des Parties siégeant en tant que réunion des Parties au Protocole de Cartagena et la quatrième réunion de la Conférence des Parties siégeant en tant que réunion des Parties au Protocole de Nagoya</w:t>
      </w:r>
      <w:r w:rsidR="00C164DE" w:rsidRPr="00E30D4B">
        <w:rPr>
          <w:kern w:val="22"/>
          <w:szCs w:val="22"/>
          <w:lang w:val="fr-FR"/>
        </w:rPr>
        <w:t>,</w:t>
      </w:r>
    </w:p>
    <w:p w:rsidR="00C164DE" w:rsidRPr="00E30D4B" w:rsidRDefault="0033653D" w:rsidP="00717F31">
      <w:pPr>
        <w:spacing w:before="120" w:after="120"/>
        <w:ind w:firstLine="720"/>
        <w:rPr>
          <w:kern w:val="22"/>
          <w:szCs w:val="22"/>
          <w:lang w:val="fr-FR"/>
        </w:rPr>
      </w:pPr>
      <w:r w:rsidRPr="00E30D4B">
        <w:rPr>
          <w:kern w:val="22"/>
          <w:szCs w:val="22"/>
          <w:lang w:val="fr-FR"/>
        </w:rPr>
        <w:t>1.</w:t>
      </w:r>
      <w:r w:rsidRPr="00E30D4B">
        <w:rPr>
          <w:kern w:val="22"/>
          <w:szCs w:val="22"/>
          <w:lang w:val="fr-FR"/>
        </w:rPr>
        <w:tab/>
      </w:r>
      <w:r w:rsidR="00CE2269">
        <w:rPr>
          <w:i/>
          <w:kern w:val="22"/>
          <w:szCs w:val="22"/>
          <w:lang w:val="fr-FR"/>
        </w:rPr>
        <w:t>Constate avec satisfaction</w:t>
      </w:r>
      <w:r w:rsidR="00CE2269">
        <w:rPr>
          <w:kern w:val="22"/>
          <w:szCs w:val="22"/>
          <w:lang w:val="fr-FR"/>
        </w:rPr>
        <w:t xml:space="preserve"> que les réunions concomitantes ont permis une intégration accrue de la Convention et</w:t>
      </w:r>
      <w:r w:rsidR="001D226D">
        <w:rPr>
          <w:kern w:val="22"/>
          <w:szCs w:val="22"/>
          <w:lang w:val="fr-FR"/>
        </w:rPr>
        <w:t xml:space="preserve"> de ses protocoles ainsi qu’une amélioration des consultations, de la coordination et des synergies </w:t>
      </w:r>
      <w:r w:rsidR="00CE2269">
        <w:rPr>
          <w:kern w:val="22"/>
          <w:szCs w:val="22"/>
          <w:lang w:val="fr-FR"/>
        </w:rPr>
        <w:t>parmi les correspondants nationaux respectifs ;</w:t>
      </w:r>
    </w:p>
    <w:p w:rsidR="00C164DE" w:rsidRPr="00E30D4B" w:rsidRDefault="0033653D" w:rsidP="00717F31">
      <w:pPr>
        <w:spacing w:before="120" w:after="120"/>
        <w:ind w:firstLine="720"/>
        <w:rPr>
          <w:kern w:val="22"/>
          <w:szCs w:val="22"/>
          <w:lang w:val="fr-FR"/>
        </w:rPr>
      </w:pPr>
      <w:r w:rsidRPr="00E30D4B">
        <w:rPr>
          <w:kern w:val="22"/>
          <w:szCs w:val="22"/>
          <w:lang w:val="fr-FR"/>
        </w:rPr>
        <w:t>2.</w:t>
      </w:r>
      <w:r w:rsidRPr="00E30D4B">
        <w:rPr>
          <w:kern w:val="22"/>
          <w:szCs w:val="22"/>
          <w:lang w:val="fr-FR"/>
        </w:rPr>
        <w:tab/>
      </w:r>
      <w:r w:rsidR="00B93F50">
        <w:rPr>
          <w:i/>
          <w:kern w:val="22"/>
          <w:szCs w:val="22"/>
          <w:lang w:val="fr-FR"/>
        </w:rPr>
        <w:t>Note</w:t>
      </w:r>
      <w:r w:rsidR="00CE2269">
        <w:rPr>
          <w:kern w:val="22"/>
          <w:szCs w:val="22"/>
          <w:lang w:val="fr-FR"/>
        </w:rPr>
        <w:t xml:space="preserve"> que la plupart des critères ont été considérés comme ayant</w:t>
      </w:r>
      <w:r w:rsidR="00B93F50">
        <w:rPr>
          <w:kern w:val="22"/>
          <w:szCs w:val="22"/>
          <w:lang w:val="fr-FR"/>
        </w:rPr>
        <w:t xml:space="preserve"> été remplis ou partiellement remplis et que des améliorations supplémentaires du fonctionnement des réunions concomitantes so</w:t>
      </w:r>
      <w:r w:rsidR="00A6673D">
        <w:rPr>
          <w:kern w:val="22"/>
          <w:szCs w:val="22"/>
          <w:lang w:val="fr-FR"/>
        </w:rPr>
        <w:t>nt souhaitables, notamment en ce qui concerne les résultats et l’efficacité des réunions des protocoles ;</w:t>
      </w:r>
      <w:r w:rsidR="00CE2269">
        <w:rPr>
          <w:kern w:val="22"/>
          <w:szCs w:val="22"/>
          <w:lang w:val="fr-FR"/>
        </w:rPr>
        <w:t xml:space="preserve"> </w:t>
      </w:r>
    </w:p>
    <w:p w:rsidR="00C164DE" w:rsidRPr="00E30D4B" w:rsidRDefault="0033653D" w:rsidP="00717F31">
      <w:pPr>
        <w:spacing w:before="120" w:after="120"/>
        <w:ind w:firstLine="720"/>
        <w:rPr>
          <w:snapToGrid w:val="0"/>
          <w:kern w:val="22"/>
          <w:szCs w:val="22"/>
          <w:lang w:val="fr-FR"/>
        </w:rPr>
      </w:pPr>
      <w:r w:rsidRPr="00E30D4B">
        <w:rPr>
          <w:kern w:val="22"/>
          <w:szCs w:val="22"/>
          <w:lang w:val="fr-FR"/>
        </w:rPr>
        <w:t>3.</w:t>
      </w:r>
      <w:r w:rsidRPr="00E30D4B">
        <w:rPr>
          <w:kern w:val="22"/>
          <w:szCs w:val="22"/>
          <w:lang w:val="fr-FR"/>
        </w:rPr>
        <w:tab/>
      </w:r>
      <w:r w:rsidR="00797ECD">
        <w:rPr>
          <w:i/>
          <w:kern w:val="22"/>
          <w:szCs w:val="22"/>
          <w:lang w:val="fr-FR"/>
        </w:rPr>
        <w:t>Ré</w:t>
      </w:r>
      <w:r w:rsidR="00C164DE" w:rsidRPr="00E30D4B">
        <w:rPr>
          <w:i/>
          <w:kern w:val="22"/>
          <w:szCs w:val="22"/>
          <w:lang w:val="fr-FR"/>
        </w:rPr>
        <w:t>it</w:t>
      </w:r>
      <w:r w:rsidR="00797ECD">
        <w:rPr>
          <w:i/>
          <w:kern w:val="22"/>
          <w:szCs w:val="22"/>
          <w:lang w:val="fr-FR"/>
        </w:rPr>
        <w:t>ère</w:t>
      </w:r>
      <w:r w:rsidR="00797ECD">
        <w:rPr>
          <w:kern w:val="22"/>
          <w:szCs w:val="22"/>
          <w:lang w:val="fr-FR"/>
        </w:rPr>
        <w:t xml:space="preserve"> l’importance d’assurer la participation pleine et effective des représentants des Parties qui sont des pays en développement, en particulier les pays les moins avancés et les petits États insulaires, ainsi que les pays à économie en transition aux réunions concomitantes, et </w:t>
      </w:r>
      <w:r w:rsidR="00797ECD" w:rsidRPr="00797ECD">
        <w:rPr>
          <w:i/>
          <w:kern w:val="22"/>
          <w:szCs w:val="22"/>
          <w:lang w:val="fr-FR"/>
        </w:rPr>
        <w:t>souligne</w:t>
      </w:r>
      <w:r w:rsidR="00797ECD">
        <w:rPr>
          <w:kern w:val="22"/>
          <w:szCs w:val="22"/>
          <w:lang w:val="fr-FR"/>
        </w:rPr>
        <w:t>, à cet égard, l’importance, en particulier, d’assurer une participation adéquate des représentants aux réunions des protocoles ;</w:t>
      </w:r>
    </w:p>
    <w:p w:rsidR="00C164DE" w:rsidRPr="003D470A" w:rsidRDefault="0033653D" w:rsidP="00717F31">
      <w:pPr>
        <w:spacing w:before="120" w:after="120"/>
        <w:ind w:firstLine="720"/>
        <w:rPr>
          <w:kern w:val="22"/>
          <w:szCs w:val="22"/>
          <w:lang w:val="fr-FR"/>
        </w:rPr>
      </w:pPr>
      <w:r w:rsidRPr="00E30D4B">
        <w:rPr>
          <w:kern w:val="22"/>
          <w:szCs w:val="22"/>
          <w:lang w:val="fr-FR"/>
        </w:rPr>
        <w:t>4.</w:t>
      </w:r>
      <w:r w:rsidRPr="00E30D4B">
        <w:rPr>
          <w:kern w:val="22"/>
          <w:szCs w:val="22"/>
          <w:lang w:val="fr-FR"/>
        </w:rPr>
        <w:tab/>
      </w:r>
      <w:r w:rsidR="00DC2EF9">
        <w:rPr>
          <w:i/>
          <w:kern w:val="22"/>
          <w:szCs w:val="22"/>
          <w:lang w:val="fr-FR"/>
        </w:rPr>
        <w:t>Demande</w:t>
      </w:r>
      <w:r w:rsidR="00DC2EF9">
        <w:rPr>
          <w:kern w:val="22"/>
          <w:szCs w:val="22"/>
          <w:lang w:val="fr-FR"/>
        </w:rPr>
        <w:t xml:space="preserve"> au Bureau et à la Secrétaire exécutive</w:t>
      </w:r>
      <w:r w:rsidR="00C164DE" w:rsidRPr="00E30D4B">
        <w:rPr>
          <w:kern w:val="22"/>
          <w:szCs w:val="22"/>
          <w:lang w:val="fr-FR"/>
        </w:rPr>
        <w:t xml:space="preserve">, </w:t>
      </w:r>
      <w:r w:rsidR="003D470A">
        <w:rPr>
          <w:kern w:val="22"/>
          <w:szCs w:val="22"/>
          <w:lang w:val="fr-FR"/>
        </w:rPr>
        <w:t>lors de la mise au point finale de l’organisation des travaux proposée pour la quatorzième réunion de la Conférence des Parties à la Convention, la neuvième réunion de la Conférence des Parties siégeant en tant que réunion des Parties au Protocole de Cartagena et la troisième réunion de la Conférence des Parties siégeant en tant que réunion des Parties au Protocole de Nagoya, de prendre en comp</w:t>
      </w:r>
      <w:r w:rsidR="001D226D">
        <w:rPr>
          <w:kern w:val="22"/>
          <w:szCs w:val="22"/>
          <w:lang w:val="fr-FR"/>
        </w:rPr>
        <w:t>te la présente recommandation, l</w:t>
      </w:r>
      <w:r w:rsidR="003D470A">
        <w:rPr>
          <w:kern w:val="22"/>
          <w:szCs w:val="22"/>
          <w:lang w:val="fr-FR"/>
        </w:rPr>
        <w:t>es informations qui figurent dans la note de la Secrétaire exécutive</w:t>
      </w:r>
      <w:r w:rsidR="00630148" w:rsidRPr="00E30D4B">
        <w:rPr>
          <w:kern w:val="22"/>
          <w:szCs w:val="22"/>
          <w:vertAlign w:val="superscript"/>
          <w:lang w:val="fr-FR"/>
        </w:rPr>
        <w:fldChar w:fldCharType="begin"/>
      </w:r>
      <w:r w:rsidR="00630148" w:rsidRPr="00E30D4B">
        <w:rPr>
          <w:kern w:val="22"/>
          <w:szCs w:val="22"/>
          <w:vertAlign w:val="superscript"/>
          <w:lang w:val="fr-FR"/>
        </w:rPr>
        <w:instrText xml:space="preserve"> NOTEREF _Ref516065392 \h  \* MERGEFORMAT </w:instrText>
      </w:r>
      <w:r w:rsidR="00630148" w:rsidRPr="00E30D4B">
        <w:rPr>
          <w:kern w:val="22"/>
          <w:szCs w:val="22"/>
          <w:vertAlign w:val="superscript"/>
          <w:lang w:val="fr-FR"/>
        </w:rPr>
      </w:r>
      <w:r w:rsidR="00630148" w:rsidRPr="00E30D4B">
        <w:rPr>
          <w:kern w:val="22"/>
          <w:szCs w:val="22"/>
          <w:vertAlign w:val="superscript"/>
          <w:lang w:val="fr-FR"/>
        </w:rPr>
        <w:fldChar w:fldCharType="separate"/>
      </w:r>
      <w:r w:rsidR="00630148" w:rsidRPr="00E30D4B">
        <w:rPr>
          <w:kern w:val="22"/>
          <w:szCs w:val="22"/>
          <w:vertAlign w:val="superscript"/>
          <w:lang w:val="fr-FR"/>
        </w:rPr>
        <w:t>20</w:t>
      </w:r>
      <w:r w:rsidR="00630148" w:rsidRPr="00E30D4B">
        <w:rPr>
          <w:kern w:val="22"/>
          <w:szCs w:val="22"/>
          <w:vertAlign w:val="superscript"/>
          <w:lang w:val="fr-FR"/>
        </w:rPr>
        <w:fldChar w:fldCharType="end"/>
      </w:r>
      <w:r w:rsidR="00F11F9F" w:rsidRPr="00E30D4B">
        <w:rPr>
          <w:kern w:val="22"/>
          <w:szCs w:val="22"/>
          <w:lang w:val="fr-FR"/>
        </w:rPr>
        <w:t xml:space="preserve"> </w:t>
      </w:r>
      <w:r w:rsidR="003D470A">
        <w:rPr>
          <w:kern w:val="22"/>
          <w:szCs w:val="22"/>
          <w:lang w:val="fr-FR"/>
        </w:rPr>
        <w:t>et les do</w:t>
      </w:r>
      <w:r w:rsidR="001D226D">
        <w:rPr>
          <w:kern w:val="22"/>
          <w:szCs w:val="22"/>
          <w:lang w:val="fr-FR"/>
        </w:rPr>
        <w:t>cuments d’information y relatif</w:t>
      </w:r>
      <w:r w:rsidR="003D470A">
        <w:rPr>
          <w:kern w:val="22"/>
          <w:szCs w:val="22"/>
          <w:lang w:val="fr-FR"/>
        </w:rPr>
        <w:t>s</w:t>
      </w:r>
      <w:r w:rsidR="00630148" w:rsidRPr="00E30D4B">
        <w:rPr>
          <w:kern w:val="22"/>
          <w:szCs w:val="22"/>
          <w:vertAlign w:val="superscript"/>
          <w:lang w:val="fr-FR"/>
        </w:rPr>
        <w:fldChar w:fldCharType="begin"/>
      </w:r>
      <w:r w:rsidR="00630148" w:rsidRPr="00E30D4B">
        <w:rPr>
          <w:kern w:val="22"/>
          <w:szCs w:val="22"/>
          <w:vertAlign w:val="superscript"/>
          <w:lang w:val="fr-FR"/>
        </w:rPr>
        <w:instrText xml:space="preserve"> NOTEREF _Ref516065398 \h  \* MERGEFORMAT </w:instrText>
      </w:r>
      <w:r w:rsidR="00630148" w:rsidRPr="00E30D4B">
        <w:rPr>
          <w:kern w:val="22"/>
          <w:szCs w:val="22"/>
          <w:vertAlign w:val="superscript"/>
          <w:lang w:val="fr-FR"/>
        </w:rPr>
      </w:r>
      <w:r w:rsidR="00630148" w:rsidRPr="00E30D4B">
        <w:rPr>
          <w:kern w:val="22"/>
          <w:szCs w:val="22"/>
          <w:vertAlign w:val="superscript"/>
          <w:lang w:val="fr-FR"/>
        </w:rPr>
        <w:fldChar w:fldCharType="separate"/>
      </w:r>
      <w:r w:rsidR="00630148" w:rsidRPr="00E30D4B">
        <w:rPr>
          <w:kern w:val="22"/>
          <w:szCs w:val="22"/>
          <w:vertAlign w:val="superscript"/>
          <w:lang w:val="fr-FR"/>
        </w:rPr>
        <w:t>21</w:t>
      </w:r>
      <w:r w:rsidR="00630148" w:rsidRPr="00E30D4B">
        <w:rPr>
          <w:kern w:val="22"/>
          <w:szCs w:val="22"/>
          <w:vertAlign w:val="superscript"/>
          <w:lang w:val="fr-FR"/>
        </w:rPr>
        <w:fldChar w:fldCharType="end"/>
      </w:r>
      <w:r w:rsidR="003D470A">
        <w:rPr>
          <w:kern w:val="22"/>
          <w:szCs w:val="22"/>
          <w:vertAlign w:val="superscript"/>
          <w:lang w:val="fr-FR"/>
        </w:rPr>
        <w:t> </w:t>
      </w:r>
      <w:r w:rsidR="003D470A">
        <w:rPr>
          <w:kern w:val="22"/>
          <w:szCs w:val="22"/>
          <w:lang w:val="fr-FR"/>
        </w:rPr>
        <w:t>;</w:t>
      </w:r>
    </w:p>
    <w:p w:rsidR="00C164DE" w:rsidRPr="003D470A" w:rsidRDefault="00887615" w:rsidP="00717F31">
      <w:pPr>
        <w:pStyle w:val="ListParagraph"/>
        <w:keepNext/>
        <w:spacing w:before="120" w:after="120"/>
        <w:ind w:left="0"/>
        <w:contextualSpacing w:val="0"/>
        <w:jc w:val="center"/>
        <w:rPr>
          <w:b/>
          <w:kern w:val="22"/>
          <w:szCs w:val="22"/>
          <w:lang w:val="fr-FR"/>
        </w:rPr>
      </w:pPr>
      <w:r w:rsidRPr="003D470A">
        <w:rPr>
          <w:b/>
          <w:kern w:val="22"/>
          <w:szCs w:val="22"/>
          <w:lang w:val="fr-FR"/>
        </w:rPr>
        <w:t>B.</w:t>
      </w:r>
      <w:r w:rsidRPr="003D470A">
        <w:rPr>
          <w:b/>
          <w:kern w:val="22"/>
          <w:szCs w:val="22"/>
          <w:lang w:val="fr-FR"/>
        </w:rPr>
        <w:tab/>
      </w:r>
      <w:r w:rsidR="003D470A" w:rsidRPr="003D470A">
        <w:rPr>
          <w:b/>
          <w:kern w:val="22"/>
          <w:szCs w:val="22"/>
          <w:lang w:val="fr-FR"/>
        </w:rPr>
        <w:t>Procédure pour éviter ou gérer les conflits d’intérêts au sein des groupes d’experts</w:t>
      </w:r>
    </w:p>
    <w:p w:rsidR="00D13F29" w:rsidRPr="00E30D4B" w:rsidRDefault="00D13F29" w:rsidP="00D13F29">
      <w:pPr>
        <w:pStyle w:val="ListParagraph"/>
        <w:keepNext/>
        <w:spacing w:before="120" w:after="120"/>
        <w:ind w:left="0" w:firstLine="709"/>
        <w:contextualSpacing w:val="0"/>
        <w:rPr>
          <w:kern w:val="22"/>
          <w:szCs w:val="22"/>
          <w:lang w:val="fr-FR"/>
        </w:rPr>
      </w:pPr>
      <w:r>
        <w:rPr>
          <w:i/>
          <w:kern w:val="22"/>
          <w:szCs w:val="22"/>
          <w:lang w:val="fr-FR"/>
        </w:rPr>
        <w:t>La Conférence des Parties</w:t>
      </w:r>
      <w:r w:rsidRPr="00E30D4B">
        <w:rPr>
          <w:i/>
          <w:kern w:val="22"/>
          <w:szCs w:val="22"/>
          <w:lang w:val="fr-FR"/>
        </w:rPr>
        <w:t>,</w:t>
      </w:r>
    </w:p>
    <w:p w:rsidR="00D13F29" w:rsidRPr="00E30D4B" w:rsidRDefault="00D13F29" w:rsidP="00D13F29">
      <w:pPr>
        <w:pStyle w:val="ListParagraph"/>
        <w:spacing w:before="120" w:after="120"/>
        <w:ind w:left="0" w:firstLine="709"/>
        <w:contextualSpacing w:val="0"/>
        <w:rPr>
          <w:kern w:val="22"/>
          <w:szCs w:val="22"/>
          <w:lang w:val="fr-FR"/>
        </w:rPr>
      </w:pPr>
      <w:r w:rsidRPr="00027425">
        <w:rPr>
          <w:i/>
          <w:kern w:val="22"/>
          <w:szCs w:val="22"/>
          <w:lang w:val="fr-FR"/>
        </w:rPr>
        <w:t>La Conférence des Parties siégeant en tant que réunion des Parties au Protocole de Cartagena</w:t>
      </w:r>
      <w:r>
        <w:rPr>
          <w:i/>
          <w:kern w:val="22"/>
          <w:szCs w:val="22"/>
          <w:lang w:val="fr-FR"/>
        </w:rPr>
        <w:t xml:space="preserve"> sur la prévention des risques biotechnologiques</w:t>
      </w:r>
      <w:r w:rsidRPr="00E30D4B">
        <w:rPr>
          <w:i/>
          <w:kern w:val="22"/>
          <w:szCs w:val="22"/>
          <w:lang w:val="fr-FR"/>
        </w:rPr>
        <w:t>,</w:t>
      </w:r>
    </w:p>
    <w:p w:rsidR="008345B2" w:rsidRPr="003D470A" w:rsidRDefault="00D13F29" w:rsidP="00D13F29">
      <w:pPr>
        <w:pStyle w:val="ListParagraph"/>
        <w:spacing w:before="120" w:after="120"/>
        <w:ind w:left="0" w:firstLine="720"/>
        <w:contextualSpacing w:val="0"/>
        <w:rPr>
          <w:i/>
          <w:kern w:val="22"/>
          <w:szCs w:val="22"/>
          <w:lang w:val="fr-FR"/>
        </w:rPr>
      </w:pPr>
      <w:r w:rsidRPr="00027425">
        <w:rPr>
          <w:i/>
          <w:kern w:val="22"/>
          <w:szCs w:val="22"/>
          <w:lang w:val="fr-FR"/>
        </w:rPr>
        <w:t>La Conférence des Parties siégeant en tant que réunion des P</w:t>
      </w:r>
      <w:r>
        <w:rPr>
          <w:i/>
          <w:kern w:val="22"/>
          <w:szCs w:val="22"/>
          <w:lang w:val="fr-FR"/>
        </w:rPr>
        <w:t>arties au Protocole de Nagoya sur l’accès et le partage des avantages</w:t>
      </w:r>
      <w:r w:rsidRPr="00E30D4B">
        <w:rPr>
          <w:i/>
          <w:kern w:val="22"/>
          <w:szCs w:val="22"/>
          <w:lang w:val="fr-FR"/>
        </w:rPr>
        <w:t>,</w:t>
      </w:r>
    </w:p>
    <w:p w:rsidR="00BF6863" w:rsidRPr="003D470A" w:rsidRDefault="00D13F29" w:rsidP="00717F31">
      <w:pPr>
        <w:pStyle w:val="ListParagraph"/>
        <w:spacing w:before="120" w:after="120"/>
        <w:ind w:left="0" w:firstLine="720"/>
        <w:contextualSpacing w:val="0"/>
        <w:rPr>
          <w:kern w:val="22"/>
          <w:szCs w:val="22"/>
          <w:lang w:val="fr-FR"/>
        </w:rPr>
      </w:pPr>
      <w:r>
        <w:rPr>
          <w:i/>
          <w:kern w:val="22"/>
          <w:szCs w:val="22"/>
          <w:lang w:val="fr-FR"/>
        </w:rPr>
        <w:t>Reconnaissant</w:t>
      </w:r>
      <w:r w:rsidR="00757851" w:rsidRPr="003D470A">
        <w:rPr>
          <w:i/>
          <w:kern w:val="22"/>
          <w:szCs w:val="22"/>
          <w:lang w:val="fr-FR"/>
        </w:rPr>
        <w:t xml:space="preserve"> </w:t>
      </w:r>
      <w:r>
        <w:rPr>
          <w:kern w:val="22"/>
          <w:szCs w:val="22"/>
          <w:lang w:val="fr-FR"/>
        </w:rPr>
        <w:t>qu’il importe au plus haut point que les décisions soient prises en s’app</w:t>
      </w:r>
      <w:r w:rsidR="00CC0B65">
        <w:rPr>
          <w:kern w:val="22"/>
          <w:szCs w:val="22"/>
          <w:lang w:val="fr-FR"/>
        </w:rPr>
        <w:t>uyant sur les meilleurs avis d’experts disponibles,</w:t>
      </w:r>
    </w:p>
    <w:p w:rsidR="00BF6863" w:rsidRPr="003D470A" w:rsidRDefault="00CC0B65" w:rsidP="00717F31">
      <w:pPr>
        <w:pStyle w:val="ListParagraph"/>
        <w:spacing w:before="120" w:after="120"/>
        <w:ind w:left="0" w:firstLine="720"/>
        <w:contextualSpacing w:val="0"/>
        <w:rPr>
          <w:kern w:val="22"/>
          <w:szCs w:val="22"/>
          <w:lang w:val="fr-FR"/>
        </w:rPr>
      </w:pPr>
      <w:r>
        <w:rPr>
          <w:i/>
          <w:kern w:val="22"/>
          <w:szCs w:val="22"/>
          <w:lang w:val="fr-FR"/>
        </w:rPr>
        <w:t>Reconnaissant également</w:t>
      </w:r>
      <w:r>
        <w:rPr>
          <w:kern w:val="22"/>
          <w:szCs w:val="22"/>
          <w:lang w:val="fr-FR"/>
        </w:rPr>
        <w:t xml:space="preserve"> la nécessité d’éviter les conflits d’intérêts au </w:t>
      </w:r>
      <w:r w:rsidR="00D150D3">
        <w:rPr>
          <w:kern w:val="22"/>
          <w:szCs w:val="22"/>
          <w:lang w:val="fr-FR"/>
        </w:rPr>
        <w:t>sein des groupes d’experts constitués</w:t>
      </w:r>
      <w:r>
        <w:rPr>
          <w:kern w:val="22"/>
          <w:szCs w:val="22"/>
          <w:lang w:val="fr-FR"/>
        </w:rPr>
        <w:t xml:space="preserve"> de temps à autre pour examiner les questions scientifiques et techniques et formuler des recommandations,</w:t>
      </w:r>
    </w:p>
    <w:p w:rsidR="00BF6863" w:rsidRPr="003D470A" w:rsidRDefault="00BF6863" w:rsidP="00717F31">
      <w:pPr>
        <w:pStyle w:val="ListParagraph"/>
        <w:spacing w:before="120" w:after="120"/>
        <w:ind w:left="0" w:firstLine="720"/>
        <w:contextualSpacing w:val="0"/>
        <w:rPr>
          <w:kern w:val="22"/>
          <w:szCs w:val="22"/>
          <w:lang w:val="fr-FR"/>
        </w:rPr>
      </w:pPr>
      <w:r w:rsidRPr="003D470A">
        <w:rPr>
          <w:kern w:val="22"/>
          <w:szCs w:val="22"/>
          <w:lang w:val="fr-FR"/>
        </w:rPr>
        <w:t>1.</w:t>
      </w:r>
      <w:r w:rsidRPr="003D470A">
        <w:rPr>
          <w:kern w:val="22"/>
          <w:szCs w:val="22"/>
          <w:lang w:val="fr-FR"/>
        </w:rPr>
        <w:tab/>
      </w:r>
      <w:r w:rsidR="00411FE8" w:rsidRPr="003D470A">
        <w:rPr>
          <w:i/>
          <w:kern w:val="22"/>
          <w:szCs w:val="22"/>
          <w:lang w:val="fr-FR"/>
        </w:rPr>
        <w:t>Appro</w:t>
      </w:r>
      <w:r w:rsidR="00CC0B65">
        <w:rPr>
          <w:i/>
          <w:kern w:val="22"/>
          <w:szCs w:val="22"/>
          <w:lang w:val="fr-FR"/>
        </w:rPr>
        <w:t>uve</w:t>
      </w:r>
      <w:r w:rsidR="00411FE8" w:rsidRPr="003D470A">
        <w:rPr>
          <w:kern w:val="22"/>
          <w:szCs w:val="22"/>
          <w:lang w:val="fr-FR"/>
        </w:rPr>
        <w:t xml:space="preserve"> </w:t>
      </w:r>
      <w:r w:rsidR="00CC0B65">
        <w:rPr>
          <w:kern w:val="22"/>
          <w:szCs w:val="22"/>
          <w:lang w:val="fr-FR"/>
        </w:rPr>
        <w:t>la</w:t>
      </w:r>
      <w:r w:rsidRPr="003D470A">
        <w:rPr>
          <w:kern w:val="22"/>
          <w:szCs w:val="22"/>
          <w:lang w:val="fr-FR"/>
        </w:rPr>
        <w:t xml:space="preserve"> </w:t>
      </w:r>
      <w:r w:rsidR="00D34C26" w:rsidRPr="003D470A">
        <w:rPr>
          <w:kern w:val="22"/>
          <w:szCs w:val="22"/>
          <w:lang w:val="fr-FR"/>
        </w:rPr>
        <w:t>p</w:t>
      </w:r>
      <w:r w:rsidR="00CC0B65">
        <w:rPr>
          <w:kern w:val="22"/>
          <w:szCs w:val="22"/>
          <w:lang w:val="fr-FR"/>
        </w:rPr>
        <w:t>rocé</w:t>
      </w:r>
      <w:r w:rsidR="002D3CEF" w:rsidRPr="003D470A">
        <w:rPr>
          <w:kern w:val="22"/>
          <w:szCs w:val="22"/>
          <w:lang w:val="fr-FR"/>
        </w:rPr>
        <w:t>dure</w:t>
      </w:r>
      <w:r w:rsidR="00CC0B65">
        <w:rPr>
          <w:kern w:val="22"/>
          <w:szCs w:val="22"/>
          <w:lang w:val="fr-FR"/>
        </w:rPr>
        <w:t xml:space="preserve"> pour éviter ou gérer les conflits d’intérêts qui figure à l’annexe de la présente décision ;</w:t>
      </w:r>
    </w:p>
    <w:p w:rsidR="00757851" w:rsidRPr="00717F31" w:rsidRDefault="00BF6863" w:rsidP="00717F31">
      <w:pPr>
        <w:pStyle w:val="ListParagraph"/>
        <w:spacing w:before="120" w:after="120"/>
        <w:ind w:left="0" w:firstLine="720"/>
        <w:contextualSpacing w:val="0"/>
        <w:rPr>
          <w:kern w:val="22"/>
          <w:szCs w:val="22"/>
        </w:rPr>
      </w:pPr>
      <w:r w:rsidRPr="003D470A">
        <w:rPr>
          <w:kern w:val="22"/>
          <w:szCs w:val="22"/>
          <w:lang w:val="fr-FR"/>
        </w:rPr>
        <w:lastRenderedPageBreak/>
        <w:t>2.</w:t>
      </w:r>
      <w:r w:rsidRPr="003D470A">
        <w:rPr>
          <w:kern w:val="22"/>
          <w:szCs w:val="22"/>
          <w:lang w:val="fr-FR"/>
        </w:rPr>
        <w:tab/>
      </w:r>
      <w:r w:rsidR="00CC0B65">
        <w:rPr>
          <w:i/>
          <w:iCs/>
          <w:kern w:val="22"/>
          <w:szCs w:val="22"/>
          <w:lang w:val="fr-FR"/>
        </w:rPr>
        <w:t>Prie</w:t>
      </w:r>
      <w:r w:rsidR="00CC0B65">
        <w:rPr>
          <w:kern w:val="22"/>
          <w:szCs w:val="22"/>
          <w:lang w:val="fr-FR"/>
        </w:rPr>
        <w:t xml:space="preserve"> la Secrétaire exécutive de veiller à l’application de la procédure de gestion des conflits d’intérêts relative aux travaux des groupes d’experts techniques en consultation avec le Bureau de l’Organe subsidiaire chargé de fournir des avis scientifiques, techniques et technologique ou la Conférence des Parties, selon qu’il convient.</w:t>
      </w:r>
    </w:p>
    <w:p w:rsidR="00757851" w:rsidRPr="00717F31" w:rsidRDefault="00757851" w:rsidP="00717F31">
      <w:pPr>
        <w:pStyle w:val="ListParagraph"/>
        <w:spacing w:before="120" w:after="120"/>
        <w:ind w:left="0"/>
        <w:contextualSpacing w:val="0"/>
        <w:rPr>
          <w:kern w:val="22"/>
          <w:szCs w:val="22"/>
        </w:rPr>
      </w:pPr>
    </w:p>
    <w:p w:rsidR="004D0A06" w:rsidRPr="00717F31" w:rsidRDefault="004D0A06">
      <w:pPr>
        <w:jc w:val="left"/>
        <w:rPr>
          <w:bCs/>
          <w:kern w:val="22"/>
          <w:szCs w:val="22"/>
        </w:rPr>
      </w:pPr>
      <w:r w:rsidRPr="00717F31">
        <w:rPr>
          <w:bCs/>
          <w:kern w:val="22"/>
          <w:szCs w:val="22"/>
        </w:rPr>
        <w:br w:type="page"/>
      </w:r>
    </w:p>
    <w:p w:rsidR="00654CF4" w:rsidRPr="002D284F" w:rsidRDefault="00654CF4" w:rsidP="00654CF4">
      <w:pPr>
        <w:jc w:val="center"/>
        <w:rPr>
          <w:i/>
          <w:kern w:val="22"/>
          <w:szCs w:val="22"/>
          <w:lang w:val="fr-FR"/>
        </w:rPr>
      </w:pPr>
      <w:r w:rsidRPr="002D284F">
        <w:rPr>
          <w:i/>
          <w:kern w:val="22"/>
          <w:szCs w:val="22"/>
          <w:lang w:val="fr-FR"/>
        </w:rPr>
        <w:lastRenderedPageBreak/>
        <w:t>Annex</w:t>
      </w:r>
      <w:r w:rsidR="00493D13" w:rsidRPr="002D284F">
        <w:rPr>
          <w:i/>
          <w:kern w:val="22"/>
          <w:szCs w:val="22"/>
          <w:lang w:val="fr-FR"/>
        </w:rPr>
        <w:t>e</w:t>
      </w:r>
    </w:p>
    <w:p w:rsidR="00654CF4" w:rsidRPr="002D284F" w:rsidRDefault="00C26901" w:rsidP="00717F31">
      <w:pPr>
        <w:pStyle w:val="Heading1"/>
        <w:spacing w:before="120"/>
        <w:rPr>
          <w:kern w:val="22"/>
          <w:szCs w:val="22"/>
          <w:lang w:val="fr-FR"/>
        </w:rPr>
      </w:pPr>
      <w:r w:rsidRPr="002D284F">
        <w:rPr>
          <w:kern w:val="22"/>
          <w:szCs w:val="22"/>
          <w:lang w:val="fr-FR"/>
        </w:rPr>
        <w:t>PROCÉdure pour Éviter ou gÉrer les conflits d’intÉrÊts</w:t>
      </w:r>
    </w:p>
    <w:p w:rsidR="00654CF4" w:rsidRPr="002D284F" w:rsidRDefault="00E11BFB" w:rsidP="00717F31">
      <w:pPr>
        <w:keepNext/>
        <w:spacing w:before="120" w:after="120"/>
        <w:rPr>
          <w:b/>
          <w:kern w:val="22"/>
          <w:szCs w:val="22"/>
          <w:lang w:val="fr-FR"/>
        </w:rPr>
      </w:pPr>
      <w:r w:rsidRPr="002D284F">
        <w:rPr>
          <w:b/>
          <w:kern w:val="22"/>
          <w:szCs w:val="22"/>
          <w:lang w:val="fr-FR"/>
        </w:rPr>
        <w:t>1</w:t>
      </w:r>
      <w:r w:rsidR="00654CF4" w:rsidRPr="002D284F">
        <w:rPr>
          <w:b/>
          <w:kern w:val="22"/>
          <w:szCs w:val="22"/>
          <w:lang w:val="fr-FR"/>
        </w:rPr>
        <w:t>.</w:t>
      </w:r>
      <w:r w:rsidR="00B823D9" w:rsidRPr="002D284F">
        <w:rPr>
          <w:b/>
          <w:kern w:val="22"/>
          <w:szCs w:val="22"/>
          <w:lang w:val="fr-FR"/>
        </w:rPr>
        <w:tab/>
      </w:r>
      <w:r w:rsidR="00C26901" w:rsidRPr="002D284F">
        <w:rPr>
          <w:b/>
          <w:kern w:val="22"/>
          <w:szCs w:val="22"/>
          <w:lang w:val="fr-FR"/>
        </w:rPr>
        <w:t>Objet et champ d’application</w:t>
      </w:r>
    </w:p>
    <w:p w:rsidR="00666E45" w:rsidRPr="002D284F" w:rsidRDefault="00A32EDC" w:rsidP="00717F31">
      <w:pPr>
        <w:pStyle w:val="ListParagraph"/>
        <w:numPr>
          <w:ilvl w:val="1"/>
          <w:numId w:val="38"/>
        </w:numPr>
        <w:spacing w:before="120" w:after="120"/>
        <w:rPr>
          <w:kern w:val="22"/>
          <w:szCs w:val="22"/>
          <w:lang w:val="fr-FR"/>
        </w:rPr>
      </w:pPr>
      <w:r>
        <w:rPr>
          <w:kern w:val="22"/>
          <w:szCs w:val="22"/>
          <w:lang w:val="fr-FR"/>
        </w:rPr>
        <w:t xml:space="preserve">Cette procédure a pour objet d’assurer l’intégrité scientifique des travaux des groupes d’experts, tels que les groupes spéciaux d’experts techniques, et de permettre à l’Organe subsidiaire chargé de fournir des avis scientifiques, techniques et technologiques et à l’Organe subsidiaire chargé de l’application, le cas échéant, de formuler leurs conclusions et recommandations sur la base des meilleurs avis objectifs disponibles fournis par ces groupes d’experts, et/ou de fournir à la Conférence des Parties à la Convention et à la Conférence des Parties siégeant en tant que réunions des Parties au Protocole de Cartagena et au Protocole de Nagoya </w:t>
      </w:r>
      <w:r w:rsidR="003921F5">
        <w:rPr>
          <w:kern w:val="22"/>
          <w:szCs w:val="22"/>
          <w:lang w:val="fr-FR"/>
        </w:rPr>
        <w:t>des informations</w:t>
      </w:r>
      <w:r w:rsidR="00A93740">
        <w:rPr>
          <w:kern w:val="22"/>
          <w:szCs w:val="22"/>
          <w:lang w:val="fr-FR"/>
        </w:rPr>
        <w:t xml:space="preserve"> crédibles, fondées sur des données factuelles et équilibrées pour la prise de décisions.</w:t>
      </w:r>
    </w:p>
    <w:p w:rsidR="001349AE" w:rsidRPr="002D284F" w:rsidRDefault="001349AE" w:rsidP="00717F31">
      <w:pPr>
        <w:pStyle w:val="ListParagraph"/>
        <w:spacing w:before="120" w:after="120"/>
        <w:rPr>
          <w:kern w:val="22"/>
          <w:szCs w:val="22"/>
          <w:lang w:val="fr-FR"/>
        </w:rPr>
      </w:pPr>
    </w:p>
    <w:p w:rsidR="00654CF4" w:rsidRPr="002D284F" w:rsidRDefault="009177F3" w:rsidP="00717F31">
      <w:pPr>
        <w:pStyle w:val="ListParagraph"/>
        <w:numPr>
          <w:ilvl w:val="1"/>
          <w:numId w:val="38"/>
        </w:numPr>
        <w:spacing w:before="120" w:after="120"/>
        <w:rPr>
          <w:kern w:val="22"/>
          <w:szCs w:val="22"/>
          <w:lang w:val="fr-FR"/>
        </w:rPr>
      </w:pPr>
      <w:r>
        <w:rPr>
          <w:kern w:val="22"/>
          <w:szCs w:val="22"/>
          <w:lang w:val="fr-FR"/>
        </w:rPr>
        <w:t>Cette procédur</w:t>
      </w:r>
      <w:r w:rsidR="00416514">
        <w:rPr>
          <w:kern w:val="22"/>
          <w:szCs w:val="22"/>
          <w:lang w:val="fr-FR"/>
        </w:rPr>
        <w:t>e</w:t>
      </w:r>
      <w:r w:rsidR="00A93740">
        <w:rPr>
          <w:kern w:val="22"/>
          <w:szCs w:val="22"/>
          <w:lang w:val="fr-FR"/>
        </w:rPr>
        <w:t xml:space="preserve"> s’applique aux experts nommés par les Parties, les autres gouvernements, et tout organisme ou agence, gouvernemental ou non gouvernemental, comme membres experts d’un groupe spécial d’experts techniques ou autre groupe d’experts technique. Elle ne s’applique pas aux représentants des Parties</w:t>
      </w:r>
      <w:r w:rsidR="00CC1BFA">
        <w:rPr>
          <w:kern w:val="22"/>
          <w:szCs w:val="22"/>
          <w:lang w:val="fr-FR"/>
        </w:rPr>
        <w:t xml:space="preserve"> ou des observateurs dans les réunions intergouvernementales ou </w:t>
      </w:r>
      <w:r w:rsidR="00411FE8" w:rsidRPr="002D284F">
        <w:rPr>
          <w:kern w:val="22"/>
          <w:szCs w:val="22"/>
          <w:lang w:val="fr-FR"/>
        </w:rPr>
        <w:t xml:space="preserve"> </w:t>
      </w:r>
      <w:r w:rsidR="00CC1BFA">
        <w:rPr>
          <w:kern w:val="22"/>
          <w:szCs w:val="22"/>
          <w:lang w:val="fr-FR"/>
        </w:rPr>
        <w:t>dans les réunions d’autres organes constitués dont les membres représentent des Parties ou des observateurs.</w:t>
      </w:r>
    </w:p>
    <w:p w:rsidR="00644C74" w:rsidRPr="002D284F" w:rsidRDefault="00E11BFB" w:rsidP="00717F31">
      <w:pPr>
        <w:keepNext/>
        <w:spacing w:before="120" w:after="120"/>
        <w:rPr>
          <w:b/>
          <w:kern w:val="22"/>
          <w:szCs w:val="22"/>
          <w:lang w:val="fr-FR"/>
        </w:rPr>
      </w:pPr>
      <w:r w:rsidRPr="002D284F">
        <w:rPr>
          <w:b/>
          <w:kern w:val="22"/>
          <w:szCs w:val="22"/>
          <w:lang w:val="fr-FR"/>
        </w:rPr>
        <w:t>2</w:t>
      </w:r>
      <w:r w:rsidR="00CC1BFA">
        <w:rPr>
          <w:b/>
          <w:kern w:val="22"/>
          <w:szCs w:val="22"/>
          <w:lang w:val="fr-FR"/>
        </w:rPr>
        <w:t>.</w:t>
      </w:r>
      <w:r w:rsidR="00CC1BFA">
        <w:rPr>
          <w:b/>
          <w:kern w:val="22"/>
          <w:szCs w:val="22"/>
          <w:lang w:val="fr-FR"/>
        </w:rPr>
        <w:tab/>
        <w:t>Conditions</w:t>
      </w:r>
    </w:p>
    <w:p w:rsidR="006809E9" w:rsidRPr="002D284F" w:rsidRDefault="00E11BFB" w:rsidP="00717F31">
      <w:pPr>
        <w:spacing w:before="120" w:after="120"/>
        <w:ind w:left="720" w:hanging="720"/>
        <w:rPr>
          <w:kern w:val="22"/>
          <w:szCs w:val="22"/>
          <w:lang w:val="fr-FR"/>
        </w:rPr>
      </w:pPr>
      <w:r w:rsidRPr="002D284F">
        <w:rPr>
          <w:kern w:val="22"/>
          <w:szCs w:val="22"/>
          <w:lang w:val="fr-FR"/>
        </w:rPr>
        <w:t>2.1</w:t>
      </w:r>
      <w:r w:rsidR="00CC1BFA">
        <w:rPr>
          <w:kern w:val="22"/>
          <w:szCs w:val="22"/>
          <w:lang w:val="fr-FR"/>
        </w:rPr>
        <w:tab/>
        <w:t xml:space="preserve">Afin de participer aux travaux d’un groupe d’experts, en ligne et/ou en </w:t>
      </w:r>
      <w:r w:rsidR="00CA7169">
        <w:rPr>
          <w:kern w:val="22"/>
          <w:szCs w:val="22"/>
          <w:lang w:val="fr-FR"/>
        </w:rPr>
        <w:t>personne, chaque expert</w:t>
      </w:r>
      <w:r w:rsidR="00CC1BFA">
        <w:rPr>
          <w:kern w:val="22"/>
          <w:szCs w:val="22"/>
          <w:lang w:val="fr-FR"/>
        </w:rPr>
        <w:t xml:space="preserve"> agit uniquement en sa capacité personnelle quelle que soit </w:t>
      </w:r>
      <w:r w:rsidR="00CA7169">
        <w:rPr>
          <w:kern w:val="22"/>
          <w:szCs w:val="22"/>
          <w:lang w:val="fr-FR"/>
        </w:rPr>
        <w:t>toute autre affiliation à un gouvernement, indu</w:t>
      </w:r>
      <w:r w:rsidR="00A55FFD">
        <w:rPr>
          <w:kern w:val="22"/>
          <w:szCs w:val="22"/>
          <w:lang w:val="fr-FR"/>
        </w:rPr>
        <w:t>strie, organisation ou université. Chaque expert doit respecter les meilleures pratiques professionnelles de manière objective et neutre, et faire preuve d’un degré élevé de conduite professionnelle. Chaque expert évite, dans la mesure du possible, les situations, financières ou autres, qui pourraient avoir une incidence sur l’ob</w:t>
      </w:r>
      <w:r w:rsidR="009177F3">
        <w:rPr>
          <w:kern w:val="22"/>
          <w:szCs w:val="22"/>
          <w:lang w:val="fr-FR"/>
        </w:rPr>
        <w:t xml:space="preserve">jectivité et l’indépendance de sa </w:t>
      </w:r>
      <w:r w:rsidR="00A55FFD">
        <w:rPr>
          <w:kern w:val="22"/>
          <w:szCs w:val="22"/>
          <w:lang w:val="fr-FR"/>
        </w:rPr>
        <w:t xml:space="preserve">de sa contribution </w:t>
      </w:r>
      <w:r w:rsidR="008D7E7E">
        <w:rPr>
          <w:kern w:val="22"/>
          <w:szCs w:val="22"/>
          <w:lang w:val="fr-FR"/>
        </w:rPr>
        <w:t>et influen</w:t>
      </w:r>
      <w:r w:rsidR="009177F3">
        <w:rPr>
          <w:kern w:val="22"/>
          <w:szCs w:val="22"/>
          <w:lang w:val="fr-FR"/>
        </w:rPr>
        <w:t>cer ainsi le résultat des travaux</w:t>
      </w:r>
      <w:r w:rsidR="008D7E7E">
        <w:rPr>
          <w:kern w:val="22"/>
          <w:szCs w:val="22"/>
          <w:lang w:val="fr-FR"/>
        </w:rPr>
        <w:t xml:space="preserve"> du groupe d’experts.</w:t>
      </w:r>
    </w:p>
    <w:p w:rsidR="009D548F" w:rsidRPr="002D284F" w:rsidRDefault="00E11BFB" w:rsidP="00717F31">
      <w:pPr>
        <w:spacing w:before="120" w:after="120"/>
        <w:ind w:left="720" w:hanging="720"/>
        <w:rPr>
          <w:kern w:val="22"/>
          <w:szCs w:val="22"/>
          <w:lang w:val="fr-FR"/>
        </w:rPr>
      </w:pPr>
      <w:r w:rsidRPr="002D284F">
        <w:rPr>
          <w:kern w:val="22"/>
          <w:szCs w:val="22"/>
          <w:lang w:val="fr-FR"/>
        </w:rPr>
        <w:t>2.2.</w:t>
      </w:r>
      <w:r w:rsidR="008D7E7E">
        <w:rPr>
          <w:kern w:val="22"/>
          <w:szCs w:val="22"/>
          <w:lang w:val="fr-FR"/>
        </w:rPr>
        <w:tab/>
        <w:t>Chaque expert nommé par une Partie, un gouvernement non Partie ou tout organisme ou agence, qu’il soit gouvernemental ou non gouvernemental, pour siéger en qualité de membre d’un groupe d’experts, en plus de remplir un formulaire de nomination</w:t>
      </w:r>
      <w:r w:rsidR="0031455E" w:rsidRPr="002D284F">
        <w:rPr>
          <w:kern w:val="22"/>
          <w:szCs w:val="22"/>
          <w:lang w:val="fr-FR"/>
        </w:rPr>
        <w:t>,</w:t>
      </w:r>
      <w:r w:rsidR="00810BDE" w:rsidRPr="002D284F">
        <w:rPr>
          <w:rStyle w:val="FootnoteReference"/>
          <w:kern w:val="22"/>
          <w:sz w:val="22"/>
          <w:szCs w:val="22"/>
          <w:lang w:val="fr-FR"/>
        </w:rPr>
        <w:footnoteReference w:id="23"/>
      </w:r>
      <w:r w:rsidR="00411FE8" w:rsidRPr="002D284F">
        <w:rPr>
          <w:kern w:val="22"/>
          <w:szCs w:val="22"/>
          <w:lang w:val="fr-FR"/>
        </w:rPr>
        <w:t xml:space="preserve"> </w:t>
      </w:r>
      <w:r w:rsidR="008D7E7E">
        <w:rPr>
          <w:kern w:val="22"/>
          <w:szCs w:val="22"/>
          <w:lang w:val="fr-FR"/>
        </w:rPr>
        <w:t>remplit et si</w:t>
      </w:r>
      <w:r w:rsidR="009177F3">
        <w:rPr>
          <w:kern w:val="22"/>
          <w:szCs w:val="22"/>
          <w:lang w:val="fr-FR"/>
        </w:rPr>
        <w:t>gne un formulaire de déclaration</w:t>
      </w:r>
      <w:r w:rsidR="008D7E7E">
        <w:rPr>
          <w:kern w:val="22"/>
          <w:szCs w:val="22"/>
          <w:lang w:val="fr-FR"/>
        </w:rPr>
        <w:t xml:space="preserve"> d</w:t>
      </w:r>
      <w:r w:rsidR="0091079F">
        <w:rPr>
          <w:kern w:val="22"/>
          <w:szCs w:val="22"/>
          <w:lang w:val="fr-FR"/>
        </w:rPr>
        <w:t>e</w:t>
      </w:r>
      <w:r w:rsidR="008D7E7E">
        <w:rPr>
          <w:kern w:val="22"/>
          <w:szCs w:val="22"/>
          <w:lang w:val="fr-FR"/>
        </w:rPr>
        <w:t xml:space="preserve"> conflit d’intérêts, tel qu’il figure dans l’appendice ci-dessous, avant la sélection des membres du groupe d’experts concerné.</w:t>
      </w:r>
    </w:p>
    <w:p w:rsidR="00416BEB" w:rsidRPr="002D284F" w:rsidRDefault="00E11BFB" w:rsidP="00717F31">
      <w:pPr>
        <w:spacing w:before="120" w:after="120"/>
        <w:ind w:left="720" w:hanging="720"/>
        <w:rPr>
          <w:kern w:val="22"/>
          <w:szCs w:val="22"/>
          <w:lang w:val="fr-FR"/>
        </w:rPr>
      </w:pPr>
      <w:r w:rsidRPr="002D284F">
        <w:rPr>
          <w:kern w:val="22"/>
          <w:szCs w:val="22"/>
          <w:lang w:val="fr-FR"/>
        </w:rPr>
        <w:t>2.3</w:t>
      </w:r>
      <w:r w:rsidRPr="002D284F">
        <w:rPr>
          <w:kern w:val="22"/>
          <w:szCs w:val="22"/>
          <w:lang w:val="fr-FR"/>
        </w:rPr>
        <w:tab/>
      </w:r>
      <w:r w:rsidR="00467C77">
        <w:rPr>
          <w:kern w:val="22"/>
          <w:szCs w:val="22"/>
          <w:lang w:val="fr-FR"/>
        </w:rPr>
        <w:t>Sauf décision cont</w:t>
      </w:r>
      <w:r w:rsidR="009177F3">
        <w:rPr>
          <w:kern w:val="22"/>
          <w:szCs w:val="22"/>
          <w:lang w:val="fr-FR"/>
        </w:rPr>
        <w:t>raire, l’obligation de déclaration</w:t>
      </w:r>
      <w:r w:rsidR="00467C77">
        <w:rPr>
          <w:kern w:val="22"/>
          <w:szCs w:val="22"/>
          <w:lang w:val="fr-FR"/>
        </w:rPr>
        <w:t xml:space="preserve"> des intérêts s’applique à tous les candidats et à chaque groupe d’experts créé par la Conférence des Parties à la Convention, l</w:t>
      </w:r>
      <w:r w:rsidR="00467C77" w:rsidRPr="00467C77">
        <w:rPr>
          <w:kern w:val="22"/>
          <w:szCs w:val="22"/>
          <w:lang w:val="fr-FR"/>
        </w:rPr>
        <w:t>a Conférence des Parties siégeant en tant que réunion des Parties au Protocole de Cartagena sur la prévention des risques biotechnologiques</w:t>
      </w:r>
      <w:r w:rsidR="00467C77">
        <w:rPr>
          <w:kern w:val="22"/>
          <w:szCs w:val="22"/>
          <w:lang w:val="fr-FR"/>
        </w:rPr>
        <w:t xml:space="preserve"> et la </w:t>
      </w:r>
      <w:r w:rsidR="00467C77" w:rsidRPr="00467C77">
        <w:rPr>
          <w:kern w:val="22"/>
          <w:szCs w:val="22"/>
          <w:lang w:val="fr-FR"/>
        </w:rPr>
        <w:t>Conférence des Parties siégeant en tant que réunion des P</w:t>
      </w:r>
      <w:r w:rsidR="00467C77">
        <w:rPr>
          <w:kern w:val="22"/>
          <w:szCs w:val="22"/>
          <w:lang w:val="fr-FR"/>
        </w:rPr>
        <w:t>arties au Protocole de Nagoya sur l’accès et le partage des avantages, ou par un organe subsidiaire.</w:t>
      </w:r>
    </w:p>
    <w:p w:rsidR="00E11BFB" w:rsidRPr="002D284F" w:rsidRDefault="00467C77" w:rsidP="00717F31">
      <w:pPr>
        <w:spacing w:before="120" w:after="120"/>
        <w:ind w:left="720" w:hanging="720"/>
        <w:rPr>
          <w:kern w:val="22"/>
          <w:szCs w:val="22"/>
          <w:lang w:val="fr-FR"/>
        </w:rPr>
      </w:pPr>
      <w:r>
        <w:rPr>
          <w:kern w:val="22"/>
          <w:szCs w:val="22"/>
          <w:lang w:val="fr-FR"/>
        </w:rPr>
        <w:t>2.4</w:t>
      </w:r>
      <w:r>
        <w:rPr>
          <w:kern w:val="22"/>
          <w:szCs w:val="22"/>
          <w:lang w:val="fr-FR"/>
        </w:rPr>
        <w:tab/>
        <w:t>Lorsqu’un expert qui est déjà membre d’un groupe d’experts se trouve</w:t>
      </w:r>
      <w:r w:rsidR="00011240">
        <w:rPr>
          <w:kern w:val="22"/>
          <w:szCs w:val="22"/>
          <w:lang w:val="fr-FR"/>
        </w:rPr>
        <w:t xml:space="preserve"> en situation de </w:t>
      </w:r>
      <w:r w:rsidR="00FC2349">
        <w:rPr>
          <w:kern w:val="22"/>
          <w:szCs w:val="22"/>
          <w:lang w:val="fr-FR"/>
        </w:rPr>
        <w:t>conflit d’intérêts</w:t>
      </w:r>
      <w:r w:rsidR="00011240">
        <w:rPr>
          <w:kern w:val="22"/>
          <w:szCs w:val="22"/>
          <w:lang w:val="fr-FR"/>
        </w:rPr>
        <w:t xml:space="preserve"> direct ou indirect en raison d’un changement de circonstances qui a une incidence sur sa contribution indépendante aux travaux du groupe d’experts, cet expert informe le Secrétariat immédiatement de la situation.</w:t>
      </w:r>
    </w:p>
    <w:p w:rsidR="00B22FEB" w:rsidRPr="002D284F" w:rsidRDefault="00E11BFB" w:rsidP="00717F31">
      <w:pPr>
        <w:keepNext/>
        <w:spacing w:before="120" w:after="120"/>
        <w:rPr>
          <w:b/>
          <w:kern w:val="22"/>
          <w:szCs w:val="22"/>
          <w:lang w:val="fr-FR"/>
        </w:rPr>
      </w:pPr>
      <w:r w:rsidRPr="002D284F">
        <w:rPr>
          <w:b/>
          <w:kern w:val="22"/>
          <w:szCs w:val="22"/>
          <w:lang w:val="fr-FR"/>
        </w:rPr>
        <w:t>3</w:t>
      </w:r>
      <w:r w:rsidR="00BE7878" w:rsidRPr="002D284F">
        <w:rPr>
          <w:b/>
          <w:kern w:val="22"/>
          <w:szCs w:val="22"/>
          <w:lang w:val="fr-FR"/>
        </w:rPr>
        <w:t>.</w:t>
      </w:r>
      <w:r w:rsidR="00BE7878" w:rsidRPr="002D284F">
        <w:rPr>
          <w:b/>
          <w:kern w:val="22"/>
          <w:szCs w:val="22"/>
          <w:lang w:val="fr-FR"/>
        </w:rPr>
        <w:tab/>
      </w:r>
      <w:r w:rsidR="00011240">
        <w:rPr>
          <w:b/>
          <w:kern w:val="22"/>
          <w:szCs w:val="22"/>
          <w:lang w:val="fr-FR"/>
        </w:rPr>
        <w:t>Formulaire de déclaration</w:t>
      </w:r>
    </w:p>
    <w:p w:rsidR="00626243" w:rsidRPr="002D284F" w:rsidRDefault="00E11BFB" w:rsidP="00717F31">
      <w:pPr>
        <w:spacing w:before="120" w:after="120"/>
        <w:ind w:left="720" w:hanging="720"/>
        <w:rPr>
          <w:kern w:val="22"/>
          <w:szCs w:val="22"/>
          <w:lang w:val="fr-FR"/>
        </w:rPr>
      </w:pPr>
      <w:r w:rsidRPr="002D284F">
        <w:rPr>
          <w:kern w:val="22"/>
          <w:szCs w:val="22"/>
          <w:lang w:val="fr-FR"/>
        </w:rPr>
        <w:t>3.1</w:t>
      </w:r>
      <w:r w:rsidR="00011240">
        <w:rPr>
          <w:kern w:val="22"/>
          <w:szCs w:val="22"/>
          <w:lang w:val="fr-FR"/>
        </w:rPr>
        <w:tab/>
        <w:t>Le formulaire de déclaration de conflit d’intérêts qui figure dans l’appendice ci-dessous doit être utilisé</w:t>
      </w:r>
      <w:r w:rsidR="00617F18">
        <w:rPr>
          <w:kern w:val="22"/>
          <w:szCs w:val="22"/>
          <w:lang w:val="fr-FR"/>
        </w:rPr>
        <w:t xml:space="preserve"> pour la désignation et l’examen de la situation</w:t>
      </w:r>
      <w:r w:rsidR="008753AA">
        <w:rPr>
          <w:kern w:val="22"/>
          <w:szCs w:val="22"/>
          <w:lang w:val="fr-FR"/>
        </w:rPr>
        <w:t xml:space="preserve"> des personnes nommées pour siéger en qualité de membre d’un groupe d’experts.</w:t>
      </w:r>
    </w:p>
    <w:p w:rsidR="00626243" w:rsidRPr="002D284F" w:rsidRDefault="00E11BFB" w:rsidP="00717F31">
      <w:pPr>
        <w:spacing w:before="120" w:after="120"/>
        <w:ind w:left="720" w:hanging="720"/>
        <w:rPr>
          <w:kern w:val="22"/>
          <w:szCs w:val="22"/>
          <w:lang w:val="fr-FR"/>
        </w:rPr>
      </w:pPr>
      <w:r w:rsidRPr="002D284F">
        <w:rPr>
          <w:kern w:val="22"/>
          <w:szCs w:val="22"/>
          <w:lang w:val="fr-FR"/>
        </w:rPr>
        <w:t>3.2</w:t>
      </w:r>
      <w:r w:rsidR="008753AA">
        <w:rPr>
          <w:kern w:val="22"/>
          <w:szCs w:val="22"/>
          <w:lang w:val="fr-FR"/>
        </w:rPr>
        <w:tab/>
        <w:t>Ce formulaire sera présenté dans les six langues officielles des Nations Unies</w:t>
      </w:r>
      <w:r w:rsidR="00626243" w:rsidRPr="002D284F">
        <w:rPr>
          <w:kern w:val="22"/>
          <w:szCs w:val="22"/>
          <w:lang w:val="fr-FR"/>
        </w:rPr>
        <w:t>.</w:t>
      </w:r>
    </w:p>
    <w:p w:rsidR="00626243" w:rsidRPr="002D284F" w:rsidRDefault="00E11BFB" w:rsidP="00717F31">
      <w:pPr>
        <w:keepNext/>
        <w:spacing w:before="120" w:after="120"/>
        <w:rPr>
          <w:b/>
          <w:kern w:val="22"/>
          <w:szCs w:val="22"/>
          <w:lang w:val="fr-FR"/>
        </w:rPr>
      </w:pPr>
      <w:r w:rsidRPr="002D284F">
        <w:rPr>
          <w:b/>
          <w:kern w:val="22"/>
          <w:szCs w:val="22"/>
          <w:lang w:val="fr-FR"/>
        </w:rPr>
        <w:lastRenderedPageBreak/>
        <w:t>4</w:t>
      </w:r>
      <w:r w:rsidR="00626243" w:rsidRPr="002D284F">
        <w:rPr>
          <w:b/>
          <w:kern w:val="22"/>
          <w:szCs w:val="22"/>
          <w:lang w:val="fr-FR"/>
        </w:rPr>
        <w:t>.</w:t>
      </w:r>
      <w:r w:rsidR="00626243" w:rsidRPr="002D284F">
        <w:rPr>
          <w:b/>
          <w:kern w:val="22"/>
          <w:szCs w:val="22"/>
          <w:lang w:val="fr-FR"/>
        </w:rPr>
        <w:tab/>
      </w:r>
      <w:r w:rsidR="0091079F">
        <w:rPr>
          <w:b/>
          <w:kern w:val="22"/>
          <w:szCs w:val="22"/>
          <w:lang w:val="fr-FR"/>
        </w:rPr>
        <w:t>Mise en œuvre</w:t>
      </w:r>
    </w:p>
    <w:p w:rsidR="00A91917" w:rsidRPr="002D284F" w:rsidRDefault="00F5013C" w:rsidP="00717F31">
      <w:pPr>
        <w:spacing w:before="120" w:after="120"/>
        <w:ind w:left="720" w:hanging="720"/>
        <w:rPr>
          <w:kern w:val="22"/>
          <w:szCs w:val="22"/>
          <w:lang w:val="fr-FR"/>
        </w:rPr>
      </w:pPr>
      <w:r w:rsidRPr="002D284F">
        <w:rPr>
          <w:kern w:val="22"/>
          <w:szCs w:val="22"/>
          <w:lang w:val="fr-FR"/>
        </w:rPr>
        <w:t>4.1</w:t>
      </w:r>
      <w:r w:rsidRPr="002D284F">
        <w:rPr>
          <w:kern w:val="22"/>
          <w:szCs w:val="22"/>
          <w:lang w:val="fr-FR"/>
        </w:rPr>
        <w:tab/>
      </w:r>
      <w:r w:rsidR="0091079F">
        <w:rPr>
          <w:kern w:val="22"/>
          <w:szCs w:val="22"/>
          <w:lang w:val="fr-FR"/>
        </w:rPr>
        <w:t>Les candidatures à un groupe d’experts doivent être accompagnées d’un formulaire de déclaration de conflit d’intérêts dûment rempli et signé par chaque candidat.</w:t>
      </w:r>
    </w:p>
    <w:p w:rsidR="00DD5FBB" w:rsidRPr="002D284F" w:rsidRDefault="00A91917" w:rsidP="00717F31">
      <w:pPr>
        <w:spacing w:before="120" w:after="120"/>
        <w:ind w:left="720" w:hanging="720"/>
        <w:rPr>
          <w:kern w:val="22"/>
          <w:szCs w:val="22"/>
          <w:lang w:val="fr-FR"/>
        </w:rPr>
      </w:pPr>
      <w:r w:rsidRPr="002D284F">
        <w:rPr>
          <w:kern w:val="22"/>
          <w:szCs w:val="22"/>
          <w:lang w:val="fr-FR"/>
        </w:rPr>
        <w:t>4.2</w:t>
      </w:r>
      <w:r w:rsidRPr="002D284F">
        <w:rPr>
          <w:kern w:val="22"/>
          <w:szCs w:val="22"/>
          <w:lang w:val="fr-FR"/>
        </w:rPr>
        <w:tab/>
      </w:r>
      <w:r w:rsidR="0091079F">
        <w:rPr>
          <w:kern w:val="22"/>
          <w:szCs w:val="22"/>
          <w:lang w:val="fr-FR"/>
        </w:rPr>
        <w:t>Après réception des candidatures et des formulaires de déclaration de conflit d’intérêts dûment remplis</w:t>
      </w:r>
      <w:r w:rsidR="00703B0F">
        <w:rPr>
          <w:kern w:val="22"/>
          <w:szCs w:val="22"/>
          <w:lang w:val="fr-FR"/>
        </w:rPr>
        <w:t>, le Secrétariat examine les informations fournies afin d’établir si un intérêt a été déclaré et,</w:t>
      </w:r>
      <w:r w:rsidR="007A2D06">
        <w:rPr>
          <w:kern w:val="22"/>
          <w:szCs w:val="22"/>
          <w:lang w:val="fr-FR"/>
        </w:rPr>
        <w:t xml:space="preserve"> dans l’affirmative, si cet intérêt est important (c.-à-d. si l’</w:t>
      </w:r>
      <w:r w:rsidR="005B1280">
        <w:rPr>
          <w:kern w:val="22"/>
          <w:szCs w:val="22"/>
          <w:lang w:val="fr-FR"/>
        </w:rPr>
        <w:t>intérêt déclaré se</w:t>
      </w:r>
      <w:r w:rsidR="00BE0E08">
        <w:rPr>
          <w:kern w:val="22"/>
          <w:szCs w:val="22"/>
          <w:lang w:val="fr-FR"/>
        </w:rPr>
        <w:t xml:space="preserve"> rapporte au sujet</w:t>
      </w:r>
      <w:r w:rsidR="001A2CB7">
        <w:rPr>
          <w:kern w:val="22"/>
          <w:szCs w:val="22"/>
          <w:lang w:val="fr-FR"/>
        </w:rPr>
        <w:t xml:space="preserve"> ou aux travaux</w:t>
      </w:r>
      <w:r w:rsidR="005B1280">
        <w:rPr>
          <w:kern w:val="22"/>
          <w:szCs w:val="22"/>
          <w:lang w:val="fr-FR"/>
        </w:rPr>
        <w:t xml:space="preserve"> du groupe d’experts concerné et</w:t>
      </w:r>
      <w:r w:rsidR="001A2CB7">
        <w:rPr>
          <w:kern w:val="22"/>
          <w:szCs w:val="22"/>
          <w:lang w:val="fr-FR"/>
        </w:rPr>
        <w:t xml:space="preserve"> est susceptible de compromettre, ou </w:t>
      </w:r>
      <w:r w:rsidR="001A2CB7">
        <w:rPr>
          <w:lang w:val="fr-FR"/>
        </w:rPr>
        <w:t xml:space="preserve">d’amener une personne raisonnable  </w:t>
      </w:r>
      <w:r w:rsidR="00BE0E08">
        <w:rPr>
          <w:lang w:val="fr-FR"/>
        </w:rPr>
        <w:t xml:space="preserve">à </w:t>
      </w:r>
      <w:r w:rsidR="001A2CB7">
        <w:rPr>
          <w:lang w:val="fr-FR"/>
        </w:rPr>
        <w:t xml:space="preserve">penser qu’il compromet, </w:t>
      </w:r>
      <w:r w:rsidR="001A2CB7" w:rsidRPr="009C4AA9">
        <w:rPr>
          <w:lang w:val="fr-FR"/>
        </w:rPr>
        <w:t xml:space="preserve"> </w:t>
      </w:r>
      <w:r w:rsidR="001A2CB7">
        <w:rPr>
          <w:lang w:val="fr-FR"/>
        </w:rPr>
        <w:t>le jugement objectif et indépendant de l’expert)</w:t>
      </w:r>
      <w:r w:rsidR="00760544" w:rsidRPr="002D284F">
        <w:rPr>
          <w:kern w:val="22"/>
          <w:szCs w:val="22"/>
          <w:lang w:val="fr-FR"/>
        </w:rPr>
        <w:t xml:space="preserve">, </w:t>
      </w:r>
      <w:r w:rsidR="001A2CB7">
        <w:rPr>
          <w:kern w:val="22"/>
          <w:szCs w:val="22"/>
          <w:lang w:val="fr-FR"/>
        </w:rPr>
        <w:t xml:space="preserve">ou </w:t>
      </w:r>
      <w:r w:rsidR="00BE0E08">
        <w:rPr>
          <w:kern w:val="22"/>
          <w:szCs w:val="22"/>
          <w:lang w:val="fr-FR"/>
        </w:rPr>
        <w:t>insignifiant</w:t>
      </w:r>
      <w:r w:rsidR="00946C94" w:rsidRPr="002D284F">
        <w:rPr>
          <w:kern w:val="22"/>
          <w:szCs w:val="22"/>
          <w:lang w:val="fr-FR"/>
        </w:rPr>
        <w:t xml:space="preserve"> </w:t>
      </w:r>
      <w:r w:rsidR="00BE0E08">
        <w:rPr>
          <w:kern w:val="22"/>
          <w:szCs w:val="22"/>
          <w:lang w:val="fr-FR"/>
        </w:rPr>
        <w:t xml:space="preserve">(c.-à-d. si l’intérêt déclaré est sans rapport avec le sujet ou les travaux du groupe d’experts concerné, s’y rapporte indirectement, est minime, inconséquent, expiré ou peu susceptible de compromettre, ou </w:t>
      </w:r>
      <w:r w:rsidR="00BE0E08">
        <w:rPr>
          <w:lang w:val="fr-FR"/>
        </w:rPr>
        <w:t xml:space="preserve">d’amener une personne raisonnable à penser qu’il compromet, </w:t>
      </w:r>
      <w:r w:rsidR="00BE0E08" w:rsidRPr="009C4AA9">
        <w:rPr>
          <w:lang w:val="fr-FR"/>
        </w:rPr>
        <w:t xml:space="preserve"> </w:t>
      </w:r>
      <w:r w:rsidR="00BE0E08">
        <w:rPr>
          <w:lang w:val="fr-FR"/>
        </w:rPr>
        <w:t xml:space="preserve">le jugement objectif et indépendant de l’expert). Si la déclaration soulève des préoccupations potentielles, le Secrétariat peut </w:t>
      </w:r>
      <w:r w:rsidR="0045453A">
        <w:rPr>
          <w:lang w:val="fr-FR"/>
        </w:rPr>
        <w:t>demander des précisions à l’expert directement, ou indirectement par l’intermédiaire de la Partie ou de l’observateur concerné</w:t>
      </w:r>
      <w:r w:rsidR="00DD5FBB" w:rsidRPr="002D284F">
        <w:rPr>
          <w:kern w:val="22"/>
          <w:szCs w:val="22"/>
          <w:lang w:val="fr-FR"/>
        </w:rPr>
        <w:t>.</w:t>
      </w:r>
    </w:p>
    <w:p w:rsidR="00760544" w:rsidRPr="002D284F" w:rsidRDefault="00336386" w:rsidP="00717F31">
      <w:pPr>
        <w:spacing w:before="120" w:after="120"/>
        <w:ind w:left="720" w:hanging="720"/>
        <w:rPr>
          <w:kern w:val="22"/>
          <w:szCs w:val="22"/>
          <w:lang w:val="fr-FR"/>
        </w:rPr>
      </w:pPr>
      <w:r w:rsidRPr="002D284F">
        <w:rPr>
          <w:kern w:val="22"/>
          <w:szCs w:val="22"/>
          <w:lang w:val="fr-FR"/>
        </w:rPr>
        <w:t>4.3</w:t>
      </w:r>
      <w:r w:rsidRPr="002D284F">
        <w:rPr>
          <w:kern w:val="22"/>
          <w:szCs w:val="22"/>
          <w:lang w:val="fr-FR"/>
        </w:rPr>
        <w:tab/>
      </w:r>
      <w:r w:rsidR="0045453A">
        <w:rPr>
          <w:kern w:val="22"/>
          <w:szCs w:val="22"/>
          <w:lang w:val="fr-FR"/>
        </w:rPr>
        <w:t>Le Secrétariat détermine, en consultation avec le Bureau, les candidats qui seront sélectionnés et invités à siéger en qualité de membres du groupe d’experts concerné, sur la base a) du m</w:t>
      </w:r>
      <w:r w:rsidR="00CD1497">
        <w:rPr>
          <w:kern w:val="22"/>
          <w:szCs w:val="22"/>
          <w:lang w:val="fr-FR"/>
        </w:rPr>
        <w:t>andat du groupe d’experts ; b) d</w:t>
      </w:r>
      <w:r w:rsidR="0045453A">
        <w:rPr>
          <w:kern w:val="22"/>
          <w:szCs w:val="22"/>
          <w:lang w:val="fr-FR"/>
        </w:rPr>
        <w:t>es critères qui peuvent être établis dans la notification de nominations ; c)</w:t>
      </w:r>
      <w:r w:rsidR="00CD1497">
        <w:rPr>
          <w:kern w:val="22"/>
          <w:szCs w:val="22"/>
          <w:lang w:val="fr-FR"/>
        </w:rPr>
        <w:t xml:space="preserve"> de</w:t>
      </w:r>
      <w:r w:rsidR="0045453A">
        <w:rPr>
          <w:kern w:val="22"/>
          <w:szCs w:val="22"/>
          <w:lang w:val="fr-FR"/>
        </w:rPr>
        <w:t xml:space="preserve"> l’examen des informations fournies dans le formulaire de déclaration de conflit d’intérêts. Dans la mesure du possible, les groupes d’experts doivent être constitués de manière à éviter les conflits d’intérêts.</w:t>
      </w:r>
    </w:p>
    <w:p w:rsidR="00760544" w:rsidRPr="002D284F" w:rsidRDefault="003107A8" w:rsidP="00717F31">
      <w:pPr>
        <w:spacing w:before="120" w:after="120"/>
        <w:ind w:left="720" w:hanging="720"/>
        <w:rPr>
          <w:kern w:val="22"/>
          <w:szCs w:val="22"/>
          <w:lang w:val="fr-FR"/>
        </w:rPr>
      </w:pPr>
      <w:r>
        <w:rPr>
          <w:kern w:val="22"/>
          <w:szCs w:val="22"/>
          <w:lang w:val="fr-FR"/>
        </w:rPr>
        <w:t xml:space="preserve">4.4 </w:t>
      </w:r>
      <w:r>
        <w:rPr>
          <w:kern w:val="22"/>
          <w:szCs w:val="22"/>
          <w:lang w:val="fr-FR"/>
        </w:rPr>
        <w:tab/>
        <w:t>Dans les situations où il est impossible ou peu pratique de constituer un groupe d’experts ayant toute la gamme de connaissances spécialisées requises pour lui permettre d’exécuter son mandat de manière efficace sans inclure des experts individuels qui, quoique hautement qualifiés, peuvent se trouver en situation de conflit d’intérêts potentiel, le Secrétariat, en consultation avec le Bureau, peut inclure de tels experts à condition que : a)</w:t>
      </w:r>
      <w:r w:rsidR="00760544" w:rsidRPr="002D284F">
        <w:rPr>
          <w:kern w:val="22"/>
          <w:szCs w:val="22"/>
          <w:lang w:val="fr-FR"/>
        </w:rPr>
        <w:t xml:space="preserve"> </w:t>
      </w:r>
      <w:r>
        <w:rPr>
          <w:kern w:val="22"/>
          <w:szCs w:val="22"/>
          <w:lang w:val="fr-FR"/>
        </w:rPr>
        <w:t>il y a</w:t>
      </w:r>
      <w:r w:rsidR="00CD1497">
        <w:rPr>
          <w:kern w:val="22"/>
          <w:szCs w:val="22"/>
          <w:lang w:val="fr-FR"/>
        </w:rPr>
        <w:t>it</w:t>
      </w:r>
      <w:r>
        <w:rPr>
          <w:kern w:val="22"/>
          <w:szCs w:val="22"/>
          <w:lang w:val="fr-FR"/>
        </w:rPr>
        <w:t xml:space="preserve"> un équilibre de ces intérêts potentiels ; b) les experts conviennent de mettre les informations concernant le conflit d’intérêts potentiel à la disposition du public ;</w:t>
      </w:r>
      <w:r w:rsidR="00AE2EE6">
        <w:rPr>
          <w:kern w:val="22"/>
          <w:szCs w:val="22"/>
          <w:lang w:val="fr-FR"/>
        </w:rPr>
        <w:t xml:space="preserve"> c) les experts s’engagent à s’efforcer de contribuer aux travaux du groupe </w:t>
      </w:r>
      <w:r w:rsidR="00CD1497">
        <w:rPr>
          <w:kern w:val="22"/>
          <w:szCs w:val="22"/>
          <w:lang w:val="fr-FR"/>
        </w:rPr>
        <w:t>d’experts avec objectivité et à</w:t>
      </w:r>
      <w:r w:rsidR="00AE2EE6">
        <w:rPr>
          <w:kern w:val="22"/>
          <w:szCs w:val="22"/>
          <w:lang w:val="fr-FR"/>
        </w:rPr>
        <w:t xml:space="preserve"> s’abstenir d’y participer lorsque cela n’</w:t>
      </w:r>
      <w:r w:rsidR="00F65CAD">
        <w:rPr>
          <w:kern w:val="22"/>
          <w:szCs w:val="22"/>
          <w:lang w:val="fr-FR"/>
        </w:rPr>
        <w:t>est pas possible</w:t>
      </w:r>
      <w:r w:rsidR="00CD1497">
        <w:rPr>
          <w:kern w:val="22"/>
          <w:szCs w:val="22"/>
          <w:lang w:val="fr-FR"/>
        </w:rPr>
        <w:t>,</w:t>
      </w:r>
      <w:r w:rsidR="00F65CAD">
        <w:rPr>
          <w:kern w:val="22"/>
          <w:szCs w:val="22"/>
          <w:lang w:val="fr-FR"/>
        </w:rPr>
        <w:t xml:space="preserve"> ou en cas de doute</w:t>
      </w:r>
      <w:r w:rsidR="00AE2EE6">
        <w:rPr>
          <w:kern w:val="22"/>
          <w:szCs w:val="22"/>
          <w:lang w:val="fr-FR"/>
        </w:rPr>
        <w:t>.</w:t>
      </w:r>
    </w:p>
    <w:p w:rsidR="009E0F1E" w:rsidRPr="002D284F" w:rsidRDefault="00F65CAD" w:rsidP="00717F31">
      <w:pPr>
        <w:spacing w:before="120" w:after="120"/>
        <w:ind w:left="720" w:hanging="720"/>
        <w:rPr>
          <w:kern w:val="22"/>
          <w:szCs w:val="22"/>
          <w:lang w:val="fr-FR"/>
        </w:rPr>
      </w:pPr>
      <w:r>
        <w:rPr>
          <w:kern w:val="22"/>
          <w:szCs w:val="22"/>
          <w:lang w:val="fr-FR"/>
        </w:rPr>
        <w:t>4.4</w:t>
      </w:r>
      <w:r>
        <w:rPr>
          <w:kern w:val="22"/>
          <w:szCs w:val="22"/>
          <w:lang w:val="fr-FR"/>
        </w:rPr>
        <w:tab/>
        <w:t>Lorsque la situation d’un expert change durant le mandat du groupe d’experts et que le Secrétariat en est informé, comme précisé au paragraphe 2.4 ci-de</w:t>
      </w:r>
      <w:r w:rsidR="00CD1497">
        <w:rPr>
          <w:kern w:val="22"/>
          <w:szCs w:val="22"/>
          <w:lang w:val="fr-FR"/>
        </w:rPr>
        <w:t xml:space="preserve">ssus, ou lorsque </w:t>
      </w:r>
      <w:r>
        <w:rPr>
          <w:kern w:val="22"/>
          <w:szCs w:val="22"/>
          <w:lang w:val="fr-FR"/>
        </w:rPr>
        <w:t>les actions d’un expert amène</w:t>
      </w:r>
      <w:r w:rsidR="00CF78C1">
        <w:rPr>
          <w:kern w:val="22"/>
          <w:szCs w:val="22"/>
          <w:lang w:val="fr-FR"/>
        </w:rPr>
        <w:t>nt</w:t>
      </w:r>
      <w:r>
        <w:rPr>
          <w:kern w:val="22"/>
          <w:szCs w:val="22"/>
          <w:lang w:val="fr-FR"/>
        </w:rPr>
        <w:t xml:space="preserve"> le S</w:t>
      </w:r>
      <w:r w:rsidR="00CF78C1">
        <w:rPr>
          <w:kern w:val="22"/>
          <w:szCs w:val="22"/>
          <w:lang w:val="fr-FR"/>
        </w:rPr>
        <w:t>ecrétariat à penser qu’il est en situation de conflit d’intérêts, le Secrétariat</w:t>
      </w:r>
      <w:r w:rsidR="00170FB1">
        <w:rPr>
          <w:kern w:val="22"/>
          <w:szCs w:val="22"/>
          <w:lang w:val="fr-FR"/>
        </w:rPr>
        <w:t>, en consultation avec le président du groupe d’experts, porte cette question à l’attention du Bureau pertinent pour ses conseils.</w:t>
      </w:r>
    </w:p>
    <w:p w:rsidR="00B22FEB" w:rsidRPr="002D284F" w:rsidRDefault="00B22FEB" w:rsidP="00717F31">
      <w:pPr>
        <w:spacing w:before="240" w:after="120"/>
        <w:jc w:val="center"/>
        <w:rPr>
          <w:bCs/>
          <w:i/>
          <w:kern w:val="22"/>
          <w:szCs w:val="22"/>
          <w:lang w:val="fr-FR"/>
        </w:rPr>
      </w:pPr>
      <w:r w:rsidRPr="002D284F">
        <w:rPr>
          <w:bCs/>
          <w:i/>
          <w:kern w:val="22"/>
          <w:szCs w:val="22"/>
          <w:lang w:val="fr-FR"/>
        </w:rPr>
        <w:t>Appendi</w:t>
      </w:r>
      <w:r w:rsidR="00521FFE">
        <w:rPr>
          <w:bCs/>
          <w:i/>
          <w:kern w:val="22"/>
          <w:szCs w:val="22"/>
          <w:lang w:val="fr-FR"/>
        </w:rPr>
        <w:t>ce</w:t>
      </w:r>
      <w:r w:rsidR="00293A35" w:rsidRPr="002D284F">
        <w:rPr>
          <w:rStyle w:val="FootnoteReference"/>
          <w:bCs/>
          <w:kern w:val="22"/>
          <w:sz w:val="22"/>
          <w:szCs w:val="22"/>
          <w:lang w:val="fr-FR"/>
        </w:rPr>
        <w:footnoteReference w:id="24"/>
      </w:r>
    </w:p>
    <w:p w:rsidR="00293A35" w:rsidRPr="002D284F" w:rsidRDefault="0051178C" w:rsidP="00717F31">
      <w:pPr>
        <w:pStyle w:val="HEADING"/>
        <w:spacing w:before="120"/>
        <w:rPr>
          <w:rFonts w:ascii="Times New Roman Bold" w:hAnsi="Times New Roman Bold" w:cs="Times New Roman Bold"/>
          <w:kern w:val="22"/>
          <w:szCs w:val="22"/>
          <w:lang w:val="fr-FR"/>
        </w:rPr>
      </w:pPr>
      <w:r>
        <w:rPr>
          <w:rFonts w:ascii="Times New Roman Bold" w:hAnsi="Times New Roman Bold" w:cs="Times New Roman Bold"/>
          <w:kern w:val="22"/>
          <w:szCs w:val="22"/>
          <w:lang w:val="fr-FR"/>
        </w:rPr>
        <w:t>formulaire de dÉclaration de conflit d’intÉrÊt</w:t>
      </w:r>
      <w:r w:rsidR="003549F4">
        <w:rPr>
          <w:rFonts w:ascii="Times New Roman Bold" w:hAnsi="Times New Roman Bold" w:cs="Times New Roman Bold"/>
          <w:kern w:val="22"/>
          <w:szCs w:val="22"/>
          <w:lang w:val="fr-FR"/>
        </w:rPr>
        <w:t>s</w:t>
      </w:r>
    </w:p>
    <w:p w:rsidR="00B22FEB" w:rsidRPr="002D284F" w:rsidRDefault="003549F4" w:rsidP="00717F31">
      <w:pPr>
        <w:spacing w:before="120" w:after="120"/>
        <w:rPr>
          <w:kern w:val="22"/>
          <w:szCs w:val="22"/>
          <w:lang w:val="fr-FR"/>
        </w:rPr>
      </w:pPr>
      <w:r w:rsidRPr="009C4AA9">
        <w:rPr>
          <w:lang w:val="fr-FR"/>
        </w:rPr>
        <w:t xml:space="preserve">Veuillez signer et dater la dernière page du présent formulaire et le </w:t>
      </w:r>
      <w:r>
        <w:rPr>
          <w:lang w:val="fr-FR"/>
        </w:rPr>
        <w:t>renvoyer à la Secrétaire exécutive de la Convention sur la diversité biologique</w:t>
      </w:r>
      <w:r w:rsidRPr="009C4AA9">
        <w:rPr>
          <w:lang w:val="fr-FR"/>
        </w:rPr>
        <w:t>. Veuillez en conserver une copie pour vos archives.</w:t>
      </w:r>
    </w:p>
    <w:p w:rsidR="003A2311" w:rsidRPr="002D284F" w:rsidRDefault="00B22FEB" w:rsidP="00717F31">
      <w:pPr>
        <w:spacing w:before="120" w:after="120"/>
        <w:rPr>
          <w:kern w:val="22"/>
          <w:szCs w:val="22"/>
          <w:lang w:val="fr-FR"/>
        </w:rPr>
      </w:pPr>
      <w:r w:rsidRPr="002D284F">
        <w:rPr>
          <w:b/>
          <w:kern w:val="22"/>
          <w:szCs w:val="22"/>
          <w:lang w:val="fr-FR"/>
        </w:rPr>
        <w:t>Note</w:t>
      </w:r>
      <w:r w:rsidR="003549F4">
        <w:rPr>
          <w:b/>
          <w:kern w:val="22"/>
          <w:szCs w:val="22"/>
          <w:lang w:val="fr-FR"/>
        </w:rPr>
        <w:t> :</w:t>
      </w:r>
      <w:r w:rsidR="00DF625F" w:rsidRPr="002D284F">
        <w:rPr>
          <w:kern w:val="22"/>
          <w:szCs w:val="22"/>
          <w:lang w:val="fr-FR"/>
        </w:rPr>
        <w:t xml:space="preserve"> </w:t>
      </w:r>
      <w:r w:rsidR="003549F4">
        <w:rPr>
          <w:lang w:val="fr-FR"/>
        </w:rPr>
        <w:t xml:space="preserve">Vous avez été nommé et provisoirement invité à </w:t>
      </w:r>
      <w:r w:rsidR="000F6D02">
        <w:rPr>
          <w:lang w:val="fr-FR"/>
        </w:rPr>
        <w:t xml:space="preserve">siéger en qualité d’expert dans le [nom ou description du groupe d’experts] </w:t>
      </w:r>
      <w:r w:rsidR="003549F4" w:rsidRPr="009C4AA9">
        <w:rPr>
          <w:lang w:val="fr-FR"/>
        </w:rPr>
        <w:t>en raison de vos qualifications et de vos compétences professionnelles.</w:t>
      </w:r>
      <w:r w:rsidR="000F6D02">
        <w:rPr>
          <w:lang w:val="fr-FR"/>
        </w:rPr>
        <w:t xml:space="preserve"> Comme indiqué dans la procédure pour éviter ou gérer les conflits d’</w:t>
      </w:r>
      <w:r w:rsidR="003549F4" w:rsidRPr="009C4AA9">
        <w:rPr>
          <w:lang w:val="fr-FR"/>
        </w:rPr>
        <w:t xml:space="preserve">intérêts </w:t>
      </w:r>
      <w:r w:rsidR="000F6D02">
        <w:rPr>
          <w:lang w:val="fr-FR"/>
        </w:rPr>
        <w:t>(décision…….), vous êtes tenu d’éviter les situations</w:t>
      </w:r>
      <w:r w:rsidR="00DD21C1">
        <w:rPr>
          <w:lang w:val="fr-FR"/>
        </w:rPr>
        <w:t xml:space="preserve"> susceptibles de compromettre l’objectivité de votre jugement et votre indépendance dans l’exercice de vos fonction</w:t>
      </w:r>
      <w:r w:rsidR="00CF78C1">
        <w:rPr>
          <w:lang w:val="fr-FR"/>
        </w:rPr>
        <w:t>s</w:t>
      </w:r>
      <w:r w:rsidR="00DD21C1">
        <w:rPr>
          <w:lang w:val="fr-FR"/>
        </w:rPr>
        <w:t xml:space="preserve"> et de vos responsabilité au sein du groupe d’experts. </w:t>
      </w:r>
      <w:r w:rsidR="003549F4" w:rsidRPr="009C4AA9">
        <w:rPr>
          <w:lang w:val="fr-FR"/>
        </w:rPr>
        <w:t xml:space="preserve">Par </w:t>
      </w:r>
      <w:r w:rsidR="003549F4" w:rsidRPr="009C4AA9">
        <w:rPr>
          <w:lang w:val="fr-FR"/>
        </w:rPr>
        <w:lastRenderedPageBreak/>
        <w:t>conséquent, la déclaration de certains éléments est nécessaire afin de ve</w:t>
      </w:r>
      <w:r w:rsidR="00DD21C1">
        <w:rPr>
          <w:lang w:val="fr-FR"/>
        </w:rPr>
        <w:t xml:space="preserve">iller à ce que les travaux du groupe d’experts </w:t>
      </w:r>
      <w:r w:rsidR="003549F4" w:rsidRPr="009C4AA9">
        <w:rPr>
          <w:lang w:val="fr-FR"/>
        </w:rPr>
        <w:t>ne soient pas compromis par des conflits d</w:t>
      </w:r>
      <w:r w:rsidR="003549F4">
        <w:rPr>
          <w:lang w:val="fr-FR"/>
        </w:rPr>
        <w:t>’</w:t>
      </w:r>
      <w:r w:rsidR="003549F4" w:rsidRPr="009C4AA9">
        <w:rPr>
          <w:lang w:val="fr-FR"/>
        </w:rPr>
        <w:t>intérêts. Nous comptons sur votre professionnalisme, votre bon sens et votre honnêteté pour remplir le présent formulaire.</w:t>
      </w:r>
    </w:p>
    <w:p w:rsidR="00B22FEB" w:rsidRPr="002D284F" w:rsidRDefault="00DD21C1" w:rsidP="00717F31">
      <w:pPr>
        <w:spacing w:before="120" w:after="120"/>
        <w:rPr>
          <w:kern w:val="22"/>
          <w:szCs w:val="22"/>
          <w:lang w:val="fr-FR"/>
        </w:rPr>
      </w:pPr>
      <w:r w:rsidRPr="009C4AA9">
        <w:rPr>
          <w:lang w:val="fr-FR"/>
        </w:rPr>
        <w:t>Il vous est demandé de déclarer les intérêts qui sont importants et pertinents et ont trait ou semblent avoir trait à vos fo</w:t>
      </w:r>
      <w:r>
        <w:rPr>
          <w:lang w:val="fr-FR"/>
        </w:rPr>
        <w:t>nctions au sein du groupe d’experts</w:t>
      </w:r>
      <w:r w:rsidRPr="009C4AA9">
        <w:rPr>
          <w:lang w:val="fr-FR"/>
        </w:rPr>
        <w:t xml:space="preserve"> et qui sont susceptibles :</w:t>
      </w:r>
    </w:p>
    <w:p w:rsidR="00B22FEB" w:rsidRPr="002D284F" w:rsidRDefault="00AC3622" w:rsidP="00717F31">
      <w:pPr>
        <w:spacing w:before="120" w:after="120"/>
        <w:ind w:firstLine="720"/>
        <w:rPr>
          <w:kern w:val="22"/>
          <w:szCs w:val="22"/>
          <w:lang w:val="fr-FR"/>
        </w:rPr>
      </w:pPr>
      <w:r w:rsidRPr="002D284F">
        <w:rPr>
          <w:kern w:val="22"/>
          <w:szCs w:val="22"/>
          <w:lang w:val="fr-FR"/>
        </w:rPr>
        <w:t>a</w:t>
      </w:r>
      <w:r w:rsidR="00B22FEB" w:rsidRPr="002D284F">
        <w:rPr>
          <w:kern w:val="22"/>
          <w:szCs w:val="22"/>
          <w:lang w:val="fr-FR"/>
        </w:rPr>
        <w:t>)</w:t>
      </w:r>
      <w:r w:rsidRPr="002D284F">
        <w:rPr>
          <w:kern w:val="22"/>
          <w:szCs w:val="22"/>
          <w:lang w:val="fr-FR"/>
        </w:rPr>
        <w:tab/>
      </w:r>
      <w:r w:rsidR="00DD21C1">
        <w:rPr>
          <w:lang w:val="fr-FR"/>
        </w:rPr>
        <w:t>De compromettre</w:t>
      </w:r>
      <w:r w:rsidR="00DD21C1" w:rsidRPr="009C4AA9">
        <w:rPr>
          <w:lang w:val="fr-FR"/>
        </w:rPr>
        <w:t xml:space="preserve"> sensiblement votre objectivité dans l</w:t>
      </w:r>
      <w:r w:rsidR="00DD21C1">
        <w:rPr>
          <w:lang w:val="fr-FR"/>
        </w:rPr>
        <w:t>’</w:t>
      </w:r>
      <w:r w:rsidR="00DD21C1" w:rsidRPr="009C4AA9">
        <w:rPr>
          <w:lang w:val="fr-FR"/>
        </w:rPr>
        <w:t>exercice de vos fonctions et de vos responsa</w:t>
      </w:r>
      <w:r w:rsidR="00CF78C1">
        <w:rPr>
          <w:lang w:val="fr-FR"/>
        </w:rPr>
        <w:t>bilités au sein du groupe d’experts</w:t>
      </w:r>
      <w:r w:rsidR="00DD21C1">
        <w:rPr>
          <w:lang w:val="fr-FR"/>
        </w:rPr>
        <w:t> ;</w:t>
      </w:r>
    </w:p>
    <w:p w:rsidR="00B22FEB" w:rsidRPr="002D284F" w:rsidRDefault="00AC3622" w:rsidP="00717F31">
      <w:pPr>
        <w:spacing w:before="120" w:after="120"/>
        <w:ind w:firstLine="720"/>
        <w:rPr>
          <w:kern w:val="22"/>
          <w:szCs w:val="22"/>
          <w:lang w:val="fr-FR"/>
        </w:rPr>
      </w:pPr>
      <w:r w:rsidRPr="002D284F">
        <w:rPr>
          <w:kern w:val="22"/>
          <w:szCs w:val="22"/>
          <w:lang w:val="fr-FR"/>
        </w:rPr>
        <w:t>b</w:t>
      </w:r>
      <w:r w:rsidR="00B22FEB" w:rsidRPr="002D284F">
        <w:rPr>
          <w:kern w:val="22"/>
          <w:szCs w:val="22"/>
          <w:lang w:val="fr-FR"/>
        </w:rPr>
        <w:t>)</w:t>
      </w:r>
      <w:r w:rsidRPr="002D284F">
        <w:rPr>
          <w:kern w:val="22"/>
          <w:szCs w:val="22"/>
          <w:lang w:val="fr-FR"/>
        </w:rPr>
        <w:tab/>
      </w:r>
      <w:r w:rsidR="000A52A0" w:rsidRPr="009C4AA9">
        <w:rPr>
          <w:lang w:val="fr-FR"/>
        </w:rPr>
        <w:t>De conférer, à vous-même, à une personne ou à une organisation, un avantage indu et de vous permettre d</w:t>
      </w:r>
      <w:r w:rsidR="000A52A0">
        <w:rPr>
          <w:lang w:val="fr-FR"/>
        </w:rPr>
        <w:t>’</w:t>
      </w:r>
      <w:r w:rsidR="000A52A0" w:rsidRPr="009C4AA9">
        <w:rPr>
          <w:lang w:val="fr-FR"/>
        </w:rPr>
        <w:t>obtenir un avantage direct et m</w:t>
      </w:r>
      <w:r w:rsidR="00CF78C1">
        <w:rPr>
          <w:lang w:val="fr-FR"/>
        </w:rPr>
        <w:t xml:space="preserve">atériel </w:t>
      </w:r>
      <w:r w:rsidR="000A52A0">
        <w:rPr>
          <w:lang w:val="fr-FR"/>
        </w:rPr>
        <w:t>d’un résultat spécifique des travaux du groupe d’experts.</w:t>
      </w:r>
    </w:p>
    <w:p w:rsidR="00644C74" w:rsidRPr="002D284F" w:rsidRDefault="005A465E" w:rsidP="00717F31">
      <w:pPr>
        <w:spacing w:before="120" w:after="120"/>
        <w:rPr>
          <w:kern w:val="22"/>
          <w:szCs w:val="22"/>
          <w:lang w:val="fr-FR"/>
        </w:rPr>
      </w:pPr>
      <w:r>
        <w:rPr>
          <w:lang w:val="fr-FR"/>
        </w:rPr>
        <w:t>Aux fins de cette obligation</w:t>
      </w:r>
      <w:r w:rsidR="000A52A0" w:rsidRPr="009C4AA9">
        <w:rPr>
          <w:lang w:val="fr-FR"/>
        </w:rPr>
        <w:t>, les circonstances susceptibles d</w:t>
      </w:r>
      <w:r w:rsidR="000A52A0">
        <w:rPr>
          <w:lang w:val="fr-FR"/>
        </w:rPr>
        <w:t>’</w:t>
      </w:r>
      <w:r w:rsidR="000A52A0" w:rsidRPr="009C4AA9">
        <w:rPr>
          <w:lang w:val="fr-FR"/>
        </w:rPr>
        <w:t>amener une personne raisonnable à mettre en doute votre objectivité ou à se demander si un avantage indu a été conféré constituent un conflit d</w:t>
      </w:r>
      <w:r w:rsidR="000A52A0">
        <w:rPr>
          <w:lang w:val="fr-FR"/>
        </w:rPr>
        <w:t>’</w:t>
      </w:r>
      <w:r w:rsidR="000A52A0" w:rsidRPr="009C4AA9">
        <w:rPr>
          <w:lang w:val="fr-FR"/>
        </w:rPr>
        <w:t>intérêts potentiel et devraient être déclarées dans le présent formulaire. La déclaration d</w:t>
      </w:r>
      <w:r w:rsidR="000A52A0">
        <w:rPr>
          <w:lang w:val="fr-FR"/>
        </w:rPr>
        <w:t>’</w:t>
      </w:r>
      <w:r w:rsidR="000A52A0" w:rsidRPr="009C4AA9">
        <w:rPr>
          <w:lang w:val="fr-FR"/>
        </w:rPr>
        <w:t>un intérêt dans le présent formulaire ne signifie pas automatiquement qu</w:t>
      </w:r>
      <w:r w:rsidR="000A52A0">
        <w:rPr>
          <w:lang w:val="fr-FR"/>
        </w:rPr>
        <w:t>’</w:t>
      </w:r>
      <w:r w:rsidR="000A52A0" w:rsidRPr="009C4AA9">
        <w:rPr>
          <w:lang w:val="fr-FR"/>
        </w:rPr>
        <w:t>il existe un conflit ou que vous ne serez pas en mesure d</w:t>
      </w:r>
      <w:r w:rsidR="000A52A0">
        <w:rPr>
          <w:lang w:val="fr-FR"/>
        </w:rPr>
        <w:t>e participer aux travaux du groupe d’experts</w:t>
      </w:r>
      <w:r w:rsidR="000A52A0" w:rsidRPr="009C4AA9">
        <w:rPr>
          <w:lang w:val="fr-FR"/>
        </w:rPr>
        <w:t>. En cas de doute concernant la question de savoir si vous devez déclarer un intérêt, vous êtes encouragé à le faire.</w:t>
      </w:r>
    </w:p>
    <w:p w:rsidR="00293A35" w:rsidRPr="002D284F" w:rsidRDefault="000E2C57" w:rsidP="00717F31">
      <w:pPr>
        <w:spacing w:before="120" w:after="120"/>
        <w:rPr>
          <w:kern w:val="22"/>
          <w:szCs w:val="22"/>
          <w:lang w:val="fr-FR"/>
        </w:rPr>
      </w:pPr>
      <w:r>
        <w:rPr>
          <w:kern w:val="22"/>
          <w:szCs w:val="22"/>
          <w:lang w:val="fr-FR"/>
        </w:rPr>
        <w:t>Le contenu du présent</w:t>
      </w:r>
      <w:r w:rsidR="000A52A0">
        <w:rPr>
          <w:kern w:val="22"/>
          <w:szCs w:val="22"/>
          <w:lang w:val="fr-FR"/>
        </w:rPr>
        <w:t xml:space="preserve"> formulaire demeurera confidentiel, s</w:t>
      </w:r>
      <w:r>
        <w:rPr>
          <w:kern w:val="22"/>
          <w:szCs w:val="22"/>
          <w:lang w:val="fr-FR"/>
        </w:rPr>
        <w:t xml:space="preserve">auf accord contraire </w:t>
      </w:r>
      <w:r w:rsidR="000A52A0">
        <w:rPr>
          <w:kern w:val="22"/>
          <w:szCs w:val="22"/>
          <w:lang w:val="fr-FR"/>
        </w:rPr>
        <w:t>de l’expert qui</w:t>
      </w:r>
      <w:r>
        <w:rPr>
          <w:kern w:val="22"/>
          <w:szCs w:val="22"/>
          <w:lang w:val="fr-FR"/>
        </w:rPr>
        <w:t xml:space="preserve"> le remplit</w:t>
      </w:r>
      <w:r w:rsidR="00293A35" w:rsidRPr="002D284F">
        <w:rPr>
          <w:kern w:val="22"/>
          <w:szCs w:val="22"/>
          <w:lang w:val="fr-FR"/>
        </w:rPr>
        <w:t>.</w:t>
      </w:r>
    </w:p>
    <w:p w:rsidR="001349AE" w:rsidRPr="002D284F" w:rsidRDefault="00BA02FC" w:rsidP="00717F31">
      <w:pPr>
        <w:spacing w:before="120" w:after="120"/>
        <w:jc w:val="center"/>
        <w:rPr>
          <w:b/>
          <w:kern w:val="22"/>
          <w:szCs w:val="22"/>
          <w:lang w:val="fr-FR"/>
        </w:rPr>
      </w:pPr>
      <w:r>
        <w:rPr>
          <w:b/>
          <w:kern w:val="22"/>
          <w:szCs w:val="22"/>
          <w:lang w:val="fr-FR"/>
        </w:rPr>
        <w:t>Formulaire de déclaration de conflit d’intérêt</w:t>
      </w:r>
      <w:r w:rsidR="000E2C57">
        <w:rPr>
          <w:b/>
          <w:kern w:val="22"/>
          <w:szCs w:val="22"/>
          <w:lang w:val="fr-FR"/>
        </w:rPr>
        <w:t>s</w:t>
      </w:r>
    </w:p>
    <w:p w:rsidR="001349AE" w:rsidRPr="002D284F" w:rsidRDefault="000E2C57" w:rsidP="00717F31">
      <w:pPr>
        <w:spacing w:before="120" w:after="120"/>
        <w:jc w:val="center"/>
        <w:rPr>
          <w:b/>
          <w:kern w:val="22"/>
          <w:szCs w:val="22"/>
          <w:lang w:val="fr-FR"/>
        </w:rPr>
      </w:pPr>
      <w:r>
        <w:rPr>
          <w:kern w:val="22"/>
          <w:szCs w:val="22"/>
          <w:lang w:val="fr-FR"/>
        </w:rPr>
        <w:t>(Confidentiel une fois rempli, sauf accord contraire de la personne qui le remplit</w:t>
      </w:r>
      <w:r w:rsidR="001349AE" w:rsidRPr="002D284F">
        <w:rPr>
          <w:kern w:val="22"/>
          <w:szCs w:val="22"/>
          <w:lang w:val="fr-FR"/>
        </w:rPr>
        <w:t>)</w:t>
      </w:r>
    </w:p>
    <w:p w:rsidR="008B28B2" w:rsidRPr="002D284F" w:rsidRDefault="000E2C57" w:rsidP="00717F31">
      <w:pPr>
        <w:spacing w:before="120" w:after="120"/>
        <w:rPr>
          <w:kern w:val="22"/>
          <w:szCs w:val="22"/>
          <w:lang w:val="fr-FR"/>
        </w:rPr>
      </w:pPr>
      <w:r>
        <w:rPr>
          <w:kern w:val="22"/>
          <w:szCs w:val="22"/>
          <w:lang w:val="fr-FR"/>
        </w:rPr>
        <w:t>NOM :</w:t>
      </w:r>
      <w:r w:rsidR="008B28B2" w:rsidRPr="002D284F">
        <w:rPr>
          <w:kern w:val="22"/>
          <w:szCs w:val="22"/>
          <w:lang w:val="fr-FR"/>
        </w:rPr>
        <w:t xml:space="preserve"> ___________________________________________________________________________</w:t>
      </w:r>
    </w:p>
    <w:p w:rsidR="008B28B2" w:rsidRPr="002D284F" w:rsidRDefault="000E2C57" w:rsidP="00717F31">
      <w:pPr>
        <w:spacing w:before="120" w:after="120"/>
        <w:rPr>
          <w:kern w:val="22"/>
          <w:szCs w:val="22"/>
          <w:lang w:val="fr-FR"/>
        </w:rPr>
      </w:pPr>
      <w:r>
        <w:rPr>
          <w:kern w:val="22"/>
          <w:szCs w:val="22"/>
          <w:lang w:val="fr-FR"/>
        </w:rPr>
        <w:t>AD</w:t>
      </w:r>
      <w:r w:rsidR="008B28B2" w:rsidRPr="002D284F">
        <w:rPr>
          <w:kern w:val="22"/>
          <w:szCs w:val="22"/>
          <w:lang w:val="fr-FR"/>
        </w:rPr>
        <w:t>RESS</w:t>
      </w:r>
      <w:r>
        <w:rPr>
          <w:kern w:val="22"/>
          <w:szCs w:val="22"/>
          <w:lang w:val="fr-FR"/>
        </w:rPr>
        <w:t>E :</w:t>
      </w:r>
      <w:r w:rsidR="008B28B2" w:rsidRPr="002D284F">
        <w:rPr>
          <w:kern w:val="22"/>
          <w:szCs w:val="22"/>
          <w:lang w:val="fr-FR"/>
        </w:rPr>
        <w:t xml:space="preserve"> ________________________________________________________________________</w:t>
      </w:r>
    </w:p>
    <w:p w:rsidR="008B28B2" w:rsidRPr="002D284F" w:rsidRDefault="008B28B2" w:rsidP="00717F31">
      <w:pPr>
        <w:spacing w:before="120" w:after="120"/>
        <w:rPr>
          <w:kern w:val="22"/>
          <w:szCs w:val="22"/>
          <w:lang w:val="fr-FR"/>
        </w:rPr>
      </w:pPr>
      <w:r w:rsidRPr="002D284F">
        <w:rPr>
          <w:kern w:val="22"/>
          <w:szCs w:val="22"/>
          <w:lang w:val="fr-FR"/>
        </w:rPr>
        <w:tab/>
        <w:t>___________________________________________________________________________</w:t>
      </w:r>
    </w:p>
    <w:p w:rsidR="008B28B2" w:rsidRPr="002D284F" w:rsidRDefault="000E2C57" w:rsidP="00717F31">
      <w:pPr>
        <w:spacing w:before="120" w:after="120"/>
        <w:rPr>
          <w:kern w:val="22"/>
          <w:szCs w:val="22"/>
          <w:lang w:val="fr-FR"/>
        </w:rPr>
      </w:pPr>
      <w:r>
        <w:rPr>
          <w:kern w:val="22"/>
          <w:szCs w:val="22"/>
          <w:lang w:val="fr-FR"/>
        </w:rPr>
        <w:t>TÉLÉPHONE :</w:t>
      </w:r>
      <w:r w:rsidR="008B28B2" w:rsidRPr="002D284F">
        <w:rPr>
          <w:kern w:val="22"/>
          <w:szCs w:val="22"/>
          <w:lang w:val="fr-FR"/>
        </w:rPr>
        <w:t xml:space="preserve"> ________</w:t>
      </w:r>
      <w:r>
        <w:rPr>
          <w:kern w:val="22"/>
          <w:szCs w:val="22"/>
          <w:lang w:val="fr-FR"/>
        </w:rPr>
        <w:t>_________________ COURRIEL :</w:t>
      </w:r>
      <w:r w:rsidR="008B28B2" w:rsidRPr="002D284F">
        <w:rPr>
          <w:kern w:val="22"/>
          <w:szCs w:val="22"/>
          <w:lang w:val="fr-FR"/>
        </w:rPr>
        <w:t xml:space="preserve"> ___________________________</w:t>
      </w:r>
    </w:p>
    <w:p w:rsidR="008B28B2" w:rsidRPr="002D284F" w:rsidRDefault="000E2C57" w:rsidP="00717F31">
      <w:pPr>
        <w:spacing w:before="120" w:after="120"/>
        <w:rPr>
          <w:kern w:val="22"/>
          <w:szCs w:val="22"/>
          <w:lang w:val="fr-FR"/>
        </w:rPr>
      </w:pPr>
      <w:r>
        <w:rPr>
          <w:kern w:val="22"/>
          <w:szCs w:val="22"/>
          <w:lang w:val="fr-FR"/>
        </w:rPr>
        <w:t>EMPLOYEUR ACTUEL :</w:t>
      </w:r>
      <w:r w:rsidR="008B28B2" w:rsidRPr="002D284F">
        <w:rPr>
          <w:kern w:val="22"/>
          <w:szCs w:val="22"/>
          <w:lang w:val="fr-FR"/>
        </w:rPr>
        <w:t xml:space="preserve"> ____________________________________________________________</w:t>
      </w:r>
    </w:p>
    <w:p w:rsidR="008B28B2" w:rsidRPr="002D284F" w:rsidRDefault="000E2C57" w:rsidP="00717F31">
      <w:pPr>
        <w:spacing w:before="120" w:after="120"/>
        <w:rPr>
          <w:kern w:val="22"/>
          <w:szCs w:val="22"/>
          <w:lang w:val="fr-FR"/>
        </w:rPr>
      </w:pPr>
      <w:r>
        <w:rPr>
          <w:kern w:val="22"/>
          <w:szCs w:val="22"/>
          <w:lang w:val="fr-FR"/>
        </w:rPr>
        <w:t>NOMMÉ PAR :</w:t>
      </w:r>
      <w:r w:rsidR="008B28B2" w:rsidRPr="002D284F">
        <w:rPr>
          <w:kern w:val="22"/>
          <w:szCs w:val="22"/>
          <w:lang w:val="fr-FR"/>
        </w:rPr>
        <w:t xml:space="preserve"> _____________________________________________________________</w:t>
      </w:r>
    </w:p>
    <w:p w:rsidR="008B28B2" w:rsidRPr="000E2C57" w:rsidRDefault="001C6F69" w:rsidP="00277493">
      <w:pPr>
        <w:tabs>
          <w:tab w:val="center" w:pos="4680"/>
        </w:tabs>
        <w:spacing w:before="120" w:after="120"/>
        <w:rPr>
          <w:snapToGrid w:val="0"/>
          <w:kern w:val="22"/>
          <w:szCs w:val="22"/>
          <w:lang w:val="fr-FR"/>
        </w:rPr>
      </w:pPr>
      <w:r w:rsidRPr="002D284F">
        <w:rPr>
          <w:snapToGrid w:val="0"/>
          <w:kern w:val="22"/>
          <w:szCs w:val="22"/>
          <w:lang w:val="fr-FR"/>
        </w:rPr>
        <w:t>1</w:t>
      </w:r>
      <w:r w:rsidR="00224A76" w:rsidRPr="000E2C57">
        <w:rPr>
          <w:snapToGrid w:val="0"/>
          <w:kern w:val="22"/>
          <w:szCs w:val="22"/>
          <w:lang w:val="fr-FR"/>
        </w:rPr>
        <w:t>.</w:t>
      </w:r>
      <w:r w:rsidR="008B28B2" w:rsidRPr="000E2C57">
        <w:rPr>
          <w:snapToGrid w:val="0"/>
          <w:kern w:val="22"/>
          <w:szCs w:val="22"/>
          <w:lang w:val="fr-FR"/>
        </w:rPr>
        <w:t xml:space="preserve"> </w:t>
      </w:r>
      <w:r w:rsidR="005A465E">
        <w:rPr>
          <w:lang w:val="fr-FR"/>
        </w:rPr>
        <w:t>Participez-vous</w:t>
      </w:r>
      <w:r w:rsidR="000E2C57" w:rsidRPr="000E2C57">
        <w:rPr>
          <w:lang w:val="fr-FR"/>
        </w:rPr>
        <w:t xml:space="preserve"> à des activités professionnelles importantes et pertinentes qui pourraient être considérées comme constituant un conflit d’intérêts?</w:t>
      </w:r>
    </w:p>
    <w:p w:rsidR="008B28B2" w:rsidRPr="000E2C57" w:rsidRDefault="000E2C57">
      <w:pPr>
        <w:tabs>
          <w:tab w:val="center" w:pos="4680"/>
        </w:tabs>
        <w:spacing w:before="120" w:after="120"/>
        <w:rPr>
          <w:snapToGrid w:val="0"/>
          <w:kern w:val="22"/>
          <w:szCs w:val="22"/>
          <w:lang w:val="fr-FR"/>
        </w:rPr>
      </w:pPr>
      <w:r w:rsidRPr="000E2C57">
        <w:rPr>
          <w:snapToGrid w:val="0"/>
          <w:kern w:val="22"/>
          <w:szCs w:val="22"/>
          <w:lang w:val="fr-FR"/>
        </w:rPr>
        <w:t>___ Oui</w:t>
      </w:r>
      <w:r w:rsidR="008B28B2" w:rsidRPr="000E2C57">
        <w:rPr>
          <w:snapToGrid w:val="0"/>
          <w:kern w:val="22"/>
          <w:szCs w:val="22"/>
          <w:lang w:val="fr-FR"/>
        </w:rPr>
        <w:t xml:space="preserve"> ____ No</w:t>
      </w:r>
      <w:r w:rsidRPr="000E2C57">
        <w:rPr>
          <w:snapToGrid w:val="0"/>
          <w:kern w:val="22"/>
          <w:szCs w:val="22"/>
          <w:lang w:val="fr-FR"/>
        </w:rPr>
        <w:t>n</w:t>
      </w:r>
      <w:r w:rsidR="008B28B2" w:rsidRPr="000E2C57">
        <w:rPr>
          <w:snapToGrid w:val="0"/>
          <w:kern w:val="22"/>
          <w:szCs w:val="22"/>
          <w:lang w:val="fr-FR"/>
        </w:rPr>
        <w:t xml:space="preserve"> (</w:t>
      </w:r>
      <w:r w:rsidR="008A5B8A">
        <w:rPr>
          <w:lang w:val="fr-FR"/>
        </w:rPr>
        <w:t>si oui, veuillez préciser ci-dessous</w:t>
      </w:r>
      <w:r w:rsidR="00313B33" w:rsidRPr="000E2C57">
        <w:rPr>
          <w:snapToGrid w:val="0"/>
          <w:kern w:val="22"/>
          <w:szCs w:val="22"/>
          <w:lang w:val="fr-FR"/>
        </w:rPr>
        <w:t>)</w:t>
      </w:r>
    </w:p>
    <w:p w:rsidR="008B28B2" w:rsidRPr="000E2C57" w:rsidRDefault="008B28B2">
      <w:pPr>
        <w:tabs>
          <w:tab w:val="center" w:pos="4680"/>
        </w:tabs>
        <w:spacing w:before="120" w:after="120"/>
        <w:rPr>
          <w:snapToGrid w:val="0"/>
          <w:kern w:val="22"/>
          <w:szCs w:val="22"/>
          <w:lang w:val="fr-FR"/>
        </w:rPr>
      </w:pPr>
      <w:r w:rsidRPr="000E2C57">
        <w:rPr>
          <w:snapToGrid w:val="0"/>
          <w:kern w:val="22"/>
          <w:szCs w:val="22"/>
          <w:lang w:val="fr-FR"/>
        </w:rPr>
        <w:t>___________________________________________________________________________</w:t>
      </w:r>
    </w:p>
    <w:p w:rsidR="00541C9A" w:rsidRPr="000E2C57" w:rsidRDefault="000E2C57">
      <w:pPr>
        <w:tabs>
          <w:tab w:val="center" w:pos="4680"/>
        </w:tabs>
        <w:spacing w:before="120" w:after="120"/>
        <w:rPr>
          <w:snapToGrid w:val="0"/>
          <w:kern w:val="22"/>
          <w:szCs w:val="22"/>
          <w:lang w:val="fr-FR"/>
        </w:rPr>
      </w:pPr>
      <w:r w:rsidRPr="00DC1F40">
        <w:rPr>
          <w:lang w:val="fr-FR"/>
        </w:rPr>
        <w:t>Veuillez indiquer les intérêts professionnels et autres intérêts non financiers, importants et pertinents, qui ont trait ou semblent avoir trait à vos fon</w:t>
      </w:r>
      <w:r w:rsidR="008A5B8A">
        <w:rPr>
          <w:lang w:val="fr-FR"/>
        </w:rPr>
        <w:t xml:space="preserve">ctions au sein du groupe d’experts </w:t>
      </w:r>
      <w:r w:rsidRPr="00DC1F40">
        <w:rPr>
          <w:lang w:val="fr-FR"/>
        </w:rPr>
        <w:t>et qui pourraient être interprétés comme :</w:t>
      </w:r>
    </w:p>
    <w:p w:rsidR="00541C9A" w:rsidRPr="000E2C57" w:rsidRDefault="003E3C6E">
      <w:pPr>
        <w:tabs>
          <w:tab w:val="center" w:pos="4680"/>
        </w:tabs>
        <w:spacing w:before="120" w:after="120"/>
        <w:ind w:left="709"/>
        <w:rPr>
          <w:snapToGrid w:val="0"/>
          <w:kern w:val="22"/>
          <w:szCs w:val="22"/>
          <w:lang w:val="fr-FR"/>
        </w:rPr>
      </w:pPr>
      <w:r w:rsidRPr="000E2C57">
        <w:rPr>
          <w:snapToGrid w:val="0"/>
          <w:kern w:val="22"/>
          <w:szCs w:val="22"/>
          <w:lang w:val="fr-FR"/>
        </w:rPr>
        <w:tab/>
      </w:r>
      <w:r w:rsidR="00541C9A" w:rsidRPr="000E2C57">
        <w:rPr>
          <w:snapToGrid w:val="0"/>
          <w:kern w:val="22"/>
          <w:szCs w:val="22"/>
          <w:lang w:val="fr-FR"/>
        </w:rPr>
        <w:t xml:space="preserve">i) </w:t>
      </w:r>
      <w:r w:rsidR="008A5B8A">
        <w:rPr>
          <w:lang w:val="fr-FR"/>
        </w:rPr>
        <w:t>Compromettant</w:t>
      </w:r>
      <w:r w:rsidR="008A5B8A" w:rsidRPr="009C4AA9">
        <w:rPr>
          <w:lang w:val="fr-FR"/>
        </w:rPr>
        <w:t xml:space="preserve"> sensiblement votre objectivité dans l</w:t>
      </w:r>
      <w:r w:rsidR="008A5B8A">
        <w:rPr>
          <w:lang w:val="fr-FR"/>
        </w:rPr>
        <w:t>’</w:t>
      </w:r>
      <w:r w:rsidR="008A5B8A" w:rsidRPr="009C4AA9">
        <w:rPr>
          <w:lang w:val="fr-FR"/>
        </w:rPr>
        <w:t>exercice de vos fonctions et de vos responsabi</w:t>
      </w:r>
      <w:r w:rsidR="008A5B8A">
        <w:rPr>
          <w:lang w:val="fr-FR"/>
        </w:rPr>
        <w:t>lités au sein du groupe d’experts ;</w:t>
      </w:r>
    </w:p>
    <w:p w:rsidR="00541C9A" w:rsidRPr="008A5B8A" w:rsidRDefault="00541C9A">
      <w:pPr>
        <w:tabs>
          <w:tab w:val="center" w:pos="4680"/>
        </w:tabs>
        <w:spacing w:before="120" w:after="120"/>
        <w:ind w:left="709"/>
        <w:rPr>
          <w:snapToGrid w:val="0"/>
          <w:kern w:val="22"/>
          <w:szCs w:val="22"/>
          <w:lang w:val="fr-FR"/>
        </w:rPr>
      </w:pPr>
      <w:r w:rsidRPr="000E2C57">
        <w:rPr>
          <w:snapToGrid w:val="0"/>
          <w:kern w:val="22"/>
          <w:szCs w:val="22"/>
          <w:lang w:val="fr-FR"/>
        </w:rPr>
        <w:t>ii)</w:t>
      </w:r>
      <w:r w:rsidR="008A5B8A" w:rsidRPr="008A5B8A">
        <w:t xml:space="preserve"> </w:t>
      </w:r>
      <w:r w:rsidR="008A5B8A" w:rsidRPr="008A5B8A">
        <w:rPr>
          <w:lang w:val="fr-FR"/>
        </w:rPr>
        <w:t>Conférant un avantage indu à vous-même, à une personne ou à une organisation. Il peut notamment s’agir de fonctions au sein de conseils d’administration d’associations militantes</w:t>
      </w:r>
      <w:r w:rsidRPr="008A5B8A">
        <w:rPr>
          <w:snapToGrid w:val="0"/>
          <w:kern w:val="22"/>
          <w:szCs w:val="22"/>
          <w:lang w:val="fr-FR"/>
        </w:rPr>
        <w:t>.</w:t>
      </w:r>
    </w:p>
    <w:p w:rsidR="00541C9A" w:rsidRPr="008A5B8A" w:rsidRDefault="003E3C6E">
      <w:pPr>
        <w:tabs>
          <w:tab w:val="center" w:pos="4680"/>
        </w:tabs>
        <w:spacing w:before="120" w:after="120"/>
        <w:rPr>
          <w:snapToGrid w:val="0"/>
          <w:kern w:val="22"/>
          <w:szCs w:val="22"/>
          <w:lang w:val="fr-FR"/>
        </w:rPr>
      </w:pPr>
      <w:r w:rsidRPr="000E2C57">
        <w:rPr>
          <w:snapToGrid w:val="0"/>
          <w:kern w:val="22"/>
          <w:szCs w:val="22"/>
          <w:lang w:val="fr-FR"/>
        </w:rPr>
        <w:t>2</w:t>
      </w:r>
      <w:r w:rsidR="00224A76" w:rsidRPr="008A5B8A">
        <w:rPr>
          <w:snapToGrid w:val="0"/>
          <w:kern w:val="22"/>
          <w:szCs w:val="22"/>
          <w:lang w:val="fr-FR"/>
        </w:rPr>
        <w:t>.</w:t>
      </w:r>
      <w:r w:rsidR="00541C9A" w:rsidRPr="008A5B8A">
        <w:rPr>
          <w:snapToGrid w:val="0"/>
          <w:kern w:val="22"/>
          <w:szCs w:val="22"/>
          <w:lang w:val="fr-FR"/>
        </w:rPr>
        <w:t xml:space="preserve"> </w:t>
      </w:r>
      <w:r w:rsidR="008A5B8A" w:rsidRPr="008A5B8A">
        <w:rPr>
          <w:lang w:val="fr-FR"/>
        </w:rPr>
        <w:t>Avez-vous des intérêts financiers importants et pertinents dans le domaine des travaux auxquels vous participerez, qui pourraient être considérés comme constituant un conflit d’intérêts?</w:t>
      </w:r>
    </w:p>
    <w:p w:rsidR="00541C9A" w:rsidRPr="000E2C57" w:rsidRDefault="008A5B8A">
      <w:pPr>
        <w:tabs>
          <w:tab w:val="center" w:pos="4680"/>
        </w:tabs>
        <w:spacing w:before="120" w:after="120"/>
        <w:rPr>
          <w:snapToGrid w:val="0"/>
          <w:kern w:val="22"/>
          <w:szCs w:val="22"/>
          <w:lang w:val="fr-FR"/>
        </w:rPr>
      </w:pPr>
      <w:r>
        <w:rPr>
          <w:snapToGrid w:val="0"/>
          <w:kern w:val="22"/>
          <w:szCs w:val="22"/>
          <w:lang w:val="fr-FR"/>
        </w:rPr>
        <w:t>___ Oui</w:t>
      </w:r>
      <w:r w:rsidR="00541C9A" w:rsidRPr="000E2C57">
        <w:rPr>
          <w:snapToGrid w:val="0"/>
          <w:kern w:val="22"/>
          <w:szCs w:val="22"/>
          <w:lang w:val="fr-FR"/>
        </w:rPr>
        <w:t xml:space="preserve"> ____ No</w:t>
      </w:r>
      <w:r w:rsidR="007B7FB8">
        <w:rPr>
          <w:snapToGrid w:val="0"/>
          <w:kern w:val="22"/>
          <w:szCs w:val="22"/>
          <w:lang w:val="fr-FR"/>
        </w:rPr>
        <w:t>n</w:t>
      </w:r>
      <w:r>
        <w:rPr>
          <w:snapToGrid w:val="0"/>
          <w:kern w:val="22"/>
          <w:szCs w:val="22"/>
          <w:lang w:val="fr-FR"/>
        </w:rPr>
        <w:t xml:space="preserve"> (</w:t>
      </w:r>
      <w:r>
        <w:rPr>
          <w:lang w:val="fr-FR"/>
        </w:rPr>
        <w:t>si oui, veuillez préciser ci-dessous</w:t>
      </w:r>
      <w:r w:rsidR="00541C9A" w:rsidRPr="000E2C57">
        <w:rPr>
          <w:snapToGrid w:val="0"/>
          <w:kern w:val="22"/>
          <w:szCs w:val="22"/>
          <w:lang w:val="fr-FR"/>
        </w:rPr>
        <w:t>)</w:t>
      </w:r>
    </w:p>
    <w:p w:rsidR="00541C9A" w:rsidRPr="000E2C57" w:rsidRDefault="00F10802">
      <w:pPr>
        <w:tabs>
          <w:tab w:val="center" w:pos="4680"/>
        </w:tabs>
        <w:spacing w:before="120" w:after="120"/>
        <w:rPr>
          <w:snapToGrid w:val="0"/>
          <w:kern w:val="22"/>
          <w:szCs w:val="22"/>
          <w:lang w:val="fr-FR"/>
        </w:rPr>
      </w:pPr>
      <w:r w:rsidRPr="000E2C57">
        <w:rPr>
          <w:snapToGrid w:val="0"/>
          <w:kern w:val="22"/>
          <w:szCs w:val="22"/>
          <w:lang w:val="fr-FR"/>
        </w:rPr>
        <w:t>__________________________________________________________________________</w:t>
      </w:r>
    </w:p>
    <w:p w:rsidR="00541C9A" w:rsidRPr="00D87B80" w:rsidRDefault="00D87B80" w:rsidP="00717F31">
      <w:pPr>
        <w:tabs>
          <w:tab w:val="center" w:pos="4680"/>
        </w:tabs>
        <w:spacing w:before="120" w:after="120"/>
        <w:rPr>
          <w:snapToGrid w:val="0"/>
          <w:kern w:val="22"/>
          <w:szCs w:val="22"/>
          <w:lang w:val="fr-FR"/>
        </w:rPr>
      </w:pPr>
      <w:r w:rsidRPr="00D87B80">
        <w:rPr>
          <w:lang w:val="fr-FR"/>
        </w:rPr>
        <w:t>Veuillez indiquer les intérêts financiers, importants et pertinents, qui ont trait ou semblent avoir trait à vos fonc</w:t>
      </w:r>
      <w:r>
        <w:rPr>
          <w:lang w:val="fr-FR"/>
        </w:rPr>
        <w:t>tions pour le Secrétariat</w:t>
      </w:r>
      <w:r w:rsidRPr="00D87B80">
        <w:rPr>
          <w:lang w:val="fr-FR"/>
        </w:rPr>
        <w:t xml:space="preserve"> qui pourraient être interprétés comme :</w:t>
      </w:r>
    </w:p>
    <w:p w:rsidR="00541C9A" w:rsidRPr="002D284F" w:rsidRDefault="00541C9A">
      <w:pPr>
        <w:tabs>
          <w:tab w:val="center" w:pos="4680"/>
        </w:tabs>
        <w:spacing w:before="120" w:after="120"/>
        <w:ind w:left="709"/>
        <w:rPr>
          <w:snapToGrid w:val="0"/>
          <w:kern w:val="22"/>
          <w:szCs w:val="22"/>
          <w:lang w:val="fr-FR"/>
        </w:rPr>
      </w:pPr>
      <w:r w:rsidRPr="002D284F">
        <w:rPr>
          <w:snapToGrid w:val="0"/>
          <w:kern w:val="22"/>
          <w:szCs w:val="22"/>
          <w:lang w:val="fr-FR"/>
        </w:rPr>
        <w:lastRenderedPageBreak/>
        <w:t xml:space="preserve">i) </w:t>
      </w:r>
      <w:r w:rsidRPr="002D284F">
        <w:rPr>
          <w:snapToGrid w:val="0"/>
          <w:kern w:val="22"/>
          <w:szCs w:val="22"/>
          <w:lang w:val="fr-FR"/>
        </w:rPr>
        <w:tab/>
      </w:r>
      <w:r w:rsidR="00D87B80">
        <w:rPr>
          <w:lang w:val="fr-FR"/>
        </w:rPr>
        <w:t>Compromettant</w:t>
      </w:r>
      <w:r w:rsidR="00D87B80" w:rsidRPr="009C4AA9">
        <w:rPr>
          <w:lang w:val="fr-FR"/>
        </w:rPr>
        <w:t xml:space="preserve"> sensiblement votre objectivité dans l</w:t>
      </w:r>
      <w:r w:rsidR="00D87B80">
        <w:rPr>
          <w:lang w:val="fr-FR"/>
        </w:rPr>
        <w:t>’</w:t>
      </w:r>
      <w:r w:rsidR="00D87B80" w:rsidRPr="009C4AA9">
        <w:rPr>
          <w:lang w:val="fr-FR"/>
        </w:rPr>
        <w:t>exercice de vos fonctions et de vos responsabi</w:t>
      </w:r>
      <w:r w:rsidR="00D87B80">
        <w:rPr>
          <w:lang w:val="fr-FR"/>
        </w:rPr>
        <w:t>lités au sein du groupe d’experts ;</w:t>
      </w:r>
    </w:p>
    <w:p w:rsidR="00F10802" w:rsidRPr="002D284F" w:rsidRDefault="00541C9A">
      <w:pPr>
        <w:tabs>
          <w:tab w:val="center" w:pos="4680"/>
        </w:tabs>
        <w:spacing w:before="120" w:after="120"/>
        <w:ind w:left="709"/>
        <w:rPr>
          <w:snapToGrid w:val="0"/>
          <w:kern w:val="22"/>
          <w:szCs w:val="22"/>
          <w:lang w:val="fr-FR"/>
        </w:rPr>
      </w:pPr>
      <w:r w:rsidRPr="002D284F">
        <w:rPr>
          <w:snapToGrid w:val="0"/>
          <w:kern w:val="22"/>
          <w:szCs w:val="22"/>
          <w:lang w:val="fr-FR"/>
        </w:rPr>
        <w:t>ii)</w:t>
      </w:r>
      <w:r w:rsidR="00D87B80" w:rsidRPr="00D87B80">
        <w:t xml:space="preserve"> </w:t>
      </w:r>
      <w:r w:rsidR="00D87B80" w:rsidRPr="00D87B80">
        <w:rPr>
          <w:lang w:val="fr-FR"/>
        </w:rPr>
        <w:t>Conférant un avantage indu à vous-même, à une personne ou à une organisation. Il peut notamment s’agir de relations de travail, de relations de conseil, d’investissements financiers, d’intérêts en matière de propriété intellectuelle, d’intérêts commerciaux et de sources d’appui à la recherche dans le secteur privé.</w:t>
      </w:r>
    </w:p>
    <w:p w:rsidR="00541C9A" w:rsidRPr="002D284F" w:rsidRDefault="003E3C6E">
      <w:pPr>
        <w:tabs>
          <w:tab w:val="center" w:pos="4680"/>
        </w:tabs>
        <w:spacing w:before="120" w:after="120"/>
        <w:rPr>
          <w:snapToGrid w:val="0"/>
          <w:kern w:val="22"/>
          <w:szCs w:val="22"/>
          <w:lang w:val="fr-FR"/>
        </w:rPr>
      </w:pPr>
      <w:r w:rsidRPr="002D284F">
        <w:rPr>
          <w:snapToGrid w:val="0"/>
          <w:kern w:val="22"/>
          <w:szCs w:val="22"/>
          <w:lang w:val="fr-FR"/>
        </w:rPr>
        <w:t>3</w:t>
      </w:r>
      <w:r w:rsidR="00224A76" w:rsidRPr="002D284F">
        <w:rPr>
          <w:snapToGrid w:val="0"/>
          <w:kern w:val="22"/>
          <w:szCs w:val="22"/>
          <w:lang w:val="fr-FR"/>
        </w:rPr>
        <w:t>.</w:t>
      </w:r>
      <w:r w:rsidRPr="002D284F">
        <w:rPr>
          <w:snapToGrid w:val="0"/>
          <w:kern w:val="22"/>
          <w:szCs w:val="22"/>
          <w:lang w:val="fr-FR"/>
        </w:rPr>
        <w:tab/>
      </w:r>
      <w:r w:rsidR="00F10802" w:rsidRPr="002D284F">
        <w:rPr>
          <w:snapToGrid w:val="0"/>
          <w:kern w:val="22"/>
          <w:szCs w:val="22"/>
          <w:lang w:val="fr-FR"/>
        </w:rPr>
        <w:t xml:space="preserve"> </w:t>
      </w:r>
      <w:r w:rsidR="00D87B80" w:rsidRPr="00D87B80">
        <w:rPr>
          <w:lang w:val="fr-FR"/>
        </w:rPr>
        <w:t>Existe-t-il d’autres</w:t>
      </w:r>
      <w:r w:rsidR="00D87B80">
        <w:rPr>
          <w:lang w:val="fr-FR"/>
        </w:rPr>
        <w:t xml:space="preserve"> intérêts qui pourraient compromettre</w:t>
      </w:r>
      <w:r w:rsidR="00D87B80" w:rsidRPr="00D87B80">
        <w:rPr>
          <w:lang w:val="fr-FR"/>
        </w:rPr>
        <w:t xml:space="preserve"> votre objectivité ou à votre indépendance dans le cadre des travaux auxquels vous participerez?</w:t>
      </w:r>
    </w:p>
    <w:p w:rsidR="00F10802" w:rsidRPr="002D284F" w:rsidRDefault="00D87B80">
      <w:pPr>
        <w:tabs>
          <w:tab w:val="center" w:pos="4680"/>
        </w:tabs>
        <w:spacing w:before="120" w:after="120"/>
        <w:rPr>
          <w:snapToGrid w:val="0"/>
          <w:kern w:val="22"/>
          <w:szCs w:val="22"/>
          <w:lang w:val="fr-FR"/>
        </w:rPr>
      </w:pPr>
      <w:r>
        <w:rPr>
          <w:snapToGrid w:val="0"/>
          <w:kern w:val="22"/>
          <w:szCs w:val="22"/>
          <w:lang w:val="fr-FR"/>
        </w:rPr>
        <w:t>___ Oui</w:t>
      </w:r>
      <w:r w:rsidR="008A5B8A">
        <w:rPr>
          <w:snapToGrid w:val="0"/>
          <w:kern w:val="22"/>
          <w:szCs w:val="22"/>
          <w:lang w:val="fr-FR"/>
        </w:rPr>
        <w:t xml:space="preserve"> ____ No</w:t>
      </w:r>
      <w:r>
        <w:rPr>
          <w:snapToGrid w:val="0"/>
          <w:kern w:val="22"/>
          <w:szCs w:val="22"/>
          <w:lang w:val="fr-FR"/>
        </w:rPr>
        <w:t>n</w:t>
      </w:r>
      <w:r w:rsidR="008A5B8A">
        <w:rPr>
          <w:snapToGrid w:val="0"/>
          <w:kern w:val="22"/>
          <w:szCs w:val="22"/>
          <w:lang w:val="fr-FR"/>
        </w:rPr>
        <w:t xml:space="preserve"> (</w:t>
      </w:r>
      <w:r w:rsidR="008A5B8A">
        <w:rPr>
          <w:lang w:val="fr-FR"/>
        </w:rPr>
        <w:t>si oui, veuillez préciser ci-dessous</w:t>
      </w:r>
      <w:r w:rsidR="00F10802" w:rsidRPr="002D284F">
        <w:rPr>
          <w:snapToGrid w:val="0"/>
          <w:kern w:val="22"/>
          <w:szCs w:val="22"/>
          <w:lang w:val="fr-FR"/>
        </w:rPr>
        <w:t>)</w:t>
      </w:r>
    </w:p>
    <w:p w:rsidR="00F10802" w:rsidRPr="002D284F" w:rsidRDefault="00F10802">
      <w:pPr>
        <w:tabs>
          <w:tab w:val="center" w:pos="4680"/>
        </w:tabs>
        <w:spacing w:before="120" w:after="120"/>
        <w:rPr>
          <w:snapToGrid w:val="0"/>
          <w:kern w:val="22"/>
          <w:szCs w:val="22"/>
          <w:lang w:val="fr-FR"/>
        </w:rPr>
      </w:pPr>
      <w:r w:rsidRPr="002D284F">
        <w:rPr>
          <w:snapToGrid w:val="0"/>
          <w:kern w:val="22"/>
          <w:szCs w:val="22"/>
          <w:lang w:val="fr-FR"/>
        </w:rPr>
        <w:t>______________________________________</w:t>
      </w:r>
      <w:r w:rsidR="008B28B2" w:rsidRPr="002D284F">
        <w:rPr>
          <w:snapToGrid w:val="0"/>
          <w:kern w:val="22"/>
          <w:szCs w:val="22"/>
          <w:lang w:val="fr-FR"/>
        </w:rPr>
        <w:tab/>
      </w:r>
      <w:r w:rsidR="00CA6B87" w:rsidRPr="002D284F">
        <w:rPr>
          <w:snapToGrid w:val="0"/>
          <w:kern w:val="22"/>
          <w:szCs w:val="22"/>
          <w:lang w:val="fr-FR"/>
        </w:rPr>
        <w:t>__________</w:t>
      </w:r>
      <w:r w:rsidRPr="002D284F">
        <w:rPr>
          <w:snapToGrid w:val="0"/>
          <w:kern w:val="22"/>
          <w:szCs w:val="22"/>
          <w:lang w:val="fr-FR"/>
        </w:rPr>
        <w:t>___________________________________</w:t>
      </w:r>
    </w:p>
    <w:p w:rsidR="00736BC2" w:rsidRPr="002D284F" w:rsidRDefault="00D87B80">
      <w:pPr>
        <w:spacing w:before="120" w:after="120"/>
        <w:jc w:val="left"/>
        <w:rPr>
          <w:snapToGrid w:val="0"/>
          <w:kern w:val="22"/>
          <w:szCs w:val="22"/>
          <w:lang w:val="fr-FR"/>
        </w:rPr>
      </w:pPr>
      <w:r>
        <w:rPr>
          <w:snapToGrid w:val="0"/>
          <w:kern w:val="22"/>
          <w:szCs w:val="22"/>
          <w:lang w:val="fr-FR"/>
        </w:rPr>
        <w:t>Renseignements supplémentaires</w:t>
      </w:r>
      <w:r w:rsidR="0002181A">
        <w:rPr>
          <w:snapToGrid w:val="0"/>
          <w:kern w:val="22"/>
          <w:szCs w:val="22"/>
          <w:lang w:val="fr-FR"/>
        </w:rPr>
        <w:t xml:space="preserve"> (si vous avez répondu « oui » à une ou plusieurs des questions 1 à 3 ci-dessus) :</w:t>
      </w:r>
    </w:p>
    <w:p w:rsidR="00F10802" w:rsidRPr="002D284F" w:rsidRDefault="00F10802">
      <w:pPr>
        <w:spacing w:before="120" w:after="120"/>
        <w:jc w:val="left"/>
        <w:rPr>
          <w:snapToGrid w:val="0"/>
          <w:kern w:val="22"/>
          <w:szCs w:val="22"/>
          <w:lang w:val="fr-FR"/>
        </w:rPr>
      </w:pPr>
      <w:r w:rsidRPr="002D284F">
        <w:rPr>
          <w:snapToGrid w:val="0"/>
          <w:kern w:val="22"/>
          <w:szCs w:val="22"/>
          <w:lang w:val="fr-FR"/>
        </w:rPr>
        <w:t>____________________________________________________________________________________</w:t>
      </w:r>
    </w:p>
    <w:p w:rsidR="00F10802" w:rsidRPr="002D284F" w:rsidRDefault="00F65CAD" w:rsidP="00717F31">
      <w:pPr>
        <w:spacing w:before="120" w:after="120"/>
        <w:jc w:val="left"/>
        <w:rPr>
          <w:snapToGrid w:val="0"/>
          <w:kern w:val="22"/>
          <w:szCs w:val="22"/>
          <w:lang w:val="fr-FR"/>
        </w:rPr>
      </w:pPr>
      <w:r>
        <w:rPr>
          <w:lang w:val="fr-FR"/>
        </w:rPr>
        <w:t xml:space="preserve">Je soussigné(e) </w:t>
      </w:r>
      <w:r w:rsidR="0002181A" w:rsidRPr="009C4AA9">
        <w:rPr>
          <w:lang w:val="fr-FR"/>
        </w:rPr>
        <w:t>déclare par la présente que, à ma connaissance, les informations communiquées ici sont complètes et correctes. Je m</w:t>
      </w:r>
      <w:r w:rsidR="0002181A">
        <w:rPr>
          <w:lang w:val="fr-FR"/>
        </w:rPr>
        <w:t>’</w:t>
      </w:r>
      <w:r w:rsidR="00594823">
        <w:rPr>
          <w:lang w:val="fr-FR"/>
        </w:rPr>
        <w:t>engage à informer le Secrétariat immédiatement</w:t>
      </w:r>
      <w:r w:rsidR="0002181A" w:rsidRPr="009C4AA9">
        <w:rPr>
          <w:lang w:val="fr-FR"/>
        </w:rPr>
        <w:t xml:space="preserve"> de tout changement de ma situation intervenant au cours des travaux qui me sont assignés.</w:t>
      </w:r>
    </w:p>
    <w:p w:rsidR="00A05A16" w:rsidRPr="002D284F" w:rsidRDefault="0063143D" w:rsidP="00717F31">
      <w:pPr>
        <w:spacing w:before="120" w:after="120"/>
        <w:rPr>
          <w:kern w:val="22"/>
          <w:szCs w:val="22"/>
          <w:lang w:val="fr-FR"/>
        </w:rPr>
      </w:pPr>
      <w:r>
        <w:rPr>
          <w:lang w:val="fr-FR"/>
        </w:rPr>
        <w:t>J’entends</w:t>
      </w:r>
      <w:r w:rsidR="0002181A">
        <w:rPr>
          <w:lang w:val="fr-FR"/>
        </w:rPr>
        <w:t xml:space="preserve"> </w:t>
      </w:r>
      <w:r w:rsidR="0002181A" w:rsidRPr="009C4AA9">
        <w:rPr>
          <w:lang w:val="fr-FR"/>
        </w:rPr>
        <w:t>que les informations concernant mes intérêts ser</w:t>
      </w:r>
      <w:r>
        <w:rPr>
          <w:lang w:val="fr-FR"/>
        </w:rPr>
        <w:t>ont conservées par le Secrétariat</w:t>
      </w:r>
      <w:r w:rsidR="0002181A" w:rsidRPr="009C4AA9">
        <w:rPr>
          <w:lang w:val="fr-FR"/>
        </w:rPr>
        <w:t xml:space="preserve"> pendant</w:t>
      </w:r>
      <w:r w:rsidR="00A45073">
        <w:rPr>
          <w:lang w:val="fr-FR"/>
        </w:rPr>
        <w:t xml:space="preserve"> une période</w:t>
      </w:r>
      <w:r>
        <w:rPr>
          <w:lang w:val="fr-FR"/>
        </w:rPr>
        <w:t xml:space="preserve"> de</w:t>
      </w:r>
      <w:r w:rsidR="0002181A" w:rsidRPr="009C4AA9">
        <w:rPr>
          <w:lang w:val="fr-FR"/>
        </w:rPr>
        <w:t xml:space="preserve"> cinq ans à compter de la fin de l</w:t>
      </w:r>
      <w:r w:rsidR="0002181A">
        <w:rPr>
          <w:lang w:val="fr-FR"/>
        </w:rPr>
        <w:t>’</w:t>
      </w:r>
      <w:r w:rsidR="0002181A" w:rsidRPr="009C4AA9">
        <w:rPr>
          <w:lang w:val="fr-FR"/>
        </w:rPr>
        <w:t>activité à laquelle j</w:t>
      </w:r>
      <w:r w:rsidR="0002181A">
        <w:rPr>
          <w:lang w:val="fr-FR"/>
        </w:rPr>
        <w:t>’</w:t>
      </w:r>
      <w:r w:rsidR="0002181A" w:rsidRPr="009C4AA9">
        <w:rPr>
          <w:lang w:val="fr-FR"/>
        </w:rPr>
        <w:t>ai contribué, après quoi elles seront détruites. Sous réserve de l</w:t>
      </w:r>
      <w:r w:rsidR="0002181A">
        <w:rPr>
          <w:lang w:val="fr-FR"/>
        </w:rPr>
        <w:t>’</w:t>
      </w:r>
      <w:r w:rsidR="0002181A" w:rsidRPr="009C4AA9">
        <w:rPr>
          <w:lang w:val="fr-FR"/>
        </w:rPr>
        <w:t>obligation de notification de l</w:t>
      </w:r>
      <w:r w:rsidR="0002181A">
        <w:rPr>
          <w:lang w:val="fr-FR"/>
        </w:rPr>
        <w:t>’</w:t>
      </w:r>
      <w:r w:rsidR="0002181A" w:rsidRPr="009C4AA9">
        <w:rPr>
          <w:lang w:val="fr-FR"/>
        </w:rPr>
        <w:t>existence d</w:t>
      </w:r>
      <w:r w:rsidR="0002181A">
        <w:rPr>
          <w:lang w:val="fr-FR"/>
        </w:rPr>
        <w:t>’</w:t>
      </w:r>
      <w:r w:rsidR="0002181A" w:rsidRPr="009C4AA9">
        <w:rPr>
          <w:lang w:val="fr-FR"/>
        </w:rPr>
        <w:t>un conflit d</w:t>
      </w:r>
      <w:r w:rsidR="0002181A">
        <w:rPr>
          <w:lang w:val="fr-FR"/>
        </w:rPr>
        <w:t>’</w:t>
      </w:r>
      <w:r w:rsidR="00A45073">
        <w:rPr>
          <w:lang w:val="fr-FR"/>
        </w:rPr>
        <w:t>intérêts aux termes</w:t>
      </w:r>
      <w:r w:rsidR="0002181A" w:rsidRPr="009C4AA9">
        <w:rPr>
          <w:lang w:val="fr-FR"/>
        </w:rPr>
        <w:t xml:space="preserve"> de l</w:t>
      </w:r>
      <w:r w:rsidR="0002181A">
        <w:rPr>
          <w:lang w:val="fr-FR"/>
        </w:rPr>
        <w:t>’</w:t>
      </w:r>
      <w:r w:rsidR="0002181A" w:rsidRPr="009C4AA9">
        <w:rPr>
          <w:lang w:val="fr-FR"/>
        </w:rPr>
        <w:t>article 8</w:t>
      </w:r>
      <w:r w:rsidR="00A45073">
        <w:rPr>
          <w:lang w:val="fr-FR"/>
        </w:rPr>
        <w:t xml:space="preserve"> de la procédure pour éviter ou gérer les conflits d’intérêts</w:t>
      </w:r>
      <w:r>
        <w:rPr>
          <w:lang w:val="fr-FR"/>
        </w:rPr>
        <w:t>, j’entends</w:t>
      </w:r>
      <w:r w:rsidR="0002181A" w:rsidRPr="009C4AA9">
        <w:rPr>
          <w:lang w:val="fr-FR"/>
        </w:rPr>
        <w:t xml:space="preserve"> que le présent formulaire sera considéré comme confidentiel et sera exa</w:t>
      </w:r>
      <w:r>
        <w:rPr>
          <w:lang w:val="fr-FR"/>
        </w:rPr>
        <w:t>miné conformément à la procédure précisée dans la section 4 des Lignes directrices sur les conflits d’</w:t>
      </w:r>
      <w:r w:rsidR="0002181A" w:rsidRPr="009C4AA9">
        <w:rPr>
          <w:lang w:val="fr-FR"/>
        </w:rPr>
        <w:t>intérêts.</w:t>
      </w:r>
    </w:p>
    <w:p w:rsidR="00A05A16" w:rsidRPr="002D284F" w:rsidRDefault="0063143D" w:rsidP="00717F31">
      <w:pPr>
        <w:spacing w:before="120" w:after="120"/>
        <w:rPr>
          <w:kern w:val="22"/>
          <w:szCs w:val="22"/>
          <w:lang w:val="fr-FR"/>
        </w:rPr>
      </w:pPr>
      <w:r w:rsidRPr="009C4AA9">
        <w:rPr>
          <w:lang w:val="fr-FR"/>
        </w:rPr>
        <w:t>Je déclare par la présente que je respecterai la</w:t>
      </w:r>
      <w:r>
        <w:rPr>
          <w:lang w:val="fr-FR"/>
        </w:rPr>
        <w:t xml:space="preserve"> procédure pour éviter ou gérer les conflits d’intérêts qui figurent à l’annexe de la décision</w:t>
      </w:r>
      <w:r>
        <w:rPr>
          <w:kern w:val="22"/>
          <w:szCs w:val="22"/>
          <w:lang w:val="fr-FR"/>
        </w:rPr>
        <w:t xml:space="preserve"> [à compléter</w:t>
      </w:r>
      <w:r w:rsidR="005D0930" w:rsidRPr="002D284F">
        <w:rPr>
          <w:kern w:val="22"/>
          <w:szCs w:val="22"/>
          <w:lang w:val="fr-FR"/>
        </w:rPr>
        <w:t>]</w:t>
      </w:r>
    </w:p>
    <w:p w:rsidR="00A05A16" w:rsidRPr="002D284F" w:rsidRDefault="00A05A16" w:rsidP="00717F31">
      <w:pPr>
        <w:spacing w:before="120" w:after="120"/>
        <w:rPr>
          <w:kern w:val="22"/>
          <w:szCs w:val="22"/>
          <w:lang w:val="fr-FR"/>
        </w:rPr>
      </w:pPr>
    </w:p>
    <w:p w:rsidR="00A05A16" w:rsidRPr="002D284F" w:rsidRDefault="00A05A16" w:rsidP="00717F31">
      <w:pPr>
        <w:spacing w:before="120" w:after="120"/>
        <w:rPr>
          <w:kern w:val="22"/>
          <w:szCs w:val="22"/>
          <w:lang w:val="fr-FR"/>
        </w:rPr>
      </w:pPr>
      <w:r w:rsidRPr="002D284F">
        <w:rPr>
          <w:kern w:val="22"/>
          <w:szCs w:val="22"/>
          <w:lang w:val="fr-FR"/>
        </w:rPr>
        <w:t>______________________________                                      _____________________________</w:t>
      </w:r>
    </w:p>
    <w:p w:rsidR="00A05A16" w:rsidRPr="002D284F" w:rsidRDefault="00A05A16" w:rsidP="00717F31">
      <w:pPr>
        <w:tabs>
          <w:tab w:val="left" w:pos="5910"/>
        </w:tabs>
        <w:spacing w:before="120" w:after="120"/>
        <w:rPr>
          <w:kern w:val="22"/>
          <w:szCs w:val="22"/>
          <w:lang w:val="fr-FR"/>
        </w:rPr>
      </w:pPr>
      <w:r w:rsidRPr="002D284F">
        <w:rPr>
          <w:kern w:val="22"/>
          <w:szCs w:val="22"/>
          <w:lang w:val="fr-FR"/>
        </w:rPr>
        <w:t>Signature</w:t>
      </w:r>
      <w:r w:rsidRPr="002D284F">
        <w:rPr>
          <w:kern w:val="22"/>
          <w:szCs w:val="22"/>
          <w:lang w:val="fr-FR"/>
        </w:rPr>
        <w:tab/>
        <w:t>Date</w:t>
      </w:r>
    </w:p>
    <w:p w:rsidR="00A05A16" w:rsidRPr="002D284F" w:rsidRDefault="00A05A16" w:rsidP="00717F31">
      <w:pPr>
        <w:tabs>
          <w:tab w:val="left" w:pos="6150"/>
        </w:tabs>
        <w:spacing w:before="120" w:after="120"/>
        <w:rPr>
          <w:kern w:val="22"/>
          <w:szCs w:val="22"/>
          <w:lang w:val="fr-FR"/>
        </w:rPr>
      </w:pPr>
      <w:r w:rsidRPr="002D284F">
        <w:rPr>
          <w:kern w:val="22"/>
          <w:szCs w:val="22"/>
          <w:lang w:val="fr-FR"/>
        </w:rPr>
        <w:tab/>
      </w:r>
    </w:p>
    <w:p w:rsidR="005D0930" w:rsidRPr="00717F31" w:rsidRDefault="005D0930" w:rsidP="00717F31">
      <w:pPr>
        <w:tabs>
          <w:tab w:val="left" w:pos="6150"/>
        </w:tabs>
        <w:spacing w:before="120" w:after="120"/>
        <w:jc w:val="center"/>
        <w:rPr>
          <w:kern w:val="22"/>
          <w:szCs w:val="22"/>
        </w:rPr>
      </w:pPr>
      <w:r w:rsidRPr="002D284F">
        <w:rPr>
          <w:kern w:val="22"/>
          <w:szCs w:val="22"/>
          <w:lang w:val="fr-FR"/>
        </w:rPr>
        <w:t>________</w:t>
      </w:r>
      <w:r w:rsidRPr="00717F31">
        <w:rPr>
          <w:kern w:val="22"/>
          <w:szCs w:val="22"/>
        </w:rPr>
        <w:t>__</w:t>
      </w:r>
    </w:p>
    <w:sectPr w:rsidR="005D0930" w:rsidRPr="00717F31" w:rsidSect="00CA1572">
      <w:headerReference w:type="even" r:id="rId30"/>
      <w:headerReference w:type="default" r:id="rId3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13" w:rsidRDefault="00E56013">
      <w:r>
        <w:separator/>
      </w:r>
    </w:p>
  </w:endnote>
  <w:endnote w:type="continuationSeparator" w:id="0">
    <w:p w:rsidR="00E56013" w:rsidRDefault="00E5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13" w:rsidRDefault="00E56013">
      <w:r>
        <w:separator/>
      </w:r>
    </w:p>
  </w:footnote>
  <w:footnote w:type="continuationSeparator" w:id="0">
    <w:p w:rsidR="00E56013" w:rsidRDefault="00E56013">
      <w:r>
        <w:continuationSeparator/>
      </w:r>
    </w:p>
  </w:footnote>
  <w:footnote w:id="1">
    <w:p w:rsidR="008E4C46" w:rsidRPr="00040063" w:rsidRDefault="008E4C46" w:rsidP="008E4C46">
      <w:pPr>
        <w:pStyle w:val="FootnoteText"/>
        <w:suppressLineNumbers/>
        <w:suppressAutoHyphens/>
        <w:kinsoku w:val="0"/>
        <w:overflowPunct w:val="0"/>
        <w:autoSpaceDE w:val="0"/>
        <w:autoSpaceDN w:val="0"/>
        <w:ind w:firstLine="0"/>
        <w:rPr>
          <w:snapToGrid w:val="0"/>
          <w:kern w:val="18"/>
          <w:szCs w:val="18"/>
          <w:lang w:val="fr-FR"/>
        </w:rPr>
      </w:pPr>
      <w:r w:rsidRPr="00040063">
        <w:rPr>
          <w:rStyle w:val="FootnoteReference"/>
          <w:snapToGrid w:val="0"/>
          <w:kern w:val="18"/>
          <w:szCs w:val="18"/>
          <w:lang w:val="fr-FR"/>
        </w:rPr>
        <w:t>*</w:t>
      </w:r>
      <w:r w:rsidRPr="00040063">
        <w:rPr>
          <w:snapToGrid w:val="0"/>
          <w:kern w:val="18"/>
          <w:szCs w:val="18"/>
          <w:lang w:val="fr-FR"/>
        </w:rPr>
        <w:t xml:space="preserve"> </w:t>
      </w:r>
      <w:hyperlink r:id="rId1" w:history="1">
        <w:r w:rsidRPr="00040063">
          <w:rPr>
            <w:rStyle w:val="Hyperlink"/>
            <w:snapToGrid w:val="0"/>
            <w:kern w:val="18"/>
            <w:szCs w:val="18"/>
            <w:lang w:val="fr-FR"/>
          </w:rPr>
          <w:t>CBD/SBI/2/1</w:t>
        </w:r>
      </w:hyperlink>
      <w:r w:rsidRPr="00040063">
        <w:rPr>
          <w:snapToGrid w:val="0"/>
          <w:kern w:val="18"/>
          <w:szCs w:val="18"/>
          <w:lang w:val="fr-FR"/>
        </w:rPr>
        <w:t>.</w:t>
      </w:r>
    </w:p>
  </w:footnote>
  <w:footnote w:id="2">
    <w:p w:rsidR="006904DE" w:rsidRPr="00040063" w:rsidRDefault="006904DE" w:rsidP="00717F31">
      <w:pPr>
        <w:pStyle w:val="FootnoteText"/>
        <w:kinsoku w:val="0"/>
        <w:overflowPunct w:val="0"/>
        <w:autoSpaceDE w:val="0"/>
        <w:autoSpaceDN w:val="0"/>
        <w:adjustRightInd w:val="0"/>
        <w:snapToGrid w:val="0"/>
        <w:ind w:firstLine="0"/>
        <w:jc w:val="left"/>
        <w:rPr>
          <w:snapToGrid w:val="0"/>
          <w:kern w:val="18"/>
          <w:szCs w:val="18"/>
          <w:lang w:val="fr-FR"/>
        </w:rPr>
      </w:pPr>
      <w:r w:rsidRPr="00040063">
        <w:rPr>
          <w:rStyle w:val="FootnoteReference"/>
          <w:snapToGrid w:val="0"/>
          <w:kern w:val="18"/>
          <w:szCs w:val="18"/>
          <w:lang w:val="fr-FR"/>
        </w:rPr>
        <w:footnoteRef/>
      </w:r>
      <w:r w:rsidR="00040063" w:rsidRPr="00040063">
        <w:rPr>
          <w:snapToGrid w:val="0"/>
          <w:kern w:val="18"/>
          <w:szCs w:val="18"/>
          <w:lang w:val="fr-FR"/>
        </w:rPr>
        <w:t xml:space="preserve"> Auparavant, les examens les plus exhaustifs de l’application de la Convention étaient ceux</w:t>
      </w:r>
      <w:r w:rsidR="00040063">
        <w:rPr>
          <w:snapToGrid w:val="0"/>
          <w:kern w:val="18"/>
          <w:szCs w:val="18"/>
          <w:lang w:val="fr-FR"/>
        </w:rPr>
        <w:t xml:space="preserve"> qui ont été entrepris en application des décisions III/22 et IV/16 de la Conférence des Parties, par la Conférence des Parties à sa quatrième réunion, et la Réunion intersessions sur le fonctionnement de la Convention respectivement. Ces examens ont conduit à des changements importants dans le fonctionnement de la Convention (décisions IV/16 et V/20) et jeté les bases d’examens et de révisions </w:t>
      </w:r>
      <w:r w:rsidR="00220D29">
        <w:rPr>
          <w:snapToGrid w:val="0"/>
          <w:kern w:val="18"/>
          <w:szCs w:val="18"/>
          <w:lang w:val="fr-FR"/>
        </w:rPr>
        <w:t xml:space="preserve">sur des questions </w:t>
      </w:r>
      <w:r w:rsidR="00040063">
        <w:rPr>
          <w:snapToGrid w:val="0"/>
          <w:kern w:val="18"/>
          <w:szCs w:val="18"/>
          <w:lang w:val="fr-FR"/>
        </w:rPr>
        <w:t>plus s</w:t>
      </w:r>
      <w:r w:rsidR="00220D29">
        <w:rPr>
          <w:snapToGrid w:val="0"/>
          <w:kern w:val="18"/>
          <w:szCs w:val="18"/>
          <w:lang w:val="fr-FR"/>
        </w:rPr>
        <w:t>pécifiques.</w:t>
      </w:r>
    </w:p>
  </w:footnote>
  <w:footnote w:id="3">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040063">
        <w:rPr>
          <w:rStyle w:val="FootnoteReference"/>
          <w:snapToGrid w:val="0"/>
          <w:kern w:val="18"/>
          <w:szCs w:val="18"/>
          <w:lang w:val="fr-FR"/>
        </w:rPr>
        <w:footnoteRef/>
      </w:r>
      <w:r w:rsidR="00220D29">
        <w:rPr>
          <w:snapToGrid w:val="0"/>
          <w:kern w:val="18"/>
          <w:szCs w:val="18"/>
          <w:lang w:val="fr-FR"/>
        </w:rPr>
        <w:t xml:space="preserve"> Le Protocole de Nagoya est entré en vigueur le 12 octobre </w:t>
      </w:r>
      <w:r w:rsidRPr="00040063">
        <w:rPr>
          <w:snapToGrid w:val="0"/>
          <w:kern w:val="18"/>
          <w:szCs w:val="18"/>
          <w:lang w:val="fr-FR"/>
        </w:rPr>
        <w:t>2014.</w:t>
      </w:r>
    </w:p>
  </w:footnote>
  <w:footnote w:id="4">
    <w:p w:rsidR="006904DE" w:rsidRPr="00D74F36" w:rsidRDefault="006904DE" w:rsidP="00717F31">
      <w:pPr>
        <w:pStyle w:val="FootnoteText"/>
        <w:kinsoku w:val="0"/>
        <w:overflowPunct w:val="0"/>
        <w:autoSpaceDE w:val="0"/>
        <w:autoSpaceDN w:val="0"/>
        <w:adjustRightInd w:val="0"/>
        <w:snapToGrid w:val="0"/>
        <w:ind w:firstLine="0"/>
        <w:jc w:val="left"/>
        <w:rPr>
          <w:snapToGrid w:val="0"/>
          <w:kern w:val="18"/>
          <w:szCs w:val="18"/>
          <w:lang w:val="fr-FR"/>
        </w:rPr>
      </w:pPr>
      <w:r w:rsidRPr="00D74F36">
        <w:rPr>
          <w:rStyle w:val="FootnoteReference"/>
          <w:snapToGrid w:val="0"/>
          <w:kern w:val="18"/>
          <w:szCs w:val="18"/>
          <w:lang w:val="fr-FR"/>
        </w:rPr>
        <w:footnoteRef/>
      </w:r>
      <w:r w:rsidR="00D74F36" w:rsidRPr="00D74F36">
        <w:rPr>
          <w:snapToGrid w:val="0"/>
          <w:kern w:val="18"/>
          <w:szCs w:val="18"/>
          <w:lang w:val="fr-FR"/>
        </w:rPr>
        <w:t xml:space="preserve"> Voir UNEP/CBD/WGRI/1/3 et additifs</w:t>
      </w:r>
      <w:r w:rsidRPr="00D74F36">
        <w:rPr>
          <w:snapToGrid w:val="0"/>
          <w:kern w:val="18"/>
          <w:szCs w:val="18"/>
          <w:lang w:val="fr-FR"/>
        </w:rPr>
        <w:t xml:space="preserve">, </w:t>
      </w:r>
      <w:r w:rsidR="00D74F36" w:rsidRPr="00D74F36">
        <w:rPr>
          <w:snapToGrid w:val="0"/>
          <w:kern w:val="18"/>
          <w:szCs w:val="18"/>
          <w:lang w:val="fr-FR"/>
        </w:rPr>
        <w:t xml:space="preserve">et les autres documents disponibles sur le site </w:t>
      </w:r>
      <w:r w:rsidRPr="00D74F36">
        <w:rPr>
          <w:snapToGrid w:val="0"/>
          <w:kern w:val="18"/>
          <w:szCs w:val="18"/>
          <w:lang w:val="fr-FR"/>
        </w:rPr>
        <w:t xml:space="preserve"> </w:t>
      </w:r>
      <w:hyperlink r:id="rId2" w:history="1">
        <w:r w:rsidRPr="00D74F36">
          <w:rPr>
            <w:rStyle w:val="Hyperlink"/>
            <w:snapToGrid w:val="0"/>
            <w:kern w:val="18"/>
            <w:szCs w:val="18"/>
            <w:lang w:val="fr-FR"/>
          </w:rPr>
          <w:t>https://www.cbd.int/meetings/wgri-01</w:t>
        </w:r>
      </w:hyperlink>
    </w:p>
  </w:footnote>
  <w:footnote w:id="5">
    <w:p w:rsidR="006904DE" w:rsidRPr="005773CC" w:rsidRDefault="006904DE" w:rsidP="00717F31">
      <w:pPr>
        <w:pStyle w:val="FootnoteText"/>
        <w:kinsoku w:val="0"/>
        <w:overflowPunct w:val="0"/>
        <w:autoSpaceDE w:val="0"/>
        <w:autoSpaceDN w:val="0"/>
        <w:adjustRightInd w:val="0"/>
        <w:snapToGrid w:val="0"/>
        <w:ind w:firstLine="0"/>
        <w:jc w:val="left"/>
        <w:rPr>
          <w:snapToGrid w:val="0"/>
          <w:kern w:val="18"/>
          <w:szCs w:val="18"/>
          <w:lang w:val="fr-FR"/>
        </w:rPr>
      </w:pPr>
      <w:r w:rsidRPr="005773CC">
        <w:rPr>
          <w:rStyle w:val="FootnoteReference"/>
          <w:snapToGrid w:val="0"/>
          <w:kern w:val="18"/>
          <w:szCs w:val="18"/>
          <w:lang w:val="fr-FR"/>
        </w:rPr>
        <w:footnoteRef/>
      </w:r>
      <w:r w:rsidR="005773CC" w:rsidRPr="005773CC">
        <w:rPr>
          <w:snapToGrid w:val="0"/>
          <w:kern w:val="18"/>
          <w:szCs w:val="18"/>
          <w:lang w:val="fr-FR"/>
        </w:rPr>
        <w:t xml:space="preserve"> Décision XII/32, par</w:t>
      </w:r>
      <w:r w:rsidRPr="005773CC">
        <w:rPr>
          <w:snapToGrid w:val="0"/>
          <w:kern w:val="18"/>
          <w:szCs w:val="18"/>
          <w:lang w:val="fr-FR"/>
        </w:rPr>
        <w:t>. 24.</w:t>
      </w:r>
    </w:p>
  </w:footnote>
  <w:footnote w:id="6">
    <w:p w:rsidR="006904DE" w:rsidRPr="005773CC" w:rsidRDefault="006904DE" w:rsidP="00717F31">
      <w:pPr>
        <w:pStyle w:val="FootnoteText"/>
        <w:kinsoku w:val="0"/>
        <w:overflowPunct w:val="0"/>
        <w:autoSpaceDE w:val="0"/>
        <w:autoSpaceDN w:val="0"/>
        <w:adjustRightInd w:val="0"/>
        <w:snapToGrid w:val="0"/>
        <w:ind w:firstLine="0"/>
        <w:jc w:val="left"/>
        <w:rPr>
          <w:snapToGrid w:val="0"/>
          <w:kern w:val="18"/>
          <w:szCs w:val="18"/>
          <w:lang w:val="fr-FR"/>
        </w:rPr>
      </w:pPr>
      <w:r w:rsidRPr="005773CC">
        <w:rPr>
          <w:rStyle w:val="FootnoteReference"/>
          <w:snapToGrid w:val="0"/>
          <w:kern w:val="18"/>
          <w:szCs w:val="18"/>
          <w:lang w:val="fr-FR"/>
        </w:rPr>
        <w:footnoteRef/>
      </w:r>
      <w:r w:rsidR="005773CC" w:rsidRPr="005773CC">
        <w:rPr>
          <w:snapToGrid w:val="0"/>
          <w:kern w:val="18"/>
          <w:szCs w:val="18"/>
          <w:lang w:val="fr-FR"/>
        </w:rPr>
        <w:t xml:space="preserve"> Décision XIII/32, par</w:t>
      </w:r>
      <w:r w:rsidRPr="005773CC">
        <w:rPr>
          <w:snapToGrid w:val="0"/>
          <w:kern w:val="18"/>
          <w:szCs w:val="18"/>
          <w:lang w:val="fr-FR"/>
        </w:rPr>
        <w:t>. 22.</w:t>
      </w:r>
    </w:p>
  </w:footnote>
  <w:footnote w:id="7">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006D046F">
        <w:rPr>
          <w:snapToGrid w:val="0"/>
          <w:kern w:val="18"/>
          <w:szCs w:val="18"/>
        </w:rPr>
        <w:t xml:space="preserve"> </w:t>
      </w:r>
      <w:r w:rsidR="006D046F" w:rsidRPr="006D046F">
        <w:rPr>
          <w:snapToGrid w:val="0"/>
          <w:kern w:val="18"/>
          <w:szCs w:val="18"/>
          <w:lang w:val="fr-FR"/>
        </w:rPr>
        <w:t xml:space="preserve">Décision </w:t>
      </w:r>
      <w:r w:rsidRPr="006D046F">
        <w:rPr>
          <w:snapToGrid w:val="0"/>
          <w:kern w:val="18"/>
          <w:szCs w:val="18"/>
          <w:lang w:val="fr-FR"/>
        </w:rPr>
        <w:t>VIII/10</w:t>
      </w:r>
      <w:r w:rsidR="006D046F" w:rsidRPr="006D046F">
        <w:rPr>
          <w:snapToGrid w:val="0"/>
          <w:kern w:val="18"/>
          <w:szCs w:val="18"/>
          <w:lang w:val="fr-FR"/>
        </w:rPr>
        <w:t xml:space="preserve"> de la Conférence des Parties</w:t>
      </w:r>
      <w:r w:rsidRPr="006D046F">
        <w:rPr>
          <w:snapToGrid w:val="0"/>
          <w:kern w:val="18"/>
          <w:szCs w:val="18"/>
          <w:lang w:val="fr-FR"/>
        </w:rPr>
        <w:t>, paragraph</w:t>
      </w:r>
      <w:r w:rsidR="006D046F" w:rsidRPr="006D046F">
        <w:rPr>
          <w:snapToGrid w:val="0"/>
          <w:kern w:val="18"/>
          <w:szCs w:val="18"/>
          <w:lang w:val="fr-FR"/>
        </w:rPr>
        <w:t>e</w:t>
      </w:r>
      <w:r w:rsidRPr="006D046F">
        <w:rPr>
          <w:snapToGrid w:val="0"/>
          <w:kern w:val="18"/>
          <w:szCs w:val="18"/>
          <w:lang w:val="fr-FR"/>
        </w:rPr>
        <w:t xml:space="preserve"> 15.</w:t>
      </w:r>
    </w:p>
  </w:footnote>
  <w:footnote w:id="8">
    <w:p w:rsidR="006904DE" w:rsidRPr="003A1499" w:rsidRDefault="006904DE" w:rsidP="00717F31">
      <w:pPr>
        <w:pStyle w:val="FootnoteText"/>
        <w:kinsoku w:val="0"/>
        <w:overflowPunct w:val="0"/>
        <w:autoSpaceDE w:val="0"/>
        <w:autoSpaceDN w:val="0"/>
        <w:adjustRightInd w:val="0"/>
        <w:snapToGrid w:val="0"/>
        <w:ind w:firstLine="0"/>
        <w:jc w:val="left"/>
        <w:rPr>
          <w:snapToGrid w:val="0"/>
          <w:kern w:val="18"/>
          <w:szCs w:val="18"/>
          <w:lang w:val="fr-FR"/>
        </w:rPr>
      </w:pPr>
      <w:r w:rsidRPr="003A1499">
        <w:rPr>
          <w:rStyle w:val="FootnoteReference"/>
          <w:snapToGrid w:val="0"/>
          <w:kern w:val="18"/>
          <w:szCs w:val="18"/>
          <w:lang w:val="fr-FR"/>
        </w:rPr>
        <w:footnoteRef/>
      </w:r>
      <w:r w:rsidR="00F50CFB" w:rsidRPr="003A1499">
        <w:rPr>
          <w:snapToGrid w:val="0"/>
          <w:kern w:val="18"/>
          <w:szCs w:val="18"/>
          <w:lang w:val="fr-FR"/>
        </w:rPr>
        <w:t xml:space="preserve"> Conférence des Parties siégeant en tant que réunion des Parties au Protocole de Cartagena</w:t>
      </w:r>
      <w:r w:rsidR="003A1499">
        <w:rPr>
          <w:snapToGrid w:val="0"/>
          <w:kern w:val="18"/>
          <w:szCs w:val="18"/>
          <w:lang w:val="fr-FR"/>
        </w:rPr>
        <w:t>, dé</w:t>
      </w:r>
      <w:r w:rsidRPr="003A1499">
        <w:rPr>
          <w:snapToGrid w:val="0"/>
          <w:kern w:val="18"/>
          <w:szCs w:val="18"/>
          <w:lang w:val="fr-FR"/>
        </w:rPr>
        <w:t>cision BS-I/4, annex</w:t>
      </w:r>
      <w:r w:rsidR="003A1499">
        <w:rPr>
          <w:snapToGrid w:val="0"/>
          <w:kern w:val="18"/>
          <w:szCs w:val="18"/>
          <w:lang w:val="fr-FR"/>
        </w:rPr>
        <w:t>e</w:t>
      </w:r>
      <w:r w:rsidRPr="003A1499">
        <w:rPr>
          <w:snapToGrid w:val="0"/>
          <w:kern w:val="18"/>
          <w:szCs w:val="18"/>
          <w:lang w:val="fr-FR"/>
        </w:rPr>
        <w:t> I.</w:t>
      </w:r>
    </w:p>
  </w:footnote>
  <w:footnote w:id="9">
    <w:p w:rsidR="006904DE" w:rsidRPr="003A1499" w:rsidRDefault="006904DE" w:rsidP="00717F31">
      <w:pPr>
        <w:pStyle w:val="FootnoteText"/>
        <w:kinsoku w:val="0"/>
        <w:overflowPunct w:val="0"/>
        <w:autoSpaceDE w:val="0"/>
        <w:autoSpaceDN w:val="0"/>
        <w:adjustRightInd w:val="0"/>
        <w:snapToGrid w:val="0"/>
        <w:ind w:firstLine="0"/>
        <w:jc w:val="left"/>
        <w:rPr>
          <w:snapToGrid w:val="0"/>
          <w:kern w:val="18"/>
          <w:szCs w:val="18"/>
          <w:lang w:val="fr-FR"/>
        </w:rPr>
      </w:pPr>
      <w:r w:rsidRPr="003A1499">
        <w:rPr>
          <w:rStyle w:val="FootnoteReference"/>
          <w:snapToGrid w:val="0"/>
          <w:kern w:val="18"/>
          <w:szCs w:val="18"/>
          <w:lang w:val="fr-FR"/>
        </w:rPr>
        <w:footnoteRef/>
      </w:r>
      <w:r w:rsidRPr="003A1499">
        <w:rPr>
          <w:snapToGrid w:val="0"/>
          <w:kern w:val="18"/>
          <w:szCs w:val="18"/>
          <w:lang w:val="fr-FR"/>
        </w:rPr>
        <w:t xml:space="preserve"> </w:t>
      </w:r>
      <w:r w:rsidR="003A1499" w:rsidRPr="003A1499">
        <w:rPr>
          <w:snapToGrid w:val="0"/>
          <w:kern w:val="18"/>
          <w:szCs w:val="18"/>
          <w:lang w:val="fr-FR"/>
        </w:rPr>
        <w:t>Conférence des Parties siégeant en tant que réunion des Parties au Protocole de Cartagena</w:t>
      </w:r>
      <w:r w:rsidR="003A1499">
        <w:rPr>
          <w:snapToGrid w:val="0"/>
          <w:kern w:val="18"/>
          <w:szCs w:val="18"/>
          <w:lang w:val="fr-FR"/>
        </w:rPr>
        <w:t>,</w:t>
      </w:r>
      <w:r w:rsidR="003A1499" w:rsidRPr="003A1499">
        <w:rPr>
          <w:snapToGrid w:val="0"/>
          <w:kern w:val="18"/>
          <w:szCs w:val="18"/>
          <w:lang w:val="fr-FR"/>
        </w:rPr>
        <w:t xml:space="preserve"> </w:t>
      </w:r>
      <w:r w:rsidR="003A1499">
        <w:rPr>
          <w:snapToGrid w:val="0"/>
          <w:kern w:val="18"/>
          <w:szCs w:val="18"/>
          <w:lang w:val="fr-FR"/>
        </w:rPr>
        <w:t>dé</w:t>
      </w:r>
      <w:r w:rsidRPr="003A1499">
        <w:rPr>
          <w:snapToGrid w:val="0"/>
          <w:kern w:val="18"/>
          <w:szCs w:val="18"/>
          <w:lang w:val="fr-FR"/>
        </w:rPr>
        <w:t>cision BS-I/4, annex</w:t>
      </w:r>
      <w:r w:rsidR="003A1499">
        <w:rPr>
          <w:snapToGrid w:val="0"/>
          <w:kern w:val="18"/>
          <w:szCs w:val="18"/>
          <w:lang w:val="fr-FR"/>
        </w:rPr>
        <w:t>e</w:t>
      </w:r>
      <w:r w:rsidRPr="003A1499">
        <w:rPr>
          <w:snapToGrid w:val="0"/>
          <w:kern w:val="18"/>
          <w:szCs w:val="18"/>
          <w:lang w:val="fr-FR"/>
        </w:rPr>
        <w:t> I, G, section 6.</w:t>
      </w:r>
    </w:p>
  </w:footnote>
  <w:footnote w:id="10">
    <w:p w:rsidR="006904DE" w:rsidRPr="003A1499" w:rsidRDefault="006904DE" w:rsidP="00717F31">
      <w:pPr>
        <w:pStyle w:val="FootnoteText"/>
        <w:kinsoku w:val="0"/>
        <w:overflowPunct w:val="0"/>
        <w:autoSpaceDE w:val="0"/>
        <w:autoSpaceDN w:val="0"/>
        <w:adjustRightInd w:val="0"/>
        <w:snapToGrid w:val="0"/>
        <w:ind w:firstLine="0"/>
        <w:jc w:val="left"/>
        <w:rPr>
          <w:snapToGrid w:val="0"/>
          <w:kern w:val="18"/>
          <w:szCs w:val="18"/>
          <w:lang w:val="fr-FR"/>
        </w:rPr>
      </w:pPr>
      <w:r w:rsidRPr="003A1499">
        <w:rPr>
          <w:rStyle w:val="FootnoteReference"/>
          <w:snapToGrid w:val="0"/>
          <w:kern w:val="18"/>
          <w:szCs w:val="18"/>
          <w:lang w:val="fr-FR"/>
        </w:rPr>
        <w:footnoteRef/>
      </w:r>
      <w:r w:rsidR="003A1499">
        <w:rPr>
          <w:snapToGrid w:val="0"/>
          <w:kern w:val="18"/>
          <w:szCs w:val="18"/>
          <w:lang w:val="fr-FR"/>
        </w:rPr>
        <w:t xml:space="preserve"> Voir la décision</w:t>
      </w:r>
      <w:r w:rsidRPr="003A1499">
        <w:rPr>
          <w:snapToGrid w:val="0"/>
          <w:kern w:val="18"/>
          <w:szCs w:val="18"/>
          <w:lang w:val="fr-FR"/>
        </w:rPr>
        <w:t xml:space="preserve"> BS-I/7, annex</w:t>
      </w:r>
      <w:r w:rsidR="003A1499">
        <w:rPr>
          <w:snapToGrid w:val="0"/>
          <w:kern w:val="18"/>
          <w:szCs w:val="18"/>
          <w:lang w:val="fr-FR"/>
        </w:rPr>
        <w:t>e</w:t>
      </w:r>
      <w:r w:rsidRPr="003A1499">
        <w:rPr>
          <w:snapToGrid w:val="0"/>
          <w:kern w:val="18"/>
          <w:szCs w:val="18"/>
          <w:lang w:val="fr-FR"/>
        </w:rPr>
        <w:t>, section II, paragraph</w:t>
      </w:r>
      <w:r w:rsidR="003A1499">
        <w:rPr>
          <w:snapToGrid w:val="0"/>
          <w:kern w:val="18"/>
          <w:szCs w:val="18"/>
          <w:lang w:val="fr-FR"/>
        </w:rPr>
        <w:t>e 3, et la dé</w:t>
      </w:r>
      <w:r w:rsidRPr="003A1499">
        <w:rPr>
          <w:snapToGrid w:val="0"/>
          <w:kern w:val="18"/>
          <w:szCs w:val="18"/>
          <w:lang w:val="fr-FR"/>
        </w:rPr>
        <w:t>cision NP-1/4, annex</w:t>
      </w:r>
      <w:r w:rsidR="003A1499">
        <w:rPr>
          <w:snapToGrid w:val="0"/>
          <w:kern w:val="18"/>
          <w:szCs w:val="18"/>
          <w:lang w:val="fr-FR"/>
        </w:rPr>
        <w:t>e</w:t>
      </w:r>
      <w:r w:rsidRPr="003A1499">
        <w:rPr>
          <w:snapToGrid w:val="0"/>
          <w:kern w:val="18"/>
          <w:szCs w:val="18"/>
          <w:lang w:val="fr-FR"/>
        </w:rPr>
        <w:t>, section II, paragraph</w:t>
      </w:r>
      <w:r w:rsidR="003A1499">
        <w:rPr>
          <w:snapToGrid w:val="0"/>
          <w:kern w:val="18"/>
          <w:szCs w:val="18"/>
          <w:lang w:val="fr-FR"/>
        </w:rPr>
        <w:t>e</w:t>
      </w:r>
      <w:r w:rsidRPr="003A1499">
        <w:rPr>
          <w:snapToGrid w:val="0"/>
          <w:kern w:val="18"/>
          <w:szCs w:val="18"/>
          <w:lang w:val="fr-FR"/>
        </w:rPr>
        <w:t> 4.</w:t>
      </w:r>
    </w:p>
  </w:footnote>
  <w:footnote w:id="11">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r w:rsidRPr="0025700D">
        <w:rPr>
          <w:snapToGrid w:val="0"/>
          <w:spacing w:val="-6"/>
          <w:kern w:val="18"/>
          <w:szCs w:val="18"/>
        </w:rPr>
        <w:t>https://cites.org/sites/default/files/eng/cop/16/doc/E-CoP16-11.pdf</w:t>
      </w:r>
      <w:r w:rsidR="0025700D">
        <w:rPr>
          <w:snapToGrid w:val="0"/>
          <w:spacing w:val="-6"/>
          <w:kern w:val="18"/>
          <w:szCs w:val="18"/>
        </w:rPr>
        <w:t xml:space="preserve"> et</w:t>
      </w:r>
      <w:r w:rsidRPr="00717F31">
        <w:rPr>
          <w:snapToGrid w:val="0"/>
          <w:spacing w:val="-6"/>
          <w:kern w:val="18"/>
          <w:szCs w:val="18"/>
        </w:rPr>
        <w:t xml:space="preserve"> </w:t>
      </w:r>
      <w:r w:rsidRPr="0025700D">
        <w:rPr>
          <w:snapToGrid w:val="0"/>
          <w:spacing w:val="-6"/>
          <w:kern w:val="18"/>
          <w:szCs w:val="18"/>
        </w:rPr>
        <w:t>https://cites.org/sites/default/files/eng/com/sc/66/E-SC66-08.pdf</w:t>
      </w:r>
    </w:p>
  </w:footnote>
  <w:footnote w:id="12">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r w:rsidRPr="00C644C4">
        <w:rPr>
          <w:snapToGrid w:val="0"/>
          <w:kern w:val="18"/>
          <w:szCs w:val="18"/>
        </w:rPr>
        <w:t>http://www.pops.int/Procedures/Declarationofconflictsofinterest/tabid/3471/Default.aspx</w:t>
      </w:r>
    </w:p>
  </w:footnote>
  <w:footnote w:id="13">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r w:rsidRPr="00C644C4">
        <w:rPr>
          <w:snapToGrid w:val="0"/>
          <w:kern w:val="18"/>
          <w:szCs w:val="18"/>
        </w:rPr>
        <w:t>http://www.pic.int/Procedures/DeclarationofConflictsofInterest/tabid/3467/language/en-US/Default.aspx</w:t>
      </w:r>
    </w:p>
  </w:footnote>
  <w:footnote w:id="14">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r w:rsidRPr="00C644C4">
        <w:rPr>
          <w:snapToGrid w:val="0"/>
          <w:kern w:val="18"/>
          <w:szCs w:val="18"/>
        </w:rPr>
        <w:t>https://www.ipbes.net/conflict-interest-policy-implementation-procedures</w:t>
      </w:r>
    </w:p>
  </w:footnote>
  <w:footnote w:id="15">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r w:rsidRPr="00C644C4">
        <w:rPr>
          <w:snapToGrid w:val="0"/>
          <w:kern w:val="18"/>
          <w:szCs w:val="18"/>
        </w:rPr>
        <w:t>https://www.ipbes.net/system/tdf/downloads/Conflict_of_interest_policy.pdf?file=1&amp;type=node&amp;id=15252&amp;force</w:t>
      </w:r>
      <w:r w:rsidRPr="00717F31">
        <w:rPr>
          <w:snapToGrid w:val="0"/>
          <w:kern w:val="18"/>
          <w:szCs w:val="18"/>
        </w:rPr>
        <w:t>=</w:t>
      </w:r>
    </w:p>
  </w:footnote>
  <w:footnote w:id="16">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Pr="00717F31">
        <w:rPr>
          <w:snapToGrid w:val="0"/>
          <w:kern w:val="18"/>
          <w:szCs w:val="18"/>
        </w:rPr>
        <w:t xml:space="preserve"> </w:t>
      </w:r>
      <w:r w:rsidRPr="00C644C4">
        <w:rPr>
          <w:snapToGrid w:val="0"/>
          <w:kern w:val="18"/>
          <w:szCs w:val="18"/>
        </w:rPr>
        <w:t>http://www.who.int/medicines/news/2017/Guidelines_for_Declaration_of_Interests_WHO_Experts_51b2CRD.pdf</w:t>
      </w:r>
    </w:p>
  </w:footnote>
  <w:footnote w:id="17">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00C644C4">
        <w:rPr>
          <w:snapToGrid w:val="0"/>
          <w:kern w:val="18"/>
          <w:szCs w:val="18"/>
        </w:rPr>
        <w:t xml:space="preserve"> </w:t>
      </w:r>
      <w:r w:rsidR="00C644C4" w:rsidRPr="00C644C4">
        <w:rPr>
          <w:snapToGrid w:val="0"/>
          <w:kern w:val="18"/>
          <w:szCs w:val="18"/>
          <w:lang w:val="fr-FR"/>
        </w:rPr>
        <w:t>GCF/B.01-13/12, décisions de la troisième réunion du Conseil, annexe IX</w:t>
      </w:r>
      <w:r w:rsidR="00C644C4">
        <w:rPr>
          <w:snapToGrid w:val="0"/>
          <w:kern w:val="18"/>
          <w:szCs w:val="18"/>
          <w:lang w:val="fr-FR"/>
        </w:rPr>
        <w:t> : Règlement intérieur additionnel relatif à la confidentialité et le conflit d’intérêts</w:t>
      </w:r>
      <w:r w:rsidRPr="00717F31">
        <w:rPr>
          <w:snapToGrid w:val="0"/>
          <w:kern w:val="18"/>
          <w:szCs w:val="18"/>
        </w:rPr>
        <w:t xml:space="preserve">, </w:t>
      </w:r>
      <w:r w:rsidRPr="00C644C4">
        <w:rPr>
          <w:snapToGrid w:val="0"/>
          <w:kern w:val="18"/>
          <w:szCs w:val="18"/>
        </w:rPr>
        <w:t>https://www.greenclimate.fund/documents/20182/24931/GCF_B.01-13_12_-Decisions_of_the_Board_-_Third_Meeting_of_the_Board__13-15_March_2013.pdf/05f6e4ae-3c80-455c-90c7-4b5750c234a4</w:t>
      </w:r>
    </w:p>
  </w:footnote>
  <w:footnote w:id="18">
    <w:p w:rsidR="006904DE" w:rsidRPr="000B0BCE" w:rsidRDefault="006904DE" w:rsidP="00717F31">
      <w:pPr>
        <w:pStyle w:val="FootnoteText"/>
        <w:kinsoku w:val="0"/>
        <w:overflowPunct w:val="0"/>
        <w:autoSpaceDE w:val="0"/>
        <w:autoSpaceDN w:val="0"/>
        <w:adjustRightInd w:val="0"/>
        <w:snapToGrid w:val="0"/>
        <w:ind w:firstLine="0"/>
        <w:jc w:val="left"/>
        <w:rPr>
          <w:snapToGrid w:val="0"/>
          <w:kern w:val="18"/>
          <w:szCs w:val="18"/>
          <w:lang w:val="fr-FR"/>
        </w:rPr>
      </w:pPr>
      <w:r w:rsidRPr="000B0BCE">
        <w:rPr>
          <w:rStyle w:val="FootnoteReference"/>
          <w:snapToGrid w:val="0"/>
          <w:kern w:val="18"/>
          <w:szCs w:val="18"/>
          <w:lang w:val="fr-FR"/>
        </w:rPr>
        <w:footnoteRef/>
      </w:r>
      <w:r w:rsidR="000B0BCE" w:rsidRPr="000B0BCE">
        <w:rPr>
          <w:snapToGrid w:val="0"/>
          <w:kern w:val="18"/>
          <w:szCs w:val="18"/>
          <w:lang w:val="fr-FR"/>
        </w:rPr>
        <w:t xml:space="preserve"> Voir par exemple l’éditorial de </w:t>
      </w:r>
      <w:r w:rsidRPr="000B0BCE">
        <w:rPr>
          <w:i/>
          <w:iCs/>
          <w:snapToGrid w:val="0"/>
          <w:kern w:val="18"/>
          <w:szCs w:val="18"/>
          <w:lang w:val="fr-FR"/>
        </w:rPr>
        <w:t>Nature</w:t>
      </w:r>
      <w:r w:rsidR="002A471D">
        <w:rPr>
          <w:snapToGrid w:val="0"/>
          <w:kern w:val="18"/>
          <w:szCs w:val="18"/>
          <w:lang w:val="fr-FR"/>
        </w:rPr>
        <w:t xml:space="preserve"> (vol. 552, 7 décembre</w:t>
      </w:r>
      <w:r w:rsidRPr="000B0BCE">
        <w:rPr>
          <w:snapToGrid w:val="0"/>
          <w:kern w:val="18"/>
          <w:szCs w:val="18"/>
          <w:lang w:val="fr-FR"/>
        </w:rPr>
        <w:t xml:space="preserve"> 2</w:t>
      </w:r>
      <w:r w:rsidR="000B0BCE">
        <w:rPr>
          <w:snapToGrid w:val="0"/>
          <w:kern w:val="18"/>
          <w:szCs w:val="18"/>
          <w:lang w:val="fr-FR"/>
        </w:rPr>
        <w:t>017) concernant l’</w:t>
      </w:r>
      <w:r w:rsidR="002A471D">
        <w:rPr>
          <w:snapToGrid w:val="0"/>
          <w:kern w:val="18"/>
          <w:szCs w:val="18"/>
          <w:lang w:val="fr-FR"/>
        </w:rPr>
        <w:t>affirmation</w:t>
      </w:r>
      <w:r w:rsidR="000B0BCE">
        <w:rPr>
          <w:snapToGrid w:val="0"/>
          <w:kern w:val="18"/>
          <w:szCs w:val="18"/>
          <w:lang w:val="fr-FR"/>
        </w:rPr>
        <w:t xml:space="preserve"> que des chercheurs </w:t>
      </w:r>
      <w:r w:rsidR="002A471D">
        <w:rPr>
          <w:snapToGrid w:val="0"/>
          <w:kern w:val="18"/>
          <w:szCs w:val="18"/>
          <w:lang w:val="fr-FR"/>
        </w:rPr>
        <w:t>et des bailleurs de fonds du</w:t>
      </w:r>
      <w:r w:rsidR="000B0BCE">
        <w:rPr>
          <w:snapToGrid w:val="0"/>
          <w:kern w:val="18"/>
          <w:szCs w:val="18"/>
          <w:lang w:val="fr-FR"/>
        </w:rPr>
        <w:t xml:space="preserve"> forçage génétique</w:t>
      </w:r>
      <w:r w:rsidR="002A471D">
        <w:rPr>
          <w:snapToGrid w:val="0"/>
          <w:kern w:val="18"/>
          <w:szCs w:val="18"/>
          <w:lang w:val="fr-FR"/>
        </w:rPr>
        <w:t xml:space="preserve"> collaboraient avec une société de relations publiques pour influencer indûment les travaux du forum en ligne de la CBD sur la biologie synthétique et du Groupe spécial d’experts techniques sur la biologie synthétique, disponible sur le site</w:t>
      </w:r>
      <w:r w:rsidRPr="000B0BCE">
        <w:rPr>
          <w:snapToGrid w:val="0"/>
          <w:kern w:val="18"/>
          <w:szCs w:val="18"/>
          <w:lang w:val="fr-FR"/>
        </w:rPr>
        <w:t xml:space="preserve"> </w:t>
      </w:r>
      <w:r w:rsidRPr="002A471D">
        <w:rPr>
          <w:snapToGrid w:val="0"/>
          <w:kern w:val="18"/>
          <w:szCs w:val="18"/>
          <w:lang w:val="fr-FR"/>
        </w:rPr>
        <w:t>https://www.nature.com/articles/d41586-017-08214-4</w:t>
      </w:r>
      <w:r w:rsidR="002A471D">
        <w:rPr>
          <w:rStyle w:val="Hyperlink"/>
          <w:snapToGrid w:val="0"/>
          <w:kern w:val="18"/>
          <w:szCs w:val="18"/>
          <w:u w:val="none"/>
          <w:lang w:val="fr-FR"/>
        </w:rPr>
        <w:t>.</w:t>
      </w:r>
      <w:r w:rsidR="002A471D">
        <w:rPr>
          <w:snapToGrid w:val="0"/>
          <w:kern w:val="18"/>
          <w:szCs w:val="18"/>
          <w:lang w:val="fr-FR"/>
        </w:rPr>
        <w:t xml:space="preserve"> En outre, un consortium d’organisations non gouvernementales a écrit une lettre à la Secrétaire exécutive demandant la prise de mesures pour traiter les conflits d’intérêts</w:t>
      </w:r>
      <w:proofErr w:type="gramStart"/>
      <w:r w:rsidR="002A471D">
        <w:rPr>
          <w:snapToGrid w:val="0"/>
          <w:kern w:val="18"/>
          <w:szCs w:val="18"/>
          <w:lang w:val="fr-FR"/>
        </w:rPr>
        <w:t>.</w:t>
      </w:r>
      <w:r w:rsidRPr="000B0BCE">
        <w:rPr>
          <w:snapToGrid w:val="0"/>
          <w:kern w:val="18"/>
          <w:szCs w:val="18"/>
          <w:lang w:val="fr-FR"/>
        </w:rPr>
        <w:t>.</w:t>
      </w:r>
      <w:proofErr w:type="gramEnd"/>
    </w:p>
  </w:footnote>
  <w:footnote w:id="19">
    <w:p w:rsidR="006904DE" w:rsidRPr="000B0BCE" w:rsidRDefault="006904DE" w:rsidP="00717F31">
      <w:pPr>
        <w:pStyle w:val="FootnoteText"/>
        <w:kinsoku w:val="0"/>
        <w:overflowPunct w:val="0"/>
        <w:autoSpaceDE w:val="0"/>
        <w:autoSpaceDN w:val="0"/>
        <w:adjustRightInd w:val="0"/>
        <w:snapToGrid w:val="0"/>
        <w:ind w:firstLine="0"/>
        <w:jc w:val="left"/>
        <w:rPr>
          <w:snapToGrid w:val="0"/>
          <w:kern w:val="18"/>
          <w:lang w:val="fr-FR"/>
        </w:rPr>
      </w:pPr>
      <w:r w:rsidRPr="000B0BCE">
        <w:rPr>
          <w:rStyle w:val="FootnoteReference"/>
          <w:snapToGrid w:val="0"/>
          <w:kern w:val="18"/>
          <w:lang w:val="fr-FR"/>
        </w:rPr>
        <w:footnoteRef/>
      </w:r>
      <w:r w:rsidRPr="000B0BCE">
        <w:rPr>
          <w:snapToGrid w:val="0"/>
          <w:kern w:val="18"/>
          <w:lang w:val="fr-FR"/>
        </w:rPr>
        <w:t xml:space="preserve"> </w:t>
      </w:r>
      <w:r w:rsidRPr="000B0BCE">
        <w:rPr>
          <w:snapToGrid w:val="0"/>
          <w:kern w:val="18"/>
          <w:szCs w:val="22"/>
          <w:lang w:val="fr-FR"/>
        </w:rPr>
        <w:t>CBD/SBI/2/16/Add.1.</w:t>
      </w:r>
    </w:p>
  </w:footnote>
  <w:footnote w:id="20">
    <w:p w:rsidR="006904DE" w:rsidRPr="0068017F" w:rsidRDefault="006904DE" w:rsidP="00717F31">
      <w:pPr>
        <w:pStyle w:val="FootnoteText"/>
        <w:kinsoku w:val="0"/>
        <w:overflowPunct w:val="0"/>
        <w:autoSpaceDE w:val="0"/>
        <w:autoSpaceDN w:val="0"/>
        <w:adjustRightInd w:val="0"/>
        <w:snapToGrid w:val="0"/>
        <w:ind w:firstLine="0"/>
        <w:jc w:val="left"/>
        <w:rPr>
          <w:snapToGrid w:val="0"/>
          <w:kern w:val="18"/>
          <w:lang w:val="fr-FR"/>
        </w:rPr>
      </w:pPr>
      <w:r w:rsidRPr="000B0BCE">
        <w:rPr>
          <w:rStyle w:val="FootnoteReference"/>
          <w:snapToGrid w:val="0"/>
          <w:kern w:val="18"/>
          <w:lang w:val="fr-FR"/>
        </w:rPr>
        <w:footnoteRef/>
      </w:r>
      <w:r w:rsidRPr="000B0BCE">
        <w:rPr>
          <w:snapToGrid w:val="0"/>
          <w:kern w:val="18"/>
          <w:lang w:val="fr-FR"/>
        </w:rPr>
        <w:t xml:space="preserve"> </w:t>
      </w:r>
      <w:r w:rsidR="0068017F" w:rsidRPr="000B0BCE">
        <w:rPr>
          <w:snapToGrid w:val="0"/>
          <w:kern w:val="18"/>
          <w:szCs w:val="22"/>
          <w:lang w:val="fr-FR"/>
        </w:rPr>
        <w:t>CBD/SBI/2/INF/1 et</w:t>
      </w:r>
      <w:r w:rsidRPr="000B0BCE">
        <w:rPr>
          <w:snapToGrid w:val="0"/>
          <w:kern w:val="18"/>
          <w:szCs w:val="22"/>
          <w:lang w:val="fr-FR"/>
        </w:rPr>
        <w:t xml:space="preserve"> </w:t>
      </w:r>
      <w:r w:rsidR="00B47971" w:rsidRPr="000B0BCE">
        <w:rPr>
          <w:snapToGrid w:val="0"/>
          <w:kern w:val="18"/>
          <w:szCs w:val="22"/>
          <w:lang w:val="fr-FR"/>
        </w:rPr>
        <w:t>INF/</w:t>
      </w:r>
      <w:r w:rsidRPr="000B0BCE">
        <w:rPr>
          <w:snapToGrid w:val="0"/>
          <w:kern w:val="18"/>
          <w:szCs w:val="22"/>
          <w:lang w:val="fr-FR"/>
        </w:rPr>
        <w:t>2.</w:t>
      </w:r>
    </w:p>
  </w:footnote>
  <w:footnote w:id="21">
    <w:p w:rsidR="006904DE" w:rsidRPr="003D470A" w:rsidRDefault="006904DE" w:rsidP="00717F31">
      <w:pPr>
        <w:pStyle w:val="FootnoteText"/>
        <w:kinsoku w:val="0"/>
        <w:overflowPunct w:val="0"/>
        <w:autoSpaceDE w:val="0"/>
        <w:autoSpaceDN w:val="0"/>
        <w:adjustRightInd w:val="0"/>
        <w:snapToGrid w:val="0"/>
        <w:ind w:firstLine="0"/>
        <w:jc w:val="left"/>
        <w:rPr>
          <w:snapToGrid w:val="0"/>
          <w:kern w:val="18"/>
          <w:lang w:val="fr-FR"/>
        </w:rPr>
      </w:pPr>
      <w:r w:rsidRPr="003D470A">
        <w:rPr>
          <w:rStyle w:val="FootnoteReference"/>
          <w:snapToGrid w:val="0"/>
          <w:kern w:val="18"/>
          <w:lang w:val="fr-FR"/>
        </w:rPr>
        <w:footnoteRef/>
      </w:r>
      <w:r w:rsidRPr="003D470A">
        <w:rPr>
          <w:snapToGrid w:val="0"/>
          <w:kern w:val="18"/>
          <w:lang w:val="fr-FR"/>
        </w:rPr>
        <w:t xml:space="preserve"> </w:t>
      </w:r>
      <w:r w:rsidRPr="003D470A">
        <w:rPr>
          <w:snapToGrid w:val="0"/>
          <w:kern w:val="18"/>
          <w:szCs w:val="22"/>
          <w:lang w:val="fr-FR"/>
        </w:rPr>
        <w:t>CBD/SBI/2/16/Add.1.</w:t>
      </w:r>
    </w:p>
  </w:footnote>
  <w:footnote w:id="22">
    <w:p w:rsidR="006904DE" w:rsidRPr="003D470A" w:rsidRDefault="006904DE" w:rsidP="00717F31">
      <w:pPr>
        <w:pStyle w:val="FootnoteText"/>
        <w:kinsoku w:val="0"/>
        <w:overflowPunct w:val="0"/>
        <w:autoSpaceDE w:val="0"/>
        <w:autoSpaceDN w:val="0"/>
        <w:adjustRightInd w:val="0"/>
        <w:snapToGrid w:val="0"/>
        <w:ind w:firstLine="0"/>
        <w:jc w:val="left"/>
        <w:rPr>
          <w:snapToGrid w:val="0"/>
          <w:kern w:val="18"/>
          <w:lang w:val="fr-FR"/>
        </w:rPr>
      </w:pPr>
      <w:r w:rsidRPr="003D470A">
        <w:rPr>
          <w:rStyle w:val="FootnoteReference"/>
          <w:snapToGrid w:val="0"/>
          <w:kern w:val="18"/>
          <w:lang w:val="fr-FR"/>
        </w:rPr>
        <w:footnoteRef/>
      </w:r>
      <w:r w:rsidRPr="003D470A">
        <w:rPr>
          <w:snapToGrid w:val="0"/>
          <w:kern w:val="18"/>
          <w:lang w:val="fr-FR"/>
        </w:rPr>
        <w:t xml:space="preserve"> </w:t>
      </w:r>
      <w:r w:rsidR="003D470A">
        <w:rPr>
          <w:snapToGrid w:val="0"/>
          <w:kern w:val="18"/>
          <w:szCs w:val="22"/>
          <w:lang w:val="fr-FR"/>
        </w:rPr>
        <w:t>CBD/SBI/2/INF/1 et</w:t>
      </w:r>
      <w:r w:rsidRPr="003D470A">
        <w:rPr>
          <w:snapToGrid w:val="0"/>
          <w:kern w:val="18"/>
          <w:szCs w:val="22"/>
          <w:lang w:val="fr-FR"/>
        </w:rPr>
        <w:t xml:space="preserve"> INF/2.</w:t>
      </w:r>
    </w:p>
  </w:footnote>
  <w:footnote w:id="23">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717F31">
        <w:rPr>
          <w:rStyle w:val="FootnoteReference"/>
          <w:snapToGrid w:val="0"/>
          <w:kern w:val="18"/>
          <w:szCs w:val="18"/>
        </w:rPr>
        <w:footnoteRef/>
      </w:r>
      <w:r w:rsidR="008753AA">
        <w:rPr>
          <w:snapToGrid w:val="0"/>
          <w:kern w:val="18"/>
          <w:szCs w:val="18"/>
        </w:rPr>
        <w:t xml:space="preserve"> </w:t>
      </w:r>
      <w:r w:rsidR="008753AA" w:rsidRPr="0091079F">
        <w:rPr>
          <w:snapToGrid w:val="0"/>
          <w:kern w:val="18"/>
          <w:szCs w:val="18"/>
          <w:lang w:val="fr-FR"/>
        </w:rPr>
        <w:t xml:space="preserve">Le formulaire de nomination est basé sur le formulaire qui doit être rempli pour le fichier d’experts du Protocole de Cartagena sur la prévention des risques </w:t>
      </w:r>
      <w:r w:rsidR="006B1703" w:rsidRPr="0091079F">
        <w:rPr>
          <w:snapToGrid w:val="0"/>
          <w:kern w:val="18"/>
          <w:szCs w:val="18"/>
          <w:lang w:val="fr-FR"/>
        </w:rPr>
        <w:t>(</w:t>
      </w:r>
      <w:r w:rsidR="0091079F">
        <w:rPr>
          <w:snapToGrid w:val="0"/>
          <w:kern w:val="18"/>
          <w:szCs w:val="18"/>
          <w:lang w:val="fr-FR"/>
        </w:rPr>
        <w:t>dé</w:t>
      </w:r>
      <w:r w:rsidRPr="0091079F">
        <w:rPr>
          <w:snapToGrid w:val="0"/>
          <w:kern w:val="18"/>
          <w:szCs w:val="18"/>
          <w:lang w:val="fr-FR"/>
        </w:rPr>
        <w:t xml:space="preserve">cision </w:t>
      </w:r>
      <w:hyperlink r:id="rId3" w:history="1">
        <w:r w:rsidRPr="0091079F">
          <w:rPr>
            <w:rStyle w:val="Hyperlink"/>
            <w:snapToGrid w:val="0"/>
            <w:kern w:val="18"/>
            <w:szCs w:val="18"/>
            <w:lang w:val="fr-FR"/>
          </w:rPr>
          <w:t>BS-I/4</w:t>
        </w:r>
      </w:hyperlink>
      <w:r w:rsidRPr="0091079F">
        <w:rPr>
          <w:snapToGrid w:val="0"/>
          <w:kern w:val="18"/>
          <w:szCs w:val="18"/>
          <w:lang w:val="fr-FR"/>
        </w:rPr>
        <w:t xml:space="preserve">, </w:t>
      </w:r>
      <w:r w:rsidR="006B1703" w:rsidRPr="0091079F">
        <w:rPr>
          <w:snapToGrid w:val="0"/>
          <w:kern w:val="18"/>
          <w:szCs w:val="18"/>
          <w:lang w:val="fr-FR"/>
        </w:rPr>
        <w:t>a</w:t>
      </w:r>
      <w:r w:rsidRPr="0091079F">
        <w:rPr>
          <w:snapToGrid w:val="0"/>
          <w:kern w:val="18"/>
          <w:szCs w:val="18"/>
          <w:lang w:val="fr-FR"/>
        </w:rPr>
        <w:t>nnex</w:t>
      </w:r>
      <w:r w:rsidR="0091079F">
        <w:rPr>
          <w:snapToGrid w:val="0"/>
          <w:kern w:val="18"/>
          <w:szCs w:val="18"/>
          <w:lang w:val="fr-FR"/>
        </w:rPr>
        <w:t>e</w:t>
      </w:r>
      <w:r w:rsidR="006B1703" w:rsidRPr="0091079F">
        <w:rPr>
          <w:snapToGrid w:val="0"/>
          <w:kern w:val="18"/>
          <w:szCs w:val="18"/>
          <w:lang w:val="fr-FR"/>
        </w:rPr>
        <w:t> </w:t>
      </w:r>
      <w:r w:rsidR="0091079F">
        <w:rPr>
          <w:snapToGrid w:val="0"/>
          <w:kern w:val="18"/>
          <w:szCs w:val="18"/>
          <w:lang w:val="fr-FR"/>
        </w:rPr>
        <w:t>I, appendice</w:t>
      </w:r>
      <w:r w:rsidRPr="0091079F">
        <w:rPr>
          <w:snapToGrid w:val="0"/>
          <w:kern w:val="18"/>
          <w:szCs w:val="18"/>
          <w:lang w:val="fr-FR"/>
        </w:rPr>
        <w:t>)</w:t>
      </w:r>
      <w:r w:rsidR="006B1703" w:rsidRPr="0091079F">
        <w:rPr>
          <w:snapToGrid w:val="0"/>
          <w:kern w:val="18"/>
          <w:szCs w:val="18"/>
          <w:lang w:val="fr-FR"/>
        </w:rPr>
        <w:t>.</w:t>
      </w:r>
    </w:p>
  </w:footnote>
  <w:footnote w:id="24">
    <w:p w:rsidR="006904DE" w:rsidRPr="00170FB1" w:rsidRDefault="006904DE" w:rsidP="00717F31">
      <w:pPr>
        <w:pStyle w:val="FootnoteText"/>
        <w:kinsoku w:val="0"/>
        <w:overflowPunct w:val="0"/>
        <w:autoSpaceDE w:val="0"/>
        <w:autoSpaceDN w:val="0"/>
        <w:adjustRightInd w:val="0"/>
        <w:snapToGrid w:val="0"/>
        <w:ind w:firstLine="0"/>
        <w:jc w:val="left"/>
        <w:rPr>
          <w:snapToGrid w:val="0"/>
          <w:kern w:val="18"/>
          <w:szCs w:val="18"/>
          <w:lang w:val="fr-FR"/>
        </w:rPr>
      </w:pPr>
      <w:r w:rsidRPr="00717F31">
        <w:rPr>
          <w:rStyle w:val="FootnoteReference"/>
          <w:snapToGrid w:val="0"/>
          <w:kern w:val="18"/>
          <w:szCs w:val="18"/>
        </w:rPr>
        <w:footnoteRef/>
      </w:r>
      <w:r w:rsidR="00170FB1">
        <w:rPr>
          <w:snapToGrid w:val="0"/>
          <w:kern w:val="18"/>
          <w:szCs w:val="18"/>
        </w:rPr>
        <w:t xml:space="preserve"> </w:t>
      </w:r>
      <w:r w:rsidR="00170FB1">
        <w:rPr>
          <w:snapToGrid w:val="0"/>
          <w:kern w:val="18"/>
          <w:szCs w:val="18"/>
          <w:lang w:val="fr-FR"/>
        </w:rPr>
        <w:t>Ce formulaire a été</w:t>
      </w:r>
      <w:r w:rsidR="00170FB1" w:rsidRPr="00170FB1">
        <w:rPr>
          <w:snapToGrid w:val="0"/>
          <w:kern w:val="18"/>
          <w:szCs w:val="18"/>
          <w:lang w:val="fr-FR"/>
        </w:rPr>
        <w:t xml:space="preserve"> adapté</w:t>
      </w:r>
      <w:r w:rsidR="00170FB1">
        <w:rPr>
          <w:snapToGrid w:val="0"/>
          <w:kern w:val="18"/>
          <w:szCs w:val="18"/>
          <w:lang w:val="fr-FR"/>
        </w:rPr>
        <w:t xml:space="preserve"> à partir </w:t>
      </w:r>
      <w:r w:rsidR="006D07B0">
        <w:rPr>
          <w:snapToGrid w:val="0"/>
          <w:kern w:val="18"/>
          <w:szCs w:val="18"/>
          <w:lang w:val="fr-FR"/>
        </w:rPr>
        <w:t>de la Politique en matière de conflits d’intérêts et des Procédures de mise en œuvre adoptées par la Plénière de la Plateforme intergouvernementale scientifique et politique sur la biodiversité et les services écosystémiques qui figurent dans l’annexe II de la décision IPBES -3/3</w:t>
      </w:r>
      <w:r w:rsidRPr="00170FB1">
        <w:rPr>
          <w:snapToGrid w:val="0"/>
          <w:kern w:val="18"/>
          <w:szCs w:val="18"/>
          <w:lang w:val="fr-FR"/>
        </w:rPr>
        <w:t>.</w:t>
      </w:r>
    </w:p>
    <w:p w:rsidR="006904DE" w:rsidRPr="00717F31" w:rsidRDefault="006904DE" w:rsidP="00717F31">
      <w:pPr>
        <w:pStyle w:val="FootnoteText"/>
        <w:kinsoku w:val="0"/>
        <w:overflowPunct w:val="0"/>
        <w:autoSpaceDE w:val="0"/>
        <w:autoSpaceDN w:val="0"/>
        <w:adjustRightInd w:val="0"/>
        <w:snapToGrid w:val="0"/>
        <w:ind w:firstLine="0"/>
        <w:jc w:val="left"/>
        <w:rPr>
          <w:snapToGrid w:val="0"/>
          <w:kern w:val="18"/>
          <w:szCs w:val="18"/>
        </w:rPr>
      </w:pPr>
      <w:r w:rsidRPr="00A06E6E">
        <w:rPr>
          <w:snapToGrid w:val="0"/>
          <w:kern w:val="18"/>
          <w:szCs w:val="18"/>
        </w:rPr>
        <w:t>https://www.ipbes.net/system/tdf/downloads/Conflict_of_interest_policy.pdf?file=1&amp;type=node&amp;id=15252&amp;force</w:t>
      </w:r>
      <w:r w:rsidRPr="00717F31">
        <w:rPr>
          <w:snapToGrid w:val="0"/>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6904DE" w:rsidRDefault="006904DE" w:rsidP="005440A6">
        <w:pPr>
          <w:pStyle w:val="Header"/>
          <w:tabs>
            <w:tab w:val="clear" w:pos="4320"/>
            <w:tab w:val="clear" w:pos="8640"/>
          </w:tabs>
          <w:jc w:val="left"/>
          <w:rPr>
            <w:noProof/>
            <w:kern w:val="22"/>
          </w:rPr>
        </w:pPr>
        <w:r>
          <w:rPr>
            <w:noProof/>
            <w:kern w:val="22"/>
            <w:lang w:val="en-CA"/>
          </w:rPr>
          <w:t>CBD/SBI/2/16</w:t>
        </w:r>
      </w:p>
    </w:sdtContent>
  </w:sdt>
  <w:p w:rsidR="006904DE" w:rsidRPr="005440A6" w:rsidRDefault="006904DE"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A4140E">
      <w:rPr>
        <w:noProof/>
        <w:kern w:val="22"/>
      </w:rPr>
      <w:t>2</w:t>
    </w:r>
    <w:r w:rsidRPr="005440A6">
      <w:rPr>
        <w:noProof/>
        <w:kern w:val="22"/>
      </w:rPr>
      <w:fldChar w:fldCharType="end"/>
    </w:r>
  </w:p>
  <w:p w:rsidR="006904DE" w:rsidRPr="005440A6" w:rsidRDefault="006904DE"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6904DE" w:rsidRPr="005440A6" w:rsidRDefault="006904DE" w:rsidP="00BE45DE">
        <w:pPr>
          <w:pStyle w:val="Header"/>
          <w:tabs>
            <w:tab w:val="clear" w:pos="4320"/>
            <w:tab w:val="clear" w:pos="8640"/>
          </w:tabs>
          <w:jc w:val="right"/>
          <w:rPr>
            <w:noProof/>
            <w:kern w:val="22"/>
          </w:rPr>
        </w:pPr>
        <w:r>
          <w:rPr>
            <w:noProof/>
            <w:kern w:val="22"/>
            <w:lang w:val="en-CA"/>
          </w:rPr>
          <w:t>CBD/SBI/2/16</w:t>
        </w:r>
      </w:p>
    </w:sdtContent>
  </w:sdt>
  <w:p w:rsidR="006904DE" w:rsidRPr="005440A6" w:rsidRDefault="006904DE"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A4140E">
      <w:rPr>
        <w:noProof/>
        <w:kern w:val="22"/>
      </w:rPr>
      <w:t>15</w:t>
    </w:r>
    <w:r w:rsidRPr="005440A6">
      <w:rPr>
        <w:noProof/>
        <w:kern w:val="22"/>
      </w:rPr>
      <w:fldChar w:fldCharType="end"/>
    </w:r>
  </w:p>
  <w:p w:rsidR="006904DE" w:rsidRPr="005440A6" w:rsidRDefault="006904DE"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1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7A06"/>
    <w:multiLevelType w:val="hybridMultilevel"/>
    <w:tmpl w:val="33883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6190B"/>
    <w:multiLevelType w:val="hybridMultilevel"/>
    <w:tmpl w:val="E1E21514"/>
    <w:lvl w:ilvl="0" w:tplc="CAB40D4C">
      <w:start w:val="1"/>
      <w:numFmt w:val="lowerLetter"/>
      <w:lvlText w:val="(%1)"/>
      <w:lvlJc w:val="left"/>
      <w:pPr>
        <w:ind w:left="720" w:hanging="360"/>
      </w:pPr>
      <w:rPr>
        <w:rFonts w:hint="default"/>
        <w:b w:val="0"/>
      </w:rPr>
    </w:lvl>
    <w:lvl w:ilvl="1" w:tplc="0C9893D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2BEA63E5"/>
    <w:multiLevelType w:val="hybridMultilevel"/>
    <w:tmpl w:val="4BE4BB6E"/>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CE43C91"/>
    <w:multiLevelType w:val="singleLevel"/>
    <w:tmpl w:val="7174E9C0"/>
    <w:lvl w:ilvl="0">
      <w:start w:val="1"/>
      <w:numFmt w:val="decimal"/>
      <w:lvlText w:val="%1."/>
      <w:lvlJc w:val="left"/>
      <w:pPr>
        <w:tabs>
          <w:tab w:val="num" w:pos="360"/>
        </w:tabs>
        <w:ind w:left="0" w:firstLine="0"/>
      </w:pPr>
    </w:lvl>
  </w:abstractNum>
  <w:abstractNum w:abstractNumId="18">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6381950"/>
    <w:multiLevelType w:val="hybridMultilevel"/>
    <w:tmpl w:val="E51CFBD6"/>
    <w:lvl w:ilvl="0" w:tplc="6CC2E84E">
      <w:start w:val="1"/>
      <w:numFmt w:val="decimal"/>
      <w:lvlText w:val="%1."/>
      <w:lvlJc w:val="left"/>
      <w:pPr>
        <w:ind w:left="1080" w:hanging="720"/>
      </w:pPr>
      <w:rPr>
        <w:rFonts w:hint="default"/>
      </w:rPr>
    </w:lvl>
    <w:lvl w:ilvl="1" w:tplc="5DF4C9EC">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7BB6674"/>
    <w:multiLevelType w:val="hybridMultilevel"/>
    <w:tmpl w:val="7F94EFE2"/>
    <w:lvl w:ilvl="0" w:tplc="E5604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9">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92722D"/>
    <w:multiLevelType w:val="hybridMultilevel"/>
    <w:tmpl w:val="9EACCCAA"/>
    <w:lvl w:ilvl="0" w:tplc="6CC2E84E">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0C7A28"/>
    <w:multiLevelType w:val="hybridMultilevel"/>
    <w:tmpl w:val="320671BE"/>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E04D17"/>
    <w:multiLevelType w:val="hybridMultilevel"/>
    <w:tmpl w:val="77661B88"/>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5"/>
  </w:num>
  <w:num w:numId="5">
    <w:abstractNumId w:val="15"/>
  </w:num>
  <w:num w:numId="6">
    <w:abstractNumId w:val="23"/>
  </w:num>
  <w:num w:numId="7">
    <w:abstractNumId w:val="18"/>
  </w:num>
  <w:num w:numId="8">
    <w:abstractNumId w:val="16"/>
  </w:num>
  <w:num w:numId="9">
    <w:abstractNumId w:val="23"/>
  </w:num>
  <w:num w:numId="10">
    <w:abstractNumId w:val="22"/>
  </w:num>
  <w:num w:numId="11">
    <w:abstractNumId w:val="17"/>
  </w:num>
  <w:num w:numId="12">
    <w:abstractNumId w:val="9"/>
  </w:num>
  <w:num w:numId="13">
    <w:abstractNumId w:val="21"/>
  </w:num>
  <w:num w:numId="14">
    <w:abstractNumId w:val="1"/>
  </w:num>
  <w:num w:numId="15">
    <w:abstractNumId w:val="36"/>
  </w:num>
  <w:num w:numId="16">
    <w:abstractNumId w:val="26"/>
  </w:num>
  <w:num w:numId="17">
    <w:abstractNumId w:val="8"/>
  </w:num>
  <w:num w:numId="18">
    <w:abstractNumId w:val="23"/>
    <w:lvlOverride w:ilvl="0">
      <w:startOverride w:val="1"/>
    </w:lvlOverride>
    <w:lvlOverride w:ilvl="1">
      <w:startOverride w:val="1"/>
    </w:lvlOverride>
    <w:lvlOverride w:ilvl="2">
      <w:startOverride w:val="2"/>
    </w:lvlOverride>
  </w:num>
  <w:num w:numId="19">
    <w:abstractNumId w:val="23"/>
    <w:lvlOverride w:ilvl="0">
      <w:startOverride w:val="1"/>
    </w:lvlOverride>
    <w:lvlOverride w:ilvl="1">
      <w:startOverride w:val="1"/>
    </w:lvlOverride>
    <w:lvlOverride w:ilvl="2">
      <w:startOverride w:val="3"/>
    </w:lvlOverride>
  </w:num>
  <w:num w:numId="20">
    <w:abstractNumId w:val="6"/>
  </w:num>
  <w:num w:numId="21">
    <w:abstractNumId w:val="27"/>
  </w:num>
  <w:num w:numId="22">
    <w:abstractNumId w:val="24"/>
  </w:num>
  <w:num w:numId="23">
    <w:abstractNumId w:val="10"/>
  </w:num>
  <w:num w:numId="24">
    <w:abstractNumId w:val="29"/>
  </w:num>
  <w:num w:numId="25">
    <w:abstractNumId w:val="31"/>
  </w:num>
  <w:num w:numId="26">
    <w:abstractNumId w:val="20"/>
  </w:num>
  <w:num w:numId="27">
    <w:abstractNumId w:val="23"/>
  </w:num>
  <w:num w:numId="28">
    <w:abstractNumId w:val="23"/>
  </w:num>
  <w:num w:numId="29">
    <w:abstractNumId w:val="23"/>
  </w:num>
  <w:num w:numId="30">
    <w:abstractNumId w:val="23"/>
  </w:num>
  <w:num w:numId="31">
    <w:abstractNumId w:val="2"/>
  </w:num>
  <w:num w:numId="32">
    <w:abstractNumId w:val="3"/>
  </w:num>
  <w:num w:numId="33">
    <w:abstractNumId w:val="5"/>
  </w:num>
  <w:num w:numId="34">
    <w:abstractNumId w:val="0"/>
  </w:num>
  <w:num w:numId="35">
    <w:abstractNumId w:val="28"/>
  </w:num>
  <w:num w:numId="36">
    <w:abstractNumId w:val="4"/>
  </w:num>
  <w:num w:numId="37">
    <w:abstractNumId w:val="30"/>
  </w:num>
  <w:num w:numId="38">
    <w:abstractNumId w:val="32"/>
  </w:num>
  <w:num w:numId="39">
    <w:abstractNumId w:val="25"/>
  </w:num>
  <w:num w:numId="40">
    <w:abstractNumId w:val="34"/>
  </w:num>
  <w:num w:numId="41">
    <w:abstractNumId w:val="33"/>
  </w:num>
  <w:num w:numId="42">
    <w:abstractNumId w:val="11"/>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5DD"/>
    <w:rsid w:val="000024B4"/>
    <w:rsid w:val="00003809"/>
    <w:rsid w:val="00005C38"/>
    <w:rsid w:val="00011240"/>
    <w:rsid w:val="00011C74"/>
    <w:rsid w:val="000124C6"/>
    <w:rsid w:val="00013F39"/>
    <w:rsid w:val="00015510"/>
    <w:rsid w:val="00015FE8"/>
    <w:rsid w:val="00020CAF"/>
    <w:rsid w:val="00020FD7"/>
    <w:rsid w:val="0002181A"/>
    <w:rsid w:val="0002198B"/>
    <w:rsid w:val="000219AC"/>
    <w:rsid w:val="00027425"/>
    <w:rsid w:val="00031D24"/>
    <w:rsid w:val="00035471"/>
    <w:rsid w:val="000359F2"/>
    <w:rsid w:val="000364EB"/>
    <w:rsid w:val="00037873"/>
    <w:rsid w:val="00040063"/>
    <w:rsid w:val="0004181A"/>
    <w:rsid w:val="000425BB"/>
    <w:rsid w:val="000433C4"/>
    <w:rsid w:val="000542BF"/>
    <w:rsid w:val="00054381"/>
    <w:rsid w:val="000644FA"/>
    <w:rsid w:val="000656F5"/>
    <w:rsid w:val="00066160"/>
    <w:rsid w:val="00070B55"/>
    <w:rsid w:val="000711E1"/>
    <w:rsid w:val="00073708"/>
    <w:rsid w:val="00076218"/>
    <w:rsid w:val="00082518"/>
    <w:rsid w:val="00084305"/>
    <w:rsid w:val="00087256"/>
    <w:rsid w:val="00090603"/>
    <w:rsid w:val="000A52A0"/>
    <w:rsid w:val="000A68BA"/>
    <w:rsid w:val="000A7AD0"/>
    <w:rsid w:val="000B0BCE"/>
    <w:rsid w:val="000B4B9C"/>
    <w:rsid w:val="000B4FC2"/>
    <w:rsid w:val="000B647A"/>
    <w:rsid w:val="000B657F"/>
    <w:rsid w:val="000C533A"/>
    <w:rsid w:val="000D5008"/>
    <w:rsid w:val="000E280C"/>
    <w:rsid w:val="000E288B"/>
    <w:rsid w:val="000E2C57"/>
    <w:rsid w:val="000E4666"/>
    <w:rsid w:val="000E56B0"/>
    <w:rsid w:val="000E637D"/>
    <w:rsid w:val="000E7E6A"/>
    <w:rsid w:val="000F59CE"/>
    <w:rsid w:val="000F63AB"/>
    <w:rsid w:val="000F6D02"/>
    <w:rsid w:val="000F70E8"/>
    <w:rsid w:val="00104024"/>
    <w:rsid w:val="00114436"/>
    <w:rsid w:val="00116217"/>
    <w:rsid w:val="0012214B"/>
    <w:rsid w:val="00126942"/>
    <w:rsid w:val="001274BD"/>
    <w:rsid w:val="001327EB"/>
    <w:rsid w:val="001329F3"/>
    <w:rsid w:val="00133446"/>
    <w:rsid w:val="00133786"/>
    <w:rsid w:val="00133D59"/>
    <w:rsid w:val="001349AE"/>
    <w:rsid w:val="00135834"/>
    <w:rsid w:val="0013604D"/>
    <w:rsid w:val="001360A1"/>
    <w:rsid w:val="00140175"/>
    <w:rsid w:val="00143F15"/>
    <w:rsid w:val="001446FC"/>
    <w:rsid w:val="00155C27"/>
    <w:rsid w:val="001633CA"/>
    <w:rsid w:val="00163477"/>
    <w:rsid w:val="0016407C"/>
    <w:rsid w:val="00165D7F"/>
    <w:rsid w:val="00166367"/>
    <w:rsid w:val="00170FB1"/>
    <w:rsid w:val="00173194"/>
    <w:rsid w:val="00180E4A"/>
    <w:rsid w:val="001842D1"/>
    <w:rsid w:val="00185C7E"/>
    <w:rsid w:val="00186C2A"/>
    <w:rsid w:val="00192E06"/>
    <w:rsid w:val="001A0C9A"/>
    <w:rsid w:val="001A2CB7"/>
    <w:rsid w:val="001A30D0"/>
    <w:rsid w:val="001A5072"/>
    <w:rsid w:val="001B00A3"/>
    <w:rsid w:val="001B2EBB"/>
    <w:rsid w:val="001C2A38"/>
    <w:rsid w:val="001C39EC"/>
    <w:rsid w:val="001C5C75"/>
    <w:rsid w:val="001C6F69"/>
    <w:rsid w:val="001D0A77"/>
    <w:rsid w:val="001D0E2E"/>
    <w:rsid w:val="001D226D"/>
    <w:rsid w:val="001E273E"/>
    <w:rsid w:val="001F18FF"/>
    <w:rsid w:val="001F6379"/>
    <w:rsid w:val="0020130D"/>
    <w:rsid w:val="00204415"/>
    <w:rsid w:val="00207850"/>
    <w:rsid w:val="00207A6E"/>
    <w:rsid w:val="00212097"/>
    <w:rsid w:val="00220D29"/>
    <w:rsid w:val="00224A76"/>
    <w:rsid w:val="00224B92"/>
    <w:rsid w:val="00232045"/>
    <w:rsid w:val="002357E1"/>
    <w:rsid w:val="00236B97"/>
    <w:rsid w:val="00242740"/>
    <w:rsid w:val="00252897"/>
    <w:rsid w:val="00252DBA"/>
    <w:rsid w:val="0025700D"/>
    <w:rsid w:val="00261343"/>
    <w:rsid w:val="002622F8"/>
    <w:rsid w:val="00262E1C"/>
    <w:rsid w:val="00271F29"/>
    <w:rsid w:val="00273152"/>
    <w:rsid w:val="00276D4E"/>
    <w:rsid w:val="00277493"/>
    <w:rsid w:val="00293A35"/>
    <w:rsid w:val="00295DDE"/>
    <w:rsid w:val="002968BD"/>
    <w:rsid w:val="00297E88"/>
    <w:rsid w:val="002A3E28"/>
    <w:rsid w:val="002A471D"/>
    <w:rsid w:val="002B01D4"/>
    <w:rsid w:val="002B0942"/>
    <w:rsid w:val="002B2085"/>
    <w:rsid w:val="002B2DFA"/>
    <w:rsid w:val="002B4C73"/>
    <w:rsid w:val="002C16FA"/>
    <w:rsid w:val="002C4BDB"/>
    <w:rsid w:val="002C66E2"/>
    <w:rsid w:val="002D1190"/>
    <w:rsid w:val="002D284F"/>
    <w:rsid w:val="002D3CEF"/>
    <w:rsid w:val="002D4A8F"/>
    <w:rsid w:val="002E0627"/>
    <w:rsid w:val="002E5E77"/>
    <w:rsid w:val="002F109B"/>
    <w:rsid w:val="002F7B42"/>
    <w:rsid w:val="0030069B"/>
    <w:rsid w:val="00302B3C"/>
    <w:rsid w:val="003047C0"/>
    <w:rsid w:val="003049A9"/>
    <w:rsid w:val="00304D60"/>
    <w:rsid w:val="003107A8"/>
    <w:rsid w:val="003137DC"/>
    <w:rsid w:val="00313B33"/>
    <w:rsid w:val="0031455E"/>
    <w:rsid w:val="003161AF"/>
    <w:rsid w:val="003210FF"/>
    <w:rsid w:val="00322C1C"/>
    <w:rsid w:val="00325068"/>
    <w:rsid w:val="003251EA"/>
    <w:rsid w:val="00325DE3"/>
    <w:rsid w:val="0033168C"/>
    <w:rsid w:val="00336386"/>
    <w:rsid w:val="0033653D"/>
    <w:rsid w:val="00336766"/>
    <w:rsid w:val="00336A1B"/>
    <w:rsid w:val="00340466"/>
    <w:rsid w:val="00343E0C"/>
    <w:rsid w:val="003457D5"/>
    <w:rsid w:val="0034779B"/>
    <w:rsid w:val="00350FBD"/>
    <w:rsid w:val="0035365D"/>
    <w:rsid w:val="00354341"/>
    <w:rsid w:val="00354418"/>
    <w:rsid w:val="003549F4"/>
    <w:rsid w:val="00357228"/>
    <w:rsid w:val="003623D1"/>
    <w:rsid w:val="0036607D"/>
    <w:rsid w:val="00366A36"/>
    <w:rsid w:val="003675F1"/>
    <w:rsid w:val="00373BE0"/>
    <w:rsid w:val="003830A1"/>
    <w:rsid w:val="003921F5"/>
    <w:rsid w:val="00395B32"/>
    <w:rsid w:val="003A1499"/>
    <w:rsid w:val="003A2311"/>
    <w:rsid w:val="003A2A82"/>
    <w:rsid w:val="003A2B80"/>
    <w:rsid w:val="003A53B8"/>
    <w:rsid w:val="003A5A20"/>
    <w:rsid w:val="003B0A5F"/>
    <w:rsid w:val="003B0AA6"/>
    <w:rsid w:val="003B10B9"/>
    <w:rsid w:val="003B3370"/>
    <w:rsid w:val="003B6630"/>
    <w:rsid w:val="003C113F"/>
    <w:rsid w:val="003C3433"/>
    <w:rsid w:val="003C462D"/>
    <w:rsid w:val="003C545C"/>
    <w:rsid w:val="003D2267"/>
    <w:rsid w:val="003D470A"/>
    <w:rsid w:val="003E2DAE"/>
    <w:rsid w:val="003E3C6E"/>
    <w:rsid w:val="003E57FB"/>
    <w:rsid w:val="003E5BD2"/>
    <w:rsid w:val="003E771B"/>
    <w:rsid w:val="003F6E44"/>
    <w:rsid w:val="0040090D"/>
    <w:rsid w:val="0040393B"/>
    <w:rsid w:val="004064B1"/>
    <w:rsid w:val="00406BC6"/>
    <w:rsid w:val="00410834"/>
    <w:rsid w:val="00411FE8"/>
    <w:rsid w:val="00416514"/>
    <w:rsid w:val="00416BEB"/>
    <w:rsid w:val="004306A5"/>
    <w:rsid w:val="00431B76"/>
    <w:rsid w:val="00435259"/>
    <w:rsid w:val="004419AC"/>
    <w:rsid w:val="0044227B"/>
    <w:rsid w:val="004429BD"/>
    <w:rsid w:val="0044424E"/>
    <w:rsid w:val="00445FD6"/>
    <w:rsid w:val="00451CAB"/>
    <w:rsid w:val="0045453A"/>
    <w:rsid w:val="004555F9"/>
    <w:rsid w:val="00467C77"/>
    <w:rsid w:val="0047219B"/>
    <w:rsid w:val="00472FF7"/>
    <w:rsid w:val="00477C2C"/>
    <w:rsid w:val="00477E7F"/>
    <w:rsid w:val="00477FEE"/>
    <w:rsid w:val="00490451"/>
    <w:rsid w:val="00491646"/>
    <w:rsid w:val="00493D13"/>
    <w:rsid w:val="00494C69"/>
    <w:rsid w:val="00497CFD"/>
    <w:rsid w:val="004A0BDE"/>
    <w:rsid w:val="004A1645"/>
    <w:rsid w:val="004A47BF"/>
    <w:rsid w:val="004A54F4"/>
    <w:rsid w:val="004B597A"/>
    <w:rsid w:val="004C634C"/>
    <w:rsid w:val="004C6D82"/>
    <w:rsid w:val="004C7727"/>
    <w:rsid w:val="004D0A06"/>
    <w:rsid w:val="004D16C6"/>
    <w:rsid w:val="004D23AD"/>
    <w:rsid w:val="004D4696"/>
    <w:rsid w:val="004D57B8"/>
    <w:rsid w:val="004D717E"/>
    <w:rsid w:val="004E099E"/>
    <w:rsid w:val="004E69DF"/>
    <w:rsid w:val="004E700C"/>
    <w:rsid w:val="004F2164"/>
    <w:rsid w:val="00500530"/>
    <w:rsid w:val="00502FDF"/>
    <w:rsid w:val="005032C9"/>
    <w:rsid w:val="005039B5"/>
    <w:rsid w:val="00506853"/>
    <w:rsid w:val="0051178C"/>
    <w:rsid w:val="0051473A"/>
    <w:rsid w:val="00516C26"/>
    <w:rsid w:val="0051753D"/>
    <w:rsid w:val="00520A86"/>
    <w:rsid w:val="00521FFE"/>
    <w:rsid w:val="00541C9A"/>
    <w:rsid w:val="005440A6"/>
    <w:rsid w:val="00546EF3"/>
    <w:rsid w:val="00551B81"/>
    <w:rsid w:val="00553A48"/>
    <w:rsid w:val="0055720E"/>
    <w:rsid w:val="0056014C"/>
    <w:rsid w:val="00560D71"/>
    <w:rsid w:val="005653ED"/>
    <w:rsid w:val="005738F7"/>
    <w:rsid w:val="00577199"/>
    <w:rsid w:val="005773CC"/>
    <w:rsid w:val="005928CE"/>
    <w:rsid w:val="00594227"/>
    <w:rsid w:val="005945B6"/>
    <w:rsid w:val="00594823"/>
    <w:rsid w:val="005955D2"/>
    <w:rsid w:val="005A18BD"/>
    <w:rsid w:val="005A4284"/>
    <w:rsid w:val="005A465E"/>
    <w:rsid w:val="005A6AE6"/>
    <w:rsid w:val="005B1280"/>
    <w:rsid w:val="005B182F"/>
    <w:rsid w:val="005B7F71"/>
    <w:rsid w:val="005C374F"/>
    <w:rsid w:val="005D0930"/>
    <w:rsid w:val="005D139C"/>
    <w:rsid w:val="005D62FA"/>
    <w:rsid w:val="005D69ED"/>
    <w:rsid w:val="005E5D2F"/>
    <w:rsid w:val="005E670B"/>
    <w:rsid w:val="005F0A60"/>
    <w:rsid w:val="005F3B7A"/>
    <w:rsid w:val="005F4C74"/>
    <w:rsid w:val="00601713"/>
    <w:rsid w:val="0060263F"/>
    <w:rsid w:val="00614092"/>
    <w:rsid w:val="00614189"/>
    <w:rsid w:val="00616F84"/>
    <w:rsid w:val="00617F18"/>
    <w:rsid w:val="00622096"/>
    <w:rsid w:val="00626015"/>
    <w:rsid w:val="006260D5"/>
    <w:rsid w:val="00626243"/>
    <w:rsid w:val="00630148"/>
    <w:rsid w:val="00631340"/>
    <w:rsid w:val="0063143D"/>
    <w:rsid w:val="00633089"/>
    <w:rsid w:val="0064371E"/>
    <w:rsid w:val="00644C74"/>
    <w:rsid w:val="006457E8"/>
    <w:rsid w:val="00646439"/>
    <w:rsid w:val="006507F2"/>
    <w:rsid w:val="00650C8B"/>
    <w:rsid w:val="00653836"/>
    <w:rsid w:val="00654CF4"/>
    <w:rsid w:val="006556C2"/>
    <w:rsid w:val="0065701C"/>
    <w:rsid w:val="00662A29"/>
    <w:rsid w:val="00666896"/>
    <w:rsid w:val="00666E45"/>
    <w:rsid w:val="006715EE"/>
    <w:rsid w:val="00673FE5"/>
    <w:rsid w:val="0067629E"/>
    <w:rsid w:val="0068017F"/>
    <w:rsid w:val="006809E9"/>
    <w:rsid w:val="006904DE"/>
    <w:rsid w:val="00690847"/>
    <w:rsid w:val="00694487"/>
    <w:rsid w:val="00695982"/>
    <w:rsid w:val="006B074E"/>
    <w:rsid w:val="006B1703"/>
    <w:rsid w:val="006B2138"/>
    <w:rsid w:val="006B2BD5"/>
    <w:rsid w:val="006B32F9"/>
    <w:rsid w:val="006B404B"/>
    <w:rsid w:val="006B75B0"/>
    <w:rsid w:val="006C5AF0"/>
    <w:rsid w:val="006C7759"/>
    <w:rsid w:val="006D046F"/>
    <w:rsid w:val="006D07B0"/>
    <w:rsid w:val="006D0E3D"/>
    <w:rsid w:val="006D61CB"/>
    <w:rsid w:val="006D6A41"/>
    <w:rsid w:val="006D7D9F"/>
    <w:rsid w:val="006E2408"/>
    <w:rsid w:val="006E4384"/>
    <w:rsid w:val="006E4827"/>
    <w:rsid w:val="006E4B9C"/>
    <w:rsid w:val="006E63D1"/>
    <w:rsid w:val="006F284C"/>
    <w:rsid w:val="006F58AE"/>
    <w:rsid w:val="006F7227"/>
    <w:rsid w:val="00700F28"/>
    <w:rsid w:val="00702366"/>
    <w:rsid w:val="00703B0F"/>
    <w:rsid w:val="0070502C"/>
    <w:rsid w:val="00710BBA"/>
    <w:rsid w:val="007115A2"/>
    <w:rsid w:val="007163BC"/>
    <w:rsid w:val="00716A78"/>
    <w:rsid w:val="00717F31"/>
    <w:rsid w:val="00730AE3"/>
    <w:rsid w:val="00731FF0"/>
    <w:rsid w:val="007349C5"/>
    <w:rsid w:val="00736BC2"/>
    <w:rsid w:val="00736D4F"/>
    <w:rsid w:val="007516D3"/>
    <w:rsid w:val="00751FF7"/>
    <w:rsid w:val="00753E38"/>
    <w:rsid w:val="00757851"/>
    <w:rsid w:val="00760544"/>
    <w:rsid w:val="007632D0"/>
    <w:rsid w:val="00767105"/>
    <w:rsid w:val="00772A6E"/>
    <w:rsid w:val="00773B72"/>
    <w:rsid w:val="00774C83"/>
    <w:rsid w:val="007825AF"/>
    <w:rsid w:val="0079325E"/>
    <w:rsid w:val="00797ECD"/>
    <w:rsid w:val="007A2D06"/>
    <w:rsid w:val="007B1587"/>
    <w:rsid w:val="007B6BB1"/>
    <w:rsid w:val="007B7FB8"/>
    <w:rsid w:val="007C2501"/>
    <w:rsid w:val="007C5285"/>
    <w:rsid w:val="007C633B"/>
    <w:rsid w:val="007D1646"/>
    <w:rsid w:val="007D3182"/>
    <w:rsid w:val="007E42FD"/>
    <w:rsid w:val="007E71B7"/>
    <w:rsid w:val="007F00F0"/>
    <w:rsid w:val="007F4080"/>
    <w:rsid w:val="007F5457"/>
    <w:rsid w:val="007F64D3"/>
    <w:rsid w:val="007F68C1"/>
    <w:rsid w:val="007F6DA2"/>
    <w:rsid w:val="007F74E9"/>
    <w:rsid w:val="00803D04"/>
    <w:rsid w:val="00805BDF"/>
    <w:rsid w:val="00807314"/>
    <w:rsid w:val="008076C0"/>
    <w:rsid w:val="00807B01"/>
    <w:rsid w:val="00810BAB"/>
    <w:rsid w:val="00810BDE"/>
    <w:rsid w:val="0081170F"/>
    <w:rsid w:val="00811FF1"/>
    <w:rsid w:val="00816475"/>
    <w:rsid w:val="00825524"/>
    <w:rsid w:val="0083211E"/>
    <w:rsid w:val="008345B2"/>
    <w:rsid w:val="00840FFC"/>
    <w:rsid w:val="00843FF1"/>
    <w:rsid w:val="008465BB"/>
    <w:rsid w:val="0085536E"/>
    <w:rsid w:val="00856DB0"/>
    <w:rsid w:val="00856FF0"/>
    <w:rsid w:val="00864F5F"/>
    <w:rsid w:val="0086526D"/>
    <w:rsid w:val="00870D40"/>
    <w:rsid w:val="008753AA"/>
    <w:rsid w:val="00875CF6"/>
    <w:rsid w:val="00876A42"/>
    <w:rsid w:val="008778A5"/>
    <w:rsid w:val="00877F33"/>
    <w:rsid w:val="00882929"/>
    <w:rsid w:val="00884138"/>
    <w:rsid w:val="00886258"/>
    <w:rsid w:val="00886622"/>
    <w:rsid w:val="00887615"/>
    <w:rsid w:val="00890B62"/>
    <w:rsid w:val="00896EC9"/>
    <w:rsid w:val="008974C6"/>
    <w:rsid w:val="008A01DD"/>
    <w:rsid w:val="008A457E"/>
    <w:rsid w:val="008A5B8A"/>
    <w:rsid w:val="008B0140"/>
    <w:rsid w:val="008B04D8"/>
    <w:rsid w:val="008B11D3"/>
    <w:rsid w:val="008B28B2"/>
    <w:rsid w:val="008C013C"/>
    <w:rsid w:val="008C0535"/>
    <w:rsid w:val="008C1E35"/>
    <w:rsid w:val="008D514B"/>
    <w:rsid w:val="008D5AA2"/>
    <w:rsid w:val="008D7E7E"/>
    <w:rsid w:val="008E0DAA"/>
    <w:rsid w:val="008E1963"/>
    <w:rsid w:val="008E255F"/>
    <w:rsid w:val="008E4C46"/>
    <w:rsid w:val="008E5F84"/>
    <w:rsid w:val="008E7500"/>
    <w:rsid w:val="008F4413"/>
    <w:rsid w:val="009002FC"/>
    <w:rsid w:val="009067F8"/>
    <w:rsid w:val="0091079F"/>
    <w:rsid w:val="009177F3"/>
    <w:rsid w:val="00920603"/>
    <w:rsid w:val="009222A1"/>
    <w:rsid w:val="00922EAD"/>
    <w:rsid w:val="00925DA2"/>
    <w:rsid w:val="0092794B"/>
    <w:rsid w:val="00930109"/>
    <w:rsid w:val="00935640"/>
    <w:rsid w:val="00940CFC"/>
    <w:rsid w:val="00941B6D"/>
    <w:rsid w:val="009427DD"/>
    <w:rsid w:val="00946C94"/>
    <w:rsid w:val="00953856"/>
    <w:rsid w:val="00954990"/>
    <w:rsid w:val="009554D5"/>
    <w:rsid w:val="00960138"/>
    <w:rsid w:val="0096294A"/>
    <w:rsid w:val="00964726"/>
    <w:rsid w:val="00964EA4"/>
    <w:rsid w:val="00967A75"/>
    <w:rsid w:val="00976330"/>
    <w:rsid w:val="009769FD"/>
    <w:rsid w:val="0098289B"/>
    <w:rsid w:val="00984F27"/>
    <w:rsid w:val="0098727C"/>
    <w:rsid w:val="00991FBD"/>
    <w:rsid w:val="009A0D21"/>
    <w:rsid w:val="009A1698"/>
    <w:rsid w:val="009A292B"/>
    <w:rsid w:val="009A3773"/>
    <w:rsid w:val="009A4387"/>
    <w:rsid w:val="009B5DA9"/>
    <w:rsid w:val="009B5E1D"/>
    <w:rsid w:val="009B6E33"/>
    <w:rsid w:val="009B72AA"/>
    <w:rsid w:val="009B7E3F"/>
    <w:rsid w:val="009C10BF"/>
    <w:rsid w:val="009C7088"/>
    <w:rsid w:val="009D2F92"/>
    <w:rsid w:val="009D548F"/>
    <w:rsid w:val="009E0F1E"/>
    <w:rsid w:val="009E2B79"/>
    <w:rsid w:val="009E76AA"/>
    <w:rsid w:val="009F4949"/>
    <w:rsid w:val="009F66C0"/>
    <w:rsid w:val="00A020C9"/>
    <w:rsid w:val="00A050C2"/>
    <w:rsid w:val="00A05A16"/>
    <w:rsid w:val="00A06E6E"/>
    <w:rsid w:val="00A0749D"/>
    <w:rsid w:val="00A10051"/>
    <w:rsid w:val="00A14D1F"/>
    <w:rsid w:val="00A20E50"/>
    <w:rsid w:val="00A20F36"/>
    <w:rsid w:val="00A24E92"/>
    <w:rsid w:val="00A30DAD"/>
    <w:rsid w:val="00A32EDC"/>
    <w:rsid w:val="00A352E0"/>
    <w:rsid w:val="00A35982"/>
    <w:rsid w:val="00A4140E"/>
    <w:rsid w:val="00A45073"/>
    <w:rsid w:val="00A52E16"/>
    <w:rsid w:val="00A55FFD"/>
    <w:rsid w:val="00A5634D"/>
    <w:rsid w:val="00A60495"/>
    <w:rsid w:val="00A62171"/>
    <w:rsid w:val="00A6391D"/>
    <w:rsid w:val="00A655CA"/>
    <w:rsid w:val="00A66120"/>
    <w:rsid w:val="00A6673D"/>
    <w:rsid w:val="00A72D6A"/>
    <w:rsid w:val="00A83658"/>
    <w:rsid w:val="00A840D4"/>
    <w:rsid w:val="00A84F05"/>
    <w:rsid w:val="00A91917"/>
    <w:rsid w:val="00A93740"/>
    <w:rsid w:val="00A93D3F"/>
    <w:rsid w:val="00A968E4"/>
    <w:rsid w:val="00AA014E"/>
    <w:rsid w:val="00AA2DB2"/>
    <w:rsid w:val="00AA4C9E"/>
    <w:rsid w:val="00AA560B"/>
    <w:rsid w:val="00AB397B"/>
    <w:rsid w:val="00AB4206"/>
    <w:rsid w:val="00AB5139"/>
    <w:rsid w:val="00AB77C6"/>
    <w:rsid w:val="00AC1E69"/>
    <w:rsid w:val="00AC3622"/>
    <w:rsid w:val="00AC7923"/>
    <w:rsid w:val="00AD3B47"/>
    <w:rsid w:val="00AD3FA8"/>
    <w:rsid w:val="00AD7375"/>
    <w:rsid w:val="00AE2EE6"/>
    <w:rsid w:val="00AE50D6"/>
    <w:rsid w:val="00AE63F7"/>
    <w:rsid w:val="00AF4DD9"/>
    <w:rsid w:val="00AF73EC"/>
    <w:rsid w:val="00B01271"/>
    <w:rsid w:val="00B0422A"/>
    <w:rsid w:val="00B07246"/>
    <w:rsid w:val="00B13A01"/>
    <w:rsid w:val="00B21962"/>
    <w:rsid w:val="00B22FEB"/>
    <w:rsid w:val="00B233F9"/>
    <w:rsid w:val="00B237C7"/>
    <w:rsid w:val="00B24944"/>
    <w:rsid w:val="00B2576C"/>
    <w:rsid w:val="00B2583A"/>
    <w:rsid w:val="00B271A0"/>
    <w:rsid w:val="00B27D0E"/>
    <w:rsid w:val="00B27EE8"/>
    <w:rsid w:val="00B3299A"/>
    <w:rsid w:val="00B3380D"/>
    <w:rsid w:val="00B40B44"/>
    <w:rsid w:val="00B41CED"/>
    <w:rsid w:val="00B47971"/>
    <w:rsid w:val="00B56B11"/>
    <w:rsid w:val="00B70370"/>
    <w:rsid w:val="00B7476C"/>
    <w:rsid w:val="00B749F5"/>
    <w:rsid w:val="00B75173"/>
    <w:rsid w:val="00B823D9"/>
    <w:rsid w:val="00B82F96"/>
    <w:rsid w:val="00B85F9B"/>
    <w:rsid w:val="00B9173C"/>
    <w:rsid w:val="00B92CE4"/>
    <w:rsid w:val="00B93F50"/>
    <w:rsid w:val="00B96116"/>
    <w:rsid w:val="00B96355"/>
    <w:rsid w:val="00BA02FC"/>
    <w:rsid w:val="00BA1498"/>
    <w:rsid w:val="00BA30BA"/>
    <w:rsid w:val="00BA3233"/>
    <w:rsid w:val="00BA344D"/>
    <w:rsid w:val="00BC2AC0"/>
    <w:rsid w:val="00BC2BFB"/>
    <w:rsid w:val="00BC6E0F"/>
    <w:rsid w:val="00BD1875"/>
    <w:rsid w:val="00BE0E08"/>
    <w:rsid w:val="00BE37A4"/>
    <w:rsid w:val="00BE45DE"/>
    <w:rsid w:val="00BE4A56"/>
    <w:rsid w:val="00BE5265"/>
    <w:rsid w:val="00BE7878"/>
    <w:rsid w:val="00BF0FE7"/>
    <w:rsid w:val="00BF3C64"/>
    <w:rsid w:val="00BF6863"/>
    <w:rsid w:val="00C05456"/>
    <w:rsid w:val="00C076A9"/>
    <w:rsid w:val="00C14762"/>
    <w:rsid w:val="00C14CB9"/>
    <w:rsid w:val="00C150AE"/>
    <w:rsid w:val="00C15A65"/>
    <w:rsid w:val="00C15BBB"/>
    <w:rsid w:val="00C164DE"/>
    <w:rsid w:val="00C17A34"/>
    <w:rsid w:val="00C21FB6"/>
    <w:rsid w:val="00C25117"/>
    <w:rsid w:val="00C2557F"/>
    <w:rsid w:val="00C257DC"/>
    <w:rsid w:val="00C26901"/>
    <w:rsid w:val="00C305CB"/>
    <w:rsid w:val="00C30B99"/>
    <w:rsid w:val="00C31FC0"/>
    <w:rsid w:val="00C33250"/>
    <w:rsid w:val="00C36C29"/>
    <w:rsid w:val="00C37EB6"/>
    <w:rsid w:val="00C37FF1"/>
    <w:rsid w:val="00C43D56"/>
    <w:rsid w:val="00C44CD9"/>
    <w:rsid w:val="00C45DC4"/>
    <w:rsid w:val="00C507CD"/>
    <w:rsid w:val="00C512B4"/>
    <w:rsid w:val="00C5254B"/>
    <w:rsid w:val="00C548E5"/>
    <w:rsid w:val="00C627F6"/>
    <w:rsid w:val="00C644C4"/>
    <w:rsid w:val="00C6605C"/>
    <w:rsid w:val="00C717E5"/>
    <w:rsid w:val="00C71DB6"/>
    <w:rsid w:val="00C7534D"/>
    <w:rsid w:val="00C80A77"/>
    <w:rsid w:val="00C8452B"/>
    <w:rsid w:val="00C84E89"/>
    <w:rsid w:val="00C85EA4"/>
    <w:rsid w:val="00C90043"/>
    <w:rsid w:val="00C912FE"/>
    <w:rsid w:val="00C96880"/>
    <w:rsid w:val="00CA00DA"/>
    <w:rsid w:val="00CA1572"/>
    <w:rsid w:val="00CA6B87"/>
    <w:rsid w:val="00CA7169"/>
    <w:rsid w:val="00CB77C0"/>
    <w:rsid w:val="00CC0B65"/>
    <w:rsid w:val="00CC1BFA"/>
    <w:rsid w:val="00CC2031"/>
    <w:rsid w:val="00CD1497"/>
    <w:rsid w:val="00CD158B"/>
    <w:rsid w:val="00CD7F0F"/>
    <w:rsid w:val="00CE2269"/>
    <w:rsid w:val="00CE295A"/>
    <w:rsid w:val="00CE51C3"/>
    <w:rsid w:val="00CE7120"/>
    <w:rsid w:val="00CE7215"/>
    <w:rsid w:val="00CE7D8D"/>
    <w:rsid w:val="00CF4F69"/>
    <w:rsid w:val="00CF78C1"/>
    <w:rsid w:val="00D04537"/>
    <w:rsid w:val="00D04B10"/>
    <w:rsid w:val="00D118B0"/>
    <w:rsid w:val="00D13F29"/>
    <w:rsid w:val="00D150D3"/>
    <w:rsid w:val="00D15589"/>
    <w:rsid w:val="00D2054B"/>
    <w:rsid w:val="00D20E6A"/>
    <w:rsid w:val="00D22AE8"/>
    <w:rsid w:val="00D25322"/>
    <w:rsid w:val="00D31E44"/>
    <w:rsid w:val="00D34C26"/>
    <w:rsid w:val="00D41446"/>
    <w:rsid w:val="00D42607"/>
    <w:rsid w:val="00D432AD"/>
    <w:rsid w:val="00D455C1"/>
    <w:rsid w:val="00D51069"/>
    <w:rsid w:val="00D650E5"/>
    <w:rsid w:val="00D67B34"/>
    <w:rsid w:val="00D74F36"/>
    <w:rsid w:val="00D772F7"/>
    <w:rsid w:val="00D80A2A"/>
    <w:rsid w:val="00D823E6"/>
    <w:rsid w:val="00D8256B"/>
    <w:rsid w:val="00D83355"/>
    <w:rsid w:val="00D83C89"/>
    <w:rsid w:val="00D85350"/>
    <w:rsid w:val="00D87B80"/>
    <w:rsid w:val="00D9020C"/>
    <w:rsid w:val="00D9378E"/>
    <w:rsid w:val="00D9537D"/>
    <w:rsid w:val="00DB46EC"/>
    <w:rsid w:val="00DB4DD0"/>
    <w:rsid w:val="00DC2EF9"/>
    <w:rsid w:val="00DD07E0"/>
    <w:rsid w:val="00DD12FA"/>
    <w:rsid w:val="00DD21C1"/>
    <w:rsid w:val="00DD52CC"/>
    <w:rsid w:val="00DD5FBB"/>
    <w:rsid w:val="00DE128D"/>
    <w:rsid w:val="00DE308B"/>
    <w:rsid w:val="00DE5EAF"/>
    <w:rsid w:val="00DF625F"/>
    <w:rsid w:val="00E01974"/>
    <w:rsid w:val="00E11546"/>
    <w:rsid w:val="00E1181D"/>
    <w:rsid w:val="00E11BFB"/>
    <w:rsid w:val="00E15792"/>
    <w:rsid w:val="00E24F24"/>
    <w:rsid w:val="00E30D4B"/>
    <w:rsid w:val="00E37A7A"/>
    <w:rsid w:val="00E4166B"/>
    <w:rsid w:val="00E42FDB"/>
    <w:rsid w:val="00E4525F"/>
    <w:rsid w:val="00E47630"/>
    <w:rsid w:val="00E52DB2"/>
    <w:rsid w:val="00E53C89"/>
    <w:rsid w:val="00E55B3B"/>
    <w:rsid w:val="00E55E91"/>
    <w:rsid w:val="00E56013"/>
    <w:rsid w:val="00E56CE2"/>
    <w:rsid w:val="00E57516"/>
    <w:rsid w:val="00E6257C"/>
    <w:rsid w:val="00E653E4"/>
    <w:rsid w:val="00E67E6E"/>
    <w:rsid w:val="00E75033"/>
    <w:rsid w:val="00E75082"/>
    <w:rsid w:val="00E91E67"/>
    <w:rsid w:val="00E93F06"/>
    <w:rsid w:val="00E94733"/>
    <w:rsid w:val="00E95506"/>
    <w:rsid w:val="00E96230"/>
    <w:rsid w:val="00E97709"/>
    <w:rsid w:val="00EA0D33"/>
    <w:rsid w:val="00EA2B50"/>
    <w:rsid w:val="00EA3DA2"/>
    <w:rsid w:val="00EA6805"/>
    <w:rsid w:val="00EA7525"/>
    <w:rsid w:val="00EB0D38"/>
    <w:rsid w:val="00EB16E5"/>
    <w:rsid w:val="00EB1BCA"/>
    <w:rsid w:val="00EB1E1A"/>
    <w:rsid w:val="00EC0891"/>
    <w:rsid w:val="00EC3289"/>
    <w:rsid w:val="00EC33D9"/>
    <w:rsid w:val="00ED5647"/>
    <w:rsid w:val="00EE20FA"/>
    <w:rsid w:val="00EE50ED"/>
    <w:rsid w:val="00EE51DB"/>
    <w:rsid w:val="00EE54FC"/>
    <w:rsid w:val="00EE62E2"/>
    <w:rsid w:val="00EF1729"/>
    <w:rsid w:val="00EF7F13"/>
    <w:rsid w:val="00F016A7"/>
    <w:rsid w:val="00F04F1A"/>
    <w:rsid w:val="00F10802"/>
    <w:rsid w:val="00F10CBD"/>
    <w:rsid w:val="00F11F9F"/>
    <w:rsid w:val="00F13C17"/>
    <w:rsid w:val="00F13DC0"/>
    <w:rsid w:val="00F14485"/>
    <w:rsid w:val="00F16F02"/>
    <w:rsid w:val="00F22C87"/>
    <w:rsid w:val="00F26A60"/>
    <w:rsid w:val="00F30C39"/>
    <w:rsid w:val="00F31B5B"/>
    <w:rsid w:val="00F34E70"/>
    <w:rsid w:val="00F421D9"/>
    <w:rsid w:val="00F422CD"/>
    <w:rsid w:val="00F465B6"/>
    <w:rsid w:val="00F5013C"/>
    <w:rsid w:val="00F50CFB"/>
    <w:rsid w:val="00F61DB2"/>
    <w:rsid w:val="00F63BD6"/>
    <w:rsid w:val="00F64CB9"/>
    <w:rsid w:val="00F65CAD"/>
    <w:rsid w:val="00F67181"/>
    <w:rsid w:val="00F71676"/>
    <w:rsid w:val="00F75BA7"/>
    <w:rsid w:val="00F77628"/>
    <w:rsid w:val="00F80632"/>
    <w:rsid w:val="00F838DD"/>
    <w:rsid w:val="00F841D4"/>
    <w:rsid w:val="00F86240"/>
    <w:rsid w:val="00F8724B"/>
    <w:rsid w:val="00F87848"/>
    <w:rsid w:val="00F94C8D"/>
    <w:rsid w:val="00FA60E6"/>
    <w:rsid w:val="00FB3B70"/>
    <w:rsid w:val="00FC2349"/>
    <w:rsid w:val="00FC6159"/>
    <w:rsid w:val="00FD061C"/>
    <w:rsid w:val="00FD12A1"/>
    <w:rsid w:val="00FD1484"/>
    <w:rsid w:val="00FE1C32"/>
    <w:rsid w:val="00FE3011"/>
    <w:rsid w:val="00FE4D6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316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39B5"/>
    <w:rPr>
      <w:color w:val="605E5C"/>
      <w:shd w:val="clear" w:color="auto" w:fill="E1DFDD"/>
    </w:rPr>
  </w:style>
  <w:style w:type="paragraph" w:styleId="NormalWeb">
    <w:name w:val="Normal (Web)"/>
    <w:basedOn w:val="Normal"/>
    <w:uiPriority w:val="99"/>
    <w:semiHidden/>
    <w:unhideWhenUsed/>
    <w:rsid w:val="00810BDE"/>
    <w:rPr>
      <w:sz w:val="24"/>
    </w:rPr>
  </w:style>
  <w:style w:type="character" w:customStyle="1" w:styleId="UnresolvedMention">
    <w:name w:val="Unresolved Mention"/>
    <w:basedOn w:val="DefaultParagraphFont"/>
    <w:uiPriority w:val="99"/>
    <w:semiHidden/>
    <w:unhideWhenUsed/>
    <w:rsid w:val="005D0930"/>
    <w:rPr>
      <w:color w:val="808080"/>
      <w:shd w:val="clear" w:color="auto" w:fill="E6E6E6"/>
    </w:rPr>
  </w:style>
  <w:style w:type="paragraph" w:customStyle="1" w:styleId="CharChar">
    <w:name w:val="Char Char"/>
    <w:basedOn w:val="Normal"/>
    <w:rsid w:val="00D85350"/>
    <w:pPr>
      <w:widowControl w:val="0"/>
      <w:adjustRightInd w:val="0"/>
      <w:spacing w:line="360" w:lineRule="atLeast"/>
      <w:textAlignment w:val="baseline"/>
    </w:pPr>
    <w:rPr>
      <w:rFonts w:ascii="Arial" w:eastAsia="Batang" w:hAnsi="Arial" w:cs="Arial"/>
      <w:szCs w:val="20"/>
      <w:lang w:val="pl-PL" w:eastAsia="pl-PL"/>
    </w:rPr>
  </w:style>
  <w:style w:type="paragraph" w:customStyle="1" w:styleId="CharChar8CharCharChar">
    <w:name w:val="Char Char8 Char Char Char"/>
    <w:basedOn w:val="Normal"/>
    <w:rsid w:val="000364EB"/>
    <w:pPr>
      <w:widowControl w:val="0"/>
      <w:adjustRightInd w:val="0"/>
      <w:spacing w:line="360" w:lineRule="atLeast"/>
      <w:textAlignment w:val="baseline"/>
    </w:pPr>
    <w:rPr>
      <w:rFonts w:ascii="Arial" w:eastAsia="Batang" w:hAnsi="Arial" w:cs="Arial"/>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316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39B5"/>
    <w:rPr>
      <w:color w:val="605E5C"/>
      <w:shd w:val="clear" w:color="auto" w:fill="E1DFDD"/>
    </w:rPr>
  </w:style>
  <w:style w:type="paragraph" w:styleId="NormalWeb">
    <w:name w:val="Normal (Web)"/>
    <w:basedOn w:val="Normal"/>
    <w:uiPriority w:val="99"/>
    <w:semiHidden/>
    <w:unhideWhenUsed/>
    <w:rsid w:val="00810BDE"/>
    <w:rPr>
      <w:sz w:val="24"/>
    </w:rPr>
  </w:style>
  <w:style w:type="character" w:customStyle="1" w:styleId="UnresolvedMention">
    <w:name w:val="Unresolved Mention"/>
    <w:basedOn w:val="DefaultParagraphFont"/>
    <w:uiPriority w:val="99"/>
    <w:semiHidden/>
    <w:unhideWhenUsed/>
    <w:rsid w:val="005D0930"/>
    <w:rPr>
      <w:color w:val="808080"/>
      <w:shd w:val="clear" w:color="auto" w:fill="E6E6E6"/>
    </w:rPr>
  </w:style>
  <w:style w:type="paragraph" w:customStyle="1" w:styleId="CharChar">
    <w:name w:val="Char Char"/>
    <w:basedOn w:val="Normal"/>
    <w:rsid w:val="00D85350"/>
    <w:pPr>
      <w:widowControl w:val="0"/>
      <w:adjustRightInd w:val="0"/>
      <w:spacing w:line="360" w:lineRule="atLeast"/>
      <w:textAlignment w:val="baseline"/>
    </w:pPr>
    <w:rPr>
      <w:rFonts w:ascii="Arial" w:eastAsia="Batang" w:hAnsi="Arial" w:cs="Arial"/>
      <w:szCs w:val="20"/>
      <w:lang w:val="pl-PL" w:eastAsia="pl-PL"/>
    </w:rPr>
  </w:style>
  <w:style w:type="paragraph" w:customStyle="1" w:styleId="CharChar8CharCharChar">
    <w:name w:val="Char Char8 Char Char Char"/>
    <w:basedOn w:val="Normal"/>
    <w:rsid w:val="000364EB"/>
    <w:pPr>
      <w:widowControl w:val="0"/>
      <w:adjustRightInd w:val="0"/>
      <w:spacing w:line="360" w:lineRule="atLeast"/>
      <w:textAlignment w:val="baseline"/>
    </w:pPr>
    <w:rPr>
      <w:rFonts w:ascii="Arial" w:eastAsia="Batang"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5084">
      <w:bodyDiv w:val="1"/>
      <w:marLeft w:val="0"/>
      <w:marRight w:val="0"/>
      <w:marTop w:val="0"/>
      <w:marBottom w:val="0"/>
      <w:divBdr>
        <w:top w:val="none" w:sz="0" w:space="0" w:color="auto"/>
        <w:left w:val="none" w:sz="0" w:space="0" w:color="auto"/>
        <w:bottom w:val="none" w:sz="0" w:space="0" w:color="auto"/>
        <w:right w:val="none" w:sz="0" w:space="0" w:color="auto"/>
      </w:divBdr>
    </w:div>
    <w:div w:id="1150564239">
      <w:bodyDiv w:val="1"/>
      <w:marLeft w:val="0"/>
      <w:marRight w:val="0"/>
      <w:marTop w:val="0"/>
      <w:marBottom w:val="0"/>
      <w:divBdr>
        <w:top w:val="none" w:sz="0" w:space="0" w:color="auto"/>
        <w:left w:val="none" w:sz="0" w:space="0" w:color="auto"/>
        <w:bottom w:val="none" w:sz="0" w:space="0" w:color="auto"/>
        <w:right w:val="none" w:sz="0" w:space="0" w:color="auto"/>
      </w:divBdr>
    </w:div>
    <w:div w:id="1219127877">
      <w:bodyDiv w:val="1"/>
      <w:marLeft w:val="0"/>
      <w:marRight w:val="0"/>
      <w:marTop w:val="0"/>
      <w:marBottom w:val="0"/>
      <w:divBdr>
        <w:top w:val="none" w:sz="0" w:space="0" w:color="auto"/>
        <w:left w:val="none" w:sz="0" w:space="0" w:color="auto"/>
        <w:bottom w:val="none" w:sz="0" w:space="0" w:color="auto"/>
        <w:right w:val="none" w:sz="0" w:space="0" w:color="auto"/>
      </w:divBdr>
      <w:divsChild>
        <w:div w:id="408429486">
          <w:marLeft w:val="0"/>
          <w:marRight w:val="0"/>
          <w:marTop w:val="90"/>
          <w:marBottom w:val="90"/>
          <w:divBdr>
            <w:top w:val="none" w:sz="0" w:space="0" w:color="auto"/>
            <w:left w:val="none" w:sz="0" w:space="0" w:color="auto"/>
            <w:bottom w:val="none" w:sz="0" w:space="0" w:color="auto"/>
            <w:right w:val="none" w:sz="0" w:space="0" w:color="auto"/>
          </w:divBdr>
        </w:div>
        <w:div w:id="1529873046">
          <w:marLeft w:val="0"/>
          <w:marRight w:val="0"/>
          <w:marTop w:val="90"/>
          <w:marBottom w:val="90"/>
          <w:divBdr>
            <w:top w:val="none" w:sz="0" w:space="0" w:color="auto"/>
            <w:left w:val="none" w:sz="0" w:space="0" w:color="auto"/>
            <w:bottom w:val="none" w:sz="0" w:space="0" w:color="auto"/>
            <w:right w:val="none" w:sz="0" w:space="0" w:color="auto"/>
          </w:divBdr>
        </w:div>
      </w:divsChild>
    </w:div>
    <w:div w:id="1338263513">
      <w:bodyDiv w:val="1"/>
      <w:marLeft w:val="0"/>
      <w:marRight w:val="0"/>
      <w:marTop w:val="0"/>
      <w:marBottom w:val="0"/>
      <w:divBdr>
        <w:top w:val="none" w:sz="0" w:space="0" w:color="auto"/>
        <w:left w:val="none" w:sz="0" w:space="0" w:color="auto"/>
        <w:bottom w:val="none" w:sz="0" w:space="0" w:color="auto"/>
        <w:right w:val="none" w:sz="0" w:space="0" w:color="auto"/>
      </w:divBdr>
    </w:div>
    <w:div w:id="1389036698">
      <w:bodyDiv w:val="1"/>
      <w:marLeft w:val="0"/>
      <w:marRight w:val="0"/>
      <w:marTop w:val="0"/>
      <w:marBottom w:val="0"/>
      <w:divBdr>
        <w:top w:val="none" w:sz="0" w:space="0" w:color="auto"/>
        <w:left w:val="none" w:sz="0" w:space="0" w:color="auto"/>
        <w:bottom w:val="none" w:sz="0" w:space="0" w:color="auto"/>
        <w:right w:val="none" w:sz="0" w:space="0" w:color="auto"/>
      </w:divBdr>
    </w:div>
    <w:div w:id="1585258851">
      <w:bodyDiv w:val="1"/>
      <w:marLeft w:val="0"/>
      <w:marRight w:val="0"/>
      <w:marTop w:val="0"/>
      <w:marBottom w:val="0"/>
      <w:divBdr>
        <w:top w:val="none" w:sz="0" w:space="0" w:color="auto"/>
        <w:left w:val="none" w:sz="0" w:space="0" w:color="auto"/>
        <w:bottom w:val="none" w:sz="0" w:space="0" w:color="auto"/>
        <w:right w:val="none" w:sz="0" w:space="0" w:color="auto"/>
      </w:divBdr>
    </w:div>
    <w:div w:id="1775247510">
      <w:bodyDiv w:val="1"/>
      <w:marLeft w:val="0"/>
      <w:marRight w:val="0"/>
      <w:marTop w:val="0"/>
      <w:marBottom w:val="0"/>
      <w:divBdr>
        <w:top w:val="none" w:sz="0" w:space="0" w:color="auto"/>
        <w:left w:val="none" w:sz="0" w:space="0" w:color="auto"/>
        <w:bottom w:val="none" w:sz="0" w:space="0" w:color="auto"/>
        <w:right w:val="none" w:sz="0" w:space="0" w:color="auto"/>
      </w:divBdr>
    </w:div>
    <w:div w:id="178260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31-fr.pdf" TargetMode="External"/><Relationship Id="rId18" Type="http://schemas.openxmlformats.org/officeDocument/2006/relationships/hyperlink" Target="https://www.cbd.int/doc/decisions/np-mop-01/np-mop-01-dec-12-fr.pdf" TargetMode="External"/><Relationship Id="rId26" Type="http://schemas.openxmlformats.org/officeDocument/2006/relationships/hyperlink" Target="https://www.cbd.int/doc/decisions/cop-13/cop-13-dec-26-fr.pdf" TargetMode="External"/><Relationship Id="rId3" Type="http://schemas.openxmlformats.org/officeDocument/2006/relationships/styles" Target="styles.xml"/><Relationship Id="rId21" Type="http://schemas.openxmlformats.org/officeDocument/2006/relationships/hyperlink" Target="https://www.cbd.int/doc/decisions/np-mop-02/np-mop-02-dec-12-fr.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1/cop-11-dec-10-fr.pdf" TargetMode="External"/><Relationship Id="rId17" Type="http://schemas.openxmlformats.org/officeDocument/2006/relationships/hyperlink" Target="https://www.cbd.int/doc/decisions/mop-07/mop-07-dec-09-fr.pdf" TargetMode="External"/><Relationship Id="rId25" Type="http://schemas.openxmlformats.org/officeDocument/2006/relationships/hyperlink" Target="https://www.cbd.int/doc/decisions/np-mop-01/np-mop-01-dec-12-fr.pdf"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decisions/cop-12/cop-12-dec-27-fr.pdf" TargetMode="External"/><Relationship Id="rId20" Type="http://schemas.openxmlformats.org/officeDocument/2006/relationships/hyperlink" Target="https://www.cbd.int/doc/decisions/mop-08/mop-08-dec-10-fr.pdf" TargetMode="External"/><Relationship Id="rId29" Type="http://schemas.openxmlformats.org/officeDocument/2006/relationships/hyperlink" Target="https://www.cbd.int/doc/decisions/np-mop-02/np-mop-02-dec-12-f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www.cbd.int/doc/decisions/mop-07/mop-07-dec-09-fr.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decisions/cop-08/cop-08-dec-10-fr.pdf" TargetMode="External"/><Relationship Id="rId23" Type="http://schemas.openxmlformats.org/officeDocument/2006/relationships/hyperlink" Target="https://www.cbd.int/doc/decisions/cop-12/cop-12-dec-27-fr.pdf" TargetMode="External"/><Relationship Id="rId28" Type="http://schemas.openxmlformats.org/officeDocument/2006/relationships/hyperlink" Target="https://www.cbd.int/doc/decisions/mop-08/mop-08-dec-10-fr.pdf" TargetMode="External"/><Relationship Id="rId10" Type="http://schemas.openxmlformats.org/officeDocument/2006/relationships/image" Target="media/image3.png"/><Relationship Id="rId19" Type="http://schemas.openxmlformats.org/officeDocument/2006/relationships/hyperlink" Target="https://www.cbd.int/doc/decisions/cop-13/cop-13-dec-26-fr.pd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cbd.int/doc/decisions/cop-07/cop-07-dec-30-fr.pdf" TargetMode="External"/><Relationship Id="rId22" Type="http://schemas.openxmlformats.org/officeDocument/2006/relationships/hyperlink" Target="https://www.cbd.int/decision/mop/default.shtml?id=8286" TargetMode="External"/><Relationship Id="rId27" Type="http://schemas.openxmlformats.org/officeDocument/2006/relationships/hyperlink" Target="https://www.cbd.int/doc/decisions/cop-13/cop-13-dec-33-fr.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ch.cbd.int/protocol/decisions/?decisionID=8286" TargetMode="External"/><Relationship Id="rId2" Type="http://schemas.openxmlformats.org/officeDocument/2006/relationships/hyperlink" Target="https://www.cbd.int/meetings/wgri-01" TargetMode="External"/><Relationship Id="rId1" Type="http://schemas.openxmlformats.org/officeDocument/2006/relationships/hyperlink" Target="https://www.cbd.int/doc/c/6ce5/878e/5ffa49887c20c19961fe040a/sbi-02-01-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C16D1CAE4A344423B0F4F04BD3446B31"/>
        <w:category>
          <w:name w:val="General"/>
          <w:gallery w:val="placeholder"/>
        </w:category>
        <w:types>
          <w:type w:val="bbPlcHdr"/>
        </w:types>
        <w:behaviors>
          <w:behavior w:val="content"/>
        </w:behaviors>
        <w:guid w:val="{63F70D3F-43BD-46C5-B512-1C1F3D332B7A}"/>
      </w:docPartPr>
      <w:docPartBody>
        <w:p w:rsidR="002C06C1" w:rsidRDefault="002C06C1">
          <w:r w:rsidRPr="00DC4F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31A3"/>
    <w:rsid w:val="00015BC6"/>
    <w:rsid w:val="00074248"/>
    <w:rsid w:val="00076EB5"/>
    <w:rsid w:val="001A521A"/>
    <w:rsid w:val="001B29AF"/>
    <w:rsid w:val="002317DE"/>
    <w:rsid w:val="00246769"/>
    <w:rsid w:val="0029753A"/>
    <w:rsid w:val="002C06C1"/>
    <w:rsid w:val="002E4449"/>
    <w:rsid w:val="0037757D"/>
    <w:rsid w:val="003918F7"/>
    <w:rsid w:val="003B7D13"/>
    <w:rsid w:val="003D610B"/>
    <w:rsid w:val="00414286"/>
    <w:rsid w:val="004316DF"/>
    <w:rsid w:val="00461806"/>
    <w:rsid w:val="004A69EC"/>
    <w:rsid w:val="004F1373"/>
    <w:rsid w:val="005F35A1"/>
    <w:rsid w:val="00651FB4"/>
    <w:rsid w:val="00662577"/>
    <w:rsid w:val="0073213C"/>
    <w:rsid w:val="007D1B92"/>
    <w:rsid w:val="007E501A"/>
    <w:rsid w:val="0083264A"/>
    <w:rsid w:val="008B5671"/>
    <w:rsid w:val="008C3BD4"/>
    <w:rsid w:val="008F4B77"/>
    <w:rsid w:val="008F5CBB"/>
    <w:rsid w:val="00912116"/>
    <w:rsid w:val="00937BA7"/>
    <w:rsid w:val="00945ECD"/>
    <w:rsid w:val="009B6AFA"/>
    <w:rsid w:val="00A02BF9"/>
    <w:rsid w:val="00A27574"/>
    <w:rsid w:val="00A65D9F"/>
    <w:rsid w:val="00B36C7B"/>
    <w:rsid w:val="00B4458E"/>
    <w:rsid w:val="00B92C65"/>
    <w:rsid w:val="00BB2CFE"/>
    <w:rsid w:val="00CE1B12"/>
    <w:rsid w:val="00D5481D"/>
    <w:rsid w:val="00EC17B5"/>
    <w:rsid w:val="00F21816"/>
    <w:rsid w:val="00F27DD5"/>
    <w:rsid w:val="00FB1EB4"/>
    <w:rsid w:val="00FB5A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C06C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C06C1"/>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D16A-D604-412D-9190-B35047FE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1158</TotalTime>
  <Pages>15</Pages>
  <Words>8016</Words>
  <Characters>45696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EXAMEN DE L'EFFICACITÉ DES PROCESSUS RELEVANT DE LA CONVENTION ET DE SES PROTOCOLES</vt:lpstr>
    </vt:vector>
  </TitlesOfParts>
  <Company>Biodiversity</Company>
  <LinksUpToDate>false</LinksUpToDate>
  <CharactersWithSpaces>53605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L'EFFICACITÉ DES PROCESSUS RELEVANT DE LA CONVENTION ET DE SES PROTOCOLES</dc:title>
  <dc:subject>CBD/SBI/2/16</dc:subject>
  <dc:creator>SCBD</dc:creator>
  <cp:keywords/>
  <dc:description/>
  <cp:lastModifiedBy>--</cp:lastModifiedBy>
  <cp:revision>24</cp:revision>
  <cp:lastPrinted>2018-06-05T19:50:00Z</cp:lastPrinted>
  <dcterms:created xsi:type="dcterms:W3CDTF">2018-06-08T19:32:00Z</dcterms:created>
  <dcterms:modified xsi:type="dcterms:W3CDTF">2018-06-13T16:56:00Z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..CBD/SBI/2/16.31 mai 2018..FRANÇAIS.ORIGINAL : ANGLAIS..ORGANE SUBSIDIAIRE CHARGÉ DE L'APPLICATION</vt:lpwstr>
  </property>
</Properties>
</file>