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28504D" w14:paraId="140D19FD" w14:textId="77777777" w:rsidTr="006732C2">
        <w:trPr>
          <w:trHeight w:val="851"/>
        </w:trPr>
        <w:tc>
          <w:tcPr>
            <w:tcW w:w="465" w:type="pct"/>
            <w:tcBorders>
              <w:bottom w:val="single" w:sz="8" w:space="0" w:color="auto"/>
            </w:tcBorders>
            <w:vAlign w:val="bottom"/>
          </w:tcPr>
          <w:p w14:paraId="09931F0C" w14:textId="799FAB9C" w:rsidR="00A96B21" w:rsidRPr="0028504D" w:rsidRDefault="00A96B21" w:rsidP="006732C2">
            <w:pPr>
              <w:spacing w:after="120"/>
              <w:jc w:val="left"/>
            </w:pPr>
            <w:bookmarkStart w:id="0" w:name="_Hlk137651738"/>
            <w:r w:rsidRPr="0028504D">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77777777" w:rsidR="00A96B21" w:rsidRPr="0028504D" w:rsidRDefault="00A96B21" w:rsidP="006732C2">
            <w:pPr>
              <w:spacing w:after="120"/>
              <w:jc w:val="left"/>
            </w:pPr>
            <w:r w:rsidRPr="0028504D">
              <w:rPr>
                <w:noProof/>
              </w:rPr>
              <w:drawing>
                <wp:inline distT="0" distB="0" distL="0" distR="0" wp14:anchorId="17C26C27" wp14:editId="318D2C90">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197D9DA7" w:rsidR="00A96B21" w:rsidRPr="0028504D" w:rsidRDefault="00A96B21" w:rsidP="00184909">
            <w:pPr>
              <w:spacing w:after="120"/>
              <w:ind w:left="2021"/>
              <w:jc w:val="right"/>
              <w:rPr>
                <w:szCs w:val="22"/>
              </w:rPr>
            </w:pPr>
            <w:r w:rsidRPr="00BB6518">
              <w:rPr>
                <w:sz w:val="40"/>
                <w:szCs w:val="40"/>
              </w:rPr>
              <w:t>CBD</w:t>
            </w:r>
            <w:r w:rsidRPr="0028504D">
              <w:rPr>
                <w:szCs w:val="22"/>
              </w:rPr>
              <w:t>/</w:t>
            </w:r>
            <w:r w:rsidR="00435A96" w:rsidRPr="00BB6518">
              <w:rPr>
                <w:szCs w:val="22"/>
              </w:rPr>
              <w:t>SBSTTA</w:t>
            </w:r>
            <w:r w:rsidR="00435A96" w:rsidRPr="0028504D">
              <w:rPr>
                <w:szCs w:val="22"/>
              </w:rPr>
              <w:t>/2</w:t>
            </w:r>
            <w:r w:rsidR="00184358" w:rsidRPr="0028504D">
              <w:rPr>
                <w:szCs w:val="22"/>
              </w:rPr>
              <w:t>6</w:t>
            </w:r>
            <w:r w:rsidR="006517C7" w:rsidRPr="0028504D">
              <w:rPr>
                <w:szCs w:val="22"/>
              </w:rPr>
              <w:t>/</w:t>
            </w:r>
            <w:r w:rsidR="004E1E56" w:rsidRPr="0028504D">
              <w:rPr>
                <w:szCs w:val="22"/>
              </w:rPr>
              <w:t>3</w:t>
            </w:r>
          </w:p>
        </w:tc>
      </w:tr>
      <w:tr w:rsidR="00A96B21" w:rsidRPr="0028504D" w14:paraId="02BA3E68" w14:textId="77777777" w:rsidTr="006732C2">
        <w:tc>
          <w:tcPr>
            <w:tcW w:w="2297" w:type="pct"/>
            <w:gridSpan w:val="2"/>
            <w:tcBorders>
              <w:top w:val="single" w:sz="8" w:space="0" w:color="auto"/>
              <w:bottom w:val="single" w:sz="12" w:space="0" w:color="auto"/>
            </w:tcBorders>
          </w:tcPr>
          <w:p w14:paraId="55AABF33" w14:textId="77777777" w:rsidR="00A96B21" w:rsidRPr="0028504D" w:rsidRDefault="00A96B21" w:rsidP="006732C2">
            <w:pPr>
              <w:pStyle w:val="Cornernotation"/>
              <w:suppressLineNumbers/>
              <w:suppressAutoHyphens/>
              <w:spacing w:after="120"/>
              <w:ind w:right="0"/>
            </w:pPr>
            <w:r w:rsidRPr="0028504D">
              <w:rPr>
                <w:b w:val="0"/>
                <w:bCs/>
                <w:noProof/>
              </w:rPr>
              <w:drawing>
                <wp:inline distT="0" distB="0" distL="0" distR="0" wp14:anchorId="77CCCC44" wp14:editId="06C535AE">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275DB86" w14:textId="77777777" w:rsidR="00A96B21" w:rsidRPr="0028504D" w:rsidRDefault="00A96B21" w:rsidP="00BB6518">
            <w:pPr>
              <w:spacing w:before="0"/>
              <w:ind w:left="2584"/>
              <w:rPr>
                <w:sz w:val="22"/>
                <w:szCs w:val="22"/>
              </w:rPr>
            </w:pPr>
            <w:r w:rsidRPr="0028504D">
              <w:rPr>
                <w:sz w:val="22"/>
                <w:szCs w:val="22"/>
              </w:rPr>
              <w:t>Distr.: General</w:t>
            </w:r>
          </w:p>
          <w:p w14:paraId="3D72A235" w14:textId="526BB8E9" w:rsidR="00A96B21" w:rsidRPr="0028504D" w:rsidRDefault="002D4C0A" w:rsidP="00BB6518">
            <w:pPr>
              <w:spacing w:before="0"/>
              <w:ind w:left="2584"/>
              <w:rPr>
                <w:sz w:val="22"/>
                <w:szCs w:val="22"/>
              </w:rPr>
            </w:pPr>
            <w:r w:rsidRPr="0028504D">
              <w:rPr>
                <w:sz w:val="22"/>
                <w:szCs w:val="22"/>
              </w:rPr>
              <w:t>7 April 2024</w:t>
            </w:r>
          </w:p>
          <w:p w14:paraId="51C4CCEA" w14:textId="77777777" w:rsidR="00D31E91" w:rsidRPr="0028504D" w:rsidRDefault="00D31E91" w:rsidP="00BB6518">
            <w:pPr>
              <w:spacing w:before="0"/>
              <w:ind w:left="2584"/>
              <w:rPr>
                <w:sz w:val="22"/>
                <w:szCs w:val="22"/>
              </w:rPr>
            </w:pPr>
          </w:p>
          <w:p w14:paraId="71C5A29E" w14:textId="77777777" w:rsidR="00A96B21" w:rsidRPr="0028504D" w:rsidRDefault="00A96B21" w:rsidP="00BB6518">
            <w:pPr>
              <w:spacing w:before="0"/>
              <w:ind w:left="2584"/>
              <w:rPr>
                <w:sz w:val="22"/>
                <w:szCs w:val="22"/>
              </w:rPr>
            </w:pPr>
            <w:r w:rsidRPr="0028504D">
              <w:rPr>
                <w:sz w:val="22"/>
                <w:szCs w:val="22"/>
              </w:rPr>
              <w:t>Original: English</w:t>
            </w:r>
          </w:p>
          <w:p w14:paraId="45FC7FA9" w14:textId="77777777" w:rsidR="00A96B21" w:rsidRPr="0028504D" w:rsidRDefault="00A96B21" w:rsidP="006732C2"/>
        </w:tc>
      </w:tr>
    </w:tbl>
    <w:p w14:paraId="3DF8BE40" w14:textId="77777777" w:rsidR="00874541" w:rsidRPr="00BB6518" w:rsidRDefault="00BF60B0" w:rsidP="00BB6518">
      <w:pPr>
        <w:pStyle w:val="Cornernotation"/>
        <w:spacing w:before="0"/>
        <w:ind w:right="5249"/>
        <w:rPr>
          <w:bCs/>
        </w:rPr>
      </w:pPr>
      <w:r w:rsidRPr="00BB6518">
        <w:rPr>
          <w:bCs/>
        </w:rPr>
        <w:t>Subsidiary Body on Scientific, Technical and Technological Advice</w:t>
      </w:r>
    </w:p>
    <w:p w14:paraId="0AA76603" w14:textId="4660A4FD" w:rsidR="00A96B21" w:rsidRPr="0028504D" w:rsidRDefault="00D163F5" w:rsidP="00BB6518">
      <w:pPr>
        <w:pStyle w:val="Cornernotation"/>
        <w:spacing w:before="0"/>
        <w:rPr>
          <w:bCs/>
          <w:sz w:val="22"/>
          <w:szCs w:val="22"/>
        </w:rPr>
      </w:pPr>
      <w:r w:rsidRPr="0028504D">
        <w:rPr>
          <w:bCs/>
          <w:sz w:val="22"/>
          <w:szCs w:val="22"/>
        </w:rPr>
        <w:t>Twenty-</w:t>
      </w:r>
      <w:r w:rsidR="00D31E91" w:rsidRPr="0028504D">
        <w:rPr>
          <w:bCs/>
          <w:sz w:val="22"/>
          <w:szCs w:val="22"/>
        </w:rPr>
        <w:t>sixth</w:t>
      </w:r>
      <w:r w:rsidRPr="0028504D">
        <w:rPr>
          <w:bCs/>
        </w:rPr>
        <w:t xml:space="preserve"> </w:t>
      </w:r>
      <w:r w:rsidR="00A96B21" w:rsidRPr="0028504D">
        <w:rPr>
          <w:bCs/>
          <w:sz w:val="22"/>
          <w:szCs w:val="22"/>
        </w:rPr>
        <w:t xml:space="preserve">meeting </w:t>
      </w:r>
    </w:p>
    <w:p w14:paraId="53013384" w14:textId="391D7CA4" w:rsidR="00A96B21" w:rsidRPr="0028504D" w:rsidRDefault="00435A96" w:rsidP="00BB6518">
      <w:pPr>
        <w:pStyle w:val="Venuedate"/>
        <w:spacing w:before="0"/>
      </w:pPr>
      <w:r w:rsidRPr="0028504D">
        <w:t xml:space="preserve">Nairobi, </w:t>
      </w:r>
      <w:r w:rsidR="00D31E91" w:rsidRPr="0028504D">
        <w:t>13</w:t>
      </w:r>
      <w:r w:rsidR="00CE5BB4" w:rsidRPr="0028504D">
        <w:t>–</w:t>
      </w:r>
      <w:r w:rsidR="00D31E91" w:rsidRPr="0028504D">
        <w:t>18</w:t>
      </w:r>
      <w:r w:rsidR="00E414EE" w:rsidRPr="0028504D">
        <w:t xml:space="preserve"> </w:t>
      </w:r>
      <w:r w:rsidR="00D31E91" w:rsidRPr="0028504D">
        <w:t xml:space="preserve">May </w:t>
      </w:r>
      <w:r w:rsidR="384EC7D4" w:rsidRPr="00BB6518">
        <w:t>202</w:t>
      </w:r>
      <w:r w:rsidR="078B368F" w:rsidRPr="00BB6518">
        <w:t>4</w:t>
      </w:r>
    </w:p>
    <w:p w14:paraId="70223228" w14:textId="6FC918C4" w:rsidR="00A96B21" w:rsidRPr="0028504D" w:rsidRDefault="00A96B21" w:rsidP="00CE5BB4">
      <w:pPr>
        <w:pStyle w:val="Cornernotation-Item"/>
        <w:spacing w:before="0"/>
        <w:rPr>
          <w:b w:val="0"/>
          <w:bCs w:val="0"/>
        </w:rPr>
      </w:pPr>
      <w:r w:rsidRPr="0028504D">
        <w:rPr>
          <w:b w:val="0"/>
          <w:bCs w:val="0"/>
        </w:rPr>
        <w:t>Item</w:t>
      </w:r>
      <w:r w:rsidRPr="00BB6518">
        <w:rPr>
          <w:b w:val="0"/>
          <w:bCs w:val="0"/>
        </w:rPr>
        <w:t xml:space="preserve"> </w:t>
      </w:r>
      <w:r w:rsidR="000352B3" w:rsidRPr="00BB6518">
        <w:rPr>
          <w:b w:val="0"/>
          <w:bCs w:val="0"/>
        </w:rPr>
        <w:t>4</w:t>
      </w:r>
      <w:r w:rsidR="00D31E91" w:rsidRPr="00BB6518">
        <w:rPr>
          <w:b w:val="0"/>
          <w:bCs w:val="0"/>
        </w:rPr>
        <w:t xml:space="preserve"> </w:t>
      </w:r>
      <w:r w:rsidRPr="00BB6518">
        <w:rPr>
          <w:b w:val="0"/>
          <w:bCs w:val="0"/>
        </w:rPr>
        <w:t>o</w:t>
      </w:r>
      <w:r w:rsidRPr="0028504D">
        <w:rPr>
          <w:b w:val="0"/>
          <w:bCs w:val="0"/>
        </w:rPr>
        <w:t>f the provisional agenda</w:t>
      </w:r>
      <w:r w:rsidRPr="00BB6518">
        <w:rPr>
          <w:rStyle w:val="FootnoteReference"/>
          <w:b w:val="0"/>
          <w:bCs w:val="0"/>
        </w:rPr>
        <w:footnoteReference w:customMarkFollows="1" w:id="2"/>
        <w:t>*</w:t>
      </w:r>
    </w:p>
    <w:p w14:paraId="79F21FF9" w14:textId="5281AB65" w:rsidR="002D4C0A" w:rsidRPr="00BB6518" w:rsidRDefault="00036355" w:rsidP="00BB6518">
      <w:pPr>
        <w:pStyle w:val="Cornernotation-Item"/>
        <w:spacing w:before="0"/>
        <w:ind w:right="5107"/>
      </w:pPr>
      <w:r w:rsidRPr="00BB6518">
        <w:t>Scientific and technical needs to support the implementation of the Kunming-Montreal Global Biodiversity Framework</w:t>
      </w:r>
    </w:p>
    <w:bookmarkEnd w:id="0"/>
    <w:p w14:paraId="3196A869" w14:textId="6E1FA522" w:rsidR="000352B3" w:rsidRPr="0028504D" w:rsidRDefault="000352B3" w:rsidP="000352B3">
      <w:pPr>
        <w:pStyle w:val="Subtitle"/>
        <w:spacing w:after="120"/>
        <w:ind w:left="567"/>
        <w:jc w:val="left"/>
        <w:rPr>
          <w:rFonts w:eastAsiaTheme="majorEastAsia" w:cs="Times New Roman"/>
          <w:bCs/>
          <w:color w:val="auto"/>
          <w:spacing w:val="5"/>
          <w:kern w:val="28"/>
          <w:sz w:val="28"/>
          <w:szCs w:val="28"/>
          <w14:ligatures w14:val="standardContextual"/>
        </w:rPr>
      </w:pPr>
      <w:r w:rsidRPr="0028504D">
        <w:rPr>
          <w:rFonts w:eastAsiaTheme="majorEastAsia" w:cs="Times New Roman"/>
          <w:bCs/>
          <w:color w:val="auto"/>
          <w:spacing w:val="5"/>
          <w:kern w:val="28"/>
          <w:sz w:val="28"/>
          <w:szCs w:val="28"/>
          <w14:ligatures w14:val="standardContextual"/>
        </w:rPr>
        <w:t xml:space="preserve">Scientific and technical needs to support the implementation of the </w:t>
      </w:r>
      <w:r w:rsidRPr="00BB6518">
        <w:rPr>
          <w:rFonts w:eastAsiaTheme="majorEastAsia" w:cs="Times New Roman"/>
          <w:bCs/>
          <w:color w:val="auto"/>
          <w:spacing w:val="5"/>
          <w:kern w:val="28"/>
          <w:sz w:val="28"/>
          <w:szCs w:val="28"/>
          <w14:ligatures w14:val="standardContextual"/>
        </w:rPr>
        <w:t>Kunming-Montreal Global Biodiversity Framework</w:t>
      </w:r>
      <w:r w:rsidR="0059272C">
        <w:rPr>
          <w:rStyle w:val="FootnoteReference"/>
          <w:rFonts w:eastAsiaTheme="majorEastAsia" w:cs="Times New Roman"/>
          <w:bCs/>
          <w:color w:val="auto"/>
          <w:spacing w:val="5"/>
          <w:kern w:val="28"/>
          <w:sz w:val="28"/>
          <w:szCs w:val="28"/>
          <w14:ligatures w14:val="standardContextual"/>
        </w:rPr>
        <w:footnoteReference w:customMarkFollows="1" w:id="3"/>
        <w:t>**</w:t>
      </w:r>
    </w:p>
    <w:p w14:paraId="1CABD808" w14:textId="76082594" w:rsidR="00B051CA" w:rsidRPr="0028504D" w:rsidRDefault="00A96B21" w:rsidP="000352B3">
      <w:pPr>
        <w:pStyle w:val="Subtitle"/>
        <w:spacing w:after="120"/>
        <w:ind w:left="567"/>
        <w:jc w:val="left"/>
        <w:rPr>
          <w:rFonts w:ascii="Times New Roman" w:hAnsi="Times New Roman" w:cs="Times New Roman"/>
          <w:color w:val="auto"/>
        </w:rPr>
      </w:pPr>
      <w:r w:rsidRPr="0028504D">
        <w:rPr>
          <w:rFonts w:ascii="Times New Roman" w:hAnsi="Times New Roman" w:cs="Times New Roman"/>
          <w:color w:val="auto"/>
        </w:rPr>
        <w:t>Note by the Secretariat</w:t>
      </w:r>
    </w:p>
    <w:p w14:paraId="029A735C" w14:textId="6A4B8945" w:rsidR="00B051CA" w:rsidRPr="0028504D" w:rsidRDefault="00B051CA" w:rsidP="00BB6518">
      <w:pPr>
        <w:pStyle w:val="Heading1"/>
        <w:ind w:left="567" w:hanging="567"/>
        <w:rPr>
          <w:lang w:val="en-GB"/>
        </w:rPr>
      </w:pPr>
      <w:r w:rsidRPr="0028504D">
        <w:rPr>
          <w:lang w:val="en-GB"/>
        </w:rPr>
        <w:t>Introduction</w:t>
      </w:r>
    </w:p>
    <w:p w14:paraId="000BF443" w14:textId="4B694F79" w:rsidR="004A3BD3" w:rsidRPr="0028504D" w:rsidRDefault="00F32DAE" w:rsidP="00BB6518">
      <w:pPr>
        <w:pStyle w:val="Para10"/>
      </w:pPr>
      <w:r w:rsidRPr="0028504D">
        <w:t xml:space="preserve">In </w:t>
      </w:r>
      <w:r w:rsidR="00A32F91" w:rsidRPr="0028504D">
        <w:t>its</w:t>
      </w:r>
      <w:r w:rsidRPr="0028504D">
        <w:t xml:space="preserve"> </w:t>
      </w:r>
      <w:r w:rsidR="00CB3907" w:rsidRPr="0028504D">
        <w:t xml:space="preserve">decision </w:t>
      </w:r>
      <w:hyperlink r:id="rId14" w:history="1">
        <w:r w:rsidR="00CB3907" w:rsidRPr="00BB6518">
          <w:rPr>
            <w:rStyle w:val="Hyperlink"/>
          </w:rPr>
          <w:t>15/4</w:t>
        </w:r>
      </w:hyperlink>
      <w:r w:rsidRPr="0028504D">
        <w:t xml:space="preserve">, the Conference of the Parties </w:t>
      </w:r>
      <w:r w:rsidR="002D7251" w:rsidRPr="0028504D">
        <w:t xml:space="preserve">decided that the </w:t>
      </w:r>
      <w:r w:rsidR="00CB3907" w:rsidRPr="00BB6518">
        <w:t>Kunming-Montreal Global Biodiversity Framework</w:t>
      </w:r>
      <w:r w:rsidR="00CB3907" w:rsidRPr="0028504D">
        <w:t xml:space="preserve"> (the </w:t>
      </w:r>
      <w:r w:rsidR="002D7251" w:rsidRPr="0028504D">
        <w:t>Framework</w:t>
      </w:r>
      <w:r w:rsidR="00CB3907" w:rsidRPr="0028504D">
        <w:t>)</w:t>
      </w:r>
      <w:r w:rsidR="002D7251" w:rsidRPr="0028504D">
        <w:t xml:space="preserve"> would be used as a strategic plan for the implementation of the Convention and its Protocols, its bodies and its Secretariat over the period 2022</w:t>
      </w:r>
      <w:r w:rsidR="005164B5" w:rsidRPr="0028504D">
        <w:t>–</w:t>
      </w:r>
      <w:r w:rsidR="002D7251" w:rsidRPr="0028504D">
        <w:t>2030 and that, in this regard, the Framework should be used to better align and direct the work of the various bodies of the Convention and its Protocols, its Secretariat and its budget</w:t>
      </w:r>
      <w:r w:rsidR="00A32F91" w:rsidRPr="0028504D">
        <w:t xml:space="preserve"> (para. </w:t>
      </w:r>
      <w:r w:rsidR="00311BBC" w:rsidRPr="0028504D">
        <w:t>8</w:t>
      </w:r>
      <w:r w:rsidR="00A32F91" w:rsidRPr="0028504D">
        <w:t>)</w:t>
      </w:r>
      <w:r w:rsidR="002D7251" w:rsidRPr="0028504D">
        <w:t>.</w:t>
      </w:r>
      <w:r w:rsidR="004A3BD3" w:rsidRPr="0028504D">
        <w:t xml:space="preserve"> T</w:t>
      </w:r>
      <w:r w:rsidR="00311BBC" w:rsidRPr="0028504D">
        <w:t xml:space="preserve">he Conference of the Parties </w:t>
      </w:r>
      <w:r w:rsidR="004A3BD3" w:rsidRPr="0028504D">
        <w:t xml:space="preserve">also </w:t>
      </w:r>
      <w:r w:rsidR="00311BBC" w:rsidRPr="0028504D">
        <w:t xml:space="preserve">requested the Executive Secretary </w:t>
      </w:r>
      <w:r w:rsidR="00B92B4D" w:rsidRPr="0028504D">
        <w:rPr>
          <w:kern w:val="22"/>
          <w:szCs w:val="22"/>
        </w:rPr>
        <w:t xml:space="preserve">to </w:t>
      </w:r>
      <w:r w:rsidR="00B92B4D" w:rsidRPr="0028504D">
        <w:rPr>
          <w:szCs w:val="22"/>
        </w:rPr>
        <w:t>conduct a strategic review and analysis of the programmes of work of the Convention in the context of the Framework to facilitate its implementation</w:t>
      </w:r>
      <w:r w:rsidR="004A3BD3" w:rsidRPr="0028504D">
        <w:rPr>
          <w:szCs w:val="22"/>
        </w:rPr>
        <w:t xml:space="preserve"> (para. 9)</w:t>
      </w:r>
      <w:r w:rsidR="00B92B4D" w:rsidRPr="0028504D">
        <w:rPr>
          <w:szCs w:val="22"/>
        </w:rPr>
        <w:t>.</w:t>
      </w:r>
    </w:p>
    <w:p w14:paraId="1B04F3F6" w14:textId="2EF8DCBD" w:rsidR="00AA710C" w:rsidRPr="006C0A02" w:rsidRDefault="00B92B4D" w:rsidP="00BB6518">
      <w:pPr>
        <w:pStyle w:val="Para10"/>
      </w:pPr>
      <w:r>
        <w:t>In response, t</w:t>
      </w:r>
      <w:r w:rsidRPr="00157943">
        <w:t xml:space="preserve">he Executive Secretary prepared </w:t>
      </w:r>
      <w:r w:rsidRPr="00B80674">
        <w:t xml:space="preserve">document </w:t>
      </w:r>
      <w:hyperlink r:id="rId15" w:history="1">
        <w:r w:rsidRPr="00BB6518">
          <w:rPr>
            <w:rStyle w:val="Hyperlink"/>
          </w:rPr>
          <w:t>CBD/SBSTTA/25/4</w:t>
        </w:r>
      </w:hyperlink>
      <w:r w:rsidRPr="00B80674">
        <w:t xml:space="preserve"> </w:t>
      </w:r>
      <w:r w:rsidR="003B7DE2" w:rsidRPr="00B80674">
        <w:t xml:space="preserve">which </w:t>
      </w:r>
      <w:r w:rsidRPr="00B80674">
        <w:t xml:space="preserve">included the results of an initial rapid analysis of the programmes of work of the Convention in the context of the Framework. Information document </w:t>
      </w:r>
      <w:hyperlink r:id="rId16" w:history="1">
        <w:r w:rsidRPr="00BB6518">
          <w:rPr>
            <w:rStyle w:val="Hyperlink"/>
          </w:rPr>
          <w:t>CBD/SBSTTA/25/INF/1</w:t>
        </w:r>
      </w:hyperlink>
      <w:r w:rsidRPr="00B80674">
        <w:t xml:space="preserve"> provided further details of this initial rapid analysis. Based partly on this information, the Subsidiary Body at its twenty-fifth meeting adopted </w:t>
      </w:r>
      <w:r w:rsidRPr="00AE6558">
        <w:t xml:space="preserve">recommendation </w:t>
      </w:r>
      <w:hyperlink r:id="rId17" w:history="1">
        <w:r w:rsidRPr="00BB6518">
          <w:rPr>
            <w:rStyle w:val="Hyperlink"/>
          </w:rPr>
          <w:t>25/3</w:t>
        </w:r>
      </w:hyperlink>
      <w:r w:rsidR="00B80674" w:rsidRPr="00BB6518">
        <w:rPr>
          <w:rStyle w:val="Hyperlink"/>
          <w:color w:val="auto"/>
          <w:u w:val="none"/>
        </w:rPr>
        <w:t>,</w:t>
      </w:r>
      <w:r w:rsidRPr="00AE6558">
        <w:t xml:space="preserve"> </w:t>
      </w:r>
      <w:r w:rsidR="00B80674" w:rsidRPr="00AE6558">
        <w:t>which</w:t>
      </w:r>
      <w:r w:rsidRPr="00AE6558">
        <w:t xml:space="preserve"> in paragraph 2</w:t>
      </w:r>
      <w:r w:rsidR="00853DC4" w:rsidRPr="00AE6558">
        <w:t>,</w:t>
      </w:r>
      <w:r w:rsidRPr="00BB6518">
        <w:t xml:space="preserve"> </w:t>
      </w:r>
      <w:r w:rsidR="00853A7C" w:rsidRPr="00AE6558">
        <w:t>requested the Executive Secretary</w:t>
      </w:r>
      <w:r w:rsidR="00AA710C" w:rsidRPr="00AE6558">
        <w:t xml:space="preserve"> </w:t>
      </w:r>
      <w:r w:rsidR="00853A7C" w:rsidRPr="00AE6558">
        <w:t>to:</w:t>
      </w:r>
      <w:r w:rsidR="000352B3" w:rsidRPr="00AE6558">
        <w:t xml:space="preserve"> </w:t>
      </w:r>
      <w:bookmarkStart w:id="1" w:name="_Hlk148407800"/>
      <w:r w:rsidR="00AA710C" w:rsidRPr="00AE6558">
        <w:t>(a)</w:t>
      </w:r>
      <w:r w:rsidR="000352B3" w:rsidRPr="00AE6558">
        <w:t xml:space="preserve"> </w:t>
      </w:r>
      <w:r w:rsidR="00F06091" w:rsidRPr="00AE6558">
        <w:t>u</w:t>
      </w:r>
      <w:r w:rsidR="00AA710C" w:rsidRPr="00AE6558">
        <w:t>ndertake a comprehensive review and analysis of existing tools and guidance that can support the implementation of the targets and other elements of the Framework</w:t>
      </w:r>
      <w:r w:rsidR="000352B3" w:rsidRPr="00AE6558">
        <w:t>;</w:t>
      </w:r>
      <w:bookmarkEnd w:id="1"/>
      <w:r w:rsidR="000352B3" w:rsidRPr="00AE6558">
        <w:t xml:space="preserve"> </w:t>
      </w:r>
      <w:r w:rsidR="00AA710C" w:rsidRPr="00AE6558">
        <w:t>(b)</w:t>
      </w:r>
      <w:r w:rsidR="000352B3" w:rsidRPr="00AE6558">
        <w:t xml:space="preserve"> </w:t>
      </w:r>
      <w:r w:rsidR="00F06091" w:rsidRPr="00AE6558">
        <w:t>c</w:t>
      </w:r>
      <w:r w:rsidR="00AA710C" w:rsidRPr="00AE6558">
        <w:t xml:space="preserve">ompile views and information </w:t>
      </w:r>
      <w:r w:rsidR="000352B3" w:rsidRPr="00AE6558">
        <w:t xml:space="preserve">submitted </w:t>
      </w:r>
      <w:r w:rsidR="00AA710C" w:rsidRPr="00AE6558">
        <w:t>as inputs for undertaking the comprehensive review and analysis</w:t>
      </w:r>
      <w:r w:rsidR="00E016D6" w:rsidRPr="00AE6558">
        <w:t>;</w:t>
      </w:r>
      <w:r w:rsidR="000352B3" w:rsidRPr="00BB6518">
        <w:t xml:space="preserve"> </w:t>
      </w:r>
      <w:r w:rsidR="00AA710C" w:rsidRPr="00AE6558">
        <w:t>(c</w:t>
      </w:r>
      <w:r w:rsidR="00AA710C" w:rsidRPr="00157943">
        <w:t>)</w:t>
      </w:r>
      <w:bookmarkStart w:id="2" w:name="_Hlk148407854"/>
      <w:r w:rsidR="000352B3" w:rsidRPr="00157943">
        <w:t xml:space="preserve"> </w:t>
      </w:r>
      <w:r w:rsidR="00F06091">
        <w:t>i</w:t>
      </w:r>
      <w:r w:rsidR="00AA710C" w:rsidRPr="00157943">
        <w:t xml:space="preserve">dentify gaps and redundancies with a view to addressing those gaps and potential needs for updates; </w:t>
      </w:r>
      <w:r w:rsidR="00EF2E2C">
        <w:t xml:space="preserve">and </w:t>
      </w:r>
      <w:r w:rsidR="00AA710C" w:rsidRPr="00157943">
        <w:t>(d)</w:t>
      </w:r>
      <w:r w:rsidR="00E016D6" w:rsidRPr="00157943">
        <w:t xml:space="preserve"> </w:t>
      </w:r>
      <w:r w:rsidR="00F06091">
        <w:t>o</w:t>
      </w:r>
      <w:r w:rsidR="00AA710C" w:rsidRPr="00157943">
        <w:t xml:space="preserve">n the </w:t>
      </w:r>
      <w:r w:rsidR="00AA710C" w:rsidRPr="006C0A02">
        <w:t>basis of the analysis carried out</w:t>
      </w:r>
      <w:r w:rsidR="000352B3" w:rsidRPr="006C0A02">
        <w:t xml:space="preserve">, </w:t>
      </w:r>
      <w:r w:rsidR="00AA710C" w:rsidRPr="006C0A02">
        <w:t xml:space="preserve">prepare technical advice, including, if appropriate, recommendations for the adjustment of work undertaken under the Convention, for consideration by the </w:t>
      </w:r>
      <w:r w:rsidR="00AA710C" w:rsidRPr="00BB6518">
        <w:t>Subsidiary Body on Scientific, Technical and Technological Advice</w:t>
      </w:r>
      <w:r w:rsidR="00AA710C" w:rsidRPr="006C0A02">
        <w:t xml:space="preserve"> at its </w:t>
      </w:r>
      <w:r w:rsidR="00AA710C" w:rsidRPr="00BB6518">
        <w:t>twenty</w:t>
      </w:r>
      <w:r w:rsidR="000A4257" w:rsidRPr="00BB6518">
        <w:t>-</w:t>
      </w:r>
      <w:r w:rsidR="00AA710C" w:rsidRPr="006C0A02">
        <w:t>sixth meeting</w:t>
      </w:r>
      <w:r w:rsidR="00AA710C" w:rsidRPr="00BB6518">
        <w:t xml:space="preserve"> and</w:t>
      </w:r>
      <w:r w:rsidR="00AA710C" w:rsidRPr="006C0A02">
        <w:t xml:space="preserve"> the Subsidiary Body on Implementation at its fourth meeting, as appropriate</w:t>
      </w:r>
      <w:r w:rsidR="00AA710C" w:rsidRPr="00BB6518">
        <w:t>, and</w:t>
      </w:r>
      <w:r w:rsidR="00AA710C" w:rsidRPr="006C0A02">
        <w:t xml:space="preserve"> subsequent consideration by the Conference of the Parties at its sixteenth meeting; such advice may include new guidance and tools to address gaps or updates, as needed</w:t>
      </w:r>
      <w:bookmarkStart w:id="3" w:name="_Hlk148408189"/>
      <w:bookmarkEnd w:id="2"/>
      <w:r w:rsidR="006A3715" w:rsidRPr="006C0A02">
        <w:t xml:space="preserve">. </w:t>
      </w:r>
    </w:p>
    <w:bookmarkEnd w:id="3"/>
    <w:p w14:paraId="57200C90" w14:textId="3FDA67BF" w:rsidR="00EF2E2C" w:rsidRPr="00FD0CCC" w:rsidRDefault="00593255" w:rsidP="00BB6518">
      <w:pPr>
        <w:pStyle w:val="Para10"/>
      </w:pPr>
      <w:r w:rsidRPr="00675433">
        <w:lastRenderedPageBreak/>
        <w:t xml:space="preserve">The current document </w:t>
      </w:r>
      <w:r w:rsidR="004A3BD3" w:rsidRPr="00FD0CCC">
        <w:t>identifies</w:t>
      </w:r>
      <w:r w:rsidR="00E016D6" w:rsidRPr="00FD0CCC">
        <w:t xml:space="preserve"> </w:t>
      </w:r>
      <w:r w:rsidRPr="00BB6518">
        <w:t>over</w:t>
      </w:r>
      <w:r w:rsidRPr="00FD0CCC">
        <w:t>arching</w:t>
      </w:r>
      <w:r w:rsidR="00E016D6" w:rsidRPr="00FD0CCC">
        <w:t xml:space="preserve"> scientific and technical needs </w:t>
      </w:r>
      <w:r w:rsidRPr="00FD0CCC">
        <w:t>to support implementation of the Framework</w:t>
      </w:r>
      <w:r w:rsidR="004E1E56" w:rsidRPr="00FD0CCC">
        <w:t xml:space="preserve"> and their implications for the work of the Convention</w:t>
      </w:r>
      <w:r w:rsidRPr="00FD0CCC">
        <w:t xml:space="preserve">. </w:t>
      </w:r>
      <w:r w:rsidR="00EF2E2C" w:rsidRPr="00FD0CCC">
        <w:t xml:space="preserve">The full </w:t>
      </w:r>
      <w:r w:rsidR="00B47D68" w:rsidRPr="00FD0CCC">
        <w:t xml:space="preserve">details </w:t>
      </w:r>
      <w:r w:rsidR="00675433" w:rsidRPr="00FD0CCC">
        <w:t xml:space="preserve">of </w:t>
      </w:r>
      <w:r w:rsidR="00EF2E2C" w:rsidRPr="00FD0CCC">
        <w:t xml:space="preserve">the gap and needs analysis for the </w:t>
      </w:r>
      <w:r w:rsidR="00E016D6" w:rsidRPr="00FD0CCC">
        <w:t>Framework</w:t>
      </w:r>
      <w:r w:rsidR="00EF2E2C" w:rsidRPr="00FD0CCC">
        <w:t xml:space="preserve"> </w:t>
      </w:r>
      <w:r w:rsidR="004E1E56" w:rsidRPr="00FD0CCC">
        <w:t>and how the existing programmes of work and cross-cutting issues support the</w:t>
      </w:r>
      <w:r w:rsidR="00EF2E2C" w:rsidRPr="00FD0CCC">
        <w:t xml:space="preserve"> </w:t>
      </w:r>
      <w:r w:rsidR="00526106" w:rsidRPr="00FD0CCC">
        <w:t>F</w:t>
      </w:r>
      <w:r w:rsidR="00EF2E2C" w:rsidRPr="00FD0CCC">
        <w:t xml:space="preserve">ramework </w:t>
      </w:r>
      <w:r w:rsidR="00B47D68" w:rsidRPr="00FD0CCC">
        <w:t xml:space="preserve">are provided in </w:t>
      </w:r>
      <w:r w:rsidR="00526106" w:rsidRPr="00FD0CCC">
        <w:t>d</w:t>
      </w:r>
      <w:r w:rsidR="00BE5620" w:rsidRPr="00FD0CCC">
        <w:t>ocument</w:t>
      </w:r>
      <w:r w:rsidR="00F06091" w:rsidRPr="00FD0CCC">
        <w:t xml:space="preserve"> </w:t>
      </w:r>
      <w:r w:rsidR="00F06091" w:rsidRPr="00BB6518">
        <w:t>CBD</w:t>
      </w:r>
      <w:r w:rsidR="00F06091" w:rsidRPr="00FD0CCC">
        <w:t>/</w:t>
      </w:r>
      <w:r w:rsidR="00F06091" w:rsidRPr="00BB6518">
        <w:t>SBSTTA</w:t>
      </w:r>
      <w:r w:rsidR="00F06091" w:rsidRPr="00FD0CCC">
        <w:t>/26/</w:t>
      </w:r>
      <w:r w:rsidR="00F06091" w:rsidRPr="00BB6518">
        <w:t>INF</w:t>
      </w:r>
      <w:r w:rsidR="00BF69F8" w:rsidRPr="00FD0CCC">
        <w:t>/15</w:t>
      </w:r>
      <w:r w:rsidR="00B47D68" w:rsidRPr="00FD0CCC">
        <w:t xml:space="preserve">. </w:t>
      </w:r>
    </w:p>
    <w:p w14:paraId="3C339A93" w14:textId="531F9D05" w:rsidR="004A3BD3" w:rsidRPr="004A3BD3" w:rsidRDefault="00EF2E2C" w:rsidP="00BB6518">
      <w:pPr>
        <w:pStyle w:val="Para10"/>
      </w:pPr>
      <w:r w:rsidRPr="00763531">
        <w:t xml:space="preserve">Additional information on gaps and needs </w:t>
      </w:r>
      <w:r w:rsidR="001A373E" w:rsidRPr="00763531">
        <w:t xml:space="preserve">is </w:t>
      </w:r>
      <w:r w:rsidRPr="00763531">
        <w:t xml:space="preserve">being provided </w:t>
      </w:r>
      <w:r w:rsidRPr="004A3D6B">
        <w:t>through</w:t>
      </w:r>
      <w:r w:rsidR="001A373E" w:rsidRPr="004A3D6B">
        <w:t xml:space="preserve"> </w:t>
      </w:r>
      <w:r w:rsidRPr="004A3D6B">
        <w:t>ongoing processe</w:t>
      </w:r>
      <w:r w:rsidRPr="00BB6518">
        <w:t>s</w:t>
      </w:r>
      <w:r w:rsidR="004A3D6B" w:rsidRPr="00BB6518">
        <w:t>,</w:t>
      </w:r>
      <w:r w:rsidRPr="00BB6518">
        <w:t xml:space="preserve"> including</w:t>
      </w:r>
      <w:r w:rsidRPr="004A3D6B">
        <w:t>: (</w:t>
      </w:r>
      <w:r w:rsidR="004A3D6B">
        <w:t>a</w:t>
      </w:r>
      <w:r w:rsidRPr="004A3D6B">
        <w:t>) the strategic review of the programme</w:t>
      </w:r>
      <w:r w:rsidR="00987AD6" w:rsidRPr="004A3D6B">
        <w:t>s</w:t>
      </w:r>
      <w:r w:rsidRPr="004A3D6B">
        <w:t xml:space="preserve"> of work </w:t>
      </w:r>
      <w:r w:rsidR="00F06091" w:rsidRPr="004A3D6B">
        <w:t xml:space="preserve">on </w:t>
      </w:r>
      <w:r w:rsidR="00987AD6" w:rsidRPr="004A3D6B">
        <w:t>m</w:t>
      </w:r>
      <w:r w:rsidR="00F06091" w:rsidRPr="004A3D6B">
        <w:t>arine and</w:t>
      </w:r>
      <w:r w:rsidR="00F06091" w:rsidRPr="00763531">
        <w:t xml:space="preserve"> </w:t>
      </w:r>
      <w:r w:rsidR="00987AD6">
        <w:t>c</w:t>
      </w:r>
      <w:r w:rsidR="00F06091" w:rsidRPr="00763531">
        <w:t xml:space="preserve">oastal </w:t>
      </w:r>
      <w:r w:rsidR="00987AD6" w:rsidRPr="006A2E4C">
        <w:t>b</w:t>
      </w:r>
      <w:r w:rsidR="00F06091" w:rsidRPr="006A2E4C">
        <w:t>iodiversit</w:t>
      </w:r>
      <w:r w:rsidR="00F06091" w:rsidRPr="00BB6518">
        <w:t>y</w:t>
      </w:r>
      <w:r w:rsidR="004A3D6B" w:rsidRPr="00BB6518">
        <w:t>,</w:t>
      </w:r>
      <w:r w:rsidR="00F06091" w:rsidRPr="00BB6518">
        <w:t xml:space="preserve"> </w:t>
      </w:r>
      <w:r w:rsidR="00987AD6" w:rsidRPr="00BB6518">
        <w:t>as well as</w:t>
      </w:r>
      <w:r w:rsidR="00987AD6" w:rsidRPr="006A2E4C">
        <w:t xml:space="preserve"> island biodiversity </w:t>
      </w:r>
      <w:r w:rsidRPr="006A2E4C">
        <w:t>(</w:t>
      </w:r>
      <w:r w:rsidR="00987AD6" w:rsidRPr="006A2E4C">
        <w:t>a</w:t>
      </w:r>
      <w:r w:rsidR="00F06091" w:rsidRPr="006A2E4C">
        <w:t xml:space="preserve">genda </w:t>
      </w:r>
      <w:r w:rsidR="00987AD6" w:rsidRPr="006A2E4C">
        <w:t>i</w:t>
      </w:r>
      <w:r w:rsidR="00F06091" w:rsidRPr="006A2E4C">
        <w:t>tem 8</w:t>
      </w:r>
      <w:r w:rsidRPr="006A2E4C">
        <w:t>); (</w:t>
      </w:r>
      <w:r w:rsidR="004A3D6B" w:rsidRPr="006A2E4C">
        <w:t>b</w:t>
      </w:r>
      <w:r w:rsidRPr="006A2E4C">
        <w:t>) s</w:t>
      </w:r>
      <w:r w:rsidR="00F71ED5" w:rsidRPr="006A2E4C">
        <w:t xml:space="preserve">cientific and technical needs regarding </w:t>
      </w:r>
      <w:r w:rsidR="00820047" w:rsidRPr="006A2E4C">
        <w:t xml:space="preserve">monitoring and indicators for the Framework </w:t>
      </w:r>
      <w:r w:rsidRPr="006A2E4C">
        <w:t>(</w:t>
      </w:r>
      <w:r w:rsidR="00987AD6" w:rsidRPr="006A2E4C">
        <w:t>a</w:t>
      </w:r>
      <w:r w:rsidR="00FC4E6D" w:rsidRPr="006A2E4C">
        <w:t xml:space="preserve">genda </w:t>
      </w:r>
      <w:r w:rsidR="00987AD6" w:rsidRPr="006A2E4C">
        <w:t>i</w:t>
      </w:r>
      <w:r w:rsidR="00FC4E6D" w:rsidRPr="006A2E4C">
        <w:t>tem 3</w:t>
      </w:r>
      <w:r w:rsidRPr="006A2E4C">
        <w:t>);</w:t>
      </w:r>
      <w:r w:rsidR="001A373E" w:rsidRPr="006A2E4C">
        <w:t xml:space="preserve"> </w:t>
      </w:r>
      <w:r w:rsidRPr="006A2E4C">
        <w:t>(</w:t>
      </w:r>
      <w:r w:rsidR="004A3D6B" w:rsidRPr="006A2E4C">
        <w:t>c</w:t>
      </w:r>
      <w:r w:rsidRPr="006A2E4C">
        <w:t xml:space="preserve">) </w:t>
      </w:r>
      <w:r w:rsidR="000B7C43" w:rsidRPr="006A2E4C">
        <w:rPr>
          <w:rFonts w:eastAsiaTheme="minorHAnsi"/>
          <w:lang w:val="en-US"/>
        </w:rPr>
        <w:t xml:space="preserve">paragraph 5 </w:t>
      </w:r>
      <w:r w:rsidR="000B7C43">
        <w:rPr>
          <w:rFonts w:eastAsiaTheme="minorHAnsi"/>
          <w:lang w:val="en-US"/>
        </w:rPr>
        <w:t xml:space="preserve">of </w:t>
      </w:r>
      <w:r w:rsidRPr="006A2E4C">
        <w:rPr>
          <w:rFonts w:eastAsiaTheme="minorHAnsi"/>
          <w:lang w:val="en-US"/>
        </w:rPr>
        <w:t>recommendation 25/7</w:t>
      </w:r>
      <w:r w:rsidR="004A3D6B" w:rsidRPr="006A2E4C">
        <w:rPr>
          <w:rFonts w:eastAsiaTheme="minorHAnsi"/>
          <w:lang w:val="en-US"/>
        </w:rPr>
        <w:t>,</w:t>
      </w:r>
      <w:r w:rsidRPr="006A2E4C">
        <w:rPr>
          <w:rFonts w:eastAsiaTheme="minorHAnsi"/>
          <w:lang w:val="en-US"/>
        </w:rPr>
        <w:t xml:space="preserve"> </w:t>
      </w:r>
      <w:r w:rsidR="002F43EA" w:rsidRPr="006A2E4C">
        <w:rPr>
          <w:rFonts w:eastAsiaTheme="minorHAnsi"/>
          <w:lang w:val="en-US"/>
        </w:rPr>
        <w:t>i</w:t>
      </w:r>
      <w:r w:rsidR="00146679" w:rsidRPr="006A2E4C">
        <w:rPr>
          <w:rFonts w:eastAsiaTheme="minorHAnsi"/>
          <w:lang w:val="en-US"/>
        </w:rPr>
        <w:t>n</w:t>
      </w:r>
      <w:r w:rsidR="00146679">
        <w:rPr>
          <w:rFonts w:eastAsiaTheme="minorHAnsi"/>
          <w:lang w:val="en-US"/>
        </w:rPr>
        <w:t xml:space="preserve"> which the Subsidiary Body</w:t>
      </w:r>
      <w:r w:rsidR="00E569A4" w:rsidRPr="00532698">
        <w:rPr>
          <w:rFonts w:eastAsiaTheme="minorHAnsi"/>
          <w:lang w:val="en-US"/>
        </w:rPr>
        <w:t xml:space="preserve"> </w:t>
      </w:r>
      <w:r w:rsidRPr="00532698">
        <w:rPr>
          <w:rFonts w:eastAsiaTheme="minorHAnsi"/>
          <w:lang w:val="en-US"/>
        </w:rPr>
        <w:t>r</w:t>
      </w:r>
      <w:proofErr w:type="spellStart"/>
      <w:r w:rsidRPr="00EE5BCE">
        <w:t>equest</w:t>
      </w:r>
      <w:r>
        <w:t>ed</w:t>
      </w:r>
      <w:proofErr w:type="spellEnd"/>
      <w:r>
        <w:t xml:space="preserve"> a </w:t>
      </w:r>
      <w:r w:rsidR="001A373E">
        <w:t xml:space="preserve">further gap analysis </w:t>
      </w:r>
      <w:r w:rsidR="00987AD6">
        <w:t xml:space="preserve">to </w:t>
      </w:r>
      <w:r w:rsidRPr="002E0741">
        <w:t xml:space="preserve">identify areas that are not adequately covered by existing guidance </w:t>
      </w:r>
      <w:r w:rsidR="001A373E">
        <w:t xml:space="preserve">for </w:t>
      </w:r>
      <w:r w:rsidR="00987AD6">
        <w:t>s</w:t>
      </w:r>
      <w:r w:rsidR="001A373E">
        <w:t xml:space="preserve">ustainable </w:t>
      </w:r>
      <w:r w:rsidR="00987AD6">
        <w:t>w</w:t>
      </w:r>
      <w:r w:rsidR="001A373E">
        <w:t xml:space="preserve">ildlife </w:t>
      </w:r>
      <w:r w:rsidR="00987AD6">
        <w:t>m</w:t>
      </w:r>
      <w:r w:rsidR="001A373E">
        <w:t xml:space="preserve">anagement (to be submitted to </w:t>
      </w:r>
      <w:r>
        <w:t>the sixteenth meeting of the Conference of the Parties</w:t>
      </w:r>
      <w:r w:rsidR="001A373E">
        <w:t>)</w:t>
      </w:r>
      <w:r w:rsidR="00763531">
        <w:t xml:space="preserve">; </w:t>
      </w:r>
      <w:r w:rsidR="004A3BD3">
        <w:t xml:space="preserve">and </w:t>
      </w:r>
      <w:r w:rsidR="00006538" w:rsidRPr="00AE6558">
        <w:rPr>
          <w:kern w:val="22"/>
          <w:szCs w:val="22"/>
        </w:rPr>
        <w:t>paragraph 8</w:t>
      </w:r>
      <w:r w:rsidR="00006538">
        <w:rPr>
          <w:kern w:val="22"/>
          <w:szCs w:val="22"/>
        </w:rPr>
        <w:t xml:space="preserve"> of </w:t>
      </w:r>
      <w:r w:rsidR="001A373E" w:rsidRPr="00A47505">
        <w:rPr>
          <w:kern w:val="22"/>
          <w:szCs w:val="22"/>
        </w:rPr>
        <w:t>recommendation 25/6</w:t>
      </w:r>
      <w:r w:rsidR="00635FAC" w:rsidRPr="00A47505">
        <w:rPr>
          <w:kern w:val="22"/>
          <w:szCs w:val="22"/>
        </w:rPr>
        <w:t>,</w:t>
      </w:r>
      <w:r w:rsidR="001A373E" w:rsidRPr="00A47505">
        <w:rPr>
          <w:kern w:val="22"/>
          <w:szCs w:val="22"/>
        </w:rPr>
        <w:t xml:space="preserve"> </w:t>
      </w:r>
      <w:r w:rsidR="00FF3538">
        <w:rPr>
          <w:kern w:val="22"/>
          <w:szCs w:val="22"/>
        </w:rPr>
        <w:t xml:space="preserve">in </w:t>
      </w:r>
      <w:r w:rsidR="004A3BD3" w:rsidRPr="00A47505">
        <w:rPr>
          <w:kern w:val="22"/>
          <w:szCs w:val="22"/>
        </w:rPr>
        <w:t>which</w:t>
      </w:r>
      <w:r w:rsidR="00532698" w:rsidRPr="00A47505">
        <w:rPr>
          <w:kern w:val="22"/>
          <w:szCs w:val="22"/>
        </w:rPr>
        <w:t xml:space="preserve"> </w:t>
      </w:r>
      <w:r w:rsidR="00FF3538">
        <w:rPr>
          <w:kern w:val="22"/>
          <w:szCs w:val="22"/>
        </w:rPr>
        <w:t xml:space="preserve">the Subsidiary Body recommended that the Conference of the Parties </w:t>
      </w:r>
      <w:r w:rsidR="001A373E" w:rsidRPr="00A47505">
        <w:rPr>
          <w:kern w:val="22"/>
          <w:szCs w:val="22"/>
        </w:rPr>
        <w:t xml:space="preserve">endorse </w:t>
      </w:r>
      <w:r w:rsidR="00532698" w:rsidRPr="00A47505">
        <w:rPr>
          <w:kern w:val="22"/>
          <w:szCs w:val="22"/>
        </w:rPr>
        <w:t>various</w:t>
      </w:r>
      <w:r w:rsidR="00532698" w:rsidRPr="00532698">
        <w:rPr>
          <w:kern w:val="22"/>
          <w:szCs w:val="22"/>
        </w:rPr>
        <w:t xml:space="preserve"> elements</w:t>
      </w:r>
      <w:r w:rsidR="001A373E" w:rsidRPr="00532698">
        <w:rPr>
          <w:kern w:val="22"/>
          <w:szCs w:val="22"/>
        </w:rPr>
        <w:t xml:space="preserve"> of voluntary guidance developed on invasive alien species to support the implementation of the Framework.</w:t>
      </w:r>
      <w:r w:rsidR="002E7C0F">
        <w:rPr>
          <w:kern w:val="22"/>
          <w:szCs w:val="22"/>
        </w:rPr>
        <w:t xml:space="preserve"> </w:t>
      </w:r>
    </w:p>
    <w:p w14:paraId="3CEBC188" w14:textId="3CED5693" w:rsidR="00FC4E6D" w:rsidRPr="004A3BD3" w:rsidRDefault="00F11091" w:rsidP="00BB6518">
      <w:pPr>
        <w:pStyle w:val="Para10"/>
        <w:rPr>
          <w:rStyle w:val="Para1Char"/>
          <w:snapToGrid/>
          <w:szCs w:val="24"/>
        </w:rPr>
      </w:pPr>
      <w:r w:rsidRPr="00251C72">
        <w:t xml:space="preserve">A number of targets and their associated issues are </w:t>
      </w:r>
      <w:r w:rsidR="002E7C0F" w:rsidRPr="00251C72">
        <w:t xml:space="preserve">also </w:t>
      </w:r>
      <w:r w:rsidRPr="00251C72">
        <w:t xml:space="preserve">supported by either formally established or informal support groups and initiatives (many are listed in </w:t>
      </w:r>
      <w:r w:rsidR="006A2E4C">
        <w:t>d</w:t>
      </w:r>
      <w:r w:rsidRPr="00251C72">
        <w:t xml:space="preserve">ocument </w:t>
      </w:r>
      <w:r w:rsidRPr="00BB6518">
        <w:t>CBD</w:t>
      </w:r>
      <w:r w:rsidRPr="008B703E">
        <w:t>/</w:t>
      </w:r>
      <w:r w:rsidRPr="00BB6518">
        <w:t>SBSTTA</w:t>
      </w:r>
      <w:r w:rsidRPr="008B703E">
        <w:t>/26/</w:t>
      </w:r>
      <w:r w:rsidRPr="00BB6518">
        <w:t>INF</w:t>
      </w:r>
      <w:r w:rsidRPr="008B703E">
        <w:t>/</w:t>
      </w:r>
      <w:r w:rsidR="00BF69F8" w:rsidRPr="008B703E">
        <w:t>15</w:t>
      </w:r>
      <w:r w:rsidRPr="008B703E">
        <w:t>)</w:t>
      </w:r>
      <w:r w:rsidR="002E7C0F" w:rsidRPr="008B703E">
        <w:t xml:space="preserve"> that </w:t>
      </w:r>
      <w:r w:rsidRPr="008B703E">
        <w:t xml:space="preserve">are </w:t>
      </w:r>
      <w:r w:rsidR="002E7C0F" w:rsidRPr="008B703E">
        <w:t xml:space="preserve">well </w:t>
      </w:r>
      <w:r w:rsidRPr="008B703E">
        <w:t xml:space="preserve">placed to identify </w:t>
      </w:r>
      <w:r w:rsidR="00853DC4" w:rsidRPr="008B703E">
        <w:t xml:space="preserve">further </w:t>
      </w:r>
      <w:r w:rsidRPr="008B703E">
        <w:t xml:space="preserve">gaps and fill them. There is also a wealth of guidance on the steps needed to develop, implement and monitor </w:t>
      </w:r>
      <w:r w:rsidR="00121233" w:rsidRPr="008B703E">
        <w:t>n</w:t>
      </w:r>
      <w:r w:rsidRPr="008B703E">
        <w:t xml:space="preserve">ational </w:t>
      </w:r>
      <w:r w:rsidR="00121233" w:rsidRPr="008B703E">
        <w:t>b</w:t>
      </w:r>
      <w:r w:rsidRPr="008B703E">
        <w:t xml:space="preserve">iodiversity </w:t>
      </w:r>
      <w:r w:rsidR="00121233" w:rsidRPr="008B703E">
        <w:t>s</w:t>
      </w:r>
      <w:r w:rsidRPr="008B703E">
        <w:t xml:space="preserve">trategies </w:t>
      </w:r>
      <w:r w:rsidRPr="0062301C">
        <w:t xml:space="preserve">and </w:t>
      </w:r>
      <w:r w:rsidR="00121233" w:rsidRPr="0062301C">
        <w:t>a</w:t>
      </w:r>
      <w:r w:rsidRPr="0062301C">
        <w:t xml:space="preserve">ction </w:t>
      </w:r>
      <w:r w:rsidR="00121233" w:rsidRPr="0062301C">
        <w:t>p</w:t>
      </w:r>
      <w:r w:rsidRPr="0062301C">
        <w:t>lans</w:t>
      </w:r>
      <w:r w:rsidR="008B703E" w:rsidRPr="0062301C">
        <w:t>,</w:t>
      </w:r>
      <w:r w:rsidRPr="0062301C">
        <w:t xml:space="preserve"> which is supported by the </w:t>
      </w:r>
      <w:r w:rsidR="009145D8" w:rsidRPr="0062301C">
        <w:t xml:space="preserve">Enabling Activities Support of the </w:t>
      </w:r>
      <w:r w:rsidRPr="00BB6518">
        <w:t>Global Environment Facility</w:t>
      </w:r>
      <w:r w:rsidRPr="0062301C">
        <w:t xml:space="preserve">, </w:t>
      </w:r>
      <w:r w:rsidRPr="00BB6518">
        <w:t xml:space="preserve">the </w:t>
      </w:r>
      <w:r w:rsidR="00090F7E" w:rsidRPr="0062301C">
        <w:t xml:space="preserve">National </w:t>
      </w:r>
      <w:r w:rsidR="0062301C" w:rsidRPr="0062301C">
        <w:t>B</w:t>
      </w:r>
      <w:r w:rsidR="00090F7E" w:rsidRPr="0062301C">
        <w:t>i</w:t>
      </w:r>
      <w:r w:rsidR="0062301C" w:rsidRPr="0062301C">
        <w:t>odi</w:t>
      </w:r>
      <w:r w:rsidR="00090F7E" w:rsidRPr="0062301C">
        <w:t xml:space="preserve">versity </w:t>
      </w:r>
      <w:r w:rsidR="0062301C" w:rsidRPr="0062301C">
        <w:t>S</w:t>
      </w:r>
      <w:r w:rsidR="00090F7E" w:rsidRPr="0062301C">
        <w:t xml:space="preserve">trategies and </w:t>
      </w:r>
      <w:r w:rsidR="0062301C" w:rsidRPr="0062301C">
        <w:t>A</w:t>
      </w:r>
      <w:r w:rsidR="00090F7E" w:rsidRPr="0062301C">
        <w:t xml:space="preserve">ction </w:t>
      </w:r>
      <w:r w:rsidR="0062301C" w:rsidRPr="0062301C">
        <w:t>P</w:t>
      </w:r>
      <w:r w:rsidR="00090F7E" w:rsidRPr="0062301C">
        <w:t>lans</w:t>
      </w:r>
      <w:r w:rsidR="00090F7E" w:rsidRPr="00BB6518">
        <w:t xml:space="preserve"> (</w:t>
      </w:r>
      <w:r w:rsidRPr="00BB6518">
        <w:t>NBSAP</w:t>
      </w:r>
      <w:r w:rsidR="00090F7E" w:rsidRPr="0062301C">
        <w:t>)</w:t>
      </w:r>
      <w:r w:rsidRPr="0062301C">
        <w:t xml:space="preserve"> Accelerator</w:t>
      </w:r>
      <w:r>
        <w:t xml:space="preserve"> Partnership and others. </w:t>
      </w:r>
      <w:r w:rsidR="00251C72">
        <w:t xml:space="preserve">The </w:t>
      </w:r>
      <w:r w:rsidR="00251C72" w:rsidRPr="006A2F58">
        <w:rPr>
          <w:rStyle w:val="Para1Char"/>
        </w:rPr>
        <w:t xml:space="preserve">long-term strategic </w:t>
      </w:r>
      <w:r w:rsidR="00251C72" w:rsidRPr="008B703E">
        <w:rPr>
          <w:rStyle w:val="Para1Char"/>
        </w:rPr>
        <w:t xml:space="preserve">framework for </w:t>
      </w:r>
      <w:r w:rsidR="00251C72" w:rsidRPr="00BB6518">
        <w:rPr>
          <w:rStyle w:val="Para1Char"/>
        </w:rPr>
        <w:t>capacity</w:t>
      </w:r>
      <w:r w:rsidR="008B703E" w:rsidRPr="00BB6518">
        <w:rPr>
          <w:rStyle w:val="Para1Char"/>
        </w:rPr>
        <w:t>-</w:t>
      </w:r>
      <w:r w:rsidR="00251C72" w:rsidRPr="00BB6518">
        <w:rPr>
          <w:rStyle w:val="Para1Char"/>
        </w:rPr>
        <w:t>building</w:t>
      </w:r>
      <w:r w:rsidR="00251C72" w:rsidRPr="008B703E">
        <w:rPr>
          <w:rStyle w:val="Para1Char"/>
        </w:rPr>
        <w:t xml:space="preserve"> and</w:t>
      </w:r>
      <w:r w:rsidR="00251C72" w:rsidRPr="006A2F58">
        <w:rPr>
          <w:rStyle w:val="Para1Char"/>
        </w:rPr>
        <w:t xml:space="preserve"> development</w:t>
      </w:r>
      <w:r w:rsidR="00251C72">
        <w:rPr>
          <w:rStyle w:val="Para1Char"/>
        </w:rPr>
        <w:t xml:space="preserve">, the </w:t>
      </w:r>
      <w:r w:rsidR="00251C72" w:rsidRPr="00497C1F">
        <w:rPr>
          <w:rStyle w:val="Para1Char"/>
        </w:rPr>
        <w:t>technical and s</w:t>
      </w:r>
      <w:r w:rsidR="00251C72" w:rsidRPr="00786163">
        <w:rPr>
          <w:rStyle w:val="Para1Char"/>
        </w:rPr>
        <w:t>cientific cooperation mechanism and the Informal Advisory Group on Technical and Scientific Cooperation (</w:t>
      </w:r>
      <w:r w:rsidR="00786163" w:rsidRPr="00786163">
        <w:rPr>
          <w:rStyle w:val="Para1Char"/>
        </w:rPr>
        <w:t>d</w:t>
      </w:r>
      <w:r w:rsidR="00251C72" w:rsidRPr="00786163">
        <w:rPr>
          <w:rStyle w:val="Para1Char"/>
        </w:rPr>
        <w:t>ecision 15/8, annexes I, II and II</w:t>
      </w:r>
      <w:r w:rsidR="00786163" w:rsidRPr="00786163">
        <w:rPr>
          <w:rStyle w:val="Para1Char"/>
        </w:rPr>
        <w:t>,</w:t>
      </w:r>
      <w:r w:rsidR="00251C72" w:rsidRPr="00BB6518">
        <w:rPr>
          <w:rStyle w:val="Para1Char"/>
        </w:rPr>
        <w:t xml:space="preserve"> respectively</w:t>
      </w:r>
      <w:r w:rsidR="00251C72" w:rsidRPr="00786163">
        <w:rPr>
          <w:rStyle w:val="Para1Char"/>
        </w:rPr>
        <w:t xml:space="preserve">) can </w:t>
      </w:r>
      <w:r w:rsidR="009145D8" w:rsidRPr="00786163">
        <w:rPr>
          <w:rStyle w:val="Para1Char"/>
        </w:rPr>
        <w:t>provide</w:t>
      </w:r>
      <w:r w:rsidR="00251C72" w:rsidRPr="00786163">
        <w:rPr>
          <w:rStyle w:val="Para1Char"/>
        </w:rPr>
        <w:t xml:space="preserve"> additional sources of </w:t>
      </w:r>
      <w:r w:rsidR="00121233" w:rsidRPr="00786163">
        <w:rPr>
          <w:rStyle w:val="Para1Char"/>
        </w:rPr>
        <w:t xml:space="preserve">identifying </w:t>
      </w:r>
      <w:r w:rsidR="00251C72" w:rsidRPr="00786163">
        <w:rPr>
          <w:rStyle w:val="Para1Char"/>
        </w:rPr>
        <w:t xml:space="preserve">further </w:t>
      </w:r>
      <w:r w:rsidR="00121233" w:rsidRPr="00786163">
        <w:rPr>
          <w:rStyle w:val="Para1Char"/>
        </w:rPr>
        <w:t>scientific and technical needs to support the implementation of the Framework</w:t>
      </w:r>
      <w:r w:rsidR="00251C72" w:rsidRPr="00786163">
        <w:rPr>
          <w:rStyle w:val="Para1Char"/>
        </w:rPr>
        <w:t>.</w:t>
      </w:r>
      <w:r w:rsidR="00251C72">
        <w:rPr>
          <w:rStyle w:val="Para1Char"/>
        </w:rPr>
        <w:t xml:space="preserve"> </w:t>
      </w:r>
    </w:p>
    <w:p w14:paraId="7E7A854E" w14:textId="065025CA" w:rsidR="004A3BD3" w:rsidRPr="002E7C0F" w:rsidRDefault="004A3BD3" w:rsidP="00BB6518">
      <w:pPr>
        <w:pStyle w:val="Para10"/>
      </w:pPr>
      <w:r w:rsidRPr="00B21E8A">
        <w:t>Matters related to the</w:t>
      </w:r>
      <w:r w:rsidRPr="00BB6518">
        <w:t xml:space="preserve"> work programme</w:t>
      </w:r>
      <w:r w:rsidRPr="00B21E8A">
        <w:t xml:space="preserve"> of the </w:t>
      </w:r>
      <w:bookmarkStart w:id="4" w:name="_Hlk163460981"/>
      <w:r w:rsidRPr="00BB6518">
        <w:t>Intergovernmental Science-Policy Platform on Biodiversity and Ecosystem Services</w:t>
      </w:r>
      <w:r w:rsidRPr="00B21E8A">
        <w:t xml:space="preserve"> </w:t>
      </w:r>
      <w:bookmarkEnd w:id="4"/>
      <w:r w:rsidRPr="00B21E8A">
        <w:t>are</w:t>
      </w:r>
      <w:r>
        <w:t xml:space="preserve"> addressed in an addendum to the present document.</w:t>
      </w:r>
      <w:r w:rsidRPr="00571037">
        <w:rPr>
          <w:highlight w:val="yellow"/>
        </w:rPr>
        <w:t xml:space="preserve">  </w:t>
      </w:r>
    </w:p>
    <w:p w14:paraId="222CB351" w14:textId="7F454DC5" w:rsidR="00FC4E6D" w:rsidRPr="00B21E8A" w:rsidRDefault="00FC4E6D" w:rsidP="00252D16">
      <w:pPr>
        <w:pStyle w:val="Heading1"/>
        <w:ind w:left="567" w:hanging="513"/>
      </w:pPr>
      <w:r w:rsidRPr="00157943">
        <w:rPr>
          <w:lang w:val="en-GB"/>
        </w:rPr>
        <w:t xml:space="preserve">Submissions </w:t>
      </w:r>
      <w:r w:rsidRPr="00B21E8A">
        <w:rPr>
          <w:lang w:val="en-GB"/>
        </w:rPr>
        <w:t>in response to notification</w:t>
      </w:r>
      <w:r w:rsidR="00B21E8A" w:rsidRPr="00B21E8A">
        <w:rPr>
          <w:lang w:val="en-GB"/>
        </w:rPr>
        <w:t xml:space="preserve"> No.</w:t>
      </w:r>
      <w:r w:rsidRPr="00B21E8A">
        <w:rPr>
          <w:lang w:val="en-GB"/>
        </w:rPr>
        <w:t xml:space="preserve"> </w:t>
      </w:r>
      <w:r w:rsidRPr="00770613">
        <w:rPr>
          <w:lang w:val="en-GB"/>
        </w:rPr>
        <w:t>2023-120</w:t>
      </w:r>
    </w:p>
    <w:p w14:paraId="7EE893D7" w14:textId="5F6E5C56" w:rsidR="00FC4E6D" w:rsidRPr="00CE4E3E" w:rsidRDefault="00FC4E6D" w:rsidP="00BB6518">
      <w:pPr>
        <w:pStyle w:val="Para10"/>
      </w:pPr>
      <w:r w:rsidRPr="00B21E8A">
        <w:t xml:space="preserve">In response to recommendation </w:t>
      </w:r>
      <w:hyperlink r:id="rId18" w:history="1">
        <w:r w:rsidRPr="00B21E8A">
          <w:rPr>
            <w:rStyle w:val="Hyperlink"/>
            <w:color w:val="auto"/>
            <w:u w:val="none"/>
          </w:rPr>
          <w:t>25/3</w:t>
        </w:r>
      </w:hyperlink>
      <w:r w:rsidR="00B21E8A" w:rsidRPr="00B21E8A">
        <w:rPr>
          <w:rStyle w:val="Hyperlink"/>
          <w:color w:val="auto"/>
          <w:u w:val="none"/>
        </w:rPr>
        <w:t xml:space="preserve"> of the Subsidiary Body</w:t>
      </w:r>
      <w:r w:rsidRPr="00B21E8A">
        <w:t xml:space="preserve">, the Executive Secretary issued notification </w:t>
      </w:r>
      <w:r w:rsidR="00B21E8A" w:rsidRPr="00B21E8A">
        <w:t xml:space="preserve">No. </w:t>
      </w:r>
      <w:hyperlink r:id="rId19" w:history="1">
        <w:r w:rsidRPr="00B21E8A">
          <w:rPr>
            <w:rStyle w:val="Hyperlink"/>
            <w:color w:val="auto"/>
            <w:u w:val="none"/>
          </w:rPr>
          <w:t>202</w:t>
        </w:r>
        <w:r w:rsidRPr="00BB6518">
          <w:rPr>
            <w:rStyle w:val="Hyperlink"/>
            <w:color w:val="auto"/>
            <w:u w:val="none"/>
          </w:rPr>
          <w:t>3-1</w:t>
        </w:r>
        <w:r w:rsidRPr="00B21E8A">
          <w:rPr>
            <w:rStyle w:val="Hyperlink"/>
            <w:color w:val="auto"/>
            <w:u w:val="none"/>
          </w:rPr>
          <w:t>20</w:t>
        </w:r>
      </w:hyperlink>
      <w:r w:rsidRPr="00B21E8A">
        <w:t xml:space="preserve"> </w:t>
      </w:r>
      <w:r w:rsidRPr="00B21E8A">
        <w:rPr>
          <w:rFonts w:eastAsiaTheme="minorHAnsi"/>
        </w:rPr>
        <w:t>inviting submi</w:t>
      </w:r>
      <w:r w:rsidR="00F11091" w:rsidRPr="00B21E8A">
        <w:rPr>
          <w:rFonts w:eastAsiaTheme="minorHAnsi"/>
        </w:rPr>
        <w:t>ssions regarding</w:t>
      </w:r>
      <w:r w:rsidRPr="00B21E8A">
        <w:rPr>
          <w:rFonts w:eastAsiaTheme="minorHAnsi"/>
        </w:rPr>
        <w:t>: (a) i</w:t>
      </w:r>
      <w:r w:rsidRPr="00B21E8A">
        <w:t xml:space="preserve">nformation on existing tools and guidance to </w:t>
      </w:r>
      <w:r w:rsidR="004A3BD3" w:rsidRPr="00B21E8A">
        <w:t>complement</w:t>
      </w:r>
      <w:r w:rsidRPr="00B21E8A">
        <w:t xml:space="preserve"> those identified for each target </w:t>
      </w:r>
      <w:r w:rsidR="004A3BD3" w:rsidRPr="00B21E8A">
        <w:t xml:space="preserve">and already available </w:t>
      </w:r>
      <w:r w:rsidR="00140734" w:rsidRPr="00B21E8A">
        <w:t xml:space="preserve">on </w:t>
      </w:r>
      <w:r w:rsidR="009A32ED" w:rsidRPr="00BB6518">
        <w:t xml:space="preserve">the </w:t>
      </w:r>
      <w:r w:rsidR="009A32ED" w:rsidRPr="00B21E8A">
        <w:t>website</w:t>
      </w:r>
      <w:r w:rsidR="00B21E8A" w:rsidRPr="00B21E8A">
        <w:t xml:space="preserve"> of the Convention;</w:t>
      </w:r>
      <w:r w:rsidR="009A32ED" w:rsidRPr="00BB6518">
        <w:rPr>
          <w:rStyle w:val="FootnoteReference"/>
        </w:rPr>
        <w:footnoteReference w:id="4"/>
      </w:r>
      <w:r w:rsidRPr="00B21E8A">
        <w:t xml:space="preserve"> (b) views regarding gaps and redundancies; and (c) views regarding the adjustment of </w:t>
      </w:r>
      <w:r w:rsidRPr="00CE4E3E">
        <w:t xml:space="preserve">work undertaken under the Convention. </w:t>
      </w:r>
    </w:p>
    <w:p w14:paraId="0270E515" w14:textId="159D6475" w:rsidR="006D6CEE" w:rsidRPr="00F11091" w:rsidRDefault="006A4EBC" w:rsidP="00BB6518">
      <w:pPr>
        <w:pStyle w:val="Para10"/>
      </w:pPr>
      <w:r w:rsidRPr="00CE4E3E">
        <w:t>The Secretariat received 5</w:t>
      </w:r>
      <w:r w:rsidR="00C426E4" w:rsidRPr="00CE4E3E">
        <w:t>0</w:t>
      </w:r>
      <w:r w:rsidRPr="00CE4E3E">
        <w:t xml:space="preserve"> responses to the notification: 10 from Parties</w:t>
      </w:r>
      <w:r w:rsidRPr="00CE4E3E">
        <w:rPr>
          <w:vertAlign w:val="superscript"/>
        </w:rPr>
        <w:footnoteReference w:id="5"/>
      </w:r>
      <w:r w:rsidR="009A32ED" w:rsidRPr="00CE4E3E">
        <w:t xml:space="preserve"> and </w:t>
      </w:r>
      <w:r w:rsidR="00C426E4" w:rsidRPr="00CE4E3E">
        <w:t xml:space="preserve">40 from </w:t>
      </w:r>
      <w:r w:rsidR="00561C61" w:rsidRPr="00CE4E3E">
        <w:t>39 relevant</w:t>
      </w:r>
      <w:r w:rsidR="009A32ED" w:rsidRPr="00CE4E3E">
        <w:t xml:space="preserve"> </w:t>
      </w:r>
      <w:r w:rsidR="009A32ED" w:rsidRPr="00BB6518">
        <w:t>organi</w:t>
      </w:r>
      <w:r w:rsidR="00B21E8A" w:rsidRPr="00BB6518">
        <w:t>z</w:t>
      </w:r>
      <w:r w:rsidR="009A32ED" w:rsidRPr="00BB6518">
        <w:t>ation</w:t>
      </w:r>
      <w:r w:rsidR="009A32ED" w:rsidRPr="00CE4E3E">
        <w:t xml:space="preserve">s and </w:t>
      </w:r>
      <w:r w:rsidRPr="00CE4E3E">
        <w:t>stakeholders. A total of over 1,</w:t>
      </w:r>
      <w:r w:rsidR="009A32ED" w:rsidRPr="00CE4E3E">
        <w:t>2</w:t>
      </w:r>
      <w:r w:rsidRPr="00CE4E3E">
        <w:t>00 individual tools and guidanc</w:t>
      </w:r>
      <w:r w:rsidRPr="00BB6518">
        <w:t>e</w:t>
      </w:r>
      <w:r w:rsidR="00B21E8A" w:rsidRPr="00BB6518">
        <w:t>,</w:t>
      </w:r>
      <w:r w:rsidRPr="00BB6518">
        <w:t xml:space="preserve"> including</w:t>
      </w:r>
      <w:r w:rsidRPr="00CE4E3E">
        <w:t xml:space="preserve"> policy tools, regulatory and legislative measures</w:t>
      </w:r>
      <w:r w:rsidRPr="00BB6518">
        <w:t>, and</w:t>
      </w:r>
      <w:r w:rsidRPr="00CE4E3E">
        <w:t xml:space="preserve"> individual technical and scientific resources and databases were referenced. </w:t>
      </w:r>
      <w:r w:rsidR="00140734" w:rsidRPr="00CE4E3E">
        <w:t xml:space="preserve">These are listed in document </w:t>
      </w:r>
      <w:r w:rsidR="00140734" w:rsidRPr="00BB6518">
        <w:t>CBD</w:t>
      </w:r>
      <w:r w:rsidR="00140734" w:rsidRPr="00CE4E3E">
        <w:t>/</w:t>
      </w:r>
      <w:r w:rsidR="00140734" w:rsidRPr="00BB6518">
        <w:t>SBSTTA</w:t>
      </w:r>
      <w:r w:rsidR="00140734" w:rsidRPr="00CE4E3E">
        <w:t>/26/</w:t>
      </w:r>
      <w:r w:rsidR="00140734" w:rsidRPr="00BB6518">
        <w:t>INF</w:t>
      </w:r>
      <w:r w:rsidR="00140734" w:rsidRPr="00CE4E3E">
        <w:t>/</w:t>
      </w:r>
      <w:r w:rsidR="00BF69F8" w:rsidRPr="00CE4E3E">
        <w:t>16</w:t>
      </w:r>
      <w:r w:rsidR="00140734" w:rsidRPr="00CE4E3E">
        <w:t xml:space="preserve">. </w:t>
      </w:r>
      <w:r w:rsidR="00675433" w:rsidRPr="00CE4E3E">
        <w:t xml:space="preserve">This </w:t>
      </w:r>
      <w:r w:rsidRPr="00CE4E3E">
        <w:t xml:space="preserve">information is being used to update the </w:t>
      </w:r>
      <w:r w:rsidR="009145D8" w:rsidRPr="00CE4E3E">
        <w:t xml:space="preserve">information on </w:t>
      </w:r>
      <w:r w:rsidR="009145D8" w:rsidRPr="00BB6518">
        <w:t xml:space="preserve">the </w:t>
      </w:r>
      <w:r w:rsidR="009A32ED" w:rsidRPr="00CE4E3E">
        <w:t>website</w:t>
      </w:r>
      <w:r w:rsidR="000F662E" w:rsidRPr="00CE4E3E">
        <w:t xml:space="preserve"> of the Convention.</w:t>
      </w:r>
      <w:r w:rsidRPr="00CE4E3E">
        <w:t xml:space="preserve"> Six Parties, one secretariat of another biodiversity-related </w:t>
      </w:r>
      <w:r w:rsidRPr="00BB6518">
        <w:t>convention</w:t>
      </w:r>
      <w:r w:rsidRPr="00CE4E3E">
        <w:t xml:space="preserve"> and one observer provided information on gaps and priorities. None referenced redundancies</w:t>
      </w:r>
      <w:r w:rsidR="00C1473C" w:rsidRPr="00CE4E3E">
        <w:t>, while</w:t>
      </w:r>
      <w:r w:rsidRPr="00CE4E3E">
        <w:t xml:space="preserve"> one Party noted the absence of reference to particular </w:t>
      </w:r>
      <w:r w:rsidR="00C1473C" w:rsidRPr="00CE4E3E">
        <w:t xml:space="preserve">biomes </w:t>
      </w:r>
      <w:r w:rsidR="00140734" w:rsidRPr="00CE4E3E">
        <w:t xml:space="preserve">and cross-cutting issues in the Framework </w:t>
      </w:r>
      <w:r w:rsidR="00C1473C" w:rsidRPr="00CE4E3E">
        <w:t>as a basis for necessary adjustments of relevant programmes of work or work areas in cross-cutting nature</w:t>
      </w:r>
      <w:r w:rsidRPr="00CE4E3E">
        <w:t xml:space="preserve">. Submissions overwhelmingly </w:t>
      </w:r>
      <w:r w:rsidR="000A5058" w:rsidRPr="00CE4E3E">
        <w:t xml:space="preserve">provided additional tools and guidance </w:t>
      </w:r>
      <w:r w:rsidR="00FF7C02" w:rsidRPr="00CE4E3E">
        <w:t xml:space="preserve">that </w:t>
      </w:r>
      <w:r w:rsidRPr="00CE4E3E">
        <w:t xml:space="preserve">referred to the </w:t>
      </w:r>
      <w:r w:rsidR="00140734" w:rsidRPr="00CE4E3E">
        <w:t>t</w:t>
      </w:r>
      <w:r w:rsidRPr="00CE4E3E">
        <w:t>argets of the Framework</w:t>
      </w:r>
      <w:r w:rsidRPr="00BB6518">
        <w:t>, and</w:t>
      </w:r>
      <w:r w:rsidRPr="00CE4E3E">
        <w:t xml:space="preserve"> in some cases to elements of the </w:t>
      </w:r>
      <w:r w:rsidR="00140734" w:rsidRPr="00CE4E3E">
        <w:t>t</w:t>
      </w:r>
      <w:r w:rsidRPr="00CE4E3E">
        <w:t xml:space="preserve">argets, with most referring to guidance for particular biomes. Very few referred to </w:t>
      </w:r>
      <w:r w:rsidR="004A3BD3" w:rsidRPr="00CE4E3E">
        <w:t xml:space="preserve">the </w:t>
      </w:r>
      <w:r w:rsidR="00E47459" w:rsidRPr="00CE4E3E">
        <w:t>c</w:t>
      </w:r>
      <w:r w:rsidR="004A3BD3" w:rsidRPr="00CE4E3E">
        <w:t>ross-cutting considerations of Section C or other sections of the</w:t>
      </w:r>
      <w:r w:rsidRPr="00CE4E3E">
        <w:t xml:space="preserve"> Framework </w:t>
      </w:r>
      <w:r w:rsidRPr="00CE4E3E">
        <w:lastRenderedPageBreak/>
        <w:t>beyond the</w:t>
      </w:r>
      <w:r w:rsidR="004A3BD3" w:rsidRPr="00CE4E3E">
        <w:t xml:space="preserve"> t</w:t>
      </w:r>
      <w:r w:rsidRPr="00CE4E3E">
        <w:t>argets.</w:t>
      </w:r>
      <w:r w:rsidRPr="00F11091">
        <w:t xml:space="preserve"> </w:t>
      </w:r>
      <w:r w:rsidR="00AE5B1F" w:rsidRPr="00F11091">
        <w:t xml:space="preserve">Some </w:t>
      </w:r>
      <w:r w:rsidRPr="00F11091">
        <w:t>suggestions regarding the adjustment of work undertaken under the Convention were identified by two Parti</w:t>
      </w:r>
      <w:r w:rsidRPr="004501AE">
        <w:t>es</w:t>
      </w:r>
      <w:r w:rsidR="004501AE" w:rsidRPr="004501AE">
        <w:t>.</w:t>
      </w:r>
      <w:r w:rsidRPr="00BB6518">
        <w:rPr>
          <w:vertAlign w:val="superscript"/>
        </w:rPr>
        <w:footnoteReference w:id="6"/>
      </w:r>
      <w:r w:rsidRPr="004501AE">
        <w:t xml:space="preserve"> </w:t>
      </w:r>
      <w:r w:rsidR="00115FB7" w:rsidRPr="004501AE">
        <w:t>Only</w:t>
      </w:r>
      <w:r w:rsidR="00115FB7">
        <w:t xml:space="preserve"> one of the submissions provided specific suggestions for the adjustment of the multi-year programme of work of the Conference of the Parties. </w:t>
      </w:r>
    </w:p>
    <w:p w14:paraId="10EC6EDF" w14:textId="27316855" w:rsidR="00FC4E6D" w:rsidRPr="002B28FE" w:rsidRDefault="004A3BD3" w:rsidP="00BB6518">
      <w:pPr>
        <w:pStyle w:val="Heading1"/>
        <w:ind w:left="567" w:hanging="567"/>
        <w:rPr>
          <w:lang w:val="en-GB"/>
        </w:rPr>
      </w:pPr>
      <w:r w:rsidRPr="002B28FE">
        <w:rPr>
          <w:lang w:val="en-GB"/>
        </w:rPr>
        <w:t>General f</w:t>
      </w:r>
      <w:r w:rsidR="00FC4E6D" w:rsidRPr="002B28FE">
        <w:rPr>
          <w:lang w:val="en-GB"/>
        </w:rPr>
        <w:t>indings regarding scientific and technical tools and guidanc</w:t>
      </w:r>
      <w:r w:rsidR="00FC4E6D" w:rsidRPr="00BB6518">
        <w:rPr>
          <w:lang w:val="en-GB"/>
        </w:rPr>
        <w:t>e</w:t>
      </w:r>
      <w:r w:rsidR="002B28FE" w:rsidRPr="00BB6518">
        <w:rPr>
          <w:lang w:val="en-GB"/>
        </w:rPr>
        <w:t>,</w:t>
      </w:r>
      <w:r w:rsidR="00FC4E6D" w:rsidRPr="00BB6518">
        <w:rPr>
          <w:lang w:val="en-GB"/>
        </w:rPr>
        <w:t xml:space="preserve"> </w:t>
      </w:r>
      <w:r w:rsidR="00497C1F" w:rsidRPr="00BB6518">
        <w:rPr>
          <w:lang w:val="en-GB"/>
        </w:rPr>
        <w:t>a</w:t>
      </w:r>
      <w:r w:rsidR="003018D5" w:rsidRPr="00BB6518">
        <w:rPr>
          <w:lang w:val="en-GB"/>
        </w:rPr>
        <w:t>s well as</w:t>
      </w:r>
      <w:r w:rsidR="003018D5" w:rsidRPr="002B28FE">
        <w:rPr>
          <w:lang w:val="en-GB"/>
        </w:rPr>
        <w:t xml:space="preserve"> </w:t>
      </w:r>
      <w:r w:rsidR="00C544D2" w:rsidRPr="002B28FE">
        <w:rPr>
          <w:lang w:val="en-GB"/>
        </w:rPr>
        <w:t xml:space="preserve">their </w:t>
      </w:r>
      <w:r w:rsidR="00FC4E6D" w:rsidRPr="002B28FE">
        <w:rPr>
          <w:lang w:val="en-GB"/>
        </w:rPr>
        <w:t>gaps and redundancies to support the implementation of the Framework</w:t>
      </w:r>
    </w:p>
    <w:p w14:paraId="706B5579" w14:textId="45266AEC" w:rsidR="00045D3E" w:rsidRPr="00BE5D79" w:rsidRDefault="00045D3E" w:rsidP="00BB6518">
      <w:pPr>
        <w:pStyle w:val="Para10"/>
        <w:rPr>
          <w:rStyle w:val="Para1Char"/>
          <w:b/>
          <w:bCs/>
          <w:snapToGrid/>
          <w:sz w:val="28"/>
          <w:szCs w:val="24"/>
          <w:lang w:val="en-CA"/>
        </w:rPr>
      </w:pPr>
      <w:r w:rsidRPr="001A751E">
        <w:rPr>
          <w:rStyle w:val="Para1Char"/>
          <w:snapToGrid/>
          <w:szCs w:val="24"/>
        </w:rPr>
        <w:t>Tools and guidance</w:t>
      </w:r>
      <w:r w:rsidR="00C544D2" w:rsidRPr="001A751E">
        <w:rPr>
          <w:rStyle w:val="Para1Char"/>
          <w:snapToGrid/>
          <w:szCs w:val="24"/>
        </w:rPr>
        <w:t xml:space="preserve"> to support the implementation of the Framework, can</w:t>
      </w:r>
      <w:r w:rsidRPr="001A751E">
        <w:rPr>
          <w:rStyle w:val="Para1Char"/>
          <w:snapToGrid/>
          <w:szCs w:val="24"/>
        </w:rPr>
        <w:t xml:space="preserve"> take many form</w:t>
      </w:r>
      <w:r w:rsidRPr="00BB6518">
        <w:rPr>
          <w:rStyle w:val="Para1Char"/>
          <w:snapToGrid/>
          <w:szCs w:val="24"/>
        </w:rPr>
        <w:t>s</w:t>
      </w:r>
      <w:r w:rsidR="001A751E" w:rsidRPr="00BB6518">
        <w:rPr>
          <w:rStyle w:val="Para1Char"/>
          <w:snapToGrid/>
          <w:szCs w:val="24"/>
        </w:rPr>
        <w:t>,</w:t>
      </w:r>
      <w:r w:rsidRPr="00BB6518">
        <w:rPr>
          <w:rStyle w:val="Para1Char"/>
          <w:snapToGrid/>
          <w:szCs w:val="24"/>
        </w:rPr>
        <w:t xml:space="preserve"> </w:t>
      </w:r>
      <w:r w:rsidR="001A751E">
        <w:rPr>
          <w:rStyle w:val="Para1Char"/>
          <w:snapToGrid/>
          <w:szCs w:val="24"/>
        </w:rPr>
        <w:t>such as</w:t>
      </w:r>
      <w:r w:rsidRPr="00497C1F">
        <w:rPr>
          <w:rStyle w:val="Para1Char"/>
          <w:snapToGrid/>
          <w:szCs w:val="24"/>
        </w:rPr>
        <w:t xml:space="preserve"> </w:t>
      </w:r>
      <w:r w:rsidR="00B427AF" w:rsidRPr="008B703E">
        <w:t xml:space="preserve">national biodiversity strategies </w:t>
      </w:r>
      <w:r w:rsidR="00B427AF" w:rsidRPr="0062301C">
        <w:t>and action plans</w:t>
      </w:r>
      <w:r w:rsidRPr="00497C1F">
        <w:rPr>
          <w:rStyle w:val="Para1Char"/>
        </w:rPr>
        <w:t xml:space="preserve">, other action plans, tools and guidance developed under or referenced by the </w:t>
      </w:r>
      <w:r w:rsidRPr="00BE5D79">
        <w:rPr>
          <w:rStyle w:val="Para1Char"/>
        </w:rPr>
        <w:t>Conventio</w:t>
      </w:r>
      <w:r w:rsidRPr="00BB6518">
        <w:rPr>
          <w:rStyle w:val="Para1Char"/>
        </w:rPr>
        <w:t>n</w:t>
      </w:r>
      <w:r w:rsidR="00B427AF" w:rsidRPr="00BB6518">
        <w:rPr>
          <w:rStyle w:val="Para1Char"/>
        </w:rPr>
        <w:t>,</w:t>
      </w:r>
      <w:r w:rsidRPr="00BB6518">
        <w:rPr>
          <w:rStyle w:val="Para1Char"/>
        </w:rPr>
        <w:t xml:space="preserve"> including</w:t>
      </w:r>
      <w:r w:rsidRPr="00BE5D79">
        <w:rPr>
          <w:rStyle w:val="Para1Char"/>
        </w:rPr>
        <w:t xml:space="preserve"> that specifically linked to the </w:t>
      </w:r>
      <w:r w:rsidR="00BE5D79" w:rsidRPr="00BE5D79">
        <w:rPr>
          <w:rStyle w:val="Para1Char"/>
        </w:rPr>
        <w:t xml:space="preserve">targets of the </w:t>
      </w:r>
      <w:r w:rsidRPr="00BE5D79">
        <w:rPr>
          <w:rStyle w:val="Para1Char"/>
        </w:rPr>
        <w:t>Framework, the thematic programmes of work and cross-cutting issues, as well as guidance from specific decisions of the Conference of the Parties.</w:t>
      </w:r>
      <w:r w:rsidRPr="00BB6518">
        <w:rPr>
          <w:rStyle w:val="Para1Char"/>
        </w:rPr>
        <w:t xml:space="preserve">  </w:t>
      </w:r>
    </w:p>
    <w:p w14:paraId="654F4049" w14:textId="22FB6A2D" w:rsidR="008268AC" w:rsidRPr="0011094F" w:rsidRDefault="00BF02D3" w:rsidP="00BB6518">
      <w:pPr>
        <w:pStyle w:val="Para10"/>
      </w:pPr>
      <w:r w:rsidRPr="008268AC">
        <w:t xml:space="preserve">Information compiled in </w:t>
      </w:r>
      <w:r w:rsidR="00BE5D79" w:rsidRPr="00BE5D79">
        <w:t>d</w:t>
      </w:r>
      <w:r w:rsidRPr="00BE5D79">
        <w:t>ocument</w:t>
      </w:r>
      <w:r w:rsidR="00F11091" w:rsidRPr="00BE5D79">
        <w:t>s</w:t>
      </w:r>
      <w:r w:rsidRPr="00BE5D79">
        <w:t xml:space="preserve"> </w:t>
      </w:r>
      <w:r w:rsidR="00497C1F" w:rsidRPr="00BB6518">
        <w:t>CBD</w:t>
      </w:r>
      <w:r w:rsidR="00497C1F" w:rsidRPr="00BE5D79">
        <w:t>/</w:t>
      </w:r>
      <w:r w:rsidR="00497C1F" w:rsidRPr="00BB6518">
        <w:t>SBSTTA</w:t>
      </w:r>
      <w:r w:rsidR="00497C1F" w:rsidRPr="00BE5D79">
        <w:t>/26/</w:t>
      </w:r>
      <w:r w:rsidR="00497C1F" w:rsidRPr="00BB6518">
        <w:t>INF</w:t>
      </w:r>
      <w:r w:rsidR="00497C1F" w:rsidRPr="00BE5D79">
        <w:t>/</w:t>
      </w:r>
      <w:r w:rsidR="00BF69F8" w:rsidRPr="00BE5D79">
        <w:t>15</w:t>
      </w:r>
      <w:r w:rsidR="00F11091" w:rsidRPr="00BE5D79">
        <w:t xml:space="preserve"> and </w:t>
      </w:r>
      <w:r w:rsidR="00BE5D79" w:rsidRPr="00BB6518">
        <w:t>CBD</w:t>
      </w:r>
      <w:r w:rsidR="00BE5D79" w:rsidRPr="00BE5D79">
        <w:t>/</w:t>
      </w:r>
      <w:r w:rsidR="00BE5D79" w:rsidRPr="00BB6518">
        <w:t>SBSTTA</w:t>
      </w:r>
      <w:r w:rsidR="00BE5D79" w:rsidRPr="00BE5D79">
        <w:t>/26/</w:t>
      </w:r>
      <w:r w:rsidR="00BE5D79" w:rsidRPr="00BB6518">
        <w:t>INF</w:t>
      </w:r>
      <w:r w:rsidR="00BE5D79" w:rsidRPr="00BE5D79">
        <w:t>/</w:t>
      </w:r>
      <w:r w:rsidR="00BF69F8" w:rsidRPr="00BE5D79">
        <w:t>16</w:t>
      </w:r>
      <w:r w:rsidR="00497C1F" w:rsidRPr="004D4519">
        <w:t xml:space="preserve"> </w:t>
      </w:r>
      <w:r w:rsidRPr="004D4519">
        <w:t xml:space="preserve">demonstrates that </w:t>
      </w:r>
      <w:r w:rsidR="004D1C54" w:rsidRPr="004D4519">
        <w:t xml:space="preserve">although </w:t>
      </w:r>
      <w:r w:rsidR="00BF4B28" w:rsidRPr="004D4519">
        <w:t xml:space="preserve">numerous </w:t>
      </w:r>
      <w:r w:rsidR="004D1C54" w:rsidRPr="004D4519">
        <w:t xml:space="preserve">gaps </w:t>
      </w:r>
      <w:r w:rsidR="00561C61" w:rsidRPr="004D4519">
        <w:t xml:space="preserve">are </w:t>
      </w:r>
      <w:r w:rsidR="00AE5B1F" w:rsidRPr="004D4519">
        <w:t>identified</w:t>
      </w:r>
      <w:r w:rsidR="00BF4EE3" w:rsidRPr="004D4519">
        <w:t>,</w:t>
      </w:r>
      <w:r w:rsidR="00AE5B1F" w:rsidRPr="004D4519">
        <w:t xml:space="preserve"> </w:t>
      </w:r>
      <w:r w:rsidRPr="004D4519">
        <w:t>there is a substantial set of tools and guidance already</w:t>
      </w:r>
      <w:r w:rsidRPr="008268AC">
        <w:t xml:space="preserve"> available to start implementation of the Framework without delay. </w:t>
      </w:r>
      <w:r w:rsidR="00C544D2">
        <w:t>It should be noted that m</w:t>
      </w:r>
      <w:r w:rsidR="007E28D2" w:rsidRPr="008268AC">
        <w:t xml:space="preserve">uch more </w:t>
      </w:r>
      <w:r w:rsidR="00F11091" w:rsidRPr="008268AC">
        <w:t xml:space="preserve">information </w:t>
      </w:r>
      <w:r w:rsidR="00C544D2">
        <w:t>could be</w:t>
      </w:r>
      <w:r w:rsidR="007E28D2" w:rsidRPr="008268AC">
        <w:t xml:space="preserve"> </w:t>
      </w:r>
      <w:r w:rsidR="004D1C54" w:rsidRPr="008268AC">
        <w:t>available</w:t>
      </w:r>
      <w:r w:rsidR="00FC4E6D" w:rsidRPr="008268AC">
        <w:t xml:space="preserve"> in the broader public domain</w:t>
      </w:r>
      <w:r w:rsidR="00F11091" w:rsidRPr="008268AC">
        <w:t xml:space="preserve"> than on th</w:t>
      </w:r>
      <w:r w:rsidR="00C544D2">
        <w:t xml:space="preserve">ose currently referenced on the target guidance note </w:t>
      </w:r>
      <w:r w:rsidR="001F093D" w:rsidRPr="001F093D">
        <w:t>available o</w:t>
      </w:r>
      <w:r w:rsidR="00C544D2" w:rsidRPr="001F093D">
        <w:t xml:space="preserve">n </w:t>
      </w:r>
      <w:r w:rsidR="00C544D2" w:rsidRPr="00BB6518">
        <w:t>the</w:t>
      </w:r>
      <w:r w:rsidR="00F11091" w:rsidRPr="00BB6518">
        <w:t xml:space="preserve"> </w:t>
      </w:r>
      <w:r w:rsidR="00F11091" w:rsidRPr="00470509">
        <w:t>website</w:t>
      </w:r>
      <w:r w:rsidR="001F093D" w:rsidRPr="00470509">
        <w:t xml:space="preserve"> of the Convention</w:t>
      </w:r>
      <w:r w:rsidR="00B564C5" w:rsidRPr="00470509">
        <w:t>,</w:t>
      </w:r>
      <w:r w:rsidR="00C544D2" w:rsidRPr="00470509">
        <w:rPr>
          <w:rStyle w:val="FootnoteReference"/>
        </w:rPr>
        <w:footnoteReference w:id="7"/>
      </w:r>
      <w:r w:rsidR="00C544D2" w:rsidRPr="00470509">
        <w:t xml:space="preserve"> as well as those identified through the submissions compiled in document </w:t>
      </w:r>
      <w:r w:rsidR="00C544D2" w:rsidRPr="00BB6518">
        <w:t>CBD</w:t>
      </w:r>
      <w:r w:rsidR="00C544D2" w:rsidRPr="00470509">
        <w:t>/</w:t>
      </w:r>
      <w:r w:rsidR="00C544D2" w:rsidRPr="00BB6518">
        <w:t>SBSTTA</w:t>
      </w:r>
      <w:r w:rsidR="00C544D2" w:rsidRPr="00470509">
        <w:t>/</w:t>
      </w:r>
      <w:r w:rsidR="00C544D2" w:rsidRPr="00BB6518">
        <w:t>INF</w:t>
      </w:r>
      <w:r w:rsidR="00C544D2" w:rsidRPr="00470509">
        <w:t>/</w:t>
      </w:r>
      <w:r w:rsidR="00BF69F8" w:rsidRPr="00470509">
        <w:t>16</w:t>
      </w:r>
      <w:r w:rsidR="00FC4E6D" w:rsidRPr="00470509">
        <w:t>.</w:t>
      </w:r>
      <w:r w:rsidR="00FC4E6D" w:rsidRPr="008268AC">
        <w:t xml:space="preserve"> </w:t>
      </w:r>
      <w:r w:rsidR="008268AC" w:rsidRPr="008268AC">
        <w:t xml:space="preserve">Improved </w:t>
      </w:r>
      <w:r w:rsidR="008268AC">
        <w:t xml:space="preserve">facility to direct users </w:t>
      </w:r>
      <w:r w:rsidR="008268AC" w:rsidRPr="008268AC">
        <w:t xml:space="preserve">to </w:t>
      </w:r>
      <w:r w:rsidR="008268AC">
        <w:t xml:space="preserve">other </w:t>
      </w:r>
      <w:r w:rsidR="008268AC" w:rsidRPr="008268AC">
        <w:t xml:space="preserve">key sources of guidance and relevant processes would further </w:t>
      </w:r>
      <w:r w:rsidR="00C544D2">
        <w:t>enhance the accessibility to these available guidance documents</w:t>
      </w:r>
      <w:r w:rsidR="008268AC" w:rsidRPr="008268AC">
        <w:t xml:space="preserve">. For </w:t>
      </w:r>
      <w:r w:rsidR="008268AC" w:rsidRPr="0011094F">
        <w:t>example</w:t>
      </w:r>
      <w:r w:rsidR="008268AC" w:rsidRPr="00BB6518">
        <w:t xml:space="preserve">, </w:t>
      </w:r>
      <w:r w:rsidR="0011094F" w:rsidRPr="00BB6518">
        <w:t>t</w:t>
      </w:r>
      <w:r w:rsidR="008268AC" w:rsidRPr="00BB6518">
        <w:t>he</w:t>
      </w:r>
      <w:r w:rsidR="008268AC" w:rsidRPr="0011094F">
        <w:t xml:space="preserve"> Biodiversity Knowledge Hub</w:t>
      </w:r>
      <w:r w:rsidR="008268AC" w:rsidRPr="0011094F">
        <w:rPr>
          <w:rStyle w:val="FootnoteReference"/>
        </w:rPr>
        <w:footnoteReference w:id="8"/>
      </w:r>
      <w:r w:rsidR="008268AC" w:rsidRPr="0011094F">
        <w:t xml:space="preserve"> recently established by the Food and Agriculture </w:t>
      </w:r>
      <w:r w:rsidR="008268AC" w:rsidRPr="00BB6518">
        <w:t>Organi</w:t>
      </w:r>
      <w:r w:rsidR="0011094F" w:rsidRPr="00BB6518">
        <w:t>z</w:t>
      </w:r>
      <w:r w:rsidR="008268AC" w:rsidRPr="00BB6518">
        <w:t>ation</w:t>
      </w:r>
      <w:r w:rsidR="008268AC" w:rsidRPr="0011094F">
        <w:t xml:space="preserve"> of the United Nations (</w:t>
      </w:r>
      <w:r w:rsidR="008268AC" w:rsidRPr="00BB6518">
        <w:t>FAO</w:t>
      </w:r>
      <w:r w:rsidR="008268AC" w:rsidRPr="0011094F">
        <w:t>) is a significant relevant recent development.</w:t>
      </w:r>
    </w:p>
    <w:p w14:paraId="11DEE37D" w14:textId="54F6006C" w:rsidR="005D788C" w:rsidRPr="00A011D3" w:rsidRDefault="000B5687" w:rsidP="00BB6518">
      <w:pPr>
        <w:pStyle w:val="Para10"/>
      </w:pPr>
      <w:r>
        <w:t xml:space="preserve">A common need is for improved access to and dissemination of the various tools and guidance </w:t>
      </w:r>
      <w:r w:rsidR="00BB1A51">
        <w:t>to</w:t>
      </w:r>
      <w:r>
        <w:t xml:space="preserve"> increase their </w:t>
      </w:r>
      <w:r w:rsidR="00C544D2">
        <w:t>utility</w:t>
      </w:r>
      <w:r>
        <w:t xml:space="preserve">. </w:t>
      </w:r>
      <w:r w:rsidR="00045D3E">
        <w:t xml:space="preserve">Improved information on </w:t>
      </w:r>
      <w:r w:rsidR="00045D3E" w:rsidRPr="00157943">
        <w:t xml:space="preserve">the </w:t>
      </w:r>
      <w:r w:rsidR="00045D3E" w:rsidRPr="00A011D3">
        <w:t>effectiveness</w:t>
      </w:r>
      <w:r w:rsidR="00045D3E" w:rsidRPr="00BB6518">
        <w:t>, and</w:t>
      </w:r>
      <w:r w:rsidR="00045D3E" w:rsidRPr="00A011D3">
        <w:t xml:space="preserve"> obstacles to uptake, of existing tools and guidance would help adaptive </w:t>
      </w:r>
      <w:r w:rsidR="00C80CEB" w:rsidRPr="00A011D3">
        <w:t>approaches in future development</w:t>
      </w:r>
      <w:r w:rsidR="00045D3E" w:rsidRPr="00A011D3">
        <w:t xml:space="preserve"> of </w:t>
      </w:r>
      <w:r w:rsidR="00C80CEB" w:rsidRPr="00A011D3">
        <w:t>tools and guidance</w:t>
      </w:r>
      <w:r w:rsidR="00045D3E" w:rsidRPr="00A011D3">
        <w:t xml:space="preserve">. </w:t>
      </w:r>
    </w:p>
    <w:p w14:paraId="1C4E5162" w14:textId="7776225E" w:rsidR="008E523C" w:rsidRDefault="001A4B9D" w:rsidP="00BB6518">
      <w:pPr>
        <w:pStyle w:val="Para10"/>
      </w:pPr>
      <w:r w:rsidRPr="00157943">
        <w:t xml:space="preserve">A significant opportunity relates to </w:t>
      </w:r>
      <w:r w:rsidR="00BF6646" w:rsidRPr="00157943">
        <w:t xml:space="preserve">guidance currently used or being developed by </w:t>
      </w:r>
      <w:r w:rsidR="00B57FE6">
        <w:t xml:space="preserve">other </w:t>
      </w:r>
      <w:r w:rsidR="00C80CEB">
        <w:t xml:space="preserve">relevant intergovernmental processes, </w:t>
      </w:r>
      <w:r w:rsidR="00B57FE6">
        <w:t>organizations</w:t>
      </w:r>
      <w:r w:rsidR="000B363A">
        <w:t xml:space="preserve"> </w:t>
      </w:r>
      <w:r w:rsidR="000A5058">
        <w:t>and stakeholders</w:t>
      </w:r>
      <w:r w:rsidR="00C80CEB">
        <w:t>, which</w:t>
      </w:r>
      <w:r w:rsidR="00E3432F" w:rsidRPr="00157943">
        <w:t xml:space="preserve"> </w:t>
      </w:r>
      <w:r w:rsidR="000A5058">
        <w:t>d</w:t>
      </w:r>
      <w:r w:rsidR="00D20EF0">
        <w:t xml:space="preserve">oes not incorporate adequate </w:t>
      </w:r>
      <w:r w:rsidR="00C80CEB">
        <w:t>considerations</w:t>
      </w:r>
      <w:r w:rsidR="00D20EF0">
        <w:t xml:space="preserve"> to </w:t>
      </w:r>
      <w:r w:rsidR="00E3432F" w:rsidRPr="00157943">
        <w:t>biodiversity</w:t>
      </w:r>
      <w:r w:rsidR="004A3BD3">
        <w:t xml:space="preserve"> but has the potential to do so</w:t>
      </w:r>
      <w:r w:rsidR="00BF6646" w:rsidRPr="004D4519">
        <w:t xml:space="preserve">. </w:t>
      </w:r>
    </w:p>
    <w:p w14:paraId="1D7F5C53" w14:textId="411D0D03" w:rsidR="00F96478" w:rsidRPr="002E6D1B" w:rsidRDefault="00F96478" w:rsidP="00BB6518">
      <w:pPr>
        <w:pStyle w:val="Para10"/>
      </w:pPr>
      <w:r w:rsidRPr="00157943">
        <w:t xml:space="preserve">The Framework builds on the Strategic Plan for Biodiversity 2011–2020, its achievements, </w:t>
      </w:r>
      <w:r w:rsidRPr="00BD3447">
        <w:t>gaps</w:t>
      </w:r>
      <w:r w:rsidRPr="00BB6518">
        <w:t xml:space="preserve"> and</w:t>
      </w:r>
      <w:r w:rsidRPr="00BD3447">
        <w:t xml:space="preserve"> lessons learned (</w:t>
      </w:r>
      <w:r w:rsidR="00C36652" w:rsidRPr="00BD3447">
        <w:t>d</w:t>
      </w:r>
      <w:r w:rsidRPr="00BD3447">
        <w:t xml:space="preserve">ecision </w:t>
      </w:r>
      <w:hyperlink r:id="rId20" w:history="1">
        <w:r w:rsidRPr="00BB6518">
          <w:rPr>
            <w:rStyle w:val="Hyperlink"/>
          </w:rPr>
          <w:t>15/4</w:t>
        </w:r>
      </w:hyperlink>
      <w:r w:rsidR="00C36652" w:rsidRPr="00BD3447">
        <w:rPr>
          <w:rStyle w:val="Hyperlink"/>
        </w:rPr>
        <w:t>,</w:t>
      </w:r>
      <w:r w:rsidRPr="00BB6518">
        <w:t xml:space="preserve"> </w:t>
      </w:r>
      <w:r w:rsidR="00C36652" w:rsidRPr="00BD3447">
        <w:t>annex</w:t>
      </w:r>
      <w:r w:rsidR="00BD3447" w:rsidRPr="00BD3447">
        <w:t>,</w:t>
      </w:r>
      <w:r w:rsidR="00C36652" w:rsidRPr="00BD3447">
        <w:t xml:space="preserve"> </w:t>
      </w:r>
      <w:r w:rsidR="00BD3447" w:rsidRPr="00BD3447">
        <w:t>s</w:t>
      </w:r>
      <w:r w:rsidRPr="00BD3447">
        <w:t>ection A</w:t>
      </w:r>
      <w:r w:rsidR="00BD3447" w:rsidRPr="00BD3447">
        <w:t>,</w:t>
      </w:r>
      <w:r w:rsidRPr="00BD3447">
        <w:t xml:space="preserve"> para. 3)</w:t>
      </w:r>
      <w:r w:rsidR="00B53B73" w:rsidRPr="00BD3447">
        <w:t>,</w:t>
      </w:r>
      <w:r w:rsidRPr="00BD3447">
        <w:t xml:space="preserve"> which</w:t>
      </w:r>
      <w:r w:rsidRPr="00157943">
        <w:t xml:space="preserve"> was the basis </w:t>
      </w:r>
      <w:r w:rsidR="002E6D1B">
        <w:t>for</w:t>
      </w:r>
      <w:r w:rsidR="002E6D1B" w:rsidRPr="00157943">
        <w:t xml:space="preserve"> </w:t>
      </w:r>
      <w:r w:rsidRPr="00157943">
        <w:t xml:space="preserve">developing </w:t>
      </w:r>
      <w:r w:rsidR="000534B4">
        <w:t xml:space="preserve">much of the </w:t>
      </w:r>
      <w:r w:rsidRPr="00157943">
        <w:t xml:space="preserve">previous guidance under the Convention. </w:t>
      </w:r>
      <w:r w:rsidR="004A3BD3">
        <w:t xml:space="preserve">A comprehensive assessment of available tools and guidance to support achievement of the Aichi Targets was prepared and reviewed by the Subsidiary Body in </w:t>
      </w:r>
      <w:r w:rsidR="004A3BD3" w:rsidRPr="00E47459">
        <w:t>20</w:t>
      </w:r>
      <w:r w:rsidR="00B53B73" w:rsidRPr="00E47459">
        <w:t>13</w:t>
      </w:r>
      <w:r w:rsidR="004A3BD3" w:rsidRPr="00E47459">
        <w:t xml:space="preserve"> and</w:t>
      </w:r>
      <w:r w:rsidR="004A3BD3">
        <w:t xml:space="preserve"> much of this information remains relevant.</w:t>
      </w:r>
      <w:r w:rsidR="004A3BD3">
        <w:rPr>
          <w:rStyle w:val="FootnoteReference"/>
        </w:rPr>
        <w:footnoteReference w:id="9"/>
      </w:r>
      <w:r w:rsidR="004A3BD3">
        <w:t xml:space="preserve"> </w:t>
      </w:r>
      <w:r w:rsidRPr="00157943">
        <w:t>An information note</w:t>
      </w:r>
      <w:r w:rsidRPr="00157943">
        <w:rPr>
          <w:rStyle w:val="FootnoteReference"/>
          <w:color w:val="000000" w:themeColor="text1"/>
          <w:szCs w:val="22"/>
        </w:rPr>
        <w:footnoteReference w:id="10"/>
      </w:r>
      <w:r w:rsidRPr="00157943">
        <w:t xml:space="preserve"> provided for the Bern </w:t>
      </w:r>
      <w:r w:rsidRPr="00571037">
        <w:t>III</w:t>
      </w:r>
      <w:r w:rsidRPr="00157943">
        <w:t xml:space="preserve"> Conference</w:t>
      </w:r>
      <w:r w:rsidRPr="00157943">
        <w:rPr>
          <w:rStyle w:val="FootnoteReference"/>
        </w:rPr>
        <w:footnoteReference w:id="11"/>
      </w:r>
      <w:r w:rsidRPr="00157943">
        <w:t xml:space="preserve"> maps the targets of the </w:t>
      </w:r>
      <w:r w:rsidRPr="002E6D1B">
        <w:t xml:space="preserve">Framework against the </w:t>
      </w:r>
      <w:r w:rsidRPr="00BB6518">
        <w:t>Aichi Biodiversity Targets</w:t>
      </w:r>
      <w:r w:rsidRPr="002E6D1B">
        <w:t xml:space="preserve"> and the Sustainable Development Goals confirming the close coherence across these</w:t>
      </w:r>
      <w:r w:rsidR="000534B4" w:rsidRPr="002E6D1B">
        <w:t>.</w:t>
      </w:r>
      <w:r w:rsidR="000534B4" w:rsidRPr="00BB6518">
        <w:t xml:space="preserve"> </w:t>
      </w:r>
      <w:r w:rsidRPr="00BB6518">
        <w:t xml:space="preserve"> </w:t>
      </w:r>
    </w:p>
    <w:p w14:paraId="44057578" w14:textId="6A4BC32C" w:rsidR="000534B4" w:rsidRPr="00157943" w:rsidRDefault="00F96478" w:rsidP="00BB6518">
      <w:pPr>
        <w:pStyle w:val="Para10"/>
      </w:pPr>
      <w:r w:rsidRPr="000534B4">
        <w:t>T</w:t>
      </w:r>
      <w:r w:rsidRPr="00BF0FCD">
        <w:rPr>
          <w:rFonts w:eastAsiaTheme="minorHAnsi"/>
        </w:rPr>
        <w:t xml:space="preserve">he </w:t>
      </w:r>
      <w:r w:rsidR="000927A7" w:rsidRPr="00157943">
        <w:t>Strategic Plan for Biodiversity 2011–2020</w:t>
      </w:r>
      <w:r w:rsidR="000927A7">
        <w:t xml:space="preserve"> </w:t>
      </w:r>
      <w:r w:rsidRPr="00BF0FCD">
        <w:rPr>
          <w:rFonts w:eastAsiaTheme="minorHAnsi"/>
        </w:rPr>
        <w:t xml:space="preserve">included </w:t>
      </w:r>
      <w:r w:rsidR="000927A7">
        <w:rPr>
          <w:rFonts w:eastAsiaTheme="minorHAnsi"/>
        </w:rPr>
        <w:t xml:space="preserve">a number of targets </w:t>
      </w:r>
      <w:r w:rsidRPr="00BF0FCD">
        <w:rPr>
          <w:rFonts w:eastAsiaTheme="minorHAnsi"/>
        </w:rPr>
        <w:t>that focused on specific biomes or groupings of biomes, whereas the targets of the Framework are mostly applicable in all biomes.</w:t>
      </w:r>
      <w:r w:rsidRPr="000534B4">
        <w:t xml:space="preserve"> </w:t>
      </w:r>
      <w:r w:rsidR="000534B4" w:rsidRPr="000534B4">
        <w:t xml:space="preserve">Nevertheless, the previous </w:t>
      </w:r>
      <w:r w:rsidRPr="000534B4">
        <w:t>biome-</w:t>
      </w:r>
      <w:r w:rsidRPr="007D370C">
        <w:t>based</w:t>
      </w:r>
      <w:r w:rsidRPr="00BB6518">
        <w:t xml:space="preserve"> work programme</w:t>
      </w:r>
      <w:r w:rsidRPr="007D370C">
        <w:t xml:space="preserve">s </w:t>
      </w:r>
      <w:r w:rsidR="00D50E11" w:rsidRPr="007D370C">
        <w:t xml:space="preserve">and </w:t>
      </w:r>
      <w:r w:rsidR="00B65AD1" w:rsidRPr="007D370C">
        <w:t xml:space="preserve">the work on </w:t>
      </w:r>
      <w:r w:rsidR="00D50E11" w:rsidRPr="007D370C">
        <w:t>cross</w:t>
      </w:r>
      <w:r w:rsidR="00D50E11" w:rsidRPr="000534B4">
        <w:t>-</w:t>
      </w:r>
      <w:r w:rsidR="00D50E11" w:rsidRPr="000534B4">
        <w:lastRenderedPageBreak/>
        <w:t xml:space="preserve">cutting issues </w:t>
      </w:r>
      <w:r w:rsidRPr="000534B4">
        <w:t xml:space="preserve">and their </w:t>
      </w:r>
      <w:r w:rsidR="00B65AD1">
        <w:t xml:space="preserve">tools and </w:t>
      </w:r>
      <w:r w:rsidRPr="000534B4">
        <w:t xml:space="preserve">guidance support the </w:t>
      </w:r>
      <w:r w:rsidR="008539CA" w:rsidRPr="000534B4">
        <w:t xml:space="preserve">implementation of the </w:t>
      </w:r>
      <w:r w:rsidRPr="000534B4">
        <w:t>Framework</w:t>
      </w:r>
      <w:r w:rsidR="000534B4" w:rsidRPr="000534B4">
        <w:t xml:space="preserve">. </w:t>
      </w:r>
      <w:r w:rsidR="000534B4">
        <w:t>As this guidance is migrated to support the Framework</w:t>
      </w:r>
      <w:r w:rsidR="00E47459">
        <w:t>,</w:t>
      </w:r>
      <w:r w:rsidR="000534B4">
        <w:t xml:space="preserve"> some</w:t>
      </w:r>
      <w:r w:rsidR="000534B4" w:rsidRPr="00157943">
        <w:t xml:space="preserve"> gaps </w:t>
      </w:r>
      <w:r w:rsidR="000534B4">
        <w:t>in biome</w:t>
      </w:r>
      <w:r w:rsidR="00E47459">
        <w:t>-</w:t>
      </w:r>
      <w:r w:rsidR="000534B4">
        <w:t xml:space="preserve">based guidance </w:t>
      </w:r>
      <w:r w:rsidR="00B65AD1">
        <w:t xml:space="preserve">may </w:t>
      </w:r>
      <w:r w:rsidR="000534B4" w:rsidRPr="00157943">
        <w:t xml:space="preserve">remain. </w:t>
      </w:r>
      <w:r w:rsidR="000927A7">
        <w:t xml:space="preserve">It would be important </w:t>
      </w:r>
      <w:r w:rsidR="000927A7" w:rsidRPr="00157943">
        <w:t xml:space="preserve">to ensure </w:t>
      </w:r>
      <w:r w:rsidR="000927A7">
        <w:t>any less represented biomes</w:t>
      </w:r>
      <w:r w:rsidR="000927A7" w:rsidRPr="00157943" w:rsidDel="008539CA">
        <w:t xml:space="preserve"> </w:t>
      </w:r>
      <w:r w:rsidR="000927A7" w:rsidRPr="00157943">
        <w:t xml:space="preserve">are </w:t>
      </w:r>
      <w:r w:rsidR="000927A7">
        <w:t xml:space="preserve">included, </w:t>
      </w:r>
      <w:r w:rsidR="000927A7" w:rsidRPr="00157943">
        <w:t>where relevant, when implementing the Framework, including in implementing and developing further tools and guidance</w:t>
      </w:r>
      <w:r w:rsidR="00E47459">
        <w:t>.</w:t>
      </w:r>
      <w:r w:rsidR="000927A7">
        <w:t xml:space="preserve"> </w:t>
      </w:r>
      <w:r w:rsidR="00B65AD1">
        <w:t>For example, g</w:t>
      </w:r>
      <w:r w:rsidR="000534B4" w:rsidRPr="00157943">
        <w:t>rasslands</w:t>
      </w:r>
      <w:r w:rsidR="000534B4">
        <w:t xml:space="preserve"> are mentioned in the </w:t>
      </w:r>
      <w:r w:rsidR="00B65AD1">
        <w:t>p</w:t>
      </w:r>
      <w:r w:rsidR="000534B4">
        <w:t xml:space="preserve">rogramme of </w:t>
      </w:r>
      <w:r w:rsidR="00B65AD1">
        <w:t>w</w:t>
      </w:r>
      <w:r w:rsidR="000534B4">
        <w:t xml:space="preserve">ork on </w:t>
      </w:r>
      <w:r w:rsidR="00B65AD1">
        <w:t>d</w:t>
      </w:r>
      <w:r w:rsidR="000534B4">
        <w:t xml:space="preserve">ry and </w:t>
      </w:r>
      <w:r w:rsidR="00B65AD1">
        <w:t>s</w:t>
      </w:r>
      <w:r w:rsidR="000534B4">
        <w:t xml:space="preserve">ub-humid </w:t>
      </w:r>
      <w:r w:rsidR="00B65AD1" w:rsidRPr="000927A7">
        <w:t>l</w:t>
      </w:r>
      <w:r w:rsidR="000534B4" w:rsidRPr="000927A7">
        <w:t xml:space="preserve">ands but have otherwise been relatively invisible in tools and guidance developed under the Convention. </w:t>
      </w:r>
      <w:r w:rsidR="00B65AD1" w:rsidRPr="000927A7">
        <w:t>Tools and guidance addressing biodiversity issues in p</w:t>
      </w:r>
      <w:r w:rsidR="000534B4" w:rsidRPr="000927A7">
        <w:t xml:space="preserve">olar regions </w:t>
      </w:r>
      <w:r w:rsidR="000927A7" w:rsidRPr="000927A7">
        <w:t xml:space="preserve">and in urban areas </w:t>
      </w:r>
      <w:r w:rsidR="00B65AD1" w:rsidRPr="000927A7">
        <w:t xml:space="preserve">may </w:t>
      </w:r>
      <w:r w:rsidR="000927A7" w:rsidRPr="000927A7">
        <w:t xml:space="preserve">also </w:t>
      </w:r>
      <w:r w:rsidR="00B65AD1" w:rsidRPr="000927A7">
        <w:t xml:space="preserve">be </w:t>
      </w:r>
      <w:r w:rsidR="000534B4" w:rsidRPr="000927A7">
        <w:t>gap</w:t>
      </w:r>
      <w:r w:rsidR="000927A7" w:rsidRPr="000927A7">
        <w:t>s</w:t>
      </w:r>
      <w:r w:rsidR="000927A7">
        <w:t>, given the absences of programmes of work on these areas under the Convention</w:t>
      </w:r>
      <w:r w:rsidR="000927A7" w:rsidRPr="000927A7">
        <w:t xml:space="preserve">. </w:t>
      </w:r>
    </w:p>
    <w:p w14:paraId="764595FD" w14:textId="36D3C119" w:rsidR="00364CAB" w:rsidRPr="00BA1AC1" w:rsidRDefault="00F96478" w:rsidP="00BB6518">
      <w:pPr>
        <w:pStyle w:val="Para10"/>
      </w:pPr>
      <w:r w:rsidRPr="000534B4">
        <w:t xml:space="preserve">Most of the </w:t>
      </w:r>
      <w:r w:rsidR="000B1292" w:rsidRPr="000534B4">
        <w:t xml:space="preserve">targets </w:t>
      </w:r>
      <w:r w:rsidR="000B1292">
        <w:t xml:space="preserve">of the </w:t>
      </w:r>
      <w:r w:rsidRPr="000534B4">
        <w:t xml:space="preserve">Framework are much more </w:t>
      </w:r>
      <w:r w:rsidRPr="004E7D90">
        <w:t xml:space="preserve">detailed </w:t>
      </w:r>
      <w:r w:rsidRPr="00BB6518">
        <w:t>compared to</w:t>
      </w:r>
      <w:r w:rsidRPr="004E7D90">
        <w:t xml:space="preserve"> the </w:t>
      </w:r>
      <w:r w:rsidRPr="00BB6518">
        <w:t>Aichi Biodiversity Targets</w:t>
      </w:r>
      <w:r w:rsidRPr="004E7D90">
        <w:t xml:space="preserve"> and include multiple and diverse elements. Som</w:t>
      </w:r>
      <w:r w:rsidRPr="000534B4">
        <w:t xml:space="preserve">e of the </w:t>
      </w:r>
      <w:r w:rsidR="00D50E11" w:rsidRPr="000534B4">
        <w:t>t</w:t>
      </w:r>
      <w:r w:rsidRPr="000534B4">
        <w:t xml:space="preserve">argets already </w:t>
      </w:r>
      <w:r w:rsidR="000927A7">
        <w:t>specify</w:t>
      </w:r>
      <w:r w:rsidRPr="000534B4">
        <w:t xml:space="preserve"> </w:t>
      </w:r>
      <w:r w:rsidR="000C6553" w:rsidRPr="000534B4">
        <w:t xml:space="preserve">approaches </w:t>
      </w:r>
      <w:r w:rsidR="000C6553" w:rsidRPr="00B45F35">
        <w:t xml:space="preserve">for </w:t>
      </w:r>
      <w:r w:rsidR="000927A7" w:rsidRPr="00B45F35">
        <w:t>implementation. F</w:t>
      </w:r>
      <w:r w:rsidRPr="00B45F35">
        <w:t>or example</w:t>
      </w:r>
      <w:r w:rsidR="00BE11C4" w:rsidRPr="00B45F35">
        <w:t>,</w:t>
      </w:r>
      <w:r w:rsidR="000927A7" w:rsidRPr="00BB6518">
        <w:t xml:space="preserve"> </w:t>
      </w:r>
      <w:r w:rsidRPr="00B45F35">
        <w:t xml:space="preserve">spatial planning (Target 1), nature-based solutions </w:t>
      </w:r>
      <w:r w:rsidRPr="00BB6518">
        <w:t>and</w:t>
      </w:r>
      <w:r w:rsidR="008539CA" w:rsidRPr="00BB6518">
        <w:t>/or</w:t>
      </w:r>
      <w:r w:rsidRPr="00B45F35">
        <w:t xml:space="preserve"> ecosystem-based </w:t>
      </w:r>
      <w:r w:rsidR="006738C8" w:rsidRPr="00B45F35">
        <w:t>approaches</w:t>
      </w:r>
      <w:r w:rsidR="00D50E11" w:rsidRPr="00B45F35">
        <w:t xml:space="preserve"> </w:t>
      </w:r>
      <w:r w:rsidRPr="00B45F35">
        <w:t>(Targets</w:t>
      </w:r>
      <w:r w:rsidRPr="00BB6518">
        <w:t xml:space="preserve"> 8 a</w:t>
      </w:r>
      <w:r w:rsidRPr="00B45F35">
        <w:t>nd 11)</w:t>
      </w:r>
      <w:r w:rsidRPr="00BB6518">
        <w:t xml:space="preserve"> and</w:t>
      </w:r>
      <w:r w:rsidRPr="00B45F35">
        <w:t xml:space="preserve"> sustainable intensification (Target 10). </w:t>
      </w:r>
      <w:r w:rsidR="00FC5107">
        <w:t>T</w:t>
      </w:r>
      <w:r w:rsidR="00FC5107" w:rsidRPr="00FC5107">
        <w:t>ools and guidance relating to the targets and other cross-cutting areas of the Framework need to be further developed for multiple biomes and sectors so that they can be more relevant, practical and effective in implementation</w:t>
      </w:r>
      <w:r w:rsidRPr="00B45F35">
        <w:t xml:space="preserve">. New </w:t>
      </w:r>
      <w:r w:rsidR="001C1865" w:rsidRPr="00B45F35">
        <w:t xml:space="preserve">main </w:t>
      </w:r>
      <w:r w:rsidRPr="00B45F35">
        <w:t xml:space="preserve">topics </w:t>
      </w:r>
      <w:r w:rsidR="001C1865" w:rsidRPr="00B45F35">
        <w:t>of</w:t>
      </w:r>
      <w:r w:rsidRPr="00B45F35">
        <w:t xml:space="preserve"> </w:t>
      </w:r>
      <w:r w:rsidR="00721492" w:rsidRPr="00B45F35">
        <w:t xml:space="preserve">targets </w:t>
      </w:r>
      <w:r w:rsidRPr="00B45F35">
        <w:t>include biosafety</w:t>
      </w:r>
      <w:r w:rsidR="00975092" w:rsidRPr="00B45F35">
        <w:t xml:space="preserve"> and biotechnology</w:t>
      </w:r>
      <w:r w:rsidRPr="00B45F35">
        <w:t xml:space="preserve"> (Target</w:t>
      </w:r>
      <w:r w:rsidR="00DF738B">
        <w:t> </w:t>
      </w:r>
      <w:r w:rsidRPr="00BB6518">
        <w:t xml:space="preserve">17) </w:t>
      </w:r>
      <w:r w:rsidRPr="00B45F35">
        <w:t>and gender</w:t>
      </w:r>
      <w:r w:rsidRPr="00B45F35">
        <w:rPr>
          <w:rStyle w:val="FootnoteReference"/>
        </w:rPr>
        <w:footnoteReference w:id="12"/>
      </w:r>
      <w:r w:rsidRPr="00B45F35">
        <w:t xml:space="preserve"> (Targets 22 and 23</w:t>
      </w:r>
      <w:r w:rsidR="1CAA2EDC" w:rsidRPr="00B45F35">
        <w:t>)</w:t>
      </w:r>
      <w:r w:rsidR="0091070A" w:rsidRPr="00B45F35">
        <w:t>,</w:t>
      </w:r>
      <w:r w:rsidRPr="00B45F35">
        <w:t xml:space="preserve"> as well as the introduction of new elements or expanded scope (e.g</w:t>
      </w:r>
      <w:r w:rsidRPr="00BB6518">
        <w:t>.</w:t>
      </w:r>
      <w:r w:rsidRPr="00B45F35">
        <w:t xml:space="preserve"> plastics in </w:t>
      </w:r>
      <w:r w:rsidR="1CAA2EDC" w:rsidRPr="00B45F35">
        <w:t>Target</w:t>
      </w:r>
      <w:r w:rsidRPr="00BB6518">
        <w:t xml:space="preserve"> 7 compared to</w:t>
      </w:r>
      <w:r w:rsidRPr="00B45F35">
        <w:t xml:space="preserve"> Aichi </w:t>
      </w:r>
      <w:r w:rsidRPr="00BA1AC1">
        <w:t>Biodiversity Target 8).</w:t>
      </w:r>
    </w:p>
    <w:p w14:paraId="0A1770AE" w14:textId="40B39E8A" w:rsidR="000927A7" w:rsidRDefault="00FD27EE" w:rsidP="00BB6518">
      <w:pPr>
        <w:pStyle w:val="Para10"/>
      </w:pPr>
      <w:r w:rsidRPr="00BA1AC1">
        <w:t xml:space="preserve">This assessment </w:t>
      </w:r>
      <w:r w:rsidR="000927A7" w:rsidRPr="00BA1AC1">
        <w:t>considers</w:t>
      </w:r>
      <w:r w:rsidRPr="00BA1AC1">
        <w:t xml:space="preserve"> potential gaps in each of the </w:t>
      </w:r>
      <w:r w:rsidR="00783DA4" w:rsidRPr="00BA1AC1">
        <w:t>targets</w:t>
      </w:r>
      <w:r w:rsidRPr="00BA1AC1">
        <w:t xml:space="preserve">, including sub-elements. </w:t>
      </w:r>
      <w:r w:rsidR="000927A7" w:rsidRPr="00BA1AC1">
        <w:t xml:space="preserve">Document </w:t>
      </w:r>
      <w:r w:rsidR="000927A7" w:rsidRPr="00BB6518">
        <w:t>CBD</w:t>
      </w:r>
      <w:r w:rsidR="000927A7" w:rsidRPr="00BA1AC1">
        <w:t>/</w:t>
      </w:r>
      <w:r w:rsidR="000927A7" w:rsidRPr="00BB6518">
        <w:t>SBSTTA</w:t>
      </w:r>
      <w:r w:rsidR="000927A7" w:rsidRPr="00BA1AC1">
        <w:t>/26/</w:t>
      </w:r>
      <w:r w:rsidR="000927A7" w:rsidRPr="00BB6518">
        <w:t>INF</w:t>
      </w:r>
      <w:r w:rsidR="000927A7" w:rsidRPr="00BA1AC1">
        <w:t xml:space="preserve">/15 </w:t>
      </w:r>
      <w:r w:rsidR="00783DA4" w:rsidRPr="00BA1AC1">
        <w:t xml:space="preserve">contains </w:t>
      </w:r>
      <w:r w:rsidR="000927A7" w:rsidRPr="00BA1AC1">
        <w:t>a summary of the detailed findings. A summary of the gaps identified is annexed to th</w:t>
      </w:r>
      <w:r w:rsidR="00BA1AC1" w:rsidRPr="00BA1AC1">
        <w:t>e present</w:t>
      </w:r>
      <w:r w:rsidR="000927A7" w:rsidRPr="00BA1AC1">
        <w:t xml:space="preserve"> document. </w:t>
      </w:r>
      <w:r w:rsidR="00854195" w:rsidRPr="00BA1AC1">
        <w:t xml:space="preserve">Many of these gaps could be addressed within existing programmes of work of the Convention (see section </w:t>
      </w:r>
      <w:r w:rsidR="00B53B73" w:rsidRPr="00BA1AC1">
        <w:t>IV</w:t>
      </w:r>
      <w:r w:rsidR="00BA1AC1" w:rsidRPr="00BB6518">
        <w:t> </w:t>
      </w:r>
      <w:r w:rsidR="00B53B73" w:rsidRPr="00BB6518">
        <w:t>B</w:t>
      </w:r>
      <w:r w:rsidR="00854195" w:rsidRPr="00BA1AC1">
        <w:t xml:space="preserve"> below</w:t>
      </w:r>
      <w:r w:rsidR="00854195">
        <w:t xml:space="preserve">). However, a few </w:t>
      </w:r>
      <w:r w:rsidR="00854195" w:rsidRPr="008C4B3B">
        <w:t>area</w:t>
      </w:r>
      <w:r w:rsidR="00854195" w:rsidRPr="00BB6518">
        <w:t>s</w:t>
      </w:r>
      <w:r w:rsidR="00BA1AC1" w:rsidRPr="00BB6518">
        <w:t>,</w:t>
      </w:r>
      <w:r w:rsidR="00854195" w:rsidRPr="00BB6518">
        <w:t xml:space="preserve"> such as</w:t>
      </w:r>
      <w:r w:rsidR="00854195" w:rsidRPr="008C4B3B">
        <w:t xml:space="preserve"> issues</w:t>
      </w:r>
      <w:r w:rsidR="00854195">
        <w:t xml:space="preserve"> related to spatial planning, biodiversity-based activities, </w:t>
      </w:r>
      <w:r w:rsidR="00854195" w:rsidRPr="00064752">
        <w:t xml:space="preserve">products and services and to pollution may </w:t>
      </w:r>
      <w:r w:rsidR="00854195" w:rsidRPr="00BB6518">
        <w:t>require that</w:t>
      </w:r>
      <w:r w:rsidR="00854195" w:rsidRPr="00064752">
        <w:t xml:space="preserve"> new </w:t>
      </w:r>
      <w:r w:rsidR="00854195" w:rsidRPr="00BB6518">
        <w:t>workstream</w:t>
      </w:r>
      <w:r w:rsidR="00854195" w:rsidRPr="00064752">
        <w:t xml:space="preserve">s are advanced (see section </w:t>
      </w:r>
      <w:r w:rsidR="00B53B73" w:rsidRPr="00064752">
        <w:t>IV</w:t>
      </w:r>
      <w:r w:rsidR="008C4B3B" w:rsidRPr="00BB6518">
        <w:t> </w:t>
      </w:r>
      <w:r w:rsidR="00B53B73" w:rsidRPr="00BB6518">
        <w:t>A</w:t>
      </w:r>
      <w:r w:rsidR="00854195" w:rsidRPr="00064752">
        <w:t xml:space="preserve"> below).</w:t>
      </w:r>
    </w:p>
    <w:p w14:paraId="02F6D7AA" w14:textId="4CC168E2" w:rsidR="00D9071C" w:rsidRDefault="000927A7" w:rsidP="00BB6518">
      <w:pPr>
        <w:pStyle w:val="Para10"/>
      </w:pPr>
      <w:r>
        <w:t>The assessment</w:t>
      </w:r>
      <w:r w:rsidR="00FD27EE" w:rsidRPr="00554CEE">
        <w:t xml:space="preserve"> has also considered </w:t>
      </w:r>
      <w:r w:rsidR="00FD27EE" w:rsidRPr="002C3596">
        <w:t xml:space="preserve">other elements and cross-cutting areas of the Framework beyond the targets. For example, Section C </w:t>
      </w:r>
      <w:r w:rsidR="00E47459">
        <w:t xml:space="preserve">of the Framework </w:t>
      </w:r>
      <w:r w:rsidR="00FD27EE" w:rsidRPr="002C3596">
        <w:t xml:space="preserve">states that the Framework, including its </w:t>
      </w:r>
      <w:r w:rsidR="00C32DC4">
        <w:t>v</w:t>
      </w:r>
      <w:r w:rsidR="00FD27EE" w:rsidRPr="002C3596">
        <w:t xml:space="preserve">ision, </w:t>
      </w:r>
      <w:r w:rsidR="00C32DC4">
        <w:t>m</w:t>
      </w:r>
      <w:r w:rsidR="00FD27EE" w:rsidRPr="002C3596">
        <w:t xml:space="preserve">ission, </w:t>
      </w:r>
      <w:r w:rsidR="00C32DC4">
        <w:t>g</w:t>
      </w:r>
      <w:r w:rsidR="00FD27EE" w:rsidRPr="002C3596">
        <w:t xml:space="preserve">oals and </w:t>
      </w:r>
      <w:r w:rsidR="00C32DC4">
        <w:t>t</w:t>
      </w:r>
      <w:r w:rsidR="00FD27EE" w:rsidRPr="002C3596">
        <w:t xml:space="preserve">argets, is to be understood, acted upon, implemented, reported and evaluated, consistent with a set of considerations (as listed in Section C). As such, existing </w:t>
      </w:r>
      <w:r w:rsidR="00FD27EE" w:rsidRPr="00F602AE">
        <w:t>guidance</w:t>
      </w:r>
      <w:r w:rsidR="00FD27EE" w:rsidRPr="00BB6518">
        <w:t xml:space="preserve"> and</w:t>
      </w:r>
      <w:r w:rsidR="00FD27EE" w:rsidRPr="00C32DC4">
        <w:t xml:space="preserve"> gaps in tools and guidance</w:t>
      </w:r>
      <w:r w:rsidR="00FD27EE" w:rsidRPr="002C3596">
        <w:t xml:space="preserve"> for each of these are relevant to the implementation of the Framework</w:t>
      </w:r>
      <w:r>
        <w:t xml:space="preserve">. This </w:t>
      </w:r>
      <w:r w:rsidRPr="00C32DC4">
        <w:t>includes the</w:t>
      </w:r>
      <w:r w:rsidR="00FD27EE" w:rsidRPr="00C32DC4">
        <w:t xml:space="preserve"> </w:t>
      </w:r>
      <w:r w:rsidR="00C32DC4" w:rsidRPr="00C32DC4">
        <w:t>e</w:t>
      </w:r>
      <w:r w:rsidR="00FD27EE" w:rsidRPr="00C32DC4">
        <w:t xml:space="preserve">cosystem </w:t>
      </w:r>
      <w:r w:rsidR="00C32DC4" w:rsidRPr="00C32DC4">
        <w:t>a</w:t>
      </w:r>
      <w:r w:rsidR="00FD27EE" w:rsidRPr="00C32DC4">
        <w:t xml:space="preserve">pproach </w:t>
      </w:r>
      <w:r w:rsidRPr="00C32DC4">
        <w:t>for which much guidance has been developed under the Convention. It also includes a number of considerations related to equit</w:t>
      </w:r>
      <w:r w:rsidRPr="00BB6518">
        <w:t>y</w:t>
      </w:r>
      <w:r w:rsidR="00C32DC4" w:rsidRPr="00BB6518">
        <w:t>,</w:t>
      </w:r>
      <w:r w:rsidRPr="00BB6518">
        <w:t xml:space="preserve"> including </w:t>
      </w:r>
      <w:r w:rsidR="00C32DC4" w:rsidRPr="00BB6518">
        <w:t>“</w:t>
      </w:r>
      <w:r w:rsidRPr="00C32DC4">
        <w:t>intergenerational equity</w:t>
      </w:r>
      <w:r w:rsidR="00C32DC4" w:rsidRPr="00C32DC4">
        <w:t>”</w:t>
      </w:r>
      <w:r w:rsidRPr="00C32DC4">
        <w:t>, gender equality</w:t>
      </w:r>
      <w:r w:rsidRPr="00BB6518">
        <w:t xml:space="preserve"> and</w:t>
      </w:r>
      <w:r w:rsidRPr="00C32DC4">
        <w:t xml:space="preserve"> to human rights, including the </w:t>
      </w:r>
      <w:r w:rsidR="00FD27EE" w:rsidRPr="00C32DC4">
        <w:t xml:space="preserve">rights of </w:t>
      </w:r>
      <w:r w:rsidR="00FD27EE" w:rsidRPr="00BB6518">
        <w:t>indigenous people</w:t>
      </w:r>
      <w:r w:rsidR="00FD27EE" w:rsidRPr="00C32DC4">
        <w:t xml:space="preserve">s and local communities. </w:t>
      </w:r>
      <w:r w:rsidRPr="00C32DC4">
        <w:t xml:space="preserve">Considerable guidance has been developed under the </w:t>
      </w:r>
      <w:r w:rsidR="00E47459" w:rsidRPr="00C32DC4">
        <w:t>C</w:t>
      </w:r>
      <w:r w:rsidRPr="00C32DC4">
        <w:t>onvention in relation t</w:t>
      </w:r>
      <w:r w:rsidRPr="00BB6518">
        <w:t xml:space="preserve">o </w:t>
      </w:r>
      <w:r w:rsidR="0096685D" w:rsidRPr="00BB6518">
        <w:t>Article</w:t>
      </w:r>
      <w:r w:rsidRPr="00C32DC4">
        <w:t xml:space="preserve"> 8(j) and related provisions and additional elements are being considered in the context of the </w:t>
      </w:r>
      <w:r w:rsidR="00854195" w:rsidRPr="00C32DC4">
        <w:t>new programme</w:t>
      </w:r>
      <w:r w:rsidR="00854195">
        <w:t xml:space="preserve"> of work on this area</w:t>
      </w:r>
      <w:r w:rsidR="00E47459">
        <w:t>, which are</w:t>
      </w:r>
      <w:r w:rsidR="00854195">
        <w:t xml:space="preserve"> to be considered by the Conference of the Parties at its sixteenth meeting. The Framework is also accompanied by a Gender Plan of Action. However, while there is substantial guidance developed </w:t>
      </w:r>
      <w:r w:rsidR="00E47459">
        <w:t xml:space="preserve">on the issues of </w:t>
      </w:r>
      <w:r w:rsidR="00854195">
        <w:t>human rights</w:t>
      </w:r>
      <w:r w:rsidR="00E47459">
        <w:t xml:space="preserve"> under the relevant</w:t>
      </w:r>
      <w:r w:rsidR="00854195">
        <w:t xml:space="preserve"> bodies of the United Nations, there is little specific guidance on how this related to the </w:t>
      </w:r>
      <w:r w:rsidR="00854195" w:rsidRPr="00516531">
        <w:t xml:space="preserve">biodiversity and </w:t>
      </w:r>
      <w:r w:rsidR="00E47459" w:rsidRPr="00516531">
        <w:t xml:space="preserve">the </w:t>
      </w:r>
      <w:r w:rsidR="00854195" w:rsidRPr="00516531">
        <w:t xml:space="preserve">Convention. </w:t>
      </w:r>
      <w:r w:rsidR="0096685D" w:rsidRPr="00516531">
        <w:t>Similarly</w:t>
      </w:r>
      <w:r w:rsidR="00516531">
        <w:t>,</w:t>
      </w:r>
      <w:r w:rsidR="00854195" w:rsidRPr="00516531">
        <w:t xml:space="preserve"> there is </w:t>
      </w:r>
      <w:r w:rsidR="0096685D" w:rsidRPr="00516531">
        <w:t>little</w:t>
      </w:r>
      <w:r w:rsidR="00854195" w:rsidRPr="00516531">
        <w:t xml:space="preserve"> specific guidance </w:t>
      </w:r>
      <w:r w:rsidR="0096685D" w:rsidRPr="00516531">
        <w:t>related</w:t>
      </w:r>
      <w:r w:rsidR="00854195" w:rsidRPr="00516531">
        <w:t xml:space="preserve"> to equity yet this is not only an important cross-cutting consideration, but also </w:t>
      </w:r>
      <w:r w:rsidR="0096685D" w:rsidRPr="00516531">
        <w:t>closely</w:t>
      </w:r>
      <w:r w:rsidR="00854195" w:rsidRPr="00516531">
        <w:t xml:space="preserve"> related to Targets 13, 16, 22 and 23</w:t>
      </w:r>
      <w:r w:rsidR="00854195" w:rsidRPr="00BB6518">
        <w:t xml:space="preserve"> </w:t>
      </w:r>
      <w:r w:rsidR="00854195" w:rsidRPr="00516531">
        <w:t>and Goals B and C.</w:t>
      </w:r>
      <w:r w:rsidR="00854195">
        <w:t xml:space="preserve"> </w:t>
      </w:r>
    </w:p>
    <w:p w14:paraId="6EE33088" w14:textId="5ABAF11F" w:rsidR="00334EE0" w:rsidRPr="00334EE0" w:rsidRDefault="00334EE0" w:rsidP="00BB6518">
      <w:pPr>
        <w:pStyle w:val="Para10"/>
      </w:pPr>
      <w:r w:rsidRPr="00334EE0">
        <w:t>There is limited guidance on how to achieve transformative action and change (</w:t>
      </w:r>
      <w:r w:rsidR="0044056A" w:rsidRPr="00334EE0">
        <w:t xml:space="preserve">Section B </w:t>
      </w:r>
      <w:r w:rsidR="0044056A">
        <w:t xml:space="preserve">of the </w:t>
      </w:r>
      <w:r w:rsidRPr="00334EE0">
        <w:t xml:space="preserve">Framework). </w:t>
      </w:r>
      <w:r w:rsidRPr="00381645">
        <w:t xml:space="preserve">However, </w:t>
      </w:r>
      <w:r w:rsidRPr="00BB6518">
        <w:t>the</w:t>
      </w:r>
      <w:r w:rsidRPr="00381645">
        <w:t xml:space="preserve"> </w:t>
      </w:r>
      <w:r w:rsidR="00E1581A" w:rsidRPr="00381645">
        <w:t>a</w:t>
      </w:r>
      <w:r w:rsidRPr="00381645">
        <w:t>ssessment</w:t>
      </w:r>
      <w:r w:rsidRPr="00334EE0">
        <w:t xml:space="preserve"> on </w:t>
      </w:r>
      <w:r w:rsidR="00E1581A" w:rsidRPr="00AE6558">
        <w:t>t</w:t>
      </w:r>
      <w:r w:rsidRPr="00AE6558">
        <w:t xml:space="preserve">ransformative </w:t>
      </w:r>
      <w:r w:rsidR="00E1581A" w:rsidRPr="00AE6558">
        <w:t>c</w:t>
      </w:r>
      <w:r w:rsidRPr="00AE6558">
        <w:t xml:space="preserve">hange </w:t>
      </w:r>
      <w:r w:rsidR="00E1581A" w:rsidRPr="00AE6558">
        <w:t xml:space="preserve">of the Intergovernmental Science-Policy Platform on Biodiversity and Ecosystem Services </w:t>
      </w:r>
      <w:r w:rsidRPr="00AE6558">
        <w:t xml:space="preserve">is </w:t>
      </w:r>
      <w:r w:rsidRPr="00BB6518">
        <w:t>due to</w:t>
      </w:r>
      <w:r w:rsidRPr="00AE6558">
        <w:t xml:space="preserve"> </w:t>
      </w:r>
      <w:r w:rsidR="00E47459" w:rsidRPr="00AE6558">
        <w:t xml:space="preserve">be </w:t>
      </w:r>
      <w:r w:rsidRPr="00AE6558">
        <w:t xml:space="preserve">finalized and approved by </w:t>
      </w:r>
      <w:r w:rsidRPr="00BB6518">
        <w:t xml:space="preserve">the </w:t>
      </w:r>
      <w:r w:rsidRPr="00AE6558">
        <w:t xml:space="preserve">Plenary </w:t>
      </w:r>
      <w:r w:rsidR="00113286" w:rsidRPr="00AE6558">
        <w:t xml:space="preserve">of the Intergovernmental Science-Policy Platform on Biodiversity and Ecosystem Services </w:t>
      </w:r>
      <w:r w:rsidRPr="00AE6558">
        <w:t xml:space="preserve">at its upcoming session in December 2024, and the Subsidiary Body is </w:t>
      </w:r>
      <w:r w:rsidRPr="00BB6518">
        <w:t>due to</w:t>
      </w:r>
      <w:r w:rsidRPr="00AE6558">
        <w:t xml:space="preserve"> consider</w:t>
      </w:r>
      <w:r w:rsidRPr="00334EE0">
        <w:t xml:space="preserve"> </w:t>
      </w:r>
      <w:r w:rsidRPr="00334EE0">
        <w:lastRenderedPageBreak/>
        <w:t xml:space="preserve">implications of the assessment for the work of the Convention at a meeting prior to the seventeenth meeting of the Conference of the Parties. </w:t>
      </w:r>
    </w:p>
    <w:p w14:paraId="01DE5068" w14:textId="0D1B7453" w:rsidR="00854195" w:rsidRPr="00127116" w:rsidRDefault="00854195" w:rsidP="00854195">
      <w:pPr>
        <w:pStyle w:val="Heading1"/>
        <w:rPr>
          <w:lang w:val="en-GB"/>
        </w:rPr>
      </w:pPr>
      <w:r w:rsidRPr="00127116">
        <w:rPr>
          <w:lang w:val="en-GB"/>
        </w:rPr>
        <w:t>Potential gaps that may require further work</w:t>
      </w:r>
    </w:p>
    <w:p w14:paraId="50B545E9" w14:textId="65608698" w:rsidR="00E47459" w:rsidRPr="00127116" w:rsidRDefault="00486FA4" w:rsidP="00BB6518">
      <w:pPr>
        <w:pStyle w:val="Para10"/>
      </w:pPr>
      <w:r w:rsidRPr="00127116">
        <w:t xml:space="preserve">The identified gaps are </w:t>
      </w:r>
      <w:r w:rsidRPr="00BB6518">
        <w:t>organi</w:t>
      </w:r>
      <w:r w:rsidR="007C709F" w:rsidRPr="00BB6518">
        <w:t>z</w:t>
      </w:r>
      <w:r w:rsidRPr="00BB6518">
        <w:t>e</w:t>
      </w:r>
      <w:r w:rsidRPr="00127116">
        <w:t>d under t</w:t>
      </w:r>
      <w:r w:rsidR="00E47459" w:rsidRPr="00127116">
        <w:t>wo</w:t>
      </w:r>
      <w:r w:rsidRPr="00127116">
        <w:t xml:space="preserve"> categories according to the</w:t>
      </w:r>
      <w:r w:rsidR="00600E4A" w:rsidRPr="00127116">
        <w:t xml:space="preserve">ir </w:t>
      </w:r>
      <w:r w:rsidR="007C0351" w:rsidRPr="00127116">
        <w:t>scope, scale</w:t>
      </w:r>
      <w:r w:rsidRPr="00127116">
        <w:t xml:space="preserve"> of needs and options for addressing them: (</w:t>
      </w:r>
      <w:r w:rsidR="00F23A67" w:rsidRPr="00127116">
        <w:t>A</w:t>
      </w:r>
      <w:r w:rsidRPr="00127116">
        <w:t xml:space="preserve">) </w:t>
      </w:r>
      <w:r w:rsidR="00854195" w:rsidRPr="00127116">
        <w:t>topics that may warrant new areas of work under the Convention</w:t>
      </w:r>
      <w:r w:rsidRPr="00127116">
        <w:t>; (</w:t>
      </w:r>
      <w:r w:rsidR="00F23A67" w:rsidRPr="00127116">
        <w:t>B</w:t>
      </w:r>
      <w:r w:rsidRPr="00127116">
        <w:t xml:space="preserve">) </w:t>
      </w:r>
      <w:r w:rsidR="00854195" w:rsidRPr="00127116">
        <w:t xml:space="preserve">discrete and specific </w:t>
      </w:r>
      <w:r w:rsidRPr="00127116">
        <w:t xml:space="preserve">gaps </w:t>
      </w:r>
      <w:r w:rsidR="00854195" w:rsidRPr="00127116">
        <w:t xml:space="preserve">that may be addressed </w:t>
      </w:r>
      <w:r w:rsidRPr="00127116">
        <w:t>within existing work areas</w:t>
      </w:r>
      <w:r w:rsidR="00600E4A" w:rsidRPr="00127116">
        <w:t xml:space="preserve">. </w:t>
      </w:r>
      <w:r w:rsidR="00854195" w:rsidRPr="00127116">
        <w:t xml:space="preserve">It is proposed that any work to be advanced in these areas should be in cooperation with </w:t>
      </w:r>
      <w:r w:rsidR="00C63F7C" w:rsidRPr="00127116">
        <w:t xml:space="preserve">relevant organizations, </w:t>
      </w:r>
      <w:r w:rsidR="009F0A1D" w:rsidRPr="00127116">
        <w:t xml:space="preserve">intergovernmental </w:t>
      </w:r>
      <w:r w:rsidR="00C63F7C" w:rsidRPr="00127116">
        <w:t>processes and initiatives</w:t>
      </w:r>
      <w:r w:rsidR="00854195" w:rsidRPr="00127116">
        <w:t>, with a view to leverag</w:t>
      </w:r>
      <w:r w:rsidR="001367C4" w:rsidRPr="00127116">
        <w:t>ing</w:t>
      </w:r>
      <w:r w:rsidR="00854195" w:rsidRPr="00127116">
        <w:t xml:space="preserve"> existing guidance, especially that prepared </w:t>
      </w:r>
      <w:r w:rsidR="0009543D" w:rsidRPr="00127116">
        <w:t>under the auspices of</w:t>
      </w:r>
      <w:r w:rsidR="00854195" w:rsidRPr="00127116">
        <w:t xml:space="preserve"> </w:t>
      </w:r>
      <w:r w:rsidR="0009543D" w:rsidRPr="00127116">
        <w:t>competent intergovernmental processes, to avoid redundancy</w:t>
      </w:r>
      <w:r w:rsidR="0009543D" w:rsidRPr="00BB6518">
        <w:t xml:space="preserve"> and</w:t>
      </w:r>
      <w:r w:rsidR="0009543D" w:rsidRPr="00127116">
        <w:t xml:space="preserve"> to promote mainstreaming of biodiversity within those other organizations, processes and initiatives</w:t>
      </w:r>
      <w:r w:rsidR="00C63F7C" w:rsidRPr="00127116">
        <w:t>.</w:t>
      </w:r>
    </w:p>
    <w:p w14:paraId="3B642810" w14:textId="43186815" w:rsidR="00600E4A" w:rsidRPr="00127116" w:rsidRDefault="00600E4A" w:rsidP="00BB6518">
      <w:pPr>
        <w:pStyle w:val="Heading2"/>
      </w:pPr>
      <w:r w:rsidRPr="00127116">
        <w:t>A</w:t>
      </w:r>
      <w:r w:rsidR="009F0A1D" w:rsidRPr="00127116">
        <w:t>.</w:t>
      </w:r>
      <w:r w:rsidR="001367C4" w:rsidRPr="00127116">
        <w:tab/>
      </w:r>
      <w:r w:rsidR="0009543D" w:rsidRPr="00127116">
        <w:t>Potential</w:t>
      </w:r>
      <w:r w:rsidR="005949C3" w:rsidRPr="00127116">
        <w:t xml:space="preserve"> n</w:t>
      </w:r>
      <w:r w:rsidRPr="00127116">
        <w:t>ew work areas</w:t>
      </w:r>
      <w:r w:rsidR="0009543D" w:rsidRPr="00127116">
        <w:t xml:space="preserve"> under the Convention</w:t>
      </w:r>
    </w:p>
    <w:p w14:paraId="1C0EB86E" w14:textId="4E58229E" w:rsidR="002F1946" w:rsidRPr="00127116" w:rsidRDefault="002F1946" w:rsidP="00BB6518">
      <w:pPr>
        <w:pStyle w:val="Heading3"/>
      </w:pPr>
      <w:r w:rsidRPr="00127116">
        <w:t>B</w:t>
      </w:r>
      <w:r w:rsidR="00C7055B" w:rsidRPr="00127116">
        <w:t xml:space="preserve">iodiversity-inclusive </w:t>
      </w:r>
      <w:r w:rsidRPr="00127116">
        <w:t xml:space="preserve">spatial planning </w:t>
      </w:r>
    </w:p>
    <w:p w14:paraId="0C40036C" w14:textId="3973F555" w:rsidR="005B0F53" w:rsidRPr="005B0F53" w:rsidRDefault="005B0F53" w:rsidP="00BB6518">
      <w:pPr>
        <w:pStyle w:val="Para10"/>
        <w:rPr>
          <w:i/>
          <w:iCs/>
        </w:rPr>
      </w:pPr>
      <w:r w:rsidRPr="00127116">
        <w:t>Target</w:t>
      </w:r>
      <w:r w:rsidRPr="00BB6518">
        <w:t xml:space="preserve"> 1 focusses</w:t>
      </w:r>
      <w:r>
        <w:t xml:space="preserve"> on biodiversity inclusive spatial planning</w:t>
      </w:r>
      <w:r w:rsidR="00534F08">
        <w:t xml:space="preserve"> and effective management processes addressing land- and sea-use change</w:t>
      </w:r>
      <w:r>
        <w:t xml:space="preserve">. </w:t>
      </w:r>
      <w:r w:rsidR="004F7413">
        <w:t>While</w:t>
      </w:r>
      <w:r w:rsidR="002F1946">
        <w:t xml:space="preserve"> m</w:t>
      </w:r>
      <w:r w:rsidR="00E13F2B" w:rsidRPr="00157943">
        <w:t>arine spatial planning and integrated marine and coastal area management</w:t>
      </w:r>
      <w:r w:rsidR="00740DC8" w:rsidRPr="00157943">
        <w:t xml:space="preserve"> ha</w:t>
      </w:r>
      <w:r w:rsidR="001A4B9D" w:rsidRPr="00157943">
        <w:t>ve</w:t>
      </w:r>
      <w:r w:rsidR="00740DC8" w:rsidRPr="00157943">
        <w:t xml:space="preserve"> received </w:t>
      </w:r>
      <w:r w:rsidR="007C0351">
        <w:t xml:space="preserve">some </w:t>
      </w:r>
      <w:r w:rsidR="00740DC8" w:rsidRPr="00157943">
        <w:t>attention</w:t>
      </w:r>
      <w:r w:rsidR="002F1946">
        <w:t xml:space="preserve"> under the Convention</w:t>
      </w:r>
      <w:r w:rsidR="004F7413">
        <w:t>,</w:t>
      </w:r>
      <w:r w:rsidR="002F1946">
        <w:t xml:space="preserve"> there is a significant gap regarding </w:t>
      </w:r>
      <w:r w:rsidR="008548E2" w:rsidRPr="008548E2">
        <w:t xml:space="preserve">biodiversity-inclusive spatial planning </w:t>
      </w:r>
      <w:r w:rsidR="002F1946">
        <w:t xml:space="preserve">on </w:t>
      </w:r>
      <w:r w:rsidR="002F1946" w:rsidRPr="008548E2">
        <w:t>land</w:t>
      </w:r>
      <w:r w:rsidR="002F1946">
        <w:t xml:space="preserve">. </w:t>
      </w:r>
      <w:r w:rsidRPr="002F1946">
        <w:t xml:space="preserve">The extent to which the available </w:t>
      </w:r>
      <w:r>
        <w:t xml:space="preserve">external </w:t>
      </w:r>
      <w:r w:rsidRPr="002F1946">
        <w:t xml:space="preserve">guidance on </w:t>
      </w:r>
      <w:r>
        <w:t xml:space="preserve">spatial planning is </w:t>
      </w:r>
      <w:r w:rsidRPr="002F1946">
        <w:t>biodiversity inclusive has not been fully assessed</w:t>
      </w:r>
      <w:r w:rsidRPr="008548E2">
        <w:t xml:space="preserve"> </w:t>
      </w:r>
      <w:r w:rsidRPr="002F1946">
        <w:t>in the context of the present review</w:t>
      </w:r>
      <w:r>
        <w:t xml:space="preserve"> but gaps are known to exist</w:t>
      </w:r>
      <w:r w:rsidRPr="002F1946">
        <w:t xml:space="preserve">. </w:t>
      </w:r>
      <w:r>
        <w:t xml:space="preserve">The methodological assessment </w:t>
      </w:r>
      <w:r w:rsidR="00127116">
        <w:t xml:space="preserve">of the </w:t>
      </w:r>
      <w:r w:rsidR="00127116" w:rsidRPr="00F460DC">
        <w:t>Intergovernmental Science-Policy Platform on Biodiversity and Ecosystem Services</w:t>
      </w:r>
      <w:r w:rsidR="00127116">
        <w:t xml:space="preserve"> </w:t>
      </w:r>
      <w:r>
        <w:t xml:space="preserve">will address this gap but it will be completed only in late 2027 and be considered under the Convention in 2028. Given that biodiversity inclusive spatial planning is an important basis for achieving progress on </w:t>
      </w:r>
      <w:r w:rsidR="008D768D" w:rsidRPr="008D768D">
        <w:t>T</w:t>
      </w:r>
      <w:r w:rsidRPr="008D768D">
        <w:t>arget</w:t>
      </w:r>
      <w:r w:rsidRPr="00BB6518">
        <w:t xml:space="preserve"> 1</w:t>
      </w:r>
      <w:r w:rsidR="008D768D" w:rsidRPr="00BB6518">
        <w:t>,</w:t>
      </w:r>
      <w:r w:rsidRPr="00BB6518">
        <w:t xml:space="preserve"> a</w:t>
      </w:r>
      <w:r w:rsidRPr="008D768D">
        <w:t xml:space="preserve">s well as </w:t>
      </w:r>
      <w:r w:rsidR="008D768D">
        <w:t>T</w:t>
      </w:r>
      <w:r w:rsidRPr="008D768D">
        <w:t>argets 2,</w:t>
      </w:r>
      <w:r w:rsidRPr="00BB6518">
        <w:t xml:space="preserve"> 3 a</w:t>
      </w:r>
      <w:r w:rsidRPr="008D768D">
        <w:t>nd 12, it</w:t>
      </w:r>
      <w:r>
        <w:t xml:space="preserve"> would seem urgent to undertake some work during the coming biennium. Such work could:</w:t>
      </w:r>
    </w:p>
    <w:p w14:paraId="2540F9B3" w14:textId="6A1578E1" w:rsidR="002F7A48" w:rsidRPr="00EF082B" w:rsidRDefault="002F7A48" w:rsidP="00BB6518">
      <w:pPr>
        <w:pStyle w:val="Para10"/>
        <w:numPr>
          <w:ilvl w:val="0"/>
          <w:numId w:val="60"/>
        </w:numPr>
        <w:tabs>
          <w:tab w:val="clear" w:pos="1134"/>
          <w:tab w:val="left" w:pos="1701"/>
        </w:tabs>
        <w:ind w:left="567" w:firstLine="567"/>
      </w:pPr>
      <w:r w:rsidRPr="00E47459">
        <w:t xml:space="preserve">Build upon relevant </w:t>
      </w:r>
      <w:r w:rsidR="005B0F53" w:rsidRPr="00E47459">
        <w:t>experience of Parties in various aspects of land planning</w:t>
      </w:r>
      <w:r w:rsidRPr="00E47459">
        <w:t xml:space="preserve">, </w:t>
      </w:r>
      <w:r w:rsidR="005B0F53" w:rsidRPr="00E47459">
        <w:t>ecological zoning</w:t>
      </w:r>
      <w:r w:rsidRPr="00E47459">
        <w:t>, water basin management and integrated water resource management, through the compilation of submissions, workshops, webinars and other information</w:t>
      </w:r>
      <w:r w:rsidR="00E47459">
        <w:t>-</w:t>
      </w:r>
      <w:r w:rsidRPr="00E47459">
        <w:t xml:space="preserve">sharing events; </w:t>
      </w:r>
    </w:p>
    <w:p w14:paraId="657D1BCB" w14:textId="608A95D8" w:rsidR="005B0F53" w:rsidRPr="00EF082B" w:rsidRDefault="002F7A48" w:rsidP="00BB6518">
      <w:pPr>
        <w:pStyle w:val="Para10"/>
        <w:numPr>
          <w:ilvl w:val="0"/>
          <w:numId w:val="60"/>
        </w:numPr>
        <w:tabs>
          <w:tab w:val="clear" w:pos="1134"/>
          <w:tab w:val="left" w:pos="1701"/>
        </w:tabs>
        <w:ind w:left="567" w:firstLine="567"/>
      </w:pPr>
      <w:r w:rsidRPr="00E47459">
        <w:t>Involve c</w:t>
      </w:r>
      <w:r w:rsidR="005B0F53" w:rsidRPr="00E47459">
        <w:t xml:space="preserve">ooperation with relevant organizations, </w:t>
      </w:r>
      <w:r w:rsidR="005B0F53" w:rsidRPr="00416B98">
        <w:t xml:space="preserve">such as </w:t>
      </w:r>
      <w:r w:rsidR="005B0F53" w:rsidRPr="00BB6518">
        <w:t>FAO</w:t>
      </w:r>
      <w:r w:rsidR="005B0F53" w:rsidRPr="00416B98">
        <w:t xml:space="preserve">, </w:t>
      </w:r>
      <w:r w:rsidRPr="00416B98">
        <w:t>to</w:t>
      </w:r>
      <w:r w:rsidRPr="00E47459">
        <w:t xml:space="preserve"> identify relevant tools and approaches and explore opportunities for making such tools and approaches more biodiversity-inclusive</w:t>
      </w:r>
      <w:r w:rsidR="00EC64EF">
        <w:t>.</w:t>
      </w:r>
    </w:p>
    <w:p w14:paraId="5D6ADD8F" w14:textId="760658CD" w:rsidR="00E47459" w:rsidRPr="00BB6518" w:rsidRDefault="002F7A48" w:rsidP="00BB6518">
      <w:pPr>
        <w:pStyle w:val="Para10"/>
        <w:rPr>
          <w:b/>
          <w:bCs/>
        </w:rPr>
      </w:pPr>
      <w:r>
        <w:t>Such work could be pursued through the compilation of submissions, workshops, webinars and other information</w:t>
      </w:r>
      <w:r w:rsidR="00E47459">
        <w:t>-</w:t>
      </w:r>
      <w:r>
        <w:t xml:space="preserve">sharing </w:t>
      </w:r>
      <w:r w:rsidRPr="00EC64EF">
        <w:t>events</w:t>
      </w:r>
      <w:r w:rsidRPr="00BB6518">
        <w:t xml:space="preserve">, </w:t>
      </w:r>
      <w:r w:rsidR="00EC64EF" w:rsidRPr="00EC64EF">
        <w:t>as</w:t>
      </w:r>
      <w:r w:rsidR="00EC64EF">
        <w:t xml:space="preserve"> well as </w:t>
      </w:r>
      <w:r>
        <w:t>through expert processes to identify guidance for integrating biodiversity-related considerations into spatial planning</w:t>
      </w:r>
      <w:r w:rsidR="00E47459">
        <w:t>.</w:t>
      </w:r>
      <w:r>
        <w:t xml:space="preserve"> </w:t>
      </w:r>
    </w:p>
    <w:p w14:paraId="55D9DFB1" w14:textId="3229FE38" w:rsidR="00C63F7C" w:rsidRPr="00B00562" w:rsidRDefault="00324798" w:rsidP="00BB6518">
      <w:pPr>
        <w:pStyle w:val="Heading3"/>
      </w:pPr>
      <w:r>
        <w:t>P</w:t>
      </w:r>
      <w:r w:rsidR="00C63F7C" w:rsidRPr="00B00562">
        <w:t>ollution</w:t>
      </w:r>
      <w:r w:rsidR="009F0A1D">
        <w:t xml:space="preserve"> </w:t>
      </w:r>
      <w:r w:rsidR="00EA3E52">
        <w:t>and</w:t>
      </w:r>
      <w:r w:rsidR="009F0A1D">
        <w:t xml:space="preserve"> biodiversity</w:t>
      </w:r>
    </w:p>
    <w:p w14:paraId="0452AE2C" w14:textId="100A6E9B" w:rsidR="00C63F7C" w:rsidRDefault="004F7413" w:rsidP="00BB6518">
      <w:pPr>
        <w:pStyle w:val="Para10"/>
      </w:pPr>
      <w:r>
        <w:t>The impacts of p</w:t>
      </w:r>
      <w:r w:rsidR="00C63F7C">
        <w:t>ollution</w:t>
      </w:r>
      <w:r>
        <w:t xml:space="preserve"> on biodiversity</w:t>
      </w:r>
      <w:r w:rsidR="00C63F7C">
        <w:t xml:space="preserve"> ha</w:t>
      </w:r>
      <w:r w:rsidR="00E47459">
        <w:t>ve</w:t>
      </w:r>
      <w:r w:rsidR="00C63F7C">
        <w:t xml:space="preserve"> received</w:t>
      </w:r>
      <w:r>
        <w:t xml:space="preserve"> limited </w:t>
      </w:r>
      <w:r w:rsidR="00C63F7C">
        <w:t>attention</w:t>
      </w:r>
      <w:r>
        <w:t xml:space="preserve">, </w:t>
      </w:r>
      <w:r w:rsidR="00534F08">
        <w:t>mostly</w:t>
      </w:r>
      <w:r>
        <w:t xml:space="preserve"> through the work under</w:t>
      </w:r>
      <w:r w:rsidR="00C63F7C">
        <w:t xml:space="preserve"> </w:t>
      </w:r>
      <w:r>
        <w:t xml:space="preserve">the programme of work on marine and </w:t>
      </w:r>
      <w:r w:rsidRPr="0076523D">
        <w:t xml:space="preserve">coastal biodiversity (e.g. the impacts of marine debris, underwater noise, ocean fertilization, etc), </w:t>
      </w:r>
      <w:r w:rsidR="00C63F7C" w:rsidRPr="0076523D">
        <w:t xml:space="preserve">despite it being </w:t>
      </w:r>
      <w:r w:rsidR="00C63F7C" w:rsidRPr="00BB6518">
        <w:t>recogni</w:t>
      </w:r>
      <w:r w:rsidR="0076523D" w:rsidRPr="00BB6518">
        <w:t>z</w:t>
      </w:r>
      <w:r w:rsidR="00C63F7C" w:rsidRPr="0076523D">
        <w:t xml:space="preserve">ed as one of the </w:t>
      </w:r>
      <w:r w:rsidR="00534F08" w:rsidRPr="0076523D">
        <w:t>key five drivers of biodiversity loss. Work in this area coul</w:t>
      </w:r>
      <w:r w:rsidR="006F1A93" w:rsidRPr="0076523D">
        <w:t>d</w:t>
      </w:r>
      <w:r w:rsidR="00534F08" w:rsidRPr="0076523D">
        <w:t>:</w:t>
      </w:r>
    </w:p>
    <w:p w14:paraId="10CC0561" w14:textId="7B41F5FD" w:rsidR="00534F08" w:rsidRDefault="00534F08" w:rsidP="00BB6518">
      <w:pPr>
        <w:pStyle w:val="Para10"/>
        <w:numPr>
          <w:ilvl w:val="0"/>
          <w:numId w:val="47"/>
        </w:numPr>
        <w:tabs>
          <w:tab w:val="clear" w:pos="1134"/>
          <w:tab w:val="left" w:pos="1701"/>
        </w:tabs>
        <w:ind w:left="567" w:firstLine="594"/>
      </w:pPr>
      <w:r>
        <w:t xml:space="preserve">Strengthen </w:t>
      </w:r>
      <w:r w:rsidRPr="003F4CD2">
        <w:t>cooperation with the chemicals and waste-related conventions and agreements, including in the context of the Global Framework on Chemicals</w:t>
      </w:r>
      <w:r w:rsidR="003F4CD2" w:rsidRPr="003F4CD2">
        <w:t>,</w:t>
      </w:r>
      <w:r w:rsidRPr="00BB6518">
        <w:rPr>
          <w:vertAlign w:val="superscript"/>
        </w:rPr>
        <w:footnoteReference w:id="13"/>
      </w:r>
      <w:r w:rsidRPr="00BB6518">
        <w:t xml:space="preserve"> and</w:t>
      </w:r>
      <w:r w:rsidRPr="003F4CD2">
        <w:t xml:space="preserve"> opportunities for mainstreaming the Kunming Montreal Global Biodiversity Framework into these and other relevant processes;</w:t>
      </w:r>
    </w:p>
    <w:p w14:paraId="46C58B27" w14:textId="4E894E32" w:rsidR="00534F08" w:rsidRDefault="00534F08" w:rsidP="00BB6518">
      <w:pPr>
        <w:pStyle w:val="Para10"/>
        <w:numPr>
          <w:ilvl w:val="0"/>
          <w:numId w:val="47"/>
        </w:numPr>
        <w:tabs>
          <w:tab w:val="clear" w:pos="1134"/>
          <w:tab w:val="left" w:pos="1701"/>
        </w:tabs>
        <w:ind w:left="567" w:firstLine="594"/>
      </w:pPr>
      <w:r>
        <w:lastRenderedPageBreak/>
        <w:t xml:space="preserve">Further enhance cooperation with </w:t>
      </w:r>
      <w:r w:rsidRPr="00014616">
        <w:t xml:space="preserve">the other conventions and organizations, including </w:t>
      </w:r>
      <w:r w:rsidR="003D6EBC" w:rsidRPr="00014616">
        <w:t xml:space="preserve">the United Nations Environment Programme </w:t>
      </w:r>
      <w:r w:rsidR="001D0FCD">
        <w:t xml:space="preserve">(UNEP) </w:t>
      </w:r>
      <w:r w:rsidRPr="00014616">
        <w:t xml:space="preserve">and </w:t>
      </w:r>
      <w:r w:rsidRPr="00BB6518">
        <w:t>FAO</w:t>
      </w:r>
      <w:r w:rsidRPr="00014616">
        <w:t>, on the management of nitrogen and phosphorous with a view to making available appropriate tools and guidance</w:t>
      </w:r>
      <w:r>
        <w:t>;</w:t>
      </w:r>
    </w:p>
    <w:p w14:paraId="0F0E228D" w14:textId="1E28E86C" w:rsidR="00534F08" w:rsidRDefault="0096685D" w:rsidP="00BB6518">
      <w:pPr>
        <w:pStyle w:val="Para10"/>
        <w:numPr>
          <w:ilvl w:val="0"/>
          <w:numId w:val="47"/>
        </w:numPr>
        <w:tabs>
          <w:tab w:val="clear" w:pos="1134"/>
          <w:tab w:val="left" w:pos="1701"/>
        </w:tabs>
        <w:ind w:left="567" w:firstLine="594"/>
      </w:pPr>
      <w:r>
        <w:t>Explore synergies with the process for the development of an international treaty on ending plastic waste;</w:t>
      </w:r>
    </w:p>
    <w:p w14:paraId="622B34BD" w14:textId="167D0394" w:rsidR="0096685D" w:rsidRDefault="0096685D" w:rsidP="00BB6518">
      <w:pPr>
        <w:pStyle w:val="Para10"/>
        <w:numPr>
          <w:ilvl w:val="0"/>
          <w:numId w:val="47"/>
        </w:numPr>
        <w:tabs>
          <w:tab w:val="clear" w:pos="1134"/>
          <w:tab w:val="left" w:pos="1701"/>
        </w:tabs>
        <w:ind w:left="567" w:firstLine="594"/>
      </w:pPr>
      <w:r>
        <w:t>Scope other sources of pollution that are particularly relevant to biodiversity, including noise and light pollution;</w:t>
      </w:r>
    </w:p>
    <w:p w14:paraId="556C29D9" w14:textId="79E2EE91" w:rsidR="0096685D" w:rsidRDefault="0096685D" w:rsidP="00BB6518">
      <w:pPr>
        <w:pStyle w:val="Para10"/>
        <w:numPr>
          <w:ilvl w:val="0"/>
          <w:numId w:val="47"/>
        </w:numPr>
        <w:tabs>
          <w:tab w:val="clear" w:pos="1134"/>
          <w:tab w:val="left" w:pos="1701"/>
        </w:tabs>
        <w:ind w:left="567" w:firstLine="594"/>
      </w:pPr>
      <w:r>
        <w:t xml:space="preserve">Develop guidance on avoiding </w:t>
      </w:r>
      <w:r w:rsidR="00B26498">
        <w:t xml:space="preserve">the breach of </w:t>
      </w:r>
      <w:r>
        <w:t>pollution thresholds that are harmful to biodiversity;</w:t>
      </w:r>
    </w:p>
    <w:p w14:paraId="0AB4D5C0" w14:textId="749F448D" w:rsidR="00E47459" w:rsidRDefault="00C63F7C" w:rsidP="00BB6518">
      <w:pPr>
        <w:pStyle w:val="Para10"/>
        <w:numPr>
          <w:ilvl w:val="0"/>
          <w:numId w:val="47"/>
        </w:numPr>
        <w:tabs>
          <w:tab w:val="clear" w:pos="1134"/>
          <w:tab w:val="left" w:pos="1701"/>
        </w:tabs>
        <w:ind w:left="567" w:firstLine="594"/>
      </w:pPr>
      <w:r w:rsidRPr="00132B80">
        <w:t>Consolidate guidance on the role of biodiversity and ecosystem services in pollution mitigation</w:t>
      </w:r>
      <w:r w:rsidR="00BE67C8">
        <w:t xml:space="preserve">, </w:t>
      </w:r>
      <w:r w:rsidRPr="00132B80">
        <w:t xml:space="preserve">including guidance for specific </w:t>
      </w:r>
      <w:r w:rsidRPr="001D0FCD">
        <w:t xml:space="preserve">sectors </w:t>
      </w:r>
      <w:r w:rsidRPr="00BB6518">
        <w:t>and/or</w:t>
      </w:r>
      <w:r w:rsidRPr="001D0FCD">
        <w:t xml:space="preserve"> sources</w:t>
      </w:r>
      <w:r w:rsidRPr="00132B80">
        <w:t xml:space="preserve"> of pollution</w:t>
      </w:r>
      <w:r w:rsidR="00E47459">
        <w:t>.</w:t>
      </w:r>
    </w:p>
    <w:p w14:paraId="112D3B72" w14:textId="2DD35EBC" w:rsidR="00C63F7C" w:rsidRPr="00014616" w:rsidRDefault="009C0F85" w:rsidP="00BB6518">
      <w:pPr>
        <w:pStyle w:val="Heading3"/>
      </w:pPr>
      <w:r w:rsidRPr="00014616">
        <w:t>Sustainable biodiversity-based activities, products and services and “the bioeconomy”</w:t>
      </w:r>
    </w:p>
    <w:p w14:paraId="647B0DB3" w14:textId="20E61429" w:rsidR="009C0F85" w:rsidRPr="006F1A93" w:rsidRDefault="009C0F85" w:rsidP="00BB6518">
      <w:pPr>
        <w:pStyle w:val="Para10"/>
        <w:rPr>
          <w:i/>
          <w:iCs/>
        </w:rPr>
      </w:pPr>
      <w:r w:rsidRPr="00014616">
        <w:rPr>
          <w:shd w:val="clear" w:color="auto" w:fill="FFFFFF"/>
        </w:rPr>
        <w:t>Target</w:t>
      </w:r>
      <w:r w:rsidRPr="00BB6518">
        <w:rPr>
          <w:shd w:val="clear" w:color="auto" w:fill="FFFFFF"/>
        </w:rPr>
        <w:t xml:space="preserve"> 9 o</w:t>
      </w:r>
      <w:r w:rsidRPr="00014616">
        <w:rPr>
          <w:shd w:val="clear" w:color="auto" w:fill="FFFFFF"/>
        </w:rPr>
        <w:t xml:space="preserve">f the Framework includes the use of </w:t>
      </w:r>
      <w:r w:rsidRPr="00014616">
        <w:t>sustainable biodiversity-based activities</w:t>
      </w:r>
      <w:r w:rsidR="00E47459" w:rsidRPr="00014616">
        <w:t>,</w:t>
      </w:r>
      <w:r w:rsidRPr="00014616">
        <w:t xml:space="preserve"> products and services</w:t>
      </w:r>
      <w:r w:rsidRPr="00014616">
        <w:rPr>
          <w:shd w:val="clear" w:color="auto" w:fill="FFFFFF"/>
        </w:rPr>
        <w:t xml:space="preserve"> to provide social</w:t>
      </w:r>
      <w:r w:rsidRPr="009C0F85">
        <w:rPr>
          <w:shd w:val="clear" w:color="auto" w:fill="FFFFFF"/>
        </w:rPr>
        <w:t>, economic and environmental benefits for people</w:t>
      </w:r>
      <w:r>
        <w:rPr>
          <w:shd w:val="clear" w:color="auto" w:fill="FFFFFF"/>
        </w:rPr>
        <w:t xml:space="preserve">, </w:t>
      </w:r>
      <w:r w:rsidR="00B26498">
        <w:rPr>
          <w:shd w:val="clear" w:color="auto" w:fill="FFFFFF"/>
        </w:rPr>
        <w:t>particularly</w:t>
      </w:r>
      <w:r>
        <w:rPr>
          <w:shd w:val="clear" w:color="auto" w:fill="FFFFFF"/>
        </w:rPr>
        <w:t xml:space="preserve"> </w:t>
      </w:r>
      <w:r w:rsidR="00B26498">
        <w:rPr>
          <w:shd w:val="clear" w:color="auto" w:fill="FFFFFF"/>
        </w:rPr>
        <w:t>vulnerable groups</w:t>
      </w:r>
      <w:r w:rsidRPr="009C0F85">
        <w:rPr>
          <w:shd w:val="clear" w:color="auto" w:fill="FFFFFF"/>
        </w:rPr>
        <w:t xml:space="preserve">. Promoting </w:t>
      </w:r>
      <w:r w:rsidRPr="009C0F85">
        <w:t>sustainable biodiversity-based activities, products and services</w:t>
      </w:r>
      <w:r w:rsidRPr="009C0F85">
        <w:rPr>
          <w:shd w:val="clear" w:color="auto" w:fill="FFFFFF"/>
        </w:rPr>
        <w:t xml:space="preserve"> is sometimes referred to as “bioeconomy”. More generally, “bioeconomy” aims to reduce our dependence on non-renewable natural resources, to prevent</w:t>
      </w:r>
      <w:r w:rsidRPr="009C0F85">
        <w:rPr>
          <w:rStyle w:val="apple-converted-space"/>
          <w:color w:val="202122"/>
          <w:szCs w:val="22"/>
          <w:shd w:val="clear" w:color="auto" w:fill="FFFFFF"/>
        </w:rPr>
        <w:t> </w:t>
      </w:r>
      <w:r w:rsidRPr="009C0F85">
        <w:t>biodiversity loss</w:t>
      </w:r>
      <w:r w:rsidRPr="009C0F85">
        <w:rPr>
          <w:rStyle w:val="apple-converted-space"/>
          <w:color w:val="202122"/>
          <w:szCs w:val="22"/>
          <w:shd w:val="clear" w:color="auto" w:fill="FFFFFF"/>
        </w:rPr>
        <w:t> </w:t>
      </w:r>
      <w:r w:rsidRPr="009C0F85">
        <w:rPr>
          <w:shd w:val="clear" w:color="auto" w:fill="FFFFFF"/>
        </w:rPr>
        <w:t>and to create new economic growth and jobs that are in line with the principles of</w:t>
      </w:r>
      <w:r w:rsidRPr="009C0F85">
        <w:rPr>
          <w:rStyle w:val="apple-converted-space"/>
          <w:color w:val="202122"/>
          <w:szCs w:val="22"/>
          <w:shd w:val="clear" w:color="auto" w:fill="FFFFFF"/>
        </w:rPr>
        <w:t> </w:t>
      </w:r>
      <w:r w:rsidRPr="009C0F85">
        <w:t xml:space="preserve">sustainable development. </w:t>
      </w:r>
      <w:r>
        <w:t xml:space="preserve">Many elements of the Framework are relevant in this context, including </w:t>
      </w:r>
      <w:r w:rsidR="00014616">
        <w:t>T</w:t>
      </w:r>
      <w:r>
        <w:t>argets 13, 14, 15, 16 and 17</w:t>
      </w:r>
      <w:r w:rsidRPr="009C0F85">
        <w:rPr>
          <w:shd w:val="clear" w:color="auto" w:fill="FFFFFF"/>
        </w:rPr>
        <w:t xml:space="preserve">. However, little guidance is available to define </w:t>
      </w:r>
      <w:r w:rsidRPr="009C0F85">
        <w:t>biodiversity-based activities, products and services</w:t>
      </w:r>
      <w:r>
        <w:t xml:space="preserve"> or to determine the sustainability of such </w:t>
      </w:r>
      <w:r w:rsidRPr="009C0F85">
        <w:t>activities, products and services</w:t>
      </w:r>
      <w:r>
        <w:t xml:space="preserve">. </w:t>
      </w:r>
      <w:r w:rsidR="006F1A93">
        <w:t>Work in this area, could:</w:t>
      </w:r>
    </w:p>
    <w:p w14:paraId="6A64631A" w14:textId="77777777" w:rsidR="0052673A" w:rsidRPr="00A62A9C" w:rsidRDefault="006F1A93" w:rsidP="00BB6518">
      <w:pPr>
        <w:pStyle w:val="Para10"/>
        <w:numPr>
          <w:ilvl w:val="0"/>
          <w:numId w:val="61"/>
        </w:numPr>
        <w:tabs>
          <w:tab w:val="clear" w:pos="1134"/>
          <w:tab w:val="left" w:pos="1701"/>
        </w:tabs>
        <w:ind w:left="567" w:firstLine="567"/>
      </w:pPr>
      <w:r w:rsidRPr="00E47459">
        <w:t xml:space="preserve">Build upon relevant </w:t>
      </w:r>
      <w:r w:rsidRPr="00A62A9C">
        <w:t>experience of Parties in promoting a sustainable bioeconomy</w:t>
      </w:r>
      <w:r w:rsidR="0052673A" w:rsidRPr="00A62A9C">
        <w:t xml:space="preserve">, identifying the </w:t>
      </w:r>
      <w:r w:rsidR="0052673A" w:rsidRPr="00A62A9C">
        <w:rPr>
          <w:shd w:val="clear" w:color="auto" w:fill="FFFFFF"/>
        </w:rPr>
        <w:t>social, economic and environmental benefits for people</w:t>
      </w:r>
      <w:r w:rsidR="0052673A" w:rsidRPr="00A62A9C">
        <w:t xml:space="preserve"> benefits</w:t>
      </w:r>
      <w:r w:rsidR="0052673A" w:rsidRPr="00BB6518">
        <w:t>, and</w:t>
      </w:r>
      <w:r w:rsidR="0052673A" w:rsidRPr="00A62A9C">
        <w:t xml:space="preserve"> approaches to assess and ensure sustainability of resource use;</w:t>
      </w:r>
    </w:p>
    <w:p w14:paraId="55585A18" w14:textId="2CD33632" w:rsidR="00E47459" w:rsidRDefault="00E47459" w:rsidP="00BB6518">
      <w:pPr>
        <w:pStyle w:val="Para10"/>
        <w:numPr>
          <w:ilvl w:val="0"/>
          <w:numId w:val="61"/>
        </w:numPr>
        <w:tabs>
          <w:tab w:val="clear" w:pos="1134"/>
          <w:tab w:val="left" w:pos="1701"/>
        </w:tabs>
        <w:ind w:left="567" w:firstLine="567"/>
      </w:pPr>
      <w:r w:rsidRPr="00A62A9C">
        <w:t>Undertake</w:t>
      </w:r>
      <w:r w:rsidR="0052673A" w:rsidRPr="00A62A9C">
        <w:t xml:space="preserve"> expert processes, drawing upon Parties’ experiences, to develop guidance to promote sustainable biodiversity-based activities products and services and to ensure equitable and sustainable outcomes of a bioeconomy</w:t>
      </w:r>
      <w:r w:rsidRPr="00A62A9C">
        <w:t>.</w:t>
      </w:r>
    </w:p>
    <w:p w14:paraId="13A74263" w14:textId="3DD2E359" w:rsidR="0052673A" w:rsidRPr="00E47459" w:rsidRDefault="0052673A" w:rsidP="00BB6518">
      <w:pPr>
        <w:pStyle w:val="Heading3"/>
      </w:pPr>
      <w:r w:rsidRPr="00E47459">
        <w:t>Equity and the human rights-based approach</w:t>
      </w:r>
      <w:r w:rsidRPr="00E47459">
        <w:rPr>
          <w:color w:val="000000" w:themeColor="text1"/>
        </w:rPr>
        <w:t xml:space="preserve"> </w:t>
      </w:r>
      <w:r w:rsidRPr="00E47459">
        <w:t>relating to the conservation and sustainable use of biodiversity</w:t>
      </w:r>
    </w:p>
    <w:p w14:paraId="05C9C76E" w14:textId="7515CF21" w:rsidR="00CD6BC4" w:rsidRDefault="0052673A" w:rsidP="002D4C0A">
      <w:pPr>
        <w:pStyle w:val="Para10"/>
      </w:pPr>
      <w:r>
        <w:t>The implementation of the Framework should follow a human rights</w:t>
      </w:r>
      <w:r w:rsidR="00E47459">
        <w:t>-</w:t>
      </w:r>
      <w:r>
        <w:t>based approach</w:t>
      </w:r>
      <w:r w:rsidR="00BC72E2">
        <w:t>. T</w:t>
      </w:r>
      <w:r>
        <w:t xml:space="preserve">he </w:t>
      </w:r>
      <w:r w:rsidR="00A62A9C">
        <w:t>F</w:t>
      </w:r>
      <w:r>
        <w:t xml:space="preserve">ramework </w:t>
      </w:r>
      <w:r w:rsidR="00BC72E2">
        <w:t>acknowledges</w:t>
      </w:r>
      <w:r>
        <w:t xml:space="preserve"> the right to a clean, healthy and sustainable environment. Moreover</w:t>
      </w:r>
      <w:r w:rsidR="00E47459">
        <w:t>,</w:t>
      </w:r>
      <w:r>
        <w:t xml:space="preserve"> human rights</w:t>
      </w:r>
      <w:r w:rsidR="00E47459">
        <w:t>-</w:t>
      </w:r>
      <w:r>
        <w:t xml:space="preserve">based approaches are referenced in a number of targets of the Framework. Target 22 calls for access to justice and the protection of environmental human rights defenders. </w:t>
      </w:r>
      <w:r w:rsidRPr="0096685D">
        <w:t>Human rights have been a pillar of the United Nations since its inception.</w:t>
      </w:r>
      <w:r w:rsidRPr="00157943">
        <w:rPr>
          <w:rStyle w:val="FootnoteReference"/>
        </w:rPr>
        <w:footnoteReference w:id="14"/>
      </w:r>
      <w:r w:rsidRPr="0096685D">
        <w:t xml:space="preserve"> Human rights are </w:t>
      </w:r>
      <w:r w:rsidR="00967B57">
        <w:t xml:space="preserve">also </w:t>
      </w:r>
      <w:r w:rsidRPr="0096685D">
        <w:t xml:space="preserve">a foundation of </w:t>
      </w:r>
      <w:r w:rsidRPr="00A676B9">
        <w:t xml:space="preserve">the </w:t>
      </w:r>
      <w:r w:rsidRPr="00BB6518">
        <w:t>2030 Agenda for Sustainable Development</w:t>
      </w:r>
      <w:r w:rsidR="00A940BF" w:rsidRPr="00BB6518">
        <w:t>.</w:t>
      </w:r>
      <w:r w:rsidRPr="00BB6518">
        <w:rPr>
          <w:rStyle w:val="FootnoteReference"/>
        </w:rPr>
        <w:footnoteReference w:id="15"/>
      </w:r>
      <w:r w:rsidR="00967B57" w:rsidRPr="00A676B9">
        <w:t xml:space="preserve"> </w:t>
      </w:r>
      <w:r w:rsidR="007131B6">
        <w:t>O</w:t>
      </w:r>
      <w:r w:rsidR="00967B57" w:rsidRPr="00A676B9">
        <w:t>ngoing work related to the human rights-based approac</w:t>
      </w:r>
      <w:r w:rsidR="00967B57" w:rsidRPr="00BB6518">
        <w:t>h</w:t>
      </w:r>
      <w:r w:rsidR="007131B6">
        <w:t xml:space="preserve"> include</w:t>
      </w:r>
      <w:r w:rsidR="00CD6BC4">
        <w:t xml:space="preserve"> the following:</w:t>
      </w:r>
    </w:p>
    <w:p w14:paraId="05571DB0" w14:textId="507AC9C6" w:rsidR="00E312C2" w:rsidRPr="00C458EA" w:rsidRDefault="00CF03EE" w:rsidP="00E95C9A">
      <w:pPr>
        <w:pStyle w:val="Para10"/>
        <w:numPr>
          <w:ilvl w:val="0"/>
          <w:numId w:val="62"/>
        </w:numPr>
        <w:tabs>
          <w:tab w:val="clear" w:pos="1134"/>
          <w:tab w:val="left" w:pos="1701"/>
        </w:tabs>
        <w:ind w:left="567" w:firstLine="567"/>
      </w:pPr>
      <w:r w:rsidRPr="00C458EA">
        <w:lastRenderedPageBreak/>
        <w:t xml:space="preserve">General guidance </w:t>
      </w:r>
      <w:r w:rsidR="00E312C2" w:rsidRPr="00C458EA">
        <w:t>provided and developed by t</w:t>
      </w:r>
      <w:r w:rsidR="00967B57" w:rsidRPr="00C458EA">
        <w:t xml:space="preserve">he </w:t>
      </w:r>
      <w:r w:rsidR="00967B57" w:rsidRPr="00BB6518">
        <w:t>United Nations Sustainable Development Group</w:t>
      </w:r>
      <w:r w:rsidR="00A940BF" w:rsidRPr="00C458EA">
        <w:t>;</w:t>
      </w:r>
      <w:r w:rsidR="00967B57" w:rsidRPr="00BB6518">
        <w:rPr>
          <w:rStyle w:val="FootnoteReference"/>
        </w:rPr>
        <w:footnoteReference w:id="16"/>
      </w:r>
      <w:r w:rsidR="00967B57" w:rsidRPr="00C458EA">
        <w:t xml:space="preserve"> </w:t>
      </w:r>
    </w:p>
    <w:p w14:paraId="35DFF604" w14:textId="0233FB82" w:rsidR="00C458EA" w:rsidRPr="00306D33" w:rsidRDefault="00E312C2" w:rsidP="00E95C9A">
      <w:pPr>
        <w:pStyle w:val="Para10"/>
        <w:numPr>
          <w:ilvl w:val="0"/>
          <w:numId w:val="62"/>
        </w:numPr>
        <w:tabs>
          <w:tab w:val="clear" w:pos="1134"/>
          <w:tab w:val="left" w:pos="1701"/>
        </w:tabs>
        <w:ind w:left="567" w:firstLine="567"/>
      </w:pPr>
      <w:r w:rsidRPr="00C458EA">
        <w:t>G</w:t>
      </w:r>
      <w:r w:rsidR="00967B57" w:rsidRPr="00C458EA">
        <w:t xml:space="preserve">uidance specifically for the Framework currently being developed, for example, by </w:t>
      </w:r>
      <w:r w:rsidRPr="00C458EA">
        <w:t>the International Union for Conservation of Nature</w:t>
      </w:r>
      <w:r w:rsidRPr="00BB6518">
        <w:t>,</w:t>
      </w:r>
      <w:r w:rsidR="00967B57" w:rsidRPr="00BB6518">
        <w:rPr>
          <w:rStyle w:val="FootnoteReference"/>
        </w:rPr>
        <w:footnoteReference w:id="17"/>
      </w:r>
      <w:r w:rsidR="00967B57" w:rsidRPr="00C458EA">
        <w:t xml:space="preserve"> among others</w:t>
      </w:r>
      <w:r w:rsidR="00967B57" w:rsidRPr="00C458EA">
        <w:rPr>
          <w:szCs w:val="22"/>
        </w:rPr>
        <w:t xml:space="preserve">; </w:t>
      </w:r>
    </w:p>
    <w:p w14:paraId="7B8888E0" w14:textId="3393D913" w:rsidR="00C458EA" w:rsidRPr="00306D33" w:rsidRDefault="00967B57" w:rsidP="00E95C9A">
      <w:pPr>
        <w:pStyle w:val="Para10"/>
        <w:numPr>
          <w:ilvl w:val="0"/>
          <w:numId w:val="62"/>
        </w:numPr>
        <w:tabs>
          <w:tab w:val="clear" w:pos="1134"/>
          <w:tab w:val="left" w:pos="1701"/>
        </w:tabs>
        <w:ind w:left="567" w:firstLine="567"/>
      </w:pPr>
      <w:r w:rsidRPr="00C458EA">
        <w:rPr>
          <w:szCs w:val="22"/>
        </w:rPr>
        <w:t>The</w:t>
      </w:r>
      <w:r w:rsidRPr="00BB6518">
        <w:rPr>
          <w:szCs w:val="22"/>
        </w:rPr>
        <w:t xml:space="preserve"> </w:t>
      </w:r>
      <w:r w:rsidR="00C458EA" w:rsidRPr="00BB6518">
        <w:rPr>
          <w:szCs w:val="22"/>
        </w:rPr>
        <w:t>“</w:t>
      </w:r>
      <w:r w:rsidRPr="00C458EA">
        <w:rPr>
          <w:szCs w:val="22"/>
        </w:rPr>
        <w:t>Human Rights in Biodiversity Working Group</w:t>
      </w:r>
      <w:r w:rsidR="00C458EA" w:rsidRPr="00C458EA">
        <w:rPr>
          <w:szCs w:val="22"/>
        </w:rPr>
        <w:t>”</w:t>
      </w:r>
      <w:r w:rsidRPr="00C458EA">
        <w:rPr>
          <w:szCs w:val="22"/>
        </w:rPr>
        <w:t xml:space="preserve">, consisting of several stakeholder groups, currently working on related guidance; </w:t>
      </w:r>
    </w:p>
    <w:p w14:paraId="19119760" w14:textId="66FF879E" w:rsidR="00F46B55" w:rsidRPr="00001312" w:rsidRDefault="00F46B55" w:rsidP="00E95C9A">
      <w:pPr>
        <w:pStyle w:val="Para10"/>
        <w:numPr>
          <w:ilvl w:val="0"/>
          <w:numId w:val="62"/>
        </w:numPr>
        <w:tabs>
          <w:tab w:val="clear" w:pos="1134"/>
          <w:tab w:val="left" w:pos="1701"/>
        </w:tabs>
        <w:ind w:left="567" w:firstLine="567"/>
      </w:pPr>
      <w:r w:rsidRPr="00001312">
        <w:t>G</w:t>
      </w:r>
      <w:r w:rsidR="00967B57" w:rsidRPr="00001312">
        <w:t>uidance on integrating human rights into National Biodiversity Strategy and Action Plans</w:t>
      </w:r>
      <w:r w:rsidRPr="00001312">
        <w:rPr>
          <w:szCs w:val="22"/>
        </w:rPr>
        <w:t xml:space="preserve"> produced by the </w:t>
      </w:r>
      <w:r w:rsidRPr="00001312">
        <w:t>Environment Management Group;</w:t>
      </w:r>
      <w:r w:rsidR="00967B57" w:rsidRPr="00001312">
        <w:rPr>
          <w:rStyle w:val="FootnoteReference"/>
        </w:rPr>
        <w:footnoteReference w:id="18"/>
      </w:r>
      <w:r w:rsidR="00967B57" w:rsidRPr="00001312">
        <w:t xml:space="preserve"> </w:t>
      </w:r>
    </w:p>
    <w:p w14:paraId="4E1CF174" w14:textId="35E64AA8" w:rsidR="0066720C" w:rsidRPr="00C53C1E" w:rsidRDefault="0066720C" w:rsidP="00E95C9A">
      <w:pPr>
        <w:pStyle w:val="Para10"/>
        <w:numPr>
          <w:ilvl w:val="0"/>
          <w:numId w:val="62"/>
        </w:numPr>
        <w:tabs>
          <w:tab w:val="clear" w:pos="1134"/>
          <w:tab w:val="left" w:pos="1701"/>
        </w:tabs>
        <w:ind w:left="567" w:firstLine="567"/>
      </w:pPr>
      <w:r w:rsidRPr="00001312">
        <w:t>T</w:t>
      </w:r>
      <w:r w:rsidR="00967B57" w:rsidRPr="00001312">
        <w:t xml:space="preserve">he </w:t>
      </w:r>
      <w:r w:rsidR="00967B57" w:rsidRPr="00BB6518">
        <w:t>Office of the United Nations High Commissioner for Human Rights</w:t>
      </w:r>
      <w:r w:rsidR="00967B57" w:rsidRPr="00001312">
        <w:t xml:space="preserve"> on Advancing a </w:t>
      </w:r>
      <w:r w:rsidR="00967B57" w:rsidRPr="00C53C1E">
        <w:t>Human Rights-Based Approach to the Global Biodiversity Framework</w:t>
      </w:r>
      <w:r w:rsidRPr="00C53C1E">
        <w:t>;</w:t>
      </w:r>
      <w:r w:rsidR="00967B57" w:rsidRPr="00C53C1E">
        <w:rPr>
          <w:rStyle w:val="FootnoteReference"/>
        </w:rPr>
        <w:footnoteReference w:id="19"/>
      </w:r>
      <w:r w:rsidR="00967B57" w:rsidRPr="00C53C1E">
        <w:t xml:space="preserve"> </w:t>
      </w:r>
    </w:p>
    <w:p w14:paraId="34ED0E3C" w14:textId="13813918" w:rsidR="000444C5" w:rsidRPr="00C53C1E" w:rsidRDefault="00967B57" w:rsidP="00E95C9A">
      <w:pPr>
        <w:pStyle w:val="Para10"/>
        <w:numPr>
          <w:ilvl w:val="0"/>
          <w:numId w:val="62"/>
        </w:numPr>
        <w:tabs>
          <w:tab w:val="clear" w:pos="1134"/>
          <w:tab w:val="left" w:pos="1701"/>
        </w:tabs>
        <w:ind w:left="567" w:firstLine="567"/>
      </w:pPr>
      <w:r w:rsidRPr="00C53C1E">
        <w:t xml:space="preserve">The </w:t>
      </w:r>
      <w:r w:rsidR="00001312" w:rsidRPr="00C53C1E">
        <w:t xml:space="preserve">United Nations </w:t>
      </w:r>
      <w:r w:rsidR="000444C5" w:rsidRPr="00C53C1E">
        <w:t>Development Programme</w:t>
      </w:r>
      <w:r w:rsidR="00001312" w:rsidRPr="00C53C1E">
        <w:t xml:space="preserve"> </w:t>
      </w:r>
      <w:r w:rsidRPr="00C53C1E">
        <w:t>Social and Environmental Standard Toolkit</w:t>
      </w:r>
      <w:r w:rsidR="000444C5" w:rsidRPr="00C53C1E">
        <w:t>;</w:t>
      </w:r>
      <w:r w:rsidRPr="00BB6518">
        <w:rPr>
          <w:rStyle w:val="FootnoteReference"/>
        </w:rPr>
        <w:footnoteReference w:id="20"/>
      </w:r>
      <w:r w:rsidRPr="00C53C1E">
        <w:t xml:space="preserve"> </w:t>
      </w:r>
    </w:p>
    <w:p w14:paraId="5862343E" w14:textId="5F78058A" w:rsidR="00C53C1E" w:rsidRPr="00C53C1E" w:rsidRDefault="00967B57" w:rsidP="00E95C9A">
      <w:pPr>
        <w:pStyle w:val="Para10"/>
        <w:numPr>
          <w:ilvl w:val="0"/>
          <w:numId w:val="62"/>
        </w:numPr>
        <w:tabs>
          <w:tab w:val="clear" w:pos="1134"/>
          <w:tab w:val="left" w:pos="1701"/>
        </w:tabs>
        <w:ind w:left="567" w:firstLine="567"/>
      </w:pPr>
      <w:r w:rsidRPr="00BB6518">
        <w:t>UNEP</w:t>
      </w:r>
      <w:r w:rsidRPr="00C53C1E">
        <w:t xml:space="preserve"> and the Special Rapporteur on Human Rights and the Environment have produced guidance for environmental human rights defenders. </w:t>
      </w:r>
    </w:p>
    <w:p w14:paraId="5441EEB1" w14:textId="1A796556" w:rsidR="0052673A" w:rsidRPr="00113906" w:rsidRDefault="00967B57" w:rsidP="00BB6518">
      <w:pPr>
        <w:pStyle w:val="Para10"/>
      </w:pPr>
      <w:r w:rsidRPr="00C53C1E">
        <w:t xml:space="preserve">There is a potential for work under the </w:t>
      </w:r>
      <w:r w:rsidR="00E47459" w:rsidRPr="00C53C1E">
        <w:t>C</w:t>
      </w:r>
      <w:r w:rsidRPr="00C53C1E">
        <w:t xml:space="preserve">onvention, not only to </w:t>
      </w:r>
      <w:r w:rsidRPr="00C53C1E">
        <w:rPr>
          <w:i/>
          <w:iCs/>
        </w:rPr>
        <w:t>safeguard</w:t>
      </w:r>
      <w:r w:rsidRPr="00C53C1E">
        <w:t xml:space="preserve"> human rights, but to actively </w:t>
      </w:r>
      <w:r w:rsidRPr="00C53C1E">
        <w:rPr>
          <w:i/>
          <w:iCs/>
        </w:rPr>
        <w:t>employ</w:t>
      </w:r>
      <w:r w:rsidRPr="00C53C1E">
        <w:t xml:space="preserve"> human rights</w:t>
      </w:r>
      <w:r w:rsidR="00E47459" w:rsidRPr="00C53C1E">
        <w:t>-based</w:t>
      </w:r>
      <w:r w:rsidRPr="00C53C1E">
        <w:t xml:space="preserve"> approaches to advance implementation of the Framework. Work in this area could compile such guidance, identify gaps and work with relevant agencies of </w:t>
      </w:r>
      <w:r w:rsidRPr="00BB6518">
        <w:t xml:space="preserve">the </w:t>
      </w:r>
      <w:r w:rsidR="00C53C1E" w:rsidRPr="00BB6518">
        <w:t xml:space="preserve">United Nations </w:t>
      </w:r>
      <w:r w:rsidRPr="00C53C1E">
        <w:t xml:space="preserve">to fill such </w:t>
      </w:r>
      <w:r w:rsidRPr="00113906">
        <w:t xml:space="preserve">gaps where necessary. </w:t>
      </w:r>
    </w:p>
    <w:p w14:paraId="7F3A086A" w14:textId="497931EB" w:rsidR="00AA56C2" w:rsidRPr="00B415BB" w:rsidRDefault="0096685D" w:rsidP="00BB6518">
      <w:pPr>
        <w:pStyle w:val="Para10"/>
        <w:rPr>
          <w:szCs w:val="22"/>
        </w:rPr>
      </w:pPr>
      <w:r w:rsidRPr="00113906">
        <w:t>The tools and guidance developed unde</w:t>
      </w:r>
      <w:r w:rsidRPr="00BB6518">
        <w:t>r Article</w:t>
      </w:r>
      <w:r w:rsidRPr="00113906">
        <w:t xml:space="preserve"> 8(j) and related provisions of the Convention are relevant</w:t>
      </w:r>
      <w:r w:rsidRPr="00BB6518">
        <w:t xml:space="preserve"> and</w:t>
      </w:r>
      <w:r w:rsidRPr="00113906">
        <w:t xml:space="preserve"> the twelfth meeting of the </w:t>
      </w:r>
      <w:r w:rsidR="00113906" w:rsidRPr="00113906">
        <w:t xml:space="preserve">Ad Hoc Open-ended </w:t>
      </w:r>
      <w:r w:rsidRPr="00113906">
        <w:t>Working Group o</w:t>
      </w:r>
      <w:r w:rsidRPr="00BB6518">
        <w:t>n Article</w:t>
      </w:r>
      <w:r w:rsidRPr="00113906">
        <w:t xml:space="preserve"> 8(j) and Related Provisions considered a proposed new programme and institutional arrangements fo</w:t>
      </w:r>
      <w:r w:rsidRPr="00BB6518">
        <w:t>r Article</w:t>
      </w:r>
      <w:r w:rsidRPr="00113906">
        <w:t xml:space="preserve"> 8(j) and other provisions in response to decision 15/10</w:t>
      </w:r>
      <w:r w:rsidR="00113906" w:rsidRPr="00113906">
        <w:t>.</w:t>
      </w:r>
      <w:r w:rsidRPr="00BB6518">
        <w:rPr>
          <w:rStyle w:val="FootnoteReference"/>
        </w:rPr>
        <w:footnoteReference w:id="21"/>
      </w:r>
      <w:r w:rsidRPr="00113906">
        <w:t xml:space="preserve"> However, there is no guidance under the Convention </w:t>
      </w:r>
      <w:r w:rsidRPr="00BB6518">
        <w:t>with regard to</w:t>
      </w:r>
      <w:r w:rsidRPr="00113906">
        <w:t xml:space="preserve"> groups other than </w:t>
      </w:r>
      <w:r w:rsidRPr="00BB6518">
        <w:t>indigenous people</w:t>
      </w:r>
      <w:r w:rsidRPr="00113906">
        <w:t>s and</w:t>
      </w:r>
      <w:r>
        <w:t xml:space="preserve"> local communities. </w:t>
      </w:r>
    </w:p>
    <w:p w14:paraId="5B351367" w14:textId="36F3C525" w:rsidR="00E47459" w:rsidRDefault="00B415BB" w:rsidP="00BB6518">
      <w:pPr>
        <w:pStyle w:val="Para10"/>
      </w:pPr>
      <w:r w:rsidRPr="00113906">
        <w:t>Successful implementation of the Framework will also depend on ensuring gender equality and the empowerment of women and girls</w:t>
      </w:r>
      <w:r w:rsidRPr="00BB6518">
        <w:t>, and</w:t>
      </w:r>
      <w:r w:rsidRPr="00113906">
        <w:t xml:space="preserve"> on reducing inequalities. Implementation is also guided by the principle of intergenerational equity. Equity is also central to </w:t>
      </w:r>
      <w:r w:rsidR="00261F73">
        <w:t>T</w:t>
      </w:r>
      <w:r w:rsidRPr="00113906">
        <w:t xml:space="preserve">argets 13, 16, 22 and 23 of the framework. </w:t>
      </w:r>
    </w:p>
    <w:p w14:paraId="7AB481AA" w14:textId="40DEEDAA" w:rsidR="00EA3E52" w:rsidRPr="00EF082B" w:rsidRDefault="00EA3E52" w:rsidP="00BB6518">
      <w:pPr>
        <w:pStyle w:val="Heading2"/>
      </w:pPr>
      <w:r w:rsidRPr="00EF082B">
        <w:t>B.</w:t>
      </w:r>
      <w:r w:rsidR="00113906">
        <w:tab/>
      </w:r>
      <w:r w:rsidRPr="00EF082B">
        <w:t>Discrete and specific gaps under existing work areas</w:t>
      </w:r>
    </w:p>
    <w:p w14:paraId="16045307" w14:textId="77777777" w:rsidR="00EA3E52" w:rsidRPr="00BB6518" w:rsidRDefault="00EA3E52" w:rsidP="00BB6518">
      <w:pPr>
        <w:pStyle w:val="Para10"/>
        <w:numPr>
          <w:ilvl w:val="0"/>
          <w:numId w:val="0"/>
        </w:numPr>
        <w:ind w:left="567"/>
        <w:rPr>
          <w:i/>
          <w:iCs/>
        </w:rPr>
      </w:pPr>
      <w:r w:rsidRPr="00BB6518">
        <w:rPr>
          <w:i/>
          <w:iCs/>
        </w:rPr>
        <w:t>Area of gap: human-wildlife conflict</w:t>
      </w:r>
      <w:r w:rsidRPr="00BB6518">
        <w:rPr>
          <w:i/>
          <w:iCs/>
          <w:color w:val="000000"/>
          <w:szCs w:val="22"/>
        </w:rPr>
        <w:t xml:space="preserve"> </w:t>
      </w:r>
    </w:p>
    <w:p w14:paraId="6E80CA37" w14:textId="2D0043B1" w:rsidR="00EA3E52" w:rsidRPr="00EA3E52" w:rsidRDefault="00BD6018" w:rsidP="00BB6518">
      <w:pPr>
        <w:pStyle w:val="Para10"/>
      </w:pPr>
      <w:r>
        <w:t>R</w:t>
      </w:r>
      <w:r w:rsidRPr="00EA3E52">
        <w:t xml:space="preserve">elevant </w:t>
      </w:r>
      <w:r>
        <w:t>t</w:t>
      </w:r>
      <w:r w:rsidR="00EA3E52" w:rsidRPr="00EA3E52">
        <w:t>ools and guidance</w:t>
      </w:r>
      <w:r w:rsidR="00EA3E52">
        <w:t xml:space="preserve"> </w:t>
      </w:r>
      <w:r w:rsidR="00EA3E52" w:rsidRPr="00EA3E52">
        <w:t xml:space="preserve">with respect to human-wildlife </w:t>
      </w:r>
      <w:r w:rsidR="00EA3E52" w:rsidRPr="00BD6018">
        <w:t>conflict are available</w:t>
      </w:r>
      <w:r w:rsidRPr="00BD6018">
        <w:t>,</w:t>
      </w:r>
      <w:r w:rsidR="00EA3E52" w:rsidRPr="00BD6018">
        <w:t xml:space="preserve"> but this issue has not been addressed under the Convention. Thus</w:t>
      </w:r>
      <w:r w:rsidRPr="00BD6018">
        <w:t>,</w:t>
      </w:r>
      <w:r w:rsidR="00EA3E52" w:rsidRPr="00BD6018">
        <w:t xml:space="preserve"> this aspect of </w:t>
      </w:r>
      <w:r w:rsidRPr="00BD6018">
        <w:t>T</w:t>
      </w:r>
      <w:r w:rsidR="00EA3E52" w:rsidRPr="00BD6018">
        <w:t>arget</w:t>
      </w:r>
      <w:r w:rsidR="00EA3E52" w:rsidRPr="00BB6518">
        <w:t xml:space="preserve"> 4 m</w:t>
      </w:r>
      <w:r w:rsidR="00EA3E52" w:rsidRPr="00BD6018">
        <w:t>ay warrant work that could be developed through the Collaborative Partnership on Sustainable Wildlife Management</w:t>
      </w:r>
      <w:r w:rsidR="00EA3E52">
        <w:t>.</w:t>
      </w:r>
    </w:p>
    <w:p w14:paraId="5FEDDE5C" w14:textId="7E31981E" w:rsidR="00554CEE" w:rsidRPr="0072713C" w:rsidRDefault="00554CEE" w:rsidP="00BB6518">
      <w:pPr>
        <w:keepNext/>
        <w:ind w:left="567"/>
        <w:rPr>
          <w:i/>
          <w:iCs/>
        </w:rPr>
      </w:pPr>
      <w:r w:rsidRPr="00BD6018">
        <w:rPr>
          <w:i/>
          <w:iCs/>
        </w:rPr>
        <w:t>Area of gap:</w:t>
      </w:r>
      <w:r w:rsidRPr="00BB6518">
        <w:rPr>
          <w:i/>
          <w:iCs/>
        </w:rPr>
        <w:t xml:space="preserve"> </w:t>
      </w:r>
      <w:r w:rsidRPr="00BD6018">
        <w:rPr>
          <w:i/>
          <w:iCs/>
        </w:rPr>
        <w:t>biodiversity</w:t>
      </w:r>
      <w:r w:rsidRPr="0072713C">
        <w:rPr>
          <w:i/>
          <w:iCs/>
        </w:rPr>
        <w:t xml:space="preserve"> </w:t>
      </w:r>
      <w:r>
        <w:rPr>
          <w:i/>
          <w:iCs/>
        </w:rPr>
        <w:t xml:space="preserve">and </w:t>
      </w:r>
      <w:r w:rsidRPr="0072713C">
        <w:rPr>
          <w:i/>
          <w:iCs/>
        </w:rPr>
        <w:t xml:space="preserve">sustainable fisheries in inland water areas </w:t>
      </w:r>
    </w:p>
    <w:p w14:paraId="437862D0" w14:textId="45FE0453" w:rsidR="00554CEE" w:rsidRPr="00554CEE" w:rsidRDefault="00554CEE" w:rsidP="00BB6518">
      <w:pPr>
        <w:pStyle w:val="Para10"/>
      </w:pPr>
      <w:r w:rsidRPr="00554CEE">
        <w:t xml:space="preserve">Previous guidance referenced under the Convention, that originates from Aichi Biodiversity Target 6, refers mostly to marine fisheries whereas the approaches </w:t>
      </w:r>
      <w:r w:rsidRPr="003C2A9F">
        <w:t xml:space="preserve">required for inland fisheries are quite different. Some relevant guidance is available through partners, such as </w:t>
      </w:r>
      <w:r w:rsidRPr="00BB6518">
        <w:t>FAO</w:t>
      </w:r>
      <w:r w:rsidRPr="003C2A9F">
        <w:t>, but might</w:t>
      </w:r>
      <w:r w:rsidRPr="00554CEE">
        <w:t xml:space="preserve"> need </w:t>
      </w:r>
      <w:r w:rsidRPr="00554CEE">
        <w:lastRenderedPageBreak/>
        <w:t xml:space="preserve">to be enhanced regarding biodiversity </w:t>
      </w:r>
      <w:r w:rsidRPr="003C2A9F">
        <w:t>inclusiveness.</w:t>
      </w:r>
      <w:r w:rsidRPr="00BB6518">
        <w:t xml:space="preserve"> </w:t>
      </w:r>
      <w:r w:rsidR="00B415BB" w:rsidRPr="003C2A9F">
        <w:t>While f</w:t>
      </w:r>
      <w:r w:rsidRPr="003C2A9F">
        <w:t xml:space="preserve">isheries </w:t>
      </w:r>
      <w:r w:rsidR="00E47459" w:rsidRPr="003C2A9F">
        <w:t>are</w:t>
      </w:r>
      <w:r w:rsidRPr="003C2A9F">
        <w:t xml:space="preserve"> mentioned </w:t>
      </w:r>
      <w:r w:rsidR="00B415BB" w:rsidRPr="003C2A9F">
        <w:t xml:space="preserve">specifically </w:t>
      </w:r>
      <w:r w:rsidRPr="003C2A9F">
        <w:t xml:space="preserve">only in </w:t>
      </w:r>
      <w:r w:rsidR="003C2A9F" w:rsidRPr="003C2A9F">
        <w:t>T</w:t>
      </w:r>
      <w:r w:rsidRPr="003C2A9F">
        <w:t>arget 10</w:t>
      </w:r>
      <w:r w:rsidR="00B415BB" w:rsidRPr="003C2A9F">
        <w:t xml:space="preserve">, it </w:t>
      </w:r>
      <w:r w:rsidRPr="003C2A9F">
        <w:t xml:space="preserve">is also an </w:t>
      </w:r>
      <w:r w:rsidR="00B415BB" w:rsidRPr="003C2A9F">
        <w:t>important element of</w:t>
      </w:r>
      <w:r w:rsidRPr="003C2A9F">
        <w:t xml:space="preserve"> </w:t>
      </w:r>
      <w:r w:rsidR="003C2A9F" w:rsidRPr="003C2A9F">
        <w:t>T</w:t>
      </w:r>
      <w:r w:rsidRPr="003C2A9F">
        <w:t>argets</w:t>
      </w:r>
      <w:r w:rsidRPr="00BB6518">
        <w:t xml:space="preserve"> 5 a</w:t>
      </w:r>
      <w:r w:rsidRPr="003C2A9F">
        <w:t>nd 9.</w:t>
      </w:r>
    </w:p>
    <w:p w14:paraId="6A319847" w14:textId="3CF8BE24" w:rsidR="00554CEE" w:rsidRPr="0072713C" w:rsidRDefault="00554CEE" w:rsidP="00BB6518">
      <w:pPr>
        <w:ind w:left="567"/>
        <w:rPr>
          <w:szCs w:val="22"/>
        </w:rPr>
      </w:pPr>
      <w:r w:rsidRPr="0072713C">
        <w:rPr>
          <w:i/>
          <w:iCs/>
        </w:rPr>
        <w:t xml:space="preserve">Area </w:t>
      </w:r>
      <w:r w:rsidRPr="003C2A9F">
        <w:rPr>
          <w:i/>
          <w:iCs/>
        </w:rPr>
        <w:t>of gap:</w:t>
      </w:r>
      <w:r w:rsidRPr="00BB6518">
        <w:rPr>
          <w:i/>
          <w:iCs/>
        </w:rPr>
        <w:t xml:space="preserve"> </w:t>
      </w:r>
      <w:r w:rsidRPr="003C2A9F">
        <w:rPr>
          <w:i/>
          <w:iCs/>
        </w:rPr>
        <w:t>biodiversity and sustainable aquaculture, in particular on land and in inland water areas</w:t>
      </w:r>
    </w:p>
    <w:p w14:paraId="0BABC598" w14:textId="2DA34AB0" w:rsidR="00554CEE" w:rsidRPr="00554CEE" w:rsidRDefault="00554CEE" w:rsidP="00BB6518">
      <w:pPr>
        <w:pStyle w:val="Para10"/>
      </w:pPr>
      <w:r w:rsidRPr="00554CEE">
        <w:t xml:space="preserve">There has been limited previous attention to aquaculture across the Convention. Improved guidance on sustainable aquaculture, in the context of the Convention, is needed. Aquaculture in inland </w:t>
      </w:r>
      <w:r w:rsidRPr="00C53D5A">
        <w:t xml:space="preserve">areas (mostly freshwater but also brackish water coastal aquaculture) is highlighted because that is where most of the production, expansion and impacts are occurring. Much guidance has been developed by </w:t>
      </w:r>
      <w:r w:rsidRPr="00BB6518">
        <w:t>FAO</w:t>
      </w:r>
      <w:r w:rsidRPr="00C53D5A">
        <w:t xml:space="preserve"> and</w:t>
      </w:r>
      <w:r w:rsidRPr="00554CEE">
        <w:t xml:space="preserve"> other partners as a foundation for this. </w:t>
      </w:r>
    </w:p>
    <w:p w14:paraId="7AB516F4" w14:textId="3A179D0A" w:rsidR="00534FF9" w:rsidRPr="00C53D5A" w:rsidRDefault="00534FF9" w:rsidP="00BB6518">
      <w:pPr>
        <w:ind w:left="567"/>
        <w:rPr>
          <w:i/>
          <w:iCs/>
        </w:rPr>
      </w:pPr>
      <w:r>
        <w:rPr>
          <w:i/>
          <w:iCs/>
        </w:rPr>
        <w:t xml:space="preserve">Area of </w:t>
      </w:r>
      <w:r w:rsidRPr="00C53D5A">
        <w:rPr>
          <w:i/>
          <w:iCs/>
        </w:rPr>
        <w:t xml:space="preserve">gap: </w:t>
      </w:r>
      <w:r w:rsidRPr="00BB6518">
        <w:rPr>
          <w:i/>
          <w:iCs/>
        </w:rPr>
        <w:t>in-situ</w:t>
      </w:r>
      <w:r w:rsidRPr="00C53D5A">
        <w:rPr>
          <w:i/>
          <w:iCs/>
        </w:rPr>
        <w:t xml:space="preserve"> conservation of genetic diversity </w:t>
      </w:r>
    </w:p>
    <w:p w14:paraId="4C37FC2D" w14:textId="626A01F7" w:rsidR="00534FF9" w:rsidRPr="00C53D5A" w:rsidRDefault="00534FF9" w:rsidP="00BB6518">
      <w:pPr>
        <w:pStyle w:val="Para10"/>
      </w:pPr>
      <w:r w:rsidRPr="00C53D5A">
        <w:t>Guidance on the importance of genetic diversit</w:t>
      </w:r>
      <w:r w:rsidRPr="00BB6518">
        <w:t>y</w:t>
      </w:r>
      <w:r w:rsidR="00C53D5A" w:rsidRPr="00BB6518">
        <w:t>,</w:t>
      </w:r>
      <w:r w:rsidRPr="00BB6518">
        <w:t xml:space="preserve"> including</w:t>
      </w:r>
      <w:r w:rsidRPr="00C53D5A">
        <w:t xml:space="preserve"> small population sizes and </w:t>
      </w:r>
      <w:r w:rsidRPr="00BB6518">
        <w:t>in-situ</w:t>
      </w:r>
      <w:r w:rsidRPr="00C53D5A">
        <w:t xml:space="preserve"> genetic conservation approaches and methods (in addition to agricultural biodiversity dealt with by </w:t>
      </w:r>
      <w:r w:rsidRPr="00BB6518">
        <w:t>FAO</w:t>
      </w:r>
      <w:r w:rsidRPr="00C53D5A">
        <w:t xml:space="preserve"> and Commission on Genetic Resources for Food and Agriculture). </w:t>
      </w:r>
      <w:r w:rsidR="00F42BBF" w:rsidRPr="00C53D5A">
        <w:t>This is r</w:t>
      </w:r>
      <w:r w:rsidRPr="00C53D5A">
        <w:t xml:space="preserve">elevant to </w:t>
      </w:r>
      <w:r w:rsidR="00C53D5A">
        <w:t>T</w:t>
      </w:r>
      <w:r w:rsidRPr="00C53D5A">
        <w:t>argets</w:t>
      </w:r>
      <w:r w:rsidRPr="00BB6518">
        <w:t xml:space="preserve"> 3 a</w:t>
      </w:r>
      <w:r w:rsidRPr="00C53D5A">
        <w:t>nd</w:t>
      </w:r>
      <w:r w:rsidRPr="00BB6518">
        <w:t xml:space="preserve"> 4</w:t>
      </w:r>
      <w:r w:rsidR="00C53D5A">
        <w:t>,</w:t>
      </w:r>
      <w:r w:rsidRPr="00BB6518">
        <w:t xml:space="preserve"> a</w:t>
      </w:r>
      <w:r w:rsidRPr="00C53D5A">
        <w:t xml:space="preserve">mong others. </w:t>
      </w:r>
    </w:p>
    <w:p w14:paraId="5238F4DE" w14:textId="4256641A" w:rsidR="003C4686" w:rsidRPr="0072713C" w:rsidRDefault="00F1235F" w:rsidP="00BB6518">
      <w:pPr>
        <w:ind w:left="567"/>
        <w:rPr>
          <w:i/>
          <w:iCs/>
        </w:rPr>
      </w:pPr>
      <w:r w:rsidRPr="0072713C">
        <w:rPr>
          <w:i/>
          <w:iCs/>
        </w:rPr>
        <w:t xml:space="preserve">Area of gap: </w:t>
      </w:r>
      <w:r w:rsidR="0097335E">
        <w:rPr>
          <w:i/>
          <w:iCs/>
        </w:rPr>
        <w:t>e</w:t>
      </w:r>
      <w:r w:rsidR="003C4686" w:rsidRPr="0072713C">
        <w:rPr>
          <w:i/>
          <w:iCs/>
        </w:rPr>
        <w:t xml:space="preserve">xpanded guidance on mainstreaming </w:t>
      </w:r>
      <w:r w:rsidR="00F72A13" w:rsidRPr="0072713C">
        <w:rPr>
          <w:i/>
          <w:iCs/>
        </w:rPr>
        <w:t>for various sectors</w:t>
      </w:r>
      <w:r w:rsidR="003C4686" w:rsidRPr="0072713C">
        <w:rPr>
          <w:i/>
          <w:iCs/>
        </w:rPr>
        <w:t xml:space="preserve"> </w:t>
      </w:r>
    </w:p>
    <w:p w14:paraId="2D2FBD9E" w14:textId="6DBD424F" w:rsidR="003C4686" w:rsidRPr="00157943" w:rsidRDefault="003C4686" w:rsidP="00BB6518">
      <w:pPr>
        <w:pStyle w:val="Para10"/>
      </w:pPr>
      <w:r w:rsidRPr="00157943">
        <w:t xml:space="preserve">Mainstreaming is an important task to achieve the </w:t>
      </w:r>
      <w:r w:rsidR="00A92F2A" w:rsidRPr="00157943">
        <w:t xml:space="preserve">goals and </w:t>
      </w:r>
      <w:r w:rsidR="00D54C7A" w:rsidRPr="00157943">
        <w:t>targets of</w:t>
      </w:r>
      <w:r w:rsidRPr="00157943">
        <w:t xml:space="preserve"> the Framework and </w:t>
      </w:r>
      <w:r w:rsidR="00EA3E52">
        <w:t xml:space="preserve">will be addressed by the Subsidiary Body on Implementation at its </w:t>
      </w:r>
      <w:r w:rsidR="00E47459">
        <w:t>fourth meeting, which will consider</w:t>
      </w:r>
      <w:r w:rsidR="00EA3E52">
        <w:t xml:space="preserve"> elements of guidance </w:t>
      </w:r>
      <w:r w:rsidR="00E47459">
        <w:t xml:space="preserve">for </w:t>
      </w:r>
      <w:r w:rsidR="00EA3E52">
        <w:t xml:space="preserve">mainstreaming across sectors. Under the Convention there is much guidance developed to address </w:t>
      </w:r>
      <w:r w:rsidR="00EA3E52" w:rsidRPr="0014706C">
        <w:t>sector</w:t>
      </w:r>
      <w:r w:rsidR="00EA3E52" w:rsidRPr="00BB6518">
        <w:t>s</w:t>
      </w:r>
      <w:r w:rsidR="0014706C" w:rsidRPr="00BB6518">
        <w:t>,</w:t>
      </w:r>
      <w:r w:rsidR="00EA3E52" w:rsidRPr="00BB6518">
        <w:t xml:space="preserve"> such as</w:t>
      </w:r>
      <w:r w:rsidR="00EA3E52" w:rsidRPr="0014706C">
        <w:t xml:space="preserve"> agriculture, forestry, fisheries and tourism</w:t>
      </w:r>
      <w:r w:rsidR="00334EE0" w:rsidRPr="0014706C">
        <w:t xml:space="preserve"> (see decision </w:t>
      </w:r>
      <w:r w:rsidR="00334EE0" w:rsidRPr="00BB6518">
        <w:t>X</w:t>
      </w:r>
      <w:r w:rsidR="00334EE0" w:rsidRPr="0014706C">
        <w:t>III</w:t>
      </w:r>
      <w:r w:rsidR="00334EE0">
        <w:t>/3)</w:t>
      </w:r>
      <w:r w:rsidR="00EA3E52">
        <w:t>, but specific guidance for other sectors is limited</w:t>
      </w:r>
      <w:r w:rsidR="00334EE0">
        <w:t xml:space="preserve"> to decision 14/3. T</w:t>
      </w:r>
      <w:r w:rsidR="00EA3E52">
        <w:t xml:space="preserve">ools and guidance developed under the Convention on impact assessment are relevant. </w:t>
      </w:r>
      <w:r w:rsidR="00334EE0">
        <w:t>Thus</w:t>
      </w:r>
      <w:r w:rsidR="00E47459">
        <w:t>,</w:t>
      </w:r>
      <w:r w:rsidR="00334EE0">
        <w:t xml:space="preserve"> a</w:t>
      </w:r>
      <w:r w:rsidR="00EA3E52">
        <w:t xml:space="preserve">dditional </w:t>
      </w:r>
      <w:r w:rsidRPr="00157943">
        <w:t xml:space="preserve">guidance </w:t>
      </w:r>
      <w:r w:rsidR="00EA3E52">
        <w:t>may</w:t>
      </w:r>
      <w:r w:rsidR="00F42BBF">
        <w:t xml:space="preserve"> </w:t>
      </w:r>
      <w:r w:rsidR="00334EE0">
        <w:t xml:space="preserve">be </w:t>
      </w:r>
      <w:r w:rsidR="00F42BBF">
        <w:t xml:space="preserve">needed </w:t>
      </w:r>
      <w:r w:rsidRPr="00157943">
        <w:t xml:space="preserve">to fill gaps for various sectors </w:t>
      </w:r>
      <w:r w:rsidR="004B28CA">
        <w:t xml:space="preserve">not referenced in the </w:t>
      </w:r>
      <w:r w:rsidRPr="00157943">
        <w:t xml:space="preserve">previous mainstreaming decisions adopted </w:t>
      </w:r>
      <w:r w:rsidR="006505B4" w:rsidRPr="00157943">
        <w:t xml:space="preserve">by </w:t>
      </w:r>
      <w:r w:rsidRPr="00157943">
        <w:t xml:space="preserve">the Conference of the Parties. </w:t>
      </w:r>
    </w:p>
    <w:p w14:paraId="3E7D432A" w14:textId="73D4D4A4" w:rsidR="00F61C65" w:rsidRDefault="00F61C65" w:rsidP="00BB6518">
      <w:pPr>
        <w:ind w:left="567"/>
        <w:rPr>
          <w:i/>
          <w:iCs/>
        </w:rPr>
      </w:pPr>
      <w:r>
        <w:rPr>
          <w:i/>
          <w:iCs/>
        </w:rPr>
        <w:t>Area of gap: biodiversity and climate change mitigation</w:t>
      </w:r>
    </w:p>
    <w:p w14:paraId="027C0354" w14:textId="2D5AE6A9" w:rsidR="00F61C65" w:rsidRDefault="00072CA4" w:rsidP="00BB6518">
      <w:pPr>
        <w:pStyle w:val="Para10"/>
      </w:pPr>
      <w:r>
        <w:t>T</w:t>
      </w:r>
      <w:r w:rsidR="00F61C65">
        <w:t xml:space="preserve">he voluntary guidelines for the design and effective implementation of ecosystem-based approaches to climate change adaptation and disaster risk reduction </w:t>
      </w:r>
      <w:r w:rsidR="00334EE0">
        <w:t>could</w:t>
      </w:r>
      <w:r>
        <w:t xml:space="preserve"> be updated </w:t>
      </w:r>
      <w:r w:rsidR="00334EE0">
        <w:t xml:space="preserve">and expanded </w:t>
      </w:r>
      <w:r w:rsidR="00F61C65">
        <w:t xml:space="preserve">to include mitigation. </w:t>
      </w:r>
    </w:p>
    <w:p w14:paraId="30791BFE" w14:textId="4CF33ED4" w:rsidR="00F61C65" w:rsidRDefault="00F61C65" w:rsidP="00BB6518">
      <w:pPr>
        <w:ind w:left="567"/>
        <w:rPr>
          <w:i/>
          <w:iCs/>
        </w:rPr>
      </w:pPr>
      <w:r>
        <w:rPr>
          <w:i/>
          <w:iCs/>
        </w:rPr>
        <w:t>Area of gap: reforming harmful subsidies</w:t>
      </w:r>
    </w:p>
    <w:p w14:paraId="6D9D9D84" w14:textId="42BD4D69" w:rsidR="00F61C65" w:rsidRDefault="00F61C65" w:rsidP="00BB6518">
      <w:pPr>
        <w:pStyle w:val="Para10"/>
      </w:pPr>
      <w:r>
        <w:t xml:space="preserve">Guidance on how to </w:t>
      </w:r>
      <w:r w:rsidRPr="00AE6558">
        <w:t xml:space="preserve">reform </w:t>
      </w:r>
      <w:r w:rsidRPr="00BB6518">
        <w:t>and/or</w:t>
      </w:r>
      <w:r w:rsidRPr="00AE6558">
        <w:t xml:space="preserve"> phase-</w:t>
      </w:r>
      <w:r>
        <w:t>out harmful subsidies once they have been identified</w:t>
      </w:r>
      <w:r w:rsidR="00072CA4">
        <w:t>, would be useful</w:t>
      </w:r>
      <w:r>
        <w:t xml:space="preserve">. </w:t>
      </w:r>
    </w:p>
    <w:p w14:paraId="75E2D1FD" w14:textId="59E273DD" w:rsidR="009E6587" w:rsidRPr="00EF2E2C" w:rsidRDefault="009E6587" w:rsidP="00BB6518">
      <w:pPr>
        <w:ind w:left="567"/>
        <w:rPr>
          <w:i/>
          <w:iCs/>
        </w:rPr>
      </w:pPr>
      <w:r w:rsidRPr="00EF2E2C">
        <w:rPr>
          <w:i/>
          <w:iCs/>
        </w:rPr>
        <w:t xml:space="preserve">Area of gap: </w:t>
      </w:r>
      <w:r>
        <w:rPr>
          <w:i/>
          <w:iCs/>
        </w:rPr>
        <w:t>f</w:t>
      </w:r>
      <w:r w:rsidR="007D4D0C" w:rsidRPr="009E6587">
        <w:rPr>
          <w:i/>
          <w:iCs/>
        </w:rPr>
        <w:t>ormal and informal education</w:t>
      </w:r>
      <w:r w:rsidR="007D4D0C" w:rsidRPr="00EF2E2C">
        <w:rPr>
          <w:i/>
          <w:iCs/>
        </w:rPr>
        <w:t xml:space="preserve">. </w:t>
      </w:r>
    </w:p>
    <w:p w14:paraId="45B9C3A6" w14:textId="17DA4BF5" w:rsidR="007D4D0C" w:rsidRPr="00157943" w:rsidRDefault="007D4D0C" w:rsidP="00BB6518">
      <w:pPr>
        <w:pStyle w:val="Para10"/>
      </w:pPr>
      <w:r w:rsidRPr="007D4D0C">
        <w:t xml:space="preserve">Although education is addressed by the </w:t>
      </w:r>
      <w:r w:rsidRPr="001044DC">
        <w:t>Convention in the context of communication, education and public awareness</w:t>
      </w:r>
      <w:r w:rsidRPr="00BB6518">
        <w:t>, and</w:t>
      </w:r>
      <w:r w:rsidRPr="001044DC">
        <w:t xml:space="preserve"> through collaboration with organization</w:t>
      </w:r>
      <w:r w:rsidRPr="00BB6518">
        <w:t>s</w:t>
      </w:r>
      <w:r w:rsidR="008D2043" w:rsidRPr="00BB6518">
        <w:t>,</w:t>
      </w:r>
      <w:r w:rsidRPr="00BB6518">
        <w:t xml:space="preserve"> such as</w:t>
      </w:r>
      <w:r w:rsidRPr="001044DC">
        <w:t xml:space="preserve"> the </w:t>
      </w:r>
      <w:r w:rsidRPr="00BB6518">
        <w:t>United Nations Educational, Scientific and Cultural Organization</w:t>
      </w:r>
      <w:r w:rsidR="009E6587" w:rsidRPr="001044DC">
        <w:t xml:space="preserve"> (</w:t>
      </w:r>
      <w:r w:rsidR="009E6587" w:rsidRPr="00BB6518">
        <w:t>UNESCO</w:t>
      </w:r>
      <w:r w:rsidR="009E6587" w:rsidRPr="001044DC">
        <w:t>)</w:t>
      </w:r>
      <w:r w:rsidRPr="001044DC">
        <w:t xml:space="preserve">, there </w:t>
      </w:r>
      <w:r w:rsidR="00334EE0" w:rsidRPr="001044DC">
        <w:t>may be</w:t>
      </w:r>
      <w:r w:rsidRPr="001044DC">
        <w:t xml:space="preserve"> a need to review and make available relevant guidance and tools on education (</w:t>
      </w:r>
      <w:r w:rsidR="001044DC" w:rsidRPr="001044DC">
        <w:t xml:space="preserve">in </w:t>
      </w:r>
      <w:r w:rsidRPr="00BB6518">
        <w:t>particular in</w:t>
      </w:r>
      <w:r w:rsidRPr="001044DC">
        <w:t xml:space="preserve">formal education) as it relates to biodiversity and to develop guidance on how formal and informal education can support implementation of each target of the Framework. The contribution of </w:t>
      </w:r>
      <w:r w:rsidRPr="00BB6518">
        <w:t>UNESCO</w:t>
      </w:r>
      <w:r w:rsidRPr="001044DC">
        <w:t xml:space="preserve"> will be essential in this regard.</w:t>
      </w:r>
    </w:p>
    <w:p w14:paraId="02FD89F3" w14:textId="77777777" w:rsidR="00F96478" w:rsidRPr="00157943" w:rsidRDefault="00F96478" w:rsidP="00BB6518">
      <w:pPr>
        <w:pStyle w:val="Heading1"/>
        <w:ind w:left="567" w:hanging="567"/>
        <w:rPr>
          <w:lang w:val="en-GB"/>
        </w:rPr>
      </w:pPr>
      <w:r w:rsidRPr="00157943">
        <w:rPr>
          <w:lang w:val="en-GB"/>
        </w:rPr>
        <w:t>Implications for the adjustment of work undertaken under the Convention</w:t>
      </w:r>
    </w:p>
    <w:p w14:paraId="69905CDC" w14:textId="77777777" w:rsidR="00756E24" w:rsidRPr="00B64725" w:rsidRDefault="00115FB7" w:rsidP="00BB6518">
      <w:pPr>
        <w:pStyle w:val="Para10"/>
      </w:pPr>
      <w:r>
        <w:t xml:space="preserve">While the above assessment has revealed some gaps in the tools and guidance developed under the Convention to address the actions required to achieve the targets of the Kunming Montreal Global Biodiversity Framework and to address the cross-cutting issues of the Framework, it has also demonstrated (a) that the substantial guidance that has been developed under the Convention remains relevant; much of it is probably underused (for various reasons) and some may require updating; </w:t>
      </w:r>
      <w:r w:rsidR="00756E24">
        <w:t xml:space="preserve">and </w:t>
      </w:r>
      <w:r>
        <w:lastRenderedPageBreak/>
        <w:t xml:space="preserve">(b) </w:t>
      </w:r>
      <w:r w:rsidR="00756E24">
        <w:t xml:space="preserve">that </w:t>
      </w:r>
      <w:r>
        <w:t xml:space="preserve">there is wealth of tools and guidance developed through other processes and an important potential to “mainstream” the Framework by working with the relevant bodies, where necessary, with a view to integrating considerations from the Framework into such tools and guidance such that they </w:t>
      </w:r>
      <w:r w:rsidRPr="00B64725">
        <w:t xml:space="preserve">become “biodiversity-inclusive”. </w:t>
      </w:r>
    </w:p>
    <w:p w14:paraId="348180E6" w14:textId="2CA0A6B5" w:rsidR="00756E24" w:rsidRDefault="00756E24" w:rsidP="00BB6518">
      <w:pPr>
        <w:pStyle w:val="Para10"/>
      </w:pPr>
      <w:r w:rsidRPr="00BB6518">
        <w:t xml:space="preserve">In </w:t>
      </w:r>
      <w:r w:rsidR="00B64725" w:rsidRPr="00BB6518">
        <w:t xml:space="preserve">the </w:t>
      </w:r>
      <w:r w:rsidRPr="00BB6518">
        <w:t>light of</w:t>
      </w:r>
      <w:r w:rsidRPr="00B64725">
        <w:t xml:space="preserve"> this</w:t>
      </w:r>
      <w:r w:rsidRPr="00BB6518">
        <w:t>, and</w:t>
      </w:r>
      <w:r w:rsidRPr="00B64725">
        <w:t xml:space="preserve"> in</w:t>
      </w:r>
      <w:r>
        <w:t xml:space="preserve"> line with the request</w:t>
      </w:r>
      <w:r w:rsidR="00F602AE">
        <w:t>s</w:t>
      </w:r>
      <w:r>
        <w:t xml:space="preserve"> in recommendation 25/3, the way forward might encompass: (a) improved knowledge management of the available tools and guidance; (b) further enhanced cooperation with other processes and organizations; (c) taking the gaps identified into account in ongoing work under the Convention; (d) </w:t>
      </w:r>
      <w:r w:rsidRPr="00355E67">
        <w:t xml:space="preserve">consideration of advancing </w:t>
      </w:r>
      <w:r w:rsidR="00B26498" w:rsidRPr="00355E67">
        <w:t xml:space="preserve">new </w:t>
      </w:r>
      <w:r w:rsidRPr="00355E67">
        <w:t xml:space="preserve">work on a strictly limited number of issues; (e) taking the gaps into account in work on </w:t>
      </w:r>
      <w:r w:rsidRPr="00BB6518">
        <w:t>capacity</w:t>
      </w:r>
      <w:r w:rsidR="003062E3" w:rsidRPr="00BB6518">
        <w:t>-</w:t>
      </w:r>
      <w:r w:rsidRPr="00BB6518">
        <w:t>building</w:t>
      </w:r>
      <w:r w:rsidRPr="00355E67">
        <w:t xml:space="preserve"> and development and technical and scientific cooperation; and (f) taking the gaps into account in developing proposals for the programme of work and budget of the Secretariat. These issues are further explored in the following paragraphs.</w:t>
      </w:r>
      <w:r>
        <w:t xml:space="preserve"> </w:t>
      </w:r>
    </w:p>
    <w:p w14:paraId="606E133F" w14:textId="1BD4902B" w:rsidR="00F75C7D" w:rsidRPr="00BB6518" w:rsidRDefault="00F75C7D" w:rsidP="00BB6518">
      <w:pPr>
        <w:pStyle w:val="Para10"/>
        <w:numPr>
          <w:ilvl w:val="0"/>
          <w:numId w:val="0"/>
        </w:numPr>
        <w:ind w:left="567"/>
        <w:rPr>
          <w:i/>
          <w:iCs/>
        </w:rPr>
      </w:pPr>
      <w:r w:rsidRPr="00BB6518">
        <w:rPr>
          <w:i/>
          <w:iCs/>
        </w:rPr>
        <w:t>Knowledge Management</w:t>
      </w:r>
    </w:p>
    <w:p w14:paraId="707064E7" w14:textId="422FC264" w:rsidR="00D40C15" w:rsidRDefault="00756E24" w:rsidP="00BB6518">
      <w:pPr>
        <w:pStyle w:val="Para10"/>
      </w:pPr>
      <w:r>
        <w:t xml:space="preserve">Much of the </w:t>
      </w:r>
      <w:r w:rsidR="00F75C7D">
        <w:t xml:space="preserve">tools and </w:t>
      </w:r>
      <w:r>
        <w:t>guidance developed under the Convention is probably underused, in part because it is not clearly visible and its relevance is therefore not always realized.</w:t>
      </w:r>
      <w:r w:rsidR="00F96478" w:rsidRPr="00157943">
        <w:t xml:space="preserve"> </w:t>
      </w:r>
      <w:r w:rsidR="00F75C7D">
        <w:t xml:space="preserve">This also applies to relevant tools and guidance developed under other processes and organizations. </w:t>
      </w:r>
      <w:r>
        <w:t>To address this, t</w:t>
      </w:r>
      <w:r w:rsidR="00D40C15" w:rsidRPr="00D40C15">
        <w:t xml:space="preserve">he Secretariat is already in the process of improving the </w:t>
      </w:r>
      <w:r>
        <w:t>Convention’s</w:t>
      </w:r>
      <w:r w:rsidR="00D40C15" w:rsidRPr="00D40C15">
        <w:t xml:space="preserve"> </w:t>
      </w:r>
      <w:r w:rsidR="00761AA9">
        <w:t>w</w:t>
      </w:r>
      <w:r w:rsidR="00D40C15" w:rsidRPr="00D40C15">
        <w:t xml:space="preserve">ebsite and </w:t>
      </w:r>
      <w:r>
        <w:t xml:space="preserve">the </w:t>
      </w:r>
      <w:r w:rsidR="00761AA9">
        <w:t>c</w:t>
      </w:r>
      <w:r>
        <w:t>learing</w:t>
      </w:r>
      <w:r w:rsidR="00761AA9">
        <w:noBreakHyphen/>
        <w:t>h</w:t>
      </w:r>
      <w:r>
        <w:t xml:space="preserve">ouse mechanism, including through a dedicated </w:t>
      </w:r>
      <w:r w:rsidR="00F75C7D">
        <w:t xml:space="preserve">site for the Framework. </w:t>
      </w:r>
      <w:r w:rsidR="00F75C7D" w:rsidRPr="007F7AEB">
        <w:t xml:space="preserve">Work </w:t>
      </w:r>
      <w:r w:rsidR="00F75C7D" w:rsidRPr="00BB6518">
        <w:t>under</w:t>
      </w:r>
      <w:r w:rsidR="007F7AEB" w:rsidRPr="00BB6518">
        <w:t xml:space="preserve"> </w:t>
      </w:r>
      <w:r w:rsidR="00F75C7D" w:rsidRPr="00BB6518">
        <w:t>way</w:t>
      </w:r>
      <w:r w:rsidR="00F75C7D" w:rsidRPr="007F7AEB">
        <w:t xml:space="preserve"> includes</w:t>
      </w:r>
      <w:r w:rsidR="00D40C15" w:rsidRPr="007F7AEB">
        <w:t>: enhancing the user interface design, visual layout and functionality; further</w:t>
      </w:r>
      <w:r w:rsidR="00D40C15" w:rsidRPr="00D40C15">
        <w:t xml:space="preserve"> classifying the available information relating to the targets and other elements of the Framework; enhancing the coherence, interoperability and information exchange services among the various clearing</w:t>
      </w:r>
      <w:r w:rsidR="007F7AEB">
        <w:noBreakHyphen/>
      </w:r>
      <w:r w:rsidR="00D40C15" w:rsidRPr="00D40C15">
        <w:t xml:space="preserve">house mechanisms, </w:t>
      </w:r>
      <w:r w:rsidR="00D40C15" w:rsidRPr="00BB6518">
        <w:t>web</w:t>
      </w:r>
      <w:r w:rsidR="007F7AEB" w:rsidRPr="00BB6518">
        <w:t xml:space="preserve"> </w:t>
      </w:r>
      <w:r w:rsidR="00D40C15" w:rsidRPr="00BB6518">
        <w:t>page</w:t>
      </w:r>
      <w:r w:rsidR="00D40C15" w:rsidRPr="007F7AEB">
        <w:t xml:space="preserve">s in </w:t>
      </w:r>
      <w:r w:rsidR="00D40C15" w:rsidRPr="00BB6518">
        <w:t>t</w:t>
      </w:r>
      <w:r w:rsidR="007F7AEB" w:rsidRPr="00BB6518">
        <w:t>he</w:t>
      </w:r>
      <w:r w:rsidR="00D40C15" w:rsidRPr="00D40C15">
        <w:t xml:space="preserve"> website</w:t>
      </w:r>
      <w:r w:rsidR="007F7AEB">
        <w:t xml:space="preserve"> of the Convention</w:t>
      </w:r>
      <w:r w:rsidR="00D40C15" w:rsidRPr="00D40C15">
        <w:t>, decision-</w:t>
      </w:r>
      <w:r w:rsidR="00D40C15" w:rsidRPr="00722897">
        <w:t>tracking tools</w:t>
      </w:r>
      <w:r w:rsidR="00D40C15" w:rsidRPr="00BB6518">
        <w:t xml:space="preserve"> and</w:t>
      </w:r>
      <w:r w:rsidR="00D40C15" w:rsidRPr="00722897">
        <w:t xml:space="preserve"> the national clearing-house mechanism portals; continuing to establish and strengthen interoperability with external relevant knowledge bases and sources; further enriching the information on the Framework in </w:t>
      </w:r>
      <w:r w:rsidR="00D40C15" w:rsidRPr="00BB6518">
        <w:t xml:space="preserve">the </w:t>
      </w:r>
      <w:r w:rsidR="00D40C15" w:rsidRPr="00722897">
        <w:t xml:space="preserve">website </w:t>
      </w:r>
      <w:r w:rsidR="00722897">
        <w:t xml:space="preserve">of the Convention, </w:t>
      </w:r>
      <w:r w:rsidR="00D40C15" w:rsidRPr="00722897">
        <w:t>by providing references and linkages to relevant initiatives and resources that are managed outside the Secretariat; encouraging continued submission and</w:t>
      </w:r>
      <w:r w:rsidR="00D40C15" w:rsidRPr="00D40C15">
        <w:t xml:space="preserve"> sharing of information and further improving and </w:t>
      </w:r>
      <w:r w:rsidR="00D40C15" w:rsidRPr="00722897">
        <w:t>strengthening</w:t>
      </w:r>
      <w:r w:rsidR="00D40C15" w:rsidRPr="00BB6518">
        <w:t xml:space="preserve"> </w:t>
      </w:r>
      <w:r w:rsidR="00D40C15" w:rsidRPr="00722897">
        <w:t>the submission</w:t>
      </w:r>
      <w:r w:rsidR="00D40C15" w:rsidRPr="00D40C15">
        <w:t xml:space="preserve"> mechanism; and continuing to develop and strengthen biodiversity related vocabularies, taxonomies and meta data standards.</w:t>
      </w:r>
      <w:r w:rsidR="00D40C15" w:rsidRPr="00571037">
        <w:rPr>
          <w:highlight w:val="yellow"/>
        </w:rPr>
        <w:t xml:space="preserve">  </w:t>
      </w:r>
    </w:p>
    <w:p w14:paraId="614C5376" w14:textId="27AE6B68" w:rsidR="00F75C7D" w:rsidRPr="00BB6518" w:rsidRDefault="00F75C7D" w:rsidP="00BB6518">
      <w:pPr>
        <w:pStyle w:val="Para10"/>
        <w:numPr>
          <w:ilvl w:val="0"/>
          <w:numId w:val="0"/>
        </w:numPr>
        <w:ind w:left="567"/>
        <w:rPr>
          <w:i/>
          <w:iCs/>
        </w:rPr>
      </w:pPr>
      <w:r w:rsidRPr="00BB6518">
        <w:rPr>
          <w:i/>
          <w:iCs/>
        </w:rPr>
        <w:t>Cooperation</w:t>
      </w:r>
    </w:p>
    <w:p w14:paraId="5D63DEF5" w14:textId="587EF5A2" w:rsidR="00B04181" w:rsidRDefault="00F75C7D" w:rsidP="00BB6518">
      <w:pPr>
        <w:pStyle w:val="Para10"/>
      </w:pPr>
      <w:r>
        <w:t xml:space="preserve">As noted above (para. 10), </w:t>
      </w:r>
      <w:r w:rsidRPr="00F75C7D">
        <w:t xml:space="preserve">much information </w:t>
      </w:r>
      <w:r>
        <w:t>is</w:t>
      </w:r>
      <w:r w:rsidRPr="00F75C7D">
        <w:t xml:space="preserve"> available in the broader public</w:t>
      </w:r>
      <w:r w:rsidR="00B26498">
        <w:t xml:space="preserve"> </w:t>
      </w:r>
      <w:r w:rsidR="00B26498" w:rsidRPr="00111045">
        <w:t>domain</w:t>
      </w:r>
      <w:r w:rsidRPr="00111045">
        <w:t>,</w:t>
      </w:r>
      <w:r>
        <w:t xml:space="preserve"> thus i</w:t>
      </w:r>
      <w:r w:rsidRPr="00F75C7D">
        <w:t>mproved facilit</w:t>
      </w:r>
      <w:r>
        <w:t>ies</w:t>
      </w:r>
      <w:r w:rsidRPr="00F75C7D">
        <w:t xml:space="preserve"> to direct users to other key sources of guidance and relevant processes </w:t>
      </w:r>
      <w:r>
        <w:t>would</w:t>
      </w:r>
      <w:r w:rsidRPr="00F75C7D">
        <w:t xml:space="preserve"> enhance the accessibility to </w:t>
      </w:r>
      <w:r>
        <w:t xml:space="preserve">this </w:t>
      </w:r>
      <w:r w:rsidRPr="00A74CEE">
        <w:t xml:space="preserve">information. This may be accomplished through the </w:t>
      </w:r>
      <w:r w:rsidR="00A74CEE" w:rsidRPr="00A74CEE">
        <w:t xml:space="preserve">clearing house mechanism </w:t>
      </w:r>
      <w:r w:rsidRPr="00A74CEE">
        <w:t>either by directl</w:t>
      </w:r>
      <w:r w:rsidRPr="00BB6518">
        <w:t>y including</w:t>
      </w:r>
      <w:r w:rsidRPr="00A74CEE">
        <w:t xml:space="preserve"> such information or by enhancing interoperability with site</w:t>
      </w:r>
      <w:r w:rsidRPr="00BB6518">
        <w:t>s</w:t>
      </w:r>
      <w:r w:rsidR="00A74CEE">
        <w:t>,</w:t>
      </w:r>
      <w:r w:rsidRPr="00BB6518">
        <w:t xml:space="preserve"> such as</w:t>
      </w:r>
      <w:r w:rsidRPr="00A74CEE">
        <w:t xml:space="preserve"> </w:t>
      </w:r>
      <w:r w:rsidRPr="00BB6518">
        <w:t xml:space="preserve">the </w:t>
      </w:r>
      <w:r w:rsidRPr="00A74CEE">
        <w:t>Biodiversity Knowledge Hub</w:t>
      </w:r>
      <w:r w:rsidR="00A74CEE" w:rsidRPr="00BB6518">
        <w:t xml:space="preserve"> of FAO</w:t>
      </w:r>
      <w:r w:rsidRPr="00A74CEE">
        <w:t>. Other</w:t>
      </w:r>
      <w:r>
        <w:t xml:space="preserve"> organizations may be encouraged to develop similar information hubs. Moreover, given the broad interest inspired by the Kunming Montreal Global Biodiversity Framework, many other organizations are interested in developing, or co-developing</w:t>
      </w:r>
      <w:r w:rsidR="00B26498">
        <w:t>,</w:t>
      </w:r>
      <w:r>
        <w:t xml:space="preserve"> additional tools and guidance to fill gaps. The </w:t>
      </w:r>
      <w:r w:rsidR="0004145B" w:rsidRPr="00F602AE">
        <w:t>I</w:t>
      </w:r>
      <w:r w:rsidR="0004145B">
        <w:t>nternational Union for Conservation of Nature</w:t>
      </w:r>
      <w:r>
        <w:t>, for example, is currently developing much relevant guidance. As noted above (para</w:t>
      </w:r>
      <w:r w:rsidR="00B04181">
        <w:t>s</w:t>
      </w:r>
      <w:r w:rsidR="0004145B">
        <w:t>.</w:t>
      </w:r>
      <w:r w:rsidR="00B04181">
        <w:t xml:space="preserve"> 12 and 34), a particular opportunity arises from the potential to work with such relevant bodies to integrate considerations from the Framework into tools and guidance under development by such bodies</w:t>
      </w:r>
      <w:r w:rsidR="00111045">
        <w:t>, thereby ensuring that</w:t>
      </w:r>
      <w:r w:rsidR="00B04181">
        <w:t xml:space="preserve"> the tools and guidance are “biodiversity-inclusive”. This also has the advantage of engaging such bodies and their constituencies directly in efforts to implement the targets of the Framework. </w:t>
      </w:r>
    </w:p>
    <w:p w14:paraId="7A7351BA" w14:textId="7F62ED65" w:rsidR="00B04181" w:rsidRPr="00BB6518" w:rsidRDefault="00B04181" w:rsidP="00BB6518">
      <w:pPr>
        <w:pStyle w:val="Para10"/>
        <w:numPr>
          <w:ilvl w:val="0"/>
          <w:numId w:val="0"/>
        </w:numPr>
        <w:ind w:left="567"/>
        <w:rPr>
          <w:i/>
          <w:iCs/>
        </w:rPr>
      </w:pPr>
      <w:r w:rsidRPr="00BB6518">
        <w:rPr>
          <w:i/>
          <w:iCs/>
        </w:rPr>
        <w:t>Ongoing Work under the Convention</w:t>
      </w:r>
      <w:r w:rsidR="00422987" w:rsidRPr="00BB6518">
        <w:rPr>
          <w:i/>
          <w:iCs/>
        </w:rPr>
        <w:t xml:space="preserve">, including on the deliverables from </w:t>
      </w:r>
      <w:r w:rsidR="000E7BDD" w:rsidRPr="000E7BDD">
        <w:rPr>
          <w:i/>
          <w:iCs/>
        </w:rPr>
        <w:t xml:space="preserve">the </w:t>
      </w:r>
      <w:r w:rsidR="000E7BDD" w:rsidRPr="00BB6518">
        <w:rPr>
          <w:i/>
          <w:iCs/>
        </w:rPr>
        <w:t>Intergovernmental Science-Policy Platform on Biodiversity and Ecosystem Services</w:t>
      </w:r>
      <w:r w:rsidR="000E7BDD" w:rsidRPr="00B21E8A">
        <w:t xml:space="preserve"> </w:t>
      </w:r>
    </w:p>
    <w:p w14:paraId="05D88E88" w14:textId="113A4065" w:rsidR="00D40C15" w:rsidRPr="00FE28E0" w:rsidRDefault="005F085A" w:rsidP="00BB6518">
      <w:pPr>
        <w:pStyle w:val="Para10"/>
      </w:pPr>
      <w:r>
        <w:t>W</w:t>
      </w:r>
      <w:r w:rsidR="00D40C15" w:rsidRPr="00D40C15">
        <w:t xml:space="preserve">ork of the </w:t>
      </w:r>
      <w:r w:rsidR="00D40C15" w:rsidRPr="000E7BDD">
        <w:t xml:space="preserve">Convention has evolved from the crucial early establishment of priority programmes of work and cross-cutting issues, through the more integrative approach of the Strategic Plan for Biodiversity </w:t>
      </w:r>
      <w:r w:rsidR="00D40C15" w:rsidRPr="00BB6518">
        <w:t>2011</w:t>
      </w:r>
      <w:r w:rsidR="000E7BDD" w:rsidRPr="00BB6518">
        <w:t>–</w:t>
      </w:r>
      <w:r w:rsidR="00D40C15" w:rsidRPr="00BB6518">
        <w:t>2020</w:t>
      </w:r>
      <w:r w:rsidR="00D40C15" w:rsidRPr="000E7BDD">
        <w:t xml:space="preserve">, to the more holistic </w:t>
      </w:r>
      <w:r w:rsidR="00D40C15" w:rsidRPr="00BB6518">
        <w:t>Kunming-Montreal Global Biodiversity Framework</w:t>
      </w:r>
      <w:r w:rsidR="00D40C15" w:rsidRPr="000E7BDD">
        <w:t>. In parallel, there has</w:t>
      </w:r>
      <w:r w:rsidR="00D40C15" w:rsidRPr="00D40C15">
        <w:t xml:space="preserve"> been increased emphasis on work of a cross-cutting nature, either </w:t>
      </w:r>
      <w:r w:rsidR="00D40C15" w:rsidRPr="00D40C15">
        <w:lastRenderedPageBreak/>
        <w:t xml:space="preserve">through the existing biome-based programmes of work or through the emergence of new work areas (e.g. mainstreaming, biodiversity and health, gender, etc.). </w:t>
      </w:r>
      <w:r w:rsidR="00D40C15">
        <w:t xml:space="preserve">However, the </w:t>
      </w:r>
      <w:r w:rsidR="00374C32">
        <w:t xml:space="preserve">thematic programmes </w:t>
      </w:r>
      <w:r w:rsidR="00853556">
        <w:t xml:space="preserve">of work </w:t>
      </w:r>
      <w:r w:rsidR="00374C32">
        <w:t>and</w:t>
      </w:r>
      <w:r w:rsidR="00DE5F26">
        <w:t xml:space="preserve"> </w:t>
      </w:r>
      <w:r w:rsidR="00F96478" w:rsidRPr="00157943">
        <w:t>cross-cutting issues</w:t>
      </w:r>
      <w:r w:rsidR="00F96478" w:rsidRPr="00157943">
        <w:rPr>
          <w:rStyle w:val="FootnoteReference"/>
        </w:rPr>
        <w:footnoteReference w:id="22"/>
      </w:r>
      <w:r w:rsidR="00F96478" w:rsidRPr="00157943">
        <w:t xml:space="preserve"> </w:t>
      </w:r>
      <w:r w:rsidR="007F7233">
        <w:t>o</w:t>
      </w:r>
      <w:r w:rsidR="00374C32">
        <w:t xml:space="preserve">f the Convention </w:t>
      </w:r>
      <w:r w:rsidR="00F96478" w:rsidRPr="00157943">
        <w:t xml:space="preserve">remain </w:t>
      </w:r>
      <w:r w:rsidR="00D40C15">
        <w:t>important in providing guidance</w:t>
      </w:r>
      <w:r w:rsidR="00F96478" w:rsidRPr="00157943">
        <w:t xml:space="preserve"> </w:t>
      </w:r>
      <w:r w:rsidR="00115143">
        <w:t xml:space="preserve">to support </w:t>
      </w:r>
      <w:r w:rsidR="00F96478" w:rsidRPr="00157943">
        <w:t xml:space="preserve">the work of the Convention; none are assessed to be redundant. </w:t>
      </w:r>
      <w:r w:rsidR="00D40C15">
        <w:t>Many of the</w:t>
      </w:r>
      <w:r w:rsidR="00D40C15" w:rsidRPr="00D40C15">
        <w:t xml:space="preserve"> gaps and needs </w:t>
      </w:r>
      <w:r w:rsidR="00D40C15">
        <w:t xml:space="preserve">identified above could </w:t>
      </w:r>
      <w:r w:rsidR="00D40C15" w:rsidRPr="00D40C15">
        <w:t xml:space="preserve">be addressed </w:t>
      </w:r>
      <w:r w:rsidR="00D40C15">
        <w:t>within the</w:t>
      </w:r>
      <w:r>
        <w:t>se</w:t>
      </w:r>
      <w:r w:rsidR="00D40C15">
        <w:t xml:space="preserve"> programmes work</w:t>
      </w:r>
      <w:r>
        <w:t xml:space="preserve"> when they are relevant to items on the agenda of the Conference of the </w:t>
      </w:r>
      <w:r w:rsidRPr="00B44829">
        <w:t>Parties and its subsidiary bodies</w:t>
      </w:r>
      <w:r w:rsidR="00FE28E0" w:rsidRPr="00B44829">
        <w:t xml:space="preserve">, as is the case currently, for example, for marine and coastal biodiversity. Given the continued relevance of these programmes of work, the urgency of national level implementation of the </w:t>
      </w:r>
      <w:r w:rsidR="00EB2678" w:rsidRPr="00B44829">
        <w:t>F</w:t>
      </w:r>
      <w:r w:rsidR="00FE28E0" w:rsidRPr="00B44829">
        <w:t>ramework, limited agenda time of the Conference of the Parties and its subsidiary bodies</w:t>
      </w:r>
      <w:r w:rsidR="00FE28E0" w:rsidRPr="00BB6518">
        <w:t>, and</w:t>
      </w:r>
      <w:r w:rsidR="00FE28E0" w:rsidRPr="00B44829">
        <w:t xml:space="preserve"> resource constraints (including that of Parties, the S</w:t>
      </w:r>
      <w:r w:rsidR="00780C4A" w:rsidRPr="00B44829">
        <w:t>e</w:t>
      </w:r>
      <w:r w:rsidR="00FE28E0" w:rsidRPr="00B44829">
        <w:t>cretariat and partners), further in-depth review of these programmes of work may not be a warranted.</w:t>
      </w:r>
      <w:r w:rsidR="00FE28E0">
        <w:t xml:space="preserve"> </w:t>
      </w:r>
    </w:p>
    <w:p w14:paraId="3689DD97" w14:textId="17173901" w:rsidR="00FE28E0" w:rsidRPr="00AB2608" w:rsidRDefault="00FE28E0" w:rsidP="00BB6518">
      <w:pPr>
        <w:pStyle w:val="Para10"/>
      </w:pPr>
      <w:r>
        <w:t xml:space="preserve">As noted above (para. 4), other ongoing work under the Convention is related to the Framework </w:t>
      </w:r>
      <w:r w:rsidRPr="00B44829">
        <w:t>and</w:t>
      </w:r>
      <w:r w:rsidRPr="00BB6518">
        <w:t xml:space="preserve"> </w:t>
      </w:r>
      <w:r w:rsidRPr="00B44829">
        <w:t>clearly</w:t>
      </w:r>
      <w:r>
        <w:t xml:space="preserve"> this work should take into account the gaps identified. In accordance with </w:t>
      </w:r>
      <w:r w:rsidRPr="00B44829">
        <w:t xml:space="preserve">established practice (following </w:t>
      </w:r>
      <w:r w:rsidRPr="00E96DBD">
        <w:t xml:space="preserve">decision 15/4), the Subsidiary Body is expected to review the deliverables of </w:t>
      </w:r>
      <w:r w:rsidRPr="00BB6518">
        <w:t xml:space="preserve">the </w:t>
      </w:r>
      <w:r w:rsidR="00B44829" w:rsidRPr="00E96DBD">
        <w:t xml:space="preserve">Intergovernmental Science-Policy Platform on Biodiversity and Ecosystem Services </w:t>
      </w:r>
      <w:r w:rsidRPr="00E96DBD">
        <w:t>as they become available to identify implications for the work of the Convention</w:t>
      </w:r>
      <w:r w:rsidRPr="00BB6518">
        <w:t>, and</w:t>
      </w:r>
      <w:r w:rsidRPr="00E96DBD">
        <w:t xml:space="preserve"> this provides a key opportunity to address gaps. In particular, the Nexus Assessment and the Assessment on Transformative Change are both </w:t>
      </w:r>
      <w:r w:rsidRPr="00BB6518">
        <w:t>due to</w:t>
      </w:r>
      <w:r w:rsidRPr="00E96DBD">
        <w:t xml:space="preserve"> be reviewed in the coming biennium</w:t>
      </w:r>
      <w:r w:rsidRPr="00BB6518">
        <w:t>, and</w:t>
      </w:r>
      <w:r w:rsidRPr="00E96DBD">
        <w:t xml:space="preserve"> </w:t>
      </w:r>
      <w:r w:rsidR="003624CF" w:rsidRPr="00E96DBD">
        <w:t>this provides an opportunity to identify or develop guidance related to</w:t>
      </w:r>
      <w:r w:rsidR="003624CF">
        <w:t xml:space="preserve"> several targets of the Framework. </w:t>
      </w:r>
    </w:p>
    <w:p w14:paraId="4E5E874C" w14:textId="37A8B3B9" w:rsidR="00AB2608" w:rsidRPr="00BB6518" w:rsidRDefault="00AB2608" w:rsidP="00BB6518">
      <w:pPr>
        <w:pStyle w:val="Para10"/>
        <w:numPr>
          <w:ilvl w:val="0"/>
          <w:numId w:val="0"/>
        </w:numPr>
        <w:ind w:left="567"/>
        <w:rPr>
          <w:i/>
          <w:iCs/>
        </w:rPr>
      </w:pPr>
      <w:r w:rsidRPr="00BB6518">
        <w:rPr>
          <w:i/>
          <w:iCs/>
        </w:rPr>
        <w:t>Possible new areas of work</w:t>
      </w:r>
    </w:p>
    <w:p w14:paraId="269DF39C" w14:textId="2F37F5CC" w:rsidR="00F07B77" w:rsidRPr="00AB2608" w:rsidRDefault="00576356" w:rsidP="00BB6518">
      <w:pPr>
        <w:pStyle w:val="Para10"/>
      </w:pPr>
      <w:r>
        <w:t xml:space="preserve">Notwithstanding the above, the </w:t>
      </w:r>
      <w:r w:rsidRPr="00E96DBD">
        <w:t>Subsidiary Body may wish to consider recommending advancing new work on a limited number of topic</w:t>
      </w:r>
      <w:r w:rsidRPr="00BB6518">
        <w:t>s</w:t>
      </w:r>
      <w:r w:rsidR="00E96DBD" w:rsidRPr="00BB6518">
        <w:t>,</w:t>
      </w:r>
      <w:r w:rsidRPr="00BB6518">
        <w:t xml:space="preserve"> such as</w:t>
      </w:r>
      <w:r w:rsidRPr="00E96DBD">
        <w:t xml:space="preserve"> those identified in section IV</w:t>
      </w:r>
      <w:r w:rsidR="00EB2678" w:rsidRPr="00E96DBD">
        <w:t xml:space="preserve"> above</w:t>
      </w:r>
      <w:r w:rsidRPr="00E96DBD">
        <w:t>. The Subsidiary Body on Implementation might then propose to</w:t>
      </w:r>
      <w:r>
        <w:t xml:space="preserve"> include such items in the multi-year programme of work of the Conference of the Parties. To facilitate such consideration by the Conference of the Parties, the Secretariat could prepare a note setting out a proposed scope of such work on any of the issues recommended by the Subsidiary Body</w:t>
      </w:r>
      <w:r w:rsidR="00F07B77" w:rsidRPr="00D40C15">
        <w:t xml:space="preserve">. </w:t>
      </w:r>
    </w:p>
    <w:p w14:paraId="4FBACAAC" w14:textId="70F29222" w:rsidR="00AB2608" w:rsidRPr="00BB6518" w:rsidRDefault="00AB2608" w:rsidP="00BB6518">
      <w:pPr>
        <w:pStyle w:val="Para10"/>
        <w:numPr>
          <w:ilvl w:val="0"/>
          <w:numId w:val="0"/>
        </w:numPr>
        <w:ind w:left="567"/>
        <w:rPr>
          <w:i/>
          <w:iCs/>
        </w:rPr>
      </w:pPr>
      <w:r w:rsidRPr="00BB6518">
        <w:rPr>
          <w:i/>
          <w:iCs/>
        </w:rPr>
        <w:t>Capacity</w:t>
      </w:r>
      <w:r w:rsidR="007B58C0">
        <w:rPr>
          <w:i/>
          <w:iCs/>
        </w:rPr>
        <w:t>-</w:t>
      </w:r>
      <w:r w:rsidRPr="00BB6518">
        <w:rPr>
          <w:i/>
          <w:iCs/>
        </w:rPr>
        <w:t>building and development and technical and scientific cooperation</w:t>
      </w:r>
    </w:p>
    <w:p w14:paraId="47FDB547" w14:textId="5D25C399" w:rsidR="00AB2608" w:rsidRPr="007B58C0" w:rsidRDefault="00AB2608" w:rsidP="00BB6518">
      <w:pPr>
        <w:pStyle w:val="Para10"/>
      </w:pPr>
      <w:r>
        <w:t>Another possible reason for the underuse of m</w:t>
      </w:r>
      <w:r w:rsidRPr="00AB2608">
        <w:t xml:space="preserve">uch of the tools and guidance developed under the Convention is </w:t>
      </w:r>
      <w:r>
        <w:t xml:space="preserve">limited capacity to use the material and limited sharing of practical experience in doing so. </w:t>
      </w:r>
      <w:r w:rsidRPr="007B58C0">
        <w:t>This matter could be addressed through the implementation of decision</w:t>
      </w:r>
      <w:r w:rsidR="007B58C0" w:rsidRPr="007B58C0">
        <w:t>s</w:t>
      </w:r>
      <w:r w:rsidRPr="007B58C0">
        <w:t xml:space="preserve"> 15/6 and 15/8.</w:t>
      </w:r>
    </w:p>
    <w:p w14:paraId="74AE4D65" w14:textId="21F66A3E" w:rsidR="00AB2608" w:rsidRPr="00BB6518" w:rsidRDefault="00AB2608" w:rsidP="00BB6518">
      <w:pPr>
        <w:pStyle w:val="Para10"/>
        <w:numPr>
          <w:ilvl w:val="0"/>
          <w:numId w:val="0"/>
        </w:numPr>
        <w:ind w:left="567"/>
        <w:rPr>
          <w:i/>
          <w:iCs/>
        </w:rPr>
      </w:pPr>
      <w:r w:rsidRPr="00BB6518">
        <w:rPr>
          <w:i/>
          <w:iCs/>
        </w:rPr>
        <w:t>Programme of work and budget of the Secretariat</w:t>
      </w:r>
    </w:p>
    <w:p w14:paraId="47AF685E" w14:textId="77777777" w:rsidR="00AB2608" w:rsidRDefault="00AB2608" w:rsidP="002D4C0A">
      <w:pPr>
        <w:pStyle w:val="Para10"/>
      </w:pPr>
      <w:r w:rsidRPr="007B58C0">
        <w:t>The Secretariat will take into account the assessment of gaps and needs</w:t>
      </w:r>
      <w:r w:rsidRPr="00BB6518">
        <w:t>, and</w:t>
      </w:r>
      <w:r w:rsidRPr="007B58C0">
        <w:t xml:space="preserve"> any recommendations of the Subsidiary Body and the Subsidiary Body on Implementation when preparing proposals for the programme of work and budget of the Secretariat for consideration by the Conference of the Parties. </w:t>
      </w:r>
    </w:p>
    <w:p w14:paraId="60FE9425" w14:textId="77777777" w:rsidR="0043729B" w:rsidRDefault="0043729B" w:rsidP="0043729B">
      <w:pPr>
        <w:pStyle w:val="Para10"/>
        <w:numPr>
          <w:ilvl w:val="0"/>
          <w:numId w:val="0"/>
        </w:numPr>
        <w:ind w:left="567"/>
        <w:sectPr w:rsidR="0043729B" w:rsidSect="007556A4">
          <w:headerReference w:type="even" r:id="rId21"/>
          <w:headerReference w:type="default" r:id="rId22"/>
          <w:footerReference w:type="even" r:id="rId23"/>
          <w:footerReference w:type="default" r:id="rId24"/>
          <w:headerReference w:type="first" r:id="rId25"/>
          <w:pgSz w:w="12240" w:h="15840"/>
          <w:pgMar w:top="1134" w:right="1440" w:bottom="1134" w:left="1440" w:header="709" w:footer="709" w:gutter="0"/>
          <w:cols w:space="708"/>
          <w:titlePg/>
          <w:docGrid w:linePitch="360"/>
        </w:sectPr>
      </w:pPr>
    </w:p>
    <w:p w14:paraId="312298F7" w14:textId="6ADA8676" w:rsidR="00AD71F9" w:rsidRPr="00157943" w:rsidRDefault="00AD71F9" w:rsidP="00BB6518">
      <w:pPr>
        <w:pStyle w:val="Heading1"/>
        <w:ind w:left="567" w:hanging="567"/>
        <w:rPr>
          <w:lang w:val="en-GB"/>
        </w:rPr>
      </w:pPr>
      <w:r w:rsidRPr="00157943">
        <w:rPr>
          <w:lang w:val="en-GB"/>
        </w:rPr>
        <w:lastRenderedPageBreak/>
        <w:t>Recommendation</w:t>
      </w:r>
    </w:p>
    <w:p w14:paraId="1753052A" w14:textId="2CFC2D4C" w:rsidR="00AD71F9" w:rsidRPr="007B58C0" w:rsidRDefault="00AD71F9" w:rsidP="00BB6518">
      <w:pPr>
        <w:pStyle w:val="Para10"/>
      </w:pPr>
      <w:r w:rsidRPr="007B58C0">
        <w:t xml:space="preserve">The Subsidiary Body may wish to </w:t>
      </w:r>
      <w:r w:rsidR="003906E5" w:rsidRPr="007B58C0">
        <w:t xml:space="preserve">consider </w:t>
      </w:r>
      <w:r w:rsidR="00FC514A" w:rsidRPr="007B58C0">
        <w:t xml:space="preserve">adopting </w:t>
      </w:r>
      <w:r w:rsidR="003906E5" w:rsidRPr="007B58C0">
        <w:t xml:space="preserve">a </w:t>
      </w:r>
      <w:r w:rsidRPr="007B58C0">
        <w:t>recommend</w:t>
      </w:r>
      <w:r w:rsidR="003906E5" w:rsidRPr="007B58C0">
        <w:t xml:space="preserve">ation along the </w:t>
      </w:r>
      <w:r w:rsidRPr="007B58C0">
        <w:t>following</w:t>
      </w:r>
      <w:r w:rsidR="003906E5" w:rsidRPr="007B58C0">
        <w:t xml:space="preserve"> lines</w:t>
      </w:r>
      <w:r w:rsidRPr="007B58C0">
        <w:t>:</w:t>
      </w:r>
    </w:p>
    <w:p w14:paraId="66F9D008" w14:textId="5C65453E" w:rsidR="00AD71F9" w:rsidRPr="007B58C0" w:rsidRDefault="00AD71F9" w:rsidP="00BB6518">
      <w:pPr>
        <w:ind w:left="567" w:firstLine="567"/>
        <w:rPr>
          <w:i/>
          <w:iCs/>
          <w:szCs w:val="22"/>
        </w:rPr>
      </w:pPr>
      <w:r w:rsidRPr="007B58C0">
        <w:rPr>
          <w:i/>
          <w:iCs/>
          <w:szCs w:val="22"/>
        </w:rPr>
        <w:t xml:space="preserve">The </w:t>
      </w:r>
      <w:r w:rsidRPr="00BB6518">
        <w:rPr>
          <w:i/>
          <w:iCs/>
          <w:szCs w:val="22"/>
        </w:rPr>
        <w:t>Subsidiary Body on Scientific, Technical and Technological Advice</w:t>
      </w:r>
    </w:p>
    <w:p w14:paraId="767637FC" w14:textId="227A14FD" w:rsidR="003906E5" w:rsidRPr="00980F34" w:rsidRDefault="007F3948" w:rsidP="00BB6518">
      <w:pPr>
        <w:pStyle w:val="Para10"/>
        <w:numPr>
          <w:ilvl w:val="0"/>
          <w:numId w:val="28"/>
        </w:numPr>
        <w:tabs>
          <w:tab w:val="clear" w:pos="1134"/>
          <w:tab w:val="left" w:pos="1701"/>
        </w:tabs>
        <w:ind w:left="567" w:firstLine="567"/>
      </w:pPr>
      <w:r w:rsidRPr="007B58C0">
        <w:rPr>
          <w:i/>
          <w:iCs/>
        </w:rPr>
        <w:t xml:space="preserve">Takes note </w:t>
      </w:r>
      <w:r w:rsidRPr="007B58C0">
        <w:t>of t</w:t>
      </w:r>
      <w:r w:rsidR="003906E5" w:rsidRPr="007B58C0">
        <w:t xml:space="preserve">he findings of the analysis </w:t>
      </w:r>
      <w:r w:rsidR="00717274" w:rsidRPr="007B58C0">
        <w:t xml:space="preserve">of </w:t>
      </w:r>
      <w:r w:rsidR="009003A7" w:rsidRPr="007B58C0">
        <w:t xml:space="preserve">scientific and technical needs to support implementation of the </w:t>
      </w:r>
      <w:r w:rsidR="009003A7" w:rsidRPr="00BB6518">
        <w:t>Kunming-Montreal Global Biodiversity Framework</w:t>
      </w:r>
      <w:r w:rsidR="007B58C0" w:rsidRPr="00BB6518">
        <w:t>,</w:t>
      </w:r>
      <w:r w:rsidR="009003A7" w:rsidRPr="00BB6518">
        <w:t xml:space="preserve"> including</w:t>
      </w:r>
      <w:r w:rsidR="009003A7" w:rsidRPr="007B58C0">
        <w:t xml:space="preserve"> the identification of </w:t>
      </w:r>
      <w:r w:rsidR="00717274" w:rsidRPr="007B58C0">
        <w:t>gaps in tools and guidance</w:t>
      </w:r>
      <w:r w:rsidR="00985585" w:rsidRPr="007B58C0">
        <w:t>, as described</w:t>
      </w:r>
      <w:r w:rsidR="00717274" w:rsidRPr="007B58C0">
        <w:t xml:space="preserve"> </w:t>
      </w:r>
      <w:r w:rsidR="003906E5" w:rsidRPr="007B58C0">
        <w:t xml:space="preserve">in </w:t>
      </w:r>
      <w:r w:rsidR="000D7849" w:rsidRPr="007B58C0">
        <w:t>d</w:t>
      </w:r>
      <w:r w:rsidR="003906E5" w:rsidRPr="007B58C0">
        <w:t>ocument</w:t>
      </w:r>
      <w:r w:rsidR="000D7849" w:rsidRPr="007B58C0">
        <w:t xml:space="preserve">s </w:t>
      </w:r>
      <w:r w:rsidR="000D7849" w:rsidRPr="00BB6518">
        <w:t>CBD</w:t>
      </w:r>
      <w:r w:rsidR="000D7849" w:rsidRPr="007B58C0">
        <w:t>/</w:t>
      </w:r>
      <w:r w:rsidR="000D7849" w:rsidRPr="00BB6518">
        <w:t>SBSTTA</w:t>
      </w:r>
      <w:r w:rsidR="000D7849" w:rsidRPr="007B58C0">
        <w:t xml:space="preserve">/26/3 </w:t>
      </w:r>
      <w:r w:rsidR="003906E5" w:rsidRPr="007B58C0">
        <w:t xml:space="preserve">and </w:t>
      </w:r>
      <w:r w:rsidR="000D7849" w:rsidRPr="00BB6518">
        <w:t>CBD</w:t>
      </w:r>
      <w:r w:rsidR="000D7849" w:rsidRPr="007B58C0">
        <w:t>/</w:t>
      </w:r>
      <w:r w:rsidR="000D7849" w:rsidRPr="00BB6518">
        <w:t>SBSTTA</w:t>
      </w:r>
      <w:r w:rsidR="000D7849" w:rsidRPr="007B58C0">
        <w:t>/26/</w:t>
      </w:r>
      <w:r w:rsidR="000D7849" w:rsidRPr="00BB6518">
        <w:t>INF</w:t>
      </w:r>
      <w:r w:rsidR="000D7849" w:rsidRPr="00980F34">
        <w:t>/</w:t>
      </w:r>
      <w:r w:rsidR="00985585" w:rsidRPr="00980F34">
        <w:t>15</w:t>
      </w:r>
      <w:r w:rsidR="006024D7" w:rsidRPr="00980F34">
        <w:t>;</w:t>
      </w:r>
    </w:p>
    <w:p w14:paraId="7EEE1B6B" w14:textId="341E366A" w:rsidR="009003A7" w:rsidRPr="00980F34" w:rsidRDefault="009003A7" w:rsidP="00BB6518">
      <w:pPr>
        <w:pStyle w:val="Para10"/>
        <w:numPr>
          <w:ilvl w:val="0"/>
          <w:numId w:val="28"/>
        </w:numPr>
        <w:tabs>
          <w:tab w:val="clear" w:pos="1134"/>
          <w:tab w:val="left" w:pos="1701"/>
        </w:tabs>
        <w:ind w:left="567" w:firstLine="567"/>
        <w:rPr>
          <w:szCs w:val="22"/>
        </w:rPr>
      </w:pPr>
      <w:r w:rsidRPr="00980F34">
        <w:rPr>
          <w:i/>
          <w:iCs/>
          <w:szCs w:val="22"/>
        </w:rPr>
        <w:t xml:space="preserve">Concludes </w:t>
      </w:r>
      <w:r w:rsidRPr="00BB6518">
        <w:rPr>
          <w:szCs w:val="22"/>
        </w:rPr>
        <w:t>that</w:t>
      </w:r>
      <w:r w:rsidRPr="00980F34">
        <w:rPr>
          <w:i/>
          <w:iCs/>
          <w:szCs w:val="22"/>
        </w:rPr>
        <w:t xml:space="preserve"> </w:t>
      </w:r>
      <w:r w:rsidRPr="00980F34">
        <w:rPr>
          <w:szCs w:val="22"/>
        </w:rPr>
        <w:t>the</w:t>
      </w:r>
      <w:r w:rsidRPr="00980F34">
        <w:rPr>
          <w:i/>
          <w:iCs/>
          <w:szCs w:val="22"/>
        </w:rPr>
        <w:t xml:space="preserve"> </w:t>
      </w:r>
      <w:r w:rsidRPr="00980F34">
        <w:t xml:space="preserve">substantial guidance has been developed under the Convention </w:t>
      </w:r>
      <w:r w:rsidR="00980F34" w:rsidRPr="00980F34">
        <w:t xml:space="preserve">on Biological Diversity </w:t>
      </w:r>
      <w:r w:rsidRPr="00980F34">
        <w:t>largely remains relevant</w:t>
      </w:r>
      <w:r w:rsidRPr="00BB6518">
        <w:t xml:space="preserve"> and</w:t>
      </w:r>
      <w:r w:rsidRPr="00980F34">
        <w:t xml:space="preserve"> that there is wealth of tools and guidance developed through other processe</w:t>
      </w:r>
      <w:r w:rsidRPr="00BB6518">
        <w:t>s</w:t>
      </w:r>
      <w:r w:rsidR="00980F34" w:rsidRPr="00BB6518">
        <w:t>,</w:t>
      </w:r>
      <w:r w:rsidRPr="00BB6518">
        <w:t xml:space="preserve"> as well as</w:t>
      </w:r>
      <w:r w:rsidRPr="00980F34">
        <w:t xml:space="preserve"> an important potential to work with such processes to mainstream considerations from the Framework in their activities;</w:t>
      </w:r>
    </w:p>
    <w:p w14:paraId="7A542633" w14:textId="5E98305C" w:rsidR="009003A7" w:rsidRDefault="009003A7" w:rsidP="00BB6518">
      <w:pPr>
        <w:pStyle w:val="Para10"/>
        <w:numPr>
          <w:ilvl w:val="0"/>
          <w:numId w:val="28"/>
        </w:numPr>
        <w:tabs>
          <w:tab w:val="clear" w:pos="1134"/>
          <w:tab w:val="left" w:pos="1701"/>
        </w:tabs>
        <w:ind w:left="567" w:firstLine="567"/>
      </w:pPr>
      <w:r w:rsidRPr="002D4C0A">
        <w:rPr>
          <w:i/>
          <w:iCs/>
        </w:rPr>
        <w:t>Identifies</w:t>
      </w:r>
      <w:r w:rsidR="00F602AE">
        <w:t xml:space="preserve"> </w:t>
      </w:r>
      <w:r>
        <w:t>that there is a limited number of issues on which new work may be advanced, including:</w:t>
      </w:r>
    </w:p>
    <w:p w14:paraId="36B6AFEE" w14:textId="0F841FDA" w:rsidR="009003A7" w:rsidRDefault="009003A7" w:rsidP="00BB6518">
      <w:pPr>
        <w:pStyle w:val="Para10"/>
        <w:numPr>
          <w:ilvl w:val="1"/>
          <w:numId w:val="28"/>
        </w:numPr>
        <w:tabs>
          <w:tab w:val="clear" w:pos="1134"/>
          <w:tab w:val="left" w:pos="1701"/>
        </w:tabs>
        <w:ind w:left="567" w:firstLine="567"/>
      </w:pPr>
      <w:r w:rsidRPr="009003A7">
        <w:t>Biodiversity-inclusive spatial planning</w:t>
      </w:r>
      <w:r w:rsidR="00EE3896">
        <w:t>;</w:t>
      </w:r>
    </w:p>
    <w:p w14:paraId="449711AD" w14:textId="0A175E61" w:rsidR="009003A7" w:rsidRDefault="009003A7" w:rsidP="00BB6518">
      <w:pPr>
        <w:pStyle w:val="Para10"/>
        <w:numPr>
          <w:ilvl w:val="1"/>
          <w:numId w:val="28"/>
        </w:numPr>
        <w:tabs>
          <w:tab w:val="clear" w:pos="1134"/>
          <w:tab w:val="left" w:pos="1701"/>
        </w:tabs>
        <w:ind w:left="567" w:firstLine="567"/>
      </w:pPr>
      <w:r w:rsidRPr="009003A7">
        <w:t>Pollution and biodiversity</w:t>
      </w:r>
      <w:r w:rsidR="00EE3896">
        <w:t>;</w:t>
      </w:r>
    </w:p>
    <w:p w14:paraId="65FFB6A1" w14:textId="53E08E99" w:rsidR="009003A7" w:rsidRDefault="009003A7" w:rsidP="00BB6518">
      <w:pPr>
        <w:pStyle w:val="Para10"/>
        <w:numPr>
          <w:ilvl w:val="1"/>
          <w:numId w:val="28"/>
        </w:numPr>
        <w:tabs>
          <w:tab w:val="clear" w:pos="1134"/>
          <w:tab w:val="left" w:pos="1701"/>
        </w:tabs>
        <w:ind w:left="567" w:firstLine="567"/>
      </w:pPr>
      <w:r w:rsidRPr="009003A7">
        <w:t>Sustainable biodiversity-based activities, products and services and “the bioeconomy”</w:t>
      </w:r>
      <w:r w:rsidR="00EE3896">
        <w:t>;</w:t>
      </w:r>
    </w:p>
    <w:p w14:paraId="4E79B40A" w14:textId="2E0CDF00" w:rsidR="009003A7" w:rsidRPr="009003A7" w:rsidRDefault="009003A7" w:rsidP="00BB6518">
      <w:pPr>
        <w:pStyle w:val="Para10"/>
        <w:numPr>
          <w:ilvl w:val="1"/>
          <w:numId w:val="28"/>
        </w:numPr>
        <w:tabs>
          <w:tab w:val="clear" w:pos="1134"/>
          <w:tab w:val="left" w:pos="1701"/>
        </w:tabs>
        <w:ind w:left="567" w:firstLine="567"/>
      </w:pPr>
      <w:r w:rsidRPr="009003A7">
        <w:t>Equity and the human rights-based approach relating to the conservation and sustainable use of biodiversity</w:t>
      </w:r>
      <w:r w:rsidR="00EE3896">
        <w:t>.</w:t>
      </w:r>
    </w:p>
    <w:p w14:paraId="0C566A37" w14:textId="011B95FA" w:rsidR="00C13037" w:rsidRPr="009003A7" w:rsidRDefault="00C13037" w:rsidP="00BB6518">
      <w:pPr>
        <w:pStyle w:val="Para10"/>
        <w:tabs>
          <w:tab w:val="clear" w:pos="1134"/>
          <w:tab w:val="left" w:pos="1701"/>
        </w:tabs>
        <w:ind w:firstLine="567"/>
      </w:pPr>
      <w:r w:rsidRPr="009003A7">
        <w:rPr>
          <w:i/>
          <w:iCs/>
        </w:rPr>
        <w:t>Invites</w:t>
      </w:r>
      <w:r w:rsidRPr="009003A7">
        <w:t xml:space="preserve"> the Subsidiary Body on Implementation</w:t>
      </w:r>
      <w:r w:rsidR="009003A7" w:rsidRPr="009003A7">
        <w:t xml:space="preserve"> </w:t>
      </w:r>
      <w:r w:rsidR="00861A7F">
        <w:t xml:space="preserve">at its </w:t>
      </w:r>
      <w:r w:rsidR="00861A7F" w:rsidRPr="009003A7">
        <w:t xml:space="preserve">fourth meeting </w:t>
      </w:r>
      <w:r w:rsidR="009003A7" w:rsidRPr="009003A7">
        <w:t xml:space="preserve">to consider the implications of this recommendation for work related </w:t>
      </w:r>
      <w:r w:rsidR="009003A7" w:rsidRPr="00861A7F">
        <w:t xml:space="preserve">to </w:t>
      </w:r>
      <w:r w:rsidR="009003A7" w:rsidRPr="00BB6518">
        <w:t>capacity</w:t>
      </w:r>
      <w:r w:rsidR="00861A7F" w:rsidRPr="00BB6518">
        <w:t>-</w:t>
      </w:r>
      <w:r w:rsidR="009003A7" w:rsidRPr="00BB6518">
        <w:t>building</w:t>
      </w:r>
      <w:r w:rsidR="009003A7" w:rsidRPr="00861A7F">
        <w:t xml:space="preserve"> and development and technical and scientific cooperation, cooperation, the programmes of work of the Convention and the multi-year programme of work of the Conference of the Parties</w:t>
      </w:r>
      <w:r w:rsidR="00861A7F" w:rsidRPr="00861A7F">
        <w:t>;</w:t>
      </w:r>
    </w:p>
    <w:p w14:paraId="404032FF" w14:textId="566CE650" w:rsidR="009003A7" w:rsidRPr="009003A7" w:rsidRDefault="009003A7" w:rsidP="00BB6518">
      <w:pPr>
        <w:pStyle w:val="Para10"/>
        <w:tabs>
          <w:tab w:val="clear" w:pos="1134"/>
          <w:tab w:val="left" w:pos="1701"/>
        </w:tabs>
        <w:ind w:firstLine="567"/>
      </w:pPr>
      <w:r>
        <w:rPr>
          <w:i/>
          <w:iCs/>
          <w:szCs w:val="22"/>
        </w:rPr>
        <w:t xml:space="preserve">Requests </w:t>
      </w:r>
      <w:r>
        <w:rPr>
          <w:szCs w:val="22"/>
        </w:rPr>
        <w:t>the Secretariat</w:t>
      </w:r>
      <w:r w:rsidR="00C45303">
        <w:rPr>
          <w:szCs w:val="22"/>
        </w:rPr>
        <w:t xml:space="preserve">, for each of the issues </w:t>
      </w:r>
      <w:r w:rsidR="00C45303" w:rsidRPr="00FF7D04">
        <w:rPr>
          <w:szCs w:val="22"/>
        </w:rPr>
        <w:t xml:space="preserve">identified in </w:t>
      </w:r>
      <w:r w:rsidR="00C45303" w:rsidRPr="00BB6518">
        <w:rPr>
          <w:szCs w:val="22"/>
        </w:rPr>
        <w:t>para</w:t>
      </w:r>
      <w:r w:rsidR="00861A7F" w:rsidRPr="00BB6518">
        <w:rPr>
          <w:szCs w:val="22"/>
        </w:rPr>
        <w:t>graph</w:t>
      </w:r>
      <w:r w:rsidR="00C45303" w:rsidRPr="00BB6518">
        <w:rPr>
          <w:szCs w:val="22"/>
        </w:rPr>
        <w:t xml:space="preserve"> 3 </w:t>
      </w:r>
      <w:r w:rsidR="00625467" w:rsidRPr="00FF7D04">
        <w:rPr>
          <w:szCs w:val="22"/>
        </w:rPr>
        <w:t>above</w:t>
      </w:r>
      <w:r w:rsidR="00C45303" w:rsidRPr="00FF7D04">
        <w:rPr>
          <w:szCs w:val="22"/>
        </w:rPr>
        <w:t xml:space="preserve"> </w:t>
      </w:r>
      <w:r w:rsidR="00C45303" w:rsidRPr="00FF7D04">
        <w:t>to invite Parties and observers to provide submissions on their views and relevant experiences</w:t>
      </w:r>
      <w:r w:rsidR="00C45303" w:rsidRPr="00BB6518">
        <w:t>, and</w:t>
      </w:r>
      <w:r w:rsidR="00C45303" w:rsidRPr="00FF7D04">
        <w:t xml:space="preserve">, drawing upon such submissions, </w:t>
      </w:r>
      <w:r w:rsidRPr="00FF7D04">
        <w:rPr>
          <w:szCs w:val="22"/>
        </w:rPr>
        <w:t xml:space="preserve">to prepare </w:t>
      </w:r>
      <w:r w:rsidRPr="00FF7D04">
        <w:t xml:space="preserve">a note setting out a proposed scope </w:t>
      </w:r>
      <w:r w:rsidR="00C45303" w:rsidRPr="00FF7D04">
        <w:t>of</w:t>
      </w:r>
      <w:r w:rsidRPr="00FF7D04">
        <w:t xml:space="preserve"> work</w:t>
      </w:r>
      <w:r w:rsidR="00C45303" w:rsidRPr="00FF7D04">
        <w:t xml:space="preserve"> for the information of the Conference of the Parties in its consideration of recommendation 26/-.</w:t>
      </w:r>
    </w:p>
    <w:p w14:paraId="17CCD57A" w14:textId="69A5CD67" w:rsidR="00F96478" w:rsidRDefault="00FF7D04" w:rsidP="00BB6518">
      <w:pPr>
        <w:tabs>
          <w:tab w:val="left" w:pos="1701"/>
        </w:tabs>
        <w:ind w:left="567" w:firstLine="567"/>
        <w:rPr>
          <w:szCs w:val="22"/>
        </w:rPr>
      </w:pPr>
      <w:r w:rsidRPr="00BB6518">
        <w:rPr>
          <w:szCs w:val="22"/>
        </w:rPr>
        <w:t>6</w:t>
      </w:r>
      <w:r>
        <w:rPr>
          <w:i/>
          <w:iCs/>
          <w:szCs w:val="22"/>
        </w:rPr>
        <w:t>.</w:t>
      </w:r>
      <w:r>
        <w:rPr>
          <w:i/>
          <w:iCs/>
          <w:szCs w:val="22"/>
        </w:rPr>
        <w:tab/>
      </w:r>
      <w:r w:rsidR="00F96478" w:rsidRPr="0072713C">
        <w:rPr>
          <w:i/>
          <w:iCs/>
          <w:szCs w:val="22"/>
        </w:rPr>
        <w:t>Recommends</w:t>
      </w:r>
      <w:r w:rsidR="00F96478" w:rsidRPr="0072713C">
        <w:rPr>
          <w:szCs w:val="22"/>
        </w:rPr>
        <w:t xml:space="preserve"> that the Conference of the Parties at its sixteenth meeting</w:t>
      </w:r>
      <w:r w:rsidR="004D3776">
        <w:rPr>
          <w:szCs w:val="22"/>
        </w:rPr>
        <w:t xml:space="preserve"> consider </w:t>
      </w:r>
      <w:r w:rsidR="00201817">
        <w:rPr>
          <w:szCs w:val="22"/>
        </w:rPr>
        <w:t xml:space="preserve">adopting </w:t>
      </w:r>
      <w:r w:rsidR="004D3776">
        <w:rPr>
          <w:szCs w:val="22"/>
        </w:rPr>
        <w:t>a decision along the following lines</w:t>
      </w:r>
      <w:r w:rsidR="006805B3">
        <w:rPr>
          <w:szCs w:val="22"/>
        </w:rPr>
        <w:t xml:space="preserve">, noting that complementary </w:t>
      </w:r>
      <w:r w:rsidR="007D63A3">
        <w:rPr>
          <w:szCs w:val="22"/>
        </w:rPr>
        <w:t>recommendations</w:t>
      </w:r>
      <w:r w:rsidR="006805B3">
        <w:rPr>
          <w:szCs w:val="22"/>
        </w:rPr>
        <w:t xml:space="preserve"> may be elaborated by </w:t>
      </w:r>
      <w:r w:rsidR="007D63A3">
        <w:rPr>
          <w:szCs w:val="22"/>
        </w:rPr>
        <w:t>the Subsid</w:t>
      </w:r>
      <w:r w:rsidR="00FD3FC8">
        <w:rPr>
          <w:szCs w:val="22"/>
        </w:rPr>
        <w:t>i</w:t>
      </w:r>
      <w:r w:rsidR="007D63A3">
        <w:rPr>
          <w:szCs w:val="22"/>
        </w:rPr>
        <w:t>ary Body on Implementation</w:t>
      </w:r>
      <w:r w:rsidR="00F96478" w:rsidRPr="0072713C">
        <w:rPr>
          <w:szCs w:val="22"/>
        </w:rPr>
        <w:t>:</w:t>
      </w:r>
    </w:p>
    <w:p w14:paraId="5BE3A09C" w14:textId="2ACC7F3E" w:rsidR="00E947FC" w:rsidRPr="00FD3FC8" w:rsidRDefault="00E947FC" w:rsidP="00BB6518">
      <w:pPr>
        <w:tabs>
          <w:tab w:val="left" w:pos="2268"/>
        </w:tabs>
        <w:ind w:left="1134" w:firstLine="567"/>
        <w:rPr>
          <w:i/>
          <w:iCs/>
        </w:rPr>
      </w:pPr>
      <w:r w:rsidRPr="00FD3FC8">
        <w:rPr>
          <w:i/>
          <w:iCs/>
        </w:rPr>
        <w:t>The Conference of the Parties</w:t>
      </w:r>
      <w:r w:rsidR="009F11E3">
        <w:rPr>
          <w:i/>
          <w:iCs/>
        </w:rPr>
        <w:t>,</w:t>
      </w:r>
    </w:p>
    <w:p w14:paraId="5B255324" w14:textId="0BD725C0" w:rsidR="006805B3" w:rsidRDefault="006805B3" w:rsidP="00BB6518">
      <w:pPr>
        <w:tabs>
          <w:tab w:val="left" w:pos="2268"/>
        </w:tabs>
        <w:ind w:left="1134" w:firstLine="567"/>
      </w:pPr>
      <w:r w:rsidRPr="006805B3">
        <w:rPr>
          <w:i/>
          <w:iCs/>
        </w:rPr>
        <w:t>Having considered</w:t>
      </w:r>
      <w:r>
        <w:t xml:space="preserve"> recommendation 26/-</w:t>
      </w:r>
      <w:r w:rsidR="00FF7D04">
        <w:t xml:space="preserve"> of the Subsidiary Body on Scientific, Technical and Technological Advice</w:t>
      </w:r>
      <w:r w:rsidR="009F11E3">
        <w:t>,</w:t>
      </w:r>
    </w:p>
    <w:p w14:paraId="24F836C4" w14:textId="57D00055" w:rsidR="00201817" w:rsidRPr="009A2000" w:rsidRDefault="00E947FC" w:rsidP="00BB6518">
      <w:pPr>
        <w:pStyle w:val="Para10"/>
        <w:numPr>
          <w:ilvl w:val="0"/>
          <w:numId w:val="59"/>
        </w:numPr>
        <w:tabs>
          <w:tab w:val="clear" w:pos="1134"/>
          <w:tab w:val="left" w:pos="2268"/>
        </w:tabs>
        <w:ind w:left="1134" w:firstLine="567"/>
      </w:pPr>
      <w:r w:rsidRPr="00BB6518">
        <w:rPr>
          <w:i/>
          <w:iCs/>
        </w:rPr>
        <w:t>R</w:t>
      </w:r>
      <w:r w:rsidR="00F96478" w:rsidRPr="00BB6518">
        <w:rPr>
          <w:i/>
          <w:iCs/>
        </w:rPr>
        <w:t>ecogni</w:t>
      </w:r>
      <w:r w:rsidR="00FF7D04" w:rsidRPr="00BB6518">
        <w:rPr>
          <w:i/>
          <w:iCs/>
        </w:rPr>
        <w:t>z</w:t>
      </w:r>
      <w:r w:rsidR="00F96478" w:rsidRPr="00BB6518">
        <w:rPr>
          <w:i/>
          <w:iCs/>
        </w:rPr>
        <w:t>es</w:t>
      </w:r>
      <w:r w:rsidR="00201817" w:rsidRPr="009A2000">
        <w:t>:</w:t>
      </w:r>
    </w:p>
    <w:p w14:paraId="4B7CC47A" w14:textId="61A99595" w:rsidR="002C37CD" w:rsidRPr="009A2000" w:rsidRDefault="00FF7D04" w:rsidP="00BB6518">
      <w:pPr>
        <w:pStyle w:val="Para10"/>
        <w:numPr>
          <w:ilvl w:val="0"/>
          <w:numId w:val="0"/>
        </w:numPr>
        <w:tabs>
          <w:tab w:val="clear" w:pos="1134"/>
          <w:tab w:val="left" w:pos="2268"/>
        </w:tabs>
        <w:ind w:left="1134" w:firstLine="567"/>
      </w:pPr>
      <w:r>
        <w:t>(a)</w:t>
      </w:r>
      <w:r>
        <w:tab/>
      </w:r>
      <w:r w:rsidR="002C37CD" w:rsidRPr="00EF2E2C">
        <w:t>T</w:t>
      </w:r>
      <w:r w:rsidR="002C37CD" w:rsidRPr="002C37CD">
        <w:t>ha</w:t>
      </w:r>
      <w:r w:rsidR="002C37CD" w:rsidRPr="00F779E2">
        <w:t xml:space="preserve">t the programmes of work and cross-cutting issues of the </w:t>
      </w:r>
      <w:r w:rsidR="002C37CD" w:rsidRPr="002C37CD">
        <w:t xml:space="preserve">Convention </w:t>
      </w:r>
      <w:r w:rsidR="009F11E3">
        <w:t>on Biological Diversity</w:t>
      </w:r>
      <w:r w:rsidR="009F11E3">
        <w:rPr>
          <w:rStyle w:val="FootnoteReference"/>
        </w:rPr>
        <w:footnoteReference w:id="23"/>
      </w:r>
      <w:r w:rsidR="009F11E3">
        <w:t xml:space="preserve"> </w:t>
      </w:r>
      <w:r w:rsidR="002C37CD" w:rsidRPr="00EF2E2C">
        <w:t>remain</w:t>
      </w:r>
      <w:r w:rsidR="002C37CD" w:rsidRPr="002C37CD">
        <w:t xml:space="preserve"> </w:t>
      </w:r>
      <w:r w:rsidR="0028053A">
        <w:t xml:space="preserve">important tools </w:t>
      </w:r>
      <w:r w:rsidR="002C37CD" w:rsidRPr="00F779E2">
        <w:t xml:space="preserve">to </w:t>
      </w:r>
      <w:r w:rsidR="002C37CD">
        <w:t>support the</w:t>
      </w:r>
      <w:r w:rsidR="002C37CD" w:rsidRPr="00F779E2">
        <w:t xml:space="preserve"> </w:t>
      </w:r>
      <w:r w:rsidR="002C37CD" w:rsidRPr="009A2000">
        <w:t xml:space="preserve">implementation of the </w:t>
      </w:r>
      <w:r w:rsidR="002C37CD" w:rsidRPr="00BB6518">
        <w:t>Kunming-Montreal Global Biodiversity Framework</w:t>
      </w:r>
      <w:r w:rsidR="002C37CD" w:rsidRPr="009A2000">
        <w:t>;</w:t>
      </w:r>
      <w:r w:rsidR="009A2000" w:rsidRPr="009A2000">
        <w:rPr>
          <w:rStyle w:val="FootnoteReference"/>
        </w:rPr>
        <w:footnoteReference w:id="24"/>
      </w:r>
    </w:p>
    <w:p w14:paraId="5798957D" w14:textId="41DC6872" w:rsidR="002E4106" w:rsidRPr="002E4106" w:rsidRDefault="00FF7D04" w:rsidP="00BB6518">
      <w:pPr>
        <w:pStyle w:val="Para10"/>
        <w:numPr>
          <w:ilvl w:val="0"/>
          <w:numId w:val="0"/>
        </w:numPr>
        <w:tabs>
          <w:tab w:val="clear" w:pos="1134"/>
          <w:tab w:val="left" w:pos="2268"/>
        </w:tabs>
        <w:ind w:left="1134" w:firstLine="567"/>
      </w:pPr>
      <w:r w:rsidRPr="009A2000">
        <w:t>(b)</w:t>
      </w:r>
      <w:r w:rsidRPr="009A2000">
        <w:tab/>
      </w:r>
      <w:r w:rsidR="00201817" w:rsidRPr="009A2000">
        <w:t xml:space="preserve">That the tools and guidance developed under the Convention are relevant to the implementation of the </w:t>
      </w:r>
      <w:r w:rsidR="00201817" w:rsidRPr="00BB6518">
        <w:t>Framework</w:t>
      </w:r>
      <w:r w:rsidR="002C37CD" w:rsidRPr="009A2000">
        <w:t>;</w:t>
      </w:r>
      <w:r w:rsidR="002C37CD" w:rsidRPr="00BB6518">
        <w:t xml:space="preserve"> </w:t>
      </w:r>
      <w:r w:rsidR="002E4106" w:rsidRPr="00BB6518">
        <w:t xml:space="preserve"> </w:t>
      </w:r>
    </w:p>
    <w:p w14:paraId="0E8064B9" w14:textId="3F9FA5CC" w:rsidR="002E4106" w:rsidRPr="002E4106" w:rsidRDefault="00FF7D04" w:rsidP="00BB6518">
      <w:pPr>
        <w:pStyle w:val="Para10"/>
        <w:numPr>
          <w:ilvl w:val="0"/>
          <w:numId w:val="0"/>
        </w:numPr>
        <w:tabs>
          <w:tab w:val="clear" w:pos="1134"/>
          <w:tab w:val="left" w:pos="2268"/>
        </w:tabs>
        <w:ind w:left="1134" w:firstLine="567"/>
      </w:pPr>
      <w:r>
        <w:lastRenderedPageBreak/>
        <w:t>(c)</w:t>
      </w:r>
      <w:r>
        <w:tab/>
      </w:r>
      <w:r w:rsidR="00FD3FC8">
        <w:t>That a</w:t>
      </w:r>
      <w:r w:rsidR="002E4106" w:rsidRPr="002E4106">
        <w:t xml:space="preserve"> key opportunity is </w:t>
      </w:r>
      <w:r w:rsidR="002E4106" w:rsidRPr="00BD2A18">
        <w:t xml:space="preserve">mainstreaming the </w:t>
      </w:r>
      <w:r w:rsidR="002E4106" w:rsidRPr="00BB6518">
        <w:t>Framework, and</w:t>
      </w:r>
      <w:r w:rsidR="002E4106" w:rsidRPr="00BD2A18">
        <w:t xml:space="preserve"> its</w:t>
      </w:r>
      <w:r w:rsidR="002E4106" w:rsidRPr="002E4106">
        <w:t xml:space="preserve"> tools and guidance, into guidance in use by other </w:t>
      </w:r>
      <w:r w:rsidR="00B356AB">
        <w:t xml:space="preserve">relevant intergovernmental </w:t>
      </w:r>
      <w:r w:rsidR="002E4106" w:rsidRPr="002E4106">
        <w:t xml:space="preserve">processes and </w:t>
      </w:r>
      <w:r w:rsidR="00B356AB">
        <w:t xml:space="preserve">international </w:t>
      </w:r>
      <w:r w:rsidR="002E4106" w:rsidRPr="002E4106">
        <w:t xml:space="preserve">organizations </w:t>
      </w:r>
      <w:r w:rsidR="006805B3">
        <w:t xml:space="preserve">where there is a potential to further enhance consideration of </w:t>
      </w:r>
      <w:r w:rsidR="000635A5">
        <w:t>biodiversity</w:t>
      </w:r>
      <w:r w:rsidR="002E4106" w:rsidRPr="002E4106">
        <w:t xml:space="preserve"> sufficiently biodiversity inclusive; </w:t>
      </w:r>
    </w:p>
    <w:p w14:paraId="349E2722" w14:textId="35B60707" w:rsidR="007D63A3" w:rsidRPr="007D63A3" w:rsidRDefault="00AF4D42" w:rsidP="00BB6518">
      <w:pPr>
        <w:pStyle w:val="Para10"/>
        <w:tabs>
          <w:tab w:val="clear" w:pos="1134"/>
          <w:tab w:val="left" w:pos="2268"/>
        </w:tabs>
        <w:ind w:left="1134" w:firstLine="567"/>
      </w:pPr>
      <w:r>
        <w:rPr>
          <w:i/>
          <w:iCs/>
        </w:rPr>
        <w:t xml:space="preserve">Decides </w:t>
      </w:r>
      <w:r w:rsidRPr="00AF4D42">
        <w:t>to advance work in the following areas</w:t>
      </w:r>
      <w:r w:rsidR="007D63A3" w:rsidRPr="007D63A3">
        <w:t>:</w:t>
      </w:r>
      <w:r w:rsidR="007D63A3">
        <w:rPr>
          <w:rStyle w:val="FootnoteReference"/>
          <w:color w:val="000000" w:themeColor="text1"/>
          <w:szCs w:val="22"/>
        </w:rPr>
        <w:footnoteReference w:id="25"/>
      </w:r>
    </w:p>
    <w:p w14:paraId="414A77D5" w14:textId="6AA8486A" w:rsidR="007D63A3" w:rsidRDefault="008B74A6" w:rsidP="00BB6518">
      <w:pPr>
        <w:pStyle w:val="Para10"/>
        <w:numPr>
          <w:ilvl w:val="0"/>
          <w:numId w:val="0"/>
        </w:numPr>
        <w:tabs>
          <w:tab w:val="clear" w:pos="1134"/>
          <w:tab w:val="left" w:pos="2268"/>
        </w:tabs>
        <w:ind w:left="1134" w:firstLine="567"/>
      </w:pPr>
      <w:r>
        <w:t>(a)</w:t>
      </w:r>
      <w:r>
        <w:tab/>
      </w:r>
      <w:r w:rsidR="007D63A3" w:rsidRPr="009003A7">
        <w:t>Biodiversity-inclusive spatial planning</w:t>
      </w:r>
      <w:r>
        <w:t>;</w:t>
      </w:r>
    </w:p>
    <w:p w14:paraId="60E40649" w14:textId="1D1F4E35" w:rsidR="007D63A3" w:rsidRDefault="008B74A6" w:rsidP="00BB6518">
      <w:pPr>
        <w:pStyle w:val="Para10"/>
        <w:numPr>
          <w:ilvl w:val="0"/>
          <w:numId w:val="0"/>
        </w:numPr>
        <w:tabs>
          <w:tab w:val="clear" w:pos="1134"/>
          <w:tab w:val="left" w:pos="2268"/>
        </w:tabs>
        <w:ind w:left="1134" w:firstLine="567"/>
      </w:pPr>
      <w:r>
        <w:t>(b)</w:t>
      </w:r>
      <w:r>
        <w:tab/>
      </w:r>
      <w:r w:rsidR="007D63A3" w:rsidRPr="009003A7">
        <w:t>Pollution and biodiversity</w:t>
      </w:r>
      <w:r>
        <w:t>;</w:t>
      </w:r>
    </w:p>
    <w:p w14:paraId="26D20B8B" w14:textId="41CDFD9E" w:rsidR="007D63A3" w:rsidRDefault="008B74A6" w:rsidP="00BB6518">
      <w:pPr>
        <w:pStyle w:val="Para10"/>
        <w:numPr>
          <w:ilvl w:val="0"/>
          <w:numId w:val="0"/>
        </w:numPr>
        <w:tabs>
          <w:tab w:val="clear" w:pos="1134"/>
          <w:tab w:val="left" w:pos="2268"/>
        </w:tabs>
        <w:ind w:left="1134" w:firstLine="567"/>
      </w:pPr>
      <w:r>
        <w:t>(c)</w:t>
      </w:r>
      <w:r>
        <w:tab/>
      </w:r>
      <w:r w:rsidR="007D63A3" w:rsidRPr="009003A7">
        <w:t>Sustainable biodiversity-based activities, products and services and “the bioeconomy”</w:t>
      </w:r>
      <w:r>
        <w:t>;</w:t>
      </w:r>
    </w:p>
    <w:p w14:paraId="631191FC" w14:textId="5B13A8AC" w:rsidR="007D63A3" w:rsidRPr="009003A7" w:rsidRDefault="008B74A6" w:rsidP="00BB6518">
      <w:pPr>
        <w:pStyle w:val="Para10"/>
        <w:numPr>
          <w:ilvl w:val="0"/>
          <w:numId w:val="0"/>
        </w:numPr>
        <w:tabs>
          <w:tab w:val="clear" w:pos="1134"/>
          <w:tab w:val="left" w:pos="2268"/>
        </w:tabs>
        <w:ind w:left="1134" w:firstLine="567"/>
      </w:pPr>
      <w:r>
        <w:t>(d)</w:t>
      </w:r>
      <w:r>
        <w:tab/>
      </w:r>
      <w:r w:rsidR="009003A7" w:rsidRPr="009003A7">
        <w:t>Equity and the human rights-based approach relating to the conservation and sustainable use of biodiversity</w:t>
      </w:r>
      <w:r>
        <w:t>.</w:t>
      </w:r>
    </w:p>
    <w:p w14:paraId="41646206" w14:textId="54EF0B62" w:rsidR="00080221" w:rsidRPr="00132B80" w:rsidRDefault="00080221" w:rsidP="00BB6518">
      <w:pPr>
        <w:pStyle w:val="Para10"/>
        <w:tabs>
          <w:tab w:val="clear" w:pos="1134"/>
          <w:tab w:val="left" w:pos="2268"/>
        </w:tabs>
        <w:ind w:left="1134" w:firstLine="567"/>
      </w:pPr>
      <w:r w:rsidRPr="008B74A6">
        <w:rPr>
          <w:i/>
          <w:iCs/>
        </w:rPr>
        <w:t xml:space="preserve">Encourages </w:t>
      </w:r>
      <w:r w:rsidRPr="008B74A6">
        <w:t xml:space="preserve">Parties, other Governments, relevant multilateral environmental agreements and </w:t>
      </w:r>
      <w:r w:rsidRPr="00BD2A18">
        <w:t xml:space="preserve">other agreements, intergovernmental processes, international organizations, initiatives, </w:t>
      </w:r>
      <w:r w:rsidRPr="00BB6518">
        <w:t>indigenous people</w:t>
      </w:r>
      <w:r w:rsidRPr="00BD2A18">
        <w:t>s and local communities</w:t>
      </w:r>
      <w:r w:rsidRPr="00BB6518">
        <w:t xml:space="preserve"> </w:t>
      </w:r>
      <w:r w:rsidRPr="00BD2A18">
        <w:t xml:space="preserve">and stakeholders, to make use of relevant tools and guidance to support implementation of the </w:t>
      </w:r>
      <w:r w:rsidRPr="00BB6518">
        <w:t>Kunming-Montreal Global Biodiversity Framework</w:t>
      </w:r>
      <w:r w:rsidRPr="00BD2A18">
        <w:t>, adapted to the national context as needed</w:t>
      </w:r>
      <w:r w:rsidRPr="00BB6518">
        <w:t>, and</w:t>
      </w:r>
      <w:r w:rsidRPr="00BD2A18">
        <w:t xml:space="preserve"> to share their national experience and lessons learned with the use of tools and guidance through the Clearing House Mechanism of the Convention;</w:t>
      </w:r>
      <w:r w:rsidRPr="00157943">
        <w:t xml:space="preserve"> </w:t>
      </w:r>
    </w:p>
    <w:p w14:paraId="520E1234" w14:textId="6CB00CC9" w:rsidR="00080221" w:rsidRPr="008B74A6" w:rsidRDefault="00BD2A18" w:rsidP="00BB6518">
      <w:pPr>
        <w:pStyle w:val="Para10"/>
        <w:tabs>
          <w:tab w:val="clear" w:pos="1134"/>
          <w:tab w:val="left" w:pos="2268"/>
        </w:tabs>
        <w:ind w:left="1134" w:firstLine="567"/>
      </w:pPr>
      <w:r>
        <w:rPr>
          <w:i/>
          <w:iCs/>
        </w:rPr>
        <w:t>Also</w:t>
      </w:r>
      <w:r w:rsidRPr="008B74A6">
        <w:rPr>
          <w:i/>
          <w:iCs/>
        </w:rPr>
        <w:t xml:space="preserve"> </w:t>
      </w:r>
      <w:r w:rsidR="00080221" w:rsidRPr="008B74A6">
        <w:rPr>
          <w:i/>
          <w:iCs/>
        </w:rPr>
        <w:t>encourages</w:t>
      </w:r>
      <w:r w:rsidR="00080221" w:rsidRPr="008B74A6">
        <w:t xml:space="preserve"> Parties</w:t>
      </w:r>
      <w:r w:rsidR="008B74A6" w:rsidRPr="008B74A6">
        <w:t>,</w:t>
      </w:r>
      <w:r w:rsidR="00080221" w:rsidRPr="008B74A6">
        <w:t xml:space="preserve"> and </w:t>
      </w:r>
      <w:r w:rsidR="00080221" w:rsidRPr="00BB6518">
        <w:t>invites</w:t>
      </w:r>
      <w:r w:rsidR="00080221" w:rsidRPr="008B74A6">
        <w:t xml:space="preserve"> other Governments, relevant international </w:t>
      </w:r>
      <w:r w:rsidR="00080221" w:rsidRPr="00BB6518">
        <w:t>organi</w:t>
      </w:r>
      <w:r w:rsidR="008B74A6">
        <w:t>z</w:t>
      </w:r>
      <w:r w:rsidR="00080221" w:rsidRPr="00BB6518">
        <w:t>ation</w:t>
      </w:r>
      <w:r w:rsidR="00080221" w:rsidRPr="008B74A6">
        <w:t xml:space="preserve">s, </w:t>
      </w:r>
      <w:r w:rsidR="00080221" w:rsidRPr="00BB6518">
        <w:t>indigenous people</w:t>
      </w:r>
      <w:r w:rsidR="00080221" w:rsidRPr="008B74A6">
        <w:t xml:space="preserve">s and local communities, women and </w:t>
      </w:r>
      <w:r w:rsidR="00080221" w:rsidRPr="00BB6518">
        <w:t>youth,</w:t>
      </w:r>
      <w:r w:rsidR="00080221" w:rsidRPr="008B74A6">
        <w:t xml:space="preserve"> the secretariats of other multilateral environmental agreements, relevant intergovernmental bodies and organizations and other relevant stakeholders, as appropriate, to assess the effectiveness of tools and guidance, identify barriers to their uptake and ways and means of overcoming these, particularly </w:t>
      </w:r>
      <w:r w:rsidR="00080221" w:rsidRPr="00BB6518">
        <w:t xml:space="preserve">at </w:t>
      </w:r>
      <w:r w:rsidR="008B74A6" w:rsidRPr="00BB6518">
        <w:t xml:space="preserve">the </w:t>
      </w:r>
      <w:r w:rsidR="00080221" w:rsidRPr="00BB6518">
        <w:t>national level, and</w:t>
      </w:r>
      <w:r w:rsidR="00080221" w:rsidRPr="008B74A6">
        <w:t xml:space="preserve"> to report on relevant experiences through the Clearing House Mechanism of the Convention; </w:t>
      </w:r>
    </w:p>
    <w:p w14:paraId="45973854" w14:textId="1106BFB5" w:rsidR="00B11B0A" w:rsidRDefault="00B11B0A" w:rsidP="00BB6518">
      <w:pPr>
        <w:pStyle w:val="Para10"/>
        <w:tabs>
          <w:tab w:val="clear" w:pos="1134"/>
          <w:tab w:val="left" w:pos="2268"/>
        </w:tabs>
        <w:ind w:left="1134" w:firstLine="567"/>
        <w:rPr>
          <w:color w:val="000000" w:themeColor="text1"/>
          <w:szCs w:val="22"/>
        </w:rPr>
      </w:pPr>
      <w:r w:rsidRPr="008A6443">
        <w:rPr>
          <w:i/>
          <w:iCs/>
          <w:color w:val="000000" w:themeColor="text1"/>
          <w:szCs w:val="22"/>
        </w:rPr>
        <w:t>Requests</w:t>
      </w:r>
      <w:r>
        <w:rPr>
          <w:color w:val="000000" w:themeColor="text1"/>
          <w:szCs w:val="22"/>
        </w:rPr>
        <w:t xml:space="preserve"> the </w:t>
      </w:r>
      <w:r>
        <w:t xml:space="preserve">Subsidiary Body to review the </w:t>
      </w:r>
      <w:r>
        <w:rPr>
          <w:color w:val="000000" w:themeColor="text1"/>
          <w:szCs w:val="22"/>
        </w:rPr>
        <w:t xml:space="preserve">draft </w:t>
      </w:r>
      <w:r w:rsidRPr="00C932BD">
        <w:rPr>
          <w:color w:val="000000" w:themeColor="text1"/>
          <w:szCs w:val="22"/>
        </w:rPr>
        <w:t xml:space="preserve">tools </w:t>
      </w:r>
      <w:r w:rsidRPr="00BB6518">
        <w:rPr>
          <w:color w:val="000000" w:themeColor="text1"/>
          <w:szCs w:val="22"/>
        </w:rPr>
        <w:t>and/or</w:t>
      </w:r>
      <w:r w:rsidRPr="00C932BD">
        <w:rPr>
          <w:color w:val="000000" w:themeColor="text1"/>
          <w:szCs w:val="22"/>
        </w:rPr>
        <w:t xml:space="preserve"> guidance</w:t>
      </w:r>
      <w:r>
        <w:t xml:space="preserve">, prepared by the Secretariat in </w:t>
      </w:r>
      <w:r w:rsidRPr="008F399A">
        <w:t xml:space="preserve">line with paragraph </w:t>
      </w:r>
      <w:r w:rsidR="00080221" w:rsidRPr="008F399A">
        <w:t>6</w:t>
      </w:r>
      <w:r w:rsidRPr="008F399A">
        <w:t xml:space="preserve"> (</w:t>
      </w:r>
      <w:r w:rsidR="00F602AE" w:rsidRPr="008F399A">
        <w:t>e</w:t>
      </w:r>
      <w:r w:rsidRPr="008F399A">
        <w:t>)</w:t>
      </w:r>
      <w:r w:rsidR="00F602AE" w:rsidRPr="008F399A">
        <w:t xml:space="preserve"> of th</w:t>
      </w:r>
      <w:r w:rsidR="00261F73" w:rsidRPr="008F399A">
        <w:t>e</w:t>
      </w:r>
      <w:r w:rsidR="00F602AE" w:rsidRPr="008F399A">
        <w:t xml:space="preserve"> </w:t>
      </w:r>
      <w:r w:rsidR="00261F73" w:rsidRPr="008F399A">
        <w:t>present</w:t>
      </w:r>
      <w:r w:rsidR="00F85BB8" w:rsidRPr="008F399A">
        <w:t xml:space="preserve"> </w:t>
      </w:r>
      <w:r w:rsidR="00F602AE" w:rsidRPr="008F399A">
        <w:t>decision</w:t>
      </w:r>
      <w:r w:rsidRPr="008F399A">
        <w:t xml:space="preserve"> and</w:t>
      </w:r>
      <w:r>
        <w:t xml:space="preserve"> to prepare recommendations for consideration by the Conference of the Parties at its seventeenth meeting; </w:t>
      </w:r>
    </w:p>
    <w:p w14:paraId="4C8CFF3C" w14:textId="77777777" w:rsidR="008A6443" w:rsidRPr="00BB6518" w:rsidRDefault="007D63A3" w:rsidP="00BB6518">
      <w:pPr>
        <w:pStyle w:val="Para10"/>
        <w:tabs>
          <w:tab w:val="clear" w:pos="1134"/>
          <w:tab w:val="left" w:pos="2268"/>
        </w:tabs>
        <w:ind w:left="1134" w:firstLine="567"/>
      </w:pPr>
      <w:r w:rsidRPr="00B9052F">
        <w:rPr>
          <w:i/>
          <w:iCs/>
        </w:rPr>
        <w:t>Requests</w:t>
      </w:r>
      <w:r w:rsidRPr="00B9052F">
        <w:t xml:space="preserve"> the Secretariat</w:t>
      </w:r>
      <w:r w:rsidR="008A6443" w:rsidRPr="00B9052F">
        <w:t>:</w:t>
      </w:r>
    </w:p>
    <w:p w14:paraId="44C51840" w14:textId="0F8B3CDF" w:rsidR="00B11B0A" w:rsidRPr="00BB6518" w:rsidRDefault="00B9052F" w:rsidP="00BB6518">
      <w:pPr>
        <w:pStyle w:val="Para10"/>
        <w:numPr>
          <w:ilvl w:val="0"/>
          <w:numId w:val="0"/>
        </w:numPr>
        <w:tabs>
          <w:tab w:val="clear" w:pos="1134"/>
          <w:tab w:val="left" w:pos="2268"/>
        </w:tabs>
        <w:ind w:left="1134" w:firstLine="567"/>
      </w:pPr>
      <w:r w:rsidRPr="00BB6518">
        <w:t>(a)</w:t>
      </w:r>
      <w:r w:rsidRPr="00BB6518">
        <w:tab/>
        <w:t>T</w:t>
      </w:r>
      <w:r w:rsidR="008A6443" w:rsidRPr="00B9052F">
        <w:t>o continue to facilitate the compilation and access to scientific and technical tools and guidance, in cooperation with relevant processes and organizations</w:t>
      </w:r>
      <w:r w:rsidR="008A6443" w:rsidRPr="00BB6518">
        <w:t>,</w:t>
      </w:r>
      <w:r w:rsidR="00EB2678" w:rsidRPr="00BB6518">
        <w:t xml:space="preserve"> and</w:t>
      </w:r>
      <w:r w:rsidR="00EB2678" w:rsidRPr="00B9052F">
        <w:t xml:space="preserve"> other stakeholders,</w:t>
      </w:r>
      <w:r w:rsidR="008A6443" w:rsidRPr="00B9052F">
        <w:t xml:space="preserve"> </w:t>
      </w:r>
      <w:r w:rsidR="00B11B0A" w:rsidRPr="00B9052F">
        <w:t xml:space="preserve">including through the </w:t>
      </w:r>
      <w:r w:rsidRPr="00B9052F">
        <w:t>c</w:t>
      </w:r>
      <w:r w:rsidR="00B11B0A" w:rsidRPr="00B9052F">
        <w:t>learing</w:t>
      </w:r>
      <w:r w:rsidRPr="00B9052F">
        <w:t>-h</w:t>
      </w:r>
      <w:r w:rsidR="00B11B0A" w:rsidRPr="00B9052F">
        <w:t xml:space="preserve">ouse </w:t>
      </w:r>
      <w:r w:rsidRPr="00B9052F">
        <w:t>m</w:t>
      </w:r>
      <w:r w:rsidR="00B11B0A" w:rsidRPr="00B9052F">
        <w:t>echanism</w:t>
      </w:r>
      <w:r w:rsidRPr="00B9052F">
        <w:t xml:space="preserve"> of the Convention</w:t>
      </w:r>
      <w:r w:rsidR="00EB2678" w:rsidRPr="00B9052F">
        <w:t>;</w:t>
      </w:r>
      <w:r w:rsidR="008A6443" w:rsidRPr="00BB6518">
        <w:t xml:space="preserve"> </w:t>
      </w:r>
    </w:p>
    <w:p w14:paraId="6272092D" w14:textId="146538EF" w:rsidR="008A6443" w:rsidRPr="00BB6518" w:rsidRDefault="00B9052F" w:rsidP="00BB6518">
      <w:pPr>
        <w:pStyle w:val="Para10"/>
        <w:numPr>
          <w:ilvl w:val="0"/>
          <w:numId w:val="0"/>
        </w:numPr>
        <w:tabs>
          <w:tab w:val="clear" w:pos="1134"/>
          <w:tab w:val="left" w:pos="2268"/>
        </w:tabs>
        <w:ind w:left="1134" w:firstLine="567"/>
      </w:pPr>
      <w:r w:rsidRPr="00BB6518">
        <w:t>(b)</w:t>
      </w:r>
      <w:r w:rsidRPr="00BB6518">
        <w:tab/>
        <w:t>T</w:t>
      </w:r>
      <w:r w:rsidR="00B11B0A" w:rsidRPr="00B9052F">
        <w:t xml:space="preserve">o facilitate </w:t>
      </w:r>
      <w:r w:rsidR="008A6443" w:rsidRPr="00B9052F">
        <w:t xml:space="preserve">the development of further </w:t>
      </w:r>
      <w:r w:rsidR="00B11B0A" w:rsidRPr="00B9052F">
        <w:t xml:space="preserve">tools and </w:t>
      </w:r>
      <w:r w:rsidR="008A6443" w:rsidRPr="00B9052F">
        <w:t xml:space="preserve">guidance, where needed, </w:t>
      </w:r>
      <w:r w:rsidR="00B11B0A" w:rsidRPr="00B9052F">
        <w:t>to address gaps identified</w:t>
      </w:r>
      <w:r w:rsidR="00B11B0A" w:rsidRPr="00BB6518">
        <w:t xml:space="preserve"> </w:t>
      </w:r>
      <w:r w:rsidR="008A6443" w:rsidRPr="00B9052F">
        <w:t xml:space="preserve">in </w:t>
      </w:r>
      <w:r w:rsidRPr="00B9052F">
        <w:t xml:space="preserve">documents </w:t>
      </w:r>
      <w:r w:rsidR="008A6443" w:rsidRPr="00BB6518">
        <w:t>CBD</w:t>
      </w:r>
      <w:r w:rsidR="008A6443" w:rsidRPr="00B9052F">
        <w:t>/</w:t>
      </w:r>
      <w:r w:rsidR="008A6443" w:rsidRPr="00BB6518">
        <w:t>SBSTTA</w:t>
      </w:r>
      <w:r w:rsidR="008A6443" w:rsidRPr="00B9052F">
        <w:t xml:space="preserve">/26/3 </w:t>
      </w:r>
      <w:r w:rsidR="00B11B0A" w:rsidRPr="00B9052F">
        <w:t>(</w:t>
      </w:r>
      <w:r w:rsidRPr="00B9052F">
        <w:t>s</w:t>
      </w:r>
      <w:r w:rsidR="00B11B0A" w:rsidRPr="00B9052F">
        <w:t>ection IV</w:t>
      </w:r>
      <w:r w:rsidR="00AE6558">
        <w:t xml:space="preserve"> </w:t>
      </w:r>
      <w:r w:rsidR="00B11B0A" w:rsidRPr="00B9052F">
        <w:t>B and annex</w:t>
      </w:r>
      <w:r w:rsidR="00B11B0A" w:rsidRPr="00BB6518">
        <w:t xml:space="preserve">) </w:t>
      </w:r>
      <w:r w:rsidR="008A6443" w:rsidRPr="00B9052F">
        <w:t xml:space="preserve">and </w:t>
      </w:r>
      <w:r w:rsidR="008A6443" w:rsidRPr="00BB6518">
        <w:t>CBD</w:t>
      </w:r>
      <w:r w:rsidR="008A6443" w:rsidRPr="00B9052F">
        <w:t>/</w:t>
      </w:r>
      <w:r w:rsidR="008A6443" w:rsidRPr="00BB6518">
        <w:t>SBSTTA</w:t>
      </w:r>
      <w:r w:rsidR="008A6443" w:rsidRPr="00B9052F">
        <w:t>/26/</w:t>
      </w:r>
      <w:r w:rsidR="008A6443" w:rsidRPr="00BB6518">
        <w:t>INF</w:t>
      </w:r>
      <w:r w:rsidR="008A6443" w:rsidRPr="00B9052F">
        <w:t>/15</w:t>
      </w:r>
      <w:r w:rsidR="00B11B0A" w:rsidRPr="00B9052F">
        <w:t>, in cooperation with relevant processes and organizations</w:t>
      </w:r>
      <w:r w:rsidR="00B11B0A" w:rsidRPr="00BB6518">
        <w:t>, and</w:t>
      </w:r>
      <w:r w:rsidR="00B11B0A" w:rsidRPr="00B9052F">
        <w:t xml:space="preserve"> in consultation with Parties, other Governments, </w:t>
      </w:r>
      <w:r w:rsidR="00B11B0A" w:rsidRPr="00BB6518">
        <w:t>indigenous people</w:t>
      </w:r>
      <w:r w:rsidR="00B11B0A" w:rsidRPr="00B9052F">
        <w:t>s and local communities</w:t>
      </w:r>
      <w:r w:rsidR="00B11B0A" w:rsidRPr="00BB6518">
        <w:t>, and</w:t>
      </w:r>
      <w:r w:rsidR="00B11B0A" w:rsidRPr="00B9052F">
        <w:t xml:space="preserve"> relevant stakeholders</w:t>
      </w:r>
      <w:r w:rsidR="00B11B0A" w:rsidRPr="00BB6518">
        <w:t>, and</w:t>
      </w:r>
      <w:r w:rsidR="00B11B0A" w:rsidRPr="00B9052F">
        <w:t>, where appropriate, to work with such relevant processes and organizations to integrate considerations from the Framework into tools and guidance under development by such processes and organizations such that the tools and guidance are “biodiversity-inclusive”</w:t>
      </w:r>
      <w:r>
        <w:t>;</w:t>
      </w:r>
    </w:p>
    <w:p w14:paraId="6B03973B" w14:textId="0A45D8A2" w:rsidR="00B11B0A" w:rsidRPr="00BB6518" w:rsidRDefault="00B9052F" w:rsidP="00BB6518">
      <w:pPr>
        <w:pStyle w:val="Para10"/>
        <w:numPr>
          <w:ilvl w:val="0"/>
          <w:numId w:val="0"/>
        </w:numPr>
        <w:tabs>
          <w:tab w:val="clear" w:pos="1134"/>
          <w:tab w:val="left" w:pos="2268"/>
        </w:tabs>
        <w:ind w:left="1134" w:firstLine="567"/>
      </w:pPr>
      <w:r w:rsidRPr="00BB6518">
        <w:t>(c)</w:t>
      </w:r>
      <w:r w:rsidRPr="00BB6518">
        <w:tab/>
        <w:t>T</w:t>
      </w:r>
      <w:r w:rsidR="00B11B0A" w:rsidRPr="00713DB5">
        <w:t>o e</w:t>
      </w:r>
      <w:r w:rsidR="008A6443" w:rsidRPr="00713DB5">
        <w:t xml:space="preserve">xplore </w:t>
      </w:r>
      <w:r w:rsidR="00B11B0A" w:rsidRPr="00713DB5">
        <w:t xml:space="preserve">further </w:t>
      </w:r>
      <w:r w:rsidR="008A6443" w:rsidRPr="00713DB5">
        <w:t>ways and means for improving access to</w:t>
      </w:r>
      <w:r w:rsidR="00B11B0A" w:rsidRPr="00BB6518">
        <w:t>, and</w:t>
      </w:r>
      <w:r w:rsidR="00B11B0A" w:rsidRPr="00713DB5">
        <w:t xml:space="preserve"> </w:t>
      </w:r>
      <w:r w:rsidR="008A6443" w:rsidRPr="00713DB5">
        <w:t xml:space="preserve">dissemination </w:t>
      </w:r>
      <w:r w:rsidR="00B11B0A" w:rsidRPr="00713DB5">
        <w:t xml:space="preserve">and use </w:t>
      </w:r>
      <w:r w:rsidR="008A6443" w:rsidRPr="00713DB5">
        <w:t>of</w:t>
      </w:r>
      <w:r w:rsidR="00B11B0A" w:rsidRPr="00713DB5">
        <w:t>,</w:t>
      </w:r>
      <w:r w:rsidR="008A6443" w:rsidRPr="00713DB5">
        <w:t xml:space="preserve"> tools and guidance to </w:t>
      </w:r>
      <w:r w:rsidR="00B11B0A" w:rsidRPr="00713DB5">
        <w:t>support implementation of the Framework;</w:t>
      </w:r>
    </w:p>
    <w:p w14:paraId="4BD6FC95" w14:textId="34946DFC" w:rsidR="008A6443" w:rsidRPr="00BB6518" w:rsidRDefault="00B9052F" w:rsidP="00BB6518">
      <w:pPr>
        <w:pStyle w:val="Para10"/>
        <w:numPr>
          <w:ilvl w:val="0"/>
          <w:numId w:val="0"/>
        </w:numPr>
        <w:tabs>
          <w:tab w:val="clear" w:pos="1134"/>
          <w:tab w:val="left" w:pos="2268"/>
        </w:tabs>
        <w:ind w:left="1134" w:firstLine="567"/>
        <w:rPr>
          <w:color w:val="000000" w:themeColor="text1"/>
          <w:szCs w:val="22"/>
        </w:rPr>
      </w:pPr>
      <w:r w:rsidRPr="00BB6518">
        <w:lastRenderedPageBreak/>
        <w:t>(d)</w:t>
      </w:r>
      <w:r w:rsidRPr="00BB6518">
        <w:tab/>
        <w:t>T</w:t>
      </w:r>
      <w:r w:rsidR="00B11B0A" w:rsidRPr="00713DB5">
        <w:t xml:space="preserve">o report on progress on the above tasks to the </w:t>
      </w:r>
      <w:r w:rsidR="00B11B0A" w:rsidRPr="00BB6518">
        <w:t>Subsidiary Body on Scientific, Technical and Technological Advice</w:t>
      </w:r>
      <w:r w:rsidR="00B11B0A" w:rsidRPr="00713DB5">
        <w:t xml:space="preserve"> prior to the seventeenth meeting of the Conference of the Parties</w:t>
      </w:r>
      <w:r w:rsidR="008A6443" w:rsidRPr="00713DB5">
        <w:rPr>
          <w:color w:val="000000" w:themeColor="text1"/>
          <w:szCs w:val="22"/>
        </w:rPr>
        <w:t>;</w:t>
      </w:r>
      <w:r w:rsidR="008A6443" w:rsidRPr="00BB6518">
        <w:rPr>
          <w:color w:val="000000" w:themeColor="text1"/>
          <w:szCs w:val="22"/>
        </w:rPr>
        <w:t xml:space="preserve">  </w:t>
      </w:r>
    </w:p>
    <w:p w14:paraId="00950721" w14:textId="3D4C19B0" w:rsidR="00B17D86" w:rsidRPr="00536FEA" w:rsidRDefault="00B9052F" w:rsidP="00BB6518">
      <w:pPr>
        <w:pStyle w:val="Para10"/>
        <w:numPr>
          <w:ilvl w:val="0"/>
          <w:numId w:val="0"/>
        </w:numPr>
        <w:tabs>
          <w:tab w:val="clear" w:pos="1134"/>
          <w:tab w:val="left" w:pos="2268"/>
        </w:tabs>
        <w:ind w:left="1134" w:firstLine="567"/>
        <w:rPr>
          <w:color w:val="000000" w:themeColor="text1"/>
          <w:szCs w:val="22"/>
        </w:rPr>
      </w:pPr>
      <w:r w:rsidRPr="00BB6518">
        <w:rPr>
          <w:color w:val="000000" w:themeColor="text1"/>
          <w:szCs w:val="22"/>
        </w:rPr>
        <w:t>(e)</w:t>
      </w:r>
      <w:r w:rsidRPr="00BB6518">
        <w:rPr>
          <w:color w:val="000000" w:themeColor="text1"/>
          <w:szCs w:val="22"/>
        </w:rPr>
        <w:tab/>
        <w:t>T</w:t>
      </w:r>
      <w:r w:rsidR="007D63A3" w:rsidRPr="0088792E">
        <w:rPr>
          <w:color w:val="000000" w:themeColor="text1"/>
          <w:szCs w:val="22"/>
        </w:rPr>
        <w:t xml:space="preserve">o </w:t>
      </w:r>
      <w:r w:rsidR="008A6443" w:rsidRPr="0088792E">
        <w:rPr>
          <w:color w:val="000000" w:themeColor="text1"/>
          <w:szCs w:val="22"/>
        </w:rPr>
        <w:t xml:space="preserve">prepare, for the consideration of the </w:t>
      </w:r>
      <w:r w:rsidR="008A6443" w:rsidRPr="00BB6518">
        <w:t>Subsidiary Body on Scientific, Technical and Technological Advice</w:t>
      </w:r>
      <w:r w:rsidR="008A6443" w:rsidRPr="0088792E">
        <w:t xml:space="preserve"> prior to the seventeenth meeting of the Conference of the Parties</w:t>
      </w:r>
      <w:r w:rsidR="00EB2678" w:rsidRPr="0088792E">
        <w:t>,</w:t>
      </w:r>
      <w:r w:rsidR="008A6443" w:rsidRPr="0088792E">
        <w:t xml:space="preserve"> </w:t>
      </w:r>
      <w:r w:rsidR="008A6443" w:rsidRPr="0088792E">
        <w:rPr>
          <w:color w:val="000000" w:themeColor="text1"/>
          <w:szCs w:val="22"/>
        </w:rPr>
        <w:t xml:space="preserve">draft tools </w:t>
      </w:r>
      <w:r w:rsidR="008A6443" w:rsidRPr="00BB6518">
        <w:rPr>
          <w:color w:val="000000" w:themeColor="text1"/>
          <w:szCs w:val="22"/>
        </w:rPr>
        <w:t>and/or</w:t>
      </w:r>
      <w:r w:rsidR="008A6443" w:rsidRPr="0088792E">
        <w:rPr>
          <w:color w:val="000000" w:themeColor="text1"/>
          <w:szCs w:val="22"/>
        </w:rPr>
        <w:t xml:space="preserve"> guidance, as appropriate, drawing upon compilations of submissions from Parties and observers, cooperation with relevant organizations</w:t>
      </w:r>
      <w:r w:rsidR="008A6443" w:rsidRPr="00BB6518">
        <w:rPr>
          <w:color w:val="000000" w:themeColor="text1"/>
          <w:szCs w:val="22"/>
        </w:rPr>
        <w:t>, and/or</w:t>
      </w:r>
      <w:r w:rsidR="008A6443" w:rsidRPr="0088792E">
        <w:rPr>
          <w:color w:val="000000" w:themeColor="text1"/>
          <w:szCs w:val="22"/>
        </w:rPr>
        <w:t xml:space="preserve"> through expert processes.</w:t>
      </w:r>
      <w:r w:rsidR="008A6443" w:rsidRPr="00536FEA">
        <w:rPr>
          <w:color w:val="000000" w:themeColor="text1"/>
          <w:szCs w:val="22"/>
        </w:rPr>
        <w:t xml:space="preserve"> </w:t>
      </w:r>
    </w:p>
    <w:p w14:paraId="3B83FE20" w14:textId="468EE92B" w:rsidR="00F85BB8" w:rsidRDefault="00F85BB8">
      <w:pPr>
        <w:spacing w:before="0" w:after="160" w:line="259" w:lineRule="auto"/>
        <w:jc w:val="left"/>
      </w:pPr>
      <w:r>
        <w:br w:type="page"/>
      </w:r>
    </w:p>
    <w:p w14:paraId="5ECEC69D" w14:textId="15D84CC2" w:rsidR="0088792E" w:rsidRPr="00BB6518" w:rsidRDefault="00187D16" w:rsidP="00F85BB8">
      <w:pPr>
        <w:rPr>
          <w:b/>
          <w:bCs/>
          <w:sz w:val="28"/>
          <w:szCs w:val="28"/>
          <w:highlight w:val="yellow"/>
        </w:rPr>
      </w:pPr>
      <w:r w:rsidRPr="00BB6518">
        <w:rPr>
          <w:b/>
          <w:bCs/>
          <w:sz w:val="28"/>
          <w:szCs w:val="28"/>
        </w:rPr>
        <w:lastRenderedPageBreak/>
        <w:t xml:space="preserve">Annex </w:t>
      </w:r>
    </w:p>
    <w:p w14:paraId="0524689F" w14:textId="26057AFB" w:rsidR="0026061D" w:rsidRPr="00BB6518" w:rsidRDefault="00822D6E" w:rsidP="00BB6518">
      <w:pPr>
        <w:jc w:val="left"/>
        <w:rPr>
          <w:b/>
          <w:bCs/>
          <w:sz w:val="28"/>
          <w:szCs w:val="28"/>
        </w:rPr>
      </w:pPr>
      <w:r w:rsidRPr="00BB6518">
        <w:rPr>
          <w:b/>
          <w:bCs/>
          <w:sz w:val="28"/>
          <w:szCs w:val="28"/>
        </w:rPr>
        <w:t>Summary of key gaps in tools and guidance to support implementation of the targets of the Kunming-Montreal Global Biodiversity Framework identified in document CBD/SBSTTA/26/INF/</w:t>
      </w:r>
      <w:r w:rsidR="0026061D" w:rsidRPr="00BB6518">
        <w:rPr>
          <w:b/>
          <w:bCs/>
          <w:sz w:val="28"/>
          <w:szCs w:val="28"/>
        </w:rPr>
        <w:t>15</w:t>
      </w:r>
    </w:p>
    <w:p w14:paraId="70BBDBE6" w14:textId="018A1EA7" w:rsidR="00822D6E" w:rsidRPr="00B00562" w:rsidRDefault="0026061D" w:rsidP="009D5490">
      <w:pPr>
        <w:spacing w:after="120"/>
        <w:rPr>
          <w:i/>
          <w:iCs/>
        </w:rPr>
      </w:pPr>
      <w:r w:rsidRPr="00B00562">
        <w:rPr>
          <w:i/>
          <w:iCs/>
        </w:rPr>
        <w:t>Note</w:t>
      </w:r>
      <w:r w:rsidR="0088792E">
        <w:rPr>
          <w:i/>
          <w:iCs/>
        </w:rPr>
        <w:t>:</w:t>
      </w:r>
      <w:r w:rsidRPr="00B00562">
        <w:rPr>
          <w:i/>
          <w:iCs/>
        </w:rPr>
        <w:t xml:space="preserve"> </w:t>
      </w:r>
      <w:r w:rsidR="0088792E">
        <w:rPr>
          <w:i/>
          <w:iCs/>
        </w:rPr>
        <w:t>f</w:t>
      </w:r>
      <w:r w:rsidR="00822D6E" w:rsidRPr="00B00562">
        <w:rPr>
          <w:i/>
          <w:iCs/>
        </w:rPr>
        <w:t xml:space="preserve">indings </w:t>
      </w:r>
      <w:r w:rsidR="00822D6E" w:rsidRPr="000F5864">
        <w:rPr>
          <w:i/>
          <w:iCs/>
        </w:rPr>
        <w:t>regarding</w:t>
      </w:r>
      <w:r w:rsidR="00822D6E" w:rsidRPr="00BB6518">
        <w:rPr>
          <w:i/>
          <w:iCs/>
        </w:rPr>
        <w:t xml:space="preserve"> </w:t>
      </w:r>
      <w:r w:rsidR="0088792E" w:rsidRPr="00BB6518">
        <w:rPr>
          <w:i/>
          <w:iCs/>
        </w:rPr>
        <w:t>“</w:t>
      </w:r>
      <w:r w:rsidR="00822D6E" w:rsidRPr="000F5864">
        <w:rPr>
          <w:i/>
          <w:iCs/>
        </w:rPr>
        <w:t>other</w:t>
      </w:r>
      <w:r w:rsidR="0088792E" w:rsidRPr="000F5864">
        <w:rPr>
          <w:i/>
          <w:iCs/>
        </w:rPr>
        <w:t>”</w:t>
      </w:r>
      <w:r w:rsidR="00822D6E" w:rsidRPr="000F5864">
        <w:rPr>
          <w:i/>
          <w:iCs/>
        </w:rPr>
        <w:t xml:space="preserve"> elements of the Framework (outside the targets) are presented in the text of the </w:t>
      </w:r>
      <w:r w:rsidRPr="000F5864">
        <w:rPr>
          <w:i/>
          <w:iCs/>
        </w:rPr>
        <w:t>present</w:t>
      </w:r>
      <w:r w:rsidR="00822D6E" w:rsidRPr="000F5864">
        <w:rPr>
          <w:i/>
          <w:iCs/>
        </w:rPr>
        <w:t xml:space="preserve"> document.</w:t>
      </w:r>
    </w:p>
    <w:tbl>
      <w:tblPr>
        <w:tblStyle w:val="TableGrid"/>
        <w:tblW w:w="9493" w:type="dxa"/>
        <w:tblLayout w:type="fixed"/>
        <w:tblLook w:val="04A0" w:firstRow="1" w:lastRow="0" w:firstColumn="1" w:lastColumn="0" w:noHBand="0" w:noVBand="1"/>
      </w:tblPr>
      <w:tblGrid>
        <w:gridCol w:w="9493"/>
      </w:tblGrid>
      <w:tr w:rsidR="00471B89" w:rsidRPr="00B14925" w14:paraId="390F92E0" w14:textId="77777777" w:rsidTr="00BB6518">
        <w:trPr>
          <w:tblHeader/>
        </w:trPr>
        <w:tc>
          <w:tcPr>
            <w:tcW w:w="9493" w:type="dxa"/>
            <w:tcBorders>
              <w:bottom w:val="single" w:sz="4" w:space="0" w:color="auto"/>
            </w:tcBorders>
            <w:shd w:val="clear" w:color="auto" w:fill="auto"/>
          </w:tcPr>
          <w:p w14:paraId="78498F68" w14:textId="77777777" w:rsidR="00471B89" w:rsidRPr="0051061A" w:rsidRDefault="00471B89" w:rsidP="00BB6518">
            <w:pPr>
              <w:spacing w:after="60"/>
              <w:jc w:val="left"/>
              <w:rPr>
                <w:b/>
                <w:bCs/>
                <w:color w:val="000000" w:themeColor="text1"/>
              </w:rPr>
            </w:pPr>
            <w:r>
              <w:rPr>
                <w:b/>
                <w:bCs/>
                <w:color w:val="000000" w:themeColor="text1"/>
              </w:rPr>
              <w:t>Key gaps in tools and guidance for each target of the Framework</w:t>
            </w:r>
          </w:p>
        </w:tc>
      </w:tr>
      <w:tr w:rsidR="00471B89" w:rsidRPr="00B14925" w14:paraId="177EA02D" w14:textId="77777777" w:rsidTr="00F27807">
        <w:tc>
          <w:tcPr>
            <w:tcW w:w="9493" w:type="dxa"/>
          </w:tcPr>
          <w:p w14:paraId="25826C39" w14:textId="67BBB845" w:rsidR="00471B89" w:rsidRPr="0001661C" w:rsidRDefault="00471B89" w:rsidP="006732C2">
            <w:r w:rsidRPr="0001661C">
              <w:rPr>
                <w:rFonts w:eastAsia="Malgun Gothic"/>
                <w:b/>
                <w:bCs/>
                <w:color w:val="000000" w:themeColor="text1"/>
                <w:kern w:val="22"/>
              </w:rPr>
              <w:t>Target 1</w:t>
            </w:r>
            <w:r w:rsidR="0001661C" w:rsidRPr="0001661C">
              <w:rPr>
                <w:rFonts w:eastAsia="Malgun Gothic"/>
                <w:b/>
                <w:bCs/>
                <w:color w:val="000000" w:themeColor="text1"/>
                <w:kern w:val="22"/>
              </w:rPr>
              <w:t>.</w:t>
            </w:r>
            <w:r w:rsidRPr="00BB6518">
              <w:rPr>
                <w:rFonts w:eastAsia="Malgun Gothic"/>
                <w:b/>
                <w:bCs/>
                <w:color w:val="000000" w:themeColor="text1"/>
                <w:kern w:val="22"/>
              </w:rPr>
              <w:t xml:space="preserve"> </w:t>
            </w:r>
            <w:r w:rsidRPr="00BB6518">
              <w:t>B</w:t>
            </w:r>
            <w:r w:rsidRPr="0001661C">
              <w:t>iodiversity inclusive spatial planning for terrestrial system</w:t>
            </w:r>
            <w:r w:rsidRPr="00BB6518">
              <w:t>s</w:t>
            </w:r>
            <w:r w:rsidR="0001661C" w:rsidRPr="00BB6518">
              <w:t>,</w:t>
            </w:r>
            <w:r w:rsidRPr="00BB6518">
              <w:t xml:space="preserve"> including</w:t>
            </w:r>
            <w:r w:rsidRPr="0001661C">
              <w:t xml:space="preserve"> urban planning; Integrated </w:t>
            </w:r>
            <w:r w:rsidR="0026061D" w:rsidRPr="0001661C">
              <w:t>w</w:t>
            </w:r>
            <w:r w:rsidRPr="0001661C">
              <w:t xml:space="preserve">ater </w:t>
            </w:r>
            <w:r w:rsidR="0026061D" w:rsidRPr="0001661C">
              <w:t>r</w:t>
            </w:r>
            <w:r w:rsidRPr="0001661C">
              <w:t xml:space="preserve">esources </w:t>
            </w:r>
            <w:r w:rsidR="0026061D" w:rsidRPr="0001661C">
              <w:t>m</w:t>
            </w:r>
            <w:r w:rsidRPr="0001661C">
              <w:t>anagement;</w:t>
            </w:r>
            <w:r w:rsidRPr="00BB6518">
              <w:t xml:space="preserve"> </w:t>
            </w:r>
            <w:r w:rsidR="000F5864" w:rsidRPr="0001661C">
              <w:t>d</w:t>
            </w:r>
            <w:r w:rsidRPr="0001661C">
              <w:t>efinitions and guidance on</w:t>
            </w:r>
            <w:r w:rsidRPr="00BB6518">
              <w:t xml:space="preserve"> </w:t>
            </w:r>
            <w:r w:rsidR="000F5864" w:rsidRPr="00BB6518">
              <w:t>“</w:t>
            </w:r>
            <w:r w:rsidRPr="0001661C">
              <w:t>biodiversity inclusive</w:t>
            </w:r>
            <w:r w:rsidR="000F5864" w:rsidRPr="0001661C">
              <w:t>”</w:t>
            </w:r>
            <w:r w:rsidRPr="0001661C">
              <w:t>,</w:t>
            </w:r>
            <w:r w:rsidRPr="00BB6518">
              <w:t xml:space="preserve"> </w:t>
            </w:r>
            <w:r w:rsidR="000F5864" w:rsidRPr="00BB6518">
              <w:t>“</w:t>
            </w:r>
            <w:r w:rsidRPr="0001661C">
              <w:t>areas of high biodiversity importance</w:t>
            </w:r>
            <w:r w:rsidR="000F5864" w:rsidRPr="0001661C">
              <w:t>”</w:t>
            </w:r>
            <w:r w:rsidRPr="0001661C">
              <w:t xml:space="preserve"> (including </w:t>
            </w:r>
            <w:r w:rsidR="0026061D" w:rsidRPr="0001661C">
              <w:t xml:space="preserve">also </w:t>
            </w:r>
            <w:r w:rsidRPr="0001661C">
              <w:t>as related to livelihoods and poverty reduction),</w:t>
            </w:r>
            <w:r w:rsidRPr="00BB6518">
              <w:t xml:space="preserve"> </w:t>
            </w:r>
            <w:r w:rsidR="0001661C" w:rsidRPr="00BB6518">
              <w:t>“</w:t>
            </w:r>
            <w:r w:rsidRPr="0001661C">
              <w:t>spatial planning</w:t>
            </w:r>
            <w:r w:rsidR="0001661C" w:rsidRPr="0001661C">
              <w:t>”</w:t>
            </w:r>
            <w:r w:rsidRPr="0001661C">
              <w:t>,</w:t>
            </w:r>
            <w:r w:rsidRPr="00BB6518">
              <w:t xml:space="preserve"> </w:t>
            </w:r>
            <w:r w:rsidR="0001661C" w:rsidRPr="00BB6518">
              <w:t>“</w:t>
            </w:r>
            <w:r w:rsidRPr="0001661C">
              <w:t>ecosystems of high ecological integrity</w:t>
            </w:r>
            <w:r w:rsidR="0001661C" w:rsidRPr="0001661C">
              <w:t>”</w:t>
            </w:r>
            <w:r w:rsidRPr="0001661C">
              <w:t>, data sources and data collection method</w:t>
            </w:r>
            <w:r w:rsidRPr="00BB6518">
              <w:t>s</w:t>
            </w:r>
            <w:r w:rsidR="000F5864" w:rsidRPr="00BB6518">
              <w:t>,</w:t>
            </w:r>
            <w:r w:rsidRPr="00BB6518">
              <w:t xml:space="preserve"> etc.</w:t>
            </w:r>
            <w:r w:rsidRPr="0001661C">
              <w:t xml:space="preserve"> </w:t>
            </w:r>
          </w:p>
        </w:tc>
      </w:tr>
      <w:tr w:rsidR="00471B89" w:rsidRPr="00B14925" w14:paraId="21DBE558" w14:textId="77777777" w:rsidTr="00F27807">
        <w:tc>
          <w:tcPr>
            <w:tcW w:w="9493" w:type="dxa"/>
          </w:tcPr>
          <w:p w14:paraId="6FD38D2D" w14:textId="05B0FFF7" w:rsidR="00471B89" w:rsidRPr="0001661C" w:rsidRDefault="00471B89" w:rsidP="006732C2">
            <w:r w:rsidRPr="0001661C">
              <w:rPr>
                <w:b/>
                <w:bCs/>
              </w:rPr>
              <w:t>Target 2</w:t>
            </w:r>
            <w:r w:rsidR="0001661C" w:rsidRPr="00BB6518">
              <w:rPr>
                <w:b/>
                <w:bCs/>
              </w:rPr>
              <w:t>.</w:t>
            </w:r>
            <w:r w:rsidRPr="00BB6518">
              <w:rPr>
                <w:b/>
                <w:bCs/>
              </w:rPr>
              <w:t xml:space="preserve"> </w:t>
            </w:r>
            <w:r w:rsidRPr="00BB6518">
              <w:t>R</w:t>
            </w:r>
            <w:r w:rsidRPr="0001661C">
              <w:t>estoration and sustainable livelihoods and human well-bein</w:t>
            </w:r>
            <w:r w:rsidRPr="00BB6518">
              <w:t>g</w:t>
            </w:r>
            <w:r w:rsidR="0001661C">
              <w:t>,</w:t>
            </w:r>
            <w:r w:rsidRPr="00BB6518">
              <w:t xml:space="preserve"> including</w:t>
            </w:r>
            <w:r w:rsidRPr="0001661C">
              <w:t>: (</w:t>
            </w:r>
            <w:r w:rsidR="0001661C" w:rsidRPr="0001661C">
              <w:t>a</w:t>
            </w:r>
            <w:r w:rsidRPr="0001661C">
              <w:t>) sustainable livelihoods-based restoration planning; (</w:t>
            </w:r>
            <w:r w:rsidR="0001661C" w:rsidRPr="0001661C">
              <w:t>b</w:t>
            </w:r>
            <w:r w:rsidRPr="0001661C">
              <w:t>) p</w:t>
            </w:r>
            <w:r w:rsidRPr="0001661C">
              <w:rPr>
                <w:lang w:eastAsia="en-CA"/>
              </w:rPr>
              <w:t>rioritizing ecosystems particularly important for the provision of goods and services for well-being, in particular poverty reduction; (</w:t>
            </w:r>
            <w:r w:rsidR="0001661C" w:rsidRPr="0001661C">
              <w:rPr>
                <w:lang w:eastAsia="en-CA"/>
              </w:rPr>
              <w:t>c</w:t>
            </w:r>
            <w:r w:rsidRPr="0001661C">
              <w:rPr>
                <w:lang w:eastAsia="en-CA"/>
              </w:rPr>
              <w:t xml:space="preserve">) ensuring the needs of women, </w:t>
            </w:r>
            <w:r w:rsidRPr="00BB6518">
              <w:rPr>
                <w:lang w:eastAsia="en-CA"/>
              </w:rPr>
              <w:t>indigenous</w:t>
            </w:r>
            <w:r w:rsidRPr="0001661C">
              <w:rPr>
                <w:lang w:eastAsia="en-CA"/>
              </w:rPr>
              <w:t xml:space="preserve"> and local communities</w:t>
            </w:r>
            <w:r w:rsidRPr="00BB6518">
              <w:rPr>
                <w:lang w:eastAsia="en-CA"/>
              </w:rPr>
              <w:t>, and</w:t>
            </w:r>
            <w:r w:rsidRPr="0001661C">
              <w:rPr>
                <w:lang w:eastAsia="en-CA"/>
              </w:rPr>
              <w:t xml:space="preserve"> the poor and vulnerable; </w:t>
            </w:r>
            <w:r w:rsidR="0026061D" w:rsidRPr="0001661C">
              <w:t>r</w:t>
            </w:r>
            <w:r w:rsidRPr="0001661C">
              <w:t>estoration of managed anthropogenic landscapes (enhancing functional uses</w:t>
            </w:r>
            <w:r w:rsidR="11BC03E5" w:rsidRPr="0001661C">
              <w:t>);</w:t>
            </w:r>
            <w:r w:rsidRPr="0001661C">
              <w:t xml:space="preserve"> </w:t>
            </w:r>
            <w:r w:rsidR="00A4069C" w:rsidRPr="0001661C">
              <w:t>a</w:t>
            </w:r>
            <w:r w:rsidRPr="0001661C">
              <w:t>ddressing trade-offs and synergies; Guidance for inland waters and offshore marine areas (coastal areas/wetlands are covered by Ramsar Convention guidance);</w:t>
            </w:r>
            <w:r w:rsidRPr="00BB6518">
              <w:t xml:space="preserve"> </w:t>
            </w:r>
            <w:r w:rsidRPr="0001661C">
              <w:t>Meaning of</w:t>
            </w:r>
            <w:r w:rsidRPr="00BB6518">
              <w:t xml:space="preserve"> </w:t>
            </w:r>
            <w:r w:rsidR="0001661C" w:rsidRPr="00BB6518">
              <w:t>“</w:t>
            </w:r>
            <w:r w:rsidRPr="0001661C">
              <w:t>degraded</w:t>
            </w:r>
            <w:r w:rsidR="0001661C" w:rsidRPr="0001661C">
              <w:t>”</w:t>
            </w:r>
            <w:r w:rsidRPr="0001661C">
              <w:t xml:space="preserve"> ecosystems,</w:t>
            </w:r>
            <w:r w:rsidRPr="00BB6518">
              <w:t xml:space="preserve"> </w:t>
            </w:r>
            <w:r w:rsidR="0001661C" w:rsidRPr="00BB6518">
              <w:t>“</w:t>
            </w:r>
            <w:r w:rsidRPr="0001661C">
              <w:t>effective</w:t>
            </w:r>
            <w:r w:rsidR="0001661C" w:rsidRPr="0001661C">
              <w:t>”</w:t>
            </w:r>
            <w:r w:rsidRPr="0001661C">
              <w:t xml:space="preserve"> restoration,</w:t>
            </w:r>
            <w:r w:rsidRPr="00BB6518">
              <w:t xml:space="preserve"> </w:t>
            </w:r>
            <w:r w:rsidR="0001661C" w:rsidRPr="00BB6518">
              <w:t>“</w:t>
            </w:r>
            <w:r w:rsidRPr="0001661C">
              <w:t>reduction of impacts, remediation, rehabilitation, ecological restoration</w:t>
            </w:r>
            <w:r w:rsidR="0001661C" w:rsidRPr="0001661C">
              <w:t>”</w:t>
            </w:r>
            <w:r w:rsidRPr="0001661C">
              <w:rPr>
                <w:color w:val="000000" w:themeColor="text1"/>
              </w:rPr>
              <w:t>, standardized methodology for assessing ecosystem degradation (also relevant to Targets 1,</w:t>
            </w:r>
            <w:r w:rsidRPr="00BB6518">
              <w:rPr>
                <w:color w:val="000000" w:themeColor="text1"/>
              </w:rPr>
              <w:t xml:space="preserve"> 3 a</w:t>
            </w:r>
            <w:r w:rsidRPr="0001661C">
              <w:rPr>
                <w:color w:val="000000" w:themeColor="text1"/>
              </w:rPr>
              <w:t>nd Goal A)</w:t>
            </w:r>
            <w:r w:rsidRPr="00BB6518">
              <w:rPr>
                <w:color w:val="000000" w:themeColor="text1"/>
              </w:rPr>
              <w:t>.</w:t>
            </w:r>
            <w:r w:rsidRPr="0001661C">
              <w:rPr>
                <w:color w:val="000000" w:themeColor="text1"/>
              </w:rPr>
              <w:t xml:space="preserve"> </w:t>
            </w:r>
          </w:p>
        </w:tc>
      </w:tr>
      <w:tr w:rsidR="00471B89" w:rsidRPr="00B14925" w14:paraId="17A98027" w14:textId="77777777" w:rsidTr="00F27807">
        <w:tc>
          <w:tcPr>
            <w:tcW w:w="9493" w:type="dxa"/>
          </w:tcPr>
          <w:p w14:paraId="0BFA2D53" w14:textId="40C9091A" w:rsidR="00471B89" w:rsidRPr="00DB4AB0" w:rsidRDefault="00471B89" w:rsidP="006732C2">
            <w:pPr>
              <w:rPr>
                <w:lang w:val="en-US" w:eastAsia="en-CA"/>
              </w:rPr>
            </w:pPr>
            <w:r w:rsidRPr="004144BC">
              <w:rPr>
                <w:b/>
                <w:bCs/>
              </w:rPr>
              <w:t>Target 3</w:t>
            </w:r>
            <w:r w:rsidR="0001661C" w:rsidRPr="00BB6518">
              <w:rPr>
                <w:b/>
                <w:bCs/>
              </w:rPr>
              <w:t>.</w:t>
            </w:r>
            <w:r w:rsidRPr="00BB6518">
              <w:rPr>
                <w:b/>
                <w:bCs/>
              </w:rPr>
              <w:t xml:space="preserve"> </w:t>
            </w:r>
            <w:r w:rsidRPr="00BB6518">
              <w:rPr>
                <w:lang w:val="en-US" w:eastAsia="en-CA"/>
              </w:rPr>
              <w:t>R</w:t>
            </w:r>
            <w:r w:rsidRPr="004144BC">
              <w:rPr>
                <w:lang w:val="en-US" w:eastAsia="en-CA"/>
              </w:rPr>
              <w:t>elevance and inclusion of genetic diversit</w:t>
            </w:r>
            <w:r w:rsidRPr="00BB6518">
              <w:rPr>
                <w:lang w:val="en-US" w:eastAsia="en-CA"/>
              </w:rPr>
              <w:t>y</w:t>
            </w:r>
            <w:r w:rsidR="0001661C" w:rsidRPr="00BB6518">
              <w:rPr>
                <w:lang w:val="en-US" w:eastAsia="en-CA"/>
              </w:rPr>
              <w:t>,</w:t>
            </w:r>
            <w:r w:rsidRPr="00BB6518">
              <w:rPr>
                <w:lang w:val="en-US" w:eastAsia="en-CA"/>
              </w:rPr>
              <w:t xml:space="preserve"> including</w:t>
            </w:r>
            <w:r w:rsidRPr="004144BC">
              <w:rPr>
                <w:lang w:val="en-US" w:eastAsia="en-CA"/>
              </w:rPr>
              <w:t xml:space="preserve"> for small population size</w:t>
            </w:r>
            <w:r w:rsidRPr="00BB6518">
              <w:rPr>
                <w:lang w:val="en-US" w:eastAsia="en-CA"/>
              </w:rPr>
              <w:t>s</w:t>
            </w:r>
            <w:r w:rsidR="004144BC" w:rsidRPr="00BB6518">
              <w:rPr>
                <w:lang w:val="en-US" w:eastAsia="en-CA"/>
              </w:rPr>
              <w:t>,</w:t>
            </w:r>
            <w:r w:rsidRPr="00BB6518">
              <w:rPr>
                <w:lang w:val="en-US" w:eastAsia="en-CA"/>
              </w:rPr>
              <w:t xml:space="preserve"> including</w:t>
            </w:r>
            <w:r w:rsidRPr="004144BC">
              <w:rPr>
                <w:lang w:val="en-US" w:eastAsia="en-CA"/>
              </w:rPr>
              <w:t xml:space="preserve"> </w:t>
            </w:r>
            <w:r w:rsidRPr="004144BC">
              <w:t>genetic conservation approaches, terminology</w:t>
            </w:r>
            <w:r w:rsidRPr="00BB6518">
              <w:t>, and</w:t>
            </w:r>
            <w:r w:rsidRPr="004144BC">
              <w:t xml:space="preserve"> methods</w:t>
            </w:r>
            <w:r w:rsidR="00C426E4" w:rsidRPr="004144BC">
              <w:t>;</w:t>
            </w:r>
            <w:r w:rsidR="00A4069C" w:rsidRPr="004144BC">
              <w:t xml:space="preserve"> r</w:t>
            </w:r>
            <w:r w:rsidR="00C426E4" w:rsidRPr="004144BC">
              <w:t xml:space="preserve">efining, enhancing or updating the scientific and technical guidance on other effective area-based conservation measures; </w:t>
            </w:r>
            <w:r w:rsidR="00A4069C" w:rsidRPr="004144BC">
              <w:t>a</w:t>
            </w:r>
            <w:r w:rsidR="00C426E4" w:rsidRPr="004144BC">
              <w:t>nalysis on pathways to achieve 30</w:t>
            </w:r>
            <w:r w:rsidR="004144BC" w:rsidRPr="00BB6518">
              <w:t xml:space="preserve"> per cent</w:t>
            </w:r>
            <w:r w:rsidR="00C426E4" w:rsidRPr="004144BC">
              <w:t xml:space="preserve"> by 2030.</w:t>
            </w:r>
          </w:p>
        </w:tc>
      </w:tr>
      <w:tr w:rsidR="00471B89" w:rsidRPr="00B14925" w14:paraId="6AF6B525" w14:textId="77777777" w:rsidTr="00F27807">
        <w:tc>
          <w:tcPr>
            <w:tcW w:w="9493" w:type="dxa"/>
          </w:tcPr>
          <w:p w14:paraId="5CA61815" w14:textId="227431B8" w:rsidR="00471B89" w:rsidRPr="00B14925" w:rsidRDefault="00471B89" w:rsidP="006732C2">
            <w:r w:rsidRPr="00973D63">
              <w:rPr>
                <w:b/>
                <w:bCs/>
                <w:color w:val="000000"/>
              </w:rPr>
              <w:t xml:space="preserve">Target </w:t>
            </w:r>
            <w:r w:rsidRPr="004144BC">
              <w:rPr>
                <w:b/>
                <w:bCs/>
                <w:color w:val="000000"/>
              </w:rPr>
              <w:t>4</w:t>
            </w:r>
            <w:r w:rsidR="004144BC" w:rsidRPr="00BB6518">
              <w:rPr>
                <w:b/>
                <w:bCs/>
                <w:color w:val="000000"/>
              </w:rPr>
              <w:t>.</w:t>
            </w:r>
            <w:r w:rsidRPr="00BB6518">
              <w:rPr>
                <w:b/>
                <w:bCs/>
                <w:color w:val="000000"/>
              </w:rPr>
              <w:t xml:space="preserve"> </w:t>
            </w:r>
            <w:r w:rsidRPr="00BB6518">
              <w:t>H</w:t>
            </w:r>
            <w:r w:rsidRPr="004144BC">
              <w:t>uman-wildlife interactions and minimizing human-wildlife conflict; t</w:t>
            </w:r>
            <w:proofErr w:type="spellStart"/>
            <w:r w:rsidRPr="004144BC">
              <w:rPr>
                <w:lang w:val="en-US" w:eastAsia="en-CA"/>
              </w:rPr>
              <w:t>ools</w:t>
            </w:r>
            <w:proofErr w:type="spellEnd"/>
            <w:r w:rsidRPr="004144BC">
              <w:rPr>
                <w:lang w:val="en-US" w:eastAsia="en-CA"/>
              </w:rPr>
              <w:t xml:space="preserve"> for the gathering of information on the threat status of species at population and </w:t>
            </w:r>
            <w:r w:rsidRPr="00BB6518">
              <w:rPr>
                <w:lang w:val="en-US" w:eastAsia="en-CA"/>
              </w:rPr>
              <w:t>subpopulation</w:t>
            </w:r>
            <w:r w:rsidRPr="004144BC">
              <w:rPr>
                <w:lang w:val="en-US" w:eastAsia="en-CA"/>
              </w:rPr>
              <w:t xml:space="preserve"> levels (genetic diversity)</w:t>
            </w:r>
            <w:r w:rsidR="00C426E4" w:rsidRPr="004144BC">
              <w:rPr>
                <w:lang w:val="en-US" w:eastAsia="en-CA"/>
              </w:rPr>
              <w:t xml:space="preserve">; </w:t>
            </w:r>
            <w:r w:rsidR="00A4069C" w:rsidRPr="004144BC">
              <w:rPr>
                <w:lang w:val="en-US" w:eastAsia="en-CA"/>
              </w:rPr>
              <w:t>f</w:t>
            </w:r>
            <w:r w:rsidR="00C426E4" w:rsidRPr="004144BC">
              <w:rPr>
                <w:lang w:val="en-US" w:eastAsia="en-CA"/>
              </w:rPr>
              <w:t xml:space="preserve">urther guidance in response to </w:t>
            </w:r>
            <w:r w:rsidR="004144BC" w:rsidRPr="00BB6518">
              <w:rPr>
                <w:lang w:val="en-US" w:eastAsia="en-CA"/>
              </w:rPr>
              <w:t xml:space="preserve">paragraph 5 of </w:t>
            </w:r>
            <w:r w:rsidR="00C426E4" w:rsidRPr="004144BC">
              <w:rPr>
                <w:lang w:val="en-US" w:eastAsia="en-CA"/>
              </w:rPr>
              <w:t xml:space="preserve">recommendation 25/7 </w:t>
            </w:r>
            <w:r w:rsidR="00C426E4" w:rsidRPr="00BB6518">
              <w:rPr>
                <w:lang w:val="en-US" w:eastAsia="en-CA"/>
              </w:rPr>
              <w:t>i</w:t>
            </w:r>
            <w:r w:rsidR="00C426E4" w:rsidRPr="004144BC">
              <w:rPr>
                <w:lang w:val="en-US" w:eastAsia="en-CA"/>
              </w:rPr>
              <w:t>s anticipated.</w:t>
            </w:r>
            <w:r w:rsidR="00C426E4">
              <w:rPr>
                <w:lang w:val="en-US" w:eastAsia="en-CA"/>
              </w:rPr>
              <w:t xml:space="preserve"> </w:t>
            </w:r>
          </w:p>
        </w:tc>
      </w:tr>
      <w:tr w:rsidR="00471B89" w:rsidRPr="00B14925" w14:paraId="56FF5F8E" w14:textId="77777777" w:rsidTr="00F27807">
        <w:tc>
          <w:tcPr>
            <w:tcW w:w="9493" w:type="dxa"/>
          </w:tcPr>
          <w:p w14:paraId="15902C47" w14:textId="31CA175E" w:rsidR="00471B89" w:rsidRPr="00B14925" w:rsidRDefault="00471B89" w:rsidP="006732C2">
            <w:r w:rsidRPr="004B6141">
              <w:rPr>
                <w:b/>
                <w:bCs/>
              </w:rPr>
              <w:t>Target 5</w:t>
            </w:r>
            <w:r w:rsidR="004144BC" w:rsidRPr="00BB6518">
              <w:t>.</w:t>
            </w:r>
            <w:r w:rsidRPr="00BB6518">
              <w:t xml:space="preserve"> B</w:t>
            </w:r>
            <w:r w:rsidRPr="004B6141">
              <w:t>iodiversity and trade (other than endangered species under</w:t>
            </w:r>
            <w:r w:rsidR="006F1532" w:rsidRPr="004B6141">
              <w:t xml:space="preserve"> the</w:t>
            </w:r>
            <w:r w:rsidRPr="004B6141">
              <w:t xml:space="preserve"> </w:t>
            </w:r>
            <w:r w:rsidR="006F1532" w:rsidRPr="004B6141">
              <w:t>Convention on International Trade in Endangered Species of Wild Fauna and Flora</w:t>
            </w:r>
            <w:r w:rsidRPr="004B6141">
              <w:t xml:space="preserve">); </w:t>
            </w:r>
            <w:r w:rsidR="00A4069C" w:rsidRPr="004B6141">
              <w:t>biodiversity-inclusive sustainable i</w:t>
            </w:r>
            <w:r w:rsidRPr="004B6141">
              <w:t>nland fisheries</w:t>
            </w:r>
            <w:r w:rsidR="00A4069C" w:rsidRPr="004B6141">
              <w:t xml:space="preserve"> (mainstreaming further the guidance available from </w:t>
            </w:r>
            <w:r w:rsidR="006979EF" w:rsidRPr="004B6141">
              <w:t>the Food and Agriculture Organization of the United Nations</w:t>
            </w:r>
            <w:r w:rsidR="00A4069C" w:rsidRPr="004B6141">
              <w:t>)</w:t>
            </w:r>
            <w:r w:rsidR="00B102FF" w:rsidRPr="004B6141">
              <w:t xml:space="preserve">; </w:t>
            </w:r>
            <w:r w:rsidR="00A4069C" w:rsidRPr="004B6141">
              <w:rPr>
                <w:color w:val="000000" w:themeColor="text1"/>
              </w:rPr>
              <w:t>f</w:t>
            </w:r>
            <w:r w:rsidR="00B102FF" w:rsidRPr="004B6141">
              <w:rPr>
                <w:color w:val="000000" w:themeColor="text1"/>
              </w:rPr>
              <w:t>urther gaps identified in</w:t>
            </w:r>
            <w:r w:rsidR="00B102FF" w:rsidRPr="004B6141">
              <w:rPr>
                <w:b/>
                <w:bCs/>
                <w:color w:val="000000" w:themeColor="text1"/>
              </w:rPr>
              <w:t xml:space="preserve"> </w:t>
            </w:r>
            <w:r w:rsidR="006979EF" w:rsidRPr="00BB6518">
              <w:t>a</w:t>
            </w:r>
            <w:r w:rsidR="00B102FF" w:rsidRPr="00BB6518">
              <w:t xml:space="preserve">ppendix </w:t>
            </w:r>
            <w:r w:rsidR="00B102FF" w:rsidRPr="004B6141">
              <w:t>III</w:t>
            </w:r>
            <w:r w:rsidR="00B102FF" w:rsidRPr="00BB6518">
              <w:t xml:space="preserve"> of</w:t>
            </w:r>
            <w:r w:rsidR="00B102FF" w:rsidRPr="004B6141">
              <w:t xml:space="preserve"> the</w:t>
            </w:r>
            <w:r w:rsidR="00B102FF" w:rsidRPr="00BB6518">
              <w:t xml:space="preserve"> </w:t>
            </w:r>
            <w:r w:rsidR="00B102FF" w:rsidRPr="004B6141">
              <w:rPr>
                <w:rFonts w:eastAsiaTheme="minorHAnsi"/>
                <w:i/>
                <w:iCs/>
                <w:lang w:val="en-US"/>
              </w:rPr>
              <w:t xml:space="preserve">Summary for policymakers of the thematic assessment of the sustainable use of wild species of the </w:t>
            </w:r>
            <w:r w:rsidR="00B102FF" w:rsidRPr="00BB6518">
              <w:rPr>
                <w:rFonts w:eastAsiaTheme="minorHAnsi"/>
                <w:i/>
                <w:iCs/>
                <w:lang w:val="en-US"/>
              </w:rPr>
              <w:t>Intergovernmental Science-Policy Platform on Biodiversity and Ecosystem Services</w:t>
            </w:r>
            <w:r w:rsidR="00B102FF" w:rsidRPr="004B6141">
              <w:rPr>
                <w:rFonts w:eastAsiaTheme="minorHAnsi"/>
                <w:lang w:val="en-US"/>
              </w:rPr>
              <w:t xml:space="preserve"> (2022) and further guidance in response to </w:t>
            </w:r>
            <w:r w:rsidR="006979EF" w:rsidRPr="00BB6518">
              <w:rPr>
                <w:rFonts w:eastAsiaTheme="minorHAnsi"/>
                <w:lang w:val="en-US"/>
              </w:rPr>
              <w:t>paragraph 5</w:t>
            </w:r>
            <w:r w:rsidR="004B6141" w:rsidRPr="00BB6518">
              <w:rPr>
                <w:rFonts w:eastAsiaTheme="minorHAnsi"/>
                <w:lang w:val="en-US"/>
              </w:rPr>
              <w:t xml:space="preserve"> of </w:t>
            </w:r>
            <w:r w:rsidR="00B102FF" w:rsidRPr="004B6141">
              <w:rPr>
                <w:rFonts w:eastAsiaTheme="minorHAnsi"/>
                <w:lang w:val="en-US"/>
              </w:rPr>
              <w:t xml:space="preserve">recommendation 25/7 </w:t>
            </w:r>
            <w:r w:rsidR="004B6141">
              <w:rPr>
                <w:rFonts w:eastAsiaTheme="minorHAnsi"/>
                <w:lang w:val="en-US"/>
              </w:rPr>
              <w:t xml:space="preserve">of the </w:t>
            </w:r>
            <w:r w:rsidR="004B6141" w:rsidRPr="004B6141">
              <w:rPr>
                <w:rFonts w:eastAsiaTheme="minorHAnsi"/>
                <w:lang w:val="en-US"/>
              </w:rPr>
              <w:t>Subsidiary Body on Scientific, Technical and Technological Advice</w:t>
            </w:r>
            <w:r w:rsidR="004B6141" w:rsidRPr="004B6141" w:rsidDel="006979EF">
              <w:rPr>
                <w:rFonts w:eastAsiaTheme="minorHAnsi"/>
                <w:lang w:val="en-US"/>
              </w:rPr>
              <w:t xml:space="preserve"> </w:t>
            </w:r>
            <w:r w:rsidR="00B102FF" w:rsidRPr="00BB6518">
              <w:rPr>
                <w:rFonts w:eastAsiaTheme="minorHAnsi"/>
                <w:lang w:val="en-US"/>
              </w:rPr>
              <w:t>i</w:t>
            </w:r>
            <w:r w:rsidR="00B102FF" w:rsidRPr="004B6141">
              <w:rPr>
                <w:rFonts w:eastAsiaTheme="minorHAnsi"/>
                <w:lang w:val="en-US"/>
              </w:rPr>
              <w:t>s anticipated.</w:t>
            </w:r>
          </w:p>
        </w:tc>
      </w:tr>
      <w:tr w:rsidR="00471B89" w:rsidRPr="00B14925" w14:paraId="435DB51E" w14:textId="77777777" w:rsidTr="00F27807">
        <w:tc>
          <w:tcPr>
            <w:tcW w:w="9493" w:type="dxa"/>
          </w:tcPr>
          <w:p w14:paraId="1E01BA88" w14:textId="5E78CDEC" w:rsidR="00471B89" w:rsidRPr="00B14925" w:rsidRDefault="00471B89" w:rsidP="00B102FF">
            <w:r w:rsidRPr="004B6141">
              <w:rPr>
                <w:b/>
                <w:bCs/>
                <w:color w:val="000000" w:themeColor="text1"/>
              </w:rPr>
              <w:t>Target 6</w:t>
            </w:r>
            <w:r w:rsidR="004B6141" w:rsidRPr="00BB6518">
              <w:rPr>
                <w:b/>
                <w:bCs/>
                <w:color w:val="000000" w:themeColor="text1"/>
              </w:rPr>
              <w:t>.</w:t>
            </w:r>
            <w:r w:rsidR="00B102FF" w:rsidRPr="00BB6518">
              <w:rPr>
                <w:b/>
                <w:bCs/>
                <w:color w:val="000000" w:themeColor="text1"/>
              </w:rPr>
              <w:t xml:space="preserve"> </w:t>
            </w:r>
            <w:r w:rsidR="004B6141" w:rsidRPr="004B6141">
              <w:rPr>
                <w:kern w:val="22"/>
                <w:szCs w:val="22"/>
              </w:rPr>
              <w:t>R</w:t>
            </w:r>
            <w:r w:rsidR="00B102FF" w:rsidRPr="004B6141">
              <w:rPr>
                <w:kern w:val="22"/>
                <w:szCs w:val="22"/>
              </w:rPr>
              <w:t>ecommendation 25/6</w:t>
            </w:r>
            <w:r w:rsidR="00B102FF" w:rsidRPr="00BB6518">
              <w:rPr>
                <w:kern w:val="22"/>
                <w:szCs w:val="22"/>
              </w:rPr>
              <w:t xml:space="preserve"> </w:t>
            </w:r>
            <w:r w:rsidR="004B6141" w:rsidRPr="00BB6518">
              <w:rPr>
                <w:kern w:val="22"/>
                <w:szCs w:val="22"/>
              </w:rPr>
              <w:t xml:space="preserve">of the </w:t>
            </w:r>
            <w:r w:rsidR="004B6141" w:rsidRPr="004B6141">
              <w:t>Subsidiary Body on Scientific, Technical and Technological Advice</w:t>
            </w:r>
            <w:r w:rsidR="00B102FF" w:rsidRPr="00BB6518">
              <w:rPr>
                <w:kern w:val="22"/>
                <w:szCs w:val="22"/>
              </w:rPr>
              <w:t xml:space="preserve"> </w:t>
            </w:r>
            <w:r w:rsidR="00A4069C" w:rsidRPr="004B6141">
              <w:rPr>
                <w:kern w:val="22"/>
                <w:szCs w:val="22"/>
              </w:rPr>
              <w:t xml:space="preserve">on </w:t>
            </w:r>
            <w:r w:rsidR="00B102FF" w:rsidRPr="004B6141">
              <w:rPr>
                <w:kern w:val="22"/>
                <w:szCs w:val="22"/>
              </w:rPr>
              <w:t xml:space="preserve">the various elements of voluntary guidance developed on the basis of the work of the Ad Hoc Technical Expert </w:t>
            </w:r>
            <w:r w:rsidR="00B102FF" w:rsidRPr="004B6141">
              <w:t>Group</w:t>
            </w:r>
            <w:r w:rsidR="00B102FF" w:rsidRPr="004B6141">
              <w:rPr>
                <w:kern w:val="22"/>
                <w:szCs w:val="22"/>
              </w:rPr>
              <w:t xml:space="preserve"> on Invasive Alien Species</w:t>
            </w:r>
            <w:r w:rsidR="00B102FF" w:rsidRPr="006C1DBF">
              <w:rPr>
                <w:kern w:val="22"/>
                <w:szCs w:val="22"/>
              </w:rPr>
              <w:t xml:space="preserve"> and further complemented through a peer review process to support the implementation of the Framework</w:t>
            </w:r>
            <w:r w:rsidR="00A4069C">
              <w:rPr>
                <w:kern w:val="22"/>
                <w:szCs w:val="22"/>
              </w:rPr>
              <w:t xml:space="preserve">, for consideration by </w:t>
            </w:r>
            <w:r w:rsidR="004B6141">
              <w:rPr>
                <w:kern w:val="22"/>
                <w:szCs w:val="22"/>
              </w:rPr>
              <w:t xml:space="preserve">the Conference of the Parties at its sixteenth </w:t>
            </w:r>
            <w:r w:rsidR="004B6141" w:rsidRPr="00F602AE">
              <w:rPr>
                <w:kern w:val="22"/>
                <w:szCs w:val="22"/>
              </w:rPr>
              <w:t>meeting.</w:t>
            </w:r>
          </w:p>
        </w:tc>
      </w:tr>
      <w:tr w:rsidR="00471B89" w:rsidRPr="00B14925" w14:paraId="2372058C" w14:textId="77777777" w:rsidTr="00F27807">
        <w:tc>
          <w:tcPr>
            <w:tcW w:w="9493" w:type="dxa"/>
          </w:tcPr>
          <w:p w14:paraId="7CFA2533" w14:textId="19A2D908" w:rsidR="00471B89" w:rsidRPr="007A6FA4" w:rsidRDefault="00471B89" w:rsidP="006732C2">
            <w:r w:rsidRPr="00BB6518">
              <w:rPr>
                <w:b/>
                <w:bCs/>
              </w:rPr>
              <w:t>Target 7</w:t>
            </w:r>
            <w:r w:rsidR="004B6141" w:rsidRPr="00BB6518">
              <w:rPr>
                <w:b/>
                <w:bCs/>
              </w:rPr>
              <w:t>.</w:t>
            </w:r>
            <w:r w:rsidRPr="00BB6518">
              <w:rPr>
                <w:b/>
                <w:bCs/>
              </w:rPr>
              <w:t xml:space="preserve"> </w:t>
            </w:r>
            <w:r w:rsidRPr="00BB6518">
              <w:t>I</w:t>
            </w:r>
            <w:r w:rsidRPr="004B6141">
              <w:t>dentification and acting on</w:t>
            </w:r>
            <w:r w:rsidRPr="00BB6518">
              <w:t xml:space="preserve"> </w:t>
            </w:r>
            <w:r w:rsidR="004B6141" w:rsidRPr="00BB6518">
              <w:t>“</w:t>
            </w:r>
            <w:r w:rsidRPr="004B6141">
              <w:t>highly hazardous</w:t>
            </w:r>
            <w:r w:rsidR="004B6141" w:rsidRPr="004B6141">
              <w:t>”</w:t>
            </w:r>
            <w:r w:rsidRPr="004B6141">
              <w:t xml:space="preserve"> and assessing and dealing with risks; </w:t>
            </w:r>
            <w:r w:rsidR="00A4069C" w:rsidRPr="004B6141">
              <w:t>i</w:t>
            </w:r>
            <w:r w:rsidRPr="004B6141">
              <w:t xml:space="preserve">mpacts of pollution on biodiversity and in different biomes (including which types and sources of pollution are of heightened interest for different biomes and species) as well as priority means to address these; </w:t>
            </w:r>
            <w:r w:rsidR="00F8290F" w:rsidRPr="004B6141">
              <w:t>t</w:t>
            </w:r>
            <w:r w:rsidRPr="004B6141">
              <w:t xml:space="preserve">ools and measures for plastics (noting current processes to develop a </w:t>
            </w:r>
            <w:hyperlink r:id="rId26" w:history="1">
              <w:r w:rsidRPr="00BB6518">
                <w:rPr>
                  <w:rStyle w:val="Hyperlink"/>
                  <w:rFonts w:eastAsiaTheme="majorEastAsia"/>
                </w:rPr>
                <w:t>global instrument on plastics</w:t>
              </w:r>
            </w:hyperlink>
            <w:r w:rsidRPr="00BB6518">
              <w:rPr>
                <w:rStyle w:val="Hyperlink"/>
                <w:rFonts w:eastAsiaTheme="majorEastAsia"/>
              </w:rPr>
              <w:t>)</w:t>
            </w:r>
            <w:r w:rsidRPr="004B6141">
              <w:t>; synergies with the chemicals conventions and the Global Framework on Chemicals.</w:t>
            </w:r>
            <w:r w:rsidRPr="00B14925">
              <w:t xml:space="preserve"> </w:t>
            </w:r>
          </w:p>
        </w:tc>
      </w:tr>
      <w:tr w:rsidR="00471B89" w:rsidRPr="00B14925" w14:paraId="36913330" w14:textId="77777777" w:rsidTr="00F27807">
        <w:tc>
          <w:tcPr>
            <w:tcW w:w="9493" w:type="dxa"/>
          </w:tcPr>
          <w:p w14:paraId="684B949D" w14:textId="73A99271" w:rsidR="00471B89" w:rsidRPr="00E72CB0" w:rsidRDefault="00471B89" w:rsidP="006732C2">
            <w:r w:rsidRPr="004B6141">
              <w:rPr>
                <w:b/>
                <w:bCs/>
              </w:rPr>
              <w:lastRenderedPageBreak/>
              <w:t>Target 8</w:t>
            </w:r>
            <w:r w:rsidR="004B6141" w:rsidRPr="00BB6518">
              <w:rPr>
                <w:b/>
                <w:bCs/>
              </w:rPr>
              <w:t>.</w:t>
            </w:r>
            <w:r w:rsidRPr="00BB6518">
              <w:rPr>
                <w:b/>
                <w:bCs/>
              </w:rPr>
              <w:t xml:space="preserve"> </w:t>
            </w:r>
            <w:r w:rsidRPr="00BB6518">
              <w:t>S</w:t>
            </w:r>
            <w:r w:rsidRPr="004B6141">
              <w:t xml:space="preserve">ynergies and trade-offs between biodiversity/ecosystem services and climate change mitigation/adaptation financing; </w:t>
            </w:r>
            <w:r w:rsidR="00F8290F" w:rsidRPr="004B6141">
              <w:t>u</w:t>
            </w:r>
            <w:r w:rsidRPr="004B6141">
              <w:t>pdat</w:t>
            </w:r>
            <w:r w:rsidR="00F8290F" w:rsidRPr="004B6141">
              <w:t>ing</w:t>
            </w:r>
            <w:r w:rsidRPr="004B6141">
              <w:t xml:space="preserve"> the voluntary guidelines for the design and effective implementation of ecosystem-based</w:t>
            </w:r>
            <w:r w:rsidRPr="00B14925">
              <w:t xml:space="preserve"> approaches</w:t>
            </w:r>
            <w:r w:rsidR="00187D16">
              <w:t xml:space="preserve"> </w:t>
            </w:r>
            <w:r w:rsidRPr="00B14925">
              <w:t>to climate change adaptation and disaster risk reduction to include mitigation.</w:t>
            </w:r>
            <w:r w:rsidRPr="00571037">
              <w:rPr>
                <w:highlight w:val="yellow"/>
              </w:rPr>
              <w:t xml:space="preserve"> </w:t>
            </w:r>
          </w:p>
        </w:tc>
      </w:tr>
      <w:tr w:rsidR="00471B89" w:rsidRPr="00B14925" w14:paraId="7FACE1DD" w14:textId="77777777" w:rsidTr="00F27807">
        <w:tc>
          <w:tcPr>
            <w:tcW w:w="9493" w:type="dxa"/>
          </w:tcPr>
          <w:p w14:paraId="7B657E58" w14:textId="7121CF71" w:rsidR="00471B89" w:rsidRPr="00B14925" w:rsidRDefault="00471B89" w:rsidP="006732C2">
            <w:r w:rsidRPr="009432E9">
              <w:rPr>
                <w:b/>
                <w:bCs/>
              </w:rPr>
              <w:t xml:space="preserve">Target 9: </w:t>
            </w:r>
            <w:r w:rsidR="00F8290F" w:rsidRPr="009432E9">
              <w:t xml:space="preserve">biodiversity-inclusive sustainable inland fisheries (mainstreaming further the guidance available from </w:t>
            </w:r>
            <w:r w:rsidR="00F8290F" w:rsidRPr="00BB6518">
              <w:t>FAO</w:t>
            </w:r>
            <w:r w:rsidR="00F8290F" w:rsidRPr="009432E9">
              <w:t>)</w:t>
            </w:r>
            <w:r w:rsidRPr="009432E9">
              <w:t xml:space="preserve">; </w:t>
            </w:r>
            <w:r w:rsidR="00F8290F" w:rsidRPr="009432E9">
              <w:t>d</w:t>
            </w:r>
            <w:r w:rsidRPr="009432E9">
              <w:t>efinition of</w:t>
            </w:r>
            <w:r w:rsidRPr="00BB6518">
              <w:t xml:space="preserve"> </w:t>
            </w:r>
            <w:r w:rsidR="009432E9" w:rsidRPr="00BB6518">
              <w:t>“</w:t>
            </w:r>
            <w:r w:rsidRPr="009432E9">
              <w:t>sustainable biodiversity-based activities, products and services</w:t>
            </w:r>
            <w:r w:rsidR="009432E9" w:rsidRPr="009432E9">
              <w:t>”</w:t>
            </w:r>
            <w:r w:rsidR="00C426E4" w:rsidRPr="009432E9">
              <w:t>;</w:t>
            </w:r>
            <w:r w:rsidR="0020361B" w:rsidRPr="009432E9">
              <w:t xml:space="preserve"> sustainable management of plants;</w:t>
            </w:r>
            <w:r w:rsidR="00C426E4" w:rsidRPr="009432E9">
              <w:t xml:space="preserve"> </w:t>
            </w:r>
            <w:r w:rsidR="00F8290F" w:rsidRPr="009432E9">
              <w:rPr>
                <w:lang w:val="en-US" w:eastAsia="en-CA"/>
              </w:rPr>
              <w:t>f</w:t>
            </w:r>
            <w:r w:rsidR="00C426E4" w:rsidRPr="009432E9">
              <w:rPr>
                <w:lang w:val="en-US" w:eastAsia="en-CA"/>
              </w:rPr>
              <w:t xml:space="preserve">urther guidance in response to </w:t>
            </w:r>
            <w:r w:rsidR="009432E9" w:rsidRPr="00BB6518">
              <w:rPr>
                <w:lang w:val="en-US" w:eastAsia="en-CA"/>
              </w:rPr>
              <w:t xml:space="preserve">paragraph 5 of </w:t>
            </w:r>
            <w:r w:rsidR="00C426E4" w:rsidRPr="009432E9">
              <w:rPr>
                <w:lang w:val="en-US" w:eastAsia="en-CA"/>
              </w:rPr>
              <w:t xml:space="preserve">recommendation 25/7 </w:t>
            </w:r>
            <w:r w:rsidR="00C426E4" w:rsidRPr="00BB6518">
              <w:rPr>
                <w:lang w:val="en-US" w:eastAsia="en-CA"/>
              </w:rPr>
              <w:t>i</w:t>
            </w:r>
            <w:r w:rsidR="00C426E4" w:rsidRPr="009432E9">
              <w:rPr>
                <w:lang w:val="en-US" w:eastAsia="en-CA"/>
              </w:rPr>
              <w:t>s anticipated</w:t>
            </w:r>
            <w:r w:rsidR="00C426E4">
              <w:rPr>
                <w:lang w:val="en-US" w:eastAsia="en-CA"/>
              </w:rPr>
              <w:t>.</w:t>
            </w:r>
            <w:r w:rsidR="00C426E4" w:rsidRPr="00571037">
              <w:rPr>
                <w:highlight w:val="yellow"/>
                <w:lang w:val="en-US" w:eastAsia="en-CA"/>
              </w:rPr>
              <w:t xml:space="preserve"> </w:t>
            </w:r>
            <w:r w:rsidRPr="00571037">
              <w:rPr>
                <w:highlight w:val="yellow"/>
              </w:rPr>
              <w:t xml:space="preserve"> </w:t>
            </w:r>
          </w:p>
        </w:tc>
      </w:tr>
      <w:tr w:rsidR="00471B89" w:rsidRPr="00B14925" w14:paraId="10AA3921" w14:textId="77777777" w:rsidTr="00F27807">
        <w:tc>
          <w:tcPr>
            <w:tcW w:w="9493" w:type="dxa"/>
          </w:tcPr>
          <w:p w14:paraId="2661CAB5" w14:textId="392014EB" w:rsidR="00471B89" w:rsidRPr="009432E9" w:rsidRDefault="00471B89" w:rsidP="006732C2">
            <w:r w:rsidRPr="009432E9">
              <w:rPr>
                <w:b/>
                <w:bCs/>
                <w:color w:val="000000" w:themeColor="text1"/>
              </w:rPr>
              <w:t>Target 10</w:t>
            </w:r>
            <w:r w:rsidR="009432E9" w:rsidRPr="00BB6518">
              <w:rPr>
                <w:b/>
                <w:bCs/>
                <w:color w:val="000000" w:themeColor="text1"/>
              </w:rPr>
              <w:t>.</w:t>
            </w:r>
            <w:r w:rsidRPr="00BB6518">
              <w:rPr>
                <w:b/>
                <w:bCs/>
                <w:color w:val="000000" w:themeColor="text1"/>
              </w:rPr>
              <w:t xml:space="preserve"> </w:t>
            </w:r>
            <w:r w:rsidRPr="00BB6518">
              <w:t>B</w:t>
            </w:r>
            <w:r w:rsidRPr="009432E9">
              <w:t>iodiversity</w:t>
            </w:r>
            <w:r w:rsidR="00F8290F" w:rsidRPr="009432E9">
              <w:t>-inclusive sustainable</w:t>
            </w:r>
            <w:r w:rsidRPr="009432E9">
              <w:t xml:space="preserve"> aquaculture, in particular in inland areas;</w:t>
            </w:r>
            <w:r w:rsidR="009432E9">
              <w:t xml:space="preserve"> </w:t>
            </w:r>
            <w:r w:rsidR="00F8290F" w:rsidRPr="009432E9">
              <w:t xml:space="preserve">biodiversity-inclusive sustainable inland fisheries (mainstreaming further the guidance available from </w:t>
            </w:r>
            <w:r w:rsidR="00F8290F" w:rsidRPr="00BB6518">
              <w:t>FAO</w:t>
            </w:r>
            <w:r w:rsidR="00F8290F" w:rsidRPr="009432E9">
              <w:t>)</w:t>
            </w:r>
            <w:r w:rsidR="0020361B" w:rsidRPr="009432E9">
              <w:t xml:space="preserve">; See gap regarding </w:t>
            </w:r>
            <w:r w:rsidR="00F8290F" w:rsidRPr="009432E9">
              <w:rPr>
                <w:szCs w:val="22"/>
              </w:rPr>
              <w:t>i</w:t>
            </w:r>
            <w:r w:rsidR="0020361B" w:rsidRPr="009432E9">
              <w:rPr>
                <w:szCs w:val="22"/>
              </w:rPr>
              <w:t xml:space="preserve">ntegrated </w:t>
            </w:r>
            <w:r w:rsidR="00F8290F" w:rsidRPr="009432E9">
              <w:rPr>
                <w:szCs w:val="22"/>
              </w:rPr>
              <w:t>w</w:t>
            </w:r>
            <w:r w:rsidR="0020361B" w:rsidRPr="009432E9">
              <w:rPr>
                <w:szCs w:val="22"/>
              </w:rPr>
              <w:t xml:space="preserve">ater </w:t>
            </w:r>
            <w:r w:rsidR="00F8290F" w:rsidRPr="009432E9">
              <w:rPr>
                <w:szCs w:val="22"/>
              </w:rPr>
              <w:t>r</w:t>
            </w:r>
            <w:r w:rsidR="0020361B" w:rsidRPr="009432E9">
              <w:rPr>
                <w:szCs w:val="22"/>
              </w:rPr>
              <w:t xml:space="preserve">esources </w:t>
            </w:r>
            <w:r w:rsidR="00F8290F" w:rsidRPr="009432E9">
              <w:rPr>
                <w:szCs w:val="22"/>
              </w:rPr>
              <w:t>m</w:t>
            </w:r>
            <w:r w:rsidR="0020361B" w:rsidRPr="009432E9">
              <w:rPr>
                <w:szCs w:val="22"/>
              </w:rPr>
              <w:t>anagement (Target 1).</w:t>
            </w:r>
          </w:p>
        </w:tc>
      </w:tr>
      <w:tr w:rsidR="00471B89" w:rsidRPr="00B14925" w14:paraId="59176983" w14:textId="77777777" w:rsidTr="00F27807">
        <w:tc>
          <w:tcPr>
            <w:tcW w:w="9493" w:type="dxa"/>
          </w:tcPr>
          <w:p w14:paraId="6D5E6361" w14:textId="1ECF4062" w:rsidR="00471B89" w:rsidRPr="009432E9" w:rsidRDefault="00471B89" w:rsidP="006732C2">
            <w:r w:rsidRPr="009432E9">
              <w:rPr>
                <w:b/>
                <w:bCs/>
              </w:rPr>
              <w:t>Target 11</w:t>
            </w:r>
            <w:r w:rsidR="009432E9" w:rsidRPr="00BB6518">
              <w:rPr>
                <w:b/>
                <w:bCs/>
              </w:rPr>
              <w:t>.</w:t>
            </w:r>
            <w:r w:rsidRPr="00BB6518">
              <w:rPr>
                <w:b/>
                <w:bCs/>
              </w:rPr>
              <w:t xml:space="preserve"> </w:t>
            </w:r>
            <w:r w:rsidRPr="00BB6518">
              <w:t>S</w:t>
            </w:r>
            <w:r w:rsidRPr="009432E9">
              <w:t xml:space="preserve">ee gaps for restoration (Target 2); </w:t>
            </w:r>
            <w:r w:rsidR="00F8290F" w:rsidRPr="009432E9">
              <w:t>s</w:t>
            </w:r>
            <w:r w:rsidRPr="009432E9">
              <w:t>ynergies and trade-offs between ecosystem services bundles</w:t>
            </w:r>
            <w:r w:rsidR="00C348AE" w:rsidRPr="009432E9">
              <w:t>; ecosystem restoration that uses sustainable livelihoods and poverty reduction as entry points</w:t>
            </w:r>
            <w:r w:rsidRPr="009432E9">
              <w:t>.</w:t>
            </w:r>
          </w:p>
        </w:tc>
      </w:tr>
      <w:tr w:rsidR="00471B89" w:rsidRPr="00B14925" w14:paraId="5C431FEC" w14:textId="77777777" w:rsidTr="00F27807">
        <w:tc>
          <w:tcPr>
            <w:tcW w:w="9493" w:type="dxa"/>
          </w:tcPr>
          <w:p w14:paraId="7237A85E" w14:textId="795A54AA" w:rsidR="00471B89" w:rsidRPr="009432E9" w:rsidRDefault="00471B89" w:rsidP="006732C2">
            <w:r w:rsidRPr="009432E9">
              <w:rPr>
                <w:b/>
                <w:bCs/>
              </w:rPr>
              <w:t>Target 12</w:t>
            </w:r>
            <w:r w:rsidR="009432E9" w:rsidRPr="00BB6518">
              <w:rPr>
                <w:b/>
                <w:bCs/>
              </w:rPr>
              <w:t>.</w:t>
            </w:r>
            <w:r w:rsidRPr="00BB6518">
              <w:rPr>
                <w:b/>
                <w:bCs/>
              </w:rPr>
              <w:t xml:space="preserve"> </w:t>
            </w:r>
            <w:r w:rsidRPr="00BB6518">
              <w:t>B</w:t>
            </w:r>
            <w:r w:rsidRPr="009432E9">
              <w:t>iodiversity inclusive spatial planning for urban areas</w:t>
            </w:r>
            <w:r w:rsidR="009432E9" w:rsidRPr="009432E9">
              <w:t>,</w:t>
            </w:r>
            <w:r w:rsidRPr="009432E9">
              <w:t xml:space="preserve"> </w:t>
            </w:r>
            <w:r w:rsidR="009432E9" w:rsidRPr="009432E9">
              <w:t xml:space="preserve">in </w:t>
            </w:r>
            <w:r w:rsidRPr="00BB6518">
              <w:t>particular for</w:t>
            </w:r>
            <w:r w:rsidRPr="009432E9">
              <w:t xml:space="preserve"> green and blue spaces </w:t>
            </w:r>
          </w:p>
        </w:tc>
      </w:tr>
      <w:tr w:rsidR="00471B89" w:rsidRPr="00B14925" w14:paraId="46DC833E" w14:textId="77777777" w:rsidTr="00F27807">
        <w:tc>
          <w:tcPr>
            <w:tcW w:w="9493" w:type="dxa"/>
          </w:tcPr>
          <w:p w14:paraId="162C91A7" w14:textId="196EFD4A" w:rsidR="00471B89" w:rsidRPr="009432E9" w:rsidRDefault="00471B89" w:rsidP="006732C2">
            <w:r w:rsidRPr="009432E9">
              <w:rPr>
                <w:b/>
                <w:bCs/>
                <w:color w:val="000000" w:themeColor="text1"/>
              </w:rPr>
              <w:t>Target 13</w:t>
            </w:r>
            <w:r w:rsidR="009432E9" w:rsidRPr="00BB6518">
              <w:rPr>
                <w:b/>
                <w:bCs/>
                <w:color w:val="000000" w:themeColor="text1"/>
              </w:rPr>
              <w:t>.</w:t>
            </w:r>
            <w:r w:rsidRPr="00BB6518">
              <w:rPr>
                <w:b/>
                <w:bCs/>
                <w:color w:val="000000" w:themeColor="text1"/>
              </w:rPr>
              <w:t xml:space="preserve"> </w:t>
            </w:r>
            <w:r w:rsidRPr="00BB6518">
              <w:t>M</w:t>
            </w:r>
            <w:r w:rsidRPr="009432E9">
              <w:t xml:space="preserve">easures of benefit-shared (monetary and non-monetary) and tracking benefits shared. </w:t>
            </w:r>
          </w:p>
        </w:tc>
      </w:tr>
      <w:tr w:rsidR="00471B89" w:rsidRPr="00B14925" w14:paraId="67C7F6EC" w14:textId="77777777" w:rsidTr="00F27807">
        <w:tc>
          <w:tcPr>
            <w:tcW w:w="9493" w:type="dxa"/>
          </w:tcPr>
          <w:p w14:paraId="14A3B79E" w14:textId="51F7B95A" w:rsidR="00471B89" w:rsidRPr="009432E9" w:rsidRDefault="00471B89" w:rsidP="006732C2">
            <w:r w:rsidRPr="009432E9">
              <w:rPr>
                <w:b/>
                <w:bCs/>
                <w:color w:val="000000" w:themeColor="text1"/>
              </w:rPr>
              <w:t xml:space="preserve"> Target 14: </w:t>
            </w:r>
            <w:r w:rsidRPr="009432E9">
              <w:t xml:space="preserve">mainstreaming </w:t>
            </w:r>
            <w:r w:rsidR="00F8290F" w:rsidRPr="009432E9">
              <w:t xml:space="preserve">of biodiversity </w:t>
            </w:r>
            <w:r w:rsidRPr="009432E9">
              <w:t>for various sectors</w:t>
            </w:r>
            <w:r w:rsidR="00F8290F" w:rsidRPr="009432E9">
              <w:t xml:space="preserve"> that were not addressed so far</w:t>
            </w:r>
            <w:r w:rsidR="00AF713D" w:rsidRPr="009432E9">
              <w:t>;</w:t>
            </w:r>
            <w:r w:rsidR="00AF713D" w:rsidRPr="00BB6518">
              <w:t xml:space="preserve"> </w:t>
            </w:r>
            <w:r w:rsidR="00F8290F" w:rsidRPr="009432E9">
              <w:t>s</w:t>
            </w:r>
            <w:r w:rsidRPr="009432E9">
              <w:t xml:space="preserve">ynergies and trade-offs between the </w:t>
            </w:r>
            <w:r w:rsidRPr="00BB6518">
              <w:t>Paris Agreement</w:t>
            </w:r>
            <w:r w:rsidRPr="009432E9">
              <w:t xml:space="preserve">, </w:t>
            </w:r>
            <w:r w:rsidRPr="00BB6518">
              <w:t>2030 Agenda</w:t>
            </w:r>
            <w:r w:rsidRPr="009432E9">
              <w:t xml:space="preserve"> and the</w:t>
            </w:r>
            <w:r w:rsidR="00F8290F" w:rsidRPr="009432E9">
              <w:t xml:space="preserve"> Framework</w:t>
            </w:r>
          </w:p>
        </w:tc>
      </w:tr>
      <w:tr w:rsidR="00471B89" w:rsidRPr="00B14925" w14:paraId="4C7FE247" w14:textId="77777777" w:rsidTr="00F27807">
        <w:tc>
          <w:tcPr>
            <w:tcW w:w="9493" w:type="dxa"/>
          </w:tcPr>
          <w:p w14:paraId="7D58A35B" w14:textId="278E97C0" w:rsidR="00471B89" w:rsidRPr="009432E9" w:rsidRDefault="00471B89" w:rsidP="006732C2">
            <w:r w:rsidRPr="009432E9">
              <w:rPr>
                <w:b/>
                <w:bCs/>
                <w:color w:val="000000" w:themeColor="text1"/>
              </w:rPr>
              <w:t>Target 15</w:t>
            </w:r>
            <w:r w:rsidR="009432E9" w:rsidRPr="00BB6518">
              <w:rPr>
                <w:b/>
                <w:bCs/>
                <w:color w:val="000000" w:themeColor="text1"/>
              </w:rPr>
              <w:t>.</w:t>
            </w:r>
            <w:r w:rsidRPr="00BB6518">
              <w:rPr>
                <w:b/>
                <w:bCs/>
                <w:color w:val="000000" w:themeColor="text1"/>
              </w:rPr>
              <w:t xml:space="preserve"> </w:t>
            </w:r>
            <w:r w:rsidRPr="00BB6518">
              <w:t>G</w:t>
            </w:r>
            <w:r w:rsidRPr="009432E9">
              <w:t>uidance for various sectors</w:t>
            </w:r>
            <w:r w:rsidR="00AF713D" w:rsidRPr="009432E9">
              <w:t xml:space="preserve"> that were not addressed so far</w:t>
            </w:r>
            <w:r w:rsidR="00C348AE" w:rsidRPr="009432E9">
              <w:t>; need broadly accepted measurement approaches for impacts and dependencies on biodiversity.</w:t>
            </w:r>
          </w:p>
        </w:tc>
      </w:tr>
      <w:tr w:rsidR="00471B89" w:rsidRPr="00B14925" w14:paraId="08C5A4C9" w14:textId="77777777" w:rsidTr="00F27807">
        <w:tc>
          <w:tcPr>
            <w:tcW w:w="9493" w:type="dxa"/>
          </w:tcPr>
          <w:p w14:paraId="6118A02C" w14:textId="2460635D" w:rsidR="00471B89" w:rsidRPr="009432E9" w:rsidRDefault="00471B89" w:rsidP="006732C2">
            <w:r w:rsidRPr="009432E9">
              <w:rPr>
                <w:b/>
                <w:bCs/>
                <w:color w:val="000000" w:themeColor="text1"/>
                <w:lang w:val="en-US"/>
              </w:rPr>
              <w:t>Target 16</w:t>
            </w:r>
            <w:r w:rsidR="009432E9" w:rsidRPr="00BB6518">
              <w:rPr>
                <w:b/>
                <w:bCs/>
                <w:color w:val="000000" w:themeColor="text1"/>
                <w:lang w:val="en-US"/>
              </w:rPr>
              <w:t>.</w:t>
            </w:r>
            <w:r w:rsidRPr="00BB6518">
              <w:rPr>
                <w:b/>
                <w:bCs/>
                <w:color w:val="000000" w:themeColor="text1"/>
                <w:lang w:val="en-US"/>
              </w:rPr>
              <w:t xml:space="preserve"> </w:t>
            </w:r>
            <w:r w:rsidRPr="00BB6518">
              <w:t>G</w:t>
            </w:r>
            <w:r w:rsidRPr="009432E9">
              <w:t xml:space="preserve">uidance for various sectors, notable gaps include energy, </w:t>
            </w:r>
            <w:r w:rsidR="00C348AE" w:rsidRPr="009432E9">
              <w:t xml:space="preserve">infrastructure, </w:t>
            </w:r>
            <w:r w:rsidRPr="009432E9">
              <w:t>water, fashion and textiles</w:t>
            </w:r>
            <w:r w:rsidR="00C348AE" w:rsidRPr="009432E9">
              <w:t xml:space="preserve">; </w:t>
            </w:r>
            <w:r w:rsidR="00C348AE" w:rsidRPr="009432E9">
              <w:rPr>
                <w:lang w:eastAsia="en-CA"/>
              </w:rPr>
              <w:t>impacts of unsustainable consumption practices on the conservation and sustainable use of diverse ecosystems</w:t>
            </w:r>
            <w:r w:rsidR="009432E9" w:rsidRPr="009432E9">
              <w:rPr>
                <w:lang w:eastAsia="en-CA"/>
              </w:rPr>
              <w:t>.</w:t>
            </w:r>
          </w:p>
        </w:tc>
      </w:tr>
      <w:tr w:rsidR="00471B89" w:rsidRPr="00B14925" w14:paraId="7CA078E0" w14:textId="77777777" w:rsidTr="00F27807">
        <w:tc>
          <w:tcPr>
            <w:tcW w:w="9493" w:type="dxa"/>
          </w:tcPr>
          <w:p w14:paraId="214F5C9B" w14:textId="64065896" w:rsidR="00471B89" w:rsidRPr="00B14925" w:rsidRDefault="00471B89" w:rsidP="006732C2">
            <w:r w:rsidRPr="00973D63">
              <w:rPr>
                <w:b/>
                <w:bCs/>
              </w:rPr>
              <w:t xml:space="preserve">Target </w:t>
            </w:r>
            <w:r w:rsidRPr="009432E9">
              <w:rPr>
                <w:b/>
                <w:bCs/>
              </w:rPr>
              <w:t>17</w:t>
            </w:r>
            <w:r w:rsidR="009432E9" w:rsidRPr="00BB6518">
              <w:rPr>
                <w:b/>
                <w:bCs/>
              </w:rPr>
              <w:t>.</w:t>
            </w:r>
            <w:r w:rsidRPr="00BB6518">
              <w:rPr>
                <w:b/>
                <w:bCs/>
              </w:rPr>
              <w:t xml:space="preserve"> </w:t>
            </w:r>
            <w:r w:rsidRPr="00BB6518">
              <w:rPr>
                <w:lang w:val="en-US"/>
              </w:rPr>
              <w:t>M</w:t>
            </w:r>
            <w:r w:rsidRPr="009432E9">
              <w:rPr>
                <w:lang w:val="en-US"/>
              </w:rPr>
              <w:t>easuring the aspects related to</w:t>
            </w:r>
            <w:r w:rsidRPr="00BB6518">
              <w:rPr>
                <w:lang w:val="en-US"/>
              </w:rPr>
              <w:t xml:space="preserve"> </w:t>
            </w:r>
            <w:r w:rsidR="009432E9" w:rsidRPr="00BB6518">
              <w:rPr>
                <w:lang w:val="en-US"/>
              </w:rPr>
              <w:t>“</w:t>
            </w:r>
            <w:r w:rsidRPr="009432E9">
              <w:rPr>
                <w:i/>
                <w:iCs/>
              </w:rPr>
              <w:t>measures for the handling of biotechnology and distribution of its benefits as set out i</w:t>
            </w:r>
            <w:r w:rsidRPr="00BB6518">
              <w:rPr>
                <w:i/>
                <w:iCs/>
              </w:rPr>
              <w:t>n A</w:t>
            </w:r>
            <w:r w:rsidRPr="009432E9">
              <w:rPr>
                <w:i/>
                <w:iCs/>
              </w:rPr>
              <w:t>rticle 19 of the Conve</w:t>
            </w:r>
            <w:r w:rsidR="00C348AE" w:rsidRPr="009432E9">
              <w:rPr>
                <w:i/>
                <w:iCs/>
              </w:rPr>
              <w:t>ntion</w:t>
            </w:r>
            <w:r w:rsidR="009432E9" w:rsidRPr="009432E9">
              <w:rPr>
                <w:lang w:val="en-US"/>
              </w:rPr>
              <w:t>”.</w:t>
            </w:r>
            <w:r>
              <w:rPr>
                <w:lang w:val="en-US"/>
              </w:rPr>
              <w:t xml:space="preserve"> </w:t>
            </w:r>
          </w:p>
        </w:tc>
      </w:tr>
      <w:tr w:rsidR="00471B89" w:rsidRPr="00B14925" w14:paraId="40211964" w14:textId="77777777" w:rsidTr="00F27807">
        <w:tc>
          <w:tcPr>
            <w:tcW w:w="9493" w:type="dxa"/>
          </w:tcPr>
          <w:p w14:paraId="334A3006" w14:textId="17E53D39" w:rsidR="00F8290F" w:rsidRPr="00ED0E27" w:rsidRDefault="00471B89" w:rsidP="006732C2">
            <w:r w:rsidRPr="00ED0E27">
              <w:rPr>
                <w:b/>
                <w:bCs/>
                <w:color w:val="000000" w:themeColor="text1"/>
              </w:rPr>
              <w:t>Target 18</w:t>
            </w:r>
            <w:r w:rsidR="009432E9" w:rsidRPr="00BB6518">
              <w:rPr>
                <w:b/>
                <w:bCs/>
                <w:color w:val="000000" w:themeColor="text1"/>
              </w:rPr>
              <w:t>.</w:t>
            </w:r>
            <w:r w:rsidRPr="00BB6518">
              <w:rPr>
                <w:b/>
                <w:bCs/>
                <w:color w:val="000000" w:themeColor="text1"/>
              </w:rPr>
              <w:t xml:space="preserve"> </w:t>
            </w:r>
            <w:r w:rsidRPr="00BB6518">
              <w:t>G</w:t>
            </w:r>
            <w:r w:rsidRPr="00ED0E27">
              <w:t xml:space="preserve">uidance on how to reform </w:t>
            </w:r>
            <w:r w:rsidRPr="00BB6518">
              <w:t>and/or</w:t>
            </w:r>
            <w:r w:rsidRPr="00ED0E27">
              <w:t xml:space="preserve"> phase-out harmful subsidies once they have been identified.</w:t>
            </w:r>
          </w:p>
        </w:tc>
      </w:tr>
      <w:tr w:rsidR="00471B89" w:rsidRPr="00B14925" w14:paraId="060106D3" w14:textId="77777777" w:rsidTr="00F27807">
        <w:tc>
          <w:tcPr>
            <w:tcW w:w="9493" w:type="dxa"/>
          </w:tcPr>
          <w:p w14:paraId="50D7E88B" w14:textId="2046E23E" w:rsidR="00471B89" w:rsidRPr="00ED0E27" w:rsidRDefault="00471B89" w:rsidP="006732C2">
            <w:r w:rsidRPr="00ED0E27">
              <w:rPr>
                <w:b/>
                <w:bCs/>
              </w:rPr>
              <w:t>Target 1</w:t>
            </w:r>
            <w:r w:rsidR="009432E9" w:rsidRPr="00ED0E27">
              <w:rPr>
                <w:b/>
                <w:bCs/>
              </w:rPr>
              <w:t>.</w:t>
            </w:r>
            <w:r w:rsidRPr="00ED0E27">
              <w:rPr>
                <w:b/>
                <w:bCs/>
              </w:rPr>
              <w:t>9</w:t>
            </w:r>
            <w:r w:rsidR="00ED0E27" w:rsidRPr="00ED0E27">
              <w:rPr>
                <w:b/>
                <w:bCs/>
              </w:rPr>
              <w:t>.</w:t>
            </w:r>
            <w:r w:rsidRPr="00BB6518">
              <w:rPr>
                <w:b/>
                <w:bCs/>
              </w:rPr>
              <w:t xml:space="preserve"> </w:t>
            </w:r>
            <w:r w:rsidRPr="00BB6518">
              <w:t>S</w:t>
            </w:r>
            <w:r w:rsidRPr="00ED0E27">
              <w:t xml:space="preserve">ynergies and trade-offs among finance areas and sectors; </w:t>
            </w:r>
            <w:r w:rsidR="00F8290F" w:rsidRPr="00ED0E27">
              <w:t>g</w:t>
            </w:r>
            <w:r w:rsidRPr="00ED0E27">
              <w:t>uidance on section (c) leveraging private finance</w:t>
            </w:r>
            <w:r w:rsidRPr="00BB6518">
              <w:t>, and</w:t>
            </w:r>
            <w:r w:rsidRPr="00ED0E27">
              <w:t xml:space="preserve"> section (d) regarding scaling-up innovative schemes; </w:t>
            </w:r>
            <w:r w:rsidR="00F8290F" w:rsidRPr="00ED0E27">
              <w:t>c</w:t>
            </w:r>
            <w:r w:rsidRPr="00ED0E27">
              <w:t xml:space="preserve">larification and guidance on section (f). </w:t>
            </w:r>
          </w:p>
        </w:tc>
      </w:tr>
      <w:tr w:rsidR="00471B89" w:rsidRPr="00B14925" w14:paraId="7F207457" w14:textId="77777777" w:rsidTr="00F27807">
        <w:tc>
          <w:tcPr>
            <w:tcW w:w="9493" w:type="dxa"/>
          </w:tcPr>
          <w:p w14:paraId="706F7676" w14:textId="7E4A6E13" w:rsidR="00471B89" w:rsidRPr="00B14925" w:rsidRDefault="00471B89" w:rsidP="006732C2">
            <w:r w:rsidRPr="00973D63">
              <w:rPr>
                <w:b/>
                <w:bCs/>
              </w:rPr>
              <w:t xml:space="preserve">Target </w:t>
            </w:r>
            <w:r w:rsidRPr="00ED0E27">
              <w:rPr>
                <w:b/>
                <w:bCs/>
              </w:rPr>
              <w:t>20</w:t>
            </w:r>
            <w:r w:rsidR="00ED0E27" w:rsidRPr="00BB6518">
              <w:rPr>
                <w:b/>
                <w:bCs/>
              </w:rPr>
              <w:t>.</w:t>
            </w:r>
            <w:r w:rsidRPr="00BB6518">
              <w:rPr>
                <w:b/>
                <w:bCs/>
              </w:rPr>
              <w:t xml:space="preserve"> </w:t>
            </w:r>
            <w:r w:rsidRPr="00BB6518">
              <w:t>Capacity</w:t>
            </w:r>
            <w:r w:rsidR="00ED0E27" w:rsidRPr="00BB6518">
              <w:t>-</w:t>
            </w:r>
            <w:r w:rsidRPr="00BB6518">
              <w:t>building</w:t>
            </w:r>
            <w:r w:rsidRPr="00ED0E27">
              <w:t xml:space="preserve"> needs are being addressed by the </w:t>
            </w:r>
            <w:r w:rsidRPr="00ED0E27">
              <w:rPr>
                <w:rStyle w:val="Para1Char"/>
                <w:rFonts w:eastAsiaTheme="majorEastAsia"/>
              </w:rPr>
              <w:t>Informal Advisory Group on Technical and Scientific Cooperation</w:t>
            </w:r>
            <w:r w:rsidRPr="00ED0E27">
              <w:t xml:space="preserve"> established in </w:t>
            </w:r>
            <w:r w:rsidR="00ED0E27" w:rsidRPr="00ED0E27">
              <w:t>d</w:t>
            </w:r>
            <w:r w:rsidRPr="00ED0E27">
              <w:t>ecision 15/8.</w:t>
            </w:r>
            <w:r>
              <w:t xml:space="preserve"> </w:t>
            </w:r>
          </w:p>
        </w:tc>
      </w:tr>
      <w:tr w:rsidR="00471B89" w:rsidRPr="00B14925" w14:paraId="2235FA09" w14:textId="77777777" w:rsidTr="00F27807">
        <w:tc>
          <w:tcPr>
            <w:tcW w:w="9493" w:type="dxa"/>
          </w:tcPr>
          <w:p w14:paraId="1B1C27F7" w14:textId="76F9F8A0" w:rsidR="00471B89" w:rsidRPr="00ED0E27" w:rsidRDefault="00471B89" w:rsidP="006732C2">
            <w:r w:rsidRPr="00ED0E27">
              <w:rPr>
                <w:b/>
                <w:bCs/>
                <w:color w:val="000000" w:themeColor="text1"/>
              </w:rPr>
              <w:t>Target 21</w:t>
            </w:r>
            <w:r w:rsidR="00ED0E27" w:rsidRPr="00BB6518">
              <w:rPr>
                <w:b/>
                <w:bCs/>
                <w:color w:val="000000" w:themeColor="text1"/>
              </w:rPr>
              <w:t>.</w:t>
            </w:r>
            <w:r w:rsidRPr="00BB6518">
              <w:rPr>
                <w:b/>
                <w:bCs/>
                <w:color w:val="000000" w:themeColor="text1"/>
              </w:rPr>
              <w:t xml:space="preserve"> </w:t>
            </w:r>
            <w:r w:rsidRPr="00BB6518">
              <w:t>A</w:t>
            </w:r>
            <w:r w:rsidRPr="00ED0E27">
              <w:t xml:space="preserve">ssess </w:t>
            </w:r>
            <w:r w:rsidR="00F8290F" w:rsidRPr="00ED0E27">
              <w:t xml:space="preserve">the utility of available </w:t>
            </w:r>
            <w:r w:rsidRPr="00ED0E27">
              <w:t>guidance and accessibility of external guidance and alternative knowledge platforms</w:t>
            </w:r>
            <w:r w:rsidR="00ED0E27" w:rsidRPr="00BB6518">
              <w:t>.</w:t>
            </w:r>
          </w:p>
        </w:tc>
      </w:tr>
      <w:tr w:rsidR="00471B89" w:rsidRPr="00B14925" w14:paraId="4426D2B8" w14:textId="77777777" w:rsidTr="00F27807">
        <w:tc>
          <w:tcPr>
            <w:tcW w:w="9493" w:type="dxa"/>
          </w:tcPr>
          <w:p w14:paraId="0BC5F3CE" w14:textId="6EC408F5" w:rsidR="00471B89" w:rsidRPr="00ED0E27" w:rsidRDefault="00471B89" w:rsidP="006732C2">
            <w:r w:rsidRPr="00ED0E27">
              <w:rPr>
                <w:b/>
                <w:bCs/>
                <w:color w:val="000000" w:themeColor="text1"/>
              </w:rPr>
              <w:t>Target 22</w:t>
            </w:r>
            <w:r w:rsidR="00ED0E27" w:rsidRPr="00ED0E27">
              <w:rPr>
                <w:b/>
                <w:bCs/>
                <w:color w:val="000000" w:themeColor="text1"/>
              </w:rPr>
              <w:t>.</w:t>
            </w:r>
            <w:r w:rsidRPr="00BB6518">
              <w:rPr>
                <w:b/>
                <w:bCs/>
                <w:color w:val="000000" w:themeColor="text1"/>
              </w:rPr>
              <w:t xml:space="preserve"> </w:t>
            </w:r>
            <w:r w:rsidRPr="00BB6518">
              <w:t xml:space="preserve"> </w:t>
            </w:r>
            <w:r w:rsidRPr="00ED0E27">
              <w:t xml:space="preserve">Relevant considerations for </w:t>
            </w:r>
            <w:r w:rsidR="006A32D5" w:rsidRPr="00ED0E27">
              <w:t xml:space="preserve">women and girls, children and </w:t>
            </w:r>
            <w:r w:rsidR="006A32D5" w:rsidRPr="00BB6518">
              <w:t>youth, and</w:t>
            </w:r>
            <w:r w:rsidR="006A32D5" w:rsidRPr="00ED0E27">
              <w:t xml:space="preserve"> persons with disabilities and environmental human rights defenders</w:t>
            </w:r>
            <w:r w:rsidR="00CB69A7" w:rsidRPr="00ED0E27">
              <w:t xml:space="preserve"> </w:t>
            </w:r>
            <w:r w:rsidRPr="00ED0E27">
              <w:t>beyond that covered b</w:t>
            </w:r>
            <w:r w:rsidRPr="00BB6518">
              <w:t>y Article</w:t>
            </w:r>
            <w:r w:rsidRPr="00ED0E27">
              <w:t xml:space="preserve"> 8</w:t>
            </w:r>
            <w:r w:rsidR="006A32D5" w:rsidRPr="00ED0E27">
              <w:t>(</w:t>
            </w:r>
            <w:r w:rsidRPr="00ED0E27">
              <w:t>j</w:t>
            </w:r>
            <w:r w:rsidR="006A32D5" w:rsidRPr="00ED0E27">
              <w:t>)</w:t>
            </w:r>
            <w:r w:rsidR="005001B9" w:rsidRPr="00ED0E27">
              <w:t xml:space="preserve"> </w:t>
            </w:r>
            <w:r w:rsidR="00715706" w:rsidRPr="00ED0E27">
              <w:t>and related provisions</w:t>
            </w:r>
            <w:r w:rsidRPr="00ED0E27">
              <w:t xml:space="preserve">. </w:t>
            </w:r>
          </w:p>
        </w:tc>
      </w:tr>
      <w:tr w:rsidR="00471B89" w:rsidRPr="00B14925" w14:paraId="5140D64F" w14:textId="77777777" w:rsidTr="00F27807">
        <w:tc>
          <w:tcPr>
            <w:tcW w:w="9493" w:type="dxa"/>
          </w:tcPr>
          <w:p w14:paraId="206EAF1E" w14:textId="54545A72" w:rsidR="00471B89" w:rsidRPr="00B14925" w:rsidRDefault="00471B89" w:rsidP="006732C2">
            <w:r w:rsidRPr="004878E4">
              <w:rPr>
                <w:b/>
                <w:bCs/>
                <w:color w:val="000000" w:themeColor="text1"/>
              </w:rPr>
              <w:t>Target 23</w:t>
            </w:r>
            <w:r w:rsidR="00ED0E27" w:rsidRPr="00BB6518">
              <w:rPr>
                <w:b/>
                <w:bCs/>
                <w:color w:val="000000" w:themeColor="text1"/>
              </w:rPr>
              <w:t>.</w:t>
            </w:r>
            <w:r w:rsidRPr="00BB6518">
              <w:rPr>
                <w:b/>
                <w:bCs/>
                <w:color w:val="000000" w:themeColor="text1"/>
              </w:rPr>
              <w:t xml:space="preserve"> </w:t>
            </w:r>
            <w:r w:rsidRPr="00BB6518">
              <w:t>A</w:t>
            </w:r>
            <w:r w:rsidRPr="004878E4">
              <w:t xml:space="preserve">ssessment of incorporation of gender into all other tools and guidance; </w:t>
            </w:r>
            <w:r w:rsidR="00F8290F" w:rsidRPr="00BB6518">
              <w:t>g</w:t>
            </w:r>
            <w:r w:rsidRPr="00BB6518">
              <w:t>ender</w:t>
            </w:r>
            <w:r w:rsidR="00ED0E27" w:rsidRPr="00BB6518">
              <w:t>-</w:t>
            </w:r>
            <w:r w:rsidRPr="00BB6518">
              <w:t>neutral</w:t>
            </w:r>
            <w:r w:rsidRPr="004878E4">
              <w:t xml:space="preserve"> assessment of access to land and natural resources and the Framework (could be included under</w:t>
            </w:r>
            <w:r w:rsidRPr="00BB6518">
              <w:t xml:space="preserve"> </w:t>
            </w:r>
            <w:r w:rsidR="00ED0E27" w:rsidRPr="00BB6518">
              <w:t>“</w:t>
            </w:r>
            <w:r w:rsidRPr="004878E4">
              <w:t>human rights</w:t>
            </w:r>
            <w:r w:rsidR="00ED0E27" w:rsidRPr="00BB6518">
              <w:t>”,</w:t>
            </w:r>
            <w:r w:rsidRPr="00BB6518">
              <w:t xml:space="preserve"> etc.</w:t>
            </w:r>
            <w:r w:rsidRPr="004878E4">
              <w:t xml:space="preserve">); </w:t>
            </w:r>
            <w:r w:rsidR="00F8290F" w:rsidRPr="004878E4">
              <w:t>g</w:t>
            </w:r>
            <w:r w:rsidRPr="004878E4">
              <w:t xml:space="preserve">uidance to build the capacity of government officials and other key stakeholders to integrate gender in biodiversity policy and action to support the implementation of the Gender Plan of Action; </w:t>
            </w:r>
            <w:r w:rsidR="00F8290F" w:rsidRPr="004878E4">
              <w:t>t</w:t>
            </w:r>
            <w:r w:rsidRPr="004878E4">
              <w:t xml:space="preserve">ools that effectively </w:t>
            </w:r>
            <w:r w:rsidR="59CA4B83" w:rsidRPr="004878E4">
              <w:t>monitor and systematically evaluate progress in terms of</w:t>
            </w:r>
            <w:r w:rsidR="59CA4B83" w:rsidRPr="00BB6518">
              <w:t xml:space="preserve"> </w:t>
            </w:r>
            <w:r w:rsidRPr="004878E4">
              <w:t>mainstreaming gender responsive policies in</w:t>
            </w:r>
            <w:r w:rsidR="003803D8" w:rsidRPr="004878E4">
              <w:t xml:space="preserve"> the Convention</w:t>
            </w:r>
            <w:r w:rsidRPr="004878E4">
              <w:t xml:space="preserve"> and other international processes and also in relation to national</w:t>
            </w:r>
            <w:r w:rsidRPr="009E3F35">
              <w:t xml:space="preserve"> implementation policies and initiatives</w:t>
            </w:r>
            <w:r w:rsidR="1F51001A">
              <w:t>.</w:t>
            </w:r>
            <w:r>
              <w:t xml:space="preserve"> </w:t>
            </w:r>
          </w:p>
        </w:tc>
      </w:tr>
    </w:tbl>
    <w:p w14:paraId="2C8991A1" w14:textId="12EA8F19" w:rsidR="00822D6E" w:rsidRPr="00157943" w:rsidRDefault="004878E4" w:rsidP="00BB6518">
      <w:pPr>
        <w:jc w:val="center"/>
      </w:pPr>
      <w:r>
        <w:t>__________</w:t>
      </w:r>
    </w:p>
    <w:sectPr w:rsidR="00822D6E" w:rsidRPr="00157943" w:rsidSect="007556A4">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93BE" w14:textId="77777777" w:rsidR="007556A4" w:rsidRDefault="007556A4" w:rsidP="00A96B21">
      <w:r>
        <w:separator/>
      </w:r>
    </w:p>
  </w:endnote>
  <w:endnote w:type="continuationSeparator" w:id="0">
    <w:p w14:paraId="72D30BF5" w14:textId="77777777" w:rsidR="007556A4" w:rsidRDefault="007556A4" w:rsidP="00A96B21">
      <w:r>
        <w:continuationSeparator/>
      </w:r>
    </w:p>
  </w:endnote>
  <w:endnote w:type="continuationNotice" w:id="1">
    <w:p w14:paraId="04E251E4" w14:textId="77777777" w:rsidR="007556A4" w:rsidRDefault="00755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4320F24E" w14:textId="0050A6AA" w:rsidR="007C5527" w:rsidRDefault="007C5527" w:rsidP="00905A2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10</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3743"/>
      <w:docPartObj>
        <w:docPartGallery w:val="Page Numbers (Bottom of Page)"/>
        <w:docPartUnique/>
      </w:docPartObj>
    </w:sdtPr>
    <w:sdtContent>
      <w:sdt>
        <w:sdtPr>
          <w:id w:val="1862473872"/>
          <w:docPartObj>
            <w:docPartGallery w:val="Page Numbers (Top of Page)"/>
            <w:docPartUnique/>
          </w:docPartObj>
        </w:sdtPr>
        <w:sdtContent>
          <w:p w14:paraId="2CC8369C" w14:textId="1BE3C37B" w:rsidR="007C5527" w:rsidRDefault="007C5527" w:rsidP="00905A2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977C" w14:textId="77777777" w:rsidR="007556A4" w:rsidRDefault="007556A4" w:rsidP="00A96B21">
      <w:r>
        <w:separator/>
      </w:r>
    </w:p>
  </w:footnote>
  <w:footnote w:type="continuationSeparator" w:id="0">
    <w:p w14:paraId="06F4149E" w14:textId="77777777" w:rsidR="007556A4" w:rsidRDefault="007556A4" w:rsidP="00A96B21">
      <w:r>
        <w:continuationSeparator/>
      </w:r>
    </w:p>
  </w:footnote>
  <w:footnote w:type="continuationNotice" w:id="1">
    <w:p w14:paraId="72EA4D16" w14:textId="77777777" w:rsidR="007556A4" w:rsidRDefault="007556A4"/>
  </w:footnote>
  <w:footnote w:id="2">
    <w:p w14:paraId="78417BA7" w14:textId="1437C287" w:rsidR="007C5527" w:rsidRPr="0059272C" w:rsidRDefault="007C5527" w:rsidP="0059272C">
      <w:pPr>
        <w:pStyle w:val="Footnote"/>
        <w:spacing w:before="0"/>
        <w:rPr>
          <w:lang w:val="es-ES"/>
        </w:rPr>
      </w:pPr>
      <w:r w:rsidRPr="0059272C">
        <w:rPr>
          <w:rStyle w:val="FootnoteReference"/>
          <w:lang w:val="es-ES"/>
        </w:rPr>
        <w:t>*</w:t>
      </w:r>
      <w:r w:rsidRPr="0059272C">
        <w:rPr>
          <w:lang w:val="es-ES"/>
        </w:rPr>
        <w:t xml:space="preserve"> CBD/SBSTTA/26/1.</w:t>
      </w:r>
    </w:p>
  </w:footnote>
  <w:footnote w:id="3">
    <w:p w14:paraId="4F0EEEA7" w14:textId="3E0C3075" w:rsidR="0059272C" w:rsidRPr="0059272C" w:rsidRDefault="0059272C" w:rsidP="0059272C">
      <w:pPr>
        <w:pStyle w:val="FootnoteText"/>
        <w:spacing w:before="0"/>
        <w:rPr>
          <w:lang w:val="en-US"/>
        </w:rPr>
      </w:pPr>
      <w:r w:rsidRPr="0059272C">
        <w:rPr>
          <w:rStyle w:val="FootnoteReference"/>
          <w:sz w:val="18"/>
          <w:szCs w:val="18"/>
        </w:rPr>
        <w:t>**</w:t>
      </w:r>
      <w:r w:rsidRPr="0059272C">
        <w:rPr>
          <w:sz w:val="18"/>
          <w:szCs w:val="18"/>
        </w:rPr>
        <w:t xml:space="preserve"> The present document is being issued without formal editing.</w:t>
      </w:r>
    </w:p>
  </w:footnote>
  <w:footnote w:id="4">
    <w:p w14:paraId="54F94FDC" w14:textId="23A88E41" w:rsidR="007C5527" w:rsidRPr="00F27807" w:rsidRDefault="007C5527" w:rsidP="004A3BD3">
      <w:pPr>
        <w:pStyle w:val="FootnoteText"/>
        <w:spacing w:before="40" w:after="40"/>
        <w:rPr>
          <w:lang w:val="es-ES"/>
        </w:rPr>
      </w:pPr>
      <w:r w:rsidRPr="00CE4E3E">
        <w:rPr>
          <w:rStyle w:val="FootnoteReference"/>
        </w:rPr>
        <w:footnoteRef/>
      </w:r>
      <w:r w:rsidRPr="00CE4E3E">
        <w:rPr>
          <w:lang w:val="es-ES"/>
        </w:rPr>
        <w:t xml:space="preserve"> </w:t>
      </w:r>
      <w:hyperlink r:id="rId1" w:history="1">
        <w:r w:rsidR="00CE4E3E" w:rsidRPr="00BB6518">
          <w:rPr>
            <w:rStyle w:val="Hyperlink"/>
            <w:lang w:val="es-ES"/>
          </w:rPr>
          <w:t>www.</w:t>
        </w:r>
        <w:r w:rsidR="00CE4E3E" w:rsidRPr="00CE4E3E">
          <w:rPr>
            <w:rStyle w:val="Hyperlink"/>
            <w:lang w:val="es-ES"/>
          </w:rPr>
          <w:t>cbd.int/gbf/targets</w:t>
        </w:r>
      </w:hyperlink>
      <w:r w:rsidR="00571037" w:rsidRPr="00BB6518">
        <w:rPr>
          <w:lang w:val="es-ES"/>
        </w:rPr>
        <w:t>.</w:t>
      </w:r>
    </w:p>
  </w:footnote>
  <w:footnote w:id="5">
    <w:p w14:paraId="5F277008" w14:textId="14661E8B" w:rsidR="007C5527" w:rsidRPr="003554CA" w:rsidRDefault="007C5527" w:rsidP="004A3BD3">
      <w:pPr>
        <w:pStyle w:val="FootnoteText"/>
        <w:spacing w:before="40" w:after="40"/>
        <w:rPr>
          <w:rFonts w:asciiTheme="majorBidi" w:hAnsiTheme="majorBidi" w:cstheme="majorBidi"/>
          <w:lang w:val="en-US"/>
        </w:rPr>
      </w:pPr>
      <w:r>
        <w:rPr>
          <w:rStyle w:val="FootnoteReference"/>
        </w:rPr>
        <w:footnoteRef/>
      </w:r>
      <w:r w:rsidRPr="003554CA">
        <w:rPr>
          <w:lang w:val="es-ES"/>
        </w:rPr>
        <w:t xml:space="preserve"> Australia, </w:t>
      </w:r>
      <w:proofErr w:type="spellStart"/>
      <w:r w:rsidRPr="003554CA">
        <w:rPr>
          <w:rStyle w:val="cf01"/>
          <w:rFonts w:asciiTheme="majorBidi" w:hAnsiTheme="majorBidi" w:cstheme="majorBidi"/>
          <w:sz w:val="20"/>
          <w:szCs w:val="20"/>
          <w:lang w:val="es-ES"/>
        </w:rPr>
        <w:t>Belarus</w:t>
      </w:r>
      <w:proofErr w:type="spellEnd"/>
      <w:r w:rsidRPr="003554CA">
        <w:rPr>
          <w:rStyle w:val="cf01"/>
          <w:rFonts w:asciiTheme="majorBidi" w:hAnsiTheme="majorBidi" w:cstheme="majorBidi"/>
          <w:sz w:val="20"/>
          <w:szCs w:val="20"/>
          <w:lang w:val="es-ES"/>
        </w:rPr>
        <w:t xml:space="preserve">, </w:t>
      </w:r>
      <w:proofErr w:type="spellStart"/>
      <w:r w:rsidRPr="00CE4E3E">
        <w:rPr>
          <w:rStyle w:val="cf01"/>
          <w:rFonts w:asciiTheme="majorBidi" w:hAnsiTheme="majorBidi" w:cstheme="majorBidi"/>
          <w:sz w:val="20"/>
          <w:szCs w:val="20"/>
          <w:lang w:val="es-ES"/>
        </w:rPr>
        <w:t>Canada</w:t>
      </w:r>
      <w:proofErr w:type="spellEnd"/>
      <w:r w:rsidRPr="00CE4E3E">
        <w:rPr>
          <w:rStyle w:val="cf01"/>
          <w:rFonts w:asciiTheme="majorBidi" w:hAnsiTheme="majorBidi" w:cstheme="majorBidi"/>
          <w:sz w:val="20"/>
          <w:szCs w:val="20"/>
          <w:lang w:val="es-ES"/>
        </w:rPr>
        <w:t xml:space="preserve">. </w:t>
      </w:r>
      <w:r w:rsidRPr="00CE4E3E">
        <w:rPr>
          <w:rStyle w:val="cf01"/>
          <w:rFonts w:asciiTheme="majorBidi" w:hAnsiTheme="majorBidi" w:cstheme="majorBidi"/>
          <w:sz w:val="20"/>
          <w:szCs w:val="20"/>
          <w:lang w:val="en-US"/>
        </w:rPr>
        <w:t xml:space="preserve">European Union, Finland, Gabon, Japan, </w:t>
      </w:r>
      <w:r w:rsidR="00CE4E3E" w:rsidRPr="00CE4E3E">
        <w:rPr>
          <w:rStyle w:val="cf01"/>
          <w:rFonts w:asciiTheme="majorBidi" w:hAnsiTheme="majorBidi" w:cstheme="majorBidi"/>
          <w:sz w:val="20"/>
          <w:szCs w:val="20"/>
          <w:lang w:val="en-US"/>
        </w:rPr>
        <w:t xml:space="preserve">State of </w:t>
      </w:r>
      <w:r w:rsidRPr="00CE4E3E">
        <w:rPr>
          <w:rStyle w:val="cf01"/>
          <w:rFonts w:asciiTheme="majorBidi" w:hAnsiTheme="majorBidi" w:cstheme="majorBidi"/>
          <w:sz w:val="20"/>
          <w:szCs w:val="20"/>
          <w:lang w:val="en-US"/>
        </w:rPr>
        <w:t xml:space="preserve">Palestine, Sweden, </w:t>
      </w:r>
      <w:r w:rsidR="00CE4E3E" w:rsidRPr="00CE4E3E">
        <w:rPr>
          <w:rStyle w:val="cf01"/>
          <w:rFonts w:asciiTheme="majorBidi" w:hAnsiTheme="majorBidi" w:cstheme="majorBidi"/>
          <w:sz w:val="20"/>
          <w:szCs w:val="20"/>
          <w:lang w:val="en-US"/>
        </w:rPr>
        <w:t>United Kingdom of Great Britain and Northern Ireland</w:t>
      </w:r>
      <w:r w:rsidR="00571037" w:rsidRPr="00BB6518">
        <w:rPr>
          <w:rStyle w:val="cf01"/>
          <w:rFonts w:asciiTheme="majorBidi" w:hAnsiTheme="majorBidi" w:cstheme="majorBidi"/>
          <w:sz w:val="20"/>
          <w:szCs w:val="20"/>
          <w:lang w:val="en-US"/>
        </w:rPr>
        <w:t>.</w:t>
      </w:r>
    </w:p>
  </w:footnote>
  <w:footnote w:id="6">
    <w:p w14:paraId="69E08F7A" w14:textId="2CAE868D" w:rsidR="007C5527" w:rsidRPr="00C117F6" w:rsidRDefault="007C5527" w:rsidP="00BB6518">
      <w:pPr>
        <w:pStyle w:val="FootnoteText"/>
        <w:spacing w:before="0"/>
      </w:pPr>
      <w:r w:rsidRPr="00C117F6">
        <w:rPr>
          <w:rStyle w:val="FootnoteReference"/>
        </w:rPr>
        <w:footnoteRef/>
      </w:r>
      <w:r w:rsidRPr="00C117F6">
        <w:t xml:space="preserve"> Canada an</w:t>
      </w:r>
      <w:r w:rsidRPr="00BB6518">
        <w:t xml:space="preserve">d </w:t>
      </w:r>
      <w:r w:rsidRPr="00C117F6">
        <w:t>European Union</w:t>
      </w:r>
      <w:r w:rsidR="00571037" w:rsidRPr="00BB6518">
        <w:t>.</w:t>
      </w:r>
    </w:p>
  </w:footnote>
  <w:footnote w:id="7">
    <w:p w14:paraId="79F984B2" w14:textId="3E6C90B6" w:rsidR="00C544D2" w:rsidRPr="00BB6518" w:rsidRDefault="00C544D2" w:rsidP="00BB6518">
      <w:pPr>
        <w:pStyle w:val="FootnoteText"/>
        <w:spacing w:before="0"/>
        <w:rPr>
          <w:sz w:val="18"/>
          <w:szCs w:val="18"/>
        </w:rPr>
      </w:pPr>
      <w:r w:rsidRPr="00BB6518">
        <w:rPr>
          <w:rStyle w:val="FootnoteReference"/>
          <w:sz w:val="18"/>
          <w:szCs w:val="18"/>
        </w:rPr>
        <w:footnoteRef/>
      </w:r>
      <w:r w:rsidRPr="00BB6518">
        <w:rPr>
          <w:sz w:val="18"/>
          <w:szCs w:val="18"/>
        </w:rPr>
        <w:t xml:space="preserve"> https://www.cbd.int/gbf/targets</w:t>
      </w:r>
      <w:r w:rsidR="00571037" w:rsidRPr="00BB6518">
        <w:rPr>
          <w:sz w:val="18"/>
          <w:szCs w:val="18"/>
        </w:rPr>
        <w:t>.</w:t>
      </w:r>
    </w:p>
  </w:footnote>
  <w:footnote w:id="8">
    <w:p w14:paraId="4D502240" w14:textId="501C4231" w:rsidR="008268AC" w:rsidRPr="00BB6518" w:rsidRDefault="008268AC" w:rsidP="00BB6518">
      <w:pPr>
        <w:pStyle w:val="FootnoteText"/>
        <w:spacing w:before="0"/>
        <w:rPr>
          <w:sz w:val="18"/>
          <w:szCs w:val="18"/>
        </w:rPr>
      </w:pPr>
      <w:r w:rsidRPr="00BB6518">
        <w:rPr>
          <w:rStyle w:val="FootnoteReference"/>
          <w:sz w:val="18"/>
          <w:szCs w:val="18"/>
        </w:rPr>
        <w:footnoteRef/>
      </w:r>
      <w:r w:rsidRPr="00BB6518">
        <w:rPr>
          <w:sz w:val="18"/>
          <w:szCs w:val="18"/>
        </w:rPr>
        <w:t xml:space="preserve"> </w:t>
      </w:r>
      <w:hyperlink r:id="rId2" w:history="1">
        <w:r w:rsidR="00627CBA" w:rsidRPr="00C437F7">
          <w:rPr>
            <w:rStyle w:val="Hyperlink"/>
            <w:sz w:val="18"/>
            <w:szCs w:val="18"/>
          </w:rPr>
          <w:t>www.fao.org/biodiversity/knowledge-hub/en</w:t>
        </w:r>
      </w:hyperlink>
      <w:r w:rsidR="00571037" w:rsidRPr="00BB6518">
        <w:rPr>
          <w:sz w:val="18"/>
          <w:szCs w:val="18"/>
        </w:rPr>
        <w:t>.</w:t>
      </w:r>
      <w:r w:rsidR="00627CBA">
        <w:rPr>
          <w:sz w:val="18"/>
          <w:szCs w:val="18"/>
        </w:rPr>
        <w:t xml:space="preserve"> </w:t>
      </w:r>
    </w:p>
  </w:footnote>
  <w:footnote w:id="9">
    <w:p w14:paraId="305D6309" w14:textId="0EDE59D7" w:rsidR="004A3BD3" w:rsidRPr="00BB6518" w:rsidRDefault="004A3BD3" w:rsidP="00BB6518">
      <w:pPr>
        <w:pStyle w:val="FootnoteText"/>
        <w:spacing w:before="0"/>
        <w:rPr>
          <w:sz w:val="18"/>
          <w:szCs w:val="18"/>
          <w:lang w:val="en-US"/>
        </w:rPr>
      </w:pPr>
      <w:r w:rsidRPr="00BB6518">
        <w:rPr>
          <w:rStyle w:val="FootnoteReference"/>
          <w:sz w:val="18"/>
          <w:szCs w:val="18"/>
        </w:rPr>
        <w:footnoteRef/>
      </w:r>
      <w:r w:rsidRPr="00BB6518">
        <w:rPr>
          <w:sz w:val="18"/>
          <w:szCs w:val="18"/>
        </w:rPr>
        <w:t xml:space="preserve"> </w:t>
      </w:r>
      <w:r w:rsidRPr="00BB6518">
        <w:rPr>
          <w:sz w:val="18"/>
          <w:szCs w:val="18"/>
          <w:lang w:val="en-US"/>
        </w:rPr>
        <w:t xml:space="preserve">See </w:t>
      </w:r>
      <w:r w:rsidR="002E6D1B" w:rsidRPr="00BB6518">
        <w:rPr>
          <w:sz w:val="18"/>
          <w:szCs w:val="18"/>
          <w:lang w:val="en-US"/>
        </w:rPr>
        <w:t>d</w:t>
      </w:r>
      <w:r w:rsidRPr="00BB6518">
        <w:rPr>
          <w:sz w:val="18"/>
          <w:szCs w:val="18"/>
          <w:lang w:val="en-US"/>
        </w:rPr>
        <w:t xml:space="preserve">ocument </w:t>
      </w:r>
      <w:r w:rsidR="00520805" w:rsidRPr="00BB6518">
        <w:rPr>
          <w:sz w:val="18"/>
          <w:szCs w:val="18"/>
          <w:lang w:val="en-US"/>
        </w:rPr>
        <w:t xml:space="preserve">UNEP/CBD/SBSTTA/17/2 </w:t>
      </w:r>
      <w:r w:rsidRPr="00BB6518">
        <w:rPr>
          <w:sz w:val="18"/>
          <w:szCs w:val="18"/>
          <w:lang w:val="en-US"/>
        </w:rPr>
        <w:t xml:space="preserve">and its addenda and </w:t>
      </w:r>
      <w:hyperlink r:id="rId3" w:history="1">
        <w:r w:rsidR="002E6D1B" w:rsidRPr="00BB6518">
          <w:rPr>
            <w:rStyle w:val="Hyperlink"/>
            <w:sz w:val="18"/>
            <w:szCs w:val="18"/>
          </w:rPr>
          <w:t>r</w:t>
        </w:r>
        <w:r w:rsidRPr="00BB6518">
          <w:rPr>
            <w:rStyle w:val="Hyperlink"/>
            <w:sz w:val="18"/>
            <w:szCs w:val="18"/>
          </w:rPr>
          <w:t>ecommendation SBSTTA-XVII/1</w:t>
        </w:r>
      </w:hyperlink>
      <w:r w:rsidR="00571037" w:rsidRPr="00BB6518">
        <w:rPr>
          <w:rStyle w:val="Hyperlink"/>
          <w:sz w:val="18"/>
          <w:szCs w:val="18"/>
        </w:rPr>
        <w:t>.</w:t>
      </w:r>
    </w:p>
  </w:footnote>
  <w:footnote w:id="10">
    <w:p w14:paraId="1F50176B" w14:textId="3FECE5CA" w:rsidR="007C5527" w:rsidRPr="00C117F6" w:rsidRDefault="007C5527" w:rsidP="00BB6518">
      <w:pPr>
        <w:pStyle w:val="NormalWeb"/>
        <w:spacing w:before="0" w:beforeAutospacing="0" w:after="0" w:afterAutospacing="0"/>
        <w:rPr>
          <w:color w:val="000000" w:themeColor="text1"/>
          <w:sz w:val="18"/>
          <w:szCs w:val="18"/>
        </w:rPr>
      </w:pPr>
      <w:r w:rsidRPr="00BB6518">
        <w:rPr>
          <w:rStyle w:val="FootnoteReference"/>
          <w:sz w:val="18"/>
          <w:szCs w:val="18"/>
        </w:rPr>
        <w:footnoteRef/>
      </w:r>
      <w:r w:rsidRPr="00BB6518">
        <w:rPr>
          <w:sz w:val="18"/>
          <w:szCs w:val="18"/>
        </w:rPr>
        <w:t xml:space="preserve"> </w:t>
      </w:r>
      <w:r w:rsidRPr="00C117F6">
        <w:rPr>
          <w:color w:val="000000" w:themeColor="text1"/>
          <w:sz w:val="18"/>
          <w:szCs w:val="18"/>
        </w:rPr>
        <w:t>See</w:t>
      </w:r>
      <w:r w:rsidRPr="00BB6518">
        <w:rPr>
          <w:color w:val="000000" w:themeColor="text1"/>
          <w:sz w:val="18"/>
          <w:szCs w:val="18"/>
        </w:rPr>
        <w:t xml:space="preserve"> </w:t>
      </w:r>
      <w:r w:rsidR="00E8530D" w:rsidRPr="00C117F6">
        <w:rPr>
          <w:color w:val="000000" w:themeColor="text1"/>
          <w:sz w:val="18"/>
          <w:szCs w:val="18"/>
        </w:rPr>
        <w:t xml:space="preserve">United Nations Environment </w:t>
      </w:r>
      <w:proofErr w:type="spellStart"/>
      <w:r w:rsidR="00E8530D" w:rsidRPr="00C117F6">
        <w:rPr>
          <w:color w:val="000000" w:themeColor="text1"/>
          <w:sz w:val="18"/>
          <w:szCs w:val="18"/>
        </w:rPr>
        <w:t>Programme</w:t>
      </w:r>
      <w:proofErr w:type="spellEnd"/>
      <w:r w:rsidR="00E8530D" w:rsidRPr="00C117F6">
        <w:rPr>
          <w:color w:val="000000" w:themeColor="text1"/>
          <w:sz w:val="18"/>
          <w:szCs w:val="18"/>
        </w:rPr>
        <w:t xml:space="preserve"> </w:t>
      </w:r>
      <w:r w:rsidR="00F602AE">
        <w:rPr>
          <w:color w:val="000000" w:themeColor="text1"/>
          <w:sz w:val="18"/>
          <w:szCs w:val="18"/>
        </w:rPr>
        <w:t>/</w:t>
      </w:r>
      <w:r w:rsidR="00E8530D" w:rsidRPr="00C117F6">
        <w:rPr>
          <w:color w:val="000000" w:themeColor="text1"/>
          <w:sz w:val="18"/>
          <w:szCs w:val="18"/>
        </w:rPr>
        <w:t xml:space="preserve">World </w:t>
      </w:r>
      <w:hyperlink r:id="rId4" w:history="1">
        <w:r w:rsidR="00E8530D" w:rsidRPr="00DF738B">
          <w:rPr>
            <w:rStyle w:val="Hyperlink"/>
            <w:color w:val="auto"/>
            <w:sz w:val="18"/>
            <w:szCs w:val="18"/>
            <w:u w:val="none"/>
          </w:rPr>
          <w:t>Conservation Monitoring Centre</w:t>
        </w:r>
        <w:r w:rsidRPr="00DF738B">
          <w:rPr>
            <w:rStyle w:val="Hyperlink"/>
            <w:sz w:val="18"/>
            <w:szCs w:val="18"/>
          </w:rPr>
          <w:t>. Key entry points for cooperation and collaboration amongst MEAs</w:t>
        </w:r>
        <w:r w:rsidR="002918F9" w:rsidRPr="00DF738B">
          <w:rPr>
            <w:rStyle w:val="Hyperlink"/>
            <w:sz w:val="18"/>
            <w:szCs w:val="18"/>
          </w:rPr>
          <w:t>,</w:t>
        </w:r>
        <w:r w:rsidRPr="00DF738B">
          <w:rPr>
            <w:rStyle w:val="Hyperlink"/>
            <w:sz w:val="18"/>
            <w:szCs w:val="18"/>
          </w:rPr>
          <w:t xml:space="preserve"> </w:t>
        </w:r>
        <w:r w:rsidR="002918F9" w:rsidRPr="00DF738B">
          <w:rPr>
            <w:rStyle w:val="Hyperlink"/>
            <w:sz w:val="18"/>
            <w:szCs w:val="18"/>
          </w:rPr>
          <w:t>a</w:t>
        </w:r>
        <w:r w:rsidRPr="00DF738B">
          <w:rPr>
            <w:rStyle w:val="Hyperlink"/>
            <w:sz w:val="18"/>
            <w:szCs w:val="18"/>
          </w:rPr>
          <w:t>nnex 4</w:t>
        </w:r>
      </w:hyperlink>
      <w:r w:rsidRPr="00DF738B">
        <w:rPr>
          <w:color w:val="000000" w:themeColor="text1"/>
          <w:sz w:val="18"/>
          <w:szCs w:val="18"/>
        </w:rPr>
        <w:t>.</w:t>
      </w:r>
      <w:r w:rsidRPr="00C117F6">
        <w:rPr>
          <w:color w:val="000000" w:themeColor="text1"/>
          <w:sz w:val="18"/>
          <w:szCs w:val="18"/>
        </w:rPr>
        <w:t xml:space="preserve"> </w:t>
      </w:r>
    </w:p>
  </w:footnote>
  <w:footnote w:id="11">
    <w:p w14:paraId="2E41FA80" w14:textId="266D8F2E" w:rsidR="007C5527" w:rsidRPr="003554CA" w:rsidRDefault="007C5527" w:rsidP="00BB6518">
      <w:pPr>
        <w:pStyle w:val="FootnoteText"/>
        <w:spacing w:before="0"/>
        <w:rPr>
          <w:lang w:val="en-US"/>
        </w:rPr>
      </w:pPr>
      <w:r w:rsidRPr="00C117F6">
        <w:rPr>
          <w:rStyle w:val="FootnoteReference"/>
        </w:rPr>
        <w:footnoteRef/>
      </w:r>
      <w:r w:rsidRPr="00C117F6">
        <w:t xml:space="preserve"> </w:t>
      </w:r>
      <w:r w:rsidRPr="00C117F6">
        <w:rPr>
          <w:lang w:val="en-US"/>
        </w:rPr>
        <w:t xml:space="preserve">Bern III Conference on cooperation among the biodiversity-related Conventions for the implementation of the </w:t>
      </w:r>
      <w:r w:rsidRPr="00BB6518">
        <w:rPr>
          <w:lang w:val="en-US"/>
        </w:rPr>
        <w:t>Kunming-Montreal Global Biodiversity Framework</w:t>
      </w:r>
      <w:r w:rsidR="00C117F6" w:rsidRPr="00BB6518">
        <w:rPr>
          <w:lang w:val="en-US"/>
        </w:rPr>
        <w:t>.</w:t>
      </w:r>
      <w:r w:rsidRPr="00C117F6">
        <w:rPr>
          <w:lang w:val="en-US"/>
        </w:rPr>
        <w:t xml:space="preserve"> </w:t>
      </w:r>
      <w:r w:rsidR="00C117F6" w:rsidRPr="00C117F6">
        <w:rPr>
          <w:lang w:val="en-US"/>
        </w:rPr>
        <w:t>S</w:t>
      </w:r>
      <w:r w:rsidRPr="00C117F6">
        <w:rPr>
          <w:lang w:val="en-US"/>
        </w:rPr>
        <w:t>ee details at</w:t>
      </w:r>
      <w:r w:rsidR="00C117F6" w:rsidRPr="00C117F6">
        <w:rPr>
          <w:lang w:val="en-US"/>
        </w:rPr>
        <w:t>:</w:t>
      </w:r>
      <w:r w:rsidRPr="00C117F6">
        <w:rPr>
          <w:lang w:val="en-US"/>
        </w:rPr>
        <w:t xml:space="preserve"> </w:t>
      </w:r>
      <w:hyperlink r:id="rId5" w:history="1">
        <w:r w:rsidR="00C117F6" w:rsidRPr="00BB6518">
          <w:rPr>
            <w:rStyle w:val="Hyperlink"/>
            <w:lang w:val="en-US"/>
          </w:rPr>
          <w:t>www.</w:t>
        </w:r>
        <w:r w:rsidR="00C117F6" w:rsidRPr="00C117F6">
          <w:rPr>
            <w:rStyle w:val="Hyperlink"/>
            <w:lang w:val="en-US"/>
          </w:rPr>
          <w:t>unep.org/events/conference/bern-iii-conference-cooperation-among-biodiversity-related-conventions</w:t>
        </w:r>
      </w:hyperlink>
      <w:r w:rsidR="00571037" w:rsidRPr="00BB6518">
        <w:rPr>
          <w:lang w:val="en-US"/>
        </w:rPr>
        <w:t>.</w:t>
      </w:r>
    </w:p>
  </w:footnote>
  <w:footnote w:id="12">
    <w:p w14:paraId="6601802E" w14:textId="06C746AF" w:rsidR="007C5527" w:rsidRDefault="007C5527" w:rsidP="004A3BD3">
      <w:pPr>
        <w:pStyle w:val="FootnoteText"/>
        <w:spacing w:before="40" w:after="40"/>
      </w:pPr>
      <w:r>
        <w:rPr>
          <w:rStyle w:val="FootnoteReference"/>
        </w:rPr>
        <w:footnoteRef/>
      </w:r>
      <w:r>
        <w:t xml:space="preserve"> Gender was mentioned </w:t>
      </w:r>
      <w:r w:rsidRPr="007C709F">
        <w:t xml:space="preserve">extensively in the Strategic Plan for Biodiversity </w:t>
      </w:r>
      <w:r w:rsidRPr="00BB6518">
        <w:t>2011–2020</w:t>
      </w:r>
      <w:r w:rsidRPr="007C709F">
        <w:t xml:space="preserve"> but not </w:t>
      </w:r>
      <w:r w:rsidR="0048407C" w:rsidRPr="007C709F">
        <w:t>as a stand</w:t>
      </w:r>
      <w:r w:rsidR="007C709F" w:rsidRPr="007C709F">
        <w:t>-</w:t>
      </w:r>
      <w:r w:rsidR="0048407C" w:rsidRPr="007C709F">
        <w:t xml:space="preserve">alone </w:t>
      </w:r>
      <w:r w:rsidR="00AE72C2" w:rsidRPr="007C709F">
        <w:t xml:space="preserve">element </w:t>
      </w:r>
      <w:r w:rsidRPr="007C709F">
        <w:t xml:space="preserve">in the </w:t>
      </w:r>
      <w:r w:rsidRPr="00BB6518">
        <w:t>Aichi Biodiversity Targets</w:t>
      </w:r>
      <w:r w:rsidRPr="007C709F">
        <w:t>.</w:t>
      </w:r>
      <w:r>
        <w:t xml:space="preserve"> </w:t>
      </w:r>
    </w:p>
  </w:footnote>
  <w:footnote w:id="13">
    <w:p w14:paraId="28BF654B" w14:textId="39C36CA8" w:rsidR="00534F08" w:rsidRDefault="00534F08" w:rsidP="00534F08">
      <w:pPr>
        <w:pStyle w:val="FootnoteText"/>
        <w:spacing w:before="40" w:after="40"/>
      </w:pPr>
      <w:r>
        <w:rPr>
          <w:rStyle w:val="FootnoteReference"/>
        </w:rPr>
        <w:footnoteRef/>
      </w:r>
      <w:r>
        <w:t xml:space="preserve"> </w:t>
      </w:r>
      <w:r w:rsidRPr="003F4CD2">
        <w:t>Adopted at t</w:t>
      </w:r>
      <w:r w:rsidRPr="003F4CD2">
        <w:rPr>
          <w:lang w:val="en-US"/>
        </w:rPr>
        <w:t>he</w:t>
      </w:r>
      <w:r w:rsidRPr="00BB6518">
        <w:rPr>
          <w:lang w:val="en-US"/>
        </w:rPr>
        <w:t xml:space="preserve"> 5th session</w:t>
      </w:r>
      <w:r w:rsidRPr="003F4CD2">
        <w:rPr>
          <w:lang w:val="en-US"/>
        </w:rPr>
        <w:t xml:space="preserve"> of International Conference on Chemicals Management </w:t>
      </w:r>
      <w:r w:rsidR="003F4CD2" w:rsidRPr="003F4CD2">
        <w:rPr>
          <w:lang w:val="en-US"/>
        </w:rPr>
        <w:t>held</w:t>
      </w:r>
      <w:r w:rsidRPr="003F4CD2">
        <w:rPr>
          <w:lang w:val="en-US"/>
        </w:rPr>
        <w:t xml:space="preserve"> in Bonn, Germany, in September 2023</w:t>
      </w:r>
      <w:r w:rsidR="00571037" w:rsidRPr="00BB6518">
        <w:rPr>
          <w:lang w:val="en-US"/>
        </w:rPr>
        <w:t>.</w:t>
      </w:r>
    </w:p>
  </w:footnote>
  <w:footnote w:id="14">
    <w:p w14:paraId="738F1030" w14:textId="51C659EA" w:rsidR="0052673A" w:rsidRPr="00A261B1" w:rsidRDefault="0052673A" w:rsidP="00BB6518">
      <w:pPr>
        <w:pStyle w:val="FootnoteText"/>
        <w:spacing w:before="0"/>
        <w:jc w:val="left"/>
        <w:rPr>
          <w:sz w:val="18"/>
          <w:szCs w:val="18"/>
        </w:rPr>
      </w:pPr>
      <w:r w:rsidRPr="00A261B1">
        <w:rPr>
          <w:rStyle w:val="FootnoteReference"/>
          <w:sz w:val="18"/>
          <w:szCs w:val="18"/>
        </w:rPr>
        <w:footnoteRef/>
      </w:r>
      <w:r w:rsidRPr="00A261B1">
        <w:rPr>
          <w:sz w:val="18"/>
          <w:szCs w:val="18"/>
        </w:rPr>
        <w:t xml:space="preserve"> For further information see</w:t>
      </w:r>
      <w:r w:rsidR="000B2450" w:rsidRPr="00A261B1">
        <w:rPr>
          <w:sz w:val="18"/>
          <w:szCs w:val="18"/>
        </w:rPr>
        <w:t>:</w:t>
      </w:r>
      <w:r w:rsidRPr="00A261B1">
        <w:rPr>
          <w:sz w:val="18"/>
          <w:szCs w:val="18"/>
        </w:rPr>
        <w:t xml:space="preserve"> unsdg.un.org/2030-agenda/universal-values/human-rights-based-approach#:~:text</w:t>
      </w:r>
      <w:r w:rsidRPr="00BB6518">
        <w:rPr>
          <w:sz w:val="18"/>
          <w:szCs w:val="18"/>
        </w:rPr>
        <w:t>=</w:t>
      </w:r>
      <w:r w:rsidRPr="00A261B1">
        <w:rPr>
          <w:sz w:val="18"/>
          <w:szCs w:val="18"/>
        </w:rPr>
        <w:t>The</w:t>
      </w:r>
      <w:r w:rsidRPr="00BB6518">
        <w:rPr>
          <w:sz w:val="18"/>
          <w:szCs w:val="18"/>
        </w:rPr>
        <w:t>%</w:t>
      </w:r>
      <w:r w:rsidRPr="00A261B1">
        <w:rPr>
          <w:sz w:val="18"/>
          <w:szCs w:val="18"/>
        </w:rPr>
        <w:t>20human</w:t>
      </w:r>
      <w:r w:rsidRPr="00BB6518">
        <w:rPr>
          <w:sz w:val="18"/>
          <w:szCs w:val="18"/>
        </w:rPr>
        <w:t>%</w:t>
      </w:r>
      <w:r w:rsidRPr="00A261B1">
        <w:rPr>
          <w:sz w:val="18"/>
          <w:szCs w:val="18"/>
        </w:rPr>
        <w:t>20rights</w:t>
      </w:r>
      <w:r w:rsidRPr="00BB6518">
        <w:rPr>
          <w:sz w:val="18"/>
          <w:szCs w:val="18"/>
        </w:rPr>
        <w:t>%</w:t>
      </w:r>
      <w:r w:rsidRPr="00A261B1">
        <w:rPr>
          <w:sz w:val="18"/>
          <w:szCs w:val="18"/>
        </w:rPr>
        <w:t>2Dbased</w:t>
      </w:r>
      <w:r w:rsidRPr="00BB6518">
        <w:rPr>
          <w:sz w:val="18"/>
          <w:szCs w:val="18"/>
        </w:rPr>
        <w:t>%</w:t>
      </w:r>
      <w:r w:rsidRPr="00A261B1">
        <w:rPr>
          <w:sz w:val="18"/>
          <w:szCs w:val="18"/>
        </w:rPr>
        <w:t>20approac</w:t>
      </w:r>
      <w:r w:rsidRPr="00BB6518">
        <w:rPr>
          <w:sz w:val="18"/>
          <w:szCs w:val="18"/>
        </w:rPr>
        <w:t>h,p</w:t>
      </w:r>
      <w:r w:rsidRPr="00A261B1">
        <w:rPr>
          <w:sz w:val="18"/>
          <w:szCs w:val="18"/>
        </w:rPr>
        <w:t>romoting</w:t>
      </w:r>
      <w:r w:rsidRPr="00BB6518">
        <w:rPr>
          <w:sz w:val="18"/>
          <w:szCs w:val="18"/>
        </w:rPr>
        <w:t>%</w:t>
      </w:r>
      <w:r w:rsidRPr="00A261B1">
        <w:rPr>
          <w:sz w:val="18"/>
          <w:szCs w:val="18"/>
        </w:rPr>
        <w:t>20and</w:t>
      </w:r>
      <w:r w:rsidRPr="00BB6518">
        <w:rPr>
          <w:sz w:val="18"/>
          <w:szCs w:val="18"/>
        </w:rPr>
        <w:t>%</w:t>
      </w:r>
      <w:r w:rsidRPr="00A261B1">
        <w:rPr>
          <w:sz w:val="18"/>
          <w:szCs w:val="18"/>
        </w:rPr>
        <w:t>20protecting</w:t>
      </w:r>
      <w:r w:rsidRPr="00BB6518">
        <w:rPr>
          <w:sz w:val="18"/>
          <w:szCs w:val="18"/>
        </w:rPr>
        <w:t>%</w:t>
      </w:r>
      <w:r w:rsidRPr="00A261B1">
        <w:rPr>
          <w:sz w:val="18"/>
          <w:szCs w:val="18"/>
        </w:rPr>
        <w:t>20human</w:t>
      </w:r>
      <w:r w:rsidRPr="00BB6518">
        <w:rPr>
          <w:sz w:val="18"/>
          <w:szCs w:val="18"/>
        </w:rPr>
        <w:t>%</w:t>
      </w:r>
      <w:r w:rsidRPr="00A261B1">
        <w:rPr>
          <w:sz w:val="18"/>
          <w:szCs w:val="18"/>
        </w:rPr>
        <w:t>20rights.</w:t>
      </w:r>
      <w:r w:rsidR="000B2450" w:rsidRPr="00A261B1">
        <w:rPr>
          <w:sz w:val="18"/>
          <w:szCs w:val="18"/>
        </w:rPr>
        <w:t xml:space="preserve"> </w:t>
      </w:r>
    </w:p>
  </w:footnote>
  <w:footnote w:id="15">
    <w:p w14:paraId="3C043565" w14:textId="2D0718CB" w:rsidR="0052673A" w:rsidRDefault="0052673A" w:rsidP="00BB6518">
      <w:pPr>
        <w:pStyle w:val="Para10"/>
        <w:numPr>
          <w:ilvl w:val="0"/>
          <w:numId w:val="0"/>
        </w:numPr>
        <w:spacing w:before="0" w:after="0"/>
      </w:pPr>
      <w:r w:rsidRPr="00BB6518">
        <w:rPr>
          <w:rStyle w:val="FootnoteReference"/>
        </w:rPr>
        <w:footnoteRef/>
      </w:r>
      <w:r w:rsidRPr="00BB6518">
        <w:t xml:space="preserve"> </w:t>
      </w:r>
      <w:r w:rsidRPr="00BB6518">
        <w:rPr>
          <w:rStyle w:val="FootnoteReference"/>
          <w:sz w:val="18"/>
          <w:szCs w:val="18"/>
          <w:vertAlign w:val="baseline"/>
        </w:rPr>
        <w:t>Resolution</w:t>
      </w:r>
      <w:r w:rsidRPr="00A261B1">
        <w:rPr>
          <w:rStyle w:val="FootnoteReference"/>
          <w:sz w:val="18"/>
          <w:szCs w:val="18"/>
          <w:vertAlign w:val="baseline"/>
        </w:rPr>
        <w:t xml:space="preserve"> 70/1 of the </w:t>
      </w:r>
      <w:r w:rsidRPr="00BB6518">
        <w:rPr>
          <w:rStyle w:val="FootnoteReference"/>
          <w:sz w:val="18"/>
          <w:szCs w:val="18"/>
          <w:vertAlign w:val="baseline"/>
        </w:rPr>
        <w:t>General Assembly of the United Nations</w:t>
      </w:r>
      <w:r w:rsidRPr="00A261B1">
        <w:rPr>
          <w:rStyle w:val="FootnoteReference"/>
          <w:sz w:val="18"/>
          <w:szCs w:val="18"/>
          <w:vertAlign w:val="baseline"/>
        </w:rPr>
        <w:t>. For example: “The Sustainable Development Goals … seek to realize the human rights of all</w:t>
      </w:r>
      <w:r w:rsidRPr="00BB6518">
        <w:rPr>
          <w:rStyle w:val="FootnoteReference"/>
          <w:sz w:val="18"/>
          <w:szCs w:val="18"/>
          <w:vertAlign w:val="baseline"/>
        </w:rPr>
        <w:t>..</w:t>
      </w:r>
      <w:r w:rsidRPr="00A261B1">
        <w:rPr>
          <w:rStyle w:val="FootnoteReference"/>
          <w:sz w:val="18"/>
          <w:szCs w:val="18"/>
          <w:vertAlign w:val="baseline"/>
        </w:rPr>
        <w:t>” (Preamble); references in paragraphs 8, 10, 19, 35, among others; Goal 1 Target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r w:rsidRPr="00A261B1">
        <w:t>”.</w:t>
      </w:r>
    </w:p>
  </w:footnote>
  <w:footnote w:id="16">
    <w:p w14:paraId="79FEAA39" w14:textId="15E0932D" w:rsidR="00967B57" w:rsidRPr="00BB6518" w:rsidRDefault="00967B57" w:rsidP="00BB6518">
      <w:pPr>
        <w:pStyle w:val="FootnoteText"/>
        <w:spacing w:before="0"/>
        <w:rPr>
          <w:sz w:val="18"/>
          <w:szCs w:val="18"/>
        </w:rPr>
      </w:pPr>
      <w:r w:rsidRPr="00BB6518">
        <w:rPr>
          <w:rStyle w:val="FootnoteReference"/>
          <w:sz w:val="18"/>
          <w:szCs w:val="18"/>
        </w:rPr>
        <w:footnoteRef/>
      </w:r>
      <w:hyperlink r:id="rId6" w:anchor=":~:text=The%20human%20rights%2Dbased%20approach,promoting%20and%20protecting%20human%20rights" w:history="1">
        <w:r w:rsidR="00416F74" w:rsidRPr="00C437F7">
          <w:rPr>
            <w:rStyle w:val="Hyperlink"/>
            <w:sz w:val="18"/>
            <w:szCs w:val="18"/>
          </w:rPr>
          <w:t>https://unsdg.un.org/2030-agenda/universal-values/human-rights-based-approach#:~:text=The%20human%20rights%2Dbased%20approach,promoting%20and%20protecting%20human%20rights</w:t>
        </w:r>
      </w:hyperlink>
      <w:r w:rsidRPr="00BB6518">
        <w:rPr>
          <w:sz w:val="18"/>
          <w:szCs w:val="18"/>
        </w:rPr>
        <w:t xml:space="preserve">. </w:t>
      </w:r>
    </w:p>
  </w:footnote>
  <w:footnote w:id="17">
    <w:p w14:paraId="39D53FA6" w14:textId="0C6D9F9E" w:rsidR="00967B57" w:rsidRPr="00BB6518" w:rsidRDefault="00967B57" w:rsidP="00BB6518">
      <w:pPr>
        <w:pStyle w:val="FootnoteText"/>
        <w:spacing w:before="0"/>
        <w:rPr>
          <w:sz w:val="18"/>
          <w:szCs w:val="18"/>
        </w:rPr>
      </w:pPr>
      <w:r w:rsidRPr="00BB6518">
        <w:rPr>
          <w:rStyle w:val="FootnoteReference"/>
          <w:sz w:val="18"/>
          <w:szCs w:val="18"/>
        </w:rPr>
        <w:footnoteRef/>
      </w:r>
      <w:hyperlink r:id="rId7" w:anchor=":~:text=A%20human%20rights%2Dbased%20approach%20to%20conservation%20and%20sustainable%20use,effective%2C%20efficient%2C%20and%20transformative" w:history="1">
        <w:r w:rsidRPr="00BB6518">
          <w:rPr>
            <w:rStyle w:val="Hyperlink"/>
            <w:sz w:val="18"/>
            <w:szCs w:val="18"/>
          </w:rPr>
          <w:t>https://www.iucn.org/story/202212/rights-based-path-people-and-planet-realising-human-rights-post-2020-global#:~:text=A%20human%20rights%2Dbased%20approach%20to%20conservation%20and%20sustainable%20use,effective%2C%20efficient%2C%20and%20transformative</w:t>
        </w:r>
      </w:hyperlink>
      <w:r w:rsidR="00571037" w:rsidRPr="00BB6518">
        <w:rPr>
          <w:sz w:val="18"/>
          <w:szCs w:val="18"/>
        </w:rPr>
        <w:t>.</w:t>
      </w:r>
    </w:p>
  </w:footnote>
  <w:footnote w:id="18">
    <w:p w14:paraId="44F78F35" w14:textId="31A0DCF3" w:rsidR="00967B57" w:rsidRPr="00BB6518" w:rsidRDefault="00967B57" w:rsidP="00BB6518">
      <w:pPr>
        <w:pStyle w:val="Para10"/>
        <w:numPr>
          <w:ilvl w:val="0"/>
          <w:numId w:val="0"/>
        </w:numPr>
        <w:spacing w:before="0" w:after="0"/>
        <w:rPr>
          <w:sz w:val="18"/>
          <w:szCs w:val="18"/>
        </w:rPr>
      </w:pPr>
      <w:r w:rsidRPr="00BB6518">
        <w:rPr>
          <w:rStyle w:val="FootnoteReference"/>
          <w:sz w:val="18"/>
          <w:szCs w:val="18"/>
        </w:rPr>
        <w:footnoteRef/>
      </w:r>
      <w:r w:rsidRPr="00BB6518">
        <w:rPr>
          <w:sz w:val="18"/>
          <w:szCs w:val="18"/>
        </w:rPr>
        <w:t xml:space="preserve"> </w:t>
      </w:r>
      <w:hyperlink r:id="rId8" w:history="1">
        <w:r w:rsidRPr="00BD6018">
          <w:rPr>
            <w:rStyle w:val="Hyperlink"/>
            <w:rFonts w:eastAsiaTheme="majorEastAsia"/>
            <w:sz w:val="18"/>
            <w:szCs w:val="18"/>
            <w:lang w:val="en-US"/>
          </w:rPr>
          <w:t>https://unemg.org/wp-content/uploads/2023/04/Guidance-on-integrating-human-rights-in-National-Biodiversity-Strategy-and-Action-Plans-</w:t>
        </w:r>
        <w:r w:rsidRPr="00BB6518">
          <w:rPr>
            <w:rStyle w:val="Hyperlink"/>
            <w:rFonts w:eastAsiaTheme="majorEastAsia"/>
            <w:sz w:val="18"/>
            <w:szCs w:val="18"/>
            <w:lang w:val="en-US"/>
          </w:rPr>
          <w:t>NBSAPs</w:t>
        </w:r>
        <w:r w:rsidRPr="00BD6018">
          <w:rPr>
            <w:rStyle w:val="Hyperlink"/>
            <w:rFonts w:eastAsiaTheme="majorEastAsia"/>
            <w:sz w:val="18"/>
            <w:szCs w:val="18"/>
            <w:lang w:val="en-US"/>
          </w:rPr>
          <w:t>.pdf</w:t>
        </w:r>
      </w:hyperlink>
      <w:r w:rsidR="00571037" w:rsidRPr="00BB6518">
        <w:rPr>
          <w:sz w:val="18"/>
          <w:szCs w:val="18"/>
        </w:rPr>
        <w:t>.</w:t>
      </w:r>
    </w:p>
  </w:footnote>
  <w:footnote w:id="19">
    <w:p w14:paraId="683DBE2A" w14:textId="77777777" w:rsidR="00967B57" w:rsidRPr="00BB6518" w:rsidRDefault="00967B57" w:rsidP="00BB6518">
      <w:pPr>
        <w:pStyle w:val="FootnoteText"/>
        <w:spacing w:before="0"/>
        <w:rPr>
          <w:sz w:val="18"/>
          <w:szCs w:val="18"/>
        </w:rPr>
      </w:pPr>
      <w:r w:rsidRPr="00BB6518">
        <w:rPr>
          <w:rStyle w:val="FootnoteReference"/>
          <w:sz w:val="18"/>
          <w:szCs w:val="18"/>
        </w:rPr>
        <w:footnoteRef/>
      </w:r>
      <w:r w:rsidRPr="00BB6518">
        <w:rPr>
          <w:sz w:val="18"/>
          <w:szCs w:val="18"/>
        </w:rPr>
        <w:t xml:space="preserve"> </w:t>
      </w:r>
      <w:hyperlink r:id="rId9" w:history="1">
        <w:r w:rsidRPr="00BB6518">
          <w:rPr>
            <w:rStyle w:val="Hyperlink"/>
            <w:rFonts w:eastAsiaTheme="majorEastAsia"/>
            <w:sz w:val="18"/>
            <w:szCs w:val="18"/>
            <w:lang w:val="en-US"/>
          </w:rPr>
          <w:t>https://www.</w:t>
        </w:r>
        <w:r w:rsidRPr="00BD6018">
          <w:rPr>
            <w:rStyle w:val="Hyperlink"/>
            <w:rFonts w:eastAsiaTheme="majorEastAsia"/>
            <w:sz w:val="18"/>
            <w:szCs w:val="18"/>
            <w:lang w:val="en-US"/>
          </w:rPr>
          <w:t>ohchr.org/sites/default/files/documents/issues/climatechange/202</w:t>
        </w:r>
        <w:r w:rsidRPr="00BB6518">
          <w:rPr>
            <w:rStyle w:val="Hyperlink"/>
            <w:rFonts w:eastAsiaTheme="majorEastAsia"/>
            <w:sz w:val="18"/>
            <w:szCs w:val="18"/>
            <w:lang w:val="en-US"/>
          </w:rPr>
          <w:t>2-1</w:t>
        </w:r>
        <w:r w:rsidRPr="00BD6018">
          <w:rPr>
            <w:rStyle w:val="Hyperlink"/>
            <w:rFonts w:eastAsiaTheme="majorEastAsia"/>
            <w:sz w:val="18"/>
            <w:szCs w:val="18"/>
            <w:lang w:val="en-US"/>
          </w:rPr>
          <w:t>207/</w:t>
        </w:r>
        <w:r w:rsidRPr="00BB6518">
          <w:rPr>
            <w:rStyle w:val="Hyperlink"/>
            <w:rFonts w:eastAsiaTheme="majorEastAsia"/>
            <w:sz w:val="18"/>
            <w:szCs w:val="18"/>
            <w:lang w:val="en-US"/>
          </w:rPr>
          <w:t>CBD</w:t>
        </w:r>
        <w:r w:rsidRPr="00BD6018">
          <w:rPr>
            <w:rStyle w:val="Hyperlink"/>
            <w:rFonts w:eastAsiaTheme="majorEastAsia"/>
            <w:sz w:val="18"/>
            <w:szCs w:val="18"/>
            <w:lang w:val="en-US"/>
          </w:rPr>
          <w:t>-</w:t>
        </w:r>
        <w:r w:rsidRPr="00BB6518">
          <w:rPr>
            <w:rStyle w:val="Hyperlink"/>
            <w:rFonts w:eastAsiaTheme="majorEastAsia"/>
            <w:sz w:val="18"/>
            <w:szCs w:val="18"/>
            <w:lang w:val="en-US"/>
          </w:rPr>
          <w:t>KM</w:t>
        </w:r>
        <w:r w:rsidRPr="00BD6018">
          <w:rPr>
            <w:rStyle w:val="Hyperlink"/>
            <w:rFonts w:eastAsiaTheme="majorEastAsia"/>
            <w:sz w:val="18"/>
            <w:szCs w:val="18"/>
            <w:lang w:val="en-US"/>
          </w:rPr>
          <w:t>.pdf</w:t>
        </w:r>
      </w:hyperlink>
    </w:p>
  </w:footnote>
  <w:footnote w:id="20">
    <w:p w14:paraId="23B55043" w14:textId="5056C7C9" w:rsidR="00967B57" w:rsidRPr="00BB6518" w:rsidRDefault="00967B57" w:rsidP="00BB6518">
      <w:pPr>
        <w:pStyle w:val="FootnoteText"/>
        <w:spacing w:before="0"/>
        <w:rPr>
          <w:sz w:val="18"/>
          <w:szCs w:val="18"/>
        </w:rPr>
      </w:pPr>
      <w:r w:rsidRPr="00BB6518">
        <w:rPr>
          <w:rStyle w:val="FootnoteReference"/>
          <w:sz w:val="18"/>
          <w:szCs w:val="18"/>
        </w:rPr>
        <w:footnoteRef/>
      </w:r>
      <w:r w:rsidRPr="00BB6518">
        <w:rPr>
          <w:sz w:val="18"/>
          <w:szCs w:val="18"/>
        </w:rPr>
        <w:t xml:space="preserve"> </w:t>
      </w:r>
      <w:hyperlink r:id="rId10" w:history="1">
        <w:r w:rsidRPr="00BD6018">
          <w:rPr>
            <w:rStyle w:val="Hyperlink"/>
            <w:rFonts w:eastAsiaTheme="majorEastAsia"/>
            <w:sz w:val="18"/>
            <w:szCs w:val="18"/>
            <w:lang w:val="en-US"/>
          </w:rPr>
          <w:t>https://ses-toolkit.info.undp.org/</w:t>
        </w:r>
      </w:hyperlink>
      <w:r w:rsidR="00571037" w:rsidRPr="00BB6518">
        <w:rPr>
          <w:rStyle w:val="Hyperlink"/>
          <w:rFonts w:eastAsiaTheme="majorEastAsia"/>
          <w:sz w:val="18"/>
          <w:szCs w:val="18"/>
          <w:lang w:val="en-US"/>
        </w:rPr>
        <w:t>.</w:t>
      </w:r>
    </w:p>
  </w:footnote>
  <w:footnote w:id="21">
    <w:p w14:paraId="3D0CD89B" w14:textId="5840B2CB" w:rsidR="0096685D" w:rsidRPr="00B00562" w:rsidRDefault="0096685D" w:rsidP="00BB6518">
      <w:pPr>
        <w:pStyle w:val="FootnoteText"/>
        <w:spacing w:before="0"/>
        <w:rPr>
          <w:sz w:val="18"/>
          <w:szCs w:val="18"/>
        </w:rPr>
      </w:pPr>
      <w:r w:rsidRPr="00BB6518">
        <w:rPr>
          <w:rStyle w:val="FootnoteReference"/>
          <w:sz w:val="18"/>
          <w:szCs w:val="18"/>
        </w:rPr>
        <w:footnoteRef/>
      </w:r>
      <w:r w:rsidRPr="00BB6518">
        <w:rPr>
          <w:sz w:val="18"/>
          <w:szCs w:val="18"/>
        </w:rPr>
        <w:t xml:space="preserve"> </w:t>
      </w:r>
      <w:r w:rsidR="003C2A9F">
        <w:rPr>
          <w:sz w:val="18"/>
          <w:szCs w:val="18"/>
        </w:rPr>
        <w:t>The r</w:t>
      </w:r>
      <w:r w:rsidRPr="00BD6018">
        <w:rPr>
          <w:sz w:val="18"/>
          <w:szCs w:val="18"/>
        </w:rPr>
        <w:t>eport</w:t>
      </w:r>
      <w:r w:rsidR="00203B07">
        <w:rPr>
          <w:sz w:val="18"/>
          <w:szCs w:val="18"/>
        </w:rPr>
        <w:t xml:space="preserve"> of the meeting </w:t>
      </w:r>
      <w:r w:rsidR="003C2A9F">
        <w:rPr>
          <w:sz w:val="18"/>
          <w:szCs w:val="18"/>
        </w:rPr>
        <w:t>is available as document</w:t>
      </w:r>
      <w:r w:rsidRPr="00BD6018">
        <w:rPr>
          <w:sz w:val="18"/>
          <w:szCs w:val="18"/>
        </w:rPr>
        <w:t xml:space="preserve"> </w:t>
      </w:r>
      <w:hyperlink r:id="rId11" w:history="1">
        <w:r w:rsidRPr="00BB6518">
          <w:rPr>
            <w:rStyle w:val="Hyperlink"/>
          </w:rPr>
          <w:t>CBD</w:t>
        </w:r>
        <w:r w:rsidRPr="00212178">
          <w:rPr>
            <w:rStyle w:val="Hyperlink"/>
            <w:sz w:val="18"/>
            <w:szCs w:val="18"/>
          </w:rPr>
          <w:t>/</w:t>
        </w:r>
        <w:r w:rsidRPr="00BB6518">
          <w:rPr>
            <w:rStyle w:val="Hyperlink"/>
          </w:rPr>
          <w:t>WG</w:t>
        </w:r>
        <w:r w:rsidRPr="00212178">
          <w:rPr>
            <w:rStyle w:val="Hyperlink"/>
            <w:sz w:val="18"/>
            <w:szCs w:val="18"/>
          </w:rPr>
          <w:t>8J/12/8</w:t>
        </w:r>
      </w:hyperlink>
      <w:r w:rsidR="003C2A9F">
        <w:rPr>
          <w:sz w:val="18"/>
          <w:szCs w:val="18"/>
        </w:rPr>
        <w:t>.</w:t>
      </w:r>
    </w:p>
  </w:footnote>
  <w:footnote w:id="22">
    <w:p w14:paraId="6323B9EC" w14:textId="462632EF" w:rsidR="007C5527" w:rsidRDefault="007C5527" w:rsidP="00BB6518">
      <w:pPr>
        <w:pStyle w:val="FootnoteText"/>
        <w:spacing w:before="0"/>
      </w:pPr>
      <w:r w:rsidRPr="00E93E36">
        <w:rPr>
          <w:rStyle w:val="FootnoteReference"/>
        </w:rPr>
        <w:footnoteRef/>
      </w:r>
      <w:r w:rsidRPr="00E93E36">
        <w:t xml:space="preserve"> See </w:t>
      </w:r>
      <w:hyperlink r:id="rId12" w:history="1">
        <w:r w:rsidR="00E93E36" w:rsidRPr="00BB6518">
          <w:rPr>
            <w:rStyle w:val="Hyperlink"/>
          </w:rPr>
          <w:t>www.</w:t>
        </w:r>
        <w:r w:rsidR="00E93E36" w:rsidRPr="00E93E36">
          <w:rPr>
            <w:rStyle w:val="Hyperlink"/>
          </w:rPr>
          <w:t>cbd.int/programmes</w:t>
        </w:r>
      </w:hyperlink>
      <w:r w:rsidRPr="00E93E36">
        <w:t xml:space="preserve"> for a list of these</w:t>
      </w:r>
      <w:r w:rsidR="00571037" w:rsidRPr="00BB6518">
        <w:t>.</w:t>
      </w:r>
    </w:p>
  </w:footnote>
  <w:footnote w:id="23">
    <w:p w14:paraId="6972C2C3" w14:textId="2E25B6F4" w:rsidR="009F11E3" w:rsidRPr="00BB6518" w:rsidRDefault="009F11E3" w:rsidP="00BB6518">
      <w:pPr>
        <w:pStyle w:val="FootnoteText"/>
        <w:spacing w:before="0"/>
        <w:rPr>
          <w:sz w:val="18"/>
          <w:szCs w:val="18"/>
          <w:lang w:val="en-US"/>
        </w:rPr>
      </w:pPr>
      <w:r w:rsidRPr="00BB6518">
        <w:rPr>
          <w:rStyle w:val="FootnoteReference"/>
          <w:sz w:val="18"/>
          <w:szCs w:val="18"/>
        </w:rPr>
        <w:footnoteRef/>
      </w:r>
      <w:r w:rsidRPr="00BB6518">
        <w:rPr>
          <w:sz w:val="18"/>
          <w:szCs w:val="18"/>
        </w:rPr>
        <w:t xml:space="preserve"> United Nations, Treaty Series, vol. 1760, No. 30619.</w:t>
      </w:r>
    </w:p>
  </w:footnote>
  <w:footnote w:id="24">
    <w:p w14:paraId="791E5E56" w14:textId="73528CB6" w:rsidR="009A2000" w:rsidRPr="00BB6518" w:rsidRDefault="009A2000" w:rsidP="00BB6518">
      <w:pPr>
        <w:pStyle w:val="FootnoteText"/>
        <w:spacing w:before="0"/>
        <w:rPr>
          <w:lang w:val="en-US"/>
        </w:rPr>
      </w:pPr>
      <w:r w:rsidRPr="00BB6518">
        <w:rPr>
          <w:rStyle w:val="FootnoteReference"/>
          <w:sz w:val="18"/>
          <w:szCs w:val="18"/>
        </w:rPr>
        <w:footnoteRef/>
      </w:r>
      <w:r w:rsidRPr="00BB6518">
        <w:rPr>
          <w:sz w:val="18"/>
          <w:szCs w:val="18"/>
        </w:rPr>
        <w:t xml:space="preserve"> Decision 15/4, annex.</w:t>
      </w:r>
    </w:p>
  </w:footnote>
  <w:footnote w:id="25">
    <w:p w14:paraId="6F947CCB" w14:textId="4B673EE0" w:rsidR="007D63A3" w:rsidRPr="007D63A3" w:rsidRDefault="007D63A3">
      <w:pPr>
        <w:pStyle w:val="FootnoteText"/>
        <w:rPr>
          <w:lang w:val="en-US"/>
        </w:rPr>
      </w:pPr>
      <w:r>
        <w:rPr>
          <w:rStyle w:val="FootnoteReference"/>
        </w:rPr>
        <w:footnoteRef/>
      </w:r>
      <w:r>
        <w:t xml:space="preserve"> </w:t>
      </w:r>
      <w:r>
        <w:rPr>
          <w:lang w:val="en-US"/>
        </w:rPr>
        <w:t xml:space="preserve">List to </w:t>
      </w:r>
      <w:r w:rsidRPr="0088792E">
        <w:rPr>
          <w:lang w:val="en-US"/>
        </w:rPr>
        <w:t xml:space="preserve">be aligned with </w:t>
      </w:r>
      <w:r w:rsidRPr="00F602AE">
        <w:rPr>
          <w:lang w:val="en-US"/>
        </w:rPr>
        <w:t>recommendation</w:t>
      </w:r>
      <w:r w:rsidR="0088792E" w:rsidRPr="00F602AE">
        <w:rPr>
          <w:lang w:val="en-US"/>
        </w:rPr>
        <w:t>s</w:t>
      </w:r>
      <w:r w:rsidR="00713DB5" w:rsidRPr="00BB6518">
        <w:rPr>
          <w:lang w:val="en-US"/>
        </w:rPr>
        <w:t xml:space="preserve"> </w:t>
      </w:r>
      <w:r w:rsidR="0088792E" w:rsidRPr="00BB6518">
        <w:rPr>
          <w:lang w:val="en-US"/>
        </w:rPr>
        <w:t xml:space="preserve">of the Subsidiary Body </w:t>
      </w:r>
      <w:r w:rsidR="0088792E" w:rsidRPr="0088792E">
        <w:rPr>
          <w:lang w:val="en-US"/>
        </w:rPr>
        <w:t>on Scientific, Technical and Technological Advice</w:t>
      </w:r>
      <w:r w:rsidRPr="0088792E">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Content>
      <w:p w14:paraId="06DD489F" w14:textId="068F4462" w:rsidR="007C5527" w:rsidRPr="00157943" w:rsidRDefault="007C5527" w:rsidP="002F50C8">
        <w:pPr>
          <w:pStyle w:val="Header"/>
          <w:pBdr>
            <w:bottom w:val="single" w:sz="4" w:space="1" w:color="auto"/>
          </w:pBdr>
          <w:spacing w:after="240"/>
          <w:jc w:val="left"/>
          <w:rPr>
            <w:sz w:val="20"/>
            <w:szCs w:val="20"/>
            <w:lang w:val="fr-FR"/>
          </w:rPr>
        </w:pPr>
        <w:r w:rsidRPr="00157943">
          <w:rPr>
            <w:sz w:val="20"/>
            <w:szCs w:val="20"/>
            <w:lang w:val="fr-FR"/>
          </w:rPr>
          <w:t>CBD/SBSTTA/26/3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Content>
      <w:p w14:paraId="3DC407A7" w14:textId="3EB27C69" w:rsidR="007C5527" w:rsidRPr="00157943" w:rsidRDefault="007C5527" w:rsidP="002B559C">
        <w:pPr>
          <w:pStyle w:val="Header"/>
          <w:pBdr>
            <w:bottom w:val="single" w:sz="4" w:space="1" w:color="auto"/>
          </w:pBdr>
          <w:spacing w:after="240"/>
          <w:jc w:val="right"/>
          <w:rPr>
            <w:sz w:val="20"/>
            <w:szCs w:val="20"/>
            <w:lang w:val="fr-FR"/>
          </w:rPr>
        </w:pPr>
        <w:r w:rsidRPr="00157943">
          <w:rPr>
            <w:sz w:val="20"/>
            <w:szCs w:val="20"/>
            <w:lang w:val="fr-FR"/>
          </w:rPr>
          <w:t>CBD/SBSTTA/26/3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818E" w14:textId="44FE3F5D" w:rsidR="007C5527" w:rsidRPr="00BB6518" w:rsidRDefault="007C5527" w:rsidP="00E00105">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48"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2"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3"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6"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2"/>
  </w:num>
  <w:num w:numId="2" w16cid:durableId="696387565">
    <w:abstractNumId w:val="41"/>
  </w:num>
  <w:num w:numId="3" w16cid:durableId="223760804">
    <w:abstractNumId w:val="43"/>
  </w:num>
  <w:num w:numId="4" w16cid:durableId="311451130">
    <w:abstractNumId w:val="58"/>
  </w:num>
  <w:num w:numId="5" w16cid:durableId="1797946420">
    <w:abstractNumId w:val="19"/>
  </w:num>
  <w:num w:numId="6" w16cid:durableId="1958903633">
    <w:abstractNumId w:val="56"/>
  </w:num>
  <w:num w:numId="7" w16cid:durableId="556741273">
    <w:abstractNumId w:val="29"/>
  </w:num>
  <w:num w:numId="8" w16cid:durableId="1667124034">
    <w:abstractNumId w:val="38"/>
  </w:num>
  <w:num w:numId="9" w16cid:durableId="511802605">
    <w:abstractNumId w:val="33"/>
  </w:num>
  <w:num w:numId="10" w16cid:durableId="133111343">
    <w:abstractNumId w:val="8"/>
  </w:num>
  <w:num w:numId="11" w16cid:durableId="1783913760">
    <w:abstractNumId w:val="34"/>
  </w:num>
  <w:num w:numId="12" w16cid:durableId="546457357">
    <w:abstractNumId w:val="26"/>
  </w:num>
  <w:num w:numId="13" w16cid:durableId="795148474">
    <w:abstractNumId w:val="37"/>
  </w:num>
  <w:num w:numId="14" w16cid:durableId="1917089701">
    <w:abstractNumId w:val="23"/>
  </w:num>
  <w:num w:numId="15" w16cid:durableId="2037580360">
    <w:abstractNumId w:val="45"/>
  </w:num>
  <w:num w:numId="16" w16cid:durableId="692804275">
    <w:abstractNumId w:val="5"/>
  </w:num>
  <w:num w:numId="17" w16cid:durableId="163328379">
    <w:abstractNumId w:val="11"/>
  </w:num>
  <w:num w:numId="18" w16cid:durableId="1960137192">
    <w:abstractNumId w:val="25"/>
  </w:num>
  <w:num w:numId="19" w16cid:durableId="2023778733">
    <w:abstractNumId w:val="36"/>
  </w:num>
  <w:num w:numId="20" w16cid:durableId="1071003589">
    <w:abstractNumId w:val="46"/>
  </w:num>
  <w:num w:numId="21" w16cid:durableId="1759477005">
    <w:abstractNumId w:val="10"/>
  </w:num>
  <w:num w:numId="22" w16cid:durableId="227956950">
    <w:abstractNumId w:val="53"/>
  </w:num>
  <w:num w:numId="23" w16cid:durableId="2096899009">
    <w:abstractNumId w:val="21"/>
  </w:num>
  <w:num w:numId="24" w16cid:durableId="274338036">
    <w:abstractNumId w:val="28"/>
  </w:num>
  <w:num w:numId="25" w16cid:durableId="57364702">
    <w:abstractNumId w:val="3"/>
  </w:num>
  <w:num w:numId="26" w16cid:durableId="48965372">
    <w:abstractNumId w:val="49"/>
  </w:num>
  <w:num w:numId="27" w16cid:durableId="745372626">
    <w:abstractNumId w:val="12"/>
  </w:num>
  <w:num w:numId="28" w16cid:durableId="934901253">
    <w:abstractNumId w:val="47"/>
    <w:lvlOverride w:ilvl="0">
      <w:startOverride w:val="1"/>
    </w:lvlOverride>
  </w:num>
  <w:num w:numId="29" w16cid:durableId="248320909">
    <w:abstractNumId w:val="42"/>
  </w:num>
  <w:num w:numId="30" w16cid:durableId="777259692">
    <w:abstractNumId w:val="48"/>
  </w:num>
  <w:num w:numId="31" w16cid:durableId="156727439">
    <w:abstractNumId w:val="24"/>
  </w:num>
  <w:num w:numId="32" w16cid:durableId="1245914105">
    <w:abstractNumId w:val="17"/>
  </w:num>
  <w:num w:numId="33" w16cid:durableId="1702166773">
    <w:abstractNumId w:val="9"/>
  </w:num>
  <w:num w:numId="34" w16cid:durableId="682709533">
    <w:abstractNumId w:val="4"/>
  </w:num>
  <w:num w:numId="35" w16cid:durableId="510224924">
    <w:abstractNumId w:val="14"/>
  </w:num>
  <w:num w:numId="36" w16cid:durableId="76557512">
    <w:abstractNumId w:val="44"/>
  </w:num>
  <w:num w:numId="37" w16cid:durableId="1688172165">
    <w:abstractNumId w:val="31"/>
  </w:num>
  <w:num w:numId="38" w16cid:durableId="1594433256">
    <w:abstractNumId w:val="13"/>
  </w:num>
  <w:num w:numId="39" w16cid:durableId="361706940">
    <w:abstractNumId w:val="27"/>
  </w:num>
  <w:num w:numId="40" w16cid:durableId="1977443739">
    <w:abstractNumId w:val="57"/>
  </w:num>
  <w:num w:numId="41" w16cid:durableId="2053533616">
    <w:abstractNumId w:val="47"/>
  </w:num>
  <w:num w:numId="42" w16cid:durableId="1803695217">
    <w:abstractNumId w:val="30"/>
  </w:num>
  <w:num w:numId="43" w16cid:durableId="482281525">
    <w:abstractNumId w:val="6"/>
  </w:num>
  <w:num w:numId="44" w16cid:durableId="362050802">
    <w:abstractNumId w:val="55"/>
  </w:num>
  <w:num w:numId="45" w16cid:durableId="1112627065">
    <w:abstractNumId w:val="20"/>
  </w:num>
  <w:num w:numId="46" w16cid:durableId="2136410782">
    <w:abstractNumId w:val="54"/>
  </w:num>
  <w:num w:numId="47" w16cid:durableId="138426868">
    <w:abstractNumId w:val="22"/>
  </w:num>
  <w:num w:numId="48" w16cid:durableId="880089598">
    <w:abstractNumId w:val="52"/>
  </w:num>
  <w:num w:numId="49" w16cid:durableId="2062709480">
    <w:abstractNumId w:val="39"/>
  </w:num>
  <w:num w:numId="50" w16cid:durableId="1494223197">
    <w:abstractNumId w:val="47"/>
  </w:num>
  <w:num w:numId="51" w16cid:durableId="936838355">
    <w:abstractNumId w:val="16"/>
  </w:num>
  <w:num w:numId="52" w16cid:durableId="119690581">
    <w:abstractNumId w:val="0"/>
  </w:num>
  <w:num w:numId="53" w16cid:durableId="1448233825">
    <w:abstractNumId w:val="15"/>
  </w:num>
  <w:num w:numId="54" w16cid:durableId="1473787413">
    <w:abstractNumId w:val="50"/>
  </w:num>
  <w:num w:numId="55" w16cid:durableId="1976451248">
    <w:abstractNumId w:val="18"/>
  </w:num>
  <w:num w:numId="56" w16cid:durableId="176233990">
    <w:abstractNumId w:val="1"/>
  </w:num>
  <w:num w:numId="57" w16cid:durableId="509373691">
    <w:abstractNumId w:val="7"/>
  </w:num>
  <w:num w:numId="58" w16cid:durableId="1624657721">
    <w:abstractNumId w:val="2"/>
  </w:num>
  <w:num w:numId="59" w16cid:durableId="222254523">
    <w:abstractNumId w:val="47"/>
    <w:lvlOverride w:ilvl="0">
      <w:startOverride w:val="1"/>
    </w:lvlOverride>
  </w:num>
  <w:num w:numId="60" w16cid:durableId="1337656085">
    <w:abstractNumId w:val="51"/>
  </w:num>
  <w:num w:numId="61" w16cid:durableId="23601007">
    <w:abstractNumId w:val="40"/>
  </w:num>
  <w:num w:numId="62" w16cid:durableId="191964801">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5E3C"/>
    <w:rsid w:val="00006538"/>
    <w:rsid w:val="0001015C"/>
    <w:rsid w:val="00011BFD"/>
    <w:rsid w:val="000126B3"/>
    <w:rsid w:val="0001298F"/>
    <w:rsid w:val="00014616"/>
    <w:rsid w:val="00015432"/>
    <w:rsid w:val="0001614D"/>
    <w:rsid w:val="0001661C"/>
    <w:rsid w:val="0002156F"/>
    <w:rsid w:val="00027690"/>
    <w:rsid w:val="0003195D"/>
    <w:rsid w:val="0003329E"/>
    <w:rsid w:val="000343B3"/>
    <w:rsid w:val="000352B3"/>
    <w:rsid w:val="00035682"/>
    <w:rsid w:val="00036355"/>
    <w:rsid w:val="00040598"/>
    <w:rsid w:val="0004075B"/>
    <w:rsid w:val="0004145B"/>
    <w:rsid w:val="00041A65"/>
    <w:rsid w:val="000444C5"/>
    <w:rsid w:val="00045D3E"/>
    <w:rsid w:val="0004641F"/>
    <w:rsid w:val="00046D3D"/>
    <w:rsid w:val="00051A3A"/>
    <w:rsid w:val="0005244D"/>
    <w:rsid w:val="000534B4"/>
    <w:rsid w:val="00055098"/>
    <w:rsid w:val="00057730"/>
    <w:rsid w:val="000635A5"/>
    <w:rsid w:val="00064752"/>
    <w:rsid w:val="0006710E"/>
    <w:rsid w:val="000701B5"/>
    <w:rsid w:val="00071375"/>
    <w:rsid w:val="00072254"/>
    <w:rsid w:val="00072CA4"/>
    <w:rsid w:val="00072EA4"/>
    <w:rsid w:val="0007343A"/>
    <w:rsid w:val="000763E8"/>
    <w:rsid w:val="00080221"/>
    <w:rsid w:val="00084349"/>
    <w:rsid w:val="0008488C"/>
    <w:rsid w:val="00086AE1"/>
    <w:rsid w:val="0009031E"/>
    <w:rsid w:val="00090F7E"/>
    <w:rsid w:val="000927A7"/>
    <w:rsid w:val="00092BE3"/>
    <w:rsid w:val="00094938"/>
    <w:rsid w:val="0009543D"/>
    <w:rsid w:val="000A3F83"/>
    <w:rsid w:val="000A4257"/>
    <w:rsid w:val="000A5058"/>
    <w:rsid w:val="000A5C56"/>
    <w:rsid w:val="000A6C42"/>
    <w:rsid w:val="000B06F1"/>
    <w:rsid w:val="000B1292"/>
    <w:rsid w:val="000B2450"/>
    <w:rsid w:val="000B3584"/>
    <w:rsid w:val="000B363A"/>
    <w:rsid w:val="000B43DB"/>
    <w:rsid w:val="000B5687"/>
    <w:rsid w:val="000B7C43"/>
    <w:rsid w:val="000C3F7F"/>
    <w:rsid w:val="000C462B"/>
    <w:rsid w:val="000C5952"/>
    <w:rsid w:val="000C6553"/>
    <w:rsid w:val="000D0134"/>
    <w:rsid w:val="000D05B3"/>
    <w:rsid w:val="000D1E2C"/>
    <w:rsid w:val="000D3B17"/>
    <w:rsid w:val="000D3E0B"/>
    <w:rsid w:val="000D5B61"/>
    <w:rsid w:val="000D6DB6"/>
    <w:rsid w:val="000D6DD7"/>
    <w:rsid w:val="000D7849"/>
    <w:rsid w:val="000E2882"/>
    <w:rsid w:val="000E2C97"/>
    <w:rsid w:val="000E4F65"/>
    <w:rsid w:val="000E6FAF"/>
    <w:rsid w:val="000E703E"/>
    <w:rsid w:val="000E7BDD"/>
    <w:rsid w:val="000F4973"/>
    <w:rsid w:val="000F5864"/>
    <w:rsid w:val="000F5C6F"/>
    <w:rsid w:val="000F5E35"/>
    <w:rsid w:val="000F662E"/>
    <w:rsid w:val="000F7143"/>
    <w:rsid w:val="00101AF1"/>
    <w:rsid w:val="00101B3B"/>
    <w:rsid w:val="0010446F"/>
    <w:rsid w:val="001044DC"/>
    <w:rsid w:val="00104B33"/>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47B0"/>
    <w:rsid w:val="00125030"/>
    <w:rsid w:val="00127116"/>
    <w:rsid w:val="0013004D"/>
    <w:rsid w:val="00130713"/>
    <w:rsid w:val="00132581"/>
    <w:rsid w:val="001328E8"/>
    <w:rsid w:val="00132B80"/>
    <w:rsid w:val="001362CF"/>
    <w:rsid w:val="001367C4"/>
    <w:rsid w:val="00140734"/>
    <w:rsid w:val="00140AC9"/>
    <w:rsid w:val="00143794"/>
    <w:rsid w:val="00146679"/>
    <w:rsid w:val="0014706C"/>
    <w:rsid w:val="001525EF"/>
    <w:rsid w:val="00152E03"/>
    <w:rsid w:val="0015364D"/>
    <w:rsid w:val="001544C5"/>
    <w:rsid w:val="00157943"/>
    <w:rsid w:val="00162433"/>
    <w:rsid w:val="00163465"/>
    <w:rsid w:val="0016381D"/>
    <w:rsid w:val="00163FBE"/>
    <w:rsid w:val="00164246"/>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3B0E"/>
    <w:rsid w:val="0019584A"/>
    <w:rsid w:val="001A373E"/>
    <w:rsid w:val="001A3A2B"/>
    <w:rsid w:val="001A4B9D"/>
    <w:rsid w:val="001A6B14"/>
    <w:rsid w:val="001A6D75"/>
    <w:rsid w:val="001A751E"/>
    <w:rsid w:val="001B03BA"/>
    <w:rsid w:val="001B0F59"/>
    <w:rsid w:val="001B21F0"/>
    <w:rsid w:val="001B7AE1"/>
    <w:rsid w:val="001B7C72"/>
    <w:rsid w:val="001C1865"/>
    <w:rsid w:val="001C3335"/>
    <w:rsid w:val="001C3A11"/>
    <w:rsid w:val="001D013E"/>
    <w:rsid w:val="001D0FCD"/>
    <w:rsid w:val="001D3B2F"/>
    <w:rsid w:val="001D6050"/>
    <w:rsid w:val="001E1092"/>
    <w:rsid w:val="001E1D24"/>
    <w:rsid w:val="001E2C6D"/>
    <w:rsid w:val="001E4923"/>
    <w:rsid w:val="001E4A41"/>
    <w:rsid w:val="001E5CDA"/>
    <w:rsid w:val="001E6291"/>
    <w:rsid w:val="001E69C9"/>
    <w:rsid w:val="001E7393"/>
    <w:rsid w:val="001F0219"/>
    <w:rsid w:val="001F093D"/>
    <w:rsid w:val="001F4A1D"/>
    <w:rsid w:val="002007A7"/>
    <w:rsid w:val="00201817"/>
    <w:rsid w:val="00202BFD"/>
    <w:rsid w:val="0020361B"/>
    <w:rsid w:val="00203B07"/>
    <w:rsid w:val="00204F57"/>
    <w:rsid w:val="00206953"/>
    <w:rsid w:val="00206C89"/>
    <w:rsid w:val="002118DD"/>
    <w:rsid w:val="00212178"/>
    <w:rsid w:val="002145CB"/>
    <w:rsid w:val="00216F00"/>
    <w:rsid w:val="0022243D"/>
    <w:rsid w:val="00223D53"/>
    <w:rsid w:val="00224689"/>
    <w:rsid w:val="0023086C"/>
    <w:rsid w:val="00231BB2"/>
    <w:rsid w:val="00231E0C"/>
    <w:rsid w:val="00232942"/>
    <w:rsid w:val="002408D9"/>
    <w:rsid w:val="002415FC"/>
    <w:rsid w:val="00244FB7"/>
    <w:rsid w:val="00247F2D"/>
    <w:rsid w:val="00251C72"/>
    <w:rsid w:val="00251F9B"/>
    <w:rsid w:val="002524B2"/>
    <w:rsid w:val="00252D16"/>
    <w:rsid w:val="00255110"/>
    <w:rsid w:val="00255A77"/>
    <w:rsid w:val="00255D3B"/>
    <w:rsid w:val="00257B48"/>
    <w:rsid w:val="00257F58"/>
    <w:rsid w:val="0026061D"/>
    <w:rsid w:val="00261F73"/>
    <w:rsid w:val="00262408"/>
    <w:rsid w:val="00262EC7"/>
    <w:rsid w:val="002634EF"/>
    <w:rsid w:val="00264067"/>
    <w:rsid w:val="0026635E"/>
    <w:rsid w:val="00266C4C"/>
    <w:rsid w:val="00272AE9"/>
    <w:rsid w:val="002732F0"/>
    <w:rsid w:val="00277EE4"/>
    <w:rsid w:val="0028053A"/>
    <w:rsid w:val="00280CB2"/>
    <w:rsid w:val="002816C6"/>
    <w:rsid w:val="00284DA4"/>
    <w:rsid w:val="0028504D"/>
    <w:rsid w:val="00285081"/>
    <w:rsid w:val="0028525F"/>
    <w:rsid w:val="0028576D"/>
    <w:rsid w:val="00286C5B"/>
    <w:rsid w:val="002918F9"/>
    <w:rsid w:val="00292283"/>
    <w:rsid w:val="00293F03"/>
    <w:rsid w:val="002973F3"/>
    <w:rsid w:val="00297617"/>
    <w:rsid w:val="002A3078"/>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855"/>
    <w:rsid w:val="002D42B7"/>
    <w:rsid w:val="002D4C0A"/>
    <w:rsid w:val="002D4C5D"/>
    <w:rsid w:val="002D7251"/>
    <w:rsid w:val="002E0612"/>
    <w:rsid w:val="002E2CA5"/>
    <w:rsid w:val="002E3D66"/>
    <w:rsid w:val="002E4106"/>
    <w:rsid w:val="002E48FD"/>
    <w:rsid w:val="002E49C7"/>
    <w:rsid w:val="002E6D1B"/>
    <w:rsid w:val="002E70DC"/>
    <w:rsid w:val="002E7C0F"/>
    <w:rsid w:val="002F1946"/>
    <w:rsid w:val="002F2C2D"/>
    <w:rsid w:val="002F43EA"/>
    <w:rsid w:val="002F50C8"/>
    <w:rsid w:val="002F7A48"/>
    <w:rsid w:val="003018D5"/>
    <w:rsid w:val="0030198C"/>
    <w:rsid w:val="00301CBD"/>
    <w:rsid w:val="00301D99"/>
    <w:rsid w:val="00302C35"/>
    <w:rsid w:val="00303901"/>
    <w:rsid w:val="00305C67"/>
    <w:rsid w:val="003062E3"/>
    <w:rsid w:val="00306D33"/>
    <w:rsid w:val="00306F14"/>
    <w:rsid w:val="00310608"/>
    <w:rsid w:val="00310F81"/>
    <w:rsid w:val="003113CE"/>
    <w:rsid w:val="00311916"/>
    <w:rsid w:val="00311BBC"/>
    <w:rsid w:val="00312785"/>
    <w:rsid w:val="00313582"/>
    <w:rsid w:val="0031399E"/>
    <w:rsid w:val="0031501E"/>
    <w:rsid w:val="0032022E"/>
    <w:rsid w:val="00323890"/>
    <w:rsid w:val="00323F22"/>
    <w:rsid w:val="00324798"/>
    <w:rsid w:val="00324CFC"/>
    <w:rsid w:val="00325530"/>
    <w:rsid w:val="003311EE"/>
    <w:rsid w:val="00332BA5"/>
    <w:rsid w:val="00333692"/>
    <w:rsid w:val="0033375B"/>
    <w:rsid w:val="003348A3"/>
    <w:rsid w:val="00334EE0"/>
    <w:rsid w:val="0033732B"/>
    <w:rsid w:val="00341007"/>
    <w:rsid w:val="0034230C"/>
    <w:rsid w:val="003425F4"/>
    <w:rsid w:val="003437E7"/>
    <w:rsid w:val="00343A30"/>
    <w:rsid w:val="00343D2B"/>
    <w:rsid w:val="00344E07"/>
    <w:rsid w:val="00345520"/>
    <w:rsid w:val="003476A9"/>
    <w:rsid w:val="00347B60"/>
    <w:rsid w:val="00351140"/>
    <w:rsid w:val="003530EF"/>
    <w:rsid w:val="00354379"/>
    <w:rsid w:val="00354FA1"/>
    <w:rsid w:val="0035556C"/>
    <w:rsid w:val="00355E67"/>
    <w:rsid w:val="00356374"/>
    <w:rsid w:val="00356F51"/>
    <w:rsid w:val="003624CF"/>
    <w:rsid w:val="00364CAB"/>
    <w:rsid w:val="003665AD"/>
    <w:rsid w:val="003701E9"/>
    <w:rsid w:val="003719A6"/>
    <w:rsid w:val="00372CCB"/>
    <w:rsid w:val="0037335B"/>
    <w:rsid w:val="00374C32"/>
    <w:rsid w:val="0037770F"/>
    <w:rsid w:val="003803D8"/>
    <w:rsid w:val="00381645"/>
    <w:rsid w:val="00381A56"/>
    <w:rsid w:val="00381C4F"/>
    <w:rsid w:val="003832E5"/>
    <w:rsid w:val="00387C0A"/>
    <w:rsid w:val="003906E5"/>
    <w:rsid w:val="00397831"/>
    <w:rsid w:val="003A13FB"/>
    <w:rsid w:val="003A222D"/>
    <w:rsid w:val="003A29D5"/>
    <w:rsid w:val="003A694F"/>
    <w:rsid w:val="003A7274"/>
    <w:rsid w:val="003A76DB"/>
    <w:rsid w:val="003B2905"/>
    <w:rsid w:val="003B4723"/>
    <w:rsid w:val="003B7239"/>
    <w:rsid w:val="003B7C85"/>
    <w:rsid w:val="003B7DE2"/>
    <w:rsid w:val="003C1082"/>
    <w:rsid w:val="003C123F"/>
    <w:rsid w:val="003C187C"/>
    <w:rsid w:val="003C2A9F"/>
    <w:rsid w:val="003C4686"/>
    <w:rsid w:val="003C6B7E"/>
    <w:rsid w:val="003C6F10"/>
    <w:rsid w:val="003C7D6E"/>
    <w:rsid w:val="003D0130"/>
    <w:rsid w:val="003D2250"/>
    <w:rsid w:val="003D2B99"/>
    <w:rsid w:val="003D5333"/>
    <w:rsid w:val="003D6EBC"/>
    <w:rsid w:val="003E39FF"/>
    <w:rsid w:val="003E4F77"/>
    <w:rsid w:val="003E5A11"/>
    <w:rsid w:val="003E7683"/>
    <w:rsid w:val="003F0153"/>
    <w:rsid w:val="003F3604"/>
    <w:rsid w:val="003F3710"/>
    <w:rsid w:val="003F3E40"/>
    <w:rsid w:val="003F4CD2"/>
    <w:rsid w:val="003F5518"/>
    <w:rsid w:val="003F79DB"/>
    <w:rsid w:val="003F7B50"/>
    <w:rsid w:val="0040051D"/>
    <w:rsid w:val="004035FF"/>
    <w:rsid w:val="004054ED"/>
    <w:rsid w:val="0040644F"/>
    <w:rsid w:val="00406C9B"/>
    <w:rsid w:val="0040720F"/>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48A6"/>
    <w:rsid w:val="00425AB0"/>
    <w:rsid w:val="00425EDC"/>
    <w:rsid w:val="004265D6"/>
    <w:rsid w:val="00427354"/>
    <w:rsid w:val="004335E2"/>
    <w:rsid w:val="00434C85"/>
    <w:rsid w:val="00435A96"/>
    <w:rsid w:val="0043729B"/>
    <w:rsid w:val="004404EC"/>
    <w:rsid w:val="0044056A"/>
    <w:rsid w:val="004434DA"/>
    <w:rsid w:val="00443E0E"/>
    <w:rsid w:val="00445826"/>
    <w:rsid w:val="00445C82"/>
    <w:rsid w:val="004501AE"/>
    <w:rsid w:val="00461F70"/>
    <w:rsid w:val="00465A1D"/>
    <w:rsid w:val="004667DC"/>
    <w:rsid w:val="004701EE"/>
    <w:rsid w:val="00470509"/>
    <w:rsid w:val="00471B89"/>
    <w:rsid w:val="004740B0"/>
    <w:rsid w:val="00477EF4"/>
    <w:rsid w:val="00480B1C"/>
    <w:rsid w:val="004812C2"/>
    <w:rsid w:val="0048304E"/>
    <w:rsid w:val="0048407C"/>
    <w:rsid w:val="00484999"/>
    <w:rsid w:val="00484D2F"/>
    <w:rsid w:val="00486FA4"/>
    <w:rsid w:val="004875AD"/>
    <w:rsid w:val="004878E4"/>
    <w:rsid w:val="00495540"/>
    <w:rsid w:val="00497C1F"/>
    <w:rsid w:val="004A147B"/>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2C71"/>
    <w:rsid w:val="004D18D6"/>
    <w:rsid w:val="004D1C54"/>
    <w:rsid w:val="004D2396"/>
    <w:rsid w:val="004D2A37"/>
    <w:rsid w:val="004D3776"/>
    <w:rsid w:val="004D3C65"/>
    <w:rsid w:val="004D4519"/>
    <w:rsid w:val="004D5706"/>
    <w:rsid w:val="004D7690"/>
    <w:rsid w:val="004E1E56"/>
    <w:rsid w:val="004E2227"/>
    <w:rsid w:val="004E3A4E"/>
    <w:rsid w:val="004E5424"/>
    <w:rsid w:val="004E7D90"/>
    <w:rsid w:val="004F0E15"/>
    <w:rsid w:val="004F192B"/>
    <w:rsid w:val="004F3631"/>
    <w:rsid w:val="004F3CE3"/>
    <w:rsid w:val="004F6986"/>
    <w:rsid w:val="004F7413"/>
    <w:rsid w:val="004F7661"/>
    <w:rsid w:val="005001B9"/>
    <w:rsid w:val="005003F8"/>
    <w:rsid w:val="005040E6"/>
    <w:rsid w:val="00504446"/>
    <w:rsid w:val="00505066"/>
    <w:rsid w:val="00505510"/>
    <w:rsid w:val="00506744"/>
    <w:rsid w:val="00506F17"/>
    <w:rsid w:val="00510FA1"/>
    <w:rsid w:val="00511DF2"/>
    <w:rsid w:val="00515AB5"/>
    <w:rsid w:val="005164B5"/>
    <w:rsid w:val="00516531"/>
    <w:rsid w:val="00517267"/>
    <w:rsid w:val="00520805"/>
    <w:rsid w:val="00520D3E"/>
    <w:rsid w:val="00521F7D"/>
    <w:rsid w:val="00522D61"/>
    <w:rsid w:val="00522D88"/>
    <w:rsid w:val="00524845"/>
    <w:rsid w:val="00526106"/>
    <w:rsid w:val="0052673A"/>
    <w:rsid w:val="00532698"/>
    <w:rsid w:val="0053289E"/>
    <w:rsid w:val="00532C34"/>
    <w:rsid w:val="00532E35"/>
    <w:rsid w:val="00534F08"/>
    <w:rsid w:val="00534F11"/>
    <w:rsid w:val="00534FF9"/>
    <w:rsid w:val="005360AD"/>
    <w:rsid w:val="00536FEA"/>
    <w:rsid w:val="00537248"/>
    <w:rsid w:val="0053779B"/>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70754"/>
    <w:rsid w:val="00571037"/>
    <w:rsid w:val="00572DCC"/>
    <w:rsid w:val="00573184"/>
    <w:rsid w:val="005734C6"/>
    <w:rsid w:val="00576356"/>
    <w:rsid w:val="0057638B"/>
    <w:rsid w:val="0057744B"/>
    <w:rsid w:val="0058160F"/>
    <w:rsid w:val="00582B10"/>
    <w:rsid w:val="00584CBC"/>
    <w:rsid w:val="00585C69"/>
    <w:rsid w:val="00587938"/>
    <w:rsid w:val="00590C10"/>
    <w:rsid w:val="00590C93"/>
    <w:rsid w:val="0059272C"/>
    <w:rsid w:val="00593255"/>
    <w:rsid w:val="005949C3"/>
    <w:rsid w:val="00597132"/>
    <w:rsid w:val="00597D46"/>
    <w:rsid w:val="005A206E"/>
    <w:rsid w:val="005A55A5"/>
    <w:rsid w:val="005B0575"/>
    <w:rsid w:val="005B0F53"/>
    <w:rsid w:val="005B1A98"/>
    <w:rsid w:val="005B224E"/>
    <w:rsid w:val="005B3265"/>
    <w:rsid w:val="005B48BC"/>
    <w:rsid w:val="005B4FD5"/>
    <w:rsid w:val="005B5675"/>
    <w:rsid w:val="005B5773"/>
    <w:rsid w:val="005C353A"/>
    <w:rsid w:val="005C3934"/>
    <w:rsid w:val="005C7609"/>
    <w:rsid w:val="005C79C5"/>
    <w:rsid w:val="005D1008"/>
    <w:rsid w:val="005D17B8"/>
    <w:rsid w:val="005D1899"/>
    <w:rsid w:val="005D2F76"/>
    <w:rsid w:val="005D788C"/>
    <w:rsid w:val="005E0ADE"/>
    <w:rsid w:val="005E2172"/>
    <w:rsid w:val="005E2605"/>
    <w:rsid w:val="005E57CD"/>
    <w:rsid w:val="005F082C"/>
    <w:rsid w:val="005F085A"/>
    <w:rsid w:val="005F0A95"/>
    <w:rsid w:val="005F0E46"/>
    <w:rsid w:val="005F237D"/>
    <w:rsid w:val="005F365B"/>
    <w:rsid w:val="00600AF2"/>
    <w:rsid w:val="00600E4A"/>
    <w:rsid w:val="00601AC5"/>
    <w:rsid w:val="00601BA9"/>
    <w:rsid w:val="00601D88"/>
    <w:rsid w:val="006024D7"/>
    <w:rsid w:val="006075CF"/>
    <w:rsid w:val="006135BE"/>
    <w:rsid w:val="0061490A"/>
    <w:rsid w:val="00614B06"/>
    <w:rsid w:val="00615583"/>
    <w:rsid w:val="006159BB"/>
    <w:rsid w:val="006159E0"/>
    <w:rsid w:val="00616CC0"/>
    <w:rsid w:val="006176C6"/>
    <w:rsid w:val="00620DD0"/>
    <w:rsid w:val="0062229C"/>
    <w:rsid w:val="006226AE"/>
    <w:rsid w:val="0062301C"/>
    <w:rsid w:val="0062341D"/>
    <w:rsid w:val="00624009"/>
    <w:rsid w:val="00624B58"/>
    <w:rsid w:val="00625284"/>
    <w:rsid w:val="00625467"/>
    <w:rsid w:val="0062567F"/>
    <w:rsid w:val="00627CBA"/>
    <w:rsid w:val="00631D6C"/>
    <w:rsid w:val="00634002"/>
    <w:rsid w:val="00634EBC"/>
    <w:rsid w:val="00635FAC"/>
    <w:rsid w:val="006442E0"/>
    <w:rsid w:val="006444A8"/>
    <w:rsid w:val="006457B5"/>
    <w:rsid w:val="006505B4"/>
    <w:rsid w:val="006515E0"/>
    <w:rsid w:val="006517C7"/>
    <w:rsid w:val="00652047"/>
    <w:rsid w:val="006534C8"/>
    <w:rsid w:val="00655BD6"/>
    <w:rsid w:val="00657ED6"/>
    <w:rsid w:val="006607E3"/>
    <w:rsid w:val="0066720C"/>
    <w:rsid w:val="0067134E"/>
    <w:rsid w:val="006732C2"/>
    <w:rsid w:val="006738C8"/>
    <w:rsid w:val="00674D5E"/>
    <w:rsid w:val="00675433"/>
    <w:rsid w:val="006805B3"/>
    <w:rsid w:val="00682E81"/>
    <w:rsid w:val="00685636"/>
    <w:rsid w:val="00686DAD"/>
    <w:rsid w:val="0069527D"/>
    <w:rsid w:val="006979EF"/>
    <w:rsid w:val="006A0BB1"/>
    <w:rsid w:val="006A2E4C"/>
    <w:rsid w:val="006A32D5"/>
    <w:rsid w:val="006A3715"/>
    <w:rsid w:val="006A4EBC"/>
    <w:rsid w:val="006A6304"/>
    <w:rsid w:val="006B0FE5"/>
    <w:rsid w:val="006B2635"/>
    <w:rsid w:val="006B28E0"/>
    <w:rsid w:val="006B293D"/>
    <w:rsid w:val="006B4E3C"/>
    <w:rsid w:val="006B5190"/>
    <w:rsid w:val="006B610A"/>
    <w:rsid w:val="006B6247"/>
    <w:rsid w:val="006B6D26"/>
    <w:rsid w:val="006C0437"/>
    <w:rsid w:val="006C0A02"/>
    <w:rsid w:val="006C2B91"/>
    <w:rsid w:val="006C3331"/>
    <w:rsid w:val="006C3B2F"/>
    <w:rsid w:val="006C3D6F"/>
    <w:rsid w:val="006C61BC"/>
    <w:rsid w:val="006D084A"/>
    <w:rsid w:val="006D1BEF"/>
    <w:rsid w:val="006D2B7C"/>
    <w:rsid w:val="006D5D50"/>
    <w:rsid w:val="006D6CEE"/>
    <w:rsid w:val="006E1A4B"/>
    <w:rsid w:val="006E2111"/>
    <w:rsid w:val="006E2DC5"/>
    <w:rsid w:val="006E3293"/>
    <w:rsid w:val="006F1532"/>
    <w:rsid w:val="006F1A93"/>
    <w:rsid w:val="006F3D49"/>
    <w:rsid w:val="006F4275"/>
    <w:rsid w:val="006F49B6"/>
    <w:rsid w:val="006F58AB"/>
    <w:rsid w:val="006F7D66"/>
    <w:rsid w:val="0070080D"/>
    <w:rsid w:val="00700CCE"/>
    <w:rsid w:val="00702AD4"/>
    <w:rsid w:val="00703EB1"/>
    <w:rsid w:val="007041DA"/>
    <w:rsid w:val="0070516B"/>
    <w:rsid w:val="00705464"/>
    <w:rsid w:val="0071069B"/>
    <w:rsid w:val="007131B6"/>
    <w:rsid w:val="00713DB5"/>
    <w:rsid w:val="0071511E"/>
    <w:rsid w:val="0071564E"/>
    <w:rsid w:val="00715706"/>
    <w:rsid w:val="00717274"/>
    <w:rsid w:val="00721055"/>
    <w:rsid w:val="00721492"/>
    <w:rsid w:val="00722897"/>
    <w:rsid w:val="00722FC8"/>
    <w:rsid w:val="00723563"/>
    <w:rsid w:val="00723FD8"/>
    <w:rsid w:val="007252BB"/>
    <w:rsid w:val="0072556A"/>
    <w:rsid w:val="00726AB7"/>
    <w:rsid w:val="0072713C"/>
    <w:rsid w:val="007321E8"/>
    <w:rsid w:val="00732BA8"/>
    <w:rsid w:val="00734B7C"/>
    <w:rsid w:val="007350D1"/>
    <w:rsid w:val="00735AD6"/>
    <w:rsid w:val="00735D75"/>
    <w:rsid w:val="007364AC"/>
    <w:rsid w:val="0074064D"/>
    <w:rsid w:val="00740DC8"/>
    <w:rsid w:val="00742CC2"/>
    <w:rsid w:val="00743629"/>
    <w:rsid w:val="00745676"/>
    <w:rsid w:val="00747E86"/>
    <w:rsid w:val="007505BA"/>
    <w:rsid w:val="00751FAF"/>
    <w:rsid w:val="007520AE"/>
    <w:rsid w:val="00753DE6"/>
    <w:rsid w:val="007556A4"/>
    <w:rsid w:val="00756E24"/>
    <w:rsid w:val="007578FA"/>
    <w:rsid w:val="0076072A"/>
    <w:rsid w:val="00761AA9"/>
    <w:rsid w:val="00763436"/>
    <w:rsid w:val="00763531"/>
    <w:rsid w:val="00763EA8"/>
    <w:rsid w:val="0076523D"/>
    <w:rsid w:val="007655B4"/>
    <w:rsid w:val="00766801"/>
    <w:rsid w:val="00770613"/>
    <w:rsid w:val="00770CA7"/>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A53C8"/>
    <w:rsid w:val="007A6488"/>
    <w:rsid w:val="007A7D1C"/>
    <w:rsid w:val="007B0ECA"/>
    <w:rsid w:val="007B2D5B"/>
    <w:rsid w:val="007B58C0"/>
    <w:rsid w:val="007B65D6"/>
    <w:rsid w:val="007C0351"/>
    <w:rsid w:val="007C5527"/>
    <w:rsid w:val="007C563B"/>
    <w:rsid w:val="007C5973"/>
    <w:rsid w:val="007C6138"/>
    <w:rsid w:val="007C709F"/>
    <w:rsid w:val="007C77BC"/>
    <w:rsid w:val="007D0500"/>
    <w:rsid w:val="007D0A34"/>
    <w:rsid w:val="007D2B1E"/>
    <w:rsid w:val="007D370C"/>
    <w:rsid w:val="007D4D0C"/>
    <w:rsid w:val="007D5F73"/>
    <w:rsid w:val="007D63A3"/>
    <w:rsid w:val="007E04F6"/>
    <w:rsid w:val="007E1136"/>
    <w:rsid w:val="007E157A"/>
    <w:rsid w:val="007E28D2"/>
    <w:rsid w:val="007E3908"/>
    <w:rsid w:val="007F1D1E"/>
    <w:rsid w:val="007F3134"/>
    <w:rsid w:val="007F3948"/>
    <w:rsid w:val="007F5C88"/>
    <w:rsid w:val="007F6A98"/>
    <w:rsid w:val="007F7233"/>
    <w:rsid w:val="007F7AEB"/>
    <w:rsid w:val="007F7EE6"/>
    <w:rsid w:val="0080033E"/>
    <w:rsid w:val="00801587"/>
    <w:rsid w:val="00803372"/>
    <w:rsid w:val="008105E6"/>
    <w:rsid w:val="0081077B"/>
    <w:rsid w:val="008145A3"/>
    <w:rsid w:val="008158B0"/>
    <w:rsid w:val="00815EF7"/>
    <w:rsid w:val="00816391"/>
    <w:rsid w:val="00820047"/>
    <w:rsid w:val="00820476"/>
    <w:rsid w:val="00822D05"/>
    <w:rsid w:val="00822D6E"/>
    <w:rsid w:val="008268AC"/>
    <w:rsid w:val="008272BA"/>
    <w:rsid w:val="00830F1B"/>
    <w:rsid w:val="00831B72"/>
    <w:rsid w:val="00831C6B"/>
    <w:rsid w:val="00831F19"/>
    <w:rsid w:val="0083428E"/>
    <w:rsid w:val="008347CA"/>
    <w:rsid w:val="00840CA8"/>
    <w:rsid w:val="00844EDF"/>
    <w:rsid w:val="008452F0"/>
    <w:rsid w:val="0085006B"/>
    <w:rsid w:val="00852C9A"/>
    <w:rsid w:val="00853556"/>
    <w:rsid w:val="008539CA"/>
    <w:rsid w:val="00853A7C"/>
    <w:rsid w:val="00853C41"/>
    <w:rsid w:val="00853DC4"/>
    <w:rsid w:val="00854195"/>
    <w:rsid w:val="008548E2"/>
    <w:rsid w:val="00856554"/>
    <w:rsid w:val="00861A7F"/>
    <w:rsid w:val="00864582"/>
    <w:rsid w:val="00865E6B"/>
    <w:rsid w:val="00870601"/>
    <w:rsid w:val="00873FA3"/>
    <w:rsid w:val="00874541"/>
    <w:rsid w:val="00875DD7"/>
    <w:rsid w:val="00876E49"/>
    <w:rsid w:val="008840D2"/>
    <w:rsid w:val="00884EEB"/>
    <w:rsid w:val="00886114"/>
    <w:rsid w:val="00887704"/>
    <w:rsid w:val="0088792E"/>
    <w:rsid w:val="00890AE6"/>
    <w:rsid w:val="00890E42"/>
    <w:rsid w:val="00890FB7"/>
    <w:rsid w:val="00891FE4"/>
    <w:rsid w:val="00893641"/>
    <w:rsid w:val="00894E5F"/>
    <w:rsid w:val="00894EDA"/>
    <w:rsid w:val="00895EC8"/>
    <w:rsid w:val="008A3F69"/>
    <w:rsid w:val="008A5024"/>
    <w:rsid w:val="008A6443"/>
    <w:rsid w:val="008A714C"/>
    <w:rsid w:val="008A7633"/>
    <w:rsid w:val="008A7BF8"/>
    <w:rsid w:val="008B0BFE"/>
    <w:rsid w:val="008B28DE"/>
    <w:rsid w:val="008B518F"/>
    <w:rsid w:val="008B6432"/>
    <w:rsid w:val="008B67A8"/>
    <w:rsid w:val="008B6F60"/>
    <w:rsid w:val="008B703E"/>
    <w:rsid w:val="008B74A6"/>
    <w:rsid w:val="008B7C12"/>
    <w:rsid w:val="008C094A"/>
    <w:rsid w:val="008C0D92"/>
    <w:rsid w:val="008C2557"/>
    <w:rsid w:val="008C26C6"/>
    <w:rsid w:val="008C30C1"/>
    <w:rsid w:val="008C3F9E"/>
    <w:rsid w:val="008C422E"/>
    <w:rsid w:val="008C4B3B"/>
    <w:rsid w:val="008C52F9"/>
    <w:rsid w:val="008C5997"/>
    <w:rsid w:val="008C6531"/>
    <w:rsid w:val="008C657F"/>
    <w:rsid w:val="008C7538"/>
    <w:rsid w:val="008C783F"/>
    <w:rsid w:val="008D13FF"/>
    <w:rsid w:val="008D2043"/>
    <w:rsid w:val="008D229C"/>
    <w:rsid w:val="008D3184"/>
    <w:rsid w:val="008D4187"/>
    <w:rsid w:val="008D768D"/>
    <w:rsid w:val="008D7A1E"/>
    <w:rsid w:val="008D7D8D"/>
    <w:rsid w:val="008E0581"/>
    <w:rsid w:val="008E188F"/>
    <w:rsid w:val="008E1C64"/>
    <w:rsid w:val="008E315A"/>
    <w:rsid w:val="008E523C"/>
    <w:rsid w:val="008F0730"/>
    <w:rsid w:val="008F2BDA"/>
    <w:rsid w:val="008F38C9"/>
    <w:rsid w:val="008F399A"/>
    <w:rsid w:val="008F6FBB"/>
    <w:rsid w:val="008F7DFA"/>
    <w:rsid w:val="009003A7"/>
    <w:rsid w:val="009008F0"/>
    <w:rsid w:val="00900C06"/>
    <w:rsid w:val="00901CC6"/>
    <w:rsid w:val="009046C5"/>
    <w:rsid w:val="009053B9"/>
    <w:rsid w:val="00905A22"/>
    <w:rsid w:val="0091070A"/>
    <w:rsid w:val="0091151F"/>
    <w:rsid w:val="00913679"/>
    <w:rsid w:val="00913F6C"/>
    <w:rsid w:val="0091436C"/>
    <w:rsid w:val="009145D8"/>
    <w:rsid w:val="00916525"/>
    <w:rsid w:val="00920215"/>
    <w:rsid w:val="00920F9E"/>
    <w:rsid w:val="009224DC"/>
    <w:rsid w:val="009274D4"/>
    <w:rsid w:val="00927633"/>
    <w:rsid w:val="00930C1B"/>
    <w:rsid w:val="0093341E"/>
    <w:rsid w:val="00935461"/>
    <w:rsid w:val="009432E9"/>
    <w:rsid w:val="009454C2"/>
    <w:rsid w:val="00945C10"/>
    <w:rsid w:val="009468D9"/>
    <w:rsid w:val="00957081"/>
    <w:rsid w:val="00957DDE"/>
    <w:rsid w:val="00960625"/>
    <w:rsid w:val="00962849"/>
    <w:rsid w:val="00962C2C"/>
    <w:rsid w:val="00964B5D"/>
    <w:rsid w:val="00965609"/>
    <w:rsid w:val="0096685D"/>
    <w:rsid w:val="00967B57"/>
    <w:rsid w:val="00970DDD"/>
    <w:rsid w:val="00972138"/>
    <w:rsid w:val="00973001"/>
    <w:rsid w:val="0097335E"/>
    <w:rsid w:val="00975092"/>
    <w:rsid w:val="009761C9"/>
    <w:rsid w:val="00976D16"/>
    <w:rsid w:val="00980375"/>
    <w:rsid w:val="00980F34"/>
    <w:rsid w:val="00985585"/>
    <w:rsid w:val="00985846"/>
    <w:rsid w:val="00987AD6"/>
    <w:rsid w:val="009906FF"/>
    <w:rsid w:val="00990DD6"/>
    <w:rsid w:val="00995DDC"/>
    <w:rsid w:val="0099757C"/>
    <w:rsid w:val="00997E3B"/>
    <w:rsid w:val="009A2000"/>
    <w:rsid w:val="009A2118"/>
    <w:rsid w:val="009A2638"/>
    <w:rsid w:val="009A32ED"/>
    <w:rsid w:val="009A3C1E"/>
    <w:rsid w:val="009A4487"/>
    <w:rsid w:val="009A47B6"/>
    <w:rsid w:val="009A4EF8"/>
    <w:rsid w:val="009A7A16"/>
    <w:rsid w:val="009B01A4"/>
    <w:rsid w:val="009B241B"/>
    <w:rsid w:val="009B50CB"/>
    <w:rsid w:val="009B5AC7"/>
    <w:rsid w:val="009C0F85"/>
    <w:rsid w:val="009C1114"/>
    <w:rsid w:val="009C1644"/>
    <w:rsid w:val="009C1ECC"/>
    <w:rsid w:val="009D1EAF"/>
    <w:rsid w:val="009D5128"/>
    <w:rsid w:val="009D5490"/>
    <w:rsid w:val="009E6587"/>
    <w:rsid w:val="009F0A1D"/>
    <w:rsid w:val="009F11E3"/>
    <w:rsid w:val="009F1498"/>
    <w:rsid w:val="009F2599"/>
    <w:rsid w:val="009F4900"/>
    <w:rsid w:val="00A011D3"/>
    <w:rsid w:val="00A05453"/>
    <w:rsid w:val="00A10814"/>
    <w:rsid w:val="00A10E2C"/>
    <w:rsid w:val="00A168A4"/>
    <w:rsid w:val="00A17591"/>
    <w:rsid w:val="00A21F75"/>
    <w:rsid w:val="00A22FB7"/>
    <w:rsid w:val="00A23844"/>
    <w:rsid w:val="00A23B69"/>
    <w:rsid w:val="00A261B1"/>
    <w:rsid w:val="00A2648D"/>
    <w:rsid w:val="00A3085F"/>
    <w:rsid w:val="00A30D9D"/>
    <w:rsid w:val="00A317D3"/>
    <w:rsid w:val="00A32F91"/>
    <w:rsid w:val="00A34C4C"/>
    <w:rsid w:val="00A4069C"/>
    <w:rsid w:val="00A41426"/>
    <w:rsid w:val="00A43481"/>
    <w:rsid w:val="00A46F70"/>
    <w:rsid w:val="00A47505"/>
    <w:rsid w:val="00A50990"/>
    <w:rsid w:val="00A50A30"/>
    <w:rsid w:val="00A52A20"/>
    <w:rsid w:val="00A52C19"/>
    <w:rsid w:val="00A52FBC"/>
    <w:rsid w:val="00A53861"/>
    <w:rsid w:val="00A5469A"/>
    <w:rsid w:val="00A54874"/>
    <w:rsid w:val="00A54FA0"/>
    <w:rsid w:val="00A56D93"/>
    <w:rsid w:val="00A57D0B"/>
    <w:rsid w:val="00A61143"/>
    <w:rsid w:val="00A62A9C"/>
    <w:rsid w:val="00A662C0"/>
    <w:rsid w:val="00A676B9"/>
    <w:rsid w:val="00A705DB"/>
    <w:rsid w:val="00A71995"/>
    <w:rsid w:val="00A73E4C"/>
    <w:rsid w:val="00A74AF3"/>
    <w:rsid w:val="00A74CEE"/>
    <w:rsid w:val="00A76609"/>
    <w:rsid w:val="00A819DB"/>
    <w:rsid w:val="00A84EF2"/>
    <w:rsid w:val="00A86051"/>
    <w:rsid w:val="00A8660B"/>
    <w:rsid w:val="00A8722D"/>
    <w:rsid w:val="00A87245"/>
    <w:rsid w:val="00A925CB"/>
    <w:rsid w:val="00A92F2A"/>
    <w:rsid w:val="00A93C3B"/>
    <w:rsid w:val="00A93CCA"/>
    <w:rsid w:val="00A940BF"/>
    <w:rsid w:val="00A959A6"/>
    <w:rsid w:val="00A96B21"/>
    <w:rsid w:val="00A970DD"/>
    <w:rsid w:val="00AA28B1"/>
    <w:rsid w:val="00AA56C2"/>
    <w:rsid w:val="00AA710C"/>
    <w:rsid w:val="00AA7308"/>
    <w:rsid w:val="00AB2608"/>
    <w:rsid w:val="00AB4FA9"/>
    <w:rsid w:val="00AB52DB"/>
    <w:rsid w:val="00AC151D"/>
    <w:rsid w:val="00AC234D"/>
    <w:rsid w:val="00AC2A4D"/>
    <w:rsid w:val="00AC35E6"/>
    <w:rsid w:val="00AC66EF"/>
    <w:rsid w:val="00AC67AB"/>
    <w:rsid w:val="00AC6AB3"/>
    <w:rsid w:val="00AC7F07"/>
    <w:rsid w:val="00AD00D5"/>
    <w:rsid w:val="00AD17CA"/>
    <w:rsid w:val="00AD4000"/>
    <w:rsid w:val="00AD5707"/>
    <w:rsid w:val="00AD5DA1"/>
    <w:rsid w:val="00AD7189"/>
    <w:rsid w:val="00AD71F9"/>
    <w:rsid w:val="00AE0D81"/>
    <w:rsid w:val="00AE1A95"/>
    <w:rsid w:val="00AE1CDB"/>
    <w:rsid w:val="00AE2130"/>
    <w:rsid w:val="00AE5B1F"/>
    <w:rsid w:val="00AE6558"/>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438C"/>
    <w:rsid w:val="00B26498"/>
    <w:rsid w:val="00B26504"/>
    <w:rsid w:val="00B27B78"/>
    <w:rsid w:val="00B3060E"/>
    <w:rsid w:val="00B33A9D"/>
    <w:rsid w:val="00B354DA"/>
    <w:rsid w:val="00B356AB"/>
    <w:rsid w:val="00B35BAC"/>
    <w:rsid w:val="00B3608F"/>
    <w:rsid w:val="00B36EA9"/>
    <w:rsid w:val="00B3758D"/>
    <w:rsid w:val="00B37BDF"/>
    <w:rsid w:val="00B40229"/>
    <w:rsid w:val="00B40529"/>
    <w:rsid w:val="00B40681"/>
    <w:rsid w:val="00B415BB"/>
    <w:rsid w:val="00B427AF"/>
    <w:rsid w:val="00B44829"/>
    <w:rsid w:val="00B45F35"/>
    <w:rsid w:val="00B47D68"/>
    <w:rsid w:val="00B50BB8"/>
    <w:rsid w:val="00B53B73"/>
    <w:rsid w:val="00B55D8E"/>
    <w:rsid w:val="00B5628F"/>
    <w:rsid w:val="00B564C5"/>
    <w:rsid w:val="00B56955"/>
    <w:rsid w:val="00B57FE6"/>
    <w:rsid w:val="00B630A1"/>
    <w:rsid w:val="00B64725"/>
    <w:rsid w:val="00B6540A"/>
    <w:rsid w:val="00B65AD1"/>
    <w:rsid w:val="00B73C66"/>
    <w:rsid w:val="00B75474"/>
    <w:rsid w:val="00B75BF2"/>
    <w:rsid w:val="00B762F8"/>
    <w:rsid w:val="00B76DBA"/>
    <w:rsid w:val="00B77991"/>
    <w:rsid w:val="00B80674"/>
    <w:rsid w:val="00B80710"/>
    <w:rsid w:val="00B82D82"/>
    <w:rsid w:val="00B842CA"/>
    <w:rsid w:val="00B8473A"/>
    <w:rsid w:val="00B861C7"/>
    <w:rsid w:val="00B869AE"/>
    <w:rsid w:val="00B86A12"/>
    <w:rsid w:val="00B86D89"/>
    <w:rsid w:val="00B9052F"/>
    <w:rsid w:val="00B91D10"/>
    <w:rsid w:val="00B92153"/>
    <w:rsid w:val="00B92AED"/>
    <w:rsid w:val="00B92B4D"/>
    <w:rsid w:val="00B941FB"/>
    <w:rsid w:val="00B96B97"/>
    <w:rsid w:val="00B97364"/>
    <w:rsid w:val="00B97F8E"/>
    <w:rsid w:val="00BA1535"/>
    <w:rsid w:val="00BA1AC1"/>
    <w:rsid w:val="00BA34FB"/>
    <w:rsid w:val="00BA4AA4"/>
    <w:rsid w:val="00BA5C5A"/>
    <w:rsid w:val="00BA68EA"/>
    <w:rsid w:val="00BA7507"/>
    <w:rsid w:val="00BB1A51"/>
    <w:rsid w:val="00BB32E0"/>
    <w:rsid w:val="00BB4078"/>
    <w:rsid w:val="00BB5715"/>
    <w:rsid w:val="00BB6518"/>
    <w:rsid w:val="00BB7F21"/>
    <w:rsid w:val="00BC299E"/>
    <w:rsid w:val="00BC34A8"/>
    <w:rsid w:val="00BC72E2"/>
    <w:rsid w:val="00BD126B"/>
    <w:rsid w:val="00BD1F04"/>
    <w:rsid w:val="00BD2A18"/>
    <w:rsid w:val="00BD3447"/>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8AE"/>
    <w:rsid w:val="00C36652"/>
    <w:rsid w:val="00C401F5"/>
    <w:rsid w:val="00C4105E"/>
    <w:rsid w:val="00C41B67"/>
    <w:rsid w:val="00C426E4"/>
    <w:rsid w:val="00C45303"/>
    <w:rsid w:val="00C458EA"/>
    <w:rsid w:val="00C461ED"/>
    <w:rsid w:val="00C50332"/>
    <w:rsid w:val="00C53390"/>
    <w:rsid w:val="00C53C1E"/>
    <w:rsid w:val="00C53D5A"/>
    <w:rsid w:val="00C54384"/>
    <w:rsid w:val="00C544D2"/>
    <w:rsid w:val="00C548CD"/>
    <w:rsid w:val="00C5490A"/>
    <w:rsid w:val="00C5671A"/>
    <w:rsid w:val="00C572DB"/>
    <w:rsid w:val="00C63973"/>
    <w:rsid w:val="00C63F7C"/>
    <w:rsid w:val="00C66A0D"/>
    <w:rsid w:val="00C67919"/>
    <w:rsid w:val="00C7055B"/>
    <w:rsid w:val="00C7197F"/>
    <w:rsid w:val="00C73E2B"/>
    <w:rsid w:val="00C74A51"/>
    <w:rsid w:val="00C74BCE"/>
    <w:rsid w:val="00C7556F"/>
    <w:rsid w:val="00C75CCF"/>
    <w:rsid w:val="00C76181"/>
    <w:rsid w:val="00C76289"/>
    <w:rsid w:val="00C76948"/>
    <w:rsid w:val="00C80CEB"/>
    <w:rsid w:val="00C820AF"/>
    <w:rsid w:val="00C83988"/>
    <w:rsid w:val="00C83A3F"/>
    <w:rsid w:val="00C90A5E"/>
    <w:rsid w:val="00C90EBA"/>
    <w:rsid w:val="00C932BD"/>
    <w:rsid w:val="00C96D1A"/>
    <w:rsid w:val="00C970D4"/>
    <w:rsid w:val="00CA02B8"/>
    <w:rsid w:val="00CA0543"/>
    <w:rsid w:val="00CA0C30"/>
    <w:rsid w:val="00CA3109"/>
    <w:rsid w:val="00CA3320"/>
    <w:rsid w:val="00CB0715"/>
    <w:rsid w:val="00CB2140"/>
    <w:rsid w:val="00CB3907"/>
    <w:rsid w:val="00CB69A7"/>
    <w:rsid w:val="00CC0720"/>
    <w:rsid w:val="00CC1D22"/>
    <w:rsid w:val="00CC239E"/>
    <w:rsid w:val="00CC4157"/>
    <w:rsid w:val="00CC745D"/>
    <w:rsid w:val="00CC7ADE"/>
    <w:rsid w:val="00CD09C4"/>
    <w:rsid w:val="00CD1750"/>
    <w:rsid w:val="00CD2B2A"/>
    <w:rsid w:val="00CD3ED9"/>
    <w:rsid w:val="00CD4C56"/>
    <w:rsid w:val="00CD5585"/>
    <w:rsid w:val="00CD60BF"/>
    <w:rsid w:val="00CD6BC4"/>
    <w:rsid w:val="00CE040F"/>
    <w:rsid w:val="00CE10FE"/>
    <w:rsid w:val="00CE1D2F"/>
    <w:rsid w:val="00CE3525"/>
    <w:rsid w:val="00CE3B5F"/>
    <w:rsid w:val="00CE4545"/>
    <w:rsid w:val="00CE4E3E"/>
    <w:rsid w:val="00CE5BB4"/>
    <w:rsid w:val="00CE70B6"/>
    <w:rsid w:val="00CF03EE"/>
    <w:rsid w:val="00CF5B82"/>
    <w:rsid w:val="00CF70AB"/>
    <w:rsid w:val="00CF7926"/>
    <w:rsid w:val="00D00FA0"/>
    <w:rsid w:val="00D01775"/>
    <w:rsid w:val="00D027C9"/>
    <w:rsid w:val="00D02DFC"/>
    <w:rsid w:val="00D047E7"/>
    <w:rsid w:val="00D053A9"/>
    <w:rsid w:val="00D05D38"/>
    <w:rsid w:val="00D11CF7"/>
    <w:rsid w:val="00D15D0A"/>
    <w:rsid w:val="00D163F5"/>
    <w:rsid w:val="00D16CDD"/>
    <w:rsid w:val="00D17CEB"/>
    <w:rsid w:val="00D20220"/>
    <w:rsid w:val="00D20EF0"/>
    <w:rsid w:val="00D2126E"/>
    <w:rsid w:val="00D24B54"/>
    <w:rsid w:val="00D26915"/>
    <w:rsid w:val="00D27F25"/>
    <w:rsid w:val="00D3059B"/>
    <w:rsid w:val="00D30A2C"/>
    <w:rsid w:val="00D30B5A"/>
    <w:rsid w:val="00D31E91"/>
    <w:rsid w:val="00D31F75"/>
    <w:rsid w:val="00D34F6D"/>
    <w:rsid w:val="00D3510A"/>
    <w:rsid w:val="00D36F3E"/>
    <w:rsid w:val="00D40C15"/>
    <w:rsid w:val="00D41F6E"/>
    <w:rsid w:val="00D43E85"/>
    <w:rsid w:val="00D44D04"/>
    <w:rsid w:val="00D44EC0"/>
    <w:rsid w:val="00D45485"/>
    <w:rsid w:val="00D509EC"/>
    <w:rsid w:val="00D50E11"/>
    <w:rsid w:val="00D514D3"/>
    <w:rsid w:val="00D5287B"/>
    <w:rsid w:val="00D54C7A"/>
    <w:rsid w:val="00D60046"/>
    <w:rsid w:val="00D6129E"/>
    <w:rsid w:val="00D61DA1"/>
    <w:rsid w:val="00D620A3"/>
    <w:rsid w:val="00D63515"/>
    <w:rsid w:val="00D637D5"/>
    <w:rsid w:val="00D6639F"/>
    <w:rsid w:val="00D66BB7"/>
    <w:rsid w:val="00D66DF2"/>
    <w:rsid w:val="00D67FB8"/>
    <w:rsid w:val="00D71FFB"/>
    <w:rsid w:val="00D72A4B"/>
    <w:rsid w:val="00D76D13"/>
    <w:rsid w:val="00D82A6C"/>
    <w:rsid w:val="00D82C1F"/>
    <w:rsid w:val="00D8396D"/>
    <w:rsid w:val="00D84CF4"/>
    <w:rsid w:val="00D8767C"/>
    <w:rsid w:val="00D87B7E"/>
    <w:rsid w:val="00D9071C"/>
    <w:rsid w:val="00D970A3"/>
    <w:rsid w:val="00D97FBB"/>
    <w:rsid w:val="00DA112E"/>
    <w:rsid w:val="00DA11D8"/>
    <w:rsid w:val="00DA172E"/>
    <w:rsid w:val="00DA43E7"/>
    <w:rsid w:val="00DA4E23"/>
    <w:rsid w:val="00DA7051"/>
    <w:rsid w:val="00DA7691"/>
    <w:rsid w:val="00DB1E8F"/>
    <w:rsid w:val="00DB263C"/>
    <w:rsid w:val="00DB4FE9"/>
    <w:rsid w:val="00DB6A79"/>
    <w:rsid w:val="00DC01D8"/>
    <w:rsid w:val="00DC23BD"/>
    <w:rsid w:val="00DC25ED"/>
    <w:rsid w:val="00DC7E42"/>
    <w:rsid w:val="00DD1286"/>
    <w:rsid w:val="00DD6C0D"/>
    <w:rsid w:val="00DE2C4C"/>
    <w:rsid w:val="00DE3132"/>
    <w:rsid w:val="00DE376B"/>
    <w:rsid w:val="00DE37A6"/>
    <w:rsid w:val="00DE3C82"/>
    <w:rsid w:val="00DE418C"/>
    <w:rsid w:val="00DE45EC"/>
    <w:rsid w:val="00DE4CA6"/>
    <w:rsid w:val="00DE5F26"/>
    <w:rsid w:val="00DE7781"/>
    <w:rsid w:val="00DF0AD9"/>
    <w:rsid w:val="00DF61E2"/>
    <w:rsid w:val="00DF7333"/>
    <w:rsid w:val="00DF738B"/>
    <w:rsid w:val="00E00105"/>
    <w:rsid w:val="00E00401"/>
    <w:rsid w:val="00E00454"/>
    <w:rsid w:val="00E016D6"/>
    <w:rsid w:val="00E047F9"/>
    <w:rsid w:val="00E04EE9"/>
    <w:rsid w:val="00E05FE1"/>
    <w:rsid w:val="00E12040"/>
    <w:rsid w:val="00E13F2B"/>
    <w:rsid w:val="00E149FB"/>
    <w:rsid w:val="00E1581A"/>
    <w:rsid w:val="00E1597C"/>
    <w:rsid w:val="00E16F15"/>
    <w:rsid w:val="00E2220C"/>
    <w:rsid w:val="00E26357"/>
    <w:rsid w:val="00E26560"/>
    <w:rsid w:val="00E27B36"/>
    <w:rsid w:val="00E30167"/>
    <w:rsid w:val="00E30CD2"/>
    <w:rsid w:val="00E31208"/>
    <w:rsid w:val="00E312C2"/>
    <w:rsid w:val="00E31E38"/>
    <w:rsid w:val="00E32527"/>
    <w:rsid w:val="00E3432F"/>
    <w:rsid w:val="00E41037"/>
    <w:rsid w:val="00E414EE"/>
    <w:rsid w:val="00E42A24"/>
    <w:rsid w:val="00E42ECD"/>
    <w:rsid w:val="00E43289"/>
    <w:rsid w:val="00E4484E"/>
    <w:rsid w:val="00E44C88"/>
    <w:rsid w:val="00E4633B"/>
    <w:rsid w:val="00E47459"/>
    <w:rsid w:val="00E47C68"/>
    <w:rsid w:val="00E50AA6"/>
    <w:rsid w:val="00E53172"/>
    <w:rsid w:val="00E53DEA"/>
    <w:rsid w:val="00E54001"/>
    <w:rsid w:val="00E5416B"/>
    <w:rsid w:val="00E5494B"/>
    <w:rsid w:val="00E569A4"/>
    <w:rsid w:val="00E613D5"/>
    <w:rsid w:val="00E6306E"/>
    <w:rsid w:val="00E63349"/>
    <w:rsid w:val="00E637DC"/>
    <w:rsid w:val="00E641CE"/>
    <w:rsid w:val="00E650C1"/>
    <w:rsid w:val="00E650FF"/>
    <w:rsid w:val="00E6644C"/>
    <w:rsid w:val="00E72E2A"/>
    <w:rsid w:val="00E72E49"/>
    <w:rsid w:val="00E72FC9"/>
    <w:rsid w:val="00E73005"/>
    <w:rsid w:val="00E73B26"/>
    <w:rsid w:val="00E74B79"/>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B4F"/>
    <w:rsid w:val="00EA3844"/>
    <w:rsid w:val="00EA3E52"/>
    <w:rsid w:val="00EA4C06"/>
    <w:rsid w:val="00EA520A"/>
    <w:rsid w:val="00EA540F"/>
    <w:rsid w:val="00EB2649"/>
    <w:rsid w:val="00EB2678"/>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BF8"/>
    <w:rsid w:val="00F039F1"/>
    <w:rsid w:val="00F04353"/>
    <w:rsid w:val="00F06091"/>
    <w:rsid w:val="00F075CA"/>
    <w:rsid w:val="00F07B77"/>
    <w:rsid w:val="00F07F67"/>
    <w:rsid w:val="00F10A11"/>
    <w:rsid w:val="00F11091"/>
    <w:rsid w:val="00F1235F"/>
    <w:rsid w:val="00F133B0"/>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6B55"/>
    <w:rsid w:val="00F509E0"/>
    <w:rsid w:val="00F51387"/>
    <w:rsid w:val="00F5182B"/>
    <w:rsid w:val="00F52E9B"/>
    <w:rsid w:val="00F5343C"/>
    <w:rsid w:val="00F561E5"/>
    <w:rsid w:val="00F56577"/>
    <w:rsid w:val="00F57DF6"/>
    <w:rsid w:val="00F602AE"/>
    <w:rsid w:val="00F61BF5"/>
    <w:rsid w:val="00F61C65"/>
    <w:rsid w:val="00F62BB2"/>
    <w:rsid w:val="00F63708"/>
    <w:rsid w:val="00F642A3"/>
    <w:rsid w:val="00F6729F"/>
    <w:rsid w:val="00F7022A"/>
    <w:rsid w:val="00F70B5C"/>
    <w:rsid w:val="00F71ED5"/>
    <w:rsid w:val="00F72A13"/>
    <w:rsid w:val="00F72BD0"/>
    <w:rsid w:val="00F72CF2"/>
    <w:rsid w:val="00F730E6"/>
    <w:rsid w:val="00F74FCC"/>
    <w:rsid w:val="00F75ABC"/>
    <w:rsid w:val="00F75C7D"/>
    <w:rsid w:val="00F779E2"/>
    <w:rsid w:val="00F8290F"/>
    <w:rsid w:val="00F83A11"/>
    <w:rsid w:val="00F85BB8"/>
    <w:rsid w:val="00F8790D"/>
    <w:rsid w:val="00F9041F"/>
    <w:rsid w:val="00F91B0A"/>
    <w:rsid w:val="00F93912"/>
    <w:rsid w:val="00F9612B"/>
    <w:rsid w:val="00F96478"/>
    <w:rsid w:val="00F96DBD"/>
    <w:rsid w:val="00FA0187"/>
    <w:rsid w:val="00FA18C9"/>
    <w:rsid w:val="00FA1918"/>
    <w:rsid w:val="00FA2470"/>
    <w:rsid w:val="00FA4B4A"/>
    <w:rsid w:val="00FA6C21"/>
    <w:rsid w:val="00FB2202"/>
    <w:rsid w:val="00FB5762"/>
    <w:rsid w:val="00FB796B"/>
    <w:rsid w:val="00FC3B1A"/>
    <w:rsid w:val="00FC4E6D"/>
    <w:rsid w:val="00FC5107"/>
    <w:rsid w:val="00FC514A"/>
    <w:rsid w:val="00FC5711"/>
    <w:rsid w:val="00FC6729"/>
    <w:rsid w:val="00FD0CCC"/>
    <w:rsid w:val="00FD1A61"/>
    <w:rsid w:val="00FD27EE"/>
    <w:rsid w:val="00FD3FC8"/>
    <w:rsid w:val="00FD5728"/>
    <w:rsid w:val="00FD74F7"/>
    <w:rsid w:val="00FE0475"/>
    <w:rsid w:val="00FE2209"/>
    <w:rsid w:val="00FE28E0"/>
    <w:rsid w:val="00FE2F1E"/>
    <w:rsid w:val="00FE3B14"/>
    <w:rsid w:val="00FE3C62"/>
    <w:rsid w:val="00FE4218"/>
    <w:rsid w:val="00FE475C"/>
    <w:rsid w:val="00FF2506"/>
    <w:rsid w:val="00FF2BE8"/>
    <w:rsid w:val="00FF3538"/>
    <w:rsid w:val="00FF4813"/>
    <w:rsid w:val="00FF4853"/>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unhideWhenUsed/>
    <w:qFormat/>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recommendations/sbstta-25/sbstta-25-rec-03-en.docx" TargetMode="External"/><Relationship Id="rId26" Type="http://schemas.openxmlformats.org/officeDocument/2006/relationships/hyperlink" Target="https://wedocs.unep.org/bitstream/handle/20.500.11822/43239/ZERODRAFT.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recommendations/sbstta-25/sbstta-25-rec-03-en.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c/5026/df8b/5224f4ef134f46dc460c9796/sbstta-25-inf-01-en.docx" TargetMode="External"/><Relationship Id="rId20" Type="http://schemas.openxmlformats.org/officeDocument/2006/relationships/hyperlink" Target="https://www.cbd.int/doc/decisions/cop-15/cop-15-dec-04-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c/777d/01bb/654229fcfd8f5338926cdfed/sbstta-25-04-e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notifications/2023-1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emg.org/wp-content/uploads/2023/04/Guidance-on-integrating-human-rights-in-National-Biodiversity-Strategy-and-Action-Plans-NBSAPs.pdf" TargetMode="External"/><Relationship Id="rId3" Type="http://schemas.openxmlformats.org/officeDocument/2006/relationships/hyperlink" Target="https://www.cbd.int/recommendations/?id=13226" TargetMode="External"/><Relationship Id="rId7" Type="http://schemas.openxmlformats.org/officeDocument/2006/relationships/hyperlink" Target="https://www.iucn.org/story/202212/rights-based-path-people-and-planet-realising-human-rights-post-2020-global" TargetMode="External"/><Relationship Id="rId12" Type="http://schemas.openxmlformats.org/officeDocument/2006/relationships/hyperlink" Target="http://www.cbd.int/programmes" TargetMode="External"/><Relationship Id="rId2" Type="http://schemas.openxmlformats.org/officeDocument/2006/relationships/hyperlink" Target="http://www.fao.org/biodiversity/knowledge-hub/en" TargetMode="External"/><Relationship Id="rId1" Type="http://schemas.openxmlformats.org/officeDocument/2006/relationships/hyperlink" Target="http://www.cbd.int/gbf/targets" TargetMode="External"/><Relationship Id="rId6" Type="http://schemas.openxmlformats.org/officeDocument/2006/relationships/hyperlink" Target="https://unsdg.un.org/2030-agenda/universal-values/human-rights-based-approach" TargetMode="External"/><Relationship Id="rId11" Type="http://schemas.openxmlformats.org/officeDocument/2006/relationships/hyperlink" Target="file:///C:\Users\veronique.lefebvre\AppData\Local\Microsoft\Windows\INetCache\Content.Outlook\EO4ITRC9\%20https\www.cbd.int\doc\c\e2b6\171e\01b3579c94d441dd22e2efb1\wg8j-12-08-en.pdf" TargetMode="External"/><Relationship Id="rId5" Type="http://schemas.openxmlformats.org/officeDocument/2006/relationships/hyperlink" Target="http://www.unep.org/events/conference/bern-iii-conference-cooperation-among-biodiversity-related-conventions" TargetMode="External"/><Relationship Id="rId10" Type="http://schemas.openxmlformats.org/officeDocument/2006/relationships/hyperlink" Target="https://ses-toolkit.info.undp.org/" TargetMode="External"/><Relationship Id="rId4" Type="http://schemas.openxmlformats.org/officeDocument/2006/relationships/hyperlink" Target="https://wedocs.unep.org/bitstream/handle/20.500.11822/44506/Bern%20III%20information%20paper%203%20-%20Cross-mapping%20MEA%20strategies.pdf?sequence=1&amp;isAllowed=y%20." TargetMode="External"/><Relationship Id="rId9" Type="http://schemas.openxmlformats.org/officeDocument/2006/relationships/hyperlink" Target="https://www.ohchr.org/sites/default/files/documents/issues/climatechange/2022-1207/CBD-K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2.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13</TotalTime>
  <Pages>15</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CBD/SBSTTA/26/3</dc:subject>
  <dc:creator>scbd</dc:creator>
  <cp:keywords/>
  <dc:description/>
  <cp:lastModifiedBy>Veronique Lefebvre</cp:lastModifiedBy>
  <cp:revision>21</cp:revision>
  <cp:lastPrinted>2024-04-05T17:30:00Z</cp:lastPrinted>
  <dcterms:created xsi:type="dcterms:W3CDTF">2024-04-08T14:30:00Z</dcterms:created>
  <dcterms:modified xsi:type="dcterms:W3CDTF">2024-04-08T15:26:00Z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