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91" w:type="dxa"/>
        <w:tblInd w:w="-283" w:type="dxa"/>
        <w:tblLayout w:type="fixed"/>
        <w:tblLook w:val="0000" w:firstRow="0" w:lastRow="0" w:firstColumn="0" w:lastColumn="0" w:noHBand="0" w:noVBand="0"/>
      </w:tblPr>
      <w:tblGrid>
        <w:gridCol w:w="975"/>
        <w:gridCol w:w="1434"/>
        <w:gridCol w:w="7882"/>
      </w:tblGrid>
      <w:tr w:rsidR="001065E9" w:rsidRPr="00250A23" w14:paraId="0C23AEAF" w14:textId="77777777" w:rsidTr="00C42251">
        <w:trPr>
          <w:trHeight w:val="850"/>
        </w:trPr>
        <w:tc>
          <w:tcPr>
            <w:tcW w:w="975" w:type="dxa"/>
            <w:vAlign w:val="bottom"/>
          </w:tcPr>
          <w:p w14:paraId="33535827" w14:textId="4E812BA4" w:rsidR="005012FC" w:rsidRPr="00DD66D9" w:rsidRDefault="00FB6963" w:rsidP="005012FC">
            <w:pPr>
              <w:pStyle w:val="AASmallLogo"/>
            </w:pPr>
            <w:r w:rsidRPr="00F40B9C">
              <w:rPr>
                <w:noProof/>
                <w:lang w:val="en-CA" w:eastAsia="en-CA"/>
              </w:rPr>
              <w:drawing>
                <wp:inline distT="0" distB="0" distL="0" distR="0" wp14:anchorId="53773D85" wp14:editId="50C5C771">
                  <wp:extent cx="476250" cy="400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rsidR="005012FC" w:rsidRPr="00DD66D9">
              <w:t xml:space="preserve"> </w:t>
            </w:r>
          </w:p>
          <w:p w14:paraId="1F699554" w14:textId="77777777" w:rsidR="001065E9" w:rsidRPr="00DD66D9" w:rsidRDefault="001065E9" w:rsidP="005012FC">
            <w:pPr>
              <w:pStyle w:val="AASmallLogo"/>
            </w:pPr>
          </w:p>
        </w:tc>
        <w:tc>
          <w:tcPr>
            <w:tcW w:w="1434" w:type="dxa"/>
            <w:noWrap/>
            <w:vAlign w:val="bottom"/>
          </w:tcPr>
          <w:p w14:paraId="30928418" w14:textId="650FA86C" w:rsidR="00A7593A" w:rsidRPr="00A7593A" w:rsidRDefault="00FB6963" w:rsidP="00A7593A">
            <w:pPr>
              <w:tabs>
                <w:tab w:val="clear" w:pos="567"/>
                <w:tab w:val="clear" w:pos="1134"/>
                <w:tab w:val="clear" w:pos="1701"/>
                <w:tab w:val="clear" w:pos="2268"/>
              </w:tabs>
              <w:rPr>
                <w:rFonts w:eastAsia="SimHei"/>
                <w:sz w:val="24"/>
                <w:lang w:eastAsia="zh-CN"/>
              </w:rPr>
            </w:pPr>
            <w:r>
              <w:rPr>
                <w:noProof/>
              </w:rPr>
              <w:drawing>
                <wp:anchor distT="0" distB="0" distL="114300" distR="114300" simplePos="0" relativeHeight="251657728" behindDoc="0" locked="0" layoutInCell="1" allowOverlap="1" wp14:anchorId="207FEB17" wp14:editId="2A60F7D0">
                  <wp:simplePos x="0" y="0"/>
                  <wp:positionH relativeFrom="column">
                    <wp:posOffset>484505</wp:posOffset>
                  </wp:positionH>
                  <wp:positionV relativeFrom="paragraph">
                    <wp:posOffset>1905</wp:posOffset>
                  </wp:positionV>
                  <wp:extent cx="180975" cy="191135"/>
                  <wp:effectExtent l="0" t="0" r="0" b="0"/>
                  <wp:wrapNone/>
                  <wp:docPr id="170687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975" cy="191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12FC" w:rsidRPr="00DD66D9">
              <w:t xml:space="preserve"> </w:t>
            </w:r>
            <w:r w:rsidR="00A7593A" w:rsidRPr="00A7593A">
              <w:rPr>
                <w:rFonts w:eastAsia="SimHei" w:hint="eastAsia"/>
                <w:sz w:val="24"/>
                <w:lang w:eastAsia="zh-CN"/>
              </w:rPr>
              <w:t>联合国</w:t>
            </w:r>
          </w:p>
          <w:p w14:paraId="7FE2589E" w14:textId="77777777" w:rsidR="005012FC" w:rsidRPr="00DD66D9" w:rsidRDefault="00A7593A" w:rsidP="00A7593A">
            <w:pPr>
              <w:pStyle w:val="AASmallLogo"/>
            </w:pPr>
            <w:r w:rsidRPr="00A7593A">
              <w:rPr>
                <w:rFonts w:eastAsia="SimHei" w:hint="eastAsia"/>
                <w:sz w:val="24"/>
                <w:lang w:eastAsia="zh-CN"/>
              </w:rPr>
              <w:t>环境规划署</w:t>
            </w:r>
          </w:p>
          <w:p w14:paraId="296EA5AD" w14:textId="77777777" w:rsidR="001065E9" w:rsidRPr="00DD66D9" w:rsidRDefault="001065E9" w:rsidP="005012FC">
            <w:pPr>
              <w:pStyle w:val="AASmallLogo"/>
            </w:pPr>
          </w:p>
        </w:tc>
        <w:tc>
          <w:tcPr>
            <w:tcW w:w="7882" w:type="dxa"/>
            <w:vAlign w:val="bottom"/>
          </w:tcPr>
          <w:p w14:paraId="14D6B67E" w14:textId="77777777" w:rsidR="001065E9" w:rsidRPr="00DD66D9" w:rsidRDefault="009C0BBB" w:rsidP="00DF78C4">
            <w:pPr>
              <w:pStyle w:val="ABSymbol"/>
            </w:pPr>
            <w:r w:rsidRPr="00C0791C">
              <w:rPr>
                <w:sz w:val="40"/>
              </w:rPr>
              <w:t>CBD</w:t>
            </w:r>
            <w:r w:rsidR="005012FC" w:rsidRPr="00653546">
              <w:t>/</w:t>
            </w:r>
            <w:r w:rsidRPr="00C0791C">
              <w:t>SB</w:t>
            </w:r>
            <w:r w:rsidR="00023B83" w:rsidRPr="00653546">
              <w:t>8J</w:t>
            </w:r>
            <w:r w:rsidR="005012FC" w:rsidRPr="00653546">
              <w:t>/</w:t>
            </w:r>
            <w:r w:rsidR="00023B83" w:rsidRPr="00DD66D9">
              <w:t>1</w:t>
            </w:r>
            <w:r w:rsidRPr="00DD66D9">
              <w:t>/</w:t>
            </w:r>
            <w:r w:rsidR="00665B56" w:rsidRPr="00DD66D9">
              <w:t>4</w:t>
            </w:r>
          </w:p>
        </w:tc>
      </w:tr>
    </w:tbl>
    <w:p w14:paraId="4FF117CF" w14:textId="77777777" w:rsidR="009F67EB" w:rsidRPr="00DD66D9" w:rsidRDefault="009F67EB" w:rsidP="001065E9">
      <w:pPr>
        <w:pStyle w:val="AISpacer"/>
      </w:pPr>
    </w:p>
    <w:tbl>
      <w:tblPr>
        <w:tblW w:w="10440" w:type="dxa"/>
        <w:tblInd w:w="-432" w:type="dxa"/>
        <w:tblBorders>
          <w:top w:val="single" w:sz="8" w:space="0" w:color="auto"/>
          <w:bottom w:val="single" w:sz="12" w:space="0" w:color="auto"/>
        </w:tblBorders>
        <w:tblLayout w:type="fixed"/>
        <w:tblLook w:val="0000" w:firstRow="0" w:lastRow="0" w:firstColumn="0" w:lastColumn="0" w:noHBand="0" w:noVBand="0"/>
      </w:tblPr>
      <w:tblGrid>
        <w:gridCol w:w="7182"/>
        <w:gridCol w:w="3258"/>
      </w:tblGrid>
      <w:tr w:rsidR="001065E9" w:rsidRPr="00250A23" w14:paraId="75623C33" w14:textId="77777777" w:rsidTr="00C42251">
        <w:trPr>
          <w:trHeight w:val="1814"/>
        </w:trPr>
        <w:tc>
          <w:tcPr>
            <w:tcW w:w="7182" w:type="dxa"/>
          </w:tcPr>
          <w:p w14:paraId="6F2B4ECA" w14:textId="77777777" w:rsidR="005012FC" w:rsidRPr="00DD66D9" w:rsidRDefault="005012FC" w:rsidP="005012FC">
            <w:pPr>
              <w:pStyle w:val="ACLargeLogo"/>
            </w:pPr>
            <w:r w:rsidRPr="00DD66D9">
              <w:t xml:space="preserve"> </w:t>
            </w:r>
          </w:p>
          <w:p w14:paraId="6B7A9F7B" w14:textId="75FA8A09" w:rsidR="001065E9" w:rsidRPr="00DD66D9" w:rsidRDefault="00FB6963" w:rsidP="005012FC">
            <w:pPr>
              <w:pStyle w:val="ACLargeLogo"/>
            </w:pPr>
            <w:r w:rsidRPr="00F40B9C">
              <w:rPr>
                <w:b/>
                <w:noProof/>
                <w:sz w:val="24"/>
                <w:lang w:val="en-US" w:eastAsia="zh-CN"/>
              </w:rPr>
              <w:drawing>
                <wp:inline distT="0" distB="0" distL="0" distR="0" wp14:anchorId="666A87AD" wp14:editId="24D0B69E">
                  <wp:extent cx="2984500" cy="10795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4500" cy="1079500"/>
                          </a:xfrm>
                          <a:prstGeom prst="rect">
                            <a:avLst/>
                          </a:prstGeom>
                          <a:noFill/>
                          <a:ln>
                            <a:noFill/>
                          </a:ln>
                        </pic:spPr>
                      </pic:pic>
                    </a:graphicData>
                  </a:graphic>
                </wp:inline>
              </w:drawing>
            </w:r>
          </w:p>
        </w:tc>
        <w:tc>
          <w:tcPr>
            <w:tcW w:w="3258" w:type="dxa"/>
          </w:tcPr>
          <w:p w14:paraId="5A451483" w14:textId="77777777" w:rsidR="005012FC" w:rsidRPr="00250A23" w:rsidRDefault="005012FC" w:rsidP="005012FC">
            <w:pPr>
              <w:pStyle w:val="AEDistrNormal"/>
              <w:rPr>
                <w:sz w:val="24"/>
              </w:rPr>
            </w:pPr>
            <w:r w:rsidRPr="00250A23">
              <w:rPr>
                <w:sz w:val="24"/>
              </w:rPr>
              <w:t>Distr.: General</w:t>
            </w:r>
          </w:p>
          <w:p w14:paraId="2730D5E9" w14:textId="77777777" w:rsidR="005012FC" w:rsidRPr="00250A23" w:rsidRDefault="00E4334F" w:rsidP="005012FC">
            <w:pPr>
              <w:pStyle w:val="AEDistrNormal"/>
              <w:rPr>
                <w:sz w:val="24"/>
              </w:rPr>
            </w:pPr>
            <w:r w:rsidRPr="00250A23">
              <w:rPr>
                <w:sz w:val="24"/>
              </w:rPr>
              <w:t xml:space="preserve">6 August </w:t>
            </w:r>
            <w:r w:rsidR="003B3B5F" w:rsidRPr="00250A23">
              <w:rPr>
                <w:sz w:val="24"/>
              </w:rPr>
              <w:t>2025</w:t>
            </w:r>
          </w:p>
          <w:p w14:paraId="178B09D6" w14:textId="77777777" w:rsidR="005012FC" w:rsidRPr="00250A23" w:rsidRDefault="00A7593A" w:rsidP="005012FC">
            <w:pPr>
              <w:pStyle w:val="AEDistrNormal"/>
              <w:rPr>
                <w:sz w:val="24"/>
                <w:lang w:eastAsia="zh-CN"/>
              </w:rPr>
            </w:pPr>
            <w:r>
              <w:rPr>
                <w:rFonts w:hint="eastAsia"/>
                <w:sz w:val="24"/>
                <w:lang w:eastAsia="zh-CN"/>
              </w:rPr>
              <w:t>Chinese</w:t>
            </w:r>
          </w:p>
          <w:p w14:paraId="4C052771" w14:textId="77777777" w:rsidR="005012FC" w:rsidRPr="00250A23" w:rsidRDefault="005012FC" w:rsidP="005012FC">
            <w:pPr>
              <w:pStyle w:val="AEDistrNormal"/>
              <w:rPr>
                <w:sz w:val="24"/>
              </w:rPr>
            </w:pPr>
            <w:r w:rsidRPr="00250A23">
              <w:rPr>
                <w:sz w:val="24"/>
              </w:rPr>
              <w:t xml:space="preserve">Original: English </w:t>
            </w:r>
          </w:p>
          <w:p w14:paraId="7CC6E593" w14:textId="77777777" w:rsidR="001065E9" w:rsidRPr="00250A23" w:rsidRDefault="001065E9" w:rsidP="005012FC">
            <w:pPr>
              <w:pStyle w:val="AEDistrNormal6pt"/>
              <w:rPr>
                <w:sz w:val="24"/>
              </w:rPr>
            </w:pPr>
          </w:p>
        </w:tc>
      </w:tr>
    </w:tbl>
    <w:p w14:paraId="54AC5DD9" w14:textId="77777777" w:rsidR="001065E9" w:rsidRPr="00DD66D9"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250A23" w14:paraId="64086FB6" w14:textId="77777777" w:rsidTr="001065E9">
        <w:trPr>
          <w:trHeight w:val="57"/>
        </w:trPr>
        <w:tc>
          <w:tcPr>
            <w:tcW w:w="6094" w:type="dxa"/>
          </w:tcPr>
          <w:p w14:paraId="73992845" w14:textId="77777777" w:rsidR="00250A23" w:rsidRPr="00250A23" w:rsidRDefault="00250A23" w:rsidP="00250A23">
            <w:pPr>
              <w:pStyle w:val="AFCorN12Bold"/>
              <w:rPr>
                <w:bCs/>
                <w:lang w:val="en-CA" w:eastAsia="zh-CN"/>
              </w:rPr>
            </w:pPr>
            <w:r w:rsidRPr="00250A23">
              <w:rPr>
                <w:bCs/>
                <w:lang w:val="en-CA" w:eastAsia="zh-CN"/>
              </w:rPr>
              <w:t>生物多样性公约关于土著人民和地方</w:t>
            </w:r>
          </w:p>
          <w:p w14:paraId="55AAC21F" w14:textId="77777777" w:rsidR="00250A23" w:rsidRPr="00250A23" w:rsidRDefault="00250A23" w:rsidP="00250A23">
            <w:pPr>
              <w:pStyle w:val="AFCorN12Bold"/>
              <w:rPr>
                <w:lang w:val="en-CA" w:eastAsia="zh-CN"/>
              </w:rPr>
            </w:pPr>
            <w:r w:rsidRPr="00250A23">
              <w:rPr>
                <w:bCs/>
                <w:lang w:val="en-CA" w:eastAsia="zh-CN"/>
              </w:rPr>
              <w:t>社区的第</w:t>
            </w:r>
            <w:r w:rsidRPr="00250A23">
              <w:rPr>
                <w:bCs/>
                <w:lang w:val="en-CA" w:eastAsia="zh-CN"/>
              </w:rPr>
              <w:t xml:space="preserve"> 8(j)</w:t>
            </w:r>
            <w:r w:rsidRPr="00250A23">
              <w:rPr>
                <w:bCs/>
                <w:lang w:val="en-CA" w:eastAsia="zh-CN"/>
              </w:rPr>
              <w:t>条和其他条款附属机构</w:t>
            </w:r>
          </w:p>
          <w:p w14:paraId="12E5FE33" w14:textId="77777777" w:rsidR="00250A23" w:rsidRPr="00250A23" w:rsidRDefault="00250A23" w:rsidP="00250A23">
            <w:pPr>
              <w:pStyle w:val="AFCorN12Bold"/>
              <w:rPr>
                <w:b w:val="0"/>
                <w:lang w:eastAsia="zh-CN"/>
              </w:rPr>
            </w:pPr>
            <w:r w:rsidRPr="00250A23">
              <w:rPr>
                <w:b w:val="0"/>
                <w:lang w:eastAsia="zh-CN"/>
              </w:rPr>
              <w:t>第一次会议</w:t>
            </w:r>
          </w:p>
          <w:p w14:paraId="1C55A353" w14:textId="77777777" w:rsidR="005012FC" w:rsidRPr="00250A23" w:rsidRDefault="00250A23" w:rsidP="00250A23">
            <w:pPr>
              <w:pStyle w:val="AFCorNNormal"/>
              <w:rPr>
                <w:sz w:val="24"/>
                <w:lang w:eastAsia="zh-CN"/>
              </w:rPr>
            </w:pPr>
            <w:r w:rsidRPr="00250A23">
              <w:rPr>
                <w:sz w:val="24"/>
                <w:lang w:val="en-CA" w:eastAsia="zh-CN"/>
              </w:rPr>
              <w:t>2025</w:t>
            </w:r>
            <w:r w:rsidRPr="00250A23">
              <w:rPr>
                <w:sz w:val="24"/>
                <w:lang w:val="en-CA" w:eastAsia="zh-CN"/>
              </w:rPr>
              <w:t>年</w:t>
            </w:r>
            <w:r w:rsidRPr="00250A23">
              <w:rPr>
                <w:sz w:val="24"/>
                <w:lang w:val="en-CA" w:eastAsia="zh-CN"/>
              </w:rPr>
              <w:t>10</w:t>
            </w:r>
            <w:r w:rsidRPr="00250A23">
              <w:rPr>
                <w:sz w:val="24"/>
                <w:lang w:val="en-CA" w:eastAsia="zh-CN"/>
              </w:rPr>
              <w:t>月</w:t>
            </w:r>
            <w:r w:rsidRPr="00250A23">
              <w:rPr>
                <w:sz w:val="24"/>
                <w:lang w:val="en-CA" w:eastAsia="zh-CN"/>
              </w:rPr>
              <w:t>27</w:t>
            </w:r>
            <w:r w:rsidRPr="00250A23">
              <w:rPr>
                <w:sz w:val="24"/>
                <w:lang w:val="en-CA" w:eastAsia="zh-CN"/>
              </w:rPr>
              <w:t>日至</w:t>
            </w:r>
            <w:r w:rsidRPr="00250A23">
              <w:rPr>
                <w:sz w:val="24"/>
                <w:lang w:val="en-CA" w:eastAsia="zh-CN"/>
              </w:rPr>
              <w:t>30</w:t>
            </w:r>
            <w:r w:rsidRPr="00250A23">
              <w:rPr>
                <w:sz w:val="24"/>
                <w:lang w:val="en-CA" w:eastAsia="zh-CN"/>
              </w:rPr>
              <w:t>日，</w:t>
            </w:r>
            <w:r w:rsidRPr="00250A23">
              <w:rPr>
                <w:sz w:val="24"/>
                <w:lang w:eastAsia="zh-CN"/>
              </w:rPr>
              <w:t>巴拿马城</w:t>
            </w:r>
          </w:p>
          <w:p w14:paraId="1C6774DB" w14:textId="77777777" w:rsidR="00250A23" w:rsidRPr="00A7593A" w:rsidRDefault="00250A23" w:rsidP="005012FC">
            <w:pPr>
              <w:pStyle w:val="AFCorNNormal"/>
              <w:rPr>
                <w:sz w:val="24"/>
                <w:szCs w:val="24"/>
                <w:lang w:eastAsia="zh-CN"/>
              </w:rPr>
            </w:pPr>
            <w:r w:rsidRPr="00A7593A">
              <w:rPr>
                <w:rFonts w:hint="eastAsia"/>
                <w:sz w:val="24"/>
                <w:szCs w:val="24"/>
                <w:lang w:eastAsia="zh-CN"/>
              </w:rPr>
              <w:t>临时议程</w:t>
            </w:r>
            <w:r w:rsidRPr="00A7593A">
              <w:rPr>
                <w:rStyle w:val="FootnoteReference"/>
                <w:sz w:val="24"/>
                <w:szCs w:val="24"/>
                <w:lang w:eastAsia="zh-CN"/>
              </w:rPr>
              <w:footnoteReference w:customMarkFollows="1" w:id="1"/>
              <w:t>*</w:t>
            </w:r>
            <w:r w:rsidR="00A7593A" w:rsidRPr="00A7593A">
              <w:rPr>
                <w:rFonts w:hint="eastAsia"/>
                <w:sz w:val="24"/>
                <w:szCs w:val="24"/>
                <w:lang w:eastAsia="zh-CN"/>
              </w:rPr>
              <w:t>项目</w:t>
            </w:r>
            <w:r w:rsidR="00A7593A" w:rsidRPr="00A7593A">
              <w:rPr>
                <w:rFonts w:hint="eastAsia"/>
                <w:sz w:val="24"/>
                <w:szCs w:val="24"/>
                <w:lang w:eastAsia="zh-CN"/>
              </w:rPr>
              <w:t>5</w:t>
            </w:r>
            <w:r w:rsidR="00A7593A">
              <w:rPr>
                <w:rFonts w:hint="eastAsia"/>
                <w:sz w:val="24"/>
                <w:szCs w:val="24"/>
                <w:lang w:eastAsia="zh-CN"/>
              </w:rPr>
              <w:t>(a)</w:t>
            </w:r>
            <w:r w:rsidR="00A7593A">
              <w:rPr>
                <w:rFonts w:hint="eastAsia"/>
                <w:sz w:val="24"/>
                <w:szCs w:val="24"/>
                <w:lang w:eastAsia="zh-CN"/>
              </w:rPr>
              <w:t>和</w:t>
            </w:r>
            <w:r w:rsidR="00A7593A">
              <w:rPr>
                <w:rFonts w:hint="eastAsia"/>
                <w:sz w:val="24"/>
                <w:szCs w:val="24"/>
                <w:lang w:eastAsia="zh-CN"/>
              </w:rPr>
              <w:t>(b)</w:t>
            </w:r>
          </w:p>
          <w:p w14:paraId="47FAB6E5" w14:textId="77777777" w:rsidR="00416249" w:rsidRPr="000848F4" w:rsidRDefault="00A7593A" w:rsidP="000848F4">
            <w:pPr>
              <w:pStyle w:val="AFCorNNormal"/>
              <w:rPr>
                <w:b/>
                <w:bCs/>
                <w:sz w:val="24"/>
                <w:lang w:eastAsia="zh-CN"/>
              </w:rPr>
            </w:pPr>
            <w:bookmarkStart w:id="0" w:name="_Hlk204067284"/>
            <w:r w:rsidRPr="00A7593A">
              <w:rPr>
                <w:rFonts w:hint="eastAsia"/>
                <w:b/>
                <w:bCs/>
                <w:sz w:val="24"/>
                <w:lang w:eastAsia="zh-CN"/>
              </w:rPr>
              <w:t>执行</w:t>
            </w:r>
            <w:r w:rsidRPr="00A7593A">
              <w:rPr>
                <w:b/>
                <w:bCs/>
                <w:sz w:val="24"/>
                <w:lang w:eastAsia="zh-CN"/>
              </w:rPr>
              <w:t>至</w:t>
            </w:r>
            <w:r w:rsidRPr="00A7593A">
              <w:rPr>
                <w:b/>
                <w:bCs/>
                <w:sz w:val="24"/>
                <w:lang w:eastAsia="zh-CN"/>
              </w:rPr>
              <w:t>2030</w:t>
            </w:r>
            <w:r w:rsidRPr="00A7593A">
              <w:rPr>
                <w:b/>
                <w:bCs/>
                <w:sz w:val="24"/>
                <w:lang w:eastAsia="zh-CN"/>
              </w:rPr>
              <w:t>年生物多样性公约</w:t>
            </w:r>
            <w:r w:rsidRPr="00A7593A">
              <w:rPr>
                <w:rFonts w:hint="eastAsia"/>
                <w:b/>
                <w:bCs/>
                <w:sz w:val="24"/>
                <w:lang w:eastAsia="zh-CN"/>
              </w:rPr>
              <w:t>关于</w:t>
            </w:r>
            <w:r w:rsidRPr="00A7593A">
              <w:rPr>
                <w:b/>
                <w:bCs/>
                <w:sz w:val="24"/>
                <w:lang w:eastAsia="zh-CN"/>
              </w:rPr>
              <w:t>土著人民和地方社区</w:t>
            </w:r>
            <w:r w:rsidRPr="00A7593A">
              <w:rPr>
                <w:rFonts w:hint="eastAsia"/>
                <w:b/>
                <w:bCs/>
                <w:sz w:val="24"/>
                <w:lang w:eastAsia="zh-CN"/>
              </w:rPr>
              <w:t>的</w:t>
            </w:r>
            <w:r w:rsidRPr="00A7593A">
              <w:rPr>
                <w:b/>
                <w:bCs/>
                <w:sz w:val="24"/>
                <w:lang w:eastAsia="zh-CN"/>
              </w:rPr>
              <w:t>第</w:t>
            </w:r>
            <w:r w:rsidRPr="00A7593A">
              <w:rPr>
                <w:b/>
                <w:bCs/>
                <w:sz w:val="24"/>
                <w:lang w:eastAsia="zh-CN"/>
              </w:rPr>
              <w:t>8(j)</w:t>
            </w:r>
            <w:r w:rsidRPr="00A7593A">
              <w:rPr>
                <w:b/>
                <w:bCs/>
                <w:sz w:val="24"/>
                <w:lang w:eastAsia="zh-CN"/>
              </w:rPr>
              <w:t>条和其他条款工作方案</w:t>
            </w:r>
            <w:bookmarkEnd w:id="0"/>
            <w:r w:rsidRPr="00A7593A">
              <w:rPr>
                <w:rFonts w:hint="eastAsia"/>
                <w:b/>
                <w:bCs/>
                <w:sz w:val="24"/>
                <w:lang w:eastAsia="zh-CN"/>
              </w:rPr>
              <w:t>：</w:t>
            </w:r>
            <w:r w:rsidRPr="00A7593A">
              <w:rPr>
                <w:rFonts w:hint="eastAsia"/>
                <w:b/>
                <w:bCs/>
                <w:sz w:val="24"/>
                <w:lang w:eastAsia="zh-CN"/>
              </w:rPr>
              <w:t xml:space="preserve">(a) </w:t>
            </w:r>
            <w:bookmarkStart w:id="1" w:name="_Hlk204067330"/>
            <w:r w:rsidRPr="00A7593A">
              <w:rPr>
                <w:b/>
                <w:bCs/>
                <w:sz w:val="24"/>
                <w:lang w:eastAsia="zh-CN"/>
              </w:rPr>
              <w:t>关于</w:t>
            </w:r>
            <w:r w:rsidRPr="00A7593A">
              <w:rPr>
                <w:b/>
                <w:bCs/>
                <w:sz w:val="24"/>
                <w:lang w:val="en-CA" w:eastAsia="zh-CN"/>
              </w:rPr>
              <w:t>包括在土著和传统领地</w:t>
            </w:r>
            <w:r w:rsidRPr="00A7593A">
              <w:rPr>
                <w:b/>
                <w:bCs/>
                <w:sz w:val="24"/>
                <w:lang w:eastAsia="zh-CN"/>
              </w:rPr>
              <w:t>加强落实《昆明</w:t>
            </w:r>
            <w:r w:rsidRPr="00A7593A">
              <w:rPr>
                <w:b/>
                <w:bCs/>
                <w:sz w:val="24"/>
                <w:lang w:eastAsia="zh-CN"/>
              </w:rPr>
              <w:t>-</w:t>
            </w:r>
            <w:r w:rsidRPr="00A7593A">
              <w:rPr>
                <w:b/>
                <w:bCs/>
                <w:sz w:val="24"/>
                <w:lang w:eastAsia="zh-CN"/>
              </w:rPr>
              <w:t>蒙特利尔全球生物多样性框架》行动目标</w:t>
            </w:r>
            <w:r w:rsidRPr="00A7593A">
              <w:rPr>
                <w:b/>
                <w:bCs/>
                <w:sz w:val="24"/>
                <w:lang w:eastAsia="zh-CN"/>
              </w:rPr>
              <w:t>2</w:t>
            </w:r>
            <w:r w:rsidRPr="00A7593A">
              <w:rPr>
                <w:b/>
                <w:bCs/>
                <w:sz w:val="24"/>
                <w:lang w:eastAsia="zh-CN"/>
              </w:rPr>
              <w:t>和</w:t>
            </w:r>
            <w:r w:rsidRPr="00A7593A">
              <w:rPr>
                <w:b/>
                <w:bCs/>
                <w:sz w:val="24"/>
                <w:lang w:eastAsia="zh-CN"/>
              </w:rPr>
              <w:t>3</w:t>
            </w:r>
            <w:r w:rsidRPr="00A7593A">
              <w:rPr>
                <w:b/>
                <w:bCs/>
                <w:sz w:val="24"/>
                <w:lang w:eastAsia="zh-CN"/>
              </w:rPr>
              <w:t>的法律和政策框架以支持土著人民和地方社区主导的保护和恢复做法的准则（任务</w:t>
            </w:r>
            <w:r w:rsidRPr="00A7593A">
              <w:rPr>
                <w:b/>
                <w:bCs/>
                <w:sz w:val="24"/>
                <w:lang w:eastAsia="zh-CN"/>
              </w:rPr>
              <w:t>1.1</w:t>
            </w:r>
            <w:r w:rsidRPr="00A7593A">
              <w:rPr>
                <w:b/>
                <w:bCs/>
                <w:sz w:val="24"/>
                <w:lang w:eastAsia="zh-CN"/>
              </w:rPr>
              <w:t>）</w:t>
            </w:r>
            <w:bookmarkEnd w:id="1"/>
            <w:r w:rsidRPr="00A7593A">
              <w:rPr>
                <w:b/>
                <w:bCs/>
                <w:sz w:val="24"/>
                <w:lang w:eastAsia="zh-CN"/>
              </w:rPr>
              <w:t>；</w:t>
            </w:r>
            <w:r w:rsidRPr="00A7593A">
              <w:rPr>
                <w:rFonts w:hint="eastAsia"/>
                <w:b/>
                <w:bCs/>
                <w:sz w:val="24"/>
                <w:lang w:eastAsia="zh-CN"/>
              </w:rPr>
              <w:t xml:space="preserve">(b) </w:t>
            </w:r>
            <w:bookmarkStart w:id="2" w:name="_Hlk204067372"/>
            <w:r w:rsidRPr="00A7593A">
              <w:rPr>
                <w:rFonts w:hint="eastAsia"/>
                <w:b/>
                <w:bCs/>
                <w:sz w:val="24"/>
                <w:lang w:eastAsia="zh-CN"/>
              </w:rPr>
              <w:t>关于</w:t>
            </w:r>
            <w:r w:rsidRPr="00A7593A">
              <w:rPr>
                <w:b/>
                <w:bCs/>
                <w:sz w:val="24"/>
                <w:lang w:eastAsia="zh-CN"/>
              </w:rPr>
              <w:t>在空间规划和环境影响评估中纳入和考虑传统土地和资源</w:t>
            </w:r>
            <w:r w:rsidRPr="00A7593A">
              <w:rPr>
                <w:rFonts w:hint="eastAsia"/>
                <w:b/>
                <w:bCs/>
                <w:sz w:val="24"/>
                <w:lang w:eastAsia="zh-CN"/>
              </w:rPr>
              <w:t>利用</w:t>
            </w:r>
            <w:r w:rsidRPr="00A7593A">
              <w:rPr>
                <w:b/>
                <w:bCs/>
                <w:sz w:val="24"/>
                <w:lang w:eastAsia="zh-CN"/>
              </w:rPr>
              <w:t>的准则</w:t>
            </w:r>
            <w:r w:rsidRPr="00A7593A">
              <w:rPr>
                <w:rFonts w:hint="eastAsia"/>
                <w:b/>
                <w:bCs/>
                <w:sz w:val="24"/>
                <w:lang w:eastAsia="zh-CN"/>
              </w:rPr>
              <w:t>（</w:t>
            </w:r>
            <w:r w:rsidRPr="00A7593A">
              <w:rPr>
                <w:b/>
                <w:bCs/>
                <w:sz w:val="24"/>
                <w:lang w:eastAsia="zh-CN"/>
              </w:rPr>
              <w:t>任务</w:t>
            </w:r>
            <w:r w:rsidRPr="00A7593A">
              <w:rPr>
                <w:b/>
                <w:bCs/>
                <w:sz w:val="24"/>
                <w:lang w:eastAsia="zh-CN"/>
              </w:rPr>
              <w:t>1.2</w:t>
            </w:r>
            <w:r w:rsidRPr="00A7593A">
              <w:rPr>
                <w:rFonts w:hint="eastAsia"/>
                <w:b/>
                <w:bCs/>
                <w:sz w:val="24"/>
                <w:lang w:eastAsia="zh-CN"/>
              </w:rPr>
              <w:t>）</w:t>
            </w:r>
            <w:bookmarkEnd w:id="2"/>
          </w:p>
        </w:tc>
        <w:tc>
          <w:tcPr>
            <w:tcW w:w="4388" w:type="dxa"/>
          </w:tcPr>
          <w:p w14:paraId="78475803" w14:textId="77777777" w:rsidR="001065E9" w:rsidRPr="00250A23" w:rsidRDefault="001065E9" w:rsidP="001065E9">
            <w:pPr>
              <w:pStyle w:val="CBDNormal"/>
              <w:jc w:val="left"/>
              <w:rPr>
                <w:sz w:val="24"/>
                <w:lang w:eastAsia="zh-CN"/>
              </w:rPr>
            </w:pPr>
          </w:p>
        </w:tc>
      </w:tr>
    </w:tbl>
    <w:p w14:paraId="32B28670" w14:textId="77777777" w:rsidR="001065E9" w:rsidRDefault="00BA38C1" w:rsidP="00BA38C1">
      <w:pPr>
        <w:pStyle w:val="CBDTitle"/>
        <w:tabs>
          <w:tab w:val="clear" w:pos="567"/>
          <w:tab w:val="clear" w:pos="1134"/>
          <w:tab w:val="clear" w:pos="1701"/>
          <w:tab w:val="clear" w:pos="2268"/>
          <w:tab w:val="clear" w:pos="2835"/>
          <w:tab w:val="clear" w:pos="3402"/>
        </w:tabs>
        <w:ind w:left="490" w:right="720"/>
        <w:rPr>
          <w:rFonts w:eastAsia="DengXian Light"/>
          <w:bCs/>
          <w:snapToGrid w:val="0"/>
          <w:kern w:val="22"/>
          <w:lang w:val="en-US" w:eastAsia="zh-CN"/>
        </w:rPr>
      </w:pPr>
      <w:bookmarkStart w:id="3" w:name="_Hlk206524399"/>
      <w:r w:rsidRPr="00BF31FC">
        <w:rPr>
          <w:rFonts w:ascii="Arial" w:eastAsia="SimHei" w:hAnsi="Arial" w:cs="Arial"/>
          <w:b w:val="0"/>
          <w:szCs w:val="28"/>
          <w:lang w:val="en-US" w:eastAsia="zh-CN"/>
        </w:rPr>
        <w:t>至</w:t>
      </w:r>
      <w:r w:rsidRPr="00BF31FC">
        <w:rPr>
          <w:rFonts w:ascii="Arial" w:eastAsia="SimHei" w:hAnsi="Arial" w:cs="Arial"/>
          <w:b w:val="0"/>
          <w:szCs w:val="28"/>
          <w:lang w:val="en-US" w:eastAsia="zh-CN"/>
        </w:rPr>
        <w:t>2030</w:t>
      </w:r>
      <w:r w:rsidRPr="00BF31FC">
        <w:rPr>
          <w:rFonts w:ascii="Arial" w:eastAsia="SimHei" w:hAnsi="Arial" w:cs="Arial"/>
          <w:b w:val="0"/>
          <w:szCs w:val="28"/>
          <w:lang w:val="en-US" w:eastAsia="zh-CN"/>
        </w:rPr>
        <w:t>年生物多样性公约关于土著人民和地方社区的第</w:t>
      </w:r>
      <w:r w:rsidRPr="00BF31FC">
        <w:rPr>
          <w:rFonts w:ascii="Arial" w:eastAsia="SimHei" w:hAnsi="Arial" w:cs="Arial"/>
          <w:b w:val="0"/>
          <w:szCs w:val="28"/>
          <w:lang w:val="en-US" w:eastAsia="zh-CN"/>
        </w:rPr>
        <w:t>8(j)</w:t>
      </w:r>
      <w:r w:rsidRPr="00BF31FC">
        <w:rPr>
          <w:rFonts w:ascii="Arial" w:eastAsia="SimHei" w:hAnsi="Arial" w:cs="Arial"/>
          <w:b w:val="0"/>
          <w:szCs w:val="28"/>
          <w:lang w:val="en-US" w:eastAsia="zh-CN"/>
        </w:rPr>
        <w:t>条和其他条款工作方案</w:t>
      </w:r>
      <w:bookmarkEnd w:id="3"/>
      <w:r w:rsidRPr="00BF31FC">
        <w:rPr>
          <w:rFonts w:ascii="Arial" w:eastAsia="SimHei" w:hAnsi="Arial" w:cs="Arial"/>
          <w:b w:val="0"/>
          <w:szCs w:val="28"/>
          <w:lang w:val="en-US" w:eastAsia="zh-CN"/>
        </w:rPr>
        <w:t>任务</w:t>
      </w:r>
      <w:r w:rsidRPr="00BF31FC">
        <w:rPr>
          <w:rFonts w:ascii="Arial" w:eastAsia="SimHei" w:hAnsi="Arial" w:cs="Arial"/>
          <w:b w:val="0"/>
          <w:szCs w:val="28"/>
          <w:lang w:val="en-US" w:eastAsia="zh-CN"/>
        </w:rPr>
        <w:t>1.1</w:t>
      </w:r>
      <w:r w:rsidRPr="00BF31FC">
        <w:rPr>
          <w:rFonts w:ascii="Arial" w:eastAsia="SimHei" w:hAnsi="Arial" w:cs="Arial"/>
          <w:b w:val="0"/>
          <w:szCs w:val="28"/>
          <w:lang w:val="en-US" w:eastAsia="zh-CN"/>
        </w:rPr>
        <w:t>和</w:t>
      </w:r>
      <w:r w:rsidRPr="00BF31FC">
        <w:rPr>
          <w:rFonts w:ascii="Arial" w:eastAsia="SimHei" w:hAnsi="Arial" w:cs="Arial"/>
          <w:b w:val="0"/>
          <w:szCs w:val="28"/>
          <w:lang w:val="en-US" w:eastAsia="zh-CN"/>
        </w:rPr>
        <w:t>1.2</w:t>
      </w:r>
      <w:r w:rsidRPr="00BF31FC">
        <w:rPr>
          <w:rFonts w:ascii="Arial" w:eastAsia="SimHei" w:hAnsi="Arial" w:cs="Arial"/>
          <w:b w:val="0"/>
          <w:szCs w:val="28"/>
          <w:lang w:val="en-US" w:eastAsia="zh-CN"/>
        </w:rPr>
        <w:t>相关</w:t>
      </w:r>
      <w:r w:rsidR="00BF31FC" w:rsidRPr="00BF31FC">
        <w:rPr>
          <w:rFonts w:ascii="Arial" w:eastAsia="SimHei" w:hAnsi="Arial" w:cs="Arial"/>
          <w:b w:val="0"/>
          <w:szCs w:val="28"/>
          <w:lang w:val="en-US" w:eastAsia="zh-CN"/>
        </w:rPr>
        <w:t>准则</w:t>
      </w:r>
      <w:r w:rsidRPr="00BF31FC">
        <w:rPr>
          <w:rFonts w:ascii="Arial" w:eastAsia="SimHei" w:hAnsi="Arial" w:cs="Arial"/>
          <w:b w:val="0"/>
          <w:szCs w:val="28"/>
          <w:lang w:val="en-US" w:eastAsia="zh-CN"/>
        </w:rPr>
        <w:t>的拟议要素</w:t>
      </w:r>
      <w:r w:rsidR="00862CEB" w:rsidRPr="00F40B9C">
        <w:rPr>
          <w:rFonts w:ascii="Times New Roman Bold" w:eastAsia="DengXian" w:hAnsi="Times New Roman Bold" w:cs="Arial" w:hint="eastAsia"/>
          <w:bCs/>
          <w:snapToGrid w:val="0"/>
          <w:kern w:val="22"/>
          <w:szCs w:val="28"/>
          <w:lang w:val="en-US" w:eastAsia="zh-CN"/>
        </w:rPr>
        <w:t xml:space="preserve"> </w:t>
      </w:r>
    </w:p>
    <w:p w14:paraId="05DC510E" w14:textId="77777777" w:rsidR="000F0E1F" w:rsidRPr="00BA38C1" w:rsidRDefault="00BA38C1" w:rsidP="00BA38C1">
      <w:pPr>
        <w:pStyle w:val="CBDSubTitle"/>
        <w:tabs>
          <w:tab w:val="clear" w:pos="567"/>
          <w:tab w:val="clear" w:pos="1134"/>
          <w:tab w:val="clear" w:pos="1701"/>
          <w:tab w:val="clear" w:pos="2268"/>
          <w:tab w:val="clear" w:pos="2835"/>
          <w:tab w:val="clear" w:pos="3402"/>
        </w:tabs>
        <w:ind w:left="490" w:right="720"/>
        <w:rPr>
          <w:sz w:val="24"/>
        </w:rPr>
      </w:pPr>
      <w:r w:rsidRPr="00BA38C1">
        <w:rPr>
          <w:sz w:val="24"/>
          <w:lang w:eastAsia="zh-CN"/>
        </w:rPr>
        <w:t>秘书处的说明</w:t>
      </w:r>
    </w:p>
    <w:p w14:paraId="701E3BCF" w14:textId="77777777" w:rsidR="00665B56" w:rsidRPr="00DD66D9" w:rsidRDefault="00BA38C1" w:rsidP="00B841CB">
      <w:pPr>
        <w:pStyle w:val="CBDH1"/>
        <w:tabs>
          <w:tab w:val="clear" w:pos="567"/>
          <w:tab w:val="clear" w:pos="1134"/>
          <w:tab w:val="clear" w:pos="1701"/>
          <w:tab w:val="clear" w:pos="2268"/>
          <w:tab w:val="clear" w:pos="2835"/>
          <w:tab w:val="clear" w:pos="3402"/>
        </w:tabs>
        <w:ind w:left="0" w:firstLine="0"/>
      </w:pPr>
      <w:r>
        <w:rPr>
          <w:rFonts w:hint="eastAsia"/>
          <w:snapToGrid w:val="0"/>
          <w:lang w:eastAsia="zh-CN"/>
        </w:rPr>
        <w:t>一</w:t>
      </w:r>
      <w:r w:rsidR="00665B56" w:rsidRPr="00DD66D9">
        <w:rPr>
          <w:snapToGrid w:val="0"/>
        </w:rPr>
        <w:t>.</w:t>
      </w:r>
      <w:r w:rsidR="00BF31FC">
        <w:rPr>
          <w:lang w:eastAsia="zh-CN"/>
        </w:rPr>
        <w:tab/>
      </w:r>
      <w:r>
        <w:rPr>
          <w:rFonts w:hint="eastAsia"/>
          <w:snapToGrid w:val="0"/>
          <w:lang w:eastAsia="zh-CN"/>
        </w:rPr>
        <w:t>背景</w:t>
      </w:r>
      <w:r w:rsidR="00665B56" w:rsidRPr="00DD66D9">
        <w:t xml:space="preserve"> </w:t>
      </w:r>
    </w:p>
    <w:p w14:paraId="52E9571B" w14:textId="77777777" w:rsidR="00E5762A" w:rsidRPr="00250A23" w:rsidRDefault="00A41AED" w:rsidP="00BA38C1">
      <w:pPr>
        <w:pStyle w:val="CBDNormalNumber"/>
        <w:keepNext/>
        <w:keepLines/>
        <w:tabs>
          <w:tab w:val="clear" w:pos="567"/>
          <w:tab w:val="clear" w:pos="1134"/>
          <w:tab w:val="clear" w:pos="1701"/>
          <w:tab w:val="clear" w:pos="2268"/>
          <w:tab w:val="clear" w:pos="2835"/>
          <w:tab w:val="clear" w:pos="3402"/>
          <w:tab w:val="clear" w:pos="3969"/>
        </w:tabs>
        <w:spacing w:before="240" w:after="240"/>
        <w:ind w:left="490" w:right="720"/>
        <w:jc w:val="left"/>
        <w:rPr>
          <w:sz w:val="24"/>
          <w:lang w:eastAsia="zh-CN"/>
        </w:rPr>
      </w:pPr>
      <w:r w:rsidRPr="00A41AED">
        <w:rPr>
          <w:rFonts w:hint="eastAsia"/>
          <w:sz w:val="24"/>
          <w:lang w:val="en-US" w:eastAsia="zh-CN"/>
        </w:rPr>
        <w:t>缔约方大会在第</w:t>
      </w:r>
      <w:r>
        <w:fldChar w:fldCharType="begin"/>
      </w:r>
      <w:r>
        <w:rPr>
          <w:lang w:eastAsia="zh-CN"/>
        </w:rPr>
        <w:instrText>HYPERLINK "https://www.cbd.int/doc/decisions/cop-16/cop-16-dec-04-zh.pdf"</w:instrText>
      </w:r>
      <w:r>
        <w:fldChar w:fldCharType="separate"/>
      </w:r>
      <w:r w:rsidRPr="00A41AED">
        <w:rPr>
          <w:rStyle w:val="Hyperlink"/>
          <w:rFonts w:hint="eastAsia"/>
          <w:sz w:val="24"/>
          <w:lang w:val="en-US" w:eastAsia="zh-CN"/>
        </w:rPr>
        <w:t>16/4</w:t>
      </w:r>
      <w:r>
        <w:fldChar w:fldCharType="end"/>
      </w:r>
      <w:proofErr w:type="gramStart"/>
      <w:r w:rsidRPr="00A41AED">
        <w:rPr>
          <w:rFonts w:hint="eastAsia"/>
          <w:sz w:val="24"/>
          <w:lang w:val="en-US" w:eastAsia="zh-CN"/>
        </w:rPr>
        <w:t>号决定</w:t>
      </w:r>
      <w:proofErr w:type="gramEnd"/>
      <w:r w:rsidRPr="00A41AED">
        <w:rPr>
          <w:rFonts w:hint="eastAsia"/>
          <w:sz w:val="24"/>
          <w:lang w:val="en-US" w:eastAsia="zh-CN"/>
        </w:rPr>
        <w:t>中通过了</w:t>
      </w:r>
      <w:r w:rsidRPr="00A41AED">
        <w:rPr>
          <w:bCs/>
          <w:sz w:val="24"/>
          <w:lang w:val="en-US" w:eastAsia="zh-CN"/>
        </w:rPr>
        <w:t>至</w:t>
      </w:r>
      <w:r w:rsidRPr="00A41AED">
        <w:rPr>
          <w:bCs/>
          <w:sz w:val="24"/>
          <w:lang w:val="en-US" w:eastAsia="zh-CN"/>
        </w:rPr>
        <w:t>2030</w:t>
      </w:r>
      <w:r w:rsidRPr="00A41AED">
        <w:rPr>
          <w:bCs/>
          <w:sz w:val="24"/>
          <w:lang w:val="en-US" w:eastAsia="zh-CN"/>
        </w:rPr>
        <w:t>年生物多样性公约</w:t>
      </w:r>
      <w:r w:rsidRPr="00A41AED">
        <w:rPr>
          <w:rFonts w:hint="eastAsia"/>
          <w:bCs/>
          <w:sz w:val="24"/>
          <w:lang w:val="en-US" w:eastAsia="zh-CN"/>
        </w:rPr>
        <w:t>关于</w:t>
      </w:r>
      <w:r w:rsidRPr="00A41AED">
        <w:rPr>
          <w:bCs/>
          <w:sz w:val="24"/>
          <w:lang w:val="en-US" w:eastAsia="zh-CN"/>
        </w:rPr>
        <w:t>土著人民和地方社区</w:t>
      </w:r>
      <w:r w:rsidRPr="00A41AED">
        <w:rPr>
          <w:rFonts w:hint="eastAsia"/>
          <w:bCs/>
          <w:sz w:val="24"/>
          <w:lang w:val="en-US" w:eastAsia="zh-CN"/>
        </w:rPr>
        <w:t>的</w:t>
      </w:r>
      <w:r w:rsidRPr="00A41AED">
        <w:rPr>
          <w:bCs/>
          <w:sz w:val="24"/>
          <w:lang w:val="en-US" w:eastAsia="zh-CN"/>
        </w:rPr>
        <w:t>第</w:t>
      </w:r>
      <w:r w:rsidRPr="00A41AED">
        <w:rPr>
          <w:bCs/>
          <w:sz w:val="24"/>
          <w:lang w:val="en-US" w:eastAsia="zh-CN"/>
        </w:rPr>
        <w:t>8(j)</w:t>
      </w:r>
      <w:r w:rsidRPr="00A41AED">
        <w:rPr>
          <w:bCs/>
          <w:sz w:val="24"/>
          <w:lang w:val="en-US" w:eastAsia="zh-CN"/>
        </w:rPr>
        <w:t>条和其他条款工作方案</w:t>
      </w:r>
      <w:r w:rsidRPr="00A41AED">
        <w:rPr>
          <w:rFonts w:hint="eastAsia"/>
          <w:sz w:val="24"/>
          <w:lang w:val="en-US" w:eastAsia="zh-CN"/>
        </w:rPr>
        <w:t>，其中优先考虑那些直接有助于及时、全面和有效执行《昆明</w:t>
      </w:r>
      <w:r w:rsidRPr="00A41AED">
        <w:rPr>
          <w:rFonts w:hint="eastAsia"/>
          <w:sz w:val="24"/>
          <w:lang w:val="en-US" w:eastAsia="zh-CN"/>
        </w:rPr>
        <w:t>-</w:t>
      </w:r>
      <w:r w:rsidRPr="00A41AED">
        <w:rPr>
          <w:rFonts w:hint="eastAsia"/>
          <w:sz w:val="24"/>
          <w:lang w:val="en-US" w:eastAsia="zh-CN"/>
        </w:rPr>
        <w:t>蒙特利尔全球生物多样性框架》的任务。</w:t>
      </w:r>
    </w:p>
    <w:p w14:paraId="5CBF77A8" w14:textId="77777777" w:rsidR="00665B56" w:rsidRPr="00250A23" w:rsidRDefault="00A41AED" w:rsidP="00BA38C1">
      <w:pPr>
        <w:pStyle w:val="CBDNormalNumber"/>
        <w:keepNext/>
        <w:keepLines/>
        <w:tabs>
          <w:tab w:val="clear" w:pos="567"/>
          <w:tab w:val="clear" w:pos="1134"/>
          <w:tab w:val="clear" w:pos="1701"/>
          <w:tab w:val="clear" w:pos="2268"/>
          <w:tab w:val="clear" w:pos="2835"/>
          <w:tab w:val="clear" w:pos="3402"/>
          <w:tab w:val="clear" w:pos="3969"/>
        </w:tabs>
        <w:spacing w:before="240" w:after="240"/>
        <w:ind w:left="490" w:right="720"/>
        <w:jc w:val="left"/>
        <w:rPr>
          <w:sz w:val="24"/>
          <w:lang w:eastAsia="zh-CN"/>
        </w:rPr>
      </w:pPr>
      <w:r w:rsidRPr="00A41AED">
        <w:rPr>
          <w:rFonts w:hint="eastAsia"/>
          <w:sz w:val="24"/>
          <w:lang w:val="en-US" w:eastAsia="zh-CN"/>
        </w:rPr>
        <w:t>同一决定要求生物多样性公约关于土著人民和地方社区的第</w:t>
      </w:r>
      <w:r w:rsidRPr="00A41AED">
        <w:rPr>
          <w:rFonts w:hint="eastAsia"/>
          <w:sz w:val="24"/>
          <w:lang w:val="en-US" w:eastAsia="zh-CN"/>
        </w:rPr>
        <w:t xml:space="preserve"> 8(j)</w:t>
      </w:r>
      <w:r w:rsidRPr="00A41AED">
        <w:rPr>
          <w:rFonts w:hint="eastAsia"/>
          <w:sz w:val="24"/>
          <w:lang w:val="en-US" w:eastAsia="zh-CN"/>
        </w:rPr>
        <w:t>条和其他条款附属机构</w:t>
      </w:r>
      <w:r w:rsidR="00C26255">
        <w:rPr>
          <w:rFonts w:hint="eastAsia"/>
          <w:sz w:val="24"/>
          <w:lang w:val="en-US" w:eastAsia="zh-CN"/>
        </w:rPr>
        <w:t>（</w:t>
      </w:r>
      <w:r w:rsidR="00C26255" w:rsidRPr="00C26255">
        <w:rPr>
          <w:rFonts w:hint="eastAsia"/>
          <w:sz w:val="24"/>
          <w:lang w:val="en-US" w:eastAsia="zh-CN"/>
        </w:rPr>
        <w:t>第</w:t>
      </w:r>
      <w:r w:rsidR="00C26255" w:rsidRPr="00C26255">
        <w:rPr>
          <w:rFonts w:hint="eastAsia"/>
          <w:sz w:val="24"/>
          <w:lang w:val="en-US" w:eastAsia="zh-CN"/>
        </w:rPr>
        <w:t>8(j)</w:t>
      </w:r>
      <w:r w:rsidR="00C26255" w:rsidRPr="00C26255">
        <w:rPr>
          <w:rFonts w:hint="eastAsia"/>
          <w:sz w:val="24"/>
          <w:lang w:val="en-US" w:eastAsia="zh-CN"/>
        </w:rPr>
        <w:t>条机构</w:t>
      </w:r>
      <w:r w:rsidR="00C26255">
        <w:rPr>
          <w:rFonts w:hint="eastAsia"/>
          <w:sz w:val="24"/>
          <w:lang w:val="en-US" w:eastAsia="zh-CN"/>
        </w:rPr>
        <w:t>）</w:t>
      </w:r>
      <w:r w:rsidRPr="00A41AED">
        <w:rPr>
          <w:rFonts w:hint="eastAsia"/>
          <w:sz w:val="24"/>
          <w:lang w:val="en-US" w:eastAsia="zh-CN"/>
        </w:rPr>
        <w:t>执行工作方案的任务</w:t>
      </w:r>
      <w:r w:rsidRPr="00A41AED">
        <w:rPr>
          <w:rFonts w:hint="eastAsia"/>
          <w:sz w:val="24"/>
          <w:lang w:val="en-US" w:eastAsia="zh-CN"/>
        </w:rPr>
        <w:t>1.1</w:t>
      </w:r>
      <w:r w:rsidRPr="00A41AED">
        <w:rPr>
          <w:rFonts w:hint="eastAsia"/>
          <w:sz w:val="24"/>
          <w:lang w:val="en-US" w:eastAsia="zh-CN"/>
        </w:rPr>
        <w:t>和</w:t>
      </w:r>
      <w:r w:rsidRPr="00A41AED">
        <w:rPr>
          <w:rFonts w:hint="eastAsia"/>
          <w:sz w:val="24"/>
          <w:lang w:val="en-US" w:eastAsia="zh-CN"/>
        </w:rPr>
        <w:t>1.2</w:t>
      </w:r>
      <w:r w:rsidRPr="00A41AED">
        <w:rPr>
          <w:rFonts w:hint="eastAsia"/>
          <w:sz w:val="24"/>
          <w:lang w:val="en-US" w:eastAsia="zh-CN"/>
        </w:rPr>
        <w:t>，其内容如下：</w:t>
      </w:r>
    </w:p>
    <w:p w14:paraId="385E417F" w14:textId="77777777" w:rsidR="00665B56" w:rsidRPr="00250A23" w:rsidRDefault="00A41AED" w:rsidP="00A41AED">
      <w:pPr>
        <w:pStyle w:val="CBDNormalNoNumber"/>
        <w:tabs>
          <w:tab w:val="clear" w:pos="567"/>
          <w:tab w:val="clear" w:pos="1134"/>
          <w:tab w:val="clear" w:pos="1701"/>
          <w:tab w:val="clear" w:pos="2268"/>
          <w:tab w:val="clear" w:pos="2835"/>
          <w:tab w:val="clear" w:pos="3402"/>
        </w:tabs>
        <w:ind w:left="979"/>
        <w:rPr>
          <w:sz w:val="24"/>
          <w:lang w:eastAsia="zh-CN"/>
        </w:rPr>
      </w:pPr>
      <w:r w:rsidRPr="00A41AED">
        <w:rPr>
          <w:rFonts w:hint="eastAsia"/>
          <w:sz w:val="24"/>
          <w:lang w:val="en-US" w:eastAsia="zh-CN"/>
        </w:rPr>
        <w:t>任务</w:t>
      </w:r>
      <w:r w:rsidRPr="00A41AED">
        <w:rPr>
          <w:rFonts w:hint="eastAsia"/>
          <w:sz w:val="24"/>
          <w:lang w:val="en-US" w:eastAsia="zh-CN"/>
        </w:rPr>
        <w:t xml:space="preserve">1.1. </w:t>
      </w:r>
      <w:r w:rsidRPr="00A41AED">
        <w:rPr>
          <w:rFonts w:hint="eastAsia"/>
          <w:sz w:val="24"/>
          <w:lang w:val="en-US" w:eastAsia="zh-CN"/>
        </w:rPr>
        <w:t>在土著人民和地方社区的充分和有效参与下制定准则</w:t>
      </w:r>
      <w:r w:rsidRPr="00A41AED">
        <w:rPr>
          <w:rFonts w:hint="eastAsia"/>
          <w:sz w:val="24"/>
          <w:lang w:eastAsia="zh-CN"/>
        </w:rPr>
        <w:t>，</w:t>
      </w:r>
      <w:r w:rsidRPr="00A41AED">
        <w:rPr>
          <w:rFonts w:hint="eastAsia"/>
          <w:sz w:val="24"/>
          <w:lang w:val="en-US" w:eastAsia="zh-CN"/>
        </w:rPr>
        <w:t>以加强落实《框架》行动目标</w:t>
      </w:r>
      <w:r w:rsidRPr="00A41AED">
        <w:rPr>
          <w:sz w:val="24"/>
          <w:lang w:eastAsia="zh-CN"/>
        </w:rPr>
        <w:t xml:space="preserve"> 2 </w:t>
      </w:r>
      <w:r w:rsidRPr="00A41AED">
        <w:rPr>
          <w:rFonts w:hint="eastAsia"/>
          <w:sz w:val="24"/>
          <w:lang w:val="en-US" w:eastAsia="zh-CN"/>
        </w:rPr>
        <w:t>和</w:t>
      </w:r>
      <w:r w:rsidRPr="00A41AED">
        <w:rPr>
          <w:sz w:val="24"/>
          <w:lang w:eastAsia="zh-CN"/>
        </w:rPr>
        <w:t xml:space="preserve"> 3 </w:t>
      </w:r>
      <w:r w:rsidRPr="00A41AED">
        <w:rPr>
          <w:rFonts w:hint="eastAsia"/>
          <w:sz w:val="24"/>
          <w:lang w:val="en-US" w:eastAsia="zh-CN"/>
        </w:rPr>
        <w:t>的法律和政策框架</w:t>
      </w:r>
      <w:r w:rsidRPr="00A41AED">
        <w:rPr>
          <w:rFonts w:hint="eastAsia"/>
          <w:sz w:val="24"/>
          <w:lang w:eastAsia="zh-CN"/>
        </w:rPr>
        <w:t>，</w:t>
      </w:r>
      <w:r w:rsidRPr="00A41AED">
        <w:rPr>
          <w:rFonts w:hint="eastAsia"/>
          <w:sz w:val="24"/>
          <w:lang w:val="en-US" w:eastAsia="zh-CN"/>
        </w:rPr>
        <w:t>包括</w:t>
      </w:r>
      <w:r w:rsidR="00D84F2F">
        <w:rPr>
          <w:rFonts w:hint="eastAsia"/>
          <w:sz w:val="24"/>
          <w:lang w:val="en-US" w:eastAsia="zh-CN"/>
        </w:rPr>
        <w:t>有关</w:t>
      </w:r>
      <w:r w:rsidRPr="00A41AED">
        <w:rPr>
          <w:rFonts w:hint="eastAsia"/>
          <w:sz w:val="24"/>
          <w:lang w:val="en-US" w:eastAsia="zh-CN"/>
        </w:rPr>
        <w:t>土著和传统领地的法律和政策框架</w:t>
      </w:r>
      <w:r w:rsidRPr="00A41AED">
        <w:rPr>
          <w:rFonts w:hint="eastAsia"/>
          <w:sz w:val="24"/>
          <w:lang w:eastAsia="zh-CN"/>
        </w:rPr>
        <w:t>，</w:t>
      </w:r>
      <w:r w:rsidRPr="00A41AED">
        <w:rPr>
          <w:rFonts w:hint="eastAsia"/>
          <w:sz w:val="24"/>
          <w:lang w:val="en-US" w:eastAsia="zh-CN"/>
        </w:rPr>
        <w:t>支持土著人民和地方社区主导的保护和恢复做法。</w:t>
      </w:r>
    </w:p>
    <w:p w14:paraId="13037A55" w14:textId="77777777" w:rsidR="00665B56" w:rsidRPr="00250A23" w:rsidRDefault="00A41AED" w:rsidP="00A41AED">
      <w:pPr>
        <w:pStyle w:val="CBDNormalNoNumber"/>
        <w:tabs>
          <w:tab w:val="clear" w:pos="567"/>
          <w:tab w:val="clear" w:pos="1134"/>
          <w:tab w:val="clear" w:pos="1701"/>
          <w:tab w:val="clear" w:pos="2268"/>
          <w:tab w:val="clear" w:pos="2835"/>
          <w:tab w:val="clear" w:pos="3402"/>
        </w:tabs>
        <w:ind w:left="979"/>
        <w:rPr>
          <w:sz w:val="24"/>
          <w:lang w:eastAsia="zh-CN"/>
        </w:rPr>
      </w:pPr>
      <w:r w:rsidRPr="00A41AED">
        <w:rPr>
          <w:rFonts w:hint="eastAsia"/>
          <w:sz w:val="24"/>
          <w:lang w:val="en-US" w:eastAsia="zh-CN"/>
        </w:rPr>
        <w:lastRenderedPageBreak/>
        <w:t>任务</w:t>
      </w:r>
      <w:r w:rsidRPr="00A41AED">
        <w:rPr>
          <w:rFonts w:hint="eastAsia"/>
          <w:sz w:val="24"/>
          <w:lang w:val="en-US" w:eastAsia="zh-CN"/>
        </w:rPr>
        <w:t>1.2.</w:t>
      </w:r>
      <w:r w:rsidRPr="00A41AED">
        <w:rPr>
          <w:rFonts w:hint="eastAsia"/>
          <w:sz w:val="24"/>
          <w:lang w:val="zh-CN" w:eastAsia="zh-CN"/>
        </w:rPr>
        <w:t xml:space="preserve"> </w:t>
      </w:r>
      <w:r w:rsidRPr="00A41AED">
        <w:rPr>
          <w:rFonts w:hint="eastAsia"/>
          <w:sz w:val="24"/>
          <w:lang w:val="en-US" w:eastAsia="zh-CN"/>
        </w:rPr>
        <w:t>依照国家立法和国际义务</w:t>
      </w:r>
      <w:r w:rsidRPr="00A41AED">
        <w:rPr>
          <w:rFonts w:hint="eastAsia"/>
          <w:sz w:val="24"/>
          <w:lang w:eastAsia="zh-CN"/>
        </w:rPr>
        <w:t>，</w:t>
      </w:r>
      <w:r w:rsidRPr="00A41AED">
        <w:rPr>
          <w:rFonts w:hint="eastAsia"/>
          <w:sz w:val="24"/>
          <w:lang w:val="en-US" w:eastAsia="zh-CN"/>
        </w:rPr>
        <w:t>确定和推广确保土著人民和地方社区的土地保有权和治理的最佳做法</w:t>
      </w:r>
      <w:r w:rsidRPr="00A41AED">
        <w:rPr>
          <w:rFonts w:hint="eastAsia"/>
          <w:sz w:val="24"/>
          <w:lang w:eastAsia="zh-CN"/>
        </w:rPr>
        <w:t>，</w:t>
      </w:r>
      <w:r w:rsidRPr="00A41AED">
        <w:rPr>
          <w:rFonts w:hint="eastAsia"/>
          <w:sz w:val="24"/>
          <w:lang w:val="en-US" w:eastAsia="zh-CN"/>
        </w:rPr>
        <w:t>制定在空间规划和环境影响评估中纳入和考虑传统土地和资源利用的准则。</w:t>
      </w:r>
    </w:p>
    <w:p w14:paraId="0778D684" w14:textId="77777777" w:rsidR="00477BB7" w:rsidRPr="00250A23" w:rsidRDefault="00A41AED" w:rsidP="00BA38C1">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41AED">
        <w:rPr>
          <w:rFonts w:hint="eastAsia"/>
          <w:sz w:val="24"/>
          <w:lang w:val="en-US" w:eastAsia="zh-CN"/>
        </w:rPr>
        <w:t>为协助</w:t>
      </w:r>
      <w:bookmarkStart w:id="4" w:name="_Hlk206526256"/>
      <w:r w:rsidRPr="00A41AED">
        <w:rPr>
          <w:rFonts w:hint="eastAsia"/>
          <w:sz w:val="24"/>
          <w:lang w:val="en-US" w:eastAsia="zh-CN"/>
        </w:rPr>
        <w:t>第</w:t>
      </w:r>
      <w:r w:rsidRPr="00A41AED">
        <w:rPr>
          <w:rFonts w:hint="eastAsia"/>
          <w:sz w:val="24"/>
          <w:lang w:val="en-US" w:eastAsia="zh-CN"/>
        </w:rPr>
        <w:t>8(j)</w:t>
      </w:r>
      <w:proofErr w:type="gramStart"/>
      <w:r w:rsidRPr="00A41AED">
        <w:rPr>
          <w:rFonts w:hint="eastAsia"/>
          <w:sz w:val="24"/>
          <w:lang w:val="en-US" w:eastAsia="zh-CN"/>
        </w:rPr>
        <w:t>条机构</w:t>
      </w:r>
      <w:bookmarkEnd w:id="4"/>
      <w:proofErr w:type="gramEnd"/>
      <w:r w:rsidRPr="00A41AED">
        <w:rPr>
          <w:rFonts w:hint="eastAsia"/>
          <w:sz w:val="24"/>
          <w:lang w:val="en-US" w:eastAsia="zh-CN"/>
        </w:rPr>
        <w:t>开展工作，公约执行秘书在</w:t>
      </w:r>
      <w:r>
        <w:fldChar w:fldCharType="begin"/>
      </w:r>
      <w:r>
        <w:rPr>
          <w:lang w:eastAsia="zh-CN"/>
        </w:rPr>
        <w:instrText>HYPERLINK "https://www.cbd.int/notifications/2025-061"</w:instrText>
      </w:r>
      <w:r>
        <w:fldChar w:fldCharType="separate"/>
      </w:r>
      <w:r w:rsidRPr="00A41AED">
        <w:rPr>
          <w:rStyle w:val="Hyperlink"/>
          <w:rFonts w:hint="eastAsia"/>
          <w:sz w:val="24"/>
          <w:lang w:val="en-US" w:eastAsia="zh-CN"/>
        </w:rPr>
        <w:t>2025-061</w:t>
      </w:r>
      <w:r>
        <w:fldChar w:fldCharType="end"/>
      </w:r>
      <w:proofErr w:type="gramStart"/>
      <w:r w:rsidRPr="00A41AED">
        <w:rPr>
          <w:rFonts w:hint="eastAsia"/>
          <w:sz w:val="24"/>
          <w:lang w:val="en-US" w:eastAsia="zh-CN"/>
        </w:rPr>
        <w:t>号通知</w:t>
      </w:r>
      <w:proofErr w:type="gramEnd"/>
      <w:r w:rsidRPr="00A41AED">
        <w:rPr>
          <w:rFonts w:hint="eastAsia"/>
          <w:sz w:val="24"/>
          <w:lang w:val="en-US" w:eastAsia="zh-CN"/>
        </w:rPr>
        <w:t>中邀请各缔约方、其他国家政府、土著人民和地方社区以及相关利益攸关方就任务</w:t>
      </w:r>
      <w:r w:rsidRPr="00A41AED">
        <w:rPr>
          <w:rFonts w:hint="eastAsia"/>
          <w:sz w:val="24"/>
          <w:lang w:val="en-US" w:eastAsia="zh-CN"/>
        </w:rPr>
        <w:t>1.1</w:t>
      </w:r>
      <w:r w:rsidRPr="00A41AED">
        <w:rPr>
          <w:rFonts w:hint="eastAsia"/>
          <w:sz w:val="24"/>
          <w:lang w:val="en-US" w:eastAsia="zh-CN"/>
        </w:rPr>
        <w:t>和</w:t>
      </w:r>
      <w:r w:rsidRPr="00A41AED">
        <w:rPr>
          <w:rFonts w:hint="eastAsia"/>
          <w:sz w:val="24"/>
          <w:lang w:val="en-US" w:eastAsia="zh-CN"/>
        </w:rPr>
        <w:t>1.2</w:t>
      </w:r>
      <w:r w:rsidRPr="00A41AED">
        <w:rPr>
          <w:rFonts w:hint="eastAsia"/>
          <w:sz w:val="24"/>
          <w:lang w:val="en-US" w:eastAsia="zh-CN"/>
        </w:rPr>
        <w:t>提供意见和信息。收到的意见和信息载于该通知的网页，其汇编</w:t>
      </w:r>
      <w:r w:rsidRPr="00A41AED">
        <w:rPr>
          <w:sz w:val="24"/>
          <w:vertAlign w:val="superscript"/>
        </w:rPr>
        <w:footnoteReference w:id="2"/>
      </w:r>
      <w:r w:rsidRPr="00A41AED">
        <w:rPr>
          <w:rFonts w:hint="eastAsia"/>
          <w:sz w:val="24"/>
          <w:lang w:val="en-US" w:eastAsia="zh-CN"/>
        </w:rPr>
        <w:t>将作为</w:t>
      </w:r>
      <w:r w:rsidRPr="00A41AED">
        <w:rPr>
          <w:rFonts w:hint="eastAsia"/>
          <w:sz w:val="24"/>
          <w:lang w:val="en-US" w:eastAsia="zh-CN"/>
        </w:rPr>
        <w:t>CBD/SB8J/1/INF/4</w:t>
      </w:r>
      <w:r w:rsidRPr="00A41AED">
        <w:rPr>
          <w:rFonts w:hint="eastAsia"/>
          <w:sz w:val="24"/>
          <w:lang w:val="en-US" w:eastAsia="zh-CN"/>
        </w:rPr>
        <w:t>号资料文件发布。</w:t>
      </w:r>
    </w:p>
    <w:p w14:paraId="41CA2BF1" w14:textId="2030C060" w:rsidR="00213C0F" w:rsidRPr="00250A23" w:rsidRDefault="00BF31FC" w:rsidP="00BA38C1">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F31FC">
        <w:rPr>
          <w:rFonts w:hint="eastAsia"/>
          <w:sz w:val="24"/>
          <w:lang w:val="en-US" w:eastAsia="zh-CN"/>
        </w:rPr>
        <w:t>此外，在丹麦政府、欧盟和日本政府（通过其日本生物多样性基金）的慷慨支持下，于</w:t>
      </w:r>
      <w:r w:rsidRPr="00BF31FC">
        <w:rPr>
          <w:rFonts w:hint="eastAsia"/>
          <w:sz w:val="24"/>
          <w:lang w:val="en-US" w:eastAsia="zh-CN"/>
        </w:rPr>
        <w:t>2025</w:t>
      </w:r>
      <w:r w:rsidRPr="00BF31FC">
        <w:rPr>
          <w:rFonts w:hint="eastAsia"/>
          <w:sz w:val="24"/>
          <w:lang w:val="en-US" w:eastAsia="zh-CN"/>
        </w:rPr>
        <w:t>年</w:t>
      </w:r>
      <w:r w:rsidRPr="00BF31FC">
        <w:rPr>
          <w:rFonts w:hint="eastAsia"/>
          <w:sz w:val="24"/>
          <w:lang w:val="en-US" w:eastAsia="zh-CN"/>
        </w:rPr>
        <w:t>7</w:t>
      </w:r>
      <w:r w:rsidRPr="00BF31FC">
        <w:rPr>
          <w:rFonts w:hint="eastAsia"/>
          <w:sz w:val="24"/>
          <w:lang w:val="en-US" w:eastAsia="zh-CN"/>
        </w:rPr>
        <w:t>月</w:t>
      </w:r>
      <w:r w:rsidRPr="00BF31FC">
        <w:rPr>
          <w:rFonts w:hint="eastAsia"/>
          <w:sz w:val="24"/>
          <w:lang w:val="en-US" w:eastAsia="zh-CN"/>
        </w:rPr>
        <w:t>22</w:t>
      </w:r>
      <w:r w:rsidRPr="00BF31FC">
        <w:rPr>
          <w:rFonts w:hint="eastAsia"/>
          <w:sz w:val="24"/>
          <w:lang w:val="en-US" w:eastAsia="zh-CN"/>
        </w:rPr>
        <w:t>日至</w:t>
      </w:r>
      <w:r w:rsidRPr="00BF31FC">
        <w:rPr>
          <w:rFonts w:hint="eastAsia"/>
          <w:sz w:val="24"/>
          <w:lang w:val="en-US" w:eastAsia="zh-CN"/>
        </w:rPr>
        <w:t>24</w:t>
      </w:r>
      <w:r w:rsidRPr="00BF31FC">
        <w:rPr>
          <w:rFonts w:hint="eastAsia"/>
          <w:sz w:val="24"/>
          <w:lang w:val="en-US" w:eastAsia="zh-CN"/>
        </w:rPr>
        <w:t>日举行了一次支持执行任务</w:t>
      </w:r>
      <w:r w:rsidRPr="00BF31FC">
        <w:rPr>
          <w:rFonts w:hint="eastAsia"/>
          <w:sz w:val="24"/>
          <w:lang w:val="en-US" w:eastAsia="zh-CN"/>
        </w:rPr>
        <w:t>1.1</w:t>
      </w:r>
      <w:r w:rsidRPr="00BF31FC">
        <w:rPr>
          <w:rFonts w:hint="eastAsia"/>
          <w:sz w:val="24"/>
          <w:lang w:val="en-US" w:eastAsia="zh-CN"/>
        </w:rPr>
        <w:t>和</w:t>
      </w:r>
      <w:r w:rsidRPr="00BF31FC">
        <w:rPr>
          <w:rFonts w:hint="eastAsia"/>
          <w:sz w:val="24"/>
          <w:lang w:val="en-US" w:eastAsia="zh-CN"/>
        </w:rPr>
        <w:t>1.2</w:t>
      </w:r>
      <w:r w:rsidRPr="00BF31FC">
        <w:rPr>
          <w:rFonts w:hint="eastAsia"/>
          <w:sz w:val="24"/>
          <w:lang w:val="en-US" w:eastAsia="zh-CN"/>
        </w:rPr>
        <w:t>的专家研讨会，以确定</w:t>
      </w:r>
      <w:r>
        <w:rPr>
          <w:rFonts w:hint="eastAsia"/>
          <w:sz w:val="24"/>
          <w:lang w:val="en-US" w:eastAsia="zh-CN"/>
        </w:rPr>
        <w:t>准则</w:t>
      </w:r>
      <w:r w:rsidRPr="00BF31FC">
        <w:rPr>
          <w:rFonts w:hint="eastAsia"/>
          <w:sz w:val="24"/>
          <w:lang w:val="en-US" w:eastAsia="zh-CN"/>
        </w:rPr>
        <w:t>的可能要素。</w:t>
      </w:r>
      <w:r w:rsidR="001D78DF">
        <w:rPr>
          <w:rFonts w:hint="eastAsia"/>
          <w:sz w:val="24"/>
          <w:lang w:val="en-US" w:eastAsia="zh-CN"/>
        </w:rPr>
        <w:t>由于</w:t>
      </w:r>
      <w:r w:rsidRPr="00BF31FC">
        <w:rPr>
          <w:rFonts w:hint="eastAsia"/>
          <w:sz w:val="24"/>
          <w:lang w:val="en-US" w:eastAsia="zh-CN"/>
        </w:rPr>
        <w:t>通过国际生物多样性和生态系统服务土著论坛以及国际自然保护联盟的支持提供</w:t>
      </w:r>
      <w:r w:rsidR="001D78DF">
        <w:rPr>
          <w:rFonts w:hint="eastAsia"/>
          <w:sz w:val="24"/>
          <w:lang w:val="en-US" w:eastAsia="zh-CN"/>
        </w:rPr>
        <w:t>的</w:t>
      </w:r>
      <w:r w:rsidRPr="00BF31FC">
        <w:rPr>
          <w:rFonts w:hint="eastAsia"/>
          <w:sz w:val="24"/>
          <w:lang w:val="en-US" w:eastAsia="zh-CN"/>
        </w:rPr>
        <w:t>非正式英语</w:t>
      </w:r>
      <w:r w:rsidRPr="00BF31FC">
        <w:rPr>
          <w:rFonts w:hint="eastAsia"/>
          <w:sz w:val="24"/>
          <w:lang w:val="en-US" w:eastAsia="zh-CN"/>
        </w:rPr>
        <w:t>-</w:t>
      </w:r>
      <w:r w:rsidRPr="00BF31FC">
        <w:rPr>
          <w:rFonts w:hint="eastAsia"/>
          <w:sz w:val="24"/>
          <w:lang w:val="en-US" w:eastAsia="zh-CN"/>
        </w:rPr>
        <w:t>西班牙语口译，</w:t>
      </w:r>
      <w:r w:rsidR="001D78DF">
        <w:rPr>
          <w:rFonts w:hint="eastAsia"/>
          <w:sz w:val="24"/>
          <w:lang w:val="en-US" w:eastAsia="zh-CN"/>
        </w:rPr>
        <w:t>并由于</w:t>
      </w:r>
      <w:r w:rsidRPr="00BF31FC">
        <w:rPr>
          <w:rFonts w:hint="eastAsia"/>
          <w:sz w:val="24"/>
          <w:lang w:val="en-US" w:eastAsia="zh-CN"/>
        </w:rPr>
        <w:t>加拿大全球事务部对</w:t>
      </w:r>
      <w:proofErr w:type="spellStart"/>
      <w:r w:rsidRPr="00BF31FC">
        <w:rPr>
          <w:rFonts w:hint="eastAsia"/>
          <w:sz w:val="24"/>
          <w:lang w:val="en-US" w:eastAsia="zh-CN"/>
        </w:rPr>
        <w:t>Podong</w:t>
      </w:r>
      <w:proofErr w:type="spellEnd"/>
      <w:r w:rsidRPr="00BF31FC">
        <w:rPr>
          <w:rFonts w:hint="eastAsia"/>
          <w:sz w:val="24"/>
          <w:lang w:val="en-US" w:eastAsia="zh-CN"/>
        </w:rPr>
        <w:t>土著人民倡议</w:t>
      </w:r>
      <w:r w:rsidR="001D78DF">
        <w:rPr>
          <w:rFonts w:hint="eastAsia"/>
          <w:sz w:val="24"/>
          <w:lang w:val="en-US" w:eastAsia="zh-CN"/>
        </w:rPr>
        <w:t>提供的</w:t>
      </w:r>
      <w:r w:rsidRPr="00BF31FC">
        <w:rPr>
          <w:rFonts w:hint="eastAsia"/>
          <w:sz w:val="24"/>
          <w:lang w:val="en-US" w:eastAsia="zh-CN"/>
        </w:rPr>
        <w:t>慷慨资助，研讨会的与会者们得到很大帮助。为研讨会编写的关于</w:t>
      </w:r>
      <w:r>
        <w:rPr>
          <w:rFonts w:hint="eastAsia"/>
          <w:sz w:val="24"/>
          <w:lang w:val="en-US" w:eastAsia="zh-CN"/>
        </w:rPr>
        <w:t>准则</w:t>
      </w:r>
      <w:r w:rsidRPr="00BF31FC">
        <w:rPr>
          <w:rFonts w:hint="eastAsia"/>
          <w:sz w:val="24"/>
          <w:lang w:val="en-US" w:eastAsia="zh-CN"/>
        </w:rPr>
        <w:t>的意见综述可在线查阅</w:t>
      </w:r>
      <w:r w:rsidRPr="00BF31FC">
        <w:rPr>
          <w:sz w:val="24"/>
          <w:vertAlign w:val="superscript"/>
        </w:rPr>
        <w:footnoteReference w:id="3"/>
      </w:r>
      <w:r w:rsidRPr="00BF31FC">
        <w:rPr>
          <w:rFonts w:hint="eastAsia"/>
          <w:sz w:val="24"/>
          <w:lang w:val="en-US" w:eastAsia="zh-CN"/>
        </w:rPr>
        <w:t>，研讨会报告将作为</w:t>
      </w:r>
      <w:r w:rsidRPr="00BF31FC">
        <w:rPr>
          <w:rFonts w:hint="eastAsia"/>
          <w:sz w:val="24"/>
          <w:lang w:val="en-US" w:eastAsia="zh-CN"/>
        </w:rPr>
        <w:t>CBD/A8J/WS/2025/2/3</w:t>
      </w:r>
      <w:r w:rsidRPr="00BF31FC">
        <w:rPr>
          <w:rFonts w:hint="eastAsia"/>
          <w:sz w:val="24"/>
          <w:lang w:val="en-US" w:eastAsia="zh-CN"/>
        </w:rPr>
        <w:t>号文件发布。下一节</w:t>
      </w:r>
      <w:r w:rsidR="001D78DF">
        <w:rPr>
          <w:rFonts w:hint="eastAsia"/>
          <w:sz w:val="24"/>
          <w:lang w:val="en-US" w:eastAsia="zh-CN"/>
        </w:rPr>
        <w:t>所列</w:t>
      </w:r>
      <w:r w:rsidRPr="00BF31FC">
        <w:rPr>
          <w:rFonts w:hint="eastAsia"/>
          <w:sz w:val="24"/>
          <w:lang w:val="en-US" w:eastAsia="zh-CN"/>
        </w:rPr>
        <w:t>提交供第</w:t>
      </w:r>
      <w:r w:rsidRPr="00BF31FC">
        <w:rPr>
          <w:rFonts w:hint="eastAsia"/>
          <w:sz w:val="24"/>
          <w:lang w:val="en-US" w:eastAsia="zh-CN"/>
        </w:rPr>
        <w:t>8(j)</w:t>
      </w:r>
      <w:r w:rsidRPr="00BF31FC">
        <w:rPr>
          <w:rFonts w:hint="eastAsia"/>
          <w:sz w:val="24"/>
          <w:lang w:val="en-US" w:eastAsia="zh-CN"/>
        </w:rPr>
        <w:t>条机构审议的决定草案在附件中载有加强法律和政策框架的</w:t>
      </w:r>
      <w:r>
        <w:rPr>
          <w:rFonts w:hint="eastAsia"/>
          <w:sz w:val="24"/>
          <w:lang w:val="en-US" w:eastAsia="zh-CN"/>
        </w:rPr>
        <w:t>准则</w:t>
      </w:r>
      <w:r w:rsidRPr="00BF31FC">
        <w:rPr>
          <w:rFonts w:hint="eastAsia"/>
          <w:sz w:val="24"/>
          <w:lang w:val="en-US" w:eastAsia="zh-CN"/>
        </w:rPr>
        <w:t>草案，加强该框架是为了承认土著人民和地方社区的土著和传统</w:t>
      </w:r>
      <w:r w:rsidR="00813176">
        <w:rPr>
          <w:rFonts w:hint="eastAsia"/>
          <w:sz w:val="24"/>
          <w:lang w:val="en-US" w:eastAsia="zh-CN"/>
        </w:rPr>
        <w:t>领地</w:t>
      </w:r>
      <w:r w:rsidRPr="00BF31FC">
        <w:rPr>
          <w:rFonts w:hint="eastAsia"/>
          <w:sz w:val="24"/>
          <w:lang w:val="en-US" w:eastAsia="zh-CN"/>
        </w:rPr>
        <w:t>对空间规划、恢复和保护做出的贡献。准则草案由专家研讨会的与会者</w:t>
      </w:r>
      <w:r w:rsidR="001D78DF">
        <w:rPr>
          <w:rFonts w:hint="eastAsia"/>
          <w:sz w:val="24"/>
          <w:lang w:val="en-US" w:eastAsia="zh-CN"/>
        </w:rPr>
        <w:t>们</w:t>
      </w:r>
      <w:r w:rsidRPr="00BF31FC">
        <w:rPr>
          <w:rFonts w:hint="eastAsia"/>
          <w:sz w:val="24"/>
          <w:lang w:val="en-US" w:eastAsia="zh-CN"/>
        </w:rPr>
        <w:t>根据响应</w:t>
      </w:r>
      <w:hyperlink r:id="rId14" w:history="1">
        <w:r w:rsidRPr="00BF31FC">
          <w:rPr>
            <w:rStyle w:val="Hyperlink"/>
            <w:rFonts w:hint="eastAsia"/>
            <w:sz w:val="24"/>
            <w:lang w:val="en-US" w:eastAsia="zh-CN"/>
          </w:rPr>
          <w:t>2025-061</w:t>
        </w:r>
      </w:hyperlink>
      <w:r w:rsidRPr="00BF31FC">
        <w:rPr>
          <w:rFonts w:hint="eastAsia"/>
          <w:sz w:val="24"/>
          <w:lang w:val="en-US" w:eastAsia="zh-CN"/>
        </w:rPr>
        <w:t>号通知提交的信息制定。</w:t>
      </w:r>
      <w:r w:rsidR="00CB4522" w:rsidRPr="00250A23">
        <w:rPr>
          <w:sz w:val="24"/>
          <w:lang w:eastAsia="zh-CN"/>
        </w:rPr>
        <w:t xml:space="preserve"> </w:t>
      </w:r>
    </w:p>
    <w:p w14:paraId="040499EA" w14:textId="77777777" w:rsidR="00665B56" w:rsidRPr="00C0791C" w:rsidRDefault="00BF31FC" w:rsidP="00B841CB">
      <w:pPr>
        <w:pStyle w:val="CBDH1"/>
        <w:tabs>
          <w:tab w:val="clear" w:pos="567"/>
          <w:tab w:val="clear" w:pos="1134"/>
          <w:tab w:val="clear" w:pos="1701"/>
          <w:tab w:val="clear" w:pos="2268"/>
          <w:tab w:val="clear" w:pos="2835"/>
          <w:tab w:val="clear" w:pos="3402"/>
        </w:tabs>
        <w:ind w:left="0" w:firstLine="0"/>
        <w:rPr>
          <w:snapToGrid w:val="0"/>
          <w:lang w:val="es-ES"/>
        </w:rPr>
      </w:pPr>
      <w:r>
        <w:rPr>
          <w:rFonts w:hint="eastAsia"/>
          <w:snapToGrid w:val="0"/>
          <w:lang w:eastAsia="zh-CN"/>
        </w:rPr>
        <w:t>二</w:t>
      </w:r>
      <w:r w:rsidR="00665B56" w:rsidRPr="00DD66D9">
        <w:rPr>
          <w:snapToGrid w:val="0"/>
        </w:rPr>
        <w:t>.</w:t>
      </w:r>
      <w:r>
        <w:rPr>
          <w:snapToGrid w:val="0"/>
          <w:lang w:eastAsia="zh-CN"/>
        </w:rPr>
        <w:tab/>
      </w:r>
      <w:r>
        <w:rPr>
          <w:rFonts w:hint="eastAsia"/>
          <w:snapToGrid w:val="0"/>
          <w:lang w:eastAsia="zh-CN"/>
        </w:rPr>
        <w:t>建议</w:t>
      </w:r>
    </w:p>
    <w:p w14:paraId="3F9165EC" w14:textId="77777777" w:rsidR="00B72288" w:rsidRPr="00A35BD1" w:rsidRDefault="00C26255" w:rsidP="00BA38C1">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26255">
        <w:rPr>
          <w:rFonts w:hint="eastAsia"/>
          <w:sz w:val="24"/>
          <w:lang w:val="en-US" w:eastAsia="zh-CN"/>
        </w:rPr>
        <w:t>第</w:t>
      </w:r>
      <w:r w:rsidRPr="00C26255">
        <w:rPr>
          <w:rFonts w:hint="eastAsia"/>
          <w:sz w:val="24"/>
          <w:lang w:val="en-US" w:eastAsia="zh-CN"/>
        </w:rPr>
        <w:t>8(j)</w:t>
      </w:r>
      <w:r w:rsidRPr="00C26255">
        <w:rPr>
          <w:rFonts w:hint="eastAsia"/>
          <w:sz w:val="24"/>
          <w:lang w:val="en-US" w:eastAsia="zh-CN"/>
        </w:rPr>
        <w:t>条机构不妨建议缔约方大会在其第十七届会议上通过一项大致如下的决定</w:t>
      </w:r>
      <w:r>
        <w:rPr>
          <w:rFonts w:hint="eastAsia"/>
          <w:sz w:val="24"/>
          <w:lang w:val="en-US" w:eastAsia="zh-CN"/>
        </w:rPr>
        <w:t>：</w:t>
      </w:r>
    </w:p>
    <w:p w14:paraId="2574DE82" w14:textId="77777777" w:rsidR="00190947" w:rsidRDefault="00190947" w:rsidP="00C26255">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rFonts w:ascii="KaiTi" w:eastAsia="KaiTi" w:hAnsi="KaiTi"/>
          <w:sz w:val="24"/>
          <w:lang w:val="en-US" w:eastAsia="zh-CN"/>
        </w:rPr>
        <w:sectPr w:rsidR="00190947" w:rsidSect="00213C0F">
          <w:headerReference w:type="even" r:id="rId15"/>
          <w:headerReference w:type="default" r:id="rId16"/>
          <w:footerReference w:type="even" r:id="rId17"/>
          <w:footerReference w:type="default" r:id="rId18"/>
          <w:footnotePr>
            <w:numRestart w:val="eachSect"/>
          </w:footnotePr>
          <w:type w:val="continuous"/>
          <w:pgSz w:w="12240" w:h="15840"/>
          <w:pgMar w:top="1134" w:right="1440" w:bottom="1134" w:left="1440" w:header="709" w:footer="709" w:gutter="0"/>
          <w:cols w:space="708"/>
          <w:titlePg/>
          <w:docGrid w:linePitch="360"/>
        </w:sectPr>
      </w:pPr>
    </w:p>
    <w:p w14:paraId="47FFE640" w14:textId="77777777" w:rsidR="00665B56" w:rsidRPr="00C26255" w:rsidRDefault="00C26255" w:rsidP="00C26255">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rFonts w:ascii="KaiTi" w:eastAsia="KaiTi" w:hAnsi="KaiTi"/>
          <w:sz w:val="24"/>
          <w:lang w:eastAsia="zh-CN"/>
        </w:rPr>
      </w:pPr>
      <w:r w:rsidRPr="00C26255">
        <w:rPr>
          <w:rFonts w:ascii="KaiTi" w:eastAsia="KaiTi" w:hAnsi="KaiTi" w:hint="eastAsia"/>
          <w:sz w:val="24"/>
          <w:lang w:val="en-US" w:eastAsia="zh-CN"/>
        </w:rPr>
        <w:t>缔约方大会，</w:t>
      </w:r>
    </w:p>
    <w:p w14:paraId="3F310515" w14:textId="0BE8AE08" w:rsidR="00665B56" w:rsidRPr="00250A23" w:rsidRDefault="00DC6DB9" w:rsidP="00C26255">
      <w:pPr>
        <w:pStyle w:val="CBDNormalNoNumber"/>
        <w:tabs>
          <w:tab w:val="clear" w:pos="567"/>
          <w:tab w:val="clear" w:pos="1134"/>
          <w:tab w:val="clear" w:pos="1701"/>
          <w:tab w:val="clear" w:pos="2268"/>
          <w:tab w:val="clear" w:pos="2835"/>
          <w:tab w:val="clear" w:pos="3402"/>
        </w:tabs>
        <w:ind w:left="979" w:firstLine="490"/>
        <w:rPr>
          <w:sz w:val="24"/>
          <w:lang w:eastAsia="zh-CN"/>
        </w:rPr>
      </w:pPr>
      <w:r w:rsidRPr="00DC6DB9">
        <w:rPr>
          <w:rFonts w:ascii="KaiTi" w:eastAsia="KaiTi" w:hAnsi="KaiTi" w:hint="eastAsia"/>
          <w:sz w:val="24"/>
          <w:lang w:val="en-US" w:eastAsia="zh-CN"/>
        </w:rPr>
        <w:t>回顾</w:t>
      </w:r>
      <w:r w:rsidRPr="00DC6DB9">
        <w:rPr>
          <w:rFonts w:hint="eastAsia"/>
          <w:sz w:val="24"/>
          <w:lang w:val="en-US" w:eastAsia="zh-CN"/>
        </w:rPr>
        <w:t>其</w:t>
      </w:r>
      <w:r w:rsidRPr="00DC6DB9">
        <w:rPr>
          <w:rFonts w:hint="eastAsia"/>
          <w:sz w:val="24"/>
          <w:lang w:val="en-US" w:eastAsia="zh-CN"/>
        </w:rPr>
        <w:t>2024</w:t>
      </w:r>
      <w:r w:rsidRPr="00DC6DB9">
        <w:rPr>
          <w:rFonts w:hint="eastAsia"/>
          <w:sz w:val="24"/>
          <w:lang w:val="en-US" w:eastAsia="zh-CN"/>
        </w:rPr>
        <w:t>年</w:t>
      </w:r>
      <w:r w:rsidRPr="00DC6DB9">
        <w:rPr>
          <w:rFonts w:hint="eastAsia"/>
          <w:sz w:val="24"/>
          <w:lang w:val="en-US" w:eastAsia="zh-CN"/>
        </w:rPr>
        <w:t>10</w:t>
      </w:r>
      <w:r w:rsidRPr="00DC6DB9">
        <w:rPr>
          <w:rFonts w:hint="eastAsia"/>
          <w:sz w:val="24"/>
          <w:lang w:val="en-US" w:eastAsia="zh-CN"/>
        </w:rPr>
        <w:t>月</w:t>
      </w:r>
      <w:r w:rsidRPr="00DC6DB9">
        <w:rPr>
          <w:rFonts w:hint="eastAsia"/>
          <w:sz w:val="24"/>
          <w:lang w:val="en-US" w:eastAsia="zh-CN"/>
        </w:rPr>
        <w:t>30</w:t>
      </w:r>
      <w:r w:rsidRPr="00DC6DB9">
        <w:rPr>
          <w:rFonts w:hint="eastAsia"/>
          <w:sz w:val="24"/>
          <w:lang w:val="en-US" w:eastAsia="zh-CN"/>
        </w:rPr>
        <w:t>日第</w:t>
      </w:r>
      <w:hyperlink r:id="rId19" w:history="1">
        <w:r w:rsidRPr="00DC6DB9">
          <w:rPr>
            <w:rStyle w:val="Hyperlink"/>
            <w:rFonts w:hint="eastAsia"/>
            <w:sz w:val="24"/>
            <w:lang w:val="en-US" w:eastAsia="zh-CN"/>
          </w:rPr>
          <w:t>16/4</w:t>
        </w:r>
      </w:hyperlink>
      <w:r w:rsidRPr="00DC6DB9">
        <w:rPr>
          <w:rFonts w:hint="eastAsia"/>
          <w:sz w:val="24"/>
          <w:lang w:val="en-US" w:eastAsia="zh-CN"/>
        </w:rPr>
        <w:t>号决定，其中通过了</w:t>
      </w:r>
      <w:r w:rsidRPr="00DC6DB9">
        <w:rPr>
          <w:bCs/>
          <w:sz w:val="24"/>
          <w:lang w:val="en-US" w:eastAsia="zh-CN"/>
        </w:rPr>
        <w:t>至</w:t>
      </w:r>
      <w:r w:rsidRPr="00DC6DB9">
        <w:rPr>
          <w:bCs/>
          <w:sz w:val="24"/>
          <w:lang w:val="en-US" w:eastAsia="zh-CN"/>
        </w:rPr>
        <w:t>2030</w:t>
      </w:r>
      <w:r w:rsidRPr="00DC6DB9">
        <w:rPr>
          <w:bCs/>
          <w:sz w:val="24"/>
          <w:lang w:val="en-US" w:eastAsia="zh-CN"/>
        </w:rPr>
        <w:t>年生物多样性公约</w:t>
      </w:r>
      <w:r w:rsidR="00190947">
        <w:rPr>
          <w:rStyle w:val="FootnoteReference"/>
          <w:bCs/>
          <w:sz w:val="24"/>
          <w:lang w:eastAsia="zh-CN"/>
        </w:rPr>
        <w:footnoteReference w:id="4"/>
      </w:r>
      <w:r w:rsidRPr="00DC6DB9">
        <w:rPr>
          <w:rFonts w:hint="eastAsia"/>
          <w:bCs/>
          <w:sz w:val="24"/>
          <w:lang w:val="en-US" w:eastAsia="zh-CN"/>
        </w:rPr>
        <w:t>关于</w:t>
      </w:r>
      <w:r w:rsidRPr="00DC6DB9">
        <w:rPr>
          <w:bCs/>
          <w:sz w:val="24"/>
          <w:lang w:val="en-US" w:eastAsia="zh-CN"/>
        </w:rPr>
        <w:t>土著人民和地方社区</w:t>
      </w:r>
      <w:r w:rsidRPr="00DC6DB9">
        <w:rPr>
          <w:rFonts w:hint="eastAsia"/>
          <w:bCs/>
          <w:sz w:val="24"/>
          <w:lang w:val="en-US" w:eastAsia="zh-CN"/>
        </w:rPr>
        <w:t>的</w:t>
      </w:r>
      <w:r w:rsidRPr="00DC6DB9">
        <w:rPr>
          <w:bCs/>
          <w:sz w:val="24"/>
          <w:lang w:val="en-US" w:eastAsia="zh-CN"/>
        </w:rPr>
        <w:t>第</w:t>
      </w:r>
      <w:r w:rsidRPr="00DC6DB9">
        <w:rPr>
          <w:bCs/>
          <w:sz w:val="24"/>
          <w:lang w:val="en-US" w:eastAsia="zh-CN"/>
        </w:rPr>
        <w:t>8(j)</w:t>
      </w:r>
      <w:r w:rsidRPr="00DC6DB9">
        <w:rPr>
          <w:bCs/>
          <w:sz w:val="24"/>
          <w:lang w:val="en-US" w:eastAsia="zh-CN"/>
        </w:rPr>
        <w:t>条和其他条款工作方案</w:t>
      </w:r>
      <w:r w:rsidRPr="00DC6DB9">
        <w:rPr>
          <w:rFonts w:hint="eastAsia"/>
          <w:sz w:val="24"/>
          <w:lang w:val="en-US" w:eastAsia="zh-CN"/>
        </w:rPr>
        <w:t>，特别是针对生物多样性公约关于土著人民和地方社区的第</w:t>
      </w:r>
      <w:r w:rsidRPr="00DC6DB9">
        <w:rPr>
          <w:rFonts w:hint="eastAsia"/>
          <w:sz w:val="24"/>
          <w:lang w:val="en-US" w:eastAsia="zh-CN"/>
        </w:rPr>
        <w:t xml:space="preserve"> 8(j)</w:t>
      </w:r>
      <w:r w:rsidRPr="00DC6DB9">
        <w:rPr>
          <w:rFonts w:hint="eastAsia"/>
          <w:sz w:val="24"/>
          <w:lang w:val="en-US" w:eastAsia="zh-CN"/>
        </w:rPr>
        <w:t>条和其他条款附属机构（第</w:t>
      </w:r>
      <w:r w:rsidRPr="00DC6DB9">
        <w:rPr>
          <w:rFonts w:hint="eastAsia"/>
          <w:sz w:val="24"/>
          <w:lang w:val="en-US" w:eastAsia="zh-CN"/>
        </w:rPr>
        <w:t>8(j)</w:t>
      </w:r>
      <w:r w:rsidRPr="00DC6DB9">
        <w:rPr>
          <w:rFonts w:hint="eastAsia"/>
          <w:sz w:val="24"/>
          <w:lang w:val="en-US" w:eastAsia="zh-CN"/>
        </w:rPr>
        <w:t>条机构）</w:t>
      </w:r>
      <w:r w:rsidR="001D78DF">
        <w:rPr>
          <w:rFonts w:hint="eastAsia"/>
          <w:sz w:val="24"/>
          <w:lang w:val="en-US" w:eastAsia="zh-CN"/>
        </w:rPr>
        <w:t>提出</w:t>
      </w:r>
      <w:r w:rsidRPr="00DC6DB9">
        <w:rPr>
          <w:rFonts w:hint="eastAsia"/>
          <w:sz w:val="24"/>
          <w:lang w:val="en-US" w:eastAsia="zh-CN"/>
        </w:rPr>
        <w:t>的任务</w:t>
      </w:r>
      <w:r w:rsidRPr="00DC6DB9">
        <w:rPr>
          <w:rFonts w:hint="eastAsia"/>
          <w:sz w:val="24"/>
          <w:lang w:val="en-US" w:eastAsia="zh-CN"/>
        </w:rPr>
        <w:t>1.1</w:t>
      </w:r>
      <w:r w:rsidRPr="00DC6DB9">
        <w:rPr>
          <w:rFonts w:hint="eastAsia"/>
          <w:sz w:val="24"/>
          <w:lang w:val="en-US" w:eastAsia="zh-CN"/>
        </w:rPr>
        <w:t>和</w:t>
      </w:r>
      <w:r w:rsidRPr="00DC6DB9">
        <w:rPr>
          <w:rFonts w:hint="eastAsia"/>
          <w:sz w:val="24"/>
          <w:lang w:val="en-US" w:eastAsia="zh-CN"/>
        </w:rPr>
        <w:t>1.2</w:t>
      </w:r>
      <w:r w:rsidRPr="00DC6DB9">
        <w:rPr>
          <w:rFonts w:hint="eastAsia"/>
          <w:sz w:val="24"/>
          <w:lang w:val="en-US" w:eastAsia="zh-CN"/>
        </w:rPr>
        <w:t>，其中要求制定准则，</w:t>
      </w:r>
      <w:r w:rsidR="001D78DF">
        <w:rPr>
          <w:rFonts w:hint="eastAsia"/>
          <w:sz w:val="24"/>
          <w:lang w:val="en-US" w:eastAsia="zh-CN"/>
        </w:rPr>
        <w:t>用于</w:t>
      </w:r>
      <w:r w:rsidRPr="00DC6DB9">
        <w:rPr>
          <w:rFonts w:hint="eastAsia"/>
          <w:sz w:val="24"/>
          <w:lang w:val="en-US" w:eastAsia="zh-CN"/>
        </w:rPr>
        <w:t>加强落实《昆明</w:t>
      </w:r>
      <w:r w:rsidRPr="00DC6DB9">
        <w:rPr>
          <w:rFonts w:hint="eastAsia"/>
          <w:sz w:val="24"/>
          <w:lang w:val="en-US" w:eastAsia="zh-CN"/>
        </w:rPr>
        <w:t>-</w:t>
      </w:r>
      <w:r w:rsidRPr="00DC6DB9">
        <w:rPr>
          <w:rFonts w:hint="eastAsia"/>
          <w:sz w:val="24"/>
          <w:lang w:val="en-US" w:eastAsia="zh-CN"/>
        </w:rPr>
        <w:t>蒙特利尔全球生物多样性框架》</w:t>
      </w:r>
      <w:r w:rsidRPr="00DC6DB9">
        <w:rPr>
          <w:sz w:val="24"/>
          <w:vertAlign w:val="superscript"/>
        </w:rPr>
        <w:footnoteReference w:id="5"/>
      </w:r>
      <w:r w:rsidRPr="00DC6DB9">
        <w:rPr>
          <w:rFonts w:hint="eastAsia"/>
          <w:sz w:val="24"/>
          <w:lang w:val="en-US" w:eastAsia="zh-CN"/>
        </w:rPr>
        <w:t>行动目标</w:t>
      </w:r>
      <w:r w:rsidRPr="00DC6DB9">
        <w:rPr>
          <w:rFonts w:hint="eastAsia"/>
          <w:sz w:val="24"/>
          <w:lang w:val="en-US" w:eastAsia="zh-CN"/>
        </w:rPr>
        <w:t>2</w:t>
      </w:r>
      <w:r w:rsidRPr="00DC6DB9">
        <w:rPr>
          <w:rFonts w:hint="eastAsia"/>
          <w:sz w:val="24"/>
          <w:lang w:val="en-US" w:eastAsia="zh-CN"/>
        </w:rPr>
        <w:t>和</w:t>
      </w:r>
      <w:r w:rsidRPr="00DC6DB9">
        <w:rPr>
          <w:rFonts w:hint="eastAsia"/>
          <w:sz w:val="24"/>
          <w:lang w:val="en-US" w:eastAsia="zh-CN"/>
        </w:rPr>
        <w:t>3</w:t>
      </w:r>
      <w:r w:rsidRPr="00DC6DB9">
        <w:rPr>
          <w:rFonts w:hint="eastAsia"/>
          <w:sz w:val="24"/>
          <w:lang w:val="en-US" w:eastAsia="zh-CN"/>
        </w:rPr>
        <w:t>的法律和政策框架，包括</w:t>
      </w:r>
      <w:r w:rsidR="001D78DF">
        <w:rPr>
          <w:rFonts w:hint="eastAsia"/>
          <w:sz w:val="24"/>
          <w:lang w:val="en-US" w:eastAsia="zh-CN"/>
        </w:rPr>
        <w:t>制定</w:t>
      </w:r>
      <w:r w:rsidRPr="00DC6DB9">
        <w:rPr>
          <w:rFonts w:hint="eastAsia"/>
          <w:sz w:val="24"/>
          <w:lang w:val="en-US" w:eastAsia="zh-CN"/>
        </w:rPr>
        <w:t>关于土著和传统领地的准则，并制定关于分别在空间规划过程和环境影响评估中纳入和考虑传统土地和资源使用问题的准则，同时认识到该工作方案应与《框架》保持一致，</w:t>
      </w:r>
    </w:p>
    <w:p w14:paraId="569CDCAE" w14:textId="77777777" w:rsidR="00B27003" w:rsidRPr="00250A23" w:rsidRDefault="00022BD3" w:rsidP="00C26255">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022BD3">
        <w:rPr>
          <w:rFonts w:ascii="KaiTi" w:eastAsia="KaiTi" w:hAnsi="KaiTi" w:hint="eastAsia"/>
          <w:sz w:val="24"/>
          <w:lang w:val="en-US" w:eastAsia="zh-CN"/>
        </w:rPr>
        <w:t>注意到</w:t>
      </w:r>
      <w:r w:rsidRPr="00022BD3">
        <w:rPr>
          <w:rFonts w:hint="eastAsia"/>
          <w:sz w:val="24"/>
          <w:lang w:val="en-US" w:eastAsia="zh-CN"/>
        </w:rPr>
        <w:t>支持执行公约</w:t>
      </w:r>
      <w:r w:rsidRPr="00022BD3">
        <w:rPr>
          <w:rFonts w:hint="eastAsia"/>
          <w:bCs/>
          <w:sz w:val="24"/>
          <w:lang w:val="en-US" w:eastAsia="zh-CN"/>
        </w:rPr>
        <w:t>关于</w:t>
      </w:r>
      <w:r w:rsidRPr="00022BD3">
        <w:rPr>
          <w:bCs/>
          <w:sz w:val="24"/>
          <w:lang w:val="en-US" w:eastAsia="zh-CN"/>
        </w:rPr>
        <w:t>土著人民和地方社区</w:t>
      </w:r>
      <w:r w:rsidRPr="00022BD3">
        <w:rPr>
          <w:rFonts w:hint="eastAsia"/>
          <w:bCs/>
          <w:sz w:val="24"/>
          <w:lang w:val="en-US" w:eastAsia="zh-CN"/>
        </w:rPr>
        <w:t>的</w:t>
      </w:r>
      <w:r w:rsidRPr="00022BD3">
        <w:rPr>
          <w:bCs/>
          <w:sz w:val="24"/>
          <w:lang w:val="en-US" w:eastAsia="zh-CN"/>
        </w:rPr>
        <w:t>第</w:t>
      </w:r>
      <w:r w:rsidRPr="00022BD3">
        <w:rPr>
          <w:bCs/>
          <w:sz w:val="24"/>
          <w:lang w:val="en-US" w:eastAsia="zh-CN"/>
        </w:rPr>
        <w:t>8(j)</w:t>
      </w:r>
      <w:r w:rsidRPr="00022BD3">
        <w:rPr>
          <w:bCs/>
          <w:sz w:val="24"/>
          <w:lang w:val="en-US" w:eastAsia="zh-CN"/>
        </w:rPr>
        <w:t>条和其他条款工作方案</w:t>
      </w:r>
      <w:r w:rsidRPr="00022BD3">
        <w:rPr>
          <w:rFonts w:hint="eastAsia"/>
          <w:sz w:val="24"/>
          <w:lang w:val="en-US" w:eastAsia="zh-CN"/>
        </w:rPr>
        <w:t>任务</w:t>
      </w:r>
      <w:r w:rsidRPr="00022BD3">
        <w:rPr>
          <w:rFonts w:hint="eastAsia"/>
          <w:sz w:val="24"/>
          <w:lang w:val="en-US" w:eastAsia="zh-CN"/>
        </w:rPr>
        <w:t>1.1</w:t>
      </w:r>
      <w:r w:rsidRPr="00022BD3">
        <w:rPr>
          <w:rFonts w:hint="eastAsia"/>
          <w:sz w:val="24"/>
          <w:lang w:val="en-US" w:eastAsia="zh-CN"/>
        </w:rPr>
        <w:t>和</w:t>
      </w:r>
      <w:r w:rsidRPr="00022BD3">
        <w:rPr>
          <w:rFonts w:hint="eastAsia"/>
          <w:sz w:val="24"/>
          <w:lang w:val="en-US" w:eastAsia="zh-CN"/>
        </w:rPr>
        <w:t>1.2</w:t>
      </w:r>
      <w:r w:rsidRPr="00022BD3">
        <w:rPr>
          <w:rFonts w:hint="eastAsia"/>
          <w:sz w:val="24"/>
          <w:lang w:val="en-US" w:eastAsia="zh-CN"/>
        </w:rPr>
        <w:t>的专家研讨会的成果，包括准则草案</w:t>
      </w:r>
      <w:r w:rsidRPr="00022BD3">
        <w:rPr>
          <w:sz w:val="24"/>
          <w:vertAlign w:val="superscript"/>
        </w:rPr>
        <w:footnoteReference w:id="6"/>
      </w:r>
      <w:r w:rsidRPr="00022BD3">
        <w:rPr>
          <w:rFonts w:hint="eastAsia"/>
          <w:sz w:val="24"/>
          <w:lang w:val="en-US" w:eastAsia="zh-CN"/>
        </w:rPr>
        <w:t>，</w:t>
      </w:r>
    </w:p>
    <w:p w14:paraId="5ACAE82F" w14:textId="77777777" w:rsidR="00665B56" w:rsidRPr="00720F0F" w:rsidRDefault="00665B56" w:rsidP="00C26255">
      <w:pPr>
        <w:pStyle w:val="CBDNormalNoNumber"/>
        <w:tabs>
          <w:tab w:val="clear" w:pos="567"/>
          <w:tab w:val="clear" w:pos="1134"/>
          <w:tab w:val="clear" w:pos="1701"/>
          <w:tab w:val="clear" w:pos="2268"/>
          <w:tab w:val="clear" w:pos="2835"/>
          <w:tab w:val="clear" w:pos="3402"/>
        </w:tabs>
        <w:ind w:left="979" w:firstLine="490"/>
        <w:rPr>
          <w:sz w:val="24"/>
          <w:lang w:eastAsia="zh-CN"/>
        </w:rPr>
      </w:pPr>
      <w:r w:rsidRPr="00720F0F">
        <w:rPr>
          <w:sz w:val="24"/>
          <w:lang w:eastAsia="zh-CN"/>
        </w:rPr>
        <w:lastRenderedPageBreak/>
        <w:t>1.</w:t>
      </w:r>
      <w:r w:rsidR="00B34BAB" w:rsidRPr="00720F0F">
        <w:rPr>
          <w:sz w:val="24"/>
          <w:lang w:eastAsia="zh-CN"/>
        </w:rPr>
        <w:tab/>
      </w:r>
      <w:r w:rsidR="00720F0F" w:rsidRPr="00720F0F">
        <w:rPr>
          <w:rFonts w:ascii="KaiTi" w:eastAsia="KaiTi" w:hAnsi="KaiTi"/>
          <w:sz w:val="24"/>
          <w:lang w:val="en-US" w:eastAsia="zh-CN"/>
        </w:rPr>
        <w:t>通过</w:t>
      </w:r>
      <w:r w:rsidR="00720F0F" w:rsidRPr="00720F0F">
        <w:rPr>
          <w:sz w:val="24"/>
          <w:lang w:val="en-US" w:eastAsia="zh-CN"/>
        </w:rPr>
        <w:t>本决定附件所载</w:t>
      </w:r>
      <w:r w:rsidR="00BF11C5">
        <w:rPr>
          <w:rFonts w:hint="eastAsia"/>
          <w:sz w:val="24"/>
          <w:lang w:val="en-US" w:eastAsia="zh-CN"/>
        </w:rPr>
        <w:t>关于</w:t>
      </w:r>
      <w:r w:rsidR="00720F0F" w:rsidRPr="00720F0F">
        <w:rPr>
          <w:sz w:val="24"/>
          <w:lang w:val="en-US" w:eastAsia="zh-CN"/>
        </w:rPr>
        <w:t>加强承认土著人民和地方社区的土著和传统</w:t>
      </w:r>
      <w:r w:rsidR="00BF11C5">
        <w:rPr>
          <w:rFonts w:hint="eastAsia"/>
          <w:sz w:val="24"/>
          <w:lang w:val="en-US" w:eastAsia="zh-CN"/>
        </w:rPr>
        <w:t>领地</w:t>
      </w:r>
      <w:r w:rsidR="00720F0F" w:rsidRPr="00720F0F">
        <w:rPr>
          <w:sz w:val="24"/>
          <w:lang w:val="en-US" w:eastAsia="zh-CN"/>
        </w:rPr>
        <w:t>在空间规划、恢复和保护中所起作用的法律和政策框架的准则</w:t>
      </w:r>
      <w:r w:rsidR="00720F0F" w:rsidRPr="00720F0F">
        <w:rPr>
          <w:sz w:val="24"/>
          <w:vertAlign w:val="superscript"/>
          <w:lang w:val="fr-CA"/>
        </w:rPr>
        <w:footnoteReference w:id="7"/>
      </w:r>
      <w:r w:rsidR="00720F0F" w:rsidRPr="00720F0F">
        <w:rPr>
          <w:sz w:val="24"/>
          <w:lang w:val="en-US" w:eastAsia="zh-CN"/>
        </w:rPr>
        <w:t>；</w:t>
      </w:r>
      <w:r w:rsidR="00827C7F" w:rsidRPr="00720F0F">
        <w:rPr>
          <w:sz w:val="24"/>
          <w:lang w:eastAsia="zh-CN"/>
        </w:rPr>
        <w:t xml:space="preserve"> </w:t>
      </w:r>
    </w:p>
    <w:p w14:paraId="353A3F46" w14:textId="77777777" w:rsidR="00665B56" w:rsidRPr="00250A23" w:rsidRDefault="00665B56" w:rsidP="00C26255">
      <w:pPr>
        <w:pStyle w:val="CBDNormalNoNumber"/>
        <w:tabs>
          <w:tab w:val="clear" w:pos="567"/>
          <w:tab w:val="clear" w:pos="1134"/>
          <w:tab w:val="clear" w:pos="1701"/>
          <w:tab w:val="clear" w:pos="2268"/>
          <w:tab w:val="clear" w:pos="2835"/>
          <w:tab w:val="clear" w:pos="3402"/>
        </w:tabs>
        <w:ind w:left="979" w:firstLine="490"/>
        <w:rPr>
          <w:sz w:val="24"/>
          <w:lang w:eastAsia="zh-CN"/>
        </w:rPr>
      </w:pPr>
      <w:r w:rsidRPr="00250A23">
        <w:rPr>
          <w:sz w:val="24"/>
          <w:lang w:eastAsia="zh-CN"/>
        </w:rPr>
        <w:t>2.</w:t>
      </w:r>
      <w:r w:rsidR="00B34BAB" w:rsidRPr="00250A23">
        <w:rPr>
          <w:sz w:val="24"/>
          <w:lang w:eastAsia="zh-CN"/>
        </w:rPr>
        <w:tab/>
      </w:r>
      <w:r w:rsidR="00720F0F" w:rsidRPr="00720F0F">
        <w:rPr>
          <w:rFonts w:ascii="KaiTi" w:eastAsia="KaiTi" w:hAnsi="KaiTi" w:hint="eastAsia"/>
          <w:sz w:val="24"/>
          <w:lang w:val="en-US" w:eastAsia="zh-CN"/>
        </w:rPr>
        <w:t>敦促</w:t>
      </w:r>
      <w:r w:rsidR="00720F0F" w:rsidRPr="00720F0F">
        <w:rPr>
          <w:rFonts w:hint="eastAsia"/>
          <w:sz w:val="24"/>
          <w:lang w:val="en-US" w:eastAsia="zh-CN"/>
        </w:rPr>
        <w:t>各缔约方并邀请其他国家政府酌情并根据本国法律框架，在空间规划过程、生物多样性战略和行动计划以及环境影响评估程序中纳入和应用这些准则，并与土著人民和地方社区的权利以及相关的国际人权文书保持一致；</w:t>
      </w:r>
    </w:p>
    <w:p w14:paraId="169A1EFF" w14:textId="77777777" w:rsidR="00FA6BFA" w:rsidRPr="00250A23" w:rsidRDefault="00FA6BFA" w:rsidP="00C26255">
      <w:pPr>
        <w:pStyle w:val="CBDNormalNoNumber"/>
        <w:tabs>
          <w:tab w:val="clear" w:pos="567"/>
          <w:tab w:val="clear" w:pos="1134"/>
          <w:tab w:val="clear" w:pos="1701"/>
          <w:tab w:val="clear" w:pos="2268"/>
          <w:tab w:val="clear" w:pos="2835"/>
          <w:tab w:val="clear" w:pos="3402"/>
        </w:tabs>
        <w:ind w:left="979" w:firstLine="490"/>
        <w:rPr>
          <w:sz w:val="24"/>
          <w:lang w:eastAsia="zh-CN"/>
        </w:rPr>
      </w:pPr>
      <w:r w:rsidRPr="00250A23">
        <w:rPr>
          <w:sz w:val="24"/>
          <w:lang w:eastAsia="zh-CN"/>
        </w:rPr>
        <w:t>3.</w:t>
      </w:r>
      <w:r w:rsidRPr="00250A23">
        <w:rPr>
          <w:sz w:val="24"/>
          <w:lang w:eastAsia="zh-CN"/>
        </w:rPr>
        <w:tab/>
      </w:r>
      <w:r w:rsidR="00BF11C5" w:rsidRPr="00BF11C5">
        <w:rPr>
          <w:rFonts w:ascii="KaiTi" w:eastAsia="KaiTi" w:hAnsi="KaiTi" w:hint="eastAsia"/>
          <w:sz w:val="24"/>
          <w:lang w:val="en-US" w:eastAsia="zh-CN"/>
        </w:rPr>
        <w:t>又敦促</w:t>
      </w:r>
      <w:r w:rsidR="00BF11C5" w:rsidRPr="00BF11C5">
        <w:rPr>
          <w:rFonts w:hint="eastAsia"/>
          <w:sz w:val="24"/>
          <w:lang w:val="en-US" w:eastAsia="zh-CN"/>
        </w:rPr>
        <w:t>各缔约方，并邀请有能力这样做的其他国家政府和相关行为体支持传播这些准则，包括将其翻译成土著语文；</w:t>
      </w:r>
    </w:p>
    <w:p w14:paraId="31A3E9D0" w14:textId="77777777" w:rsidR="00665B56" w:rsidRPr="00250A23" w:rsidRDefault="00FA6BFA" w:rsidP="00C26255">
      <w:pPr>
        <w:pStyle w:val="CBDNormalNoNumber"/>
        <w:tabs>
          <w:tab w:val="clear" w:pos="567"/>
          <w:tab w:val="clear" w:pos="1134"/>
          <w:tab w:val="clear" w:pos="1701"/>
          <w:tab w:val="clear" w:pos="2268"/>
          <w:tab w:val="clear" w:pos="2835"/>
          <w:tab w:val="clear" w:pos="3402"/>
        </w:tabs>
        <w:ind w:left="979" w:firstLine="490"/>
        <w:rPr>
          <w:sz w:val="24"/>
          <w:lang w:eastAsia="zh-CN"/>
        </w:rPr>
      </w:pPr>
      <w:r w:rsidRPr="00250A23">
        <w:rPr>
          <w:sz w:val="24"/>
          <w:lang w:eastAsia="zh-CN"/>
        </w:rPr>
        <w:t>4</w:t>
      </w:r>
      <w:r w:rsidR="00665B56" w:rsidRPr="00250A23">
        <w:rPr>
          <w:sz w:val="24"/>
          <w:lang w:eastAsia="zh-CN"/>
        </w:rPr>
        <w:t>.</w:t>
      </w:r>
      <w:r w:rsidR="00B34BAB" w:rsidRPr="00250A23">
        <w:rPr>
          <w:sz w:val="24"/>
          <w:lang w:eastAsia="zh-CN"/>
        </w:rPr>
        <w:tab/>
      </w:r>
      <w:r w:rsidR="00BF11C5" w:rsidRPr="00BF11C5">
        <w:rPr>
          <w:rFonts w:ascii="KaiTi" w:eastAsia="KaiTi" w:hAnsi="KaiTi" w:hint="eastAsia"/>
          <w:sz w:val="24"/>
          <w:lang w:val="en-US" w:eastAsia="zh-CN"/>
        </w:rPr>
        <w:t>请</w:t>
      </w:r>
      <w:r w:rsidR="00BF11C5" w:rsidRPr="00BF11C5">
        <w:rPr>
          <w:rFonts w:hint="eastAsia"/>
          <w:sz w:val="24"/>
          <w:lang w:val="en-US" w:eastAsia="zh-CN"/>
        </w:rPr>
        <w:t>生物多样性公约执行秘书在资源允许的情况下促进能力建设、技术合作和信息交流，以协助缔约方、土著人民和地方社区执行这些准则；</w:t>
      </w:r>
    </w:p>
    <w:p w14:paraId="784DADD8" w14:textId="77777777" w:rsidR="00950067" w:rsidRPr="00250A23" w:rsidRDefault="00A91F3D" w:rsidP="00C26255">
      <w:pPr>
        <w:pStyle w:val="CBDNormalNoNumber"/>
        <w:tabs>
          <w:tab w:val="clear" w:pos="567"/>
          <w:tab w:val="clear" w:pos="1134"/>
          <w:tab w:val="clear" w:pos="1701"/>
          <w:tab w:val="clear" w:pos="2268"/>
          <w:tab w:val="clear" w:pos="2835"/>
          <w:tab w:val="clear" w:pos="3402"/>
        </w:tabs>
        <w:ind w:left="979" w:firstLine="490"/>
        <w:rPr>
          <w:sz w:val="24"/>
          <w:lang w:eastAsia="zh-CN"/>
        </w:rPr>
      </w:pPr>
      <w:r w:rsidRPr="00250A23">
        <w:rPr>
          <w:sz w:val="24"/>
          <w:lang w:eastAsia="zh-CN"/>
        </w:rPr>
        <w:t>5</w:t>
      </w:r>
      <w:r w:rsidR="00665B56" w:rsidRPr="00250A23">
        <w:rPr>
          <w:sz w:val="24"/>
          <w:lang w:eastAsia="zh-CN"/>
        </w:rPr>
        <w:t>.</w:t>
      </w:r>
      <w:r w:rsidR="00B34BAB" w:rsidRPr="00250A23">
        <w:rPr>
          <w:sz w:val="24"/>
          <w:lang w:eastAsia="zh-CN"/>
        </w:rPr>
        <w:tab/>
      </w:r>
      <w:r w:rsidR="00BF11C5" w:rsidRPr="00BF11C5">
        <w:rPr>
          <w:rFonts w:ascii="KaiTi" w:eastAsia="KaiTi" w:hAnsi="KaiTi" w:hint="eastAsia"/>
          <w:sz w:val="24"/>
          <w:lang w:val="en-US" w:eastAsia="zh-CN"/>
        </w:rPr>
        <w:t>鼓励</w:t>
      </w:r>
      <w:r w:rsidR="00BF11C5" w:rsidRPr="00BF11C5">
        <w:rPr>
          <w:rFonts w:hint="eastAsia"/>
          <w:sz w:val="24"/>
          <w:lang w:val="en-US" w:eastAsia="zh-CN"/>
        </w:rPr>
        <w:t>各缔约方、土著人民和地方社区及相关利益攸关方监测和评价准则的运用情况和效力，并在国家报告中报告相关情况，包括通过《公约》的信息交换所机制以及其他适当机制，例如基于社区的监测和信息系统报告相关情况。</w:t>
      </w:r>
    </w:p>
    <w:p w14:paraId="23679596" w14:textId="77777777" w:rsidR="001D78DF" w:rsidRDefault="001D78DF" w:rsidP="00BA38C1">
      <w:pPr>
        <w:pStyle w:val="CBDDesicionAnnex"/>
        <w:keepNext w:val="0"/>
        <w:keepLines w:val="0"/>
        <w:tabs>
          <w:tab w:val="clear" w:pos="2835"/>
          <w:tab w:val="clear" w:pos="3402"/>
        </w:tabs>
        <w:spacing w:before="120"/>
        <w:ind w:left="490"/>
        <w:jc w:val="both"/>
        <w:rPr>
          <w:b/>
          <w:bCs w:val="0"/>
          <w:lang w:eastAsia="zh-CN"/>
        </w:rPr>
      </w:pPr>
    </w:p>
    <w:p w14:paraId="57133D24" w14:textId="4E440B05" w:rsidR="00BF11C5" w:rsidRPr="00BF11C5" w:rsidRDefault="00BF11C5" w:rsidP="00BA38C1">
      <w:pPr>
        <w:pStyle w:val="CBDDesicionAnnex"/>
        <w:keepNext w:val="0"/>
        <w:keepLines w:val="0"/>
        <w:tabs>
          <w:tab w:val="clear" w:pos="2835"/>
          <w:tab w:val="clear" w:pos="3402"/>
        </w:tabs>
        <w:spacing w:before="120"/>
        <w:ind w:left="490"/>
        <w:jc w:val="both"/>
        <w:rPr>
          <w:b/>
          <w:bCs w:val="0"/>
          <w:lang w:eastAsia="zh-CN"/>
        </w:rPr>
      </w:pPr>
      <w:r w:rsidRPr="00BF11C5">
        <w:rPr>
          <w:rFonts w:hint="eastAsia"/>
          <w:b/>
          <w:bCs w:val="0"/>
          <w:lang w:eastAsia="zh-CN"/>
        </w:rPr>
        <w:t>附件</w:t>
      </w:r>
    </w:p>
    <w:p w14:paraId="181D69B8" w14:textId="77777777" w:rsidR="00185D4D" w:rsidRPr="001D78DF" w:rsidRDefault="00BF11C5" w:rsidP="0092032F">
      <w:pPr>
        <w:pStyle w:val="CBDDesicionAnnex"/>
        <w:keepNext w:val="0"/>
        <w:keepLines w:val="0"/>
        <w:tabs>
          <w:tab w:val="clear" w:pos="2835"/>
          <w:tab w:val="clear" w:pos="3402"/>
        </w:tabs>
        <w:spacing w:before="120"/>
        <w:ind w:left="490"/>
        <w:jc w:val="both"/>
        <w:rPr>
          <w:b/>
          <w:bCs w:val="0"/>
          <w:sz w:val="28"/>
          <w:szCs w:val="28"/>
          <w:lang w:eastAsia="zh-CN"/>
        </w:rPr>
      </w:pPr>
      <w:r w:rsidRPr="001D78DF">
        <w:rPr>
          <w:rFonts w:hint="eastAsia"/>
          <w:b/>
          <w:bCs w:val="0"/>
          <w:sz w:val="28"/>
          <w:szCs w:val="28"/>
          <w:lang w:val="en-US" w:eastAsia="zh-CN"/>
        </w:rPr>
        <w:t>关于加强承认土著人民和地方社区的土著和传统领地在空间规划、恢复和保护中所起作用的法律和政策框架的准则</w:t>
      </w:r>
      <w:r w:rsidRPr="001D78DF">
        <w:rPr>
          <w:rStyle w:val="FootnoteReference"/>
          <w:rFonts w:eastAsia="DengXian Light"/>
          <w:bCs w:val="0"/>
          <w:sz w:val="28"/>
          <w:szCs w:val="28"/>
        </w:rPr>
        <w:footnoteReference w:id="8"/>
      </w:r>
    </w:p>
    <w:p w14:paraId="3B6D70F1" w14:textId="77777777" w:rsidR="00185D4D" w:rsidRPr="00DD66D9" w:rsidRDefault="0092032F" w:rsidP="00B841CB">
      <w:pPr>
        <w:pStyle w:val="CBDH1"/>
        <w:tabs>
          <w:tab w:val="clear" w:pos="567"/>
          <w:tab w:val="clear" w:pos="1134"/>
          <w:tab w:val="clear" w:pos="1701"/>
          <w:tab w:val="clear" w:pos="2268"/>
          <w:tab w:val="clear" w:pos="2835"/>
          <w:tab w:val="clear" w:pos="3402"/>
        </w:tabs>
        <w:ind w:left="0" w:firstLine="0"/>
        <w:rPr>
          <w:lang w:eastAsia="zh-CN"/>
        </w:rPr>
      </w:pPr>
      <w:r>
        <w:rPr>
          <w:rFonts w:hint="eastAsia"/>
          <w:lang w:eastAsia="zh-CN"/>
        </w:rPr>
        <w:t>一</w:t>
      </w:r>
      <w:r w:rsidR="00950067">
        <w:rPr>
          <w:lang w:eastAsia="zh-CN"/>
        </w:rPr>
        <w:t>.</w:t>
      </w:r>
      <w:r w:rsidR="00F032D6">
        <w:rPr>
          <w:lang w:eastAsia="zh-CN"/>
        </w:rPr>
        <w:tab/>
      </w:r>
      <w:r>
        <w:rPr>
          <w:rFonts w:hint="eastAsia"/>
          <w:lang w:eastAsia="zh-CN"/>
        </w:rPr>
        <w:t>理由</w:t>
      </w:r>
    </w:p>
    <w:p w14:paraId="709290C2" w14:textId="77777777" w:rsidR="00185D4D" w:rsidRPr="00250A23" w:rsidRDefault="00037987"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1.</w:t>
      </w:r>
      <w:r w:rsidRPr="00250A23">
        <w:rPr>
          <w:sz w:val="24"/>
          <w:lang w:eastAsia="zh-CN"/>
        </w:rPr>
        <w:tab/>
      </w:r>
      <w:r w:rsidR="009D1734" w:rsidRPr="009D1734">
        <w:rPr>
          <w:rFonts w:hint="eastAsia"/>
          <w:sz w:val="24"/>
          <w:lang w:val="en-US" w:eastAsia="zh-CN"/>
        </w:rPr>
        <w:t>生物多样性公约</w:t>
      </w:r>
      <w:r w:rsidR="009D1734" w:rsidRPr="009D1734">
        <w:rPr>
          <w:sz w:val="24"/>
          <w:vertAlign w:val="superscript"/>
        </w:rPr>
        <w:footnoteReference w:id="9"/>
      </w:r>
      <w:r w:rsidR="009D1734" w:rsidRPr="009D1734">
        <w:rPr>
          <w:rFonts w:hint="eastAsia"/>
          <w:sz w:val="24"/>
          <w:lang w:val="en-US" w:eastAsia="zh-CN"/>
        </w:rPr>
        <w:t>缔约方大会第</w:t>
      </w:r>
      <w:hyperlink r:id="rId20" w:history="1">
        <w:r w:rsidR="009D1734" w:rsidRPr="009D1734">
          <w:rPr>
            <w:rStyle w:val="Hyperlink"/>
            <w:rFonts w:hint="eastAsia"/>
            <w:sz w:val="24"/>
            <w:lang w:val="en-US" w:eastAsia="zh-CN"/>
          </w:rPr>
          <w:t>16/5</w:t>
        </w:r>
      </w:hyperlink>
      <w:r w:rsidR="009D1734" w:rsidRPr="009D1734">
        <w:rPr>
          <w:rFonts w:hint="eastAsia"/>
          <w:sz w:val="24"/>
          <w:lang w:val="en-US" w:eastAsia="zh-CN"/>
        </w:rPr>
        <w:t>号决定设立了生物多样性公约关于土著人民和地方社区的第</w:t>
      </w:r>
      <w:r w:rsidR="009D1734" w:rsidRPr="009D1734">
        <w:rPr>
          <w:rFonts w:hint="eastAsia"/>
          <w:sz w:val="24"/>
          <w:lang w:val="en-US" w:eastAsia="zh-CN"/>
        </w:rPr>
        <w:t xml:space="preserve"> 8(j)</w:t>
      </w:r>
      <w:r w:rsidR="009D1734" w:rsidRPr="009D1734">
        <w:rPr>
          <w:rFonts w:hint="eastAsia"/>
          <w:sz w:val="24"/>
          <w:lang w:val="en-US" w:eastAsia="zh-CN"/>
        </w:rPr>
        <w:t>条和其他条款附属机构（第</w:t>
      </w:r>
      <w:r w:rsidR="009D1734" w:rsidRPr="009D1734">
        <w:rPr>
          <w:rFonts w:hint="eastAsia"/>
          <w:sz w:val="24"/>
          <w:lang w:val="en-US" w:eastAsia="zh-CN"/>
        </w:rPr>
        <w:t>8(j)</w:t>
      </w:r>
      <w:r w:rsidR="009D1734" w:rsidRPr="009D1734">
        <w:rPr>
          <w:rFonts w:hint="eastAsia"/>
          <w:sz w:val="24"/>
          <w:lang w:val="en-US" w:eastAsia="zh-CN"/>
        </w:rPr>
        <w:t>条机构）。第</w:t>
      </w:r>
      <w:r w:rsidR="009D1734" w:rsidRPr="009D1734">
        <w:rPr>
          <w:rFonts w:hint="eastAsia"/>
          <w:sz w:val="24"/>
          <w:lang w:val="en-US" w:eastAsia="zh-CN"/>
        </w:rPr>
        <w:t>8(j)</w:t>
      </w:r>
      <w:r w:rsidR="009D1734" w:rsidRPr="009D1734">
        <w:rPr>
          <w:rFonts w:hint="eastAsia"/>
          <w:sz w:val="24"/>
          <w:lang w:val="en-US" w:eastAsia="zh-CN"/>
        </w:rPr>
        <w:t>条机构的任务是就涉及土著人民和地方社区的事务向缔约方大会和其他附属机构提供咨询意见，并根据请求向作为卡塔赫纳生物安全议定书</w:t>
      </w:r>
      <w:r w:rsidR="009D1734" w:rsidRPr="009D1734">
        <w:rPr>
          <w:sz w:val="24"/>
          <w:vertAlign w:val="superscript"/>
        </w:rPr>
        <w:footnoteReference w:id="10"/>
      </w:r>
      <w:r w:rsidR="009D1734" w:rsidRPr="009D1734">
        <w:rPr>
          <w:rFonts w:hint="eastAsia"/>
          <w:sz w:val="24"/>
          <w:lang w:val="en-US" w:eastAsia="zh-CN"/>
        </w:rPr>
        <w:t>缔约方会议的缔约方大会和作为关于获取遗传资源和公正公平分享其利用所产生惠益的名古屋议定书</w:t>
      </w:r>
      <w:r w:rsidR="009D1734" w:rsidRPr="009D1734">
        <w:rPr>
          <w:sz w:val="24"/>
          <w:vertAlign w:val="superscript"/>
        </w:rPr>
        <w:footnoteReference w:id="11"/>
      </w:r>
      <w:r w:rsidR="009D1734" w:rsidRPr="009D1734">
        <w:rPr>
          <w:rFonts w:hint="eastAsia"/>
          <w:sz w:val="24"/>
          <w:lang w:val="en-US" w:eastAsia="zh-CN"/>
        </w:rPr>
        <w:t>缔约方会议的缔约方大会提供咨询意见。</w:t>
      </w:r>
    </w:p>
    <w:p w14:paraId="41C8600E" w14:textId="2F59A30B" w:rsidR="00185D4D" w:rsidRPr="00250A23" w:rsidRDefault="00037987"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2.</w:t>
      </w:r>
      <w:r w:rsidRPr="00250A23">
        <w:rPr>
          <w:sz w:val="24"/>
          <w:lang w:eastAsia="zh-CN"/>
        </w:rPr>
        <w:tab/>
      </w:r>
      <w:r w:rsidR="00D84F2F" w:rsidRPr="00D84F2F">
        <w:rPr>
          <w:rFonts w:hint="eastAsia"/>
          <w:sz w:val="24"/>
          <w:lang w:val="en-US" w:eastAsia="zh-CN"/>
        </w:rPr>
        <w:t>缔约方大会第</w:t>
      </w:r>
      <w:hyperlink r:id="rId21" w:history="1">
        <w:r w:rsidR="00D84F2F" w:rsidRPr="00D84F2F">
          <w:rPr>
            <w:rStyle w:val="Hyperlink"/>
            <w:rFonts w:hint="eastAsia"/>
            <w:sz w:val="24"/>
            <w:lang w:val="en-US" w:eastAsia="zh-CN"/>
          </w:rPr>
          <w:t>16/4</w:t>
        </w:r>
      </w:hyperlink>
      <w:r w:rsidR="00D84F2F" w:rsidRPr="00D84F2F">
        <w:rPr>
          <w:rFonts w:hint="eastAsia"/>
          <w:sz w:val="24"/>
          <w:lang w:val="en-US" w:eastAsia="zh-CN"/>
        </w:rPr>
        <w:t>号决定通过了</w:t>
      </w:r>
      <w:r w:rsidR="00D84F2F" w:rsidRPr="00D84F2F">
        <w:rPr>
          <w:sz w:val="24"/>
          <w:lang w:val="en-US" w:eastAsia="zh-CN"/>
        </w:rPr>
        <w:t>至</w:t>
      </w:r>
      <w:r w:rsidR="00D84F2F" w:rsidRPr="00D84F2F">
        <w:rPr>
          <w:sz w:val="24"/>
          <w:lang w:val="en-US" w:eastAsia="zh-CN"/>
        </w:rPr>
        <w:t>2030</w:t>
      </w:r>
      <w:r w:rsidR="00D84F2F" w:rsidRPr="00D84F2F">
        <w:rPr>
          <w:sz w:val="24"/>
          <w:lang w:val="en-US" w:eastAsia="zh-CN"/>
        </w:rPr>
        <w:t>年生物多样性公约关于土著人民和地方社区的第</w:t>
      </w:r>
      <w:r w:rsidR="00D84F2F" w:rsidRPr="00D84F2F">
        <w:rPr>
          <w:sz w:val="24"/>
          <w:lang w:val="en-US" w:eastAsia="zh-CN"/>
        </w:rPr>
        <w:t>8(j)</w:t>
      </w:r>
      <w:r w:rsidR="00D84F2F" w:rsidRPr="00D84F2F">
        <w:rPr>
          <w:sz w:val="24"/>
          <w:lang w:val="en-US" w:eastAsia="zh-CN"/>
        </w:rPr>
        <w:t>条和其他条款工作方案</w:t>
      </w:r>
      <w:r w:rsidR="00D84F2F" w:rsidRPr="00D84F2F">
        <w:rPr>
          <w:rFonts w:hint="eastAsia"/>
          <w:sz w:val="24"/>
          <w:lang w:val="en-US" w:eastAsia="zh-CN"/>
        </w:rPr>
        <w:t>。该工作方案的目的，是促进《公约》</w:t>
      </w:r>
      <w:r w:rsidR="00D84F2F" w:rsidRPr="00D84F2F">
        <w:rPr>
          <w:sz w:val="24"/>
          <w:lang w:val="en-US" w:eastAsia="zh-CN"/>
        </w:rPr>
        <w:t>关于土著人民和地方社区的</w:t>
      </w:r>
      <w:r w:rsidR="00D84F2F" w:rsidRPr="00D84F2F">
        <w:rPr>
          <w:rFonts w:hint="eastAsia"/>
          <w:sz w:val="24"/>
          <w:lang w:val="en-US" w:eastAsia="zh-CN"/>
        </w:rPr>
        <w:t>第</w:t>
      </w:r>
      <w:r w:rsidR="00D84F2F" w:rsidRPr="00D84F2F">
        <w:rPr>
          <w:rFonts w:hint="eastAsia"/>
          <w:sz w:val="24"/>
          <w:lang w:val="en-US" w:eastAsia="zh-CN"/>
        </w:rPr>
        <w:t>8(j)</w:t>
      </w:r>
      <w:r w:rsidR="00D84F2F" w:rsidRPr="00D84F2F">
        <w:rPr>
          <w:rFonts w:hint="eastAsia"/>
          <w:sz w:val="24"/>
          <w:lang w:val="en-US" w:eastAsia="zh-CN"/>
        </w:rPr>
        <w:t>条</w:t>
      </w:r>
      <w:r w:rsidR="001D78DF">
        <w:rPr>
          <w:rFonts w:hint="eastAsia"/>
          <w:sz w:val="24"/>
          <w:lang w:val="en-US" w:eastAsia="zh-CN"/>
        </w:rPr>
        <w:t>和其他条款</w:t>
      </w:r>
      <w:r w:rsidR="00D84F2F" w:rsidRPr="00D84F2F">
        <w:rPr>
          <w:rFonts w:hint="eastAsia"/>
          <w:sz w:val="24"/>
          <w:lang w:val="en-US" w:eastAsia="zh-CN"/>
        </w:rPr>
        <w:t>以及《昆明</w:t>
      </w:r>
      <w:r w:rsidR="00D84F2F" w:rsidRPr="00D84F2F">
        <w:rPr>
          <w:rFonts w:hint="eastAsia"/>
          <w:sz w:val="24"/>
          <w:lang w:val="en-US" w:eastAsia="zh-CN"/>
        </w:rPr>
        <w:t>-</w:t>
      </w:r>
      <w:r w:rsidR="00D84F2F" w:rsidRPr="00D84F2F">
        <w:rPr>
          <w:rFonts w:hint="eastAsia"/>
          <w:sz w:val="24"/>
          <w:lang w:val="en-US" w:eastAsia="zh-CN"/>
        </w:rPr>
        <w:t>蒙特利尔全球生物多样性框架》</w:t>
      </w:r>
      <w:r w:rsidR="00D84F2F" w:rsidRPr="00D84F2F">
        <w:rPr>
          <w:sz w:val="24"/>
          <w:vertAlign w:val="superscript"/>
        </w:rPr>
        <w:footnoteReference w:id="12"/>
      </w:r>
      <w:r w:rsidR="00D84F2F" w:rsidRPr="00D84F2F">
        <w:rPr>
          <w:rFonts w:hint="eastAsia"/>
          <w:sz w:val="24"/>
          <w:lang w:val="en-US" w:eastAsia="zh-CN"/>
        </w:rPr>
        <w:t>的执行。缔约方大会在工作方案中确认，鉴于土著人民和地方社区与生物多样性以及《公约》及其各项议定书之间的密切联系，必须促使其充分</w:t>
      </w:r>
      <w:r w:rsidR="0090422D">
        <w:rPr>
          <w:rFonts w:hint="eastAsia"/>
          <w:sz w:val="24"/>
          <w:lang w:val="en-US" w:eastAsia="zh-CN"/>
        </w:rPr>
        <w:t>和</w:t>
      </w:r>
      <w:r w:rsidR="00D84F2F" w:rsidRPr="00D84F2F">
        <w:rPr>
          <w:rFonts w:hint="eastAsia"/>
          <w:sz w:val="24"/>
          <w:lang w:val="en-US" w:eastAsia="zh-CN"/>
        </w:rPr>
        <w:t>有效</w:t>
      </w:r>
      <w:r w:rsidR="0090422D">
        <w:rPr>
          <w:rFonts w:hint="eastAsia"/>
          <w:sz w:val="24"/>
          <w:lang w:val="en-US" w:eastAsia="zh-CN"/>
        </w:rPr>
        <w:t>地</w:t>
      </w:r>
      <w:r w:rsidR="00D84F2F" w:rsidRPr="00D84F2F">
        <w:rPr>
          <w:rFonts w:hint="eastAsia"/>
          <w:sz w:val="24"/>
          <w:lang w:val="en-US" w:eastAsia="zh-CN"/>
        </w:rPr>
        <w:t>参与所有阶段和</w:t>
      </w:r>
      <w:r w:rsidR="0090422D">
        <w:rPr>
          <w:rFonts w:hint="eastAsia"/>
          <w:sz w:val="24"/>
          <w:lang w:val="en-US" w:eastAsia="zh-CN"/>
        </w:rPr>
        <w:t>各级</w:t>
      </w:r>
      <w:r w:rsidR="00D84F2F" w:rsidRPr="00D84F2F">
        <w:rPr>
          <w:rFonts w:hint="eastAsia"/>
          <w:sz w:val="24"/>
          <w:lang w:val="en-US" w:eastAsia="zh-CN"/>
        </w:rPr>
        <w:t>的执行工作。</w:t>
      </w:r>
      <w:r w:rsidR="00185D4D" w:rsidRPr="00250A23">
        <w:rPr>
          <w:sz w:val="24"/>
          <w:lang w:eastAsia="zh-CN"/>
        </w:rPr>
        <w:t xml:space="preserve"> </w:t>
      </w:r>
    </w:p>
    <w:p w14:paraId="3F19E369" w14:textId="77777777" w:rsidR="00185D4D" w:rsidRPr="00250A23" w:rsidRDefault="00037987"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3.</w:t>
      </w:r>
      <w:r w:rsidRPr="00250A23">
        <w:rPr>
          <w:sz w:val="24"/>
          <w:lang w:eastAsia="zh-CN"/>
        </w:rPr>
        <w:tab/>
      </w:r>
      <w:r w:rsidR="00D84F2F" w:rsidRPr="00D84F2F">
        <w:rPr>
          <w:rFonts w:hint="eastAsia"/>
          <w:sz w:val="24"/>
          <w:lang w:val="en-US" w:eastAsia="zh-CN"/>
        </w:rPr>
        <w:t>工作方案关于养护和恢复构成部分</w:t>
      </w:r>
      <w:r w:rsidR="00D84F2F" w:rsidRPr="00D84F2F">
        <w:rPr>
          <w:rFonts w:hint="eastAsia"/>
          <w:sz w:val="24"/>
          <w:lang w:val="en-US" w:eastAsia="zh-CN"/>
        </w:rPr>
        <w:t>1</w:t>
      </w:r>
      <w:r w:rsidR="00D84F2F" w:rsidRPr="00D84F2F">
        <w:rPr>
          <w:rFonts w:hint="eastAsia"/>
          <w:sz w:val="24"/>
          <w:lang w:val="en-US" w:eastAsia="zh-CN"/>
        </w:rPr>
        <w:t>为第</w:t>
      </w:r>
      <w:r w:rsidR="00D84F2F" w:rsidRPr="00D84F2F">
        <w:rPr>
          <w:rFonts w:hint="eastAsia"/>
          <w:sz w:val="24"/>
          <w:lang w:val="en-US" w:eastAsia="zh-CN"/>
        </w:rPr>
        <w:t>8(j)</w:t>
      </w:r>
      <w:r w:rsidR="00D84F2F" w:rsidRPr="00D84F2F">
        <w:rPr>
          <w:rFonts w:hint="eastAsia"/>
          <w:sz w:val="24"/>
          <w:lang w:val="en-US" w:eastAsia="zh-CN"/>
        </w:rPr>
        <w:t>条机构规定了两项任务：</w:t>
      </w:r>
    </w:p>
    <w:p w14:paraId="5F360351" w14:textId="77777777" w:rsidR="00D84F2F" w:rsidRDefault="00D84F2F" w:rsidP="00D84F2F">
      <w:pPr>
        <w:pStyle w:val="CBDNormalNoNumber"/>
        <w:tabs>
          <w:tab w:val="clear" w:pos="567"/>
          <w:tab w:val="clear" w:pos="1134"/>
          <w:tab w:val="clear" w:pos="1701"/>
          <w:tab w:val="clear" w:pos="2268"/>
          <w:tab w:val="clear" w:pos="2835"/>
          <w:tab w:val="clear" w:pos="3402"/>
        </w:tabs>
        <w:ind w:left="979"/>
        <w:rPr>
          <w:sz w:val="24"/>
          <w:lang w:eastAsia="zh-CN"/>
        </w:rPr>
      </w:pPr>
      <w:r>
        <w:rPr>
          <w:rFonts w:hint="eastAsia"/>
          <w:sz w:val="24"/>
          <w:lang w:eastAsia="zh-CN"/>
        </w:rPr>
        <w:lastRenderedPageBreak/>
        <w:t>任务</w:t>
      </w:r>
      <w:r w:rsidR="00185D4D" w:rsidRPr="00250A23">
        <w:rPr>
          <w:sz w:val="24"/>
          <w:lang w:eastAsia="zh-CN"/>
        </w:rPr>
        <w:t>1.1</w:t>
      </w:r>
      <w:r w:rsidR="00590C29" w:rsidRPr="00250A23">
        <w:rPr>
          <w:sz w:val="24"/>
          <w:lang w:eastAsia="zh-CN"/>
        </w:rPr>
        <w:t>.</w:t>
      </w:r>
      <w:r w:rsidR="00185D4D" w:rsidRPr="00250A23">
        <w:rPr>
          <w:sz w:val="24"/>
          <w:lang w:eastAsia="zh-CN"/>
        </w:rPr>
        <w:t xml:space="preserve"> </w:t>
      </w:r>
      <w:r>
        <w:rPr>
          <w:sz w:val="24"/>
          <w:lang w:eastAsia="zh-CN"/>
        </w:rPr>
        <w:tab/>
      </w:r>
      <w:r w:rsidRPr="00D84F2F">
        <w:rPr>
          <w:sz w:val="24"/>
          <w:lang w:val="zh-CN" w:eastAsia="zh-CN"/>
        </w:rPr>
        <w:t>在土著人民和地方社区的充分和有效参与下制定准则</w:t>
      </w:r>
      <w:r w:rsidRPr="00D84F2F">
        <w:rPr>
          <w:sz w:val="24"/>
          <w:vertAlign w:val="superscript"/>
        </w:rPr>
        <w:footnoteReference w:id="13"/>
      </w:r>
      <w:r w:rsidRPr="00D84F2F">
        <w:rPr>
          <w:sz w:val="24"/>
          <w:lang w:eastAsia="zh-CN"/>
        </w:rPr>
        <w:t>，</w:t>
      </w:r>
      <w:r w:rsidRPr="00D84F2F">
        <w:rPr>
          <w:sz w:val="24"/>
          <w:lang w:val="zh-CN" w:eastAsia="zh-CN"/>
        </w:rPr>
        <w:t>以加强落实《框架》行动目标</w:t>
      </w:r>
      <w:r w:rsidRPr="00D84F2F">
        <w:rPr>
          <w:sz w:val="24"/>
          <w:lang w:eastAsia="zh-CN"/>
        </w:rPr>
        <w:t xml:space="preserve"> 2 </w:t>
      </w:r>
      <w:r w:rsidRPr="00D84F2F">
        <w:rPr>
          <w:sz w:val="24"/>
          <w:lang w:val="zh-CN" w:eastAsia="zh-CN"/>
        </w:rPr>
        <w:t>和</w:t>
      </w:r>
      <w:r w:rsidRPr="00D84F2F">
        <w:rPr>
          <w:sz w:val="24"/>
          <w:lang w:eastAsia="zh-CN"/>
        </w:rPr>
        <w:t xml:space="preserve"> 3 </w:t>
      </w:r>
      <w:r w:rsidRPr="00D84F2F">
        <w:rPr>
          <w:sz w:val="24"/>
          <w:lang w:val="zh-CN" w:eastAsia="zh-CN"/>
        </w:rPr>
        <w:t>的法律和政策框架</w:t>
      </w:r>
      <w:r w:rsidRPr="00D84F2F">
        <w:rPr>
          <w:sz w:val="24"/>
          <w:lang w:eastAsia="zh-CN"/>
        </w:rPr>
        <w:t>，</w:t>
      </w:r>
      <w:r w:rsidRPr="00D84F2F">
        <w:rPr>
          <w:sz w:val="24"/>
          <w:lang w:val="zh-CN" w:eastAsia="zh-CN"/>
        </w:rPr>
        <w:t>包括</w:t>
      </w:r>
      <w:r>
        <w:rPr>
          <w:rFonts w:hint="eastAsia"/>
          <w:sz w:val="24"/>
          <w:lang w:val="zh-CN" w:eastAsia="zh-CN"/>
        </w:rPr>
        <w:t>有关</w:t>
      </w:r>
      <w:r w:rsidRPr="00D84F2F">
        <w:rPr>
          <w:sz w:val="24"/>
          <w:lang w:val="zh-CN" w:eastAsia="zh-CN"/>
        </w:rPr>
        <w:t>土著和传统领地的法律和政策框架</w:t>
      </w:r>
      <w:r w:rsidRPr="00D84F2F">
        <w:rPr>
          <w:sz w:val="24"/>
          <w:lang w:eastAsia="zh-CN"/>
        </w:rPr>
        <w:t>，</w:t>
      </w:r>
      <w:r w:rsidRPr="00D84F2F">
        <w:rPr>
          <w:sz w:val="24"/>
          <w:lang w:val="zh-CN" w:eastAsia="zh-CN"/>
        </w:rPr>
        <w:t>支持土著人民和地方社区主导的保护和恢复做法。</w:t>
      </w:r>
    </w:p>
    <w:p w14:paraId="362A21E7" w14:textId="77777777" w:rsidR="00185D4D" w:rsidRPr="00250A23" w:rsidRDefault="00D84F2F" w:rsidP="00D84F2F">
      <w:pPr>
        <w:pStyle w:val="CBDNormalNoNumber"/>
        <w:tabs>
          <w:tab w:val="clear" w:pos="567"/>
          <w:tab w:val="clear" w:pos="1134"/>
          <w:tab w:val="clear" w:pos="1701"/>
          <w:tab w:val="clear" w:pos="2268"/>
          <w:tab w:val="clear" w:pos="2835"/>
          <w:tab w:val="clear" w:pos="3402"/>
        </w:tabs>
        <w:ind w:left="979"/>
        <w:rPr>
          <w:sz w:val="24"/>
          <w:lang w:eastAsia="zh-CN"/>
        </w:rPr>
      </w:pPr>
      <w:r>
        <w:rPr>
          <w:rFonts w:hint="eastAsia"/>
          <w:sz w:val="24"/>
          <w:lang w:eastAsia="zh-CN"/>
        </w:rPr>
        <w:t>任务</w:t>
      </w:r>
      <w:r w:rsidR="00185D4D" w:rsidRPr="00250A23">
        <w:rPr>
          <w:sz w:val="24"/>
          <w:lang w:eastAsia="zh-CN"/>
        </w:rPr>
        <w:t>1.2</w:t>
      </w:r>
      <w:r w:rsidR="00590C29" w:rsidRPr="00250A23">
        <w:rPr>
          <w:sz w:val="24"/>
          <w:lang w:eastAsia="zh-CN"/>
        </w:rPr>
        <w:t>.</w:t>
      </w:r>
      <w:r w:rsidR="00185D4D" w:rsidRPr="00250A23">
        <w:rPr>
          <w:sz w:val="24"/>
          <w:lang w:eastAsia="zh-CN"/>
        </w:rPr>
        <w:t xml:space="preserve"> </w:t>
      </w:r>
      <w:r>
        <w:rPr>
          <w:sz w:val="24"/>
          <w:lang w:eastAsia="zh-CN"/>
        </w:rPr>
        <w:tab/>
      </w:r>
      <w:r w:rsidRPr="00D84F2F">
        <w:rPr>
          <w:sz w:val="24"/>
          <w:lang w:val="zh-CN" w:eastAsia="zh-CN"/>
        </w:rPr>
        <w:t>依照国家立法和国际义务</w:t>
      </w:r>
      <w:r w:rsidRPr="00D84F2F">
        <w:rPr>
          <w:sz w:val="24"/>
          <w:lang w:eastAsia="zh-CN"/>
        </w:rPr>
        <w:t>，</w:t>
      </w:r>
      <w:r w:rsidRPr="00D84F2F">
        <w:rPr>
          <w:sz w:val="24"/>
          <w:lang w:val="zh-CN" w:eastAsia="zh-CN"/>
        </w:rPr>
        <w:t>确定和推广确保土著人民和地方社区的土地保有权和治理的最佳做法</w:t>
      </w:r>
      <w:r w:rsidRPr="00D84F2F">
        <w:rPr>
          <w:sz w:val="24"/>
          <w:lang w:eastAsia="zh-CN"/>
        </w:rPr>
        <w:t>，</w:t>
      </w:r>
      <w:r w:rsidRPr="00D84F2F">
        <w:rPr>
          <w:sz w:val="24"/>
          <w:lang w:val="zh-CN" w:eastAsia="zh-CN"/>
        </w:rPr>
        <w:t>制定在空间规划和环境影响评估中纳入和考虑传统土地和资源利用的准则。</w:t>
      </w:r>
    </w:p>
    <w:p w14:paraId="09636ED7" w14:textId="77777777" w:rsidR="00185D4D" w:rsidRPr="00250A23" w:rsidRDefault="00037987"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4.</w:t>
      </w:r>
      <w:r w:rsidRPr="00250A23">
        <w:rPr>
          <w:sz w:val="24"/>
          <w:lang w:eastAsia="zh-CN"/>
        </w:rPr>
        <w:tab/>
      </w:r>
      <w:r w:rsidR="003C108C" w:rsidRPr="003C108C">
        <w:rPr>
          <w:rFonts w:hint="eastAsia"/>
          <w:sz w:val="24"/>
          <w:lang w:val="en-US" w:eastAsia="zh-CN"/>
        </w:rPr>
        <w:t>本套准则是生物多样性公约关于土著人民和地方社区的第</w:t>
      </w:r>
      <w:r w:rsidR="003C108C" w:rsidRPr="003C108C">
        <w:rPr>
          <w:rFonts w:hint="eastAsia"/>
          <w:sz w:val="24"/>
          <w:lang w:val="en-US" w:eastAsia="zh-CN"/>
        </w:rPr>
        <w:t xml:space="preserve"> 8(j)</w:t>
      </w:r>
      <w:r w:rsidR="003C108C" w:rsidRPr="003C108C">
        <w:rPr>
          <w:rFonts w:hint="eastAsia"/>
          <w:sz w:val="24"/>
          <w:lang w:val="en-US" w:eastAsia="zh-CN"/>
        </w:rPr>
        <w:t>条和其他条款附属机构根据</w:t>
      </w:r>
      <w:r w:rsidR="003C108C" w:rsidRPr="003C108C">
        <w:rPr>
          <w:sz w:val="24"/>
          <w:lang w:val="en-US" w:eastAsia="zh-CN"/>
        </w:rPr>
        <w:t>公约关于土著人民和地方社区的第</w:t>
      </w:r>
      <w:r w:rsidR="003C108C" w:rsidRPr="003C108C">
        <w:rPr>
          <w:sz w:val="24"/>
          <w:lang w:val="en-US" w:eastAsia="zh-CN"/>
        </w:rPr>
        <w:t>8(j)</w:t>
      </w:r>
      <w:r w:rsidR="003C108C" w:rsidRPr="003C108C">
        <w:rPr>
          <w:sz w:val="24"/>
          <w:lang w:val="en-US" w:eastAsia="zh-CN"/>
        </w:rPr>
        <w:t>条和其他条款工作方案</w:t>
      </w:r>
      <w:r w:rsidR="003C108C" w:rsidRPr="003C108C">
        <w:rPr>
          <w:rFonts w:hint="eastAsia"/>
          <w:sz w:val="24"/>
          <w:lang w:val="en-US" w:eastAsia="zh-CN"/>
        </w:rPr>
        <w:t>任务</w:t>
      </w:r>
      <w:r w:rsidR="003C108C" w:rsidRPr="003C108C">
        <w:rPr>
          <w:rFonts w:hint="eastAsia"/>
          <w:sz w:val="24"/>
          <w:lang w:val="en-US" w:eastAsia="zh-CN"/>
        </w:rPr>
        <w:t>1.1</w:t>
      </w:r>
      <w:r w:rsidR="003C108C" w:rsidRPr="003C108C">
        <w:rPr>
          <w:rFonts w:hint="eastAsia"/>
          <w:sz w:val="24"/>
          <w:lang w:val="en-US" w:eastAsia="zh-CN"/>
        </w:rPr>
        <w:t>和</w:t>
      </w:r>
      <w:r w:rsidR="003C108C" w:rsidRPr="003C108C">
        <w:rPr>
          <w:rFonts w:hint="eastAsia"/>
          <w:sz w:val="24"/>
          <w:lang w:val="en-US" w:eastAsia="zh-CN"/>
        </w:rPr>
        <w:t>1.2</w:t>
      </w:r>
      <w:r w:rsidR="003C108C" w:rsidRPr="003C108C">
        <w:rPr>
          <w:rFonts w:hint="eastAsia"/>
          <w:sz w:val="24"/>
          <w:lang w:val="en-US" w:eastAsia="zh-CN"/>
        </w:rPr>
        <w:t>制定的。准则面向缔约方、土著人民和地方社区以及其他相关行为体，包括保护和恢复组织、私营部门以及将执行本准则所有构成部分的其他实体。</w:t>
      </w:r>
    </w:p>
    <w:p w14:paraId="469FF25D" w14:textId="72F4E8E8" w:rsidR="00A52ED2" w:rsidRPr="00250A23" w:rsidRDefault="00037987"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5.</w:t>
      </w:r>
      <w:r w:rsidRPr="00250A23">
        <w:rPr>
          <w:sz w:val="24"/>
          <w:lang w:eastAsia="zh-CN"/>
        </w:rPr>
        <w:tab/>
      </w:r>
      <w:bookmarkStart w:id="5" w:name="_Hlk206576958"/>
      <w:r w:rsidR="00CE5994" w:rsidRPr="00CE5994">
        <w:rPr>
          <w:rFonts w:hint="eastAsia"/>
          <w:sz w:val="24"/>
          <w:lang w:val="en-US" w:eastAsia="zh-CN"/>
        </w:rPr>
        <w:t>本套准则是以土著人民和地方社区与大自然之间的内在关系为依据，包括多种概念，例如生物多样性、生态系统、地球母亲和生命系统。这一关系体现在土著人民和地方社区的文化、精神价值观、仪式、</w:t>
      </w:r>
      <w:r w:rsidR="006B18F3">
        <w:rPr>
          <w:rFonts w:hint="eastAsia"/>
          <w:sz w:val="24"/>
          <w:lang w:val="en-US" w:eastAsia="zh-CN"/>
        </w:rPr>
        <w:t>治理制度</w:t>
      </w:r>
      <w:r w:rsidR="00CE5994" w:rsidRPr="00CE5994">
        <w:rPr>
          <w:rFonts w:hint="eastAsia"/>
          <w:sz w:val="24"/>
          <w:lang w:val="en-US" w:eastAsia="zh-CN"/>
        </w:rPr>
        <w:t>、历史、口头传统、土著语言、传统知识体系以及习惯法和程序之中。这些要素有助于根据各国国情，以符合《昆明</w:t>
      </w:r>
      <w:r w:rsidR="00CE5994" w:rsidRPr="00CE5994">
        <w:rPr>
          <w:rFonts w:hint="eastAsia"/>
          <w:sz w:val="24"/>
          <w:lang w:val="en-US" w:eastAsia="zh-CN"/>
        </w:rPr>
        <w:t>-</w:t>
      </w:r>
      <w:r w:rsidR="00CE5994" w:rsidRPr="00CE5994">
        <w:rPr>
          <w:rFonts w:hint="eastAsia"/>
          <w:sz w:val="24"/>
          <w:lang w:val="en-US" w:eastAsia="zh-CN"/>
        </w:rPr>
        <w:t>蒙特利尔全球生物多样性框架》</w:t>
      </w:r>
      <w:r w:rsidR="00CE5994" w:rsidRPr="00CE5994">
        <w:rPr>
          <w:sz w:val="24"/>
          <w:vertAlign w:val="superscript"/>
        </w:rPr>
        <w:footnoteReference w:id="14"/>
      </w:r>
      <w:r w:rsidR="00CE5994" w:rsidRPr="00CE5994">
        <w:rPr>
          <w:rFonts w:hint="eastAsia"/>
          <w:sz w:val="24"/>
          <w:lang w:val="en-US" w:eastAsia="zh-CN"/>
        </w:rPr>
        <w:t>C</w:t>
      </w:r>
      <w:r w:rsidR="00CE5994" w:rsidRPr="00CE5994">
        <w:rPr>
          <w:rFonts w:hint="eastAsia"/>
          <w:sz w:val="24"/>
          <w:lang w:val="en-US" w:eastAsia="zh-CN"/>
        </w:rPr>
        <w:t>部分的方式进行生物文化多样性的保护、恢复和空间规划。</w:t>
      </w:r>
      <w:bookmarkEnd w:id="5"/>
    </w:p>
    <w:p w14:paraId="0121C5D6" w14:textId="77777777" w:rsidR="00185D4D" w:rsidRPr="00DD66D9" w:rsidRDefault="00CE5994" w:rsidP="00B841CB">
      <w:pPr>
        <w:pStyle w:val="CBDH1"/>
        <w:tabs>
          <w:tab w:val="clear" w:pos="567"/>
          <w:tab w:val="clear" w:pos="1134"/>
          <w:tab w:val="clear" w:pos="1701"/>
          <w:tab w:val="clear" w:pos="2268"/>
          <w:tab w:val="clear" w:pos="2835"/>
          <w:tab w:val="clear" w:pos="3402"/>
        </w:tabs>
        <w:ind w:left="0" w:firstLine="0"/>
        <w:rPr>
          <w:lang w:eastAsia="zh-CN"/>
        </w:rPr>
      </w:pPr>
      <w:r>
        <w:rPr>
          <w:rFonts w:hint="eastAsia"/>
          <w:lang w:eastAsia="zh-CN"/>
        </w:rPr>
        <w:t>二</w:t>
      </w:r>
      <w:r w:rsidR="00AF0ABC">
        <w:rPr>
          <w:lang w:eastAsia="zh-CN"/>
        </w:rPr>
        <w:t>.</w:t>
      </w:r>
      <w:r w:rsidR="00AF0ABC">
        <w:rPr>
          <w:lang w:eastAsia="zh-CN"/>
        </w:rPr>
        <w:tab/>
      </w:r>
      <w:r>
        <w:rPr>
          <w:rFonts w:hint="eastAsia"/>
          <w:lang w:eastAsia="zh-CN"/>
        </w:rPr>
        <w:t>目的</w:t>
      </w:r>
    </w:p>
    <w:p w14:paraId="07AF5360" w14:textId="77777777" w:rsidR="00185D4D" w:rsidRPr="00250A23" w:rsidRDefault="00037987"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6.</w:t>
      </w:r>
      <w:r w:rsidRPr="00250A23">
        <w:rPr>
          <w:sz w:val="24"/>
          <w:lang w:eastAsia="zh-CN"/>
        </w:rPr>
        <w:tab/>
      </w:r>
      <w:r w:rsidR="00CE5994" w:rsidRPr="00CE5994">
        <w:rPr>
          <w:rFonts w:hint="eastAsia"/>
          <w:sz w:val="24"/>
          <w:lang w:val="en-US" w:eastAsia="zh-CN"/>
        </w:rPr>
        <w:t>本套准则的目的是：</w:t>
      </w:r>
    </w:p>
    <w:p w14:paraId="6C1E38EE" w14:textId="2A9BCA55" w:rsidR="00185D4D" w:rsidRPr="00250A23" w:rsidRDefault="00DE51F7" w:rsidP="00CE5994">
      <w:pPr>
        <w:pStyle w:val="CBDNormalNoNumber"/>
        <w:tabs>
          <w:tab w:val="clear" w:pos="567"/>
          <w:tab w:val="clear" w:pos="1134"/>
          <w:tab w:val="clear" w:pos="1701"/>
          <w:tab w:val="clear" w:pos="2268"/>
          <w:tab w:val="clear" w:pos="2835"/>
          <w:tab w:val="clear" w:pos="3402"/>
        </w:tabs>
        <w:ind w:left="490" w:firstLine="490"/>
        <w:rPr>
          <w:sz w:val="24"/>
          <w:lang w:eastAsia="zh-CN"/>
        </w:rPr>
      </w:pPr>
      <w:r w:rsidRPr="00250A23">
        <w:rPr>
          <w:sz w:val="24"/>
          <w:lang w:eastAsia="zh-CN"/>
        </w:rPr>
        <w:t>(a)</w:t>
      </w:r>
      <w:r w:rsidRPr="00250A23">
        <w:rPr>
          <w:sz w:val="24"/>
          <w:lang w:eastAsia="zh-CN"/>
        </w:rPr>
        <w:tab/>
      </w:r>
      <w:r w:rsidR="00CC4437" w:rsidRPr="00CC4437">
        <w:rPr>
          <w:rFonts w:hint="eastAsia"/>
          <w:sz w:val="24"/>
          <w:lang w:val="en-US" w:eastAsia="zh-CN"/>
        </w:rPr>
        <w:t>为空间规划过程和环境影响评估中纳入和考虑土著人民和地方社区的传统土地和资源利用体系提供指导，以支持《框架》行动目标</w:t>
      </w:r>
      <w:r w:rsidR="00CC4437" w:rsidRPr="00CC4437">
        <w:rPr>
          <w:rFonts w:hint="eastAsia"/>
          <w:sz w:val="24"/>
          <w:lang w:val="en-US" w:eastAsia="zh-CN"/>
        </w:rPr>
        <w:t>1</w:t>
      </w:r>
      <w:r w:rsidR="00CC4437" w:rsidRPr="00CC4437">
        <w:rPr>
          <w:rFonts w:hint="eastAsia"/>
          <w:sz w:val="24"/>
          <w:lang w:val="en-US" w:eastAsia="zh-CN"/>
        </w:rPr>
        <w:t>和</w:t>
      </w:r>
      <w:r w:rsidR="00CC4437" w:rsidRPr="00CC4437">
        <w:rPr>
          <w:rFonts w:hint="eastAsia"/>
          <w:sz w:val="24"/>
          <w:lang w:val="en-US" w:eastAsia="zh-CN"/>
        </w:rPr>
        <w:t>14</w:t>
      </w:r>
      <w:r w:rsidR="0090422D" w:rsidRPr="00CC4437">
        <w:rPr>
          <w:rFonts w:hint="eastAsia"/>
          <w:sz w:val="24"/>
          <w:lang w:val="en-US" w:eastAsia="zh-CN"/>
        </w:rPr>
        <w:t>的</w:t>
      </w:r>
      <w:r w:rsidR="0090422D">
        <w:rPr>
          <w:rFonts w:hint="eastAsia"/>
          <w:sz w:val="24"/>
          <w:lang w:val="en-US" w:eastAsia="zh-CN"/>
        </w:rPr>
        <w:t>落实工作</w:t>
      </w:r>
      <w:r w:rsidR="00CC4437" w:rsidRPr="00CC4437">
        <w:rPr>
          <w:rFonts w:hint="eastAsia"/>
          <w:sz w:val="24"/>
          <w:lang w:val="en-US" w:eastAsia="zh-CN"/>
        </w:rPr>
        <w:t>；</w:t>
      </w:r>
    </w:p>
    <w:p w14:paraId="5E7AEA7F" w14:textId="6DCBD74D" w:rsidR="00185D4D" w:rsidRPr="00250A23" w:rsidRDefault="00DE51F7" w:rsidP="00CE5994">
      <w:pPr>
        <w:pStyle w:val="CBDNormalNoNumber"/>
        <w:tabs>
          <w:tab w:val="clear" w:pos="567"/>
          <w:tab w:val="clear" w:pos="1134"/>
          <w:tab w:val="clear" w:pos="1701"/>
          <w:tab w:val="clear" w:pos="2268"/>
          <w:tab w:val="clear" w:pos="2835"/>
          <w:tab w:val="clear" w:pos="3402"/>
        </w:tabs>
        <w:ind w:left="490" w:firstLine="490"/>
        <w:rPr>
          <w:sz w:val="24"/>
          <w:lang w:eastAsia="zh-CN"/>
        </w:rPr>
      </w:pPr>
      <w:r w:rsidRPr="00250A23">
        <w:rPr>
          <w:sz w:val="24"/>
          <w:lang w:eastAsia="zh-CN"/>
        </w:rPr>
        <w:t>(b)</w:t>
      </w:r>
      <w:r w:rsidRPr="00250A23">
        <w:rPr>
          <w:sz w:val="24"/>
          <w:lang w:eastAsia="zh-CN"/>
        </w:rPr>
        <w:tab/>
      </w:r>
      <w:r w:rsidR="00CC4437" w:rsidRPr="00CC4437">
        <w:rPr>
          <w:rFonts w:hint="eastAsia"/>
          <w:sz w:val="24"/>
          <w:lang w:val="en-US" w:eastAsia="zh-CN"/>
        </w:rPr>
        <w:t>认识到土著人民和地方社区通过其传统知识、创新和做法以及土著和传统</w:t>
      </w:r>
      <w:r w:rsidR="006B18F3">
        <w:rPr>
          <w:rFonts w:hint="eastAsia"/>
          <w:sz w:val="24"/>
          <w:lang w:val="en-US" w:eastAsia="zh-CN"/>
        </w:rPr>
        <w:t>治理制度</w:t>
      </w:r>
      <w:r w:rsidR="00CC4437" w:rsidRPr="00CC4437">
        <w:rPr>
          <w:rFonts w:hint="eastAsia"/>
          <w:sz w:val="24"/>
          <w:lang w:val="en-US" w:eastAsia="zh-CN"/>
        </w:rPr>
        <w:t>为落实《框架》行动目标</w:t>
      </w:r>
      <w:r w:rsidR="00CC4437" w:rsidRPr="00CC4437">
        <w:rPr>
          <w:rFonts w:hint="eastAsia"/>
          <w:sz w:val="24"/>
          <w:lang w:val="en-US" w:eastAsia="zh-CN"/>
        </w:rPr>
        <w:t>2</w:t>
      </w:r>
      <w:r w:rsidR="00CC4437" w:rsidRPr="00CC4437">
        <w:rPr>
          <w:rFonts w:hint="eastAsia"/>
          <w:sz w:val="24"/>
          <w:lang w:val="en-US" w:eastAsia="zh-CN"/>
        </w:rPr>
        <w:t>所做贡献，就他们在生态系统恢复工作中的充分有效参与提供法律和政策指导；</w:t>
      </w:r>
    </w:p>
    <w:p w14:paraId="2C82FF40" w14:textId="77777777" w:rsidR="00185D4D" w:rsidRPr="00250A23" w:rsidRDefault="00DE51F7" w:rsidP="00CE5994">
      <w:pPr>
        <w:pStyle w:val="CBDNormalNoNumber"/>
        <w:tabs>
          <w:tab w:val="clear" w:pos="567"/>
          <w:tab w:val="clear" w:pos="1134"/>
          <w:tab w:val="clear" w:pos="1701"/>
          <w:tab w:val="clear" w:pos="2268"/>
          <w:tab w:val="clear" w:pos="2835"/>
          <w:tab w:val="clear" w:pos="3402"/>
        </w:tabs>
        <w:ind w:left="490" w:firstLine="490"/>
        <w:rPr>
          <w:sz w:val="24"/>
          <w:lang w:eastAsia="zh-CN"/>
        </w:rPr>
      </w:pPr>
      <w:r w:rsidRPr="00250A23">
        <w:rPr>
          <w:sz w:val="24"/>
          <w:lang w:eastAsia="zh-CN"/>
        </w:rPr>
        <w:t>(c)</w:t>
      </w:r>
      <w:r w:rsidRPr="00250A23">
        <w:rPr>
          <w:sz w:val="24"/>
          <w:lang w:eastAsia="zh-CN"/>
        </w:rPr>
        <w:tab/>
      </w:r>
      <w:r w:rsidR="00CC4437" w:rsidRPr="00CC4437">
        <w:rPr>
          <w:rFonts w:hint="eastAsia"/>
          <w:sz w:val="24"/>
          <w:lang w:val="en-US" w:eastAsia="zh-CN"/>
        </w:rPr>
        <w:t>为确认、承认、尊重和支持土著人民和地方社区的土著和传统领地提供法律和政策指导，以支持落实《框架》的行动目标</w:t>
      </w:r>
      <w:r w:rsidR="00CC4437" w:rsidRPr="00CC4437">
        <w:rPr>
          <w:rFonts w:hint="eastAsia"/>
          <w:sz w:val="24"/>
          <w:lang w:val="en-US" w:eastAsia="zh-CN"/>
        </w:rPr>
        <w:t>3</w:t>
      </w:r>
      <w:r w:rsidR="00CC4437" w:rsidRPr="00CC4437">
        <w:rPr>
          <w:rFonts w:hint="eastAsia"/>
          <w:sz w:val="24"/>
          <w:lang w:val="en-US" w:eastAsia="zh-CN"/>
        </w:rPr>
        <w:t>。</w:t>
      </w:r>
    </w:p>
    <w:p w14:paraId="3887106B" w14:textId="77777777" w:rsidR="00185D4D" w:rsidRPr="00DD66D9" w:rsidRDefault="00CC4437" w:rsidP="00B841CB">
      <w:pPr>
        <w:pStyle w:val="CBDH1"/>
        <w:tabs>
          <w:tab w:val="clear" w:pos="567"/>
          <w:tab w:val="clear" w:pos="1134"/>
          <w:tab w:val="clear" w:pos="1701"/>
          <w:tab w:val="clear" w:pos="2268"/>
          <w:tab w:val="clear" w:pos="2835"/>
          <w:tab w:val="clear" w:pos="3402"/>
        </w:tabs>
        <w:ind w:left="0" w:firstLine="0"/>
        <w:rPr>
          <w:lang w:eastAsia="zh-CN"/>
        </w:rPr>
      </w:pPr>
      <w:r>
        <w:rPr>
          <w:rFonts w:hint="eastAsia"/>
          <w:lang w:eastAsia="zh-CN"/>
        </w:rPr>
        <w:t>三</w:t>
      </w:r>
      <w:r w:rsidR="00FF4D36">
        <w:rPr>
          <w:lang w:eastAsia="zh-CN"/>
        </w:rPr>
        <w:t>.</w:t>
      </w:r>
      <w:r w:rsidR="00FF4D36">
        <w:rPr>
          <w:lang w:eastAsia="zh-CN"/>
        </w:rPr>
        <w:tab/>
      </w:r>
      <w:r>
        <w:rPr>
          <w:rFonts w:hint="eastAsia"/>
          <w:lang w:eastAsia="zh-CN"/>
        </w:rPr>
        <w:t>指导原则</w:t>
      </w:r>
    </w:p>
    <w:p w14:paraId="308DAE5E" w14:textId="77777777" w:rsidR="00185D4D" w:rsidRPr="00250A23" w:rsidRDefault="00FF4D36"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7.</w:t>
      </w:r>
      <w:r w:rsidRPr="00250A23">
        <w:rPr>
          <w:sz w:val="24"/>
          <w:lang w:eastAsia="zh-CN"/>
        </w:rPr>
        <w:tab/>
      </w:r>
      <w:r w:rsidR="00B841CB" w:rsidRPr="00B841CB">
        <w:rPr>
          <w:rFonts w:hint="eastAsia"/>
          <w:sz w:val="24"/>
          <w:lang w:val="en-US" w:eastAsia="zh-CN"/>
        </w:rPr>
        <w:t>应根据国情，以符合《框架》</w:t>
      </w:r>
      <w:r w:rsidR="00B841CB" w:rsidRPr="00B841CB">
        <w:rPr>
          <w:rFonts w:hint="eastAsia"/>
          <w:sz w:val="24"/>
          <w:lang w:val="en-US" w:eastAsia="zh-CN"/>
        </w:rPr>
        <w:t>C</w:t>
      </w:r>
      <w:r w:rsidR="00B841CB" w:rsidRPr="00B841CB">
        <w:rPr>
          <w:rFonts w:hint="eastAsia"/>
          <w:sz w:val="24"/>
          <w:lang w:val="en-US" w:eastAsia="zh-CN"/>
        </w:rPr>
        <w:t>部分和工作方案所述普遍原则的方式适用本套准则。</w:t>
      </w:r>
    </w:p>
    <w:p w14:paraId="4667094A" w14:textId="77777777" w:rsidR="00185D4D" w:rsidRPr="00DD66D9" w:rsidRDefault="00185D4D" w:rsidP="00B841CB">
      <w:pPr>
        <w:pStyle w:val="CBDH2"/>
        <w:tabs>
          <w:tab w:val="clear" w:pos="567"/>
          <w:tab w:val="clear" w:pos="1134"/>
          <w:tab w:val="clear" w:pos="1701"/>
          <w:tab w:val="clear" w:pos="2268"/>
          <w:tab w:val="clear" w:pos="2835"/>
          <w:tab w:val="clear" w:pos="3402"/>
          <w:tab w:val="clear" w:pos="3969"/>
        </w:tabs>
        <w:ind w:left="0" w:firstLine="0"/>
        <w:outlineLvl w:val="1"/>
        <w:rPr>
          <w:lang w:eastAsia="zh-CN"/>
        </w:rPr>
      </w:pPr>
      <w:r w:rsidRPr="00DD66D9">
        <w:rPr>
          <w:lang w:eastAsia="zh-CN"/>
        </w:rPr>
        <w:t>A.</w:t>
      </w:r>
      <w:r w:rsidR="00B841CB">
        <w:rPr>
          <w:lang w:eastAsia="zh-CN"/>
        </w:rPr>
        <w:tab/>
      </w:r>
      <w:r w:rsidR="00B841CB">
        <w:rPr>
          <w:rFonts w:hint="eastAsia"/>
          <w:lang w:eastAsia="zh-CN"/>
        </w:rPr>
        <w:t>精神和文化关系</w:t>
      </w:r>
    </w:p>
    <w:p w14:paraId="79DC3E1C" w14:textId="77777777" w:rsidR="00185D4D" w:rsidRPr="00250A23" w:rsidRDefault="00ED5CCA"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8.</w:t>
      </w:r>
      <w:r w:rsidRPr="00250A23">
        <w:rPr>
          <w:sz w:val="24"/>
          <w:lang w:eastAsia="zh-CN"/>
        </w:rPr>
        <w:tab/>
      </w:r>
      <w:r w:rsidR="00B841CB" w:rsidRPr="00B841CB">
        <w:rPr>
          <w:rFonts w:hint="eastAsia"/>
          <w:sz w:val="24"/>
          <w:lang w:val="en-US" w:eastAsia="zh-CN"/>
        </w:rPr>
        <w:t>应承认和尊重土著人民和地方社区与其土地、领地和水域中的生物多样性之间的精神和文化关系，以此种方式制定保护和恢复措施</w:t>
      </w:r>
      <w:r w:rsidR="00DA2AE6">
        <w:rPr>
          <w:rFonts w:hint="eastAsia"/>
          <w:sz w:val="24"/>
          <w:lang w:val="en-US" w:eastAsia="zh-CN"/>
        </w:rPr>
        <w:t>、</w:t>
      </w:r>
      <w:r w:rsidR="00B841CB" w:rsidRPr="00B841CB">
        <w:rPr>
          <w:rFonts w:hint="eastAsia"/>
          <w:sz w:val="24"/>
          <w:lang w:val="en-US" w:eastAsia="zh-CN"/>
        </w:rPr>
        <w:t>针对土地和海洋利用所发生变化</w:t>
      </w:r>
      <w:r w:rsidR="00DA2AE6">
        <w:rPr>
          <w:rFonts w:hint="eastAsia"/>
          <w:sz w:val="24"/>
          <w:lang w:val="en-US" w:eastAsia="zh-CN"/>
        </w:rPr>
        <w:t>的</w:t>
      </w:r>
      <w:r w:rsidR="00DA2AE6" w:rsidRPr="00DA2AE6">
        <w:rPr>
          <w:rFonts w:hint="eastAsia"/>
          <w:sz w:val="24"/>
          <w:lang w:val="en-US" w:eastAsia="zh-CN"/>
        </w:rPr>
        <w:t>空间规划</w:t>
      </w:r>
      <w:r w:rsidR="00DA2AE6">
        <w:rPr>
          <w:rFonts w:hint="eastAsia"/>
          <w:sz w:val="24"/>
          <w:lang w:val="en-US" w:eastAsia="zh-CN"/>
        </w:rPr>
        <w:t>和</w:t>
      </w:r>
      <w:r w:rsidR="00DA2AE6" w:rsidRPr="00B841CB">
        <w:rPr>
          <w:rFonts w:hint="eastAsia"/>
          <w:sz w:val="24"/>
          <w:lang w:val="en-US" w:eastAsia="zh-CN"/>
        </w:rPr>
        <w:t>有效管理进程</w:t>
      </w:r>
      <w:r w:rsidR="00DA2AE6">
        <w:rPr>
          <w:rFonts w:hint="eastAsia"/>
          <w:sz w:val="24"/>
          <w:lang w:val="en-US" w:eastAsia="zh-CN"/>
        </w:rPr>
        <w:t>以及</w:t>
      </w:r>
      <w:r w:rsidR="002D7EB6" w:rsidRPr="00B841CB">
        <w:rPr>
          <w:rFonts w:hint="eastAsia"/>
          <w:sz w:val="24"/>
          <w:lang w:val="en-US" w:eastAsia="zh-CN"/>
        </w:rPr>
        <w:t>环境影响评估</w:t>
      </w:r>
      <w:r w:rsidR="00B841CB" w:rsidRPr="00B841CB">
        <w:rPr>
          <w:rFonts w:hint="eastAsia"/>
          <w:sz w:val="24"/>
          <w:lang w:val="en-US" w:eastAsia="zh-CN"/>
        </w:rPr>
        <w:t>。</w:t>
      </w:r>
    </w:p>
    <w:p w14:paraId="1147BD66" w14:textId="3254CBB3" w:rsidR="00185D4D" w:rsidRPr="00EB007D" w:rsidRDefault="00185D4D" w:rsidP="00B841CB">
      <w:pPr>
        <w:pStyle w:val="CBDH2"/>
        <w:tabs>
          <w:tab w:val="clear" w:pos="567"/>
          <w:tab w:val="clear" w:pos="1134"/>
          <w:tab w:val="clear" w:pos="1701"/>
          <w:tab w:val="clear" w:pos="2268"/>
          <w:tab w:val="clear" w:pos="2835"/>
          <w:tab w:val="clear" w:pos="3402"/>
          <w:tab w:val="clear" w:pos="3969"/>
        </w:tabs>
        <w:ind w:left="0" w:firstLine="0"/>
        <w:outlineLvl w:val="1"/>
        <w:rPr>
          <w:lang w:eastAsia="zh-CN"/>
        </w:rPr>
      </w:pPr>
      <w:r w:rsidRPr="00EB007D">
        <w:rPr>
          <w:lang w:eastAsia="zh-CN"/>
        </w:rPr>
        <w:lastRenderedPageBreak/>
        <w:t>B.</w:t>
      </w:r>
      <w:r w:rsidR="0000557F" w:rsidRPr="00EB007D">
        <w:rPr>
          <w:lang w:eastAsia="zh-CN"/>
        </w:rPr>
        <w:tab/>
      </w:r>
      <w:r w:rsidR="00B841CB" w:rsidRPr="00B841CB">
        <w:rPr>
          <w:rFonts w:hint="eastAsia"/>
          <w:lang w:val="en-US" w:eastAsia="zh-CN"/>
        </w:rPr>
        <w:t>承认和尊重传统土地保有权和</w:t>
      </w:r>
      <w:r w:rsidR="006B18F3">
        <w:rPr>
          <w:rFonts w:hint="eastAsia"/>
          <w:lang w:val="en-US" w:eastAsia="zh-CN"/>
        </w:rPr>
        <w:t>治理制度</w:t>
      </w:r>
    </w:p>
    <w:p w14:paraId="0839A409" w14:textId="6F7256BE" w:rsidR="00185D4D" w:rsidRPr="00250A23" w:rsidRDefault="0000557F"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9.</w:t>
      </w:r>
      <w:r w:rsidRPr="00250A23">
        <w:rPr>
          <w:sz w:val="24"/>
          <w:lang w:eastAsia="zh-CN"/>
        </w:rPr>
        <w:tab/>
      </w:r>
      <w:r w:rsidR="004A57C6" w:rsidRPr="004A57C6">
        <w:rPr>
          <w:rFonts w:hint="eastAsia"/>
          <w:sz w:val="24"/>
          <w:lang w:val="en-US" w:eastAsia="zh-CN"/>
        </w:rPr>
        <w:t>应承认和尊重土著人民和地方社区与传统土地保有权、</w:t>
      </w:r>
      <w:r w:rsidR="006B18F3">
        <w:rPr>
          <w:rFonts w:hint="eastAsia"/>
          <w:sz w:val="24"/>
          <w:lang w:val="en-US" w:eastAsia="zh-CN"/>
        </w:rPr>
        <w:t>治理制度</w:t>
      </w:r>
      <w:r w:rsidR="004A57C6" w:rsidRPr="004A57C6">
        <w:rPr>
          <w:rFonts w:hint="eastAsia"/>
          <w:sz w:val="24"/>
          <w:lang w:val="en-US" w:eastAsia="zh-CN"/>
        </w:rPr>
        <w:t>、习惯法和程序有关的权利。</w:t>
      </w:r>
    </w:p>
    <w:p w14:paraId="2656A6AB" w14:textId="77777777" w:rsidR="00185D4D" w:rsidRPr="00EB007D" w:rsidRDefault="00185D4D" w:rsidP="00B841CB">
      <w:pPr>
        <w:pStyle w:val="CBDH2"/>
        <w:tabs>
          <w:tab w:val="clear" w:pos="567"/>
          <w:tab w:val="clear" w:pos="1134"/>
          <w:tab w:val="clear" w:pos="1701"/>
          <w:tab w:val="clear" w:pos="2268"/>
          <w:tab w:val="clear" w:pos="2835"/>
          <w:tab w:val="clear" w:pos="3402"/>
          <w:tab w:val="clear" w:pos="3969"/>
        </w:tabs>
        <w:ind w:left="0" w:firstLine="0"/>
        <w:outlineLvl w:val="1"/>
        <w:rPr>
          <w:lang w:eastAsia="zh-CN"/>
        </w:rPr>
      </w:pPr>
      <w:r w:rsidRPr="00EB007D">
        <w:rPr>
          <w:lang w:eastAsia="zh-CN"/>
        </w:rPr>
        <w:t>C.</w:t>
      </w:r>
      <w:r w:rsidR="0000557F" w:rsidRPr="00EB007D">
        <w:rPr>
          <w:lang w:eastAsia="zh-CN"/>
        </w:rPr>
        <w:tab/>
      </w:r>
      <w:r w:rsidR="004A57C6">
        <w:rPr>
          <w:rFonts w:hint="eastAsia"/>
          <w:lang w:eastAsia="zh-CN"/>
        </w:rPr>
        <w:t>基于人权的方法</w:t>
      </w:r>
    </w:p>
    <w:p w14:paraId="6544A6D7" w14:textId="77777777" w:rsidR="00185D4D" w:rsidRPr="00250A23" w:rsidRDefault="0000557F"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10.</w:t>
      </w:r>
      <w:r w:rsidRPr="00250A23">
        <w:rPr>
          <w:sz w:val="24"/>
          <w:lang w:eastAsia="zh-CN"/>
        </w:rPr>
        <w:tab/>
      </w:r>
      <w:r w:rsidR="00813176" w:rsidRPr="00813176">
        <w:rPr>
          <w:rFonts w:hint="eastAsia"/>
          <w:sz w:val="24"/>
          <w:lang w:val="en-US" w:eastAsia="zh-CN"/>
        </w:rPr>
        <w:t>保护和修复工作、空间规划和环境影响评估应采取基于人权的方法，根据《联合国土著人民权利宣言》</w:t>
      </w:r>
      <w:r w:rsidR="00813176" w:rsidRPr="00813176">
        <w:rPr>
          <w:sz w:val="24"/>
          <w:vertAlign w:val="superscript"/>
        </w:rPr>
        <w:footnoteReference w:id="15"/>
      </w:r>
      <w:r w:rsidR="00813176" w:rsidRPr="00813176">
        <w:rPr>
          <w:rFonts w:hint="eastAsia"/>
          <w:sz w:val="24"/>
          <w:lang w:val="en-US" w:eastAsia="zh-CN"/>
        </w:rPr>
        <w:t>和人权法尊重、保护和促进土著人民和地方社区的权利。还应承认土著人民和地方社区享有清洁、健康环境的权利以及诉诸司法的权利。</w:t>
      </w:r>
      <w:r w:rsidR="00621799" w:rsidRPr="00250A23">
        <w:rPr>
          <w:sz w:val="24"/>
          <w:lang w:eastAsia="zh-CN"/>
        </w:rPr>
        <w:t xml:space="preserve"> </w:t>
      </w:r>
    </w:p>
    <w:p w14:paraId="15C17334" w14:textId="77777777" w:rsidR="00185D4D" w:rsidRPr="00DD66D9" w:rsidRDefault="00621799" w:rsidP="00813176">
      <w:pPr>
        <w:pStyle w:val="CBDH2"/>
        <w:tabs>
          <w:tab w:val="clear" w:pos="567"/>
          <w:tab w:val="clear" w:pos="1134"/>
          <w:tab w:val="clear" w:pos="1701"/>
          <w:tab w:val="clear" w:pos="2268"/>
          <w:tab w:val="clear" w:pos="2835"/>
          <w:tab w:val="clear" w:pos="3402"/>
          <w:tab w:val="clear" w:pos="3969"/>
        </w:tabs>
        <w:ind w:left="0" w:firstLine="0"/>
        <w:outlineLvl w:val="1"/>
        <w:rPr>
          <w:lang w:eastAsia="zh-CN"/>
        </w:rPr>
      </w:pPr>
      <w:r w:rsidRPr="00DD66D9">
        <w:rPr>
          <w:lang w:eastAsia="zh-CN"/>
        </w:rPr>
        <w:t>D.</w:t>
      </w:r>
      <w:r w:rsidR="00033629">
        <w:rPr>
          <w:lang w:eastAsia="zh-CN"/>
        </w:rPr>
        <w:tab/>
      </w:r>
      <w:r w:rsidR="00813176" w:rsidRPr="00813176">
        <w:rPr>
          <w:rFonts w:hint="eastAsia"/>
          <w:lang w:val="en-US" w:eastAsia="zh-CN"/>
        </w:rPr>
        <w:t>自由、事先和知情同意</w:t>
      </w:r>
    </w:p>
    <w:p w14:paraId="396D575A" w14:textId="77777777" w:rsidR="00185D4D" w:rsidRPr="00250A23" w:rsidRDefault="00033629"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11.</w:t>
      </w:r>
      <w:r w:rsidRPr="00250A23">
        <w:rPr>
          <w:sz w:val="24"/>
          <w:lang w:eastAsia="zh-CN"/>
        </w:rPr>
        <w:tab/>
      </w:r>
      <w:r w:rsidR="005925F0" w:rsidRPr="005925F0">
        <w:rPr>
          <w:rFonts w:hint="eastAsia"/>
          <w:sz w:val="24"/>
          <w:lang w:val="en-US" w:eastAsia="zh-CN"/>
        </w:rPr>
        <w:t>在设计和实施空间规划和环境影响评估活动时，包括设计和实施与指定和管理可能对土著人民和地方社区的土地、领地、水域、资源和文化遗产造成影响的保护区和恢复区相关的活动时，应尊重他们的自由、事先和知情同意。</w:t>
      </w:r>
    </w:p>
    <w:p w14:paraId="32BCD9C9" w14:textId="77777777" w:rsidR="00185D4D" w:rsidRPr="00EB007D" w:rsidRDefault="00185D4D" w:rsidP="00813176">
      <w:pPr>
        <w:pStyle w:val="CBDH2"/>
        <w:tabs>
          <w:tab w:val="clear" w:pos="567"/>
          <w:tab w:val="clear" w:pos="1134"/>
          <w:tab w:val="clear" w:pos="1701"/>
          <w:tab w:val="clear" w:pos="2268"/>
          <w:tab w:val="clear" w:pos="2835"/>
          <w:tab w:val="clear" w:pos="3402"/>
          <w:tab w:val="clear" w:pos="3969"/>
        </w:tabs>
        <w:ind w:left="0" w:firstLine="0"/>
        <w:outlineLvl w:val="1"/>
        <w:rPr>
          <w:lang w:eastAsia="zh-CN"/>
        </w:rPr>
      </w:pPr>
      <w:r w:rsidRPr="00EB007D">
        <w:rPr>
          <w:lang w:eastAsia="zh-CN"/>
        </w:rPr>
        <w:t>E.</w:t>
      </w:r>
      <w:r w:rsidR="00033629" w:rsidRPr="00EB007D">
        <w:rPr>
          <w:lang w:eastAsia="zh-CN"/>
        </w:rPr>
        <w:tab/>
      </w:r>
      <w:r w:rsidR="005925F0" w:rsidRPr="005925F0">
        <w:rPr>
          <w:rFonts w:hint="eastAsia"/>
          <w:lang w:val="en-US" w:eastAsia="zh-CN"/>
        </w:rPr>
        <w:t>传统知识</w:t>
      </w:r>
      <w:r w:rsidRPr="00EB007D">
        <w:rPr>
          <w:lang w:eastAsia="zh-CN"/>
        </w:rPr>
        <w:t xml:space="preserve"> </w:t>
      </w:r>
    </w:p>
    <w:p w14:paraId="11FBAF71" w14:textId="77777777" w:rsidR="00185D4D" w:rsidRPr="00250A23" w:rsidRDefault="00033629"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12.</w:t>
      </w:r>
      <w:r w:rsidRPr="00250A23">
        <w:rPr>
          <w:sz w:val="24"/>
          <w:lang w:eastAsia="zh-CN"/>
        </w:rPr>
        <w:tab/>
      </w:r>
      <w:r w:rsidR="002D7EB6" w:rsidRPr="002D7EB6">
        <w:rPr>
          <w:rFonts w:hint="eastAsia"/>
          <w:sz w:val="24"/>
          <w:lang w:val="en-US" w:eastAsia="zh-CN"/>
        </w:rPr>
        <w:t>土著人民和地方社区的传统知识可以提供宝贵的信息，用于支持实施保护和恢复措施、针对土地和海洋利用</w:t>
      </w:r>
      <w:r w:rsidR="00DA2AE6">
        <w:rPr>
          <w:rFonts w:hint="eastAsia"/>
          <w:sz w:val="24"/>
          <w:lang w:val="en-US" w:eastAsia="zh-CN"/>
        </w:rPr>
        <w:t>所发生</w:t>
      </w:r>
      <w:r w:rsidR="002D7EB6" w:rsidRPr="002D7EB6">
        <w:rPr>
          <w:rFonts w:hint="eastAsia"/>
          <w:sz w:val="24"/>
          <w:lang w:val="en-US" w:eastAsia="zh-CN"/>
        </w:rPr>
        <w:t>变化</w:t>
      </w:r>
      <w:r w:rsidR="00DA2AE6">
        <w:rPr>
          <w:rFonts w:hint="eastAsia"/>
          <w:sz w:val="24"/>
          <w:lang w:val="en-US" w:eastAsia="zh-CN"/>
        </w:rPr>
        <w:t>的</w:t>
      </w:r>
      <w:r w:rsidR="00DA2AE6" w:rsidRPr="002D7EB6">
        <w:rPr>
          <w:rFonts w:hint="eastAsia"/>
          <w:sz w:val="24"/>
          <w:lang w:val="en-US" w:eastAsia="zh-CN"/>
        </w:rPr>
        <w:t>空间规划</w:t>
      </w:r>
      <w:r w:rsidR="00DA2AE6">
        <w:rPr>
          <w:rFonts w:hint="eastAsia"/>
          <w:sz w:val="24"/>
          <w:lang w:val="en-US" w:eastAsia="zh-CN"/>
        </w:rPr>
        <w:t>和</w:t>
      </w:r>
      <w:r w:rsidR="00DA2AE6" w:rsidRPr="002D7EB6">
        <w:rPr>
          <w:rFonts w:hint="eastAsia"/>
          <w:sz w:val="24"/>
          <w:lang w:val="en-US" w:eastAsia="zh-CN"/>
        </w:rPr>
        <w:t>有效管理进程以及</w:t>
      </w:r>
      <w:r w:rsidR="002D7EB6" w:rsidRPr="002D7EB6">
        <w:rPr>
          <w:rFonts w:hint="eastAsia"/>
          <w:sz w:val="24"/>
          <w:lang w:val="en-US" w:eastAsia="zh-CN"/>
        </w:rPr>
        <w:t>环境影响评估。因此，应承认、尊重和珍视传统知识。</w:t>
      </w:r>
      <w:r w:rsidR="00185D4D" w:rsidRPr="00250A23">
        <w:rPr>
          <w:sz w:val="24"/>
          <w:lang w:eastAsia="zh-CN"/>
        </w:rPr>
        <w:t xml:space="preserve"> </w:t>
      </w:r>
    </w:p>
    <w:p w14:paraId="7F863719" w14:textId="77777777" w:rsidR="00185D4D" w:rsidRPr="00EB007D" w:rsidRDefault="00185D4D" w:rsidP="005B58AE">
      <w:pPr>
        <w:pStyle w:val="CBDH2"/>
        <w:tabs>
          <w:tab w:val="clear" w:pos="567"/>
          <w:tab w:val="clear" w:pos="1134"/>
          <w:tab w:val="clear" w:pos="1701"/>
          <w:tab w:val="clear" w:pos="2268"/>
          <w:tab w:val="clear" w:pos="2835"/>
          <w:tab w:val="clear" w:pos="3402"/>
          <w:tab w:val="clear" w:pos="3969"/>
        </w:tabs>
        <w:ind w:left="0" w:firstLine="0"/>
        <w:outlineLvl w:val="1"/>
        <w:rPr>
          <w:lang w:eastAsia="zh-CN"/>
        </w:rPr>
      </w:pPr>
      <w:r w:rsidRPr="00EB007D">
        <w:rPr>
          <w:lang w:eastAsia="zh-CN"/>
        </w:rPr>
        <w:t>F.</w:t>
      </w:r>
      <w:r w:rsidR="00061648" w:rsidRPr="00EB007D">
        <w:rPr>
          <w:lang w:eastAsia="zh-CN"/>
        </w:rPr>
        <w:tab/>
      </w:r>
      <w:r w:rsidR="005B58AE" w:rsidRPr="005B58AE">
        <w:rPr>
          <w:rFonts w:hint="eastAsia"/>
          <w:lang w:val="en-US" w:eastAsia="zh-CN"/>
        </w:rPr>
        <w:t>性别平等和代际公平</w:t>
      </w:r>
    </w:p>
    <w:p w14:paraId="5AFCAAFF" w14:textId="77777777" w:rsidR="003D77CE" w:rsidRPr="00250A23" w:rsidRDefault="0090421B"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13.</w:t>
      </w:r>
      <w:r w:rsidRPr="00250A23">
        <w:rPr>
          <w:sz w:val="24"/>
          <w:lang w:eastAsia="zh-CN"/>
        </w:rPr>
        <w:tab/>
      </w:r>
      <w:r w:rsidR="003028F9" w:rsidRPr="003028F9">
        <w:rPr>
          <w:rFonts w:hint="eastAsia"/>
          <w:sz w:val="24"/>
          <w:lang w:val="en-US" w:eastAsia="zh-CN"/>
        </w:rPr>
        <w:t>应承认土著人民和地方社区的妇女和女童、儿童和青年、知识持有者和长者在保护和恢复工作、空间规划和环境影响评估中的关键作用。注重性别平等的方法应消除土著妇女和女童、儿童和青年在参与和利益分享方面遇到的障碍，并应保障具体性别特有知识的传承。</w:t>
      </w:r>
      <w:r w:rsidR="00185D4D" w:rsidRPr="00250A23">
        <w:rPr>
          <w:sz w:val="24"/>
          <w:lang w:eastAsia="zh-CN"/>
        </w:rPr>
        <w:t xml:space="preserve"> </w:t>
      </w:r>
    </w:p>
    <w:p w14:paraId="2A38EEA7" w14:textId="77777777" w:rsidR="00185D4D" w:rsidRPr="00250A23" w:rsidRDefault="0090421B"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14.</w:t>
      </w:r>
      <w:r w:rsidRPr="00250A23">
        <w:rPr>
          <w:sz w:val="24"/>
          <w:lang w:eastAsia="zh-CN"/>
        </w:rPr>
        <w:tab/>
      </w:r>
      <w:r w:rsidR="003028F9" w:rsidRPr="003028F9">
        <w:rPr>
          <w:rFonts w:hint="eastAsia"/>
          <w:sz w:val="24"/>
          <w:lang w:val="en-US" w:eastAsia="zh-CN"/>
        </w:rPr>
        <w:t>本套准则的实施工作应该遵循代际公平原则，确保满足当代人的需求，同时不损害子孙后代满足自身需求的能力，并确保青年能够有意义地参与各级决策。</w:t>
      </w:r>
    </w:p>
    <w:p w14:paraId="6528335D" w14:textId="77777777" w:rsidR="00185D4D" w:rsidRPr="00DD66D9" w:rsidRDefault="00185D4D" w:rsidP="003028F9">
      <w:pPr>
        <w:pStyle w:val="CBDH2"/>
        <w:tabs>
          <w:tab w:val="clear" w:pos="567"/>
          <w:tab w:val="clear" w:pos="1134"/>
          <w:tab w:val="clear" w:pos="1701"/>
          <w:tab w:val="clear" w:pos="2268"/>
          <w:tab w:val="clear" w:pos="2835"/>
          <w:tab w:val="clear" w:pos="3402"/>
          <w:tab w:val="clear" w:pos="3969"/>
        </w:tabs>
        <w:ind w:left="0" w:firstLine="0"/>
        <w:outlineLvl w:val="1"/>
        <w:rPr>
          <w:lang w:eastAsia="zh-CN"/>
        </w:rPr>
      </w:pPr>
      <w:r w:rsidRPr="00DD66D9">
        <w:rPr>
          <w:lang w:eastAsia="zh-CN"/>
        </w:rPr>
        <w:t>G.</w:t>
      </w:r>
      <w:r w:rsidR="00643C2D">
        <w:rPr>
          <w:lang w:eastAsia="zh-CN"/>
        </w:rPr>
        <w:tab/>
      </w:r>
      <w:r w:rsidR="003028F9" w:rsidRPr="003028F9">
        <w:rPr>
          <w:rFonts w:hint="eastAsia"/>
          <w:lang w:val="en-US" w:eastAsia="zh-CN"/>
        </w:rPr>
        <w:t>承认多元</w:t>
      </w:r>
      <w:r w:rsidR="003028F9">
        <w:rPr>
          <w:rFonts w:hint="eastAsia"/>
          <w:lang w:val="en-US" w:eastAsia="zh-CN"/>
        </w:rPr>
        <w:t>化</w:t>
      </w:r>
      <w:r w:rsidR="003028F9" w:rsidRPr="003028F9">
        <w:rPr>
          <w:rFonts w:hint="eastAsia"/>
          <w:lang w:val="en-US" w:eastAsia="zh-CN"/>
        </w:rPr>
        <w:t>价值体系</w:t>
      </w:r>
    </w:p>
    <w:p w14:paraId="5247678D" w14:textId="77777777" w:rsidR="00185D4D" w:rsidRPr="00250A23" w:rsidRDefault="00643C2D"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15.</w:t>
      </w:r>
      <w:r w:rsidRPr="00250A23">
        <w:rPr>
          <w:sz w:val="24"/>
          <w:lang w:eastAsia="zh-CN"/>
        </w:rPr>
        <w:tab/>
      </w:r>
      <w:r w:rsidR="003028F9" w:rsidRPr="003028F9">
        <w:rPr>
          <w:rFonts w:hint="eastAsia"/>
          <w:sz w:val="24"/>
          <w:lang w:val="en-US" w:eastAsia="zh-CN"/>
        </w:rPr>
        <w:t>保护和恢复工作、空间规划和环境影响评估的实施方式应尊重土著人民和地方社区的多元化价值体系和世界观。应承认诸如“地球母亲”、自然的馈赠和自然的权利这样的概念。还应承认土著人民和地方社区与其土地、领地和水域之间的文化、精神和整体关系，承认其独特的知识体系和治理体制。</w:t>
      </w:r>
      <w:r w:rsidR="00185D4D" w:rsidRPr="00250A23">
        <w:rPr>
          <w:sz w:val="24"/>
          <w:lang w:eastAsia="zh-CN"/>
        </w:rPr>
        <w:t xml:space="preserve"> </w:t>
      </w:r>
    </w:p>
    <w:p w14:paraId="185C743A" w14:textId="50BC6729" w:rsidR="003D77CE" w:rsidRPr="00D033AB" w:rsidRDefault="003028F9" w:rsidP="003028F9">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四</w:t>
      </w:r>
      <w:r w:rsidR="00954ED7" w:rsidRPr="00D033AB">
        <w:rPr>
          <w:lang w:eastAsia="zh-CN"/>
        </w:rPr>
        <w:t>.</w:t>
      </w:r>
      <w:r w:rsidR="00954ED7" w:rsidRPr="00D033AB">
        <w:rPr>
          <w:lang w:eastAsia="zh-CN"/>
        </w:rPr>
        <w:tab/>
      </w:r>
      <w:r w:rsidR="00DA2AE6" w:rsidRPr="00DA2AE6">
        <w:rPr>
          <w:rFonts w:hint="eastAsia"/>
          <w:lang w:val="en-US" w:eastAsia="zh-CN"/>
        </w:rPr>
        <w:t>承认土著人民和地方社区主导的、</w:t>
      </w:r>
      <w:r w:rsidR="00576585">
        <w:rPr>
          <w:rFonts w:hint="eastAsia"/>
          <w:lang w:val="en-US" w:eastAsia="zh-CN"/>
        </w:rPr>
        <w:t>针对</w:t>
      </w:r>
      <w:r w:rsidR="00DA2AE6" w:rsidRPr="00DA2AE6">
        <w:rPr>
          <w:rFonts w:hint="eastAsia"/>
          <w:lang w:val="en-US" w:eastAsia="zh-CN"/>
        </w:rPr>
        <w:t>土地和海洋利用所发生变化的空间规划和有效管理进程</w:t>
      </w:r>
    </w:p>
    <w:p w14:paraId="2DE38D0B" w14:textId="77777777" w:rsidR="00185D4D" w:rsidRPr="00250A23" w:rsidRDefault="00954ED7"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16.</w:t>
      </w:r>
      <w:r w:rsidRPr="00250A23">
        <w:rPr>
          <w:sz w:val="24"/>
          <w:lang w:eastAsia="zh-CN"/>
        </w:rPr>
        <w:tab/>
      </w:r>
      <w:r w:rsidR="00EE7A84" w:rsidRPr="00EE7A84">
        <w:rPr>
          <w:rFonts w:hint="eastAsia"/>
          <w:sz w:val="24"/>
          <w:lang w:val="en-US" w:eastAsia="zh-CN"/>
        </w:rPr>
        <w:t>国家法律和政策框架应酌情承认和支持与土地和海洋利用变化相关的空间规划和有效管理进程，包括土著人民和地方社区在其土地、领地、水域和资源（包括海洋和沿海地区）主导的进程。这些努力也应体现在国家生物多样性战略和行动计划的修订或更新以及更广泛的土地利用规划和海洋及沿海计划当中。</w:t>
      </w:r>
    </w:p>
    <w:p w14:paraId="0DA6ACC6" w14:textId="77777777" w:rsidR="00185D4D" w:rsidRPr="00250A23" w:rsidRDefault="00954ED7"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lastRenderedPageBreak/>
        <w:t>17.</w:t>
      </w:r>
      <w:r w:rsidRPr="00250A23">
        <w:rPr>
          <w:sz w:val="24"/>
          <w:lang w:eastAsia="zh-CN"/>
        </w:rPr>
        <w:tab/>
      </w:r>
      <w:r w:rsidR="00EE7A84" w:rsidRPr="00EE7A84">
        <w:rPr>
          <w:rFonts w:hint="eastAsia"/>
          <w:sz w:val="24"/>
          <w:lang w:val="en-US" w:eastAsia="zh-CN"/>
        </w:rPr>
        <w:t>应承认土著人民和地方社区主导的与土地和海洋利用的变化相关的空间规划和有效管理措施，并将其反映在国家生物多样性战略和行动计划的修订或更新以及土地利用规划和海洋及沿海规划当中。</w:t>
      </w:r>
    </w:p>
    <w:p w14:paraId="4E3EF03C" w14:textId="77777777" w:rsidR="00185D4D" w:rsidRPr="00250A23" w:rsidRDefault="00954ED7"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18.</w:t>
      </w:r>
      <w:r w:rsidRPr="00250A23">
        <w:rPr>
          <w:sz w:val="24"/>
          <w:lang w:eastAsia="zh-CN"/>
        </w:rPr>
        <w:tab/>
      </w:r>
      <w:r w:rsidR="00C01B40" w:rsidRPr="00C01B40">
        <w:rPr>
          <w:rFonts w:hint="eastAsia"/>
          <w:sz w:val="24"/>
          <w:lang w:val="en-US" w:eastAsia="zh-CN"/>
        </w:rPr>
        <w:t>空间规划和土地利用相关框架应酌情承认由土著人民和地方社区主导的、根据其文化、治理和精神尺度规划的土地利用方式。</w:t>
      </w:r>
    </w:p>
    <w:p w14:paraId="5F931280" w14:textId="309D34A7" w:rsidR="00185D4D" w:rsidRPr="00250A23" w:rsidRDefault="00954ED7"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19.</w:t>
      </w:r>
      <w:r w:rsidRPr="00250A23">
        <w:rPr>
          <w:sz w:val="24"/>
          <w:lang w:eastAsia="zh-CN"/>
        </w:rPr>
        <w:tab/>
      </w:r>
      <w:r w:rsidR="00C01B40" w:rsidRPr="00C01B40">
        <w:rPr>
          <w:rFonts w:hint="eastAsia"/>
          <w:sz w:val="24"/>
          <w:lang w:val="en-US" w:eastAsia="zh-CN"/>
        </w:rPr>
        <w:t>针对土地和海洋利用所发生变化的空间规划和有效管理进程中的决策应促进与土著人民和地方社区的合作与协作，并酌情承认土著和传统</w:t>
      </w:r>
      <w:r w:rsidR="006B18F3">
        <w:rPr>
          <w:rFonts w:hint="eastAsia"/>
          <w:sz w:val="24"/>
          <w:lang w:val="en-US" w:eastAsia="zh-CN"/>
        </w:rPr>
        <w:t>治理制度</w:t>
      </w:r>
      <w:r w:rsidR="00C01B40" w:rsidRPr="00C01B40">
        <w:rPr>
          <w:rFonts w:hint="eastAsia"/>
          <w:sz w:val="24"/>
          <w:lang w:val="en-US" w:eastAsia="zh-CN"/>
        </w:rPr>
        <w:t>。</w:t>
      </w:r>
      <w:r w:rsidR="00185D4D" w:rsidRPr="00250A23">
        <w:rPr>
          <w:sz w:val="24"/>
          <w:lang w:eastAsia="zh-CN"/>
        </w:rPr>
        <w:t xml:space="preserve"> </w:t>
      </w:r>
    </w:p>
    <w:p w14:paraId="28399723" w14:textId="77777777" w:rsidR="00185D4D" w:rsidRPr="00DD66D9" w:rsidRDefault="00C01B40" w:rsidP="00C01B40">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五</w:t>
      </w:r>
      <w:r w:rsidR="005D6F29">
        <w:rPr>
          <w:lang w:eastAsia="zh-CN"/>
        </w:rPr>
        <w:t>.</w:t>
      </w:r>
      <w:r w:rsidR="005D6F29">
        <w:rPr>
          <w:lang w:eastAsia="zh-CN"/>
        </w:rPr>
        <w:tab/>
      </w:r>
      <w:r w:rsidR="007E23A5" w:rsidRPr="007E23A5">
        <w:rPr>
          <w:rFonts w:hint="eastAsia"/>
          <w:lang w:val="en-US" w:eastAsia="zh-CN"/>
        </w:rPr>
        <w:t>对有效恢复退化生态系统的贡献</w:t>
      </w:r>
      <w:r w:rsidR="006C6400" w:rsidRPr="00DD66D9">
        <w:rPr>
          <w:rStyle w:val="FootnoteReference"/>
          <w:rFonts w:eastAsia="DengXian Light"/>
          <w:bCs/>
          <w:szCs w:val="28"/>
        </w:rPr>
        <w:footnoteReference w:id="16"/>
      </w:r>
    </w:p>
    <w:p w14:paraId="4467DD00" w14:textId="77777777" w:rsidR="00185D4D" w:rsidRPr="00250A23" w:rsidRDefault="005D6F29"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20.</w:t>
      </w:r>
      <w:r w:rsidRPr="00250A23">
        <w:rPr>
          <w:sz w:val="24"/>
          <w:lang w:eastAsia="zh-CN"/>
        </w:rPr>
        <w:tab/>
      </w:r>
      <w:r w:rsidR="00232A98" w:rsidRPr="00232A98">
        <w:rPr>
          <w:rFonts w:hint="eastAsia"/>
          <w:sz w:val="24"/>
          <w:lang w:val="en-US" w:eastAsia="zh-CN"/>
        </w:rPr>
        <w:t>土著人民和地方社区在恢复活动中的权利和做法植根于他们与其土地、领地和水域的整体关系，应承认和促进这些权利和做法，尤其是支持生物文化方法、对生物多样性的习惯性可持续利用、传统知识体系和其他保管形式，例如与土著人民和地方社区土地保有权相关的保管形式。</w:t>
      </w:r>
      <w:r w:rsidR="00185D4D" w:rsidRPr="00250A23">
        <w:rPr>
          <w:sz w:val="24"/>
          <w:lang w:eastAsia="zh-CN"/>
        </w:rPr>
        <w:t xml:space="preserve"> </w:t>
      </w:r>
    </w:p>
    <w:p w14:paraId="5F96272F" w14:textId="1C53B3A7" w:rsidR="00185D4D" w:rsidRPr="00250A23" w:rsidRDefault="005D6F29"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21.</w:t>
      </w:r>
      <w:r w:rsidRPr="00250A23">
        <w:rPr>
          <w:sz w:val="24"/>
          <w:lang w:eastAsia="zh-CN"/>
        </w:rPr>
        <w:tab/>
      </w:r>
      <w:r w:rsidR="00232A98" w:rsidRPr="00232A98">
        <w:rPr>
          <w:rFonts w:hint="eastAsia"/>
          <w:sz w:val="24"/>
          <w:lang w:val="en-US" w:eastAsia="zh-CN"/>
        </w:rPr>
        <w:t>恢复工作应侧重于已退化的生态系统，同时认识到土著人民和地方社区的领地不一定已经退化，也并非总是需要恢复。应根据土著和传统</w:t>
      </w:r>
      <w:r w:rsidR="006B18F3">
        <w:rPr>
          <w:rFonts w:hint="eastAsia"/>
          <w:sz w:val="24"/>
          <w:lang w:val="en-US" w:eastAsia="zh-CN"/>
        </w:rPr>
        <w:t>治理制度</w:t>
      </w:r>
      <w:r w:rsidR="00232A98" w:rsidRPr="00232A98">
        <w:rPr>
          <w:rFonts w:hint="eastAsia"/>
          <w:sz w:val="24"/>
          <w:lang w:val="en-US" w:eastAsia="zh-CN"/>
        </w:rPr>
        <w:t>，在恢复工作的各个方面承认并加强土著人民和地方社区的长者、知识持有者、妇女和女童以及儿童和青年的作用。</w:t>
      </w:r>
      <w:r w:rsidR="00185D4D" w:rsidRPr="00250A23">
        <w:rPr>
          <w:sz w:val="24"/>
          <w:lang w:eastAsia="zh-CN"/>
        </w:rPr>
        <w:t xml:space="preserve"> </w:t>
      </w:r>
    </w:p>
    <w:p w14:paraId="1E6A1C47" w14:textId="77777777" w:rsidR="00185D4D" w:rsidRPr="00250A23" w:rsidRDefault="005D6F29"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22.</w:t>
      </w:r>
      <w:r w:rsidRPr="00250A23">
        <w:rPr>
          <w:sz w:val="24"/>
          <w:lang w:eastAsia="zh-CN"/>
        </w:rPr>
        <w:tab/>
      </w:r>
      <w:r w:rsidR="00091523" w:rsidRPr="00091523">
        <w:rPr>
          <w:rFonts w:hint="eastAsia"/>
          <w:sz w:val="24"/>
          <w:lang w:val="en-US" w:eastAsia="zh-CN"/>
        </w:rPr>
        <w:t>应根据《框架》的行动目标</w:t>
      </w:r>
      <w:r w:rsidR="00091523" w:rsidRPr="00091523">
        <w:rPr>
          <w:rFonts w:hint="eastAsia"/>
          <w:sz w:val="24"/>
          <w:lang w:val="en-US" w:eastAsia="zh-CN"/>
        </w:rPr>
        <w:t>2</w:t>
      </w:r>
      <w:r w:rsidR="00091523" w:rsidRPr="00091523">
        <w:rPr>
          <w:rFonts w:hint="eastAsia"/>
          <w:sz w:val="24"/>
          <w:lang w:val="en-US" w:eastAsia="zh-CN"/>
        </w:rPr>
        <w:t>，以承认和保障土著人民和地方社区所做贡献的方式来制定与恢复相关的法律、行政和政策措施。应该由土著人民和地方社区充分有效参与框架制定工作的各个阶段，并参与所有与规划、发展、实施和监测相关的过程。应参考多种知识体系，包括科学评估以及土著人民和地方社区的传统知识来对已退化的生态系统进行评估。</w:t>
      </w:r>
    </w:p>
    <w:p w14:paraId="67CBA057" w14:textId="731FB1CB" w:rsidR="00185D4D" w:rsidRPr="00250A23" w:rsidRDefault="005D6F29"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23.</w:t>
      </w:r>
      <w:r w:rsidRPr="00250A23">
        <w:rPr>
          <w:sz w:val="24"/>
          <w:lang w:eastAsia="zh-CN"/>
        </w:rPr>
        <w:tab/>
      </w:r>
      <w:r w:rsidR="009D051D" w:rsidRPr="009D051D">
        <w:rPr>
          <w:rFonts w:hint="eastAsia"/>
          <w:sz w:val="24"/>
          <w:lang w:val="en-US" w:eastAsia="zh-CN"/>
        </w:rPr>
        <w:t>应与土著人民、地方社区和相关政府部门共同设计和开展恢复工作，并将其体现在国家生物多样性战略和行动计划、国家恢复计划和国家报告当中，同时确保对土著人民和地方社区所</w:t>
      </w:r>
      <w:r w:rsidR="00576585">
        <w:rPr>
          <w:rFonts w:hint="eastAsia"/>
          <w:sz w:val="24"/>
          <w:lang w:val="en-US" w:eastAsia="zh-CN"/>
        </w:rPr>
        <w:t>做</w:t>
      </w:r>
      <w:r w:rsidR="009D051D" w:rsidRPr="009D051D">
        <w:rPr>
          <w:rFonts w:hint="eastAsia"/>
          <w:sz w:val="24"/>
          <w:lang w:val="en-US" w:eastAsia="zh-CN"/>
        </w:rPr>
        <w:t>贡献给予能见度和支持</w:t>
      </w:r>
      <w:r w:rsidR="00576585">
        <w:rPr>
          <w:rFonts w:hint="eastAsia"/>
          <w:sz w:val="24"/>
          <w:lang w:val="en-US" w:eastAsia="zh-CN"/>
        </w:rPr>
        <w:t>，</w:t>
      </w:r>
      <w:r w:rsidR="009D051D" w:rsidRPr="009D051D">
        <w:rPr>
          <w:rFonts w:hint="eastAsia"/>
          <w:sz w:val="24"/>
          <w:lang w:val="en-US" w:eastAsia="zh-CN"/>
        </w:rPr>
        <w:t>通过使用适当的指标进行追踪。</w:t>
      </w:r>
      <w:r w:rsidR="00185D4D" w:rsidRPr="00250A23">
        <w:rPr>
          <w:sz w:val="24"/>
          <w:lang w:eastAsia="zh-CN"/>
        </w:rPr>
        <w:t xml:space="preserve"> </w:t>
      </w:r>
    </w:p>
    <w:p w14:paraId="09D30D90" w14:textId="12754A84" w:rsidR="00185D4D" w:rsidRPr="00EB007D" w:rsidRDefault="009D051D" w:rsidP="009D051D">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六</w:t>
      </w:r>
      <w:r w:rsidR="00B63839">
        <w:rPr>
          <w:lang w:eastAsia="zh-CN"/>
        </w:rPr>
        <w:t>.</w:t>
      </w:r>
      <w:r w:rsidR="00B63839">
        <w:rPr>
          <w:lang w:eastAsia="zh-CN"/>
        </w:rPr>
        <w:tab/>
      </w:r>
      <w:r w:rsidRPr="009D051D">
        <w:rPr>
          <w:rFonts w:hint="eastAsia"/>
          <w:lang w:val="en-US" w:eastAsia="zh-CN"/>
        </w:rPr>
        <w:t>在《框架》行动目标</w:t>
      </w:r>
      <w:r w:rsidRPr="009D051D">
        <w:rPr>
          <w:rFonts w:hint="eastAsia"/>
          <w:lang w:val="en-US" w:eastAsia="zh-CN"/>
        </w:rPr>
        <w:t>3</w:t>
      </w:r>
      <w:r w:rsidRPr="009D051D">
        <w:rPr>
          <w:rFonts w:hint="eastAsia"/>
          <w:lang w:val="en-US" w:eastAsia="zh-CN"/>
        </w:rPr>
        <w:t>的</w:t>
      </w:r>
      <w:r w:rsidR="00576585">
        <w:rPr>
          <w:rFonts w:hint="eastAsia"/>
          <w:lang w:val="en-US" w:eastAsia="zh-CN"/>
        </w:rPr>
        <w:t>落实</w:t>
      </w:r>
      <w:r w:rsidRPr="009D051D">
        <w:rPr>
          <w:rFonts w:hint="eastAsia"/>
          <w:lang w:val="en-US" w:eastAsia="zh-CN"/>
        </w:rPr>
        <w:t>工作中承认和尊重土著和传统领地</w:t>
      </w:r>
    </w:p>
    <w:p w14:paraId="00BC0CA2" w14:textId="1CA8368D" w:rsidR="002F64FA" w:rsidRPr="00250A23" w:rsidRDefault="00B63839"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24</w:t>
      </w:r>
      <w:r w:rsidR="00284AEE" w:rsidRPr="00250A23">
        <w:rPr>
          <w:sz w:val="24"/>
          <w:lang w:eastAsia="zh-CN"/>
        </w:rPr>
        <w:t>.</w:t>
      </w:r>
      <w:r w:rsidR="00284AEE" w:rsidRPr="00250A23">
        <w:rPr>
          <w:sz w:val="24"/>
          <w:lang w:eastAsia="zh-CN"/>
        </w:rPr>
        <w:tab/>
      </w:r>
      <w:r w:rsidR="005B29F3" w:rsidRPr="005B29F3">
        <w:rPr>
          <w:rFonts w:hint="eastAsia"/>
          <w:sz w:val="24"/>
          <w:lang w:val="en-US" w:eastAsia="zh-CN"/>
        </w:rPr>
        <w:t>应采取并实施法律、行政和政策措施，在国家一级查明、承认和尊重土著人民和地方社区的土著和传统领地。这些措施应酌情承认土著人民和地方社区的习惯保有权制度、治理体制、圣地、环保角色、传统经济以及对土地、领地和资源的权利。</w:t>
      </w:r>
    </w:p>
    <w:p w14:paraId="493D429F" w14:textId="2BCE6E1A" w:rsidR="00185D4D" w:rsidRPr="00250A23" w:rsidRDefault="00284AEE"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25.</w:t>
      </w:r>
      <w:r w:rsidRPr="00250A23">
        <w:rPr>
          <w:sz w:val="24"/>
          <w:lang w:eastAsia="zh-CN"/>
        </w:rPr>
        <w:tab/>
      </w:r>
      <w:r w:rsidR="005B29F3" w:rsidRPr="005B29F3">
        <w:rPr>
          <w:rFonts w:hint="eastAsia"/>
          <w:sz w:val="24"/>
          <w:lang w:val="en-US" w:eastAsia="zh-CN"/>
        </w:rPr>
        <w:t>应酌情在生物多样性相关法律和框架中承认土著人民和地方社区对其土著和传统领地内生物多样性的保护和恢复所做贡献，包括在实行习惯可持续利用的情况下做出的贡献。</w:t>
      </w:r>
      <w:r w:rsidR="00185D4D" w:rsidRPr="00250A23">
        <w:rPr>
          <w:sz w:val="24"/>
          <w:lang w:eastAsia="zh-CN"/>
        </w:rPr>
        <w:t xml:space="preserve"> </w:t>
      </w:r>
    </w:p>
    <w:p w14:paraId="4E31A833" w14:textId="67829D86" w:rsidR="00185D4D" w:rsidRPr="00250A23" w:rsidRDefault="00284AEE"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26.</w:t>
      </w:r>
      <w:r w:rsidRPr="00250A23">
        <w:rPr>
          <w:sz w:val="24"/>
          <w:lang w:eastAsia="zh-CN"/>
        </w:rPr>
        <w:tab/>
      </w:r>
      <w:r w:rsidR="005B29F3" w:rsidRPr="005B29F3">
        <w:rPr>
          <w:rFonts w:hint="eastAsia"/>
          <w:sz w:val="24"/>
          <w:lang w:val="en-US" w:eastAsia="zh-CN"/>
        </w:rPr>
        <w:t>在适当情况下，对土著和传统领地的承认不应要求将所涉领地归入保护区或其他有效的区域保护措施类别。</w:t>
      </w:r>
    </w:p>
    <w:p w14:paraId="620E9B0B" w14:textId="245F125B" w:rsidR="00185D4D" w:rsidRPr="00DD66D9" w:rsidRDefault="005B29F3" w:rsidP="005B29F3">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lastRenderedPageBreak/>
        <w:t>七</w:t>
      </w:r>
      <w:r w:rsidR="00E401B8">
        <w:rPr>
          <w:lang w:eastAsia="zh-CN"/>
        </w:rPr>
        <w:t>.</w:t>
      </w:r>
      <w:r w:rsidR="00E401B8">
        <w:rPr>
          <w:lang w:eastAsia="zh-CN"/>
        </w:rPr>
        <w:tab/>
      </w:r>
      <w:r w:rsidRPr="005B29F3">
        <w:rPr>
          <w:rFonts w:hint="eastAsia"/>
          <w:lang w:val="en-US" w:eastAsia="zh-CN"/>
        </w:rPr>
        <w:t>环境影响评估</w:t>
      </w:r>
    </w:p>
    <w:p w14:paraId="655EF220" w14:textId="1458ABEB" w:rsidR="00185D4D" w:rsidRPr="00510072" w:rsidRDefault="00E401B8"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27.</w:t>
      </w:r>
      <w:r w:rsidRPr="00250A23">
        <w:rPr>
          <w:sz w:val="24"/>
          <w:lang w:eastAsia="zh-CN"/>
        </w:rPr>
        <w:tab/>
      </w:r>
      <w:r w:rsidR="00510072" w:rsidRPr="00510072">
        <w:rPr>
          <w:rFonts w:hint="eastAsia"/>
          <w:sz w:val="24"/>
          <w:lang w:val="en-US" w:eastAsia="zh-CN"/>
        </w:rPr>
        <w:t>《</w:t>
      </w:r>
      <w:r w:rsidR="00510072" w:rsidRPr="00510072">
        <w:rPr>
          <w:sz w:val="24"/>
          <w:lang w:val="en-US" w:eastAsia="zh-CN"/>
        </w:rPr>
        <w:t>对拟议在圣地和土著和</w:t>
      </w:r>
      <w:r w:rsidR="00510072" w:rsidRPr="00510072">
        <w:rPr>
          <w:rFonts w:hint="eastAsia"/>
          <w:sz w:val="24"/>
          <w:lang w:val="en-US" w:eastAsia="zh-CN"/>
        </w:rPr>
        <w:t>地方</w:t>
      </w:r>
      <w:r w:rsidR="00510072" w:rsidRPr="00510072">
        <w:rPr>
          <w:sz w:val="24"/>
          <w:lang w:val="en-US" w:eastAsia="zh-CN"/>
        </w:rPr>
        <w:t>社区历来居住或使用的土地和水域上进行的、或可能对这些土地和水域产生影响的开发活动进行文化、环境和社会影响评估的阿格维古自愿性准则</w:t>
      </w:r>
      <w:r w:rsidR="00510072" w:rsidRPr="00510072">
        <w:rPr>
          <w:rFonts w:hint="eastAsia"/>
          <w:sz w:val="24"/>
          <w:lang w:val="en-US" w:eastAsia="zh-CN"/>
        </w:rPr>
        <w:t>》</w:t>
      </w:r>
      <w:r w:rsidR="00510072" w:rsidRPr="00510072">
        <w:rPr>
          <w:sz w:val="24"/>
          <w:vertAlign w:val="superscript"/>
        </w:rPr>
        <w:footnoteReference w:id="17"/>
      </w:r>
      <w:r w:rsidR="00510072" w:rsidRPr="00510072">
        <w:rPr>
          <w:rFonts w:hint="eastAsia"/>
          <w:sz w:val="24"/>
          <w:lang w:val="en-US" w:eastAsia="zh-CN"/>
        </w:rPr>
        <w:t>提供了一个文化上适当的框架，用于对拟议在圣地或其附近，或在土著和地方社区传统上居住或使用的土地和水域举办的开发项目进行环境、文化和社会影响评估。</w:t>
      </w:r>
      <w:r w:rsidR="00510072" w:rsidRPr="00510072">
        <w:rPr>
          <w:sz w:val="24"/>
          <w:vertAlign w:val="superscript"/>
        </w:rPr>
        <w:footnoteReference w:id="18"/>
      </w:r>
    </w:p>
    <w:p w14:paraId="067B9C81" w14:textId="6877F7F3" w:rsidR="00185D4D" w:rsidRPr="00250A23" w:rsidRDefault="00E401B8"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28.</w:t>
      </w:r>
      <w:r w:rsidRPr="00250A23">
        <w:rPr>
          <w:sz w:val="24"/>
          <w:lang w:eastAsia="zh-CN"/>
        </w:rPr>
        <w:tab/>
      </w:r>
      <w:r w:rsidR="00E47C7E" w:rsidRPr="00E47C7E">
        <w:rPr>
          <w:rFonts w:hint="eastAsia"/>
          <w:sz w:val="24"/>
          <w:lang w:val="en-US" w:eastAsia="zh-CN"/>
        </w:rPr>
        <w:t>《阿格维古自愿准则》仍然有效且适用，在执行《框架》和工作方案任务</w:t>
      </w:r>
      <w:r w:rsidR="00E47C7E" w:rsidRPr="00E47C7E">
        <w:rPr>
          <w:rFonts w:hint="eastAsia"/>
          <w:sz w:val="24"/>
          <w:lang w:val="en-US" w:eastAsia="zh-CN"/>
        </w:rPr>
        <w:t>1.2</w:t>
      </w:r>
      <w:r w:rsidR="00E47C7E" w:rsidRPr="00E47C7E">
        <w:rPr>
          <w:rFonts w:hint="eastAsia"/>
          <w:sz w:val="24"/>
          <w:lang w:val="en-US" w:eastAsia="zh-CN"/>
        </w:rPr>
        <w:t>的背景下尤其如此。</w:t>
      </w:r>
    </w:p>
    <w:p w14:paraId="4F2FC366" w14:textId="2A8034BD" w:rsidR="00185D4D" w:rsidRPr="00250A23" w:rsidRDefault="00E401B8"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29.</w:t>
      </w:r>
      <w:r w:rsidRPr="00250A23">
        <w:rPr>
          <w:sz w:val="24"/>
          <w:lang w:eastAsia="zh-CN"/>
        </w:rPr>
        <w:tab/>
      </w:r>
      <w:r w:rsidR="00E47C7E" w:rsidRPr="00E47C7E">
        <w:rPr>
          <w:rFonts w:hint="eastAsia"/>
          <w:sz w:val="24"/>
          <w:lang w:val="en-US" w:eastAsia="zh-CN"/>
        </w:rPr>
        <w:t>《阿格维古自愿准则》将文化和社会层面纳入环境影响评估，包括评估对精神价值观、文化习俗、习惯</w:t>
      </w:r>
      <w:r w:rsidR="006B18F3">
        <w:rPr>
          <w:rFonts w:hint="eastAsia"/>
          <w:sz w:val="24"/>
          <w:lang w:val="en-US" w:eastAsia="zh-CN"/>
        </w:rPr>
        <w:t>治理制度</w:t>
      </w:r>
      <w:r w:rsidR="00E47C7E" w:rsidRPr="00E47C7E">
        <w:rPr>
          <w:rFonts w:hint="eastAsia"/>
          <w:sz w:val="24"/>
          <w:lang w:val="en-US" w:eastAsia="zh-CN"/>
        </w:rPr>
        <w:t>、传统生计和代际知识传承的影响。</w:t>
      </w:r>
      <w:r w:rsidR="00185D4D" w:rsidRPr="00250A23">
        <w:rPr>
          <w:sz w:val="24"/>
          <w:lang w:eastAsia="zh-CN"/>
        </w:rPr>
        <w:t xml:space="preserve"> </w:t>
      </w:r>
    </w:p>
    <w:p w14:paraId="76680548" w14:textId="2D8BF5BE" w:rsidR="00185D4D" w:rsidRPr="00DD66D9" w:rsidRDefault="00E47C7E" w:rsidP="00E47C7E">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八</w:t>
      </w:r>
      <w:r w:rsidR="00A84510">
        <w:rPr>
          <w:lang w:eastAsia="zh-CN"/>
        </w:rPr>
        <w:t>.</w:t>
      </w:r>
      <w:r w:rsidR="00A84510">
        <w:rPr>
          <w:lang w:eastAsia="zh-CN"/>
        </w:rPr>
        <w:tab/>
      </w:r>
      <w:r w:rsidRPr="00E47C7E">
        <w:rPr>
          <w:rFonts w:hint="eastAsia"/>
          <w:lang w:val="en-US" w:eastAsia="zh-CN"/>
        </w:rPr>
        <w:t>体制和行政机制</w:t>
      </w:r>
    </w:p>
    <w:p w14:paraId="0F9F8436" w14:textId="4C9B5AD1" w:rsidR="00185D4D" w:rsidRPr="00C0791C" w:rsidRDefault="00A84510" w:rsidP="008E40FA">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Pr>
          <w:lang w:eastAsia="zh-CN"/>
        </w:rPr>
        <w:t>A.</w:t>
      </w:r>
      <w:r>
        <w:rPr>
          <w:lang w:eastAsia="zh-CN"/>
        </w:rPr>
        <w:tab/>
      </w:r>
      <w:r w:rsidR="008E40FA">
        <w:rPr>
          <w:rFonts w:hint="eastAsia"/>
          <w:lang w:eastAsia="zh-CN"/>
        </w:rPr>
        <w:t>承认习惯治理制度</w:t>
      </w:r>
    </w:p>
    <w:p w14:paraId="759FB234" w14:textId="6F8EB1F1" w:rsidR="00185D4D" w:rsidRPr="00250A23" w:rsidRDefault="00A84510"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30.</w:t>
      </w:r>
      <w:r w:rsidRPr="00250A23">
        <w:rPr>
          <w:sz w:val="24"/>
          <w:lang w:eastAsia="zh-CN"/>
        </w:rPr>
        <w:tab/>
      </w:r>
      <w:r w:rsidR="006B18F3" w:rsidRPr="006B18F3">
        <w:rPr>
          <w:rFonts w:hint="eastAsia"/>
          <w:sz w:val="24"/>
          <w:lang w:val="en-US" w:eastAsia="zh-CN"/>
        </w:rPr>
        <w:t>应根据国情承认和支持土著人民和地方社区的治理制度，包括传统和习惯治理制度，将其作为保管、保护和恢复生物多样性的独特且合法的框架。这种承认应扩展到与土地、水和海洋管理以及圣地保护有关的习惯法、社区规程、规范、价值观和规则。</w:t>
      </w:r>
    </w:p>
    <w:p w14:paraId="0A8463A3" w14:textId="513AA281" w:rsidR="00185D4D" w:rsidRPr="00250A23" w:rsidRDefault="003050A8"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31.</w:t>
      </w:r>
      <w:r w:rsidRPr="00250A23">
        <w:rPr>
          <w:sz w:val="24"/>
          <w:lang w:eastAsia="zh-CN"/>
        </w:rPr>
        <w:tab/>
      </w:r>
      <w:r w:rsidR="00FA2E2A" w:rsidRPr="00FA2E2A">
        <w:rPr>
          <w:rFonts w:hint="eastAsia"/>
          <w:sz w:val="24"/>
          <w:lang w:val="en-US" w:eastAsia="zh-CN"/>
        </w:rPr>
        <w:t>扶持性条件应确保支持土著人民和地方社区加强和实施其治理制度，例如，承认和支持社区</w:t>
      </w:r>
      <w:r w:rsidR="00692A91">
        <w:rPr>
          <w:rFonts w:hint="eastAsia"/>
          <w:sz w:val="24"/>
          <w:lang w:val="en-US" w:eastAsia="zh-CN"/>
        </w:rPr>
        <w:t>测绘</w:t>
      </w:r>
      <w:r w:rsidR="00FA2E2A" w:rsidRPr="00FA2E2A">
        <w:rPr>
          <w:rFonts w:hint="eastAsia"/>
          <w:sz w:val="24"/>
          <w:lang w:val="en-US" w:eastAsia="zh-CN"/>
        </w:rPr>
        <w:t>、用过参与方式为其领地划界以及建立社区主导的监测系统。</w:t>
      </w:r>
    </w:p>
    <w:p w14:paraId="13EF29AD" w14:textId="0FF77944" w:rsidR="00185D4D" w:rsidRPr="00FA2E2A" w:rsidRDefault="00572DF7" w:rsidP="00FA2E2A">
      <w:pPr>
        <w:pStyle w:val="CBDNormalNoNumber"/>
        <w:tabs>
          <w:tab w:val="clear" w:pos="567"/>
          <w:tab w:val="clear" w:pos="1134"/>
          <w:tab w:val="clear" w:pos="1701"/>
          <w:tab w:val="clear" w:pos="2268"/>
          <w:tab w:val="clear" w:pos="2835"/>
          <w:tab w:val="clear" w:pos="3402"/>
        </w:tabs>
        <w:spacing w:before="120"/>
        <w:ind w:left="490"/>
        <w:rPr>
          <w:sz w:val="24"/>
          <w:lang w:val="en-US" w:eastAsia="zh-CN"/>
        </w:rPr>
      </w:pPr>
      <w:r w:rsidRPr="00250A23">
        <w:rPr>
          <w:sz w:val="24"/>
          <w:lang w:eastAsia="zh-CN"/>
        </w:rPr>
        <w:t>32.</w:t>
      </w:r>
      <w:r w:rsidRPr="00250A23">
        <w:rPr>
          <w:sz w:val="24"/>
          <w:lang w:eastAsia="zh-CN"/>
        </w:rPr>
        <w:tab/>
      </w:r>
      <w:r w:rsidR="00FA2E2A" w:rsidRPr="00FA2E2A">
        <w:rPr>
          <w:rFonts w:hint="eastAsia"/>
          <w:sz w:val="24"/>
          <w:lang w:val="en-US" w:eastAsia="zh-CN"/>
        </w:rPr>
        <w:t>应尊重土著人民和地方社区在管理和治理其土地、领地和水域</w:t>
      </w:r>
      <w:r w:rsidR="00576585">
        <w:rPr>
          <w:rFonts w:hint="eastAsia"/>
          <w:sz w:val="24"/>
          <w:lang w:val="en-US" w:eastAsia="zh-CN"/>
        </w:rPr>
        <w:t>（</w:t>
      </w:r>
      <w:r w:rsidR="00FA2E2A" w:rsidRPr="00FA2E2A">
        <w:rPr>
          <w:rFonts w:hint="eastAsia"/>
          <w:sz w:val="24"/>
          <w:lang w:eastAsia="zh-CN"/>
        </w:rPr>
        <w:t>包括海洋和沿海区域</w:t>
      </w:r>
      <w:r w:rsidR="00576585">
        <w:rPr>
          <w:rFonts w:hint="eastAsia"/>
          <w:sz w:val="24"/>
          <w:lang w:eastAsia="zh-CN"/>
        </w:rPr>
        <w:t>）</w:t>
      </w:r>
      <w:r w:rsidR="00FA2E2A" w:rsidRPr="00FA2E2A">
        <w:rPr>
          <w:rFonts w:hint="eastAsia"/>
          <w:sz w:val="24"/>
          <w:lang w:eastAsia="zh-CN"/>
        </w:rPr>
        <w:t>方面的自主权</w:t>
      </w:r>
      <w:r w:rsidR="00FA2E2A" w:rsidRPr="00FA2E2A">
        <w:rPr>
          <w:rFonts w:hint="eastAsia"/>
          <w:sz w:val="24"/>
          <w:lang w:val="en-US" w:eastAsia="zh-CN"/>
        </w:rPr>
        <w:t>，承认其司法和治理制度，并提供</w:t>
      </w:r>
      <w:r w:rsidR="00576585">
        <w:rPr>
          <w:rFonts w:hint="eastAsia"/>
          <w:sz w:val="24"/>
          <w:lang w:val="en-US" w:eastAsia="zh-CN"/>
        </w:rPr>
        <w:t>财务</w:t>
      </w:r>
      <w:r w:rsidR="00FA2E2A" w:rsidRPr="00FA2E2A">
        <w:rPr>
          <w:rFonts w:hint="eastAsia"/>
          <w:sz w:val="24"/>
          <w:lang w:val="en-US" w:eastAsia="zh-CN"/>
        </w:rPr>
        <w:t>和技术支持。</w:t>
      </w:r>
    </w:p>
    <w:p w14:paraId="591E93EF" w14:textId="16C7B579" w:rsidR="00185D4D" w:rsidRPr="00250A23" w:rsidRDefault="00572DF7"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33.</w:t>
      </w:r>
      <w:r w:rsidRPr="00250A23">
        <w:rPr>
          <w:sz w:val="24"/>
          <w:lang w:eastAsia="zh-CN"/>
        </w:rPr>
        <w:tab/>
      </w:r>
      <w:r w:rsidR="00FA2E2A" w:rsidRPr="00FA2E2A">
        <w:rPr>
          <w:rFonts w:hint="eastAsia"/>
          <w:sz w:val="24"/>
          <w:lang w:val="en-US" w:eastAsia="zh-CN"/>
        </w:rPr>
        <w:t>应认识到，加强土著人民和地方社区的习惯治理制度有助于更有效的空间规划和可持续管理。</w:t>
      </w:r>
    </w:p>
    <w:p w14:paraId="051E199C" w14:textId="7CF9883E" w:rsidR="00185D4D" w:rsidRPr="00261EE4" w:rsidRDefault="00DE5C4A" w:rsidP="008E40FA">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sidRPr="00261EE4">
        <w:rPr>
          <w:lang w:eastAsia="zh-CN"/>
        </w:rPr>
        <w:t>B.</w:t>
      </w:r>
      <w:r w:rsidRPr="00261EE4">
        <w:rPr>
          <w:lang w:eastAsia="zh-CN"/>
        </w:rPr>
        <w:tab/>
      </w:r>
      <w:r w:rsidR="00FA2E2A" w:rsidRPr="00FA2E2A">
        <w:rPr>
          <w:rFonts w:hint="eastAsia"/>
          <w:lang w:val="en-US" w:eastAsia="zh-CN"/>
        </w:rPr>
        <w:t>自由、事先和知情同意</w:t>
      </w:r>
      <w:r w:rsidR="00185D4D" w:rsidRPr="00261EE4">
        <w:rPr>
          <w:rStyle w:val="FootnoteReference"/>
          <w:rFonts w:eastAsia="DengXian Light"/>
          <w:bCs/>
          <w:szCs w:val="24"/>
        </w:rPr>
        <w:footnoteReference w:id="19"/>
      </w:r>
    </w:p>
    <w:p w14:paraId="6EC92AB8" w14:textId="4545EAEA" w:rsidR="00185D4D" w:rsidRPr="00250A23" w:rsidRDefault="00DE5C4A"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34.</w:t>
      </w:r>
      <w:r w:rsidRPr="00250A23">
        <w:rPr>
          <w:sz w:val="24"/>
          <w:lang w:eastAsia="zh-CN"/>
        </w:rPr>
        <w:tab/>
      </w:r>
      <w:r w:rsidR="00787D26" w:rsidRPr="00787D26">
        <w:rPr>
          <w:rFonts w:hint="eastAsia"/>
          <w:sz w:val="24"/>
          <w:lang w:val="en-US" w:eastAsia="zh-CN"/>
        </w:rPr>
        <w:t>应制定和实施机制、法律、行政和政策措施或规程，确保土著人民和地方社区能够在建立或扩大任何影响其土地、领地和水域（包括海洋和沿海区域）或其文化遗产的保护区或任何其他有效区域保护措施之前酌情给予自由、事先和知情同意或拒绝予以同意。应通过在环境影响评估的所有阶段进行有诚意的协商，获得自由、事先和知情同意。</w:t>
      </w:r>
    </w:p>
    <w:p w14:paraId="3678C5C3" w14:textId="3EBDD74C" w:rsidR="00185D4D" w:rsidRPr="00250A23" w:rsidRDefault="00DE5C4A"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lastRenderedPageBreak/>
        <w:t>35.</w:t>
      </w:r>
      <w:r w:rsidRPr="00250A23">
        <w:rPr>
          <w:sz w:val="24"/>
          <w:lang w:eastAsia="zh-CN"/>
        </w:rPr>
        <w:tab/>
      </w:r>
      <w:r w:rsidR="00657857" w:rsidRPr="00657857">
        <w:rPr>
          <w:rFonts w:hint="eastAsia"/>
          <w:sz w:val="24"/>
          <w:lang w:val="en-US" w:eastAsia="zh-CN"/>
        </w:rPr>
        <w:t>应把自由、事先和知情同意理解为一个持续的过程，使社区能够决定分享哪些信息，不分享哪些信息，特别是关于圣地的信息和文化敏感信息。</w:t>
      </w:r>
    </w:p>
    <w:p w14:paraId="5247997D" w14:textId="3EFD755E" w:rsidR="00185D4D" w:rsidRPr="00F40B9C" w:rsidRDefault="00DE5C4A" w:rsidP="00BA38C1">
      <w:pPr>
        <w:pStyle w:val="CBDNormalNoNumber"/>
        <w:tabs>
          <w:tab w:val="clear" w:pos="567"/>
          <w:tab w:val="clear" w:pos="1134"/>
          <w:tab w:val="clear" w:pos="1701"/>
          <w:tab w:val="clear" w:pos="2268"/>
          <w:tab w:val="clear" w:pos="2835"/>
          <w:tab w:val="clear" w:pos="3402"/>
        </w:tabs>
        <w:spacing w:before="120"/>
        <w:ind w:left="490"/>
        <w:rPr>
          <w:kern w:val="2"/>
          <w:sz w:val="24"/>
          <w:lang w:eastAsia="zh-CN"/>
        </w:rPr>
      </w:pPr>
      <w:r w:rsidRPr="00F40B9C">
        <w:rPr>
          <w:kern w:val="2"/>
          <w:sz w:val="24"/>
          <w:lang w:eastAsia="zh-CN"/>
        </w:rPr>
        <w:t>36.</w:t>
      </w:r>
      <w:r w:rsidRPr="00F40B9C">
        <w:rPr>
          <w:kern w:val="2"/>
          <w:sz w:val="24"/>
          <w:lang w:eastAsia="zh-CN"/>
        </w:rPr>
        <w:tab/>
      </w:r>
      <w:r w:rsidR="00153C60" w:rsidRPr="00153C60">
        <w:rPr>
          <w:rFonts w:hint="eastAsia"/>
          <w:kern w:val="2"/>
          <w:sz w:val="24"/>
          <w:lang w:val="en-US" w:eastAsia="zh-CN"/>
        </w:rPr>
        <w:t>只有在获得土著人民和地方社区自由、事先和知情同意的情况下</w:t>
      </w:r>
      <w:r w:rsidR="00576585">
        <w:rPr>
          <w:rFonts w:hint="eastAsia"/>
          <w:kern w:val="2"/>
          <w:sz w:val="24"/>
          <w:lang w:val="en-US" w:eastAsia="zh-CN"/>
        </w:rPr>
        <w:t>，才能</w:t>
      </w:r>
      <w:r w:rsidR="00153C60" w:rsidRPr="00153C60">
        <w:rPr>
          <w:rFonts w:hint="eastAsia"/>
          <w:kern w:val="2"/>
          <w:sz w:val="24"/>
          <w:lang w:val="en-US" w:eastAsia="zh-CN"/>
        </w:rPr>
        <w:t>按照习惯法、国家法律和国际义务来获取和利用传统知识。</w:t>
      </w:r>
    </w:p>
    <w:p w14:paraId="1FD82D79" w14:textId="4C06E12B" w:rsidR="00185D4D" w:rsidRPr="00261EE4" w:rsidRDefault="00C94053" w:rsidP="008E40FA">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sidRPr="00261EE4">
        <w:rPr>
          <w:lang w:eastAsia="zh-CN"/>
        </w:rPr>
        <w:t>C.</w:t>
      </w:r>
      <w:r w:rsidRPr="00261EE4">
        <w:rPr>
          <w:lang w:eastAsia="zh-CN"/>
        </w:rPr>
        <w:tab/>
      </w:r>
      <w:r w:rsidR="00153C60" w:rsidRPr="00153C60">
        <w:rPr>
          <w:rFonts w:hint="eastAsia"/>
          <w:lang w:val="en-US" w:eastAsia="zh-CN"/>
        </w:rPr>
        <w:t>行政安排</w:t>
      </w:r>
      <w:r w:rsidR="00185D4D" w:rsidRPr="00261EE4">
        <w:rPr>
          <w:lang w:eastAsia="zh-CN"/>
        </w:rPr>
        <w:t xml:space="preserve"> </w:t>
      </w:r>
    </w:p>
    <w:p w14:paraId="4355455C" w14:textId="693CB7D3" w:rsidR="00957A7F" w:rsidRPr="00250A23" w:rsidRDefault="00320A98"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37.</w:t>
      </w:r>
      <w:r w:rsidRPr="00250A23">
        <w:rPr>
          <w:sz w:val="24"/>
          <w:lang w:eastAsia="zh-CN"/>
        </w:rPr>
        <w:tab/>
      </w:r>
      <w:r w:rsidR="009F66AE" w:rsidRPr="009F66AE">
        <w:rPr>
          <w:rFonts w:hint="eastAsia"/>
          <w:sz w:val="24"/>
          <w:lang w:val="en-US" w:eastAsia="zh-CN"/>
        </w:rPr>
        <w:t>应酌情根据土著和传统治理制度建立、加强和维护土著和传统机制，包括自治治理框架或咨询委员会。</w:t>
      </w:r>
    </w:p>
    <w:p w14:paraId="3952C26C" w14:textId="61D295AF" w:rsidR="00185D4D" w:rsidRPr="00250A23" w:rsidRDefault="00320A98"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38.</w:t>
      </w:r>
      <w:r w:rsidRPr="00250A23">
        <w:rPr>
          <w:sz w:val="24"/>
          <w:lang w:eastAsia="zh-CN"/>
        </w:rPr>
        <w:tab/>
      </w:r>
      <w:r w:rsidR="00D256FE" w:rsidRPr="00D256FE">
        <w:rPr>
          <w:rFonts w:hint="eastAsia"/>
          <w:sz w:val="24"/>
          <w:lang w:val="en-US" w:eastAsia="zh-CN"/>
        </w:rPr>
        <w:t>应酌情根据国家法律建立或加强共同管理机构，用以指导保护和恢复工作的规划、实施和监测以及空间规划和环境影响评估。共同管理机构应确保政府、土著人民和地方社区的公平代表性。</w:t>
      </w:r>
      <w:r w:rsidR="00185D4D" w:rsidRPr="00250A23">
        <w:rPr>
          <w:sz w:val="24"/>
          <w:lang w:eastAsia="zh-CN"/>
        </w:rPr>
        <w:t xml:space="preserve"> </w:t>
      </w:r>
    </w:p>
    <w:p w14:paraId="36F98792" w14:textId="42FC31B6" w:rsidR="00185D4D" w:rsidRPr="00250A23" w:rsidRDefault="00320A98"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39.</w:t>
      </w:r>
      <w:r w:rsidRPr="00250A23">
        <w:rPr>
          <w:sz w:val="24"/>
          <w:lang w:eastAsia="zh-CN"/>
        </w:rPr>
        <w:tab/>
      </w:r>
      <w:r w:rsidR="00D256FE" w:rsidRPr="00D256FE">
        <w:rPr>
          <w:rFonts w:hint="eastAsia"/>
          <w:sz w:val="24"/>
          <w:lang w:val="en-US" w:eastAsia="zh-CN"/>
        </w:rPr>
        <w:t>应在保护和恢复工作、空间规划和环境影响评估中承认由土著人民和地方社区根据其习惯法、治理制度和体制框架治理和管理的区域。</w:t>
      </w:r>
      <w:r w:rsidR="00185D4D" w:rsidRPr="00250A23">
        <w:rPr>
          <w:sz w:val="24"/>
          <w:lang w:eastAsia="zh-CN"/>
        </w:rPr>
        <w:t xml:space="preserve"> </w:t>
      </w:r>
    </w:p>
    <w:p w14:paraId="1DD2B9D1" w14:textId="285B8136" w:rsidR="00185D4D" w:rsidRPr="00250A23" w:rsidRDefault="00320A98"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40.</w:t>
      </w:r>
      <w:r w:rsidRPr="00250A23">
        <w:rPr>
          <w:sz w:val="24"/>
          <w:lang w:eastAsia="zh-CN"/>
        </w:rPr>
        <w:tab/>
      </w:r>
      <w:r w:rsidR="00C27655" w:rsidRPr="00C27655">
        <w:rPr>
          <w:rFonts w:hint="eastAsia"/>
          <w:sz w:val="24"/>
          <w:lang w:val="en-US" w:eastAsia="zh-CN"/>
        </w:rPr>
        <w:t>在保护区的设计、管理和监测中应承认和尊重土著人民和地方社区的习惯法、程序和治理制度。这种承认也应体现在其他有效的区域保护措施、空间规划和环境影响评估当中。</w:t>
      </w:r>
    </w:p>
    <w:p w14:paraId="382F4F3B" w14:textId="0944B974" w:rsidR="00185D4D" w:rsidRPr="00250A23" w:rsidRDefault="00320A98"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41.</w:t>
      </w:r>
      <w:r w:rsidRPr="00250A23">
        <w:rPr>
          <w:sz w:val="24"/>
          <w:lang w:eastAsia="zh-CN"/>
        </w:rPr>
        <w:tab/>
      </w:r>
      <w:r w:rsidR="00692A91" w:rsidRPr="00692A91">
        <w:rPr>
          <w:rFonts w:hint="eastAsia"/>
          <w:sz w:val="24"/>
          <w:lang w:val="en-US" w:eastAsia="zh-CN"/>
        </w:rPr>
        <w:t>应酌情建立和加强政府与土著人民和地方社区之间与社区测绘举措以及土著和地方社区监测系统相关的合作机制。</w:t>
      </w:r>
    </w:p>
    <w:p w14:paraId="09FF6F24" w14:textId="066EB4AB" w:rsidR="00BC42CC" w:rsidRPr="00250A23" w:rsidRDefault="00320A98"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42.</w:t>
      </w:r>
      <w:r w:rsidRPr="00250A23">
        <w:rPr>
          <w:sz w:val="24"/>
          <w:lang w:eastAsia="zh-CN"/>
        </w:rPr>
        <w:tab/>
      </w:r>
      <w:r w:rsidR="00692A91" w:rsidRPr="00692A91">
        <w:rPr>
          <w:rFonts w:hint="eastAsia"/>
          <w:sz w:val="24"/>
          <w:lang w:val="en-US" w:eastAsia="zh-CN"/>
        </w:rPr>
        <w:t>应制定和实施机制、法律、行政和政策措施，包括保障措施、申诉机制和监测系统，用以防止在保护和恢复工作、空间规划和环境影响评估中发生边缘化、流离失所或文化伤害情况。</w:t>
      </w:r>
    </w:p>
    <w:p w14:paraId="2757705A" w14:textId="0E6985A5" w:rsidR="00185D4D" w:rsidRPr="00261EE4" w:rsidRDefault="00AB0443" w:rsidP="00692A91">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sidRPr="00261EE4">
        <w:rPr>
          <w:lang w:eastAsia="zh-CN"/>
        </w:rPr>
        <w:t>D.</w:t>
      </w:r>
      <w:r w:rsidRPr="00261EE4">
        <w:rPr>
          <w:lang w:eastAsia="zh-CN"/>
        </w:rPr>
        <w:tab/>
      </w:r>
      <w:r w:rsidR="00692A91" w:rsidRPr="005B3FDE">
        <w:rPr>
          <w:rFonts w:hint="eastAsia"/>
          <w:lang w:eastAsia="zh-CN"/>
        </w:rPr>
        <w:t>冲突解决机制</w:t>
      </w:r>
    </w:p>
    <w:p w14:paraId="607DEFFB" w14:textId="5CC4C432" w:rsidR="00185D4D" w:rsidRPr="00250A23" w:rsidRDefault="00A550CA" w:rsidP="005B3FDE">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43.</w:t>
      </w:r>
      <w:r w:rsidRPr="00250A23">
        <w:rPr>
          <w:sz w:val="24"/>
          <w:lang w:eastAsia="zh-CN"/>
        </w:rPr>
        <w:tab/>
      </w:r>
      <w:r w:rsidR="005B3FDE" w:rsidRPr="005B3FDE">
        <w:rPr>
          <w:rFonts w:hint="eastAsia"/>
          <w:sz w:val="24"/>
          <w:lang w:val="en-US" w:eastAsia="zh-CN"/>
        </w:rPr>
        <w:t>应酌情确立或加强防止冲突、解决冲突和根据申诉采取纠正行动的机制以及立法、行政和政策措施或规程。这些制度应承认习惯争议解决做法，并保障土著人民和地方社区在保护和恢复工作、空间规划和环境影响评估方面的权利。</w:t>
      </w:r>
    </w:p>
    <w:p w14:paraId="5A6C4E5E" w14:textId="2285C276" w:rsidR="00185D4D" w:rsidRPr="00DD66D9" w:rsidRDefault="005B3FDE" w:rsidP="005B3FDE">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九</w:t>
      </w:r>
      <w:r w:rsidR="008D53B2">
        <w:rPr>
          <w:lang w:eastAsia="zh-CN"/>
        </w:rPr>
        <w:t>.</w:t>
      </w:r>
      <w:r w:rsidR="008D53B2">
        <w:rPr>
          <w:lang w:eastAsia="zh-CN"/>
        </w:rPr>
        <w:tab/>
      </w:r>
      <w:r w:rsidRPr="005B3FDE">
        <w:rPr>
          <w:rFonts w:hint="eastAsia"/>
          <w:lang w:val="en-US" w:eastAsia="zh-CN"/>
        </w:rPr>
        <w:t>充分</w:t>
      </w:r>
      <w:r>
        <w:rPr>
          <w:rFonts w:hint="eastAsia"/>
          <w:lang w:val="en-US" w:eastAsia="zh-CN"/>
        </w:rPr>
        <w:t>和</w:t>
      </w:r>
      <w:r w:rsidRPr="005B3FDE">
        <w:rPr>
          <w:rFonts w:hint="eastAsia"/>
          <w:lang w:val="en-US" w:eastAsia="zh-CN"/>
        </w:rPr>
        <w:t>有效</w:t>
      </w:r>
      <w:r>
        <w:rPr>
          <w:rFonts w:hint="eastAsia"/>
          <w:lang w:val="en-US" w:eastAsia="zh-CN"/>
        </w:rPr>
        <w:t>的</w:t>
      </w:r>
      <w:r w:rsidRPr="005B3FDE">
        <w:rPr>
          <w:rFonts w:hint="eastAsia"/>
          <w:lang w:val="en-US" w:eastAsia="zh-CN"/>
        </w:rPr>
        <w:t>参与</w:t>
      </w:r>
    </w:p>
    <w:p w14:paraId="0807525B" w14:textId="192B1ACA" w:rsidR="00185D4D" w:rsidRPr="00250A23" w:rsidRDefault="008D53B2"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44.</w:t>
      </w:r>
      <w:r w:rsidRPr="00250A23">
        <w:rPr>
          <w:sz w:val="24"/>
          <w:lang w:eastAsia="zh-CN"/>
        </w:rPr>
        <w:tab/>
      </w:r>
      <w:r w:rsidR="00195D74" w:rsidRPr="00195D74">
        <w:rPr>
          <w:rFonts w:hint="eastAsia"/>
          <w:sz w:val="24"/>
          <w:lang w:val="en-US" w:eastAsia="zh-CN"/>
        </w:rPr>
        <w:t>应赋予土著人民和地方社区以充分、公平、包容、有效和促进性别平等的方式参与所有可能影响其权利、土地、领地、水域和资源的决策进程的权利。</w:t>
      </w:r>
      <w:r w:rsidR="00185D4D" w:rsidRPr="00250A23">
        <w:rPr>
          <w:sz w:val="24"/>
          <w:lang w:eastAsia="zh-CN"/>
        </w:rPr>
        <w:t xml:space="preserve"> </w:t>
      </w:r>
    </w:p>
    <w:p w14:paraId="1BEF173F" w14:textId="1D2F43F1" w:rsidR="00185D4D" w:rsidRPr="00250A23" w:rsidRDefault="008D53B2"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45.</w:t>
      </w:r>
      <w:r w:rsidRPr="00250A23">
        <w:rPr>
          <w:sz w:val="24"/>
          <w:lang w:eastAsia="zh-CN"/>
        </w:rPr>
        <w:tab/>
      </w:r>
      <w:r w:rsidR="00195D74" w:rsidRPr="00195D74">
        <w:rPr>
          <w:rFonts w:hint="eastAsia"/>
          <w:sz w:val="24"/>
          <w:lang w:val="en-US" w:eastAsia="zh-CN"/>
        </w:rPr>
        <w:t>应确保土著人民和地方社区在保护和恢复措施、空间规划和环境影响评估的</w:t>
      </w:r>
      <w:r w:rsidR="00190947" w:rsidRPr="00195D74">
        <w:rPr>
          <w:rFonts w:hint="eastAsia"/>
          <w:sz w:val="24"/>
          <w:lang w:val="en-US" w:eastAsia="zh-CN"/>
        </w:rPr>
        <w:t>制定、规划、实施和监测</w:t>
      </w:r>
      <w:r w:rsidR="00190947">
        <w:rPr>
          <w:rFonts w:hint="eastAsia"/>
          <w:sz w:val="24"/>
          <w:lang w:val="en-US" w:eastAsia="zh-CN"/>
        </w:rPr>
        <w:t>工作的</w:t>
      </w:r>
      <w:r w:rsidR="00195D74" w:rsidRPr="00195D74">
        <w:rPr>
          <w:rFonts w:hint="eastAsia"/>
          <w:sz w:val="24"/>
          <w:lang w:val="en-US" w:eastAsia="zh-CN"/>
        </w:rPr>
        <w:t>所有阶段进行参与。</w:t>
      </w:r>
    </w:p>
    <w:p w14:paraId="3E5B897A" w14:textId="1D933ABB" w:rsidR="00185D4D" w:rsidRPr="00261EE4" w:rsidRDefault="00195D74" w:rsidP="00195D74">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十</w:t>
      </w:r>
      <w:r w:rsidR="006305BE" w:rsidRPr="00261EE4">
        <w:rPr>
          <w:lang w:eastAsia="zh-CN"/>
        </w:rPr>
        <w:t>.</w:t>
      </w:r>
      <w:r w:rsidR="006305BE" w:rsidRPr="00261EE4">
        <w:rPr>
          <w:lang w:eastAsia="zh-CN"/>
        </w:rPr>
        <w:tab/>
      </w:r>
      <w:r>
        <w:rPr>
          <w:rFonts w:hint="eastAsia"/>
          <w:lang w:eastAsia="zh-CN"/>
        </w:rPr>
        <w:t>扶持性条件</w:t>
      </w:r>
    </w:p>
    <w:p w14:paraId="58B5F2FF" w14:textId="09A3ED7D" w:rsidR="00185D4D" w:rsidRPr="00261EE4" w:rsidRDefault="006305BE" w:rsidP="00195D74">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sidRPr="00261EE4">
        <w:rPr>
          <w:lang w:eastAsia="zh-CN"/>
        </w:rPr>
        <w:t>A.</w:t>
      </w:r>
      <w:r w:rsidRPr="00261EE4">
        <w:rPr>
          <w:lang w:eastAsia="zh-CN"/>
        </w:rPr>
        <w:tab/>
      </w:r>
      <w:r w:rsidR="00195D74">
        <w:rPr>
          <w:rFonts w:hint="eastAsia"/>
          <w:lang w:eastAsia="zh-CN"/>
        </w:rPr>
        <w:t>能力建设</w:t>
      </w:r>
    </w:p>
    <w:p w14:paraId="57380D22" w14:textId="3D64FAC2" w:rsidR="00185D4D" w:rsidRPr="00DF36A4" w:rsidRDefault="006305BE"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46.</w:t>
      </w:r>
      <w:r w:rsidRPr="00250A23">
        <w:rPr>
          <w:sz w:val="24"/>
          <w:lang w:eastAsia="zh-CN"/>
        </w:rPr>
        <w:tab/>
      </w:r>
      <w:r w:rsidR="00DF36A4" w:rsidRPr="00DF36A4">
        <w:rPr>
          <w:rFonts w:hint="eastAsia"/>
          <w:sz w:val="24"/>
          <w:lang w:val="en-US" w:eastAsia="zh-CN"/>
        </w:rPr>
        <w:t>应加强土著人民和地方社区、相关政府机构和私营部门执行本套准则的能力。能力建设工作应具有文化敏感性，包括对公共主管部门、利益攸关方和私营部门进行培训，使其以尊重的态度有效地适用相关法律和政策。</w:t>
      </w:r>
    </w:p>
    <w:p w14:paraId="1C5CABCB" w14:textId="394E2495" w:rsidR="00BC42CC" w:rsidRPr="00250A23" w:rsidRDefault="006305BE"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DF36A4">
        <w:rPr>
          <w:sz w:val="24"/>
          <w:lang w:eastAsia="zh-CN"/>
        </w:rPr>
        <w:lastRenderedPageBreak/>
        <w:t>47.</w:t>
      </w:r>
      <w:r w:rsidRPr="00DF36A4">
        <w:rPr>
          <w:sz w:val="24"/>
          <w:lang w:eastAsia="zh-CN"/>
        </w:rPr>
        <w:tab/>
      </w:r>
      <w:r w:rsidR="00DF36A4" w:rsidRPr="00DF36A4">
        <w:rPr>
          <w:rFonts w:hint="eastAsia"/>
          <w:sz w:val="24"/>
          <w:lang w:val="en-US" w:eastAsia="zh-CN"/>
        </w:rPr>
        <w:t>应通过开发适当的材料和工具来创造和促进培训、技术合作和法律支助机会，包括使用土著语言，使土著人民和地方社区能够彼此分享在生物多样性保护和恢复、空间规划和环境影响评估方面的经验。</w:t>
      </w:r>
    </w:p>
    <w:p w14:paraId="2A374771" w14:textId="3399589D" w:rsidR="00185D4D" w:rsidRPr="00DD66D9" w:rsidRDefault="004E311A" w:rsidP="00DF36A4">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Pr>
          <w:lang w:eastAsia="zh-CN"/>
        </w:rPr>
        <w:t>B.</w:t>
      </w:r>
      <w:r>
        <w:rPr>
          <w:lang w:eastAsia="zh-CN"/>
        </w:rPr>
        <w:tab/>
      </w:r>
      <w:r w:rsidR="00DF36A4" w:rsidRPr="00DF36A4">
        <w:rPr>
          <w:rFonts w:hint="eastAsia"/>
          <w:lang w:val="en-US" w:eastAsia="zh-CN"/>
        </w:rPr>
        <w:t>提高认识</w:t>
      </w:r>
      <w:r w:rsidR="00185D4D" w:rsidRPr="00DD66D9">
        <w:rPr>
          <w:lang w:eastAsia="zh-CN"/>
        </w:rPr>
        <w:t xml:space="preserve"> </w:t>
      </w:r>
    </w:p>
    <w:p w14:paraId="25BC7279" w14:textId="34C2EB94" w:rsidR="00185D4D" w:rsidRPr="00250A23" w:rsidRDefault="004E311A"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48.</w:t>
      </w:r>
      <w:r w:rsidRPr="00250A23">
        <w:rPr>
          <w:sz w:val="24"/>
          <w:lang w:eastAsia="zh-CN"/>
        </w:rPr>
        <w:tab/>
      </w:r>
      <w:r w:rsidR="00DF36A4" w:rsidRPr="00DF36A4">
        <w:rPr>
          <w:rFonts w:hint="eastAsia"/>
          <w:sz w:val="24"/>
          <w:lang w:val="en-US" w:eastAsia="zh-CN"/>
        </w:rPr>
        <w:t>应提高政府机构、民间社会、私营部门和公众对土著人民和地方社区在生物多样性保护和恢复方面的作用、贡献、权利和知识体系的认识。</w:t>
      </w:r>
    </w:p>
    <w:p w14:paraId="49805D2E" w14:textId="0C05F22E" w:rsidR="00185D4D" w:rsidRPr="00DD66D9" w:rsidRDefault="004E311A" w:rsidP="00DF36A4">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Pr>
          <w:lang w:eastAsia="zh-CN"/>
        </w:rPr>
        <w:t>C.</w:t>
      </w:r>
      <w:r>
        <w:rPr>
          <w:lang w:eastAsia="zh-CN"/>
        </w:rPr>
        <w:tab/>
      </w:r>
      <w:r w:rsidR="00DF36A4" w:rsidRPr="00DF36A4">
        <w:rPr>
          <w:rFonts w:hint="eastAsia"/>
          <w:lang w:val="en-US" w:eastAsia="zh-CN"/>
        </w:rPr>
        <w:t>可持续、包容和可及的</w:t>
      </w:r>
      <w:r w:rsidR="00DF36A4">
        <w:rPr>
          <w:rFonts w:hint="eastAsia"/>
          <w:lang w:val="en-US" w:eastAsia="zh-CN"/>
        </w:rPr>
        <w:t>财务</w:t>
      </w:r>
      <w:r w:rsidR="00DF36A4" w:rsidRPr="00DF36A4">
        <w:rPr>
          <w:rFonts w:hint="eastAsia"/>
          <w:lang w:val="en-US" w:eastAsia="zh-CN"/>
        </w:rPr>
        <w:t>机制</w:t>
      </w:r>
    </w:p>
    <w:p w14:paraId="5C8383A7" w14:textId="011F3CAB" w:rsidR="00185D4D" w:rsidRPr="00250A23" w:rsidRDefault="009A1457"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49.</w:t>
      </w:r>
      <w:r w:rsidRPr="00250A23">
        <w:rPr>
          <w:sz w:val="24"/>
          <w:lang w:eastAsia="zh-CN"/>
        </w:rPr>
        <w:tab/>
      </w:r>
      <w:r w:rsidR="00F01D25" w:rsidRPr="00F01D25">
        <w:rPr>
          <w:rFonts w:hint="eastAsia"/>
          <w:sz w:val="24"/>
          <w:lang w:val="en-US" w:eastAsia="zh-CN"/>
        </w:rPr>
        <w:t>应建立可持续和可及的财务机制，为土著人民和地方社区主导或参与的保护、恢复工作、空间规划和环境影响评估的设计、实施和监测</w:t>
      </w:r>
      <w:r w:rsidR="00190947">
        <w:rPr>
          <w:rFonts w:hint="eastAsia"/>
          <w:sz w:val="24"/>
          <w:lang w:val="en-US" w:eastAsia="zh-CN"/>
        </w:rPr>
        <w:t>工作</w:t>
      </w:r>
      <w:r w:rsidR="00F01D25" w:rsidRPr="00F01D25">
        <w:rPr>
          <w:rFonts w:hint="eastAsia"/>
          <w:sz w:val="24"/>
          <w:lang w:val="en-US" w:eastAsia="zh-CN"/>
        </w:rPr>
        <w:t>提供财务支持。</w:t>
      </w:r>
      <w:r w:rsidR="00185D4D" w:rsidRPr="00250A23">
        <w:rPr>
          <w:sz w:val="24"/>
          <w:lang w:eastAsia="zh-CN"/>
        </w:rPr>
        <w:t xml:space="preserve"> </w:t>
      </w:r>
    </w:p>
    <w:p w14:paraId="3C5E849F" w14:textId="7B678C4C" w:rsidR="00185D4D" w:rsidRPr="00250A23" w:rsidRDefault="009A1457"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50.</w:t>
      </w:r>
      <w:r w:rsidRPr="00250A23">
        <w:rPr>
          <w:sz w:val="24"/>
          <w:lang w:eastAsia="zh-CN"/>
        </w:rPr>
        <w:tab/>
      </w:r>
      <w:r w:rsidR="00F01D25" w:rsidRPr="00F01D25">
        <w:rPr>
          <w:rFonts w:hint="eastAsia"/>
          <w:sz w:val="24"/>
          <w:lang w:val="en-US" w:eastAsia="zh-CN"/>
        </w:rPr>
        <w:t>应制定或设立直接资助方案，用于支持由土著人民和地方社区在其领地内主导的恢复和保护工作、空间规划项目和环境影响评估。这些方案还应支持他们的充分有效参与。</w:t>
      </w:r>
    </w:p>
    <w:p w14:paraId="11129145" w14:textId="3D718AB9" w:rsidR="00185D4D" w:rsidRPr="006037C1" w:rsidRDefault="009A1457" w:rsidP="00DF36A4">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sidRPr="006037C1">
        <w:rPr>
          <w:lang w:eastAsia="zh-CN"/>
        </w:rPr>
        <w:t>D.</w:t>
      </w:r>
      <w:r w:rsidRPr="006037C1">
        <w:rPr>
          <w:lang w:eastAsia="zh-CN"/>
        </w:rPr>
        <w:tab/>
      </w:r>
      <w:r w:rsidR="00F01D25" w:rsidRPr="00F01D25">
        <w:rPr>
          <w:rFonts w:hint="eastAsia"/>
          <w:lang w:val="en-US" w:eastAsia="zh-CN"/>
        </w:rPr>
        <w:t>监测和</w:t>
      </w:r>
      <w:r w:rsidR="00F01D25">
        <w:rPr>
          <w:rFonts w:hint="eastAsia"/>
          <w:lang w:val="en-US" w:eastAsia="zh-CN"/>
        </w:rPr>
        <w:t>报告</w:t>
      </w:r>
      <w:r w:rsidR="00185D4D" w:rsidRPr="006037C1">
        <w:rPr>
          <w:lang w:eastAsia="zh-CN"/>
        </w:rPr>
        <w:t xml:space="preserve"> </w:t>
      </w:r>
    </w:p>
    <w:p w14:paraId="105BBED0" w14:textId="70F92944" w:rsidR="00185D4D" w:rsidRPr="00250A23" w:rsidRDefault="009A1457"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51.</w:t>
      </w:r>
      <w:r w:rsidRPr="00250A23">
        <w:rPr>
          <w:sz w:val="24"/>
          <w:lang w:eastAsia="zh-CN"/>
        </w:rPr>
        <w:tab/>
      </w:r>
      <w:r w:rsidR="00834CF4" w:rsidRPr="00834CF4">
        <w:rPr>
          <w:rFonts w:hint="eastAsia"/>
          <w:sz w:val="24"/>
          <w:lang w:val="en-US" w:eastAsia="zh-CN"/>
        </w:rPr>
        <w:t>应支持建设监测和报告机制，包括支持使用生物文化社区规程。</w:t>
      </w:r>
    </w:p>
    <w:p w14:paraId="2AB3F4A0" w14:textId="2415E698" w:rsidR="00185D4D" w:rsidRPr="00250A23" w:rsidRDefault="009A1457"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52.</w:t>
      </w:r>
      <w:r w:rsidRPr="00250A23">
        <w:rPr>
          <w:sz w:val="24"/>
          <w:lang w:eastAsia="zh-CN"/>
        </w:rPr>
        <w:tab/>
      </w:r>
      <w:r w:rsidR="00AF5CE1" w:rsidRPr="00AF5CE1">
        <w:rPr>
          <w:rFonts w:hint="eastAsia"/>
          <w:sz w:val="24"/>
          <w:lang w:val="en-US" w:eastAsia="zh-CN"/>
        </w:rPr>
        <w:t>应把包括生物文化指标在内的指标和基于社区的监测系统投入实施，包括把《昆明</w:t>
      </w:r>
      <w:r w:rsidR="00AF5CE1" w:rsidRPr="00AF5CE1">
        <w:rPr>
          <w:rFonts w:hint="eastAsia"/>
          <w:sz w:val="24"/>
          <w:lang w:val="en-US" w:eastAsia="zh-CN"/>
        </w:rPr>
        <w:t>-</w:t>
      </w:r>
      <w:r w:rsidR="00AF5CE1" w:rsidRPr="00AF5CE1">
        <w:rPr>
          <w:rFonts w:hint="eastAsia"/>
          <w:sz w:val="24"/>
          <w:lang w:val="en-US" w:eastAsia="zh-CN"/>
        </w:rPr>
        <w:t>蒙特利尔全球生物多样性框架》监测框架</w:t>
      </w:r>
      <w:r w:rsidR="00AF5CE1" w:rsidRPr="00AF5CE1">
        <w:rPr>
          <w:sz w:val="24"/>
          <w:vertAlign w:val="superscript"/>
        </w:rPr>
        <w:footnoteReference w:id="20"/>
      </w:r>
      <w:r w:rsidR="00AF5CE1" w:rsidRPr="00AF5CE1">
        <w:rPr>
          <w:rFonts w:hint="eastAsia"/>
          <w:sz w:val="24"/>
          <w:lang w:val="en-US" w:eastAsia="zh-CN"/>
        </w:rPr>
        <w:t>中关于</w:t>
      </w:r>
      <w:r w:rsidR="00AF5CE1" w:rsidRPr="00AF5CE1">
        <w:rPr>
          <w:rFonts w:hint="eastAsia"/>
          <w:iCs/>
          <w:sz w:val="24"/>
          <w:lang w:eastAsia="zh-CN"/>
        </w:rPr>
        <w:t>土著人民和地方社区传统领地上的土地利用变化和土地保有权</w:t>
      </w:r>
      <w:r w:rsidR="00AF5CE1" w:rsidRPr="00AF5CE1">
        <w:rPr>
          <w:rFonts w:hint="eastAsia"/>
          <w:sz w:val="24"/>
          <w:lang w:val="en-US" w:eastAsia="zh-CN"/>
        </w:rPr>
        <w:t>的标题指标</w:t>
      </w:r>
      <w:r w:rsidR="00AF5CE1" w:rsidRPr="00AF5CE1">
        <w:rPr>
          <w:rFonts w:hint="eastAsia"/>
          <w:sz w:val="24"/>
          <w:lang w:val="en-US" w:eastAsia="zh-CN"/>
        </w:rPr>
        <w:t>22.1</w:t>
      </w:r>
      <w:r w:rsidR="00AF5CE1" w:rsidRPr="00AF5CE1">
        <w:rPr>
          <w:rFonts w:hint="eastAsia"/>
          <w:sz w:val="24"/>
          <w:lang w:val="en-US" w:eastAsia="zh-CN"/>
        </w:rPr>
        <w:t>投入实施，用于衡量由土著人民和地方社区主导或参与的保护和恢复工作的</w:t>
      </w:r>
      <w:r w:rsidR="00190947">
        <w:rPr>
          <w:rFonts w:hint="eastAsia"/>
          <w:sz w:val="24"/>
          <w:lang w:val="en-US" w:eastAsia="zh-CN"/>
        </w:rPr>
        <w:t>效力</w:t>
      </w:r>
      <w:r w:rsidR="00AF5CE1" w:rsidRPr="00AF5CE1">
        <w:rPr>
          <w:rFonts w:hint="eastAsia"/>
          <w:sz w:val="24"/>
          <w:lang w:val="en-US" w:eastAsia="zh-CN"/>
        </w:rPr>
        <w:t>。</w:t>
      </w:r>
    </w:p>
    <w:p w14:paraId="54BC6767" w14:textId="55D0BB8A" w:rsidR="00185D4D" w:rsidRPr="00250A23" w:rsidRDefault="009A1457"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53.</w:t>
      </w:r>
      <w:r w:rsidRPr="00250A23">
        <w:rPr>
          <w:sz w:val="24"/>
          <w:lang w:eastAsia="zh-CN"/>
        </w:rPr>
        <w:tab/>
      </w:r>
      <w:r w:rsidR="00667D62" w:rsidRPr="00667D62">
        <w:rPr>
          <w:rFonts w:hint="eastAsia"/>
          <w:sz w:val="24"/>
          <w:lang w:val="en-US" w:eastAsia="zh-CN"/>
        </w:rPr>
        <w:t>应在各级创建和维护关于土著和传统领地的全球登记册和国家信息系统，用于监测在承认这些领地和对其进行治理方面的进展情况。创建的系统必须确保这些群体的数据主权，使其能够决定哪些信息可以共享以及应如何使用。</w:t>
      </w:r>
    </w:p>
    <w:p w14:paraId="5AD7CCFB" w14:textId="26B837C6" w:rsidR="00185D4D" w:rsidRPr="00250A23" w:rsidRDefault="009A1457"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54.</w:t>
      </w:r>
      <w:r w:rsidRPr="00250A23">
        <w:rPr>
          <w:sz w:val="24"/>
          <w:lang w:eastAsia="zh-CN"/>
        </w:rPr>
        <w:tab/>
      </w:r>
      <w:r w:rsidR="00667D62" w:rsidRPr="00667D62">
        <w:rPr>
          <w:rFonts w:hint="eastAsia"/>
          <w:sz w:val="24"/>
          <w:lang w:val="en-US" w:eastAsia="zh-CN"/>
        </w:rPr>
        <w:t>应在根据《公约》编写的国家生物多样性战略和行动计划、国家恢复计划和国家报告中纳入信息，说明与土著和传统领地相关的承诺的履行情况，并说明土著人民和地方社区对保护和恢复工作的贡献。在纳入这些信息时应经过土著人民和地方社区的自由、事先和知情同意。</w:t>
      </w:r>
    </w:p>
    <w:p w14:paraId="23DFAEF9" w14:textId="581853A3" w:rsidR="00185D4D" w:rsidRPr="00DD66D9" w:rsidRDefault="009A1457" w:rsidP="00667D62">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Pr>
          <w:lang w:eastAsia="zh-CN"/>
        </w:rPr>
        <w:t>E.</w:t>
      </w:r>
      <w:r>
        <w:rPr>
          <w:lang w:eastAsia="zh-CN"/>
        </w:rPr>
        <w:tab/>
      </w:r>
      <w:r w:rsidR="00667D62" w:rsidRPr="00667D62">
        <w:rPr>
          <w:rFonts w:hint="eastAsia"/>
          <w:lang w:val="en-US" w:eastAsia="zh-CN"/>
        </w:rPr>
        <w:t>获取信息</w:t>
      </w:r>
    </w:p>
    <w:p w14:paraId="57484E9D" w14:textId="0BB23574" w:rsidR="00185D4D" w:rsidRPr="00250A23" w:rsidRDefault="001B2A31"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55.</w:t>
      </w:r>
      <w:r w:rsidRPr="00250A23">
        <w:rPr>
          <w:sz w:val="24"/>
          <w:lang w:eastAsia="zh-CN"/>
        </w:rPr>
        <w:tab/>
      </w:r>
      <w:r w:rsidR="00104233" w:rsidRPr="00104233">
        <w:rPr>
          <w:rFonts w:hint="eastAsia"/>
          <w:sz w:val="24"/>
          <w:lang w:val="en-US" w:eastAsia="zh-CN"/>
        </w:rPr>
        <w:t>应</w:t>
      </w:r>
      <w:r w:rsidR="00104233">
        <w:rPr>
          <w:rFonts w:hint="eastAsia"/>
          <w:sz w:val="24"/>
          <w:lang w:val="en-US" w:eastAsia="zh-CN"/>
        </w:rPr>
        <w:t>使</w:t>
      </w:r>
      <w:r w:rsidR="00104233" w:rsidRPr="00104233">
        <w:rPr>
          <w:rFonts w:hint="eastAsia"/>
          <w:sz w:val="24"/>
          <w:lang w:val="en-US" w:eastAsia="zh-CN"/>
        </w:rPr>
        <w:t>土著人民和地方社区能够及时并以文化上适宜的方式获取与保护、恢复、空间规划和环境影响评估相关的信息</w:t>
      </w:r>
      <w:r w:rsidR="00104233">
        <w:rPr>
          <w:rFonts w:hint="eastAsia"/>
          <w:sz w:val="24"/>
          <w:lang w:val="en-US" w:eastAsia="zh-CN"/>
        </w:rPr>
        <w:t>，</w:t>
      </w:r>
      <w:r w:rsidR="00104233" w:rsidRPr="00104233">
        <w:rPr>
          <w:rFonts w:hint="eastAsia"/>
          <w:sz w:val="24"/>
          <w:lang w:val="en-US" w:eastAsia="zh-CN"/>
        </w:rPr>
        <w:t>包括</w:t>
      </w:r>
      <w:r w:rsidR="00104233">
        <w:rPr>
          <w:rFonts w:hint="eastAsia"/>
          <w:sz w:val="24"/>
          <w:lang w:val="en-US" w:eastAsia="zh-CN"/>
        </w:rPr>
        <w:t>为此</w:t>
      </w:r>
      <w:r w:rsidR="00104233" w:rsidRPr="00104233">
        <w:rPr>
          <w:rFonts w:hint="eastAsia"/>
          <w:sz w:val="24"/>
          <w:lang w:val="en-US" w:eastAsia="zh-CN"/>
        </w:rPr>
        <w:t>将相关材料翻译成土著语言，并采用文化上适宜的格式，以方便土著人民和地方社区充分有效地进行参与。</w:t>
      </w:r>
      <w:r w:rsidR="00502B8F" w:rsidRPr="00250A23">
        <w:rPr>
          <w:sz w:val="24"/>
          <w:lang w:eastAsia="zh-CN"/>
        </w:rPr>
        <w:t xml:space="preserve"> </w:t>
      </w:r>
    </w:p>
    <w:p w14:paraId="0BFCB3CE" w14:textId="345545F0" w:rsidR="00185D4D" w:rsidRPr="00DD66D9" w:rsidRDefault="001B2A31" w:rsidP="00667D62">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Pr>
          <w:lang w:eastAsia="zh-CN"/>
        </w:rPr>
        <w:t>F.</w:t>
      </w:r>
      <w:r>
        <w:rPr>
          <w:lang w:eastAsia="zh-CN"/>
        </w:rPr>
        <w:tab/>
      </w:r>
      <w:r w:rsidR="00104233" w:rsidRPr="00104233">
        <w:rPr>
          <w:rFonts w:hint="eastAsia"/>
          <w:lang w:val="en-US" w:eastAsia="zh-CN"/>
        </w:rPr>
        <w:t>技术合作和法律支持</w:t>
      </w:r>
      <w:r w:rsidR="00185D4D" w:rsidRPr="00DD66D9">
        <w:rPr>
          <w:lang w:eastAsia="zh-CN"/>
        </w:rPr>
        <w:t xml:space="preserve"> </w:t>
      </w:r>
    </w:p>
    <w:p w14:paraId="788AA659" w14:textId="27379354" w:rsidR="00185D4D" w:rsidRPr="00250A23" w:rsidRDefault="001B2A31"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56.</w:t>
      </w:r>
      <w:r w:rsidRPr="00250A23">
        <w:rPr>
          <w:sz w:val="24"/>
          <w:lang w:eastAsia="zh-CN"/>
        </w:rPr>
        <w:tab/>
      </w:r>
      <w:r w:rsidR="006153EC" w:rsidRPr="006153EC">
        <w:rPr>
          <w:rFonts w:hint="eastAsia"/>
          <w:sz w:val="24"/>
          <w:lang w:val="en-US" w:eastAsia="zh-CN"/>
        </w:rPr>
        <w:t>应提供技术和法律支持，用以加强土著人民和地方社区开展与保护、恢复、空间规划和环境影响评估相关的社区测绘和监测的能力。</w:t>
      </w:r>
    </w:p>
    <w:p w14:paraId="7A1C8D3A" w14:textId="689AAEA5" w:rsidR="0020791C" w:rsidRPr="00250A23" w:rsidRDefault="001B2A31" w:rsidP="00BA38C1">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250A23">
        <w:rPr>
          <w:sz w:val="24"/>
          <w:lang w:eastAsia="zh-CN"/>
        </w:rPr>
        <w:t>57.</w:t>
      </w:r>
      <w:r w:rsidRPr="00250A23">
        <w:rPr>
          <w:sz w:val="24"/>
          <w:lang w:eastAsia="zh-CN"/>
        </w:rPr>
        <w:tab/>
      </w:r>
      <w:r w:rsidR="006153EC" w:rsidRPr="006153EC">
        <w:rPr>
          <w:rFonts w:hint="eastAsia"/>
          <w:sz w:val="24"/>
          <w:lang w:val="en-US" w:eastAsia="zh-CN"/>
        </w:rPr>
        <w:t>应通过法律支持提高人们对集体土地权利的认识，并在保护、恢复、国家空间规划和环境治理框架内为土著人民和地方社区提供协助。</w:t>
      </w:r>
    </w:p>
    <w:p w14:paraId="3462F5AA" w14:textId="77777777" w:rsidR="001065E9" w:rsidRPr="00250A23" w:rsidRDefault="003D5897" w:rsidP="003D5897">
      <w:pPr>
        <w:jc w:val="center"/>
        <w:rPr>
          <w:sz w:val="24"/>
        </w:rPr>
      </w:pPr>
      <w:r w:rsidRPr="00250A23">
        <w:rPr>
          <w:sz w:val="24"/>
        </w:rPr>
        <w:t>__________</w:t>
      </w:r>
    </w:p>
    <w:sectPr w:rsidR="001065E9" w:rsidRPr="00250A23" w:rsidSect="00213C0F">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095B0" w14:textId="77777777" w:rsidR="00BD7093" w:rsidRDefault="00BD7093" w:rsidP="001A7228">
      <w:r>
        <w:separator/>
      </w:r>
    </w:p>
  </w:endnote>
  <w:endnote w:type="continuationSeparator" w:id="0">
    <w:p w14:paraId="49D89A40" w14:textId="77777777" w:rsidR="00BD7093" w:rsidRDefault="00BD7093"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FB01E" w14:textId="77777777" w:rsidR="00DF78C4" w:rsidRPr="00DF78C4" w:rsidRDefault="00DF78C4" w:rsidP="00DF78C4">
    <w:pPr>
      <w:pStyle w:val="Footer"/>
    </w:pPr>
    <w:r>
      <w:fldChar w:fldCharType="begin"/>
    </w:r>
    <w:r>
      <w:instrText xml:space="preserve"> PAGE </w:instrText>
    </w:r>
    <w:r>
      <w:fldChar w:fldCharType="separate"/>
    </w:r>
    <w:r w:rsidR="003D5897">
      <w:rPr>
        <w:noProof/>
      </w:rPr>
      <w:t>2</w:t>
    </w:r>
    <w:r>
      <w:fldChar w:fldCharType="end"/>
    </w:r>
    <w:r>
      <w:t>/</w:t>
    </w:r>
    <w:fldSimple w:instr=" NUMPAGES \* MERGEFORMAT ">
      <w:r w:rsidR="003D5897">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8E2DF" w14:textId="77777777" w:rsidR="00DF78C4" w:rsidRPr="00DF78C4" w:rsidRDefault="00DF78C4" w:rsidP="00DF78C4">
    <w:pPr>
      <w:pStyle w:val="CBDFooter"/>
      <w:jc w:val="right"/>
    </w:pPr>
    <w:r>
      <w:fldChar w:fldCharType="begin"/>
    </w:r>
    <w:r>
      <w:instrText xml:space="preserve"> PAGE \* MERGEFORMAT </w:instrText>
    </w:r>
    <w:r>
      <w:fldChar w:fldCharType="separate"/>
    </w:r>
    <w:r w:rsidR="003D5897">
      <w:rPr>
        <w:noProof/>
      </w:rPr>
      <w:t>3</w:t>
    </w:r>
    <w:r>
      <w:fldChar w:fldCharType="end"/>
    </w:r>
    <w:r>
      <w:t>/</w:t>
    </w:r>
    <w:fldSimple w:instr=" NUMPAGES \* MERGEFORMAT ">
      <w:r w:rsidR="003D5897">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F8462" w14:textId="77777777" w:rsidR="00BD7093" w:rsidRDefault="00BD7093" w:rsidP="001A7228">
      <w:r>
        <w:separator/>
      </w:r>
    </w:p>
  </w:footnote>
  <w:footnote w:type="continuationSeparator" w:id="0">
    <w:p w14:paraId="5116B9A5" w14:textId="77777777" w:rsidR="00BD7093" w:rsidRDefault="00BD7093" w:rsidP="001A7228">
      <w:r>
        <w:continuationSeparator/>
      </w:r>
    </w:p>
  </w:footnote>
  <w:footnote w:id="1">
    <w:p w14:paraId="6891F3BC" w14:textId="77777777" w:rsidR="00250A23" w:rsidRPr="00C0791C" w:rsidRDefault="00250A23" w:rsidP="00250A23">
      <w:pPr>
        <w:pStyle w:val="FootnoteText"/>
        <w:rPr>
          <w:lang w:eastAsia="zh-CN"/>
        </w:rPr>
      </w:pPr>
      <w:r w:rsidRPr="00EA1C18">
        <w:rPr>
          <w:rStyle w:val="FootnoteReference"/>
          <w:lang w:eastAsia="zh-CN"/>
        </w:rPr>
        <w:t>*</w:t>
      </w:r>
      <w:r w:rsidRPr="00EA1C18">
        <w:rPr>
          <w:lang w:eastAsia="zh-CN"/>
        </w:rPr>
        <w:t xml:space="preserve"> </w:t>
      </w:r>
      <w:r w:rsidRPr="00C0791C">
        <w:rPr>
          <w:lang w:eastAsia="zh-CN"/>
        </w:rPr>
        <w:t>CBD/SB8J/1/1/Rev.1</w:t>
      </w:r>
      <w:r w:rsidR="00A41AED">
        <w:rPr>
          <w:rFonts w:hint="eastAsia"/>
          <w:lang w:eastAsia="zh-CN"/>
        </w:rPr>
        <w:t>。</w:t>
      </w:r>
    </w:p>
  </w:footnote>
  <w:footnote w:id="2">
    <w:p w14:paraId="424061AB" w14:textId="77777777" w:rsidR="00A41AED" w:rsidRPr="00C0791C" w:rsidRDefault="00A41AED" w:rsidP="00A41AED">
      <w:pPr>
        <w:pStyle w:val="FootnoteText"/>
        <w:rPr>
          <w:lang w:eastAsia="zh-CN"/>
        </w:rPr>
      </w:pPr>
      <w:r w:rsidRPr="00EA1C18">
        <w:rPr>
          <w:rStyle w:val="FootnoteReference"/>
        </w:rPr>
        <w:footnoteRef/>
      </w:r>
      <w:r w:rsidRPr="00EA1C18">
        <w:rPr>
          <w:lang w:eastAsia="zh-CN"/>
        </w:rPr>
        <w:t xml:space="preserve"> </w:t>
      </w:r>
      <w:r w:rsidRPr="00A41AED">
        <w:rPr>
          <w:rFonts w:hint="eastAsia"/>
          <w:lang w:val="en-US" w:eastAsia="zh-CN"/>
        </w:rPr>
        <w:t>收到以下方面</w:t>
      </w:r>
      <w:r w:rsidRPr="00BE7767">
        <w:rPr>
          <w:rFonts w:hint="eastAsia"/>
          <w:lang w:val="en-US" w:eastAsia="zh-CN"/>
        </w:rPr>
        <w:t>提交的材料：</w:t>
      </w:r>
      <w:r w:rsidRPr="00BE7767">
        <w:rPr>
          <w:rFonts w:hint="eastAsia"/>
          <w:lang w:val="en-US" w:eastAsia="zh-CN"/>
        </w:rPr>
        <w:t xml:space="preserve">(a) </w:t>
      </w:r>
      <w:r w:rsidRPr="00BE7767">
        <w:rPr>
          <w:rFonts w:hint="eastAsia"/>
          <w:lang w:val="en-US" w:eastAsia="zh-CN"/>
        </w:rPr>
        <w:t>缔约方（亚美尼亚、澳大利亚、巴西、加拿大、哥伦比亚、欧洲联盟、芬兰、墨西哥、挪威、俄罗斯联邦、沙特阿拉伯、瑞典和大不列颠及北爱尔兰联合王国）；</w:t>
      </w:r>
      <w:r w:rsidRPr="00BE7767">
        <w:rPr>
          <w:rFonts w:hint="eastAsia"/>
          <w:lang w:val="en-US" w:eastAsia="zh-CN"/>
        </w:rPr>
        <w:t xml:space="preserve">(b) </w:t>
      </w:r>
      <w:r w:rsidRPr="00BE7767">
        <w:rPr>
          <w:rFonts w:hint="eastAsia"/>
          <w:lang w:val="en-US" w:eastAsia="zh-CN"/>
        </w:rPr>
        <w:t>土著人民和地方社区组织（第一民族大会、</w:t>
      </w:r>
      <w:proofErr w:type="spellStart"/>
      <w:r w:rsidRPr="00BE7767">
        <w:rPr>
          <w:rFonts w:hint="eastAsia"/>
          <w:lang w:val="en-US" w:eastAsia="zh-CN"/>
        </w:rPr>
        <w:t>Tinhinan</w:t>
      </w:r>
      <w:proofErr w:type="spellEnd"/>
      <w:r w:rsidRPr="00BE7767">
        <w:rPr>
          <w:rFonts w:hint="eastAsia"/>
          <w:lang w:val="en-US" w:eastAsia="zh-CN"/>
        </w:rPr>
        <w:t xml:space="preserve"> </w:t>
      </w:r>
      <w:r w:rsidRPr="00BE7767">
        <w:rPr>
          <w:rFonts w:hint="eastAsia"/>
          <w:lang w:val="en-US" w:eastAsia="zh-CN"/>
        </w:rPr>
        <w:t>协会、非洲土著人民协调委员会、国际生物多样性土著论坛、厄瓜多尔瓦拉尼民族组织、加拿大土著妇女协会、牧区社区赋权方案、土著人民联盟“</w:t>
      </w:r>
      <w:r w:rsidRPr="00BE7767">
        <w:rPr>
          <w:rFonts w:hint="eastAsia"/>
          <w:lang w:val="en-US" w:eastAsia="zh-CN"/>
        </w:rPr>
        <w:t>SOYUZ</w:t>
      </w:r>
      <w:r w:rsidRPr="00BE7767">
        <w:rPr>
          <w:rFonts w:hint="eastAsia"/>
          <w:lang w:val="en-US" w:eastAsia="zh-CN"/>
        </w:rPr>
        <w:t>”和妇女生物多样性组织）；</w:t>
      </w:r>
      <w:r w:rsidRPr="00BE7767">
        <w:rPr>
          <w:rFonts w:hint="eastAsia"/>
          <w:lang w:val="en-US" w:eastAsia="zh-CN"/>
        </w:rPr>
        <w:t xml:space="preserve">(c) </w:t>
      </w:r>
      <w:r w:rsidRPr="00BE7767">
        <w:rPr>
          <w:rFonts w:hint="eastAsia"/>
          <w:lang w:val="en-US" w:eastAsia="zh-CN"/>
        </w:rPr>
        <w:t>相关利益攸关方（非洲野生动物基金会、联合国粮食及农业组织（粮农组织）、盖亚亚马逊组织、联合国人权事务高级专员办事处、联合国开发计划署（代表</w:t>
      </w:r>
      <w:r w:rsidRPr="00BE7767">
        <w:rPr>
          <w:rFonts w:hint="eastAsia"/>
          <w:lang w:val="en-US" w:eastAsia="zh-CN"/>
        </w:rPr>
        <w:t xml:space="preserve"> PANORAMA </w:t>
      </w:r>
      <w:r w:rsidRPr="00BE7767">
        <w:rPr>
          <w:rFonts w:hint="eastAsia"/>
          <w:lang w:val="en-US" w:eastAsia="zh-CN"/>
        </w:rPr>
        <w:t>—</w:t>
      </w:r>
      <w:r w:rsidRPr="00BE7767">
        <w:rPr>
          <w:rFonts w:hint="eastAsia"/>
          <w:lang w:val="en-US" w:eastAsia="zh-CN"/>
        </w:rPr>
        <w:t xml:space="preserve"> </w:t>
      </w:r>
      <w:r w:rsidRPr="00BE7767">
        <w:rPr>
          <w:rFonts w:hint="eastAsia"/>
          <w:lang w:val="en-US" w:eastAsia="zh-CN"/>
        </w:rPr>
        <w:t>健康地球解决方案）以及联合国环境规划署和粮农组织（作为联合国生态系统恢复十年的牵头实体）。</w:t>
      </w:r>
      <w:r>
        <w:rPr>
          <w:lang w:eastAsia="zh-CN"/>
        </w:rPr>
        <w:t xml:space="preserve"> </w:t>
      </w:r>
    </w:p>
  </w:footnote>
  <w:footnote w:id="3">
    <w:p w14:paraId="3AEFA5F4" w14:textId="77777777" w:rsidR="00BF31FC" w:rsidRPr="00EA1C18" w:rsidRDefault="00BF31FC" w:rsidP="00BF31FC">
      <w:pPr>
        <w:pStyle w:val="FootnoteText"/>
        <w:rPr>
          <w:lang w:eastAsia="zh-CN"/>
        </w:rPr>
      </w:pPr>
      <w:r w:rsidRPr="00EA1C18">
        <w:rPr>
          <w:rStyle w:val="FootnoteReference"/>
        </w:rPr>
        <w:footnoteRef/>
      </w:r>
      <w:r w:rsidRPr="00EA1C18">
        <w:rPr>
          <w:lang w:eastAsia="zh-CN"/>
        </w:rPr>
        <w:t xml:space="preserve"> </w:t>
      </w:r>
      <w:hyperlink r:id="rId1" w:history="1">
        <w:r w:rsidRPr="00C0791C">
          <w:rPr>
            <w:rStyle w:val="Hyperlink"/>
            <w:lang w:eastAsia="zh-CN"/>
          </w:rPr>
          <w:t>CBD</w:t>
        </w:r>
        <w:r w:rsidRPr="00EA1C18">
          <w:rPr>
            <w:rStyle w:val="Hyperlink"/>
            <w:lang w:eastAsia="zh-CN"/>
          </w:rPr>
          <w:t>/A8J/</w:t>
        </w:r>
        <w:r w:rsidRPr="00C0791C">
          <w:rPr>
            <w:rStyle w:val="Hyperlink"/>
            <w:lang w:eastAsia="zh-CN"/>
          </w:rPr>
          <w:t>WS</w:t>
        </w:r>
        <w:r w:rsidRPr="00EA1C18">
          <w:rPr>
            <w:rStyle w:val="Hyperlink"/>
            <w:lang w:eastAsia="zh-CN"/>
          </w:rPr>
          <w:t>/2025/2/2</w:t>
        </w:r>
      </w:hyperlink>
      <w:r>
        <w:rPr>
          <w:rFonts w:hint="eastAsia"/>
          <w:lang w:eastAsia="zh-CN"/>
        </w:rPr>
        <w:t>。</w:t>
      </w:r>
    </w:p>
  </w:footnote>
  <w:footnote w:id="4">
    <w:p w14:paraId="78691915" w14:textId="3A155069" w:rsidR="00190947" w:rsidRDefault="00190947">
      <w:pPr>
        <w:pStyle w:val="FootnoteText"/>
        <w:rPr>
          <w:lang w:eastAsia="zh-CN"/>
        </w:rPr>
      </w:pPr>
      <w:r>
        <w:rPr>
          <w:rStyle w:val="FootnoteReference"/>
        </w:rPr>
        <w:footnoteRef/>
      </w:r>
      <w:r>
        <w:rPr>
          <w:lang w:eastAsia="zh-CN"/>
        </w:rPr>
        <w:t xml:space="preserve"> </w:t>
      </w:r>
      <w:r w:rsidRPr="00190947">
        <w:rPr>
          <w:rFonts w:hint="eastAsia"/>
          <w:lang w:eastAsia="zh-CN"/>
        </w:rPr>
        <w:t>联合国，《条约汇编》，第</w:t>
      </w:r>
      <w:r w:rsidRPr="00190947">
        <w:rPr>
          <w:rFonts w:hint="eastAsia"/>
          <w:lang w:eastAsia="zh-CN"/>
        </w:rPr>
        <w:t>1760</w:t>
      </w:r>
      <w:r w:rsidRPr="00190947">
        <w:rPr>
          <w:rFonts w:hint="eastAsia"/>
          <w:lang w:eastAsia="zh-CN"/>
        </w:rPr>
        <w:t>卷，第</w:t>
      </w:r>
      <w:r w:rsidRPr="00190947">
        <w:rPr>
          <w:lang w:eastAsia="zh-CN"/>
        </w:rPr>
        <w:t>30619</w:t>
      </w:r>
      <w:r w:rsidRPr="00190947">
        <w:rPr>
          <w:rFonts w:hint="eastAsia"/>
          <w:lang w:eastAsia="zh-CN"/>
        </w:rPr>
        <w:t>号。</w:t>
      </w:r>
    </w:p>
  </w:footnote>
  <w:footnote w:id="5">
    <w:p w14:paraId="1D38ECD8" w14:textId="77777777" w:rsidR="00DC6DB9" w:rsidRPr="00EA1C18" w:rsidRDefault="00DC6DB9" w:rsidP="00DC6DB9">
      <w:pPr>
        <w:pStyle w:val="FootnoteText"/>
        <w:rPr>
          <w:lang w:eastAsia="zh-CN"/>
        </w:rPr>
      </w:pPr>
      <w:r w:rsidRPr="00EA1C18">
        <w:rPr>
          <w:rStyle w:val="FootnoteReference"/>
        </w:rPr>
        <w:footnoteRef/>
      </w:r>
      <w:r w:rsidRPr="00EA1C18">
        <w:rPr>
          <w:lang w:eastAsia="zh-CN"/>
        </w:rPr>
        <w:t xml:space="preserve"> </w:t>
      </w:r>
      <w:r>
        <w:rPr>
          <w:rFonts w:hint="eastAsia"/>
          <w:lang w:eastAsia="zh-CN"/>
        </w:rPr>
        <w:t>第</w:t>
      </w:r>
      <w:hyperlink r:id="rId2" w:history="1">
        <w:r w:rsidRPr="003C2EC9">
          <w:rPr>
            <w:rStyle w:val="Hyperlink"/>
            <w:sz w:val="20"/>
            <w:lang w:eastAsia="zh-CN"/>
          </w:rPr>
          <w:t>15/4</w:t>
        </w:r>
      </w:hyperlink>
      <w:r>
        <w:rPr>
          <w:rFonts w:hint="eastAsia"/>
          <w:lang w:eastAsia="zh-CN"/>
        </w:rPr>
        <w:t>号决定，附件。</w:t>
      </w:r>
    </w:p>
  </w:footnote>
  <w:footnote w:id="6">
    <w:p w14:paraId="2BE2E061" w14:textId="77777777" w:rsidR="00022BD3" w:rsidRPr="00EA1C18" w:rsidRDefault="00022BD3" w:rsidP="00022BD3">
      <w:pPr>
        <w:pStyle w:val="FootnoteText"/>
        <w:rPr>
          <w:lang w:eastAsia="zh-CN"/>
        </w:rPr>
      </w:pPr>
      <w:r w:rsidRPr="00EA1C18">
        <w:rPr>
          <w:rStyle w:val="FootnoteReference"/>
        </w:rPr>
        <w:footnoteRef/>
      </w:r>
      <w:r w:rsidRPr="00EA1C18">
        <w:rPr>
          <w:lang w:eastAsia="zh-CN"/>
        </w:rPr>
        <w:t xml:space="preserve"> CBD/A8J/WS/2025/2/3</w:t>
      </w:r>
      <w:r>
        <w:rPr>
          <w:rFonts w:hint="eastAsia"/>
          <w:lang w:eastAsia="zh-CN"/>
        </w:rPr>
        <w:t>。</w:t>
      </w:r>
    </w:p>
  </w:footnote>
  <w:footnote w:id="7">
    <w:p w14:paraId="39C6AEC6" w14:textId="77777777" w:rsidR="00720F0F" w:rsidRDefault="00720F0F" w:rsidP="00720F0F">
      <w:pPr>
        <w:pStyle w:val="FootnoteText"/>
        <w:rPr>
          <w:lang w:eastAsia="zh-CN"/>
        </w:rPr>
      </w:pPr>
      <w:r>
        <w:rPr>
          <w:rStyle w:val="FootnoteReference"/>
        </w:rPr>
        <w:footnoteRef/>
      </w:r>
      <w:r>
        <w:rPr>
          <w:lang w:eastAsia="zh-CN"/>
        </w:rPr>
        <w:t xml:space="preserve"> </w:t>
      </w:r>
      <w:r>
        <w:rPr>
          <w:rFonts w:hint="eastAsia"/>
          <w:lang w:eastAsia="zh-CN"/>
        </w:rPr>
        <w:t>为本套准则之目的，“准则”系指自愿准则。</w:t>
      </w:r>
    </w:p>
  </w:footnote>
  <w:footnote w:id="8">
    <w:p w14:paraId="162BAAFD" w14:textId="77777777" w:rsidR="00BF11C5" w:rsidRPr="00C0791C" w:rsidRDefault="00BF11C5" w:rsidP="0092032F">
      <w:pPr>
        <w:pStyle w:val="FootnoteText"/>
        <w:rPr>
          <w:lang w:eastAsia="zh-CN"/>
        </w:rPr>
      </w:pPr>
      <w:r w:rsidRPr="00EA1C18">
        <w:rPr>
          <w:rStyle w:val="FootnoteReference"/>
        </w:rPr>
        <w:footnoteRef/>
      </w:r>
      <w:r w:rsidRPr="00EA1C18">
        <w:rPr>
          <w:lang w:eastAsia="zh-CN"/>
        </w:rPr>
        <w:t xml:space="preserve"> </w:t>
      </w:r>
      <w:r w:rsidR="0092032F">
        <w:rPr>
          <w:rFonts w:hint="eastAsia"/>
          <w:lang w:eastAsia="zh-CN"/>
        </w:rPr>
        <w:t>本附件载有</w:t>
      </w:r>
      <w:r w:rsidR="0092032F">
        <w:rPr>
          <w:rFonts w:hint="eastAsia"/>
          <w:lang w:eastAsia="zh-CN"/>
        </w:rPr>
        <w:t>2025</w:t>
      </w:r>
      <w:r w:rsidR="0092032F">
        <w:rPr>
          <w:rFonts w:hint="eastAsia"/>
          <w:lang w:eastAsia="zh-CN"/>
        </w:rPr>
        <w:t>年</w:t>
      </w:r>
      <w:r w:rsidR="0092032F">
        <w:rPr>
          <w:rFonts w:hint="eastAsia"/>
          <w:lang w:eastAsia="zh-CN"/>
        </w:rPr>
        <w:t>7</w:t>
      </w:r>
      <w:r w:rsidR="0092032F">
        <w:rPr>
          <w:rFonts w:hint="eastAsia"/>
          <w:lang w:eastAsia="zh-CN"/>
        </w:rPr>
        <w:t>月</w:t>
      </w:r>
      <w:r w:rsidR="0092032F">
        <w:rPr>
          <w:rFonts w:hint="eastAsia"/>
          <w:lang w:eastAsia="zh-CN"/>
        </w:rPr>
        <w:t>22</w:t>
      </w:r>
      <w:r w:rsidR="0092032F">
        <w:rPr>
          <w:rFonts w:hint="eastAsia"/>
          <w:lang w:eastAsia="zh-CN"/>
        </w:rPr>
        <w:t>日至</w:t>
      </w:r>
      <w:r w:rsidR="0092032F">
        <w:rPr>
          <w:rFonts w:hint="eastAsia"/>
          <w:lang w:eastAsia="zh-CN"/>
        </w:rPr>
        <w:t>24</w:t>
      </w:r>
      <w:r w:rsidR="0092032F">
        <w:rPr>
          <w:rFonts w:hint="eastAsia"/>
          <w:lang w:eastAsia="zh-CN"/>
        </w:rPr>
        <w:t>日举行的第</w:t>
      </w:r>
      <w:r w:rsidR="0092032F" w:rsidRPr="00EA1C18">
        <w:rPr>
          <w:lang w:eastAsia="zh-CN"/>
        </w:rPr>
        <w:t>8(j)</w:t>
      </w:r>
      <w:r w:rsidR="0092032F">
        <w:rPr>
          <w:rFonts w:hint="eastAsia"/>
          <w:lang w:eastAsia="zh-CN"/>
        </w:rPr>
        <w:t>条和其他条款工作方案任务</w:t>
      </w:r>
      <w:r w:rsidR="0092032F">
        <w:rPr>
          <w:rFonts w:hint="eastAsia"/>
          <w:lang w:eastAsia="zh-CN"/>
        </w:rPr>
        <w:t>1.1</w:t>
      </w:r>
      <w:r w:rsidR="0092032F">
        <w:rPr>
          <w:rFonts w:hint="eastAsia"/>
          <w:lang w:eastAsia="zh-CN"/>
        </w:rPr>
        <w:t>和</w:t>
      </w:r>
      <w:r w:rsidR="0092032F">
        <w:rPr>
          <w:rFonts w:hint="eastAsia"/>
          <w:lang w:eastAsia="zh-CN"/>
        </w:rPr>
        <w:t>1.2</w:t>
      </w:r>
      <w:r w:rsidR="0092032F">
        <w:rPr>
          <w:rFonts w:hint="eastAsia"/>
          <w:lang w:eastAsia="zh-CN"/>
        </w:rPr>
        <w:t>专家研讨会与会者们编写的准则草案。本附件的内容反映了专家研讨会的成果，参考了根据</w:t>
      </w:r>
      <w:hyperlink r:id="rId3" w:history="1">
        <w:r w:rsidR="0092032F" w:rsidRPr="00A040A6">
          <w:rPr>
            <w:rStyle w:val="Hyperlink"/>
            <w:lang w:eastAsia="zh-CN"/>
          </w:rPr>
          <w:t>202</w:t>
        </w:r>
        <w:r w:rsidR="0092032F" w:rsidRPr="00C0791C">
          <w:rPr>
            <w:rStyle w:val="Hyperlink"/>
            <w:lang w:eastAsia="zh-CN"/>
          </w:rPr>
          <w:t>5-0</w:t>
        </w:r>
        <w:r w:rsidR="0092032F" w:rsidRPr="00A040A6">
          <w:rPr>
            <w:rStyle w:val="Hyperlink"/>
            <w:lang w:eastAsia="zh-CN"/>
          </w:rPr>
          <w:t>61</w:t>
        </w:r>
      </w:hyperlink>
      <w:proofErr w:type="gramStart"/>
      <w:r w:rsidR="0092032F">
        <w:rPr>
          <w:rFonts w:hint="eastAsia"/>
          <w:lang w:eastAsia="zh-CN"/>
        </w:rPr>
        <w:t>号通知</w:t>
      </w:r>
      <w:proofErr w:type="gramEnd"/>
      <w:r w:rsidR="0092032F">
        <w:rPr>
          <w:rFonts w:hint="eastAsia"/>
          <w:lang w:eastAsia="zh-CN"/>
        </w:rPr>
        <w:t>提交的意见和信息。</w:t>
      </w:r>
    </w:p>
  </w:footnote>
  <w:footnote w:id="9">
    <w:p w14:paraId="244B6336" w14:textId="77777777" w:rsidR="009D1734" w:rsidRPr="00346C3E" w:rsidRDefault="009D1734" w:rsidP="009D1734">
      <w:pPr>
        <w:pStyle w:val="FootnoteText"/>
        <w:rPr>
          <w:lang w:val="en-US" w:eastAsia="zh-CN"/>
        </w:rPr>
      </w:pPr>
      <w:r>
        <w:rPr>
          <w:rStyle w:val="FootnoteReference"/>
        </w:rPr>
        <w:footnoteRef/>
      </w:r>
      <w:r>
        <w:rPr>
          <w:lang w:eastAsia="zh-CN"/>
        </w:rPr>
        <w:t xml:space="preserve"> </w:t>
      </w:r>
      <w:r w:rsidRPr="0092032F">
        <w:rPr>
          <w:lang w:eastAsia="zh-CN"/>
        </w:rPr>
        <w:t>联合国，《条约汇编》，第</w:t>
      </w:r>
      <w:r w:rsidRPr="0092032F">
        <w:rPr>
          <w:rFonts w:hint="eastAsia"/>
          <w:lang w:eastAsia="zh-CN"/>
        </w:rPr>
        <w:t>1760</w:t>
      </w:r>
      <w:r w:rsidRPr="0092032F">
        <w:rPr>
          <w:lang w:eastAsia="zh-CN"/>
        </w:rPr>
        <w:t>卷，第</w:t>
      </w:r>
      <w:r w:rsidRPr="0092032F">
        <w:rPr>
          <w:lang w:eastAsia="zh-CN"/>
        </w:rPr>
        <w:t>30619</w:t>
      </w:r>
      <w:r w:rsidRPr="0092032F">
        <w:rPr>
          <w:lang w:eastAsia="zh-CN"/>
        </w:rPr>
        <w:t>号。</w:t>
      </w:r>
    </w:p>
  </w:footnote>
  <w:footnote w:id="10">
    <w:p w14:paraId="7B29C40A" w14:textId="77777777" w:rsidR="009D1734" w:rsidRPr="00C0791C" w:rsidRDefault="009D1734" w:rsidP="009D1734">
      <w:pPr>
        <w:pStyle w:val="FootnoteText"/>
        <w:rPr>
          <w:lang w:val="en-US" w:eastAsia="zh-CN"/>
        </w:rPr>
      </w:pPr>
      <w:r w:rsidRPr="00EA1C18">
        <w:rPr>
          <w:rStyle w:val="FootnoteReference"/>
        </w:rPr>
        <w:footnoteRef/>
      </w:r>
      <w:r w:rsidRPr="00C0791C">
        <w:rPr>
          <w:lang w:val="en-US" w:eastAsia="zh-CN"/>
        </w:rPr>
        <w:t xml:space="preserve"> </w:t>
      </w:r>
      <w:r>
        <w:rPr>
          <w:rFonts w:hint="eastAsia"/>
          <w:lang w:val="en-US" w:eastAsia="zh-CN"/>
        </w:rPr>
        <w:t>同上，第</w:t>
      </w:r>
      <w:r w:rsidRPr="00C0791C">
        <w:rPr>
          <w:lang w:val="en-US" w:eastAsia="zh-CN"/>
        </w:rPr>
        <w:t>2226</w:t>
      </w:r>
      <w:r>
        <w:rPr>
          <w:rFonts w:hint="eastAsia"/>
          <w:lang w:val="en-US" w:eastAsia="zh-CN"/>
        </w:rPr>
        <w:t>卷，第</w:t>
      </w:r>
      <w:r w:rsidRPr="00C0791C">
        <w:rPr>
          <w:lang w:val="en-US" w:eastAsia="zh-CN"/>
        </w:rPr>
        <w:t>30619</w:t>
      </w:r>
      <w:r>
        <w:rPr>
          <w:rFonts w:hint="eastAsia"/>
          <w:lang w:val="en-US" w:eastAsia="zh-CN"/>
        </w:rPr>
        <w:t>号。</w:t>
      </w:r>
    </w:p>
  </w:footnote>
  <w:footnote w:id="11">
    <w:p w14:paraId="0C52A108" w14:textId="77777777" w:rsidR="009D1734" w:rsidRPr="00C0791C" w:rsidRDefault="009D1734" w:rsidP="009D1734">
      <w:pPr>
        <w:pStyle w:val="FootnoteText"/>
        <w:rPr>
          <w:lang w:val="en-US" w:eastAsia="zh-CN"/>
        </w:rPr>
      </w:pPr>
      <w:r w:rsidRPr="00EA1C18">
        <w:rPr>
          <w:rStyle w:val="FootnoteReference"/>
        </w:rPr>
        <w:footnoteRef/>
      </w:r>
      <w:r w:rsidRPr="00C0791C">
        <w:rPr>
          <w:lang w:val="en-US" w:eastAsia="zh-CN"/>
        </w:rPr>
        <w:t xml:space="preserve"> </w:t>
      </w:r>
      <w:r>
        <w:rPr>
          <w:rFonts w:hint="eastAsia"/>
          <w:lang w:val="en-US" w:eastAsia="zh-CN"/>
        </w:rPr>
        <w:t>同上，第</w:t>
      </w:r>
      <w:r w:rsidRPr="00C0791C">
        <w:rPr>
          <w:lang w:val="en-US" w:eastAsia="zh-CN"/>
        </w:rPr>
        <w:t>3008</w:t>
      </w:r>
      <w:r>
        <w:rPr>
          <w:rFonts w:hint="eastAsia"/>
          <w:lang w:val="en-US" w:eastAsia="zh-CN"/>
        </w:rPr>
        <w:t>卷，第</w:t>
      </w:r>
      <w:r w:rsidRPr="00C0791C">
        <w:rPr>
          <w:lang w:val="en-US" w:eastAsia="zh-CN"/>
        </w:rPr>
        <w:t>30619</w:t>
      </w:r>
      <w:r>
        <w:rPr>
          <w:rFonts w:hint="eastAsia"/>
          <w:lang w:val="en-US" w:eastAsia="zh-CN"/>
        </w:rPr>
        <w:t>号。</w:t>
      </w:r>
    </w:p>
  </w:footnote>
  <w:footnote w:id="12">
    <w:p w14:paraId="58F86AE0" w14:textId="77777777" w:rsidR="00D84F2F" w:rsidRPr="00EA1C18" w:rsidRDefault="00D84F2F" w:rsidP="00D84F2F">
      <w:pPr>
        <w:pStyle w:val="FootnoteText"/>
        <w:rPr>
          <w:lang w:eastAsia="zh-CN"/>
        </w:rPr>
      </w:pPr>
      <w:r w:rsidRPr="00EA1C18">
        <w:rPr>
          <w:rStyle w:val="FootnoteReference"/>
        </w:rPr>
        <w:footnoteRef/>
      </w:r>
      <w:r w:rsidRPr="00EA1C18">
        <w:rPr>
          <w:lang w:eastAsia="zh-CN"/>
        </w:rPr>
        <w:t xml:space="preserve"> </w:t>
      </w:r>
      <w:r w:rsidRPr="0092032F">
        <w:rPr>
          <w:lang w:eastAsia="zh-CN"/>
        </w:rPr>
        <w:t>第</w:t>
      </w:r>
      <w:hyperlink r:id="rId4" w:history="1">
        <w:r w:rsidRPr="0092032F">
          <w:rPr>
            <w:rStyle w:val="Hyperlink"/>
            <w:lang w:eastAsia="zh-CN"/>
          </w:rPr>
          <w:t>15/4</w:t>
        </w:r>
      </w:hyperlink>
      <w:r w:rsidRPr="0092032F">
        <w:rPr>
          <w:lang w:eastAsia="zh-CN"/>
        </w:rPr>
        <w:t>号决定，附件。</w:t>
      </w:r>
    </w:p>
  </w:footnote>
  <w:footnote w:id="13">
    <w:p w14:paraId="4D28EB57" w14:textId="77777777" w:rsidR="00D84F2F" w:rsidRPr="00F40B9C" w:rsidRDefault="00D84F2F" w:rsidP="00D84F2F">
      <w:pPr>
        <w:rPr>
          <w:sz w:val="20"/>
          <w:szCs w:val="20"/>
          <w:lang w:eastAsia="zh-CN"/>
        </w:rPr>
      </w:pPr>
      <w:r w:rsidRPr="00F40B9C">
        <w:rPr>
          <w:rStyle w:val="FootnoteReference"/>
          <w:sz w:val="20"/>
          <w:szCs w:val="20"/>
        </w:rPr>
        <w:footnoteRef/>
      </w:r>
      <w:r w:rsidRPr="00F40B9C">
        <w:rPr>
          <w:sz w:val="20"/>
          <w:szCs w:val="20"/>
          <w:lang w:eastAsia="zh-CN"/>
        </w:rPr>
        <w:t xml:space="preserve"> </w:t>
      </w:r>
      <w:r w:rsidRPr="0092032F">
        <w:rPr>
          <w:sz w:val="18"/>
          <w:szCs w:val="20"/>
          <w:lang w:eastAsia="zh-CN"/>
        </w:rPr>
        <w:t>为</w:t>
      </w:r>
      <w:r w:rsidRPr="0092032F">
        <w:rPr>
          <w:rFonts w:hint="eastAsia"/>
          <w:sz w:val="18"/>
          <w:szCs w:val="20"/>
          <w:lang w:eastAsia="zh-CN"/>
        </w:rPr>
        <w:t>本套准则之目的，“准则”系指自愿准则。</w:t>
      </w:r>
    </w:p>
  </w:footnote>
  <w:footnote w:id="14">
    <w:p w14:paraId="35D94BE3" w14:textId="77777777" w:rsidR="00CE5994" w:rsidRPr="00EA1C18" w:rsidRDefault="00CE5994" w:rsidP="00CE5994">
      <w:pPr>
        <w:pStyle w:val="FootnoteText"/>
        <w:rPr>
          <w:lang w:eastAsia="zh-CN"/>
        </w:rPr>
      </w:pPr>
      <w:r w:rsidRPr="00EA1C18">
        <w:rPr>
          <w:rStyle w:val="FootnoteReference"/>
        </w:rPr>
        <w:footnoteRef/>
      </w:r>
      <w:r w:rsidRPr="00EA1C18">
        <w:rPr>
          <w:lang w:eastAsia="zh-CN"/>
        </w:rPr>
        <w:t xml:space="preserve"> </w:t>
      </w:r>
      <w:r w:rsidRPr="0092032F">
        <w:rPr>
          <w:lang w:eastAsia="zh-CN"/>
        </w:rPr>
        <w:t>第</w:t>
      </w:r>
      <w:hyperlink r:id="rId5" w:history="1">
        <w:r w:rsidRPr="0092032F">
          <w:rPr>
            <w:rStyle w:val="Hyperlink"/>
            <w:lang w:eastAsia="zh-CN"/>
          </w:rPr>
          <w:t>15/4</w:t>
        </w:r>
      </w:hyperlink>
      <w:r w:rsidRPr="0092032F">
        <w:rPr>
          <w:lang w:eastAsia="zh-CN"/>
        </w:rPr>
        <w:t>号决定，附件。</w:t>
      </w:r>
    </w:p>
  </w:footnote>
  <w:footnote w:id="15">
    <w:p w14:paraId="6C4110CA" w14:textId="77777777" w:rsidR="00813176" w:rsidRPr="00EA1C18" w:rsidRDefault="00813176" w:rsidP="00813176">
      <w:pPr>
        <w:pStyle w:val="FootnoteText"/>
        <w:rPr>
          <w:lang w:eastAsia="zh-CN"/>
        </w:rPr>
      </w:pPr>
      <w:r w:rsidRPr="00EA1C18">
        <w:rPr>
          <w:rStyle w:val="FootnoteReference"/>
        </w:rPr>
        <w:footnoteRef/>
      </w:r>
      <w:r w:rsidRPr="00EA1C18">
        <w:rPr>
          <w:lang w:eastAsia="zh-CN"/>
        </w:rPr>
        <w:t xml:space="preserve"> </w:t>
      </w:r>
      <w:r w:rsidR="007E23A5">
        <w:rPr>
          <w:rFonts w:hint="eastAsia"/>
          <w:lang w:eastAsia="zh-CN"/>
        </w:rPr>
        <w:t>大会第</w:t>
      </w:r>
      <w:r w:rsidRPr="00EA1C18">
        <w:rPr>
          <w:lang w:eastAsia="zh-CN"/>
        </w:rPr>
        <w:t>61/295</w:t>
      </w:r>
      <w:r w:rsidR="007E23A5">
        <w:rPr>
          <w:rFonts w:hint="eastAsia"/>
          <w:lang w:eastAsia="zh-CN"/>
        </w:rPr>
        <w:t>号决议，附件。</w:t>
      </w:r>
    </w:p>
  </w:footnote>
  <w:footnote w:id="16">
    <w:p w14:paraId="172E009C" w14:textId="77777777" w:rsidR="006C6400" w:rsidRPr="00C0791C" w:rsidRDefault="006C6400">
      <w:pPr>
        <w:pStyle w:val="FootnoteText"/>
        <w:rPr>
          <w:lang w:eastAsia="zh-CN"/>
        </w:rPr>
      </w:pPr>
      <w:r w:rsidRPr="00EA1C18">
        <w:rPr>
          <w:rStyle w:val="FootnoteReference"/>
        </w:rPr>
        <w:footnoteRef/>
      </w:r>
      <w:r w:rsidRPr="00EA1C18">
        <w:rPr>
          <w:lang w:eastAsia="zh-CN"/>
        </w:rPr>
        <w:t xml:space="preserve"> </w:t>
      </w:r>
      <w:r w:rsidR="007E23A5">
        <w:rPr>
          <w:rFonts w:hint="eastAsia"/>
          <w:lang w:eastAsia="zh-CN"/>
        </w:rPr>
        <w:t>不应认为土著人民和地方社区的领地、土地和水域必然需要恢复。</w:t>
      </w:r>
    </w:p>
  </w:footnote>
  <w:footnote w:id="17">
    <w:p w14:paraId="28C81B75" w14:textId="77777777" w:rsidR="00510072" w:rsidRPr="00EA1C18" w:rsidRDefault="00510072" w:rsidP="00510072">
      <w:pPr>
        <w:pStyle w:val="FootnoteText"/>
        <w:rPr>
          <w:lang w:eastAsia="zh-CN"/>
        </w:rPr>
      </w:pPr>
      <w:r w:rsidRPr="00EA1C18">
        <w:rPr>
          <w:rStyle w:val="FootnoteReference"/>
        </w:rPr>
        <w:footnoteRef/>
      </w:r>
      <w:r w:rsidRPr="00EA1C18">
        <w:rPr>
          <w:lang w:eastAsia="zh-CN"/>
        </w:rPr>
        <w:t xml:space="preserve"> </w:t>
      </w:r>
      <w:r>
        <w:rPr>
          <w:rFonts w:hint="eastAsia"/>
          <w:lang w:eastAsia="zh-CN"/>
        </w:rPr>
        <w:t>第</w:t>
      </w:r>
      <w:hyperlink r:id="rId6" w:history="1">
        <w:r w:rsidRPr="00C324EA">
          <w:rPr>
            <w:rStyle w:val="Hyperlink"/>
            <w:lang w:eastAsia="zh-CN"/>
          </w:rPr>
          <w:t>VII/16 F</w:t>
        </w:r>
      </w:hyperlink>
      <w:r>
        <w:rPr>
          <w:rFonts w:hint="eastAsia"/>
          <w:lang w:eastAsia="zh-CN"/>
        </w:rPr>
        <w:t>号决定，附件。</w:t>
      </w:r>
    </w:p>
  </w:footnote>
  <w:footnote w:id="18">
    <w:p w14:paraId="1FD21D1D" w14:textId="7F0F8C43" w:rsidR="00510072" w:rsidRPr="00EA1C18" w:rsidRDefault="00510072" w:rsidP="000543CA">
      <w:pPr>
        <w:pStyle w:val="FootnoteText"/>
        <w:rPr>
          <w:lang w:eastAsia="zh-CN"/>
        </w:rPr>
      </w:pPr>
      <w:r w:rsidRPr="00EA1C18">
        <w:rPr>
          <w:rStyle w:val="FootnoteReference"/>
        </w:rPr>
        <w:footnoteRef/>
      </w:r>
      <w:r w:rsidRPr="00EA1C18">
        <w:rPr>
          <w:lang w:eastAsia="zh-CN"/>
        </w:rPr>
        <w:t xml:space="preserve"> </w:t>
      </w:r>
      <w:r>
        <w:rPr>
          <w:rFonts w:hint="eastAsia"/>
          <w:lang w:eastAsia="zh-CN"/>
        </w:rPr>
        <w:t>缔约方大会在第</w:t>
      </w:r>
      <w:hyperlink r:id="rId7" w:history="1">
        <w:r w:rsidR="006C2553">
          <w:rPr>
            <w:rStyle w:val="Hyperlink"/>
            <w:lang w:eastAsia="zh-CN"/>
          </w:rPr>
          <w:t>X</w:t>
        </w:r>
        <w:r w:rsidRPr="000543CA">
          <w:rPr>
            <w:rStyle w:val="Hyperlink"/>
            <w:rFonts w:hint="eastAsia"/>
            <w:lang w:eastAsia="zh-CN"/>
          </w:rPr>
          <w:t>II/12</w:t>
        </w:r>
      </w:hyperlink>
      <w:proofErr w:type="gramStart"/>
      <w:r>
        <w:rPr>
          <w:rFonts w:hint="eastAsia"/>
          <w:lang w:eastAsia="zh-CN"/>
        </w:rPr>
        <w:t>号决定</w:t>
      </w:r>
      <w:proofErr w:type="gramEnd"/>
      <w:r>
        <w:rPr>
          <w:rFonts w:hint="eastAsia"/>
          <w:lang w:eastAsia="zh-CN"/>
        </w:rPr>
        <w:t>中决定使用“土著人民和地方社区”一词，在第</w:t>
      </w:r>
      <w:hyperlink r:id="rId8" w:history="1">
        <w:r w:rsidR="00D73009">
          <w:rPr>
            <w:rStyle w:val="Hyperlink"/>
            <w:lang w:eastAsia="zh-CN"/>
          </w:rPr>
          <w:t>X</w:t>
        </w:r>
        <w:r w:rsidRPr="000543CA">
          <w:rPr>
            <w:rStyle w:val="Hyperlink"/>
            <w:rFonts w:hint="eastAsia"/>
            <w:lang w:eastAsia="zh-CN"/>
          </w:rPr>
          <w:t>III/18</w:t>
        </w:r>
      </w:hyperlink>
      <w:proofErr w:type="gramStart"/>
      <w:r>
        <w:rPr>
          <w:rFonts w:hint="eastAsia"/>
          <w:lang w:eastAsia="zh-CN"/>
        </w:rPr>
        <w:t>号决定</w:t>
      </w:r>
      <w:proofErr w:type="gramEnd"/>
      <w:r>
        <w:rPr>
          <w:rFonts w:hint="eastAsia"/>
          <w:lang w:eastAsia="zh-CN"/>
        </w:rPr>
        <w:t>的</w:t>
      </w:r>
      <w:r w:rsidR="000543CA" w:rsidRPr="000543CA">
        <w:rPr>
          <w:lang w:val="en-US" w:eastAsia="zh-CN"/>
        </w:rPr>
        <w:t>《</w:t>
      </w:r>
      <w:r w:rsidR="000543CA" w:rsidRPr="000543CA">
        <w:rPr>
          <w:lang w:val="en-US" w:eastAsia="zh-CN"/>
        </w:rPr>
        <w:t>“</w:t>
      </w:r>
      <w:r w:rsidR="000543CA" w:rsidRPr="000543CA">
        <w:rPr>
          <w:lang w:val="en-US" w:eastAsia="zh-CN"/>
        </w:rPr>
        <w:t>生命之根</w:t>
      </w:r>
      <w:r w:rsidR="000543CA" w:rsidRPr="000543CA">
        <w:rPr>
          <w:lang w:val="en-US" w:eastAsia="zh-CN"/>
        </w:rPr>
        <w:t>”</w:t>
      </w:r>
      <w:r w:rsidR="000543CA" w:rsidRPr="000543CA">
        <w:rPr>
          <w:lang w:val="en-US" w:eastAsia="zh-CN"/>
        </w:rPr>
        <w:t>自愿准则》</w:t>
      </w:r>
      <w:r>
        <w:rPr>
          <w:rFonts w:hint="eastAsia"/>
          <w:lang w:eastAsia="zh-CN"/>
        </w:rPr>
        <w:t>中决定使用</w:t>
      </w:r>
      <w:r w:rsidR="000543CA">
        <w:rPr>
          <w:rFonts w:hint="eastAsia"/>
          <w:lang w:eastAsia="zh-CN"/>
        </w:rPr>
        <w:t>“</w:t>
      </w:r>
      <w:r w:rsidR="000543CA" w:rsidRPr="000543CA">
        <w:rPr>
          <w:lang w:val="en-US" w:eastAsia="zh-CN"/>
        </w:rPr>
        <w:t>自由、事先和知情同意</w:t>
      </w:r>
      <w:r w:rsidR="000543CA">
        <w:rPr>
          <w:rFonts w:hint="eastAsia"/>
          <w:lang w:eastAsia="zh-CN"/>
        </w:rPr>
        <w:t>”的说法。</w:t>
      </w:r>
    </w:p>
  </w:footnote>
  <w:footnote w:id="19">
    <w:p w14:paraId="706188A5" w14:textId="490BE015" w:rsidR="00185D4D" w:rsidRPr="00C0791C" w:rsidRDefault="00185D4D" w:rsidP="00185D4D">
      <w:pPr>
        <w:tabs>
          <w:tab w:val="left" w:pos="2835"/>
          <w:tab w:val="left" w:pos="3402"/>
        </w:tabs>
        <w:rPr>
          <w:sz w:val="18"/>
          <w:szCs w:val="18"/>
          <w:lang w:eastAsia="zh-CN"/>
        </w:rPr>
      </w:pPr>
      <w:r w:rsidRPr="00C0791C">
        <w:rPr>
          <w:rStyle w:val="FootnoteReference"/>
          <w:sz w:val="18"/>
          <w:szCs w:val="18"/>
        </w:rPr>
        <w:footnoteRef/>
      </w:r>
      <w:r w:rsidRPr="00C0791C">
        <w:rPr>
          <w:sz w:val="18"/>
          <w:szCs w:val="18"/>
          <w:lang w:eastAsia="zh-CN"/>
        </w:rPr>
        <w:t xml:space="preserve"> </w:t>
      </w:r>
      <w:r w:rsidR="00941747" w:rsidRPr="00941747">
        <w:rPr>
          <w:rFonts w:hint="eastAsia"/>
          <w:sz w:val="18"/>
          <w:szCs w:val="18"/>
          <w:lang w:val="en-US" w:eastAsia="zh-CN"/>
        </w:rPr>
        <w:t>在执行公约第八</w:t>
      </w:r>
      <w:r w:rsidR="00941747" w:rsidRPr="00941747">
        <w:rPr>
          <w:rFonts w:hint="eastAsia"/>
          <w:sz w:val="18"/>
          <w:szCs w:val="18"/>
          <w:lang w:val="en-US" w:eastAsia="zh-CN"/>
        </w:rPr>
        <w:t>(j)</w:t>
      </w:r>
      <w:r w:rsidR="00941747" w:rsidRPr="00941747">
        <w:rPr>
          <w:sz w:val="18"/>
          <w:szCs w:val="18"/>
          <w:lang w:val="en-US" w:eastAsia="zh-CN"/>
        </w:rPr>
        <w:t>条</w:t>
      </w:r>
      <w:r w:rsidR="00941747" w:rsidRPr="00941747">
        <w:rPr>
          <w:rFonts w:hint="eastAsia"/>
          <w:sz w:val="18"/>
          <w:szCs w:val="18"/>
          <w:lang w:val="en-US" w:eastAsia="zh-CN"/>
        </w:rPr>
        <w:t>和</w:t>
      </w:r>
      <w:r w:rsidR="00941747" w:rsidRPr="00941747">
        <w:rPr>
          <w:sz w:val="18"/>
          <w:szCs w:val="18"/>
          <w:lang w:val="en-US" w:eastAsia="zh-CN"/>
        </w:rPr>
        <w:t>其他条款</w:t>
      </w:r>
      <w:r w:rsidR="00941747" w:rsidRPr="00941747">
        <w:rPr>
          <w:rFonts w:hint="eastAsia"/>
          <w:sz w:val="18"/>
          <w:szCs w:val="18"/>
          <w:lang w:val="en-US" w:eastAsia="zh-CN"/>
        </w:rPr>
        <w:t>工作方案的任务</w:t>
      </w:r>
      <w:r w:rsidR="00941747" w:rsidRPr="00941747">
        <w:rPr>
          <w:rFonts w:hint="eastAsia"/>
          <w:sz w:val="18"/>
          <w:szCs w:val="18"/>
          <w:lang w:val="en-US" w:eastAsia="zh-CN"/>
        </w:rPr>
        <w:t>1.1</w:t>
      </w:r>
      <w:r w:rsidR="00941747" w:rsidRPr="00941747">
        <w:rPr>
          <w:rFonts w:hint="eastAsia"/>
          <w:sz w:val="18"/>
          <w:szCs w:val="18"/>
          <w:lang w:val="en-US" w:eastAsia="zh-CN"/>
        </w:rPr>
        <w:t>和</w:t>
      </w:r>
      <w:r w:rsidR="00941747" w:rsidRPr="00941747">
        <w:rPr>
          <w:rFonts w:hint="eastAsia"/>
          <w:sz w:val="18"/>
          <w:szCs w:val="18"/>
          <w:lang w:val="en-US" w:eastAsia="zh-CN"/>
        </w:rPr>
        <w:t>1.2</w:t>
      </w:r>
      <w:r w:rsidR="00941747" w:rsidRPr="00941747">
        <w:rPr>
          <w:rFonts w:hint="eastAsia"/>
          <w:sz w:val="18"/>
          <w:szCs w:val="18"/>
          <w:lang w:val="en-US" w:eastAsia="zh-CN"/>
        </w:rPr>
        <w:t>时，应对“自由、事先和知情同意”理解如下：</w:t>
      </w:r>
    </w:p>
    <w:p w14:paraId="68C4091E" w14:textId="7269F663" w:rsidR="00185D4D" w:rsidRPr="00C0791C" w:rsidRDefault="00941747" w:rsidP="00185D4D">
      <w:pPr>
        <w:pStyle w:val="ListParagraph"/>
        <w:numPr>
          <w:ilvl w:val="0"/>
          <w:numId w:val="30"/>
        </w:numPr>
        <w:tabs>
          <w:tab w:val="clear" w:pos="567"/>
          <w:tab w:val="left" w:pos="2835"/>
          <w:tab w:val="left" w:pos="3402"/>
        </w:tabs>
        <w:rPr>
          <w:sz w:val="18"/>
          <w:szCs w:val="18"/>
          <w:lang w:eastAsia="zh-CN"/>
        </w:rPr>
      </w:pPr>
      <w:r w:rsidRPr="00941747">
        <w:rPr>
          <w:rFonts w:hint="eastAsia"/>
          <w:sz w:val="18"/>
          <w:szCs w:val="18"/>
          <w:lang w:val="en-US" w:eastAsia="zh-CN"/>
        </w:rPr>
        <w:t>“自由”确保土著人民和地方社区能够在不受胁迫、压力、操纵或不当影响的情况下做出决策。参与必须是自愿的，并基于其自身的决策过程。</w:t>
      </w:r>
    </w:p>
    <w:p w14:paraId="439EA262" w14:textId="236686D6" w:rsidR="00185D4D" w:rsidRPr="00C0791C" w:rsidRDefault="00941747" w:rsidP="00185D4D">
      <w:pPr>
        <w:pStyle w:val="ListParagraph"/>
        <w:numPr>
          <w:ilvl w:val="0"/>
          <w:numId w:val="30"/>
        </w:numPr>
        <w:tabs>
          <w:tab w:val="clear" w:pos="567"/>
          <w:tab w:val="left" w:pos="2835"/>
          <w:tab w:val="left" w:pos="3402"/>
        </w:tabs>
        <w:rPr>
          <w:sz w:val="18"/>
          <w:szCs w:val="18"/>
          <w:lang w:eastAsia="zh-CN"/>
        </w:rPr>
      </w:pPr>
      <w:r w:rsidRPr="00941747">
        <w:rPr>
          <w:rFonts w:hint="eastAsia"/>
          <w:sz w:val="18"/>
          <w:szCs w:val="18"/>
          <w:lang w:val="en-US" w:eastAsia="zh-CN"/>
        </w:rPr>
        <w:t>“事先”要求必须在批准任何修复项目、空间规划举措、土地或海洋用途变更或环境影响评估之前早早提前征得同意，并尊重土著人民和地方社区建立的习惯治理制度和确定的时间表。</w:t>
      </w:r>
    </w:p>
    <w:p w14:paraId="37C86551" w14:textId="65E8688A" w:rsidR="00185D4D" w:rsidRPr="00C0791C" w:rsidRDefault="00941747" w:rsidP="00185D4D">
      <w:pPr>
        <w:pStyle w:val="ListParagraph"/>
        <w:numPr>
          <w:ilvl w:val="0"/>
          <w:numId w:val="30"/>
        </w:numPr>
        <w:tabs>
          <w:tab w:val="clear" w:pos="567"/>
          <w:tab w:val="left" w:pos="2835"/>
          <w:tab w:val="left" w:pos="3402"/>
        </w:tabs>
        <w:rPr>
          <w:sz w:val="18"/>
          <w:szCs w:val="18"/>
          <w:lang w:eastAsia="zh-CN"/>
        </w:rPr>
      </w:pPr>
      <w:r w:rsidRPr="00941747">
        <w:rPr>
          <w:rFonts w:hint="eastAsia"/>
          <w:sz w:val="18"/>
          <w:szCs w:val="18"/>
          <w:lang w:val="en-US" w:eastAsia="zh-CN"/>
        </w:rPr>
        <w:t>“知情”是指必须提供完整、易于获取和文化上适宜的信息，包括使用土著语言的信息，涵盖任何拟议活动的目的、范围、持续时间和潜在影响。所提供的信息必须包括预期成果、风险、实施行为体、程序性步骤和惠益分享安排。</w:t>
      </w:r>
    </w:p>
    <w:p w14:paraId="1DE3947E" w14:textId="542900AA" w:rsidR="00185D4D" w:rsidRPr="00EA1C18" w:rsidRDefault="00941747" w:rsidP="00185D4D">
      <w:pPr>
        <w:pStyle w:val="FootnoteText"/>
        <w:numPr>
          <w:ilvl w:val="0"/>
          <w:numId w:val="30"/>
        </w:numPr>
        <w:tabs>
          <w:tab w:val="clear" w:pos="567"/>
          <w:tab w:val="clear" w:pos="1134"/>
          <w:tab w:val="clear" w:pos="1701"/>
          <w:tab w:val="clear" w:pos="2268"/>
        </w:tabs>
        <w:rPr>
          <w:lang w:eastAsia="zh-CN"/>
        </w:rPr>
      </w:pPr>
      <w:r w:rsidRPr="00941747">
        <w:rPr>
          <w:rFonts w:hint="eastAsia"/>
          <w:lang w:val="en-US" w:eastAsia="zh-CN"/>
        </w:rPr>
        <w:t>“同意”意味着土著人民和当地社区或其主管当局对影响其权利、土地或知识的事项表示同意或拒绝同意的权利。</w:t>
      </w:r>
    </w:p>
  </w:footnote>
  <w:footnote w:id="20">
    <w:p w14:paraId="1ECC4BA1" w14:textId="77777777" w:rsidR="00AF5CE1" w:rsidRPr="00C0791C" w:rsidRDefault="00AF5CE1" w:rsidP="00AF5CE1">
      <w:pPr>
        <w:pStyle w:val="FootnoteText"/>
      </w:pPr>
      <w:r w:rsidRPr="00EA1C18">
        <w:rPr>
          <w:rStyle w:val="FootnoteReference"/>
        </w:rPr>
        <w:footnoteRef/>
      </w:r>
      <w:r w:rsidRPr="00EA1C18">
        <w:t xml:space="preserve"> </w:t>
      </w:r>
      <w:r>
        <w:rPr>
          <w:rFonts w:hint="eastAsia"/>
          <w:lang w:eastAsia="zh-CN"/>
        </w:rPr>
        <w:t>见第</w:t>
      </w:r>
      <w:r w:rsidRPr="00C0791C">
        <w:t>16/31</w:t>
      </w:r>
      <w:r>
        <w:rPr>
          <w:rFonts w:hint="eastAsia"/>
          <w:lang w:eastAsia="zh-CN"/>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E539E" w14:textId="77777777" w:rsidR="00DF78C4" w:rsidRPr="00DF78C4" w:rsidRDefault="00DF78C4" w:rsidP="00DF78C4">
    <w:pPr>
      <w:pStyle w:val="CBDHeader"/>
      <w:rPr>
        <w:lang w:val="en-US"/>
      </w:rPr>
    </w:pPr>
    <w:r w:rsidRPr="00C0791C">
      <w:rPr>
        <w:lang w:val="en-US"/>
      </w:rPr>
      <w:t>CBD/SB</w:t>
    </w:r>
    <w:r w:rsidR="00023B83" w:rsidRPr="00C0791C">
      <w:rPr>
        <w:lang w:val="en-US"/>
      </w:rPr>
      <w:t>8J</w:t>
    </w:r>
    <w:r w:rsidRPr="00C0791C">
      <w:rPr>
        <w:lang w:val="en-US"/>
      </w:rPr>
      <w:t>/</w:t>
    </w:r>
    <w:r w:rsidR="00023B83" w:rsidRPr="00C0791C">
      <w:rPr>
        <w:lang w:val="en-US"/>
      </w:rPr>
      <w:t>1</w:t>
    </w:r>
    <w:r w:rsidRPr="00C0791C">
      <w:rPr>
        <w:lang w:val="en-US"/>
      </w:rPr>
      <w:t>/</w:t>
    </w:r>
    <w:r w:rsidR="00665B56" w:rsidRPr="00C0791C">
      <w:rPr>
        <w:lang w:val="en-US"/>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F29D1" w14:textId="77777777" w:rsidR="00DF78C4" w:rsidRPr="00DF78C4" w:rsidRDefault="00DF78C4" w:rsidP="00DF78C4">
    <w:pPr>
      <w:pStyle w:val="CBDHeader"/>
      <w:jc w:val="right"/>
      <w:rPr>
        <w:lang w:val="en-US"/>
      </w:rPr>
    </w:pPr>
    <w:r w:rsidRPr="00C0791C">
      <w:rPr>
        <w:lang w:val="en-US"/>
      </w:rPr>
      <w:t>CBD/SB</w:t>
    </w:r>
    <w:r w:rsidR="00023B83" w:rsidRPr="00C0791C">
      <w:rPr>
        <w:lang w:val="en-US"/>
      </w:rPr>
      <w:t>8J</w:t>
    </w:r>
    <w:r w:rsidRPr="00C0791C">
      <w:rPr>
        <w:lang w:val="en-US"/>
      </w:rPr>
      <w:t>/</w:t>
    </w:r>
    <w:r w:rsidR="00023B83" w:rsidRPr="00C0791C">
      <w:rPr>
        <w:lang w:val="en-US"/>
      </w:rPr>
      <w:t>1</w:t>
    </w:r>
    <w:r w:rsidRPr="00C0791C">
      <w:rPr>
        <w:lang w:val="en-US"/>
      </w:rPr>
      <w:t>/</w:t>
    </w:r>
    <w:r w:rsidR="00665B56" w:rsidRPr="00C0791C">
      <w:rPr>
        <w:lang w:val="en-US"/>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E0E23D1"/>
    <w:multiLevelType w:val="hybridMultilevel"/>
    <w:tmpl w:val="4B06AF7E"/>
    <w:lvl w:ilvl="0" w:tplc="BEF4446C">
      <w:start w:val="1"/>
      <w:numFmt w:val="upperLetter"/>
      <w:lvlText w:val="%1."/>
      <w:lvlJc w:val="left"/>
      <w:pPr>
        <w:ind w:left="1080" w:hanging="360"/>
      </w:pPr>
      <w:rPr>
        <w:rFonts w:eastAsia="DengXian Light"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596923"/>
    <w:multiLevelType w:val="hybridMultilevel"/>
    <w:tmpl w:val="41E20B7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2E615F7"/>
    <w:multiLevelType w:val="hybridMultilevel"/>
    <w:tmpl w:val="A296D0A2"/>
    <w:lvl w:ilvl="0" w:tplc="ED48A0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456C9F"/>
    <w:multiLevelType w:val="hybridMultilevel"/>
    <w:tmpl w:val="10AE4D12"/>
    <w:lvl w:ilvl="0" w:tplc="B03C9224">
      <w:start w:val="1"/>
      <w:numFmt w:val="upperRoman"/>
      <w:lvlText w:val="%1."/>
      <w:lvlJc w:val="left"/>
      <w:pPr>
        <w:ind w:left="1077" w:hanging="72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4" w15:restartNumberingAfterBreak="0">
    <w:nsid w:val="2DA5617B"/>
    <w:multiLevelType w:val="hybridMultilevel"/>
    <w:tmpl w:val="4386C532"/>
    <w:lvl w:ilvl="0" w:tplc="203ACCFA">
      <w:start w:val="1"/>
      <w:numFmt w:val="decimal"/>
      <w:lvlText w:val="%1."/>
      <w:lvlJc w:val="left"/>
      <w:pPr>
        <w:ind w:left="786"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5" w15:restartNumberingAfterBreak="0">
    <w:nsid w:val="34803EE6"/>
    <w:multiLevelType w:val="hybridMultilevel"/>
    <w:tmpl w:val="A2EA70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4C30A4"/>
    <w:multiLevelType w:val="hybridMultilevel"/>
    <w:tmpl w:val="6E6493EC"/>
    <w:lvl w:ilvl="0" w:tplc="67047A96">
      <w:start w:val="1"/>
      <w:numFmt w:val="lowerLetter"/>
      <w:lvlText w:val="%1)"/>
      <w:lvlJc w:val="left"/>
      <w:pPr>
        <w:ind w:left="1320" w:hanging="360"/>
      </w:pPr>
    </w:lvl>
    <w:lvl w:ilvl="1" w:tplc="5450FB94">
      <w:start w:val="1"/>
      <w:numFmt w:val="lowerLetter"/>
      <w:lvlText w:val="%2)"/>
      <w:lvlJc w:val="left"/>
      <w:pPr>
        <w:ind w:left="1320" w:hanging="360"/>
      </w:pPr>
    </w:lvl>
    <w:lvl w:ilvl="2" w:tplc="126E552A">
      <w:start w:val="1"/>
      <w:numFmt w:val="lowerLetter"/>
      <w:lvlText w:val="%3)"/>
      <w:lvlJc w:val="left"/>
      <w:pPr>
        <w:ind w:left="1320" w:hanging="360"/>
      </w:pPr>
    </w:lvl>
    <w:lvl w:ilvl="3" w:tplc="C20276AA">
      <w:start w:val="1"/>
      <w:numFmt w:val="lowerLetter"/>
      <w:lvlText w:val="%4)"/>
      <w:lvlJc w:val="left"/>
      <w:pPr>
        <w:ind w:left="1320" w:hanging="360"/>
      </w:pPr>
    </w:lvl>
    <w:lvl w:ilvl="4" w:tplc="D1DA4FAA">
      <w:start w:val="1"/>
      <w:numFmt w:val="lowerLetter"/>
      <w:lvlText w:val="%5)"/>
      <w:lvlJc w:val="left"/>
      <w:pPr>
        <w:ind w:left="1320" w:hanging="360"/>
      </w:pPr>
    </w:lvl>
    <w:lvl w:ilvl="5" w:tplc="887A4718">
      <w:start w:val="1"/>
      <w:numFmt w:val="lowerLetter"/>
      <w:lvlText w:val="%6)"/>
      <w:lvlJc w:val="left"/>
      <w:pPr>
        <w:ind w:left="1320" w:hanging="360"/>
      </w:pPr>
    </w:lvl>
    <w:lvl w:ilvl="6" w:tplc="CB5AC100">
      <w:start w:val="1"/>
      <w:numFmt w:val="lowerLetter"/>
      <w:lvlText w:val="%7)"/>
      <w:lvlJc w:val="left"/>
      <w:pPr>
        <w:ind w:left="1320" w:hanging="360"/>
      </w:pPr>
    </w:lvl>
    <w:lvl w:ilvl="7" w:tplc="D15A09D6">
      <w:start w:val="1"/>
      <w:numFmt w:val="lowerLetter"/>
      <w:lvlText w:val="%8)"/>
      <w:lvlJc w:val="left"/>
      <w:pPr>
        <w:ind w:left="1320" w:hanging="360"/>
      </w:pPr>
    </w:lvl>
    <w:lvl w:ilvl="8" w:tplc="B496771E">
      <w:start w:val="1"/>
      <w:numFmt w:val="lowerLetter"/>
      <w:lvlText w:val="%9)"/>
      <w:lvlJc w:val="left"/>
      <w:pPr>
        <w:ind w:left="1320" w:hanging="36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2552"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58EB718D"/>
    <w:multiLevelType w:val="hybridMultilevel"/>
    <w:tmpl w:val="7EBA19A6"/>
    <w:lvl w:ilvl="0" w:tplc="88267DE2">
      <w:start w:val="1"/>
      <w:numFmt w:val="decimal"/>
      <w:lvlText w:val="%1."/>
      <w:lvlJc w:val="left"/>
      <w:pPr>
        <w:ind w:left="931" w:hanging="360"/>
      </w:pPr>
      <w:rPr>
        <w:rFonts w:ascii="Times New Roman" w:hAnsi="Times New Roman" w:cs="Times New Roman" w:hint="default"/>
        <w:b w:val="0"/>
        <w:bCs w:val="0"/>
        <w:sz w:val="22"/>
        <w:szCs w:val="22"/>
      </w:rPr>
    </w:lvl>
    <w:lvl w:ilvl="1" w:tplc="FFFFFFFF">
      <w:start w:val="1"/>
      <w:numFmt w:val="lowerLetter"/>
      <w:lvlText w:val="%2."/>
      <w:lvlJc w:val="left"/>
      <w:pPr>
        <w:ind w:left="1637" w:hanging="360"/>
      </w:pPr>
    </w:lvl>
    <w:lvl w:ilvl="2" w:tplc="FFFFFFFF">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19" w15:restartNumberingAfterBreak="0">
    <w:nsid w:val="5D943BEE"/>
    <w:multiLevelType w:val="multilevel"/>
    <w:tmpl w:val="222A08B4"/>
    <w:numStyleLink w:val="ListCBD"/>
  </w:abstractNum>
  <w:abstractNum w:abstractNumId="20" w15:restartNumberingAfterBreak="0">
    <w:nsid w:val="68EB4582"/>
    <w:multiLevelType w:val="hybridMultilevel"/>
    <w:tmpl w:val="2C645FCC"/>
    <w:lvl w:ilvl="0" w:tplc="99FCD3CA">
      <w:start w:val="1"/>
      <w:numFmt w:val="upperLetter"/>
      <w:lvlText w:val="%1."/>
      <w:lvlJc w:val="left"/>
      <w:pPr>
        <w:ind w:left="1437" w:hanging="360"/>
      </w:pPr>
      <w:rPr>
        <w:rFonts w:ascii="Times New Roman" w:hAnsi="Times New Roman" w:cs="Times New Roman" w:hint="default"/>
        <w:b/>
        <w:bCs/>
        <w:color w:val="auto"/>
        <w:sz w:val="24"/>
        <w:szCs w:val="24"/>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1"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3" w15:restartNumberingAfterBreak="0">
    <w:nsid w:val="7BFE1A85"/>
    <w:multiLevelType w:val="hybridMultilevel"/>
    <w:tmpl w:val="2C645FCC"/>
    <w:lvl w:ilvl="0" w:tplc="FFFFFFFF">
      <w:start w:val="1"/>
      <w:numFmt w:val="upperLetter"/>
      <w:lvlText w:val="%1."/>
      <w:lvlJc w:val="left"/>
      <w:pPr>
        <w:ind w:left="1437" w:hanging="360"/>
      </w:pPr>
      <w:rPr>
        <w:rFonts w:ascii="Times New Roman" w:hAnsi="Times New Roman" w:cs="Times New Roman" w:hint="default"/>
        <w:b/>
        <w:bCs/>
        <w:color w:val="auto"/>
        <w:sz w:val="24"/>
        <w:szCs w:val="24"/>
      </w:rPr>
    </w:lvl>
    <w:lvl w:ilvl="1" w:tplc="FFFFFFFF" w:tentative="1">
      <w:start w:val="1"/>
      <w:numFmt w:val="lowerLetter"/>
      <w:lvlText w:val="%2."/>
      <w:lvlJc w:val="left"/>
      <w:pPr>
        <w:ind w:left="2157" w:hanging="360"/>
      </w:pPr>
    </w:lvl>
    <w:lvl w:ilvl="2" w:tplc="FFFFFFFF" w:tentative="1">
      <w:start w:val="1"/>
      <w:numFmt w:val="lowerRoman"/>
      <w:lvlText w:val="%3."/>
      <w:lvlJc w:val="right"/>
      <w:pPr>
        <w:ind w:left="2877" w:hanging="180"/>
      </w:pPr>
    </w:lvl>
    <w:lvl w:ilvl="3" w:tplc="FFFFFFFF" w:tentative="1">
      <w:start w:val="1"/>
      <w:numFmt w:val="decimal"/>
      <w:lvlText w:val="%4."/>
      <w:lvlJc w:val="left"/>
      <w:pPr>
        <w:ind w:left="3597" w:hanging="360"/>
      </w:pPr>
    </w:lvl>
    <w:lvl w:ilvl="4" w:tplc="FFFFFFFF" w:tentative="1">
      <w:start w:val="1"/>
      <w:numFmt w:val="lowerLetter"/>
      <w:lvlText w:val="%5."/>
      <w:lvlJc w:val="left"/>
      <w:pPr>
        <w:ind w:left="4317" w:hanging="360"/>
      </w:pPr>
    </w:lvl>
    <w:lvl w:ilvl="5" w:tplc="FFFFFFFF" w:tentative="1">
      <w:start w:val="1"/>
      <w:numFmt w:val="lowerRoman"/>
      <w:lvlText w:val="%6."/>
      <w:lvlJc w:val="right"/>
      <w:pPr>
        <w:ind w:left="5037" w:hanging="180"/>
      </w:pPr>
    </w:lvl>
    <w:lvl w:ilvl="6" w:tplc="FFFFFFFF" w:tentative="1">
      <w:start w:val="1"/>
      <w:numFmt w:val="decimal"/>
      <w:lvlText w:val="%7."/>
      <w:lvlJc w:val="left"/>
      <w:pPr>
        <w:ind w:left="5757" w:hanging="360"/>
      </w:pPr>
    </w:lvl>
    <w:lvl w:ilvl="7" w:tplc="FFFFFFFF" w:tentative="1">
      <w:start w:val="1"/>
      <w:numFmt w:val="lowerLetter"/>
      <w:lvlText w:val="%8."/>
      <w:lvlJc w:val="left"/>
      <w:pPr>
        <w:ind w:left="6477" w:hanging="360"/>
      </w:pPr>
    </w:lvl>
    <w:lvl w:ilvl="8" w:tplc="FFFFFFFF" w:tentative="1">
      <w:start w:val="1"/>
      <w:numFmt w:val="lowerRoman"/>
      <w:lvlText w:val="%9."/>
      <w:lvlJc w:val="right"/>
      <w:pPr>
        <w:ind w:left="7197" w:hanging="180"/>
      </w:pPr>
    </w:lvl>
  </w:abstractNum>
  <w:num w:numId="1" w16cid:durableId="1059010527">
    <w:abstractNumId w:val="22"/>
  </w:num>
  <w:num w:numId="2" w16cid:durableId="776952111">
    <w:abstractNumId w:val="9"/>
  </w:num>
  <w:num w:numId="3" w16cid:durableId="519900575">
    <w:abstractNumId w:val="7"/>
  </w:num>
  <w:num w:numId="4" w16cid:durableId="790513148">
    <w:abstractNumId w:val="6"/>
  </w:num>
  <w:num w:numId="5" w16cid:durableId="448935975">
    <w:abstractNumId w:val="5"/>
  </w:num>
  <w:num w:numId="6" w16cid:durableId="1894274809">
    <w:abstractNumId w:val="4"/>
  </w:num>
  <w:num w:numId="7" w16cid:durableId="1170560646">
    <w:abstractNumId w:val="17"/>
  </w:num>
  <w:num w:numId="8" w16cid:durableId="257375963">
    <w:abstractNumId w:val="21"/>
  </w:num>
  <w:num w:numId="9" w16cid:durableId="184297481">
    <w:abstractNumId w:val="19"/>
  </w:num>
  <w:num w:numId="10" w16cid:durableId="342244225">
    <w:abstractNumId w:val="8"/>
  </w:num>
  <w:num w:numId="11" w16cid:durableId="381245778">
    <w:abstractNumId w:val="3"/>
  </w:num>
  <w:num w:numId="12" w16cid:durableId="1935628803">
    <w:abstractNumId w:val="2"/>
  </w:num>
  <w:num w:numId="13" w16cid:durableId="1545291005">
    <w:abstractNumId w:val="1"/>
  </w:num>
  <w:num w:numId="14" w16cid:durableId="1571497536">
    <w:abstractNumId w:val="0"/>
  </w:num>
  <w:num w:numId="15" w16cid:durableId="424418919">
    <w:abstractNumId w:val="19"/>
  </w:num>
  <w:num w:numId="16" w16cid:durableId="373622071">
    <w:abstractNumId w:val="19"/>
  </w:num>
  <w:num w:numId="17" w16cid:durableId="999231221">
    <w:abstractNumId w:val="14"/>
  </w:num>
  <w:num w:numId="18" w16cid:durableId="266891233">
    <w:abstractNumId w:val="19"/>
  </w:num>
  <w:num w:numId="19" w16cid:durableId="1553732004">
    <w:abstractNumId w:val="19"/>
  </w:num>
  <w:num w:numId="20" w16cid:durableId="1929145180">
    <w:abstractNumId w:val="19"/>
  </w:num>
  <w:num w:numId="21" w16cid:durableId="1741976850">
    <w:abstractNumId w:val="19"/>
  </w:num>
  <w:num w:numId="22" w16cid:durableId="2048798746">
    <w:abstractNumId w:val="19"/>
  </w:num>
  <w:num w:numId="23" w16cid:durableId="483665429">
    <w:abstractNumId w:val="19"/>
  </w:num>
  <w:num w:numId="24" w16cid:durableId="967977404">
    <w:abstractNumId w:val="13"/>
  </w:num>
  <w:num w:numId="25" w16cid:durableId="1179656670">
    <w:abstractNumId w:val="11"/>
  </w:num>
  <w:num w:numId="26" w16cid:durableId="162819390">
    <w:abstractNumId w:val="18"/>
  </w:num>
  <w:num w:numId="27" w16cid:durableId="1121462054">
    <w:abstractNumId w:val="20"/>
  </w:num>
  <w:num w:numId="28" w16cid:durableId="552040221">
    <w:abstractNumId w:val="23"/>
  </w:num>
  <w:num w:numId="29" w16cid:durableId="1825855430">
    <w:abstractNumId w:val="12"/>
  </w:num>
  <w:num w:numId="30" w16cid:durableId="6176981">
    <w:abstractNumId w:val="15"/>
  </w:num>
  <w:num w:numId="31" w16cid:durableId="1755517949">
    <w:abstractNumId w:val="10"/>
  </w:num>
  <w:num w:numId="32" w16cid:durableId="2024356269">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M3tDQ3MDM0MTMzsDBQ0lEKTi0uzszPAykwNK4FANCFc0gtAAAA"/>
  </w:docVars>
  <w:rsids>
    <w:rsidRoot w:val="00665B56"/>
    <w:rsid w:val="000018FE"/>
    <w:rsid w:val="00003182"/>
    <w:rsid w:val="00003C4D"/>
    <w:rsid w:val="00004DC2"/>
    <w:rsid w:val="0000557F"/>
    <w:rsid w:val="00005D92"/>
    <w:rsid w:val="000122C7"/>
    <w:rsid w:val="000122DB"/>
    <w:rsid w:val="00013623"/>
    <w:rsid w:val="000148E5"/>
    <w:rsid w:val="000163F1"/>
    <w:rsid w:val="00021B10"/>
    <w:rsid w:val="00022BD3"/>
    <w:rsid w:val="00023B83"/>
    <w:rsid w:val="00023F4E"/>
    <w:rsid w:val="00024458"/>
    <w:rsid w:val="00025D56"/>
    <w:rsid w:val="00027DC0"/>
    <w:rsid w:val="00030F79"/>
    <w:rsid w:val="00032DB7"/>
    <w:rsid w:val="00032DCE"/>
    <w:rsid w:val="00033629"/>
    <w:rsid w:val="000364B2"/>
    <w:rsid w:val="00037987"/>
    <w:rsid w:val="0004229F"/>
    <w:rsid w:val="00042E5E"/>
    <w:rsid w:val="000452BE"/>
    <w:rsid w:val="00050323"/>
    <w:rsid w:val="00051421"/>
    <w:rsid w:val="00052F47"/>
    <w:rsid w:val="000543CA"/>
    <w:rsid w:val="00054FBB"/>
    <w:rsid w:val="000555D9"/>
    <w:rsid w:val="00056299"/>
    <w:rsid w:val="00057852"/>
    <w:rsid w:val="000578F8"/>
    <w:rsid w:val="000579D7"/>
    <w:rsid w:val="00061648"/>
    <w:rsid w:val="0007006E"/>
    <w:rsid w:val="00073A15"/>
    <w:rsid w:val="00074894"/>
    <w:rsid w:val="000848F4"/>
    <w:rsid w:val="00085571"/>
    <w:rsid w:val="00085AF3"/>
    <w:rsid w:val="000871A9"/>
    <w:rsid w:val="00091186"/>
    <w:rsid w:val="00091523"/>
    <w:rsid w:val="000933AB"/>
    <w:rsid w:val="000A57CB"/>
    <w:rsid w:val="000A5B7D"/>
    <w:rsid w:val="000A5C58"/>
    <w:rsid w:val="000A6718"/>
    <w:rsid w:val="000B0F39"/>
    <w:rsid w:val="000B1571"/>
    <w:rsid w:val="000B163E"/>
    <w:rsid w:val="000B3C7F"/>
    <w:rsid w:val="000B5D29"/>
    <w:rsid w:val="000B66A4"/>
    <w:rsid w:val="000B7C4A"/>
    <w:rsid w:val="000C0700"/>
    <w:rsid w:val="000C0FCB"/>
    <w:rsid w:val="000C1776"/>
    <w:rsid w:val="000C3C15"/>
    <w:rsid w:val="000C51EC"/>
    <w:rsid w:val="000D13BB"/>
    <w:rsid w:val="000D16D0"/>
    <w:rsid w:val="000D559B"/>
    <w:rsid w:val="000D5C27"/>
    <w:rsid w:val="000D6A66"/>
    <w:rsid w:val="000E35E5"/>
    <w:rsid w:val="000E4F82"/>
    <w:rsid w:val="000E729A"/>
    <w:rsid w:val="000E73CC"/>
    <w:rsid w:val="000F0DA0"/>
    <w:rsid w:val="000F0E1F"/>
    <w:rsid w:val="000F5851"/>
    <w:rsid w:val="000F5F6A"/>
    <w:rsid w:val="000F79AC"/>
    <w:rsid w:val="0010199C"/>
    <w:rsid w:val="00102F49"/>
    <w:rsid w:val="00104233"/>
    <w:rsid w:val="001065E9"/>
    <w:rsid w:val="00110AE4"/>
    <w:rsid w:val="00114E58"/>
    <w:rsid w:val="00114F30"/>
    <w:rsid w:val="00116209"/>
    <w:rsid w:val="0011660C"/>
    <w:rsid w:val="00116786"/>
    <w:rsid w:val="00116D7F"/>
    <w:rsid w:val="00120617"/>
    <w:rsid w:val="00121A4C"/>
    <w:rsid w:val="00127F87"/>
    <w:rsid w:val="00130F7A"/>
    <w:rsid w:val="0013207B"/>
    <w:rsid w:val="00132FA9"/>
    <w:rsid w:val="00133DF8"/>
    <w:rsid w:val="00136A8A"/>
    <w:rsid w:val="00136FFB"/>
    <w:rsid w:val="00145693"/>
    <w:rsid w:val="00153C60"/>
    <w:rsid w:val="001540DE"/>
    <w:rsid w:val="00154C14"/>
    <w:rsid w:val="0015500D"/>
    <w:rsid w:val="0015594A"/>
    <w:rsid w:val="00155A56"/>
    <w:rsid w:val="00155E6C"/>
    <w:rsid w:val="0016104A"/>
    <w:rsid w:val="0016160D"/>
    <w:rsid w:val="00161A89"/>
    <w:rsid w:val="00162667"/>
    <w:rsid w:val="001644E9"/>
    <w:rsid w:val="00174A76"/>
    <w:rsid w:val="00175476"/>
    <w:rsid w:val="001775B1"/>
    <w:rsid w:val="00181D27"/>
    <w:rsid w:val="00182F41"/>
    <w:rsid w:val="00184DBD"/>
    <w:rsid w:val="00185D4D"/>
    <w:rsid w:val="00186BB6"/>
    <w:rsid w:val="00187844"/>
    <w:rsid w:val="001879F2"/>
    <w:rsid w:val="0019053D"/>
    <w:rsid w:val="00190947"/>
    <w:rsid w:val="001910CC"/>
    <w:rsid w:val="00191EE6"/>
    <w:rsid w:val="00192824"/>
    <w:rsid w:val="00193CFE"/>
    <w:rsid w:val="00195D74"/>
    <w:rsid w:val="00195F1F"/>
    <w:rsid w:val="001970C8"/>
    <w:rsid w:val="001A1380"/>
    <w:rsid w:val="001A529F"/>
    <w:rsid w:val="001A549B"/>
    <w:rsid w:val="001A5A37"/>
    <w:rsid w:val="001A5CAC"/>
    <w:rsid w:val="001A7228"/>
    <w:rsid w:val="001B2A31"/>
    <w:rsid w:val="001B5F54"/>
    <w:rsid w:val="001B683E"/>
    <w:rsid w:val="001C0066"/>
    <w:rsid w:val="001C3727"/>
    <w:rsid w:val="001C3CA1"/>
    <w:rsid w:val="001C4236"/>
    <w:rsid w:val="001C4B1F"/>
    <w:rsid w:val="001D41DF"/>
    <w:rsid w:val="001D4D76"/>
    <w:rsid w:val="001D50E0"/>
    <w:rsid w:val="001D78DF"/>
    <w:rsid w:val="001E031C"/>
    <w:rsid w:val="001E2B60"/>
    <w:rsid w:val="001E3DCC"/>
    <w:rsid w:val="001E4F4E"/>
    <w:rsid w:val="001E517D"/>
    <w:rsid w:val="001E53CC"/>
    <w:rsid w:val="001E689D"/>
    <w:rsid w:val="001E6AEF"/>
    <w:rsid w:val="001E76E1"/>
    <w:rsid w:val="001F0990"/>
    <w:rsid w:val="001F708C"/>
    <w:rsid w:val="002005A1"/>
    <w:rsid w:val="002045D2"/>
    <w:rsid w:val="0020791C"/>
    <w:rsid w:val="00210A70"/>
    <w:rsid w:val="00210C32"/>
    <w:rsid w:val="002112C6"/>
    <w:rsid w:val="00211579"/>
    <w:rsid w:val="00213A2C"/>
    <w:rsid w:val="00213C0F"/>
    <w:rsid w:val="00217461"/>
    <w:rsid w:val="00221578"/>
    <w:rsid w:val="00222A48"/>
    <w:rsid w:val="00230A56"/>
    <w:rsid w:val="002316DC"/>
    <w:rsid w:val="00231AB9"/>
    <w:rsid w:val="00232428"/>
    <w:rsid w:val="00232A98"/>
    <w:rsid w:val="00236476"/>
    <w:rsid w:val="0024059B"/>
    <w:rsid w:val="00241A2D"/>
    <w:rsid w:val="00242626"/>
    <w:rsid w:val="00243492"/>
    <w:rsid w:val="00243E31"/>
    <w:rsid w:val="00244CDD"/>
    <w:rsid w:val="00247AAB"/>
    <w:rsid w:val="00247E4B"/>
    <w:rsid w:val="00250A23"/>
    <w:rsid w:val="0025444F"/>
    <w:rsid w:val="00255FA7"/>
    <w:rsid w:val="00261EE4"/>
    <w:rsid w:val="00262FDB"/>
    <w:rsid w:val="00267EDE"/>
    <w:rsid w:val="00270559"/>
    <w:rsid w:val="002709E4"/>
    <w:rsid w:val="002728A7"/>
    <w:rsid w:val="00272BAA"/>
    <w:rsid w:val="00277E40"/>
    <w:rsid w:val="00280045"/>
    <w:rsid w:val="00284AEE"/>
    <w:rsid w:val="00285447"/>
    <w:rsid w:val="00292405"/>
    <w:rsid w:val="002A2234"/>
    <w:rsid w:val="002A2B78"/>
    <w:rsid w:val="002A4E59"/>
    <w:rsid w:val="002A546D"/>
    <w:rsid w:val="002A6ED4"/>
    <w:rsid w:val="002B24CF"/>
    <w:rsid w:val="002C1D97"/>
    <w:rsid w:val="002C4E9A"/>
    <w:rsid w:val="002C63E6"/>
    <w:rsid w:val="002C67A4"/>
    <w:rsid w:val="002C7425"/>
    <w:rsid w:val="002D2784"/>
    <w:rsid w:val="002D50B2"/>
    <w:rsid w:val="002D7EB6"/>
    <w:rsid w:val="002E0C14"/>
    <w:rsid w:val="002E1A21"/>
    <w:rsid w:val="002E35EE"/>
    <w:rsid w:val="002F2694"/>
    <w:rsid w:val="002F5F89"/>
    <w:rsid w:val="002F64FA"/>
    <w:rsid w:val="003015A5"/>
    <w:rsid w:val="00301998"/>
    <w:rsid w:val="00301BC8"/>
    <w:rsid w:val="003028F9"/>
    <w:rsid w:val="00304D13"/>
    <w:rsid w:val="00304EF4"/>
    <w:rsid w:val="003050A8"/>
    <w:rsid w:val="00305736"/>
    <w:rsid w:val="00310D9B"/>
    <w:rsid w:val="00311712"/>
    <w:rsid w:val="00312898"/>
    <w:rsid w:val="00313327"/>
    <w:rsid w:val="00320A98"/>
    <w:rsid w:val="00320BB1"/>
    <w:rsid w:val="00323B18"/>
    <w:rsid w:val="003242EC"/>
    <w:rsid w:val="00324758"/>
    <w:rsid w:val="00325D77"/>
    <w:rsid w:val="003306D8"/>
    <w:rsid w:val="00330E10"/>
    <w:rsid w:val="00332F43"/>
    <w:rsid w:val="00334F19"/>
    <w:rsid w:val="00336178"/>
    <w:rsid w:val="00337574"/>
    <w:rsid w:val="003379E6"/>
    <w:rsid w:val="003426F1"/>
    <w:rsid w:val="00343A0E"/>
    <w:rsid w:val="0034658D"/>
    <w:rsid w:val="00347A45"/>
    <w:rsid w:val="0035213A"/>
    <w:rsid w:val="003533F4"/>
    <w:rsid w:val="003533FA"/>
    <w:rsid w:val="00354F9F"/>
    <w:rsid w:val="00357D91"/>
    <w:rsid w:val="00361E4E"/>
    <w:rsid w:val="00361FA8"/>
    <w:rsid w:val="00363B5E"/>
    <w:rsid w:val="003725B4"/>
    <w:rsid w:val="003731DC"/>
    <w:rsid w:val="00374184"/>
    <w:rsid w:val="00377EB2"/>
    <w:rsid w:val="00380529"/>
    <w:rsid w:val="00380C48"/>
    <w:rsid w:val="00380FE0"/>
    <w:rsid w:val="00381327"/>
    <w:rsid w:val="00381EAE"/>
    <w:rsid w:val="00383D61"/>
    <w:rsid w:val="00383D97"/>
    <w:rsid w:val="00384A2A"/>
    <w:rsid w:val="00387BC8"/>
    <w:rsid w:val="00387E36"/>
    <w:rsid w:val="0039111F"/>
    <w:rsid w:val="00393D43"/>
    <w:rsid w:val="00394C07"/>
    <w:rsid w:val="00396EA6"/>
    <w:rsid w:val="003A69DA"/>
    <w:rsid w:val="003A770B"/>
    <w:rsid w:val="003A7BFD"/>
    <w:rsid w:val="003B01B2"/>
    <w:rsid w:val="003B0D2D"/>
    <w:rsid w:val="003B142B"/>
    <w:rsid w:val="003B142D"/>
    <w:rsid w:val="003B206A"/>
    <w:rsid w:val="003B3B5F"/>
    <w:rsid w:val="003C108C"/>
    <w:rsid w:val="003D5897"/>
    <w:rsid w:val="003D7186"/>
    <w:rsid w:val="003D71EF"/>
    <w:rsid w:val="003D77CE"/>
    <w:rsid w:val="003E5608"/>
    <w:rsid w:val="003E759A"/>
    <w:rsid w:val="003F2034"/>
    <w:rsid w:val="003F20F5"/>
    <w:rsid w:val="003F34AA"/>
    <w:rsid w:val="003F351B"/>
    <w:rsid w:val="003F6C87"/>
    <w:rsid w:val="0040169A"/>
    <w:rsid w:val="004021A9"/>
    <w:rsid w:val="00403CD3"/>
    <w:rsid w:val="00404EA6"/>
    <w:rsid w:val="00404F2F"/>
    <w:rsid w:val="004060EE"/>
    <w:rsid w:val="004106BF"/>
    <w:rsid w:val="0041403C"/>
    <w:rsid w:val="00416249"/>
    <w:rsid w:val="0042044E"/>
    <w:rsid w:val="00420AE1"/>
    <w:rsid w:val="0042115B"/>
    <w:rsid w:val="0042420A"/>
    <w:rsid w:val="0043152C"/>
    <w:rsid w:val="0043580A"/>
    <w:rsid w:val="004366C1"/>
    <w:rsid w:val="004437CC"/>
    <w:rsid w:val="00444C4E"/>
    <w:rsid w:val="00451CC2"/>
    <w:rsid w:val="00456053"/>
    <w:rsid w:val="00460524"/>
    <w:rsid w:val="0046055E"/>
    <w:rsid w:val="004618AD"/>
    <w:rsid w:val="004619D0"/>
    <w:rsid w:val="00463C58"/>
    <w:rsid w:val="0046683A"/>
    <w:rsid w:val="004714D6"/>
    <w:rsid w:val="00474321"/>
    <w:rsid w:val="00474499"/>
    <w:rsid w:val="00474862"/>
    <w:rsid w:val="004749F1"/>
    <w:rsid w:val="0047781F"/>
    <w:rsid w:val="00477BB7"/>
    <w:rsid w:val="00481456"/>
    <w:rsid w:val="00483247"/>
    <w:rsid w:val="004837D1"/>
    <w:rsid w:val="00492BD8"/>
    <w:rsid w:val="00493F9D"/>
    <w:rsid w:val="004A0348"/>
    <w:rsid w:val="004A099D"/>
    <w:rsid w:val="004A0C6E"/>
    <w:rsid w:val="004A57C6"/>
    <w:rsid w:val="004A5BF0"/>
    <w:rsid w:val="004A6956"/>
    <w:rsid w:val="004A7130"/>
    <w:rsid w:val="004B69AB"/>
    <w:rsid w:val="004B78B0"/>
    <w:rsid w:val="004C0F44"/>
    <w:rsid w:val="004C2983"/>
    <w:rsid w:val="004C2E07"/>
    <w:rsid w:val="004C40B1"/>
    <w:rsid w:val="004D1407"/>
    <w:rsid w:val="004D50D4"/>
    <w:rsid w:val="004D549D"/>
    <w:rsid w:val="004E01A0"/>
    <w:rsid w:val="004E311A"/>
    <w:rsid w:val="004E4DD7"/>
    <w:rsid w:val="004E6A95"/>
    <w:rsid w:val="004F394B"/>
    <w:rsid w:val="004F3FE3"/>
    <w:rsid w:val="004F7125"/>
    <w:rsid w:val="004F71DB"/>
    <w:rsid w:val="004F7C58"/>
    <w:rsid w:val="005012FC"/>
    <w:rsid w:val="00502B8F"/>
    <w:rsid w:val="00505229"/>
    <w:rsid w:val="00505357"/>
    <w:rsid w:val="00506678"/>
    <w:rsid w:val="00506AE0"/>
    <w:rsid w:val="00506E7E"/>
    <w:rsid w:val="00506EC9"/>
    <w:rsid w:val="00510072"/>
    <w:rsid w:val="00510406"/>
    <w:rsid w:val="00513EB7"/>
    <w:rsid w:val="00517274"/>
    <w:rsid w:val="0052168E"/>
    <w:rsid w:val="00522BBE"/>
    <w:rsid w:val="00524632"/>
    <w:rsid w:val="00524C45"/>
    <w:rsid w:val="00524FF4"/>
    <w:rsid w:val="00525395"/>
    <w:rsid w:val="005265B8"/>
    <w:rsid w:val="0053216E"/>
    <w:rsid w:val="00533D14"/>
    <w:rsid w:val="005341BC"/>
    <w:rsid w:val="005408CE"/>
    <w:rsid w:val="0054428E"/>
    <w:rsid w:val="00544BA7"/>
    <w:rsid w:val="0054688B"/>
    <w:rsid w:val="00552A0F"/>
    <w:rsid w:val="00553CD2"/>
    <w:rsid w:val="005558BC"/>
    <w:rsid w:val="0055604A"/>
    <w:rsid w:val="005578F2"/>
    <w:rsid w:val="00566D7B"/>
    <w:rsid w:val="00566E2F"/>
    <w:rsid w:val="005711D2"/>
    <w:rsid w:val="00572D5E"/>
    <w:rsid w:val="00572DF7"/>
    <w:rsid w:val="00574411"/>
    <w:rsid w:val="0057584C"/>
    <w:rsid w:val="00576585"/>
    <w:rsid w:val="005768D4"/>
    <w:rsid w:val="005768F9"/>
    <w:rsid w:val="0058234C"/>
    <w:rsid w:val="005829DF"/>
    <w:rsid w:val="00585C4D"/>
    <w:rsid w:val="0058700C"/>
    <w:rsid w:val="005878DA"/>
    <w:rsid w:val="00590115"/>
    <w:rsid w:val="00590234"/>
    <w:rsid w:val="00590C29"/>
    <w:rsid w:val="005924A5"/>
    <w:rsid w:val="005925F0"/>
    <w:rsid w:val="00592BAC"/>
    <w:rsid w:val="00595BEC"/>
    <w:rsid w:val="005A27E2"/>
    <w:rsid w:val="005A348F"/>
    <w:rsid w:val="005A4A1D"/>
    <w:rsid w:val="005A7282"/>
    <w:rsid w:val="005B247A"/>
    <w:rsid w:val="005B29F3"/>
    <w:rsid w:val="005B3FDE"/>
    <w:rsid w:val="005B58AE"/>
    <w:rsid w:val="005B7D6F"/>
    <w:rsid w:val="005C5E51"/>
    <w:rsid w:val="005C6229"/>
    <w:rsid w:val="005C7EBA"/>
    <w:rsid w:val="005D150F"/>
    <w:rsid w:val="005D2058"/>
    <w:rsid w:val="005D6F29"/>
    <w:rsid w:val="005D7B72"/>
    <w:rsid w:val="005E00AD"/>
    <w:rsid w:val="005E1667"/>
    <w:rsid w:val="005E3813"/>
    <w:rsid w:val="005E6857"/>
    <w:rsid w:val="005E6FD9"/>
    <w:rsid w:val="005E7411"/>
    <w:rsid w:val="005F2344"/>
    <w:rsid w:val="005F280E"/>
    <w:rsid w:val="005F3C5E"/>
    <w:rsid w:val="005F42D3"/>
    <w:rsid w:val="006035B4"/>
    <w:rsid w:val="006037C1"/>
    <w:rsid w:val="006038E7"/>
    <w:rsid w:val="0060637F"/>
    <w:rsid w:val="00606EE6"/>
    <w:rsid w:val="006120FD"/>
    <w:rsid w:val="00613F68"/>
    <w:rsid w:val="006153EC"/>
    <w:rsid w:val="0061629A"/>
    <w:rsid w:val="00620487"/>
    <w:rsid w:val="00620924"/>
    <w:rsid w:val="00621799"/>
    <w:rsid w:val="0062578A"/>
    <w:rsid w:val="006273DB"/>
    <w:rsid w:val="006305BE"/>
    <w:rsid w:val="0063594B"/>
    <w:rsid w:val="00635C16"/>
    <w:rsid w:val="00640A81"/>
    <w:rsid w:val="0064286D"/>
    <w:rsid w:val="006432FD"/>
    <w:rsid w:val="00643C2D"/>
    <w:rsid w:val="00646566"/>
    <w:rsid w:val="006530BD"/>
    <w:rsid w:val="00653546"/>
    <w:rsid w:val="00654FCB"/>
    <w:rsid w:val="00655361"/>
    <w:rsid w:val="00657344"/>
    <w:rsid w:val="00657662"/>
    <w:rsid w:val="00657857"/>
    <w:rsid w:val="006619B9"/>
    <w:rsid w:val="00661E50"/>
    <w:rsid w:val="00663550"/>
    <w:rsid w:val="006638C0"/>
    <w:rsid w:val="00665B56"/>
    <w:rsid w:val="00665CE8"/>
    <w:rsid w:val="00666478"/>
    <w:rsid w:val="00667D62"/>
    <w:rsid w:val="00667E7F"/>
    <w:rsid w:val="00674376"/>
    <w:rsid w:val="00674591"/>
    <w:rsid w:val="006762BA"/>
    <w:rsid w:val="006777BA"/>
    <w:rsid w:val="00677EFA"/>
    <w:rsid w:val="006800C1"/>
    <w:rsid w:val="00680B78"/>
    <w:rsid w:val="00682291"/>
    <w:rsid w:val="00682A10"/>
    <w:rsid w:val="00683DF7"/>
    <w:rsid w:val="0069018B"/>
    <w:rsid w:val="00692A91"/>
    <w:rsid w:val="00696594"/>
    <w:rsid w:val="006A3105"/>
    <w:rsid w:val="006B00E6"/>
    <w:rsid w:val="006B18F3"/>
    <w:rsid w:val="006B2B10"/>
    <w:rsid w:val="006B34AA"/>
    <w:rsid w:val="006B45EC"/>
    <w:rsid w:val="006B5E1C"/>
    <w:rsid w:val="006B6D3E"/>
    <w:rsid w:val="006C2553"/>
    <w:rsid w:val="006C6400"/>
    <w:rsid w:val="006C75B8"/>
    <w:rsid w:val="006C7AE5"/>
    <w:rsid w:val="006D08C9"/>
    <w:rsid w:val="006D2483"/>
    <w:rsid w:val="006D3617"/>
    <w:rsid w:val="006D45D4"/>
    <w:rsid w:val="006D69A3"/>
    <w:rsid w:val="006D7EC4"/>
    <w:rsid w:val="006E1B7B"/>
    <w:rsid w:val="006E1FA5"/>
    <w:rsid w:val="006E3487"/>
    <w:rsid w:val="006E4711"/>
    <w:rsid w:val="006E52E5"/>
    <w:rsid w:val="006E666E"/>
    <w:rsid w:val="006F0718"/>
    <w:rsid w:val="006F1F9B"/>
    <w:rsid w:val="006F468B"/>
    <w:rsid w:val="006F562A"/>
    <w:rsid w:val="00700BA4"/>
    <w:rsid w:val="00701423"/>
    <w:rsid w:val="00703CFA"/>
    <w:rsid w:val="007043AB"/>
    <w:rsid w:val="00704979"/>
    <w:rsid w:val="00707E8E"/>
    <w:rsid w:val="00707FE8"/>
    <w:rsid w:val="00712A0B"/>
    <w:rsid w:val="00712F0A"/>
    <w:rsid w:val="00715043"/>
    <w:rsid w:val="007161A1"/>
    <w:rsid w:val="00720AF8"/>
    <w:rsid w:val="00720F0F"/>
    <w:rsid w:val="00722716"/>
    <w:rsid w:val="00723472"/>
    <w:rsid w:val="00723856"/>
    <w:rsid w:val="0072386F"/>
    <w:rsid w:val="007254C0"/>
    <w:rsid w:val="007274A0"/>
    <w:rsid w:val="00727B3D"/>
    <w:rsid w:val="00730CDA"/>
    <w:rsid w:val="00731092"/>
    <w:rsid w:val="00732EFE"/>
    <w:rsid w:val="00733D3B"/>
    <w:rsid w:val="00734E59"/>
    <w:rsid w:val="007368E3"/>
    <w:rsid w:val="007435CD"/>
    <w:rsid w:val="00744C57"/>
    <w:rsid w:val="007519E3"/>
    <w:rsid w:val="00752C53"/>
    <w:rsid w:val="0075454E"/>
    <w:rsid w:val="007557DA"/>
    <w:rsid w:val="00760799"/>
    <w:rsid w:val="0076568F"/>
    <w:rsid w:val="00766C92"/>
    <w:rsid w:val="007727CE"/>
    <w:rsid w:val="007749BA"/>
    <w:rsid w:val="0077592C"/>
    <w:rsid w:val="007759E3"/>
    <w:rsid w:val="00780E93"/>
    <w:rsid w:val="00783B63"/>
    <w:rsid w:val="00786C58"/>
    <w:rsid w:val="007876EC"/>
    <w:rsid w:val="00787D26"/>
    <w:rsid w:val="00790C62"/>
    <w:rsid w:val="00794A4F"/>
    <w:rsid w:val="00794A70"/>
    <w:rsid w:val="00795F77"/>
    <w:rsid w:val="007A0507"/>
    <w:rsid w:val="007B08D1"/>
    <w:rsid w:val="007B3AAE"/>
    <w:rsid w:val="007B54DF"/>
    <w:rsid w:val="007B5C4E"/>
    <w:rsid w:val="007B6080"/>
    <w:rsid w:val="007C0178"/>
    <w:rsid w:val="007C4F33"/>
    <w:rsid w:val="007C694D"/>
    <w:rsid w:val="007C7F8C"/>
    <w:rsid w:val="007D2113"/>
    <w:rsid w:val="007D5DF2"/>
    <w:rsid w:val="007D753B"/>
    <w:rsid w:val="007E00E0"/>
    <w:rsid w:val="007E03FA"/>
    <w:rsid w:val="007E23A5"/>
    <w:rsid w:val="007E4F51"/>
    <w:rsid w:val="007E597E"/>
    <w:rsid w:val="007E649C"/>
    <w:rsid w:val="007F0C61"/>
    <w:rsid w:val="007F15BA"/>
    <w:rsid w:val="007F542D"/>
    <w:rsid w:val="007F572A"/>
    <w:rsid w:val="008020DA"/>
    <w:rsid w:val="0080235D"/>
    <w:rsid w:val="008064EE"/>
    <w:rsid w:val="008077A3"/>
    <w:rsid w:val="00812A95"/>
    <w:rsid w:val="00813176"/>
    <w:rsid w:val="00813694"/>
    <w:rsid w:val="008204F9"/>
    <w:rsid w:val="00823D5C"/>
    <w:rsid w:val="008254DC"/>
    <w:rsid w:val="008268CC"/>
    <w:rsid w:val="0082761A"/>
    <w:rsid w:val="00827C7F"/>
    <w:rsid w:val="0083113C"/>
    <w:rsid w:val="00834CF4"/>
    <w:rsid w:val="00836B7F"/>
    <w:rsid w:val="008418F9"/>
    <w:rsid w:val="0084695E"/>
    <w:rsid w:val="00855E3A"/>
    <w:rsid w:val="00855EEB"/>
    <w:rsid w:val="008576F5"/>
    <w:rsid w:val="0086103B"/>
    <w:rsid w:val="008622C7"/>
    <w:rsid w:val="00862CEB"/>
    <w:rsid w:val="00864A3E"/>
    <w:rsid w:val="00864F7B"/>
    <w:rsid w:val="0086506B"/>
    <w:rsid w:val="00865466"/>
    <w:rsid w:val="008674E4"/>
    <w:rsid w:val="00871059"/>
    <w:rsid w:val="00873D97"/>
    <w:rsid w:val="00877AC5"/>
    <w:rsid w:val="0088190F"/>
    <w:rsid w:val="00881D3D"/>
    <w:rsid w:val="00890304"/>
    <w:rsid w:val="008904AA"/>
    <w:rsid w:val="0089083D"/>
    <w:rsid w:val="0089211D"/>
    <w:rsid w:val="008922B3"/>
    <w:rsid w:val="00892E64"/>
    <w:rsid w:val="00896B88"/>
    <w:rsid w:val="00897CD5"/>
    <w:rsid w:val="008A0171"/>
    <w:rsid w:val="008A183D"/>
    <w:rsid w:val="008A3B40"/>
    <w:rsid w:val="008A429E"/>
    <w:rsid w:val="008B264F"/>
    <w:rsid w:val="008B3917"/>
    <w:rsid w:val="008B53EE"/>
    <w:rsid w:val="008B5E28"/>
    <w:rsid w:val="008C0E89"/>
    <w:rsid w:val="008C557C"/>
    <w:rsid w:val="008C7043"/>
    <w:rsid w:val="008D0DD7"/>
    <w:rsid w:val="008D4031"/>
    <w:rsid w:val="008D453B"/>
    <w:rsid w:val="008D53B2"/>
    <w:rsid w:val="008D654A"/>
    <w:rsid w:val="008E0BF9"/>
    <w:rsid w:val="008E2113"/>
    <w:rsid w:val="008E3DAF"/>
    <w:rsid w:val="008E40FA"/>
    <w:rsid w:val="008E5899"/>
    <w:rsid w:val="008E5E5F"/>
    <w:rsid w:val="008E67BD"/>
    <w:rsid w:val="008E7589"/>
    <w:rsid w:val="008E7C9E"/>
    <w:rsid w:val="008F139E"/>
    <w:rsid w:val="008F401B"/>
    <w:rsid w:val="00901559"/>
    <w:rsid w:val="00902602"/>
    <w:rsid w:val="0090421B"/>
    <w:rsid w:val="0090422D"/>
    <w:rsid w:val="0090506B"/>
    <w:rsid w:val="009057C5"/>
    <w:rsid w:val="00911DF7"/>
    <w:rsid w:val="009130BD"/>
    <w:rsid w:val="0091440E"/>
    <w:rsid w:val="00914965"/>
    <w:rsid w:val="0092032F"/>
    <w:rsid w:val="00921ECC"/>
    <w:rsid w:val="00922C77"/>
    <w:rsid w:val="009269AA"/>
    <w:rsid w:val="00927210"/>
    <w:rsid w:val="0092734B"/>
    <w:rsid w:val="00931F9A"/>
    <w:rsid w:val="009327E4"/>
    <w:rsid w:val="0093441B"/>
    <w:rsid w:val="0093445F"/>
    <w:rsid w:val="00934CDA"/>
    <w:rsid w:val="00936255"/>
    <w:rsid w:val="00941747"/>
    <w:rsid w:val="00943CFC"/>
    <w:rsid w:val="00946255"/>
    <w:rsid w:val="00950067"/>
    <w:rsid w:val="009527D7"/>
    <w:rsid w:val="00954ED7"/>
    <w:rsid w:val="00957A7F"/>
    <w:rsid w:val="00962822"/>
    <w:rsid w:val="00962F9F"/>
    <w:rsid w:val="00974A71"/>
    <w:rsid w:val="009804E4"/>
    <w:rsid w:val="0098225B"/>
    <w:rsid w:val="009824B2"/>
    <w:rsid w:val="0098267D"/>
    <w:rsid w:val="00982955"/>
    <w:rsid w:val="0098550D"/>
    <w:rsid w:val="00985689"/>
    <w:rsid w:val="00986FC7"/>
    <w:rsid w:val="00987B86"/>
    <w:rsid w:val="009903AD"/>
    <w:rsid w:val="00992056"/>
    <w:rsid w:val="00995339"/>
    <w:rsid w:val="009A070F"/>
    <w:rsid w:val="009A0952"/>
    <w:rsid w:val="009A0C91"/>
    <w:rsid w:val="009A1457"/>
    <w:rsid w:val="009A71F3"/>
    <w:rsid w:val="009B0F8F"/>
    <w:rsid w:val="009B1DEB"/>
    <w:rsid w:val="009B6D01"/>
    <w:rsid w:val="009B7271"/>
    <w:rsid w:val="009C0BBB"/>
    <w:rsid w:val="009C4B88"/>
    <w:rsid w:val="009D0249"/>
    <w:rsid w:val="009D051D"/>
    <w:rsid w:val="009D07D0"/>
    <w:rsid w:val="009D1734"/>
    <w:rsid w:val="009D18AA"/>
    <w:rsid w:val="009D287F"/>
    <w:rsid w:val="009D4CA5"/>
    <w:rsid w:val="009D5AE2"/>
    <w:rsid w:val="009E039F"/>
    <w:rsid w:val="009E21A5"/>
    <w:rsid w:val="009E6882"/>
    <w:rsid w:val="009F36D4"/>
    <w:rsid w:val="009F38DD"/>
    <w:rsid w:val="009F39DE"/>
    <w:rsid w:val="009F4A45"/>
    <w:rsid w:val="009F66AE"/>
    <w:rsid w:val="009F67EB"/>
    <w:rsid w:val="00A04027"/>
    <w:rsid w:val="00A040A6"/>
    <w:rsid w:val="00A134FB"/>
    <w:rsid w:val="00A136D1"/>
    <w:rsid w:val="00A149DF"/>
    <w:rsid w:val="00A15638"/>
    <w:rsid w:val="00A251DC"/>
    <w:rsid w:val="00A25346"/>
    <w:rsid w:val="00A2662A"/>
    <w:rsid w:val="00A30647"/>
    <w:rsid w:val="00A34B2F"/>
    <w:rsid w:val="00A35A5A"/>
    <w:rsid w:val="00A35BD1"/>
    <w:rsid w:val="00A36FF7"/>
    <w:rsid w:val="00A406E0"/>
    <w:rsid w:val="00A41AED"/>
    <w:rsid w:val="00A426E6"/>
    <w:rsid w:val="00A428AB"/>
    <w:rsid w:val="00A45342"/>
    <w:rsid w:val="00A45AE6"/>
    <w:rsid w:val="00A45E90"/>
    <w:rsid w:val="00A469F9"/>
    <w:rsid w:val="00A52ED2"/>
    <w:rsid w:val="00A550CA"/>
    <w:rsid w:val="00A562F6"/>
    <w:rsid w:val="00A5691E"/>
    <w:rsid w:val="00A571F4"/>
    <w:rsid w:val="00A614A8"/>
    <w:rsid w:val="00A64F68"/>
    <w:rsid w:val="00A667BD"/>
    <w:rsid w:val="00A6780D"/>
    <w:rsid w:val="00A6799C"/>
    <w:rsid w:val="00A7593A"/>
    <w:rsid w:val="00A75B40"/>
    <w:rsid w:val="00A769C3"/>
    <w:rsid w:val="00A77276"/>
    <w:rsid w:val="00A77829"/>
    <w:rsid w:val="00A825CD"/>
    <w:rsid w:val="00A83B4E"/>
    <w:rsid w:val="00A83B97"/>
    <w:rsid w:val="00A84510"/>
    <w:rsid w:val="00A84F34"/>
    <w:rsid w:val="00A85C60"/>
    <w:rsid w:val="00A8740C"/>
    <w:rsid w:val="00A91F3D"/>
    <w:rsid w:val="00A9483D"/>
    <w:rsid w:val="00A953F6"/>
    <w:rsid w:val="00AA021A"/>
    <w:rsid w:val="00AA50DD"/>
    <w:rsid w:val="00AA52C8"/>
    <w:rsid w:val="00AA5378"/>
    <w:rsid w:val="00AB0443"/>
    <w:rsid w:val="00AB2548"/>
    <w:rsid w:val="00AB4198"/>
    <w:rsid w:val="00AB4FD1"/>
    <w:rsid w:val="00AC3105"/>
    <w:rsid w:val="00AC5A1E"/>
    <w:rsid w:val="00AC641D"/>
    <w:rsid w:val="00AD5FEB"/>
    <w:rsid w:val="00AD6B29"/>
    <w:rsid w:val="00AE16E8"/>
    <w:rsid w:val="00AE561C"/>
    <w:rsid w:val="00AE5C83"/>
    <w:rsid w:val="00AE5E18"/>
    <w:rsid w:val="00AE7D39"/>
    <w:rsid w:val="00AF0ABC"/>
    <w:rsid w:val="00AF17AA"/>
    <w:rsid w:val="00AF2A6D"/>
    <w:rsid w:val="00AF4870"/>
    <w:rsid w:val="00AF4BFD"/>
    <w:rsid w:val="00AF52A0"/>
    <w:rsid w:val="00AF5CE1"/>
    <w:rsid w:val="00AF5F01"/>
    <w:rsid w:val="00B00A22"/>
    <w:rsid w:val="00B00D87"/>
    <w:rsid w:val="00B0704D"/>
    <w:rsid w:val="00B21595"/>
    <w:rsid w:val="00B2498D"/>
    <w:rsid w:val="00B27003"/>
    <w:rsid w:val="00B3321B"/>
    <w:rsid w:val="00B34BAB"/>
    <w:rsid w:val="00B3657A"/>
    <w:rsid w:val="00B44AA6"/>
    <w:rsid w:val="00B46FD1"/>
    <w:rsid w:val="00B505FA"/>
    <w:rsid w:val="00B55FE9"/>
    <w:rsid w:val="00B56EE0"/>
    <w:rsid w:val="00B63839"/>
    <w:rsid w:val="00B64153"/>
    <w:rsid w:val="00B645C1"/>
    <w:rsid w:val="00B65D17"/>
    <w:rsid w:val="00B666E7"/>
    <w:rsid w:val="00B6729B"/>
    <w:rsid w:val="00B72288"/>
    <w:rsid w:val="00B76436"/>
    <w:rsid w:val="00B7755B"/>
    <w:rsid w:val="00B7787E"/>
    <w:rsid w:val="00B779C4"/>
    <w:rsid w:val="00B8038F"/>
    <w:rsid w:val="00B83ABD"/>
    <w:rsid w:val="00B841CB"/>
    <w:rsid w:val="00B85302"/>
    <w:rsid w:val="00B86FA4"/>
    <w:rsid w:val="00B90FA7"/>
    <w:rsid w:val="00B92940"/>
    <w:rsid w:val="00B951EE"/>
    <w:rsid w:val="00B95FF3"/>
    <w:rsid w:val="00BA38C1"/>
    <w:rsid w:val="00BB0932"/>
    <w:rsid w:val="00BB2DC6"/>
    <w:rsid w:val="00BB3175"/>
    <w:rsid w:val="00BB5758"/>
    <w:rsid w:val="00BB703C"/>
    <w:rsid w:val="00BB7277"/>
    <w:rsid w:val="00BB751B"/>
    <w:rsid w:val="00BB78A3"/>
    <w:rsid w:val="00BC2544"/>
    <w:rsid w:val="00BC42CC"/>
    <w:rsid w:val="00BC495E"/>
    <w:rsid w:val="00BC7DAA"/>
    <w:rsid w:val="00BD5CD0"/>
    <w:rsid w:val="00BD7093"/>
    <w:rsid w:val="00BD7441"/>
    <w:rsid w:val="00BE13CD"/>
    <w:rsid w:val="00BE283C"/>
    <w:rsid w:val="00BE2F45"/>
    <w:rsid w:val="00BE3293"/>
    <w:rsid w:val="00BE485E"/>
    <w:rsid w:val="00BE60DC"/>
    <w:rsid w:val="00BE76DD"/>
    <w:rsid w:val="00BF11C5"/>
    <w:rsid w:val="00BF31FC"/>
    <w:rsid w:val="00BF3266"/>
    <w:rsid w:val="00BF79C7"/>
    <w:rsid w:val="00BF7D65"/>
    <w:rsid w:val="00C01B40"/>
    <w:rsid w:val="00C0791C"/>
    <w:rsid w:val="00C11887"/>
    <w:rsid w:val="00C13B69"/>
    <w:rsid w:val="00C15BC3"/>
    <w:rsid w:val="00C2149E"/>
    <w:rsid w:val="00C223D0"/>
    <w:rsid w:val="00C23F6A"/>
    <w:rsid w:val="00C246A1"/>
    <w:rsid w:val="00C2495F"/>
    <w:rsid w:val="00C26255"/>
    <w:rsid w:val="00C26E6E"/>
    <w:rsid w:val="00C275D9"/>
    <w:rsid w:val="00C27655"/>
    <w:rsid w:val="00C27DF3"/>
    <w:rsid w:val="00C324EA"/>
    <w:rsid w:val="00C3386A"/>
    <w:rsid w:val="00C33B93"/>
    <w:rsid w:val="00C35252"/>
    <w:rsid w:val="00C363CD"/>
    <w:rsid w:val="00C374E6"/>
    <w:rsid w:val="00C37709"/>
    <w:rsid w:val="00C379E5"/>
    <w:rsid w:val="00C37A6F"/>
    <w:rsid w:val="00C40823"/>
    <w:rsid w:val="00C4087D"/>
    <w:rsid w:val="00C42251"/>
    <w:rsid w:val="00C47C8A"/>
    <w:rsid w:val="00C501A7"/>
    <w:rsid w:val="00C507D0"/>
    <w:rsid w:val="00C51525"/>
    <w:rsid w:val="00C54446"/>
    <w:rsid w:val="00C56B9D"/>
    <w:rsid w:val="00C579AC"/>
    <w:rsid w:val="00C57EC6"/>
    <w:rsid w:val="00C60907"/>
    <w:rsid w:val="00C6123F"/>
    <w:rsid w:val="00C61B07"/>
    <w:rsid w:val="00C62719"/>
    <w:rsid w:val="00C62C8D"/>
    <w:rsid w:val="00C63E9C"/>
    <w:rsid w:val="00C66527"/>
    <w:rsid w:val="00C70476"/>
    <w:rsid w:val="00C73F35"/>
    <w:rsid w:val="00C76523"/>
    <w:rsid w:val="00C76868"/>
    <w:rsid w:val="00C76D11"/>
    <w:rsid w:val="00C77BA4"/>
    <w:rsid w:val="00C853DE"/>
    <w:rsid w:val="00C91420"/>
    <w:rsid w:val="00C94053"/>
    <w:rsid w:val="00CA6169"/>
    <w:rsid w:val="00CA779B"/>
    <w:rsid w:val="00CA7F23"/>
    <w:rsid w:val="00CB14CC"/>
    <w:rsid w:val="00CB17A4"/>
    <w:rsid w:val="00CB4522"/>
    <w:rsid w:val="00CB5017"/>
    <w:rsid w:val="00CB57F4"/>
    <w:rsid w:val="00CC2FFE"/>
    <w:rsid w:val="00CC4437"/>
    <w:rsid w:val="00CC6534"/>
    <w:rsid w:val="00CC6CE9"/>
    <w:rsid w:val="00CD0378"/>
    <w:rsid w:val="00CD0F97"/>
    <w:rsid w:val="00CD6120"/>
    <w:rsid w:val="00CD6333"/>
    <w:rsid w:val="00CE3DBA"/>
    <w:rsid w:val="00CE4C9C"/>
    <w:rsid w:val="00CE56D6"/>
    <w:rsid w:val="00CE5994"/>
    <w:rsid w:val="00CE5FFA"/>
    <w:rsid w:val="00CF04F0"/>
    <w:rsid w:val="00CF1CEA"/>
    <w:rsid w:val="00CF2548"/>
    <w:rsid w:val="00CF43B9"/>
    <w:rsid w:val="00CF598B"/>
    <w:rsid w:val="00CF6D23"/>
    <w:rsid w:val="00D02692"/>
    <w:rsid w:val="00D0286D"/>
    <w:rsid w:val="00D033AB"/>
    <w:rsid w:val="00D03A84"/>
    <w:rsid w:val="00D0723F"/>
    <w:rsid w:val="00D10256"/>
    <w:rsid w:val="00D13EBB"/>
    <w:rsid w:val="00D214A0"/>
    <w:rsid w:val="00D24288"/>
    <w:rsid w:val="00D24D20"/>
    <w:rsid w:val="00D256FE"/>
    <w:rsid w:val="00D25CCF"/>
    <w:rsid w:val="00D278D9"/>
    <w:rsid w:val="00D27A4C"/>
    <w:rsid w:val="00D3105E"/>
    <w:rsid w:val="00D325DC"/>
    <w:rsid w:val="00D3502E"/>
    <w:rsid w:val="00D351D3"/>
    <w:rsid w:val="00D35A03"/>
    <w:rsid w:val="00D35B31"/>
    <w:rsid w:val="00D36996"/>
    <w:rsid w:val="00D409C7"/>
    <w:rsid w:val="00D42C98"/>
    <w:rsid w:val="00D4410F"/>
    <w:rsid w:val="00D50DCF"/>
    <w:rsid w:val="00D552B6"/>
    <w:rsid w:val="00D565A1"/>
    <w:rsid w:val="00D57524"/>
    <w:rsid w:val="00D608AC"/>
    <w:rsid w:val="00D6199A"/>
    <w:rsid w:val="00D62B9E"/>
    <w:rsid w:val="00D644C3"/>
    <w:rsid w:val="00D64F6D"/>
    <w:rsid w:val="00D73009"/>
    <w:rsid w:val="00D81041"/>
    <w:rsid w:val="00D84EC1"/>
    <w:rsid w:val="00D84F2F"/>
    <w:rsid w:val="00D90D92"/>
    <w:rsid w:val="00D93375"/>
    <w:rsid w:val="00D9424D"/>
    <w:rsid w:val="00D946B4"/>
    <w:rsid w:val="00DA0C37"/>
    <w:rsid w:val="00DA15A0"/>
    <w:rsid w:val="00DA2AE6"/>
    <w:rsid w:val="00DA4C72"/>
    <w:rsid w:val="00DA5CDD"/>
    <w:rsid w:val="00DA605A"/>
    <w:rsid w:val="00DB158C"/>
    <w:rsid w:val="00DB1FD2"/>
    <w:rsid w:val="00DB2D9F"/>
    <w:rsid w:val="00DB4979"/>
    <w:rsid w:val="00DB6660"/>
    <w:rsid w:val="00DC02CA"/>
    <w:rsid w:val="00DC03AD"/>
    <w:rsid w:val="00DC2130"/>
    <w:rsid w:val="00DC31B6"/>
    <w:rsid w:val="00DC6DB9"/>
    <w:rsid w:val="00DC74DC"/>
    <w:rsid w:val="00DC7D6C"/>
    <w:rsid w:val="00DD0CF2"/>
    <w:rsid w:val="00DD61F1"/>
    <w:rsid w:val="00DD66D9"/>
    <w:rsid w:val="00DE4BB5"/>
    <w:rsid w:val="00DE51F7"/>
    <w:rsid w:val="00DE5974"/>
    <w:rsid w:val="00DE5C4A"/>
    <w:rsid w:val="00DE6CC4"/>
    <w:rsid w:val="00DF0C1B"/>
    <w:rsid w:val="00DF1E23"/>
    <w:rsid w:val="00DF2061"/>
    <w:rsid w:val="00DF36A4"/>
    <w:rsid w:val="00DF45E1"/>
    <w:rsid w:val="00DF4E27"/>
    <w:rsid w:val="00DF5E00"/>
    <w:rsid w:val="00DF78C4"/>
    <w:rsid w:val="00E0124F"/>
    <w:rsid w:val="00E01A52"/>
    <w:rsid w:val="00E0299F"/>
    <w:rsid w:val="00E10CD6"/>
    <w:rsid w:val="00E129AF"/>
    <w:rsid w:val="00E131FD"/>
    <w:rsid w:val="00E14002"/>
    <w:rsid w:val="00E16C3D"/>
    <w:rsid w:val="00E206DC"/>
    <w:rsid w:val="00E208C8"/>
    <w:rsid w:val="00E25A81"/>
    <w:rsid w:val="00E2742A"/>
    <w:rsid w:val="00E27BF1"/>
    <w:rsid w:val="00E33A8E"/>
    <w:rsid w:val="00E36113"/>
    <w:rsid w:val="00E37DEC"/>
    <w:rsid w:val="00E401B8"/>
    <w:rsid w:val="00E4093B"/>
    <w:rsid w:val="00E41EF8"/>
    <w:rsid w:val="00E4224E"/>
    <w:rsid w:val="00E4334F"/>
    <w:rsid w:val="00E43A95"/>
    <w:rsid w:val="00E45345"/>
    <w:rsid w:val="00E462BD"/>
    <w:rsid w:val="00E463B7"/>
    <w:rsid w:val="00E47C7E"/>
    <w:rsid w:val="00E56715"/>
    <w:rsid w:val="00E5762A"/>
    <w:rsid w:val="00E61D94"/>
    <w:rsid w:val="00E6255B"/>
    <w:rsid w:val="00E640A8"/>
    <w:rsid w:val="00E66B79"/>
    <w:rsid w:val="00E67A64"/>
    <w:rsid w:val="00E74663"/>
    <w:rsid w:val="00E828B3"/>
    <w:rsid w:val="00E82D51"/>
    <w:rsid w:val="00E83838"/>
    <w:rsid w:val="00E85F85"/>
    <w:rsid w:val="00E866C6"/>
    <w:rsid w:val="00E90859"/>
    <w:rsid w:val="00E93FA5"/>
    <w:rsid w:val="00E96C58"/>
    <w:rsid w:val="00EA0409"/>
    <w:rsid w:val="00EA07A2"/>
    <w:rsid w:val="00EA1C18"/>
    <w:rsid w:val="00EA4212"/>
    <w:rsid w:val="00EA4E13"/>
    <w:rsid w:val="00EA6396"/>
    <w:rsid w:val="00EB007D"/>
    <w:rsid w:val="00EB44A4"/>
    <w:rsid w:val="00EB5BDA"/>
    <w:rsid w:val="00EB718C"/>
    <w:rsid w:val="00EB72C7"/>
    <w:rsid w:val="00EC175A"/>
    <w:rsid w:val="00EC1BE1"/>
    <w:rsid w:val="00EC2982"/>
    <w:rsid w:val="00EC40E1"/>
    <w:rsid w:val="00EC63CE"/>
    <w:rsid w:val="00EC76D3"/>
    <w:rsid w:val="00ED153F"/>
    <w:rsid w:val="00ED1590"/>
    <w:rsid w:val="00ED5CCA"/>
    <w:rsid w:val="00EE4340"/>
    <w:rsid w:val="00EE7A84"/>
    <w:rsid w:val="00EE7C9D"/>
    <w:rsid w:val="00EF0263"/>
    <w:rsid w:val="00EF0664"/>
    <w:rsid w:val="00EF06EC"/>
    <w:rsid w:val="00EF2EBE"/>
    <w:rsid w:val="00EF48CC"/>
    <w:rsid w:val="00EF6DE3"/>
    <w:rsid w:val="00EF70CB"/>
    <w:rsid w:val="00F01A2E"/>
    <w:rsid w:val="00F01D25"/>
    <w:rsid w:val="00F02468"/>
    <w:rsid w:val="00F032D6"/>
    <w:rsid w:val="00F069F7"/>
    <w:rsid w:val="00F07767"/>
    <w:rsid w:val="00F07E28"/>
    <w:rsid w:val="00F11C4D"/>
    <w:rsid w:val="00F1251A"/>
    <w:rsid w:val="00F126A8"/>
    <w:rsid w:val="00F13D04"/>
    <w:rsid w:val="00F20E37"/>
    <w:rsid w:val="00F22925"/>
    <w:rsid w:val="00F26CCE"/>
    <w:rsid w:val="00F27C6B"/>
    <w:rsid w:val="00F33858"/>
    <w:rsid w:val="00F36FB3"/>
    <w:rsid w:val="00F37A8E"/>
    <w:rsid w:val="00F40B9C"/>
    <w:rsid w:val="00F41B02"/>
    <w:rsid w:val="00F45275"/>
    <w:rsid w:val="00F46E47"/>
    <w:rsid w:val="00F4798B"/>
    <w:rsid w:val="00F47FCF"/>
    <w:rsid w:val="00F504A7"/>
    <w:rsid w:val="00F505B8"/>
    <w:rsid w:val="00F517C8"/>
    <w:rsid w:val="00F53747"/>
    <w:rsid w:val="00F538D1"/>
    <w:rsid w:val="00F55573"/>
    <w:rsid w:val="00F55777"/>
    <w:rsid w:val="00F55969"/>
    <w:rsid w:val="00F56DF3"/>
    <w:rsid w:val="00F571A3"/>
    <w:rsid w:val="00F571B5"/>
    <w:rsid w:val="00F57879"/>
    <w:rsid w:val="00F60FD3"/>
    <w:rsid w:val="00F61B14"/>
    <w:rsid w:val="00F66D9A"/>
    <w:rsid w:val="00F73F9C"/>
    <w:rsid w:val="00F7650E"/>
    <w:rsid w:val="00F76517"/>
    <w:rsid w:val="00F76711"/>
    <w:rsid w:val="00F8090A"/>
    <w:rsid w:val="00F816E0"/>
    <w:rsid w:val="00F843D3"/>
    <w:rsid w:val="00F84D57"/>
    <w:rsid w:val="00F84DE4"/>
    <w:rsid w:val="00F8771B"/>
    <w:rsid w:val="00F90B12"/>
    <w:rsid w:val="00F933FC"/>
    <w:rsid w:val="00FA057B"/>
    <w:rsid w:val="00FA2E2A"/>
    <w:rsid w:val="00FA2F43"/>
    <w:rsid w:val="00FA439A"/>
    <w:rsid w:val="00FA4FA1"/>
    <w:rsid w:val="00FA5EC6"/>
    <w:rsid w:val="00FA6BFA"/>
    <w:rsid w:val="00FA7DCC"/>
    <w:rsid w:val="00FB0149"/>
    <w:rsid w:val="00FB0E10"/>
    <w:rsid w:val="00FB2244"/>
    <w:rsid w:val="00FB2999"/>
    <w:rsid w:val="00FB4A11"/>
    <w:rsid w:val="00FB5F4F"/>
    <w:rsid w:val="00FB6963"/>
    <w:rsid w:val="00FC2422"/>
    <w:rsid w:val="00FC4425"/>
    <w:rsid w:val="00FC6878"/>
    <w:rsid w:val="00FC78AA"/>
    <w:rsid w:val="00FD29EA"/>
    <w:rsid w:val="00FD5A0A"/>
    <w:rsid w:val="00FD605D"/>
    <w:rsid w:val="00FE2795"/>
    <w:rsid w:val="00FE375B"/>
    <w:rsid w:val="00FE4D98"/>
    <w:rsid w:val="00FE522D"/>
    <w:rsid w:val="00FE5C57"/>
    <w:rsid w:val="00FF0F44"/>
    <w:rsid w:val="00FF27A3"/>
    <w:rsid w:val="00FF40EC"/>
    <w:rsid w:val="00FF4D3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817C0"/>
  <w15:chartTrackingRefBased/>
  <w15:docId w15:val="{B39F0D56-16DB-4CA1-9643-DA1BF818A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DengXian" w:hAnsi="Aptos"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
    <w:qFormat/>
    <w:rsid w:val="006B6D3E"/>
    <w:pPr>
      <w:keepNext/>
      <w:keepLines/>
      <w:tabs>
        <w:tab w:val="clear" w:pos="567"/>
      </w:tabs>
      <w:spacing w:before="240" w:after="120"/>
      <w:jc w:val="left"/>
      <w:outlineLvl w:val="0"/>
    </w:pPr>
    <w:rPr>
      <w:rFonts w:eastAsia="DengXian Light"/>
      <w:b/>
      <w:bCs/>
      <w:kern w:val="2"/>
      <w:sz w:val="28"/>
      <w:szCs w:val="32"/>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DengXian Light" w:hAnsi="Times New Roman Bold"/>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DengXian Light"/>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DengXian Light"/>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DengXian Light"/>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B6D3E"/>
    <w:rPr>
      <w:rFonts w:ascii="Times New Roman" w:eastAsia="DengXian Light" w:hAnsi="Times New Roman" w:cs="Times New Roman"/>
      <w:b/>
      <w:bCs/>
      <w:sz w:val="28"/>
      <w:szCs w:val="32"/>
      <w:lang w:val="en-GB"/>
    </w:rPr>
  </w:style>
  <w:style w:type="character" w:customStyle="1" w:styleId="Heading2Char">
    <w:name w:val="Heading 2 Char"/>
    <w:link w:val="Heading2"/>
    <w:uiPriority w:val="9"/>
    <w:rsid w:val="006B6D3E"/>
    <w:rPr>
      <w:rFonts w:ascii="Times New Roman Bold" w:eastAsia="DengXian Light" w:hAnsi="Times New Roman Bold" w:cs="Times New Roman"/>
      <w:b/>
      <w:kern w:val="0"/>
      <w:szCs w:val="26"/>
      <w:lang w:val="en-GB"/>
    </w:rPr>
  </w:style>
  <w:style w:type="character" w:customStyle="1" w:styleId="Heading3Char">
    <w:name w:val="Heading 3 Char"/>
    <w:link w:val="Heading3"/>
    <w:uiPriority w:val="9"/>
    <w:rsid w:val="006B6D3E"/>
    <w:rPr>
      <w:rFonts w:ascii="Times New Roman" w:eastAsia="DengXian Light" w:hAnsi="Times New Roman" w:cs="Times New Roman"/>
      <w:b/>
      <w:bCs/>
      <w:kern w:val="0"/>
      <w:sz w:val="22"/>
      <w:szCs w:val="22"/>
      <w:lang w:val="en-GB"/>
    </w:rPr>
  </w:style>
  <w:style w:type="character" w:customStyle="1" w:styleId="Heading4Char">
    <w:name w:val="Heading 4 Char"/>
    <w:link w:val="Heading4"/>
    <w:uiPriority w:val="9"/>
    <w:rsid w:val="006B6D3E"/>
    <w:rPr>
      <w:rFonts w:ascii="Times New Roman" w:eastAsia="DengXian Light" w:hAnsi="Times New Roman" w:cs="Times New Roman"/>
      <w:b/>
      <w:bCs/>
      <w:kern w:val="0"/>
      <w:sz w:val="22"/>
      <w:szCs w:val="22"/>
      <w:lang w:val="en-GB"/>
    </w:rPr>
  </w:style>
  <w:style w:type="character" w:customStyle="1" w:styleId="Heading5Char">
    <w:name w:val="Heading 5 Char"/>
    <w:link w:val="Heading5"/>
    <w:uiPriority w:val="9"/>
    <w:rsid w:val="006B6D3E"/>
    <w:rPr>
      <w:rFonts w:ascii="Times New Roman" w:eastAsia="DengXian Light" w:hAnsi="Times New Roman" w:cs="Times New Roman"/>
      <w:i/>
      <w:iCs/>
      <w:kern w:val="0"/>
      <w:sz w:val="22"/>
      <w:szCs w:val="22"/>
      <w:lang w:val="en-GB"/>
    </w:rPr>
  </w:style>
  <w:style w:type="character" w:customStyle="1" w:styleId="Heading6Char">
    <w:name w:val="Heading 6 Char"/>
    <w:link w:val="Heading6"/>
    <w:semiHidden/>
    <w:rsid w:val="006B6D3E"/>
    <w:rPr>
      <w:rFonts w:ascii="Times New Roman" w:eastAsia="SimSun" w:hAnsi="Times New Roman" w:cs="Times New Roman"/>
      <w:bCs/>
      <w:kern w:val="0"/>
      <w:szCs w:val="22"/>
      <w:lang w:val="en-GB"/>
    </w:rPr>
  </w:style>
  <w:style w:type="character" w:customStyle="1" w:styleId="Heading7Char">
    <w:name w:val="Heading 7 Char"/>
    <w:link w:val="Heading7"/>
    <w:semiHidden/>
    <w:rsid w:val="006B6D3E"/>
    <w:rPr>
      <w:rFonts w:ascii="Times New Roman" w:eastAsia="SimSun" w:hAnsi="Times New Roman" w:cs="Times New Roman"/>
      <w:b/>
      <w:snapToGrid w:val="0"/>
      <w:kern w:val="0"/>
      <w:sz w:val="22"/>
      <w:szCs w:val="22"/>
      <w:u w:val="single"/>
      <w:lang w:val="en-GB"/>
    </w:rPr>
  </w:style>
  <w:style w:type="character" w:customStyle="1" w:styleId="Heading8Char">
    <w:name w:val="Heading 8 Char"/>
    <w:link w:val="Heading8"/>
    <w:semiHidden/>
    <w:rsid w:val="006B6D3E"/>
    <w:rPr>
      <w:rFonts w:ascii="Times New Roman" w:eastAsia="SimSun" w:hAnsi="Times New Roman" w:cs="Times New Roman"/>
      <w:b/>
      <w:snapToGrid w:val="0"/>
      <w:kern w:val="0"/>
      <w:sz w:val="22"/>
      <w:szCs w:val="22"/>
      <w:u w:val="single"/>
      <w:lang w:val="en-GB"/>
    </w:rPr>
  </w:style>
  <w:style w:type="character" w:customStyle="1" w:styleId="Heading9Char">
    <w:name w:val="Heading 9 Char"/>
    <w:link w:val="Heading9"/>
    <w:semiHidden/>
    <w:rsid w:val="006B6D3E"/>
    <w:rPr>
      <w:rFonts w:ascii="Times New Roman" w:eastAsia="SimSun" w:hAnsi="Times New Roman" w:cs="Times New Roman"/>
      <w:snapToGrid w:val="0"/>
      <w:kern w:val="0"/>
      <w:sz w:val="22"/>
      <w:szCs w:val="22"/>
      <w:u w:val="single"/>
      <w:lang w:val="en-GB"/>
    </w:rPr>
  </w:style>
  <w:style w:type="paragraph" w:styleId="Title">
    <w:name w:val="Title"/>
    <w:basedOn w:val="Normal"/>
    <w:next w:val="Normal"/>
    <w:link w:val="TitleChar"/>
    <w:uiPriority w:val="10"/>
    <w:qFormat/>
    <w:rsid w:val="004C2983"/>
    <w:pPr>
      <w:spacing w:after="80"/>
      <w:contextualSpacing/>
    </w:pPr>
    <w:rPr>
      <w:rFonts w:ascii="Aptos Display" w:eastAsia="DengXian Light" w:hAnsi="Aptos Display"/>
      <w:spacing w:val="-10"/>
      <w:kern w:val="28"/>
      <w:sz w:val="56"/>
      <w:szCs w:val="56"/>
    </w:rPr>
  </w:style>
  <w:style w:type="character" w:customStyle="1" w:styleId="TitleChar">
    <w:name w:val="Title Char"/>
    <w:link w:val="Title"/>
    <w:uiPriority w:val="10"/>
    <w:rsid w:val="004C2983"/>
    <w:rPr>
      <w:rFonts w:ascii="Aptos Display" w:eastAsia="DengXian Light" w:hAnsi="Aptos Display" w:cs="Times New Roman"/>
      <w:spacing w:val="-10"/>
      <w:kern w:val="28"/>
      <w:sz w:val="56"/>
      <w:szCs w:val="56"/>
      <w:lang w:val="en-GB"/>
    </w:rPr>
  </w:style>
  <w:style w:type="paragraph" w:styleId="Subtitle">
    <w:name w:val="Subtitle"/>
    <w:basedOn w:val="Normal"/>
    <w:next w:val="Normal"/>
    <w:link w:val="SubtitleChar"/>
    <w:uiPriority w:val="11"/>
    <w:qFormat/>
    <w:rsid w:val="004C2983"/>
    <w:pPr>
      <w:numPr>
        <w:ilvl w:val="1"/>
      </w:numPr>
    </w:pPr>
    <w:rPr>
      <w:rFonts w:eastAsia="DengXian Light"/>
      <w:color w:val="0606FF"/>
      <w:spacing w:val="15"/>
      <w:sz w:val="28"/>
      <w:szCs w:val="28"/>
    </w:rPr>
  </w:style>
  <w:style w:type="character" w:customStyle="1" w:styleId="SubtitleChar">
    <w:name w:val="Subtitle Char"/>
    <w:link w:val="Subtitle"/>
    <w:uiPriority w:val="11"/>
    <w:rsid w:val="004C2983"/>
    <w:rPr>
      <w:rFonts w:ascii="Times New Roman" w:eastAsia="DengXian Light" w:hAnsi="Times New Roman" w:cs="Times New Roman"/>
      <w:color w:val="0606FF"/>
      <w:spacing w:val="15"/>
      <w:kern w:val="0"/>
      <w:sz w:val="28"/>
      <w:szCs w:val="28"/>
      <w:lang w:val="en-GB"/>
    </w:rPr>
  </w:style>
  <w:style w:type="paragraph" w:styleId="Quote">
    <w:name w:val="Quote"/>
    <w:basedOn w:val="Normal"/>
    <w:next w:val="Normal"/>
    <w:link w:val="QuoteChar"/>
    <w:uiPriority w:val="29"/>
    <w:qFormat/>
    <w:rsid w:val="004C2983"/>
    <w:pPr>
      <w:spacing w:before="160"/>
      <w:jc w:val="center"/>
    </w:pPr>
    <w:rPr>
      <w:i/>
      <w:iCs/>
      <w:color w:val="0000DF"/>
    </w:rPr>
  </w:style>
  <w:style w:type="character" w:customStyle="1" w:styleId="QuoteChar">
    <w:name w:val="Quote Char"/>
    <w:link w:val="Quote"/>
    <w:uiPriority w:val="29"/>
    <w:rsid w:val="004C2983"/>
    <w:rPr>
      <w:rFonts w:ascii="Times New Roman" w:eastAsia="SimSun" w:hAnsi="Times New Roman" w:cs="Times New Roman"/>
      <w:i/>
      <w:iCs/>
      <w:color w:val="0000DF"/>
      <w:kern w:val="0"/>
      <w:sz w:val="22"/>
      <w:szCs w:val="22"/>
      <w:lang w:val="en-GB"/>
    </w:rPr>
  </w:style>
  <w:style w:type="paragraph" w:styleId="ListParagraph">
    <w:name w:val="List Paragraph"/>
    <w:basedOn w:val="Normal"/>
    <w:uiPriority w:val="34"/>
    <w:qFormat/>
    <w:rsid w:val="006B6D3E"/>
    <w:pPr>
      <w:ind w:left="720"/>
      <w:contextualSpacing/>
    </w:pPr>
  </w:style>
  <w:style w:type="character" w:styleId="IntenseEmphasis">
    <w:name w:val="Intense Emphasis"/>
    <w:uiPriority w:val="21"/>
    <w:qFormat/>
    <w:rsid w:val="004C2983"/>
    <w:rPr>
      <w:i/>
      <w:iCs/>
      <w:color w:val="0F4761"/>
      <w:lang w:val="en-GB"/>
    </w:rPr>
  </w:style>
  <w:style w:type="paragraph" w:styleId="IntenseQuote">
    <w:name w:val="Intense Quote"/>
    <w:basedOn w:val="Normal"/>
    <w:next w:val="Normal"/>
    <w:link w:val="IntenseQuoteChar"/>
    <w:uiPriority w:val="30"/>
    <w:qFormat/>
    <w:rsid w:val="004C2983"/>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4C2983"/>
    <w:rPr>
      <w:rFonts w:ascii="Times New Roman" w:eastAsia="SimSun" w:hAnsi="Times New Roman" w:cs="Times New Roman"/>
      <w:i/>
      <w:iCs/>
      <w:color w:val="0F4761"/>
      <w:kern w:val="0"/>
      <w:sz w:val="22"/>
      <w:szCs w:val="22"/>
      <w:lang w:val="en-GB"/>
    </w:rPr>
  </w:style>
  <w:style w:type="character" w:styleId="IntenseReference">
    <w:name w:val="Intense Reference"/>
    <w:uiPriority w:val="32"/>
    <w:qFormat/>
    <w:rsid w:val="004C2983"/>
    <w:rPr>
      <w:b/>
      <w:bCs/>
      <w:smallCaps/>
      <w:color w:val="0F4761"/>
      <w:spacing w:val="5"/>
      <w:lang w:val="en-GB"/>
    </w:rPr>
  </w:style>
  <w:style w:type="paragraph" w:styleId="Revision">
    <w:name w:val="Revision"/>
    <w:hidden/>
    <w:uiPriority w:val="99"/>
    <w:semiHidden/>
    <w:rsid w:val="006B6D3E"/>
    <w:rPr>
      <w:rFonts w:ascii="Simplified Arabic" w:eastAsia="Times New Roman" w:hAnsi="Simplified Arabic" w:cs="Simplified Arabic"/>
      <w:noProof/>
      <w:sz w:val="24"/>
      <w:szCs w:val="24"/>
      <w:lang w:eastAsia="en-US"/>
    </w:rPr>
  </w:style>
  <w:style w:type="paragraph" w:customStyle="1" w:styleId="DarkList-Accent31">
    <w:name w:val="Dark List - Accent 31"/>
    <w:hidden/>
    <w:uiPriority w:val="99"/>
    <w:semiHidden/>
    <w:rsid w:val="006B6D3E"/>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unhideWhenUsed/>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link w:val="Header"/>
    <w:semiHidden/>
    <w:rsid w:val="006B6D3E"/>
    <w:rPr>
      <w:rFonts w:ascii="Times New Roman" w:eastAsia="SimSun" w:hAnsi="Times New Roman" w:cs="Times New Roman"/>
      <w:kern w:val="0"/>
      <w:sz w:val="20"/>
      <w:szCs w:val="22"/>
      <w:lang w:val="en-GB"/>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link w:val="Footer"/>
    <w:uiPriority w:val="99"/>
    <w:semiHidden/>
    <w:rsid w:val="006B6D3E"/>
    <w:rPr>
      <w:rFonts w:ascii="Times New Roman" w:eastAsia="SimSun" w:hAnsi="Times New Roman" w:cs="Times New Roman"/>
      <w:kern w:val="0"/>
      <w:sz w:val="20"/>
      <w:szCs w:val="22"/>
      <w:lang w:val="en-GB"/>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ind w:left="567"/>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semiHidden/>
    <w:rsid w:val="006B6D3E"/>
    <w:rPr>
      <w:rFonts w:ascii="Times New Roman" w:eastAsia="SimSun" w:hAnsi="Times New Roman" w:cs="Times New Roman"/>
      <w:kern w:val="0"/>
      <w:sz w:val="18"/>
      <w:szCs w:val="20"/>
      <w:lang w:val="en-GB"/>
    </w:rPr>
  </w:style>
  <w:style w:type="paragraph" w:styleId="BodyText">
    <w:name w:val="Body Text"/>
    <w:basedOn w:val="Normal"/>
    <w:link w:val="BodyTextChar"/>
    <w:uiPriority w:val="99"/>
    <w:semiHidden/>
    <w:unhideWhenUsed/>
    <w:rsid w:val="006B6D3E"/>
    <w:pPr>
      <w:spacing w:after="120" w:line="259" w:lineRule="auto"/>
      <w:jc w:val="left"/>
    </w:pPr>
    <w:rPr>
      <w:rFonts w:ascii="Aptos" w:eastAsia="Aptos" w:hAnsi="Aptos" w:cs="Arial"/>
      <w:kern w:val="2"/>
    </w:rPr>
  </w:style>
  <w:style w:type="character" w:customStyle="1" w:styleId="BodyTextChar">
    <w:name w:val="Body Text Char"/>
    <w:link w:val="BodyText"/>
    <w:uiPriority w:val="99"/>
    <w:semiHidden/>
    <w:rsid w:val="006B6D3E"/>
    <w:rPr>
      <w:sz w:val="22"/>
      <w:szCs w:val="22"/>
      <w:lang w:val="en-GB"/>
    </w:rPr>
  </w:style>
  <w:style w:type="character" w:styleId="CommentReference">
    <w:name w:val="annotation reference"/>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link w:val="CommentText"/>
    <w:uiPriority w:val="99"/>
    <w:semiHidden/>
    <w:rsid w:val="006B6D3E"/>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link w:val="CommentSubject"/>
    <w:uiPriority w:val="99"/>
    <w:semiHidden/>
    <w:rsid w:val="006B6D3E"/>
    <w:rPr>
      <w:rFonts w:ascii="Times New Roman" w:eastAsia="SimSun" w:hAnsi="Times New Roman" w:cs="Times New Roman"/>
      <w:b/>
      <w:bCs/>
      <w:kern w:val="0"/>
      <w:sz w:val="20"/>
      <w:szCs w:val="20"/>
      <w:lang w:val="en-GB"/>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uiPriority w:val="99"/>
    <w:unhideWhenUsed/>
    <w:rsid w:val="006B6D3E"/>
    <w:rPr>
      <w:rFonts w:ascii="Times New Roman" w:hAnsi="Times New Roman"/>
      <w:color w:val="467886"/>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link w:val="BalloonText"/>
    <w:uiPriority w:val="99"/>
    <w:semiHidden/>
    <w:rsid w:val="006B6D3E"/>
    <w:rPr>
      <w:rFonts w:ascii="Segoe UI" w:eastAsia="SimSun" w:hAnsi="Segoe UI" w:cs="Segoe UI"/>
      <w:kern w:val="0"/>
      <w:sz w:val="18"/>
      <w:szCs w:val="18"/>
      <w:lang w:val="en-GB"/>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left w:val="single" w:sz="2" w:space="10" w:color="156082"/>
        <w:bottom w:val="single" w:sz="2" w:space="10" w:color="156082"/>
        <w:right w:val="single" w:sz="2" w:space="10" w:color="156082"/>
      </w:pBdr>
      <w:ind w:left="1152" w:right="1152"/>
    </w:pPr>
    <w:rPr>
      <w:rFonts w:ascii="Aptos" w:eastAsia="DengXian" w:hAnsi="Aptos" w:cs="Arial"/>
      <w:i/>
      <w:iCs/>
      <w:color w:val="156082"/>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link w:val="BodyText2"/>
    <w:uiPriority w:val="99"/>
    <w:semiHidden/>
    <w:rsid w:val="006B6D3E"/>
    <w:rPr>
      <w:rFonts w:ascii="Times New Roman" w:eastAsia="SimSun" w:hAnsi="Times New Roman" w:cs="Times New Roman"/>
      <w:kern w:val="0"/>
      <w:sz w:val="22"/>
      <w:szCs w:val="22"/>
      <w:lang w:val="en-GB"/>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link w:val="BodyText3"/>
    <w:uiPriority w:val="99"/>
    <w:semiHidden/>
    <w:rsid w:val="006B6D3E"/>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rsid w:val="006B6D3E"/>
    <w:rPr>
      <w:rFonts w:ascii="Times New Roman" w:eastAsia="SimSun" w:hAnsi="Times New Roman" w:cs="Times New Roman"/>
      <w:kern w:val="0"/>
      <w:sz w:val="22"/>
      <w:szCs w:val="22"/>
      <w:lang w:val="en-GB"/>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link w:val="BodyTextIndent"/>
    <w:uiPriority w:val="99"/>
    <w:semiHidden/>
    <w:rsid w:val="006B6D3E"/>
    <w:rPr>
      <w:rFonts w:ascii="Times New Roman" w:eastAsia="SimSun" w:hAnsi="Times New Roman" w:cs="Times New Roman"/>
      <w:kern w:val="0"/>
      <w:sz w:val="22"/>
      <w:szCs w:val="22"/>
      <w:lang w:val="en-GB"/>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link w:val="BodyTextFirstIndent2"/>
    <w:uiPriority w:val="99"/>
    <w:semiHidden/>
    <w:rsid w:val="006B6D3E"/>
    <w:rPr>
      <w:rFonts w:ascii="Times New Roman" w:eastAsia="SimSun" w:hAnsi="Times New Roman" w:cs="Times New Roman"/>
      <w:kern w:val="0"/>
      <w:sz w:val="22"/>
      <w:szCs w:val="22"/>
      <w:lang w:val="en-GB"/>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link w:val="BodyTextIndent2"/>
    <w:uiPriority w:val="99"/>
    <w:semiHidden/>
    <w:rsid w:val="006B6D3E"/>
    <w:rPr>
      <w:rFonts w:ascii="Times New Roman" w:eastAsia="SimSun" w:hAnsi="Times New Roman" w:cs="Times New Roman"/>
      <w:kern w:val="0"/>
      <w:sz w:val="22"/>
      <w:szCs w:val="22"/>
      <w:lang w:val="en-GB"/>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link w:val="BodyTextIndent3"/>
    <w:uiPriority w:val="99"/>
    <w:semiHidden/>
    <w:rsid w:val="006B6D3E"/>
    <w:rPr>
      <w:rFonts w:ascii="Times New Roman" w:eastAsia="SimSun" w:hAnsi="Times New Roman" w:cs="Times New Roman"/>
      <w:kern w:val="0"/>
      <w:sz w:val="16"/>
      <w:szCs w:val="16"/>
      <w:lang w:val="en-GB"/>
    </w:rPr>
  </w:style>
  <w:style w:type="character" w:styleId="BookTitle">
    <w:name w:val="Book Title"/>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link w:val="Closing"/>
    <w:uiPriority w:val="99"/>
    <w:semiHidden/>
    <w:rsid w:val="006B6D3E"/>
    <w:rPr>
      <w:rFonts w:ascii="Times New Roman" w:eastAsia="SimSun" w:hAnsi="Times New Roman" w:cs="Times New Roman"/>
      <w:kern w:val="0"/>
      <w:sz w:val="22"/>
      <w:szCs w:val="22"/>
      <w:lang w:val="en-GB"/>
    </w:rPr>
  </w:style>
  <w:style w:type="table" w:styleId="ColorfulGrid">
    <w:name w:val="Colorful Grid"/>
    <w:basedOn w:val="TableNormal"/>
    <w:uiPriority w:val="73"/>
    <w:semiHidden/>
    <w:unhideWhenUsed/>
    <w:rsid w:val="006B6D3E"/>
    <w:rPr>
      <w:color w:val="000080"/>
    </w:rPr>
    <w:tblPr>
      <w:tblStyleRowBandSize w:val="1"/>
      <w:tblStyleColBandSize w:val="1"/>
      <w:tblBorders>
        <w:insideH w:val="single" w:sz="4" w:space="0" w:color="FFFFFF"/>
      </w:tblBorders>
    </w:tblPr>
    <w:tcPr>
      <w:shd w:val="clear" w:color="auto" w:fill="B2B2FF"/>
    </w:tcPr>
    <w:tblStylePr w:type="firstRow">
      <w:rPr>
        <w:b/>
        <w:bCs/>
      </w:rPr>
      <w:tblPr/>
      <w:tcPr>
        <w:shd w:val="clear" w:color="auto" w:fill="6666FF"/>
      </w:tcPr>
    </w:tblStylePr>
    <w:tblStylePr w:type="lastRow">
      <w:rPr>
        <w:b/>
        <w:bCs/>
        <w:color w:val="000080"/>
      </w:rPr>
      <w:tblPr/>
      <w:tcPr>
        <w:shd w:val="clear" w:color="auto" w:fill="6666FF"/>
      </w:tcPr>
    </w:tblStylePr>
    <w:tblStylePr w:type="firstCol">
      <w:rPr>
        <w:color w:val="FFFFFF"/>
      </w:rPr>
      <w:tblPr/>
      <w:tcPr>
        <w:shd w:val="clear" w:color="auto" w:fill="00005F"/>
      </w:tcPr>
    </w:tblStylePr>
    <w:tblStylePr w:type="lastCol">
      <w:rPr>
        <w:color w:val="FFFFFF"/>
      </w:rPr>
      <w:tblPr/>
      <w:tcPr>
        <w:shd w:val="clear" w:color="auto" w:fill="00005F"/>
      </w:tcPr>
    </w:tblStylePr>
    <w:tblStylePr w:type="band1Vert">
      <w:tblPr/>
      <w:tcPr>
        <w:shd w:val="clear" w:color="auto" w:fill="4040FF"/>
      </w:tcPr>
    </w:tblStylePr>
    <w:tblStylePr w:type="band1Horz">
      <w:tblPr/>
      <w:tcPr>
        <w:shd w:val="clear" w:color="auto" w:fill="4040FF"/>
      </w:tcPr>
    </w:tblStylePr>
  </w:style>
  <w:style w:type="table" w:styleId="ColorfulGrid-Accent1">
    <w:name w:val="Colorful Grid Accent 1"/>
    <w:basedOn w:val="TableNormal"/>
    <w:uiPriority w:val="73"/>
    <w:semiHidden/>
    <w:unhideWhenUsed/>
    <w:rsid w:val="006B6D3E"/>
    <w:rPr>
      <w:color w:val="000080"/>
    </w:rPr>
    <w:tblPr>
      <w:tblStyleRowBandSize w:val="1"/>
      <w:tblStyleColBandSize w:val="1"/>
      <w:tblBorders>
        <w:insideH w:val="single" w:sz="4" w:space="0" w:color="FFFFFF"/>
      </w:tblBorders>
    </w:tblPr>
    <w:tcPr>
      <w:shd w:val="clear" w:color="auto" w:fill="C1E4F5"/>
    </w:tcPr>
    <w:tblStylePr w:type="firstRow">
      <w:rPr>
        <w:b/>
        <w:bCs/>
      </w:rPr>
      <w:tblPr/>
      <w:tcPr>
        <w:shd w:val="clear" w:color="auto" w:fill="83CAEB"/>
      </w:tcPr>
    </w:tblStylePr>
    <w:tblStylePr w:type="lastRow">
      <w:rPr>
        <w:b/>
        <w:bCs/>
        <w:color w:val="000080"/>
      </w:rPr>
      <w:tblPr/>
      <w:tcPr>
        <w:shd w:val="clear" w:color="auto" w:fill="83CAEB"/>
      </w:tcPr>
    </w:tblStylePr>
    <w:tblStylePr w:type="firstCol">
      <w:rPr>
        <w:color w:val="FFFFFF"/>
      </w:rPr>
      <w:tblPr/>
      <w:tcPr>
        <w:shd w:val="clear" w:color="auto" w:fill="0F4761"/>
      </w:tcPr>
    </w:tblStylePr>
    <w:tblStylePr w:type="lastCol">
      <w:rPr>
        <w:color w:val="FFFFFF"/>
      </w:rPr>
      <w:tblPr/>
      <w:tcPr>
        <w:shd w:val="clear" w:color="auto" w:fill="0F4761"/>
      </w:tcPr>
    </w:tblStylePr>
    <w:tblStylePr w:type="band1Vert">
      <w:tblPr/>
      <w:tcPr>
        <w:shd w:val="clear" w:color="auto" w:fill="64BDE6"/>
      </w:tcPr>
    </w:tblStylePr>
    <w:tblStylePr w:type="band1Horz">
      <w:tblPr/>
      <w:tcPr>
        <w:shd w:val="clear" w:color="auto" w:fill="64BDE6"/>
      </w:tcPr>
    </w:tblStylePr>
  </w:style>
  <w:style w:type="table" w:styleId="ColorfulGrid-Accent2">
    <w:name w:val="Colorful Grid Accent 2"/>
    <w:basedOn w:val="TableNormal"/>
    <w:uiPriority w:val="73"/>
    <w:semiHidden/>
    <w:unhideWhenUsed/>
    <w:rsid w:val="006B6D3E"/>
    <w:rPr>
      <w:color w:val="000080"/>
    </w:rPr>
    <w:tblPr>
      <w:tblStyleRowBandSize w:val="1"/>
      <w:tblStyleColBandSize w:val="1"/>
      <w:tblBorders>
        <w:insideH w:val="single" w:sz="4" w:space="0" w:color="FFFFFF"/>
      </w:tblBorders>
    </w:tblPr>
    <w:tcPr>
      <w:shd w:val="clear" w:color="auto" w:fill="FAE2D5"/>
    </w:tcPr>
    <w:tblStylePr w:type="firstRow">
      <w:rPr>
        <w:b/>
        <w:bCs/>
      </w:rPr>
      <w:tblPr/>
      <w:tcPr>
        <w:shd w:val="clear" w:color="auto" w:fill="F6C5AC"/>
      </w:tcPr>
    </w:tblStylePr>
    <w:tblStylePr w:type="lastRow">
      <w:rPr>
        <w:b/>
        <w:bCs/>
        <w:color w:val="000080"/>
      </w:rPr>
      <w:tblPr/>
      <w:tcPr>
        <w:shd w:val="clear" w:color="auto" w:fill="F6C5AC"/>
      </w:tcPr>
    </w:tblStylePr>
    <w:tblStylePr w:type="firstCol">
      <w:rPr>
        <w:color w:val="FFFFFF"/>
      </w:rPr>
      <w:tblPr/>
      <w:tcPr>
        <w:shd w:val="clear" w:color="auto" w:fill="BF4E14"/>
      </w:tcPr>
    </w:tblStylePr>
    <w:tblStylePr w:type="lastCol">
      <w:rPr>
        <w:color w:val="FFFFFF"/>
      </w:rPr>
      <w:tblPr/>
      <w:tcPr>
        <w:shd w:val="clear" w:color="auto" w:fill="BF4E14"/>
      </w:tcPr>
    </w:tblStylePr>
    <w:tblStylePr w:type="band1Vert">
      <w:tblPr/>
      <w:tcPr>
        <w:shd w:val="clear" w:color="auto" w:fill="F4B798"/>
      </w:tcPr>
    </w:tblStylePr>
    <w:tblStylePr w:type="band1Horz">
      <w:tblPr/>
      <w:tcPr>
        <w:shd w:val="clear" w:color="auto" w:fill="F4B798"/>
      </w:tcPr>
    </w:tblStylePr>
  </w:style>
  <w:style w:type="table" w:styleId="ColorfulGrid-Accent3">
    <w:name w:val="Colorful Grid Accent 3"/>
    <w:basedOn w:val="TableNormal"/>
    <w:uiPriority w:val="73"/>
    <w:semiHidden/>
    <w:unhideWhenUsed/>
    <w:rsid w:val="006B6D3E"/>
    <w:rPr>
      <w:color w:val="000080"/>
    </w:rPr>
    <w:tblPr>
      <w:tblStyleRowBandSize w:val="1"/>
      <w:tblStyleColBandSize w:val="1"/>
      <w:tblBorders>
        <w:insideH w:val="single" w:sz="4" w:space="0" w:color="FFFFFF"/>
      </w:tblBorders>
    </w:tblPr>
    <w:tcPr>
      <w:shd w:val="clear" w:color="auto" w:fill="C1F0C7"/>
    </w:tcPr>
    <w:tblStylePr w:type="firstRow">
      <w:rPr>
        <w:b/>
        <w:bCs/>
      </w:rPr>
      <w:tblPr/>
      <w:tcPr>
        <w:shd w:val="clear" w:color="auto" w:fill="84E290"/>
      </w:tcPr>
    </w:tblStylePr>
    <w:tblStylePr w:type="lastRow">
      <w:rPr>
        <w:b/>
        <w:bCs/>
        <w:color w:val="000080"/>
      </w:rPr>
      <w:tblPr/>
      <w:tcPr>
        <w:shd w:val="clear" w:color="auto" w:fill="84E290"/>
      </w:tcPr>
    </w:tblStylePr>
    <w:tblStylePr w:type="firstCol">
      <w:rPr>
        <w:color w:val="FFFFFF"/>
      </w:rPr>
      <w:tblPr/>
      <w:tcPr>
        <w:shd w:val="clear" w:color="auto" w:fill="124F1A"/>
      </w:tcPr>
    </w:tblStylePr>
    <w:tblStylePr w:type="lastCol">
      <w:rPr>
        <w:color w:val="FFFFFF"/>
      </w:rPr>
      <w:tblPr/>
      <w:tcPr>
        <w:shd w:val="clear" w:color="auto" w:fill="124F1A"/>
      </w:tcPr>
    </w:tblStylePr>
    <w:tblStylePr w:type="band1Vert">
      <w:tblPr/>
      <w:tcPr>
        <w:shd w:val="clear" w:color="auto" w:fill="66DB75"/>
      </w:tcPr>
    </w:tblStylePr>
    <w:tblStylePr w:type="band1Horz">
      <w:tblPr/>
      <w:tcPr>
        <w:shd w:val="clear" w:color="auto" w:fill="66DB75"/>
      </w:tcPr>
    </w:tblStylePr>
  </w:style>
  <w:style w:type="table" w:styleId="ColorfulGrid-Accent4">
    <w:name w:val="Colorful Grid Accent 4"/>
    <w:basedOn w:val="TableNormal"/>
    <w:uiPriority w:val="73"/>
    <w:semiHidden/>
    <w:unhideWhenUsed/>
    <w:rsid w:val="006B6D3E"/>
    <w:rPr>
      <w:color w:val="000080"/>
    </w:rPr>
    <w:tblPr>
      <w:tblStyleRowBandSize w:val="1"/>
      <w:tblStyleColBandSize w:val="1"/>
      <w:tblBorders>
        <w:insideH w:val="single" w:sz="4" w:space="0" w:color="FFFFFF"/>
      </w:tblBorders>
    </w:tblPr>
    <w:tcPr>
      <w:shd w:val="clear" w:color="auto" w:fill="CAEDFB"/>
    </w:tcPr>
    <w:tblStylePr w:type="firstRow">
      <w:rPr>
        <w:b/>
        <w:bCs/>
      </w:rPr>
      <w:tblPr/>
      <w:tcPr>
        <w:shd w:val="clear" w:color="auto" w:fill="95DCF7"/>
      </w:tcPr>
    </w:tblStylePr>
    <w:tblStylePr w:type="lastRow">
      <w:rPr>
        <w:b/>
        <w:bCs/>
        <w:color w:val="000080"/>
      </w:rPr>
      <w:tblPr/>
      <w:tcPr>
        <w:shd w:val="clear" w:color="auto" w:fill="95DCF7"/>
      </w:tcPr>
    </w:tblStylePr>
    <w:tblStylePr w:type="firstCol">
      <w:rPr>
        <w:color w:val="FFFFFF"/>
      </w:rPr>
      <w:tblPr/>
      <w:tcPr>
        <w:shd w:val="clear" w:color="auto" w:fill="0B769F"/>
      </w:tcPr>
    </w:tblStylePr>
    <w:tblStylePr w:type="lastCol">
      <w:rPr>
        <w:color w:val="FFFFFF"/>
      </w:rPr>
      <w:tblPr/>
      <w:tcPr>
        <w:shd w:val="clear" w:color="auto" w:fill="0B769F"/>
      </w:tcPr>
    </w:tblStylePr>
    <w:tblStylePr w:type="band1Vert">
      <w:tblPr/>
      <w:tcPr>
        <w:shd w:val="clear" w:color="auto" w:fill="7BD3F5"/>
      </w:tcPr>
    </w:tblStylePr>
    <w:tblStylePr w:type="band1Horz">
      <w:tblPr/>
      <w:tcPr>
        <w:shd w:val="clear" w:color="auto" w:fill="7BD3F5"/>
      </w:tcPr>
    </w:tblStylePr>
  </w:style>
  <w:style w:type="table" w:styleId="ColorfulGrid-Accent5">
    <w:name w:val="Colorful Grid Accent 5"/>
    <w:basedOn w:val="TableNormal"/>
    <w:uiPriority w:val="73"/>
    <w:semiHidden/>
    <w:unhideWhenUsed/>
    <w:rsid w:val="006B6D3E"/>
    <w:rPr>
      <w:color w:val="000080"/>
    </w:rPr>
    <w:tblPr>
      <w:tblStyleRowBandSize w:val="1"/>
      <w:tblStyleColBandSize w:val="1"/>
      <w:tblBorders>
        <w:insideH w:val="single" w:sz="4" w:space="0" w:color="FFFFFF"/>
      </w:tblBorders>
    </w:tblPr>
    <w:tcPr>
      <w:shd w:val="clear" w:color="auto" w:fill="F2CEED"/>
    </w:tcPr>
    <w:tblStylePr w:type="firstRow">
      <w:rPr>
        <w:b/>
        <w:bCs/>
      </w:rPr>
      <w:tblPr/>
      <w:tcPr>
        <w:shd w:val="clear" w:color="auto" w:fill="E59EDC"/>
      </w:tcPr>
    </w:tblStylePr>
    <w:tblStylePr w:type="lastRow">
      <w:rPr>
        <w:b/>
        <w:bCs/>
        <w:color w:val="000080"/>
      </w:rPr>
      <w:tblPr/>
      <w:tcPr>
        <w:shd w:val="clear" w:color="auto" w:fill="E59EDC"/>
      </w:tcPr>
    </w:tblStylePr>
    <w:tblStylePr w:type="firstCol">
      <w:rPr>
        <w:color w:val="FFFFFF"/>
      </w:rPr>
      <w:tblPr/>
      <w:tcPr>
        <w:shd w:val="clear" w:color="auto" w:fill="77206D"/>
      </w:tcPr>
    </w:tblStylePr>
    <w:tblStylePr w:type="lastCol">
      <w:rPr>
        <w:color w:val="FFFFFF"/>
      </w:rPr>
      <w:tblPr/>
      <w:tcPr>
        <w:shd w:val="clear" w:color="auto" w:fill="77206D"/>
      </w:tcPr>
    </w:tblStylePr>
    <w:tblStylePr w:type="band1Vert">
      <w:tblPr/>
      <w:tcPr>
        <w:shd w:val="clear" w:color="auto" w:fill="DE86D4"/>
      </w:tcPr>
    </w:tblStylePr>
    <w:tblStylePr w:type="band1Horz">
      <w:tblPr/>
      <w:tcPr>
        <w:shd w:val="clear" w:color="auto" w:fill="DE86D4"/>
      </w:tcPr>
    </w:tblStylePr>
  </w:style>
  <w:style w:type="table" w:styleId="ColorfulGrid-Accent6">
    <w:name w:val="Colorful Grid Accent 6"/>
    <w:basedOn w:val="TableNormal"/>
    <w:uiPriority w:val="73"/>
    <w:semiHidden/>
    <w:unhideWhenUsed/>
    <w:rsid w:val="006B6D3E"/>
    <w:rPr>
      <w:color w:val="000080"/>
    </w:rPr>
    <w:tblPr>
      <w:tblStyleRowBandSize w:val="1"/>
      <w:tblStyleColBandSize w:val="1"/>
      <w:tblBorders>
        <w:insideH w:val="single" w:sz="4" w:space="0" w:color="FFFFFF"/>
      </w:tblBorders>
    </w:tblPr>
    <w:tcPr>
      <w:shd w:val="clear" w:color="auto" w:fill="D9F2D0"/>
    </w:tcPr>
    <w:tblStylePr w:type="firstRow">
      <w:rPr>
        <w:b/>
        <w:bCs/>
      </w:rPr>
      <w:tblPr/>
      <w:tcPr>
        <w:shd w:val="clear" w:color="auto" w:fill="B3E5A1"/>
      </w:tcPr>
    </w:tblStylePr>
    <w:tblStylePr w:type="lastRow">
      <w:rPr>
        <w:b/>
        <w:bCs/>
        <w:color w:val="000080"/>
      </w:rPr>
      <w:tblPr/>
      <w:tcPr>
        <w:shd w:val="clear" w:color="auto" w:fill="B3E5A1"/>
      </w:tcPr>
    </w:tblStylePr>
    <w:tblStylePr w:type="firstCol">
      <w:rPr>
        <w:color w:val="FFFFFF"/>
      </w:rPr>
      <w:tblPr/>
      <w:tcPr>
        <w:shd w:val="clear" w:color="auto" w:fill="3A7C22"/>
      </w:tcPr>
    </w:tblStylePr>
    <w:tblStylePr w:type="lastCol">
      <w:rPr>
        <w:color w:val="FFFFFF"/>
      </w:rPr>
      <w:tblPr/>
      <w:tcPr>
        <w:shd w:val="clear" w:color="auto" w:fill="3A7C22"/>
      </w:tcPr>
    </w:tblStylePr>
    <w:tblStylePr w:type="band1Vert">
      <w:tblPr/>
      <w:tcPr>
        <w:shd w:val="clear" w:color="auto" w:fill="A0DF8A"/>
      </w:tcPr>
    </w:tblStylePr>
    <w:tblStylePr w:type="band1Horz">
      <w:tblPr/>
      <w:tcPr>
        <w:shd w:val="clear" w:color="auto" w:fill="A0DF8A"/>
      </w:tcPr>
    </w:tblStylePr>
  </w:style>
  <w:style w:type="table" w:styleId="ColorfulList">
    <w:name w:val="Colorful List"/>
    <w:basedOn w:val="TableNormal"/>
    <w:uiPriority w:val="72"/>
    <w:semiHidden/>
    <w:unhideWhenUsed/>
    <w:rsid w:val="006B6D3E"/>
    <w:rPr>
      <w:color w:val="000080"/>
    </w:rPr>
    <w:tblPr>
      <w:tblStyleRowBandSize w:val="1"/>
      <w:tblStyleColBandSize w:val="1"/>
    </w:tblPr>
    <w:tcPr>
      <w:shd w:val="clear" w:color="auto" w:fill="D9D9FF"/>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cPr>
    </w:tblStylePr>
    <w:tblStylePr w:type="band1Horz">
      <w:tblPr/>
      <w:tcPr>
        <w:shd w:val="clear" w:color="auto" w:fill="B2B2FF"/>
      </w:tcPr>
    </w:tblStylePr>
  </w:style>
  <w:style w:type="table" w:styleId="ColorfulList-Accent1">
    <w:name w:val="Colorful List Accent 1"/>
    <w:basedOn w:val="TableNormal"/>
    <w:uiPriority w:val="72"/>
    <w:semiHidden/>
    <w:unhideWhenUsed/>
    <w:rsid w:val="006B6D3E"/>
    <w:rPr>
      <w:color w:val="000080"/>
    </w:rPr>
    <w:tblPr>
      <w:tblStyleRowBandSize w:val="1"/>
      <w:tblStyleColBandSize w:val="1"/>
    </w:tblPr>
    <w:tcPr>
      <w:shd w:val="clear" w:color="auto" w:fill="E0F2FA"/>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cPr>
    </w:tblStylePr>
    <w:tblStylePr w:type="band1Horz">
      <w:tblPr/>
      <w:tcPr>
        <w:shd w:val="clear" w:color="auto" w:fill="C1E4F5"/>
      </w:tcPr>
    </w:tblStylePr>
  </w:style>
  <w:style w:type="table" w:styleId="ColorfulList-Accent2">
    <w:name w:val="Colorful List Accent 2"/>
    <w:basedOn w:val="TableNormal"/>
    <w:uiPriority w:val="72"/>
    <w:semiHidden/>
    <w:unhideWhenUsed/>
    <w:rsid w:val="006B6D3E"/>
    <w:rPr>
      <w:color w:val="000080"/>
    </w:rPr>
    <w:tblPr>
      <w:tblStyleRowBandSize w:val="1"/>
      <w:tblStyleColBandSize w:val="1"/>
    </w:tblPr>
    <w:tcPr>
      <w:shd w:val="clear" w:color="auto" w:fill="FCF0EA"/>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cPr>
    </w:tblStylePr>
    <w:tblStylePr w:type="band1Horz">
      <w:tblPr/>
      <w:tcPr>
        <w:shd w:val="clear" w:color="auto" w:fill="FAE2D5"/>
      </w:tcPr>
    </w:tblStylePr>
  </w:style>
  <w:style w:type="table" w:styleId="ColorfulList-Accent3">
    <w:name w:val="Colorful List Accent 3"/>
    <w:basedOn w:val="TableNormal"/>
    <w:uiPriority w:val="72"/>
    <w:semiHidden/>
    <w:unhideWhenUsed/>
    <w:rsid w:val="006B6D3E"/>
    <w:rPr>
      <w:color w:val="000080"/>
    </w:rPr>
    <w:tblPr>
      <w:tblStyleRowBandSize w:val="1"/>
      <w:tblStyleColBandSize w:val="1"/>
    </w:tblPr>
    <w:tcPr>
      <w:shd w:val="clear" w:color="auto" w:fill="E0F8E3"/>
    </w:tcPr>
    <w:tblStylePr w:type="firstRow">
      <w:rPr>
        <w:b/>
        <w:bCs/>
        <w:color w:val="FFFFFF"/>
      </w:rPr>
      <w:tblPr/>
      <w:tcPr>
        <w:tcBorders>
          <w:bottom w:val="single" w:sz="12" w:space="0" w:color="FFFFFF"/>
        </w:tcBorders>
        <w:shd w:val="clear" w:color="auto" w:fill="0C7EAA"/>
      </w:tcPr>
    </w:tblStylePr>
    <w:tblStylePr w:type="lastRow">
      <w:rPr>
        <w:b/>
        <w:bCs/>
        <w:color w:val="0C7EAA"/>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cPr>
    </w:tblStylePr>
    <w:tblStylePr w:type="band1Horz">
      <w:tblPr/>
      <w:tcPr>
        <w:shd w:val="clear" w:color="auto" w:fill="C1F0C7"/>
      </w:tcPr>
    </w:tblStylePr>
  </w:style>
  <w:style w:type="table" w:styleId="ColorfulList-Accent4">
    <w:name w:val="Colorful List Accent 4"/>
    <w:basedOn w:val="TableNormal"/>
    <w:uiPriority w:val="72"/>
    <w:semiHidden/>
    <w:unhideWhenUsed/>
    <w:rsid w:val="006B6D3E"/>
    <w:rPr>
      <w:color w:val="000080"/>
    </w:rPr>
    <w:tblPr>
      <w:tblStyleRowBandSize w:val="1"/>
      <w:tblStyleColBandSize w:val="1"/>
    </w:tblPr>
    <w:tcPr>
      <w:shd w:val="clear" w:color="auto" w:fill="E5F6FD"/>
    </w:tcPr>
    <w:tblStylePr w:type="firstRow">
      <w:rPr>
        <w:b/>
        <w:bCs/>
        <w:color w:val="FFFFFF"/>
      </w:rPr>
      <w:tblPr/>
      <w:tcPr>
        <w:tcBorders>
          <w:bottom w:val="single" w:sz="12" w:space="0" w:color="FFFFFF"/>
        </w:tcBorders>
        <w:shd w:val="clear" w:color="auto" w:fill="14551C"/>
      </w:tcPr>
    </w:tblStylePr>
    <w:tblStylePr w:type="lastRow">
      <w:rPr>
        <w:b/>
        <w:bCs/>
        <w:color w:val="14551C"/>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cPr>
    </w:tblStylePr>
    <w:tblStylePr w:type="band1Horz">
      <w:tblPr/>
      <w:tcPr>
        <w:shd w:val="clear" w:color="auto" w:fill="CAEDFB"/>
      </w:tcPr>
    </w:tblStylePr>
  </w:style>
  <w:style w:type="table" w:styleId="ColorfulList-Accent5">
    <w:name w:val="Colorful List Accent 5"/>
    <w:basedOn w:val="TableNormal"/>
    <w:uiPriority w:val="72"/>
    <w:semiHidden/>
    <w:unhideWhenUsed/>
    <w:rsid w:val="006B6D3E"/>
    <w:rPr>
      <w:color w:val="000080"/>
    </w:rPr>
    <w:tblPr>
      <w:tblStyleRowBandSize w:val="1"/>
      <w:tblStyleColBandSize w:val="1"/>
    </w:tblPr>
    <w:tcPr>
      <w:shd w:val="clear" w:color="auto" w:fill="F8E7F6"/>
    </w:tcPr>
    <w:tblStylePr w:type="firstRow">
      <w:rPr>
        <w:b/>
        <w:bCs/>
        <w:color w:val="FFFFFF"/>
      </w:rPr>
      <w:tblPr/>
      <w:tcPr>
        <w:tcBorders>
          <w:bottom w:val="single" w:sz="12" w:space="0" w:color="FFFFFF"/>
        </w:tcBorders>
        <w:shd w:val="clear" w:color="auto" w:fill="3E8524"/>
      </w:tcPr>
    </w:tblStylePr>
    <w:tblStylePr w:type="lastRow">
      <w:rPr>
        <w:b/>
        <w:bCs/>
        <w:color w:val="3E8524"/>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cPr>
    </w:tblStylePr>
    <w:tblStylePr w:type="band1Horz">
      <w:tblPr/>
      <w:tcPr>
        <w:shd w:val="clear" w:color="auto" w:fill="F2CEED"/>
      </w:tcPr>
    </w:tblStylePr>
  </w:style>
  <w:style w:type="table" w:styleId="ColorfulList-Accent6">
    <w:name w:val="Colorful List Accent 6"/>
    <w:basedOn w:val="TableNormal"/>
    <w:uiPriority w:val="72"/>
    <w:semiHidden/>
    <w:unhideWhenUsed/>
    <w:rsid w:val="006B6D3E"/>
    <w:rPr>
      <w:color w:val="000080"/>
    </w:rPr>
    <w:tblPr>
      <w:tblStyleRowBandSize w:val="1"/>
      <w:tblStyleColBandSize w:val="1"/>
    </w:tblPr>
    <w:tcPr>
      <w:shd w:val="clear" w:color="auto" w:fill="ECF8E8"/>
    </w:tcPr>
    <w:tblStylePr w:type="firstRow">
      <w:rPr>
        <w:b/>
        <w:bCs/>
        <w:color w:val="FFFFFF"/>
      </w:rPr>
      <w:tblPr/>
      <w:tcPr>
        <w:tcBorders>
          <w:bottom w:val="single" w:sz="12" w:space="0" w:color="FFFFFF"/>
        </w:tcBorders>
        <w:shd w:val="clear" w:color="auto" w:fill="7F2275"/>
      </w:tcPr>
    </w:tblStylePr>
    <w:tblStylePr w:type="lastRow">
      <w:rPr>
        <w:b/>
        <w:bCs/>
        <w:color w:val="7F2275"/>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cPr>
    </w:tblStylePr>
    <w:tblStylePr w:type="band1Horz">
      <w:tblPr/>
      <w:tcPr>
        <w:shd w:val="clear" w:color="auto" w:fill="D9F2D0"/>
      </w:tcPr>
    </w:tblStylePr>
  </w:style>
  <w:style w:type="table" w:styleId="ColorfulShading">
    <w:name w:val="Colorful Shading"/>
    <w:basedOn w:val="TableNormal"/>
    <w:uiPriority w:val="71"/>
    <w:semiHidden/>
    <w:unhideWhenUsed/>
    <w:rsid w:val="006B6D3E"/>
    <w:rPr>
      <w:color w:val="000080"/>
    </w:rPr>
    <w:tblPr>
      <w:tblStyleRowBandSize w:val="1"/>
      <w:tblStyleColBandSize w:val="1"/>
      <w:tblBorders>
        <w:top w:val="single" w:sz="24" w:space="0" w:color="E97132"/>
        <w:left w:val="single" w:sz="4" w:space="0" w:color="000080"/>
        <w:bottom w:val="single" w:sz="4" w:space="0" w:color="000080"/>
        <w:right w:val="single" w:sz="4" w:space="0" w:color="000080"/>
        <w:insideH w:val="single" w:sz="4" w:space="0" w:color="FFFFFF"/>
        <w:insideV w:val="single" w:sz="4" w:space="0" w:color="FFFFFF"/>
      </w:tblBorders>
    </w:tblPr>
    <w:tcPr>
      <w:shd w:val="clear" w:color="auto" w:fill="D9D9FF"/>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4C"/>
      </w:tcPr>
    </w:tblStylePr>
    <w:tblStylePr w:type="firstCol">
      <w:rPr>
        <w:color w:val="FFFFFF"/>
      </w:rPr>
      <w:tblPr/>
      <w:tcPr>
        <w:tcBorders>
          <w:top w:val="nil"/>
          <w:left w:val="nil"/>
          <w:bottom w:val="nil"/>
          <w:right w:val="nil"/>
          <w:insideH w:val="single" w:sz="4" w:space="0" w:color="00004C"/>
          <w:insideV w:val="nil"/>
        </w:tcBorders>
        <w:shd w:val="clear" w:color="auto" w:fill="00004C"/>
      </w:tcPr>
    </w:tblStylePr>
    <w:tblStylePr w:type="lastCol">
      <w:rPr>
        <w:color w:val="FFFFFF"/>
      </w:rPr>
      <w:tblPr/>
      <w:tcPr>
        <w:tcBorders>
          <w:top w:val="nil"/>
          <w:left w:val="nil"/>
          <w:bottom w:val="nil"/>
          <w:right w:val="nil"/>
          <w:insideH w:val="nil"/>
          <w:insideV w:val="nil"/>
        </w:tcBorders>
        <w:shd w:val="clear" w:color="auto" w:fill="00005F"/>
      </w:tcPr>
    </w:tblStylePr>
    <w:tblStylePr w:type="band1Vert">
      <w:tblPr/>
      <w:tcPr>
        <w:shd w:val="clear" w:color="auto" w:fill="6666FF"/>
      </w:tcPr>
    </w:tblStylePr>
    <w:tblStylePr w:type="band1Horz">
      <w:tblPr/>
      <w:tcPr>
        <w:shd w:val="clear" w:color="auto" w:fill="4040FF"/>
      </w:tcPr>
    </w:tblStylePr>
    <w:tblStylePr w:type="neCell">
      <w:rPr>
        <w:color w:val="000080"/>
      </w:rPr>
    </w:tblStylePr>
    <w:tblStylePr w:type="nwCell">
      <w:rPr>
        <w:color w:val="000080"/>
      </w:rPr>
    </w:tblStylePr>
  </w:style>
  <w:style w:type="table" w:styleId="ColorfulShading-Accent1">
    <w:name w:val="Colorful Shading Accent 1"/>
    <w:basedOn w:val="TableNormal"/>
    <w:uiPriority w:val="71"/>
    <w:semiHidden/>
    <w:unhideWhenUsed/>
    <w:rsid w:val="006B6D3E"/>
    <w:rPr>
      <w:color w:val="000080"/>
    </w:rPr>
    <w:tblPr>
      <w:tblStyleRowBandSize w:val="1"/>
      <w:tblStyleColBandSize w:val="1"/>
      <w:tblBorders>
        <w:top w:val="single" w:sz="24" w:space="0" w:color="E97132"/>
        <w:left w:val="single" w:sz="4" w:space="0" w:color="156082"/>
        <w:bottom w:val="single" w:sz="4" w:space="0" w:color="156082"/>
        <w:right w:val="single" w:sz="4" w:space="0" w:color="156082"/>
        <w:insideH w:val="single" w:sz="4" w:space="0" w:color="FFFFFF"/>
        <w:insideV w:val="single" w:sz="4" w:space="0" w:color="FFFFFF"/>
      </w:tblBorders>
    </w:tblPr>
    <w:tcPr>
      <w:shd w:val="clear" w:color="auto" w:fill="E0F2FA"/>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C394D"/>
      </w:tcPr>
    </w:tblStylePr>
    <w:tblStylePr w:type="firstCol">
      <w:rPr>
        <w:color w:val="FFFFFF"/>
      </w:rPr>
      <w:tblPr/>
      <w:tcPr>
        <w:tcBorders>
          <w:top w:val="nil"/>
          <w:left w:val="nil"/>
          <w:bottom w:val="nil"/>
          <w:right w:val="nil"/>
          <w:insideH w:val="single" w:sz="4" w:space="0" w:color="0C394D"/>
          <w:insideV w:val="nil"/>
        </w:tcBorders>
        <w:shd w:val="clear" w:color="auto" w:fill="0C394D"/>
      </w:tcPr>
    </w:tblStylePr>
    <w:tblStylePr w:type="lastCol">
      <w:rPr>
        <w:color w:val="FFFFFF"/>
      </w:rPr>
      <w:tblPr/>
      <w:tcPr>
        <w:tcBorders>
          <w:top w:val="nil"/>
          <w:left w:val="nil"/>
          <w:bottom w:val="nil"/>
          <w:right w:val="nil"/>
          <w:insideH w:val="nil"/>
          <w:insideV w:val="nil"/>
        </w:tcBorders>
        <w:shd w:val="clear" w:color="auto" w:fill="0C394D"/>
      </w:tcPr>
    </w:tblStylePr>
    <w:tblStylePr w:type="band1Vert">
      <w:tblPr/>
      <w:tcPr>
        <w:shd w:val="clear" w:color="auto" w:fill="83CAEB"/>
      </w:tcPr>
    </w:tblStylePr>
    <w:tblStylePr w:type="band1Horz">
      <w:tblPr/>
      <w:tcPr>
        <w:shd w:val="clear" w:color="auto" w:fill="64BDE6"/>
      </w:tcPr>
    </w:tblStylePr>
    <w:tblStylePr w:type="neCell">
      <w:rPr>
        <w:color w:val="000080"/>
      </w:rPr>
    </w:tblStylePr>
    <w:tblStylePr w:type="nwCell">
      <w:rPr>
        <w:color w:val="000080"/>
      </w:rPr>
    </w:tblStylePr>
  </w:style>
  <w:style w:type="table" w:styleId="ColorfulShading-Accent2">
    <w:name w:val="Colorful Shading Accent 2"/>
    <w:basedOn w:val="TableNormal"/>
    <w:uiPriority w:val="71"/>
    <w:semiHidden/>
    <w:unhideWhenUsed/>
    <w:rsid w:val="006B6D3E"/>
    <w:rPr>
      <w:color w:val="000080"/>
    </w:rPr>
    <w:tblPr>
      <w:tblStyleRowBandSize w:val="1"/>
      <w:tblStyleColBandSize w:val="1"/>
      <w:tblBorders>
        <w:top w:val="single" w:sz="24" w:space="0" w:color="E97132"/>
        <w:left w:val="single" w:sz="4" w:space="0" w:color="E97132"/>
        <w:bottom w:val="single" w:sz="4" w:space="0" w:color="E97132"/>
        <w:right w:val="single" w:sz="4" w:space="0" w:color="E97132"/>
        <w:insideH w:val="single" w:sz="4" w:space="0" w:color="FFFFFF"/>
        <w:insideV w:val="single" w:sz="4" w:space="0" w:color="FFFFFF"/>
      </w:tblBorders>
    </w:tblPr>
    <w:tcPr>
      <w:shd w:val="clear" w:color="auto" w:fill="FCF0EA"/>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3F10"/>
      </w:tcPr>
    </w:tblStylePr>
    <w:tblStylePr w:type="firstCol">
      <w:rPr>
        <w:color w:val="FFFFFF"/>
      </w:rPr>
      <w:tblPr/>
      <w:tcPr>
        <w:tcBorders>
          <w:top w:val="nil"/>
          <w:left w:val="nil"/>
          <w:bottom w:val="nil"/>
          <w:right w:val="nil"/>
          <w:insideH w:val="single" w:sz="4" w:space="0" w:color="993F10"/>
          <w:insideV w:val="nil"/>
        </w:tcBorders>
        <w:shd w:val="clear" w:color="auto" w:fill="993F10"/>
      </w:tcPr>
    </w:tblStylePr>
    <w:tblStylePr w:type="lastCol">
      <w:rPr>
        <w:color w:val="FFFFFF"/>
      </w:rPr>
      <w:tblPr/>
      <w:tcPr>
        <w:tcBorders>
          <w:top w:val="nil"/>
          <w:left w:val="nil"/>
          <w:bottom w:val="nil"/>
          <w:right w:val="nil"/>
          <w:insideH w:val="nil"/>
          <w:insideV w:val="nil"/>
        </w:tcBorders>
        <w:shd w:val="clear" w:color="auto" w:fill="993F10"/>
      </w:tcPr>
    </w:tblStylePr>
    <w:tblStylePr w:type="band1Vert">
      <w:tblPr/>
      <w:tcPr>
        <w:shd w:val="clear" w:color="auto" w:fill="F6C5AC"/>
      </w:tcPr>
    </w:tblStylePr>
    <w:tblStylePr w:type="band1Horz">
      <w:tblPr/>
      <w:tcPr>
        <w:shd w:val="clear" w:color="auto" w:fill="F4B798"/>
      </w:tcPr>
    </w:tblStylePr>
    <w:tblStylePr w:type="neCell">
      <w:rPr>
        <w:color w:val="000080"/>
      </w:rPr>
    </w:tblStylePr>
    <w:tblStylePr w:type="nwCell">
      <w:rPr>
        <w:color w:val="000080"/>
      </w:rPr>
    </w:tblStylePr>
  </w:style>
  <w:style w:type="table" w:styleId="ColorfulShading-Accent3">
    <w:name w:val="Colorful Shading Accent 3"/>
    <w:basedOn w:val="TableNormal"/>
    <w:uiPriority w:val="71"/>
    <w:semiHidden/>
    <w:unhideWhenUsed/>
    <w:rsid w:val="006B6D3E"/>
    <w:rPr>
      <w:color w:val="000080"/>
    </w:rPr>
    <w:tblPr>
      <w:tblStyleRowBandSize w:val="1"/>
      <w:tblStyleColBandSize w:val="1"/>
      <w:tblBorders>
        <w:top w:val="single" w:sz="24" w:space="0" w:color="0F9ED5"/>
        <w:left w:val="single" w:sz="4" w:space="0" w:color="196B24"/>
        <w:bottom w:val="single" w:sz="4" w:space="0" w:color="196B24"/>
        <w:right w:val="single" w:sz="4" w:space="0" w:color="196B24"/>
        <w:insideH w:val="single" w:sz="4" w:space="0" w:color="FFFFFF"/>
        <w:insideV w:val="single" w:sz="4" w:space="0" w:color="FFFFFF"/>
      </w:tblBorders>
    </w:tblPr>
    <w:tcPr>
      <w:shd w:val="clear" w:color="auto" w:fill="E0F8E3"/>
    </w:tcPr>
    <w:tblStylePr w:type="firstRow">
      <w:rPr>
        <w:b/>
        <w:bCs/>
      </w:rPr>
      <w:tblPr/>
      <w:tcPr>
        <w:tcBorders>
          <w:top w:val="nil"/>
          <w:left w:val="nil"/>
          <w:bottom w:val="single" w:sz="24" w:space="0" w:color="0F9E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F4015"/>
      </w:tcPr>
    </w:tblStylePr>
    <w:tblStylePr w:type="firstCol">
      <w:rPr>
        <w:color w:val="FFFFFF"/>
      </w:rPr>
      <w:tblPr/>
      <w:tcPr>
        <w:tcBorders>
          <w:top w:val="nil"/>
          <w:left w:val="nil"/>
          <w:bottom w:val="nil"/>
          <w:right w:val="nil"/>
          <w:insideH w:val="single" w:sz="4" w:space="0" w:color="0F4015"/>
          <w:insideV w:val="nil"/>
        </w:tcBorders>
        <w:shd w:val="clear" w:color="auto" w:fill="0F4015"/>
      </w:tcPr>
    </w:tblStylePr>
    <w:tblStylePr w:type="lastCol">
      <w:rPr>
        <w:color w:val="FFFFFF"/>
      </w:rPr>
      <w:tblPr/>
      <w:tcPr>
        <w:tcBorders>
          <w:top w:val="nil"/>
          <w:left w:val="nil"/>
          <w:bottom w:val="nil"/>
          <w:right w:val="nil"/>
          <w:insideH w:val="nil"/>
          <w:insideV w:val="nil"/>
        </w:tcBorders>
        <w:shd w:val="clear" w:color="auto" w:fill="0F4015"/>
      </w:tcPr>
    </w:tblStylePr>
    <w:tblStylePr w:type="band1Vert">
      <w:tblPr/>
      <w:tcPr>
        <w:shd w:val="clear" w:color="auto" w:fill="84E290"/>
      </w:tcPr>
    </w:tblStylePr>
    <w:tblStylePr w:type="band1Horz">
      <w:tblPr/>
      <w:tcPr>
        <w:shd w:val="clear" w:color="auto" w:fill="66DB75"/>
      </w:tcPr>
    </w:tblStylePr>
  </w:style>
  <w:style w:type="table" w:styleId="ColorfulShading-Accent4">
    <w:name w:val="Colorful Shading Accent 4"/>
    <w:basedOn w:val="TableNormal"/>
    <w:uiPriority w:val="71"/>
    <w:semiHidden/>
    <w:unhideWhenUsed/>
    <w:rsid w:val="006B6D3E"/>
    <w:rPr>
      <w:color w:val="000080"/>
    </w:rPr>
    <w:tblPr>
      <w:tblStyleRowBandSize w:val="1"/>
      <w:tblStyleColBandSize w:val="1"/>
      <w:tblBorders>
        <w:top w:val="single" w:sz="24" w:space="0" w:color="196B24"/>
        <w:left w:val="single" w:sz="4" w:space="0" w:color="0F9ED5"/>
        <w:bottom w:val="single" w:sz="4" w:space="0" w:color="0F9ED5"/>
        <w:right w:val="single" w:sz="4" w:space="0" w:color="0F9ED5"/>
        <w:insideH w:val="single" w:sz="4" w:space="0" w:color="FFFFFF"/>
        <w:insideV w:val="single" w:sz="4" w:space="0" w:color="FFFFFF"/>
      </w:tblBorders>
    </w:tblPr>
    <w:tcPr>
      <w:shd w:val="clear" w:color="auto" w:fill="E5F6FD"/>
    </w:tcPr>
    <w:tblStylePr w:type="firstRow">
      <w:rPr>
        <w:b/>
        <w:bCs/>
      </w:rPr>
      <w:tblPr/>
      <w:tcPr>
        <w:tcBorders>
          <w:top w:val="nil"/>
          <w:left w:val="nil"/>
          <w:bottom w:val="single" w:sz="24" w:space="0" w:color="196B2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95E7F"/>
      </w:tcPr>
    </w:tblStylePr>
    <w:tblStylePr w:type="firstCol">
      <w:rPr>
        <w:color w:val="FFFFFF"/>
      </w:rPr>
      <w:tblPr/>
      <w:tcPr>
        <w:tcBorders>
          <w:top w:val="nil"/>
          <w:left w:val="nil"/>
          <w:bottom w:val="nil"/>
          <w:right w:val="nil"/>
          <w:insideH w:val="single" w:sz="4" w:space="0" w:color="095E7F"/>
          <w:insideV w:val="nil"/>
        </w:tcBorders>
        <w:shd w:val="clear" w:color="auto" w:fill="095E7F"/>
      </w:tcPr>
    </w:tblStylePr>
    <w:tblStylePr w:type="lastCol">
      <w:rPr>
        <w:color w:val="FFFFFF"/>
      </w:rPr>
      <w:tblPr/>
      <w:tcPr>
        <w:tcBorders>
          <w:top w:val="nil"/>
          <w:left w:val="nil"/>
          <w:bottom w:val="nil"/>
          <w:right w:val="nil"/>
          <w:insideH w:val="nil"/>
          <w:insideV w:val="nil"/>
        </w:tcBorders>
        <w:shd w:val="clear" w:color="auto" w:fill="095E7F"/>
      </w:tcPr>
    </w:tblStylePr>
    <w:tblStylePr w:type="band1Vert">
      <w:tblPr/>
      <w:tcPr>
        <w:shd w:val="clear" w:color="auto" w:fill="95DCF7"/>
      </w:tcPr>
    </w:tblStylePr>
    <w:tblStylePr w:type="band1Horz">
      <w:tblPr/>
      <w:tcPr>
        <w:shd w:val="clear" w:color="auto" w:fill="7BD3F5"/>
      </w:tcPr>
    </w:tblStylePr>
    <w:tblStylePr w:type="neCell">
      <w:rPr>
        <w:color w:val="000080"/>
      </w:rPr>
    </w:tblStylePr>
    <w:tblStylePr w:type="nwCell">
      <w:rPr>
        <w:color w:val="000080"/>
      </w:rPr>
    </w:tblStylePr>
  </w:style>
  <w:style w:type="table" w:styleId="ColorfulShading-Accent5">
    <w:name w:val="Colorful Shading Accent 5"/>
    <w:basedOn w:val="TableNormal"/>
    <w:uiPriority w:val="71"/>
    <w:semiHidden/>
    <w:unhideWhenUsed/>
    <w:rsid w:val="006B6D3E"/>
    <w:rPr>
      <w:color w:val="000080"/>
    </w:rPr>
    <w:tblPr>
      <w:tblStyleRowBandSize w:val="1"/>
      <w:tblStyleColBandSize w:val="1"/>
      <w:tblBorders>
        <w:top w:val="single" w:sz="24" w:space="0" w:color="4EA72E"/>
        <w:left w:val="single" w:sz="4" w:space="0" w:color="A02B93"/>
        <w:bottom w:val="single" w:sz="4" w:space="0" w:color="A02B93"/>
        <w:right w:val="single" w:sz="4" w:space="0" w:color="A02B93"/>
        <w:insideH w:val="single" w:sz="4" w:space="0" w:color="FFFFFF"/>
        <w:insideV w:val="single" w:sz="4" w:space="0" w:color="FFFFFF"/>
      </w:tblBorders>
    </w:tblPr>
    <w:tcPr>
      <w:shd w:val="clear" w:color="auto" w:fill="F8E7F6"/>
    </w:tcPr>
    <w:tblStylePr w:type="firstRow">
      <w:rPr>
        <w:b/>
        <w:bCs/>
      </w:rPr>
      <w:tblPr/>
      <w:tcPr>
        <w:tcBorders>
          <w:top w:val="nil"/>
          <w:left w:val="nil"/>
          <w:bottom w:val="single" w:sz="24" w:space="0" w:color="4EA72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F1957"/>
      </w:tcPr>
    </w:tblStylePr>
    <w:tblStylePr w:type="firstCol">
      <w:rPr>
        <w:color w:val="FFFFFF"/>
      </w:rPr>
      <w:tblPr/>
      <w:tcPr>
        <w:tcBorders>
          <w:top w:val="nil"/>
          <w:left w:val="nil"/>
          <w:bottom w:val="nil"/>
          <w:right w:val="nil"/>
          <w:insideH w:val="single" w:sz="4" w:space="0" w:color="5F1957"/>
          <w:insideV w:val="nil"/>
        </w:tcBorders>
        <w:shd w:val="clear" w:color="auto" w:fill="5F1957"/>
      </w:tcPr>
    </w:tblStylePr>
    <w:tblStylePr w:type="lastCol">
      <w:rPr>
        <w:color w:val="FFFFFF"/>
      </w:rPr>
      <w:tblPr/>
      <w:tcPr>
        <w:tcBorders>
          <w:top w:val="nil"/>
          <w:left w:val="nil"/>
          <w:bottom w:val="nil"/>
          <w:right w:val="nil"/>
          <w:insideH w:val="nil"/>
          <w:insideV w:val="nil"/>
        </w:tcBorders>
        <w:shd w:val="clear" w:color="auto" w:fill="5F1957"/>
      </w:tcPr>
    </w:tblStylePr>
    <w:tblStylePr w:type="band1Vert">
      <w:tblPr/>
      <w:tcPr>
        <w:shd w:val="clear" w:color="auto" w:fill="E59EDC"/>
      </w:tcPr>
    </w:tblStylePr>
    <w:tblStylePr w:type="band1Horz">
      <w:tblPr/>
      <w:tcPr>
        <w:shd w:val="clear" w:color="auto" w:fill="DE86D4"/>
      </w:tcPr>
    </w:tblStylePr>
    <w:tblStylePr w:type="neCell">
      <w:rPr>
        <w:color w:val="000080"/>
      </w:rPr>
    </w:tblStylePr>
    <w:tblStylePr w:type="nwCell">
      <w:rPr>
        <w:color w:val="000080"/>
      </w:rPr>
    </w:tblStylePr>
  </w:style>
  <w:style w:type="table" w:styleId="ColorfulShading-Accent6">
    <w:name w:val="Colorful Shading Accent 6"/>
    <w:basedOn w:val="TableNormal"/>
    <w:uiPriority w:val="71"/>
    <w:semiHidden/>
    <w:unhideWhenUsed/>
    <w:rsid w:val="006B6D3E"/>
    <w:rPr>
      <w:color w:val="000080"/>
    </w:rPr>
    <w:tblPr>
      <w:tblStyleRowBandSize w:val="1"/>
      <w:tblStyleColBandSize w:val="1"/>
      <w:tblBorders>
        <w:top w:val="single" w:sz="24" w:space="0" w:color="A02B93"/>
        <w:left w:val="single" w:sz="4" w:space="0" w:color="4EA72E"/>
        <w:bottom w:val="single" w:sz="4" w:space="0" w:color="4EA72E"/>
        <w:right w:val="single" w:sz="4" w:space="0" w:color="4EA72E"/>
        <w:insideH w:val="single" w:sz="4" w:space="0" w:color="FFFFFF"/>
        <w:insideV w:val="single" w:sz="4" w:space="0" w:color="FFFFFF"/>
      </w:tblBorders>
    </w:tblPr>
    <w:tcPr>
      <w:shd w:val="clear" w:color="auto" w:fill="ECF8E8"/>
    </w:tcPr>
    <w:tblStylePr w:type="firstRow">
      <w:rPr>
        <w:b/>
        <w:bCs/>
      </w:rPr>
      <w:tblPr/>
      <w:tcPr>
        <w:tcBorders>
          <w:top w:val="nil"/>
          <w:left w:val="nil"/>
          <w:bottom w:val="single" w:sz="24" w:space="0" w:color="A02B9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E641B"/>
      </w:tcPr>
    </w:tblStylePr>
    <w:tblStylePr w:type="firstCol">
      <w:rPr>
        <w:color w:val="FFFFFF"/>
      </w:rPr>
      <w:tblPr/>
      <w:tcPr>
        <w:tcBorders>
          <w:top w:val="nil"/>
          <w:left w:val="nil"/>
          <w:bottom w:val="nil"/>
          <w:right w:val="nil"/>
          <w:insideH w:val="single" w:sz="4" w:space="0" w:color="2E641B"/>
          <w:insideV w:val="nil"/>
        </w:tcBorders>
        <w:shd w:val="clear" w:color="auto" w:fill="2E641B"/>
      </w:tcPr>
    </w:tblStylePr>
    <w:tblStylePr w:type="lastCol">
      <w:rPr>
        <w:color w:val="FFFFFF"/>
      </w:rPr>
      <w:tblPr/>
      <w:tcPr>
        <w:tcBorders>
          <w:top w:val="nil"/>
          <w:left w:val="nil"/>
          <w:bottom w:val="nil"/>
          <w:right w:val="nil"/>
          <w:insideH w:val="nil"/>
          <w:insideV w:val="nil"/>
        </w:tcBorders>
        <w:shd w:val="clear" w:color="auto" w:fill="2E641B"/>
      </w:tcPr>
    </w:tblStylePr>
    <w:tblStylePr w:type="band1Vert">
      <w:tblPr/>
      <w:tcPr>
        <w:shd w:val="clear" w:color="auto" w:fill="B3E5A1"/>
      </w:tcPr>
    </w:tblStylePr>
    <w:tblStylePr w:type="band1Horz">
      <w:tblPr/>
      <w:tcPr>
        <w:shd w:val="clear" w:color="auto" w:fill="A0DF8A"/>
      </w:tcPr>
    </w:tblStylePr>
    <w:tblStylePr w:type="neCell">
      <w:rPr>
        <w:color w:val="000080"/>
      </w:rPr>
    </w:tblStylePr>
    <w:tblStylePr w:type="nwCell">
      <w:rPr>
        <w:color w:val="000080"/>
      </w:rPr>
    </w:tblStylePr>
  </w:style>
  <w:style w:type="table" w:styleId="DarkList">
    <w:name w:val="Dark List"/>
    <w:basedOn w:val="TableNormal"/>
    <w:uiPriority w:val="70"/>
    <w:semiHidden/>
    <w:unhideWhenUsed/>
    <w:rsid w:val="006B6D3E"/>
    <w:rPr>
      <w:color w:val="FFFFFF"/>
    </w:rPr>
    <w:tblPr>
      <w:tblStyleRowBandSize w:val="1"/>
      <w:tblStyleColBandSize w:val="1"/>
    </w:tblPr>
    <w:tcPr>
      <w:shd w:val="clear" w:color="auto" w:fill="000080"/>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00003F"/>
      </w:tcPr>
    </w:tblStylePr>
    <w:tblStylePr w:type="firstCol">
      <w:tblPr/>
      <w:tcPr>
        <w:tcBorders>
          <w:top w:val="nil"/>
          <w:left w:val="nil"/>
          <w:bottom w:val="nil"/>
          <w:right w:val="single" w:sz="18" w:space="0" w:color="FFFFFF"/>
          <w:insideH w:val="nil"/>
          <w:insideV w:val="nil"/>
        </w:tcBorders>
        <w:shd w:val="clear" w:color="auto" w:fill="00005F"/>
      </w:tcPr>
    </w:tblStylePr>
    <w:tblStylePr w:type="lastCol">
      <w:tblPr/>
      <w:tcPr>
        <w:tcBorders>
          <w:top w:val="nil"/>
          <w:left w:val="single" w:sz="18" w:space="0" w:color="FFFFFF"/>
          <w:bottom w:val="nil"/>
          <w:right w:val="nil"/>
          <w:insideH w:val="nil"/>
          <w:insideV w:val="nil"/>
        </w:tcBorders>
        <w:shd w:val="clear" w:color="auto" w:fill="00005F"/>
      </w:tcPr>
    </w:tblStylePr>
    <w:tblStylePr w:type="band1Vert">
      <w:tblPr/>
      <w:tcPr>
        <w:tcBorders>
          <w:top w:val="nil"/>
          <w:left w:val="nil"/>
          <w:bottom w:val="nil"/>
          <w:right w:val="nil"/>
          <w:insideH w:val="nil"/>
          <w:insideV w:val="nil"/>
        </w:tcBorders>
        <w:shd w:val="clear" w:color="auto" w:fill="00005F"/>
      </w:tcPr>
    </w:tblStylePr>
    <w:tblStylePr w:type="band1Horz">
      <w:tblPr/>
      <w:tcPr>
        <w:tcBorders>
          <w:top w:val="nil"/>
          <w:left w:val="nil"/>
          <w:bottom w:val="nil"/>
          <w:right w:val="nil"/>
          <w:insideH w:val="nil"/>
          <w:insideV w:val="nil"/>
        </w:tcBorders>
        <w:shd w:val="clear" w:color="auto" w:fill="00005F"/>
      </w:tcPr>
    </w:tblStylePr>
  </w:style>
  <w:style w:type="table" w:styleId="DarkList-Accent1">
    <w:name w:val="Dark List Accent 1"/>
    <w:basedOn w:val="TableNormal"/>
    <w:uiPriority w:val="70"/>
    <w:semiHidden/>
    <w:unhideWhenUsed/>
    <w:rsid w:val="006B6D3E"/>
    <w:rPr>
      <w:color w:val="FFFFFF"/>
    </w:rPr>
    <w:tblPr>
      <w:tblStyleRowBandSize w:val="1"/>
      <w:tblStyleColBandSize w:val="1"/>
    </w:tblPr>
    <w:tcPr>
      <w:shd w:val="clear" w:color="auto" w:fill="156082"/>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0A2F40"/>
      </w:tcPr>
    </w:tblStylePr>
    <w:tblStylePr w:type="firstCol">
      <w:tblPr/>
      <w:tcPr>
        <w:tcBorders>
          <w:top w:val="nil"/>
          <w:left w:val="nil"/>
          <w:bottom w:val="nil"/>
          <w:right w:val="single" w:sz="18" w:space="0" w:color="FFFFFF"/>
          <w:insideH w:val="nil"/>
          <w:insideV w:val="nil"/>
        </w:tcBorders>
        <w:shd w:val="clear" w:color="auto" w:fill="0F4761"/>
      </w:tcPr>
    </w:tblStylePr>
    <w:tblStylePr w:type="lastCol">
      <w:tblPr/>
      <w:tcPr>
        <w:tcBorders>
          <w:top w:val="nil"/>
          <w:left w:val="single" w:sz="18" w:space="0" w:color="FFFFFF"/>
          <w:bottom w:val="nil"/>
          <w:right w:val="nil"/>
          <w:insideH w:val="nil"/>
          <w:insideV w:val="nil"/>
        </w:tcBorders>
        <w:shd w:val="clear" w:color="auto" w:fill="0F4761"/>
      </w:tcPr>
    </w:tblStylePr>
    <w:tblStylePr w:type="band1Vert">
      <w:tblPr/>
      <w:tcPr>
        <w:tcBorders>
          <w:top w:val="nil"/>
          <w:left w:val="nil"/>
          <w:bottom w:val="nil"/>
          <w:right w:val="nil"/>
          <w:insideH w:val="nil"/>
          <w:insideV w:val="nil"/>
        </w:tcBorders>
        <w:shd w:val="clear" w:color="auto" w:fill="0F4761"/>
      </w:tcPr>
    </w:tblStylePr>
    <w:tblStylePr w:type="band1Horz">
      <w:tblPr/>
      <w:tcPr>
        <w:tcBorders>
          <w:top w:val="nil"/>
          <w:left w:val="nil"/>
          <w:bottom w:val="nil"/>
          <w:right w:val="nil"/>
          <w:insideH w:val="nil"/>
          <w:insideV w:val="nil"/>
        </w:tcBorders>
        <w:shd w:val="clear" w:color="auto" w:fill="0F4761"/>
      </w:tcPr>
    </w:tblStylePr>
  </w:style>
  <w:style w:type="table" w:styleId="DarkList-Accent2">
    <w:name w:val="Dark List Accent 2"/>
    <w:basedOn w:val="TableNormal"/>
    <w:uiPriority w:val="70"/>
    <w:semiHidden/>
    <w:unhideWhenUsed/>
    <w:rsid w:val="006B6D3E"/>
    <w:rPr>
      <w:color w:val="FFFFFF"/>
    </w:rPr>
    <w:tblPr>
      <w:tblStyleRowBandSize w:val="1"/>
      <w:tblStyleColBandSize w:val="1"/>
    </w:tblPr>
    <w:tcPr>
      <w:shd w:val="clear" w:color="auto" w:fill="E97132"/>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7F340D"/>
      </w:tcPr>
    </w:tblStylePr>
    <w:tblStylePr w:type="firstCol">
      <w:tblPr/>
      <w:tcPr>
        <w:tcBorders>
          <w:top w:val="nil"/>
          <w:left w:val="nil"/>
          <w:bottom w:val="nil"/>
          <w:right w:val="single" w:sz="18" w:space="0" w:color="FFFFFF"/>
          <w:insideH w:val="nil"/>
          <w:insideV w:val="nil"/>
        </w:tcBorders>
        <w:shd w:val="clear" w:color="auto" w:fill="BF4E14"/>
      </w:tcPr>
    </w:tblStylePr>
    <w:tblStylePr w:type="lastCol">
      <w:tblPr/>
      <w:tcPr>
        <w:tcBorders>
          <w:top w:val="nil"/>
          <w:left w:val="single" w:sz="18" w:space="0" w:color="FFFFFF"/>
          <w:bottom w:val="nil"/>
          <w:right w:val="nil"/>
          <w:insideH w:val="nil"/>
          <w:insideV w:val="nil"/>
        </w:tcBorders>
        <w:shd w:val="clear" w:color="auto" w:fill="BF4E14"/>
      </w:tcPr>
    </w:tblStylePr>
    <w:tblStylePr w:type="band1Vert">
      <w:tblPr/>
      <w:tcPr>
        <w:tcBorders>
          <w:top w:val="nil"/>
          <w:left w:val="nil"/>
          <w:bottom w:val="nil"/>
          <w:right w:val="nil"/>
          <w:insideH w:val="nil"/>
          <w:insideV w:val="nil"/>
        </w:tcBorders>
        <w:shd w:val="clear" w:color="auto" w:fill="BF4E14"/>
      </w:tcPr>
    </w:tblStylePr>
    <w:tblStylePr w:type="band1Horz">
      <w:tblPr/>
      <w:tcPr>
        <w:tcBorders>
          <w:top w:val="nil"/>
          <w:left w:val="nil"/>
          <w:bottom w:val="nil"/>
          <w:right w:val="nil"/>
          <w:insideH w:val="nil"/>
          <w:insideV w:val="nil"/>
        </w:tcBorders>
        <w:shd w:val="clear" w:color="auto" w:fill="BF4E14"/>
      </w:tcPr>
    </w:tblStylePr>
  </w:style>
  <w:style w:type="table" w:styleId="DarkList-Accent3">
    <w:name w:val="Dark List Accent 3"/>
    <w:basedOn w:val="TableNormal"/>
    <w:uiPriority w:val="70"/>
    <w:semiHidden/>
    <w:unhideWhenUsed/>
    <w:rsid w:val="006B6D3E"/>
    <w:rPr>
      <w:color w:val="FFFFFF"/>
    </w:rPr>
    <w:tblPr>
      <w:tblStyleRowBandSize w:val="1"/>
      <w:tblStyleColBandSize w:val="1"/>
    </w:tblPr>
    <w:tcPr>
      <w:shd w:val="clear" w:color="auto" w:fill="196B24"/>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0C3511"/>
      </w:tcPr>
    </w:tblStylePr>
    <w:tblStylePr w:type="firstCol">
      <w:tblPr/>
      <w:tcPr>
        <w:tcBorders>
          <w:top w:val="nil"/>
          <w:left w:val="nil"/>
          <w:bottom w:val="nil"/>
          <w:right w:val="single" w:sz="18" w:space="0" w:color="FFFFFF"/>
          <w:insideH w:val="nil"/>
          <w:insideV w:val="nil"/>
        </w:tcBorders>
        <w:shd w:val="clear" w:color="auto" w:fill="124F1A"/>
      </w:tcPr>
    </w:tblStylePr>
    <w:tblStylePr w:type="lastCol">
      <w:tblPr/>
      <w:tcPr>
        <w:tcBorders>
          <w:top w:val="nil"/>
          <w:left w:val="single" w:sz="18" w:space="0" w:color="FFFFFF"/>
          <w:bottom w:val="nil"/>
          <w:right w:val="nil"/>
          <w:insideH w:val="nil"/>
          <w:insideV w:val="nil"/>
        </w:tcBorders>
        <w:shd w:val="clear" w:color="auto" w:fill="124F1A"/>
      </w:tcPr>
    </w:tblStylePr>
    <w:tblStylePr w:type="band1Vert">
      <w:tblPr/>
      <w:tcPr>
        <w:tcBorders>
          <w:top w:val="nil"/>
          <w:left w:val="nil"/>
          <w:bottom w:val="nil"/>
          <w:right w:val="nil"/>
          <w:insideH w:val="nil"/>
          <w:insideV w:val="nil"/>
        </w:tcBorders>
        <w:shd w:val="clear" w:color="auto" w:fill="124F1A"/>
      </w:tcPr>
    </w:tblStylePr>
    <w:tblStylePr w:type="band1Horz">
      <w:tblPr/>
      <w:tcPr>
        <w:tcBorders>
          <w:top w:val="nil"/>
          <w:left w:val="nil"/>
          <w:bottom w:val="nil"/>
          <w:right w:val="nil"/>
          <w:insideH w:val="nil"/>
          <w:insideV w:val="nil"/>
        </w:tcBorders>
        <w:shd w:val="clear" w:color="auto" w:fill="124F1A"/>
      </w:tcPr>
    </w:tblStylePr>
  </w:style>
  <w:style w:type="table" w:styleId="DarkList-Accent4">
    <w:name w:val="Dark List Accent 4"/>
    <w:basedOn w:val="TableNormal"/>
    <w:uiPriority w:val="70"/>
    <w:semiHidden/>
    <w:unhideWhenUsed/>
    <w:rsid w:val="006B6D3E"/>
    <w:rPr>
      <w:color w:val="FFFFFF"/>
    </w:rPr>
    <w:tblPr>
      <w:tblStyleRowBandSize w:val="1"/>
      <w:tblStyleColBandSize w:val="1"/>
    </w:tblPr>
    <w:tcPr>
      <w:shd w:val="clear" w:color="auto" w:fill="0F9ED5"/>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074E69"/>
      </w:tcPr>
    </w:tblStylePr>
    <w:tblStylePr w:type="firstCol">
      <w:tblPr/>
      <w:tcPr>
        <w:tcBorders>
          <w:top w:val="nil"/>
          <w:left w:val="nil"/>
          <w:bottom w:val="nil"/>
          <w:right w:val="single" w:sz="18" w:space="0" w:color="FFFFFF"/>
          <w:insideH w:val="nil"/>
          <w:insideV w:val="nil"/>
        </w:tcBorders>
        <w:shd w:val="clear" w:color="auto" w:fill="0B769F"/>
      </w:tcPr>
    </w:tblStylePr>
    <w:tblStylePr w:type="lastCol">
      <w:tblPr/>
      <w:tcPr>
        <w:tcBorders>
          <w:top w:val="nil"/>
          <w:left w:val="single" w:sz="18" w:space="0" w:color="FFFFFF"/>
          <w:bottom w:val="nil"/>
          <w:right w:val="nil"/>
          <w:insideH w:val="nil"/>
          <w:insideV w:val="nil"/>
        </w:tcBorders>
        <w:shd w:val="clear" w:color="auto" w:fill="0B769F"/>
      </w:tcPr>
    </w:tblStylePr>
    <w:tblStylePr w:type="band1Vert">
      <w:tblPr/>
      <w:tcPr>
        <w:tcBorders>
          <w:top w:val="nil"/>
          <w:left w:val="nil"/>
          <w:bottom w:val="nil"/>
          <w:right w:val="nil"/>
          <w:insideH w:val="nil"/>
          <w:insideV w:val="nil"/>
        </w:tcBorders>
        <w:shd w:val="clear" w:color="auto" w:fill="0B769F"/>
      </w:tcPr>
    </w:tblStylePr>
    <w:tblStylePr w:type="band1Horz">
      <w:tblPr/>
      <w:tcPr>
        <w:tcBorders>
          <w:top w:val="nil"/>
          <w:left w:val="nil"/>
          <w:bottom w:val="nil"/>
          <w:right w:val="nil"/>
          <w:insideH w:val="nil"/>
          <w:insideV w:val="nil"/>
        </w:tcBorders>
        <w:shd w:val="clear" w:color="auto" w:fill="0B769F"/>
      </w:tcPr>
    </w:tblStylePr>
  </w:style>
  <w:style w:type="table" w:styleId="DarkList-Accent5">
    <w:name w:val="Dark List Accent 5"/>
    <w:basedOn w:val="TableNormal"/>
    <w:uiPriority w:val="70"/>
    <w:semiHidden/>
    <w:unhideWhenUsed/>
    <w:rsid w:val="006B6D3E"/>
    <w:rPr>
      <w:color w:val="FFFFFF"/>
    </w:rPr>
    <w:tblPr>
      <w:tblStyleRowBandSize w:val="1"/>
      <w:tblStyleColBandSize w:val="1"/>
    </w:tblPr>
    <w:tcPr>
      <w:shd w:val="clear" w:color="auto" w:fill="A02B93"/>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4F1548"/>
      </w:tcPr>
    </w:tblStylePr>
    <w:tblStylePr w:type="firstCol">
      <w:tblPr/>
      <w:tcPr>
        <w:tcBorders>
          <w:top w:val="nil"/>
          <w:left w:val="nil"/>
          <w:bottom w:val="nil"/>
          <w:right w:val="single" w:sz="18" w:space="0" w:color="FFFFFF"/>
          <w:insideH w:val="nil"/>
          <w:insideV w:val="nil"/>
        </w:tcBorders>
        <w:shd w:val="clear" w:color="auto" w:fill="77206D"/>
      </w:tcPr>
    </w:tblStylePr>
    <w:tblStylePr w:type="lastCol">
      <w:tblPr/>
      <w:tcPr>
        <w:tcBorders>
          <w:top w:val="nil"/>
          <w:left w:val="single" w:sz="18" w:space="0" w:color="FFFFFF"/>
          <w:bottom w:val="nil"/>
          <w:right w:val="nil"/>
          <w:insideH w:val="nil"/>
          <w:insideV w:val="nil"/>
        </w:tcBorders>
        <w:shd w:val="clear" w:color="auto" w:fill="77206D"/>
      </w:tcPr>
    </w:tblStylePr>
    <w:tblStylePr w:type="band1Vert">
      <w:tblPr/>
      <w:tcPr>
        <w:tcBorders>
          <w:top w:val="nil"/>
          <w:left w:val="nil"/>
          <w:bottom w:val="nil"/>
          <w:right w:val="nil"/>
          <w:insideH w:val="nil"/>
          <w:insideV w:val="nil"/>
        </w:tcBorders>
        <w:shd w:val="clear" w:color="auto" w:fill="77206D"/>
      </w:tcPr>
    </w:tblStylePr>
    <w:tblStylePr w:type="band1Horz">
      <w:tblPr/>
      <w:tcPr>
        <w:tcBorders>
          <w:top w:val="nil"/>
          <w:left w:val="nil"/>
          <w:bottom w:val="nil"/>
          <w:right w:val="nil"/>
          <w:insideH w:val="nil"/>
          <w:insideV w:val="nil"/>
        </w:tcBorders>
        <w:shd w:val="clear" w:color="auto" w:fill="77206D"/>
      </w:tcPr>
    </w:tblStylePr>
  </w:style>
  <w:style w:type="table" w:styleId="DarkList-Accent6">
    <w:name w:val="Dark List Accent 6"/>
    <w:basedOn w:val="TableNormal"/>
    <w:uiPriority w:val="70"/>
    <w:semiHidden/>
    <w:unhideWhenUsed/>
    <w:rsid w:val="006B6D3E"/>
    <w:rPr>
      <w:color w:val="FFFFFF"/>
    </w:rPr>
    <w:tblPr>
      <w:tblStyleRowBandSize w:val="1"/>
      <w:tblStyleColBandSize w:val="1"/>
    </w:tblPr>
    <w:tcPr>
      <w:shd w:val="clear" w:color="auto" w:fill="4EA72E"/>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265317"/>
      </w:tcPr>
    </w:tblStylePr>
    <w:tblStylePr w:type="firstCol">
      <w:tblPr/>
      <w:tcPr>
        <w:tcBorders>
          <w:top w:val="nil"/>
          <w:left w:val="nil"/>
          <w:bottom w:val="nil"/>
          <w:right w:val="single" w:sz="18" w:space="0" w:color="FFFFFF"/>
          <w:insideH w:val="nil"/>
          <w:insideV w:val="nil"/>
        </w:tcBorders>
        <w:shd w:val="clear" w:color="auto" w:fill="3A7C22"/>
      </w:tcPr>
    </w:tblStylePr>
    <w:tblStylePr w:type="lastCol">
      <w:tblPr/>
      <w:tcPr>
        <w:tcBorders>
          <w:top w:val="nil"/>
          <w:left w:val="single" w:sz="18" w:space="0" w:color="FFFFFF"/>
          <w:bottom w:val="nil"/>
          <w:right w:val="nil"/>
          <w:insideH w:val="nil"/>
          <w:insideV w:val="nil"/>
        </w:tcBorders>
        <w:shd w:val="clear" w:color="auto" w:fill="3A7C22"/>
      </w:tcPr>
    </w:tblStylePr>
    <w:tblStylePr w:type="band1Vert">
      <w:tblPr/>
      <w:tcPr>
        <w:tcBorders>
          <w:top w:val="nil"/>
          <w:left w:val="nil"/>
          <w:bottom w:val="nil"/>
          <w:right w:val="nil"/>
          <w:insideH w:val="nil"/>
          <w:insideV w:val="nil"/>
        </w:tcBorders>
        <w:shd w:val="clear" w:color="auto" w:fill="3A7C22"/>
      </w:tcPr>
    </w:tblStylePr>
    <w:tblStylePr w:type="band1Horz">
      <w:tblPr/>
      <w:tcPr>
        <w:tcBorders>
          <w:top w:val="nil"/>
          <w:left w:val="nil"/>
          <w:bottom w:val="nil"/>
          <w:right w:val="nil"/>
          <w:insideH w:val="nil"/>
          <w:insideV w:val="nil"/>
        </w:tcBorders>
        <w:shd w:val="clear" w:color="auto" w:fill="3A7C22"/>
      </w:tcPr>
    </w:tblStylePr>
  </w:style>
  <w:style w:type="paragraph" w:styleId="Date">
    <w:name w:val="Date"/>
    <w:basedOn w:val="Normal"/>
    <w:next w:val="Normal"/>
    <w:link w:val="DateChar"/>
    <w:uiPriority w:val="99"/>
    <w:semiHidden/>
    <w:unhideWhenUsed/>
    <w:rsid w:val="006B6D3E"/>
  </w:style>
  <w:style w:type="character" w:customStyle="1" w:styleId="DateChar">
    <w:name w:val="Date Char"/>
    <w:link w:val="Date"/>
    <w:uiPriority w:val="99"/>
    <w:semiHidden/>
    <w:rsid w:val="006B6D3E"/>
    <w:rPr>
      <w:rFonts w:ascii="Times New Roman" w:eastAsia="SimSun" w:hAnsi="Times New Roman" w:cs="Times New Roman"/>
      <w:kern w:val="0"/>
      <w:sz w:val="22"/>
      <w:szCs w:val="22"/>
      <w:lang w:val="en-GB"/>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link w:val="DocumentMap"/>
    <w:uiPriority w:val="99"/>
    <w:semiHidden/>
    <w:rsid w:val="006B6D3E"/>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link w:val="E-mailSignature"/>
    <w:uiPriority w:val="99"/>
    <w:semiHidden/>
    <w:rsid w:val="006B6D3E"/>
    <w:rPr>
      <w:rFonts w:ascii="Times New Roman" w:eastAsia="SimSun" w:hAnsi="Times New Roman" w:cs="Times New Roman"/>
      <w:kern w:val="0"/>
      <w:sz w:val="22"/>
      <w:szCs w:val="22"/>
      <w:lang w:val="en-GB"/>
    </w:rPr>
  </w:style>
  <w:style w:type="character" w:styleId="Emphasis">
    <w:name w:val="Emphasis"/>
    <w:uiPriority w:val="20"/>
    <w:qFormat/>
    <w:rsid w:val="006B6D3E"/>
    <w:rPr>
      <w:i/>
      <w:iCs/>
      <w:lang w:val="en-GB"/>
    </w:rPr>
  </w:style>
  <w:style w:type="character" w:styleId="EndnoteReference">
    <w:name w:val="endnote reference"/>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link w:val="EndnoteText"/>
    <w:uiPriority w:val="99"/>
    <w:semiHidden/>
    <w:rsid w:val="006B6D3E"/>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Aptos Display" w:eastAsia="DengXian Light" w:hAnsi="Aptos Display"/>
      <w:sz w:val="24"/>
      <w:szCs w:val="24"/>
    </w:rPr>
  </w:style>
  <w:style w:type="paragraph" w:styleId="EnvelopeReturn">
    <w:name w:val="envelope return"/>
    <w:basedOn w:val="Normal"/>
    <w:uiPriority w:val="99"/>
    <w:semiHidden/>
    <w:unhideWhenUsed/>
    <w:rsid w:val="006B6D3E"/>
    <w:rPr>
      <w:rFonts w:ascii="Aptos Display" w:eastAsia="DengXian Light" w:hAnsi="Aptos Display"/>
      <w:sz w:val="20"/>
      <w:szCs w:val="20"/>
    </w:rPr>
  </w:style>
  <w:style w:type="character" w:styleId="FollowedHyperlink">
    <w:name w:val="FollowedHyperlink"/>
    <w:uiPriority w:val="99"/>
    <w:semiHidden/>
    <w:unhideWhenUsed/>
    <w:rsid w:val="006B6D3E"/>
    <w:rPr>
      <w:color w:val="96607D"/>
      <w:u w:val="single"/>
      <w:lang w:val="en-GB"/>
    </w:rPr>
  </w:style>
  <w:style w:type="table" w:styleId="GridTable1Light">
    <w:name w:val="Grid Table 1 Light"/>
    <w:basedOn w:val="TableNormal"/>
    <w:uiPriority w:val="46"/>
    <w:rsid w:val="006B6D3E"/>
    <w:tblPr>
      <w:tblStyleRowBandSize w:val="1"/>
      <w:tblStyleColBandSize w:val="1"/>
      <w:tblBorders>
        <w:top w:val="single" w:sz="4" w:space="0" w:color="6666FF"/>
        <w:left w:val="single" w:sz="4" w:space="0" w:color="6666FF"/>
        <w:bottom w:val="single" w:sz="4" w:space="0" w:color="6666FF"/>
        <w:right w:val="single" w:sz="4" w:space="0" w:color="6666FF"/>
        <w:insideH w:val="single" w:sz="4" w:space="0" w:color="6666FF"/>
        <w:insideV w:val="single" w:sz="4" w:space="0" w:color="6666FF"/>
      </w:tblBorders>
    </w:tblPr>
    <w:tblStylePr w:type="firstRow">
      <w:rPr>
        <w:b/>
        <w:bCs/>
      </w:rPr>
      <w:tblPr/>
      <w:tcPr>
        <w:tcBorders>
          <w:bottom w:val="single" w:sz="12" w:space="0" w:color="1919FF"/>
        </w:tcBorders>
      </w:tcPr>
    </w:tblStylePr>
    <w:tblStylePr w:type="lastRow">
      <w:rPr>
        <w:b/>
        <w:bCs/>
      </w:rPr>
      <w:tblPr/>
      <w:tcPr>
        <w:tcBorders>
          <w:top w:val="double" w:sz="2" w:space="0" w:color="1919FF"/>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tblPr>
      <w:tblStyleRowBandSize w:val="1"/>
      <w:tblStyleColBandSize w:val="1"/>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tblPr>
      <w:tblStyleRowBandSize w:val="1"/>
      <w:tblStyleColBandSize w:val="1"/>
      <w:tblBorders>
        <w:top w:val="single" w:sz="4" w:space="0" w:color="F6C5AC"/>
        <w:left w:val="single" w:sz="4" w:space="0" w:color="F6C5AC"/>
        <w:bottom w:val="single" w:sz="4" w:space="0" w:color="F6C5AC"/>
        <w:right w:val="single" w:sz="4" w:space="0" w:color="F6C5AC"/>
        <w:insideH w:val="single" w:sz="4" w:space="0" w:color="F6C5AC"/>
        <w:insideV w:val="single" w:sz="4" w:space="0" w:color="F6C5AC"/>
      </w:tblBorders>
    </w:tblPr>
    <w:tblStylePr w:type="firstRow">
      <w:rPr>
        <w:b/>
        <w:bCs/>
      </w:rPr>
      <w:tblPr/>
      <w:tcPr>
        <w:tcBorders>
          <w:bottom w:val="single" w:sz="12" w:space="0" w:color="F1A983"/>
        </w:tcBorders>
      </w:tcPr>
    </w:tblStylePr>
    <w:tblStylePr w:type="lastRow">
      <w:rPr>
        <w:b/>
        <w:bCs/>
      </w:rPr>
      <w:tblPr/>
      <w:tcPr>
        <w:tcBorders>
          <w:top w:val="double" w:sz="2" w:space="0" w:color="F1A983"/>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tblPr>
      <w:tblStyleRowBandSize w:val="1"/>
      <w:tblStyleColBandSize w:val="1"/>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tblPr>
      <w:tblStyleRowBandSize w:val="1"/>
      <w:tblStyleColBandSize w:val="1"/>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Pr>
    <w:tblStylePr w:type="firstRow">
      <w:rPr>
        <w:b/>
        <w:bCs/>
      </w:rPr>
      <w:tblPr/>
      <w:tcPr>
        <w:tcBorders>
          <w:bottom w:val="single" w:sz="12" w:space="0" w:color="60CAF3"/>
        </w:tcBorders>
      </w:tcPr>
    </w:tblStylePr>
    <w:tblStylePr w:type="lastRow">
      <w:rPr>
        <w:b/>
        <w:bCs/>
      </w:rPr>
      <w:tblPr/>
      <w:tcPr>
        <w:tcBorders>
          <w:top w:val="double" w:sz="2" w:space="0" w:color="60CAF3"/>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tblPr>
      <w:tblStyleRowBandSize w:val="1"/>
      <w:tblStyleColBandSize w:val="1"/>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Pr>
    <w:tblStylePr w:type="firstRow">
      <w:rPr>
        <w:b/>
        <w:bCs/>
      </w:rPr>
      <w:tblPr/>
      <w:tcPr>
        <w:tcBorders>
          <w:bottom w:val="single" w:sz="12" w:space="0" w:color="D86DCB"/>
        </w:tcBorders>
      </w:tcPr>
    </w:tblStylePr>
    <w:tblStylePr w:type="lastRow">
      <w:rPr>
        <w:b/>
        <w:bCs/>
      </w:rPr>
      <w:tblPr/>
      <w:tcPr>
        <w:tcBorders>
          <w:top w:val="double" w:sz="2" w:space="0" w:color="D86DCB"/>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tblPr>
      <w:tblStyleRowBandSize w:val="1"/>
      <w:tblStyleColBandSize w:val="1"/>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table" w:styleId="GridTable2">
    <w:name w:val="Grid Table 2"/>
    <w:basedOn w:val="TableNormal"/>
    <w:uiPriority w:val="47"/>
    <w:rsid w:val="006B6D3E"/>
    <w:tblPr>
      <w:tblStyleRowBandSize w:val="1"/>
      <w:tblStyleColBandSize w:val="1"/>
      <w:tblBorders>
        <w:top w:val="single" w:sz="2" w:space="0" w:color="1919FF"/>
        <w:bottom w:val="single" w:sz="2" w:space="0" w:color="1919FF"/>
        <w:insideH w:val="single" w:sz="2" w:space="0" w:color="1919FF"/>
        <w:insideV w:val="single" w:sz="2" w:space="0" w:color="1919FF"/>
      </w:tblBorders>
    </w:tblPr>
    <w:tblStylePr w:type="firstRow">
      <w:rPr>
        <w:b/>
        <w:bCs/>
      </w:rPr>
      <w:tblPr/>
      <w:tcPr>
        <w:tcBorders>
          <w:top w:val="nil"/>
          <w:bottom w:val="single" w:sz="12" w:space="0" w:color="1919FF"/>
          <w:insideH w:val="nil"/>
          <w:insideV w:val="nil"/>
        </w:tcBorders>
        <w:shd w:val="clear" w:color="auto" w:fill="FFFFFF"/>
      </w:tcPr>
    </w:tblStylePr>
    <w:tblStylePr w:type="lastRow">
      <w:rPr>
        <w:b/>
        <w:bCs/>
      </w:rPr>
      <w:tblPr/>
      <w:tcPr>
        <w:tcBorders>
          <w:top w:val="double" w:sz="2" w:space="0" w:color="1919F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GridTable2-Accent1">
    <w:name w:val="Grid Table 2 Accent 1"/>
    <w:basedOn w:val="TableNormal"/>
    <w:uiPriority w:val="47"/>
    <w:rsid w:val="006B6D3E"/>
    <w:tblPr>
      <w:tblStyleRowBandSize w:val="1"/>
      <w:tblStyleColBandSize w:val="1"/>
      <w:tblBorders>
        <w:top w:val="single" w:sz="2" w:space="0" w:color="45B0E1"/>
        <w:bottom w:val="single" w:sz="2" w:space="0" w:color="45B0E1"/>
        <w:insideH w:val="single" w:sz="2" w:space="0" w:color="45B0E1"/>
        <w:insideV w:val="single" w:sz="2" w:space="0" w:color="45B0E1"/>
      </w:tblBorders>
    </w:tblPr>
    <w:tblStylePr w:type="firstRow">
      <w:rPr>
        <w:b/>
        <w:bCs/>
      </w:rPr>
      <w:tblPr/>
      <w:tcPr>
        <w:tcBorders>
          <w:top w:val="nil"/>
          <w:bottom w:val="single" w:sz="12" w:space="0" w:color="45B0E1"/>
          <w:insideH w:val="nil"/>
          <w:insideV w:val="nil"/>
        </w:tcBorders>
        <w:shd w:val="clear" w:color="auto" w:fill="FFFFFF"/>
      </w:tcPr>
    </w:tblStylePr>
    <w:tblStylePr w:type="lastRow">
      <w:rPr>
        <w:b/>
        <w:bCs/>
      </w:rPr>
      <w:tblPr/>
      <w:tcPr>
        <w:tcBorders>
          <w:top w:val="double" w:sz="2" w:space="0" w:color="45B0E1"/>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styleId="GridTable2-Accent2">
    <w:name w:val="Grid Table 2 Accent 2"/>
    <w:basedOn w:val="TableNormal"/>
    <w:uiPriority w:val="47"/>
    <w:rsid w:val="006B6D3E"/>
    <w:tblPr>
      <w:tblStyleRowBandSize w:val="1"/>
      <w:tblStyleColBandSize w:val="1"/>
      <w:tblBorders>
        <w:top w:val="single" w:sz="2" w:space="0" w:color="F1A983"/>
        <w:bottom w:val="single" w:sz="2" w:space="0" w:color="F1A983"/>
        <w:insideH w:val="single" w:sz="2" w:space="0" w:color="F1A983"/>
        <w:insideV w:val="single" w:sz="2" w:space="0" w:color="F1A983"/>
      </w:tblBorders>
    </w:tblPr>
    <w:tblStylePr w:type="firstRow">
      <w:rPr>
        <w:b/>
        <w:bCs/>
      </w:rPr>
      <w:tblPr/>
      <w:tcPr>
        <w:tcBorders>
          <w:top w:val="nil"/>
          <w:bottom w:val="single" w:sz="12" w:space="0" w:color="F1A983"/>
          <w:insideH w:val="nil"/>
          <w:insideV w:val="nil"/>
        </w:tcBorders>
        <w:shd w:val="clear" w:color="auto" w:fill="FFFFFF"/>
      </w:tcPr>
    </w:tblStylePr>
    <w:tblStylePr w:type="lastRow">
      <w:rPr>
        <w:b/>
        <w:bCs/>
      </w:rPr>
      <w:tblPr/>
      <w:tcPr>
        <w:tcBorders>
          <w:top w:val="double" w:sz="2" w:space="0" w:color="F1A9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styleId="GridTable2-Accent3">
    <w:name w:val="Grid Table 2 Accent 3"/>
    <w:basedOn w:val="TableNormal"/>
    <w:uiPriority w:val="47"/>
    <w:rsid w:val="006B6D3E"/>
    <w:tblPr>
      <w:tblStyleRowBandSize w:val="1"/>
      <w:tblStyleColBandSize w:val="1"/>
      <w:tblBorders>
        <w:top w:val="single" w:sz="2" w:space="0" w:color="47D459"/>
        <w:bottom w:val="single" w:sz="2" w:space="0" w:color="47D459"/>
        <w:insideH w:val="single" w:sz="2" w:space="0" w:color="47D459"/>
        <w:insideV w:val="single" w:sz="2" w:space="0" w:color="47D459"/>
      </w:tblBorders>
    </w:tblPr>
    <w:tblStylePr w:type="firstRow">
      <w:rPr>
        <w:b/>
        <w:bCs/>
      </w:rPr>
      <w:tblPr/>
      <w:tcPr>
        <w:tcBorders>
          <w:top w:val="nil"/>
          <w:bottom w:val="single" w:sz="12" w:space="0" w:color="47D459"/>
          <w:insideH w:val="nil"/>
          <w:insideV w:val="nil"/>
        </w:tcBorders>
        <w:shd w:val="clear" w:color="auto" w:fill="FFFFFF"/>
      </w:tcPr>
    </w:tblStylePr>
    <w:tblStylePr w:type="lastRow">
      <w:rPr>
        <w:b/>
        <w:bCs/>
      </w:rPr>
      <w:tblPr/>
      <w:tcPr>
        <w:tcBorders>
          <w:top w:val="double" w:sz="2" w:space="0" w:color="47D45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styleId="GridTable2-Accent4">
    <w:name w:val="Grid Table 2 Accent 4"/>
    <w:basedOn w:val="TableNormal"/>
    <w:uiPriority w:val="47"/>
    <w:rsid w:val="006B6D3E"/>
    <w:tblPr>
      <w:tblStyleRowBandSize w:val="1"/>
      <w:tblStyleColBandSize w:val="1"/>
      <w:tblBorders>
        <w:top w:val="single" w:sz="2" w:space="0" w:color="60CAF3"/>
        <w:bottom w:val="single" w:sz="2" w:space="0" w:color="60CAF3"/>
        <w:insideH w:val="single" w:sz="2" w:space="0" w:color="60CAF3"/>
        <w:insideV w:val="single" w:sz="2" w:space="0" w:color="60CAF3"/>
      </w:tblBorders>
    </w:tblPr>
    <w:tblStylePr w:type="firstRow">
      <w:rPr>
        <w:b/>
        <w:bCs/>
      </w:rPr>
      <w:tblPr/>
      <w:tcPr>
        <w:tcBorders>
          <w:top w:val="nil"/>
          <w:bottom w:val="single" w:sz="12" w:space="0" w:color="60CAF3"/>
          <w:insideH w:val="nil"/>
          <w:insideV w:val="nil"/>
        </w:tcBorders>
        <w:shd w:val="clear" w:color="auto" w:fill="FFFFFF"/>
      </w:tcPr>
    </w:tblStylePr>
    <w:tblStylePr w:type="lastRow">
      <w:rPr>
        <w:b/>
        <w:bCs/>
      </w:rPr>
      <w:tblPr/>
      <w:tcPr>
        <w:tcBorders>
          <w:top w:val="double" w:sz="2" w:space="0" w:color="60CAF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styleId="GridTable2-Accent5">
    <w:name w:val="Grid Table 2 Accent 5"/>
    <w:basedOn w:val="TableNormal"/>
    <w:uiPriority w:val="47"/>
    <w:rsid w:val="006B6D3E"/>
    <w:tblPr>
      <w:tblStyleRowBandSize w:val="1"/>
      <w:tblStyleColBandSize w:val="1"/>
      <w:tblBorders>
        <w:top w:val="single" w:sz="2" w:space="0" w:color="D86DCB"/>
        <w:bottom w:val="single" w:sz="2" w:space="0" w:color="D86DCB"/>
        <w:insideH w:val="single" w:sz="2" w:space="0" w:color="D86DCB"/>
        <w:insideV w:val="single" w:sz="2" w:space="0" w:color="D86DCB"/>
      </w:tblBorders>
    </w:tblPr>
    <w:tblStylePr w:type="firstRow">
      <w:rPr>
        <w:b/>
        <w:bCs/>
      </w:rPr>
      <w:tblPr/>
      <w:tcPr>
        <w:tcBorders>
          <w:top w:val="nil"/>
          <w:bottom w:val="single" w:sz="12" w:space="0" w:color="D86DCB"/>
          <w:insideH w:val="nil"/>
          <w:insideV w:val="nil"/>
        </w:tcBorders>
        <w:shd w:val="clear" w:color="auto" w:fill="FFFFFF"/>
      </w:tcPr>
    </w:tblStylePr>
    <w:tblStylePr w:type="lastRow">
      <w:rPr>
        <w:b/>
        <w:bCs/>
      </w:rPr>
      <w:tblPr/>
      <w:tcPr>
        <w:tcBorders>
          <w:top w:val="double" w:sz="2" w:space="0" w:color="D86DC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styleId="GridTable2-Accent6">
    <w:name w:val="Grid Table 2 Accent 6"/>
    <w:basedOn w:val="TableNormal"/>
    <w:uiPriority w:val="47"/>
    <w:rsid w:val="006B6D3E"/>
    <w:tblPr>
      <w:tblStyleRowBandSize w:val="1"/>
      <w:tblStyleColBandSize w:val="1"/>
      <w:tblBorders>
        <w:top w:val="single" w:sz="2" w:space="0" w:color="8DD873"/>
        <w:bottom w:val="single" w:sz="2" w:space="0" w:color="8DD873"/>
        <w:insideH w:val="single" w:sz="2" w:space="0" w:color="8DD873"/>
        <w:insideV w:val="single" w:sz="2" w:space="0" w:color="8DD873"/>
      </w:tblBorders>
    </w:tblPr>
    <w:tblStylePr w:type="firstRow">
      <w:rPr>
        <w:b/>
        <w:bCs/>
      </w:rPr>
      <w:tblPr/>
      <w:tcPr>
        <w:tcBorders>
          <w:top w:val="nil"/>
          <w:bottom w:val="single" w:sz="12" w:space="0" w:color="8DD873"/>
          <w:insideH w:val="nil"/>
          <w:insideV w:val="nil"/>
        </w:tcBorders>
        <w:shd w:val="clear" w:color="auto" w:fill="FFFFFF"/>
      </w:tcPr>
    </w:tblStylePr>
    <w:tblStylePr w:type="lastRow">
      <w:rPr>
        <w:b/>
        <w:bCs/>
      </w:rPr>
      <w:tblPr/>
      <w:tcPr>
        <w:tcBorders>
          <w:top w:val="double" w:sz="2" w:space="0" w:color="8DD87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styleId="GridTable3">
    <w:name w:val="Grid Table 3"/>
    <w:basedOn w:val="TableNormal"/>
    <w:uiPriority w:val="48"/>
    <w:rsid w:val="006B6D3E"/>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bottom w:val="single" w:sz="4" w:space="0" w:color="1919FF"/>
        </w:tcBorders>
      </w:tcPr>
    </w:tblStylePr>
    <w:tblStylePr w:type="nwCell">
      <w:tblPr/>
      <w:tcPr>
        <w:tcBorders>
          <w:bottom w:val="single" w:sz="4" w:space="0" w:color="1919FF"/>
        </w:tcBorders>
      </w:tcPr>
    </w:tblStylePr>
    <w:tblStylePr w:type="seCell">
      <w:tblPr/>
      <w:tcPr>
        <w:tcBorders>
          <w:top w:val="single" w:sz="4" w:space="0" w:color="1919FF"/>
        </w:tcBorders>
      </w:tcPr>
    </w:tblStylePr>
    <w:tblStylePr w:type="swCell">
      <w:tblPr/>
      <w:tcPr>
        <w:tcBorders>
          <w:top w:val="single" w:sz="4" w:space="0" w:color="1919FF"/>
        </w:tcBorders>
      </w:tcPr>
    </w:tblStylePr>
  </w:style>
  <w:style w:type="table" w:styleId="GridTable3-Accent1">
    <w:name w:val="Grid Table 3 Accent 1"/>
    <w:basedOn w:val="TableNormal"/>
    <w:uiPriority w:val="48"/>
    <w:rsid w:val="006B6D3E"/>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bottom w:val="single" w:sz="4" w:space="0" w:color="45B0E1"/>
        </w:tcBorders>
      </w:tcPr>
    </w:tblStylePr>
    <w:tblStylePr w:type="nwCell">
      <w:tblPr/>
      <w:tcPr>
        <w:tcBorders>
          <w:bottom w:val="single" w:sz="4" w:space="0" w:color="45B0E1"/>
        </w:tcBorders>
      </w:tcPr>
    </w:tblStylePr>
    <w:tblStylePr w:type="seCell">
      <w:tblPr/>
      <w:tcPr>
        <w:tcBorders>
          <w:top w:val="single" w:sz="4" w:space="0" w:color="45B0E1"/>
        </w:tcBorders>
      </w:tcPr>
    </w:tblStylePr>
    <w:tblStylePr w:type="swCell">
      <w:tblPr/>
      <w:tcPr>
        <w:tcBorders>
          <w:top w:val="single" w:sz="4" w:space="0" w:color="45B0E1"/>
        </w:tcBorders>
      </w:tcPr>
    </w:tblStylePr>
  </w:style>
  <w:style w:type="table" w:styleId="GridTable3-Accent2">
    <w:name w:val="Grid Table 3 Accent 2"/>
    <w:basedOn w:val="TableNormal"/>
    <w:uiPriority w:val="48"/>
    <w:rsid w:val="006B6D3E"/>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bottom w:val="single" w:sz="4" w:space="0" w:color="F1A983"/>
        </w:tcBorders>
      </w:tcPr>
    </w:tblStylePr>
    <w:tblStylePr w:type="nwCell">
      <w:tblPr/>
      <w:tcPr>
        <w:tcBorders>
          <w:bottom w:val="single" w:sz="4" w:space="0" w:color="F1A983"/>
        </w:tcBorders>
      </w:tcPr>
    </w:tblStylePr>
    <w:tblStylePr w:type="seCell">
      <w:tblPr/>
      <w:tcPr>
        <w:tcBorders>
          <w:top w:val="single" w:sz="4" w:space="0" w:color="F1A983"/>
        </w:tcBorders>
      </w:tcPr>
    </w:tblStylePr>
    <w:tblStylePr w:type="swCell">
      <w:tblPr/>
      <w:tcPr>
        <w:tcBorders>
          <w:top w:val="single" w:sz="4" w:space="0" w:color="F1A983"/>
        </w:tcBorders>
      </w:tcPr>
    </w:tblStylePr>
  </w:style>
  <w:style w:type="table" w:styleId="GridTable3-Accent3">
    <w:name w:val="Grid Table 3 Accent 3"/>
    <w:basedOn w:val="TableNormal"/>
    <w:uiPriority w:val="48"/>
    <w:rsid w:val="006B6D3E"/>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bottom w:val="single" w:sz="4" w:space="0" w:color="47D459"/>
        </w:tcBorders>
      </w:tcPr>
    </w:tblStylePr>
    <w:tblStylePr w:type="nwCell">
      <w:tblPr/>
      <w:tcPr>
        <w:tcBorders>
          <w:bottom w:val="single" w:sz="4" w:space="0" w:color="47D459"/>
        </w:tcBorders>
      </w:tcPr>
    </w:tblStylePr>
    <w:tblStylePr w:type="seCell">
      <w:tblPr/>
      <w:tcPr>
        <w:tcBorders>
          <w:top w:val="single" w:sz="4" w:space="0" w:color="47D459"/>
        </w:tcBorders>
      </w:tcPr>
    </w:tblStylePr>
    <w:tblStylePr w:type="swCell">
      <w:tblPr/>
      <w:tcPr>
        <w:tcBorders>
          <w:top w:val="single" w:sz="4" w:space="0" w:color="47D459"/>
        </w:tcBorders>
      </w:tcPr>
    </w:tblStylePr>
  </w:style>
  <w:style w:type="table" w:styleId="GridTable3-Accent4">
    <w:name w:val="Grid Table 3 Accent 4"/>
    <w:basedOn w:val="TableNormal"/>
    <w:uiPriority w:val="48"/>
    <w:rsid w:val="006B6D3E"/>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bottom w:val="single" w:sz="4" w:space="0" w:color="60CAF3"/>
        </w:tcBorders>
      </w:tcPr>
    </w:tblStylePr>
    <w:tblStylePr w:type="nwCell">
      <w:tblPr/>
      <w:tcPr>
        <w:tcBorders>
          <w:bottom w:val="single" w:sz="4" w:space="0" w:color="60CAF3"/>
        </w:tcBorders>
      </w:tcPr>
    </w:tblStylePr>
    <w:tblStylePr w:type="seCell">
      <w:tblPr/>
      <w:tcPr>
        <w:tcBorders>
          <w:top w:val="single" w:sz="4" w:space="0" w:color="60CAF3"/>
        </w:tcBorders>
      </w:tcPr>
    </w:tblStylePr>
    <w:tblStylePr w:type="swCell">
      <w:tblPr/>
      <w:tcPr>
        <w:tcBorders>
          <w:top w:val="single" w:sz="4" w:space="0" w:color="60CAF3"/>
        </w:tcBorders>
      </w:tcPr>
    </w:tblStylePr>
  </w:style>
  <w:style w:type="table" w:styleId="GridTable3-Accent5">
    <w:name w:val="Grid Table 3 Accent 5"/>
    <w:basedOn w:val="TableNormal"/>
    <w:uiPriority w:val="48"/>
    <w:rsid w:val="006B6D3E"/>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bottom w:val="single" w:sz="4" w:space="0" w:color="D86DCB"/>
        </w:tcBorders>
      </w:tcPr>
    </w:tblStylePr>
    <w:tblStylePr w:type="nwCell">
      <w:tblPr/>
      <w:tcPr>
        <w:tcBorders>
          <w:bottom w:val="single" w:sz="4" w:space="0" w:color="D86DCB"/>
        </w:tcBorders>
      </w:tcPr>
    </w:tblStylePr>
    <w:tblStylePr w:type="seCell">
      <w:tblPr/>
      <w:tcPr>
        <w:tcBorders>
          <w:top w:val="single" w:sz="4" w:space="0" w:color="D86DCB"/>
        </w:tcBorders>
      </w:tcPr>
    </w:tblStylePr>
    <w:tblStylePr w:type="swCell">
      <w:tblPr/>
      <w:tcPr>
        <w:tcBorders>
          <w:top w:val="single" w:sz="4" w:space="0" w:color="D86DCB"/>
        </w:tcBorders>
      </w:tcPr>
    </w:tblStylePr>
  </w:style>
  <w:style w:type="table" w:styleId="GridTable3-Accent6">
    <w:name w:val="Grid Table 3 Accent 6"/>
    <w:basedOn w:val="TableNormal"/>
    <w:uiPriority w:val="48"/>
    <w:rsid w:val="006B6D3E"/>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table" w:styleId="GridTable4">
    <w:name w:val="Grid Table 4"/>
    <w:basedOn w:val="TableNormal"/>
    <w:uiPriority w:val="49"/>
    <w:rsid w:val="006B6D3E"/>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color w:val="FFFFFF"/>
      </w:rPr>
      <w:tblPr/>
      <w:tcPr>
        <w:tcBorders>
          <w:top w:val="single" w:sz="4" w:space="0" w:color="000080"/>
          <w:left w:val="single" w:sz="4" w:space="0" w:color="000080"/>
          <w:bottom w:val="single" w:sz="4" w:space="0" w:color="000080"/>
          <w:right w:val="single" w:sz="4" w:space="0" w:color="000080"/>
          <w:insideH w:val="nil"/>
          <w:insideV w:val="nil"/>
        </w:tcBorders>
        <w:shd w:val="clear" w:color="auto" w:fill="000080"/>
      </w:tcPr>
    </w:tblStylePr>
    <w:tblStylePr w:type="lastRow">
      <w:rPr>
        <w:b/>
        <w:bCs/>
      </w:rPr>
      <w:tblPr/>
      <w:tcPr>
        <w:tcBorders>
          <w:top w:val="double" w:sz="4" w:space="0" w:color="000080"/>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GridTable4-Accent1">
    <w:name w:val="Grid Table 4 Accent 1"/>
    <w:basedOn w:val="TableNormal"/>
    <w:uiPriority w:val="49"/>
    <w:rsid w:val="006B6D3E"/>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styleId="GridTable4-Accent2">
    <w:name w:val="Grid Table 4 Accent 2"/>
    <w:basedOn w:val="TableNormal"/>
    <w:uiPriority w:val="49"/>
    <w:rsid w:val="006B6D3E"/>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insideV w:val="nil"/>
        </w:tcBorders>
        <w:shd w:val="clear" w:color="auto" w:fill="E97132"/>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styleId="GridTable4-Accent3">
    <w:name w:val="Grid Table 4 Accent 3"/>
    <w:basedOn w:val="TableNormal"/>
    <w:uiPriority w:val="49"/>
    <w:rsid w:val="006B6D3E"/>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insideV w:val="nil"/>
        </w:tcBorders>
        <w:shd w:val="clear" w:color="auto" w:fill="196B24"/>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styleId="GridTable4-Accent4">
    <w:name w:val="Grid Table 4 Accent 4"/>
    <w:basedOn w:val="TableNormal"/>
    <w:uiPriority w:val="49"/>
    <w:rsid w:val="006B6D3E"/>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insideV w:val="nil"/>
        </w:tcBorders>
        <w:shd w:val="clear" w:color="auto" w:fill="0F9ED5"/>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styleId="GridTable4-Accent5">
    <w:name w:val="Grid Table 4 Accent 5"/>
    <w:basedOn w:val="TableNormal"/>
    <w:uiPriority w:val="49"/>
    <w:rsid w:val="006B6D3E"/>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insideV w:val="nil"/>
        </w:tcBorders>
        <w:shd w:val="clear" w:color="auto" w:fill="A02B93"/>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styleId="GridTable4-Accent6">
    <w:name w:val="Grid Table 4 Accent 6"/>
    <w:basedOn w:val="TableNormal"/>
    <w:uiPriority w:val="49"/>
    <w:rsid w:val="006B6D3E"/>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styleId="GridTable5Dark">
    <w:name w:val="Grid Table 5 Dark"/>
    <w:basedOn w:val="TableNormal"/>
    <w:uiPriority w:val="50"/>
    <w:rsid w:val="006B6D3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B2B2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8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8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8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80"/>
      </w:tcPr>
    </w:tblStylePr>
    <w:tblStylePr w:type="band1Vert">
      <w:tblPr/>
      <w:tcPr>
        <w:shd w:val="clear" w:color="auto" w:fill="6666FF"/>
      </w:tcPr>
    </w:tblStylePr>
    <w:tblStylePr w:type="band1Horz">
      <w:tblPr/>
      <w:tcPr>
        <w:shd w:val="clear" w:color="auto" w:fill="6666FF"/>
      </w:tcPr>
    </w:tblStylePr>
  </w:style>
  <w:style w:type="table" w:styleId="GridTable5Dark-Accent1">
    <w:name w:val="Grid Table 5 Dark Accent 1"/>
    <w:basedOn w:val="TableNormal"/>
    <w:uiPriority w:val="50"/>
    <w:rsid w:val="006B6D3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table" w:styleId="GridTable5Dark-Accent2">
    <w:name w:val="Grid Table 5 Dark Accent 2"/>
    <w:basedOn w:val="TableNormal"/>
    <w:uiPriority w:val="50"/>
    <w:rsid w:val="006B6D3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AE2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9713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9713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9713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97132"/>
      </w:tcPr>
    </w:tblStylePr>
    <w:tblStylePr w:type="band1Vert">
      <w:tblPr/>
      <w:tcPr>
        <w:shd w:val="clear" w:color="auto" w:fill="F6C5AC"/>
      </w:tcPr>
    </w:tblStylePr>
    <w:tblStylePr w:type="band1Horz">
      <w:tblPr/>
      <w:tcPr>
        <w:shd w:val="clear" w:color="auto" w:fill="F6C5AC"/>
      </w:tcPr>
    </w:tblStylePr>
  </w:style>
  <w:style w:type="table" w:styleId="GridTable5Dark-Accent3">
    <w:name w:val="Grid Table 5 Dark Accent 3"/>
    <w:basedOn w:val="TableNormal"/>
    <w:uiPriority w:val="50"/>
    <w:rsid w:val="006B6D3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F0C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96B2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96B2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96B2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96B24"/>
      </w:tcPr>
    </w:tblStylePr>
    <w:tblStylePr w:type="band1Vert">
      <w:tblPr/>
      <w:tcPr>
        <w:shd w:val="clear" w:color="auto" w:fill="84E290"/>
      </w:tcPr>
    </w:tblStylePr>
    <w:tblStylePr w:type="band1Horz">
      <w:tblPr/>
      <w:tcPr>
        <w:shd w:val="clear" w:color="auto" w:fill="84E290"/>
      </w:tcPr>
    </w:tblStylePr>
  </w:style>
  <w:style w:type="table" w:styleId="GridTable5Dark-Accent4">
    <w:name w:val="Grid Table 5 Dark Accent 4"/>
    <w:basedOn w:val="TableNormal"/>
    <w:uiPriority w:val="50"/>
    <w:rsid w:val="006B6D3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table" w:styleId="GridTable5Dark-Accent5">
    <w:name w:val="Grid Table 5 Dark Accent 5"/>
    <w:basedOn w:val="TableNormal"/>
    <w:uiPriority w:val="50"/>
    <w:rsid w:val="006B6D3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CE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02B9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02B9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02B9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02B93"/>
      </w:tcPr>
    </w:tblStylePr>
    <w:tblStylePr w:type="band1Vert">
      <w:tblPr/>
      <w:tcPr>
        <w:shd w:val="clear" w:color="auto" w:fill="E59EDC"/>
      </w:tcPr>
    </w:tblStylePr>
    <w:tblStylePr w:type="band1Horz">
      <w:tblPr/>
      <w:tcPr>
        <w:shd w:val="clear" w:color="auto" w:fill="E59EDC"/>
      </w:tcPr>
    </w:tblStylePr>
  </w:style>
  <w:style w:type="table" w:styleId="GridTable5Dark-Accent6">
    <w:name w:val="Grid Table 5 Dark Accent 6"/>
    <w:basedOn w:val="TableNormal"/>
    <w:uiPriority w:val="50"/>
    <w:rsid w:val="006B6D3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F2D0"/>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EA72E"/>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EA72E"/>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EA72E"/>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EA72E"/>
      </w:tcPr>
    </w:tblStylePr>
    <w:tblStylePr w:type="band1Vert">
      <w:tblPr/>
      <w:tcPr>
        <w:shd w:val="clear" w:color="auto" w:fill="B3E5A1"/>
      </w:tcPr>
    </w:tblStylePr>
    <w:tblStylePr w:type="band1Horz">
      <w:tblPr/>
      <w:tcPr>
        <w:shd w:val="clear" w:color="auto" w:fill="B3E5A1"/>
      </w:tcPr>
    </w:tblStylePr>
  </w:style>
  <w:style w:type="table" w:styleId="GridTable6Colorful">
    <w:name w:val="Grid Table 6 Colorful"/>
    <w:basedOn w:val="TableNormal"/>
    <w:uiPriority w:val="51"/>
    <w:rsid w:val="006B6D3E"/>
    <w:rPr>
      <w:color w:val="000080"/>
    </w:rPr>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bottom w:val="single" w:sz="12" w:space="0" w:color="1919FF"/>
        </w:tcBorders>
      </w:tcPr>
    </w:tblStylePr>
    <w:tblStylePr w:type="lastRow">
      <w:rPr>
        <w:b/>
        <w:bCs/>
      </w:rPr>
      <w:tblPr/>
      <w:tcPr>
        <w:tcBorders>
          <w:top w:val="doub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GridTable6Colorful-Accent1">
    <w:name w:val="Grid Table 6 Colorful Accent 1"/>
    <w:basedOn w:val="TableNormal"/>
    <w:uiPriority w:val="51"/>
    <w:rsid w:val="006B6D3E"/>
    <w:rPr>
      <w:color w:val="0F4761"/>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bottom w:val="single" w:sz="12" w:space="0" w:color="45B0E1"/>
        </w:tcBorders>
      </w:tcPr>
    </w:tblStylePr>
    <w:tblStylePr w:type="lastRow">
      <w:rPr>
        <w:b/>
        <w:bCs/>
      </w:rPr>
      <w:tblPr/>
      <w:tcPr>
        <w:tcBorders>
          <w:top w:val="doub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styleId="GridTable6Colorful-Accent2">
    <w:name w:val="Grid Table 6 Colorful Accent 2"/>
    <w:basedOn w:val="TableNormal"/>
    <w:uiPriority w:val="51"/>
    <w:rsid w:val="006B6D3E"/>
    <w:rPr>
      <w:color w:val="BF4E14"/>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bottom w:val="single" w:sz="12" w:space="0" w:color="F1A983"/>
        </w:tcBorders>
      </w:tcPr>
    </w:tblStylePr>
    <w:tblStylePr w:type="lastRow">
      <w:rPr>
        <w:b/>
        <w:bCs/>
      </w:rPr>
      <w:tblPr/>
      <w:tcPr>
        <w:tcBorders>
          <w:top w:val="doub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styleId="GridTable6Colorful-Accent3">
    <w:name w:val="Grid Table 6 Colorful Accent 3"/>
    <w:basedOn w:val="TableNormal"/>
    <w:uiPriority w:val="51"/>
    <w:rsid w:val="006B6D3E"/>
    <w:rPr>
      <w:color w:val="124F1A"/>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bottom w:val="single" w:sz="12" w:space="0" w:color="47D459"/>
        </w:tcBorders>
      </w:tcPr>
    </w:tblStylePr>
    <w:tblStylePr w:type="lastRow">
      <w:rPr>
        <w:b/>
        <w:bCs/>
      </w:rPr>
      <w:tblPr/>
      <w:tcPr>
        <w:tcBorders>
          <w:top w:val="doub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styleId="GridTable6Colorful-Accent4">
    <w:name w:val="Grid Table 6 Colorful Accent 4"/>
    <w:basedOn w:val="TableNormal"/>
    <w:uiPriority w:val="51"/>
    <w:rsid w:val="006B6D3E"/>
    <w:rPr>
      <w:color w:val="0B769F"/>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bottom w:val="single" w:sz="12" w:space="0" w:color="60CAF3"/>
        </w:tcBorders>
      </w:tcPr>
    </w:tblStylePr>
    <w:tblStylePr w:type="lastRow">
      <w:rPr>
        <w:b/>
        <w:bCs/>
      </w:rPr>
      <w:tblPr/>
      <w:tcPr>
        <w:tcBorders>
          <w:top w:val="doub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styleId="GridTable6Colorful-Accent5">
    <w:name w:val="Grid Table 6 Colorful Accent 5"/>
    <w:basedOn w:val="TableNormal"/>
    <w:uiPriority w:val="51"/>
    <w:rsid w:val="006B6D3E"/>
    <w:rPr>
      <w:color w:val="77206D"/>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bottom w:val="single" w:sz="12" w:space="0" w:color="D86DCB"/>
        </w:tcBorders>
      </w:tcPr>
    </w:tblStylePr>
    <w:tblStylePr w:type="lastRow">
      <w:rPr>
        <w:b/>
        <w:bCs/>
      </w:rPr>
      <w:tblPr/>
      <w:tcPr>
        <w:tcBorders>
          <w:top w:val="doub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styleId="GridTable6Colorful-Accent6">
    <w:name w:val="Grid Table 6 Colorful Accent 6"/>
    <w:basedOn w:val="TableNormal"/>
    <w:uiPriority w:val="51"/>
    <w:rsid w:val="006B6D3E"/>
    <w:rPr>
      <w:color w:val="3A7C22"/>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bottom w:val="single" w:sz="12" w:space="0" w:color="8DD873"/>
        </w:tcBorders>
      </w:tcPr>
    </w:tblStylePr>
    <w:tblStylePr w:type="lastRow">
      <w:rPr>
        <w:b/>
        <w:bCs/>
      </w:rPr>
      <w:tblPr/>
      <w:tcPr>
        <w:tcBorders>
          <w:top w:val="doub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styleId="GridTable7Colorful">
    <w:name w:val="Grid Table 7 Colorful"/>
    <w:basedOn w:val="TableNormal"/>
    <w:uiPriority w:val="52"/>
    <w:rsid w:val="006B6D3E"/>
    <w:rPr>
      <w:color w:val="000080"/>
    </w:rPr>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bottom w:val="single" w:sz="4" w:space="0" w:color="1919FF"/>
        </w:tcBorders>
      </w:tcPr>
    </w:tblStylePr>
    <w:tblStylePr w:type="nwCell">
      <w:tblPr/>
      <w:tcPr>
        <w:tcBorders>
          <w:bottom w:val="single" w:sz="4" w:space="0" w:color="1919FF"/>
        </w:tcBorders>
      </w:tcPr>
    </w:tblStylePr>
    <w:tblStylePr w:type="seCell">
      <w:tblPr/>
      <w:tcPr>
        <w:tcBorders>
          <w:top w:val="single" w:sz="4" w:space="0" w:color="1919FF"/>
        </w:tcBorders>
      </w:tcPr>
    </w:tblStylePr>
    <w:tblStylePr w:type="swCell">
      <w:tblPr/>
      <w:tcPr>
        <w:tcBorders>
          <w:top w:val="single" w:sz="4" w:space="0" w:color="1919FF"/>
        </w:tcBorders>
      </w:tcPr>
    </w:tblStylePr>
  </w:style>
  <w:style w:type="table" w:styleId="GridTable7Colorful-Accent1">
    <w:name w:val="Grid Table 7 Colorful Accent 1"/>
    <w:basedOn w:val="TableNormal"/>
    <w:uiPriority w:val="52"/>
    <w:rsid w:val="006B6D3E"/>
    <w:rPr>
      <w:color w:val="0F4761"/>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bottom w:val="single" w:sz="4" w:space="0" w:color="45B0E1"/>
        </w:tcBorders>
      </w:tcPr>
    </w:tblStylePr>
    <w:tblStylePr w:type="nwCell">
      <w:tblPr/>
      <w:tcPr>
        <w:tcBorders>
          <w:bottom w:val="single" w:sz="4" w:space="0" w:color="45B0E1"/>
        </w:tcBorders>
      </w:tcPr>
    </w:tblStylePr>
    <w:tblStylePr w:type="seCell">
      <w:tblPr/>
      <w:tcPr>
        <w:tcBorders>
          <w:top w:val="single" w:sz="4" w:space="0" w:color="45B0E1"/>
        </w:tcBorders>
      </w:tcPr>
    </w:tblStylePr>
    <w:tblStylePr w:type="swCell">
      <w:tblPr/>
      <w:tcPr>
        <w:tcBorders>
          <w:top w:val="single" w:sz="4" w:space="0" w:color="45B0E1"/>
        </w:tcBorders>
      </w:tcPr>
    </w:tblStylePr>
  </w:style>
  <w:style w:type="table" w:styleId="GridTable7Colorful-Accent2">
    <w:name w:val="Grid Table 7 Colorful Accent 2"/>
    <w:basedOn w:val="TableNormal"/>
    <w:uiPriority w:val="52"/>
    <w:rsid w:val="006B6D3E"/>
    <w:rPr>
      <w:color w:val="BF4E14"/>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bottom w:val="single" w:sz="4" w:space="0" w:color="F1A983"/>
        </w:tcBorders>
      </w:tcPr>
    </w:tblStylePr>
    <w:tblStylePr w:type="nwCell">
      <w:tblPr/>
      <w:tcPr>
        <w:tcBorders>
          <w:bottom w:val="single" w:sz="4" w:space="0" w:color="F1A983"/>
        </w:tcBorders>
      </w:tcPr>
    </w:tblStylePr>
    <w:tblStylePr w:type="seCell">
      <w:tblPr/>
      <w:tcPr>
        <w:tcBorders>
          <w:top w:val="single" w:sz="4" w:space="0" w:color="F1A983"/>
        </w:tcBorders>
      </w:tcPr>
    </w:tblStylePr>
    <w:tblStylePr w:type="swCell">
      <w:tblPr/>
      <w:tcPr>
        <w:tcBorders>
          <w:top w:val="single" w:sz="4" w:space="0" w:color="F1A983"/>
        </w:tcBorders>
      </w:tcPr>
    </w:tblStylePr>
  </w:style>
  <w:style w:type="table" w:styleId="GridTable7Colorful-Accent3">
    <w:name w:val="Grid Table 7 Colorful Accent 3"/>
    <w:basedOn w:val="TableNormal"/>
    <w:uiPriority w:val="52"/>
    <w:rsid w:val="006B6D3E"/>
    <w:rPr>
      <w:color w:val="124F1A"/>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bottom w:val="single" w:sz="4" w:space="0" w:color="47D459"/>
        </w:tcBorders>
      </w:tcPr>
    </w:tblStylePr>
    <w:tblStylePr w:type="nwCell">
      <w:tblPr/>
      <w:tcPr>
        <w:tcBorders>
          <w:bottom w:val="single" w:sz="4" w:space="0" w:color="47D459"/>
        </w:tcBorders>
      </w:tcPr>
    </w:tblStylePr>
    <w:tblStylePr w:type="seCell">
      <w:tblPr/>
      <w:tcPr>
        <w:tcBorders>
          <w:top w:val="single" w:sz="4" w:space="0" w:color="47D459"/>
        </w:tcBorders>
      </w:tcPr>
    </w:tblStylePr>
    <w:tblStylePr w:type="swCell">
      <w:tblPr/>
      <w:tcPr>
        <w:tcBorders>
          <w:top w:val="single" w:sz="4" w:space="0" w:color="47D459"/>
        </w:tcBorders>
      </w:tcPr>
    </w:tblStylePr>
  </w:style>
  <w:style w:type="table" w:styleId="GridTable7Colorful-Accent4">
    <w:name w:val="Grid Table 7 Colorful Accent 4"/>
    <w:basedOn w:val="TableNormal"/>
    <w:uiPriority w:val="52"/>
    <w:rsid w:val="006B6D3E"/>
    <w:rPr>
      <w:color w:val="0B769F"/>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bottom w:val="single" w:sz="4" w:space="0" w:color="60CAF3"/>
        </w:tcBorders>
      </w:tcPr>
    </w:tblStylePr>
    <w:tblStylePr w:type="nwCell">
      <w:tblPr/>
      <w:tcPr>
        <w:tcBorders>
          <w:bottom w:val="single" w:sz="4" w:space="0" w:color="60CAF3"/>
        </w:tcBorders>
      </w:tcPr>
    </w:tblStylePr>
    <w:tblStylePr w:type="seCell">
      <w:tblPr/>
      <w:tcPr>
        <w:tcBorders>
          <w:top w:val="single" w:sz="4" w:space="0" w:color="60CAF3"/>
        </w:tcBorders>
      </w:tcPr>
    </w:tblStylePr>
    <w:tblStylePr w:type="swCell">
      <w:tblPr/>
      <w:tcPr>
        <w:tcBorders>
          <w:top w:val="single" w:sz="4" w:space="0" w:color="60CAF3"/>
        </w:tcBorders>
      </w:tcPr>
    </w:tblStylePr>
  </w:style>
  <w:style w:type="table" w:styleId="GridTable7Colorful-Accent5">
    <w:name w:val="Grid Table 7 Colorful Accent 5"/>
    <w:basedOn w:val="TableNormal"/>
    <w:uiPriority w:val="52"/>
    <w:rsid w:val="006B6D3E"/>
    <w:rPr>
      <w:color w:val="77206D"/>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bottom w:val="single" w:sz="4" w:space="0" w:color="D86DCB"/>
        </w:tcBorders>
      </w:tcPr>
    </w:tblStylePr>
    <w:tblStylePr w:type="nwCell">
      <w:tblPr/>
      <w:tcPr>
        <w:tcBorders>
          <w:bottom w:val="single" w:sz="4" w:space="0" w:color="D86DCB"/>
        </w:tcBorders>
      </w:tcPr>
    </w:tblStylePr>
    <w:tblStylePr w:type="seCell">
      <w:tblPr/>
      <w:tcPr>
        <w:tcBorders>
          <w:top w:val="single" w:sz="4" w:space="0" w:color="D86DCB"/>
        </w:tcBorders>
      </w:tcPr>
    </w:tblStylePr>
    <w:tblStylePr w:type="swCell">
      <w:tblPr/>
      <w:tcPr>
        <w:tcBorders>
          <w:top w:val="single" w:sz="4" w:space="0" w:color="D86DCB"/>
        </w:tcBorders>
      </w:tcPr>
    </w:tblStylePr>
  </w:style>
  <w:style w:type="table" w:styleId="GridTable7Colorful-Accent6">
    <w:name w:val="Grid Table 7 Colorful Accent 6"/>
    <w:basedOn w:val="TableNormal"/>
    <w:uiPriority w:val="52"/>
    <w:rsid w:val="006B6D3E"/>
    <w:rPr>
      <w:color w:val="3A7C22"/>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character" w:customStyle="1" w:styleId="Hashtag1">
    <w:name w:val="Hashtag1"/>
    <w:uiPriority w:val="99"/>
    <w:semiHidden/>
    <w:unhideWhenUsed/>
    <w:rsid w:val="006B6D3E"/>
    <w:rPr>
      <w:color w:val="2B579A"/>
      <w:shd w:val="clear" w:color="auto" w:fill="E1DFDD"/>
      <w:lang w:val="en-GB"/>
    </w:rPr>
  </w:style>
  <w:style w:type="character" w:styleId="HTMLAcronym">
    <w:name w:val="HTML Acronym"/>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link w:val="HTMLAddress"/>
    <w:uiPriority w:val="99"/>
    <w:semiHidden/>
    <w:rsid w:val="006B6D3E"/>
    <w:rPr>
      <w:rFonts w:ascii="Times New Roman" w:eastAsia="SimSun" w:hAnsi="Times New Roman" w:cs="Times New Roman"/>
      <w:i/>
      <w:iCs/>
      <w:kern w:val="0"/>
      <w:sz w:val="22"/>
      <w:szCs w:val="22"/>
      <w:lang w:val="en-GB"/>
    </w:rPr>
  </w:style>
  <w:style w:type="character" w:styleId="HTMLCite">
    <w:name w:val="HTML Cite"/>
    <w:uiPriority w:val="99"/>
    <w:semiHidden/>
    <w:unhideWhenUsed/>
    <w:rsid w:val="006B6D3E"/>
    <w:rPr>
      <w:i/>
      <w:iCs/>
      <w:lang w:val="en-GB"/>
    </w:rPr>
  </w:style>
  <w:style w:type="character" w:styleId="HTMLCode">
    <w:name w:val="HTML Code"/>
    <w:uiPriority w:val="99"/>
    <w:semiHidden/>
    <w:unhideWhenUsed/>
    <w:rsid w:val="006B6D3E"/>
    <w:rPr>
      <w:rFonts w:ascii="Consolas" w:hAnsi="Consolas"/>
      <w:sz w:val="20"/>
      <w:szCs w:val="20"/>
      <w:lang w:val="en-GB"/>
    </w:rPr>
  </w:style>
  <w:style w:type="character" w:styleId="HTMLDefinition">
    <w:name w:val="HTML Definition"/>
    <w:uiPriority w:val="99"/>
    <w:semiHidden/>
    <w:unhideWhenUsed/>
    <w:rsid w:val="006B6D3E"/>
    <w:rPr>
      <w:i/>
      <w:iCs/>
      <w:lang w:val="en-GB"/>
    </w:rPr>
  </w:style>
  <w:style w:type="character" w:styleId="HTMLKeyboard">
    <w:name w:val="HTML Keyboard"/>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link w:val="HTMLPreformatted"/>
    <w:uiPriority w:val="99"/>
    <w:semiHidden/>
    <w:rsid w:val="006B6D3E"/>
    <w:rPr>
      <w:rFonts w:ascii="Consolas" w:eastAsia="SimSun" w:hAnsi="Consolas" w:cs="Times New Roman"/>
      <w:kern w:val="0"/>
      <w:sz w:val="20"/>
      <w:szCs w:val="20"/>
      <w:lang w:val="en-GB"/>
    </w:rPr>
  </w:style>
  <w:style w:type="character" w:styleId="HTMLSample">
    <w:name w:val="HTML Sample"/>
    <w:uiPriority w:val="99"/>
    <w:semiHidden/>
    <w:unhideWhenUsed/>
    <w:rsid w:val="006B6D3E"/>
    <w:rPr>
      <w:rFonts w:ascii="Consolas" w:hAnsi="Consolas"/>
      <w:sz w:val="24"/>
      <w:szCs w:val="24"/>
      <w:lang w:val="en-GB"/>
    </w:rPr>
  </w:style>
  <w:style w:type="character" w:styleId="HTMLTypewriter">
    <w:name w:val="HTML Typewriter"/>
    <w:uiPriority w:val="99"/>
    <w:semiHidden/>
    <w:unhideWhenUsed/>
    <w:rsid w:val="006B6D3E"/>
    <w:rPr>
      <w:rFonts w:ascii="Consolas" w:hAnsi="Consolas"/>
      <w:sz w:val="20"/>
      <w:szCs w:val="20"/>
      <w:lang w:val="en-GB"/>
    </w:rPr>
  </w:style>
  <w:style w:type="character" w:styleId="HTMLVariable">
    <w:name w:val="HTML Variable"/>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Aptos Display" w:eastAsia="DengXian Light" w:hAnsi="Aptos Display"/>
      <w:b/>
      <w:bCs/>
    </w:rPr>
  </w:style>
  <w:style w:type="table" w:styleId="LightGrid">
    <w:name w:val="Light Grid"/>
    <w:basedOn w:val="TableNormal"/>
    <w:uiPriority w:val="62"/>
    <w:semiHidden/>
    <w:unhideWhenUsed/>
    <w:rsid w:val="006B6D3E"/>
    <w:tblPr>
      <w:tblStyleRowBandSize w:val="1"/>
      <w:tblStyleColBandSize w:val="1"/>
      <w:tblBorders>
        <w:top w:val="single" w:sz="8" w:space="0" w:color="000080"/>
        <w:left w:val="single" w:sz="8" w:space="0" w:color="000080"/>
        <w:bottom w:val="single" w:sz="8" w:space="0" w:color="000080"/>
        <w:right w:val="single" w:sz="8" w:space="0" w:color="000080"/>
        <w:insideH w:val="single" w:sz="8" w:space="0" w:color="000080"/>
        <w:insideV w:val="single" w:sz="8" w:space="0" w:color="000080"/>
      </w:tblBorders>
    </w:tblPr>
    <w:tblStylePr w:type="firstRow">
      <w:pPr>
        <w:spacing w:before="0" w:after="0" w:line="240" w:lineRule="auto"/>
      </w:pPr>
      <w:rPr>
        <w:rFonts w:ascii="Aptos Display" w:eastAsia="DengXian Light" w:hAnsi="Aptos Display" w:cs="Times New Roman"/>
        <w:b/>
        <w:bCs/>
      </w:rPr>
      <w:tblPr/>
      <w:tcPr>
        <w:tcBorders>
          <w:top w:val="single" w:sz="8" w:space="0" w:color="000080"/>
          <w:left w:val="single" w:sz="8" w:space="0" w:color="000080"/>
          <w:bottom w:val="single" w:sz="18" w:space="0" w:color="000080"/>
          <w:right w:val="single" w:sz="8" w:space="0" w:color="000080"/>
          <w:insideH w:val="nil"/>
          <w:insideV w:val="single" w:sz="8" w:space="0" w:color="000080"/>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000080"/>
          <w:left w:val="single" w:sz="8" w:space="0" w:color="000080"/>
          <w:bottom w:val="single" w:sz="8" w:space="0" w:color="000080"/>
          <w:right w:val="single" w:sz="8" w:space="0" w:color="000080"/>
          <w:insideH w:val="nil"/>
          <w:insideV w:val="single" w:sz="8" w:space="0" w:color="000080"/>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000080"/>
          <w:left w:val="single" w:sz="8" w:space="0" w:color="000080"/>
          <w:bottom w:val="single" w:sz="8" w:space="0" w:color="000080"/>
          <w:right w:val="single" w:sz="8" w:space="0" w:color="000080"/>
        </w:tcBorders>
      </w:tcPr>
    </w:tblStylePr>
    <w:tblStylePr w:type="band1Vert">
      <w:tblPr/>
      <w:tcPr>
        <w:tcBorders>
          <w:top w:val="single" w:sz="8" w:space="0" w:color="000080"/>
          <w:left w:val="single" w:sz="8" w:space="0" w:color="000080"/>
          <w:bottom w:val="single" w:sz="8" w:space="0" w:color="000080"/>
          <w:right w:val="single" w:sz="8" w:space="0" w:color="000080"/>
        </w:tcBorders>
        <w:shd w:val="clear" w:color="auto" w:fill="A0A0FF"/>
      </w:tcPr>
    </w:tblStylePr>
    <w:tblStylePr w:type="band1Horz">
      <w:tblPr/>
      <w:tcPr>
        <w:tcBorders>
          <w:top w:val="single" w:sz="8" w:space="0" w:color="000080"/>
          <w:left w:val="single" w:sz="8" w:space="0" w:color="000080"/>
          <w:bottom w:val="single" w:sz="8" w:space="0" w:color="000080"/>
          <w:right w:val="single" w:sz="8" w:space="0" w:color="000080"/>
          <w:insideV w:val="single" w:sz="8" w:space="0" w:color="000080"/>
        </w:tcBorders>
        <w:shd w:val="clear" w:color="auto" w:fill="A0A0FF"/>
      </w:tcPr>
    </w:tblStylePr>
    <w:tblStylePr w:type="band2Horz">
      <w:tblPr/>
      <w:tcPr>
        <w:tcBorders>
          <w:top w:val="single" w:sz="8" w:space="0" w:color="000080"/>
          <w:left w:val="single" w:sz="8" w:space="0" w:color="000080"/>
          <w:bottom w:val="single" w:sz="8" w:space="0" w:color="000080"/>
          <w:right w:val="single" w:sz="8" w:space="0" w:color="000080"/>
          <w:insideV w:val="single" w:sz="8" w:space="0" w:color="000080"/>
        </w:tcBorders>
      </w:tcPr>
    </w:tblStylePr>
  </w:style>
  <w:style w:type="table" w:styleId="LightGrid-Accent1">
    <w:name w:val="Light Grid Accent 1"/>
    <w:basedOn w:val="TableNormal"/>
    <w:uiPriority w:val="62"/>
    <w:semiHidden/>
    <w:unhideWhenUsed/>
    <w:rsid w:val="006B6D3E"/>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blStylePr w:type="firstRow">
      <w:pPr>
        <w:spacing w:before="0" w:after="0" w:line="240" w:lineRule="auto"/>
      </w:pPr>
      <w:rPr>
        <w:rFonts w:ascii="Aptos Display" w:eastAsia="DengXian Light" w:hAnsi="Aptos Display" w:cs="Times New Roman"/>
        <w:b/>
        <w:bCs/>
      </w:rPr>
      <w:tblPr/>
      <w:tcPr>
        <w:tcBorders>
          <w:top w:val="single" w:sz="8" w:space="0" w:color="156082"/>
          <w:left w:val="single" w:sz="8" w:space="0" w:color="156082"/>
          <w:bottom w:val="single" w:sz="18" w:space="0" w:color="156082"/>
          <w:right w:val="single" w:sz="8" w:space="0" w:color="156082"/>
          <w:insideH w:val="nil"/>
          <w:insideV w:val="single" w:sz="8" w:space="0" w:color="156082"/>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156082"/>
          <w:left w:val="single" w:sz="8" w:space="0" w:color="156082"/>
          <w:bottom w:val="single" w:sz="8" w:space="0" w:color="156082"/>
          <w:right w:val="single" w:sz="8" w:space="0" w:color="156082"/>
          <w:insideH w:val="nil"/>
          <w:insideV w:val="single" w:sz="8" w:space="0" w:color="156082"/>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156082"/>
          <w:left w:val="single" w:sz="8" w:space="0" w:color="156082"/>
          <w:bottom w:val="single" w:sz="8" w:space="0" w:color="156082"/>
          <w:right w:val="single" w:sz="8" w:space="0" w:color="156082"/>
        </w:tcBorders>
      </w:tcPr>
    </w:tblStylePr>
    <w:tblStylePr w:type="band1Vert">
      <w:tblPr/>
      <w:tcPr>
        <w:tcBorders>
          <w:top w:val="single" w:sz="8" w:space="0" w:color="156082"/>
          <w:left w:val="single" w:sz="8" w:space="0" w:color="156082"/>
          <w:bottom w:val="single" w:sz="8" w:space="0" w:color="156082"/>
          <w:right w:val="single" w:sz="8" w:space="0" w:color="156082"/>
        </w:tcBorders>
        <w:shd w:val="clear" w:color="auto" w:fill="B2DEF2"/>
      </w:tcPr>
    </w:tblStylePr>
    <w:tblStylePr w:type="band1Horz">
      <w:tblPr/>
      <w:tcPr>
        <w:tcBorders>
          <w:top w:val="single" w:sz="8" w:space="0" w:color="156082"/>
          <w:left w:val="single" w:sz="8" w:space="0" w:color="156082"/>
          <w:bottom w:val="single" w:sz="8" w:space="0" w:color="156082"/>
          <w:right w:val="single" w:sz="8" w:space="0" w:color="156082"/>
          <w:insideV w:val="single" w:sz="8" w:space="0" w:color="156082"/>
        </w:tcBorders>
        <w:shd w:val="clear" w:color="auto" w:fill="B2DEF2"/>
      </w:tcPr>
    </w:tblStylePr>
    <w:tblStylePr w:type="band2Horz">
      <w:tblPr/>
      <w:tcPr>
        <w:tcBorders>
          <w:top w:val="single" w:sz="8" w:space="0" w:color="156082"/>
          <w:left w:val="single" w:sz="8" w:space="0" w:color="156082"/>
          <w:bottom w:val="single" w:sz="8" w:space="0" w:color="156082"/>
          <w:right w:val="single" w:sz="8" w:space="0" w:color="156082"/>
          <w:insideV w:val="single" w:sz="8" w:space="0" w:color="156082"/>
        </w:tcBorders>
      </w:tcPr>
    </w:tblStylePr>
  </w:style>
  <w:style w:type="table" w:styleId="LightGrid-Accent2">
    <w:name w:val="Light Grid Accent 2"/>
    <w:basedOn w:val="TableNormal"/>
    <w:uiPriority w:val="62"/>
    <w:semiHidden/>
    <w:unhideWhenUsed/>
    <w:rsid w:val="006B6D3E"/>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blStylePr w:type="firstRow">
      <w:pPr>
        <w:spacing w:before="0" w:after="0" w:line="240" w:lineRule="auto"/>
      </w:pPr>
      <w:rPr>
        <w:rFonts w:ascii="Aptos Display" w:eastAsia="DengXian Light" w:hAnsi="Aptos Display" w:cs="Times New Roman"/>
        <w:b/>
        <w:bCs/>
      </w:rPr>
      <w:tblPr/>
      <w:tcPr>
        <w:tcBorders>
          <w:top w:val="single" w:sz="8" w:space="0" w:color="E97132"/>
          <w:left w:val="single" w:sz="8" w:space="0" w:color="E97132"/>
          <w:bottom w:val="single" w:sz="18" w:space="0" w:color="E97132"/>
          <w:right w:val="single" w:sz="8" w:space="0" w:color="E97132"/>
          <w:insideH w:val="nil"/>
          <w:insideV w:val="single" w:sz="8" w:space="0" w:color="E97132"/>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E97132"/>
          <w:left w:val="single" w:sz="8" w:space="0" w:color="E97132"/>
          <w:bottom w:val="single" w:sz="8" w:space="0" w:color="E97132"/>
          <w:right w:val="single" w:sz="8" w:space="0" w:color="E97132"/>
          <w:insideH w:val="nil"/>
          <w:insideV w:val="single" w:sz="8" w:space="0" w:color="E97132"/>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E97132"/>
          <w:left w:val="single" w:sz="8" w:space="0" w:color="E97132"/>
          <w:bottom w:val="single" w:sz="8" w:space="0" w:color="E97132"/>
          <w:right w:val="single" w:sz="8" w:space="0" w:color="E97132"/>
        </w:tcBorders>
      </w:tcPr>
    </w:tblStylePr>
    <w:tblStylePr w:type="band1Vert">
      <w:tblPr/>
      <w:tcPr>
        <w:tcBorders>
          <w:top w:val="single" w:sz="8" w:space="0" w:color="E97132"/>
          <w:left w:val="single" w:sz="8" w:space="0" w:color="E97132"/>
          <w:bottom w:val="single" w:sz="8" w:space="0" w:color="E97132"/>
          <w:right w:val="single" w:sz="8" w:space="0" w:color="E97132"/>
        </w:tcBorders>
        <w:shd w:val="clear" w:color="auto" w:fill="F9DBCC"/>
      </w:tcPr>
    </w:tblStylePr>
    <w:tblStylePr w:type="band1Horz">
      <w:tblPr/>
      <w:tcPr>
        <w:tcBorders>
          <w:top w:val="single" w:sz="8" w:space="0" w:color="E97132"/>
          <w:left w:val="single" w:sz="8" w:space="0" w:color="E97132"/>
          <w:bottom w:val="single" w:sz="8" w:space="0" w:color="E97132"/>
          <w:right w:val="single" w:sz="8" w:space="0" w:color="E97132"/>
          <w:insideV w:val="single" w:sz="8" w:space="0" w:color="E97132"/>
        </w:tcBorders>
        <w:shd w:val="clear" w:color="auto" w:fill="F9DBCC"/>
      </w:tcPr>
    </w:tblStylePr>
    <w:tblStylePr w:type="band2Horz">
      <w:tblPr/>
      <w:tcPr>
        <w:tcBorders>
          <w:top w:val="single" w:sz="8" w:space="0" w:color="E97132"/>
          <w:left w:val="single" w:sz="8" w:space="0" w:color="E97132"/>
          <w:bottom w:val="single" w:sz="8" w:space="0" w:color="E97132"/>
          <w:right w:val="single" w:sz="8" w:space="0" w:color="E97132"/>
          <w:insideV w:val="single" w:sz="8" w:space="0" w:color="E97132"/>
        </w:tcBorders>
      </w:tcPr>
    </w:tblStylePr>
  </w:style>
  <w:style w:type="table" w:styleId="LightGrid-Accent3">
    <w:name w:val="Light Grid Accent 3"/>
    <w:basedOn w:val="TableNormal"/>
    <w:uiPriority w:val="62"/>
    <w:semiHidden/>
    <w:unhideWhenUsed/>
    <w:rsid w:val="006B6D3E"/>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blStylePr w:type="firstRow">
      <w:pPr>
        <w:spacing w:before="0" w:after="0" w:line="240" w:lineRule="auto"/>
      </w:pPr>
      <w:rPr>
        <w:rFonts w:ascii="Aptos Display" w:eastAsia="DengXian Light" w:hAnsi="Aptos Display" w:cs="Times New Roman"/>
        <w:b/>
        <w:bCs/>
      </w:rPr>
      <w:tblPr/>
      <w:tcPr>
        <w:tcBorders>
          <w:top w:val="single" w:sz="8" w:space="0" w:color="196B24"/>
          <w:left w:val="single" w:sz="8" w:space="0" w:color="196B24"/>
          <w:bottom w:val="single" w:sz="18" w:space="0" w:color="196B24"/>
          <w:right w:val="single" w:sz="8" w:space="0" w:color="196B24"/>
          <w:insideH w:val="nil"/>
          <w:insideV w:val="single" w:sz="8" w:space="0" w:color="196B24"/>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196B24"/>
          <w:left w:val="single" w:sz="8" w:space="0" w:color="196B24"/>
          <w:bottom w:val="single" w:sz="8" w:space="0" w:color="196B24"/>
          <w:right w:val="single" w:sz="8" w:space="0" w:color="196B24"/>
          <w:insideH w:val="nil"/>
          <w:insideV w:val="single" w:sz="8" w:space="0" w:color="196B24"/>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196B24"/>
          <w:left w:val="single" w:sz="8" w:space="0" w:color="196B24"/>
          <w:bottom w:val="single" w:sz="8" w:space="0" w:color="196B24"/>
          <w:right w:val="single" w:sz="8" w:space="0" w:color="196B24"/>
        </w:tcBorders>
      </w:tcPr>
    </w:tblStylePr>
    <w:tblStylePr w:type="band1Vert">
      <w:tblPr/>
      <w:tcPr>
        <w:tcBorders>
          <w:top w:val="single" w:sz="8" w:space="0" w:color="196B24"/>
          <w:left w:val="single" w:sz="8" w:space="0" w:color="196B24"/>
          <w:bottom w:val="single" w:sz="8" w:space="0" w:color="196B24"/>
          <w:right w:val="single" w:sz="8" w:space="0" w:color="196B24"/>
        </w:tcBorders>
        <w:shd w:val="clear" w:color="auto" w:fill="B3EDBA"/>
      </w:tcPr>
    </w:tblStylePr>
    <w:tblStylePr w:type="band1Horz">
      <w:tblPr/>
      <w:tcPr>
        <w:tcBorders>
          <w:top w:val="single" w:sz="8" w:space="0" w:color="196B24"/>
          <w:left w:val="single" w:sz="8" w:space="0" w:color="196B24"/>
          <w:bottom w:val="single" w:sz="8" w:space="0" w:color="196B24"/>
          <w:right w:val="single" w:sz="8" w:space="0" w:color="196B24"/>
          <w:insideV w:val="single" w:sz="8" w:space="0" w:color="196B24"/>
        </w:tcBorders>
        <w:shd w:val="clear" w:color="auto" w:fill="B3EDBA"/>
      </w:tcPr>
    </w:tblStylePr>
    <w:tblStylePr w:type="band2Horz">
      <w:tblPr/>
      <w:tcPr>
        <w:tcBorders>
          <w:top w:val="single" w:sz="8" w:space="0" w:color="196B24"/>
          <w:left w:val="single" w:sz="8" w:space="0" w:color="196B24"/>
          <w:bottom w:val="single" w:sz="8" w:space="0" w:color="196B24"/>
          <w:right w:val="single" w:sz="8" w:space="0" w:color="196B24"/>
          <w:insideV w:val="single" w:sz="8" w:space="0" w:color="196B24"/>
        </w:tcBorders>
      </w:tcPr>
    </w:tblStylePr>
  </w:style>
  <w:style w:type="table" w:styleId="LightGrid-Accent4">
    <w:name w:val="Light Grid Accent 4"/>
    <w:basedOn w:val="TableNormal"/>
    <w:uiPriority w:val="62"/>
    <w:semiHidden/>
    <w:unhideWhenUsed/>
    <w:rsid w:val="006B6D3E"/>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blStylePr w:type="firstRow">
      <w:pPr>
        <w:spacing w:before="0" w:after="0" w:line="240" w:lineRule="auto"/>
      </w:pPr>
      <w:rPr>
        <w:rFonts w:ascii="Aptos Display" w:eastAsia="DengXian Light" w:hAnsi="Aptos Display" w:cs="Times New Roman"/>
        <w:b/>
        <w:bCs/>
      </w:rPr>
      <w:tblPr/>
      <w:tcPr>
        <w:tcBorders>
          <w:top w:val="single" w:sz="8" w:space="0" w:color="0F9ED5"/>
          <w:left w:val="single" w:sz="8" w:space="0" w:color="0F9ED5"/>
          <w:bottom w:val="single" w:sz="18" w:space="0" w:color="0F9ED5"/>
          <w:right w:val="single" w:sz="8" w:space="0" w:color="0F9ED5"/>
          <w:insideH w:val="nil"/>
          <w:insideV w:val="single" w:sz="8" w:space="0" w:color="0F9ED5"/>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0F9ED5"/>
          <w:left w:val="single" w:sz="8" w:space="0" w:color="0F9ED5"/>
          <w:bottom w:val="single" w:sz="8" w:space="0" w:color="0F9ED5"/>
          <w:right w:val="single" w:sz="8" w:space="0" w:color="0F9ED5"/>
          <w:insideH w:val="nil"/>
          <w:insideV w:val="single" w:sz="8" w:space="0" w:color="0F9ED5"/>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0F9ED5"/>
          <w:left w:val="single" w:sz="8" w:space="0" w:color="0F9ED5"/>
          <w:bottom w:val="single" w:sz="8" w:space="0" w:color="0F9ED5"/>
          <w:right w:val="single" w:sz="8" w:space="0" w:color="0F9ED5"/>
        </w:tcBorders>
      </w:tcPr>
    </w:tblStylePr>
    <w:tblStylePr w:type="band1Vert">
      <w:tblPr/>
      <w:tcPr>
        <w:tcBorders>
          <w:top w:val="single" w:sz="8" w:space="0" w:color="0F9ED5"/>
          <w:left w:val="single" w:sz="8" w:space="0" w:color="0F9ED5"/>
          <w:bottom w:val="single" w:sz="8" w:space="0" w:color="0F9ED5"/>
          <w:right w:val="single" w:sz="8" w:space="0" w:color="0F9ED5"/>
        </w:tcBorders>
        <w:shd w:val="clear" w:color="auto" w:fill="BDE9FA"/>
      </w:tcPr>
    </w:tblStylePr>
    <w:tblStylePr w:type="band1Horz">
      <w:tblPr/>
      <w:tcPr>
        <w:tcBorders>
          <w:top w:val="single" w:sz="8" w:space="0" w:color="0F9ED5"/>
          <w:left w:val="single" w:sz="8" w:space="0" w:color="0F9ED5"/>
          <w:bottom w:val="single" w:sz="8" w:space="0" w:color="0F9ED5"/>
          <w:right w:val="single" w:sz="8" w:space="0" w:color="0F9ED5"/>
          <w:insideV w:val="single" w:sz="8" w:space="0" w:color="0F9ED5"/>
        </w:tcBorders>
        <w:shd w:val="clear" w:color="auto" w:fill="BDE9FA"/>
      </w:tcPr>
    </w:tblStylePr>
    <w:tblStylePr w:type="band2Horz">
      <w:tblPr/>
      <w:tcPr>
        <w:tcBorders>
          <w:top w:val="single" w:sz="8" w:space="0" w:color="0F9ED5"/>
          <w:left w:val="single" w:sz="8" w:space="0" w:color="0F9ED5"/>
          <w:bottom w:val="single" w:sz="8" w:space="0" w:color="0F9ED5"/>
          <w:right w:val="single" w:sz="8" w:space="0" w:color="0F9ED5"/>
          <w:insideV w:val="single" w:sz="8" w:space="0" w:color="0F9ED5"/>
        </w:tcBorders>
      </w:tcPr>
    </w:tblStylePr>
  </w:style>
  <w:style w:type="table" w:styleId="LightGrid-Accent5">
    <w:name w:val="Light Grid Accent 5"/>
    <w:basedOn w:val="TableNormal"/>
    <w:uiPriority w:val="62"/>
    <w:semiHidden/>
    <w:unhideWhenUsed/>
    <w:rsid w:val="006B6D3E"/>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blStylePr w:type="firstRow">
      <w:pPr>
        <w:spacing w:before="0" w:after="0" w:line="240" w:lineRule="auto"/>
      </w:pPr>
      <w:rPr>
        <w:rFonts w:ascii="Aptos Display" w:eastAsia="DengXian Light" w:hAnsi="Aptos Display" w:cs="Times New Roman"/>
        <w:b/>
        <w:bCs/>
      </w:rPr>
      <w:tblPr/>
      <w:tcPr>
        <w:tcBorders>
          <w:top w:val="single" w:sz="8" w:space="0" w:color="A02B93"/>
          <w:left w:val="single" w:sz="8" w:space="0" w:color="A02B93"/>
          <w:bottom w:val="single" w:sz="18" w:space="0" w:color="A02B93"/>
          <w:right w:val="single" w:sz="8" w:space="0" w:color="A02B93"/>
          <w:insideH w:val="nil"/>
          <w:insideV w:val="single" w:sz="8" w:space="0" w:color="A02B93"/>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A02B93"/>
          <w:left w:val="single" w:sz="8" w:space="0" w:color="A02B93"/>
          <w:bottom w:val="single" w:sz="8" w:space="0" w:color="A02B93"/>
          <w:right w:val="single" w:sz="8" w:space="0" w:color="A02B93"/>
          <w:insideH w:val="nil"/>
          <w:insideV w:val="single" w:sz="8" w:space="0" w:color="A02B93"/>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A02B93"/>
          <w:left w:val="single" w:sz="8" w:space="0" w:color="A02B93"/>
          <w:bottom w:val="single" w:sz="8" w:space="0" w:color="A02B93"/>
          <w:right w:val="single" w:sz="8" w:space="0" w:color="A02B93"/>
        </w:tcBorders>
      </w:tcPr>
    </w:tblStylePr>
    <w:tblStylePr w:type="band1Vert">
      <w:tblPr/>
      <w:tcPr>
        <w:tcBorders>
          <w:top w:val="single" w:sz="8" w:space="0" w:color="A02B93"/>
          <w:left w:val="single" w:sz="8" w:space="0" w:color="A02B93"/>
          <w:bottom w:val="single" w:sz="8" w:space="0" w:color="A02B93"/>
          <w:right w:val="single" w:sz="8" w:space="0" w:color="A02B93"/>
        </w:tcBorders>
        <w:shd w:val="clear" w:color="auto" w:fill="EFC3E9"/>
      </w:tcPr>
    </w:tblStylePr>
    <w:tblStylePr w:type="band1Horz">
      <w:tblPr/>
      <w:tcPr>
        <w:tcBorders>
          <w:top w:val="single" w:sz="8" w:space="0" w:color="A02B93"/>
          <w:left w:val="single" w:sz="8" w:space="0" w:color="A02B93"/>
          <w:bottom w:val="single" w:sz="8" w:space="0" w:color="A02B93"/>
          <w:right w:val="single" w:sz="8" w:space="0" w:color="A02B93"/>
          <w:insideV w:val="single" w:sz="8" w:space="0" w:color="A02B93"/>
        </w:tcBorders>
        <w:shd w:val="clear" w:color="auto" w:fill="EFC3E9"/>
      </w:tcPr>
    </w:tblStylePr>
    <w:tblStylePr w:type="band2Horz">
      <w:tblPr/>
      <w:tcPr>
        <w:tcBorders>
          <w:top w:val="single" w:sz="8" w:space="0" w:color="A02B93"/>
          <w:left w:val="single" w:sz="8" w:space="0" w:color="A02B93"/>
          <w:bottom w:val="single" w:sz="8" w:space="0" w:color="A02B93"/>
          <w:right w:val="single" w:sz="8" w:space="0" w:color="A02B93"/>
          <w:insideV w:val="single" w:sz="8" w:space="0" w:color="A02B93"/>
        </w:tcBorders>
      </w:tcPr>
    </w:tblStylePr>
  </w:style>
  <w:style w:type="table" w:styleId="LightGrid-Accent6">
    <w:name w:val="Light Grid Accent 6"/>
    <w:basedOn w:val="TableNormal"/>
    <w:uiPriority w:val="62"/>
    <w:semiHidden/>
    <w:unhideWhenUsed/>
    <w:rsid w:val="006B6D3E"/>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blStylePr w:type="firstRow">
      <w:pPr>
        <w:spacing w:before="0" w:after="0" w:line="240" w:lineRule="auto"/>
      </w:pPr>
      <w:rPr>
        <w:rFonts w:ascii="Aptos Display" w:eastAsia="DengXian Light" w:hAnsi="Aptos Display" w:cs="Times New Roman"/>
        <w:b/>
        <w:bCs/>
      </w:rPr>
      <w:tblPr/>
      <w:tcPr>
        <w:tcBorders>
          <w:top w:val="single" w:sz="8" w:space="0" w:color="4EA72E"/>
          <w:left w:val="single" w:sz="8" w:space="0" w:color="4EA72E"/>
          <w:bottom w:val="single" w:sz="18" w:space="0" w:color="4EA72E"/>
          <w:right w:val="single" w:sz="8" w:space="0" w:color="4EA72E"/>
          <w:insideH w:val="nil"/>
          <w:insideV w:val="single" w:sz="8" w:space="0" w:color="4EA72E"/>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4EA72E"/>
          <w:left w:val="single" w:sz="8" w:space="0" w:color="4EA72E"/>
          <w:bottom w:val="single" w:sz="8" w:space="0" w:color="4EA72E"/>
          <w:right w:val="single" w:sz="8" w:space="0" w:color="4EA72E"/>
          <w:insideH w:val="nil"/>
          <w:insideV w:val="single" w:sz="8" w:space="0" w:color="4EA72E"/>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4EA72E"/>
          <w:left w:val="single" w:sz="8" w:space="0" w:color="4EA72E"/>
          <w:bottom w:val="single" w:sz="8" w:space="0" w:color="4EA72E"/>
          <w:right w:val="single" w:sz="8" w:space="0" w:color="4EA72E"/>
        </w:tcBorders>
      </w:tcPr>
    </w:tblStylePr>
    <w:tblStylePr w:type="band1Vert">
      <w:tblPr/>
      <w:tcPr>
        <w:tcBorders>
          <w:top w:val="single" w:sz="8" w:space="0" w:color="4EA72E"/>
          <w:left w:val="single" w:sz="8" w:space="0" w:color="4EA72E"/>
          <w:bottom w:val="single" w:sz="8" w:space="0" w:color="4EA72E"/>
          <w:right w:val="single" w:sz="8" w:space="0" w:color="4EA72E"/>
        </w:tcBorders>
        <w:shd w:val="clear" w:color="auto" w:fill="D0EFC5"/>
      </w:tcPr>
    </w:tblStylePr>
    <w:tblStylePr w:type="band1Horz">
      <w:tblPr/>
      <w:tcPr>
        <w:tcBorders>
          <w:top w:val="single" w:sz="8" w:space="0" w:color="4EA72E"/>
          <w:left w:val="single" w:sz="8" w:space="0" w:color="4EA72E"/>
          <w:bottom w:val="single" w:sz="8" w:space="0" w:color="4EA72E"/>
          <w:right w:val="single" w:sz="8" w:space="0" w:color="4EA72E"/>
          <w:insideV w:val="single" w:sz="8" w:space="0" w:color="4EA72E"/>
        </w:tcBorders>
        <w:shd w:val="clear" w:color="auto" w:fill="D0EFC5"/>
      </w:tcPr>
    </w:tblStylePr>
    <w:tblStylePr w:type="band2Horz">
      <w:tblPr/>
      <w:tcPr>
        <w:tcBorders>
          <w:top w:val="single" w:sz="8" w:space="0" w:color="4EA72E"/>
          <w:left w:val="single" w:sz="8" w:space="0" w:color="4EA72E"/>
          <w:bottom w:val="single" w:sz="8" w:space="0" w:color="4EA72E"/>
          <w:right w:val="single" w:sz="8" w:space="0" w:color="4EA72E"/>
          <w:insideV w:val="single" w:sz="8" w:space="0" w:color="4EA72E"/>
        </w:tcBorders>
      </w:tcPr>
    </w:tblStylePr>
  </w:style>
  <w:style w:type="table" w:styleId="LightList">
    <w:name w:val="Light List"/>
    <w:basedOn w:val="TableNormal"/>
    <w:uiPriority w:val="61"/>
    <w:semiHidden/>
    <w:unhideWhenUsed/>
    <w:rsid w:val="006B6D3E"/>
    <w:tblPr>
      <w:tblStyleRowBandSize w:val="1"/>
      <w:tblStyleColBandSize w:val="1"/>
      <w:tblBorders>
        <w:top w:val="single" w:sz="8" w:space="0" w:color="000080"/>
        <w:left w:val="single" w:sz="8" w:space="0" w:color="000080"/>
        <w:bottom w:val="single" w:sz="8" w:space="0" w:color="000080"/>
        <w:right w:val="single" w:sz="8" w:space="0" w:color="000080"/>
      </w:tblBorders>
    </w:tblPr>
    <w:tblStylePr w:type="firstRow">
      <w:pPr>
        <w:spacing w:before="0" w:after="0" w:line="240" w:lineRule="auto"/>
      </w:pPr>
      <w:rPr>
        <w:b/>
        <w:bCs/>
        <w:color w:val="FFFFFF"/>
      </w:rPr>
      <w:tblPr/>
      <w:tcPr>
        <w:shd w:val="clear" w:color="auto" w:fill="000080"/>
      </w:tcPr>
    </w:tblStylePr>
    <w:tblStylePr w:type="lastRow">
      <w:pPr>
        <w:spacing w:before="0" w:after="0" w:line="240" w:lineRule="auto"/>
      </w:pPr>
      <w:rPr>
        <w:b/>
        <w:bCs/>
      </w:rPr>
      <w:tblPr/>
      <w:tcPr>
        <w:tcBorders>
          <w:top w:val="double" w:sz="6" w:space="0" w:color="000080"/>
          <w:left w:val="single" w:sz="8" w:space="0" w:color="000080"/>
          <w:bottom w:val="single" w:sz="8" w:space="0" w:color="000080"/>
          <w:right w:val="single" w:sz="8" w:space="0" w:color="000080"/>
        </w:tcBorders>
      </w:tcPr>
    </w:tblStylePr>
    <w:tblStylePr w:type="firstCol">
      <w:rPr>
        <w:b/>
        <w:bCs/>
      </w:rPr>
    </w:tblStylePr>
    <w:tblStylePr w:type="lastCol">
      <w:rPr>
        <w:b/>
        <w:bCs/>
      </w:rPr>
    </w:tblStylePr>
    <w:tblStylePr w:type="band1Vert">
      <w:tblPr/>
      <w:tcPr>
        <w:tcBorders>
          <w:top w:val="single" w:sz="8" w:space="0" w:color="000080"/>
          <w:left w:val="single" w:sz="8" w:space="0" w:color="000080"/>
          <w:bottom w:val="single" w:sz="8" w:space="0" w:color="000080"/>
          <w:right w:val="single" w:sz="8" w:space="0" w:color="000080"/>
        </w:tcBorders>
      </w:tcPr>
    </w:tblStylePr>
    <w:tblStylePr w:type="band1Horz">
      <w:tblPr/>
      <w:tcPr>
        <w:tcBorders>
          <w:top w:val="single" w:sz="8" w:space="0" w:color="000080"/>
          <w:left w:val="single" w:sz="8" w:space="0" w:color="000080"/>
          <w:bottom w:val="single" w:sz="8" w:space="0" w:color="000080"/>
          <w:right w:val="single" w:sz="8" w:space="0" w:color="000080"/>
        </w:tcBorders>
      </w:tcPr>
    </w:tblStylePr>
  </w:style>
  <w:style w:type="table" w:styleId="LightList-Accent1">
    <w:name w:val="Light List Accent 1"/>
    <w:basedOn w:val="TableNormal"/>
    <w:uiPriority w:val="61"/>
    <w:semiHidden/>
    <w:unhideWhenUsed/>
    <w:rsid w:val="006B6D3E"/>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pPr>
        <w:spacing w:before="0" w:after="0" w:line="240" w:lineRule="auto"/>
      </w:pPr>
      <w:rPr>
        <w:b/>
        <w:bCs/>
        <w:color w:val="FFFFFF"/>
      </w:rPr>
      <w:tblPr/>
      <w:tcPr>
        <w:shd w:val="clear" w:color="auto" w:fill="156082"/>
      </w:tcPr>
    </w:tblStylePr>
    <w:tblStylePr w:type="lastRow">
      <w:pPr>
        <w:spacing w:before="0" w:after="0" w:line="240" w:lineRule="auto"/>
      </w:pPr>
      <w:rPr>
        <w:b/>
        <w:bCs/>
      </w:rPr>
      <w:tblPr/>
      <w:tcPr>
        <w:tcBorders>
          <w:top w:val="double" w:sz="6" w:space="0" w:color="156082"/>
          <w:left w:val="single" w:sz="8" w:space="0" w:color="156082"/>
          <w:bottom w:val="single" w:sz="8" w:space="0" w:color="156082"/>
          <w:right w:val="single" w:sz="8" w:space="0" w:color="156082"/>
        </w:tcBorders>
      </w:tcPr>
    </w:tblStylePr>
    <w:tblStylePr w:type="firstCol">
      <w:rPr>
        <w:b/>
        <w:bCs/>
      </w:rPr>
    </w:tblStylePr>
    <w:tblStylePr w:type="lastCol">
      <w:rPr>
        <w:b/>
        <w:bCs/>
      </w:rPr>
    </w:tblStylePr>
    <w:tblStylePr w:type="band1Vert">
      <w:tblPr/>
      <w:tcPr>
        <w:tcBorders>
          <w:top w:val="single" w:sz="8" w:space="0" w:color="156082"/>
          <w:left w:val="single" w:sz="8" w:space="0" w:color="156082"/>
          <w:bottom w:val="single" w:sz="8" w:space="0" w:color="156082"/>
          <w:right w:val="single" w:sz="8" w:space="0" w:color="156082"/>
        </w:tcBorders>
      </w:tcPr>
    </w:tblStylePr>
    <w:tblStylePr w:type="band1Horz">
      <w:tblPr/>
      <w:tcPr>
        <w:tcBorders>
          <w:top w:val="single" w:sz="8" w:space="0" w:color="156082"/>
          <w:left w:val="single" w:sz="8" w:space="0" w:color="156082"/>
          <w:bottom w:val="single" w:sz="8" w:space="0" w:color="156082"/>
          <w:right w:val="single" w:sz="8" w:space="0" w:color="156082"/>
        </w:tcBorders>
      </w:tcPr>
    </w:tblStylePr>
  </w:style>
  <w:style w:type="table" w:styleId="LightList-Accent2">
    <w:name w:val="Light List Accent 2"/>
    <w:basedOn w:val="TableNormal"/>
    <w:uiPriority w:val="61"/>
    <w:semiHidden/>
    <w:unhideWhenUsed/>
    <w:rsid w:val="006B6D3E"/>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pPr>
        <w:spacing w:before="0" w:after="0" w:line="240" w:lineRule="auto"/>
      </w:pPr>
      <w:rPr>
        <w:b/>
        <w:bCs/>
        <w:color w:val="FFFFFF"/>
      </w:rPr>
      <w:tblPr/>
      <w:tcPr>
        <w:shd w:val="clear" w:color="auto" w:fill="E97132"/>
      </w:tcPr>
    </w:tblStylePr>
    <w:tblStylePr w:type="lastRow">
      <w:pPr>
        <w:spacing w:before="0" w:after="0" w:line="240" w:lineRule="auto"/>
      </w:pPr>
      <w:rPr>
        <w:b/>
        <w:bCs/>
      </w:rPr>
      <w:tblPr/>
      <w:tcPr>
        <w:tcBorders>
          <w:top w:val="double" w:sz="6" w:space="0" w:color="E97132"/>
          <w:left w:val="single" w:sz="8" w:space="0" w:color="E97132"/>
          <w:bottom w:val="single" w:sz="8" w:space="0" w:color="E97132"/>
          <w:right w:val="single" w:sz="8" w:space="0" w:color="E97132"/>
        </w:tcBorders>
      </w:tcPr>
    </w:tblStylePr>
    <w:tblStylePr w:type="firstCol">
      <w:rPr>
        <w:b/>
        <w:bCs/>
      </w:rPr>
    </w:tblStylePr>
    <w:tblStylePr w:type="lastCol">
      <w:rPr>
        <w:b/>
        <w:bCs/>
      </w:rPr>
    </w:tblStylePr>
    <w:tblStylePr w:type="band1Vert">
      <w:tblPr/>
      <w:tcPr>
        <w:tcBorders>
          <w:top w:val="single" w:sz="8" w:space="0" w:color="E97132"/>
          <w:left w:val="single" w:sz="8" w:space="0" w:color="E97132"/>
          <w:bottom w:val="single" w:sz="8" w:space="0" w:color="E97132"/>
          <w:right w:val="single" w:sz="8" w:space="0" w:color="E97132"/>
        </w:tcBorders>
      </w:tcPr>
    </w:tblStylePr>
    <w:tblStylePr w:type="band1Horz">
      <w:tblPr/>
      <w:tcPr>
        <w:tcBorders>
          <w:top w:val="single" w:sz="8" w:space="0" w:color="E97132"/>
          <w:left w:val="single" w:sz="8" w:space="0" w:color="E97132"/>
          <w:bottom w:val="single" w:sz="8" w:space="0" w:color="E97132"/>
          <w:right w:val="single" w:sz="8" w:space="0" w:color="E97132"/>
        </w:tcBorders>
      </w:tcPr>
    </w:tblStylePr>
  </w:style>
  <w:style w:type="table" w:styleId="LightList-Accent3">
    <w:name w:val="Light List Accent 3"/>
    <w:basedOn w:val="TableNormal"/>
    <w:uiPriority w:val="61"/>
    <w:semiHidden/>
    <w:unhideWhenUsed/>
    <w:rsid w:val="006B6D3E"/>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pPr>
        <w:spacing w:before="0" w:after="0" w:line="240" w:lineRule="auto"/>
      </w:pPr>
      <w:rPr>
        <w:b/>
        <w:bCs/>
        <w:color w:val="FFFFFF"/>
      </w:rPr>
      <w:tblPr/>
      <w:tcPr>
        <w:shd w:val="clear" w:color="auto" w:fill="196B24"/>
      </w:tcPr>
    </w:tblStylePr>
    <w:tblStylePr w:type="lastRow">
      <w:pPr>
        <w:spacing w:before="0" w:after="0" w:line="240" w:lineRule="auto"/>
      </w:pPr>
      <w:rPr>
        <w:b/>
        <w:bCs/>
      </w:rPr>
      <w:tblPr/>
      <w:tcPr>
        <w:tcBorders>
          <w:top w:val="double" w:sz="6" w:space="0" w:color="196B24"/>
          <w:left w:val="single" w:sz="8" w:space="0" w:color="196B24"/>
          <w:bottom w:val="single" w:sz="8" w:space="0" w:color="196B24"/>
          <w:right w:val="single" w:sz="8" w:space="0" w:color="196B24"/>
        </w:tcBorders>
      </w:tcPr>
    </w:tblStylePr>
    <w:tblStylePr w:type="firstCol">
      <w:rPr>
        <w:b/>
        <w:bCs/>
      </w:rPr>
    </w:tblStylePr>
    <w:tblStylePr w:type="lastCol">
      <w:rPr>
        <w:b/>
        <w:bCs/>
      </w:rPr>
    </w:tblStylePr>
    <w:tblStylePr w:type="band1Vert">
      <w:tblPr/>
      <w:tcPr>
        <w:tcBorders>
          <w:top w:val="single" w:sz="8" w:space="0" w:color="196B24"/>
          <w:left w:val="single" w:sz="8" w:space="0" w:color="196B24"/>
          <w:bottom w:val="single" w:sz="8" w:space="0" w:color="196B24"/>
          <w:right w:val="single" w:sz="8" w:space="0" w:color="196B24"/>
        </w:tcBorders>
      </w:tcPr>
    </w:tblStylePr>
    <w:tblStylePr w:type="band1Horz">
      <w:tblPr/>
      <w:tcPr>
        <w:tcBorders>
          <w:top w:val="single" w:sz="8" w:space="0" w:color="196B24"/>
          <w:left w:val="single" w:sz="8" w:space="0" w:color="196B24"/>
          <w:bottom w:val="single" w:sz="8" w:space="0" w:color="196B24"/>
          <w:right w:val="single" w:sz="8" w:space="0" w:color="196B24"/>
        </w:tcBorders>
      </w:tcPr>
    </w:tblStylePr>
  </w:style>
  <w:style w:type="table" w:styleId="LightList-Accent4">
    <w:name w:val="Light List Accent 4"/>
    <w:basedOn w:val="TableNormal"/>
    <w:uiPriority w:val="61"/>
    <w:semiHidden/>
    <w:unhideWhenUsed/>
    <w:rsid w:val="006B6D3E"/>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pPr>
        <w:spacing w:before="0" w:after="0" w:line="240" w:lineRule="auto"/>
      </w:pPr>
      <w:rPr>
        <w:b/>
        <w:bCs/>
        <w:color w:val="FFFFFF"/>
      </w:rPr>
      <w:tblPr/>
      <w:tcPr>
        <w:shd w:val="clear" w:color="auto" w:fill="0F9ED5"/>
      </w:tcPr>
    </w:tblStylePr>
    <w:tblStylePr w:type="lastRow">
      <w:pPr>
        <w:spacing w:before="0" w:after="0" w:line="240" w:lineRule="auto"/>
      </w:pPr>
      <w:rPr>
        <w:b/>
        <w:bCs/>
      </w:rPr>
      <w:tblPr/>
      <w:tcPr>
        <w:tcBorders>
          <w:top w:val="double" w:sz="6" w:space="0" w:color="0F9ED5"/>
          <w:left w:val="single" w:sz="8" w:space="0" w:color="0F9ED5"/>
          <w:bottom w:val="single" w:sz="8" w:space="0" w:color="0F9ED5"/>
          <w:right w:val="single" w:sz="8" w:space="0" w:color="0F9ED5"/>
        </w:tcBorders>
      </w:tcPr>
    </w:tblStylePr>
    <w:tblStylePr w:type="firstCol">
      <w:rPr>
        <w:b/>
        <w:bCs/>
      </w:rPr>
    </w:tblStylePr>
    <w:tblStylePr w:type="lastCol">
      <w:rPr>
        <w:b/>
        <w:bCs/>
      </w:rPr>
    </w:tblStylePr>
    <w:tblStylePr w:type="band1Vert">
      <w:tblPr/>
      <w:tcPr>
        <w:tcBorders>
          <w:top w:val="single" w:sz="8" w:space="0" w:color="0F9ED5"/>
          <w:left w:val="single" w:sz="8" w:space="0" w:color="0F9ED5"/>
          <w:bottom w:val="single" w:sz="8" w:space="0" w:color="0F9ED5"/>
          <w:right w:val="single" w:sz="8" w:space="0" w:color="0F9ED5"/>
        </w:tcBorders>
      </w:tcPr>
    </w:tblStylePr>
    <w:tblStylePr w:type="band1Horz">
      <w:tblPr/>
      <w:tcPr>
        <w:tcBorders>
          <w:top w:val="single" w:sz="8" w:space="0" w:color="0F9ED5"/>
          <w:left w:val="single" w:sz="8" w:space="0" w:color="0F9ED5"/>
          <w:bottom w:val="single" w:sz="8" w:space="0" w:color="0F9ED5"/>
          <w:right w:val="single" w:sz="8" w:space="0" w:color="0F9ED5"/>
        </w:tcBorders>
      </w:tcPr>
    </w:tblStylePr>
  </w:style>
  <w:style w:type="table" w:styleId="LightList-Accent5">
    <w:name w:val="Light List Accent 5"/>
    <w:basedOn w:val="TableNormal"/>
    <w:uiPriority w:val="61"/>
    <w:semiHidden/>
    <w:unhideWhenUsed/>
    <w:rsid w:val="006B6D3E"/>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pPr>
        <w:spacing w:before="0" w:after="0" w:line="240" w:lineRule="auto"/>
      </w:pPr>
      <w:rPr>
        <w:b/>
        <w:bCs/>
        <w:color w:val="FFFFFF"/>
      </w:rPr>
      <w:tblPr/>
      <w:tcPr>
        <w:shd w:val="clear" w:color="auto" w:fill="A02B93"/>
      </w:tcPr>
    </w:tblStylePr>
    <w:tblStylePr w:type="lastRow">
      <w:pPr>
        <w:spacing w:before="0" w:after="0" w:line="240" w:lineRule="auto"/>
      </w:pPr>
      <w:rPr>
        <w:b/>
        <w:bCs/>
      </w:rPr>
      <w:tblPr/>
      <w:tcPr>
        <w:tcBorders>
          <w:top w:val="double" w:sz="6" w:space="0" w:color="A02B93"/>
          <w:left w:val="single" w:sz="8" w:space="0" w:color="A02B93"/>
          <w:bottom w:val="single" w:sz="8" w:space="0" w:color="A02B93"/>
          <w:right w:val="single" w:sz="8" w:space="0" w:color="A02B93"/>
        </w:tcBorders>
      </w:tcPr>
    </w:tblStylePr>
    <w:tblStylePr w:type="firstCol">
      <w:rPr>
        <w:b/>
        <w:bCs/>
      </w:rPr>
    </w:tblStylePr>
    <w:tblStylePr w:type="lastCol">
      <w:rPr>
        <w:b/>
        <w:bCs/>
      </w:rPr>
    </w:tblStylePr>
    <w:tblStylePr w:type="band1Vert">
      <w:tblPr/>
      <w:tcPr>
        <w:tcBorders>
          <w:top w:val="single" w:sz="8" w:space="0" w:color="A02B93"/>
          <w:left w:val="single" w:sz="8" w:space="0" w:color="A02B93"/>
          <w:bottom w:val="single" w:sz="8" w:space="0" w:color="A02B93"/>
          <w:right w:val="single" w:sz="8" w:space="0" w:color="A02B93"/>
        </w:tcBorders>
      </w:tcPr>
    </w:tblStylePr>
    <w:tblStylePr w:type="band1Horz">
      <w:tblPr/>
      <w:tcPr>
        <w:tcBorders>
          <w:top w:val="single" w:sz="8" w:space="0" w:color="A02B93"/>
          <w:left w:val="single" w:sz="8" w:space="0" w:color="A02B93"/>
          <w:bottom w:val="single" w:sz="8" w:space="0" w:color="A02B93"/>
          <w:right w:val="single" w:sz="8" w:space="0" w:color="A02B93"/>
        </w:tcBorders>
      </w:tcPr>
    </w:tblStylePr>
  </w:style>
  <w:style w:type="table" w:styleId="LightList-Accent6">
    <w:name w:val="Light List Accent 6"/>
    <w:basedOn w:val="TableNormal"/>
    <w:uiPriority w:val="61"/>
    <w:semiHidden/>
    <w:unhideWhenUsed/>
    <w:rsid w:val="006B6D3E"/>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pPr>
        <w:spacing w:before="0" w:after="0" w:line="240" w:lineRule="auto"/>
      </w:pPr>
      <w:rPr>
        <w:b/>
        <w:bCs/>
        <w:color w:val="FFFFFF"/>
      </w:rPr>
      <w:tblPr/>
      <w:tcPr>
        <w:shd w:val="clear" w:color="auto" w:fill="4EA72E"/>
      </w:tcPr>
    </w:tblStylePr>
    <w:tblStylePr w:type="lastRow">
      <w:pPr>
        <w:spacing w:before="0" w:after="0" w:line="240" w:lineRule="auto"/>
      </w:pPr>
      <w:rPr>
        <w:b/>
        <w:bCs/>
      </w:rPr>
      <w:tblPr/>
      <w:tcPr>
        <w:tcBorders>
          <w:top w:val="double" w:sz="6" w:space="0" w:color="4EA72E"/>
          <w:left w:val="single" w:sz="8" w:space="0" w:color="4EA72E"/>
          <w:bottom w:val="single" w:sz="8" w:space="0" w:color="4EA72E"/>
          <w:right w:val="single" w:sz="8" w:space="0" w:color="4EA72E"/>
        </w:tcBorders>
      </w:tcPr>
    </w:tblStylePr>
    <w:tblStylePr w:type="firstCol">
      <w:rPr>
        <w:b/>
        <w:bCs/>
      </w:rPr>
    </w:tblStylePr>
    <w:tblStylePr w:type="lastCol">
      <w:rPr>
        <w:b/>
        <w:bCs/>
      </w:rPr>
    </w:tblStylePr>
    <w:tblStylePr w:type="band1Vert">
      <w:tblPr/>
      <w:tcPr>
        <w:tcBorders>
          <w:top w:val="single" w:sz="8" w:space="0" w:color="4EA72E"/>
          <w:left w:val="single" w:sz="8" w:space="0" w:color="4EA72E"/>
          <w:bottom w:val="single" w:sz="8" w:space="0" w:color="4EA72E"/>
          <w:right w:val="single" w:sz="8" w:space="0" w:color="4EA72E"/>
        </w:tcBorders>
      </w:tcPr>
    </w:tblStylePr>
    <w:tblStylePr w:type="band1Horz">
      <w:tblPr/>
      <w:tcPr>
        <w:tcBorders>
          <w:top w:val="single" w:sz="8" w:space="0" w:color="4EA72E"/>
          <w:left w:val="single" w:sz="8" w:space="0" w:color="4EA72E"/>
          <w:bottom w:val="single" w:sz="8" w:space="0" w:color="4EA72E"/>
          <w:right w:val="single" w:sz="8" w:space="0" w:color="4EA72E"/>
        </w:tcBorders>
      </w:tcPr>
    </w:tblStylePr>
  </w:style>
  <w:style w:type="table" w:styleId="LightShading">
    <w:name w:val="Light Shading"/>
    <w:basedOn w:val="TableNormal"/>
    <w:uiPriority w:val="60"/>
    <w:semiHidden/>
    <w:unhideWhenUsed/>
    <w:rsid w:val="006B6D3E"/>
    <w:rPr>
      <w:color w:val="00005F"/>
    </w:rPr>
    <w:tblPr>
      <w:tblStyleRowBandSize w:val="1"/>
      <w:tblStyleColBandSize w:val="1"/>
      <w:tblBorders>
        <w:top w:val="single" w:sz="8" w:space="0" w:color="000080"/>
        <w:bottom w:val="single" w:sz="8" w:space="0" w:color="000080"/>
      </w:tblBorders>
    </w:tblPr>
    <w:tblStylePr w:type="firstRow">
      <w:pPr>
        <w:spacing w:before="0" w:after="0" w:line="240" w:lineRule="auto"/>
      </w:pPr>
      <w:rPr>
        <w:b/>
        <w:bCs/>
      </w:rPr>
      <w:tblPr/>
      <w:tcPr>
        <w:tcBorders>
          <w:top w:val="single" w:sz="8" w:space="0" w:color="000080"/>
          <w:left w:val="nil"/>
          <w:bottom w:val="single" w:sz="8" w:space="0" w:color="000080"/>
          <w:right w:val="nil"/>
          <w:insideH w:val="nil"/>
          <w:insideV w:val="nil"/>
        </w:tcBorders>
      </w:tcPr>
    </w:tblStylePr>
    <w:tblStylePr w:type="lastRow">
      <w:pPr>
        <w:spacing w:before="0" w:after="0" w:line="240" w:lineRule="auto"/>
      </w:pPr>
      <w:rPr>
        <w:b/>
        <w:bCs/>
      </w:rPr>
      <w:tblPr/>
      <w:tcPr>
        <w:tcBorders>
          <w:top w:val="single" w:sz="8" w:space="0" w:color="000080"/>
          <w:left w:val="nil"/>
          <w:bottom w:val="single" w:sz="8" w:space="0" w:color="00008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cPr>
    </w:tblStylePr>
    <w:tblStylePr w:type="band1Horz">
      <w:tblPr/>
      <w:tcPr>
        <w:tcBorders>
          <w:left w:val="nil"/>
          <w:right w:val="nil"/>
          <w:insideH w:val="nil"/>
          <w:insideV w:val="nil"/>
        </w:tcBorders>
        <w:shd w:val="clear" w:color="auto" w:fill="A0A0FF"/>
      </w:tcPr>
    </w:tblStylePr>
  </w:style>
  <w:style w:type="table" w:styleId="LightShading-Accent1">
    <w:name w:val="Light Shading Accent 1"/>
    <w:basedOn w:val="TableNormal"/>
    <w:uiPriority w:val="60"/>
    <w:semiHidden/>
    <w:unhideWhenUsed/>
    <w:rsid w:val="006B6D3E"/>
    <w:rPr>
      <w:color w:val="0F4761"/>
    </w:rPr>
    <w:tblPr>
      <w:tblStyleRowBandSize w:val="1"/>
      <w:tblStyleColBandSize w:val="1"/>
      <w:tblBorders>
        <w:top w:val="single" w:sz="8" w:space="0" w:color="156082"/>
        <w:bottom w:val="single" w:sz="8" w:space="0" w:color="156082"/>
      </w:tblBorders>
    </w:tblPr>
    <w:tblStylePr w:type="fir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la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cPr>
    </w:tblStylePr>
    <w:tblStylePr w:type="band1Horz">
      <w:tblPr/>
      <w:tcPr>
        <w:tcBorders>
          <w:left w:val="nil"/>
          <w:right w:val="nil"/>
          <w:insideH w:val="nil"/>
          <w:insideV w:val="nil"/>
        </w:tcBorders>
        <w:shd w:val="clear" w:color="auto" w:fill="B2DEF2"/>
      </w:tcPr>
    </w:tblStylePr>
  </w:style>
  <w:style w:type="table" w:styleId="LightShading-Accent2">
    <w:name w:val="Light Shading Accent 2"/>
    <w:basedOn w:val="TableNormal"/>
    <w:uiPriority w:val="60"/>
    <w:semiHidden/>
    <w:unhideWhenUsed/>
    <w:rsid w:val="006B6D3E"/>
    <w:rPr>
      <w:color w:val="BF4E14"/>
    </w:rPr>
    <w:tblPr>
      <w:tblStyleRowBandSize w:val="1"/>
      <w:tblStyleColBandSize w:val="1"/>
      <w:tblBorders>
        <w:top w:val="single" w:sz="8" w:space="0" w:color="E97132"/>
        <w:bottom w:val="single" w:sz="8" w:space="0" w:color="E97132"/>
      </w:tblBorders>
    </w:tblPr>
    <w:tblStylePr w:type="firstRow">
      <w:pPr>
        <w:spacing w:before="0" w:after="0" w:line="240" w:lineRule="auto"/>
      </w:pPr>
      <w:rPr>
        <w:b/>
        <w:bCs/>
      </w:rPr>
      <w:tblPr/>
      <w:tcPr>
        <w:tcBorders>
          <w:top w:val="single" w:sz="8" w:space="0" w:color="E97132"/>
          <w:left w:val="nil"/>
          <w:bottom w:val="single" w:sz="8" w:space="0" w:color="E97132"/>
          <w:right w:val="nil"/>
          <w:insideH w:val="nil"/>
          <w:insideV w:val="nil"/>
        </w:tcBorders>
      </w:tcPr>
    </w:tblStylePr>
    <w:tblStylePr w:type="lastRow">
      <w:pPr>
        <w:spacing w:before="0" w:after="0" w:line="240" w:lineRule="auto"/>
      </w:pPr>
      <w:rPr>
        <w:b/>
        <w:bCs/>
      </w:rPr>
      <w:tblPr/>
      <w:tcPr>
        <w:tcBorders>
          <w:top w:val="single" w:sz="8" w:space="0" w:color="E97132"/>
          <w:left w:val="nil"/>
          <w:bottom w:val="single" w:sz="8" w:space="0" w:color="E9713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cPr>
    </w:tblStylePr>
    <w:tblStylePr w:type="band1Horz">
      <w:tblPr/>
      <w:tcPr>
        <w:tcBorders>
          <w:left w:val="nil"/>
          <w:right w:val="nil"/>
          <w:insideH w:val="nil"/>
          <w:insideV w:val="nil"/>
        </w:tcBorders>
        <w:shd w:val="clear" w:color="auto" w:fill="F9DBCC"/>
      </w:tcPr>
    </w:tblStylePr>
  </w:style>
  <w:style w:type="table" w:styleId="LightShading-Accent3">
    <w:name w:val="Light Shading Accent 3"/>
    <w:basedOn w:val="TableNormal"/>
    <w:uiPriority w:val="60"/>
    <w:semiHidden/>
    <w:unhideWhenUsed/>
    <w:rsid w:val="006B6D3E"/>
    <w:rPr>
      <w:color w:val="124F1A"/>
    </w:rPr>
    <w:tblPr>
      <w:tblStyleRowBandSize w:val="1"/>
      <w:tblStyleColBandSize w:val="1"/>
      <w:tblBorders>
        <w:top w:val="single" w:sz="8" w:space="0" w:color="196B24"/>
        <w:bottom w:val="single" w:sz="8" w:space="0" w:color="196B24"/>
      </w:tblBorders>
    </w:tblPr>
    <w:tblStylePr w:type="fir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la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cPr>
    </w:tblStylePr>
    <w:tblStylePr w:type="band1Horz">
      <w:tblPr/>
      <w:tcPr>
        <w:tcBorders>
          <w:left w:val="nil"/>
          <w:right w:val="nil"/>
          <w:insideH w:val="nil"/>
          <w:insideV w:val="nil"/>
        </w:tcBorders>
        <w:shd w:val="clear" w:color="auto" w:fill="B3EDBA"/>
      </w:tcPr>
    </w:tblStylePr>
  </w:style>
  <w:style w:type="table" w:styleId="LightShading-Accent4">
    <w:name w:val="Light Shading Accent 4"/>
    <w:basedOn w:val="TableNormal"/>
    <w:uiPriority w:val="60"/>
    <w:semiHidden/>
    <w:unhideWhenUsed/>
    <w:rsid w:val="006B6D3E"/>
    <w:rPr>
      <w:color w:val="0B769F"/>
    </w:rPr>
    <w:tblPr>
      <w:tblStyleRowBandSize w:val="1"/>
      <w:tblStyleColBandSize w:val="1"/>
      <w:tblBorders>
        <w:top w:val="single" w:sz="8" w:space="0" w:color="0F9ED5"/>
        <w:bottom w:val="single" w:sz="8" w:space="0" w:color="0F9ED5"/>
      </w:tblBorders>
    </w:tblPr>
    <w:tblStylePr w:type="firstRow">
      <w:pPr>
        <w:spacing w:before="0" w:after="0" w:line="240" w:lineRule="auto"/>
      </w:pPr>
      <w:rPr>
        <w:b/>
        <w:bCs/>
      </w:rPr>
      <w:tblPr/>
      <w:tcPr>
        <w:tcBorders>
          <w:top w:val="single" w:sz="8" w:space="0" w:color="0F9ED5"/>
          <w:left w:val="nil"/>
          <w:bottom w:val="single" w:sz="8" w:space="0" w:color="0F9ED5"/>
          <w:right w:val="nil"/>
          <w:insideH w:val="nil"/>
          <w:insideV w:val="nil"/>
        </w:tcBorders>
      </w:tcPr>
    </w:tblStylePr>
    <w:tblStylePr w:type="lastRow">
      <w:pPr>
        <w:spacing w:before="0" w:after="0" w:line="240" w:lineRule="auto"/>
      </w:pPr>
      <w:rPr>
        <w:b/>
        <w:bCs/>
      </w:rPr>
      <w:tblPr/>
      <w:tcPr>
        <w:tcBorders>
          <w:top w:val="single" w:sz="8" w:space="0" w:color="0F9ED5"/>
          <w:left w:val="nil"/>
          <w:bottom w:val="single" w:sz="8" w:space="0" w:color="0F9E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cPr>
    </w:tblStylePr>
    <w:tblStylePr w:type="band1Horz">
      <w:tblPr/>
      <w:tcPr>
        <w:tcBorders>
          <w:left w:val="nil"/>
          <w:right w:val="nil"/>
          <w:insideH w:val="nil"/>
          <w:insideV w:val="nil"/>
        </w:tcBorders>
        <w:shd w:val="clear" w:color="auto" w:fill="BDE9FA"/>
      </w:tcPr>
    </w:tblStylePr>
  </w:style>
  <w:style w:type="table" w:styleId="LightShading-Accent5">
    <w:name w:val="Light Shading Accent 5"/>
    <w:basedOn w:val="TableNormal"/>
    <w:uiPriority w:val="60"/>
    <w:semiHidden/>
    <w:unhideWhenUsed/>
    <w:rsid w:val="006B6D3E"/>
    <w:rPr>
      <w:color w:val="77206D"/>
    </w:rPr>
    <w:tblPr>
      <w:tblStyleRowBandSize w:val="1"/>
      <w:tblStyleColBandSize w:val="1"/>
      <w:tblBorders>
        <w:top w:val="single" w:sz="8" w:space="0" w:color="A02B93"/>
        <w:bottom w:val="single" w:sz="8" w:space="0" w:color="A02B93"/>
      </w:tblBorders>
    </w:tblPr>
    <w:tblStylePr w:type="fir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la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cPr>
    </w:tblStylePr>
    <w:tblStylePr w:type="band1Horz">
      <w:tblPr/>
      <w:tcPr>
        <w:tcBorders>
          <w:left w:val="nil"/>
          <w:right w:val="nil"/>
          <w:insideH w:val="nil"/>
          <w:insideV w:val="nil"/>
        </w:tcBorders>
        <w:shd w:val="clear" w:color="auto" w:fill="EFC3E9"/>
      </w:tcPr>
    </w:tblStylePr>
  </w:style>
  <w:style w:type="table" w:styleId="LightShading-Accent6">
    <w:name w:val="Light Shading Accent 6"/>
    <w:basedOn w:val="TableNormal"/>
    <w:uiPriority w:val="60"/>
    <w:semiHidden/>
    <w:unhideWhenUsed/>
    <w:rsid w:val="006B6D3E"/>
    <w:rPr>
      <w:color w:val="3A7C22"/>
    </w:rPr>
    <w:tblPr>
      <w:tblStyleRowBandSize w:val="1"/>
      <w:tblStyleColBandSize w:val="1"/>
      <w:tblBorders>
        <w:top w:val="single" w:sz="8" w:space="0" w:color="4EA72E"/>
        <w:bottom w:val="single" w:sz="8" w:space="0" w:color="4EA72E"/>
      </w:tblBorders>
    </w:tblPr>
    <w:tblStylePr w:type="firstRow">
      <w:pPr>
        <w:spacing w:before="0" w:after="0" w:line="240" w:lineRule="auto"/>
      </w:pPr>
      <w:rPr>
        <w:b/>
        <w:bCs/>
      </w:rPr>
      <w:tblPr/>
      <w:tcPr>
        <w:tcBorders>
          <w:top w:val="single" w:sz="8" w:space="0" w:color="4EA72E"/>
          <w:left w:val="nil"/>
          <w:bottom w:val="single" w:sz="8" w:space="0" w:color="4EA72E"/>
          <w:right w:val="nil"/>
          <w:insideH w:val="nil"/>
          <w:insideV w:val="nil"/>
        </w:tcBorders>
      </w:tcPr>
    </w:tblStylePr>
    <w:tblStylePr w:type="lastRow">
      <w:pPr>
        <w:spacing w:before="0" w:after="0" w:line="240" w:lineRule="auto"/>
      </w:pPr>
      <w:rPr>
        <w:b/>
        <w:bCs/>
      </w:rPr>
      <w:tblPr/>
      <w:tcPr>
        <w:tcBorders>
          <w:top w:val="single" w:sz="8" w:space="0" w:color="4EA72E"/>
          <w:left w:val="nil"/>
          <w:bottom w:val="single" w:sz="8" w:space="0" w:color="4EA72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cPr>
    </w:tblStylePr>
    <w:tblStylePr w:type="band1Horz">
      <w:tblPr/>
      <w:tcPr>
        <w:tcBorders>
          <w:left w:val="nil"/>
          <w:right w:val="nil"/>
          <w:insideH w:val="nil"/>
          <w:insideV w:val="nil"/>
        </w:tcBorders>
        <w:shd w:val="clear" w:color="auto" w:fill="D0EFC5"/>
      </w:tcPr>
    </w:tblStylePr>
  </w:style>
  <w:style w:type="character" w:styleId="LineNumber">
    <w:name w:val="line number"/>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tblPr>
      <w:tblStyleRowBandSize w:val="1"/>
      <w:tblStyleColBandSize w:val="1"/>
    </w:tblPr>
    <w:tblStylePr w:type="firstRow">
      <w:rPr>
        <w:b/>
        <w:bCs/>
      </w:rPr>
      <w:tblPr/>
      <w:tcPr>
        <w:tcBorders>
          <w:bottom w:val="single" w:sz="4" w:space="0" w:color="1919FF"/>
        </w:tcBorders>
      </w:tcPr>
    </w:tblStylePr>
    <w:tblStylePr w:type="lastRow">
      <w:rPr>
        <w:b/>
        <w:bCs/>
      </w:rPr>
      <w:tblPr/>
      <w:tcPr>
        <w:tcBorders>
          <w:top w:val="sing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ListTable1Light-Accent1">
    <w:name w:val="List Table 1 Light Accent 1"/>
    <w:basedOn w:val="TableNormal"/>
    <w:uiPriority w:val="46"/>
    <w:rsid w:val="006B6D3E"/>
    <w:tblPr>
      <w:tblStyleRowBandSize w:val="1"/>
      <w:tblStyleColBandSize w:val="1"/>
    </w:tblPr>
    <w:tblStylePr w:type="firstRow">
      <w:rPr>
        <w:b/>
        <w:bCs/>
      </w:rPr>
      <w:tblPr/>
      <w:tcPr>
        <w:tcBorders>
          <w:bottom w:val="single" w:sz="4" w:space="0" w:color="45B0E1"/>
        </w:tcBorders>
      </w:tcPr>
    </w:tblStylePr>
    <w:tblStylePr w:type="lastRow">
      <w:rPr>
        <w:b/>
        <w:bCs/>
      </w:rPr>
      <w:tblPr/>
      <w:tcPr>
        <w:tcBorders>
          <w:top w:val="sing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styleId="ListTable1Light-Accent2">
    <w:name w:val="List Table 1 Light Accent 2"/>
    <w:basedOn w:val="TableNormal"/>
    <w:uiPriority w:val="46"/>
    <w:rsid w:val="006B6D3E"/>
    <w:tblPr>
      <w:tblStyleRowBandSize w:val="1"/>
      <w:tblStyleColBandSize w:val="1"/>
    </w:tblPr>
    <w:tblStylePr w:type="firstRow">
      <w:rPr>
        <w:b/>
        <w:bCs/>
      </w:rPr>
      <w:tblPr/>
      <w:tcPr>
        <w:tcBorders>
          <w:bottom w:val="single" w:sz="4" w:space="0" w:color="F1A983"/>
        </w:tcBorders>
      </w:tcPr>
    </w:tblStylePr>
    <w:tblStylePr w:type="lastRow">
      <w:rPr>
        <w:b/>
        <w:bCs/>
      </w:rPr>
      <w:tblPr/>
      <w:tcPr>
        <w:tcBorders>
          <w:top w:val="sing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styleId="ListTable1Light-Accent3">
    <w:name w:val="List Table 1 Light Accent 3"/>
    <w:basedOn w:val="TableNormal"/>
    <w:uiPriority w:val="46"/>
    <w:rsid w:val="006B6D3E"/>
    <w:tblPr>
      <w:tblStyleRowBandSize w:val="1"/>
      <w:tblStyleColBandSize w:val="1"/>
    </w:tblPr>
    <w:tblStylePr w:type="firstRow">
      <w:rPr>
        <w:b/>
        <w:bCs/>
      </w:rPr>
      <w:tblPr/>
      <w:tcPr>
        <w:tcBorders>
          <w:bottom w:val="single" w:sz="4" w:space="0" w:color="47D459"/>
        </w:tcBorders>
      </w:tcPr>
    </w:tblStylePr>
    <w:tblStylePr w:type="lastRow">
      <w:rPr>
        <w:b/>
        <w:bCs/>
      </w:rPr>
      <w:tblPr/>
      <w:tcPr>
        <w:tcBorders>
          <w:top w:val="sing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styleId="ListTable1Light-Accent4">
    <w:name w:val="List Table 1 Light Accent 4"/>
    <w:basedOn w:val="TableNormal"/>
    <w:uiPriority w:val="46"/>
    <w:rsid w:val="006B6D3E"/>
    <w:tblPr>
      <w:tblStyleRowBandSize w:val="1"/>
      <w:tblStyleColBandSize w:val="1"/>
    </w:tblPr>
    <w:tblStylePr w:type="firstRow">
      <w:rPr>
        <w:b/>
        <w:bCs/>
      </w:rPr>
      <w:tblPr/>
      <w:tcPr>
        <w:tcBorders>
          <w:bottom w:val="single" w:sz="4" w:space="0" w:color="60CAF3"/>
        </w:tcBorders>
      </w:tcPr>
    </w:tblStylePr>
    <w:tblStylePr w:type="lastRow">
      <w:rPr>
        <w:b/>
        <w:bCs/>
      </w:rPr>
      <w:tblPr/>
      <w:tcPr>
        <w:tcBorders>
          <w:top w:val="sing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styleId="ListTable1Light-Accent5">
    <w:name w:val="List Table 1 Light Accent 5"/>
    <w:basedOn w:val="TableNormal"/>
    <w:uiPriority w:val="46"/>
    <w:rsid w:val="006B6D3E"/>
    <w:tblPr>
      <w:tblStyleRowBandSize w:val="1"/>
      <w:tblStyleColBandSize w:val="1"/>
    </w:tblPr>
    <w:tblStylePr w:type="firstRow">
      <w:rPr>
        <w:b/>
        <w:bCs/>
      </w:rPr>
      <w:tblPr/>
      <w:tcPr>
        <w:tcBorders>
          <w:bottom w:val="single" w:sz="4" w:space="0" w:color="D86DCB"/>
        </w:tcBorders>
      </w:tcPr>
    </w:tblStylePr>
    <w:tblStylePr w:type="lastRow">
      <w:rPr>
        <w:b/>
        <w:bCs/>
      </w:rPr>
      <w:tblPr/>
      <w:tcPr>
        <w:tcBorders>
          <w:top w:val="sing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styleId="ListTable1Light-Accent6">
    <w:name w:val="List Table 1 Light Accent 6"/>
    <w:basedOn w:val="TableNormal"/>
    <w:uiPriority w:val="46"/>
    <w:rsid w:val="006B6D3E"/>
    <w:tblPr>
      <w:tblStyleRowBandSize w:val="1"/>
      <w:tblStyleColBandSize w:val="1"/>
    </w:tblPr>
    <w:tblStylePr w:type="firstRow">
      <w:rPr>
        <w:b/>
        <w:bCs/>
      </w:rPr>
      <w:tblPr/>
      <w:tcPr>
        <w:tcBorders>
          <w:bottom w:val="single" w:sz="4" w:space="0" w:color="8DD873"/>
        </w:tcBorders>
      </w:tcPr>
    </w:tblStylePr>
    <w:tblStylePr w:type="lastRow">
      <w:rPr>
        <w:b/>
        <w:bCs/>
      </w:rPr>
      <w:tblPr/>
      <w:tcPr>
        <w:tcBorders>
          <w:top w:val="sing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styleId="ListTable2">
    <w:name w:val="List Table 2"/>
    <w:basedOn w:val="TableNormal"/>
    <w:uiPriority w:val="47"/>
    <w:rsid w:val="006B6D3E"/>
    <w:tblPr>
      <w:tblStyleRowBandSize w:val="1"/>
      <w:tblStyleColBandSize w:val="1"/>
      <w:tblBorders>
        <w:top w:val="single" w:sz="4" w:space="0" w:color="1919FF"/>
        <w:bottom w:val="single" w:sz="4" w:space="0" w:color="1919FF"/>
        <w:insideH w:val="single" w:sz="4" w:space="0" w:color="1919F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ListTable2-Accent1">
    <w:name w:val="List Table 2 Accent 1"/>
    <w:basedOn w:val="TableNormal"/>
    <w:uiPriority w:val="47"/>
    <w:rsid w:val="006B6D3E"/>
    <w:tblPr>
      <w:tblStyleRowBandSize w:val="1"/>
      <w:tblStyleColBandSize w:val="1"/>
      <w:tblBorders>
        <w:top w:val="single" w:sz="4" w:space="0" w:color="45B0E1"/>
        <w:bottom w:val="single" w:sz="4" w:space="0" w:color="45B0E1"/>
        <w:insideH w:val="single" w:sz="4" w:space="0" w:color="45B0E1"/>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styleId="ListTable2-Accent2">
    <w:name w:val="List Table 2 Accent 2"/>
    <w:basedOn w:val="TableNormal"/>
    <w:uiPriority w:val="47"/>
    <w:rsid w:val="006B6D3E"/>
    <w:tblPr>
      <w:tblStyleRowBandSize w:val="1"/>
      <w:tblStyleColBandSize w:val="1"/>
      <w:tblBorders>
        <w:top w:val="single" w:sz="4" w:space="0" w:color="F1A983"/>
        <w:bottom w:val="single" w:sz="4" w:space="0" w:color="F1A983"/>
        <w:insideH w:val="single" w:sz="4" w:space="0" w:color="F1A9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styleId="ListTable2-Accent3">
    <w:name w:val="List Table 2 Accent 3"/>
    <w:basedOn w:val="TableNormal"/>
    <w:uiPriority w:val="47"/>
    <w:rsid w:val="006B6D3E"/>
    <w:tblPr>
      <w:tblStyleRowBandSize w:val="1"/>
      <w:tblStyleColBandSize w:val="1"/>
      <w:tblBorders>
        <w:top w:val="single" w:sz="4" w:space="0" w:color="47D459"/>
        <w:bottom w:val="single" w:sz="4" w:space="0" w:color="47D459"/>
        <w:insideH w:val="single" w:sz="4" w:space="0" w:color="47D45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styleId="ListTable2-Accent4">
    <w:name w:val="List Table 2 Accent 4"/>
    <w:basedOn w:val="TableNormal"/>
    <w:uiPriority w:val="47"/>
    <w:rsid w:val="006B6D3E"/>
    <w:tblPr>
      <w:tblStyleRowBandSize w:val="1"/>
      <w:tblStyleColBandSize w:val="1"/>
      <w:tblBorders>
        <w:top w:val="single" w:sz="4" w:space="0" w:color="60CAF3"/>
        <w:bottom w:val="single" w:sz="4" w:space="0" w:color="60CAF3"/>
        <w:insideH w:val="single" w:sz="4" w:space="0" w:color="60CAF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styleId="ListTable2-Accent5">
    <w:name w:val="List Table 2 Accent 5"/>
    <w:basedOn w:val="TableNormal"/>
    <w:uiPriority w:val="47"/>
    <w:rsid w:val="006B6D3E"/>
    <w:tblPr>
      <w:tblStyleRowBandSize w:val="1"/>
      <w:tblStyleColBandSize w:val="1"/>
      <w:tblBorders>
        <w:top w:val="single" w:sz="4" w:space="0" w:color="D86DCB"/>
        <w:bottom w:val="single" w:sz="4" w:space="0" w:color="D86DCB"/>
        <w:insideH w:val="single" w:sz="4" w:space="0" w:color="D86DC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styleId="ListTable2-Accent6">
    <w:name w:val="List Table 2 Accent 6"/>
    <w:basedOn w:val="TableNormal"/>
    <w:uiPriority w:val="47"/>
    <w:rsid w:val="006B6D3E"/>
    <w:tblPr>
      <w:tblStyleRowBandSize w:val="1"/>
      <w:tblStyleColBandSize w:val="1"/>
      <w:tblBorders>
        <w:top w:val="single" w:sz="4" w:space="0" w:color="8DD873"/>
        <w:bottom w:val="single" w:sz="4" w:space="0" w:color="8DD873"/>
        <w:insideH w:val="single" w:sz="4" w:space="0" w:color="8DD87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styleId="ListTable3">
    <w:name w:val="List Table 3"/>
    <w:basedOn w:val="TableNormal"/>
    <w:uiPriority w:val="48"/>
    <w:rsid w:val="006B6D3E"/>
    <w:tblPr>
      <w:tblStyleRowBandSize w:val="1"/>
      <w:tblStyleColBandSize w:val="1"/>
      <w:tblBorders>
        <w:top w:val="single" w:sz="4" w:space="0" w:color="000080"/>
        <w:left w:val="single" w:sz="4" w:space="0" w:color="000080"/>
        <w:bottom w:val="single" w:sz="4" w:space="0" w:color="000080"/>
        <w:right w:val="single" w:sz="4" w:space="0" w:color="000080"/>
      </w:tblBorders>
    </w:tblPr>
    <w:tblStylePr w:type="firstRow">
      <w:rPr>
        <w:b/>
        <w:bCs/>
        <w:color w:val="FFFFFF"/>
      </w:rPr>
      <w:tblPr/>
      <w:tcPr>
        <w:shd w:val="clear" w:color="auto" w:fill="000080"/>
      </w:tcPr>
    </w:tblStylePr>
    <w:tblStylePr w:type="lastRow">
      <w:rPr>
        <w:b/>
        <w:bCs/>
      </w:rPr>
      <w:tblPr/>
      <w:tcPr>
        <w:tcBorders>
          <w:top w:val="double" w:sz="4" w:space="0" w:color="00008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80"/>
          <w:right w:val="single" w:sz="4" w:space="0" w:color="000080"/>
        </w:tcBorders>
      </w:tcPr>
    </w:tblStylePr>
    <w:tblStylePr w:type="band1Horz">
      <w:tblPr/>
      <w:tcPr>
        <w:tcBorders>
          <w:top w:val="single" w:sz="4" w:space="0" w:color="000080"/>
          <w:bottom w:val="single" w:sz="4" w:space="0" w:color="00008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left w:val="nil"/>
        </w:tcBorders>
      </w:tcPr>
    </w:tblStylePr>
    <w:tblStylePr w:type="swCell">
      <w:tblPr/>
      <w:tcPr>
        <w:tcBorders>
          <w:top w:val="double" w:sz="4" w:space="0" w:color="000080"/>
          <w:right w:val="nil"/>
        </w:tcBorders>
      </w:tcPr>
    </w:tblStylePr>
  </w:style>
  <w:style w:type="table" w:styleId="ListTable3-Accent1">
    <w:name w:val="List Table 3 Accent 1"/>
    <w:basedOn w:val="TableNormal"/>
    <w:uiPriority w:val="48"/>
    <w:rsid w:val="006B6D3E"/>
    <w:tblPr>
      <w:tblStyleRowBandSize w:val="1"/>
      <w:tblStyleColBandSize w:val="1"/>
      <w:tblBorders>
        <w:top w:val="single" w:sz="4" w:space="0" w:color="156082"/>
        <w:left w:val="single" w:sz="4" w:space="0" w:color="156082"/>
        <w:bottom w:val="single" w:sz="4" w:space="0" w:color="156082"/>
        <w:right w:val="single" w:sz="4" w:space="0" w:color="156082"/>
      </w:tblBorders>
    </w:tblPr>
    <w:tblStylePr w:type="firstRow">
      <w:rPr>
        <w:b/>
        <w:bCs/>
        <w:color w:val="FFFFFF"/>
      </w:rPr>
      <w:tblPr/>
      <w:tcPr>
        <w:shd w:val="clear" w:color="auto" w:fill="156082"/>
      </w:tcPr>
    </w:tblStylePr>
    <w:tblStylePr w:type="lastRow">
      <w:rPr>
        <w:b/>
        <w:bCs/>
      </w:rPr>
      <w:tblPr/>
      <w:tcPr>
        <w:tcBorders>
          <w:top w:val="double" w:sz="4" w:space="0" w:color="15608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56082"/>
          <w:right w:val="single" w:sz="4" w:space="0" w:color="156082"/>
        </w:tcBorders>
      </w:tcPr>
    </w:tblStylePr>
    <w:tblStylePr w:type="band1Horz">
      <w:tblPr/>
      <w:tcPr>
        <w:tcBorders>
          <w:top w:val="single" w:sz="4" w:space="0" w:color="156082"/>
          <w:bottom w:val="single" w:sz="4" w:space="0" w:color="15608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left w:val="nil"/>
        </w:tcBorders>
      </w:tcPr>
    </w:tblStylePr>
    <w:tblStylePr w:type="swCell">
      <w:tblPr/>
      <w:tcPr>
        <w:tcBorders>
          <w:top w:val="double" w:sz="4" w:space="0" w:color="156082"/>
          <w:right w:val="nil"/>
        </w:tcBorders>
      </w:tcPr>
    </w:tblStylePr>
  </w:style>
  <w:style w:type="table" w:styleId="ListTable3-Accent2">
    <w:name w:val="List Table 3 Accent 2"/>
    <w:basedOn w:val="TableNormal"/>
    <w:uiPriority w:val="48"/>
    <w:rsid w:val="006B6D3E"/>
    <w:tblPr>
      <w:tblStyleRowBandSize w:val="1"/>
      <w:tblStyleColBandSize w:val="1"/>
      <w:tblBorders>
        <w:top w:val="single" w:sz="4" w:space="0" w:color="E97132"/>
        <w:left w:val="single" w:sz="4" w:space="0" w:color="E97132"/>
        <w:bottom w:val="single" w:sz="4" w:space="0" w:color="E97132"/>
        <w:right w:val="single" w:sz="4" w:space="0" w:color="E97132"/>
      </w:tblBorders>
    </w:tblPr>
    <w:tblStylePr w:type="firstRow">
      <w:rPr>
        <w:b/>
        <w:bCs/>
        <w:color w:val="FFFFFF"/>
      </w:rPr>
      <w:tblPr/>
      <w:tcPr>
        <w:shd w:val="clear" w:color="auto" w:fill="E97132"/>
      </w:tcPr>
    </w:tblStylePr>
    <w:tblStylePr w:type="lastRow">
      <w:rPr>
        <w:b/>
        <w:bCs/>
      </w:rPr>
      <w:tblPr/>
      <w:tcPr>
        <w:tcBorders>
          <w:top w:val="double" w:sz="4" w:space="0" w:color="E9713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97132"/>
          <w:right w:val="single" w:sz="4" w:space="0" w:color="E97132"/>
        </w:tcBorders>
      </w:tcPr>
    </w:tblStylePr>
    <w:tblStylePr w:type="band1Horz">
      <w:tblPr/>
      <w:tcPr>
        <w:tcBorders>
          <w:top w:val="single" w:sz="4" w:space="0" w:color="E97132"/>
          <w:bottom w:val="single" w:sz="4" w:space="0" w:color="E9713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left w:val="nil"/>
        </w:tcBorders>
      </w:tcPr>
    </w:tblStylePr>
    <w:tblStylePr w:type="swCell">
      <w:tblPr/>
      <w:tcPr>
        <w:tcBorders>
          <w:top w:val="double" w:sz="4" w:space="0" w:color="E97132"/>
          <w:right w:val="nil"/>
        </w:tcBorders>
      </w:tcPr>
    </w:tblStylePr>
  </w:style>
  <w:style w:type="table" w:styleId="ListTable3-Accent3">
    <w:name w:val="List Table 3 Accent 3"/>
    <w:basedOn w:val="TableNormal"/>
    <w:uiPriority w:val="48"/>
    <w:rsid w:val="006B6D3E"/>
    <w:tblPr>
      <w:tblStyleRowBandSize w:val="1"/>
      <w:tblStyleColBandSize w:val="1"/>
      <w:tblBorders>
        <w:top w:val="single" w:sz="4" w:space="0" w:color="196B24"/>
        <w:left w:val="single" w:sz="4" w:space="0" w:color="196B24"/>
        <w:bottom w:val="single" w:sz="4" w:space="0" w:color="196B24"/>
        <w:right w:val="single" w:sz="4" w:space="0" w:color="196B24"/>
      </w:tblBorders>
    </w:tblPr>
    <w:tblStylePr w:type="firstRow">
      <w:rPr>
        <w:b/>
        <w:bCs/>
        <w:color w:val="FFFFFF"/>
      </w:rPr>
      <w:tblPr/>
      <w:tcPr>
        <w:shd w:val="clear" w:color="auto" w:fill="196B24"/>
      </w:tcPr>
    </w:tblStylePr>
    <w:tblStylePr w:type="lastRow">
      <w:rPr>
        <w:b/>
        <w:bCs/>
      </w:rPr>
      <w:tblPr/>
      <w:tcPr>
        <w:tcBorders>
          <w:top w:val="double" w:sz="4" w:space="0" w:color="196B2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96B24"/>
          <w:right w:val="single" w:sz="4" w:space="0" w:color="196B24"/>
        </w:tcBorders>
      </w:tcPr>
    </w:tblStylePr>
    <w:tblStylePr w:type="band1Horz">
      <w:tblPr/>
      <w:tcPr>
        <w:tcBorders>
          <w:top w:val="single" w:sz="4" w:space="0" w:color="196B24"/>
          <w:bottom w:val="single" w:sz="4" w:space="0" w:color="196B2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left w:val="nil"/>
        </w:tcBorders>
      </w:tcPr>
    </w:tblStylePr>
    <w:tblStylePr w:type="swCell">
      <w:tblPr/>
      <w:tcPr>
        <w:tcBorders>
          <w:top w:val="double" w:sz="4" w:space="0" w:color="196B24"/>
          <w:right w:val="nil"/>
        </w:tcBorders>
      </w:tcPr>
    </w:tblStylePr>
  </w:style>
  <w:style w:type="table" w:styleId="ListTable3-Accent4">
    <w:name w:val="List Table 3 Accent 4"/>
    <w:basedOn w:val="TableNormal"/>
    <w:uiPriority w:val="48"/>
    <w:rsid w:val="006B6D3E"/>
    <w:tblPr>
      <w:tblStyleRowBandSize w:val="1"/>
      <w:tblStyleColBandSize w:val="1"/>
      <w:tblBorders>
        <w:top w:val="single" w:sz="4" w:space="0" w:color="0F9ED5"/>
        <w:left w:val="single" w:sz="4" w:space="0" w:color="0F9ED5"/>
        <w:bottom w:val="single" w:sz="4" w:space="0" w:color="0F9ED5"/>
        <w:right w:val="single" w:sz="4" w:space="0" w:color="0F9ED5"/>
      </w:tblBorders>
    </w:tblPr>
    <w:tblStylePr w:type="firstRow">
      <w:rPr>
        <w:b/>
        <w:bCs/>
        <w:color w:val="FFFFFF"/>
      </w:rPr>
      <w:tblPr/>
      <w:tcPr>
        <w:shd w:val="clear" w:color="auto" w:fill="0F9ED5"/>
      </w:tcPr>
    </w:tblStylePr>
    <w:tblStylePr w:type="lastRow">
      <w:rPr>
        <w:b/>
        <w:bCs/>
      </w:rPr>
      <w:tblPr/>
      <w:tcPr>
        <w:tcBorders>
          <w:top w:val="double" w:sz="4" w:space="0" w:color="0F9E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F9ED5"/>
          <w:right w:val="single" w:sz="4" w:space="0" w:color="0F9ED5"/>
        </w:tcBorders>
      </w:tcPr>
    </w:tblStylePr>
    <w:tblStylePr w:type="band1Horz">
      <w:tblPr/>
      <w:tcPr>
        <w:tcBorders>
          <w:top w:val="single" w:sz="4" w:space="0" w:color="0F9ED5"/>
          <w:bottom w:val="single" w:sz="4" w:space="0" w:color="0F9E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left w:val="nil"/>
        </w:tcBorders>
      </w:tcPr>
    </w:tblStylePr>
    <w:tblStylePr w:type="swCell">
      <w:tblPr/>
      <w:tcPr>
        <w:tcBorders>
          <w:top w:val="double" w:sz="4" w:space="0" w:color="0F9ED5"/>
          <w:right w:val="nil"/>
        </w:tcBorders>
      </w:tcPr>
    </w:tblStylePr>
  </w:style>
  <w:style w:type="table" w:styleId="ListTable3-Accent5">
    <w:name w:val="List Table 3 Accent 5"/>
    <w:basedOn w:val="TableNormal"/>
    <w:uiPriority w:val="48"/>
    <w:rsid w:val="006B6D3E"/>
    <w:tblPr>
      <w:tblStyleRowBandSize w:val="1"/>
      <w:tblStyleColBandSize w:val="1"/>
      <w:tblBorders>
        <w:top w:val="single" w:sz="4" w:space="0" w:color="A02B93"/>
        <w:left w:val="single" w:sz="4" w:space="0" w:color="A02B93"/>
        <w:bottom w:val="single" w:sz="4" w:space="0" w:color="A02B93"/>
        <w:right w:val="single" w:sz="4" w:space="0" w:color="A02B93"/>
      </w:tblBorders>
    </w:tblPr>
    <w:tblStylePr w:type="firstRow">
      <w:rPr>
        <w:b/>
        <w:bCs/>
        <w:color w:val="FFFFFF"/>
      </w:rPr>
      <w:tblPr/>
      <w:tcPr>
        <w:shd w:val="clear" w:color="auto" w:fill="A02B93"/>
      </w:tcPr>
    </w:tblStylePr>
    <w:tblStylePr w:type="lastRow">
      <w:rPr>
        <w:b/>
        <w:bCs/>
      </w:rPr>
      <w:tblPr/>
      <w:tcPr>
        <w:tcBorders>
          <w:top w:val="double" w:sz="4" w:space="0" w:color="A02B9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02B93"/>
          <w:right w:val="single" w:sz="4" w:space="0" w:color="A02B93"/>
        </w:tcBorders>
      </w:tcPr>
    </w:tblStylePr>
    <w:tblStylePr w:type="band1Horz">
      <w:tblPr/>
      <w:tcPr>
        <w:tcBorders>
          <w:top w:val="single" w:sz="4" w:space="0" w:color="A02B93"/>
          <w:bottom w:val="single" w:sz="4" w:space="0" w:color="A02B9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left w:val="nil"/>
        </w:tcBorders>
      </w:tcPr>
    </w:tblStylePr>
    <w:tblStylePr w:type="swCell">
      <w:tblPr/>
      <w:tcPr>
        <w:tcBorders>
          <w:top w:val="double" w:sz="4" w:space="0" w:color="A02B93"/>
          <w:right w:val="nil"/>
        </w:tcBorders>
      </w:tcPr>
    </w:tblStylePr>
  </w:style>
  <w:style w:type="table" w:styleId="ListTable3-Accent6">
    <w:name w:val="List Table 3 Accent 6"/>
    <w:basedOn w:val="TableNormal"/>
    <w:uiPriority w:val="48"/>
    <w:rsid w:val="006B6D3E"/>
    <w:tblPr>
      <w:tblStyleRowBandSize w:val="1"/>
      <w:tblStyleColBandSize w:val="1"/>
      <w:tblBorders>
        <w:top w:val="single" w:sz="4" w:space="0" w:color="4EA72E"/>
        <w:left w:val="single" w:sz="4" w:space="0" w:color="4EA72E"/>
        <w:bottom w:val="single" w:sz="4" w:space="0" w:color="4EA72E"/>
        <w:right w:val="single" w:sz="4" w:space="0" w:color="4EA72E"/>
      </w:tblBorders>
    </w:tblPr>
    <w:tblStylePr w:type="firstRow">
      <w:rPr>
        <w:b/>
        <w:bCs/>
        <w:color w:val="FFFFFF"/>
      </w:rPr>
      <w:tblPr/>
      <w:tcPr>
        <w:shd w:val="clear" w:color="auto" w:fill="4EA72E"/>
      </w:tcPr>
    </w:tblStylePr>
    <w:tblStylePr w:type="lastRow">
      <w:rPr>
        <w:b/>
        <w:bCs/>
      </w:rPr>
      <w:tblPr/>
      <w:tcPr>
        <w:tcBorders>
          <w:top w:val="double" w:sz="4" w:space="0" w:color="4EA72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EA72E"/>
          <w:right w:val="single" w:sz="4" w:space="0" w:color="4EA72E"/>
        </w:tcBorders>
      </w:tcPr>
    </w:tblStylePr>
    <w:tblStylePr w:type="band1Horz">
      <w:tblPr/>
      <w:tcPr>
        <w:tcBorders>
          <w:top w:val="single" w:sz="4" w:space="0" w:color="4EA72E"/>
          <w:bottom w:val="single" w:sz="4" w:space="0" w:color="4EA72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left w:val="nil"/>
        </w:tcBorders>
      </w:tcPr>
    </w:tblStylePr>
    <w:tblStylePr w:type="swCell">
      <w:tblPr/>
      <w:tcPr>
        <w:tcBorders>
          <w:top w:val="double" w:sz="4" w:space="0" w:color="4EA72E"/>
          <w:right w:val="nil"/>
        </w:tcBorders>
      </w:tcPr>
    </w:tblStylePr>
  </w:style>
  <w:style w:type="table" w:styleId="ListTable4">
    <w:name w:val="List Table 4"/>
    <w:basedOn w:val="TableNormal"/>
    <w:uiPriority w:val="49"/>
    <w:rsid w:val="006B6D3E"/>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tblBorders>
    </w:tblPr>
    <w:tblStylePr w:type="firstRow">
      <w:rPr>
        <w:b/>
        <w:bCs/>
        <w:color w:val="FFFFFF"/>
      </w:rPr>
      <w:tblPr/>
      <w:tcPr>
        <w:tcBorders>
          <w:top w:val="single" w:sz="4" w:space="0" w:color="000080"/>
          <w:left w:val="single" w:sz="4" w:space="0" w:color="000080"/>
          <w:bottom w:val="single" w:sz="4" w:space="0" w:color="000080"/>
          <w:right w:val="single" w:sz="4" w:space="0" w:color="000080"/>
          <w:insideH w:val="nil"/>
        </w:tcBorders>
        <w:shd w:val="clear" w:color="auto" w:fill="000080"/>
      </w:tcPr>
    </w:tblStylePr>
    <w:tblStylePr w:type="lastRow">
      <w:rPr>
        <w:b/>
        <w:bCs/>
      </w:rPr>
      <w:tblPr/>
      <w:tcPr>
        <w:tcBorders>
          <w:top w:val="doub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ListTable4-Accent1">
    <w:name w:val="List Table 4 Accent 1"/>
    <w:basedOn w:val="TableNormal"/>
    <w:uiPriority w:val="49"/>
    <w:rsid w:val="006B6D3E"/>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tcBorders>
        <w:shd w:val="clear" w:color="auto" w:fill="156082"/>
      </w:tcPr>
    </w:tblStylePr>
    <w:tblStylePr w:type="lastRow">
      <w:rPr>
        <w:b/>
        <w:bCs/>
      </w:rPr>
      <w:tblPr/>
      <w:tcPr>
        <w:tcBorders>
          <w:top w:val="doub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styleId="ListTable4-Accent2">
    <w:name w:val="List Table 4 Accent 2"/>
    <w:basedOn w:val="TableNormal"/>
    <w:uiPriority w:val="49"/>
    <w:rsid w:val="006B6D3E"/>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tblBorders>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tcBorders>
        <w:shd w:val="clear" w:color="auto" w:fill="E97132"/>
      </w:tcPr>
    </w:tblStylePr>
    <w:tblStylePr w:type="lastRow">
      <w:rPr>
        <w:b/>
        <w:bCs/>
      </w:rPr>
      <w:tblPr/>
      <w:tcPr>
        <w:tcBorders>
          <w:top w:val="doub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styleId="ListTable4-Accent3">
    <w:name w:val="List Table 4 Accent 3"/>
    <w:basedOn w:val="TableNormal"/>
    <w:uiPriority w:val="49"/>
    <w:rsid w:val="006B6D3E"/>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tcBorders>
        <w:shd w:val="clear" w:color="auto" w:fill="196B24"/>
      </w:tcPr>
    </w:tblStylePr>
    <w:tblStylePr w:type="lastRow">
      <w:rPr>
        <w:b/>
        <w:bCs/>
      </w:rPr>
      <w:tblPr/>
      <w:tcPr>
        <w:tcBorders>
          <w:top w:val="doub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styleId="ListTable4-Accent4">
    <w:name w:val="List Table 4 Accent 4"/>
    <w:basedOn w:val="TableNormal"/>
    <w:uiPriority w:val="49"/>
    <w:rsid w:val="006B6D3E"/>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tcBorders>
        <w:shd w:val="clear" w:color="auto" w:fill="0F9ED5"/>
      </w:tcPr>
    </w:tblStylePr>
    <w:tblStylePr w:type="lastRow">
      <w:rPr>
        <w:b/>
        <w:bCs/>
      </w:rPr>
      <w:tblPr/>
      <w:tcPr>
        <w:tcBorders>
          <w:top w:val="doub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styleId="ListTable4-Accent5">
    <w:name w:val="List Table 4 Accent 5"/>
    <w:basedOn w:val="TableNormal"/>
    <w:uiPriority w:val="49"/>
    <w:rsid w:val="006B6D3E"/>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tcBorders>
        <w:shd w:val="clear" w:color="auto" w:fill="A02B93"/>
      </w:tcPr>
    </w:tblStylePr>
    <w:tblStylePr w:type="lastRow">
      <w:rPr>
        <w:b/>
        <w:bCs/>
      </w:rPr>
      <w:tblPr/>
      <w:tcPr>
        <w:tcBorders>
          <w:top w:val="doub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styleId="ListTable4-Accent6">
    <w:name w:val="List Table 4 Accent 6"/>
    <w:basedOn w:val="TableNormal"/>
    <w:uiPriority w:val="49"/>
    <w:rsid w:val="006B6D3E"/>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tcBorders>
        <w:shd w:val="clear" w:color="auto" w:fill="4EA72E"/>
      </w:tcPr>
    </w:tblStylePr>
    <w:tblStylePr w:type="lastRow">
      <w:rPr>
        <w:b/>
        <w:bCs/>
      </w:rPr>
      <w:tblPr/>
      <w:tcPr>
        <w:tcBorders>
          <w:top w:val="doub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styleId="ListTable5Dark">
    <w:name w:val="List Table 5 Dark"/>
    <w:basedOn w:val="TableNormal"/>
    <w:uiPriority w:val="50"/>
    <w:rsid w:val="006B6D3E"/>
    <w:rPr>
      <w:color w:val="FFFFFF"/>
    </w:rPr>
    <w:tblPr>
      <w:tblStyleRowBandSize w:val="1"/>
      <w:tblStyleColBandSize w:val="1"/>
      <w:tblBorders>
        <w:top w:val="single" w:sz="24" w:space="0" w:color="000080"/>
        <w:left w:val="single" w:sz="24" w:space="0" w:color="000080"/>
        <w:bottom w:val="single" w:sz="24" w:space="0" w:color="000080"/>
        <w:right w:val="single" w:sz="24" w:space="0" w:color="000080"/>
      </w:tblBorders>
    </w:tblPr>
    <w:tcPr>
      <w:shd w:val="clear" w:color="auto" w:fill="00008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rPr>
      <w:color w:val="FFFFFF"/>
    </w:rPr>
    <w:tblPr>
      <w:tblStyleRowBandSize w:val="1"/>
      <w:tblStyleColBandSize w:val="1"/>
      <w:tblBorders>
        <w:top w:val="single" w:sz="24" w:space="0" w:color="156082"/>
        <w:left w:val="single" w:sz="24" w:space="0" w:color="156082"/>
        <w:bottom w:val="single" w:sz="24" w:space="0" w:color="156082"/>
        <w:right w:val="single" w:sz="24" w:space="0" w:color="156082"/>
      </w:tblBorders>
    </w:tblPr>
    <w:tcPr>
      <w:shd w:val="clear" w:color="auto" w:fill="15608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rPr>
      <w:color w:val="FFFFFF"/>
    </w:rPr>
    <w:tblPr>
      <w:tblStyleRowBandSize w:val="1"/>
      <w:tblStyleColBandSize w:val="1"/>
      <w:tblBorders>
        <w:top w:val="single" w:sz="24" w:space="0" w:color="E97132"/>
        <w:left w:val="single" w:sz="24" w:space="0" w:color="E97132"/>
        <w:bottom w:val="single" w:sz="24" w:space="0" w:color="E97132"/>
        <w:right w:val="single" w:sz="24" w:space="0" w:color="E97132"/>
      </w:tblBorders>
    </w:tblPr>
    <w:tcPr>
      <w:shd w:val="clear" w:color="auto" w:fill="E9713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rPr>
      <w:color w:val="FFFFFF"/>
    </w:rPr>
    <w:tblPr>
      <w:tblStyleRowBandSize w:val="1"/>
      <w:tblStyleColBandSize w:val="1"/>
      <w:tblBorders>
        <w:top w:val="single" w:sz="24" w:space="0" w:color="196B24"/>
        <w:left w:val="single" w:sz="24" w:space="0" w:color="196B24"/>
        <w:bottom w:val="single" w:sz="24" w:space="0" w:color="196B24"/>
        <w:right w:val="single" w:sz="24" w:space="0" w:color="196B24"/>
      </w:tblBorders>
    </w:tblPr>
    <w:tcPr>
      <w:shd w:val="clear" w:color="auto" w:fill="196B2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rPr>
      <w:color w:val="FFFFFF"/>
    </w:rPr>
    <w:tblPr>
      <w:tblStyleRowBandSize w:val="1"/>
      <w:tblStyleColBandSize w:val="1"/>
      <w:tblBorders>
        <w:top w:val="single" w:sz="24" w:space="0" w:color="0F9ED5"/>
        <w:left w:val="single" w:sz="24" w:space="0" w:color="0F9ED5"/>
        <w:bottom w:val="single" w:sz="24" w:space="0" w:color="0F9ED5"/>
        <w:right w:val="single" w:sz="24" w:space="0" w:color="0F9ED5"/>
      </w:tblBorders>
    </w:tblPr>
    <w:tcPr>
      <w:shd w:val="clear" w:color="auto" w:fill="0F9E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rPr>
      <w:color w:val="FFFFFF"/>
    </w:rPr>
    <w:tblPr>
      <w:tblStyleRowBandSize w:val="1"/>
      <w:tblStyleColBandSize w:val="1"/>
      <w:tblBorders>
        <w:top w:val="single" w:sz="24" w:space="0" w:color="A02B93"/>
        <w:left w:val="single" w:sz="24" w:space="0" w:color="A02B93"/>
        <w:bottom w:val="single" w:sz="24" w:space="0" w:color="A02B93"/>
        <w:right w:val="single" w:sz="24" w:space="0" w:color="A02B93"/>
      </w:tblBorders>
    </w:tblPr>
    <w:tcPr>
      <w:shd w:val="clear" w:color="auto" w:fill="A02B93"/>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rPr>
      <w:color w:val="FFFFFF"/>
    </w:rPr>
    <w:tblPr>
      <w:tblStyleRowBandSize w:val="1"/>
      <w:tblStyleColBandSize w:val="1"/>
      <w:tblBorders>
        <w:top w:val="single" w:sz="24" w:space="0" w:color="4EA72E"/>
        <w:left w:val="single" w:sz="24" w:space="0" w:color="4EA72E"/>
        <w:bottom w:val="single" w:sz="24" w:space="0" w:color="4EA72E"/>
        <w:right w:val="single" w:sz="24" w:space="0" w:color="4EA72E"/>
      </w:tblBorders>
    </w:tblPr>
    <w:tcPr>
      <w:shd w:val="clear" w:color="auto" w:fill="4EA72E"/>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rPr>
      <w:color w:val="000080"/>
    </w:rPr>
    <w:tblPr>
      <w:tblStyleRowBandSize w:val="1"/>
      <w:tblStyleColBandSize w:val="1"/>
      <w:tblBorders>
        <w:top w:val="single" w:sz="4" w:space="0" w:color="000080"/>
        <w:bottom w:val="single" w:sz="4" w:space="0" w:color="000080"/>
      </w:tblBorders>
    </w:tblPr>
    <w:tblStylePr w:type="firstRow">
      <w:rPr>
        <w:b/>
        <w:bCs/>
      </w:rPr>
      <w:tblPr/>
      <w:tcPr>
        <w:tcBorders>
          <w:bottom w:val="single" w:sz="4" w:space="0" w:color="000080"/>
        </w:tcBorders>
      </w:tcPr>
    </w:tblStylePr>
    <w:tblStylePr w:type="lastRow">
      <w:rPr>
        <w:b/>
        <w:bCs/>
      </w:rPr>
      <w:tblPr/>
      <w:tcPr>
        <w:tcBorders>
          <w:top w:val="double" w:sz="4" w:space="0" w:color="000080"/>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ListTable6Colorful-Accent1">
    <w:name w:val="List Table 6 Colorful Accent 1"/>
    <w:basedOn w:val="TableNormal"/>
    <w:uiPriority w:val="51"/>
    <w:rsid w:val="006B6D3E"/>
    <w:rPr>
      <w:color w:val="0F4761"/>
    </w:rPr>
    <w:tblPr>
      <w:tblStyleRowBandSize w:val="1"/>
      <w:tblStyleColBandSize w:val="1"/>
      <w:tblBorders>
        <w:top w:val="single" w:sz="4" w:space="0" w:color="156082"/>
        <w:bottom w:val="single" w:sz="4" w:space="0" w:color="156082"/>
      </w:tblBorders>
    </w:tblPr>
    <w:tblStylePr w:type="firstRow">
      <w:rPr>
        <w:b/>
        <w:bCs/>
      </w:rPr>
      <w:tblPr/>
      <w:tcPr>
        <w:tcBorders>
          <w:bottom w:val="single" w:sz="4" w:space="0" w:color="156082"/>
        </w:tcBorders>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styleId="ListTable6Colorful-Accent2">
    <w:name w:val="List Table 6 Colorful Accent 2"/>
    <w:basedOn w:val="TableNormal"/>
    <w:uiPriority w:val="51"/>
    <w:rsid w:val="006B6D3E"/>
    <w:rPr>
      <w:color w:val="BF4E14"/>
    </w:rPr>
    <w:tblPr>
      <w:tblStyleRowBandSize w:val="1"/>
      <w:tblStyleColBandSize w:val="1"/>
      <w:tblBorders>
        <w:top w:val="single" w:sz="4" w:space="0" w:color="E97132"/>
        <w:bottom w:val="single" w:sz="4" w:space="0" w:color="E97132"/>
      </w:tblBorders>
    </w:tblPr>
    <w:tblStylePr w:type="firstRow">
      <w:rPr>
        <w:b/>
        <w:bCs/>
      </w:rPr>
      <w:tblPr/>
      <w:tcPr>
        <w:tcBorders>
          <w:bottom w:val="single" w:sz="4" w:space="0" w:color="E97132"/>
        </w:tcBorders>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styleId="ListTable6Colorful-Accent3">
    <w:name w:val="List Table 6 Colorful Accent 3"/>
    <w:basedOn w:val="TableNormal"/>
    <w:uiPriority w:val="51"/>
    <w:rsid w:val="006B6D3E"/>
    <w:rPr>
      <w:color w:val="124F1A"/>
    </w:rPr>
    <w:tblPr>
      <w:tblStyleRowBandSize w:val="1"/>
      <w:tblStyleColBandSize w:val="1"/>
      <w:tblBorders>
        <w:top w:val="single" w:sz="4" w:space="0" w:color="196B24"/>
        <w:bottom w:val="single" w:sz="4" w:space="0" w:color="196B24"/>
      </w:tblBorders>
    </w:tblPr>
    <w:tblStylePr w:type="firstRow">
      <w:rPr>
        <w:b/>
        <w:bCs/>
      </w:rPr>
      <w:tblPr/>
      <w:tcPr>
        <w:tcBorders>
          <w:bottom w:val="single" w:sz="4" w:space="0" w:color="196B24"/>
        </w:tcBorders>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styleId="ListTable6Colorful-Accent4">
    <w:name w:val="List Table 6 Colorful Accent 4"/>
    <w:basedOn w:val="TableNormal"/>
    <w:uiPriority w:val="51"/>
    <w:rsid w:val="006B6D3E"/>
    <w:rPr>
      <w:color w:val="0B769F"/>
    </w:rPr>
    <w:tblPr>
      <w:tblStyleRowBandSize w:val="1"/>
      <w:tblStyleColBandSize w:val="1"/>
      <w:tblBorders>
        <w:top w:val="single" w:sz="4" w:space="0" w:color="0F9ED5"/>
        <w:bottom w:val="single" w:sz="4" w:space="0" w:color="0F9ED5"/>
      </w:tblBorders>
    </w:tblPr>
    <w:tblStylePr w:type="firstRow">
      <w:rPr>
        <w:b/>
        <w:bCs/>
      </w:rPr>
      <w:tblPr/>
      <w:tcPr>
        <w:tcBorders>
          <w:bottom w:val="single" w:sz="4" w:space="0" w:color="0F9ED5"/>
        </w:tcBorders>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styleId="ListTable6Colorful-Accent5">
    <w:name w:val="List Table 6 Colorful Accent 5"/>
    <w:basedOn w:val="TableNormal"/>
    <w:uiPriority w:val="51"/>
    <w:rsid w:val="006B6D3E"/>
    <w:rPr>
      <w:color w:val="77206D"/>
    </w:rPr>
    <w:tblPr>
      <w:tblStyleRowBandSize w:val="1"/>
      <w:tblStyleColBandSize w:val="1"/>
      <w:tblBorders>
        <w:top w:val="single" w:sz="4" w:space="0" w:color="A02B93"/>
        <w:bottom w:val="single" w:sz="4" w:space="0" w:color="A02B93"/>
      </w:tblBorders>
    </w:tblPr>
    <w:tblStylePr w:type="firstRow">
      <w:rPr>
        <w:b/>
        <w:bCs/>
      </w:rPr>
      <w:tblPr/>
      <w:tcPr>
        <w:tcBorders>
          <w:bottom w:val="single" w:sz="4" w:space="0" w:color="A02B93"/>
        </w:tcBorders>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styleId="ListTable6Colorful-Accent6">
    <w:name w:val="List Table 6 Colorful Accent 6"/>
    <w:basedOn w:val="TableNormal"/>
    <w:uiPriority w:val="51"/>
    <w:rsid w:val="006B6D3E"/>
    <w:rPr>
      <w:color w:val="3A7C22"/>
    </w:rPr>
    <w:tblPr>
      <w:tblStyleRowBandSize w:val="1"/>
      <w:tblStyleColBandSize w:val="1"/>
      <w:tblBorders>
        <w:top w:val="single" w:sz="4" w:space="0" w:color="4EA72E"/>
        <w:bottom w:val="single" w:sz="4" w:space="0" w:color="4EA72E"/>
      </w:tblBorders>
    </w:tblPr>
    <w:tblStylePr w:type="firstRow">
      <w:rPr>
        <w:b/>
        <w:bCs/>
      </w:rPr>
      <w:tblPr/>
      <w:tcPr>
        <w:tcBorders>
          <w:bottom w:val="single" w:sz="4" w:space="0" w:color="4EA72E"/>
        </w:tcBorders>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styleId="ListTable7Colorful">
    <w:name w:val="List Table 7 Colorful"/>
    <w:basedOn w:val="TableNormal"/>
    <w:uiPriority w:val="52"/>
    <w:rsid w:val="006B6D3E"/>
    <w:rPr>
      <w:color w:val="000080"/>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000080"/>
        </w:tcBorders>
        <w:shd w:val="clear" w:color="auto" w:fill="FFFFFF"/>
      </w:tcPr>
    </w:tblStylePr>
    <w:tblStylePr w:type="lastRow">
      <w:rPr>
        <w:rFonts w:ascii="Aptos Display" w:eastAsia="DengXian Light" w:hAnsi="Aptos Display" w:cs="Times New Roman"/>
        <w:i/>
        <w:iCs/>
        <w:sz w:val="26"/>
      </w:rPr>
      <w:tblPr/>
      <w:tcPr>
        <w:tcBorders>
          <w:top w:val="single" w:sz="4" w:space="0" w:color="000080"/>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000080"/>
        </w:tcBorders>
        <w:shd w:val="clear" w:color="auto" w:fill="FFFFFF"/>
      </w:tcPr>
    </w:tblStylePr>
    <w:tblStylePr w:type="lastCol">
      <w:rPr>
        <w:rFonts w:ascii="Aptos Display" w:eastAsia="DengXian Light" w:hAnsi="Aptos Display" w:cs="Times New Roman"/>
        <w:i/>
        <w:iCs/>
        <w:sz w:val="26"/>
      </w:rPr>
      <w:tblPr/>
      <w:tcPr>
        <w:tcBorders>
          <w:left w:val="single" w:sz="4" w:space="0" w:color="000080"/>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rPr>
      <w:color w:val="0F4761"/>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156082"/>
        </w:tcBorders>
        <w:shd w:val="clear" w:color="auto" w:fill="FFFFFF"/>
      </w:tcPr>
    </w:tblStylePr>
    <w:tblStylePr w:type="lastRow">
      <w:rPr>
        <w:rFonts w:ascii="Aptos Display" w:eastAsia="DengXian Light" w:hAnsi="Aptos Display" w:cs="Times New Roman"/>
        <w:i/>
        <w:iCs/>
        <w:sz w:val="26"/>
      </w:rPr>
      <w:tblPr/>
      <w:tcPr>
        <w:tcBorders>
          <w:top w:val="single" w:sz="4" w:space="0" w:color="156082"/>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156082"/>
        </w:tcBorders>
        <w:shd w:val="clear" w:color="auto" w:fill="FFFFFF"/>
      </w:tcPr>
    </w:tblStylePr>
    <w:tblStylePr w:type="lastCol">
      <w:rPr>
        <w:rFonts w:ascii="Aptos Display" w:eastAsia="DengXian Light" w:hAnsi="Aptos Display" w:cs="Times New Roman"/>
        <w:i/>
        <w:iCs/>
        <w:sz w:val="26"/>
      </w:rPr>
      <w:tblPr/>
      <w:tcPr>
        <w:tcBorders>
          <w:left w:val="single" w:sz="4" w:space="0" w:color="156082"/>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rPr>
      <w:color w:val="BF4E14"/>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E97132"/>
        </w:tcBorders>
        <w:shd w:val="clear" w:color="auto" w:fill="FFFFFF"/>
      </w:tcPr>
    </w:tblStylePr>
    <w:tblStylePr w:type="lastRow">
      <w:rPr>
        <w:rFonts w:ascii="Aptos Display" w:eastAsia="DengXian Light" w:hAnsi="Aptos Display" w:cs="Times New Roman"/>
        <w:i/>
        <w:iCs/>
        <w:sz w:val="26"/>
      </w:rPr>
      <w:tblPr/>
      <w:tcPr>
        <w:tcBorders>
          <w:top w:val="single" w:sz="4" w:space="0" w:color="E97132"/>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E97132"/>
        </w:tcBorders>
        <w:shd w:val="clear" w:color="auto" w:fill="FFFFFF"/>
      </w:tcPr>
    </w:tblStylePr>
    <w:tblStylePr w:type="lastCol">
      <w:rPr>
        <w:rFonts w:ascii="Aptos Display" w:eastAsia="DengXian Light" w:hAnsi="Aptos Display" w:cs="Times New Roman"/>
        <w:i/>
        <w:iCs/>
        <w:sz w:val="26"/>
      </w:rPr>
      <w:tblPr/>
      <w:tcPr>
        <w:tcBorders>
          <w:left w:val="single" w:sz="4" w:space="0" w:color="E97132"/>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rPr>
      <w:color w:val="124F1A"/>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196B24"/>
        </w:tcBorders>
        <w:shd w:val="clear" w:color="auto" w:fill="FFFFFF"/>
      </w:tcPr>
    </w:tblStylePr>
    <w:tblStylePr w:type="lastRow">
      <w:rPr>
        <w:rFonts w:ascii="Aptos Display" w:eastAsia="DengXian Light" w:hAnsi="Aptos Display" w:cs="Times New Roman"/>
        <w:i/>
        <w:iCs/>
        <w:sz w:val="26"/>
      </w:rPr>
      <w:tblPr/>
      <w:tcPr>
        <w:tcBorders>
          <w:top w:val="single" w:sz="4" w:space="0" w:color="196B24"/>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196B24"/>
        </w:tcBorders>
        <w:shd w:val="clear" w:color="auto" w:fill="FFFFFF"/>
      </w:tcPr>
    </w:tblStylePr>
    <w:tblStylePr w:type="lastCol">
      <w:rPr>
        <w:rFonts w:ascii="Aptos Display" w:eastAsia="DengXian Light" w:hAnsi="Aptos Display" w:cs="Times New Roman"/>
        <w:i/>
        <w:iCs/>
        <w:sz w:val="26"/>
      </w:rPr>
      <w:tblPr/>
      <w:tcPr>
        <w:tcBorders>
          <w:left w:val="single" w:sz="4" w:space="0" w:color="196B24"/>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rPr>
      <w:color w:val="0B769F"/>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0F9ED5"/>
        </w:tcBorders>
        <w:shd w:val="clear" w:color="auto" w:fill="FFFFFF"/>
      </w:tcPr>
    </w:tblStylePr>
    <w:tblStylePr w:type="lastRow">
      <w:rPr>
        <w:rFonts w:ascii="Aptos Display" w:eastAsia="DengXian Light" w:hAnsi="Aptos Display" w:cs="Times New Roman"/>
        <w:i/>
        <w:iCs/>
        <w:sz w:val="26"/>
      </w:rPr>
      <w:tblPr/>
      <w:tcPr>
        <w:tcBorders>
          <w:top w:val="single" w:sz="4" w:space="0" w:color="0F9ED5"/>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0F9ED5"/>
        </w:tcBorders>
        <w:shd w:val="clear" w:color="auto" w:fill="FFFFFF"/>
      </w:tcPr>
    </w:tblStylePr>
    <w:tblStylePr w:type="lastCol">
      <w:rPr>
        <w:rFonts w:ascii="Aptos Display" w:eastAsia="DengXian Light" w:hAnsi="Aptos Display" w:cs="Times New Roman"/>
        <w:i/>
        <w:iCs/>
        <w:sz w:val="26"/>
      </w:rPr>
      <w:tblPr/>
      <w:tcPr>
        <w:tcBorders>
          <w:left w:val="single" w:sz="4" w:space="0" w:color="0F9ED5"/>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rPr>
      <w:color w:val="77206D"/>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A02B93"/>
        </w:tcBorders>
        <w:shd w:val="clear" w:color="auto" w:fill="FFFFFF"/>
      </w:tcPr>
    </w:tblStylePr>
    <w:tblStylePr w:type="lastRow">
      <w:rPr>
        <w:rFonts w:ascii="Aptos Display" w:eastAsia="DengXian Light" w:hAnsi="Aptos Display" w:cs="Times New Roman"/>
        <w:i/>
        <w:iCs/>
        <w:sz w:val="26"/>
      </w:rPr>
      <w:tblPr/>
      <w:tcPr>
        <w:tcBorders>
          <w:top w:val="single" w:sz="4" w:space="0" w:color="A02B93"/>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A02B93"/>
        </w:tcBorders>
        <w:shd w:val="clear" w:color="auto" w:fill="FFFFFF"/>
      </w:tcPr>
    </w:tblStylePr>
    <w:tblStylePr w:type="lastCol">
      <w:rPr>
        <w:rFonts w:ascii="Aptos Display" w:eastAsia="DengXian Light" w:hAnsi="Aptos Display" w:cs="Times New Roman"/>
        <w:i/>
        <w:iCs/>
        <w:sz w:val="26"/>
      </w:rPr>
      <w:tblPr/>
      <w:tcPr>
        <w:tcBorders>
          <w:left w:val="single" w:sz="4" w:space="0" w:color="A02B93"/>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rPr>
      <w:color w:val="3A7C22"/>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4EA72E"/>
        </w:tcBorders>
        <w:shd w:val="clear" w:color="auto" w:fill="FFFFFF"/>
      </w:tcPr>
    </w:tblStylePr>
    <w:tblStylePr w:type="lastRow">
      <w:rPr>
        <w:rFonts w:ascii="Aptos Display" w:eastAsia="DengXian Light" w:hAnsi="Aptos Display" w:cs="Times New Roman"/>
        <w:i/>
        <w:iCs/>
        <w:sz w:val="26"/>
      </w:rPr>
      <w:tblPr/>
      <w:tcPr>
        <w:tcBorders>
          <w:top w:val="single" w:sz="4" w:space="0" w:color="4EA72E"/>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4EA72E"/>
        </w:tcBorders>
        <w:shd w:val="clear" w:color="auto" w:fill="FFFFFF"/>
      </w:tcPr>
    </w:tblStylePr>
    <w:tblStylePr w:type="lastCol">
      <w:rPr>
        <w:rFonts w:ascii="Aptos Display" w:eastAsia="DengXian Light" w:hAnsi="Aptos Display" w:cs="Times New Roman"/>
        <w:i/>
        <w:iCs/>
        <w:sz w:val="26"/>
      </w:rPr>
      <w:tblPr/>
      <w:tcPr>
        <w:tcBorders>
          <w:left w:val="single" w:sz="4" w:space="0" w:color="4EA72E"/>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rsid w:val="006B6D3E"/>
    <w:rPr>
      <w:rFonts w:ascii="Consolas" w:eastAsia="SimSun" w:hAnsi="Consolas" w:cs="Times New Roman"/>
      <w:kern w:val="0"/>
      <w:sz w:val="20"/>
      <w:szCs w:val="20"/>
      <w:lang w:val="en-GB"/>
    </w:rPr>
  </w:style>
  <w:style w:type="table" w:styleId="MediumGrid1">
    <w:name w:val="Medium Grid 1"/>
    <w:basedOn w:val="TableNormal"/>
    <w:uiPriority w:val="67"/>
    <w:semiHidden/>
    <w:unhideWhenUsed/>
    <w:rsid w:val="006B6D3E"/>
    <w:tblPr>
      <w:tblStyleRowBandSize w:val="1"/>
      <w:tblStyleColBandSize w:val="1"/>
      <w:tblBorders>
        <w:top w:val="single" w:sz="8" w:space="0" w:color="0000DF"/>
        <w:left w:val="single" w:sz="8" w:space="0" w:color="0000DF"/>
        <w:bottom w:val="single" w:sz="8" w:space="0" w:color="0000DF"/>
        <w:right w:val="single" w:sz="8" w:space="0" w:color="0000DF"/>
        <w:insideH w:val="single" w:sz="8" w:space="0" w:color="0000DF"/>
        <w:insideV w:val="single" w:sz="8" w:space="0" w:color="0000DF"/>
      </w:tblBorders>
    </w:tblPr>
    <w:tcPr>
      <w:shd w:val="clear" w:color="auto" w:fill="A0A0FF"/>
    </w:tcPr>
    <w:tblStylePr w:type="firstRow">
      <w:rPr>
        <w:b/>
        <w:bCs/>
      </w:rPr>
    </w:tblStylePr>
    <w:tblStylePr w:type="lastRow">
      <w:rPr>
        <w:b/>
        <w:bCs/>
      </w:rPr>
      <w:tblPr/>
      <w:tcPr>
        <w:tcBorders>
          <w:top w:val="single" w:sz="18" w:space="0" w:color="0000DF"/>
        </w:tcBorders>
      </w:tcPr>
    </w:tblStylePr>
    <w:tblStylePr w:type="firstCol">
      <w:rPr>
        <w:b/>
        <w:bCs/>
      </w:rPr>
    </w:tblStylePr>
    <w:tblStylePr w:type="lastCol">
      <w:rPr>
        <w:b/>
        <w:bCs/>
      </w:rPr>
    </w:tblStylePr>
    <w:tblStylePr w:type="band1Vert">
      <w:tblPr/>
      <w:tcPr>
        <w:shd w:val="clear" w:color="auto" w:fill="4040FF"/>
      </w:tcPr>
    </w:tblStylePr>
    <w:tblStylePr w:type="band1Horz">
      <w:tblPr/>
      <w:tcPr>
        <w:shd w:val="clear" w:color="auto" w:fill="4040FF"/>
      </w:tcPr>
    </w:tblStylePr>
  </w:style>
  <w:style w:type="table" w:styleId="MediumGrid1-Accent1">
    <w:name w:val="Medium Grid 1 Accent 1"/>
    <w:basedOn w:val="TableNormal"/>
    <w:uiPriority w:val="67"/>
    <w:semiHidden/>
    <w:unhideWhenUsed/>
    <w:rsid w:val="006B6D3E"/>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insideV w:val="single" w:sz="8" w:space="0" w:color="2198CF"/>
      </w:tblBorders>
    </w:tblPr>
    <w:tcPr>
      <w:shd w:val="clear" w:color="auto" w:fill="B2DEF2"/>
    </w:tcPr>
    <w:tblStylePr w:type="firstRow">
      <w:rPr>
        <w:b/>
        <w:bCs/>
      </w:rPr>
    </w:tblStylePr>
    <w:tblStylePr w:type="lastRow">
      <w:rPr>
        <w:b/>
        <w:bCs/>
      </w:rPr>
      <w:tblPr/>
      <w:tcPr>
        <w:tcBorders>
          <w:top w:val="single" w:sz="18" w:space="0" w:color="2198CF"/>
        </w:tcBorders>
      </w:tcPr>
    </w:tblStylePr>
    <w:tblStylePr w:type="firstCol">
      <w:rPr>
        <w:b/>
        <w:bCs/>
      </w:rPr>
    </w:tblStylePr>
    <w:tblStylePr w:type="lastCol">
      <w:rPr>
        <w:b/>
        <w:bCs/>
      </w:rPr>
    </w:tblStylePr>
    <w:tblStylePr w:type="band1Vert">
      <w:tblPr/>
      <w:tcPr>
        <w:shd w:val="clear" w:color="auto" w:fill="64BDE6"/>
      </w:tcPr>
    </w:tblStylePr>
    <w:tblStylePr w:type="band1Horz">
      <w:tblPr/>
      <w:tcPr>
        <w:shd w:val="clear" w:color="auto" w:fill="64BDE6"/>
      </w:tcPr>
    </w:tblStylePr>
  </w:style>
  <w:style w:type="table" w:styleId="MediumGrid1-Accent2">
    <w:name w:val="Medium Grid 1 Accent 2"/>
    <w:basedOn w:val="TableNormal"/>
    <w:uiPriority w:val="67"/>
    <w:semiHidden/>
    <w:unhideWhenUsed/>
    <w:rsid w:val="006B6D3E"/>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insideV w:val="single" w:sz="8" w:space="0" w:color="EE9465"/>
      </w:tblBorders>
    </w:tblPr>
    <w:tcPr>
      <w:shd w:val="clear" w:color="auto" w:fill="F9DBCC"/>
    </w:tcPr>
    <w:tblStylePr w:type="firstRow">
      <w:rPr>
        <w:b/>
        <w:bCs/>
      </w:rPr>
    </w:tblStylePr>
    <w:tblStylePr w:type="lastRow">
      <w:rPr>
        <w:b/>
        <w:bCs/>
      </w:rPr>
      <w:tblPr/>
      <w:tcPr>
        <w:tcBorders>
          <w:top w:val="single" w:sz="18" w:space="0" w:color="EE9465"/>
        </w:tcBorders>
      </w:tcPr>
    </w:tblStylePr>
    <w:tblStylePr w:type="firstCol">
      <w:rPr>
        <w:b/>
        <w:bCs/>
      </w:rPr>
    </w:tblStylePr>
    <w:tblStylePr w:type="lastCol">
      <w:rPr>
        <w:b/>
        <w:bCs/>
      </w:rPr>
    </w:tblStylePr>
    <w:tblStylePr w:type="band1Vert">
      <w:tblPr/>
      <w:tcPr>
        <w:shd w:val="clear" w:color="auto" w:fill="F4B798"/>
      </w:tcPr>
    </w:tblStylePr>
    <w:tblStylePr w:type="band1Horz">
      <w:tblPr/>
      <w:tcPr>
        <w:shd w:val="clear" w:color="auto" w:fill="F4B798"/>
      </w:tcPr>
    </w:tblStylePr>
  </w:style>
  <w:style w:type="table" w:styleId="MediumGrid1-Accent3">
    <w:name w:val="Medium Grid 1 Accent 3"/>
    <w:basedOn w:val="TableNormal"/>
    <w:uiPriority w:val="67"/>
    <w:semiHidden/>
    <w:unhideWhenUsed/>
    <w:rsid w:val="006B6D3E"/>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insideV w:val="single" w:sz="8" w:space="0" w:color="2BB73D"/>
      </w:tblBorders>
    </w:tblPr>
    <w:tcPr>
      <w:shd w:val="clear" w:color="auto" w:fill="B3EDBA"/>
    </w:tcPr>
    <w:tblStylePr w:type="firstRow">
      <w:rPr>
        <w:b/>
        <w:bCs/>
      </w:rPr>
    </w:tblStylePr>
    <w:tblStylePr w:type="lastRow">
      <w:rPr>
        <w:b/>
        <w:bCs/>
      </w:rPr>
      <w:tblPr/>
      <w:tcPr>
        <w:tcBorders>
          <w:top w:val="single" w:sz="18" w:space="0" w:color="2BB73D"/>
        </w:tcBorders>
      </w:tcPr>
    </w:tblStylePr>
    <w:tblStylePr w:type="firstCol">
      <w:rPr>
        <w:b/>
        <w:bCs/>
      </w:rPr>
    </w:tblStylePr>
    <w:tblStylePr w:type="lastCol">
      <w:rPr>
        <w:b/>
        <w:bCs/>
      </w:rPr>
    </w:tblStylePr>
    <w:tblStylePr w:type="band1Vert">
      <w:tblPr/>
      <w:tcPr>
        <w:shd w:val="clear" w:color="auto" w:fill="66DB75"/>
      </w:tcPr>
    </w:tblStylePr>
    <w:tblStylePr w:type="band1Horz">
      <w:tblPr/>
      <w:tcPr>
        <w:shd w:val="clear" w:color="auto" w:fill="66DB75"/>
      </w:tcPr>
    </w:tblStylePr>
  </w:style>
  <w:style w:type="table" w:styleId="MediumGrid1-Accent4">
    <w:name w:val="Medium Grid 1 Accent 4"/>
    <w:basedOn w:val="TableNormal"/>
    <w:uiPriority w:val="67"/>
    <w:semiHidden/>
    <w:unhideWhenUsed/>
    <w:rsid w:val="006B6D3E"/>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insideV w:val="single" w:sz="8" w:space="0" w:color="39BEF1"/>
      </w:tblBorders>
    </w:tblPr>
    <w:tcPr>
      <w:shd w:val="clear" w:color="auto" w:fill="BDE9FA"/>
    </w:tcPr>
    <w:tblStylePr w:type="firstRow">
      <w:rPr>
        <w:b/>
        <w:bCs/>
      </w:rPr>
    </w:tblStylePr>
    <w:tblStylePr w:type="lastRow">
      <w:rPr>
        <w:b/>
        <w:bCs/>
      </w:rPr>
      <w:tblPr/>
      <w:tcPr>
        <w:tcBorders>
          <w:top w:val="single" w:sz="18" w:space="0" w:color="39BEF1"/>
        </w:tcBorders>
      </w:tcPr>
    </w:tblStylePr>
    <w:tblStylePr w:type="firstCol">
      <w:rPr>
        <w:b/>
        <w:bCs/>
      </w:rPr>
    </w:tblStylePr>
    <w:tblStylePr w:type="lastCol">
      <w:rPr>
        <w:b/>
        <w:bCs/>
      </w:rPr>
    </w:tblStylePr>
    <w:tblStylePr w:type="band1Vert">
      <w:tblPr/>
      <w:tcPr>
        <w:shd w:val="clear" w:color="auto" w:fill="7BD3F5"/>
      </w:tcPr>
    </w:tblStylePr>
    <w:tblStylePr w:type="band1Horz">
      <w:tblPr/>
      <w:tcPr>
        <w:shd w:val="clear" w:color="auto" w:fill="7BD3F5"/>
      </w:tcPr>
    </w:tblStylePr>
  </w:style>
  <w:style w:type="table" w:styleId="MediumGrid1-Accent5">
    <w:name w:val="Medium Grid 1 Accent 5"/>
    <w:basedOn w:val="TableNormal"/>
    <w:uiPriority w:val="67"/>
    <w:semiHidden/>
    <w:unhideWhenUsed/>
    <w:rsid w:val="006B6D3E"/>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insideV w:val="single" w:sz="8" w:space="0" w:color="CE49BF"/>
      </w:tblBorders>
    </w:tblPr>
    <w:tcPr>
      <w:shd w:val="clear" w:color="auto" w:fill="EFC3E9"/>
    </w:tcPr>
    <w:tblStylePr w:type="firstRow">
      <w:rPr>
        <w:b/>
        <w:bCs/>
      </w:rPr>
    </w:tblStylePr>
    <w:tblStylePr w:type="lastRow">
      <w:rPr>
        <w:b/>
        <w:bCs/>
      </w:rPr>
      <w:tblPr/>
      <w:tcPr>
        <w:tcBorders>
          <w:top w:val="single" w:sz="18" w:space="0" w:color="CE49BF"/>
        </w:tcBorders>
      </w:tcPr>
    </w:tblStylePr>
    <w:tblStylePr w:type="firstCol">
      <w:rPr>
        <w:b/>
        <w:bCs/>
      </w:rPr>
    </w:tblStylePr>
    <w:tblStylePr w:type="lastCol">
      <w:rPr>
        <w:b/>
        <w:bCs/>
      </w:rPr>
    </w:tblStylePr>
    <w:tblStylePr w:type="band1Vert">
      <w:tblPr/>
      <w:tcPr>
        <w:shd w:val="clear" w:color="auto" w:fill="DE86D4"/>
      </w:tcPr>
    </w:tblStylePr>
    <w:tblStylePr w:type="band1Horz">
      <w:tblPr/>
      <w:tcPr>
        <w:shd w:val="clear" w:color="auto" w:fill="DE86D4"/>
      </w:tcPr>
    </w:tblStylePr>
  </w:style>
  <w:style w:type="table" w:styleId="MediumGrid1-Accent6">
    <w:name w:val="Medium Grid 1 Accent 6"/>
    <w:basedOn w:val="TableNormal"/>
    <w:uiPriority w:val="67"/>
    <w:semiHidden/>
    <w:unhideWhenUsed/>
    <w:rsid w:val="006B6D3E"/>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insideV w:val="single" w:sz="8" w:space="0" w:color="71CF50"/>
      </w:tblBorders>
    </w:tblPr>
    <w:tcPr>
      <w:shd w:val="clear" w:color="auto" w:fill="D0EFC5"/>
    </w:tcPr>
    <w:tblStylePr w:type="firstRow">
      <w:rPr>
        <w:b/>
        <w:bCs/>
      </w:rPr>
    </w:tblStylePr>
    <w:tblStylePr w:type="lastRow">
      <w:rPr>
        <w:b/>
        <w:bCs/>
      </w:rPr>
      <w:tblPr/>
      <w:tcPr>
        <w:tcBorders>
          <w:top w:val="single" w:sz="18" w:space="0" w:color="71CF50"/>
        </w:tcBorders>
      </w:tcPr>
    </w:tblStylePr>
    <w:tblStylePr w:type="firstCol">
      <w:rPr>
        <w:b/>
        <w:bCs/>
      </w:rPr>
    </w:tblStylePr>
    <w:tblStylePr w:type="lastCol">
      <w:rPr>
        <w:b/>
        <w:bCs/>
      </w:rPr>
    </w:tblStylePr>
    <w:tblStylePr w:type="band1Vert">
      <w:tblPr/>
      <w:tcPr>
        <w:shd w:val="clear" w:color="auto" w:fill="A0DF8A"/>
      </w:tcPr>
    </w:tblStylePr>
    <w:tblStylePr w:type="band1Horz">
      <w:tblPr/>
      <w:tcPr>
        <w:shd w:val="clear" w:color="auto" w:fill="A0DF8A"/>
      </w:tcPr>
    </w:tblStylePr>
  </w:style>
  <w:style w:type="table" w:styleId="MediumGrid2">
    <w:name w:val="Medium Grid 2"/>
    <w:basedOn w:val="TableNormal"/>
    <w:uiPriority w:val="68"/>
    <w:semiHidden/>
    <w:unhideWhenUsed/>
    <w:rsid w:val="006B6D3E"/>
    <w:rPr>
      <w:rFonts w:ascii="Aptos Display" w:eastAsia="DengXian Light" w:hAnsi="Aptos Display" w:cs="Times New Roman"/>
      <w:color w:val="000080"/>
    </w:rPr>
    <w:tblPr>
      <w:tblStyleRowBandSize w:val="1"/>
      <w:tblStyleColBandSize w:val="1"/>
      <w:tblBorders>
        <w:top w:val="single" w:sz="8" w:space="0" w:color="000080"/>
        <w:left w:val="single" w:sz="8" w:space="0" w:color="000080"/>
        <w:bottom w:val="single" w:sz="8" w:space="0" w:color="000080"/>
        <w:right w:val="single" w:sz="8" w:space="0" w:color="000080"/>
        <w:insideH w:val="single" w:sz="8" w:space="0" w:color="000080"/>
        <w:insideV w:val="single" w:sz="8" w:space="0" w:color="000080"/>
      </w:tblBorders>
    </w:tblPr>
    <w:tcPr>
      <w:shd w:val="clear" w:color="auto" w:fill="A0A0FF"/>
    </w:tcPr>
    <w:tblStylePr w:type="firstRow">
      <w:rPr>
        <w:b/>
        <w:bCs/>
        <w:color w:val="000080"/>
      </w:rPr>
      <w:tblPr/>
      <w:tcPr>
        <w:shd w:val="clear" w:color="auto" w:fill="D9D9FF"/>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B2B2FF"/>
      </w:tcPr>
    </w:tblStylePr>
    <w:tblStylePr w:type="band1Vert">
      <w:tblPr/>
      <w:tcPr>
        <w:shd w:val="clear" w:color="auto" w:fill="4040FF"/>
      </w:tcPr>
    </w:tblStylePr>
    <w:tblStylePr w:type="band1Horz">
      <w:tblPr/>
      <w:tcPr>
        <w:tcBorders>
          <w:insideH w:val="single" w:sz="6" w:space="0" w:color="000080"/>
          <w:insideV w:val="single" w:sz="6" w:space="0" w:color="000080"/>
        </w:tcBorders>
        <w:shd w:val="clear" w:color="auto" w:fill="4040FF"/>
      </w:tcPr>
    </w:tblStylePr>
    <w:tblStylePr w:type="nwCell">
      <w:tblPr/>
      <w:tcPr>
        <w:shd w:val="clear" w:color="auto" w:fill="FFFFFF"/>
      </w:tcPr>
    </w:tblStylePr>
  </w:style>
  <w:style w:type="table" w:styleId="MediumGrid2-Accent1">
    <w:name w:val="Medium Grid 2 Accent 1"/>
    <w:basedOn w:val="TableNormal"/>
    <w:uiPriority w:val="68"/>
    <w:semiHidden/>
    <w:unhideWhenUsed/>
    <w:rsid w:val="006B6D3E"/>
    <w:rPr>
      <w:rFonts w:ascii="Aptos Display" w:eastAsia="DengXian Light" w:hAnsi="Aptos Display" w:cs="Times New Roman"/>
      <w:color w:val="000080"/>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cPr>
      <w:shd w:val="clear" w:color="auto" w:fill="B2DEF2"/>
    </w:tcPr>
    <w:tblStylePr w:type="firstRow">
      <w:rPr>
        <w:b/>
        <w:bCs/>
        <w:color w:val="000080"/>
      </w:rPr>
      <w:tblPr/>
      <w:tcPr>
        <w:shd w:val="clear" w:color="auto" w:fill="E0F2FA"/>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C1E4F5"/>
      </w:tcPr>
    </w:tblStylePr>
    <w:tblStylePr w:type="band1Vert">
      <w:tblPr/>
      <w:tcPr>
        <w:shd w:val="clear" w:color="auto" w:fill="64BDE6"/>
      </w:tcPr>
    </w:tblStylePr>
    <w:tblStylePr w:type="band1Horz">
      <w:tblPr/>
      <w:tcPr>
        <w:tcBorders>
          <w:insideH w:val="single" w:sz="6" w:space="0" w:color="156082"/>
          <w:insideV w:val="single" w:sz="6" w:space="0" w:color="156082"/>
        </w:tcBorders>
        <w:shd w:val="clear" w:color="auto" w:fill="64BDE6"/>
      </w:tcPr>
    </w:tblStylePr>
    <w:tblStylePr w:type="nwCell">
      <w:tblPr/>
      <w:tcPr>
        <w:shd w:val="clear" w:color="auto" w:fill="FFFFFF"/>
      </w:tcPr>
    </w:tblStylePr>
  </w:style>
  <w:style w:type="table" w:styleId="MediumGrid2-Accent2">
    <w:name w:val="Medium Grid 2 Accent 2"/>
    <w:basedOn w:val="TableNormal"/>
    <w:uiPriority w:val="68"/>
    <w:semiHidden/>
    <w:unhideWhenUsed/>
    <w:rsid w:val="006B6D3E"/>
    <w:rPr>
      <w:rFonts w:ascii="Aptos Display" w:eastAsia="DengXian Light" w:hAnsi="Aptos Display" w:cs="Times New Roman"/>
      <w:color w:val="000080"/>
    </w:r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cPr>
      <w:shd w:val="clear" w:color="auto" w:fill="F9DBCC"/>
    </w:tcPr>
    <w:tblStylePr w:type="firstRow">
      <w:rPr>
        <w:b/>
        <w:bCs/>
        <w:color w:val="000080"/>
      </w:rPr>
      <w:tblPr/>
      <w:tcPr>
        <w:shd w:val="clear" w:color="auto" w:fill="FCF0EA"/>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FAE2D5"/>
      </w:tcPr>
    </w:tblStylePr>
    <w:tblStylePr w:type="band1Vert">
      <w:tblPr/>
      <w:tcPr>
        <w:shd w:val="clear" w:color="auto" w:fill="F4B798"/>
      </w:tcPr>
    </w:tblStylePr>
    <w:tblStylePr w:type="band1Horz">
      <w:tblPr/>
      <w:tcPr>
        <w:tcBorders>
          <w:insideH w:val="single" w:sz="6" w:space="0" w:color="E97132"/>
          <w:insideV w:val="single" w:sz="6" w:space="0" w:color="E97132"/>
        </w:tcBorders>
        <w:shd w:val="clear" w:color="auto" w:fill="F4B798"/>
      </w:tcPr>
    </w:tblStylePr>
    <w:tblStylePr w:type="nwCell">
      <w:tblPr/>
      <w:tcPr>
        <w:shd w:val="clear" w:color="auto" w:fill="FFFFFF"/>
      </w:tcPr>
    </w:tblStylePr>
  </w:style>
  <w:style w:type="table" w:styleId="MediumGrid2-Accent3">
    <w:name w:val="Medium Grid 2 Accent 3"/>
    <w:basedOn w:val="TableNormal"/>
    <w:uiPriority w:val="68"/>
    <w:semiHidden/>
    <w:unhideWhenUsed/>
    <w:rsid w:val="006B6D3E"/>
    <w:rPr>
      <w:rFonts w:ascii="Aptos Display" w:eastAsia="DengXian Light" w:hAnsi="Aptos Display" w:cs="Times New Roman"/>
      <w:color w:val="000080"/>
    </w:r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cPr>
      <w:shd w:val="clear" w:color="auto" w:fill="B3EDBA"/>
    </w:tcPr>
    <w:tblStylePr w:type="firstRow">
      <w:rPr>
        <w:b/>
        <w:bCs/>
        <w:color w:val="000080"/>
      </w:rPr>
      <w:tblPr/>
      <w:tcPr>
        <w:shd w:val="clear" w:color="auto" w:fill="E0F8E3"/>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C1F0C7"/>
      </w:tcPr>
    </w:tblStylePr>
    <w:tblStylePr w:type="band1Vert">
      <w:tblPr/>
      <w:tcPr>
        <w:shd w:val="clear" w:color="auto" w:fill="66DB75"/>
      </w:tcPr>
    </w:tblStylePr>
    <w:tblStylePr w:type="band1Horz">
      <w:tblPr/>
      <w:tcPr>
        <w:tcBorders>
          <w:insideH w:val="single" w:sz="6" w:space="0" w:color="196B24"/>
          <w:insideV w:val="single" w:sz="6" w:space="0" w:color="196B24"/>
        </w:tcBorders>
        <w:shd w:val="clear" w:color="auto" w:fill="66DB75"/>
      </w:tcPr>
    </w:tblStylePr>
    <w:tblStylePr w:type="nwCell">
      <w:tblPr/>
      <w:tcPr>
        <w:shd w:val="clear" w:color="auto" w:fill="FFFFFF"/>
      </w:tcPr>
    </w:tblStylePr>
  </w:style>
  <w:style w:type="table" w:styleId="MediumGrid2-Accent4">
    <w:name w:val="Medium Grid 2 Accent 4"/>
    <w:basedOn w:val="TableNormal"/>
    <w:uiPriority w:val="68"/>
    <w:semiHidden/>
    <w:unhideWhenUsed/>
    <w:rsid w:val="006B6D3E"/>
    <w:rPr>
      <w:rFonts w:ascii="Aptos Display" w:eastAsia="DengXian Light" w:hAnsi="Aptos Display" w:cs="Times New Roman"/>
      <w:color w:val="000080"/>
    </w:r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cPr>
      <w:shd w:val="clear" w:color="auto" w:fill="BDE9FA"/>
    </w:tcPr>
    <w:tblStylePr w:type="firstRow">
      <w:rPr>
        <w:b/>
        <w:bCs/>
        <w:color w:val="000080"/>
      </w:rPr>
      <w:tblPr/>
      <w:tcPr>
        <w:shd w:val="clear" w:color="auto" w:fill="E5F6FD"/>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CAEDFB"/>
      </w:tcPr>
    </w:tblStylePr>
    <w:tblStylePr w:type="band1Vert">
      <w:tblPr/>
      <w:tcPr>
        <w:shd w:val="clear" w:color="auto" w:fill="7BD3F5"/>
      </w:tcPr>
    </w:tblStylePr>
    <w:tblStylePr w:type="band1Horz">
      <w:tblPr/>
      <w:tcPr>
        <w:tcBorders>
          <w:insideH w:val="single" w:sz="6" w:space="0" w:color="0F9ED5"/>
          <w:insideV w:val="single" w:sz="6" w:space="0" w:color="0F9ED5"/>
        </w:tcBorders>
        <w:shd w:val="clear" w:color="auto" w:fill="7BD3F5"/>
      </w:tcPr>
    </w:tblStylePr>
    <w:tblStylePr w:type="nwCell">
      <w:tblPr/>
      <w:tcPr>
        <w:shd w:val="clear" w:color="auto" w:fill="FFFFFF"/>
      </w:tcPr>
    </w:tblStylePr>
  </w:style>
  <w:style w:type="table" w:styleId="MediumGrid2-Accent5">
    <w:name w:val="Medium Grid 2 Accent 5"/>
    <w:basedOn w:val="TableNormal"/>
    <w:uiPriority w:val="68"/>
    <w:semiHidden/>
    <w:unhideWhenUsed/>
    <w:rsid w:val="006B6D3E"/>
    <w:rPr>
      <w:rFonts w:ascii="Aptos Display" w:eastAsia="DengXian Light" w:hAnsi="Aptos Display" w:cs="Times New Roman"/>
      <w:color w:val="000080"/>
    </w:r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cPr>
      <w:shd w:val="clear" w:color="auto" w:fill="EFC3E9"/>
    </w:tcPr>
    <w:tblStylePr w:type="firstRow">
      <w:rPr>
        <w:b/>
        <w:bCs/>
        <w:color w:val="000080"/>
      </w:rPr>
      <w:tblPr/>
      <w:tcPr>
        <w:shd w:val="clear" w:color="auto" w:fill="F8E7F6"/>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F2CEED"/>
      </w:tcPr>
    </w:tblStylePr>
    <w:tblStylePr w:type="band1Vert">
      <w:tblPr/>
      <w:tcPr>
        <w:shd w:val="clear" w:color="auto" w:fill="DE86D4"/>
      </w:tcPr>
    </w:tblStylePr>
    <w:tblStylePr w:type="band1Horz">
      <w:tblPr/>
      <w:tcPr>
        <w:tcBorders>
          <w:insideH w:val="single" w:sz="6" w:space="0" w:color="A02B93"/>
          <w:insideV w:val="single" w:sz="6" w:space="0" w:color="A02B93"/>
        </w:tcBorders>
        <w:shd w:val="clear" w:color="auto" w:fill="DE86D4"/>
      </w:tcPr>
    </w:tblStylePr>
    <w:tblStylePr w:type="nwCell">
      <w:tblPr/>
      <w:tcPr>
        <w:shd w:val="clear" w:color="auto" w:fill="FFFFFF"/>
      </w:tcPr>
    </w:tblStylePr>
  </w:style>
  <w:style w:type="table" w:styleId="MediumGrid2-Accent6">
    <w:name w:val="Medium Grid 2 Accent 6"/>
    <w:basedOn w:val="TableNormal"/>
    <w:uiPriority w:val="68"/>
    <w:semiHidden/>
    <w:unhideWhenUsed/>
    <w:rsid w:val="006B6D3E"/>
    <w:rPr>
      <w:rFonts w:ascii="Aptos Display" w:eastAsia="DengXian Light" w:hAnsi="Aptos Display" w:cs="Times New Roman"/>
      <w:color w:val="000080"/>
    </w:r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cPr>
      <w:shd w:val="clear" w:color="auto" w:fill="D0EFC5"/>
    </w:tcPr>
    <w:tblStylePr w:type="firstRow">
      <w:rPr>
        <w:b/>
        <w:bCs/>
        <w:color w:val="000080"/>
      </w:rPr>
      <w:tblPr/>
      <w:tcPr>
        <w:shd w:val="clear" w:color="auto" w:fill="ECF8E8"/>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D9F2D0"/>
      </w:tcPr>
    </w:tblStylePr>
    <w:tblStylePr w:type="band1Vert">
      <w:tblPr/>
      <w:tcPr>
        <w:shd w:val="clear" w:color="auto" w:fill="A0DF8A"/>
      </w:tcPr>
    </w:tblStylePr>
    <w:tblStylePr w:type="band1Horz">
      <w:tblPr/>
      <w:tcPr>
        <w:tcBorders>
          <w:insideH w:val="single" w:sz="6" w:space="0" w:color="4EA72E"/>
          <w:insideV w:val="single" w:sz="6" w:space="0" w:color="4EA72E"/>
        </w:tcBorders>
        <w:shd w:val="clear" w:color="auto" w:fill="A0DF8A"/>
      </w:tcPr>
    </w:tblStylePr>
    <w:tblStylePr w:type="nwCell">
      <w:tblPr/>
      <w:tcPr>
        <w:shd w:val="clear" w:color="auto" w:fill="FFFFFF"/>
      </w:tcPr>
    </w:tblStylePr>
  </w:style>
  <w:style w:type="table" w:styleId="MediumGrid3">
    <w:name w:val="Medium Grid 3"/>
    <w:basedOn w:val="TableNormal"/>
    <w:uiPriority w:val="69"/>
    <w:semiHidden/>
    <w:unhideWhenUsed/>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A0A0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4040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4040FF"/>
      </w:tcPr>
    </w:tblStylePr>
  </w:style>
  <w:style w:type="table" w:styleId="MediumGrid3-Accent1">
    <w:name w:val="Medium Grid 3 Accent 1"/>
    <w:basedOn w:val="TableNormal"/>
    <w:uiPriority w:val="69"/>
    <w:semiHidden/>
    <w:unhideWhenUsed/>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2DEF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5608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5608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5608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5608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4BDE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4BDE6"/>
      </w:tcPr>
    </w:tblStylePr>
  </w:style>
  <w:style w:type="table" w:styleId="MediumGrid3-Accent2">
    <w:name w:val="Medium Grid 3 Accent 2"/>
    <w:basedOn w:val="TableNormal"/>
    <w:uiPriority w:val="69"/>
    <w:semiHidden/>
    <w:unhideWhenUsed/>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9DBC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9713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9713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9713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9713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4B7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4B798"/>
      </w:tcPr>
    </w:tblStylePr>
  </w:style>
  <w:style w:type="table" w:styleId="MediumGrid3-Accent3">
    <w:name w:val="Medium Grid 3 Accent 3"/>
    <w:basedOn w:val="TableNormal"/>
    <w:uiPriority w:val="69"/>
    <w:semiHidden/>
    <w:unhideWhenUsed/>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3EDB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96B2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96B2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96B2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96B2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6DB7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6DB75"/>
      </w:tcPr>
    </w:tblStylePr>
  </w:style>
  <w:style w:type="table" w:styleId="MediumGrid3-Accent4">
    <w:name w:val="Medium Grid 3 Accent 4"/>
    <w:basedOn w:val="TableNormal"/>
    <w:uiPriority w:val="69"/>
    <w:semiHidden/>
    <w:unhideWhenUsed/>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DE9F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F9E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F9E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F9E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F9E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BD3F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BD3F5"/>
      </w:tcPr>
    </w:tblStylePr>
  </w:style>
  <w:style w:type="table" w:styleId="MediumGrid3-Accent5">
    <w:name w:val="Medium Grid 3 Accent 5"/>
    <w:basedOn w:val="TableNormal"/>
    <w:uiPriority w:val="69"/>
    <w:semiHidden/>
    <w:unhideWhenUsed/>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C3E9"/>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02B9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02B9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02B9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02B9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E86D4"/>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E86D4"/>
      </w:tcPr>
    </w:tblStylePr>
  </w:style>
  <w:style w:type="table" w:styleId="MediumGrid3-Accent6">
    <w:name w:val="Medium Grid 3 Accent 6"/>
    <w:basedOn w:val="TableNormal"/>
    <w:uiPriority w:val="69"/>
    <w:semiHidden/>
    <w:unhideWhenUsed/>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EFC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EA72E"/>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EA72E"/>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EA72E"/>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EA72E"/>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0DF8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0DF8A"/>
      </w:tcPr>
    </w:tblStylePr>
  </w:style>
  <w:style w:type="table" w:styleId="MediumList1">
    <w:name w:val="Medium List 1"/>
    <w:basedOn w:val="TableNormal"/>
    <w:uiPriority w:val="65"/>
    <w:semiHidden/>
    <w:unhideWhenUsed/>
    <w:rsid w:val="006B6D3E"/>
    <w:rPr>
      <w:color w:val="000080"/>
    </w:rPr>
    <w:tblPr>
      <w:tblStyleRowBandSize w:val="1"/>
      <w:tblStyleColBandSize w:val="1"/>
      <w:tblBorders>
        <w:top w:val="single" w:sz="8" w:space="0" w:color="000080"/>
        <w:bottom w:val="single" w:sz="8" w:space="0" w:color="000080"/>
      </w:tblBorders>
    </w:tblPr>
    <w:tblStylePr w:type="firstRow">
      <w:rPr>
        <w:rFonts w:ascii="Aptos Display" w:eastAsia="DengXian Light" w:hAnsi="Aptos Display" w:cs="Times New Roman"/>
      </w:rPr>
      <w:tblPr/>
      <w:tcPr>
        <w:tcBorders>
          <w:top w:val="nil"/>
          <w:bottom w:val="single" w:sz="8" w:space="0" w:color="000080"/>
        </w:tcBorders>
      </w:tcPr>
    </w:tblStylePr>
    <w:tblStylePr w:type="lastRow">
      <w:rPr>
        <w:b/>
        <w:bCs/>
        <w:color w:val="0E2841"/>
      </w:rPr>
      <w:tblPr/>
      <w:tcPr>
        <w:tcBorders>
          <w:top w:val="single" w:sz="8" w:space="0" w:color="000080"/>
          <w:bottom w:val="single" w:sz="8" w:space="0" w:color="000080"/>
        </w:tcBorders>
      </w:tcPr>
    </w:tblStylePr>
    <w:tblStylePr w:type="firstCol">
      <w:rPr>
        <w:b/>
        <w:bCs/>
      </w:rPr>
    </w:tblStylePr>
    <w:tblStylePr w:type="lastCol">
      <w:rPr>
        <w:b/>
        <w:bCs/>
      </w:rPr>
      <w:tblPr/>
      <w:tcPr>
        <w:tcBorders>
          <w:top w:val="single" w:sz="8" w:space="0" w:color="000080"/>
          <w:bottom w:val="single" w:sz="8" w:space="0" w:color="000080"/>
        </w:tcBorders>
      </w:tcPr>
    </w:tblStylePr>
    <w:tblStylePr w:type="band1Vert">
      <w:tblPr/>
      <w:tcPr>
        <w:shd w:val="clear" w:color="auto" w:fill="A0A0FF"/>
      </w:tcPr>
    </w:tblStylePr>
    <w:tblStylePr w:type="band1Horz">
      <w:tblPr/>
      <w:tcPr>
        <w:shd w:val="clear" w:color="auto" w:fill="A0A0FF"/>
      </w:tcPr>
    </w:tblStylePr>
  </w:style>
  <w:style w:type="table" w:styleId="MediumList1-Accent1">
    <w:name w:val="Medium List 1 Accent 1"/>
    <w:basedOn w:val="TableNormal"/>
    <w:uiPriority w:val="65"/>
    <w:semiHidden/>
    <w:unhideWhenUsed/>
    <w:rsid w:val="006B6D3E"/>
    <w:rPr>
      <w:color w:val="000080"/>
    </w:rPr>
    <w:tblPr>
      <w:tblStyleRowBandSize w:val="1"/>
      <w:tblStyleColBandSize w:val="1"/>
      <w:tblBorders>
        <w:top w:val="single" w:sz="8" w:space="0" w:color="156082"/>
        <w:bottom w:val="single" w:sz="8" w:space="0" w:color="156082"/>
      </w:tblBorders>
    </w:tblPr>
    <w:tblStylePr w:type="firstRow">
      <w:rPr>
        <w:rFonts w:ascii="Aptos Display" w:eastAsia="DengXian Light" w:hAnsi="Aptos Display" w:cs="Times New Roman"/>
      </w:rPr>
      <w:tblPr/>
      <w:tcPr>
        <w:tcBorders>
          <w:top w:val="nil"/>
          <w:bottom w:val="single" w:sz="8" w:space="0" w:color="156082"/>
        </w:tcBorders>
      </w:tcPr>
    </w:tblStylePr>
    <w:tblStylePr w:type="lastRow">
      <w:rPr>
        <w:b/>
        <w:bCs/>
        <w:color w:val="0E2841"/>
      </w:rPr>
      <w:tblPr/>
      <w:tcPr>
        <w:tcBorders>
          <w:top w:val="single" w:sz="8" w:space="0" w:color="156082"/>
          <w:bottom w:val="single" w:sz="8" w:space="0" w:color="156082"/>
        </w:tcBorders>
      </w:tcPr>
    </w:tblStylePr>
    <w:tblStylePr w:type="firstCol">
      <w:rPr>
        <w:b/>
        <w:bCs/>
      </w:rPr>
    </w:tblStylePr>
    <w:tblStylePr w:type="lastCol">
      <w:rPr>
        <w:b/>
        <w:bCs/>
      </w:rPr>
      <w:tblPr/>
      <w:tcPr>
        <w:tcBorders>
          <w:top w:val="single" w:sz="8" w:space="0" w:color="156082"/>
          <w:bottom w:val="single" w:sz="8" w:space="0" w:color="156082"/>
        </w:tcBorders>
      </w:tcPr>
    </w:tblStylePr>
    <w:tblStylePr w:type="band1Vert">
      <w:tblPr/>
      <w:tcPr>
        <w:shd w:val="clear" w:color="auto" w:fill="B2DEF2"/>
      </w:tcPr>
    </w:tblStylePr>
    <w:tblStylePr w:type="band1Horz">
      <w:tblPr/>
      <w:tcPr>
        <w:shd w:val="clear" w:color="auto" w:fill="B2DEF2"/>
      </w:tcPr>
    </w:tblStylePr>
  </w:style>
  <w:style w:type="table" w:styleId="MediumList1-Accent2">
    <w:name w:val="Medium List 1 Accent 2"/>
    <w:basedOn w:val="TableNormal"/>
    <w:uiPriority w:val="65"/>
    <w:semiHidden/>
    <w:unhideWhenUsed/>
    <w:rsid w:val="006B6D3E"/>
    <w:rPr>
      <w:color w:val="000080"/>
    </w:rPr>
    <w:tblPr>
      <w:tblStyleRowBandSize w:val="1"/>
      <w:tblStyleColBandSize w:val="1"/>
      <w:tblBorders>
        <w:top w:val="single" w:sz="8" w:space="0" w:color="E97132"/>
        <w:bottom w:val="single" w:sz="8" w:space="0" w:color="E97132"/>
      </w:tblBorders>
    </w:tblPr>
    <w:tblStylePr w:type="firstRow">
      <w:rPr>
        <w:rFonts w:ascii="Aptos Display" w:eastAsia="DengXian Light" w:hAnsi="Aptos Display" w:cs="Times New Roman"/>
      </w:rPr>
      <w:tblPr/>
      <w:tcPr>
        <w:tcBorders>
          <w:top w:val="nil"/>
          <w:bottom w:val="single" w:sz="8" w:space="0" w:color="E97132"/>
        </w:tcBorders>
      </w:tcPr>
    </w:tblStylePr>
    <w:tblStylePr w:type="lastRow">
      <w:rPr>
        <w:b/>
        <w:bCs/>
        <w:color w:val="0E2841"/>
      </w:rPr>
      <w:tblPr/>
      <w:tcPr>
        <w:tcBorders>
          <w:top w:val="single" w:sz="8" w:space="0" w:color="E97132"/>
          <w:bottom w:val="single" w:sz="8" w:space="0" w:color="E97132"/>
        </w:tcBorders>
      </w:tcPr>
    </w:tblStylePr>
    <w:tblStylePr w:type="firstCol">
      <w:rPr>
        <w:b/>
        <w:bCs/>
      </w:rPr>
    </w:tblStylePr>
    <w:tblStylePr w:type="lastCol">
      <w:rPr>
        <w:b/>
        <w:bCs/>
      </w:rPr>
      <w:tblPr/>
      <w:tcPr>
        <w:tcBorders>
          <w:top w:val="single" w:sz="8" w:space="0" w:color="E97132"/>
          <w:bottom w:val="single" w:sz="8" w:space="0" w:color="E97132"/>
        </w:tcBorders>
      </w:tcPr>
    </w:tblStylePr>
    <w:tblStylePr w:type="band1Vert">
      <w:tblPr/>
      <w:tcPr>
        <w:shd w:val="clear" w:color="auto" w:fill="F9DBCC"/>
      </w:tcPr>
    </w:tblStylePr>
    <w:tblStylePr w:type="band1Horz">
      <w:tblPr/>
      <w:tcPr>
        <w:shd w:val="clear" w:color="auto" w:fill="F9DBCC"/>
      </w:tcPr>
    </w:tblStylePr>
  </w:style>
  <w:style w:type="table" w:styleId="MediumList1-Accent3">
    <w:name w:val="Medium List 1 Accent 3"/>
    <w:basedOn w:val="TableNormal"/>
    <w:uiPriority w:val="65"/>
    <w:semiHidden/>
    <w:unhideWhenUsed/>
    <w:rsid w:val="006B6D3E"/>
    <w:rPr>
      <w:color w:val="000080"/>
    </w:rPr>
    <w:tblPr>
      <w:tblStyleRowBandSize w:val="1"/>
      <w:tblStyleColBandSize w:val="1"/>
      <w:tblBorders>
        <w:top w:val="single" w:sz="8" w:space="0" w:color="196B24"/>
        <w:bottom w:val="single" w:sz="8" w:space="0" w:color="196B24"/>
      </w:tblBorders>
    </w:tblPr>
    <w:tblStylePr w:type="firstRow">
      <w:rPr>
        <w:rFonts w:ascii="Aptos Display" w:eastAsia="DengXian Light" w:hAnsi="Aptos Display" w:cs="Times New Roman"/>
      </w:rPr>
      <w:tblPr/>
      <w:tcPr>
        <w:tcBorders>
          <w:top w:val="nil"/>
          <w:bottom w:val="single" w:sz="8" w:space="0" w:color="196B24"/>
        </w:tcBorders>
      </w:tcPr>
    </w:tblStylePr>
    <w:tblStylePr w:type="lastRow">
      <w:rPr>
        <w:b/>
        <w:bCs/>
        <w:color w:val="0E2841"/>
      </w:rPr>
      <w:tblPr/>
      <w:tcPr>
        <w:tcBorders>
          <w:top w:val="single" w:sz="8" w:space="0" w:color="196B24"/>
          <w:bottom w:val="single" w:sz="8" w:space="0" w:color="196B24"/>
        </w:tcBorders>
      </w:tcPr>
    </w:tblStylePr>
    <w:tblStylePr w:type="firstCol">
      <w:rPr>
        <w:b/>
        <w:bCs/>
      </w:rPr>
    </w:tblStylePr>
    <w:tblStylePr w:type="lastCol">
      <w:rPr>
        <w:b/>
        <w:bCs/>
      </w:rPr>
      <w:tblPr/>
      <w:tcPr>
        <w:tcBorders>
          <w:top w:val="single" w:sz="8" w:space="0" w:color="196B24"/>
          <w:bottom w:val="single" w:sz="8" w:space="0" w:color="196B24"/>
        </w:tcBorders>
      </w:tcPr>
    </w:tblStylePr>
    <w:tblStylePr w:type="band1Vert">
      <w:tblPr/>
      <w:tcPr>
        <w:shd w:val="clear" w:color="auto" w:fill="B3EDBA"/>
      </w:tcPr>
    </w:tblStylePr>
    <w:tblStylePr w:type="band1Horz">
      <w:tblPr/>
      <w:tcPr>
        <w:shd w:val="clear" w:color="auto" w:fill="B3EDBA"/>
      </w:tcPr>
    </w:tblStylePr>
  </w:style>
  <w:style w:type="table" w:styleId="MediumList1-Accent4">
    <w:name w:val="Medium List 1 Accent 4"/>
    <w:basedOn w:val="TableNormal"/>
    <w:uiPriority w:val="65"/>
    <w:semiHidden/>
    <w:unhideWhenUsed/>
    <w:rsid w:val="006B6D3E"/>
    <w:rPr>
      <w:color w:val="000080"/>
    </w:rPr>
    <w:tblPr>
      <w:tblStyleRowBandSize w:val="1"/>
      <w:tblStyleColBandSize w:val="1"/>
      <w:tblBorders>
        <w:top w:val="single" w:sz="8" w:space="0" w:color="0F9ED5"/>
        <w:bottom w:val="single" w:sz="8" w:space="0" w:color="0F9ED5"/>
      </w:tblBorders>
    </w:tblPr>
    <w:tblStylePr w:type="firstRow">
      <w:rPr>
        <w:rFonts w:ascii="Aptos Display" w:eastAsia="DengXian Light" w:hAnsi="Aptos Display" w:cs="Times New Roman"/>
      </w:rPr>
      <w:tblPr/>
      <w:tcPr>
        <w:tcBorders>
          <w:top w:val="nil"/>
          <w:bottom w:val="single" w:sz="8" w:space="0" w:color="0F9ED5"/>
        </w:tcBorders>
      </w:tcPr>
    </w:tblStylePr>
    <w:tblStylePr w:type="lastRow">
      <w:rPr>
        <w:b/>
        <w:bCs/>
        <w:color w:val="0E2841"/>
      </w:rPr>
      <w:tblPr/>
      <w:tcPr>
        <w:tcBorders>
          <w:top w:val="single" w:sz="8" w:space="0" w:color="0F9ED5"/>
          <w:bottom w:val="single" w:sz="8" w:space="0" w:color="0F9ED5"/>
        </w:tcBorders>
      </w:tcPr>
    </w:tblStylePr>
    <w:tblStylePr w:type="firstCol">
      <w:rPr>
        <w:b/>
        <w:bCs/>
      </w:rPr>
    </w:tblStylePr>
    <w:tblStylePr w:type="lastCol">
      <w:rPr>
        <w:b/>
        <w:bCs/>
      </w:rPr>
      <w:tblPr/>
      <w:tcPr>
        <w:tcBorders>
          <w:top w:val="single" w:sz="8" w:space="0" w:color="0F9ED5"/>
          <w:bottom w:val="single" w:sz="8" w:space="0" w:color="0F9ED5"/>
        </w:tcBorders>
      </w:tcPr>
    </w:tblStylePr>
    <w:tblStylePr w:type="band1Vert">
      <w:tblPr/>
      <w:tcPr>
        <w:shd w:val="clear" w:color="auto" w:fill="BDE9FA"/>
      </w:tcPr>
    </w:tblStylePr>
    <w:tblStylePr w:type="band1Horz">
      <w:tblPr/>
      <w:tcPr>
        <w:shd w:val="clear" w:color="auto" w:fill="BDE9FA"/>
      </w:tcPr>
    </w:tblStylePr>
  </w:style>
  <w:style w:type="table" w:styleId="MediumList1-Accent5">
    <w:name w:val="Medium List 1 Accent 5"/>
    <w:basedOn w:val="TableNormal"/>
    <w:uiPriority w:val="65"/>
    <w:semiHidden/>
    <w:unhideWhenUsed/>
    <w:rsid w:val="006B6D3E"/>
    <w:rPr>
      <w:color w:val="000080"/>
    </w:rPr>
    <w:tblPr>
      <w:tblStyleRowBandSize w:val="1"/>
      <w:tblStyleColBandSize w:val="1"/>
      <w:tblBorders>
        <w:top w:val="single" w:sz="8" w:space="0" w:color="A02B93"/>
        <w:bottom w:val="single" w:sz="8" w:space="0" w:color="A02B93"/>
      </w:tblBorders>
    </w:tblPr>
    <w:tblStylePr w:type="firstRow">
      <w:rPr>
        <w:rFonts w:ascii="Aptos Display" w:eastAsia="DengXian Light" w:hAnsi="Aptos Display" w:cs="Times New Roman"/>
      </w:rPr>
      <w:tblPr/>
      <w:tcPr>
        <w:tcBorders>
          <w:top w:val="nil"/>
          <w:bottom w:val="single" w:sz="8" w:space="0" w:color="A02B93"/>
        </w:tcBorders>
      </w:tcPr>
    </w:tblStylePr>
    <w:tblStylePr w:type="lastRow">
      <w:rPr>
        <w:b/>
        <w:bCs/>
        <w:color w:val="0E2841"/>
      </w:rPr>
      <w:tblPr/>
      <w:tcPr>
        <w:tcBorders>
          <w:top w:val="single" w:sz="8" w:space="0" w:color="A02B93"/>
          <w:bottom w:val="single" w:sz="8" w:space="0" w:color="A02B93"/>
        </w:tcBorders>
      </w:tcPr>
    </w:tblStylePr>
    <w:tblStylePr w:type="firstCol">
      <w:rPr>
        <w:b/>
        <w:bCs/>
      </w:rPr>
    </w:tblStylePr>
    <w:tblStylePr w:type="lastCol">
      <w:rPr>
        <w:b/>
        <w:bCs/>
      </w:rPr>
      <w:tblPr/>
      <w:tcPr>
        <w:tcBorders>
          <w:top w:val="single" w:sz="8" w:space="0" w:color="A02B93"/>
          <w:bottom w:val="single" w:sz="8" w:space="0" w:color="A02B93"/>
        </w:tcBorders>
      </w:tcPr>
    </w:tblStylePr>
    <w:tblStylePr w:type="band1Vert">
      <w:tblPr/>
      <w:tcPr>
        <w:shd w:val="clear" w:color="auto" w:fill="EFC3E9"/>
      </w:tcPr>
    </w:tblStylePr>
    <w:tblStylePr w:type="band1Horz">
      <w:tblPr/>
      <w:tcPr>
        <w:shd w:val="clear" w:color="auto" w:fill="EFC3E9"/>
      </w:tcPr>
    </w:tblStylePr>
  </w:style>
  <w:style w:type="table" w:styleId="MediumList1-Accent6">
    <w:name w:val="Medium List 1 Accent 6"/>
    <w:basedOn w:val="TableNormal"/>
    <w:uiPriority w:val="65"/>
    <w:semiHidden/>
    <w:unhideWhenUsed/>
    <w:rsid w:val="006B6D3E"/>
    <w:rPr>
      <w:color w:val="000080"/>
    </w:rPr>
    <w:tblPr>
      <w:tblStyleRowBandSize w:val="1"/>
      <w:tblStyleColBandSize w:val="1"/>
      <w:tblBorders>
        <w:top w:val="single" w:sz="8" w:space="0" w:color="4EA72E"/>
        <w:bottom w:val="single" w:sz="8" w:space="0" w:color="4EA72E"/>
      </w:tblBorders>
    </w:tblPr>
    <w:tblStylePr w:type="firstRow">
      <w:rPr>
        <w:rFonts w:ascii="Aptos Display" w:eastAsia="DengXian Light" w:hAnsi="Aptos Display" w:cs="Times New Roman"/>
      </w:rPr>
      <w:tblPr/>
      <w:tcPr>
        <w:tcBorders>
          <w:top w:val="nil"/>
          <w:bottom w:val="single" w:sz="8" w:space="0" w:color="4EA72E"/>
        </w:tcBorders>
      </w:tcPr>
    </w:tblStylePr>
    <w:tblStylePr w:type="lastRow">
      <w:rPr>
        <w:b/>
        <w:bCs/>
        <w:color w:val="0E2841"/>
      </w:rPr>
      <w:tblPr/>
      <w:tcPr>
        <w:tcBorders>
          <w:top w:val="single" w:sz="8" w:space="0" w:color="4EA72E"/>
          <w:bottom w:val="single" w:sz="8" w:space="0" w:color="4EA72E"/>
        </w:tcBorders>
      </w:tcPr>
    </w:tblStylePr>
    <w:tblStylePr w:type="firstCol">
      <w:rPr>
        <w:b/>
        <w:bCs/>
      </w:rPr>
    </w:tblStylePr>
    <w:tblStylePr w:type="lastCol">
      <w:rPr>
        <w:b/>
        <w:bCs/>
      </w:rPr>
      <w:tblPr/>
      <w:tcPr>
        <w:tcBorders>
          <w:top w:val="single" w:sz="8" w:space="0" w:color="4EA72E"/>
          <w:bottom w:val="single" w:sz="8" w:space="0" w:color="4EA72E"/>
        </w:tcBorders>
      </w:tcPr>
    </w:tblStylePr>
    <w:tblStylePr w:type="band1Vert">
      <w:tblPr/>
      <w:tcPr>
        <w:shd w:val="clear" w:color="auto" w:fill="D0EFC5"/>
      </w:tcPr>
    </w:tblStylePr>
    <w:tblStylePr w:type="band1Horz">
      <w:tblPr/>
      <w:tcPr>
        <w:shd w:val="clear" w:color="auto" w:fill="D0EFC5"/>
      </w:tcPr>
    </w:tblStylePr>
  </w:style>
  <w:style w:type="table" w:styleId="MediumList2">
    <w:name w:val="Medium List 2"/>
    <w:basedOn w:val="TableNormal"/>
    <w:uiPriority w:val="66"/>
    <w:semiHidden/>
    <w:unhideWhenUsed/>
    <w:rsid w:val="006B6D3E"/>
    <w:rPr>
      <w:rFonts w:ascii="Aptos Display" w:eastAsia="DengXian Light" w:hAnsi="Aptos Display" w:cs="Times New Roman"/>
      <w:color w:val="000080"/>
    </w:rPr>
    <w:tblPr>
      <w:tblStyleRowBandSize w:val="1"/>
      <w:tblStyleColBandSize w:val="1"/>
      <w:tblBorders>
        <w:top w:val="single" w:sz="8" w:space="0" w:color="000080"/>
        <w:left w:val="single" w:sz="8" w:space="0" w:color="000080"/>
        <w:bottom w:val="single" w:sz="8" w:space="0" w:color="000080"/>
        <w:right w:val="single" w:sz="8" w:space="0" w:color="000080"/>
      </w:tblBorders>
    </w:tblPr>
    <w:tblStylePr w:type="firstRow">
      <w:rPr>
        <w:sz w:val="24"/>
        <w:szCs w:val="24"/>
      </w:rPr>
      <w:tblPr/>
      <w:tcPr>
        <w:tcBorders>
          <w:top w:val="nil"/>
          <w:left w:val="nil"/>
          <w:bottom w:val="single" w:sz="24" w:space="0" w:color="000080"/>
          <w:right w:val="nil"/>
          <w:insideH w:val="nil"/>
          <w:insideV w:val="nil"/>
        </w:tcBorders>
        <w:shd w:val="clear" w:color="auto" w:fill="FFFFFF"/>
      </w:tcPr>
    </w:tblStylePr>
    <w:tblStylePr w:type="lastRow">
      <w:tblPr/>
      <w:tcPr>
        <w:tcBorders>
          <w:top w:val="single" w:sz="8" w:space="0" w:color="00008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80"/>
          <w:insideH w:val="nil"/>
          <w:insideV w:val="nil"/>
        </w:tcBorders>
        <w:shd w:val="clear" w:color="auto" w:fill="FFFFFF"/>
      </w:tcPr>
    </w:tblStylePr>
    <w:tblStylePr w:type="lastCol">
      <w:tblPr/>
      <w:tcPr>
        <w:tcBorders>
          <w:top w:val="nil"/>
          <w:left w:val="single" w:sz="8" w:space="0" w:color="00008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0A0FF"/>
      </w:tcPr>
    </w:tblStylePr>
    <w:tblStylePr w:type="band1Horz">
      <w:tblPr/>
      <w:tcPr>
        <w:tcBorders>
          <w:top w:val="nil"/>
          <w:bottom w:val="nil"/>
          <w:insideH w:val="nil"/>
          <w:insideV w:val="nil"/>
        </w:tcBorders>
        <w:shd w:val="clear" w:color="auto" w:fill="A0A0FF"/>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rPr>
      <w:rFonts w:ascii="Aptos Display" w:eastAsia="DengXian Light" w:hAnsi="Aptos Display" w:cs="Times New Roman"/>
      <w:color w:val="000080"/>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rPr>
        <w:sz w:val="24"/>
        <w:szCs w:val="24"/>
      </w:rPr>
      <w:tblPr/>
      <w:tcPr>
        <w:tcBorders>
          <w:top w:val="nil"/>
          <w:left w:val="nil"/>
          <w:bottom w:val="single" w:sz="24" w:space="0" w:color="156082"/>
          <w:right w:val="nil"/>
          <w:insideH w:val="nil"/>
          <w:insideV w:val="nil"/>
        </w:tcBorders>
        <w:shd w:val="clear" w:color="auto" w:fill="FFFFFF"/>
      </w:tcPr>
    </w:tblStylePr>
    <w:tblStylePr w:type="lastRow">
      <w:tblPr/>
      <w:tcPr>
        <w:tcBorders>
          <w:top w:val="single" w:sz="8" w:space="0" w:color="156082"/>
          <w:left w:val="nil"/>
          <w:bottom w:val="nil"/>
          <w:right w:val="nil"/>
          <w:insideH w:val="nil"/>
          <w:insideV w:val="nil"/>
        </w:tcBorders>
        <w:shd w:val="clear" w:color="auto" w:fill="FFFFFF"/>
      </w:tcPr>
    </w:tblStylePr>
    <w:tblStylePr w:type="firstCol">
      <w:tblPr/>
      <w:tcPr>
        <w:tcBorders>
          <w:top w:val="nil"/>
          <w:left w:val="nil"/>
          <w:bottom w:val="nil"/>
          <w:right w:val="single" w:sz="8" w:space="0" w:color="156082"/>
          <w:insideH w:val="nil"/>
          <w:insideV w:val="nil"/>
        </w:tcBorders>
        <w:shd w:val="clear" w:color="auto" w:fill="FFFFFF"/>
      </w:tcPr>
    </w:tblStylePr>
    <w:tblStylePr w:type="lastCol">
      <w:tblPr/>
      <w:tcPr>
        <w:tcBorders>
          <w:top w:val="nil"/>
          <w:left w:val="single" w:sz="8" w:space="0" w:color="15608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2DEF2"/>
      </w:tcPr>
    </w:tblStylePr>
    <w:tblStylePr w:type="band1Horz">
      <w:tblPr/>
      <w:tcPr>
        <w:tcBorders>
          <w:top w:val="nil"/>
          <w:bottom w:val="nil"/>
          <w:insideH w:val="nil"/>
          <w:insideV w:val="nil"/>
        </w:tcBorders>
        <w:shd w:val="clear" w:color="auto" w:fill="B2DEF2"/>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rPr>
      <w:rFonts w:ascii="Aptos Display" w:eastAsia="DengXian Light" w:hAnsi="Aptos Display" w:cs="Times New Roman"/>
      <w:color w:val="000080"/>
    </w:r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rPr>
        <w:sz w:val="24"/>
        <w:szCs w:val="24"/>
      </w:rPr>
      <w:tblPr/>
      <w:tcPr>
        <w:tcBorders>
          <w:top w:val="nil"/>
          <w:left w:val="nil"/>
          <w:bottom w:val="single" w:sz="24" w:space="0" w:color="E97132"/>
          <w:right w:val="nil"/>
          <w:insideH w:val="nil"/>
          <w:insideV w:val="nil"/>
        </w:tcBorders>
        <w:shd w:val="clear" w:color="auto" w:fill="FFFFFF"/>
      </w:tcPr>
    </w:tblStylePr>
    <w:tblStylePr w:type="lastRow">
      <w:tblPr/>
      <w:tcPr>
        <w:tcBorders>
          <w:top w:val="single" w:sz="8" w:space="0" w:color="E97132"/>
          <w:left w:val="nil"/>
          <w:right w:val="nil"/>
          <w:insideH w:val="nil"/>
          <w:insideV w:val="nil"/>
        </w:tcBorders>
        <w:shd w:val="clear" w:color="auto" w:fill="FFFFFF"/>
      </w:tcPr>
    </w:tblStylePr>
    <w:tblStylePr w:type="firstCol">
      <w:tblPr/>
      <w:tcPr>
        <w:tcBorders>
          <w:top w:val="nil"/>
          <w:left w:val="nil"/>
          <w:bottom w:val="nil"/>
          <w:right w:val="single" w:sz="8" w:space="0" w:color="E97132"/>
          <w:insideH w:val="nil"/>
          <w:insideV w:val="nil"/>
        </w:tcBorders>
        <w:shd w:val="clear" w:color="auto" w:fill="FFFFFF"/>
      </w:tcPr>
    </w:tblStylePr>
    <w:tblStylePr w:type="lastCol">
      <w:tblPr/>
      <w:tcPr>
        <w:tcBorders>
          <w:top w:val="nil"/>
          <w:left w:val="single" w:sz="8" w:space="0" w:color="E9713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9DBCC"/>
      </w:tcPr>
    </w:tblStylePr>
    <w:tblStylePr w:type="band1Horz">
      <w:tblPr/>
      <w:tcPr>
        <w:tcBorders>
          <w:top w:val="nil"/>
          <w:bottom w:val="nil"/>
          <w:insideH w:val="nil"/>
          <w:insideV w:val="nil"/>
        </w:tcBorders>
        <w:shd w:val="clear" w:color="auto" w:fill="F9DBCC"/>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rPr>
      <w:rFonts w:ascii="Aptos Display" w:eastAsia="DengXian Light" w:hAnsi="Aptos Display" w:cs="Times New Roman"/>
      <w:color w:val="000080"/>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rPr>
        <w:sz w:val="24"/>
        <w:szCs w:val="24"/>
      </w:rPr>
      <w:tblPr/>
      <w:tcPr>
        <w:tcBorders>
          <w:top w:val="nil"/>
          <w:left w:val="nil"/>
          <w:bottom w:val="single" w:sz="24" w:space="0" w:color="196B24"/>
          <w:right w:val="nil"/>
          <w:insideH w:val="nil"/>
          <w:insideV w:val="nil"/>
        </w:tcBorders>
        <w:shd w:val="clear" w:color="auto" w:fill="FFFFFF"/>
      </w:tcPr>
    </w:tblStylePr>
    <w:tblStylePr w:type="lastRow">
      <w:tblPr/>
      <w:tcPr>
        <w:tcBorders>
          <w:top w:val="single" w:sz="8" w:space="0" w:color="196B24"/>
          <w:left w:val="nil"/>
          <w:bottom w:val="nil"/>
          <w:right w:val="nil"/>
          <w:insideH w:val="nil"/>
          <w:insideV w:val="nil"/>
        </w:tcBorders>
        <w:shd w:val="clear" w:color="auto" w:fill="FFFFFF"/>
      </w:tcPr>
    </w:tblStylePr>
    <w:tblStylePr w:type="firstCol">
      <w:tblPr/>
      <w:tcPr>
        <w:tcBorders>
          <w:top w:val="nil"/>
          <w:left w:val="nil"/>
          <w:bottom w:val="nil"/>
          <w:right w:val="single" w:sz="8" w:space="0" w:color="196B24"/>
          <w:insideH w:val="nil"/>
          <w:insideV w:val="nil"/>
        </w:tcBorders>
        <w:shd w:val="clear" w:color="auto" w:fill="FFFFFF"/>
      </w:tcPr>
    </w:tblStylePr>
    <w:tblStylePr w:type="lastCol">
      <w:tblPr/>
      <w:tcPr>
        <w:tcBorders>
          <w:top w:val="nil"/>
          <w:left w:val="single" w:sz="8" w:space="0" w:color="196B2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3EDBA"/>
      </w:tcPr>
    </w:tblStylePr>
    <w:tblStylePr w:type="band1Horz">
      <w:tblPr/>
      <w:tcPr>
        <w:tcBorders>
          <w:top w:val="nil"/>
          <w:bottom w:val="nil"/>
          <w:insideH w:val="nil"/>
          <w:insideV w:val="nil"/>
        </w:tcBorders>
        <w:shd w:val="clear" w:color="auto" w:fill="B3EDBA"/>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rPr>
      <w:rFonts w:ascii="Aptos Display" w:eastAsia="DengXian Light" w:hAnsi="Aptos Display" w:cs="Times New Roman"/>
      <w:color w:val="000080"/>
    </w:r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rPr>
        <w:sz w:val="24"/>
        <w:szCs w:val="24"/>
      </w:rPr>
      <w:tblPr/>
      <w:tcPr>
        <w:tcBorders>
          <w:top w:val="nil"/>
          <w:left w:val="nil"/>
          <w:bottom w:val="single" w:sz="24" w:space="0" w:color="0F9ED5"/>
          <w:right w:val="nil"/>
          <w:insideH w:val="nil"/>
          <w:insideV w:val="nil"/>
        </w:tcBorders>
        <w:shd w:val="clear" w:color="auto" w:fill="FFFFFF"/>
      </w:tcPr>
    </w:tblStylePr>
    <w:tblStylePr w:type="lastRow">
      <w:tblPr/>
      <w:tcPr>
        <w:tcBorders>
          <w:top w:val="single" w:sz="8" w:space="0" w:color="0F9ED5"/>
          <w:left w:val="nil"/>
          <w:bottom w:val="nil"/>
          <w:right w:val="nil"/>
          <w:insideH w:val="nil"/>
          <w:insideV w:val="nil"/>
        </w:tcBorders>
        <w:shd w:val="clear" w:color="auto" w:fill="FFFFFF"/>
      </w:tcPr>
    </w:tblStylePr>
    <w:tblStylePr w:type="firstCol">
      <w:tblPr/>
      <w:tcPr>
        <w:tcBorders>
          <w:top w:val="nil"/>
          <w:left w:val="nil"/>
          <w:bottom w:val="nil"/>
          <w:right w:val="single" w:sz="8" w:space="0" w:color="0F9ED5"/>
          <w:insideH w:val="nil"/>
          <w:insideV w:val="nil"/>
        </w:tcBorders>
        <w:shd w:val="clear" w:color="auto" w:fill="FFFFFF"/>
      </w:tcPr>
    </w:tblStylePr>
    <w:tblStylePr w:type="lastCol">
      <w:tblPr/>
      <w:tcPr>
        <w:tcBorders>
          <w:top w:val="nil"/>
          <w:left w:val="single" w:sz="8" w:space="0" w:color="0F9E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DE9FA"/>
      </w:tcPr>
    </w:tblStylePr>
    <w:tblStylePr w:type="band1Horz">
      <w:tblPr/>
      <w:tcPr>
        <w:tcBorders>
          <w:top w:val="nil"/>
          <w:bottom w:val="nil"/>
          <w:insideH w:val="nil"/>
          <w:insideV w:val="nil"/>
        </w:tcBorders>
        <w:shd w:val="clear" w:color="auto" w:fill="BDE9FA"/>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rPr>
      <w:rFonts w:ascii="Aptos Display" w:eastAsia="DengXian Light" w:hAnsi="Aptos Display" w:cs="Times New Roman"/>
      <w:color w:val="000080"/>
    </w:r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rPr>
        <w:sz w:val="24"/>
        <w:szCs w:val="24"/>
      </w:rPr>
      <w:tblPr/>
      <w:tcPr>
        <w:tcBorders>
          <w:top w:val="nil"/>
          <w:left w:val="nil"/>
          <w:bottom w:val="single" w:sz="24" w:space="0" w:color="A02B93"/>
          <w:right w:val="nil"/>
          <w:insideH w:val="nil"/>
          <w:insideV w:val="nil"/>
        </w:tcBorders>
        <w:shd w:val="clear" w:color="auto" w:fill="FFFFFF"/>
      </w:tcPr>
    </w:tblStylePr>
    <w:tblStylePr w:type="lastRow">
      <w:tblPr/>
      <w:tcPr>
        <w:tcBorders>
          <w:top w:val="single" w:sz="8" w:space="0" w:color="A02B93"/>
          <w:left w:val="nil"/>
          <w:bottom w:val="nil"/>
          <w:right w:val="nil"/>
          <w:insideH w:val="nil"/>
          <w:insideV w:val="nil"/>
        </w:tcBorders>
        <w:shd w:val="clear" w:color="auto" w:fill="FFFFFF"/>
      </w:tcPr>
    </w:tblStylePr>
    <w:tblStylePr w:type="firstCol">
      <w:tblPr/>
      <w:tcPr>
        <w:tcBorders>
          <w:top w:val="nil"/>
          <w:left w:val="nil"/>
          <w:bottom w:val="nil"/>
          <w:right w:val="single" w:sz="8" w:space="0" w:color="A02B93"/>
          <w:insideH w:val="nil"/>
          <w:insideV w:val="nil"/>
        </w:tcBorders>
        <w:shd w:val="clear" w:color="auto" w:fill="FFFFFF"/>
      </w:tcPr>
    </w:tblStylePr>
    <w:tblStylePr w:type="lastCol">
      <w:tblPr/>
      <w:tcPr>
        <w:tcBorders>
          <w:top w:val="nil"/>
          <w:left w:val="single" w:sz="8" w:space="0" w:color="A02B9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C3E9"/>
      </w:tcPr>
    </w:tblStylePr>
    <w:tblStylePr w:type="band1Horz">
      <w:tblPr/>
      <w:tcPr>
        <w:tcBorders>
          <w:top w:val="nil"/>
          <w:bottom w:val="nil"/>
          <w:insideH w:val="nil"/>
          <w:insideV w:val="nil"/>
        </w:tcBorders>
        <w:shd w:val="clear" w:color="auto" w:fill="EFC3E9"/>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rPr>
      <w:rFonts w:ascii="Aptos Display" w:eastAsia="DengXian Light" w:hAnsi="Aptos Display" w:cs="Times New Roman"/>
      <w:color w:val="000080"/>
    </w:r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rPr>
        <w:sz w:val="24"/>
        <w:szCs w:val="24"/>
      </w:rPr>
      <w:tblPr/>
      <w:tcPr>
        <w:tcBorders>
          <w:top w:val="nil"/>
          <w:left w:val="nil"/>
          <w:bottom w:val="single" w:sz="24" w:space="0" w:color="4EA72E"/>
          <w:right w:val="nil"/>
          <w:insideH w:val="nil"/>
          <w:insideV w:val="nil"/>
        </w:tcBorders>
        <w:shd w:val="clear" w:color="auto" w:fill="FFFFFF"/>
      </w:tcPr>
    </w:tblStylePr>
    <w:tblStylePr w:type="lastRow">
      <w:tblPr/>
      <w:tcPr>
        <w:tcBorders>
          <w:top w:val="single" w:sz="8" w:space="0" w:color="4EA72E"/>
          <w:left w:val="nil"/>
          <w:bottom w:val="nil"/>
          <w:right w:val="nil"/>
          <w:insideH w:val="nil"/>
          <w:insideV w:val="nil"/>
        </w:tcBorders>
        <w:shd w:val="clear" w:color="auto" w:fill="FFFFFF"/>
      </w:tcPr>
    </w:tblStylePr>
    <w:tblStylePr w:type="firstCol">
      <w:tblPr/>
      <w:tcPr>
        <w:tcBorders>
          <w:top w:val="nil"/>
          <w:left w:val="nil"/>
          <w:bottom w:val="nil"/>
          <w:right w:val="single" w:sz="8" w:space="0" w:color="4EA72E"/>
          <w:insideH w:val="nil"/>
          <w:insideV w:val="nil"/>
        </w:tcBorders>
        <w:shd w:val="clear" w:color="auto" w:fill="FFFFFF"/>
      </w:tcPr>
    </w:tblStylePr>
    <w:tblStylePr w:type="lastCol">
      <w:tblPr/>
      <w:tcPr>
        <w:tcBorders>
          <w:top w:val="nil"/>
          <w:left w:val="single" w:sz="8" w:space="0" w:color="4EA72E"/>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EFC5"/>
      </w:tcPr>
    </w:tblStylePr>
    <w:tblStylePr w:type="band1Horz">
      <w:tblPr/>
      <w:tcPr>
        <w:tcBorders>
          <w:top w:val="nil"/>
          <w:bottom w:val="nil"/>
          <w:insideH w:val="nil"/>
          <w:insideV w:val="nil"/>
        </w:tcBorders>
        <w:shd w:val="clear" w:color="auto" w:fill="D0EFC5"/>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semiHidden/>
    <w:unhideWhenUsed/>
    <w:rsid w:val="006B6D3E"/>
    <w:tblPr>
      <w:tblStyleRowBandSize w:val="1"/>
      <w:tblStyleColBandSize w:val="1"/>
      <w:tblBorders>
        <w:top w:val="single" w:sz="8" w:space="0" w:color="0000DF"/>
        <w:left w:val="single" w:sz="8" w:space="0" w:color="0000DF"/>
        <w:bottom w:val="single" w:sz="8" w:space="0" w:color="0000DF"/>
        <w:right w:val="single" w:sz="8" w:space="0" w:color="0000DF"/>
        <w:insideH w:val="single" w:sz="8" w:space="0" w:color="0000DF"/>
      </w:tblBorders>
    </w:tblPr>
    <w:tblStylePr w:type="firstRow">
      <w:pPr>
        <w:spacing w:before="0" w:after="0" w:line="240" w:lineRule="auto"/>
      </w:pPr>
      <w:rPr>
        <w:b/>
        <w:bCs/>
        <w:color w:val="FFFFFF"/>
      </w:rPr>
      <w:tblPr/>
      <w:tcPr>
        <w:tcBorders>
          <w:top w:val="single" w:sz="8" w:space="0" w:color="0000DF"/>
          <w:left w:val="single" w:sz="8" w:space="0" w:color="0000DF"/>
          <w:bottom w:val="single" w:sz="8" w:space="0" w:color="0000DF"/>
          <w:right w:val="single" w:sz="8" w:space="0" w:color="0000DF"/>
          <w:insideH w:val="nil"/>
          <w:insideV w:val="nil"/>
        </w:tcBorders>
        <w:shd w:val="clear" w:color="auto" w:fill="000080"/>
      </w:tcPr>
    </w:tblStylePr>
    <w:tblStylePr w:type="lastRow">
      <w:pPr>
        <w:spacing w:before="0" w:after="0" w:line="240" w:lineRule="auto"/>
      </w:pPr>
      <w:rPr>
        <w:b/>
        <w:bCs/>
      </w:rPr>
      <w:tblPr/>
      <w:tcPr>
        <w:tcBorders>
          <w:top w:val="double" w:sz="6" w:space="0" w:color="0000DF"/>
          <w:left w:val="single" w:sz="8" w:space="0" w:color="0000DF"/>
          <w:bottom w:val="single" w:sz="8" w:space="0" w:color="0000DF"/>
          <w:right w:val="single" w:sz="8" w:space="0" w:color="0000DF"/>
          <w:insideH w:val="nil"/>
          <w:insideV w:val="nil"/>
        </w:tcBorders>
      </w:tcPr>
    </w:tblStylePr>
    <w:tblStylePr w:type="firstCol">
      <w:rPr>
        <w:b/>
        <w:bCs/>
      </w:rPr>
    </w:tblStylePr>
    <w:tblStylePr w:type="lastCol">
      <w:rPr>
        <w:b/>
        <w:bCs/>
      </w:rPr>
    </w:tblStylePr>
    <w:tblStylePr w:type="band1Vert">
      <w:tblPr/>
      <w:tcPr>
        <w:shd w:val="clear" w:color="auto" w:fill="A0A0FF"/>
      </w:tcPr>
    </w:tblStylePr>
    <w:tblStylePr w:type="band1Horz">
      <w:tblPr/>
      <w:tcPr>
        <w:tcBorders>
          <w:insideH w:val="nil"/>
          <w:insideV w:val="nil"/>
        </w:tcBorders>
        <w:shd w:val="clear" w:color="auto" w:fill="A0A0F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tblBorders>
    </w:tblPr>
    <w:tblStylePr w:type="firstRow">
      <w:pPr>
        <w:spacing w:before="0" w:after="0" w:line="240" w:lineRule="auto"/>
      </w:pPr>
      <w:rPr>
        <w:b/>
        <w:bCs/>
        <w:color w:val="FFFFFF"/>
      </w:rPr>
      <w:tblPr/>
      <w:tcPr>
        <w:tcBorders>
          <w:top w:val="single" w:sz="8" w:space="0" w:color="2198CF"/>
          <w:left w:val="single" w:sz="8" w:space="0" w:color="2198CF"/>
          <w:bottom w:val="single" w:sz="8" w:space="0" w:color="2198CF"/>
          <w:right w:val="single" w:sz="8" w:space="0" w:color="2198CF"/>
          <w:insideH w:val="nil"/>
          <w:insideV w:val="nil"/>
        </w:tcBorders>
        <w:shd w:val="clear" w:color="auto" w:fill="156082"/>
      </w:tcPr>
    </w:tblStylePr>
    <w:tblStylePr w:type="lastRow">
      <w:pPr>
        <w:spacing w:before="0" w:after="0" w:line="240" w:lineRule="auto"/>
      </w:pPr>
      <w:rPr>
        <w:b/>
        <w:bCs/>
      </w:rPr>
      <w:tblPr/>
      <w:tcPr>
        <w:tcBorders>
          <w:top w:val="double" w:sz="6" w:space="0" w:color="2198CF"/>
          <w:left w:val="single" w:sz="8" w:space="0" w:color="2198CF"/>
          <w:bottom w:val="single" w:sz="8" w:space="0" w:color="2198CF"/>
          <w:right w:val="single" w:sz="8" w:space="0" w:color="2198CF"/>
          <w:insideH w:val="nil"/>
          <w:insideV w:val="nil"/>
        </w:tcBorders>
      </w:tcPr>
    </w:tblStylePr>
    <w:tblStylePr w:type="firstCol">
      <w:rPr>
        <w:b/>
        <w:bCs/>
      </w:rPr>
    </w:tblStylePr>
    <w:tblStylePr w:type="lastCol">
      <w:rPr>
        <w:b/>
        <w:bCs/>
      </w:rPr>
    </w:tblStylePr>
    <w:tblStylePr w:type="band1Vert">
      <w:tblPr/>
      <w:tcPr>
        <w:shd w:val="clear" w:color="auto" w:fill="B2DEF2"/>
      </w:tcPr>
    </w:tblStylePr>
    <w:tblStylePr w:type="band1Horz">
      <w:tblPr/>
      <w:tcPr>
        <w:tcBorders>
          <w:insideH w:val="nil"/>
          <w:insideV w:val="nil"/>
        </w:tcBorders>
        <w:shd w:val="clear" w:color="auto" w:fill="B2DEF2"/>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tblBorders>
    </w:tblPr>
    <w:tblStylePr w:type="firstRow">
      <w:pPr>
        <w:spacing w:before="0" w:after="0" w:line="240" w:lineRule="auto"/>
      </w:pPr>
      <w:rPr>
        <w:b/>
        <w:bCs/>
        <w:color w:val="FFFFFF"/>
      </w:rPr>
      <w:tblPr/>
      <w:tcPr>
        <w:tcBorders>
          <w:top w:val="single" w:sz="8" w:space="0" w:color="EE9465"/>
          <w:left w:val="single" w:sz="8" w:space="0" w:color="EE9465"/>
          <w:bottom w:val="single" w:sz="8" w:space="0" w:color="EE9465"/>
          <w:right w:val="single" w:sz="8" w:space="0" w:color="EE9465"/>
          <w:insideH w:val="nil"/>
          <w:insideV w:val="nil"/>
        </w:tcBorders>
        <w:shd w:val="clear" w:color="auto" w:fill="E97132"/>
      </w:tcPr>
    </w:tblStylePr>
    <w:tblStylePr w:type="lastRow">
      <w:pPr>
        <w:spacing w:before="0" w:after="0" w:line="240" w:lineRule="auto"/>
      </w:pPr>
      <w:rPr>
        <w:b/>
        <w:bCs/>
      </w:rPr>
      <w:tblPr/>
      <w:tcPr>
        <w:tcBorders>
          <w:top w:val="double" w:sz="6" w:space="0" w:color="EE9465"/>
          <w:left w:val="single" w:sz="8" w:space="0" w:color="EE9465"/>
          <w:bottom w:val="single" w:sz="8" w:space="0" w:color="EE9465"/>
          <w:right w:val="single" w:sz="8" w:space="0" w:color="EE9465"/>
          <w:insideH w:val="nil"/>
          <w:insideV w:val="nil"/>
        </w:tcBorders>
      </w:tcPr>
    </w:tblStylePr>
    <w:tblStylePr w:type="firstCol">
      <w:rPr>
        <w:b/>
        <w:bCs/>
      </w:rPr>
    </w:tblStylePr>
    <w:tblStylePr w:type="lastCol">
      <w:rPr>
        <w:b/>
        <w:bCs/>
      </w:rPr>
    </w:tblStylePr>
    <w:tblStylePr w:type="band1Vert">
      <w:tblPr/>
      <w:tcPr>
        <w:shd w:val="clear" w:color="auto" w:fill="F9DBCC"/>
      </w:tcPr>
    </w:tblStylePr>
    <w:tblStylePr w:type="band1Horz">
      <w:tblPr/>
      <w:tcPr>
        <w:tcBorders>
          <w:insideH w:val="nil"/>
          <w:insideV w:val="nil"/>
        </w:tcBorders>
        <w:shd w:val="clear" w:color="auto" w:fill="F9DBCC"/>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tblBorders>
    </w:tblPr>
    <w:tblStylePr w:type="firstRow">
      <w:pPr>
        <w:spacing w:before="0" w:after="0" w:line="240" w:lineRule="auto"/>
      </w:pPr>
      <w:rPr>
        <w:b/>
        <w:bCs/>
        <w:color w:val="FFFFFF"/>
      </w:rPr>
      <w:tblPr/>
      <w:tcPr>
        <w:tcBorders>
          <w:top w:val="single" w:sz="8" w:space="0" w:color="2BB73D"/>
          <w:left w:val="single" w:sz="8" w:space="0" w:color="2BB73D"/>
          <w:bottom w:val="single" w:sz="8" w:space="0" w:color="2BB73D"/>
          <w:right w:val="single" w:sz="8" w:space="0" w:color="2BB73D"/>
          <w:insideH w:val="nil"/>
          <w:insideV w:val="nil"/>
        </w:tcBorders>
        <w:shd w:val="clear" w:color="auto" w:fill="196B24"/>
      </w:tcPr>
    </w:tblStylePr>
    <w:tblStylePr w:type="lastRow">
      <w:pPr>
        <w:spacing w:before="0" w:after="0" w:line="240" w:lineRule="auto"/>
      </w:pPr>
      <w:rPr>
        <w:b/>
        <w:bCs/>
      </w:rPr>
      <w:tblPr/>
      <w:tcPr>
        <w:tcBorders>
          <w:top w:val="double" w:sz="6" w:space="0" w:color="2BB73D"/>
          <w:left w:val="single" w:sz="8" w:space="0" w:color="2BB73D"/>
          <w:bottom w:val="single" w:sz="8" w:space="0" w:color="2BB73D"/>
          <w:right w:val="single" w:sz="8" w:space="0" w:color="2BB73D"/>
          <w:insideH w:val="nil"/>
          <w:insideV w:val="nil"/>
        </w:tcBorders>
      </w:tcPr>
    </w:tblStylePr>
    <w:tblStylePr w:type="firstCol">
      <w:rPr>
        <w:b/>
        <w:bCs/>
      </w:rPr>
    </w:tblStylePr>
    <w:tblStylePr w:type="lastCol">
      <w:rPr>
        <w:b/>
        <w:bCs/>
      </w:rPr>
    </w:tblStylePr>
    <w:tblStylePr w:type="band1Vert">
      <w:tblPr/>
      <w:tcPr>
        <w:shd w:val="clear" w:color="auto" w:fill="B3EDBA"/>
      </w:tcPr>
    </w:tblStylePr>
    <w:tblStylePr w:type="band1Horz">
      <w:tblPr/>
      <w:tcPr>
        <w:tcBorders>
          <w:insideH w:val="nil"/>
          <w:insideV w:val="nil"/>
        </w:tcBorders>
        <w:shd w:val="clear" w:color="auto" w:fill="B3EDBA"/>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tblBorders>
    </w:tblPr>
    <w:tblStylePr w:type="firstRow">
      <w:pPr>
        <w:spacing w:before="0" w:after="0" w:line="240" w:lineRule="auto"/>
      </w:pPr>
      <w:rPr>
        <w:b/>
        <w:bCs/>
        <w:color w:val="FFFFFF"/>
      </w:rPr>
      <w:tblPr/>
      <w:tcPr>
        <w:tcBorders>
          <w:top w:val="single" w:sz="8" w:space="0" w:color="39BEF1"/>
          <w:left w:val="single" w:sz="8" w:space="0" w:color="39BEF1"/>
          <w:bottom w:val="single" w:sz="8" w:space="0" w:color="39BEF1"/>
          <w:right w:val="single" w:sz="8" w:space="0" w:color="39BEF1"/>
          <w:insideH w:val="nil"/>
          <w:insideV w:val="nil"/>
        </w:tcBorders>
        <w:shd w:val="clear" w:color="auto" w:fill="0F9ED5"/>
      </w:tcPr>
    </w:tblStylePr>
    <w:tblStylePr w:type="lastRow">
      <w:pPr>
        <w:spacing w:before="0" w:after="0" w:line="240" w:lineRule="auto"/>
      </w:pPr>
      <w:rPr>
        <w:b/>
        <w:bCs/>
      </w:rPr>
      <w:tblPr/>
      <w:tcPr>
        <w:tcBorders>
          <w:top w:val="double" w:sz="6" w:space="0" w:color="39BEF1"/>
          <w:left w:val="single" w:sz="8" w:space="0" w:color="39BEF1"/>
          <w:bottom w:val="single" w:sz="8" w:space="0" w:color="39BEF1"/>
          <w:right w:val="single" w:sz="8" w:space="0" w:color="39BEF1"/>
          <w:insideH w:val="nil"/>
          <w:insideV w:val="nil"/>
        </w:tcBorders>
      </w:tcPr>
    </w:tblStylePr>
    <w:tblStylePr w:type="firstCol">
      <w:rPr>
        <w:b/>
        <w:bCs/>
      </w:rPr>
    </w:tblStylePr>
    <w:tblStylePr w:type="lastCol">
      <w:rPr>
        <w:b/>
        <w:bCs/>
      </w:rPr>
    </w:tblStylePr>
    <w:tblStylePr w:type="band1Vert">
      <w:tblPr/>
      <w:tcPr>
        <w:shd w:val="clear" w:color="auto" w:fill="BDE9FA"/>
      </w:tcPr>
    </w:tblStylePr>
    <w:tblStylePr w:type="band1Horz">
      <w:tblPr/>
      <w:tcPr>
        <w:tcBorders>
          <w:insideH w:val="nil"/>
          <w:insideV w:val="nil"/>
        </w:tcBorders>
        <w:shd w:val="clear" w:color="auto" w:fill="BDE9FA"/>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tblBorders>
    </w:tblPr>
    <w:tblStylePr w:type="firstRow">
      <w:pPr>
        <w:spacing w:before="0" w:after="0" w:line="240" w:lineRule="auto"/>
      </w:pPr>
      <w:rPr>
        <w:b/>
        <w:bCs/>
        <w:color w:val="FFFFFF"/>
      </w:rPr>
      <w:tblPr/>
      <w:tcPr>
        <w:tcBorders>
          <w:top w:val="single" w:sz="8" w:space="0" w:color="CE49BF"/>
          <w:left w:val="single" w:sz="8" w:space="0" w:color="CE49BF"/>
          <w:bottom w:val="single" w:sz="8" w:space="0" w:color="CE49BF"/>
          <w:right w:val="single" w:sz="8" w:space="0" w:color="CE49BF"/>
          <w:insideH w:val="nil"/>
          <w:insideV w:val="nil"/>
        </w:tcBorders>
        <w:shd w:val="clear" w:color="auto" w:fill="A02B93"/>
      </w:tcPr>
    </w:tblStylePr>
    <w:tblStylePr w:type="lastRow">
      <w:pPr>
        <w:spacing w:before="0" w:after="0" w:line="240" w:lineRule="auto"/>
      </w:pPr>
      <w:rPr>
        <w:b/>
        <w:bCs/>
      </w:rPr>
      <w:tblPr/>
      <w:tcPr>
        <w:tcBorders>
          <w:top w:val="double" w:sz="6" w:space="0" w:color="CE49BF"/>
          <w:left w:val="single" w:sz="8" w:space="0" w:color="CE49BF"/>
          <w:bottom w:val="single" w:sz="8" w:space="0" w:color="CE49BF"/>
          <w:right w:val="single" w:sz="8" w:space="0" w:color="CE49BF"/>
          <w:insideH w:val="nil"/>
          <w:insideV w:val="nil"/>
        </w:tcBorders>
      </w:tcPr>
    </w:tblStylePr>
    <w:tblStylePr w:type="firstCol">
      <w:rPr>
        <w:b/>
        <w:bCs/>
      </w:rPr>
    </w:tblStylePr>
    <w:tblStylePr w:type="lastCol">
      <w:rPr>
        <w:b/>
        <w:bCs/>
      </w:rPr>
    </w:tblStylePr>
    <w:tblStylePr w:type="band1Vert">
      <w:tblPr/>
      <w:tcPr>
        <w:shd w:val="clear" w:color="auto" w:fill="EFC3E9"/>
      </w:tcPr>
    </w:tblStylePr>
    <w:tblStylePr w:type="band1Horz">
      <w:tblPr/>
      <w:tcPr>
        <w:tcBorders>
          <w:insideH w:val="nil"/>
          <w:insideV w:val="nil"/>
        </w:tcBorders>
        <w:shd w:val="clear" w:color="auto" w:fill="EFC3E9"/>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tblBorders>
    </w:tblPr>
    <w:tblStylePr w:type="firstRow">
      <w:pPr>
        <w:spacing w:before="0" w:after="0" w:line="240" w:lineRule="auto"/>
      </w:pPr>
      <w:rPr>
        <w:b/>
        <w:bCs/>
        <w:color w:val="FFFFFF"/>
      </w:rPr>
      <w:tblPr/>
      <w:tcPr>
        <w:tcBorders>
          <w:top w:val="single" w:sz="8" w:space="0" w:color="71CF50"/>
          <w:left w:val="single" w:sz="8" w:space="0" w:color="71CF50"/>
          <w:bottom w:val="single" w:sz="8" w:space="0" w:color="71CF50"/>
          <w:right w:val="single" w:sz="8" w:space="0" w:color="71CF50"/>
          <w:insideH w:val="nil"/>
          <w:insideV w:val="nil"/>
        </w:tcBorders>
        <w:shd w:val="clear" w:color="auto" w:fill="4EA72E"/>
      </w:tcPr>
    </w:tblStylePr>
    <w:tblStylePr w:type="lastRow">
      <w:pPr>
        <w:spacing w:before="0" w:after="0" w:line="240" w:lineRule="auto"/>
      </w:pPr>
      <w:rPr>
        <w:b/>
        <w:bCs/>
      </w:rPr>
      <w:tblPr/>
      <w:tcPr>
        <w:tcBorders>
          <w:top w:val="double" w:sz="6" w:space="0" w:color="71CF50"/>
          <w:left w:val="single" w:sz="8" w:space="0" w:color="71CF50"/>
          <w:bottom w:val="single" w:sz="8" w:space="0" w:color="71CF50"/>
          <w:right w:val="single" w:sz="8" w:space="0" w:color="71CF50"/>
          <w:insideH w:val="nil"/>
          <w:insideV w:val="nil"/>
        </w:tcBorders>
      </w:tcPr>
    </w:tblStylePr>
    <w:tblStylePr w:type="firstCol">
      <w:rPr>
        <w:b/>
        <w:bCs/>
      </w:rPr>
    </w:tblStylePr>
    <w:tblStylePr w:type="lastCol">
      <w:rPr>
        <w:b/>
        <w:bCs/>
      </w:rPr>
    </w:tblStylePr>
    <w:tblStylePr w:type="band1Vert">
      <w:tblPr/>
      <w:tcPr>
        <w:shd w:val="clear" w:color="auto" w:fill="D0EFC5"/>
      </w:tcPr>
    </w:tblStylePr>
    <w:tblStylePr w:type="band1Horz">
      <w:tblPr/>
      <w:tcPr>
        <w:tcBorders>
          <w:insideH w:val="nil"/>
          <w:insideV w:val="nil"/>
        </w:tcBorders>
        <w:shd w:val="clear" w:color="auto" w:fill="D0EFC5"/>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8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80"/>
      </w:tcPr>
    </w:tblStylePr>
    <w:tblStylePr w:type="lastCol">
      <w:rPr>
        <w:b/>
        <w:bCs/>
        <w:color w:val="FFFFFF"/>
      </w:rPr>
      <w:tblPr/>
      <w:tcPr>
        <w:tcBorders>
          <w:left w:val="nil"/>
          <w:right w:val="nil"/>
          <w:insideH w:val="nil"/>
          <w:insideV w:val="nil"/>
        </w:tcBorders>
        <w:shd w:val="clear" w:color="auto" w:fill="00008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5608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56082"/>
      </w:tcPr>
    </w:tblStylePr>
    <w:tblStylePr w:type="lastCol">
      <w:rPr>
        <w:b/>
        <w:bCs/>
        <w:color w:val="FFFFFF"/>
      </w:rPr>
      <w:tblPr/>
      <w:tcPr>
        <w:tcBorders>
          <w:left w:val="nil"/>
          <w:right w:val="nil"/>
          <w:insideH w:val="nil"/>
          <w:insideV w:val="nil"/>
        </w:tcBorders>
        <w:shd w:val="clear" w:color="auto" w:fill="15608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9713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97132"/>
      </w:tcPr>
    </w:tblStylePr>
    <w:tblStylePr w:type="lastCol">
      <w:rPr>
        <w:b/>
        <w:bCs/>
        <w:color w:val="FFFFFF"/>
      </w:rPr>
      <w:tblPr/>
      <w:tcPr>
        <w:tcBorders>
          <w:left w:val="nil"/>
          <w:right w:val="nil"/>
          <w:insideH w:val="nil"/>
          <w:insideV w:val="nil"/>
        </w:tcBorders>
        <w:shd w:val="clear" w:color="auto" w:fill="E9713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96B2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96B24"/>
      </w:tcPr>
    </w:tblStylePr>
    <w:tblStylePr w:type="lastCol">
      <w:rPr>
        <w:b/>
        <w:bCs/>
        <w:color w:val="FFFFFF"/>
      </w:rPr>
      <w:tblPr/>
      <w:tcPr>
        <w:tcBorders>
          <w:left w:val="nil"/>
          <w:right w:val="nil"/>
          <w:insideH w:val="nil"/>
          <w:insideV w:val="nil"/>
        </w:tcBorders>
        <w:shd w:val="clear" w:color="auto" w:fill="196B2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F9E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F9ED5"/>
      </w:tcPr>
    </w:tblStylePr>
    <w:tblStylePr w:type="lastCol">
      <w:rPr>
        <w:b/>
        <w:bCs/>
        <w:color w:val="FFFFFF"/>
      </w:rPr>
      <w:tblPr/>
      <w:tcPr>
        <w:tcBorders>
          <w:left w:val="nil"/>
          <w:right w:val="nil"/>
          <w:insideH w:val="nil"/>
          <w:insideV w:val="nil"/>
        </w:tcBorders>
        <w:shd w:val="clear" w:color="auto" w:fill="0F9E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02B9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02B93"/>
      </w:tcPr>
    </w:tblStylePr>
    <w:tblStylePr w:type="lastCol">
      <w:rPr>
        <w:b/>
        <w:bCs/>
        <w:color w:val="FFFFFF"/>
      </w:rPr>
      <w:tblPr/>
      <w:tcPr>
        <w:tcBorders>
          <w:left w:val="nil"/>
          <w:right w:val="nil"/>
          <w:insideH w:val="nil"/>
          <w:insideV w:val="nil"/>
        </w:tcBorders>
        <w:shd w:val="clear" w:color="auto" w:fill="A02B9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EA72E"/>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EA72E"/>
      </w:tcPr>
    </w:tblStylePr>
    <w:tblStylePr w:type="lastCol">
      <w:rPr>
        <w:b/>
        <w:bCs/>
        <w:color w:val="FFFFFF"/>
      </w:rPr>
      <w:tblPr/>
      <w:tcPr>
        <w:tcBorders>
          <w:left w:val="nil"/>
          <w:right w:val="nil"/>
          <w:insideH w:val="nil"/>
          <w:insideV w:val="nil"/>
        </w:tcBorders>
        <w:shd w:val="clear" w:color="auto" w:fill="4EA72E"/>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Aptos Display" w:eastAsia="DengXian Light" w:hAnsi="Aptos Display"/>
      <w:sz w:val="24"/>
      <w:szCs w:val="24"/>
    </w:rPr>
  </w:style>
  <w:style w:type="character" w:customStyle="1" w:styleId="MessageHeaderChar">
    <w:name w:val="Message Header Char"/>
    <w:link w:val="MessageHeader"/>
    <w:uiPriority w:val="99"/>
    <w:semiHidden/>
    <w:rsid w:val="006B6D3E"/>
    <w:rPr>
      <w:rFonts w:ascii="Aptos Display" w:eastAsia="DengXian Light" w:hAnsi="Aptos Display" w:cs="Times New Roman"/>
      <w:kern w:val="0"/>
      <w:shd w:val="pct20" w:color="auto" w:fill="auto"/>
      <w:lang w:val="en-GB"/>
    </w:rPr>
  </w:style>
  <w:style w:type="paragraph" w:styleId="NoSpacing">
    <w:name w:val="No Spacing"/>
    <w:uiPriority w:val="1"/>
    <w:qFormat/>
    <w:rsid w:val="006B6D3E"/>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link w:val="NoteHeading"/>
    <w:uiPriority w:val="99"/>
    <w:semiHidden/>
    <w:rsid w:val="006B6D3E"/>
    <w:rPr>
      <w:rFonts w:ascii="Times New Roman" w:eastAsia="SimSun" w:hAnsi="Times New Roman" w:cs="Times New Roman"/>
      <w:kern w:val="0"/>
      <w:sz w:val="22"/>
      <w:szCs w:val="22"/>
      <w:lang w:val="en-GB"/>
    </w:rPr>
  </w:style>
  <w:style w:type="character" w:styleId="PageNumber">
    <w:name w:val="page number"/>
    <w:uiPriority w:val="99"/>
    <w:semiHidden/>
    <w:unhideWhenUsed/>
    <w:rsid w:val="006B6D3E"/>
    <w:rPr>
      <w:lang w:val="en-GB"/>
    </w:rPr>
  </w:style>
  <w:style w:type="character" w:styleId="PlaceholderText">
    <w:name w:val="Placeholder Text"/>
    <w:uiPriority w:val="99"/>
    <w:semiHidden/>
    <w:rsid w:val="006B6D3E"/>
    <w:rPr>
      <w:color w:val="666666"/>
      <w:lang w:val="en-GB"/>
    </w:rPr>
  </w:style>
  <w:style w:type="table" w:styleId="PlainTable1">
    <w:name w:val="Plain Table 1"/>
    <w:basedOn w:val="TableNormal"/>
    <w:uiPriority w:val="41"/>
    <w:rsid w:val="006B6D3E"/>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rsid w:val="006B6D3E"/>
    <w:tblPr>
      <w:tblStyleRowBandSize w:val="1"/>
      <w:tblStyleColBandSize w:val="1"/>
      <w:tblBorders>
        <w:top w:val="single" w:sz="4" w:space="0" w:color="3F3FFF"/>
        <w:bottom w:val="single" w:sz="4" w:space="0" w:color="3F3FFF"/>
      </w:tblBorders>
    </w:tblPr>
    <w:tblStylePr w:type="firstRow">
      <w:rPr>
        <w:b/>
        <w:bCs/>
      </w:rPr>
      <w:tblPr/>
      <w:tcPr>
        <w:tcBorders>
          <w:bottom w:val="single" w:sz="4" w:space="0" w:color="3F3FFF"/>
        </w:tcBorders>
      </w:tcPr>
    </w:tblStylePr>
    <w:tblStylePr w:type="lastRow">
      <w:rPr>
        <w:b/>
        <w:bCs/>
      </w:rPr>
      <w:tblPr/>
      <w:tcPr>
        <w:tcBorders>
          <w:top w:val="single" w:sz="4" w:space="0" w:color="3F3FFF"/>
        </w:tcBorders>
      </w:tcPr>
    </w:tblStylePr>
    <w:tblStylePr w:type="firstCol">
      <w:rPr>
        <w:b/>
        <w:bCs/>
      </w:rPr>
    </w:tblStylePr>
    <w:tblStylePr w:type="lastCol">
      <w:rPr>
        <w:b/>
        <w:bCs/>
      </w:rPr>
    </w:tblStylePr>
    <w:tblStylePr w:type="band1Vert">
      <w:tblPr/>
      <w:tcPr>
        <w:tcBorders>
          <w:left w:val="single" w:sz="4" w:space="0" w:color="3F3FFF"/>
          <w:right w:val="single" w:sz="4" w:space="0" w:color="3F3FFF"/>
        </w:tcBorders>
      </w:tcPr>
    </w:tblStylePr>
    <w:tblStylePr w:type="band2Vert">
      <w:tblPr/>
      <w:tcPr>
        <w:tcBorders>
          <w:left w:val="single" w:sz="4" w:space="0" w:color="3F3FFF"/>
          <w:right w:val="single" w:sz="4" w:space="0" w:color="3F3FFF"/>
        </w:tcBorders>
      </w:tcPr>
    </w:tblStylePr>
    <w:tblStylePr w:type="band1Horz">
      <w:tblPr/>
      <w:tcPr>
        <w:tcBorders>
          <w:top w:val="single" w:sz="4" w:space="0" w:color="3F3FFF"/>
          <w:bottom w:val="single" w:sz="4" w:space="0" w:color="3F3FFF"/>
        </w:tcBorders>
      </w:tcPr>
    </w:tblStylePr>
  </w:style>
  <w:style w:type="table" w:styleId="PlainTable3">
    <w:name w:val="Plain Table 3"/>
    <w:basedOn w:val="TableNormal"/>
    <w:uiPriority w:val="43"/>
    <w:rsid w:val="006B6D3E"/>
    <w:tblPr>
      <w:tblStyleRowBandSize w:val="1"/>
      <w:tblStyleColBandSize w:val="1"/>
    </w:tblPr>
    <w:tblStylePr w:type="firstRow">
      <w:rPr>
        <w:b/>
        <w:bCs/>
        <w:caps/>
      </w:rPr>
      <w:tblPr/>
      <w:tcPr>
        <w:tcBorders>
          <w:bottom w:val="single" w:sz="4" w:space="0" w:color="3F3FFF"/>
        </w:tcBorders>
      </w:tcPr>
    </w:tblStylePr>
    <w:tblStylePr w:type="lastRow">
      <w:rPr>
        <w:b/>
        <w:bCs/>
        <w:caps/>
      </w:rPr>
      <w:tblPr/>
      <w:tcPr>
        <w:tcBorders>
          <w:top w:val="nil"/>
        </w:tcBorders>
      </w:tcPr>
    </w:tblStylePr>
    <w:tblStylePr w:type="firstCol">
      <w:rPr>
        <w:b/>
        <w:bCs/>
        <w:caps/>
      </w:rPr>
      <w:tblPr/>
      <w:tcPr>
        <w:tcBorders>
          <w:right w:val="single" w:sz="4" w:space="0" w:color="3F3FF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5">
    <w:name w:val="Plain Table 5"/>
    <w:basedOn w:val="TableNormal"/>
    <w:uiPriority w:val="45"/>
    <w:rsid w:val="006B6D3E"/>
    <w:tblPr>
      <w:tblStyleRowBandSize w:val="1"/>
      <w:tblStyleColBandSize w:val="1"/>
    </w:tblPr>
    <w:tblStylePr w:type="firstRow">
      <w:rPr>
        <w:rFonts w:ascii="Aptos Display" w:eastAsia="DengXian Light" w:hAnsi="Aptos Display" w:cs="Times New Roman"/>
        <w:i/>
        <w:iCs/>
        <w:sz w:val="26"/>
      </w:rPr>
      <w:tblPr/>
      <w:tcPr>
        <w:tcBorders>
          <w:bottom w:val="single" w:sz="4" w:space="0" w:color="3F3FFF"/>
        </w:tcBorders>
        <w:shd w:val="clear" w:color="auto" w:fill="FFFFFF"/>
      </w:tcPr>
    </w:tblStylePr>
    <w:tblStylePr w:type="lastRow">
      <w:rPr>
        <w:rFonts w:ascii="Aptos Display" w:eastAsia="DengXian Light" w:hAnsi="Aptos Display" w:cs="Times New Roman"/>
        <w:i/>
        <w:iCs/>
        <w:sz w:val="26"/>
      </w:rPr>
      <w:tblPr/>
      <w:tcPr>
        <w:tcBorders>
          <w:top w:val="single" w:sz="4" w:space="0" w:color="3F3FFF"/>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3F3FFF"/>
        </w:tcBorders>
        <w:shd w:val="clear" w:color="auto" w:fill="FFFFFF"/>
      </w:tcPr>
    </w:tblStylePr>
    <w:tblStylePr w:type="lastCol">
      <w:rPr>
        <w:rFonts w:ascii="Aptos Display" w:eastAsia="DengXian Light" w:hAnsi="Aptos Display" w:cs="Times New Roman"/>
        <w:i/>
        <w:iCs/>
        <w:sz w:val="26"/>
      </w:rPr>
      <w:tblPr/>
      <w:tcPr>
        <w:tcBorders>
          <w:left w:val="single" w:sz="4" w:space="0" w:color="3F3FF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link w:val="PlainText"/>
    <w:uiPriority w:val="99"/>
    <w:semiHidden/>
    <w:rsid w:val="006B6D3E"/>
    <w:rPr>
      <w:rFonts w:ascii="Consolas" w:eastAsia="SimSun" w:hAnsi="Consolas" w:cs="Times New Roman"/>
      <w:kern w:val="0"/>
      <w:sz w:val="21"/>
      <w:szCs w:val="21"/>
      <w:lang w:val="en-GB"/>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link w:val="Salutation"/>
    <w:uiPriority w:val="99"/>
    <w:semiHidden/>
    <w:rsid w:val="006B6D3E"/>
    <w:rPr>
      <w:rFonts w:ascii="Times New Roman" w:eastAsia="SimSun" w:hAnsi="Times New Roman" w:cs="Times New Roman"/>
      <w:kern w:val="0"/>
      <w:sz w:val="22"/>
      <w:szCs w:val="22"/>
      <w:lang w:val="en-GB"/>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link w:val="Signature"/>
    <w:uiPriority w:val="99"/>
    <w:semiHidden/>
    <w:rsid w:val="006B6D3E"/>
    <w:rPr>
      <w:rFonts w:ascii="Times New Roman" w:eastAsia="SimSun" w:hAnsi="Times New Roman" w:cs="Times New Roman"/>
      <w:kern w:val="0"/>
      <w:sz w:val="22"/>
      <w:szCs w:val="22"/>
      <w:lang w:val="en-GB"/>
    </w:rPr>
  </w:style>
  <w:style w:type="character" w:customStyle="1" w:styleId="SmartHyperlink1">
    <w:name w:val="Smart Hyperlink1"/>
    <w:uiPriority w:val="99"/>
    <w:semiHidden/>
    <w:unhideWhenUsed/>
    <w:rsid w:val="006B6D3E"/>
    <w:rPr>
      <w:u w:val="dotted"/>
      <w:lang w:val="en-GB"/>
    </w:rPr>
  </w:style>
  <w:style w:type="character" w:customStyle="1" w:styleId="SmartLink1">
    <w:name w:val="SmartLink1"/>
    <w:uiPriority w:val="99"/>
    <w:semiHidden/>
    <w:unhideWhenUsed/>
    <w:rsid w:val="006B6D3E"/>
    <w:rPr>
      <w:color w:val="0000FF"/>
      <w:u w:val="single"/>
      <w:shd w:val="clear" w:color="auto" w:fill="F3F2F1"/>
      <w:lang w:val="en-GB"/>
    </w:rPr>
  </w:style>
  <w:style w:type="character" w:styleId="Strong">
    <w:name w:val="Strong"/>
    <w:uiPriority w:val="22"/>
    <w:qFormat/>
    <w:rsid w:val="006B6D3E"/>
    <w:rPr>
      <w:b/>
      <w:bCs/>
      <w:lang w:val="en-GB"/>
    </w:rPr>
  </w:style>
  <w:style w:type="character" w:styleId="SubtleEmphasis">
    <w:name w:val="Subtle Emphasis"/>
    <w:uiPriority w:val="19"/>
    <w:qFormat/>
    <w:rsid w:val="006B6D3E"/>
    <w:rPr>
      <w:i/>
      <w:iCs/>
      <w:color w:val="0000DF"/>
      <w:lang w:val="en-GB"/>
    </w:rPr>
  </w:style>
  <w:style w:type="character" w:styleId="SubtleReference">
    <w:name w:val="Subtle Reference"/>
    <w:uiPriority w:val="31"/>
    <w:qFormat/>
    <w:rsid w:val="006B6D3E"/>
    <w:rPr>
      <w:smallCaps/>
      <w:color w:val="0707FF"/>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Aptos Display" w:eastAsia="DengXian Light" w:hAnsi="Aptos Display"/>
      <w:b/>
      <w:bCs/>
      <w:sz w:val="24"/>
      <w:szCs w:val="24"/>
    </w:rPr>
  </w:style>
  <w:style w:type="paragraph" w:styleId="TOCHeading">
    <w:name w:val="TOC Heading"/>
    <w:basedOn w:val="Heading1"/>
    <w:next w:val="Normal"/>
    <w:uiPriority w:val="39"/>
    <w:semiHidden/>
    <w:unhideWhenUsed/>
    <w:qFormat/>
    <w:rsid w:val="006B6D3E"/>
    <w:pPr>
      <w:tabs>
        <w:tab w:val="left" w:pos="567"/>
      </w:tabs>
      <w:spacing w:after="0"/>
      <w:jc w:val="both"/>
      <w:outlineLvl w:val="9"/>
    </w:pPr>
    <w:rPr>
      <w:rFonts w:ascii="Aptos Display" w:hAnsi="Aptos Display"/>
      <w:b w:val="0"/>
      <w:bCs w:val="0"/>
      <w:color w:val="0F4761"/>
      <w:kern w:val="0"/>
      <w:sz w:val="32"/>
    </w:rPr>
  </w:style>
  <w:style w:type="character" w:customStyle="1" w:styleId="UnresolvedMention1">
    <w:name w:val="Unresolved Mention1"/>
    <w:uiPriority w:val="99"/>
    <w:semiHidden/>
    <w:unhideWhenUsed/>
    <w:rsid w:val="006B6D3E"/>
    <w:rPr>
      <w:color w:val="605E5C"/>
      <w:shd w:val="clear" w:color="auto" w:fill="E1DFDD"/>
      <w:lang w:val="en-GB"/>
    </w:rPr>
  </w:style>
  <w:style w:type="paragraph" w:customStyle="1" w:styleId="Para1">
    <w:name w:val="Para1"/>
    <w:basedOn w:val="Normal"/>
    <w:link w:val="Para1Char"/>
    <w:rsid w:val="00665B56"/>
    <w:pPr>
      <w:tabs>
        <w:tab w:val="clear" w:pos="567"/>
        <w:tab w:val="clear" w:pos="1134"/>
        <w:tab w:val="clear" w:pos="1701"/>
        <w:tab w:val="clear" w:pos="2268"/>
      </w:tabs>
      <w:snapToGrid w:val="0"/>
      <w:spacing w:before="120" w:after="120"/>
    </w:pPr>
    <w:rPr>
      <w:rFonts w:eastAsia="Times New Roman"/>
      <w:szCs w:val="18"/>
    </w:rPr>
  </w:style>
  <w:style w:type="character" w:customStyle="1" w:styleId="Para1Char">
    <w:name w:val="Para1 Char"/>
    <w:link w:val="Para1"/>
    <w:rsid w:val="00665B56"/>
    <w:rPr>
      <w:rFonts w:ascii="Times New Roman" w:eastAsia="Times New Roman" w:hAnsi="Times New Roman" w:cs="Times New Roman"/>
      <w:kern w:val="0"/>
      <w:sz w:val="22"/>
      <w:szCs w:val="18"/>
      <w:lang w:val="en-GB"/>
    </w:rPr>
  </w:style>
  <w:style w:type="character" w:customStyle="1" w:styleId="FootnoteTextChar1">
    <w:name w:val="Footnote Text Char1"/>
    <w:uiPriority w:val="99"/>
    <w:semiHidden/>
    <w:rsid w:val="00185D4D"/>
    <w:rPr>
      <w:kern w:val="0"/>
      <w:sz w:val="20"/>
      <w:szCs w:val="20"/>
    </w:rPr>
  </w:style>
  <w:style w:type="character" w:styleId="UnresolvedMention">
    <w:name w:val="Unresolved Mention"/>
    <w:uiPriority w:val="99"/>
    <w:semiHidden/>
    <w:unhideWhenUsed/>
    <w:rsid w:val="00E576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409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decisions/cop-16/cop-16-dec-04-zh.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cbd.int/doc/decisions/cop-16/cop-16-dec-05-zh.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decisions/cop-16/cop-16-dec-04-zh.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notifications/2025-061"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3/cop-13-dec-18-zh.pdf" TargetMode="External"/><Relationship Id="rId3" Type="http://schemas.openxmlformats.org/officeDocument/2006/relationships/hyperlink" Target="https://www.cbd.int/notifications/2025-061" TargetMode="External"/><Relationship Id="rId7" Type="http://schemas.openxmlformats.org/officeDocument/2006/relationships/hyperlink" Target="https://www.cbd.int/doc/decisions/cop-12/cop-12-dec-12-zh.pdf" TargetMode="External"/><Relationship Id="rId2" Type="http://schemas.openxmlformats.org/officeDocument/2006/relationships/hyperlink" Target="https://www.cbd.int/doc/decisions/cop-15/cop-15-dec-04-zh.pdf" TargetMode="External"/><Relationship Id="rId1" Type="http://schemas.openxmlformats.org/officeDocument/2006/relationships/hyperlink" Target="https://www.cbd.int/documents/CBD/A8J/WS/2025/2/2" TargetMode="External"/><Relationship Id="rId6" Type="http://schemas.openxmlformats.org/officeDocument/2006/relationships/hyperlink" Target="https://www.cbd.int/doc/meetings/cop/cop-07/official/cop-07-21-part2-zh.pdf" TargetMode="External"/><Relationship Id="rId5" Type="http://schemas.openxmlformats.org/officeDocument/2006/relationships/hyperlink" Target="https://www.cbd.int/doc/decisions/cop-15/cop-15-dec-04-zh.pdf" TargetMode="External"/><Relationship Id="rId4" Type="http://schemas.openxmlformats.org/officeDocument/2006/relationships/hyperlink" Target="https://www.cbd.int/doc/decisions/cop-15/cop-15-dec-04-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77E7B7EB-D9D7-499D-A64A-69E2A6620D9A}">
  <ds:schemaRefs>
    <ds:schemaRef ds:uri="http://schemas.openxmlformats.org/officeDocument/2006/bibliography"/>
  </ds:schemaRefs>
</ds:datastoreItem>
</file>

<file path=customXml/itemProps3.xml><?xml version="1.0" encoding="utf-8"?>
<ds:datastoreItem xmlns:ds="http://schemas.openxmlformats.org/officeDocument/2006/customXml" ds:itemID="{913E60A3-259A-43B1-866D-8482E1E6E0A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CD015A7C-0217-4156-9D1B-910C8F8AC3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template-sbi8j-01-en - Copy.dotm</Template>
  <TotalTime>468</TotalTime>
  <Pages>9</Pages>
  <Words>1294</Words>
  <Characters>7376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至2030年生物多样性公约关于土著人民和地方社区的第8(j)条和其他条款工作方案任务1.1和1.2相关准则的拟议要素</vt:lpstr>
    </vt:vector>
  </TitlesOfParts>
  <Company/>
  <LinksUpToDate>false</LinksUpToDate>
  <CharactersWithSpaces>8653</CharactersWithSpaces>
  <SharedDoc>false</SharedDoc>
  <HLinks>
    <vt:vector size="84" baseType="variant">
      <vt:variant>
        <vt:i4>1441870</vt:i4>
      </vt:variant>
      <vt:variant>
        <vt:i4>15</vt:i4>
      </vt:variant>
      <vt:variant>
        <vt:i4>0</vt:i4>
      </vt:variant>
      <vt:variant>
        <vt:i4>5</vt:i4>
      </vt:variant>
      <vt:variant>
        <vt:lpwstr>https://www.cbd.int/doc/decisions/cop-16/cop-16-dec-04-zh.pdf</vt:lpwstr>
      </vt:variant>
      <vt:variant>
        <vt:lpwstr/>
      </vt:variant>
      <vt:variant>
        <vt:i4>1507406</vt:i4>
      </vt:variant>
      <vt:variant>
        <vt:i4>12</vt:i4>
      </vt:variant>
      <vt:variant>
        <vt:i4>0</vt:i4>
      </vt:variant>
      <vt:variant>
        <vt:i4>5</vt:i4>
      </vt:variant>
      <vt:variant>
        <vt:lpwstr>https://www.cbd.int/doc/decisions/cop-16/cop-16-dec-05-zh.pdf</vt:lpwstr>
      </vt:variant>
      <vt:variant>
        <vt:lpwstr/>
      </vt:variant>
      <vt:variant>
        <vt:i4>1441870</vt:i4>
      </vt:variant>
      <vt:variant>
        <vt:i4>9</vt:i4>
      </vt:variant>
      <vt:variant>
        <vt:i4>0</vt:i4>
      </vt:variant>
      <vt:variant>
        <vt:i4>5</vt:i4>
      </vt:variant>
      <vt:variant>
        <vt:lpwstr>https://www.cbd.int/doc/decisions/cop-16/cop-16-dec-04-zh.pdf</vt:lpwstr>
      </vt:variant>
      <vt:variant>
        <vt:lpwstr/>
      </vt:variant>
      <vt:variant>
        <vt:i4>6750262</vt:i4>
      </vt:variant>
      <vt:variant>
        <vt:i4>6</vt:i4>
      </vt:variant>
      <vt:variant>
        <vt:i4>0</vt:i4>
      </vt:variant>
      <vt:variant>
        <vt:i4>5</vt:i4>
      </vt:variant>
      <vt:variant>
        <vt:lpwstr>https://www.cbd.int/notifications/2025-061</vt:lpwstr>
      </vt:variant>
      <vt:variant>
        <vt:lpwstr/>
      </vt:variant>
      <vt:variant>
        <vt:i4>6750262</vt:i4>
      </vt:variant>
      <vt:variant>
        <vt:i4>3</vt:i4>
      </vt:variant>
      <vt:variant>
        <vt:i4>0</vt:i4>
      </vt:variant>
      <vt:variant>
        <vt:i4>5</vt:i4>
      </vt:variant>
      <vt:variant>
        <vt:lpwstr>https://www.cbd.int/notifications/2025-061</vt:lpwstr>
      </vt:variant>
      <vt:variant>
        <vt:lpwstr/>
      </vt:variant>
      <vt:variant>
        <vt:i4>1441870</vt:i4>
      </vt:variant>
      <vt:variant>
        <vt:i4>0</vt:i4>
      </vt:variant>
      <vt:variant>
        <vt:i4>0</vt:i4>
      </vt:variant>
      <vt:variant>
        <vt:i4>5</vt:i4>
      </vt:variant>
      <vt:variant>
        <vt:lpwstr>https://www.cbd.int/doc/decisions/cop-16/cop-16-dec-04-zh.pdf</vt:lpwstr>
      </vt:variant>
      <vt:variant>
        <vt:lpwstr/>
      </vt:variant>
      <vt:variant>
        <vt:i4>76</vt:i4>
      </vt:variant>
      <vt:variant>
        <vt:i4>21</vt:i4>
      </vt:variant>
      <vt:variant>
        <vt:i4>0</vt:i4>
      </vt:variant>
      <vt:variant>
        <vt:i4>5</vt:i4>
      </vt:variant>
      <vt:variant>
        <vt:lpwstr>https://www.cbd.int/doc/decisions/cop-13/cop-13-dec-18-en.pdf</vt:lpwstr>
      </vt:variant>
      <vt:variant>
        <vt:lpwstr/>
      </vt:variant>
      <vt:variant>
        <vt:i4>720973</vt:i4>
      </vt:variant>
      <vt:variant>
        <vt:i4>18</vt:i4>
      </vt:variant>
      <vt:variant>
        <vt:i4>0</vt:i4>
      </vt:variant>
      <vt:variant>
        <vt:i4>5</vt:i4>
      </vt:variant>
      <vt:variant>
        <vt:lpwstr>https://www.cbd.int/doc/decisions/cop-12/cop-12-dec-12-en.pdf</vt:lpwstr>
      </vt:variant>
      <vt:variant>
        <vt:lpwstr/>
      </vt:variant>
      <vt:variant>
        <vt:i4>1310799</vt:i4>
      </vt:variant>
      <vt:variant>
        <vt:i4>15</vt:i4>
      </vt:variant>
      <vt:variant>
        <vt:i4>0</vt:i4>
      </vt:variant>
      <vt:variant>
        <vt:i4>5</vt:i4>
      </vt:variant>
      <vt:variant>
        <vt:lpwstr>https://www.cbd.int/doc/decisions/cop-07/cop-07-dec-16-zh.pdf</vt:lpwstr>
      </vt:variant>
      <vt:variant>
        <vt:lpwstr/>
      </vt:variant>
      <vt:variant>
        <vt:i4>1376333</vt:i4>
      </vt:variant>
      <vt:variant>
        <vt:i4>12</vt:i4>
      </vt:variant>
      <vt:variant>
        <vt:i4>0</vt:i4>
      </vt:variant>
      <vt:variant>
        <vt:i4>5</vt:i4>
      </vt:variant>
      <vt:variant>
        <vt:lpwstr>https://www.cbd.int/doc/decisions/cop-15/cop-15-dec-04-zh.pdf</vt:lpwstr>
      </vt:variant>
      <vt:variant>
        <vt:lpwstr/>
      </vt:variant>
      <vt:variant>
        <vt:i4>1376333</vt:i4>
      </vt:variant>
      <vt:variant>
        <vt:i4>9</vt:i4>
      </vt:variant>
      <vt:variant>
        <vt:i4>0</vt:i4>
      </vt:variant>
      <vt:variant>
        <vt:i4>5</vt:i4>
      </vt:variant>
      <vt:variant>
        <vt:lpwstr>https://www.cbd.int/doc/decisions/cop-15/cop-15-dec-04-zh.pdf</vt:lpwstr>
      </vt:variant>
      <vt:variant>
        <vt:lpwstr/>
      </vt:variant>
      <vt:variant>
        <vt:i4>6750262</vt:i4>
      </vt:variant>
      <vt:variant>
        <vt:i4>6</vt:i4>
      </vt:variant>
      <vt:variant>
        <vt:i4>0</vt:i4>
      </vt:variant>
      <vt:variant>
        <vt:i4>5</vt:i4>
      </vt:variant>
      <vt:variant>
        <vt:lpwstr>https://www.cbd.int/notifications/2025-061</vt:lpwstr>
      </vt:variant>
      <vt:variant>
        <vt:lpwstr/>
      </vt:variant>
      <vt:variant>
        <vt:i4>1376333</vt:i4>
      </vt:variant>
      <vt:variant>
        <vt:i4>3</vt:i4>
      </vt:variant>
      <vt:variant>
        <vt:i4>0</vt:i4>
      </vt:variant>
      <vt:variant>
        <vt:i4>5</vt:i4>
      </vt:variant>
      <vt:variant>
        <vt:lpwstr>https://www.cbd.int/doc/decisions/cop-15/cop-15-dec-04-zh.pdf</vt:lpwstr>
      </vt:variant>
      <vt:variant>
        <vt:lpwstr/>
      </vt:variant>
      <vt:variant>
        <vt:i4>4718670</vt:i4>
      </vt:variant>
      <vt:variant>
        <vt:i4>0</vt:i4>
      </vt:variant>
      <vt:variant>
        <vt:i4>0</vt:i4>
      </vt:variant>
      <vt:variant>
        <vt:i4>5</vt:i4>
      </vt:variant>
      <vt:variant>
        <vt:lpwstr>https://www.cbd.int/documents/CBD/A8J/WS/2025/2/2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至2030年生物多样性公约关于土著人民和地方社区的第8(j)条和其他条款工作方案任务1.1和1.2相关准则的拟议要素</dc:title>
  <dc:subject/>
  <dc:creator>Secretariat of the Convention on Biological Diversity</dc:creator>
  <cp:keywords>Subsidiary Body on Scientific, Technical and Technological Advice, twenty-seventh meeting</cp:keywords>
  <dc:description/>
  <cp:lastModifiedBy>Mariko Nishi</cp:lastModifiedBy>
  <cp:revision>26</cp:revision>
  <dcterms:created xsi:type="dcterms:W3CDTF">2025-08-20T19:07:00Z</dcterms:created>
  <dcterms:modified xsi:type="dcterms:W3CDTF">2025-08-22T13:41:00Z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Order">
    <vt:r8>1016200</vt:r8>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GrammarlyDocumentId">
    <vt:lpwstr>c0d62e61-38fc-49e1-9a9c-74f90091ab59</vt:lpwstr>
  </property>
  <property fmtid="{D5CDD505-2E9C-101B-9397-08002B2CF9AE}" pid="14" name="ContentTypeId">
    <vt:lpwstr>0x01010069BFACF6D92CD24AA50050CE23F68F74</vt:lpwstr>
  </property>
  <property fmtid="{D5CDD505-2E9C-101B-9397-08002B2CF9AE}" pid="15" name="SharedWithUsers">
    <vt:lpwstr/>
  </property>
</Properties>
</file>