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7400C8DF" w14:textId="77777777" w:rsidTr="008A1499">
        <w:trPr>
          <w:trHeight w:val="850"/>
        </w:trPr>
        <w:tc>
          <w:tcPr>
            <w:tcW w:w="975" w:type="dxa"/>
            <w:vAlign w:val="bottom"/>
          </w:tcPr>
          <w:p w14:paraId="4756BD0A" w14:textId="77777777" w:rsidR="008A1499" w:rsidRPr="003F1A75" w:rsidRDefault="008A1499" w:rsidP="008A1499">
            <w:pPr>
              <w:pStyle w:val="AASmallLogo"/>
            </w:pPr>
            <w:r>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659F028C" w14:textId="77777777" w:rsidR="008A1499" w:rsidRPr="003F1A75" w:rsidRDefault="008A1499" w:rsidP="008A1499">
            <w:pPr>
              <w:pStyle w:val="AASmallLogo"/>
            </w:pPr>
          </w:p>
        </w:tc>
        <w:tc>
          <w:tcPr>
            <w:tcW w:w="1434" w:type="dxa"/>
            <w:noWrap/>
            <w:vAlign w:val="bottom"/>
          </w:tcPr>
          <w:p w14:paraId="203198F7" w14:textId="2D6308D0" w:rsidR="008A1499" w:rsidRPr="003F1A75" w:rsidRDefault="00E73033" w:rsidP="008A1499">
            <w:pPr>
              <w:pStyle w:val="AASmallLogo"/>
            </w:pPr>
            <w:r w:rsidRPr="005B1A29">
              <w:rPr>
                <w:noProof/>
              </w:rPr>
              <w:drawing>
                <wp:inline distT="0" distB="0" distL="0" distR="0" wp14:anchorId="4B55E9F4" wp14:editId="04A5CEE1">
                  <wp:extent cx="736600" cy="398780"/>
                  <wp:effectExtent l="0" t="0" r="635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738004" cy="399540"/>
                          </a:xfrm>
                          <a:prstGeom prst="rect">
                            <a:avLst/>
                          </a:prstGeom>
                        </pic:spPr>
                      </pic:pic>
                    </a:graphicData>
                  </a:graphic>
                </wp:inline>
              </w:drawing>
            </w:r>
            <w:r w:rsidR="008A1499">
              <w:t xml:space="preserve"> </w:t>
            </w:r>
          </w:p>
          <w:p w14:paraId="29C608FC" w14:textId="77777777" w:rsidR="008A1499" w:rsidRPr="003F1A75" w:rsidRDefault="008A1499" w:rsidP="008A1499">
            <w:pPr>
              <w:pStyle w:val="AASmallLogo"/>
            </w:pPr>
          </w:p>
        </w:tc>
        <w:tc>
          <w:tcPr>
            <w:tcW w:w="8073" w:type="dxa"/>
            <w:vAlign w:val="bottom"/>
          </w:tcPr>
          <w:p w14:paraId="2D536970" w14:textId="77777777" w:rsidR="008A1499" w:rsidRPr="003F1A75" w:rsidRDefault="008A1499" w:rsidP="003F1A75">
            <w:pPr>
              <w:pStyle w:val="ABSymbol"/>
            </w:pPr>
            <w:r>
              <w:rPr>
                <w:sz w:val="40"/>
              </w:rPr>
              <w:t>CBD</w:t>
            </w:r>
            <w:r>
              <w:t>/CP/MOP/12/6</w:t>
            </w:r>
          </w:p>
        </w:tc>
      </w:tr>
    </w:tbl>
    <w:p w14:paraId="5D271563"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785950AF" w14:textId="77777777" w:rsidTr="008A1499">
        <w:trPr>
          <w:trHeight w:val="1814"/>
        </w:trPr>
        <w:tc>
          <w:tcPr>
            <w:tcW w:w="7370" w:type="dxa"/>
          </w:tcPr>
          <w:p w14:paraId="3F6C52E7" w14:textId="0636C54A" w:rsidR="008A1499" w:rsidRPr="003F1A75" w:rsidRDefault="00E73033" w:rsidP="008A1499">
            <w:pPr>
              <w:pStyle w:val="ACLargeLogo"/>
            </w:pPr>
            <w:r w:rsidRPr="005B1A29">
              <w:rPr>
                <w:noProof/>
              </w:rPr>
              <w:drawing>
                <wp:inline distT="0" distB="0" distL="0" distR="0" wp14:anchorId="7E3B489F" wp14:editId="435E0A6D">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t xml:space="preserve"> </w:t>
            </w:r>
          </w:p>
          <w:p w14:paraId="39B53CE3" w14:textId="77777777" w:rsidR="008A1499" w:rsidRPr="003F1A75" w:rsidRDefault="008A1499" w:rsidP="008A1499">
            <w:pPr>
              <w:pStyle w:val="ACLargeLogo"/>
            </w:pPr>
          </w:p>
        </w:tc>
        <w:tc>
          <w:tcPr>
            <w:tcW w:w="3112" w:type="dxa"/>
          </w:tcPr>
          <w:p w14:paraId="78EDA98D" w14:textId="77777777" w:rsidR="008A1499" w:rsidRPr="003F1A75" w:rsidRDefault="008A1499" w:rsidP="008A1499">
            <w:pPr>
              <w:pStyle w:val="AEDistrNormal"/>
            </w:pPr>
            <w:r>
              <w:t xml:space="preserve">Distr.: general </w:t>
            </w:r>
          </w:p>
          <w:p w14:paraId="508E854D" w14:textId="77777777" w:rsidR="008A1499" w:rsidRPr="003F1A75" w:rsidRDefault="00E3583C" w:rsidP="008A1499">
            <w:pPr>
              <w:pStyle w:val="AEDistrNormal"/>
            </w:pPr>
            <w:r>
              <w:t>11 de agosto de 2026</w:t>
            </w:r>
          </w:p>
          <w:p w14:paraId="069CB737" w14:textId="77777777" w:rsidR="008A1499" w:rsidRPr="003F1A75" w:rsidRDefault="008A1499" w:rsidP="008A1499">
            <w:pPr>
              <w:pStyle w:val="AEDistrNormal6pt"/>
            </w:pPr>
            <w:r>
              <w:t>Español</w:t>
            </w:r>
            <w:r>
              <w:br/>
              <w:t xml:space="preserve">Original: inglés </w:t>
            </w:r>
          </w:p>
          <w:p w14:paraId="452D5D19" w14:textId="77777777" w:rsidR="008A1499" w:rsidRPr="003F1A75" w:rsidRDefault="008A1499" w:rsidP="008A1499">
            <w:pPr>
              <w:pStyle w:val="AEDistrNormal6pt"/>
            </w:pPr>
          </w:p>
        </w:tc>
      </w:tr>
    </w:tbl>
    <w:p w14:paraId="15794A2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4760458" w14:textId="77777777" w:rsidTr="008A1499">
        <w:trPr>
          <w:trHeight w:val="57"/>
        </w:trPr>
        <w:tc>
          <w:tcPr>
            <w:tcW w:w="6094" w:type="dxa"/>
          </w:tcPr>
          <w:p w14:paraId="691E8851" w14:textId="77777777" w:rsidR="008A1499" w:rsidRPr="00AC4FF7" w:rsidRDefault="00975047" w:rsidP="008A1499">
            <w:pPr>
              <w:pStyle w:val="AFCorN12Bold"/>
            </w:pPr>
            <w:r>
              <w:t>Conferencia de las Partes en el Convenio sobre la Diversidad Biológica que actúa como reunión de las Partes en el Protocolo de Cartagena sobre Seguridad de la Biotecnología</w:t>
            </w:r>
          </w:p>
          <w:p w14:paraId="53607693" w14:textId="77777777" w:rsidR="008A1499" w:rsidRPr="00AC4FF7" w:rsidRDefault="00F041E5" w:rsidP="008A1499">
            <w:pPr>
              <w:pStyle w:val="AFCorNBold"/>
            </w:pPr>
            <w:r>
              <w:t xml:space="preserve">Duodécima reunión </w:t>
            </w:r>
          </w:p>
          <w:p w14:paraId="36B1B580" w14:textId="77777777" w:rsidR="008A1499" w:rsidRPr="00AC4FF7" w:rsidRDefault="00975047" w:rsidP="008A1499">
            <w:pPr>
              <w:pStyle w:val="AFCorNNormal"/>
            </w:pPr>
            <w:r>
              <w:t>Ereván (Armenia), 19 a 30 de octubre de 2026</w:t>
            </w:r>
          </w:p>
          <w:p w14:paraId="5A8CD002" w14:textId="77777777" w:rsidR="008A1499" w:rsidRPr="00AC4FF7" w:rsidRDefault="008A1499" w:rsidP="008A1499">
            <w:pPr>
              <w:pStyle w:val="AFCorNNormal"/>
            </w:pPr>
            <w:r>
              <w:t>Tema 7 del programa provisional</w:t>
            </w:r>
            <w:r>
              <w:rPr>
                <w:rStyle w:val="FootnoteReference"/>
              </w:rPr>
              <w:footnoteReference w:customMarkFollows="1" w:id="1"/>
              <w:t>*</w:t>
            </w:r>
            <w:r>
              <w:t xml:space="preserve"> </w:t>
            </w:r>
          </w:p>
          <w:p w14:paraId="6714B4C4" w14:textId="77777777" w:rsidR="008A1499" w:rsidRPr="003F1A75" w:rsidRDefault="00175D3A" w:rsidP="008A1499">
            <w:pPr>
              <w:pStyle w:val="AFCorNBold"/>
            </w:pPr>
            <w:r>
              <w:t>Vigilancia y presentación de informes</w:t>
            </w:r>
          </w:p>
        </w:tc>
        <w:tc>
          <w:tcPr>
            <w:tcW w:w="4388" w:type="dxa"/>
          </w:tcPr>
          <w:p w14:paraId="2067AD74" w14:textId="77777777" w:rsidR="008A1499" w:rsidRPr="003F1A75" w:rsidRDefault="008A1499" w:rsidP="008A1499">
            <w:pPr>
              <w:pStyle w:val="CBDNormal"/>
              <w:jc w:val="left"/>
            </w:pPr>
          </w:p>
        </w:tc>
      </w:tr>
    </w:tbl>
    <w:p w14:paraId="7E918F90" w14:textId="799CE003" w:rsidR="00C9161D" w:rsidRPr="003F1A75" w:rsidRDefault="001026AE" w:rsidP="00A111D1">
      <w:pPr>
        <w:pStyle w:val="CBDTitle"/>
        <w:rPr>
          <w:caps/>
        </w:rPr>
      </w:pPr>
      <w:sdt>
        <w:sdtPr>
          <w:alias w:val="Título"/>
          <w:tag w:val=""/>
          <w:id w:val="772832786"/>
          <w:placeholder>
            <w:docPart w:val="82B5078F5D09473B86DA0255E5D4658D"/>
          </w:placeholder>
          <w:dataBinding w:prefixMappings="xmlns:ns0='http://purl.org/dc/elements/1.1/' xmlns:ns1='http://schemas.openxmlformats.org/package/2006/metadata/core-properties' " w:xpath="/ns1:coreProperties[1]/ns0:title[1]" w:storeItemID="{6C3C8BC8-F283-45AE-878A-BAB7291924A1}"/>
          <w:text/>
        </w:sdtPr>
        <w:sdtEndPr/>
        <w:sdtContent>
          <w:r w:rsidR="00E73033">
            <w:t>Vigilancia y presentación de informes</w:t>
          </w:r>
        </w:sdtContent>
      </w:sdt>
      <w:r w:rsidR="00BD765B">
        <w:rPr>
          <w:caps/>
        </w:rPr>
        <w:t xml:space="preserve"> </w:t>
      </w:r>
    </w:p>
    <w:p w14:paraId="313D8139" w14:textId="77777777" w:rsidR="00F6586C" w:rsidRPr="003F1A75" w:rsidRDefault="0030169D" w:rsidP="00A111D1">
      <w:pPr>
        <w:pStyle w:val="CBDSubTitle"/>
      </w:pPr>
      <w:r>
        <w:t>Nota de la Secretaría</w:t>
      </w:r>
    </w:p>
    <w:p w14:paraId="1F932F91" w14:textId="77777777" w:rsidR="00C9161D" w:rsidRPr="003F1A75" w:rsidRDefault="00A111D1" w:rsidP="00A111D1">
      <w:pPr>
        <w:pStyle w:val="CBDH1"/>
      </w:pPr>
      <w:r>
        <w:t>I.</w:t>
      </w:r>
      <w:r>
        <w:tab/>
        <w:t>Introducción</w:t>
      </w:r>
    </w:p>
    <w:p w14:paraId="6C948891" w14:textId="77777777" w:rsidR="008A6FB6" w:rsidRDefault="00211275" w:rsidP="008A6FB6">
      <w:pPr>
        <w:pStyle w:val="CBDNormalNumber"/>
      </w:pPr>
      <w:r>
        <w:t>En virtud del artículo 33 del Protocolo de Cartagena sobre Seguridad de la Biotecnología, cada Parte vigilará el cumplimiento de sus obligaciones con arreglo al Protocolo e informará a la Conferencia de las Partes que actúa como reunión de las Partes en el Protocolo, con la periodicidad que ésta determine, acerca de las medidas que hubieren adoptado para la aplicación del Protocolo.</w:t>
      </w:r>
    </w:p>
    <w:p w14:paraId="19481A0A" w14:textId="0E076C2C" w:rsidR="00B850BE" w:rsidRDefault="00B850BE" w:rsidP="00B850BE">
      <w:pPr>
        <w:pStyle w:val="CBDNormalNumber"/>
      </w:pPr>
      <w:r>
        <w:t xml:space="preserve">En su decisión </w:t>
      </w:r>
      <w:hyperlink r:id="rId15" w:history="1">
        <w:r>
          <w:rPr>
            <w:rStyle w:val="Hyperlink"/>
          </w:rPr>
          <w:t>CP-9/5</w:t>
        </w:r>
      </w:hyperlink>
      <w:r>
        <w:t>, la</w:t>
      </w:r>
      <w:r w:rsidR="00087766">
        <w:t xml:space="preserve"> </w:t>
      </w:r>
      <w:r>
        <w:t xml:space="preserve">Conferencia de las Partes que actúa como reunión de las Partes en el Protocolo aceptó la invitación que figura en la decisión </w:t>
      </w:r>
      <w:hyperlink r:id="rId16" w:history="1">
        <w:r>
          <w:rPr>
            <w:rStyle w:val="Hyperlink"/>
          </w:rPr>
          <w:t>14/27</w:t>
        </w:r>
      </w:hyperlink>
      <w:r>
        <w:t xml:space="preserve"> de la Conferencia de las Partes en el Convenio sobre la Diversidad Biológica y decidió tener ciclos sincronizados de presentación de informes a partir de 2023. En la decisión </w:t>
      </w:r>
      <w:hyperlink r:id="rId17" w:history="1">
        <w:r>
          <w:rPr>
            <w:rStyle w:val="Hyperlink"/>
          </w:rPr>
          <w:t>15/6</w:t>
        </w:r>
      </w:hyperlink>
      <w:r>
        <w:t xml:space="preserve">, la Conferencia de las Partes en el Convenio pidió a las Partes que presentaran su séptimo informe nacional a más tardar el 28 de febrero de 2026. En la decisión </w:t>
      </w:r>
      <w:hyperlink r:id="rId18" w:history="1">
        <w:r>
          <w:rPr>
            <w:rStyle w:val="Hyperlink"/>
          </w:rPr>
          <w:t>CP-10/9</w:t>
        </w:r>
      </w:hyperlink>
      <w:r>
        <w:t xml:space="preserve">, la Conferencia de las Partes que actúa como reunión de las Partes en el Protocolo pidió a las Partes que presentaran su quinto informe nacional al mismo tiempo que los séptimos informes nacionales de las Partes en el Convenio. Por consiguiente, los quintos informes nacionales sobre la aplicación del Protocolo tenían que presentarse a más tardar el 28 de febrero de 2026. </w:t>
      </w:r>
    </w:p>
    <w:p w14:paraId="7E1BB2BE" w14:textId="77777777" w:rsidR="008A6FB6" w:rsidRPr="00E23A0B" w:rsidRDefault="0033572E" w:rsidP="007E6B75">
      <w:pPr>
        <w:pStyle w:val="CBDNormalNumber"/>
      </w:pPr>
      <w:r>
        <w:t>El presente documento contiene información actualizada sobre la presentación de los quintos informes nacionales (sec. II), información sobre la preparación de los sextos informes nacionales (sec. III) y elementos de un posible proyecto de decisión a considerar en la novena reunión de la Conferencia de las Partes que actúa como reunión de las Partes en el Protocolo (sec. IV).</w:t>
      </w:r>
    </w:p>
    <w:p w14:paraId="07A51D4F" w14:textId="77777777" w:rsidR="00EE425C" w:rsidRDefault="008A6FB6" w:rsidP="00EE425C">
      <w:pPr>
        <w:pStyle w:val="CBDH1"/>
      </w:pPr>
      <w:r>
        <w:t>II.</w:t>
      </w:r>
      <w:r>
        <w:tab/>
        <w:t>Presentación de los quintos informes nacionales</w:t>
      </w:r>
    </w:p>
    <w:p w14:paraId="646223F5" w14:textId="77777777" w:rsidR="00DE1E6A" w:rsidRPr="003F1A75" w:rsidRDefault="00DE1E6A" w:rsidP="00DE1E6A">
      <w:pPr>
        <w:pStyle w:val="CBDH2"/>
      </w:pPr>
      <w:r>
        <w:t>A.</w:t>
      </w:r>
      <w:r>
        <w:tab/>
        <w:t xml:space="preserve">Proceso de preparación </w:t>
      </w:r>
    </w:p>
    <w:p w14:paraId="240A5A0D" w14:textId="77777777" w:rsidR="001E6C88" w:rsidRDefault="000F2B54" w:rsidP="008947D9">
      <w:pPr>
        <w:pStyle w:val="CBDNormalNumber"/>
      </w:pPr>
      <w:r>
        <w:t xml:space="preserve">En su decisión </w:t>
      </w:r>
      <w:hyperlink r:id="rId19" w:history="1">
        <w:r>
          <w:rPr>
            <w:rStyle w:val="Hyperlink"/>
          </w:rPr>
          <w:t>CP-10/9</w:t>
        </w:r>
      </w:hyperlink>
      <w:r>
        <w:t>, la Conferencia de las Partes que actúa como reunión de las Partes en el Protocolo acogió con satisfacción el proyecto de formato para los quintos informes nacionales sobre la aplicación del Protocolo y pidió a la Secretaria Ejecutiva que realizara las modificaciones necesarias en las preguntas que figuraban en el formato a la luz del texto final de los</w:t>
      </w:r>
      <w:r>
        <w:cr/>
      </w:r>
      <w:r>
        <w:br/>
      </w:r>
      <w:r>
        <w:lastRenderedPageBreak/>
        <w:t>indicadores del plan de aplicación para el Protocolo y que publicara el formato final en línea a través del Centro de Intercambio de Información sobre Seguridad de la Biotecnología. Asimismo, pidió a las Partes que presentaran sus quintos informes nacionales en un idioma oficial de las Naciones Unidas a través del Centro de Intercambio de Información sobre Seguridad de la Biotecnología.</w:t>
      </w:r>
    </w:p>
    <w:p w14:paraId="3C2D7BB7" w14:textId="77777777" w:rsidR="00FA0AE6" w:rsidRPr="00A428E3" w:rsidRDefault="00DC2C7B" w:rsidP="00F076FD">
      <w:pPr>
        <w:pStyle w:val="CBDNormalNumber"/>
      </w:pPr>
      <w:r>
        <w:t xml:space="preserve">Por consiguiente, la Secretaria Ejecutiva finalizó el formato de presentación de informes y lo publicó a través del Centro de Intercambio de Información sobre Seguridad de la Biotecnología en julio de 2024. Mediante la notificación núm. </w:t>
      </w:r>
      <w:hyperlink r:id="rId20" w:history="1">
        <w:r>
          <w:rPr>
            <w:rStyle w:val="Hyperlink"/>
          </w:rPr>
          <w:t>2024-073</w:t>
        </w:r>
      </w:hyperlink>
      <w:r>
        <w:t xml:space="preserve"> de 15 de julio de 2024, la Secretaria Ejecutiva invitó a las Partes a presentar su quinto informe nacional a través del Centro de Intercambio de Información sobre Seguridad de la Biotecnología a más tardar el 28 de febrero de 2026. En enero de 2026 se emitió un recordatorio mediante la notificación núm. </w:t>
      </w:r>
      <w:hyperlink r:id="rId21" w:history="1">
        <w:r>
          <w:rPr>
            <w:rStyle w:val="Hyperlink"/>
          </w:rPr>
          <w:t>2026-002</w:t>
        </w:r>
      </w:hyperlink>
      <w:r>
        <w:t>.</w:t>
      </w:r>
    </w:p>
    <w:p w14:paraId="37EFF0E6" w14:textId="77777777" w:rsidR="00156898" w:rsidRPr="00A428E3" w:rsidRDefault="00DB1019" w:rsidP="00F06B57">
      <w:pPr>
        <w:pStyle w:val="CBDNormalNumber"/>
      </w:pPr>
      <w:r>
        <w:t xml:space="preserve">La Secretaría preparó materiales para apoyar la preparación y presentación del informe, incluyendo preguntas frecuentes e instrucciones paso a paso, y los publicó en los seis idiomas oficiales de las Naciones Unidas. Además, la Secretaría preparó un vídeo con instrucciones para presentar el quinto informe nacional a través del Centro de Intercambio de Información sobre Seguridad de la Biotecnología con el fin de facilitar más el proceso. La disponibilidad de esos materiales se dio a conocer mediante la notificación núm. </w:t>
      </w:r>
      <w:hyperlink r:id="rId22" w:history="1">
        <w:r>
          <w:rPr>
            <w:rStyle w:val="Hyperlink"/>
          </w:rPr>
          <w:t>2026-002</w:t>
        </w:r>
      </w:hyperlink>
      <w:r>
        <w:t>.</w:t>
      </w:r>
    </w:p>
    <w:p w14:paraId="0AF98418" w14:textId="48E93B13" w:rsidR="00EE425C" w:rsidRPr="00A428E3" w:rsidRDefault="00A6363A" w:rsidP="006F0FCA">
      <w:pPr>
        <w:pStyle w:val="CBDNormalNumber"/>
      </w:pPr>
      <w:r>
        <w:t xml:space="preserve">A través de su decisión </w:t>
      </w:r>
      <w:hyperlink r:id="rId23" w:history="1">
        <w:r>
          <w:rPr>
            <w:rStyle w:val="Hyperlink"/>
          </w:rPr>
          <w:t>16/33</w:t>
        </w:r>
      </w:hyperlink>
      <w:r>
        <w:t xml:space="preserve">, la Conferencia de las Partes en el Convenio pidió al Fondo para el Medio Ambiente Mundial que proporcionara fondos de manera oportuna para apoyar a las Partes que cumplieran los requisitos para recibirlos en la preparación y presentación de sus quintos informes nacionales. A través de la notificación núm. </w:t>
      </w:r>
      <w:hyperlink r:id="rId24" w:history="1">
        <w:r>
          <w:rPr>
            <w:rStyle w:val="Hyperlink"/>
          </w:rPr>
          <w:t>2024-073</w:t>
        </w:r>
      </w:hyperlink>
      <w:r>
        <w:t xml:space="preserve"> de 15 de julio de 2024, la Secretaria Ejecutiva informó a las Partes de que el Programa de las Naciones Unidas para el Medio Ambiente (PNUMA) estaba preparando un proyecto de financiación a través del Fondo para el Medio Ambiente Mundial con el fin de ayudar a preparar el quinto informe nacional a las Partes que cumplieran los requisitos. La Secretaria Ejecutiva alentó a las Partes que cumplieran los requisitos a presentar una carta de aval al PNUMA firmada por su coordinador de operaciones del Fondo para el Medio Ambiente Mundial en la que expresaran su apoyo al proyecto. Lo hizo en aplicación de la decisión </w:t>
      </w:r>
      <w:hyperlink r:id="rId25" w:history="1">
        <w:r>
          <w:rPr>
            <w:rStyle w:val="Hyperlink"/>
          </w:rPr>
          <w:t>CP-10/9</w:t>
        </w:r>
      </w:hyperlink>
      <w:r>
        <w:t xml:space="preserve"> de la Conferencia de las Partes que actúa como reunión de las Partes en el Protocolo, en la que esta instó a las Partes que reunían los requisitos a que presentaran sus cartas de compromiso al organismo de ejecución de manera oportuna para tener la seguridad de que los proyectos de apoyo a la preparación de los quintos informes nacionales pudieran presentarse al Fondo para el Medio Ambiente Mundial para su</w:t>
      </w:r>
      <w:r w:rsidR="0096362A">
        <w:t xml:space="preserve"> </w:t>
      </w:r>
      <w:r>
        <w:t>aprobación mucho antes de que venciera el plazo para la presentación de los informes.</w:t>
      </w:r>
    </w:p>
    <w:p w14:paraId="214D4CB6" w14:textId="77777777" w:rsidR="00776D07" w:rsidRPr="00A428E3" w:rsidRDefault="00D875D1" w:rsidP="00EE425C">
      <w:pPr>
        <w:pStyle w:val="CBDNormalNumber"/>
      </w:pPr>
      <w:r>
        <w:t xml:space="preserve">El proyecto núm. 11907 del Fondo para el Medio Ambiente Mundial en apoyo de la preparación de los quintos informes nacionales fue aprobado para su implementación en abril de 2025 con 105 Partes aptas para participar. </w:t>
      </w:r>
    </w:p>
    <w:p w14:paraId="2D849A3D" w14:textId="77777777" w:rsidR="00980403" w:rsidRPr="00A428E3" w:rsidRDefault="00980403" w:rsidP="00EE425C">
      <w:pPr>
        <w:pStyle w:val="CBDNormalNumber"/>
      </w:pPr>
      <w:r>
        <w:t xml:space="preserve">A fecha de 31 de marzo de 2026, un total de 75 Partes del proyecto han recibido al menos un desembolso de fondos del proyecto para preparar su quinto informe nacional. </w:t>
      </w:r>
    </w:p>
    <w:p w14:paraId="531DF1DF" w14:textId="77777777" w:rsidR="00176170" w:rsidRPr="00A428E3" w:rsidRDefault="00176170" w:rsidP="00EE425C">
      <w:pPr>
        <w:pStyle w:val="CBDNormalNumber"/>
      </w:pPr>
      <w:r>
        <w:t>Entre las actividades del proyecto se incluía un taller inicial mundial, que se llevó a cabo en línea en agosto de 2025, y una serie de talleres regionales presenciales destinados a proporcionar a las Partes apoyo técnico para redactar sus informes nacionales. El PNUMA, la Secretaría del Fondo para el Medio Ambiente Mundial y la Secretaría del Convenio colaboraron para organizar y llevar a cabo los talleres regionales entre noviembre de 2025 y enero de 2026. En cada uno de los talleres participó un miembro del personal de la Secretaría del Convenio familiarizado con el Protocolo y el Centro de Intercambio de Información sobre Seguridad de la Biotecnología que habló de la presentación de informes nacionales y proporcionó formación y apoyo para publicar el informe a través de dicho centro. Entre las actividades de ese proyecto no se habían incluido nunca talleres de apoyo a la presentación de informes nacionales.</w:t>
      </w:r>
    </w:p>
    <w:p w14:paraId="3ED4DE70" w14:textId="77777777" w:rsidR="00176170" w:rsidRPr="00A428E3" w:rsidRDefault="00F15CCC" w:rsidP="00EE425C">
      <w:pPr>
        <w:pStyle w:val="CBDNormalNumber"/>
      </w:pPr>
      <w:r>
        <w:t>Además, como parte del proyecto, el PNUMA contrató a un asesor que proporcionó un servicio de asistencia a las Partes mediante el que respondió a sus preguntas e hizo un seguimiento preguntando a las Partes por la presentación de sus informes.</w:t>
      </w:r>
    </w:p>
    <w:p w14:paraId="07665425" w14:textId="77777777" w:rsidR="006F7D00" w:rsidRPr="003F1A75" w:rsidRDefault="006F7D00" w:rsidP="006F7D00">
      <w:pPr>
        <w:pStyle w:val="CBDH2"/>
      </w:pPr>
      <w:r>
        <w:lastRenderedPageBreak/>
        <w:t>B.</w:t>
      </w:r>
      <w:r>
        <w:tab/>
        <w:t xml:space="preserve">Presentación de informes nacionales: </w:t>
      </w:r>
    </w:p>
    <w:p w14:paraId="7BB6C0AA" w14:textId="77777777" w:rsidR="006D6739" w:rsidRDefault="006D6739" w:rsidP="006D6739">
      <w:pPr>
        <w:pStyle w:val="CBDNormalNumber"/>
      </w:pPr>
      <w:r>
        <w:t>A fecha de 16 de julio de 2026, un total de 137 de las 173 Partes en el Protocolo había presentado su quito informe nacional a través del Centro de Intercambio de Información sobre Seguridad de la Biotecnología, lo que equivale a un 79 %. También presentó un informe un Estado que no es Parte en el Protocolo.</w:t>
      </w:r>
    </w:p>
    <w:p w14:paraId="2D0A46ED" w14:textId="77777777" w:rsidR="006D6739" w:rsidRDefault="006D6739" w:rsidP="006D6739">
      <w:pPr>
        <w:pStyle w:val="CBDNormalNumber"/>
      </w:pPr>
      <w:r>
        <w:t>En la tabla de abajo se presenta un desglose de los informes por regiones.</w:t>
      </w:r>
    </w:p>
    <w:p w14:paraId="7E4FADAA" w14:textId="77777777" w:rsidR="006D6739" w:rsidRDefault="006D6739" w:rsidP="008B787F">
      <w:pPr>
        <w:pStyle w:val="CBDNormalNumber"/>
        <w:keepNext/>
        <w:keepLines/>
        <w:numPr>
          <w:ilvl w:val="0"/>
          <w:numId w:val="0"/>
        </w:numPr>
        <w:ind w:left="567"/>
        <w:jc w:val="left"/>
        <w:rPr>
          <w:b/>
          <w:bCs/>
        </w:rPr>
      </w:pPr>
      <w:r>
        <w:rPr>
          <w:b/>
        </w:rPr>
        <w:t>Quintos informes nacionales presentados por las Partes en el Protocolo de Cartagena desglosados por regiones</w:t>
      </w:r>
    </w:p>
    <w:tbl>
      <w:tblPr>
        <w:tblStyle w:val="TableGrid20"/>
        <w:tblW w:w="5000"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1737"/>
        <w:gridCol w:w="1584"/>
        <w:gridCol w:w="1739"/>
        <w:gridCol w:w="1423"/>
      </w:tblGrid>
      <w:tr w:rsidR="006D6739" w:rsidRPr="00EC1275" w14:paraId="37405058" w14:textId="77777777" w:rsidTr="008B787F">
        <w:tc>
          <w:tcPr>
            <w:tcW w:w="1537" w:type="pct"/>
            <w:tcBorders>
              <w:top w:val="single" w:sz="4" w:space="0" w:color="auto"/>
              <w:left w:val="nil"/>
              <w:bottom w:val="nil"/>
              <w:right w:val="nil"/>
            </w:tcBorders>
          </w:tcPr>
          <w:p w14:paraId="51C63C1B" w14:textId="77777777" w:rsidR="006D6739" w:rsidRPr="00777FE1" w:rsidRDefault="006D6739" w:rsidP="008B787F">
            <w:pPr>
              <w:keepNext/>
              <w:keepLines/>
              <w:snapToGrid w:val="0"/>
              <w:spacing w:before="40" w:after="40"/>
              <w:jc w:val="left"/>
              <w:rPr>
                <w:rFonts w:eastAsia="Arial Unicode MS"/>
                <w:i/>
                <w:iCs/>
                <w:kern w:val="22"/>
                <w:sz w:val="20"/>
                <w:szCs w:val="20"/>
                <w:bdr w:val="none" w:sz="0" w:space="0" w:color="auto" w:frame="1"/>
                <w:lang w:eastAsia="x-none"/>
              </w:rPr>
            </w:pPr>
          </w:p>
        </w:tc>
        <w:tc>
          <w:tcPr>
            <w:tcW w:w="1774" w:type="pct"/>
            <w:gridSpan w:val="2"/>
            <w:tcBorders>
              <w:top w:val="single" w:sz="4" w:space="0" w:color="auto"/>
              <w:left w:val="nil"/>
              <w:bottom w:val="nil"/>
              <w:right w:val="nil"/>
            </w:tcBorders>
            <w:hideMark/>
          </w:tcPr>
          <w:p w14:paraId="3CFCC0A2" w14:textId="77777777" w:rsidR="006D6739" w:rsidRPr="00EC1275" w:rsidRDefault="006D6739" w:rsidP="008B787F">
            <w:pPr>
              <w:keepNext/>
              <w:keepLines/>
              <w:snapToGrid w:val="0"/>
              <w:spacing w:before="40" w:after="40"/>
              <w:jc w:val="right"/>
              <w:rPr>
                <w:rFonts w:eastAsia="Arial Unicode MS"/>
                <w:i/>
                <w:iCs/>
                <w:kern w:val="22"/>
                <w:sz w:val="20"/>
                <w:szCs w:val="20"/>
                <w:bdr w:val="none" w:sz="0" w:space="0" w:color="auto" w:frame="1"/>
              </w:rPr>
            </w:pPr>
            <w:r>
              <w:rPr>
                <w:i/>
                <w:sz w:val="20"/>
                <w:bdr w:val="none" w:sz="0" w:space="0" w:color="auto" w:frame="1"/>
              </w:rPr>
              <w:t>Para que habían presentado su informe para el 28 de febrero de 2026</w:t>
            </w:r>
          </w:p>
        </w:tc>
        <w:tc>
          <w:tcPr>
            <w:tcW w:w="1689" w:type="pct"/>
            <w:gridSpan w:val="2"/>
            <w:tcBorders>
              <w:top w:val="single" w:sz="4" w:space="0" w:color="auto"/>
              <w:left w:val="nil"/>
              <w:bottom w:val="nil"/>
              <w:right w:val="nil"/>
            </w:tcBorders>
            <w:hideMark/>
          </w:tcPr>
          <w:p w14:paraId="4776E51C" w14:textId="77777777" w:rsidR="006D6739" w:rsidRPr="00EC1275" w:rsidRDefault="006D6739" w:rsidP="008B787F">
            <w:pPr>
              <w:keepNext/>
              <w:keepLines/>
              <w:snapToGrid w:val="0"/>
              <w:spacing w:before="40" w:after="40"/>
              <w:jc w:val="right"/>
              <w:rPr>
                <w:rFonts w:eastAsia="Arial Unicode MS"/>
                <w:i/>
                <w:iCs/>
                <w:kern w:val="22"/>
                <w:sz w:val="20"/>
                <w:szCs w:val="20"/>
                <w:bdr w:val="none" w:sz="0" w:space="0" w:color="auto" w:frame="1"/>
              </w:rPr>
            </w:pPr>
            <w:r>
              <w:rPr>
                <w:i/>
                <w:sz w:val="20"/>
                <w:bdr w:val="none" w:sz="0" w:space="0" w:color="auto" w:frame="1"/>
              </w:rPr>
              <w:t xml:space="preserve">Para que habían presentado su informe para el 16 de julio de 2026 </w:t>
            </w:r>
          </w:p>
        </w:tc>
      </w:tr>
      <w:tr w:rsidR="006D6739" w:rsidRPr="00EC1275" w14:paraId="64241563" w14:textId="77777777" w:rsidTr="008B787F">
        <w:tc>
          <w:tcPr>
            <w:tcW w:w="1537" w:type="pct"/>
            <w:tcBorders>
              <w:top w:val="nil"/>
              <w:left w:val="nil"/>
              <w:bottom w:val="single" w:sz="4" w:space="0" w:color="auto"/>
              <w:right w:val="nil"/>
            </w:tcBorders>
            <w:hideMark/>
          </w:tcPr>
          <w:p w14:paraId="39570C65" w14:textId="77777777" w:rsidR="006D6739" w:rsidRPr="00777FE1" w:rsidRDefault="006D6739">
            <w:pPr>
              <w:snapToGrid w:val="0"/>
              <w:spacing w:before="40" w:after="40"/>
              <w:jc w:val="left"/>
              <w:rPr>
                <w:rFonts w:eastAsia="Arial Unicode MS"/>
                <w:i/>
                <w:iCs/>
                <w:kern w:val="22"/>
                <w:sz w:val="20"/>
                <w:szCs w:val="20"/>
                <w:bdr w:val="none" w:sz="0" w:space="0" w:color="auto" w:frame="1"/>
              </w:rPr>
            </w:pPr>
            <w:r>
              <w:rPr>
                <w:i/>
                <w:sz w:val="20"/>
                <w:bdr w:val="none" w:sz="0" w:space="0" w:color="auto" w:frame="1"/>
              </w:rPr>
              <w:t>Grupos regionales</w:t>
            </w:r>
          </w:p>
        </w:tc>
        <w:tc>
          <w:tcPr>
            <w:tcW w:w="928" w:type="pct"/>
            <w:tcBorders>
              <w:top w:val="single" w:sz="4" w:space="0" w:color="auto"/>
              <w:left w:val="nil"/>
              <w:bottom w:val="single" w:sz="4" w:space="0" w:color="auto"/>
              <w:right w:val="nil"/>
            </w:tcBorders>
            <w:hideMark/>
          </w:tcPr>
          <w:p w14:paraId="5B836305" w14:textId="77777777" w:rsidR="006D6739" w:rsidRPr="00EC1275" w:rsidRDefault="006D6739">
            <w:pPr>
              <w:snapToGrid w:val="0"/>
              <w:spacing w:before="40" w:after="40"/>
              <w:jc w:val="right"/>
              <w:rPr>
                <w:rFonts w:eastAsia="Arial Unicode MS"/>
                <w:i/>
                <w:iCs/>
                <w:kern w:val="22"/>
                <w:sz w:val="20"/>
                <w:szCs w:val="20"/>
                <w:bdr w:val="none" w:sz="0" w:space="0" w:color="auto" w:frame="1"/>
              </w:rPr>
            </w:pPr>
            <w:r>
              <w:rPr>
                <w:i/>
                <w:sz w:val="20"/>
                <w:bdr w:val="none" w:sz="0" w:space="0" w:color="auto" w:frame="1"/>
              </w:rPr>
              <w:t>Número</w:t>
            </w:r>
          </w:p>
        </w:tc>
        <w:tc>
          <w:tcPr>
            <w:tcW w:w="845" w:type="pct"/>
            <w:tcBorders>
              <w:top w:val="single" w:sz="4" w:space="0" w:color="auto"/>
              <w:left w:val="nil"/>
              <w:bottom w:val="single" w:sz="4" w:space="0" w:color="auto"/>
              <w:right w:val="nil"/>
            </w:tcBorders>
            <w:hideMark/>
          </w:tcPr>
          <w:p w14:paraId="5A7A98F9" w14:textId="77777777" w:rsidR="006D6739" w:rsidRPr="00EC1275" w:rsidRDefault="006D6739">
            <w:pPr>
              <w:snapToGrid w:val="0"/>
              <w:spacing w:before="40" w:after="40"/>
              <w:jc w:val="right"/>
              <w:rPr>
                <w:rFonts w:eastAsia="Arial Unicode MS"/>
                <w:i/>
                <w:iCs/>
                <w:kern w:val="22"/>
                <w:sz w:val="20"/>
                <w:szCs w:val="20"/>
                <w:bdr w:val="none" w:sz="0" w:space="0" w:color="auto" w:frame="1"/>
              </w:rPr>
            </w:pPr>
            <w:r>
              <w:rPr>
                <w:i/>
                <w:sz w:val="20"/>
                <w:bdr w:val="none" w:sz="0" w:space="0" w:color="auto" w:frame="1"/>
              </w:rPr>
              <w:t>Porcentaje</w:t>
            </w:r>
          </w:p>
        </w:tc>
        <w:tc>
          <w:tcPr>
            <w:tcW w:w="929" w:type="pct"/>
            <w:tcBorders>
              <w:top w:val="single" w:sz="4" w:space="0" w:color="auto"/>
              <w:left w:val="nil"/>
              <w:bottom w:val="single" w:sz="4" w:space="0" w:color="auto"/>
              <w:right w:val="nil"/>
            </w:tcBorders>
            <w:hideMark/>
          </w:tcPr>
          <w:p w14:paraId="2C4B6059" w14:textId="77777777" w:rsidR="006D6739" w:rsidRPr="00EC1275" w:rsidRDefault="006D6739">
            <w:pPr>
              <w:snapToGrid w:val="0"/>
              <w:spacing w:before="40" w:after="40"/>
              <w:jc w:val="right"/>
              <w:rPr>
                <w:rFonts w:eastAsia="Arial Unicode MS"/>
                <w:i/>
                <w:iCs/>
                <w:kern w:val="22"/>
                <w:sz w:val="20"/>
                <w:szCs w:val="20"/>
                <w:bdr w:val="none" w:sz="0" w:space="0" w:color="auto" w:frame="1"/>
              </w:rPr>
            </w:pPr>
            <w:r>
              <w:rPr>
                <w:i/>
                <w:sz w:val="20"/>
                <w:bdr w:val="none" w:sz="0" w:space="0" w:color="auto" w:frame="1"/>
              </w:rPr>
              <w:t>Número</w:t>
            </w:r>
          </w:p>
        </w:tc>
        <w:tc>
          <w:tcPr>
            <w:tcW w:w="760" w:type="pct"/>
            <w:tcBorders>
              <w:top w:val="single" w:sz="4" w:space="0" w:color="auto"/>
              <w:left w:val="nil"/>
              <w:bottom w:val="single" w:sz="4" w:space="0" w:color="auto"/>
              <w:right w:val="nil"/>
            </w:tcBorders>
            <w:hideMark/>
          </w:tcPr>
          <w:p w14:paraId="62BC12A4" w14:textId="77777777" w:rsidR="006D6739" w:rsidRPr="00EC1275" w:rsidRDefault="006D6739">
            <w:pPr>
              <w:snapToGrid w:val="0"/>
              <w:spacing w:before="40" w:after="40"/>
              <w:jc w:val="right"/>
              <w:rPr>
                <w:rFonts w:eastAsia="Arial Unicode MS"/>
                <w:i/>
                <w:iCs/>
                <w:kern w:val="22"/>
                <w:sz w:val="20"/>
                <w:szCs w:val="20"/>
                <w:bdr w:val="none" w:sz="0" w:space="0" w:color="auto" w:frame="1"/>
              </w:rPr>
            </w:pPr>
            <w:r>
              <w:rPr>
                <w:i/>
                <w:sz w:val="20"/>
                <w:bdr w:val="none" w:sz="0" w:space="0" w:color="auto" w:frame="1"/>
              </w:rPr>
              <w:t>Porcentaje</w:t>
            </w:r>
          </w:p>
        </w:tc>
      </w:tr>
      <w:tr w:rsidR="006D6739" w:rsidRPr="00EC1275" w14:paraId="4D1DEB6E" w14:textId="77777777" w:rsidTr="008B787F">
        <w:tc>
          <w:tcPr>
            <w:tcW w:w="1537" w:type="pct"/>
            <w:tcBorders>
              <w:top w:val="single" w:sz="4" w:space="0" w:color="auto"/>
              <w:left w:val="nil"/>
              <w:bottom w:val="nil"/>
              <w:right w:val="nil"/>
            </w:tcBorders>
            <w:hideMark/>
          </w:tcPr>
          <w:p w14:paraId="575561D0" w14:textId="77777777" w:rsidR="006D6739" w:rsidRPr="00777FE1" w:rsidRDefault="006D6739">
            <w:pPr>
              <w:snapToGrid w:val="0"/>
              <w:spacing w:before="40" w:after="40"/>
              <w:jc w:val="left"/>
              <w:rPr>
                <w:rFonts w:eastAsia="Arial Unicode MS"/>
                <w:kern w:val="22"/>
                <w:sz w:val="20"/>
                <w:szCs w:val="20"/>
                <w:bdr w:val="none" w:sz="0" w:space="0" w:color="auto" w:frame="1"/>
              </w:rPr>
            </w:pPr>
            <w:r>
              <w:rPr>
                <w:sz w:val="20"/>
                <w:bdr w:val="none" w:sz="0" w:space="0" w:color="auto" w:frame="1"/>
              </w:rPr>
              <w:t>Estados de África</w:t>
            </w:r>
          </w:p>
        </w:tc>
        <w:tc>
          <w:tcPr>
            <w:tcW w:w="928" w:type="pct"/>
            <w:tcBorders>
              <w:top w:val="single" w:sz="4" w:space="0" w:color="auto"/>
              <w:left w:val="nil"/>
              <w:bottom w:val="nil"/>
              <w:right w:val="nil"/>
            </w:tcBorders>
            <w:hideMark/>
          </w:tcPr>
          <w:p w14:paraId="01964328"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39</w:t>
            </w:r>
          </w:p>
        </w:tc>
        <w:tc>
          <w:tcPr>
            <w:tcW w:w="845" w:type="pct"/>
            <w:tcBorders>
              <w:top w:val="single" w:sz="4" w:space="0" w:color="auto"/>
              <w:left w:val="nil"/>
              <w:bottom w:val="nil"/>
              <w:right w:val="nil"/>
            </w:tcBorders>
            <w:hideMark/>
          </w:tcPr>
          <w:p w14:paraId="7C9AF9CB"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76</w:t>
            </w:r>
          </w:p>
        </w:tc>
        <w:tc>
          <w:tcPr>
            <w:tcW w:w="929" w:type="pct"/>
            <w:tcBorders>
              <w:top w:val="single" w:sz="4" w:space="0" w:color="auto"/>
              <w:left w:val="nil"/>
              <w:bottom w:val="nil"/>
              <w:right w:val="nil"/>
            </w:tcBorders>
            <w:hideMark/>
          </w:tcPr>
          <w:p w14:paraId="606DDDA7"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42</w:t>
            </w:r>
          </w:p>
        </w:tc>
        <w:tc>
          <w:tcPr>
            <w:tcW w:w="760" w:type="pct"/>
            <w:tcBorders>
              <w:top w:val="single" w:sz="4" w:space="0" w:color="auto"/>
              <w:left w:val="nil"/>
              <w:bottom w:val="nil"/>
              <w:right w:val="nil"/>
            </w:tcBorders>
            <w:hideMark/>
          </w:tcPr>
          <w:p w14:paraId="71DD2D40"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82</w:t>
            </w:r>
          </w:p>
        </w:tc>
      </w:tr>
      <w:tr w:rsidR="006D6739" w:rsidRPr="00EC1275" w14:paraId="2CF3793A" w14:textId="77777777" w:rsidTr="008B787F">
        <w:tc>
          <w:tcPr>
            <w:tcW w:w="1537" w:type="pct"/>
            <w:hideMark/>
          </w:tcPr>
          <w:p w14:paraId="0FDDCC7B" w14:textId="77777777" w:rsidR="006D6739" w:rsidRPr="00777FE1" w:rsidRDefault="006D6739">
            <w:pPr>
              <w:snapToGrid w:val="0"/>
              <w:spacing w:before="40" w:after="40"/>
              <w:jc w:val="left"/>
              <w:rPr>
                <w:rFonts w:eastAsia="Arial Unicode MS"/>
                <w:kern w:val="22"/>
                <w:sz w:val="20"/>
                <w:szCs w:val="20"/>
                <w:bdr w:val="none" w:sz="0" w:space="0" w:color="auto" w:frame="1"/>
              </w:rPr>
            </w:pPr>
            <w:r>
              <w:rPr>
                <w:sz w:val="20"/>
                <w:bdr w:val="none" w:sz="0" w:space="0" w:color="auto" w:frame="1"/>
              </w:rPr>
              <w:t>Estados de Asía y el Pacífico</w:t>
            </w:r>
          </w:p>
        </w:tc>
        <w:tc>
          <w:tcPr>
            <w:tcW w:w="928" w:type="pct"/>
            <w:hideMark/>
          </w:tcPr>
          <w:p w14:paraId="4AFA4547"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24</w:t>
            </w:r>
          </w:p>
        </w:tc>
        <w:tc>
          <w:tcPr>
            <w:tcW w:w="845" w:type="pct"/>
            <w:hideMark/>
          </w:tcPr>
          <w:p w14:paraId="7E409047"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51</w:t>
            </w:r>
          </w:p>
        </w:tc>
        <w:tc>
          <w:tcPr>
            <w:tcW w:w="929" w:type="pct"/>
            <w:hideMark/>
          </w:tcPr>
          <w:p w14:paraId="0DEBEBAE"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32</w:t>
            </w:r>
          </w:p>
        </w:tc>
        <w:tc>
          <w:tcPr>
            <w:tcW w:w="760" w:type="pct"/>
            <w:hideMark/>
          </w:tcPr>
          <w:p w14:paraId="2EBD3DAA"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68</w:t>
            </w:r>
          </w:p>
        </w:tc>
      </w:tr>
      <w:tr w:rsidR="006D6739" w:rsidRPr="00EC1275" w14:paraId="57F42620" w14:textId="77777777" w:rsidTr="008B787F">
        <w:tc>
          <w:tcPr>
            <w:tcW w:w="1537" w:type="pct"/>
            <w:hideMark/>
          </w:tcPr>
          <w:p w14:paraId="137E7114" w14:textId="77777777" w:rsidR="006D6739" w:rsidRPr="00777FE1" w:rsidRDefault="006D6739">
            <w:pPr>
              <w:snapToGrid w:val="0"/>
              <w:spacing w:before="40" w:after="40"/>
              <w:jc w:val="left"/>
              <w:rPr>
                <w:rFonts w:eastAsia="Arial Unicode MS"/>
                <w:kern w:val="22"/>
                <w:sz w:val="20"/>
                <w:szCs w:val="20"/>
                <w:bdr w:val="none" w:sz="0" w:space="0" w:color="auto" w:frame="1"/>
              </w:rPr>
            </w:pPr>
            <w:r>
              <w:rPr>
                <w:sz w:val="20"/>
                <w:bdr w:val="none" w:sz="0" w:space="0" w:color="auto" w:frame="1"/>
              </w:rPr>
              <w:t>Estados de América Latina y el Caribe</w:t>
            </w:r>
          </w:p>
        </w:tc>
        <w:tc>
          <w:tcPr>
            <w:tcW w:w="928" w:type="pct"/>
            <w:hideMark/>
          </w:tcPr>
          <w:p w14:paraId="74C4B8EC"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21</w:t>
            </w:r>
          </w:p>
        </w:tc>
        <w:tc>
          <w:tcPr>
            <w:tcW w:w="845" w:type="pct"/>
            <w:hideMark/>
          </w:tcPr>
          <w:p w14:paraId="39F71977"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70</w:t>
            </w:r>
          </w:p>
        </w:tc>
        <w:tc>
          <w:tcPr>
            <w:tcW w:w="929" w:type="pct"/>
            <w:hideMark/>
          </w:tcPr>
          <w:p w14:paraId="5798BB14"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23</w:t>
            </w:r>
          </w:p>
        </w:tc>
        <w:tc>
          <w:tcPr>
            <w:tcW w:w="760" w:type="pct"/>
            <w:hideMark/>
          </w:tcPr>
          <w:p w14:paraId="194DC7BC"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77</w:t>
            </w:r>
          </w:p>
        </w:tc>
      </w:tr>
      <w:tr w:rsidR="006D6739" w:rsidRPr="00EC1275" w14:paraId="57438C01" w14:textId="77777777" w:rsidTr="008B787F">
        <w:tc>
          <w:tcPr>
            <w:tcW w:w="1537" w:type="pct"/>
            <w:hideMark/>
          </w:tcPr>
          <w:p w14:paraId="4C67879F" w14:textId="77777777" w:rsidR="006D6739" w:rsidRPr="00777FE1" w:rsidRDefault="006D6739">
            <w:pPr>
              <w:snapToGrid w:val="0"/>
              <w:spacing w:before="40" w:after="40"/>
              <w:jc w:val="left"/>
              <w:rPr>
                <w:rFonts w:eastAsia="Arial Unicode MS"/>
                <w:kern w:val="22"/>
                <w:sz w:val="20"/>
                <w:szCs w:val="20"/>
                <w:bdr w:val="none" w:sz="0" w:space="0" w:color="auto" w:frame="1"/>
              </w:rPr>
            </w:pPr>
            <w:r>
              <w:rPr>
                <w:sz w:val="20"/>
                <w:bdr w:val="none" w:sz="0" w:space="0" w:color="auto" w:frame="1"/>
              </w:rPr>
              <w:t>Estados de Europa Oriental</w:t>
            </w:r>
          </w:p>
        </w:tc>
        <w:tc>
          <w:tcPr>
            <w:tcW w:w="928" w:type="pct"/>
            <w:hideMark/>
          </w:tcPr>
          <w:p w14:paraId="3ACAAB1D"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17</w:t>
            </w:r>
          </w:p>
        </w:tc>
        <w:tc>
          <w:tcPr>
            <w:tcW w:w="845" w:type="pct"/>
            <w:hideMark/>
          </w:tcPr>
          <w:p w14:paraId="0C1354E6"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77</w:t>
            </w:r>
          </w:p>
        </w:tc>
        <w:tc>
          <w:tcPr>
            <w:tcW w:w="929" w:type="pct"/>
            <w:hideMark/>
          </w:tcPr>
          <w:p w14:paraId="5CACBB78"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20</w:t>
            </w:r>
          </w:p>
        </w:tc>
        <w:tc>
          <w:tcPr>
            <w:tcW w:w="760" w:type="pct"/>
            <w:hideMark/>
          </w:tcPr>
          <w:p w14:paraId="69A0C21C"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91</w:t>
            </w:r>
          </w:p>
        </w:tc>
      </w:tr>
      <w:tr w:rsidR="006D6739" w:rsidRPr="00EC1275" w14:paraId="085B7AC5" w14:textId="77777777" w:rsidTr="008B787F">
        <w:tc>
          <w:tcPr>
            <w:tcW w:w="1537" w:type="pct"/>
            <w:tcBorders>
              <w:top w:val="nil"/>
              <w:left w:val="nil"/>
              <w:bottom w:val="single" w:sz="4" w:space="0" w:color="auto"/>
              <w:right w:val="nil"/>
            </w:tcBorders>
            <w:hideMark/>
          </w:tcPr>
          <w:p w14:paraId="555EE86A" w14:textId="77777777" w:rsidR="006D6739" w:rsidRPr="00777FE1" w:rsidRDefault="006D6739">
            <w:pPr>
              <w:snapToGrid w:val="0"/>
              <w:spacing w:before="40" w:after="40"/>
              <w:jc w:val="left"/>
              <w:rPr>
                <w:rFonts w:eastAsia="Arial Unicode MS"/>
                <w:kern w:val="22"/>
                <w:sz w:val="20"/>
                <w:szCs w:val="20"/>
                <w:bdr w:val="none" w:sz="0" w:space="0" w:color="auto" w:frame="1"/>
              </w:rPr>
            </w:pPr>
            <w:r>
              <w:rPr>
                <w:sz w:val="20"/>
                <w:bdr w:val="none" w:sz="0" w:space="0" w:color="auto" w:frame="1"/>
              </w:rPr>
              <w:t>Estados de Europa Occidental y otros Estados</w:t>
            </w:r>
          </w:p>
        </w:tc>
        <w:tc>
          <w:tcPr>
            <w:tcW w:w="928" w:type="pct"/>
            <w:tcBorders>
              <w:top w:val="nil"/>
              <w:left w:val="nil"/>
              <w:bottom w:val="single" w:sz="4" w:space="0" w:color="auto"/>
              <w:right w:val="nil"/>
            </w:tcBorders>
            <w:hideMark/>
          </w:tcPr>
          <w:p w14:paraId="3507137C"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18</w:t>
            </w:r>
          </w:p>
        </w:tc>
        <w:tc>
          <w:tcPr>
            <w:tcW w:w="845" w:type="pct"/>
            <w:tcBorders>
              <w:top w:val="nil"/>
              <w:left w:val="nil"/>
              <w:bottom w:val="single" w:sz="4" w:space="0" w:color="auto"/>
              <w:right w:val="nil"/>
            </w:tcBorders>
            <w:hideMark/>
          </w:tcPr>
          <w:p w14:paraId="6B8341E1"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85</w:t>
            </w:r>
          </w:p>
        </w:tc>
        <w:tc>
          <w:tcPr>
            <w:tcW w:w="929" w:type="pct"/>
            <w:tcBorders>
              <w:top w:val="nil"/>
              <w:left w:val="nil"/>
              <w:bottom w:val="single" w:sz="4" w:space="0" w:color="auto"/>
              <w:right w:val="nil"/>
            </w:tcBorders>
            <w:hideMark/>
          </w:tcPr>
          <w:p w14:paraId="258339AB"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20</w:t>
            </w:r>
          </w:p>
        </w:tc>
        <w:tc>
          <w:tcPr>
            <w:tcW w:w="760" w:type="pct"/>
            <w:tcBorders>
              <w:top w:val="nil"/>
              <w:left w:val="nil"/>
              <w:bottom w:val="single" w:sz="4" w:space="0" w:color="auto"/>
              <w:right w:val="nil"/>
            </w:tcBorders>
            <w:hideMark/>
          </w:tcPr>
          <w:p w14:paraId="36482260"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95</w:t>
            </w:r>
          </w:p>
        </w:tc>
      </w:tr>
      <w:tr w:rsidR="006D6739" w:rsidRPr="00EC1275" w14:paraId="33107695" w14:textId="77777777" w:rsidTr="008B787F">
        <w:tc>
          <w:tcPr>
            <w:tcW w:w="1537" w:type="pct"/>
            <w:tcBorders>
              <w:top w:val="single" w:sz="4" w:space="0" w:color="auto"/>
              <w:left w:val="nil"/>
              <w:bottom w:val="single" w:sz="4" w:space="0" w:color="auto"/>
              <w:right w:val="nil"/>
            </w:tcBorders>
            <w:hideMark/>
          </w:tcPr>
          <w:p w14:paraId="38818C64" w14:textId="77777777" w:rsidR="006D6739" w:rsidRPr="00777FE1" w:rsidRDefault="006D6739">
            <w:pPr>
              <w:snapToGrid w:val="0"/>
              <w:spacing w:before="40" w:after="40"/>
              <w:ind w:left="489"/>
              <w:jc w:val="left"/>
              <w:rPr>
                <w:rFonts w:eastAsia="Arial Unicode MS"/>
                <w:b/>
                <w:bCs/>
                <w:kern w:val="22"/>
                <w:sz w:val="20"/>
                <w:szCs w:val="20"/>
                <w:bdr w:val="none" w:sz="0" w:space="0" w:color="auto" w:frame="1"/>
              </w:rPr>
            </w:pPr>
            <w:r>
              <w:rPr>
                <w:b/>
                <w:sz w:val="20"/>
                <w:bdr w:val="none" w:sz="0" w:space="0" w:color="auto" w:frame="1"/>
              </w:rPr>
              <w:t>Total</w:t>
            </w:r>
          </w:p>
        </w:tc>
        <w:tc>
          <w:tcPr>
            <w:tcW w:w="928" w:type="pct"/>
            <w:tcBorders>
              <w:top w:val="single" w:sz="4" w:space="0" w:color="auto"/>
              <w:left w:val="nil"/>
              <w:bottom w:val="single" w:sz="4" w:space="0" w:color="auto"/>
              <w:right w:val="nil"/>
            </w:tcBorders>
            <w:hideMark/>
          </w:tcPr>
          <w:p w14:paraId="5CF3B457" w14:textId="77777777" w:rsidR="006D6739" w:rsidRPr="00EC1275" w:rsidRDefault="006D6739">
            <w:pPr>
              <w:snapToGrid w:val="0"/>
              <w:spacing w:before="40" w:after="40"/>
              <w:jc w:val="right"/>
              <w:rPr>
                <w:rFonts w:eastAsia="Arial Unicode MS"/>
                <w:b/>
                <w:bCs/>
                <w:kern w:val="22"/>
                <w:sz w:val="20"/>
                <w:szCs w:val="20"/>
                <w:bdr w:val="none" w:sz="0" w:space="0" w:color="auto" w:frame="1"/>
              </w:rPr>
            </w:pPr>
            <w:r>
              <w:rPr>
                <w:b/>
                <w:sz w:val="20"/>
                <w:bdr w:val="none" w:sz="0" w:space="0" w:color="auto" w:frame="1"/>
              </w:rPr>
              <w:t>119</w:t>
            </w:r>
          </w:p>
        </w:tc>
        <w:tc>
          <w:tcPr>
            <w:tcW w:w="845" w:type="pct"/>
            <w:tcBorders>
              <w:top w:val="single" w:sz="4" w:space="0" w:color="auto"/>
              <w:left w:val="nil"/>
              <w:bottom w:val="single" w:sz="4" w:space="0" w:color="auto"/>
              <w:right w:val="nil"/>
            </w:tcBorders>
            <w:hideMark/>
          </w:tcPr>
          <w:p w14:paraId="0C5A498C" w14:textId="77777777" w:rsidR="006D6739" w:rsidRPr="00EC1275" w:rsidRDefault="006D6739">
            <w:pPr>
              <w:snapToGrid w:val="0"/>
              <w:spacing w:before="40" w:after="40"/>
              <w:jc w:val="right"/>
              <w:rPr>
                <w:rFonts w:eastAsia="Arial Unicode MS"/>
                <w:b/>
                <w:bCs/>
                <w:kern w:val="22"/>
                <w:sz w:val="20"/>
                <w:szCs w:val="20"/>
                <w:bdr w:val="none" w:sz="0" w:space="0" w:color="auto" w:frame="1"/>
              </w:rPr>
            </w:pPr>
            <w:r>
              <w:rPr>
                <w:b/>
                <w:sz w:val="20"/>
                <w:bdr w:val="none" w:sz="0" w:space="0" w:color="auto" w:frame="1"/>
              </w:rPr>
              <w:t>69</w:t>
            </w:r>
          </w:p>
        </w:tc>
        <w:tc>
          <w:tcPr>
            <w:tcW w:w="929" w:type="pct"/>
            <w:tcBorders>
              <w:top w:val="single" w:sz="4" w:space="0" w:color="auto"/>
              <w:left w:val="nil"/>
              <w:bottom w:val="single" w:sz="4" w:space="0" w:color="auto"/>
              <w:right w:val="nil"/>
            </w:tcBorders>
            <w:hideMark/>
          </w:tcPr>
          <w:p w14:paraId="7EC42E76" w14:textId="77777777" w:rsidR="006D6739" w:rsidRPr="00EC1275" w:rsidRDefault="006D6739">
            <w:pPr>
              <w:snapToGrid w:val="0"/>
              <w:spacing w:before="40" w:after="40"/>
              <w:jc w:val="right"/>
              <w:rPr>
                <w:rFonts w:eastAsia="Arial Unicode MS"/>
                <w:b/>
                <w:bCs/>
                <w:kern w:val="22"/>
                <w:sz w:val="20"/>
                <w:szCs w:val="20"/>
                <w:bdr w:val="none" w:sz="0" w:space="0" w:color="auto" w:frame="1"/>
              </w:rPr>
            </w:pPr>
            <w:r>
              <w:rPr>
                <w:b/>
                <w:sz w:val="20"/>
                <w:bdr w:val="none" w:sz="0" w:space="0" w:color="auto" w:frame="1"/>
              </w:rPr>
              <w:t>137</w:t>
            </w:r>
          </w:p>
        </w:tc>
        <w:tc>
          <w:tcPr>
            <w:tcW w:w="760" w:type="pct"/>
            <w:tcBorders>
              <w:top w:val="single" w:sz="4" w:space="0" w:color="auto"/>
              <w:left w:val="nil"/>
              <w:bottom w:val="single" w:sz="4" w:space="0" w:color="auto"/>
              <w:right w:val="nil"/>
            </w:tcBorders>
            <w:hideMark/>
          </w:tcPr>
          <w:p w14:paraId="47376452" w14:textId="77777777" w:rsidR="006D6739" w:rsidRPr="00EC1275" w:rsidRDefault="006D6739">
            <w:pPr>
              <w:snapToGrid w:val="0"/>
              <w:spacing w:before="40" w:after="40"/>
              <w:jc w:val="right"/>
              <w:rPr>
                <w:rFonts w:eastAsia="Arial Unicode MS"/>
                <w:b/>
                <w:bCs/>
                <w:kern w:val="22"/>
                <w:sz w:val="20"/>
                <w:szCs w:val="20"/>
                <w:bdr w:val="none" w:sz="0" w:space="0" w:color="auto" w:frame="1"/>
              </w:rPr>
            </w:pPr>
            <w:r>
              <w:rPr>
                <w:b/>
                <w:sz w:val="20"/>
                <w:bdr w:val="none" w:sz="0" w:space="0" w:color="auto" w:frame="1"/>
              </w:rPr>
              <w:t>79</w:t>
            </w:r>
          </w:p>
        </w:tc>
      </w:tr>
    </w:tbl>
    <w:p w14:paraId="19A1EEF9" w14:textId="77777777" w:rsidR="00DE1E6A" w:rsidRPr="0044536F" w:rsidRDefault="00DE1E6A" w:rsidP="008B787F">
      <w:pPr>
        <w:pStyle w:val="CBDH2"/>
        <w:spacing w:before="240"/>
      </w:pPr>
      <w:r>
        <w:t>C.</w:t>
      </w:r>
      <w:r>
        <w:tab/>
        <w:t xml:space="preserve">Examen del cumplimiento de la obligación de las Partes de presentar informes llevado a cabo por el Comité de Cumplimiento </w:t>
      </w:r>
    </w:p>
    <w:p w14:paraId="74598CD0" w14:textId="77777777" w:rsidR="00DE1E6A" w:rsidRDefault="00D27695" w:rsidP="008B787F">
      <w:pPr>
        <w:pStyle w:val="CBDNormalNumber"/>
        <w:tabs>
          <w:tab w:val="clear" w:pos="567"/>
        </w:tabs>
      </w:pPr>
      <w:r>
        <w:t>En su 21ª reunión, celebrada del 10 al 12 de junio de 2026, el Comité de Cumplimiento establecido en el marco del Protocolo de Cartagena examinó el cumplimiento de la obligación de las Partes de presentar informes nacionales</w:t>
      </w:r>
      <w:r w:rsidR="000608EB">
        <w:rPr>
          <w:rStyle w:val="FootnoteReference"/>
        </w:rPr>
        <w:footnoteReference w:id="2"/>
      </w:r>
      <w:r>
        <w:t>.</w:t>
      </w:r>
    </w:p>
    <w:p w14:paraId="2A7BF6E8" w14:textId="77777777" w:rsidR="00AD787F" w:rsidRDefault="00A43EB7" w:rsidP="008B787F">
      <w:pPr>
        <w:pStyle w:val="CBDNormalNumber"/>
        <w:tabs>
          <w:tab w:val="clear" w:pos="567"/>
        </w:tabs>
      </w:pPr>
      <w:r>
        <w:t xml:space="preserve">El Comité tomó nota con aprecio del elevado número de Partes que habían presentado sus quintos informes nacionales para la fecha tope del 28 de febrero de 2026 (119 Partes, es decir, el 69 %). </w:t>
      </w:r>
    </w:p>
    <w:p w14:paraId="70BBF91F" w14:textId="77777777" w:rsidR="00FD071A" w:rsidRDefault="00FD071A" w:rsidP="008B787F">
      <w:pPr>
        <w:pStyle w:val="CBDNormalNumber"/>
        <w:tabs>
          <w:tab w:val="clear" w:pos="567"/>
        </w:tabs>
      </w:pPr>
      <w:r>
        <w:t>El Comité acogió con satisfacción los esfuerzos de la Secretaría por apoyar a las Partes en la preparación y presentación de sus informes nacionales, entre otras formas, mediante la creación de materiales de ayuda. El Comité también acogió con satisfacción los talleres regionales presenciales organizados y llevados a cabo por el PNUMA, el Fondo para el Medio Ambiente Mundial y la Secretaría con el fin de prestar apoyo técnico para la redacción de los informes nacionales a las Partes que cumplían los requisitos para participar en el proyecto de dicho fondo que se menciona en el párrafo 8 anterior. El Comité expresó su agradecimiento al Fondo para el Medio Ambiente Mundial por prestar apoyo financiero para el proyecto y sus actividades en curso. Asimismo, consideró formas de reforzar el apoyo para la presentación de futuros informes, entre otras formas, proporcionando el apoyo con mayor antelación a la fecha tope de presentación.</w:t>
      </w:r>
    </w:p>
    <w:p w14:paraId="7651081B" w14:textId="77777777" w:rsidR="00924605" w:rsidRPr="00154220" w:rsidRDefault="00D05576" w:rsidP="008B787F">
      <w:pPr>
        <w:pStyle w:val="CBDNormalNumber"/>
        <w:numPr>
          <w:ilvl w:val="0"/>
          <w:numId w:val="16"/>
        </w:numPr>
        <w:tabs>
          <w:tab w:val="clear" w:pos="567"/>
          <w:tab w:val="left" w:pos="630"/>
        </w:tabs>
        <w:ind w:left="567" w:firstLine="0"/>
      </w:pPr>
      <w:r>
        <w:t>El Comité reconoció las ventajas de la presentación sincronizada de informes para compartir información en el marco del Convenio y sus Protocolos, admitiendo al mismo tiempo que la presentación de los diferentes informes en la misma fecha planteaba dificultades a muchas Partes, sobre todo aquellas con recursos humanos limitados</w:t>
      </w:r>
      <w:r w:rsidR="00606756">
        <w:rPr>
          <w:rStyle w:val="FootnoteReference"/>
        </w:rPr>
        <w:footnoteReference w:id="3"/>
      </w:r>
      <w:r>
        <w:t xml:space="preserve">. </w:t>
      </w:r>
    </w:p>
    <w:p w14:paraId="1DB0D8BD" w14:textId="77777777" w:rsidR="00522DB8" w:rsidRPr="00154220" w:rsidRDefault="00E75D47" w:rsidP="008B787F">
      <w:pPr>
        <w:pStyle w:val="CBDNormalNumber"/>
        <w:tabs>
          <w:tab w:val="clear" w:pos="567"/>
        </w:tabs>
      </w:pPr>
      <w:r>
        <w:lastRenderedPageBreak/>
        <w:t>El Comité pidió a la Secretaría que hiciese un seguimiento poniéndose en contacto con las Partes que aún no habían presentado su quinto informe nacional, y pidió a la Presidenta del Comité que escribiera a cualquier Parte que para el 30 de noviembre de 2026 no hubiese presentado su quinto informe nacional.</w:t>
      </w:r>
    </w:p>
    <w:p w14:paraId="247797EA" w14:textId="77777777" w:rsidR="00D05576" w:rsidRPr="00734B50" w:rsidRDefault="00522DB8" w:rsidP="00BF149D">
      <w:pPr>
        <w:pStyle w:val="CBDNormalNumber"/>
      </w:pPr>
      <w:r>
        <w:t>El Comité hizo varias recomendaciones a la Conferencia de las Partes que actúa como reunión de las Partes en el Protocolo, las cuales figuran en el anexo I del informe del Comité de Cumplimiento sobre sus reuniones 20ª y 21ª</w:t>
      </w:r>
      <w:r w:rsidR="00FA50DD" w:rsidRPr="00734B50">
        <w:rPr>
          <w:rStyle w:val="FootnoteReference"/>
        </w:rPr>
        <w:footnoteReference w:id="4"/>
      </w:r>
      <w:r>
        <w:t>. En los elementos del proyecto de decisión de abajo se han incorporado esas recomendaciones.</w:t>
      </w:r>
    </w:p>
    <w:p w14:paraId="1B0BA9E7" w14:textId="77777777" w:rsidR="001900C2" w:rsidRPr="003F1A75" w:rsidRDefault="00A111D1" w:rsidP="001900C2">
      <w:pPr>
        <w:pStyle w:val="CBDH1"/>
      </w:pPr>
      <w:r>
        <w:t>III.</w:t>
      </w:r>
      <w:r>
        <w:tab/>
        <w:t>Preparación de los sextos informes nacionales</w:t>
      </w:r>
    </w:p>
    <w:p w14:paraId="2981B7BE" w14:textId="77777777" w:rsidR="00B63FF0" w:rsidRPr="0054293A" w:rsidRDefault="00541852" w:rsidP="00B63FF0">
      <w:pPr>
        <w:pStyle w:val="CBDNormalNumber"/>
      </w:pPr>
      <w:r>
        <w:t xml:space="preserve">En su decisión </w:t>
      </w:r>
      <w:hyperlink r:id="rId26" w:history="1">
        <w:r>
          <w:rPr>
            <w:rStyle w:val="Hyperlink"/>
          </w:rPr>
          <w:t>15/6</w:t>
        </w:r>
      </w:hyperlink>
      <w:r>
        <w:t xml:space="preserve"> la Conferencia de las Partes en el Convenio decidió que la fecha tope para presentar el octavo informe nacional sobre el Convenio sería el 30 de junio de 2029. Por consiguiente, la fecha tope para presentar el sexto informe nacional sobre el Protocolo de Cartagena también sería el 30 de junio de 2029. Por lo tanto, la Conferencia de las Partes que actúa como reunión de las Partes en el Protocolo tenía que examinar el proyecto de formato para el sexto informe nacional en su 13ª reunión, en 2028.</w:t>
      </w:r>
    </w:p>
    <w:p w14:paraId="7072D008" w14:textId="77777777" w:rsidR="001900C2" w:rsidRDefault="007E3635" w:rsidP="004E6A5A">
      <w:pPr>
        <w:pStyle w:val="CBDNormalNumber"/>
      </w:pPr>
      <w:r>
        <w:t>Entre los elementos de un posible proyecto de decisión se incluye una petición a la Secretaria Ejecutiva para que prepare el formato para el sexto informe nacional. En la pregunta 176 del formato para el quinto informe nacional se invitó a las Partes a presentar información sobre cualquier dificultad con la que se encontrasen para elaborar el informe, y a hacer sugerencias para mejorar el formato de presentación de informes. Los comentarios de las Partes en respuesta se pueden tener en cuenta a la hora de preparar el formato para los sextos informes nacionales, teniendo presente al mismo tiempo la necesidad de mantener la continuidad de las preguntas con el fin de facilitar la medición de los progresos a la luz de los indicadores incluidos en el plan de aplicación para el Protocolo.</w:t>
      </w:r>
    </w:p>
    <w:p w14:paraId="7FA3C534" w14:textId="77777777" w:rsidR="007C4951" w:rsidRPr="003F1A75" w:rsidRDefault="00C33D46" w:rsidP="00A111D1">
      <w:pPr>
        <w:pStyle w:val="CBDH1"/>
      </w:pPr>
      <w:r>
        <w:t>IV.</w:t>
      </w:r>
      <w:r>
        <w:tab/>
        <w:t>Elementos de un posible proyecto de decisión</w:t>
      </w:r>
    </w:p>
    <w:p w14:paraId="48D1574C" w14:textId="77777777" w:rsidR="00AD2962" w:rsidRDefault="00D172A3" w:rsidP="00016EB0">
      <w:pPr>
        <w:pStyle w:val="CBDNormalNumber"/>
      </w:pPr>
      <w:r>
        <w:t>Los tres primeros párrafos de los elementos de un proyecto de decisión que figuran abajo para que la Conferencia de las Partes que actúa como reunión de las Partes en el Protocolo los considere son recomendaciones del Comité de Cumplimiento. En aplicación de la recomendación 7/5 del Órgano Subsidiario sobre la Aplicación, en el proyecto de decisión correspondiente al tema del programa centrado en asuntos relacionados con el mecanismo financiero y los recursos financieros, se incluirá un párrafo dedicado a orientar al Fondo para el Medio Ambiente Mundial para que proporcione apoyo financiero destinado a la preparación de los sextos informes nacionales</w:t>
      </w:r>
      <w:r w:rsidR="00D204EC">
        <w:rPr>
          <w:rStyle w:val="FootnoteReference"/>
        </w:rPr>
        <w:footnoteReference w:id="5"/>
      </w:r>
      <w:r>
        <w:t>.</w:t>
      </w:r>
    </w:p>
    <w:p w14:paraId="220EDEBF" w14:textId="77777777" w:rsidR="00071749" w:rsidRDefault="00071749" w:rsidP="00016EB0">
      <w:pPr>
        <w:pStyle w:val="CBDNormalNumber"/>
      </w:pPr>
      <w:r>
        <w:t>La Conferencia de las Partes que actúa como reunión de las Partes en el Protocolo podría estimar también oportuno adoptar una decisión del siguiente tenor:</w:t>
      </w:r>
    </w:p>
    <w:p w14:paraId="2F83FA96" w14:textId="77777777" w:rsidR="00991AB3" w:rsidRDefault="00AA792F" w:rsidP="00617675">
      <w:pPr>
        <w:pStyle w:val="CBDNormalNumber"/>
        <w:numPr>
          <w:ilvl w:val="0"/>
          <w:numId w:val="0"/>
        </w:numPr>
        <w:ind w:left="567"/>
        <w:rPr>
          <w:i/>
          <w:iCs/>
        </w:rPr>
      </w:pPr>
      <w:r>
        <w:rPr>
          <w:i/>
        </w:rPr>
        <w:tab/>
      </w:r>
      <w:r>
        <w:rPr>
          <w:i/>
          <w:iCs/>
        </w:rPr>
        <w:t>La Conferencia de las Partes que actúa como reunión de las Partes en el Protocolo,</w:t>
      </w:r>
    </w:p>
    <w:p w14:paraId="753124FB" w14:textId="77777777" w:rsidR="00362DDB" w:rsidRDefault="00C970A3" w:rsidP="00B82C37">
      <w:pPr>
        <w:pStyle w:val="CBDNormalNumber"/>
        <w:numPr>
          <w:ilvl w:val="0"/>
          <w:numId w:val="0"/>
        </w:numPr>
        <w:ind w:left="567"/>
      </w:pPr>
      <w:r>
        <w:rPr>
          <w:i/>
        </w:rPr>
        <w:tab/>
      </w:r>
      <w:r>
        <w:rPr>
          <w:i/>
          <w:iCs/>
        </w:rPr>
        <w:t>Recordando</w:t>
      </w:r>
      <w:r>
        <w:t xml:space="preserve"> el artículo 33 del Protocolo de Cartagena sobre Seguridad de la Biotecnología</w:t>
      </w:r>
      <w:r w:rsidR="00135469">
        <w:rPr>
          <w:rStyle w:val="FootnoteReference"/>
        </w:rPr>
        <w:footnoteReference w:id="6"/>
      </w:r>
      <w:r>
        <w:t xml:space="preserve"> y su decisión </w:t>
      </w:r>
      <w:hyperlink r:id="rId27" w:history="1">
        <w:r>
          <w:rPr>
            <w:rStyle w:val="Hyperlink"/>
          </w:rPr>
          <w:t>CP-10/9</w:t>
        </w:r>
      </w:hyperlink>
      <w:r>
        <w:t xml:space="preserve"> de 10 de diciembre de 2022, en la que pidió a las Partes que presentaran a la Secretaría sus quintos informes nacionales sobre la aplicación del Protocolo,</w:t>
      </w:r>
    </w:p>
    <w:p w14:paraId="79649EE0" w14:textId="77777777" w:rsidR="007812DC" w:rsidRPr="007812DC" w:rsidRDefault="00226DC6" w:rsidP="008B787F">
      <w:pPr>
        <w:pStyle w:val="CBDNormalNumber"/>
        <w:numPr>
          <w:ilvl w:val="0"/>
          <w:numId w:val="0"/>
        </w:numPr>
        <w:ind w:left="567" w:firstLine="567"/>
      </w:pPr>
      <w:r>
        <w:lastRenderedPageBreak/>
        <w:t>1.</w:t>
      </w:r>
      <w:r>
        <w:tab/>
      </w:r>
      <w:r>
        <w:rPr>
          <w:i/>
          <w:iCs/>
        </w:rPr>
        <w:t>Acoge con satisfacción</w:t>
      </w:r>
      <w:r>
        <w:t xml:space="preserve"> el hecho de que más de dos tercios de las Partes hayan presentado sus quintos informes nacionales sobre la aplicación del Protocolo de Cartagena sobre Seguridad de la Biotecnología antes del vencimiento del plazo de presentación; </w:t>
      </w:r>
    </w:p>
    <w:p w14:paraId="242FF495" w14:textId="77777777" w:rsidR="00AD6A36" w:rsidRPr="00AD6A36" w:rsidRDefault="00226DC6" w:rsidP="008B787F">
      <w:pPr>
        <w:pStyle w:val="CBDNormalNumber"/>
        <w:numPr>
          <w:ilvl w:val="0"/>
          <w:numId w:val="0"/>
        </w:numPr>
        <w:ind w:left="567" w:firstLine="567"/>
      </w:pPr>
      <w:r>
        <w:t>2.</w:t>
      </w:r>
      <w:r>
        <w:tab/>
      </w:r>
      <w:r>
        <w:rPr>
          <w:i/>
          <w:iCs/>
        </w:rPr>
        <w:t>Recuerda</w:t>
      </w:r>
      <w:r>
        <w:t xml:space="preserve"> a las Partes que aún no hayan presentado sus quintos informes nacionales que lo hagan lo antes posible a través del Centro de Intercambio de Información sobre Seguridad de la Biotecnología;</w:t>
      </w:r>
    </w:p>
    <w:p w14:paraId="5EC6BFAF" w14:textId="77777777" w:rsidR="002E77E7" w:rsidRDefault="00226DC6" w:rsidP="008B787F">
      <w:pPr>
        <w:pStyle w:val="CBDNormalNumber"/>
        <w:numPr>
          <w:ilvl w:val="0"/>
          <w:numId w:val="0"/>
        </w:numPr>
        <w:ind w:left="567" w:firstLine="567"/>
      </w:pPr>
      <w:r>
        <w:t>3.</w:t>
      </w:r>
      <w:r>
        <w:tab/>
      </w:r>
      <w:r>
        <w:rPr>
          <w:i/>
          <w:iCs/>
        </w:rPr>
        <w:t>Expresa</w:t>
      </w:r>
      <w:r>
        <w:t xml:space="preserve"> su agradecimiento al Fondo para el Medio Ambiente Mundial y al Programa de las Naciones Unidas para el Medio Ambiente por el apoyo prestado a las Partes que reunían los requisitos para la preparación y presentación de sus quintos informes nacionales.</w:t>
      </w:r>
    </w:p>
    <w:p w14:paraId="09B48853" w14:textId="77777777" w:rsidR="00FC6EE4" w:rsidRPr="00603081" w:rsidRDefault="00226DC6" w:rsidP="008B787F">
      <w:pPr>
        <w:pStyle w:val="CBDNormalNumber"/>
        <w:numPr>
          <w:ilvl w:val="0"/>
          <w:numId w:val="0"/>
        </w:numPr>
        <w:ind w:left="567" w:firstLine="567"/>
      </w:pPr>
      <w:r>
        <w:t>4.</w:t>
      </w:r>
      <w:r>
        <w:tab/>
      </w:r>
      <w:r w:rsidRPr="0096362A">
        <w:rPr>
          <w:i/>
          <w:iCs/>
        </w:rPr>
        <w:t>Señala</w:t>
      </w:r>
      <w:r>
        <w:t xml:space="preserve"> que la fecha tope para presentar los sextos informes nacionales será el 30 de junio de 2029;</w:t>
      </w:r>
    </w:p>
    <w:p w14:paraId="6DDE9345" w14:textId="77777777" w:rsidR="00A111D1" w:rsidRDefault="00226DC6" w:rsidP="008B787F">
      <w:pPr>
        <w:pStyle w:val="CBDNormalNumber"/>
        <w:numPr>
          <w:ilvl w:val="0"/>
          <w:numId w:val="0"/>
        </w:numPr>
        <w:ind w:left="567" w:firstLine="567"/>
      </w:pPr>
      <w:r>
        <w:t>5.</w:t>
      </w:r>
      <w:r>
        <w:tab/>
      </w:r>
      <w:r>
        <w:rPr>
          <w:i/>
          <w:iCs/>
        </w:rPr>
        <w:t>Pide</w:t>
      </w:r>
      <w:r>
        <w:t xml:space="preserve"> a la Secretaria Ejecutiva que prepare el formato para el sexto informe nacional, teniendo en cuenta los comentarios que han hecho las Partes en los quintos informes nacionales al tiempo que mantiene la continuidad de las preguntas con el fin de facilitar la medición de los progresos a la luz de los indicadores incluidos en el plan de aplicación para el Protocolo</w:t>
      </w:r>
      <w:r w:rsidR="00E56782">
        <w:rPr>
          <w:rStyle w:val="FootnoteReference"/>
        </w:rPr>
        <w:footnoteReference w:id="7"/>
      </w:r>
      <w:r>
        <w:t>, y que presente el formato a la Conferencia de las Partes que actúa como reunión de las Partes en el Protocolo para que lo considere en su 13ª reunión.</w:t>
      </w:r>
    </w:p>
    <w:p w14:paraId="0EC4A3F9" w14:textId="77777777" w:rsidR="001864B9" w:rsidRPr="003F1A75" w:rsidRDefault="001864B9" w:rsidP="008B787F">
      <w:pPr>
        <w:pStyle w:val="Para1"/>
        <w:numPr>
          <w:ilvl w:val="0"/>
          <w:numId w:val="0"/>
        </w:numPr>
        <w:ind w:left="567"/>
        <w:jc w:val="center"/>
      </w:pPr>
      <w:r>
        <w:t>______________</w:t>
      </w:r>
    </w:p>
    <w:sectPr w:rsidR="001864B9" w:rsidRPr="003F1A75" w:rsidSect="008B787F">
      <w:headerReference w:type="even" r:id="rId28"/>
      <w:headerReference w:type="default" r:id="rId29"/>
      <w:footerReference w:type="even" r:id="rId30"/>
      <w:footerReference w:type="default" r:id="rId3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1EDA7" w14:textId="77777777" w:rsidR="001026AE" w:rsidRPr="003F1A75" w:rsidRDefault="001026AE" w:rsidP="00CF1848">
      <w:r w:rsidRPr="003F1A75">
        <w:separator/>
      </w:r>
    </w:p>
  </w:endnote>
  <w:endnote w:type="continuationSeparator" w:id="0">
    <w:p w14:paraId="21C24382" w14:textId="77777777" w:rsidR="001026AE" w:rsidRPr="003F1A75" w:rsidRDefault="001026A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A65BA78" w14:textId="77777777" w:rsidR="00D75CA6" w:rsidRPr="003F1A75" w:rsidRDefault="00D75CA6" w:rsidP="00D75CA6">
            <w:pPr>
              <w:pStyle w:val="Footer"/>
              <w:jc w:val="left"/>
            </w:pPr>
            <w:r w:rsidRPr="008B787F">
              <w:fldChar w:fldCharType="begin"/>
            </w:r>
            <w:r w:rsidRPr="008B787F">
              <w:instrText xml:space="preserve"> PAGE </w:instrText>
            </w:r>
            <w:r w:rsidRPr="008B787F">
              <w:fldChar w:fldCharType="separate"/>
            </w:r>
            <w:r w:rsidRPr="008B787F">
              <w:t>2</w:t>
            </w:r>
            <w:r w:rsidRPr="008B787F">
              <w:fldChar w:fldCharType="end"/>
            </w:r>
            <w:r>
              <w:t>/</w:t>
            </w:r>
            <w:fldSimple w:instr=" NUMPAGES  ">
              <w:r w:rsidRPr="008B787F">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464B062" w14:textId="77777777" w:rsidR="00D75CA6" w:rsidRPr="003F1A75" w:rsidRDefault="00D75CA6" w:rsidP="008B787F">
        <w:pPr>
          <w:pStyle w:val="Footer"/>
          <w:jc w:val="right"/>
        </w:pPr>
        <w:r w:rsidRPr="008B787F">
          <w:fldChar w:fldCharType="begin"/>
        </w:r>
        <w:r w:rsidRPr="008B787F">
          <w:instrText xml:space="preserve"> PAGE </w:instrText>
        </w:r>
        <w:r w:rsidRPr="008B787F">
          <w:fldChar w:fldCharType="separate"/>
        </w:r>
        <w:r w:rsidRPr="008B787F">
          <w:t>2</w:t>
        </w:r>
        <w:r w:rsidRPr="008B787F">
          <w:fldChar w:fldCharType="end"/>
        </w:r>
        <w:r>
          <w:t>/</w:t>
        </w:r>
        <w:fldSimple w:instr=" NUMPAGES  ">
          <w:r w:rsidRPr="008B787F">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9386D" w14:textId="77777777" w:rsidR="001026AE" w:rsidRPr="003F1A75" w:rsidRDefault="001026AE" w:rsidP="00CF1848">
      <w:r w:rsidRPr="003F1A75">
        <w:separator/>
      </w:r>
    </w:p>
  </w:footnote>
  <w:footnote w:type="continuationSeparator" w:id="0">
    <w:p w14:paraId="7DDFC33F" w14:textId="77777777" w:rsidR="001026AE" w:rsidRPr="003F1A75" w:rsidRDefault="001026AE" w:rsidP="00CF1848">
      <w:r w:rsidRPr="003F1A75">
        <w:continuationSeparator/>
      </w:r>
    </w:p>
  </w:footnote>
  <w:footnote w:id="1">
    <w:p w14:paraId="67847A03" w14:textId="77777777" w:rsidR="008A1499" w:rsidRPr="003F1A75" w:rsidRDefault="008A1499">
      <w:pPr>
        <w:pStyle w:val="FootnoteText"/>
      </w:pPr>
      <w:r>
        <w:rPr>
          <w:rStyle w:val="FootnoteReference"/>
        </w:rPr>
        <w:t>*</w:t>
      </w:r>
      <w:r>
        <w:t xml:space="preserve"> </w:t>
      </w:r>
      <w:hyperlink r:id="rId1" w:history="1">
        <w:r>
          <w:rPr>
            <w:rStyle w:val="Hyperlink"/>
          </w:rPr>
          <w:t>CBD/CP/MOP/12/1</w:t>
        </w:r>
      </w:hyperlink>
      <w:r>
        <w:t>.</w:t>
      </w:r>
    </w:p>
  </w:footnote>
  <w:footnote w:id="2">
    <w:p w14:paraId="6049C331" w14:textId="77777777" w:rsidR="000608EB" w:rsidRPr="0054293A" w:rsidRDefault="000608EB">
      <w:pPr>
        <w:pStyle w:val="FootnoteText"/>
      </w:pPr>
      <w:r>
        <w:rPr>
          <w:rStyle w:val="FootnoteReference"/>
        </w:rPr>
        <w:footnoteRef/>
      </w:r>
      <w:r>
        <w:t xml:space="preserve"> El informe completo del Comité sobre la labor que llevó a cabo en su reunión se puede consultar en el documento </w:t>
      </w:r>
      <w:hyperlink r:id="rId2" w:history="1">
        <w:r>
          <w:rPr>
            <w:rStyle w:val="Hyperlink"/>
          </w:rPr>
          <w:t>CBD/CP/CC/21/5</w:t>
        </w:r>
      </w:hyperlink>
      <w:r>
        <w:t xml:space="preserve">, cuyos </w:t>
      </w:r>
      <w:proofErr w:type="spellStart"/>
      <w:r>
        <w:t>párrs</w:t>
      </w:r>
      <w:proofErr w:type="spellEnd"/>
      <w:r>
        <w:t>. 19–28 se refieren a la obligación de presentar informes nacionales.</w:t>
      </w:r>
    </w:p>
  </w:footnote>
  <w:footnote w:id="3">
    <w:p w14:paraId="08D2238B" w14:textId="77D7862F" w:rsidR="00606756" w:rsidRPr="0054293A" w:rsidRDefault="00606756">
      <w:pPr>
        <w:pStyle w:val="FootnoteText"/>
      </w:pPr>
      <w:r>
        <w:rPr>
          <w:rStyle w:val="FootnoteReference"/>
        </w:rPr>
        <w:footnoteRef/>
      </w:r>
      <w:r>
        <w:t xml:space="preserve"> Igualmente, en su contribución a la quinta evaluación y revisión del Protocolo y la evaluación a mitad de período del plan de aplicación y del plan de acción para la creación de capacidad para el Protocolo, el Grupo de Enlace del Protocolo reconoció que la presentación sincronizada de informes sobre el Convenio y sobre sus Protocolos tenía algunas ventajas, pero también había dificultades al tener los tres informes la misma fecha tope de presentación (véase el anexo del documento </w:t>
      </w:r>
      <w:hyperlink r:id="rId3" w:history="1">
        <w:r>
          <w:rPr>
            <w:rStyle w:val="Hyperlink"/>
          </w:rPr>
          <w:t>CBD/CP/LG/15/3</w:t>
        </w:r>
      </w:hyperlink>
      <w:r>
        <w:t>).</w:t>
      </w:r>
    </w:p>
  </w:footnote>
  <w:footnote w:id="4">
    <w:p w14:paraId="00AA3ED3" w14:textId="77777777" w:rsidR="00FA50DD" w:rsidRPr="009358AC" w:rsidRDefault="00FA50DD" w:rsidP="00FA50DD">
      <w:pPr>
        <w:pStyle w:val="FootnoteText"/>
      </w:pPr>
      <w:r>
        <w:rPr>
          <w:rStyle w:val="FootnoteReference"/>
        </w:rPr>
        <w:footnoteRef/>
      </w:r>
      <w:r>
        <w:t xml:space="preserve"> </w:t>
      </w:r>
      <w:hyperlink r:id="rId4" w:history="1">
        <w:r>
          <w:rPr>
            <w:rStyle w:val="Hyperlink"/>
          </w:rPr>
          <w:t>CBD/CP/MOP/12/3</w:t>
        </w:r>
      </w:hyperlink>
      <w:r>
        <w:t>.</w:t>
      </w:r>
    </w:p>
  </w:footnote>
  <w:footnote w:id="5">
    <w:p w14:paraId="1E38E864" w14:textId="77777777" w:rsidR="00D204EC" w:rsidRPr="008B787F" w:rsidRDefault="00D204EC">
      <w:pPr>
        <w:pStyle w:val="FootnoteText"/>
      </w:pPr>
      <w:r>
        <w:rPr>
          <w:rStyle w:val="FootnoteReference"/>
        </w:rPr>
        <w:footnoteRef/>
      </w:r>
      <w:r>
        <w:t xml:space="preserve"> Véase el proyecto de decisión correspondiente al tema 9 del programa en la recopilación de proyectos de decisión (CBD/MOP/12/2).</w:t>
      </w:r>
    </w:p>
  </w:footnote>
  <w:footnote w:id="6">
    <w:p w14:paraId="0837FF9A" w14:textId="77777777" w:rsidR="00135469" w:rsidRDefault="00135469">
      <w:pPr>
        <w:pStyle w:val="FootnoteText"/>
      </w:pPr>
      <w:r>
        <w:rPr>
          <w:rStyle w:val="FootnoteReference"/>
        </w:rPr>
        <w:footnoteRef/>
      </w:r>
      <w:r>
        <w:t xml:space="preserve"> Naciones Unidas, </w:t>
      </w:r>
      <w:r>
        <w:rPr>
          <w:i/>
        </w:rPr>
        <w:t>Treaty Series</w:t>
      </w:r>
      <w:r>
        <w:t>, vol. 2226, núm. 30619.</w:t>
      </w:r>
    </w:p>
  </w:footnote>
  <w:footnote w:id="7">
    <w:p w14:paraId="6755698F" w14:textId="77777777" w:rsidR="00E56782" w:rsidRDefault="00E56782">
      <w:pPr>
        <w:pStyle w:val="FootnoteText"/>
      </w:pPr>
      <w:r>
        <w:rPr>
          <w:rStyle w:val="FootnoteReference"/>
        </w:rPr>
        <w:footnoteRef/>
      </w:r>
      <w:r>
        <w:t xml:space="preserve"> Decisión </w:t>
      </w:r>
      <w:hyperlink r:id="rId5" w:history="1">
        <w:r>
          <w:rPr>
            <w:rStyle w:val="Hyperlink"/>
          </w:rPr>
          <w:t>CP-10/3</w:t>
        </w:r>
      </w:hyperlink>
      <w: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Asunto"/>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654E3F6" w14:textId="77777777" w:rsidR="00534681" w:rsidRPr="003F1A75" w:rsidRDefault="00D54A8E" w:rsidP="007C4951">
        <w:pPr>
          <w:pStyle w:val="Header"/>
          <w:spacing w:after="240"/>
          <w:rPr>
            <w:szCs w:val="20"/>
          </w:rPr>
        </w:pPr>
        <w:r>
          <w:rPr>
            <w:szCs w:val="20"/>
          </w:rPr>
          <w:t>CBD/CP/MOP/12/6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Asunto"/>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04EC49F" w14:textId="77777777" w:rsidR="009505C9" w:rsidRPr="003F1A75" w:rsidRDefault="00D54A8E" w:rsidP="007C4951">
        <w:pPr>
          <w:pStyle w:val="Header"/>
          <w:spacing w:after="240"/>
          <w:jc w:val="right"/>
        </w:pPr>
        <w:r>
          <w:t>CBD/CP/MOP/12/6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0085A"/>
    <w:multiLevelType w:val="hybridMultilevel"/>
    <w:tmpl w:val="281AF410"/>
    <w:lvl w:ilvl="0" w:tplc="5672EABE">
      <w:start w:val="16"/>
      <w:numFmt w:val="bullet"/>
      <w:lvlText w:val="-"/>
      <w:lvlJc w:val="left"/>
      <w:pPr>
        <w:ind w:left="720" w:hanging="360"/>
      </w:pPr>
      <w:rPr>
        <w:rFonts w:ascii="Times New Roman" w:eastAsia="SimSu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6E22BD7"/>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846870841">
    <w:abstractNumId w:val="4"/>
    <w:lvlOverride w:ilvl="0">
      <w:startOverride w:val="5"/>
    </w:lvlOverride>
  </w:num>
  <w:num w:numId="9" w16cid:durableId="93985974">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13554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6274284">
    <w:abstractNumId w:val="0"/>
  </w:num>
  <w:num w:numId="12" w16cid:durableId="5041718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6146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3247620">
    <w:abstractNumId w:val="5"/>
  </w:num>
  <w:num w:numId="15" w16cid:durableId="6195348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72877098">
    <w:abstractNumId w:val="4"/>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17" w16cid:durableId="809904989">
    <w:abstractNumId w:val="4"/>
  </w:num>
  <w:num w:numId="18" w16cid:durableId="2979585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25C"/>
    <w:rsid w:val="000002AD"/>
    <w:rsid w:val="00000E6C"/>
    <w:rsid w:val="0000269E"/>
    <w:rsid w:val="000064D5"/>
    <w:rsid w:val="00007164"/>
    <w:rsid w:val="00007CC6"/>
    <w:rsid w:val="000157F4"/>
    <w:rsid w:val="0001670C"/>
    <w:rsid w:val="00016EB0"/>
    <w:rsid w:val="000177A2"/>
    <w:rsid w:val="00020499"/>
    <w:rsid w:val="00021397"/>
    <w:rsid w:val="0002384B"/>
    <w:rsid w:val="000258D2"/>
    <w:rsid w:val="00026672"/>
    <w:rsid w:val="0002698E"/>
    <w:rsid w:val="00031650"/>
    <w:rsid w:val="00032C2E"/>
    <w:rsid w:val="00033E27"/>
    <w:rsid w:val="00034380"/>
    <w:rsid w:val="000344CC"/>
    <w:rsid w:val="000358D7"/>
    <w:rsid w:val="00035BD3"/>
    <w:rsid w:val="000364A4"/>
    <w:rsid w:val="0003659A"/>
    <w:rsid w:val="00040AF8"/>
    <w:rsid w:val="0004274C"/>
    <w:rsid w:val="00042A65"/>
    <w:rsid w:val="00042FBB"/>
    <w:rsid w:val="000438D1"/>
    <w:rsid w:val="000476AB"/>
    <w:rsid w:val="00050829"/>
    <w:rsid w:val="00050AA3"/>
    <w:rsid w:val="00050B39"/>
    <w:rsid w:val="00050F51"/>
    <w:rsid w:val="0005173A"/>
    <w:rsid w:val="00052842"/>
    <w:rsid w:val="00054D84"/>
    <w:rsid w:val="000608EB"/>
    <w:rsid w:val="000641A8"/>
    <w:rsid w:val="00067C89"/>
    <w:rsid w:val="0007128A"/>
    <w:rsid w:val="0007171B"/>
    <w:rsid w:val="00071749"/>
    <w:rsid w:val="00072060"/>
    <w:rsid w:val="00074490"/>
    <w:rsid w:val="00074A6F"/>
    <w:rsid w:val="0007571F"/>
    <w:rsid w:val="0007607E"/>
    <w:rsid w:val="000824B8"/>
    <w:rsid w:val="00082B36"/>
    <w:rsid w:val="0008388C"/>
    <w:rsid w:val="00083DF0"/>
    <w:rsid w:val="00084186"/>
    <w:rsid w:val="00084700"/>
    <w:rsid w:val="00084D33"/>
    <w:rsid w:val="0008534F"/>
    <w:rsid w:val="00085763"/>
    <w:rsid w:val="00085C99"/>
    <w:rsid w:val="00087766"/>
    <w:rsid w:val="0008785E"/>
    <w:rsid w:val="00090298"/>
    <w:rsid w:val="0009096D"/>
    <w:rsid w:val="00090E62"/>
    <w:rsid w:val="00090F7A"/>
    <w:rsid w:val="000913DD"/>
    <w:rsid w:val="00093783"/>
    <w:rsid w:val="00093F4A"/>
    <w:rsid w:val="00094CA3"/>
    <w:rsid w:val="000A04F5"/>
    <w:rsid w:val="000A1D09"/>
    <w:rsid w:val="000A2186"/>
    <w:rsid w:val="000A31B0"/>
    <w:rsid w:val="000B1BEA"/>
    <w:rsid w:val="000B55C8"/>
    <w:rsid w:val="000B5B0D"/>
    <w:rsid w:val="000B5D4B"/>
    <w:rsid w:val="000B7089"/>
    <w:rsid w:val="000C128B"/>
    <w:rsid w:val="000C2A90"/>
    <w:rsid w:val="000C3697"/>
    <w:rsid w:val="000C38A4"/>
    <w:rsid w:val="000C4BC0"/>
    <w:rsid w:val="000C6449"/>
    <w:rsid w:val="000C679A"/>
    <w:rsid w:val="000C7283"/>
    <w:rsid w:val="000C7358"/>
    <w:rsid w:val="000D0EF2"/>
    <w:rsid w:val="000D0F68"/>
    <w:rsid w:val="000D0FCF"/>
    <w:rsid w:val="000D2673"/>
    <w:rsid w:val="000D34D3"/>
    <w:rsid w:val="000D3A3F"/>
    <w:rsid w:val="000D54B8"/>
    <w:rsid w:val="000D5FC5"/>
    <w:rsid w:val="000D63EB"/>
    <w:rsid w:val="000D7DA7"/>
    <w:rsid w:val="000E11ED"/>
    <w:rsid w:val="000E28FE"/>
    <w:rsid w:val="000E3A91"/>
    <w:rsid w:val="000E49A0"/>
    <w:rsid w:val="000E5629"/>
    <w:rsid w:val="000E5E3C"/>
    <w:rsid w:val="000E673A"/>
    <w:rsid w:val="000E7D53"/>
    <w:rsid w:val="000F00E3"/>
    <w:rsid w:val="000F0746"/>
    <w:rsid w:val="000F1FFC"/>
    <w:rsid w:val="000F2B54"/>
    <w:rsid w:val="000F6945"/>
    <w:rsid w:val="000F73D9"/>
    <w:rsid w:val="000F74F5"/>
    <w:rsid w:val="000F78FC"/>
    <w:rsid w:val="00101457"/>
    <w:rsid w:val="001026AE"/>
    <w:rsid w:val="00102A26"/>
    <w:rsid w:val="001031DF"/>
    <w:rsid w:val="001042B2"/>
    <w:rsid w:val="001051E7"/>
    <w:rsid w:val="00105372"/>
    <w:rsid w:val="001054A6"/>
    <w:rsid w:val="00105D87"/>
    <w:rsid w:val="001064C4"/>
    <w:rsid w:val="001078A1"/>
    <w:rsid w:val="0011035F"/>
    <w:rsid w:val="00110BBE"/>
    <w:rsid w:val="00114A6B"/>
    <w:rsid w:val="00117FBB"/>
    <w:rsid w:val="00120AC7"/>
    <w:rsid w:val="001217F7"/>
    <w:rsid w:val="00122C5C"/>
    <w:rsid w:val="001248B9"/>
    <w:rsid w:val="00127D69"/>
    <w:rsid w:val="001310DE"/>
    <w:rsid w:val="001312AD"/>
    <w:rsid w:val="00131E7A"/>
    <w:rsid w:val="001329F3"/>
    <w:rsid w:val="00132A55"/>
    <w:rsid w:val="00132B4D"/>
    <w:rsid w:val="00134846"/>
    <w:rsid w:val="00135469"/>
    <w:rsid w:val="00140521"/>
    <w:rsid w:val="00140958"/>
    <w:rsid w:val="00140D12"/>
    <w:rsid w:val="00141411"/>
    <w:rsid w:val="001426D1"/>
    <w:rsid w:val="00143C3C"/>
    <w:rsid w:val="0014533A"/>
    <w:rsid w:val="00146164"/>
    <w:rsid w:val="00147920"/>
    <w:rsid w:val="00150EE9"/>
    <w:rsid w:val="00151464"/>
    <w:rsid w:val="00151A0F"/>
    <w:rsid w:val="001534A7"/>
    <w:rsid w:val="00153D51"/>
    <w:rsid w:val="00154220"/>
    <w:rsid w:val="001544EC"/>
    <w:rsid w:val="00155719"/>
    <w:rsid w:val="00156898"/>
    <w:rsid w:val="00164A43"/>
    <w:rsid w:val="001655E4"/>
    <w:rsid w:val="001708DF"/>
    <w:rsid w:val="00172AF6"/>
    <w:rsid w:val="00173D1C"/>
    <w:rsid w:val="00173DF3"/>
    <w:rsid w:val="00174662"/>
    <w:rsid w:val="00174B61"/>
    <w:rsid w:val="0017567C"/>
    <w:rsid w:val="00175D3A"/>
    <w:rsid w:val="00176170"/>
    <w:rsid w:val="00176CEE"/>
    <w:rsid w:val="00177AE1"/>
    <w:rsid w:val="00177C60"/>
    <w:rsid w:val="00180659"/>
    <w:rsid w:val="00181344"/>
    <w:rsid w:val="00181392"/>
    <w:rsid w:val="0018201E"/>
    <w:rsid w:val="00182CDB"/>
    <w:rsid w:val="00186416"/>
    <w:rsid w:val="001864B9"/>
    <w:rsid w:val="001867E5"/>
    <w:rsid w:val="00186DD8"/>
    <w:rsid w:val="0018793A"/>
    <w:rsid w:val="001900C2"/>
    <w:rsid w:val="001928BC"/>
    <w:rsid w:val="00193BC2"/>
    <w:rsid w:val="00194962"/>
    <w:rsid w:val="00194CD3"/>
    <w:rsid w:val="00196B7B"/>
    <w:rsid w:val="00196EF8"/>
    <w:rsid w:val="001A0EF4"/>
    <w:rsid w:val="001A35EC"/>
    <w:rsid w:val="001A5872"/>
    <w:rsid w:val="001A65AB"/>
    <w:rsid w:val="001A7AC3"/>
    <w:rsid w:val="001B13FE"/>
    <w:rsid w:val="001B1481"/>
    <w:rsid w:val="001B2E89"/>
    <w:rsid w:val="001B2F95"/>
    <w:rsid w:val="001B7330"/>
    <w:rsid w:val="001B7693"/>
    <w:rsid w:val="001C026F"/>
    <w:rsid w:val="001C1059"/>
    <w:rsid w:val="001C1A4A"/>
    <w:rsid w:val="001C7D4E"/>
    <w:rsid w:val="001D030C"/>
    <w:rsid w:val="001D1833"/>
    <w:rsid w:val="001D2484"/>
    <w:rsid w:val="001D2BF0"/>
    <w:rsid w:val="001D2D12"/>
    <w:rsid w:val="001D3E19"/>
    <w:rsid w:val="001D731D"/>
    <w:rsid w:val="001D7960"/>
    <w:rsid w:val="001E0E14"/>
    <w:rsid w:val="001E101B"/>
    <w:rsid w:val="001E4F18"/>
    <w:rsid w:val="001E54B3"/>
    <w:rsid w:val="001E596A"/>
    <w:rsid w:val="001E6C88"/>
    <w:rsid w:val="001E74AB"/>
    <w:rsid w:val="001E78DA"/>
    <w:rsid w:val="001F1B9A"/>
    <w:rsid w:val="001F3EAB"/>
    <w:rsid w:val="001F4CEB"/>
    <w:rsid w:val="001F695E"/>
    <w:rsid w:val="001F6D15"/>
    <w:rsid w:val="00211275"/>
    <w:rsid w:val="00211A92"/>
    <w:rsid w:val="00211CBD"/>
    <w:rsid w:val="0021310E"/>
    <w:rsid w:val="00214D06"/>
    <w:rsid w:val="0021641B"/>
    <w:rsid w:val="00217DE2"/>
    <w:rsid w:val="00220D37"/>
    <w:rsid w:val="00223437"/>
    <w:rsid w:val="00223C68"/>
    <w:rsid w:val="002255A8"/>
    <w:rsid w:val="0022699D"/>
    <w:rsid w:val="00226DC6"/>
    <w:rsid w:val="00227D0F"/>
    <w:rsid w:val="00227EA9"/>
    <w:rsid w:val="002306DB"/>
    <w:rsid w:val="00232685"/>
    <w:rsid w:val="0023293B"/>
    <w:rsid w:val="00232943"/>
    <w:rsid w:val="0023429E"/>
    <w:rsid w:val="00234F54"/>
    <w:rsid w:val="00241B13"/>
    <w:rsid w:val="00241C74"/>
    <w:rsid w:val="00243EB7"/>
    <w:rsid w:val="0024572C"/>
    <w:rsid w:val="002457BD"/>
    <w:rsid w:val="00245B74"/>
    <w:rsid w:val="00246FE1"/>
    <w:rsid w:val="00247733"/>
    <w:rsid w:val="0025469F"/>
    <w:rsid w:val="00255570"/>
    <w:rsid w:val="002566DF"/>
    <w:rsid w:val="00256A08"/>
    <w:rsid w:val="00256C79"/>
    <w:rsid w:val="0026124D"/>
    <w:rsid w:val="002621A6"/>
    <w:rsid w:val="00264146"/>
    <w:rsid w:val="002643DE"/>
    <w:rsid w:val="00264E8B"/>
    <w:rsid w:val="00272323"/>
    <w:rsid w:val="002751C2"/>
    <w:rsid w:val="002751D3"/>
    <w:rsid w:val="0027612A"/>
    <w:rsid w:val="002767F1"/>
    <w:rsid w:val="002768F1"/>
    <w:rsid w:val="00277F0B"/>
    <w:rsid w:val="0028213D"/>
    <w:rsid w:val="00283BFE"/>
    <w:rsid w:val="0028519C"/>
    <w:rsid w:val="00286A44"/>
    <w:rsid w:val="00286F02"/>
    <w:rsid w:val="00287D53"/>
    <w:rsid w:val="00290CC7"/>
    <w:rsid w:val="002937F2"/>
    <w:rsid w:val="00294FDA"/>
    <w:rsid w:val="00295065"/>
    <w:rsid w:val="002972B8"/>
    <w:rsid w:val="002A3B3B"/>
    <w:rsid w:val="002A6250"/>
    <w:rsid w:val="002A6873"/>
    <w:rsid w:val="002B09DD"/>
    <w:rsid w:val="002B0CA0"/>
    <w:rsid w:val="002B3965"/>
    <w:rsid w:val="002B39EA"/>
    <w:rsid w:val="002B49BF"/>
    <w:rsid w:val="002B4D8E"/>
    <w:rsid w:val="002B5588"/>
    <w:rsid w:val="002B5735"/>
    <w:rsid w:val="002C4C7B"/>
    <w:rsid w:val="002C51E4"/>
    <w:rsid w:val="002C53C5"/>
    <w:rsid w:val="002C5A03"/>
    <w:rsid w:val="002C5EB8"/>
    <w:rsid w:val="002C6C55"/>
    <w:rsid w:val="002C70E0"/>
    <w:rsid w:val="002D1BCE"/>
    <w:rsid w:val="002D2732"/>
    <w:rsid w:val="002D3ED9"/>
    <w:rsid w:val="002D413E"/>
    <w:rsid w:val="002D54C8"/>
    <w:rsid w:val="002D615B"/>
    <w:rsid w:val="002D628A"/>
    <w:rsid w:val="002D7235"/>
    <w:rsid w:val="002D7910"/>
    <w:rsid w:val="002E049B"/>
    <w:rsid w:val="002E11BE"/>
    <w:rsid w:val="002E181A"/>
    <w:rsid w:val="002E2BC9"/>
    <w:rsid w:val="002E3FCC"/>
    <w:rsid w:val="002E4AB0"/>
    <w:rsid w:val="002E53AC"/>
    <w:rsid w:val="002E5B2F"/>
    <w:rsid w:val="002E5CCB"/>
    <w:rsid w:val="002E77E7"/>
    <w:rsid w:val="002F0E40"/>
    <w:rsid w:val="002F1AAF"/>
    <w:rsid w:val="002F3808"/>
    <w:rsid w:val="002F3B1D"/>
    <w:rsid w:val="002F4061"/>
    <w:rsid w:val="002F7482"/>
    <w:rsid w:val="003003B5"/>
    <w:rsid w:val="003008FE"/>
    <w:rsid w:val="0030169D"/>
    <w:rsid w:val="00301A6D"/>
    <w:rsid w:val="0030528C"/>
    <w:rsid w:val="003060EB"/>
    <w:rsid w:val="003146BC"/>
    <w:rsid w:val="003151D4"/>
    <w:rsid w:val="003153EB"/>
    <w:rsid w:val="003165A5"/>
    <w:rsid w:val="0031756C"/>
    <w:rsid w:val="00320F7F"/>
    <w:rsid w:val="0032136E"/>
    <w:rsid w:val="00321985"/>
    <w:rsid w:val="003220E9"/>
    <w:rsid w:val="003225C3"/>
    <w:rsid w:val="00324F46"/>
    <w:rsid w:val="003277E9"/>
    <w:rsid w:val="003337D9"/>
    <w:rsid w:val="0033572E"/>
    <w:rsid w:val="00335A64"/>
    <w:rsid w:val="003369BE"/>
    <w:rsid w:val="0034078A"/>
    <w:rsid w:val="003408E5"/>
    <w:rsid w:val="00341691"/>
    <w:rsid w:val="0034400F"/>
    <w:rsid w:val="00346C27"/>
    <w:rsid w:val="003477FA"/>
    <w:rsid w:val="00351205"/>
    <w:rsid w:val="00353823"/>
    <w:rsid w:val="003538EC"/>
    <w:rsid w:val="00354B65"/>
    <w:rsid w:val="00356847"/>
    <w:rsid w:val="00361BC1"/>
    <w:rsid w:val="00361FAE"/>
    <w:rsid w:val="00362DDB"/>
    <w:rsid w:val="003660FB"/>
    <w:rsid w:val="00367E9B"/>
    <w:rsid w:val="00371C56"/>
    <w:rsid w:val="00372F74"/>
    <w:rsid w:val="003739D3"/>
    <w:rsid w:val="003766CC"/>
    <w:rsid w:val="00376D02"/>
    <w:rsid w:val="00377E9D"/>
    <w:rsid w:val="003840BC"/>
    <w:rsid w:val="00386539"/>
    <w:rsid w:val="00387625"/>
    <w:rsid w:val="00387E52"/>
    <w:rsid w:val="00395145"/>
    <w:rsid w:val="003968AF"/>
    <w:rsid w:val="00397EE0"/>
    <w:rsid w:val="00397FD6"/>
    <w:rsid w:val="003A093C"/>
    <w:rsid w:val="003A0972"/>
    <w:rsid w:val="003A13E6"/>
    <w:rsid w:val="003A43DC"/>
    <w:rsid w:val="003A48C5"/>
    <w:rsid w:val="003A4B43"/>
    <w:rsid w:val="003A7404"/>
    <w:rsid w:val="003B025B"/>
    <w:rsid w:val="003B464C"/>
    <w:rsid w:val="003B609C"/>
    <w:rsid w:val="003B6B38"/>
    <w:rsid w:val="003C0F8E"/>
    <w:rsid w:val="003C23B4"/>
    <w:rsid w:val="003C3789"/>
    <w:rsid w:val="003C4097"/>
    <w:rsid w:val="003C4B1F"/>
    <w:rsid w:val="003C59B6"/>
    <w:rsid w:val="003C6B31"/>
    <w:rsid w:val="003C7229"/>
    <w:rsid w:val="003C7CA0"/>
    <w:rsid w:val="003C7D0D"/>
    <w:rsid w:val="003D1423"/>
    <w:rsid w:val="003D1B20"/>
    <w:rsid w:val="003D373B"/>
    <w:rsid w:val="003D3ABA"/>
    <w:rsid w:val="003E019A"/>
    <w:rsid w:val="003E23A1"/>
    <w:rsid w:val="003E30D2"/>
    <w:rsid w:val="003E4B20"/>
    <w:rsid w:val="003E5D42"/>
    <w:rsid w:val="003E7D47"/>
    <w:rsid w:val="003F082B"/>
    <w:rsid w:val="003F1A75"/>
    <w:rsid w:val="003F2598"/>
    <w:rsid w:val="003F4134"/>
    <w:rsid w:val="003F5030"/>
    <w:rsid w:val="003F50C8"/>
    <w:rsid w:val="003F5BDB"/>
    <w:rsid w:val="003F7224"/>
    <w:rsid w:val="00404818"/>
    <w:rsid w:val="0040533C"/>
    <w:rsid w:val="004107E6"/>
    <w:rsid w:val="004121B5"/>
    <w:rsid w:val="004129F7"/>
    <w:rsid w:val="00412DC9"/>
    <w:rsid w:val="004136EB"/>
    <w:rsid w:val="00413973"/>
    <w:rsid w:val="00414B98"/>
    <w:rsid w:val="004159D7"/>
    <w:rsid w:val="00415BB1"/>
    <w:rsid w:val="0041668C"/>
    <w:rsid w:val="0042180D"/>
    <w:rsid w:val="004237AE"/>
    <w:rsid w:val="00423904"/>
    <w:rsid w:val="00426924"/>
    <w:rsid w:val="00426D69"/>
    <w:rsid w:val="00427D21"/>
    <w:rsid w:val="00427DFC"/>
    <w:rsid w:val="0043199D"/>
    <w:rsid w:val="004358DB"/>
    <w:rsid w:val="00436071"/>
    <w:rsid w:val="00437586"/>
    <w:rsid w:val="00440576"/>
    <w:rsid w:val="00443032"/>
    <w:rsid w:val="00443AC7"/>
    <w:rsid w:val="00444045"/>
    <w:rsid w:val="0044536F"/>
    <w:rsid w:val="00447F4A"/>
    <w:rsid w:val="00451840"/>
    <w:rsid w:val="0045189B"/>
    <w:rsid w:val="00452DCA"/>
    <w:rsid w:val="00453073"/>
    <w:rsid w:val="00454C08"/>
    <w:rsid w:val="00454C13"/>
    <w:rsid w:val="0045547D"/>
    <w:rsid w:val="00456F67"/>
    <w:rsid w:val="004610AF"/>
    <w:rsid w:val="00461FB6"/>
    <w:rsid w:val="004628B6"/>
    <w:rsid w:val="0046324A"/>
    <w:rsid w:val="004644C2"/>
    <w:rsid w:val="00467912"/>
    <w:rsid w:val="00467F6F"/>
    <w:rsid w:val="00467F9C"/>
    <w:rsid w:val="004715D1"/>
    <w:rsid w:val="00471CEE"/>
    <w:rsid w:val="004745B3"/>
    <w:rsid w:val="00475EE3"/>
    <w:rsid w:val="00482031"/>
    <w:rsid w:val="00482C5F"/>
    <w:rsid w:val="00482DD2"/>
    <w:rsid w:val="00483189"/>
    <w:rsid w:val="0048664A"/>
    <w:rsid w:val="00490338"/>
    <w:rsid w:val="004906B7"/>
    <w:rsid w:val="004921A5"/>
    <w:rsid w:val="00492428"/>
    <w:rsid w:val="00494671"/>
    <w:rsid w:val="00495B32"/>
    <w:rsid w:val="00495B84"/>
    <w:rsid w:val="00496E8F"/>
    <w:rsid w:val="004A0F3B"/>
    <w:rsid w:val="004A32DD"/>
    <w:rsid w:val="004A539F"/>
    <w:rsid w:val="004A5FC5"/>
    <w:rsid w:val="004A6BB4"/>
    <w:rsid w:val="004A6EA6"/>
    <w:rsid w:val="004B524D"/>
    <w:rsid w:val="004B6690"/>
    <w:rsid w:val="004B71EE"/>
    <w:rsid w:val="004C16B0"/>
    <w:rsid w:val="004C1C5F"/>
    <w:rsid w:val="004C60A0"/>
    <w:rsid w:val="004C6CA3"/>
    <w:rsid w:val="004D3639"/>
    <w:rsid w:val="004D52E5"/>
    <w:rsid w:val="004D573E"/>
    <w:rsid w:val="004D63CD"/>
    <w:rsid w:val="004D73E4"/>
    <w:rsid w:val="004E02CF"/>
    <w:rsid w:val="004E4BA7"/>
    <w:rsid w:val="004E4DE7"/>
    <w:rsid w:val="004E5EFA"/>
    <w:rsid w:val="004E63EF"/>
    <w:rsid w:val="004E6A5A"/>
    <w:rsid w:val="004F0A9F"/>
    <w:rsid w:val="004F16F7"/>
    <w:rsid w:val="004F235C"/>
    <w:rsid w:val="004F4D26"/>
    <w:rsid w:val="004F5D44"/>
    <w:rsid w:val="004F657D"/>
    <w:rsid w:val="005006B0"/>
    <w:rsid w:val="00502F6A"/>
    <w:rsid w:val="00504602"/>
    <w:rsid w:val="0050487E"/>
    <w:rsid w:val="0050523F"/>
    <w:rsid w:val="00505B6D"/>
    <w:rsid w:val="00506BE7"/>
    <w:rsid w:val="005075B6"/>
    <w:rsid w:val="0051006C"/>
    <w:rsid w:val="0051198A"/>
    <w:rsid w:val="005127DE"/>
    <w:rsid w:val="00515339"/>
    <w:rsid w:val="00516307"/>
    <w:rsid w:val="005164BC"/>
    <w:rsid w:val="00516664"/>
    <w:rsid w:val="00520DCB"/>
    <w:rsid w:val="005227CA"/>
    <w:rsid w:val="00522DB8"/>
    <w:rsid w:val="005252A0"/>
    <w:rsid w:val="005268AB"/>
    <w:rsid w:val="005309E8"/>
    <w:rsid w:val="00531E6D"/>
    <w:rsid w:val="00532067"/>
    <w:rsid w:val="005325A8"/>
    <w:rsid w:val="00532E1E"/>
    <w:rsid w:val="005345CE"/>
    <w:rsid w:val="00534681"/>
    <w:rsid w:val="00534FEC"/>
    <w:rsid w:val="00541852"/>
    <w:rsid w:val="00541C56"/>
    <w:rsid w:val="0054293A"/>
    <w:rsid w:val="00542ABD"/>
    <w:rsid w:val="0054470E"/>
    <w:rsid w:val="00545983"/>
    <w:rsid w:val="00551426"/>
    <w:rsid w:val="005530E3"/>
    <w:rsid w:val="00553119"/>
    <w:rsid w:val="00553F54"/>
    <w:rsid w:val="00554970"/>
    <w:rsid w:val="00555933"/>
    <w:rsid w:val="00560214"/>
    <w:rsid w:val="005602D8"/>
    <w:rsid w:val="0056068E"/>
    <w:rsid w:val="00563442"/>
    <w:rsid w:val="0056348E"/>
    <w:rsid w:val="00563E89"/>
    <w:rsid w:val="0056553F"/>
    <w:rsid w:val="00565A22"/>
    <w:rsid w:val="00565B42"/>
    <w:rsid w:val="00565B51"/>
    <w:rsid w:val="00565DC9"/>
    <w:rsid w:val="00565EC4"/>
    <w:rsid w:val="00573043"/>
    <w:rsid w:val="00575F05"/>
    <w:rsid w:val="00576109"/>
    <w:rsid w:val="00576B88"/>
    <w:rsid w:val="00576DA3"/>
    <w:rsid w:val="00577A83"/>
    <w:rsid w:val="00580131"/>
    <w:rsid w:val="005858F2"/>
    <w:rsid w:val="00585CE8"/>
    <w:rsid w:val="00586759"/>
    <w:rsid w:val="0059079F"/>
    <w:rsid w:val="00590960"/>
    <w:rsid w:val="005912C0"/>
    <w:rsid w:val="0059263C"/>
    <w:rsid w:val="0059503D"/>
    <w:rsid w:val="005964E5"/>
    <w:rsid w:val="00596C7A"/>
    <w:rsid w:val="00597AD5"/>
    <w:rsid w:val="005A0CFA"/>
    <w:rsid w:val="005A1AEB"/>
    <w:rsid w:val="005A6A83"/>
    <w:rsid w:val="005A7C12"/>
    <w:rsid w:val="005B02DD"/>
    <w:rsid w:val="005B1235"/>
    <w:rsid w:val="005B35E2"/>
    <w:rsid w:val="005B5FB4"/>
    <w:rsid w:val="005C1708"/>
    <w:rsid w:val="005C1713"/>
    <w:rsid w:val="005C1D13"/>
    <w:rsid w:val="005C27DA"/>
    <w:rsid w:val="005C33A8"/>
    <w:rsid w:val="005C34BC"/>
    <w:rsid w:val="005C4291"/>
    <w:rsid w:val="005C4CE6"/>
    <w:rsid w:val="005C5FED"/>
    <w:rsid w:val="005C65D3"/>
    <w:rsid w:val="005C6C9A"/>
    <w:rsid w:val="005D0777"/>
    <w:rsid w:val="005D1CD0"/>
    <w:rsid w:val="005D2989"/>
    <w:rsid w:val="005D29D6"/>
    <w:rsid w:val="005D52A1"/>
    <w:rsid w:val="005D5345"/>
    <w:rsid w:val="005D5C0C"/>
    <w:rsid w:val="005D77E3"/>
    <w:rsid w:val="005D7981"/>
    <w:rsid w:val="005D7C3B"/>
    <w:rsid w:val="005E68C6"/>
    <w:rsid w:val="005F19B5"/>
    <w:rsid w:val="005F1F70"/>
    <w:rsid w:val="005F26CD"/>
    <w:rsid w:val="005F4D9C"/>
    <w:rsid w:val="005F6559"/>
    <w:rsid w:val="006010EB"/>
    <w:rsid w:val="00601372"/>
    <w:rsid w:val="006016F4"/>
    <w:rsid w:val="00602B66"/>
    <w:rsid w:val="00603081"/>
    <w:rsid w:val="00603790"/>
    <w:rsid w:val="006047A4"/>
    <w:rsid w:val="00604CD6"/>
    <w:rsid w:val="00604FAE"/>
    <w:rsid w:val="00605503"/>
    <w:rsid w:val="0060668C"/>
    <w:rsid w:val="00606756"/>
    <w:rsid w:val="006072B5"/>
    <w:rsid w:val="006078A6"/>
    <w:rsid w:val="006122BA"/>
    <w:rsid w:val="006133EA"/>
    <w:rsid w:val="006137CE"/>
    <w:rsid w:val="0061448F"/>
    <w:rsid w:val="006144A4"/>
    <w:rsid w:val="00617675"/>
    <w:rsid w:val="00622358"/>
    <w:rsid w:val="0062265B"/>
    <w:rsid w:val="00622B73"/>
    <w:rsid w:val="006278C6"/>
    <w:rsid w:val="006331F8"/>
    <w:rsid w:val="006339B7"/>
    <w:rsid w:val="00634924"/>
    <w:rsid w:val="00635A48"/>
    <w:rsid w:val="00636BED"/>
    <w:rsid w:val="00636C0A"/>
    <w:rsid w:val="006371D2"/>
    <w:rsid w:val="0064005E"/>
    <w:rsid w:val="00640465"/>
    <w:rsid w:val="00642FF1"/>
    <w:rsid w:val="006447C6"/>
    <w:rsid w:val="00645609"/>
    <w:rsid w:val="006478BF"/>
    <w:rsid w:val="00647E78"/>
    <w:rsid w:val="00650794"/>
    <w:rsid w:val="006516BE"/>
    <w:rsid w:val="00652963"/>
    <w:rsid w:val="0065385D"/>
    <w:rsid w:val="00654B7E"/>
    <w:rsid w:val="0065777D"/>
    <w:rsid w:val="00660046"/>
    <w:rsid w:val="00660A9E"/>
    <w:rsid w:val="006615DC"/>
    <w:rsid w:val="00662871"/>
    <w:rsid w:val="00664BAE"/>
    <w:rsid w:val="00667F9B"/>
    <w:rsid w:val="006703C9"/>
    <w:rsid w:val="006725AC"/>
    <w:rsid w:val="00673447"/>
    <w:rsid w:val="00673909"/>
    <w:rsid w:val="006746EA"/>
    <w:rsid w:val="00675339"/>
    <w:rsid w:val="00680A23"/>
    <w:rsid w:val="00680D99"/>
    <w:rsid w:val="006812D4"/>
    <w:rsid w:val="006831A3"/>
    <w:rsid w:val="006837D2"/>
    <w:rsid w:val="00683BA6"/>
    <w:rsid w:val="00685E77"/>
    <w:rsid w:val="00690FEA"/>
    <w:rsid w:val="00693290"/>
    <w:rsid w:val="00693E9E"/>
    <w:rsid w:val="00694E23"/>
    <w:rsid w:val="00695A0A"/>
    <w:rsid w:val="00696035"/>
    <w:rsid w:val="00696784"/>
    <w:rsid w:val="00696F8D"/>
    <w:rsid w:val="00697BFE"/>
    <w:rsid w:val="006A0624"/>
    <w:rsid w:val="006A12B4"/>
    <w:rsid w:val="006A13EC"/>
    <w:rsid w:val="006A1C08"/>
    <w:rsid w:val="006A2357"/>
    <w:rsid w:val="006A3767"/>
    <w:rsid w:val="006A39B8"/>
    <w:rsid w:val="006A4408"/>
    <w:rsid w:val="006A478C"/>
    <w:rsid w:val="006A6227"/>
    <w:rsid w:val="006A6403"/>
    <w:rsid w:val="006A6B7D"/>
    <w:rsid w:val="006A73C1"/>
    <w:rsid w:val="006B094D"/>
    <w:rsid w:val="006B0AD8"/>
    <w:rsid w:val="006B1721"/>
    <w:rsid w:val="006B2290"/>
    <w:rsid w:val="006B3696"/>
    <w:rsid w:val="006B3A9D"/>
    <w:rsid w:val="006B5077"/>
    <w:rsid w:val="006C5AC3"/>
    <w:rsid w:val="006C62B9"/>
    <w:rsid w:val="006C6AED"/>
    <w:rsid w:val="006C7AD1"/>
    <w:rsid w:val="006C7E87"/>
    <w:rsid w:val="006D4D97"/>
    <w:rsid w:val="006D5614"/>
    <w:rsid w:val="006D5BF9"/>
    <w:rsid w:val="006D6739"/>
    <w:rsid w:val="006E0CB8"/>
    <w:rsid w:val="006E16F1"/>
    <w:rsid w:val="006E1C00"/>
    <w:rsid w:val="006E2C0D"/>
    <w:rsid w:val="006E4249"/>
    <w:rsid w:val="006E6E9A"/>
    <w:rsid w:val="006E74DA"/>
    <w:rsid w:val="006F0FCA"/>
    <w:rsid w:val="006F3528"/>
    <w:rsid w:val="006F5D0E"/>
    <w:rsid w:val="006F7D00"/>
    <w:rsid w:val="0070058F"/>
    <w:rsid w:val="0070138F"/>
    <w:rsid w:val="00702060"/>
    <w:rsid w:val="0070295B"/>
    <w:rsid w:val="00705C26"/>
    <w:rsid w:val="00706EF3"/>
    <w:rsid w:val="00711364"/>
    <w:rsid w:val="007113FC"/>
    <w:rsid w:val="0071150E"/>
    <w:rsid w:val="007123CA"/>
    <w:rsid w:val="00713AE3"/>
    <w:rsid w:val="00715130"/>
    <w:rsid w:val="00715469"/>
    <w:rsid w:val="0071597E"/>
    <w:rsid w:val="00717D88"/>
    <w:rsid w:val="00717DC5"/>
    <w:rsid w:val="0072060D"/>
    <w:rsid w:val="00720EBE"/>
    <w:rsid w:val="00721D6B"/>
    <w:rsid w:val="00721F09"/>
    <w:rsid w:val="0072442C"/>
    <w:rsid w:val="00726A43"/>
    <w:rsid w:val="0072729D"/>
    <w:rsid w:val="00732DB4"/>
    <w:rsid w:val="00733D30"/>
    <w:rsid w:val="00734B50"/>
    <w:rsid w:val="007353D6"/>
    <w:rsid w:val="00735FF5"/>
    <w:rsid w:val="00736086"/>
    <w:rsid w:val="00736895"/>
    <w:rsid w:val="00736925"/>
    <w:rsid w:val="007406FE"/>
    <w:rsid w:val="00740D33"/>
    <w:rsid w:val="007446A8"/>
    <w:rsid w:val="00744BB4"/>
    <w:rsid w:val="007455DD"/>
    <w:rsid w:val="0074667F"/>
    <w:rsid w:val="0074738A"/>
    <w:rsid w:val="007477D3"/>
    <w:rsid w:val="007505B4"/>
    <w:rsid w:val="0075120D"/>
    <w:rsid w:val="00753459"/>
    <w:rsid w:val="007534D9"/>
    <w:rsid w:val="007569B9"/>
    <w:rsid w:val="0076474B"/>
    <w:rsid w:val="00764BA1"/>
    <w:rsid w:val="00766843"/>
    <w:rsid w:val="00767328"/>
    <w:rsid w:val="00770E19"/>
    <w:rsid w:val="00771B24"/>
    <w:rsid w:val="00772164"/>
    <w:rsid w:val="0077285D"/>
    <w:rsid w:val="007751D7"/>
    <w:rsid w:val="007757A0"/>
    <w:rsid w:val="0077640F"/>
    <w:rsid w:val="007767C4"/>
    <w:rsid w:val="00776D07"/>
    <w:rsid w:val="00777FE1"/>
    <w:rsid w:val="007812DC"/>
    <w:rsid w:val="00783E08"/>
    <w:rsid w:val="00786056"/>
    <w:rsid w:val="007863A8"/>
    <w:rsid w:val="00791269"/>
    <w:rsid w:val="00791892"/>
    <w:rsid w:val="00792038"/>
    <w:rsid w:val="00793D32"/>
    <w:rsid w:val="00793F21"/>
    <w:rsid w:val="007942D3"/>
    <w:rsid w:val="00795231"/>
    <w:rsid w:val="00795B38"/>
    <w:rsid w:val="007977E3"/>
    <w:rsid w:val="007A00C1"/>
    <w:rsid w:val="007A398E"/>
    <w:rsid w:val="007A3E4F"/>
    <w:rsid w:val="007A7560"/>
    <w:rsid w:val="007B2099"/>
    <w:rsid w:val="007B443B"/>
    <w:rsid w:val="007B44E7"/>
    <w:rsid w:val="007B5104"/>
    <w:rsid w:val="007B5753"/>
    <w:rsid w:val="007B590F"/>
    <w:rsid w:val="007B6C09"/>
    <w:rsid w:val="007B72B1"/>
    <w:rsid w:val="007B7741"/>
    <w:rsid w:val="007C13F9"/>
    <w:rsid w:val="007C4951"/>
    <w:rsid w:val="007C4F08"/>
    <w:rsid w:val="007C5B92"/>
    <w:rsid w:val="007C5DEE"/>
    <w:rsid w:val="007C669F"/>
    <w:rsid w:val="007D0F9E"/>
    <w:rsid w:val="007D1697"/>
    <w:rsid w:val="007D2B5C"/>
    <w:rsid w:val="007D62D5"/>
    <w:rsid w:val="007D663C"/>
    <w:rsid w:val="007D7503"/>
    <w:rsid w:val="007D7DC2"/>
    <w:rsid w:val="007E09DA"/>
    <w:rsid w:val="007E0F8A"/>
    <w:rsid w:val="007E15E9"/>
    <w:rsid w:val="007E3614"/>
    <w:rsid w:val="007E3635"/>
    <w:rsid w:val="007E3C7D"/>
    <w:rsid w:val="007E5806"/>
    <w:rsid w:val="007E6B75"/>
    <w:rsid w:val="007F0040"/>
    <w:rsid w:val="007F1D80"/>
    <w:rsid w:val="007F3120"/>
    <w:rsid w:val="007F3221"/>
    <w:rsid w:val="007F3F48"/>
    <w:rsid w:val="007F4A94"/>
    <w:rsid w:val="007F4F4E"/>
    <w:rsid w:val="007F652E"/>
    <w:rsid w:val="007F6E5E"/>
    <w:rsid w:val="007F718D"/>
    <w:rsid w:val="00801FAD"/>
    <w:rsid w:val="0080257F"/>
    <w:rsid w:val="00803692"/>
    <w:rsid w:val="00803B23"/>
    <w:rsid w:val="0080573E"/>
    <w:rsid w:val="008079DA"/>
    <w:rsid w:val="0081447F"/>
    <w:rsid w:val="0081461E"/>
    <w:rsid w:val="00815F31"/>
    <w:rsid w:val="008177AA"/>
    <w:rsid w:val="008178B6"/>
    <w:rsid w:val="00820552"/>
    <w:rsid w:val="0082146F"/>
    <w:rsid w:val="008221E4"/>
    <w:rsid w:val="008224D3"/>
    <w:rsid w:val="00822B6C"/>
    <w:rsid w:val="00823BC7"/>
    <w:rsid w:val="00824909"/>
    <w:rsid w:val="008253E6"/>
    <w:rsid w:val="00827365"/>
    <w:rsid w:val="008319ED"/>
    <w:rsid w:val="008320B7"/>
    <w:rsid w:val="00832D15"/>
    <w:rsid w:val="0083352C"/>
    <w:rsid w:val="00834924"/>
    <w:rsid w:val="00836011"/>
    <w:rsid w:val="0084169E"/>
    <w:rsid w:val="008418EC"/>
    <w:rsid w:val="00841CBF"/>
    <w:rsid w:val="00843732"/>
    <w:rsid w:val="00843DAF"/>
    <w:rsid w:val="00844579"/>
    <w:rsid w:val="00845023"/>
    <w:rsid w:val="0084524B"/>
    <w:rsid w:val="008520DF"/>
    <w:rsid w:val="00852631"/>
    <w:rsid w:val="0085379B"/>
    <w:rsid w:val="00855438"/>
    <w:rsid w:val="00857E86"/>
    <w:rsid w:val="008610DB"/>
    <w:rsid w:val="00861BB9"/>
    <w:rsid w:val="00865B74"/>
    <w:rsid w:val="00866063"/>
    <w:rsid w:val="008674BD"/>
    <w:rsid w:val="00872DDF"/>
    <w:rsid w:val="00873C6B"/>
    <w:rsid w:val="00875931"/>
    <w:rsid w:val="008768D3"/>
    <w:rsid w:val="00877D9A"/>
    <w:rsid w:val="0088027B"/>
    <w:rsid w:val="00881E96"/>
    <w:rsid w:val="008841E1"/>
    <w:rsid w:val="00885316"/>
    <w:rsid w:val="00885F9C"/>
    <w:rsid w:val="00890459"/>
    <w:rsid w:val="00890D17"/>
    <w:rsid w:val="008912F9"/>
    <w:rsid w:val="0089159D"/>
    <w:rsid w:val="0089277A"/>
    <w:rsid w:val="0089365E"/>
    <w:rsid w:val="008938BF"/>
    <w:rsid w:val="00893DA7"/>
    <w:rsid w:val="008947D9"/>
    <w:rsid w:val="008974F0"/>
    <w:rsid w:val="00897F26"/>
    <w:rsid w:val="008A0258"/>
    <w:rsid w:val="008A1499"/>
    <w:rsid w:val="008A1B43"/>
    <w:rsid w:val="008A278C"/>
    <w:rsid w:val="008A38CF"/>
    <w:rsid w:val="008A564B"/>
    <w:rsid w:val="008A6377"/>
    <w:rsid w:val="008A6FB6"/>
    <w:rsid w:val="008A73BF"/>
    <w:rsid w:val="008B012A"/>
    <w:rsid w:val="008B0C25"/>
    <w:rsid w:val="008B1F68"/>
    <w:rsid w:val="008B35B4"/>
    <w:rsid w:val="008B4DE5"/>
    <w:rsid w:val="008B6782"/>
    <w:rsid w:val="008B67A9"/>
    <w:rsid w:val="008B787F"/>
    <w:rsid w:val="008C0CF9"/>
    <w:rsid w:val="008C4B3F"/>
    <w:rsid w:val="008C50EE"/>
    <w:rsid w:val="008C5720"/>
    <w:rsid w:val="008D105F"/>
    <w:rsid w:val="008D18C9"/>
    <w:rsid w:val="008D2996"/>
    <w:rsid w:val="008D32A8"/>
    <w:rsid w:val="008D6153"/>
    <w:rsid w:val="008D7730"/>
    <w:rsid w:val="008E0163"/>
    <w:rsid w:val="008E0379"/>
    <w:rsid w:val="008E0CF1"/>
    <w:rsid w:val="008E361B"/>
    <w:rsid w:val="008E3EAA"/>
    <w:rsid w:val="008E5E12"/>
    <w:rsid w:val="008E754D"/>
    <w:rsid w:val="008F0627"/>
    <w:rsid w:val="008F3B08"/>
    <w:rsid w:val="008F4F8B"/>
    <w:rsid w:val="008F75AC"/>
    <w:rsid w:val="0090037A"/>
    <w:rsid w:val="009016E1"/>
    <w:rsid w:val="00902CAA"/>
    <w:rsid w:val="0090328F"/>
    <w:rsid w:val="009039AD"/>
    <w:rsid w:val="00903A2A"/>
    <w:rsid w:val="00905518"/>
    <w:rsid w:val="00905D0D"/>
    <w:rsid w:val="009067C1"/>
    <w:rsid w:val="00906E17"/>
    <w:rsid w:val="00912403"/>
    <w:rsid w:val="00913DE0"/>
    <w:rsid w:val="009148D0"/>
    <w:rsid w:val="009152B9"/>
    <w:rsid w:val="00921D3E"/>
    <w:rsid w:val="0092211D"/>
    <w:rsid w:val="00923323"/>
    <w:rsid w:val="00923FAE"/>
    <w:rsid w:val="0092413F"/>
    <w:rsid w:val="00924302"/>
    <w:rsid w:val="00924605"/>
    <w:rsid w:val="00924F51"/>
    <w:rsid w:val="00925473"/>
    <w:rsid w:val="0092636C"/>
    <w:rsid w:val="009302C3"/>
    <w:rsid w:val="00930BA1"/>
    <w:rsid w:val="00931170"/>
    <w:rsid w:val="0093169E"/>
    <w:rsid w:val="0093317C"/>
    <w:rsid w:val="009358AC"/>
    <w:rsid w:val="009366E8"/>
    <w:rsid w:val="0093711C"/>
    <w:rsid w:val="00937201"/>
    <w:rsid w:val="00940023"/>
    <w:rsid w:val="00940284"/>
    <w:rsid w:val="00940D40"/>
    <w:rsid w:val="009434D0"/>
    <w:rsid w:val="009436A9"/>
    <w:rsid w:val="00943DEA"/>
    <w:rsid w:val="00945042"/>
    <w:rsid w:val="00945078"/>
    <w:rsid w:val="00947F75"/>
    <w:rsid w:val="009505C9"/>
    <w:rsid w:val="00950752"/>
    <w:rsid w:val="0095143D"/>
    <w:rsid w:val="00951F57"/>
    <w:rsid w:val="009549B4"/>
    <w:rsid w:val="00954BFF"/>
    <w:rsid w:val="00957338"/>
    <w:rsid w:val="00957AC7"/>
    <w:rsid w:val="00962842"/>
    <w:rsid w:val="00962ED2"/>
    <w:rsid w:val="0096362A"/>
    <w:rsid w:val="00963835"/>
    <w:rsid w:val="009658EF"/>
    <w:rsid w:val="00966424"/>
    <w:rsid w:val="00966571"/>
    <w:rsid w:val="0096674F"/>
    <w:rsid w:val="00966DE3"/>
    <w:rsid w:val="00967DBE"/>
    <w:rsid w:val="00970E1D"/>
    <w:rsid w:val="00970EA0"/>
    <w:rsid w:val="009737BC"/>
    <w:rsid w:val="00975047"/>
    <w:rsid w:val="00975AF8"/>
    <w:rsid w:val="009763CF"/>
    <w:rsid w:val="009764FD"/>
    <w:rsid w:val="00980403"/>
    <w:rsid w:val="0098139C"/>
    <w:rsid w:val="00981B4A"/>
    <w:rsid w:val="00983F55"/>
    <w:rsid w:val="00985490"/>
    <w:rsid w:val="00987796"/>
    <w:rsid w:val="0099095D"/>
    <w:rsid w:val="00990BC4"/>
    <w:rsid w:val="00991AB3"/>
    <w:rsid w:val="00991FCD"/>
    <w:rsid w:val="0099393E"/>
    <w:rsid w:val="00994270"/>
    <w:rsid w:val="00994CBB"/>
    <w:rsid w:val="0099732C"/>
    <w:rsid w:val="009A11DE"/>
    <w:rsid w:val="009A1DAE"/>
    <w:rsid w:val="009A3A4E"/>
    <w:rsid w:val="009A4CC9"/>
    <w:rsid w:val="009B0511"/>
    <w:rsid w:val="009B056D"/>
    <w:rsid w:val="009B29AC"/>
    <w:rsid w:val="009B3DF0"/>
    <w:rsid w:val="009B4D14"/>
    <w:rsid w:val="009B5306"/>
    <w:rsid w:val="009C2434"/>
    <w:rsid w:val="009C2DE6"/>
    <w:rsid w:val="009C2F41"/>
    <w:rsid w:val="009C371A"/>
    <w:rsid w:val="009C6967"/>
    <w:rsid w:val="009D1D06"/>
    <w:rsid w:val="009D3B52"/>
    <w:rsid w:val="009D548C"/>
    <w:rsid w:val="009E265E"/>
    <w:rsid w:val="009E3594"/>
    <w:rsid w:val="009E3646"/>
    <w:rsid w:val="009E3F6B"/>
    <w:rsid w:val="009E4B15"/>
    <w:rsid w:val="009E5A55"/>
    <w:rsid w:val="009F125A"/>
    <w:rsid w:val="009F140E"/>
    <w:rsid w:val="009F1A12"/>
    <w:rsid w:val="009F1A6A"/>
    <w:rsid w:val="009F28AB"/>
    <w:rsid w:val="009F519F"/>
    <w:rsid w:val="009F7B98"/>
    <w:rsid w:val="00A015F6"/>
    <w:rsid w:val="00A019D6"/>
    <w:rsid w:val="00A03115"/>
    <w:rsid w:val="00A035B1"/>
    <w:rsid w:val="00A04679"/>
    <w:rsid w:val="00A05885"/>
    <w:rsid w:val="00A07A73"/>
    <w:rsid w:val="00A1039D"/>
    <w:rsid w:val="00A10ADD"/>
    <w:rsid w:val="00A111D1"/>
    <w:rsid w:val="00A12693"/>
    <w:rsid w:val="00A1427D"/>
    <w:rsid w:val="00A14ABB"/>
    <w:rsid w:val="00A15B86"/>
    <w:rsid w:val="00A2189F"/>
    <w:rsid w:val="00A221C9"/>
    <w:rsid w:val="00A22D4E"/>
    <w:rsid w:val="00A2383D"/>
    <w:rsid w:val="00A25C86"/>
    <w:rsid w:val="00A27B16"/>
    <w:rsid w:val="00A30254"/>
    <w:rsid w:val="00A3062B"/>
    <w:rsid w:val="00A31A17"/>
    <w:rsid w:val="00A3302A"/>
    <w:rsid w:val="00A344CE"/>
    <w:rsid w:val="00A34B26"/>
    <w:rsid w:val="00A35177"/>
    <w:rsid w:val="00A36567"/>
    <w:rsid w:val="00A3700F"/>
    <w:rsid w:val="00A40BD9"/>
    <w:rsid w:val="00A428E3"/>
    <w:rsid w:val="00A43AD2"/>
    <w:rsid w:val="00A43C7B"/>
    <w:rsid w:val="00A43EB7"/>
    <w:rsid w:val="00A452C3"/>
    <w:rsid w:val="00A46F40"/>
    <w:rsid w:val="00A50ACB"/>
    <w:rsid w:val="00A52027"/>
    <w:rsid w:val="00A53E6F"/>
    <w:rsid w:val="00A5429F"/>
    <w:rsid w:val="00A568EE"/>
    <w:rsid w:val="00A56EAF"/>
    <w:rsid w:val="00A57D6A"/>
    <w:rsid w:val="00A601B1"/>
    <w:rsid w:val="00A6363A"/>
    <w:rsid w:val="00A639B8"/>
    <w:rsid w:val="00A64778"/>
    <w:rsid w:val="00A64ACF"/>
    <w:rsid w:val="00A6533D"/>
    <w:rsid w:val="00A67E97"/>
    <w:rsid w:val="00A70CCE"/>
    <w:rsid w:val="00A70F30"/>
    <w:rsid w:val="00A721F1"/>
    <w:rsid w:val="00A72A34"/>
    <w:rsid w:val="00A746B0"/>
    <w:rsid w:val="00A7651A"/>
    <w:rsid w:val="00A81027"/>
    <w:rsid w:val="00A810B7"/>
    <w:rsid w:val="00A8475D"/>
    <w:rsid w:val="00A84ED1"/>
    <w:rsid w:val="00A863D8"/>
    <w:rsid w:val="00A87E0A"/>
    <w:rsid w:val="00A92131"/>
    <w:rsid w:val="00A94D70"/>
    <w:rsid w:val="00A963AA"/>
    <w:rsid w:val="00A96B9D"/>
    <w:rsid w:val="00A977F8"/>
    <w:rsid w:val="00AA5728"/>
    <w:rsid w:val="00AA58C9"/>
    <w:rsid w:val="00AA6F92"/>
    <w:rsid w:val="00AA72FC"/>
    <w:rsid w:val="00AA792F"/>
    <w:rsid w:val="00AB103C"/>
    <w:rsid w:val="00AB2F3F"/>
    <w:rsid w:val="00AB32F8"/>
    <w:rsid w:val="00AB6934"/>
    <w:rsid w:val="00AC051E"/>
    <w:rsid w:val="00AC4C6A"/>
    <w:rsid w:val="00AC4FF7"/>
    <w:rsid w:val="00AC616C"/>
    <w:rsid w:val="00AD0214"/>
    <w:rsid w:val="00AD2962"/>
    <w:rsid w:val="00AD38EF"/>
    <w:rsid w:val="00AD428A"/>
    <w:rsid w:val="00AD6A36"/>
    <w:rsid w:val="00AD7506"/>
    <w:rsid w:val="00AD787F"/>
    <w:rsid w:val="00AE009B"/>
    <w:rsid w:val="00AE0204"/>
    <w:rsid w:val="00AE0AFA"/>
    <w:rsid w:val="00AE1597"/>
    <w:rsid w:val="00AE18C0"/>
    <w:rsid w:val="00AE2744"/>
    <w:rsid w:val="00AE39F5"/>
    <w:rsid w:val="00AE3F8B"/>
    <w:rsid w:val="00AF0E27"/>
    <w:rsid w:val="00AF16FB"/>
    <w:rsid w:val="00AF18F2"/>
    <w:rsid w:val="00AF2B48"/>
    <w:rsid w:val="00AF42DE"/>
    <w:rsid w:val="00AF4584"/>
    <w:rsid w:val="00AF5FF1"/>
    <w:rsid w:val="00AF6416"/>
    <w:rsid w:val="00AF69CC"/>
    <w:rsid w:val="00AF6CB1"/>
    <w:rsid w:val="00B03E71"/>
    <w:rsid w:val="00B07F37"/>
    <w:rsid w:val="00B10028"/>
    <w:rsid w:val="00B10032"/>
    <w:rsid w:val="00B1228B"/>
    <w:rsid w:val="00B129D7"/>
    <w:rsid w:val="00B14DA7"/>
    <w:rsid w:val="00B14F8F"/>
    <w:rsid w:val="00B156A7"/>
    <w:rsid w:val="00B15984"/>
    <w:rsid w:val="00B16971"/>
    <w:rsid w:val="00B1758B"/>
    <w:rsid w:val="00B175E3"/>
    <w:rsid w:val="00B20343"/>
    <w:rsid w:val="00B21F03"/>
    <w:rsid w:val="00B22366"/>
    <w:rsid w:val="00B2454B"/>
    <w:rsid w:val="00B26088"/>
    <w:rsid w:val="00B26A2B"/>
    <w:rsid w:val="00B31D06"/>
    <w:rsid w:val="00B32CFE"/>
    <w:rsid w:val="00B3369F"/>
    <w:rsid w:val="00B35DFE"/>
    <w:rsid w:val="00B362AB"/>
    <w:rsid w:val="00B37111"/>
    <w:rsid w:val="00B37B17"/>
    <w:rsid w:val="00B41A33"/>
    <w:rsid w:val="00B421DA"/>
    <w:rsid w:val="00B4269A"/>
    <w:rsid w:val="00B42BE4"/>
    <w:rsid w:val="00B435CD"/>
    <w:rsid w:val="00B51905"/>
    <w:rsid w:val="00B519F0"/>
    <w:rsid w:val="00B51B52"/>
    <w:rsid w:val="00B51FC6"/>
    <w:rsid w:val="00B5408D"/>
    <w:rsid w:val="00B54C9C"/>
    <w:rsid w:val="00B5742F"/>
    <w:rsid w:val="00B617B5"/>
    <w:rsid w:val="00B62F31"/>
    <w:rsid w:val="00B63C12"/>
    <w:rsid w:val="00B63FF0"/>
    <w:rsid w:val="00B65AFA"/>
    <w:rsid w:val="00B74BE1"/>
    <w:rsid w:val="00B758CD"/>
    <w:rsid w:val="00B75CDB"/>
    <w:rsid w:val="00B80EF2"/>
    <w:rsid w:val="00B82C37"/>
    <w:rsid w:val="00B850BE"/>
    <w:rsid w:val="00B85423"/>
    <w:rsid w:val="00B85E44"/>
    <w:rsid w:val="00B86C39"/>
    <w:rsid w:val="00B87680"/>
    <w:rsid w:val="00B90E34"/>
    <w:rsid w:val="00B9170A"/>
    <w:rsid w:val="00B91A12"/>
    <w:rsid w:val="00B92F59"/>
    <w:rsid w:val="00B93B01"/>
    <w:rsid w:val="00B94E6C"/>
    <w:rsid w:val="00B961DD"/>
    <w:rsid w:val="00BA0214"/>
    <w:rsid w:val="00BA33B8"/>
    <w:rsid w:val="00BA4686"/>
    <w:rsid w:val="00BA75F8"/>
    <w:rsid w:val="00BB22D0"/>
    <w:rsid w:val="00BB3BEB"/>
    <w:rsid w:val="00BB4606"/>
    <w:rsid w:val="00BB6B43"/>
    <w:rsid w:val="00BB6DC7"/>
    <w:rsid w:val="00BB7CFB"/>
    <w:rsid w:val="00BB7F90"/>
    <w:rsid w:val="00BC1673"/>
    <w:rsid w:val="00BC2D3D"/>
    <w:rsid w:val="00BC3419"/>
    <w:rsid w:val="00BC37AA"/>
    <w:rsid w:val="00BC7C7D"/>
    <w:rsid w:val="00BD214C"/>
    <w:rsid w:val="00BD32B3"/>
    <w:rsid w:val="00BD765B"/>
    <w:rsid w:val="00BD7C1F"/>
    <w:rsid w:val="00BE4FD3"/>
    <w:rsid w:val="00BE556B"/>
    <w:rsid w:val="00BF149D"/>
    <w:rsid w:val="00BF4D63"/>
    <w:rsid w:val="00BF5164"/>
    <w:rsid w:val="00BF6B53"/>
    <w:rsid w:val="00BF70C4"/>
    <w:rsid w:val="00BF78C5"/>
    <w:rsid w:val="00C01DE9"/>
    <w:rsid w:val="00C031AB"/>
    <w:rsid w:val="00C035DA"/>
    <w:rsid w:val="00C036F3"/>
    <w:rsid w:val="00C04154"/>
    <w:rsid w:val="00C068A2"/>
    <w:rsid w:val="00C07B68"/>
    <w:rsid w:val="00C11C7B"/>
    <w:rsid w:val="00C1243C"/>
    <w:rsid w:val="00C21D5A"/>
    <w:rsid w:val="00C22906"/>
    <w:rsid w:val="00C23D2F"/>
    <w:rsid w:val="00C24F64"/>
    <w:rsid w:val="00C3013B"/>
    <w:rsid w:val="00C3234A"/>
    <w:rsid w:val="00C33439"/>
    <w:rsid w:val="00C33D46"/>
    <w:rsid w:val="00C34F9A"/>
    <w:rsid w:val="00C3668E"/>
    <w:rsid w:val="00C37CA1"/>
    <w:rsid w:val="00C4166C"/>
    <w:rsid w:val="00C443BD"/>
    <w:rsid w:val="00C4454A"/>
    <w:rsid w:val="00C451C5"/>
    <w:rsid w:val="00C4743A"/>
    <w:rsid w:val="00C4757C"/>
    <w:rsid w:val="00C47D99"/>
    <w:rsid w:val="00C5109E"/>
    <w:rsid w:val="00C5182B"/>
    <w:rsid w:val="00C5186E"/>
    <w:rsid w:val="00C53336"/>
    <w:rsid w:val="00C53A16"/>
    <w:rsid w:val="00C53F66"/>
    <w:rsid w:val="00C540AF"/>
    <w:rsid w:val="00C54681"/>
    <w:rsid w:val="00C5469F"/>
    <w:rsid w:val="00C55050"/>
    <w:rsid w:val="00C5529E"/>
    <w:rsid w:val="00C57447"/>
    <w:rsid w:val="00C60756"/>
    <w:rsid w:val="00C61763"/>
    <w:rsid w:val="00C624A2"/>
    <w:rsid w:val="00C63330"/>
    <w:rsid w:val="00C63692"/>
    <w:rsid w:val="00C64271"/>
    <w:rsid w:val="00C6464A"/>
    <w:rsid w:val="00C67650"/>
    <w:rsid w:val="00C70EA7"/>
    <w:rsid w:val="00C71A7E"/>
    <w:rsid w:val="00C71AE5"/>
    <w:rsid w:val="00C74AD3"/>
    <w:rsid w:val="00C75671"/>
    <w:rsid w:val="00C8090D"/>
    <w:rsid w:val="00C84723"/>
    <w:rsid w:val="00C9161D"/>
    <w:rsid w:val="00C94D64"/>
    <w:rsid w:val="00C970A3"/>
    <w:rsid w:val="00C97A59"/>
    <w:rsid w:val="00CA0C1D"/>
    <w:rsid w:val="00CA2F37"/>
    <w:rsid w:val="00CA332D"/>
    <w:rsid w:val="00CA7182"/>
    <w:rsid w:val="00CA7B6C"/>
    <w:rsid w:val="00CB0BB1"/>
    <w:rsid w:val="00CB0FE2"/>
    <w:rsid w:val="00CB2953"/>
    <w:rsid w:val="00CB2C01"/>
    <w:rsid w:val="00CB530A"/>
    <w:rsid w:val="00CC1626"/>
    <w:rsid w:val="00CC799D"/>
    <w:rsid w:val="00CD341B"/>
    <w:rsid w:val="00CD3F27"/>
    <w:rsid w:val="00CD41B6"/>
    <w:rsid w:val="00CD6D99"/>
    <w:rsid w:val="00CE117A"/>
    <w:rsid w:val="00CE1477"/>
    <w:rsid w:val="00CE2D62"/>
    <w:rsid w:val="00CE3835"/>
    <w:rsid w:val="00CE3867"/>
    <w:rsid w:val="00CE43E2"/>
    <w:rsid w:val="00CF1848"/>
    <w:rsid w:val="00CF1B02"/>
    <w:rsid w:val="00CF23C3"/>
    <w:rsid w:val="00CF41EE"/>
    <w:rsid w:val="00CF4918"/>
    <w:rsid w:val="00CF4951"/>
    <w:rsid w:val="00CF4B42"/>
    <w:rsid w:val="00CF5CB0"/>
    <w:rsid w:val="00D0142E"/>
    <w:rsid w:val="00D0188B"/>
    <w:rsid w:val="00D0247F"/>
    <w:rsid w:val="00D0499C"/>
    <w:rsid w:val="00D04A4E"/>
    <w:rsid w:val="00D04B4A"/>
    <w:rsid w:val="00D0506A"/>
    <w:rsid w:val="00D05576"/>
    <w:rsid w:val="00D05E3D"/>
    <w:rsid w:val="00D10743"/>
    <w:rsid w:val="00D10D19"/>
    <w:rsid w:val="00D12044"/>
    <w:rsid w:val="00D146C7"/>
    <w:rsid w:val="00D15A1E"/>
    <w:rsid w:val="00D15ADB"/>
    <w:rsid w:val="00D15CC1"/>
    <w:rsid w:val="00D170D9"/>
    <w:rsid w:val="00D172A3"/>
    <w:rsid w:val="00D175D8"/>
    <w:rsid w:val="00D17FDF"/>
    <w:rsid w:val="00D204EC"/>
    <w:rsid w:val="00D2070E"/>
    <w:rsid w:val="00D20B9A"/>
    <w:rsid w:val="00D22CE5"/>
    <w:rsid w:val="00D24A4C"/>
    <w:rsid w:val="00D25820"/>
    <w:rsid w:val="00D265C4"/>
    <w:rsid w:val="00D268B2"/>
    <w:rsid w:val="00D27695"/>
    <w:rsid w:val="00D27ABF"/>
    <w:rsid w:val="00D27F3C"/>
    <w:rsid w:val="00D3084E"/>
    <w:rsid w:val="00D332BD"/>
    <w:rsid w:val="00D33EFC"/>
    <w:rsid w:val="00D346DD"/>
    <w:rsid w:val="00D34B8D"/>
    <w:rsid w:val="00D4036C"/>
    <w:rsid w:val="00D405F1"/>
    <w:rsid w:val="00D40DBC"/>
    <w:rsid w:val="00D4481D"/>
    <w:rsid w:val="00D455E3"/>
    <w:rsid w:val="00D46362"/>
    <w:rsid w:val="00D47300"/>
    <w:rsid w:val="00D500DB"/>
    <w:rsid w:val="00D52546"/>
    <w:rsid w:val="00D52F93"/>
    <w:rsid w:val="00D53B06"/>
    <w:rsid w:val="00D54A8E"/>
    <w:rsid w:val="00D55541"/>
    <w:rsid w:val="00D57125"/>
    <w:rsid w:val="00D57D68"/>
    <w:rsid w:val="00D61822"/>
    <w:rsid w:val="00D61C85"/>
    <w:rsid w:val="00D61CCA"/>
    <w:rsid w:val="00D61D81"/>
    <w:rsid w:val="00D61FF4"/>
    <w:rsid w:val="00D62721"/>
    <w:rsid w:val="00D6345C"/>
    <w:rsid w:val="00D65376"/>
    <w:rsid w:val="00D7276E"/>
    <w:rsid w:val="00D7340A"/>
    <w:rsid w:val="00D7352A"/>
    <w:rsid w:val="00D738E1"/>
    <w:rsid w:val="00D759BF"/>
    <w:rsid w:val="00D75CA6"/>
    <w:rsid w:val="00D75E54"/>
    <w:rsid w:val="00D76A18"/>
    <w:rsid w:val="00D77327"/>
    <w:rsid w:val="00D77C1D"/>
    <w:rsid w:val="00D77F0C"/>
    <w:rsid w:val="00D80849"/>
    <w:rsid w:val="00D82294"/>
    <w:rsid w:val="00D82E8F"/>
    <w:rsid w:val="00D82F1C"/>
    <w:rsid w:val="00D82FD8"/>
    <w:rsid w:val="00D8345C"/>
    <w:rsid w:val="00D86116"/>
    <w:rsid w:val="00D875D1"/>
    <w:rsid w:val="00D878FF"/>
    <w:rsid w:val="00D87B00"/>
    <w:rsid w:val="00D90051"/>
    <w:rsid w:val="00D916CA"/>
    <w:rsid w:val="00D931D7"/>
    <w:rsid w:val="00D94A18"/>
    <w:rsid w:val="00D9796C"/>
    <w:rsid w:val="00D97C77"/>
    <w:rsid w:val="00DA11E7"/>
    <w:rsid w:val="00DA1ED7"/>
    <w:rsid w:val="00DA27FA"/>
    <w:rsid w:val="00DA5D65"/>
    <w:rsid w:val="00DA6060"/>
    <w:rsid w:val="00DA6070"/>
    <w:rsid w:val="00DB1019"/>
    <w:rsid w:val="00DB20C0"/>
    <w:rsid w:val="00DB4590"/>
    <w:rsid w:val="00DB5E0F"/>
    <w:rsid w:val="00DB663D"/>
    <w:rsid w:val="00DB6A78"/>
    <w:rsid w:val="00DB6E45"/>
    <w:rsid w:val="00DC26FE"/>
    <w:rsid w:val="00DC2C7B"/>
    <w:rsid w:val="00DC407C"/>
    <w:rsid w:val="00DC41CD"/>
    <w:rsid w:val="00DC4899"/>
    <w:rsid w:val="00DC68E0"/>
    <w:rsid w:val="00DD118C"/>
    <w:rsid w:val="00DD12CE"/>
    <w:rsid w:val="00DD4C28"/>
    <w:rsid w:val="00DD5FBD"/>
    <w:rsid w:val="00DE1E6A"/>
    <w:rsid w:val="00DE25A1"/>
    <w:rsid w:val="00DE357D"/>
    <w:rsid w:val="00DE3AE3"/>
    <w:rsid w:val="00DE40CF"/>
    <w:rsid w:val="00DE41A7"/>
    <w:rsid w:val="00DE4628"/>
    <w:rsid w:val="00DE57E3"/>
    <w:rsid w:val="00DE6889"/>
    <w:rsid w:val="00DE765C"/>
    <w:rsid w:val="00DF0F07"/>
    <w:rsid w:val="00DF1864"/>
    <w:rsid w:val="00DF3A9C"/>
    <w:rsid w:val="00DF4956"/>
    <w:rsid w:val="00DF60D6"/>
    <w:rsid w:val="00E01A9E"/>
    <w:rsid w:val="00E0200F"/>
    <w:rsid w:val="00E07473"/>
    <w:rsid w:val="00E11DE9"/>
    <w:rsid w:val="00E120A3"/>
    <w:rsid w:val="00E137B0"/>
    <w:rsid w:val="00E15D1A"/>
    <w:rsid w:val="00E20E92"/>
    <w:rsid w:val="00E211F7"/>
    <w:rsid w:val="00E21E57"/>
    <w:rsid w:val="00E21FF8"/>
    <w:rsid w:val="00E23A0B"/>
    <w:rsid w:val="00E2582A"/>
    <w:rsid w:val="00E277F9"/>
    <w:rsid w:val="00E3105B"/>
    <w:rsid w:val="00E316FF"/>
    <w:rsid w:val="00E322BD"/>
    <w:rsid w:val="00E32BF9"/>
    <w:rsid w:val="00E3558A"/>
    <w:rsid w:val="00E3583C"/>
    <w:rsid w:val="00E36300"/>
    <w:rsid w:val="00E364FC"/>
    <w:rsid w:val="00E377D9"/>
    <w:rsid w:val="00E408D6"/>
    <w:rsid w:val="00E424A8"/>
    <w:rsid w:val="00E42F83"/>
    <w:rsid w:val="00E443C7"/>
    <w:rsid w:val="00E448F5"/>
    <w:rsid w:val="00E45E88"/>
    <w:rsid w:val="00E5109D"/>
    <w:rsid w:val="00E533D5"/>
    <w:rsid w:val="00E53966"/>
    <w:rsid w:val="00E5417A"/>
    <w:rsid w:val="00E56782"/>
    <w:rsid w:val="00E56899"/>
    <w:rsid w:val="00E5693B"/>
    <w:rsid w:val="00E5756E"/>
    <w:rsid w:val="00E6027B"/>
    <w:rsid w:val="00E633D1"/>
    <w:rsid w:val="00E64E5B"/>
    <w:rsid w:val="00E65BE9"/>
    <w:rsid w:val="00E66235"/>
    <w:rsid w:val="00E669E5"/>
    <w:rsid w:val="00E66F6C"/>
    <w:rsid w:val="00E7122D"/>
    <w:rsid w:val="00E73033"/>
    <w:rsid w:val="00E75D47"/>
    <w:rsid w:val="00E76C19"/>
    <w:rsid w:val="00E80346"/>
    <w:rsid w:val="00E80767"/>
    <w:rsid w:val="00E80FEF"/>
    <w:rsid w:val="00E820DC"/>
    <w:rsid w:val="00E825FC"/>
    <w:rsid w:val="00E83C24"/>
    <w:rsid w:val="00E84164"/>
    <w:rsid w:val="00E86913"/>
    <w:rsid w:val="00E90245"/>
    <w:rsid w:val="00E927F8"/>
    <w:rsid w:val="00E9318D"/>
    <w:rsid w:val="00E93F3E"/>
    <w:rsid w:val="00E9430F"/>
    <w:rsid w:val="00E96BB6"/>
    <w:rsid w:val="00E971C3"/>
    <w:rsid w:val="00EB0EF8"/>
    <w:rsid w:val="00EB1667"/>
    <w:rsid w:val="00EB1CA2"/>
    <w:rsid w:val="00EB2C93"/>
    <w:rsid w:val="00EB2D36"/>
    <w:rsid w:val="00EB3DA8"/>
    <w:rsid w:val="00EB60ED"/>
    <w:rsid w:val="00EB685F"/>
    <w:rsid w:val="00EB7FB2"/>
    <w:rsid w:val="00EC0B0B"/>
    <w:rsid w:val="00EC1275"/>
    <w:rsid w:val="00EC1339"/>
    <w:rsid w:val="00EC6428"/>
    <w:rsid w:val="00ED1F14"/>
    <w:rsid w:val="00ED2963"/>
    <w:rsid w:val="00ED30D5"/>
    <w:rsid w:val="00ED3417"/>
    <w:rsid w:val="00ED66CA"/>
    <w:rsid w:val="00ED693D"/>
    <w:rsid w:val="00ED734E"/>
    <w:rsid w:val="00ED7C1F"/>
    <w:rsid w:val="00EE3C8B"/>
    <w:rsid w:val="00EE425C"/>
    <w:rsid w:val="00EE4857"/>
    <w:rsid w:val="00EE4EE6"/>
    <w:rsid w:val="00EF0923"/>
    <w:rsid w:val="00EF462A"/>
    <w:rsid w:val="00EF57EC"/>
    <w:rsid w:val="00EF7C56"/>
    <w:rsid w:val="00F009D9"/>
    <w:rsid w:val="00F01EBA"/>
    <w:rsid w:val="00F03292"/>
    <w:rsid w:val="00F03EB4"/>
    <w:rsid w:val="00F041E5"/>
    <w:rsid w:val="00F0440E"/>
    <w:rsid w:val="00F0449F"/>
    <w:rsid w:val="00F04829"/>
    <w:rsid w:val="00F056C9"/>
    <w:rsid w:val="00F063C2"/>
    <w:rsid w:val="00F06B57"/>
    <w:rsid w:val="00F06FE2"/>
    <w:rsid w:val="00F076FD"/>
    <w:rsid w:val="00F107A2"/>
    <w:rsid w:val="00F113C0"/>
    <w:rsid w:val="00F12903"/>
    <w:rsid w:val="00F141F7"/>
    <w:rsid w:val="00F15801"/>
    <w:rsid w:val="00F15CCC"/>
    <w:rsid w:val="00F162E6"/>
    <w:rsid w:val="00F22754"/>
    <w:rsid w:val="00F22FA4"/>
    <w:rsid w:val="00F23656"/>
    <w:rsid w:val="00F243F0"/>
    <w:rsid w:val="00F27822"/>
    <w:rsid w:val="00F300FC"/>
    <w:rsid w:val="00F31D9E"/>
    <w:rsid w:val="00F3330E"/>
    <w:rsid w:val="00F34164"/>
    <w:rsid w:val="00F34204"/>
    <w:rsid w:val="00F344B0"/>
    <w:rsid w:val="00F35AE7"/>
    <w:rsid w:val="00F36CFC"/>
    <w:rsid w:val="00F37D67"/>
    <w:rsid w:val="00F436DA"/>
    <w:rsid w:val="00F44A8C"/>
    <w:rsid w:val="00F46910"/>
    <w:rsid w:val="00F501B0"/>
    <w:rsid w:val="00F50975"/>
    <w:rsid w:val="00F50C54"/>
    <w:rsid w:val="00F51BBD"/>
    <w:rsid w:val="00F51C40"/>
    <w:rsid w:val="00F526B6"/>
    <w:rsid w:val="00F53193"/>
    <w:rsid w:val="00F5357E"/>
    <w:rsid w:val="00F55612"/>
    <w:rsid w:val="00F57894"/>
    <w:rsid w:val="00F60FD4"/>
    <w:rsid w:val="00F61C25"/>
    <w:rsid w:val="00F62AF7"/>
    <w:rsid w:val="00F62C06"/>
    <w:rsid w:val="00F6586C"/>
    <w:rsid w:val="00F65D3A"/>
    <w:rsid w:val="00F665D0"/>
    <w:rsid w:val="00F6747F"/>
    <w:rsid w:val="00F67596"/>
    <w:rsid w:val="00F707A6"/>
    <w:rsid w:val="00F71146"/>
    <w:rsid w:val="00F7523D"/>
    <w:rsid w:val="00F82347"/>
    <w:rsid w:val="00F8380E"/>
    <w:rsid w:val="00F8694D"/>
    <w:rsid w:val="00F87876"/>
    <w:rsid w:val="00F9038B"/>
    <w:rsid w:val="00F9253B"/>
    <w:rsid w:val="00F94774"/>
    <w:rsid w:val="00F9789B"/>
    <w:rsid w:val="00FA0AE6"/>
    <w:rsid w:val="00FA0F72"/>
    <w:rsid w:val="00FA16E0"/>
    <w:rsid w:val="00FA489A"/>
    <w:rsid w:val="00FA50DD"/>
    <w:rsid w:val="00FA663B"/>
    <w:rsid w:val="00FA780F"/>
    <w:rsid w:val="00FB25B4"/>
    <w:rsid w:val="00FB2A9B"/>
    <w:rsid w:val="00FB7971"/>
    <w:rsid w:val="00FC21E4"/>
    <w:rsid w:val="00FC237A"/>
    <w:rsid w:val="00FC3CB4"/>
    <w:rsid w:val="00FC433A"/>
    <w:rsid w:val="00FC44CC"/>
    <w:rsid w:val="00FC53DB"/>
    <w:rsid w:val="00FC6787"/>
    <w:rsid w:val="00FC6EE4"/>
    <w:rsid w:val="00FC7988"/>
    <w:rsid w:val="00FC7EF9"/>
    <w:rsid w:val="00FD071A"/>
    <w:rsid w:val="00FD1799"/>
    <w:rsid w:val="00FD302B"/>
    <w:rsid w:val="00FD4E8A"/>
    <w:rsid w:val="00FD6439"/>
    <w:rsid w:val="00FD79D5"/>
    <w:rsid w:val="00FE330C"/>
    <w:rsid w:val="00FE4162"/>
    <w:rsid w:val="00FE4440"/>
    <w:rsid w:val="00FE49B4"/>
    <w:rsid w:val="00FE4A11"/>
    <w:rsid w:val="00FE583B"/>
    <w:rsid w:val="00FE7887"/>
    <w:rsid w:val="00FF14BB"/>
    <w:rsid w:val="00FF5072"/>
    <w:rsid w:val="00FF5D05"/>
    <w:rsid w:val="00FF6281"/>
    <w:rsid w:val="00FF7A9E"/>
    <w:rsid w:val="00FF7DE4"/>
    <w:rsid w:val="19302C72"/>
    <w:rsid w:val="5D797284"/>
    <w:rsid w:val="6730FDF9"/>
    <w:rsid w:val="6782C23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4B2D12"/>
  <w15:docId w15:val="{B31330DF-004A-4AE3-A421-FF8CF562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s-E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B82C37"/>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table" w:customStyle="1" w:styleId="TableGrid20">
    <w:name w:val="Table Grid2"/>
    <w:basedOn w:val="TableNormal"/>
    <w:next w:val="TableGrid"/>
    <w:uiPriority w:val="39"/>
    <w:rsid w:val="00777FE1"/>
    <w:rPr>
      <w:rFonts w:ascii="Calibri" w:eastAsia="Calibri" w:hAnsi="Calibri" w:cs="Arial"/>
      <w:kern w:val="2"/>
      <w:sz w:val="22"/>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mop?m=cp-mop-10" TargetMode="Externa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yperlink" Target="https://www.cbd.int/notifications/2026-002"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mop?m=cp-mop-10"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yperlink" Target="https://www.cbd.int/notifications/2024-073"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notifications/2024-073"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mop?m=cp-mop-09" TargetMode="External"/><Relationship Id="rId23" Type="http://schemas.openxmlformats.org/officeDocument/2006/relationships/hyperlink" Target="https://www.cbd.int/decisions/cop/?m=cop-16"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ecisions/mop?m=cp-mop-10"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6-002" TargetMode="External"/><Relationship Id="rId27" Type="http://schemas.openxmlformats.org/officeDocument/2006/relationships/hyperlink" Target="https://www.cbd.int/decisions/mop?m=cp-mop-10" TargetMode="External"/><Relationship Id="rId30" Type="http://schemas.openxmlformats.org/officeDocument/2006/relationships/footer" Target="footer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LG/15/3" TargetMode="External"/><Relationship Id="rId2" Type="http://schemas.openxmlformats.org/officeDocument/2006/relationships/hyperlink" Target="https://www.cbd.int/documents/CBD/CP/CC/21/5" TargetMode="External"/><Relationship Id="rId1" Type="http://schemas.openxmlformats.org/officeDocument/2006/relationships/hyperlink" Target="https://www.cbd.int/documents/CBD/CP/MOP/12/1" TargetMode="External"/><Relationship Id="rId5" Type="http://schemas.openxmlformats.org/officeDocument/2006/relationships/hyperlink" Target="https://www.cbd.int/decisions/mop?m=cp-mop-10" TargetMode="External"/><Relationship Id="rId4" Type="http://schemas.openxmlformats.org/officeDocument/2006/relationships/hyperlink" Target="https://www.cbd.int/documents/CBD/CP/MOP/1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JAFRY\OneDrive%20-%20United%20Nations\2026\MOP12\MonitoringReporting_Document\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B5078F5D09473B86DA0255E5D4658D"/>
        <w:category>
          <w:name w:val="General"/>
          <w:gallery w:val="placeholder"/>
        </w:category>
        <w:types>
          <w:type w:val="bbPlcHdr"/>
        </w:types>
        <w:behaviors>
          <w:behavior w:val="content"/>
        </w:behaviors>
        <w:guid w:val="{54EA7ED5-AFDB-44E3-8EFF-5FA996BBED52}"/>
      </w:docPartPr>
      <w:docPartBody>
        <w:p w:rsidR="00B763D3" w:rsidRDefault="00985941">
          <w:pPr>
            <w:pStyle w:val="82B5078F5D09473B86DA0255E5D4658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58A"/>
    <w:rsid w:val="00040FD1"/>
    <w:rsid w:val="00050AA3"/>
    <w:rsid w:val="00056427"/>
    <w:rsid w:val="0008534F"/>
    <w:rsid w:val="000913DD"/>
    <w:rsid w:val="000E7D53"/>
    <w:rsid w:val="000F0969"/>
    <w:rsid w:val="00162A42"/>
    <w:rsid w:val="00174B61"/>
    <w:rsid w:val="001867E5"/>
    <w:rsid w:val="00272F7C"/>
    <w:rsid w:val="002B5BA0"/>
    <w:rsid w:val="0031243B"/>
    <w:rsid w:val="003A29D7"/>
    <w:rsid w:val="003A5C46"/>
    <w:rsid w:val="004465F5"/>
    <w:rsid w:val="0045792F"/>
    <w:rsid w:val="004921A5"/>
    <w:rsid w:val="005F2917"/>
    <w:rsid w:val="00601372"/>
    <w:rsid w:val="00656C58"/>
    <w:rsid w:val="006F3528"/>
    <w:rsid w:val="007123CA"/>
    <w:rsid w:val="00793F21"/>
    <w:rsid w:val="007C13F9"/>
    <w:rsid w:val="007D0728"/>
    <w:rsid w:val="0082358A"/>
    <w:rsid w:val="00880524"/>
    <w:rsid w:val="008A73BF"/>
    <w:rsid w:val="008B0C25"/>
    <w:rsid w:val="008C50EE"/>
    <w:rsid w:val="008F4F8B"/>
    <w:rsid w:val="008F5F72"/>
    <w:rsid w:val="00913DE0"/>
    <w:rsid w:val="0092211D"/>
    <w:rsid w:val="00936DBF"/>
    <w:rsid w:val="00985941"/>
    <w:rsid w:val="009B7592"/>
    <w:rsid w:val="009F57EF"/>
    <w:rsid w:val="00A05885"/>
    <w:rsid w:val="00A94D70"/>
    <w:rsid w:val="00AF5FF1"/>
    <w:rsid w:val="00B276D5"/>
    <w:rsid w:val="00B62F31"/>
    <w:rsid w:val="00B763D3"/>
    <w:rsid w:val="00C652ED"/>
    <w:rsid w:val="00CF18E1"/>
    <w:rsid w:val="00CF66FF"/>
    <w:rsid w:val="00D7324F"/>
    <w:rsid w:val="00DC26FE"/>
    <w:rsid w:val="00DF389D"/>
    <w:rsid w:val="00E408D6"/>
    <w:rsid w:val="00EC5800"/>
    <w:rsid w:val="00F141F7"/>
    <w:rsid w:val="00F8694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2B5078F5D09473B86DA0255E5D4658D">
    <w:name w:val="82B5078F5D09473B86DA0255E5D465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3D7214F3-0CA2-4C80-BA4F-B0599C3E2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1</TotalTime>
  <Pages>5</Pages>
  <Words>2264</Words>
  <Characters>12979</Characters>
  <Application>Microsoft Office Word</Application>
  <DocSecurity>4</DocSecurity>
  <Lines>190</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Monitoring and reporting</vt:lpstr>
      <vt:lpstr>Monitoring and reporting</vt:lpstr>
    </vt:vector>
  </TitlesOfParts>
  <Company>SCBD</Company>
  <LinksUpToDate>false</LinksUpToDate>
  <CharactersWithSpaces>15190</CharactersWithSpaces>
  <SharedDoc>false</SharedDoc>
  <HLinks>
    <vt:vector size="114" baseType="variant">
      <vt:variant>
        <vt:i4>5242958</vt:i4>
      </vt:variant>
      <vt:variant>
        <vt:i4>45</vt:i4>
      </vt:variant>
      <vt:variant>
        <vt:i4>0</vt:i4>
      </vt:variant>
      <vt:variant>
        <vt:i4>5</vt:i4>
      </vt:variant>
      <vt:variant>
        <vt:lpwstr>https://www.cbd.int/decisions/mop?m=cp-mop-10</vt:lpwstr>
      </vt:variant>
      <vt:variant>
        <vt:lpwstr/>
      </vt:variant>
      <vt:variant>
        <vt:i4>8061038</vt:i4>
      </vt:variant>
      <vt:variant>
        <vt:i4>39</vt:i4>
      </vt:variant>
      <vt:variant>
        <vt:i4>0</vt:i4>
      </vt:variant>
      <vt:variant>
        <vt:i4>5</vt:i4>
      </vt:variant>
      <vt:variant>
        <vt:lpwstr>https://www.cbd.int/decisions/cop?m=cop-15</vt:lpwstr>
      </vt:variant>
      <vt:variant>
        <vt:lpwstr/>
      </vt:variant>
      <vt:variant>
        <vt:i4>5242958</vt:i4>
      </vt:variant>
      <vt:variant>
        <vt:i4>36</vt:i4>
      </vt:variant>
      <vt:variant>
        <vt:i4>0</vt:i4>
      </vt:variant>
      <vt:variant>
        <vt:i4>5</vt:i4>
      </vt:variant>
      <vt:variant>
        <vt:lpwstr>https://www.cbd.int/decisions/mop?m=cp-mop-10</vt:lpwstr>
      </vt:variant>
      <vt:variant>
        <vt:lpwstr/>
      </vt:variant>
      <vt:variant>
        <vt:i4>6553655</vt:i4>
      </vt:variant>
      <vt:variant>
        <vt:i4>33</vt:i4>
      </vt:variant>
      <vt:variant>
        <vt:i4>0</vt:i4>
      </vt:variant>
      <vt:variant>
        <vt:i4>5</vt:i4>
      </vt:variant>
      <vt:variant>
        <vt:lpwstr>https://www.cbd.int/notifications/2024-073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6750256</vt:i4>
      </vt:variant>
      <vt:variant>
        <vt:i4>27</vt:i4>
      </vt:variant>
      <vt:variant>
        <vt:i4>0</vt:i4>
      </vt:variant>
      <vt:variant>
        <vt:i4>5</vt:i4>
      </vt:variant>
      <vt:variant>
        <vt:lpwstr>https://www.cbd.int/notifications/2026-002</vt:lpwstr>
      </vt:variant>
      <vt:variant>
        <vt:lpwstr/>
      </vt:variant>
      <vt:variant>
        <vt:i4>6750256</vt:i4>
      </vt:variant>
      <vt:variant>
        <vt:i4>21</vt:i4>
      </vt:variant>
      <vt:variant>
        <vt:i4>0</vt:i4>
      </vt:variant>
      <vt:variant>
        <vt:i4>5</vt:i4>
      </vt:variant>
      <vt:variant>
        <vt:lpwstr>https://www.cbd.int/notifications/2026-002</vt:lpwstr>
      </vt:variant>
      <vt:variant>
        <vt:lpwstr/>
      </vt:variant>
      <vt:variant>
        <vt:i4>6553655</vt:i4>
      </vt:variant>
      <vt:variant>
        <vt:i4>18</vt:i4>
      </vt:variant>
      <vt:variant>
        <vt:i4>0</vt:i4>
      </vt:variant>
      <vt:variant>
        <vt:i4>5</vt:i4>
      </vt:variant>
      <vt:variant>
        <vt:lpwstr>https://www.cbd.int/notifications/2024-073</vt:lpwstr>
      </vt:variant>
      <vt:variant>
        <vt:lpwstr/>
      </vt:variant>
      <vt:variant>
        <vt:i4>5242958</vt:i4>
      </vt:variant>
      <vt:variant>
        <vt:i4>15</vt:i4>
      </vt:variant>
      <vt:variant>
        <vt:i4>0</vt:i4>
      </vt:variant>
      <vt:variant>
        <vt:i4>5</vt:i4>
      </vt:variant>
      <vt:variant>
        <vt:lpwstr>https://www.cbd.int/decisions/mop?m=cp-mop-10</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7995502</vt:i4>
      </vt:variant>
      <vt:variant>
        <vt:i4>3</vt:i4>
      </vt:variant>
      <vt:variant>
        <vt:i4>0</vt:i4>
      </vt:variant>
      <vt:variant>
        <vt:i4>5</vt:i4>
      </vt:variant>
      <vt:variant>
        <vt:lpwstr>https://www.cbd.int/decisions/cop?m=cop-14</vt:lpwstr>
      </vt:variant>
      <vt:variant>
        <vt:lpwstr/>
      </vt:variant>
      <vt:variant>
        <vt:i4>5308494</vt:i4>
      </vt:variant>
      <vt:variant>
        <vt:i4>0</vt:i4>
      </vt:variant>
      <vt:variant>
        <vt:i4>0</vt:i4>
      </vt:variant>
      <vt:variant>
        <vt:i4>5</vt:i4>
      </vt:variant>
      <vt:variant>
        <vt:lpwstr>https://www.cbd.int/decisions/mop?m=cp-mop-09</vt:lpwstr>
      </vt:variant>
      <vt:variant>
        <vt:lpwstr/>
      </vt:variant>
      <vt:variant>
        <vt:i4>5242958</vt:i4>
      </vt:variant>
      <vt:variant>
        <vt:i4>15</vt:i4>
      </vt:variant>
      <vt:variant>
        <vt:i4>0</vt:i4>
      </vt:variant>
      <vt:variant>
        <vt:i4>5</vt:i4>
      </vt:variant>
      <vt:variant>
        <vt:lpwstr>https://www.cbd.int/decisions/mop?m=cp-mop-10</vt:lpwstr>
      </vt:variant>
      <vt:variant>
        <vt:lpwstr/>
      </vt:variant>
      <vt:variant>
        <vt:i4>6225940</vt:i4>
      </vt:variant>
      <vt:variant>
        <vt:i4>12</vt:i4>
      </vt:variant>
      <vt:variant>
        <vt:i4>0</vt:i4>
      </vt:variant>
      <vt:variant>
        <vt:i4>5</vt:i4>
      </vt:variant>
      <vt:variant>
        <vt:lpwstr>https://www.cbd.int/documents/CBD/CP/MOP/12/3</vt:lpwstr>
      </vt:variant>
      <vt:variant>
        <vt:lpwstr/>
      </vt:variant>
      <vt:variant>
        <vt:i4>1638431</vt:i4>
      </vt:variant>
      <vt:variant>
        <vt:i4>9</vt:i4>
      </vt:variant>
      <vt:variant>
        <vt:i4>0</vt:i4>
      </vt:variant>
      <vt:variant>
        <vt:i4>5</vt:i4>
      </vt:variant>
      <vt:variant>
        <vt:lpwstr>https://www.cbd.int/documents/CBD/CP/LG/15/3</vt:lpwstr>
      </vt:variant>
      <vt:variant>
        <vt:lpwstr/>
      </vt:variant>
      <vt:variant>
        <vt:i4>1310744</vt:i4>
      </vt:variant>
      <vt:variant>
        <vt:i4>6</vt:i4>
      </vt:variant>
      <vt:variant>
        <vt:i4>0</vt:i4>
      </vt:variant>
      <vt:variant>
        <vt:i4>5</vt:i4>
      </vt:variant>
      <vt:variant>
        <vt:lpwstr>https://www.cbd.int/documents/CBD/CP/CC/21/5</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4194316</vt:i4>
      </vt:variant>
      <vt:variant>
        <vt:i4>0</vt:i4>
      </vt:variant>
      <vt:variant>
        <vt:i4>0</vt:i4>
      </vt:variant>
      <vt:variant>
        <vt:i4>5</vt:i4>
      </vt:variant>
      <vt:variant>
        <vt:lpwstr>https://www.thegef.org/projects-operations/projects/11907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Vigilancia y presentación de informes</dc:title>
  <dc:subject>CBD/CP/MOP/12/6</dc:subject>
  <dc:creator>Secretariat of the Convention on Biological Diversity</dc:creator>
  <cp:keywords>Convention on Biological Diversity</cp:keywords>
  <cp:lastModifiedBy>Veronique Lefebvre</cp:lastModifiedBy>
  <cp:revision>2</cp:revision>
  <cp:lastPrinted>2020-01-22T01:56:00Z</cp:lastPrinted>
  <dcterms:created xsi:type="dcterms:W3CDTF">2026-09-08T18:45:00Z</dcterms:created>
  <dcterms:modified xsi:type="dcterms:W3CDTF">2026-09-08T18:45:00Z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