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207A6E" w:rsidRPr="00FB67C2" w:rsidTr="00C07151">
        <w:trPr>
          <w:trHeight w:val="709"/>
        </w:trPr>
        <w:tc>
          <w:tcPr>
            <w:tcW w:w="976" w:type="dxa"/>
            <w:tcBorders>
              <w:bottom w:val="single" w:sz="12" w:space="0" w:color="auto"/>
            </w:tcBorders>
          </w:tcPr>
          <w:p w:rsidR="00207A6E" w:rsidRPr="00FB67C2" w:rsidRDefault="00207A6E" w:rsidP="0086177B">
            <w:pPr>
              <w:suppressLineNumbers/>
              <w:suppressAutoHyphens/>
              <w:kinsoku w:val="0"/>
              <w:overflowPunct w:val="0"/>
              <w:autoSpaceDE w:val="0"/>
              <w:autoSpaceDN w:val="0"/>
              <w:adjustRightInd w:val="0"/>
              <w:snapToGrid w:val="0"/>
              <w:rPr>
                <w:snapToGrid w:val="0"/>
                <w:kern w:val="22"/>
                <w:lang w:val="fr-FR"/>
              </w:rPr>
            </w:pPr>
            <w:r w:rsidRPr="00FB67C2">
              <w:rPr>
                <w:noProof/>
                <w:snapToGrid w:val="0"/>
                <w:kern w:val="22"/>
                <w:lang w:val="fr-FR" w:eastAsia="fr-FR" w:bidi="bn-BD"/>
              </w:rPr>
              <w:drawing>
                <wp:inline distT="0" distB="0" distL="0" distR="0" wp14:anchorId="66020835" wp14:editId="7701CE7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207A6E" w:rsidRPr="00FB67C2" w:rsidRDefault="00207A6E" w:rsidP="0086177B">
            <w:pPr>
              <w:suppressLineNumbers/>
              <w:suppressAutoHyphens/>
              <w:kinsoku w:val="0"/>
              <w:overflowPunct w:val="0"/>
              <w:autoSpaceDE w:val="0"/>
              <w:autoSpaceDN w:val="0"/>
              <w:adjustRightInd w:val="0"/>
              <w:snapToGrid w:val="0"/>
              <w:rPr>
                <w:snapToGrid w:val="0"/>
                <w:kern w:val="22"/>
                <w:lang w:val="fr-FR"/>
              </w:rPr>
            </w:pPr>
            <w:r w:rsidRPr="00FB67C2">
              <w:rPr>
                <w:noProof/>
                <w:snapToGrid w:val="0"/>
                <w:kern w:val="22"/>
                <w:lang w:val="fr-FR" w:eastAsia="fr-FR" w:bidi="bn-BD"/>
              </w:rPr>
              <w:drawing>
                <wp:inline distT="0" distB="0" distL="0" distR="0" wp14:anchorId="1B59A230" wp14:editId="58AFDCE2">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07A6E" w:rsidRPr="00FB67C2" w:rsidRDefault="00207A6E" w:rsidP="0086177B">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lang w:val="fr-FR"/>
              </w:rPr>
            </w:pPr>
            <w:r w:rsidRPr="00FB67C2">
              <w:rPr>
                <w:rFonts w:ascii="Arial" w:hAnsi="Arial" w:cs="Arial"/>
                <w:b/>
                <w:snapToGrid w:val="0"/>
                <w:kern w:val="22"/>
                <w:sz w:val="32"/>
                <w:szCs w:val="32"/>
                <w:lang w:val="fr-FR"/>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FB67C2" w:rsidTr="009554D5">
        <w:trPr>
          <w:trHeight w:val="1693"/>
        </w:trPr>
        <w:tc>
          <w:tcPr>
            <w:tcW w:w="6227" w:type="dxa"/>
            <w:tcBorders>
              <w:top w:val="nil"/>
              <w:bottom w:val="single" w:sz="36" w:space="0" w:color="000000"/>
            </w:tcBorders>
          </w:tcPr>
          <w:p w:rsidR="00F16F02" w:rsidRPr="00FB67C2" w:rsidRDefault="00F16F02" w:rsidP="0086177B">
            <w:pPr>
              <w:suppressLineNumbers/>
              <w:suppressAutoHyphens/>
              <w:kinsoku w:val="0"/>
              <w:overflowPunct w:val="0"/>
              <w:autoSpaceDE w:val="0"/>
              <w:autoSpaceDN w:val="0"/>
              <w:adjustRightInd w:val="0"/>
              <w:snapToGrid w:val="0"/>
              <w:rPr>
                <w:snapToGrid w:val="0"/>
                <w:kern w:val="22"/>
                <w:lang w:val="fr-FR"/>
              </w:rPr>
            </w:pPr>
          </w:p>
          <w:p w:rsidR="00F16F02" w:rsidRPr="00FB67C2" w:rsidRDefault="00C04872" w:rsidP="0086177B">
            <w:pPr>
              <w:suppressLineNumbers/>
              <w:suppressAutoHyphens/>
              <w:kinsoku w:val="0"/>
              <w:overflowPunct w:val="0"/>
              <w:autoSpaceDE w:val="0"/>
              <w:autoSpaceDN w:val="0"/>
              <w:adjustRightInd w:val="0"/>
              <w:snapToGrid w:val="0"/>
              <w:rPr>
                <w:snapToGrid w:val="0"/>
                <w:kern w:val="22"/>
                <w:lang w:val="fr-FR"/>
              </w:rPr>
            </w:pPr>
            <w:r w:rsidRPr="00FB67C2">
              <w:rPr>
                <w:bCs/>
                <w:noProof/>
                <w:lang w:val="fr-FR" w:eastAsia="fr-FR" w:bidi="bn-BD"/>
              </w:rPr>
              <w:drawing>
                <wp:inline distT="0" distB="0" distL="0" distR="0" wp14:anchorId="6DB9B4F2" wp14:editId="085FA8DF">
                  <wp:extent cx="2857500" cy="10763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p w:rsidR="00F16F02" w:rsidRPr="00FB67C2" w:rsidRDefault="00F16F02" w:rsidP="0086177B">
            <w:pPr>
              <w:suppressLineNumbers/>
              <w:suppressAutoHyphens/>
              <w:kinsoku w:val="0"/>
              <w:overflowPunct w:val="0"/>
              <w:autoSpaceDE w:val="0"/>
              <w:autoSpaceDN w:val="0"/>
              <w:adjustRightInd w:val="0"/>
              <w:snapToGrid w:val="0"/>
              <w:rPr>
                <w:rFonts w:ascii="Univers" w:hAnsi="Univers"/>
                <w:snapToGrid w:val="0"/>
                <w:kern w:val="22"/>
                <w:sz w:val="32"/>
                <w:lang w:val="fr-FR"/>
              </w:rPr>
            </w:pPr>
          </w:p>
        </w:tc>
        <w:tc>
          <w:tcPr>
            <w:tcW w:w="1144" w:type="dxa"/>
            <w:tcBorders>
              <w:top w:val="nil"/>
              <w:bottom w:val="single" w:sz="36" w:space="0" w:color="000000"/>
            </w:tcBorders>
          </w:tcPr>
          <w:p w:rsidR="00F16F02" w:rsidRPr="00FB67C2" w:rsidRDefault="00F16F02" w:rsidP="0086177B">
            <w:pPr>
              <w:pStyle w:val="En-tte"/>
              <w:suppressLineNumbers/>
              <w:tabs>
                <w:tab w:val="clear" w:pos="4320"/>
                <w:tab w:val="clear" w:pos="8640"/>
              </w:tabs>
              <w:suppressAutoHyphens/>
              <w:kinsoku w:val="0"/>
              <w:overflowPunct w:val="0"/>
              <w:autoSpaceDE w:val="0"/>
              <w:autoSpaceDN w:val="0"/>
              <w:adjustRightInd w:val="0"/>
              <w:snapToGrid w:val="0"/>
              <w:rPr>
                <w:b/>
                <w:snapToGrid w:val="0"/>
                <w:kern w:val="22"/>
                <w:sz w:val="32"/>
                <w:szCs w:val="32"/>
                <w:lang w:val="fr-FR"/>
              </w:rPr>
            </w:pPr>
          </w:p>
        </w:tc>
        <w:tc>
          <w:tcPr>
            <w:tcW w:w="2977" w:type="dxa"/>
            <w:tcBorders>
              <w:top w:val="nil"/>
              <w:bottom w:val="single" w:sz="36" w:space="0" w:color="000000"/>
            </w:tcBorders>
          </w:tcPr>
          <w:p w:rsidR="00F16F02" w:rsidRPr="00FB67C2" w:rsidRDefault="00F16F02" w:rsidP="0086177B">
            <w:pPr>
              <w:suppressLineNumbers/>
              <w:suppressAutoHyphens/>
              <w:kinsoku w:val="0"/>
              <w:overflowPunct w:val="0"/>
              <w:autoSpaceDE w:val="0"/>
              <w:autoSpaceDN w:val="0"/>
              <w:adjustRightInd w:val="0"/>
              <w:snapToGrid w:val="0"/>
              <w:ind w:left="63"/>
              <w:rPr>
                <w:snapToGrid w:val="0"/>
                <w:kern w:val="22"/>
                <w:szCs w:val="22"/>
                <w:lang w:val="fr-FR"/>
              </w:rPr>
            </w:pPr>
            <w:proofErr w:type="spellStart"/>
            <w:r w:rsidRPr="00FB67C2">
              <w:rPr>
                <w:snapToGrid w:val="0"/>
                <w:kern w:val="22"/>
                <w:szCs w:val="22"/>
                <w:lang w:val="fr-FR"/>
              </w:rPr>
              <w:t>Distr</w:t>
            </w:r>
            <w:proofErr w:type="spellEnd"/>
            <w:r w:rsidRPr="00FB67C2">
              <w:rPr>
                <w:snapToGrid w:val="0"/>
                <w:kern w:val="22"/>
                <w:szCs w:val="22"/>
                <w:lang w:val="fr-FR"/>
              </w:rPr>
              <w:t>.</w:t>
            </w:r>
          </w:p>
          <w:p w:rsidR="00F16F02" w:rsidRPr="00FB67C2" w:rsidRDefault="00C04872" w:rsidP="0086177B">
            <w:pPr>
              <w:suppressLineNumbers/>
              <w:suppressAutoHyphens/>
              <w:kinsoku w:val="0"/>
              <w:overflowPunct w:val="0"/>
              <w:autoSpaceDE w:val="0"/>
              <w:autoSpaceDN w:val="0"/>
              <w:adjustRightInd w:val="0"/>
              <w:snapToGrid w:val="0"/>
              <w:ind w:left="63"/>
              <w:rPr>
                <w:snapToGrid w:val="0"/>
                <w:kern w:val="22"/>
                <w:szCs w:val="22"/>
                <w:lang w:val="fr-FR"/>
              </w:rPr>
            </w:pPr>
            <w:r w:rsidRPr="00FB67C2">
              <w:rPr>
                <w:snapToGrid w:val="0"/>
                <w:kern w:val="22"/>
                <w:lang w:val="fr-FR"/>
              </w:rPr>
              <w:t>GÉNÉRALE</w:t>
            </w:r>
          </w:p>
          <w:p w:rsidR="00F16F02" w:rsidRPr="00FB67C2" w:rsidRDefault="00F16F02" w:rsidP="0086177B">
            <w:pPr>
              <w:suppressLineNumbers/>
              <w:suppressAutoHyphens/>
              <w:kinsoku w:val="0"/>
              <w:overflowPunct w:val="0"/>
              <w:autoSpaceDE w:val="0"/>
              <w:autoSpaceDN w:val="0"/>
              <w:adjustRightInd w:val="0"/>
              <w:snapToGrid w:val="0"/>
              <w:ind w:left="63"/>
              <w:rPr>
                <w:snapToGrid w:val="0"/>
                <w:kern w:val="22"/>
                <w:szCs w:val="22"/>
                <w:lang w:val="fr-FR"/>
              </w:rPr>
            </w:pPr>
          </w:p>
          <w:sdt>
            <w:sdtPr>
              <w:rPr>
                <w:snapToGrid w:val="0"/>
                <w:kern w:val="22"/>
                <w:szCs w:val="22"/>
                <w:lang w:val="fr-FR"/>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Content>
              <w:p w:rsidR="00F16F02" w:rsidRPr="00FB67C2" w:rsidRDefault="000F7D21" w:rsidP="0086177B">
                <w:pPr>
                  <w:suppressLineNumbers/>
                  <w:suppressAutoHyphens/>
                  <w:kinsoku w:val="0"/>
                  <w:overflowPunct w:val="0"/>
                  <w:autoSpaceDE w:val="0"/>
                  <w:autoSpaceDN w:val="0"/>
                  <w:adjustRightInd w:val="0"/>
                  <w:snapToGrid w:val="0"/>
                  <w:ind w:left="63"/>
                  <w:rPr>
                    <w:snapToGrid w:val="0"/>
                    <w:kern w:val="22"/>
                    <w:szCs w:val="22"/>
                    <w:lang w:val="fr-FR"/>
                  </w:rPr>
                </w:pPr>
                <w:r w:rsidRPr="00FB67C2">
                  <w:rPr>
                    <w:snapToGrid w:val="0"/>
                    <w:kern w:val="22"/>
                    <w:szCs w:val="22"/>
                    <w:lang w:val="fr-FR"/>
                  </w:rPr>
                  <w:t>CBD/SBI/2/18</w:t>
                </w:r>
              </w:p>
            </w:sdtContent>
          </w:sdt>
          <w:p w:rsidR="00F16F02" w:rsidRPr="00FB67C2" w:rsidRDefault="008B79E4" w:rsidP="0086177B">
            <w:pPr>
              <w:suppressLineNumbers/>
              <w:suppressAutoHyphens/>
              <w:kinsoku w:val="0"/>
              <w:overflowPunct w:val="0"/>
              <w:autoSpaceDE w:val="0"/>
              <w:autoSpaceDN w:val="0"/>
              <w:adjustRightInd w:val="0"/>
              <w:snapToGrid w:val="0"/>
              <w:ind w:left="63"/>
              <w:rPr>
                <w:snapToGrid w:val="0"/>
                <w:kern w:val="22"/>
                <w:szCs w:val="22"/>
                <w:lang w:val="fr-FR"/>
              </w:rPr>
            </w:pPr>
            <w:r w:rsidRPr="00FB67C2">
              <w:rPr>
                <w:snapToGrid w:val="0"/>
                <w:kern w:val="22"/>
                <w:szCs w:val="22"/>
                <w:lang w:val="fr-FR"/>
              </w:rPr>
              <w:t>31</w:t>
            </w:r>
            <w:r w:rsidR="00C04872" w:rsidRPr="00FB67C2">
              <w:rPr>
                <w:snapToGrid w:val="0"/>
                <w:kern w:val="22"/>
                <w:szCs w:val="22"/>
                <w:lang w:val="fr-FR"/>
              </w:rPr>
              <w:t xml:space="preserve"> mai </w:t>
            </w:r>
            <w:r w:rsidR="00D15589" w:rsidRPr="00FB67C2">
              <w:rPr>
                <w:snapToGrid w:val="0"/>
                <w:kern w:val="22"/>
                <w:szCs w:val="22"/>
                <w:lang w:val="fr-FR"/>
              </w:rPr>
              <w:t>2018</w:t>
            </w:r>
          </w:p>
          <w:p w:rsidR="00F16F02" w:rsidRPr="00FB67C2" w:rsidRDefault="00F16F02" w:rsidP="0086177B">
            <w:pPr>
              <w:suppressLineNumbers/>
              <w:suppressAutoHyphens/>
              <w:kinsoku w:val="0"/>
              <w:overflowPunct w:val="0"/>
              <w:autoSpaceDE w:val="0"/>
              <w:autoSpaceDN w:val="0"/>
              <w:adjustRightInd w:val="0"/>
              <w:snapToGrid w:val="0"/>
              <w:ind w:left="63"/>
              <w:rPr>
                <w:snapToGrid w:val="0"/>
                <w:kern w:val="22"/>
                <w:szCs w:val="22"/>
                <w:lang w:val="fr-FR"/>
              </w:rPr>
            </w:pPr>
          </w:p>
          <w:p w:rsidR="00F16F02" w:rsidRPr="00FB67C2" w:rsidRDefault="00C04872" w:rsidP="0086177B">
            <w:pPr>
              <w:suppressLineNumbers/>
              <w:suppressAutoHyphens/>
              <w:kinsoku w:val="0"/>
              <w:overflowPunct w:val="0"/>
              <w:autoSpaceDE w:val="0"/>
              <w:autoSpaceDN w:val="0"/>
              <w:adjustRightInd w:val="0"/>
              <w:snapToGrid w:val="0"/>
              <w:ind w:left="63"/>
              <w:rPr>
                <w:snapToGrid w:val="0"/>
                <w:kern w:val="22"/>
                <w:szCs w:val="22"/>
                <w:u w:val="single"/>
                <w:lang w:val="fr-FR"/>
              </w:rPr>
            </w:pPr>
            <w:r w:rsidRPr="00FB67C2">
              <w:rPr>
                <w:snapToGrid w:val="0"/>
                <w:kern w:val="22"/>
                <w:lang w:val="fr-FR"/>
              </w:rPr>
              <w:t xml:space="preserve">FRANÇAIS </w:t>
            </w:r>
            <w:r w:rsidRPr="00FB67C2">
              <w:rPr>
                <w:snapToGrid w:val="0"/>
                <w:kern w:val="22"/>
                <w:lang w:val="fr-FR"/>
              </w:rPr>
              <w:br/>
              <w:t>ORIGINAL : ANGLAIS</w:t>
            </w:r>
          </w:p>
        </w:tc>
      </w:tr>
    </w:tbl>
    <w:bookmarkStart w:id="0" w:name="Meeting"/>
    <w:p w:rsidR="00CA6B87" w:rsidRPr="00FB67C2" w:rsidRDefault="00074292" w:rsidP="0086177B">
      <w:pPr>
        <w:pStyle w:val="meetingname"/>
        <w:suppressLineNumbers/>
        <w:suppressAutoHyphens/>
        <w:kinsoku w:val="0"/>
        <w:overflowPunct w:val="0"/>
        <w:autoSpaceDE w:val="0"/>
        <w:autoSpaceDN w:val="0"/>
        <w:adjustRightInd w:val="0"/>
        <w:snapToGrid w:val="0"/>
        <w:ind w:right="4398"/>
        <w:rPr>
          <w:kern w:val="22"/>
          <w:szCs w:val="22"/>
          <w:lang w:val="fr-FR"/>
        </w:rPr>
      </w:pPr>
      <w:sdt>
        <w:sdtPr>
          <w:rPr>
            <w:kern w:val="22"/>
            <w:lang w:val="fr-FR"/>
          </w:rPr>
          <w:alias w:val="Meeting"/>
          <w:tag w:val="Meeting"/>
          <w:id w:val="1412045910"/>
          <w:placeholder>
            <w:docPart w:val="DefaultPlaceholder_1082065158"/>
          </w:placeholder>
          <w:text/>
        </w:sdtPr>
        <w:sdtContent>
          <w:r w:rsidR="00C04872" w:rsidRPr="00FB67C2">
            <w:rPr>
              <w:kern w:val="22"/>
              <w:lang w:val="fr-FR"/>
            </w:rPr>
            <w:t>ORGANE SUBSIDIAIRE CHARGÉ DE L’APPLICATION</w:t>
          </w:r>
        </w:sdtContent>
      </w:sdt>
      <w:bookmarkEnd w:id="0"/>
    </w:p>
    <w:p w:rsidR="00D51069" w:rsidRPr="00FB67C2" w:rsidRDefault="00F45EB4" w:rsidP="0086177B">
      <w:pPr>
        <w:suppressLineNumbers/>
        <w:suppressAutoHyphens/>
        <w:kinsoku w:val="0"/>
        <w:overflowPunct w:val="0"/>
        <w:autoSpaceDE w:val="0"/>
        <w:autoSpaceDN w:val="0"/>
        <w:adjustRightInd w:val="0"/>
        <w:snapToGrid w:val="0"/>
        <w:rPr>
          <w:snapToGrid w:val="0"/>
          <w:kern w:val="22"/>
          <w:szCs w:val="22"/>
          <w:lang w:val="fr-FR" w:eastAsia="nb-NO"/>
        </w:rPr>
      </w:pPr>
      <w:r>
        <w:rPr>
          <w:snapToGrid w:val="0"/>
          <w:kern w:val="22"/>
          <w:szCs w:val="22"/>
          <w:lang w:val="fr-FR" w:eastAsia="nb-NO"/>
        </w:rPr>
        <w:t>Deuxième réunio</w:t>
      </w:r>
      <w:r w:rsidR="00FD1F51">
        <w:rPr>
          <w:snapToGrid w:val="0"/>
          <w:kern w:val="22"/>
          <w:szCs w:val="22"/>
          <w:lang w:val="fr-FR" w:eastAsia="nb-NO"/>
        </w:rPr>
        <w:t>n</w:t>
      </w:r>
      <w:bookmarkStart w:id="1" w:name="_GoBack"/>
      <w:bookmarkEnd w:id="1"/>
    </w:p>
    <w:p w:rsidR="00CA6B87" w:rsidRPr="00FB67C2" w:rsidRDefault="00C04872" w:rsidP="0086177B">
      <w:pPr>
        <w:suppressLineNumbers/>
        <w:suppressAutoHyphens/>
        <w:kinsoku w:val="0"/>
        <w:overflowPunct w:val="0"/>
        <w:autoSpaceDE w:val="0"/>
        <w:autoSpaceDN w:val="0"/>
        <w:adjustRightInd w:val="0"/>
        <w:snapToGrid w:val="0"/>
        <w:rPr>
          <w:snapToGrid w:val="0"/>
          <w:kern w:val="22"/>
          <w:szCs w:val="22"/>
          <w:lang w:val="fr-FR" w:eastAsia="nb-NO"/>
        </w:rPr>
      </w:pPr>
      <w:r w:rsidRPr="00FB67C2">
        <w:rPr>
          <w:snapToGrid w:val="0"/>
          <w:kern w:val="22"/>
          <w:szCs w:val="22"/>
          <w:lang w:val="fr-FR" w:eastAsia="nb-NO"/>
        </w:rPr>
        <w:t>Montré</w:t>
      </w:r>
      <w:r w:rsidR="00D51069" w:rsidRPr="00FB67C2">
        <w:rPr>
          <w:snapToGrid w:val="0"/>
          <w:kern w:val="22"/>
          <w:szCs w:val="22"/>
          <w:lang w:val="fr-FR" w:eastAsia="nb-NO"/>
        </w:rPr>
        <w:t>al</w:t>
      </w:r>
      <w:r w:rsidR="00CA6B87" w:rsidRPr="00FB67C2">
        <w:rPr>
          <w:snapToGrid w:val="0"/>
          <w:kern w:val="22"/>
          <w:szCs w:val="22"/>
          <w:lang w:val="fr-FR" w:eastAsia="nb-NO"/>
        </w:rPr>
        <w:t xml:space="preserve">, </w:t>
      </w:r>
      <w:r w:rsidR="00D51069" w:rsidRPr="00FB67C2">
        <w:rPr>
          <w:snapToGrid w:val="0"/>
          <w:kern w:val="22"/>
          <w:szCs w:val="22"/>
          <w:lang w:val="fr-FR" w:eastAsia="nb-NO"/>
        </w:rPr>
        <w:t xml:space="preserve">Canada, </w:t>
      </w:r>
      <w:r w:rsidR="002E0627" w:rsidRPr="00FB67C2">
        <w:rPr>
          <w:snapToGrid w:val="0"/>
          <w:kern w:val="22"/>
          <w:szCs w:val="22"/>
          <w:lang w:val="fr-FR" w:eastAsia="nb-NO"/>
        </w:rPr>
        <w:t>9-13</w:t>
      </w:r>
      <w:r w:rsidRPr="00FB67C2">
        <w:rPr>
          <w:snapToGrid w:val="0"/>
          <w:kern w:val="22"/>
          <w:szCs w:val="22"/>
          <w:lang w:val="fr-FR" w:eastAsia="nb-NO"/>
        </w:rPr>
        <w:t xml:space="preserve"> juillet </w:t>
      </w:r>
      <w:r w:rsidR="00D15589" w:rsidRPr="00FB67C2">
        <w:rPr>
          <w:snapToGrid w:val="0"/>
          <w:kern w:val="22"/>
          <w:szCs w:val="22"/>
          <w:lang w:val="fr-FR" w:eastAsia="nb-NO"/>
        </w:rPr>
        <w:t>2018</w:t>
      </w:r>
    </w:p>
    <w:p w:rsidR="00CA6B87" w:rsidRPr="00FB67C2" w:rsidRDefault="00C04872" w:rsidP="0086177B">
      <w:pPr>
        <w:suppressLineNumbers/>
        <w:suppressAutoHyphens/>
        <w:kinsoku w:val="0"/>
        <w:overflowPunct w:val="0"/>
        <w:autoSpaceDE w:val="0"/>
        <w:autoSpaceDN w:val="0"/>
        <w:adjustRightInd w:val="0"/>
        <w:snapToGrid w:val="0"/>
        <w:rPr>
          <w:snapToGrid w:val="0"/>
          <w:kern w:val="22"/>
          <w:szCs w:val="22"/>
          <w:lang w:val="fr-FR" w:eastAsia="nb-NO"/>
        </w:rPr>
      </w:pPr>
      <w:r w:rsidRPr="00FB67C2">
        <w:rPr>
          <w:snapToGrid w:val="0"/>
          <w:kern w:val="22"/>
          <w:szCs w:val="22"/>
          <w:lang w:val="fr-FR" w:eastAsia="nb-NO"/>
        </w:rPr>
        <w:t>Point </w:t>
      </w:r>
      <w:r w:rsidR="000F7D21" w:rsidRPr="00FB67C2">
        <w:rPr>
          <w:snapToGrid w:val="0"/>
          <w:kern w:val="22"/>
          <w:szCs w:val="22"/>
          <w:lang w:val="fr-FR" w:eastAsia="nb-NO"/>
        </w:rPr>
        <w:t xml:space="preserve">17 </w:t>
      </w:r>
      <w:r w:rsidRPr="00FB67C2">
        <w:rPr>
          <w:snapToGrid w:val="0"/>
          <w:kern w:val="22"/>
          <w:szCs w:val="22"/>
          <w:lang w:val="fr-FR" w:eastAsia="nb-NO"/>
        </w:rPr>
        <w:t>de l’ordre du jour provisoire</w:t>
      </w:r>
      <w:r w:rsidR="00D51069" w:rsidRPr="00FB67C2">
        <w:rPr>
          <w:rStyle w:val="Appelnotedebasdep"/>
          <w:snapToGrid w:val="0"/>
          <w:kern w:val="22"/>
          <w:sz w:val="22"/>
          <w:szCs w:val="22"/>
          <w:u w:val="none"/>
          <w:lang w:val="fr-FR" w:eastAsia="nb-NO"/>
        </w:rPr>
        <w:footnoteReference w:customMarkFollows="1" w:id="1"/>
        <w:t>*</w:t>
      </w:r>
    </w:p>
    <w:p w:rsidR="00742F79" w:rsidRPr="00FB67C2" w:rsidRDefault="00074292" w:rsidP="0086177B">
      <w:pPr>
        <w:pStyle w:val="Titre1"/>
        <w:keepNext w:val="0"/>
        <w:suppressLineNumbers/>
        <w:tabs>
          <w:tab w:val="clear" w:pos="720"/>
        </w:tabs>
        <w:suppressAutoHyphens/>
        <w:kinsoku w:val="0"/>
        <w:overflowPunct w:val="0"/>
        <w:autoSpaceDE w:val="0"/>
        <w:autoSpaceDN w:val="0"/>
        <w:adjustRightInd w:val="0"/>
        <w:snapToGrid w:val="0"/>
        <w:rPr>
          <w:snapToGrid w:val="0"/>
          <w:kern w:val="22"/>
          <w:szCs w:val="22"/>
          <w:lang w:val="fr-FR"/>
        </w:rPr>
      </w:pPr>
      <w:sdt>
        <w:sdtPr>
          <w:rPr>
            <w:snapToGrid w:val="0"/>
            <w:kern w:val="22"/>
            <w:lang w:val="fr-FR"/>
          </w:rPr>
          <w:alias w:val="Title"/>
          <w:tag w:val=""/>
          <w:id w:val="301582339"/>
          <w:placeholder>
            <w:docPart w:val="8DA05B690E9F4825BB8E1A36EFAAF965"/>
          </w:placeholder>
          <w:dataBinding w:prefixMappings="xmlns:ns0='http://purl.org/dc/elements/1.1/' xmlns:ns1='http://schemas.openxmlformats.org/package/2006/metadata/core-properties' " w:xpath="/ns1:coreProperties[1]/ns0:title[1]" w:storeItemID="{6C3C8BC8-F283-45AE-878A-BAB7291924A1}"/>
          <w:text/>
        </w:sdtPr>
        <w:sdtContent>
          <w:r w:rsidR="0058379B" w:rsidRPr="00FB67C2">
            <w:rPr>
              <w:snapToGrid w:val="0"/>
              <w:kern w:val="22"/>
              <w:lang w:val="fr-FR"/>
            </w:rPr>
            <w:t>ALLOCATION DES RESSOURCES ET POSSIBILITÉS DE Participation DU SECTEUR PRIVÉ : FONDS D’AFFECTATION SPÉCIALE POUR LA PARTICIPATION DES PARTIES AU PROCESSUS DE LA Convention</w:t>
          </w:r>
        </w:sdtContent>
      </w:sdt>
    </w:p>
    <w:p w:rsidR="00742F79" w:rsidRPr="00FB67C2" w:rsidRDefault="0058379B" w:rsidP="0086177B">
      <w:pPr>
        <w:pStyle w:val="Titre2"/>
        <w:keepNext w:val="0"/>
        <w:suppressLineNumbers/>
        <w:tabs>
          <w:tab w:val="clear" w:pos="720"/>
        </w:tabs>
        <w:suppressAutoHyphens/>
        <w:kinsoku w:val="0"/>
        <w:overflowPunct w:val="0"/>
        <w:autoSpaceDE w:val="0"/>
        <w:autoSpaceDN w:val="0"/>
        <w:adjustRightInd w:val="0"/>
        <w:snapToGrid w:val="0"/>
        <w:rPr>
          <w:b w:val="0"/>
          <w:i/>
          <w:snapToGrid w:val="0"/>
          <w:kern w:val="22"/>
          <w:szCs w:val="22"/>
          <w:lang w:val="fr-FR"/>
        </w:rPr>
      </w:pPr>
      <w:r w:rsidRPr="00FB67C2">
        <w:rPr>
          <w:b w:val="0"/>
          <w:i/>
          <w:snapToGrid w:val="0"/>
          <w:kern w:val="22"/>
          <w:szCs w:val="22"/>
          <w:lang w:val="fr-FR"/>
        </w:rPr>
        <w:t>Note du Secrétaire exécutif</w:t>
      </w:r>
    </w:p>
    <w:p w:rsidR="00742F79" w:rsidRPr="00FB67C2" w:rsidRDefault="0058379B" w:rsidP="0086177B">
      <w:pPr>
        <w:pStyle w:val="Titre1"/>
        <w:suppressLineNumbers/>
        <w:suppressAutoHyphens/>
        <w:kinsoku w:val="0"/>
        <w:overflowPunct w:val="0"/>
        <w:autoSpaceDE w:val="0"/>
        <w:autoSpaceDN w:val="0"/>
        <w:adjustRightInd w:val="0"/>
        <w:snapToGrid w:val="0"/>
        <w:spacing w:before="120"/>
        <w:rPr>
          <w:snapToGrid w:val="0"/>
          <w:kern w:val="22"/>
          <w:szCs w:val="22"/>
          <w:lang w:val="fr-FR"/>
        </w:rPr>
      </w:pPr>
      <w:r w:rsidRPr="00FB67C2">
        <w:rPr>
          <w:snapToGrid w:val="0"/>
          <w:kern w:val="22"/>
          <w:szCs w:val="22"/>
          <w:lang w:val="fr-FR"/>
        </w:rPr>
        <w:t>CONTEXTE</w:t>
      </w:r>
    </w:p>
    <w:p w:rsidR="006B26D3" w:rsidRPr="00FB67C2" w:rsidRDefault="0058379B"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Dans sa décision </w:t>
      </w:r>
      <w:hyperlink r:id="rId12" w:history="1">
        <w:r w:rsidRPr="00FB67C2">
          <w:rPr>
            <w:rStyle w:val="Lienhypertexte"/>
            <w:kern w:val="22"/>
            <w:szCs w:val="22"/>
            <w:lang w:val="fr-FR"/>
          </w:rPr>
          <w:t>XIII/32</w:t>
        </w:r>
      </w:hyperlink>
      <w:r w:rsidRPr="00FB67C2">
        <w:rPr>
          <w:rStyle w:val="Lienhypertexte"/>
          <w:kern w:val="22"/>
          <w:szCs w:val="22"/>
          <w:lang w:val="fr-FR"/>
        </w:rPr>
        <w:t xml:space="preserve"> </w:t>
      </w:r>
      <w:r w:rsidRPr="00FB67C2">
        <w:rPr>
          <w:kern w:val="22"/>
          <w:szCs w:val="22"/>
          <w:lang w:val="fr-FR"/>
        </w:rPr>
        <w:t>(paragraphe 40), la Conférence des Parties a prié le Secrétaire exécutif de préparer un rapport à l’intention du Directeur exécutif du Programme des Nations Unies pour l’environnement, conformément au paragraphe 3 de la résolution 2/18 de l’Assemblée des Nations Unies pour l’environnement, aux fins d’examen par l’Organe subsidiaire chargé de l’application en vue d’une décision éventuelle aux prochaines réunions des Parties à la Convention et à ses protocoles, sur </w:t>
      </w:r>
      <w:r w:rsidR="006B26D3" w:rsidRPr="00FB67C2">
        <w:rPr>
          <w:kern w:val="22"/>
          <w:szCs w:val="22"/>
          <w:lang w:val="fr-FR"/>
        </w:rPr>
        <w:t>:</w:t>
      </w:r>
    </w:p>
    <w:p w:rsidR="006B26D3" w:rsidRPr="00FB67C2" w:rsidRDefault="0058379B" w:rsidP="0086177B">
      <w:pPr>
        <w:pStyle w:val="Para1"/>
        <w:numPr>
          <w:ilvl w:val="1"/>
          <w:numId w:val="23"/>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L’état des contributions au Fonds d’affectation spéciale volontaire BZ au cours des quatre derniers exercices biennaux </w:t>
      </w:r>
      <w:r w:rsidR="006B26D3" w:rsidRPr="00FB67C2">
        <w:rPr>
          <w:kern w:val="22"/>
          <w:szCs w:val="22"/>
          <w:lang w:val="fr-FR"/>
        </w:rPr>
        <w:t>;</w:t>
      </w:r>
    </w:p>
    <w:p w:rsidR="006B26D3" w:rsidRPr="00FB67C2" w:rsidRDefault="0058379B" w:rsidP="0086177B">
      <w:pPr>
        <w:pStyle w:val="Para1"/>
        <w:numPr>
          <w:ilvl w:val="1"/>
          <w:numId w:val="23"/>
        </w:numPr>
        <w:suppressLineNumbers/>
        <w:suppressAutoHyphens/>
        <w:kinsoku w:val="0"/>
        <w:overflowPunct w:val="0"/>
        <w:autoSpaceDE w:val="0"/>
        <w:autoSpaceDN w:val="0"/>
        <w:adjustRightInd w:val="0"/>
        <w:snapToGrid w:val="0"/>
        <w:rPr>
          <w:kern w:val="22"/>
          <w:szCs w:val="22"/>
          <w:lang w:val="fr-FR"/>
        </w:rPr>
      </w:pPr>
      <w:r w:rsidRPr="00FB67C2">
        <w:rPr>
          <w:rFonts w:eastAsia="Malgun Gothic"/>
          <w:iCs/>
          <w:color w:val="000000"/>
          <w:kern w:val="18"/>
          <w:lang w:val="fr-FR" w:eastAsia="ko-KR"/>
        </w:rPr>
        <w:t>Le degré de participation des pays en développement Parties, en particulier les pays les moins avancés et les petits États insulaires en développement, ainsi que les Parties dont l’économie est en transition, aux réunions de la Convention et de ses protocoles au cours de chacun de ces exercices biennaux et les effets de l’insuffisance des contributions sur la participation de toutes les Parties admissibles et des pays en développement, des pays les moins avancés, des petits États insulaires en développement et des Parties dont l’économie est en transition séparément </w:t>
      </w:r>
      <w:r w:rsidR="006B26D3" w:rsidRPr="00FB67C2">
        <w:rPr>
          <w:kern w:val="22"/>
          <w:szCs w:val="22"/>
          <w:lang w:val="fr-FR"/>
        </w:rPr>
        <w:t>;</w:t>
      </w:r>
    </w:p>
    <w:p w:rsidR="006B26D3" w:rsidRPr="00FB67C2" w:rsidRDefault="0058379B" w:rsidP="0086177B">
      <w:pPr>
        <w:pStyle w:val="Para1"/>
        <w:numPr>
          <w:ilvl w:val="1"/>
          <w:numId w:val="23"/>
        </w:numPr>
        <w:suppressLineNumbers/>
        <w:suppressAutoHyphens/>
        <w:kinsoku w:val="0"/>
        <w:overflowPunct w:val="0"/>
        <w:autoSpaceDE w:val="0"/>
        <w:autoSpaceDN w:val="0"/>
        <w:adjustRightInd w:val="0"/>
        <w:snapToGrid w:val="0"/>
        <w:rPr>
          <w:kern w:val="22"/>
          <w:szCs w:val="22"/>
          <w:lang w:val="fr-FR"/>
        </w:rPr>
      </w:pPr>
      <w:r w:rsidRPr="00FB67C2">
        <w:rPr>
          <w:rFonts w:eastAsia="Malgun Gothic"/>
          <w:iCs/>
          <w:color w:val="000000"/>
          <w:kern w:val="18"/>
          <w:lang w:val="fr-FR" w:eastAsia="ko-KR"/>
        </w:rPr>
        <w:t>Les répercussions éventuelles sur l’efficacité du fonctionnement des réunions des Parties à la Convention et à ses protocoles, y compris les réunions intersessions à composition non limitée </w:t>
      </w:r>
      <w:r w:rsidR="006B26D3" w:rsidRPr="00FB67C2">
        <w:rPr>
          <w:kern w:val="22"/>
          <w:szCs w:val="22"/>
          <w:lang w:val="fr-FR"/>
        </w:rPr>
        <w:t>;</w:t>
      </w:r>
    </w:p>
    <w:p w:rsidR="001970A4" w:rsidRPr="00FB67C2" w:rsidRDefault="0058379B"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Dans la même décision (paragraphe 36), le </w:t>
      </w:r>
      <w:r w:rsidRPr="00FB67C2">
        <w:rPr>
          <w:iCs/>
          <w:color w:val="0D0D0D"/>
          <w:kern w:val="22"/>
          <w:lang w:val="fr-FR" w:eastAsia="ko-KR"/>
        </w:rPr>
        <w:t xml:space="preserve">Secrétaire exécutif est invité à étudier des moyens de collaborer officiellement avec le secteur privé pour qu’il soutienne le Fonds d’affectation spéciale de contributions volontaires BZ pour la participation des pays en développement, de développer davantage les modalités des contributions du secteur privé de façon à garantir leur transparence et d’éviter tout jeu d’influence, </w:t>
      </w:r>
      <w:r w:rsidRPr="00FB67C2">
        <w:rPr>
          <w:color w:val="0D0D0D"/>
          <w:kern w:val="22"/>
          <w:lang w:val="fr-FR" w:eastAsia="ko-KR"/>
        </w:rPr>
        <w:t>conformément au Principe 10</w:t>
      </w:r>
      <w:r w:rsidR="006E7976">
        <w:rPr>
          <w:color w:val="0D0D0D"/>
          <w:kern w:val="22"/>
          <w:lang w:val="fr-FR" w:eastAsia="ko-KR"/>
        </w:rPr>
        <w:t xml:space="preserve"> </w:t>
      </w:r>
      <w:r w:rsidRPr="00FB67C2">
        <w:rPr>
          <w:color w:val="0D0D0D"/>
          <w:kern w:val="22"/>
          <w:lang w:val="fr-FR" w:eastAsia="ko-KR"/>
        </w:rPr>
        <w:t>du Pacte mondial des Nations Unies, pour examen par l’Organe subsidiaire chargé de l’application à sa deuxième réunion et décision aux prochaines réunions de la Convention et de ses protocoles </w:t>
      </w:r>
      <w:r w:rsidR="001970A4" w:rsidRPr="00FB67C2">
        <w:rPr>
          <w:kern w:val="22"/>
          <w:szCs w:val="22"/>
          <w:lang w:val="fr-FR"/>
        </w:rPr>
        <w:t>;</w:t>
      </w:r>
    </w:p>
    <w:p w:rsidR="001970A4" w:rsidRPr="00FB67C2" w:rsidRDefault="0058379B"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Les sections I, II, III et IV du présent document apportent une réponse à chacune de ces demandes. La section VI tire une conclusion générale et la section VII formule un projet de recommandation aux fins d’examen par l’Organe subsidiaire chargé de l’application à sa deuxième réunion</w:t>
      </w:r>
      <w:r w:rsidR="006B26D3" w:rsidRPr="00FB67C2">
        <w:rPr>
          <w:kern w:val="22"/>
          <w:szCs w:val="22"/>
          <w:lang w:val="fr-FR"/>
        </w:rPr>
        <w:t>.</w:t>
      </w:r>
    </w:p>
    <w:p w:rsidR="006B26D3" w:rsidRPr="00FB67C2" w:rsidRDefault="008B79E4" w:rsidP="0086177B">
      <w:pPr>
        <w:pStyle w:val="Titre1"/>
        <w:suppressLineNumbers/>
        <w:suppressAutoHyphens/>
        <w:kinsoku w:val="0"/>
        <w:overflowPunct w:val="0"/>
        <w:autoSpaceDE w:val="0"/>
        <w:autoSpaceDN w:val="0"/>
        <w:adjustRightInd w:val="0"/>
        <w:snapToGrid w:val="0"/>
        <w:spacing w:before="120"/>
        <w:rPr>
          <w:snapToGrid w:val="0"/>
          <w:kern w:val="22"/>
          <w:szCs w:val="22"/>
          <w:lang w:val="fr-FR"/>
        </w:rPr>
      </w:pPr>
      <w:r w:rsidRPr="00FB67C2">
        <w:rPr>
          <w:snapToGrid w:val="0"/>
          <w:kern w:val="22"/>
          <w:szCs w:val="22"/>
          <w:lang w:val="fr-FR"/>
        </w:rPr>
        <w:lastRenderedPageBreak/>
        <w:t>I.</w:t>
      </w:r>
      <w:r w:rsidRPr="00FB67C2">
        <w:rPr>
          <w:snapToGrid w:val="0"/>
          <w:kern w:val="22"/>
          <w:szCs w:val="22"/>
          <w:lang w:val="fr-FR"/>
        </w:rPr>
        <w:tab/>
      </w:r>
      <w:r w:rsidR="0058379B" w:rsidRPr="00FB67C2">
        <w:rPr>
          <w:snapToGrid w:val="0"/>
          <w:kern w:val="22"/>
          <w:szCs w:val="22"/>
          <w:lang w:val="fr-FR"/>
        </w:rPr>
        <w:t xml:space="preserve">FONDS D’AFFECTATION SPÉCIALE </w:t>
      </w:r>
      <w:r w:rsidR="00F74609">
        <w:rPr>
          <w:snapToGrid w:val="0"/>
          <w:kern w:val="22"/>
          <w:szCs w:val="22"/>
          <w:lang w:val="fr-FR"/>
        </w:rPr>
        <w:t>VOLONTAIRE</w:t>
      </w:r>
      <w:r w:rsidR="0058379B" w:rsidRPr="00FB67C2">
        <w:rPr>
          <w:snapToGrid w:val="0"/>
          <w:kern w:val="22"/>
          <w:szCs w:val="22"/>
          <w:lang w:val="fr-FR"/>
        </w:rPr>
        <w:t xml:space="preserve"> BZ</w:t>
      </w:r>
    </w:p>
    <w:p w:rsidR="00E6741E" w:rsidRPr="00FB67C2" w:rsidRDefault="008B79E4" w:rsidP="0086177B">
      <w:pPr>
        <w:pStyle w:val="Titre2"/>
        <w:suppressLineNumbers/>
        <w:suppressAutoHyphens/>
        <w:kinsoku w:val="0"/>
        <w:overflowPunct w:val="0"/>
        <w:autoSpaceDE w:val="0"/>
        <w:autoSpaceDN w:val="0"/>
        <w:adjustRightInd w:val="0"/>
        <w:snapToGrid w:val="0"/>
        <w:rPr>
          <w:kern w:val="22"/>
          <w:szCs w:val="22"/>
          <w:lang w:val="fr-FR"/>
        </w:rPr>
      </w:pPr>
      <w:r w:rsidRPr="00FB67C2">
        <w:rPr>
          <w:snapToGrid w:val="0"/>
          <w:kern w:val="22"/>
          <w:szCs w:val="22"/>
          <w:lang w:val="fr-FR"/>
        </w:rPr>
        <w:t>A.</w:t>
      </w:r>
      <w:r w:rsidRPr="00FB67C2">
        <w:rPr>
          <w:snapToGrid w:val="0"/>
          <w:kern w:val="22"/>
          <w:szCs w:val="22"/>
          <w:lang w:val="fr-FR"/>
        </w:rPr>
        <w:tab/>
      </w:r>
      <w:r w:rsidR="0058379B" w:rsidRPr="00FB67C2">
        <w:rPr>
          <w:snapToGrid w:val="0"/>
          <w:kern w:val="22"/>
          <w:szCs w:val="22"/>
          <w:lang w:val="fr-FR"/>
        </w:rPr>
        <w:t>Contexte</w:t>
      </w:r>
    </w:p>
    <w:p w:rsidR="00E6741E" w:rsidRPr="00FB67C2" w:rsidRDefault="00F7460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En 1996</w:t>
      </w:r>
      <w:r w:rsidR="0058379B" w:rsidRPr="00FB67C2">
        <w:rPr>
          <w:kern w:val="22"/>
          <w:szCs w:val="22"/>
          <w:lang w:val="fr-FR"/>
        </w:rPr>
        <w:t xml:space="preserve">, dans sa décision </w:t>
      </w:r>
      <w:hyperlink r:id="rId13" w:history="1">
        <w:r w:rsidR="0058379B" w:rsidRPr="00FB67C2">
          <w:rPr>
            <w:rStyle w:val="Lienhypertexte"/>
            <w:kern w:val="22"/>
            <w:szCs w:val="22"/>
            <w:lang w:val="fr-FR"/>
          </w:rPr>
          <w:t>III/24</w:t>
        </w:r>
      </w:hyperlink>
      <w:r w:rsidR="005B2EB4">
        <w:rPr>
          <w:kern w:val="22"/>
          <w:szCs w:val="22"/>
          <w:lang w:val="fr-FR"/>
        </w:rPr>
        <w:t xml:space="preserve"> (paragraphe 5</w:t>
      </w:r>
      <w:r w:rsidR="0058379B" w:rsidRPr="00FB67C2">
        <w:rPr>
          <w:kern w:val="22"/>
          <w:szCs w:val="22"/>
          <w:lang w:val="fr-FR"/>
        </w:rPr>
        <w:t xml:space="preserve">), </w:t>
      </w:r>
      <w:r w:rsidRPr="00FB67C2">
        <w:rPr>
          <w:kern w:val="22"/>
          <w:szCs w:val="22"/>
          <w:lang w:val="fr-FR"/>
        </w:rPr>
        <w:t>la Conférence des Parties a</w:t>
      </w:r>
      <w:r>
        <w:rPr>
          <w:kern w:val="22"/>
          <w:szCs w:val="22"/>
          <w:lang w:val="fr-FR"/>
        </w:rPr>
        <w:t xml:space="preserve"> </w:t>
      </w:r>
      <w:r w:rsidR="0058379B" w:rsidRPr="00FB67C2">
        <w:rPr>
          <w:kern w:val="22"/>
          <w:szCs w:val="22"/>
          <w:lang w:val="fr-FR"/>
        </w:rPr>
        <w:t xml:space="preserve">établi le Fonds d’affectation spéciale BZ qui facilite </w:t>
      </w:r>
      <w:r w:rsidR="00071FD9">
        <w:rPr>
          <w:kern w:val="22"/>
          <w:szCs w:val="22"/>
          <w:lang w:val="fr-FR"/>
        </w:rPr>
        <w:t>la participation des Parties au</w:t>
      </w:r>
      <w:r w:rsidR="0058379B" w:rsidRPr="00FB67C2">
        <w:rPr>
          <w:kern w:val="22"/>
          <w:szCs w:val="22"/>
          <w:lang w:val="fr-FR"/>
        </w:rPr>
        <w:t xml:space="preserve"> </w:t>
      </w:r>
      <w:r w:rsidR="00071FD9">
        <w:rPr>
          <w:kern w:val="22"/>
          <w:szCs w:val="22"/>
          <w:lang w:val="fr-FR"/>
        </w:rPr>
        <w:t>processus</w:t>
      </w:r>
      <w:r w:rsidR="0058379B" w:rsidRPr="00FB67C2">
        <w:rPr>
          <w:kern w:val="22"/>
          <w:szCs w:val="22"/>
          <w:lang w:val="fr-FR"/>
        </w:rPr>
        <w:t xml:space="preserve"> de la Convention. Le Fonds a pour objet de s’assurer que les pays en développement, </w:t>
      </w:r>
      <w:r w:rsidR="0058379B" w:rsidRPr="00FB67C2">
        <w:rPr>
          <w:rFonts w:eastAsia="Malgun Gothic"/>
          <w:iCs/>
          <w:color w:val="000000"/>
          <w:kern w:val="18"/>
          <w:lang w:val="fr-FR" w:eastAsia="ko-KR"/>
        </w:rPr>
        <w:t xml:space="preserve">en particulier les pays les moins avancés et les petits États insulaires en développement, peuvent participer pleinement et </w:t>
      </w:r>
      <w:r w:rsidR="00B76C98">
        <w:rPr>
          <w:rFonts w:eastAsia="Malgun Gothic"/>
          <w:iCs/>
          <w:color w:val="000000"/>
          <w:kern w:val="18"/>
          <w:lang w:val="fr-FR" w:eastAsia="ko-KR"/>
        </w:rPr>
        <w:t>effectivement</w:t>
      </w:r>
      <w:r w:rsidR="0058379B" w:rsidRPr="00FB67C2">
        <w:rPr>
          <w:rFonts w:eastAsia="Malgun Gothic"/>
          <w:iCs/>
          <w:color w:val="000000"/>
          <w:kern w:val="18"/>
          <w:lang w:val="fr-FR" w:eastAsia="ko-KR"/>
        </w:rPr>
        <w:t xml:space="preserve"> aux processus de négociation, et de renforcer la légitimité des décisions prises par la </w:t>
      </w:r>
      <w:r w:rsidR="0058379B" w:rsidRPr="00FB67C2">
        <w:rPr>
          <w:kern w:val="22"/>
          <w:szCs w:val="22"/>
          <w:lang w:val="fr-FR"/>
        </w:rPr>
        <w:t xml:space="preserve">Convention. En 2004, dans sa décision </w:t>
      </w:r>
      <w:hyperlink r:id="rId14" w:history="1">
        <w:r w:rsidR="0058379B" w:rsidRPr="00FB67C2">
          <w:rPr>
            <w:rStyle w:val="Lienhypertexte"/>
            <w:kern w:val="22"/>
            <w:szCs w:val="22"/>
            <w:lang w:val="fr-FR"/>
          </w:rPr>
          <w:t>BS-I/10</w:t>
        </w:r>
      </w:hyperlink>
      <w:r w:rsidR="0058379B" w:rsidRPr="00FB67C2">
        <w:rPr>
          <w:kern w:val="22"/>
          <w:szCs w:val="22"/>
          <w:lang w:val="fr-FR"/>
        </w:rPr>
        <w:t xml:space="preserve">, la Conférence des Parties siégeant en tant que réunion des Parties au Protocole de Cartagena sur la prévention des risques biotechnologiques a créé un fonds similaire (le Fonds d’affectation spéciale volontaire BI) pour </w:t>
      </w:r>
      <w:r w:rsidR="00B76C98">
        <w:rPr>
          <w:kern w:val="22"/>
          <w:szCs w:val="22"/>
          <w:lang w:val="fr-FR"/>
        </w:rPr>
        <w:t xml:space="preserve">le </w:t>
      </w:r>
      <w:r w:rsidR="0058379B" w:rsidRPr="00FB67C2">
        <w:rPr>
          <w:kern w:val="22"/>
          <w:szCs w:val="22"/>
          <w:lang w:val="fr-FR"/>
        </w:rPr>
        <w:t xml:space="preserve">Protocole sur la prévention des risques biotechnologiques. En 2014 toutefois, </w:t>
      </w:r>
      <w:r w:rsidR="00050E40">
        <w:rPr>
          <w:kern w:val="22"/>
          <w:szCs w:val="22"/>
          <w:lang w:val="fr-FR"/>
        </w:rPr>
        <w:t>suite</w:t>
      </w:r>
      <w:r w:rsidR="0058379B" w:rsidRPr="00FB67C2">
        <w:rPr>
          <w:kern w:val="22"/>
          <w:szCs w:val="22"/>
          <w:lang w:val="fr-FR"/>
        </w:rPr>
        <w:t xml:space="preserve"> à une demande formulée par la Conférence des Parties siégeant en tant que réunion des Parties au Protocole de Cartagena </w:t>
      </w:r>
      <w:r w:rsidR="005B2EB4">
        <w:rPr>
          <w:kern w:val="22"/>
          <w:szCs w:val="22"/>
          <w:lang w:val="fr-FR"/>
        </w:rPr>
        <w:t>(décision </w:t>
      </w:r>
      <w:hyperlink r:id="rId15" w:history="1">
        <w:r w:rsidR="005B2EB4" w:rsidRPr="0086177B">
          <w:rPr>
            <w:rStyle w:val="Lienhypertexte"/>
            <w:rFonts w:eastAsia="Malgun Gothic"/>
            <w:kern w:val="22"/>
            <w:szCs w:val="22"/>
            <w:lang w:eastAsia="ko-KR"/>
          </w:rPr>
          <w:t>BS-VII/7</w:t>
        </w:r>
      </w:hyperlink>
      <w:r w:rsidR="005B2EB4">
        <w:rPr>
          <w:rStyle w:val="Lienhypertexte"/>
          <w:rFonts w:eastAsia="Malgun Gothic"/>
          <w:kern w:val="22"/>
          <w:szCs w:val="22"/>
          <w:lang w:eastAsia="ko-KR"/>
        </w:rPr>
        <w:t>)</w:t>
      </w:r>
      <w:r w:rsidR="0058379B" w:rsidRPr="00FB67C2">
        <w:rPr>
          <w:kern w:val="22"/>
          <w:szCs w:val="22"/>
          <w:lang w:val="fr-FR"/>
        </w:rPr>
        <w:t>, la Conférence des Parties a décidé de fusionner les deux fonds (décision </w:t>
      </w:r>
      <w:hyperlink r:id="rId16" w:history="1">
        <w:r w:rsidR="0058379B" w:rsidRPr="00FB67C2">
          <w:rPr>
            <w:rStyle w:val="Lienhypertexte"/>
            <w:kern w:val="22"/>
            <w:szCs w:val="22"/>
            <w:lang w:val="fr-FR" w:eastAsia="ko-KR"/>
          </w:rPr>
          <w:t>X</w:t>
        </w:r>
        <w:r w:rsidR="0058379B" w:rsidRPr="00FB67C2">
          <w:rPr>
            <w:rStyle w:val="Lienhypertexte"/>
            <w:rFonts w:eastAsia="Malgun Gothic"/>
            <w:kern w:val="22"/>
            <w:szCs w:val="22"/>
            <w:lang w:val="fr-FR" w:eastAsia="ko-KR"/>
          </w:rPr>
          <w:t>II/32</w:t>
        </w:r>
      </w:hyperlink>
      <w:r w:rsidR="0058379B" w:rsidRPr="00FB67C2">
        <w:rPr>
          <w:kern w:val="22"/>
          <w:szCs w:val="22"/>
          <w:lang w:val="fr-FR"/>
        </w:rPr>
        <w:t>, paragraphe 24).</w:t>
      </w:r>
      <w:r w:rsidR="0058379B" w:rsidRPr="00FB67C2">
        <w:rPr>
          <w:kern w:val="22"/>
          <w:szCs w:val="22"/>
          <w:lang w:val="fr-FR" w:eastAsia="ko-KR"/>
        </w:rPr>
        <w:t xml:space="preserve"> </w:t>
      </w:r>
      <w:r w:rsidR="00050E40">
        <w:rPr>
          <w:kern w:val="22"/>
          <w:szCs w:val="22"/>
          <w:lang w:val="fr-FR" w:eastAsia="ko-KR"/>
        </w:rPr>
        <w:t>Elle</w:t>
      </w:r>
      <w:r w:rsidR="0058379B" w:rsidRPr="00FB67C2">
        <w:rPr>
          <w:kern w:val="22"/>
          <w:szCs w:val="22"/>
          <w:lang w:val="fr-FR" w:eastAsia="ko-KR"/>
        </w:rPr>
        <w:t xml:space="preserve"> a </w:t>
      </w:r>
      <w:r w:rsidR="00B42996">
        <w:rPr>
          <w:kern w:val="22"/>
          <w:szCs w:val="22"/>
          <w:lang w:val="fr-FR" w:eastAsia="ko-KR"/>
        </w:rPr>
        <w:t>en outre</w:t>
      </w:r>
      <w:r w:rsidR="0058379B" w:rsidRPr="00FB67C2">
        <w:rPr>
          <w:kern w:val="22"/>
          <w:szCs w:val="22"/>
          <w:lang w:val="fr-FR" w:eastAsia="ko-KR"/>
        </w:rPr>
        <w:t xml:space="preserve"> décidé que </w:t>
      </w:r>
      <w:r w:rsidR="00050E40">
        <w:rPr>
          <w:rFonts w:eastAsia="Malgun Gothic"/>
          <w:kern w:val="22"/>
          <w:szCs w:val="22"/>
          <w:lang w:val="fr-FR" w:eastAsia="ko-KR"/>
        </w:rPr>
        <w:t>les deux f</w:t>
      </w:r>
      <w:r w:rsidR="0058379B" w:rsidRPr="00FB67C2">
        <w:rPr>
          <w:rFonts w:eastAsia="Malgun Gothic"/>
          <w:kern w:val="22"/>
          <w:szCs w:val="22"/>
          <w:lang w:val="fr-FR" w:eastAsia="ko-KR"/>
        </w:rPr>
        <w:t xml:space="preserve">onds fusionnés devraient également être </w:t>
      </w:r>
      <w:r w:rsidR="00050E40">
        <w:rPr>
          <w:rFonts w:eastAsia="Malgun Gothic"/>
          <w:kern w:val="22"/>
          <w:szCs w:val="22"/>
          <w:lang w:val="fr-FR" w:eastAsia="ko-KR"/>
        </w:rPr>
        <w:t>disponibles pour</w:t>
      </w:r>
      <w:r w:rsidR="0058379B" w:rsidRPr="00FB67C2">
        <w:rPr>
          <w:rFonts w:eastAsia="Malgun Gothic"/>
          <w:kern w:val="22"/>
          <w:szCs w:val="22"/>
          <w:lang w:val="fr-FR" w:eastAsia="ko-KR"/>
        </w:rPr>
        <w:t xml:space="preserve"> faciliter la participation des Parties aux réunions portant sur le Protocole de Nagoya (décision XII/32, paragraphe 25</w:t>
      </w:r>
      <w:r w:rsidR="00B35F84" w:rsidRPr="00FB67C2">
        <w:rPr>
          <w:kern w:val="22"/>
          <w:szCs w:val="22"/>
          <w:lang w:val="fr-FR" w:eastAsia="ko-KR"/>
        </w:rPr>
        <w:t>).</w:t>
      </w:r>
    </w:p>
    <w:p w:rsidR="00E6741E" w:rsidRPr="00FB67C2" w:rsidRDefault="0058379B"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La constitution financière du Fonds d’affectation spéciale</w:t>
      </w:r>
      <w:r w:rsidR="00B42996">
        <w:rPr>
          <w:kern w:val="22"/>
          <w:szCs w:val="22"/>
          <w:lang w:val="fr-FR"/>
        </w:rPr>
        <w:t xml:space="preserve"> volontaire</w:t>
      </w:r>
      <w:r w:rsidRPr="00FB67C2">
        <w:rPr>
          <w:kern w:val="22"/>
          <w:szCs w:val="22"/>
          <w:lang w:val="fr-FR"/>
        </w:rPr>
        <w:t xml:space="preserve"> BZ est assurée par les pays développés Parties à titre volontaire. Ce financement est ensuite utilisé par le Secrétariat pour fournir aux représentants de Parties admissibles les billets d’avion et</w:t>
      </w:r>
      <w:r w:rsidR="006E7976">
        <w:rPr>
          <w:kern w:val="22"/>
          <w:szCs w:val="22"/>
          <w:lang w:val="fr-FR"/>
        </w:rPr>
        <w:t xml:space="preserve"> les</w:t>
      </w:r>
      <w:r w:rsidRPr="00FB67C2">
        <w:rPr>
          <w:kern w:val="22"/>
          <w:szCs w:val="22"/>
          <w:lang w:val="fr-FR"/>
        </w:rPr>
        <w:t xml:space="preserve"> indemnités journalières de subsistance dont ils ont besoin pour participer aux réunions de la Conférence des Parties à la Convention sur la diversité biologique, </w:t>
      </w:r>
      <w:r w:rsidR="006E7976">
        <w:rPr>
          <w:kern w:val="22"/>
          <w:szCs w:val="22"/>
          <w:lang w:val="fr-FR"/>
        </w:rPr>
        <w:t xml:space="preserve">à celles </w:t>
      </w:r>
      <w:r w:rsidRPr="00FB67C2">
        <w:rPr>
          <w:kern w:val="22"/>
          <w:szCs w:val="22"/>
          <w:lang w:val="fr-FR"/>
        </w:rPr>
        <w:t>de la Conférence des Parties siégeant en tant que réunion des Pa</w:t>
      </w:r>
      <w:r w:rsidR="002018FD">
        <w:rPr>
          <w:kern w:val="22"/>
          <w:szCs w:val="22"/>
          <w:lang w:val="fr-FR"/>
        </w:rPr>
        <w:t>rties au Protocole de Cartagena</w:t>
      </w:r>
      <w:r w:rsidRPr="00FB67C2">
        <w:rPr>
          <w:kern w:val="22"/>
          <w:szCs w:val="22"/>
          <w:lang w:val="fr-FR"/>
        </w:rPr>
        <w:t xml:space="preserve">, et </w:t>
      </w:r>
      <w:r w:rsidR="006E7976">
        <w:rPr>
          <w:kern w:val="22"/>
          <w:szCs w:val="22"/>
          <w:lang w:val="fr-FR"/>
        </w:rPr>
        <w:t xml:space="preserve">à celles </w:t>
      </w:r>
      <w:r w:rsidRPr="00FB67C2">
        <w:rPr>
          <w:kern w:val="22"/>
          <w:szCs w:val="22"/>
          <w:lang w:val="fr-FR"/>
        </w:rPr>
        <w:t>de la Conférence des Partie siégeant en tant que réunion des Parties au Protocole de Nagoya sur l’accès aux ressources génétiques et le partage juste et équitable des avantages découlant de leur utilisation. Les ressources du Fonds servent également à financer la participation de représentants de Parties admissibles aux réunions pertinentes des organes subsidiaires et associés de la Convention et de ses protocoles</w:t>
      </w:r>
      <w:r w:rsidR="00E6741E" w:rsidRPr="00FB67C2">
        <w:rPr>
          <w:kern w:val="22"/>
          <w:szCs w:val="22"/>
          <w:lang w:val="fr-FR"/>
        </w:rPr>
        <w:t>.</w:t>
      </w:r>
    </w:p>
    <w:p w:rsidR="00E6741E" w:rsidRPr="00FB67C2" w:rsidRDefault="0058379B"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Dans sa décision </w:t>
      </w:r>
      <w:hyperlink r:id="rId17" w:history="1">
        <w:r w:rsidRPr="00FB67C2">
          <w:rPr>
            <w:rStyle w:val="Lienhypertexte"/>
            <w:kern w:val="22"/>
            <w:szCs w:val="22"/>
            <w:lang w:val="fr-FR"/>
          </w:rPr>
          <w:t>IX/34</w:t>
        </w:r>
      </w:hyperlink>
      <w:r w:rsidRPr="00FB67C2">
        <w:rPr>
          <w:kern w:val="22"/>
          <w:szCs w:val="22"/>
          <w:lang w:val="fr-FR"/>
        </w:rPr>
        <w:t xml:space="preserve"> (paragraphe 31), la Conférence des Parties a approuvé la procédure pour l’allocation de financement à partir du Fonds d’affectation spéciale volontaire BZ. La procédure exige que la priorité soit donnée aux pays les moins avancés et aux petits États insulaires en développement</w:t>
      </w:r>
      <w:r w:rsidR="00404206">
        <w:rPr>
          <w:kern w:val="22"/>
          <w:szCs w:val="22"/>
          <w:lang w:val="fr-FR"/>
        </w:rPr>
        <w:t>,</w:t>
      </w:r>
      <w:r w:rsidRPr="00FB67C2">
        <w:rPr>
          <w:kern w:val="22"/>
          <w:szCs w:val="22"/>
          <w:lang w:val="fr-FR"/>
        </w:rPr>
        <w:t xml:space="preserve"> et vise ensuite à assurer la représentation adéquate de tous les pays en développement Parties admissibles</w:t>
      </w:r>
      <w:r w:rsidR="00404206">
        <w:rPr>
          <w:kern w:val="22"/>
          <w:szCs w:val="22"/>
          <w:lang w:val="fr-FR"/>
        </w:rPr>
        <w:t>.</w:t>
      </w:r>
      <w:r w:rsidRPr="00FB67C2">
        <w:rPr>
          <w:kern w:val="22"/>
          <w:szCs w:val="22"/>
          <w:lang w:val="fr-FR"/>
        </w:rPr>
        <w:t xml:space="preserve"> Les Nations Unies classe</w:t>
      </w:r>
      <w:r w:rsidR="00404206">
        <w:rPr>
          <w:kern w:val="22"/>
          <w:szCs w:val="22"/>
          <w:lang w:val="fr-FR"/>
        </w:rPr>
        <w:t>nt</w:t>
      </w:r>
      <w:r w:rsidRPr="00FB67C2">
        <w:rPr>
          <w:kern w:val="22"/>
          <w:szCs w:val="22"/>
          <w:lang w:val="fr-FR"/>
        </w:rPr>
        <w:t xml:space="preserve"> les pays en trois catégories à des fins d’analyse : les pays en développement, les économies en transition et les pays développés. Les pays en développement sont divisés en trois sous-catégories : les pays les moins avancés (PMA), les petits États</w:t>
      </w:r>
      <w:r w:rsidR="00404206">
        <w:rPr>
          <w:kern w:val="22"/>
          <w:szCs w:val="22"/>
          <w:lang w:val="fr-FR"/>
        </w:rPr>
        <w:t xml:space="preserve"> insulaires en développement (P</w:t>
      </w:r>
      <w:r w:rsidRPr="00FB67C2">
        <w:rPr>
          <w:kern w:val="22"/>
          <w:szCs w:val="22"/>
          <w:lang w:val="fr-FR"/>
        </w:rPr>
        <w:t>E</w:t>
      </w:r>
      <w:r w:rsidR="00404206">
        <w:rPr>
          <w:kern w:val="22"/>
          <w:szCs w:val="22"/>
          <w:lang w:val="fr-FR"/>
        </w:rPr>
        <w:t>I</w:t>
      </w:r>
      <w:r w:rsidRPr="00FB67C2">
        <w:rPr>
          <w:kern w:val="22"/>
          <w:szCs w:val="22"/>
          <w:lang w:val="fr-FR"/>
        </w:rPr>
        <w:t xml:space="preserve">D) et les autres pays en développement. </w:t>
      </w:r>
      <w:r w:rsidRPr="00FB67C2">
        <w:rPr>
          <w:rFonts w:eastAsia="AGaramondPro-Regular"/>
          <w:kern w:val="22"/>
          <w:szCs w:val="22"/>
          <w:lang w:val="fr-FR"/>
        </w:rPr>
        <w:t>Les pays sont classés en fonction de leur niveau de développement par le Comité des politiques de développement du Conseil économique et social.</w:t>
      </w:r>
      <w:r w:rsidRPr="00FB67C2">
        <w:rPr>
          <w:kern w:val="22"/>
          <w:szCs w:val="22"/>
          <w:lang w:val="fr-FR"/>
        </w:rPr>
        <w:t> </w:t>
      </w:r>
      <w:r w:rsidRPr="00FB67C2">
        <w:rPr>
          <w:rFonts w:eastAsia="AGaramondPro-Regular"/>
          <w:kern w:val="22"/>
          <w:szCs w:val="22"/>
          <w:lang w:val="fr-FR"/>
        </w:rPr>
        <w:t xml:space="preserve">Ce classement est périodiquement révisé et actualisé par </w:t>
      </w:r>
      <w:r w:rsidR="00404206">
        <w:rPr>
          <w:rFonts w:eastAsia="AGaramondPro-Regular"/>
          <w:kern w:val="22"/>
          <w:szCs w:val="22"/>
          <w:lang w:val="fr-FR"/>
        </w:rPr>
        <w:t xml:space="preserve">le Comité. Durant la période </w:t>
      </w:r>
      <w:r w:rsidRPr="00FB67C2">
        <w:rPr>
          <w:rFonts w:eastAsia="AGaramondPro-Regular"/>
          <w:kern w:val="22"/>
          <w:szCs w:val="22"/>
          <w:lang w:val="fr-FR"/>
        </w:rPr>
        <w:t xml:space="preserve">2009-2016, </w:t>
      </w:r>
      <w:r w:rsidR="00404206">
        <w:rPr>
          <w:rFonts w:eastAsia="AGaramondPro-Regular"/>
          <w:kern w:val="22"/>
          <w:szCs w:val="22"/>
          <w:lang w:val="fr-FR"/>
        </w:rPr>
        <w:t xml:space="preserve">quelque </w:t>
      </w:r>
      <w:r w:rsidRPr="00FB67C2">
        <w:rPr>
          <w:rFonts w:eastAsia="AGaramondPro-Regular"/>
          <w:kern w:val="22"/>
          <w:szCs w:val="22"/>
          <w:lang w:val="fr-FR"/>
        </w:rPr>
        <w:t>153 Parties ont été classées dans les catégories des pays en développement et des économies en transition</w:t>
      </w:r>
      <w:r w:rsidR="00404206">
        <w:rPr>
          <w:rFonts w:eastAsia="AGaramondPro-Regular"/>
          <w:kern w:val="22"/>
          <w:szCs w:val="22"/>
          <w:lang w:val="fr-FR"/>
        </w:rPr>
        <w:t>. Ils ont</w:t>
      </w:r>
      <w:r w:rsidRPr="00FB67C2">
        <w:rPr>
          <w:rFonts w:eastAsia="AGaramondPro-Regular"/>
          <w:kern w:val="22"/>
          <w:szCs w:val="22"/>
          <w:lang w:val="fr-FR"/>
        </w:rPr>
        <w:t xml:space="preserve"> par conséquent </w:t>
      </w:r>
      <w:r w:rsidR="00404206">
        <w:rPr>
          <w:rFonts w:eastAsia="AGaramondPro-Regular"/>
          <w:kern w:val="22"/>
          <w:szCs w:val="22"/>
          <w:lang w:val="fr-FR"/>
        </w:rPr>
        <w:t xml:space="preserve">été </w:t>
      </w:r>
      <w:r w:rsidRPr="00FB67C2">
        <w:rPr>
          <w:rFonts w:eastAsia="AGaramondPro-Regular"/>
          <w:kern w:val="22"/>
          <w:szCs w:val="22"/>
          <w:lang w:val="fr-FR"/>
        </w:rPr>
        <w:t xml:space="preserve">admissibles à un financement du Fonds </w:t>
      </w:r>
      <w:r w:rsidRPr="00FB67C2">
        <w:rPr>
          <w:kern w:val="22"/>
          <w:szCs w:val="22"/>
          <w:lang w:val="fr-FR"/>
        </w:rPr>
        <w:t>d’affectation spéciale volontaire BZ</w:t>
      </w:r>
      <w:r w:rsidR="004A7CCC" w:rsidRPr="00FB67C2">
        <w:rPr>
          <w:kern w:val="22"/>
          <w:szCs w:val="22"/>
          <w:lang w:val="fr-FR"/>
        </w:rPr>
        <w:t>.</w:t>
      </w:r>
    </w:p>
    <w:p w:rsidR="003E2881" w:rsidRPr="00FB67C2" w:rsidRDefault="0058379B"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D’autres conventions </w:t>
      </w:r>
      <w:r w:rsidR="00404206">
        <w:rPr>
          <w:kern w:val="22"/>
          <w:szCs w:val="22"/>
          <w:lang w:val="fr-FR"/>
        </w:rPr>
        <w:t xml:space="preserve">et plusieurs processus </w:t>
      </w:r>
      <w:r w:rsidRPr="00FB67C2">
        <w:rPr>
          <w:kern w:val="22"/>
          <w:szCs w:val="22"/>
          <w:lang w:val="fr-FR"/>
        </w:rPr>
        <w:t xml:space="preserve">des Nations Unies fixent des critères similaires pour </w:t>
      </w:r>
      <w:r w:rsidR="00404206">
        <w:rPr>
          <w:kern w:val="22"/>
          <w:szCs w:val="22"/>
          <w:lang w:val="fr-FR"/>
        </w:rPr>
        <w:t>ce type de</w:t>
      </w:r>
      <w:r w:rsidRPr="00FB67C2">
        <w:rPr>
          <w:kern w:val="22"/>
          <w:szCs w:val="22"/>
          <w:lang w:val="fr-FR"/>
        </w:rPr>
        <w:t xml:space="preserve"> financement et leurs domaines de priorité. La Convention-cadre des Nations Unies sur les changements climatiques (CCNUCC) donne par exemple la priorité aux pays les moins avancés, aux petits États insulaires en développement, aux autres pays en développement et aux économies en transition dont le revenu n’atteint pas le seuil fixé</w:t>
      </w:r>
      <w:r w:rsidR="003E2881" w:rsidRPr="00FB67C2">
        <w:rPr>
          <w:rStyle w:val="Appelnotedebasdep"/>
          <w:kern w:val="22"/>
          <w:sz w:val="22"/>
          <w:szCs w:val="22"/>
          <w:u w:val="none"/>
          <w:vertAlign w:val="superscript"/>
          <w:lang w:val="fr-FR"/>
        </w:rPr>
        <w:footnoteReference w:id="2"/>
      </w:r>
      <w:r w:rsidRPr="00FB67C2">
        <w:rPr>
          <w:kern w:val="22"/>
          <w:szCs w:val="22"/>
          <w:lang w:val="fr-FR"/>
        </w:rPr>
        <w:t>.</w:t>
      </w:r>
    </w:p>
    <w:p w:rsidR="004A7CCC" w:rsidRPr="00FB67C2" w:rsidRDefault="008B79E4" w:rsidP="0086177B">
      <w:pPr>
        <w:pStyle w:val="Titre2"/>
        <w:keepNext w:val="0"/>
        <w:suppressLineNumbers/>
        <w:suppressAutoHyphens/>
        <w:kinsoku w:val="0"/>
        <w:overflowPunct w:val="0"/>
        <w:autoSpaceDE w:val="0"/>
        <w:autoSpaceDN w:val="0"/>
        <w:adjustRightInd w:val="0"/>
        <w:snapToGrid w:val="0"/>
        <w:rPr>
          <w:kern w:val="22"/>
          <w:szCs w:val="22"/>
          <w:lang w:val="fr-FR"/>
        </w:rPr>
      </w:pPr>
      <w:r w:rsidRPr="00FB67C2">
        <w:rPr>
          <w:snapToGrid w:val="0"/>
          <w:kern w:val="22"/>
          <w:szCs w:val="22"/>
          <w:lang w:val="fr-FR"/>
        </w:rPr>
        <w:t>B.</w:t>
      </w:r>
      <w:r w:rsidRPr="00FB67C2">
        <w:rPr>
          <w:snapToGrid w:val="0"/>
          <w:kern w:val="22"/>
          <w:szCs w:val="22"/>
          <w:lang w:val="fr-FR"/>
        </w:rPr>
        <w:tab/>
      </w:r>
      <w:r w:rsidR="0058379B" w:rsidRPr="00FB67C2">
        <w:rPr>
          <w:snapToGrid w:val="0"/>
          <w:kern w:val="22"/>
          <w:szCs w:val="22"/>
          <w:lang w:val="fr-FR"/>
        </w:rPr>
        <w:t xml:space="preserve">État des </w:t>
      </w:r>
      <w:r w:rsidR="005826FB" w:rsidRPr="00FB67C2">
        <w:rPr>
          <w:snapToGrid w:val="0"/>
          <w:kern w:val="22"/>
          <w:szCs w:val="22"/>
          <w:lang w:val="fr-FR"/>
        </w:rPr>
        <w:t>c</w:t>
      </w:r>
      <w:r w:rsidR="00E6741E" w:rsidRPr="00FB67C2">
        <w:rPr>
          <w:snapToGrid w:val="0"/>
          <w:kern w:val="22"/>
          <w:szCs w:val="22"/>
          <w:lang w:val="fr-FR"/>
        </w:rPr>
        <w:t>ontributions</w:t>
      </w:r>
    </w:p>
    <w:p w:rsidR="00A477D5" w:rsidRPr="00FB67C2" w:rsidRDefault="005E7FDB"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lastRenderedPageBreak/>
        <w:t>Conformément à la demande exprimée dans la décision XIII/32, des informations sont fournies dans le présent document sur les quatre exercices biennaux passés (2009 à 2016). Durant cette période, 32 réunions ont eu lieu, notamment </w:t>
      </w:r>
      <w:r w:rsidR="00A477D5" w:rsidRPr="00FB67C2">
        <w:rPr>
          <w:kern w:val="22"/>
          <w:szCs w:val="22"/>
          <w:lang w:val="fr-FR"/>
        </w:rPr>
        <w:t>:</w:t>
      </w:r>
    </w:p>
    <w:p w:rsidR="00A477D5"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Quatre réunions de la Conférence des Parties (COP) </w:t>
      </w:r>
      <w:r w:rsidR="00462E67" w:rsidRPr="00FB67C2">
        <w:rPr>
          <w:kern w:val="22"/>
          <w:szCs w:val="22"/>
          <w:lang w:val="fr-FR"/>
        </w:rPr>
        <w:t>;</w:t>
      </w:r>
      <w:r w:rsidR="001970A4" w:rsidRPr="00FB67C2">
        <w:rPr>
          <w:kern w:val="22"/>
          <w:szCs w:val="22"/>
          <w:lang w:val="fr-FR"/>
        </w:rPr>
        <w:t xml:space="preserve"> </w:t>
      </w:r>
    </w:p>
    <w:p w:rsidR="00A477D5"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Quatre réunions de la Conférence des Parties siégeant en tant que réunion des Parties au Protocole de Cartagena (CP-COP-MOP) </w:t>
      </w:r>
      <w:r w:rsidR="00462E67" w:rsidRPr="00FB67C2">
        <w:rPr>
          <w:kern w:val="22"/>
          <w:szCs w:val="22"/>
          <w:lang w:val="fr-FR"/>
        </w:rPr>
        <w:t>;</w:t>
      </w:r>
    </w:p>
    <w:p w:rsidR="00A477D5"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Deux réunions de la Conférence des Parties siégeant en tant que réunion des Parties au Protocole de Nagoya (NP-COP-MOP) </w:t>
      </w:r>
      <w:r w:rsidR="00462E67" w:rsidRPr="00FB67C2">
        <w:rPr>
          <w:kern w:val="22"/>
          <w:szCs w:val="22"/>
          <w:lang w:val="fr-FR"/>
        </w:rPr>
        <w:t>;</w:t>
      </w:r>
      <w:r w:rsidR="001970A4" w:rsidRPr="00FB67C2">
        <w:rPr>
          <w:kern w:val="22"/>
          <w:szCs w:val="22"/>
          <w:lang w:val="fr-FR"/>
        </w:rPr>
        <w:t xml:space="preserve"> </w:t>
      </w:r>
    </w:p>
    <w:p w:rsidR="00A477D5"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Sept réunions de l’Organe subsidiaire chargé de fournir des avis scientifiques, techniques et technologiques</w:t>
      </w:r>
      <w:r w:rsidR="00404206">
        <w:rPr>
          <w:kern w:val="22"/>
          <w:szCs w:val="22"/>
          <w:lang w:val="fr-FR"/>
        </w:rPr>
        <w:t xml:space="preserve"> (SBSTTA)</w:t>
      </w:r>
      <w:r w:rsidRPr="00FB67C2">
        <w:rPr>
          <w:kern w:val="22"/>
          <w:szCs w:val="22"/>
          <w:lang w:val="fr-FR"/>
        </w:rPr>
        <w:t> </w:t>
      </w:r>
      <w:r w:rsidR="00462E67" w:rsidRPr="00FB67C2">
        <w:rPr>
          <w:kern w:val="22"/>
          <w:szCs w:val="22"/>
          <w:lang w:val="fr-FR"/>
        </w:rPr>
        <w:t>;</w:t>
      </w:r>
      <w:r w:rsidR="001970A4" w:rsidRPr="00FB67C2">
        <w:rPr>
          <w:kern w:val="22"/>
          <w:szCs w:val="22"/>
          <w:lang w:val="fr-FR"/>
        </w:rPr>
        <w:t xml:space="preserve"> </w:t>
      </w:r>
    </w:p>
    <w:p w:rsidR="007F09D8"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Trois réunions du Groupe de travail sur l’examen de l’application de la Convention (GTEA</w:t>
      </w:r>
      <w:r w:rsidR="00404206">
        <w:rPr>
          <w:kern w:val="22"/>
          <w:szCs w:val="22"/>
          <w:lang w:val="fr-FR"/>
        </w:rPr>
        <w:t>/WGRI</w:t>
      </w:r>
      <w:r w:rsidRPr="00FB67C2">
        <w:rPr>
          <w:kern w:val="22"/>
          <w:szCs w:val="22"/>
          <w:lang w:val="fr-FR"/>
        </w:rPr>
        <w:t>) </w:t>
      </w:r>
      <w:r w:rsidR="00462E67" w:rsidRPr="00FB67C2">
        <w:rPr>
          <w:kern w:val="22"/>
          <w:szCs w:val="22"/>
          <w:lang w:val="fr-FR"/>
        </w:rPr>
        <w:t>;</w:t>
      </w:r>
      <w:r w:rsidR="007F09D8" w:rsidRPr="00FB67C2">
        <w:rPr>
          <w:kern w:val="22"/>
          <w:szCs w:val="22"/>
          <w:lang w:val="fr-FR"/>
        </w:rPr>
        <w:t xml:space="preserve"> </w:t>
      </w:r>
    </w:p>
    <w:p w:rsidR="00A477D5"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Une réunion de l’Organe subsidiaire chargé de l’application</w:t>
      </w:r>
      <w:r w:rsidR="00404206">
        <w:rPr>
          <w:kern w:val="22"/>
          <w:szCs w:val="22"/>
          <w:lang w:val="fr-FR"/>
        </w:rPr>
        <w:t xml:space="preserve"> (SBI)</w:t>
      </w:r>
      <w:r w:rsidRPr="00FB67C2">
        <w:rPr>
          <w:kern w:val="22"/>
          <w:szCs w:val="22"/>
          <w:lang w:val="fr-FR"/>
        </w:rPr>
        <w:t> </w:t>
      </w:r>
      <w:r w:rsidR="00462E67" w:rsidRPr="00FB67C2">
        <w:rPr>
          <w:kern w:val="22"/>
          <w:szCs w:val="22"/>
          <w:lang w:val="fr-FR"/>
        </w:rPr>
        <w:t>;</w:t>
      </w:r>
      <w:r w:rsidR="001970A4" w:rsidRPr="00FB67C2">
        <w:rPr>
          <w:kern w:val="22"/>
          <w:szCs w:val="22"/>
          <w:lang w:val="fr-FR"/>
        </w:rPr>
        <w:t xml:space="preserve"> </w:t>
      </w:r>
    </w:p>
    <w:p w:rsidR="00A477D5"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Quatre réunions du Groupe de travail sur l’Article 8(j)</w:t>
      </w:r>
      <w:r w:rsidR="00404206">
        <w:rPr>
          <w:kern w:val="22"/>
          <w:szCs w:val="22"/>
          <w:lang w:val="fr-FR"/>
        </w:rPr>
        <w:t xml:space="preserve"> (WG8J)</w:t>
      </w:r>
      <w:r w:rsidRPr="00FB67C2">
        <w:rPr>
          <w:kern w:val="22"/>
          <w:szCs w:val="22"/>
          <w:lang w:val="fr-FR"/>
        </w:rPr>
        <w:t> </w:t>
      </w:r>
      <w:r w:rsidR="00462E67" w:rsidRPr="00FB67C2">
        <w:rPr>
          <w:kern w:val="22"/>
          <w:szCs w:val="22"/>
          <w:lang w:val="fr-FR"/>
        </w:rPr>
        <w:t>;</w:t>
      </w:r>
    </w:p>
    <w:p w:rsidR="00A477D5"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Quatre réunions du Groupe de travail spécial à composition non limitée sur l’accès et le partage des avantages</w:t>
      </w:r>
      <w:r w:rsidR="00404206">
        <w:rPr>
          <w:kern w:val="22"/>
          <w:szCs w:val="22"/>
          <w:lang w:val="fr-FR"/>
        </w:rPr>
        <w:t xml:space="preserve"> (ABSWG)</w:t>
      </w:r>
      <w:r w:rsidRPr="00FB67C2">
        <w:rPr>
          <w:kern w:val="22"/>
          <w:szCs w:val="22"/>
          <w:lang w:val="fr-FR"/>
        </w:rPr>
        <w:t> ; et</w:t>
      </w:r>
      <w:r w:rsidR="001970A4" w:rsidRPr="00FB67C2">
        <w:rPr>
          <w:kern w:val="22"/>
          <w:szCs w:val="22"/>
          <w:lang w:val="fr-FR"/>
        </w:rPr>
        <w:t xml:space="preserve"> </w:t>
      </w:r>
    </w:p>
    <w:p w:rsidR="001970A4" w:rsidRPr="00FB67C2" w:rsidRDefault="005E7FDB" w:rsidP="0086177B">
      <w:pPr>
        <w:pStyle w:val="Para1"/>
        <w:numPr>
          <w:ilvl w:val="1"/>
          <w:numId w:val="25"/>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Trois réunions du Comité intergouvernemental pour le Protocole de Nagoya</w:t>
      </w:r>
      <w:r w:rsidR="00404206">
        <w:rPr>
          <w:kern w:val="22"/>
          <w:szCs w:val="22"/>
          <w:lang w:val="fr-FR"/>
        </w:rPr>
        <w:t xml:space="preserve"> (ICNP)</w:t>
      </w:r>
      <w:r w:rsidR="001970A4" w:rsidRPr="00FB67C2">
        <w:rPr>
          <w:kern w:val="22"/>
          <w:szCs w:val="22"/>
          <w:lang w:val="fr-FR"/>
        </w:rPr>
        <w:t>.</w:t>
      </w:r>
    </w:p>
    <w:p w:rsidR="007F09D8"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Un total de 92 contributions a été reçu de 16 donateurs</w:t>
      </w:r>
      <w:r w:rsidR="004E2637">
        <w:rPr>
          <w:kern w:val="22"/>
          <w:szCs w:val="22"/>
          <w:lang w:val="fr-FR"/>
        </w:rPr>
        <w:t>,</w:t>
      </w:r>
      <w:r w:rsidRPr="00FB67C2">
        <w:rPr>
          <w:kern w:val="22"/>
          <w:szCs w:val="22"/>
          <w:lang w:val="fr-FR"/>
        </w:rPr>
        <w:t xml:space="preserve"> et versé au Fonds d’affectation spéciale volontaire BZ entre 2009 et 2016. Une moyenne de 2 millions de dollars a été perçue par exercice biennal sur cette période. Ce montant équivaut à 250 000 dollars en moyenne pour chacune des 32 réunions </w:t>
      </w:r>
      <w:r w:rsidR="004E2637">
        <w:rPr>
          <w:kern w:val="22"/>
          <w:szCs w:val="22"/>
          <w:lang w:val="fr-FR"/>
        </w:rPr>
        <w:t>de</w:t>
      </w:r>
      <w:r w:rsidRPr="00FB67C2">
        <w:rPr>
          <w:kern w:val="22"/>
          <w:szCs w:val="22"/>
          <w:lang w:val="fr-FR"/>
        </w:rPr>
        <w:t xml:space="preserve"> cette période. Comme </w:t>
      </w:r>
      <w:proofErr w:type="gramStart"/>
      <w:r w:rsidRPr="00FB67C2">
        <w:rPr>
          <w:kern w:val="22"/>
          <w:szCs w:val="22"/>
          <w:lang w:val="fr-FR"/>
        </w:rPr>
        <w:t>le</w:t>
      </w:r>
      <w:proofErr w:type="gramEnd"/>
      <w:r w:rsidRPr="00FB67C2">
        <w:rPr>
          <w:kern w:val="22"/>
          <w:szCs w:val="22"/>
          <w:lang w:val="fr-FR"/>
        </w:rPr>
        <w:t xml:space="preserve"> montre la figure ci-dessous, le niveau des contributions au Fonds BZ a toutefois varié au fil des exercices. Les contributions ont atteint la somme maximale de 3,1 millions d</w:t>
      </w:r>
      <w:r w:rsidR="004E2637">
        <w:rPr>
          <w:kern w:val="22"/>
          <w:szCs w:val="22"/>
          <w:lang w:val="fr-FR"/>
        </w:rPr>
        <w:t>e dollars en 2009-2010</w:t>
      </w:r>
      <w:r w:rsidR="00842CFB">
        <w:rPr>
          <w:kern w:val="22"/>
          <w:szCs w:val="22"/>
          <w:lang w:val="fr-FR"/>
        </w:rPr>
        <w:t xml:space="preserve"> grâce à</w:t>
      </w:r>
      <w:r w:rsidRPr="00FB67C2">
        <w:rPr>
          <w:kern w:val="22"/>
          <w:szCs w:val="22"/>
          <w:lang w:val="fr-FR"/>
        </w:rPr>
        <w:t xml:space="preserve"> 10 donateurs. Neuf réunions étaient organisées pendant cet exercice biennal. Depuis cette date, le nombre des contributions au Fonds BZ a baissé po</w:t>
      </w:r>
      <w:r w:rsidR="0084588F">
        <w:rPr>
          <w:kern w:val="22"/>
          <w:szCs w:val="22"/>
          <w:lang w:val="fr-FR"/>
        </w:rPr>
        <w:t>ur atteindre 704 000 dollars. Cette somme a été fournie par huit donateurs en 2015-2016, une période où se sont tenues</w:t>
      </w:r>
      <w:r w:rsidRPr="00FB67C2">
        <w:rPr>
          <w:kern w:val="22"/>
          <w:szCs w:val="22"/>
          <w:lang w:val="fr-FR"/>
        </w:rPr>
        <w:t xml:space="preserve"> sept réunions. Ce niveau de contribution est le moins élevé depuis l’établissement du Fonds en 1996 (voir figure 1</w:t>
      </w:r>
      <w:r w:rsidR="003C635B" w:rsidRPr="00FB67C2">
        <w:rPr>
          <w:kern w:val="22"/>
          <w:szCs w:val="22"/>
          <w:lang w:val="fr-FR"/>
        </w:rPr>
        <w:t>)</w:t>
      </w:r>
      <w:r w:rsidR="00B53E55" w:rsidRPr="00FB67C2">
        <w:rPr>
          <w:kern w:val="22"/>
          <w:szCs w:val="22"/>
          <w:lang w:val="fr-FR"/>
        </w:rPr>
        <w:t>.</w:t>
      </w:r>
    </w:p>
    <w:p w:rsidR="00684F9C" w:rsidRPr="00FB67C2" w:rsidRDefault="00684F9C" w:rsidP="0086177B">
      <w:pPr>
        <w:suppressLineNumbers/>
        <w:suppressAutoHyphens/>
        <w:kinsoku w:val="0"/>
        <w:overflowPunct w:val="0"/>
        <w:autoSpaceDE w:val="0"/>
        <w:autoSpaceDN w:val="0"/>
        <w:adjustRightInd w:val="0"/>
        <w:snapToGrid w:val="0"/>
        <w:rPr>
          <w:snapToGrid w:val="0"/>
          <w:kern w:val="22"/>
          <w:szCs w:val="22"/>
          <w:lang w:val="fr-FR"/>
        </w:rPr>
      </w:pPr>
    </w:p>
    <w:p w:rsidR="00684F9C" w:rsidRPr="00FB67C2" w:rsidRDefault="00242348" w:rsidP="0086177B">
      <w:pPr>
        <w:suppressLineNumbers/>
        <w:suppressAutoHyphens/>
        <w:kinsoku w:val="0"/>
        <w:overflowPunct w:val="0"/>
        <w:autoSpaceDE w:val="0"/>
        <w:autoSpaceDN w:val="0"/>
        <w:adjustRightInd w:val="0"/>
        <w:snapToGrid w:val="0"/>
        <w:jc w:val="center"/>
        <w:rPr>
          <w:snapToGrid w:val="0"/>
          <w:kern w:val="22"/>
          <w:szCs w:val="22"/>
          <w:lang w:val="fr-FR"/>
        </w:rPr>
      </w:pPr>
      <w:r>
        <w:rPr>
          <w:noProof/>
          <w:lang w:val="fr-FR" w:eastAsia="fr-FR" w:bidi="bn-BD"/>
        </w:rPr>
        <w:drawing>
          <wp:inline distT="0" distB="0" distL="0" distR="0" wp14:anchorId="7B4FEA27" wp14:editId="223F9A62">
            <wp:extent cx="5353050" cy="2743200"/>
            <wp:effectExtent l="0" t="0" r="19050" b="19050"/>
            <wp:docPr id="5" name="Graphique 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99776541-45FE-4D07-8F2C-1DBA707BD0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83F2A" w:rsidRPr="00FB67C2" w:rsidRDefault="00783F2A" w:rsidP="0086177B">
      <w:pPr>
        <w:suppressLineNumbers/>
        <w:suppressAutoHyphens/>
        <w:kinsoku w:val="0"/>
        <w:overflowPunct w:val="0"/>
        <w:autoSpaceDE w:val="0"/>
        <w:autoSpaceDN w:val="0"/>
        <w:adjustRightInd w:val="0"/>
        <w:snapToGrid w:val="0"/>
        <w:spacing w:before="120" w:after="120"/>
        <w:jc w:val="center"/>
        <w:rPr>
          <w:b/>
          <w:snapToGrid w:val="0"/>
          <w:kern w:val="22"/>
          <w:szCs w:val="22"/>
          <w:lang w:val="fr-FR"/>
        </w:rPr>
      </w:pPr>
      <w:r w:rsidRPr="00FB67C2">
        <w:rPr>
          <w:b/>
          <w:snapToGrid w:val="0"/>
          <w:kern w:val="22"/>
          <w:szCs w:val="22"/>
          <w:lang w:val="fr-FR"/>
        </w:rPr>
        <w:t>Figure</w:t>
      </w:r>
      <w:r w:rsidR="00165287">
        <w:rPr>
          <w:b/>
          <w:snapToGrid w:val="0"/>
          <w:kern w:val="22"/>
          <w:szCs w:val="22"/>
          <w:lang w:val="fr-FR"/>
        </w:rPr>
        <w:t> </w:t>
      </w:r>
      <w:r w:rsidR="00E749C8" w:rsidRPr="00FB67C2">
        <w:rPr>
          <w:b/>
          <w:snapToGrid w:val="0"/>
          <w:kern w:val="22"/>
          <w:szCs w:val="22"/>
          <w:lang w:val="fr-FR"/>
        </w:rPr>
        <w:t>1</w:t>
      </w:r>
      <w:r w:rsidRPr="00FB67C2">
        <w:rPr>
          <w:b/>
          <w:snapToGrid w:val="0"/>
          <w:kern w:val="22"/>
          <w:szCs w:val="22"/>
          <w:lang w:val="fr-FR"/>
        </w:rPr>
        <w:t xml:space="preserve">. </w:t>
      </w:r>
      <w:r w:rsidR="00165287">
        <w:rPr>
          <w:b/>
          <w:snapToGrid w:val="0"/>
          <w:kern w:val="22"/>
          <w:szCs w:val="22"/>
          <w:lang w:val="fr-FR"/>
        </w:rPr>
        <w:t>Évolution des</w:t>
      </w:r>
      <w:r w:rsidRPr="00FB67C2">
        <w:rPr>
          <w:b/>
          <w:snapToGrid w:val="0"/>
          <w:kern w:val="22"/>
          <w:szCs w:val="22"/>
          <w:lang w:val="fr-FR"/>
        </w:rPr>
        <w:t xml:space="preserve"> contributions </w:t>
      </w:r>
      <w:r w:rsidR="00165287">
        <w:rPr>
          <w:b/>
          <w:snapToGrid w:val="0"/>
          <w:kern w:val="22"/>
          <w:szCs w:val="22"/>
          <w:lang w:val="fr-FR"/>
        </w:rPr>
        <w:t>au Fonds</w:t>
      </w:r>
      <w:r w:rsidR="00E749C8" w:rsidRPr="00FB67C2">
        <w:rPr>
          <w:b/>
          <w:snapToGrid w:val="0"/>
          <w:kern w:val="22"/>
          <w:szCs w:val="22"/>
          <w:lang w:val="fr-FR"/>
        </w:rPr>
        <w:t xml:space="preserve"> BZ </w:t>
      </w:r>
      <w:r w:rsidR="00165287">
        <w:rPr>
          <w:b/>
          <w:snapToGrid w:val="0"/>
          <w:kern w:val="22"/>
          <w:szCs w:val="22"/>
          <w:lang w:val="fr-FR"/>
        </w:rPr>
        <w:t>pour la période</w:t>
      </w:r>
      <w:r w:rsidR="005826FB" w:rsidRPr="00FB67C2">
        <w:rPr>
          <w:b/>
          <w:snapToGrid w:val="0"/>
          <w:kern w:val="22"/>
          <w:szCs w:val="22"/>
          <w:lang w:val="fr-FR"/>
        </w:rPr>
        <w:t xml:space="preserve"> </w:t>
      </w:r>
      <w:r w:rsidRPr="00FB67C2">
        <w:rPr>
          <w:b/>
          <w:snapToGrid w:val="0"/>
          <w:kern w:val="22"/>
          <w:szCs w:val="22"/>
          <w:lang w:val="fr-FR"/>
        </w:rPr>
        <w:t>1997-2016</w:t>
      </w:r>
    </w:p>
    <w:p w:rsidR="001F7176" w:rsidRPr="00FB67C2" w:rsidRDefault="001F7176" w:rsidP="0086177B">
      <w:pPr>
        <w:suppressLineNumbers/>
        <w:suppressAutoHyphens/>
        <w:kinsoku w:val="0"/>
        <w:overflowPunct w:val="0"/>
        <w:autoSpaceDE w:val="0"/>
        <w:autoSpaceDN w:val="0"/>
        <w:adjustRightInd w:val="0"/>
        <w:snapToGrid w:val="0"/>
        <w:rPr>
          <w:bCs/>
          <w:snapToGrid w:val="0"/>
          <w:kern w:val="22"/>
          <w:szCs w:val="22"/>
          <w:lang w:val="fr-FR"/>
        </w:rPr>
      </w:pPr>
    </w:p>
    <w:p w:rsidR="006B50F4" w:rsidRPr="00FB67C2" w:rsidRDefault="008B79E4" w:rsidP="0086177B">
      <w:pPr>
        <w:pStyle w:val="Titre1"/>
        <w:suppressLineNumbers/>
        <w:suppressAutoHyphens/>
        <w:kinsoku w:val="0"/>
        <w:overflowPunct w:val="0"/>
        <w:autoSpaceDE w:val="0"/>
        <w:autoSpaceDN w:val="0"/>
        <w:adjustRightInd w:val="0"/>
        <w:snapToGrid w:val="0"/>
        <w:spacing w:before="120"/>
        <w:ind w:left="1418" w:hanging="851"/>
        <w:jc w:val="left"/>
        <w:rPr>
          <w:snapToGrid w:val="0"/>
          <w:kern w:val="22"/>
          <w:szCs w:val="22"/>
          <w:lang w:val="fr-FR"/>
        </w:rPr>
      </w:pPr>
      <w:r w:rsidRPr="00FB67C2">
        <w:rPr>
          <w:snapToGrid w:val="0"/>
          <w:kern w:val="22"/>
          <w:szCs w:val="22"/>
          <w:lang w:val="fr-FR"/>
        </w:rPr>
        <w:lastRenderedPageBreak/>
        <w:t>II.</w:t>
      </w:r>
      <w:r w:rsidRPr="00FB67C2">
        <w:rPr>
          <w:snapToGrid w:val="0"/>
          <w:kern w:val="22"/>
          <w:szCs w:val="22"/>
          <w:lang w:val="fr-FR"/>
        </w:rPr>
        <w:tab/>
      </w:r>
      <w:r w:rsidR="00005B59" w:rsidRPr="00FB67C2">
        <w:rPr>
          <w:snapToGrid w:val="0"/>
          <w:kern w:val="22"/>
          <w:szCs w:val="22"/>
          <w:lang w:val="fr-FR"/>
        </w:rPr>
        <w:t>DegrÉ de</w:t>
      </w:r>
      <w:r w:rsidR="006B50F4" w:rsidRPr="00FB67C2">
        <w:rPr>
          <w:snapToGrid w:val="0"/>
          <w:kern w:val="22"/>
          <w:szCs w:val="22"/>
          <w:lang w:val="fr-FR"/>
        </w:rPr>
        <w:t xml:space="preserve"> participation </w:t>
      </w:r>
      <w:r w:rsidR="00005B59" w:rsidRPr="00FB67C2">
        <w:rPr>
          <w:snapToGrid w:val="0"/>
          <w:kern w:val="22"/>
          <w:szCs w:val="22"/>
          <w:lang w:val="fr-FR"/>
        </w:rPr>
        <w:t>DES PAYS EN DÉVELOPPEMENT</w:t>
      </w:r>
      <w:r w:rsidR="006B50F4" w:rsidRPr="00FB67C2">
        <w:rPr>
          <w:snapToGrid w:val="0"/>
          <w:kern w:val="22"/>
          <w:szCs w:val="22"/>
          <w:lang w:val="fr-FR"/>
        </w:rPr>
        <w:t xml:space="preserve"> Parties </w:t>
      </w:r>
      <w:r w:rsidR="00005B59" w:rsidRPr="00FB67C2">
        <w:rPr>
          <w:snapToGrid w:val="0"/>
          <w:kern w:val="22"/>
          <w:szCs w:val="22"/>
          <w:lang w:val="fr-FR"/>
        </w:rPr>
        <w:t>AUX RÉUNIONS DE LA</w:t>
      </w:r>
      <w:r w:rsidR="006B50F4" w:rsidRPr="00FB67C2">
        <w:rPr>
          <w:snapToGrid w:val="0"/>
          <w:kern w:val="22"/>
          <w:szCs w:val="22"/>
          <w:lang w:val="fr-FR"/>
        </w:rPr>
        <w:t xml:space="preserve"> Convention </w:t>
      </w:r>
      <w:r w:rsidR="00005B59" w:rsidRPr="00FB67C2">
        <w:rPr>
          <w:snapToGrid w:val="0"/>
          <w:kern w:val="22"/>
          <w:szCs w:val="22"/>
          <w:lang w:val="fr-FR"/>
        </w:rPr>
        <w:t>ET DE SES</w:t>
      </w:r>
      <w:r w:rsidR="006B50F4" w:rsidRPr="00FB67C2">
        <w:rPr>
          <w:snapToGrid w:val="0"/>
          <w:kern w:val="22"/>
          <w:szCs w:val="22"/>
          <w:lang w:val="fr-FR"/>
        </w:rPr>
        <w:t xml:space="preserve"> Protocol</w:t>
      </w:r>
      <w:r w:rsidR="00005B59" w:rsidRPr="00FB67C2">
        <w:rPr>
          <w:snapToGrid w:val="0"/>
          <w:kern w:val="22"/>
          <w:szCs w:val="22"/>
          <w:lang w:val="fr-FR"/>
        </w:rPr>
        <w:t>E</w:t>
      </w:r>
      <w:r w:rsidR="006B50F4" w:rsidRPr="00FB67C2">
        <w:rPr>
          <w:snapToGrid w:val="0"/>
          <w:kern w:val="22"/>
          <w:szCs w:val="22"/>
          <w:lang w:val="fr-FR"/>
        </w:rPr>
        <w:t>s</w:t>
      </w:r>
    </w:p>
    <w:p w:rsidR="00ED612E" w:rsidRPr="00FB67C2" w:rsidRDefault="00005B59" w:rsidP="0086177B">
      <w:pPr>
        <w:pStyle w:val="Titre2"/>
        <w:numPr>
          <w:ilvl w:val="0"/>
          <w:numId w:val="26"/>
        </w:numPr>
        <w:suppressLineNumbers/>
        <w:suppressAutoHyphens/>
        <w:kinsoku w:val="0"/>
        <w:overflowPunct w:val="0"/>
        <w:autoSpaceDE w:val="0"/>
        <w:autoSpaceDN w:val="0"/>
        <w:adjustRightInd w:val="0"/>
        <w:snapToGrid w:val="0"/>
        <w:rPr>
          <w:kern w:val="22"/>
          <w:szCs w:val="22"/>
          <w:lang w:val="fr-FR"/>
        </w:rPr>
      </w:pPr>
      <w:r w:rsidRPr="00FB67C2">
        <w:rPr>
          <w:snapToGrid w:val="0"/>
          <w:kern w:val="22"/>
          <w:szCs w:val="22"/>
          <w:lang w:val="fr-FR"/>
        </w:rPr>
        <w:t>Contexte</w:t>
      </w:r>
    </w:p>
    <w:p w:rsidR="00FB77CE"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Le nombre de délégués de pays en développement Parties participant aux réunions de la Convention, de ses protocoles et de</w:t>
      </w:r>
      <w:r w:rsidR="0094214C">
        <w:rPr>
          <w:kern w:val="22"/>
          <w:szCs w:val="22"/>
          <w:lang w:val="fr-FR"/>
        </w:rPr>
        <w:t xml:space="preserve"> se</w:t>
      </w:r>
      <w:r w:rsidRPr="00FB67C2">
        <w:rPr>
          <w:kern w:val="22"/>
          <w:szCs w:val="22"/>
          <w:lang w:val="fr-FR"/>
        </w:rPr>
        <w:t xml:space="preserve">s organes subsidiaires associés a varié au fil des exercices. Certaines Parties dépendent du Fonds BZ pour </w:t>
      </w:r>
      <w:r w:rsidR="0094214C">
        <w:rPr>
          <w:kern w:val="22"/>
          <w:szCs w:val="22"/>
          <w:lang w:val="fr-FR"/>
        </w:rPr>
        <w:t xml:space="preserve">leur participation </w:t>
      </w:r>
      <w:r w:rsidR="00AD31B1">
        <w:rPr>
          <w:kern w:val="22"/>
          <w:szCs w:val="22"/>
          <w:lang w:val="fr-FR"/>
        </w:rPr>
        <w:t>aux réunions</w:t>
      </w:r>
      <w:r w:rsidRPr="00FB67C2">
        <w:rPr>
          <w:kern w:val="22"/>
          <w:szCs w:val="22"/>
          <w:lang w:val="fr-FR"/>
        </w:rPr>
        <w:t xml:space="preserve"> et d’autres ont recours à des sources de financement intérieures ou à d’autres moyens de financement, tels que les fonds dédiés aux projets, pour couvrir la totalité de leur participation ou compléter les </w:t>
      </w:r>
      <w:r w:rsidR="0094214C">
        <w:rPr>
          <w:kern w:val="22"/>
          <w:szCs w:val="22"/>
          <w:lang w:val="fr-FR"/>
        </w:rPr>
        <w:t>ressources</w:t>
      </w:r>
      <w:r w:rsidRPr="00FB67C2">
        <w:rPr>
          <w:kern w:val="22"/>
          <w:szCs w:val="22"/>
          <w:lang w:val="fr-FR"/>
        </w:rPr>
        <w:t xml:space="preserve"> obtenu</w:t>
      </w:r>
      <w:r w:rsidR="0094214C">
        <w:rPr>
          <w:kern w:val="22"/>
          <w:szCs w:val="22"/>
          <w:lang w:val="fr-FR"/>
        </w:rPr>
        <w:t>e</w:t>
      </w:r>
      <w:r w:rsidRPr="00FB67C2">
        <w:rPr>
          <w:kern w:val="22"/>
          <w:szCs w:val="22"/>
          <w:lang w:val="fr-FR"/>
        </w:rPr>
        <w:t>s du Fonds BZ</w:t>
      </w:r>
      <w:r w:rsidR="00FB77CE" w:rsidRPr="00FB67C2">
        <w:rPr>
          <w:kern w:val="22"/>
          <w:szCs w:val="22"/>
          <w:lang w:val="fr-FR"/>
        </w:rPr>
        <w:t>.</w:t>
      </w:r>
    </w:p>
    <w:p w:rsidR="003C635B"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Le nombre de Parties et de participants susceptibles d’obtenir une aide du Secrétariat, sous la forme de financements du Fonds BZ, dépend des contributions reçues par le Secrétariat, du montant de l’indemnité journalière de subsistance du pays où se tient la réunion, de l</w:t>
      </w:r>
      <w:r w:rsidR="005C35B9">
        <w:rPr>
          <w:kern w:val="22"/>
          <w:szCs w:val="22"/>
          <w:lang w:val="fr-FR"/>
        </w:rPr>
        <w:t xml:space="preserve">a durée de cette dernière et </w:t>
      </w:r>
      <w:r w:rsidRPr="00FB67C2">
        <w:rPr>
          <w:kern w:val="22"/>
          <w:szCs w:val="22"/>
          <w:lang w:val="fr-FR"/>
        </w:rPr>
        <w:t xml:space="preserve">des tarifs aériens. Ces sommes ont </w:t>
      </w:r>
      <w:r w:rsidR="005C35B9">
        <w:rPr>
          <w:kern w:val="22"/>
          <w:szCs w:val="22"/>
          <w:lang w:val="fr-FR"/>
        </w:rPr>
        <w:t>toutes varié</w:t>
      </w:r>
      <w:r w:rsidRPr="00FB67C2">
        <w:rPr>
          <w:kern w:val="22"/>
          <w:szCs w:val="22"/>
          <w:lang w:val="fr-FR"/>
        </w:rPr>
        <w:t xml:space="preserve"> d’une réunion à l’autre en rendant impossible toute comparaison</w:t>
      </w:r>
      <w:r w:rsidR="00FB77CE" w:rsidRPr="00FB67C2">
        <w:rPr>
          <w:kern w:val="22"/>
          <w:szCs w:val="22"/>
          <w:lang w:val="fr-FR"/>
        </w:rPr>
        <w:t>.</w:t>
      </w:r>
    </w:p>
    <w:p w:rsidR="003C635B"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Ces quatre derniers exercices biennaux, le Fonds BZ n’a pas reçu le montant de ressources nécessaire au Secrétariat pour aider les Parties adm</w:t>
      </w:r>
      <w:r w:rsidR="000B77F9">
        <w:rPr>
          <w:kern w:val="22"/>
          <w:szCs w:val="22"/>
          <w:lang w:val="fr-FR"/>
        </w:rPr>
        <w:t xml:space="preserve">issibles à participer à </w:t>
      </w:r>
      <w:r w:rsidR="00AD31B1">
        <w:rPr>
          <w:kern w:val="22"/>
          <w:szCs w:val="22"/>
          <w:lang w:val="fr-FR"/>
        </w:rPr>
        <w:t>l’</w:t>
      </w:r>
      <w:r w:rsidR="00982D56">
        <w:rPr>
          <w:kern w:val="22"/>
          <w:szCs w:val="22"/>
          <w:lang w:val="fr-FR"/>
        </w:rPr>
        <w:t xml:space="preserve">une </w:t>
      </w:r>
      <w:r w:rsidRPr="00FB67C2">
        <w:rPr>
          <w:kern w:val="22"/>
          <w:szCs w:val="22"/>
          <w:lang w:val="fr-FR"/>
        </w:rPr>
        <w:t xml:space="preserve">des 32 réunions tenues durant la période examinée. Ainsi, conformément à la procédure d’allocation de financement à partir du Fonds d’affectation spéciale volontaire BZ, décrite dans la décision IX/34, les contributions reçues ont été réservées en priorité </w:t>
      </w:r>
      <w:r w:rsidR="00AD31B1">
        <w:rPr>
          <w:kern w:val="22"/>
          <w:szCs w:val="22"/>
          <w:lang w:val="fr-FR"/>
        </w:rPr>
        <w:t>aux</w:t>
      </w:r>
      <w:r w:rsidRPr="00FB67C2">
        <w:rPr>
          <w:kern w:val="22"/>
          <w:szCs w:val="22"/>
          <w:lang w:val="fr-FR"/>
        </w:rPr>
        <w:t xml:space="preserve"> pays les moins avancés et </w:t>
      </w:r>
      <w:r w:rsidR="00AD31B1">
        <w:rPr>
          <w:kern w:val="22"/>
          <w:szCs w:val="22"/>
          <w:lang w:val="fr-FR"/>
        </w:rPr>
        <w:t>aux</w:t>
      </w:r>
      <w:r w:rsidRPr="00FB67C2">
        <w:rPr>
          <w:kern w:val="22"/>
          <w:szCs w:val="22"/>
          <w:lang w:val="fr-FR"/>
        </w:rPr>
        <w:t xml:space="preserve"> petits États insulaires en développement sur le principe du « premier arrivé, premier servi ». Tout excédent a ensuite été alloué aux autres pays en développement et aux pays dont l’économie est en transition</w:t>
      </w:r>
      <w:r w:rsidR="003C635B" w:rsidRPr="00FB67C2">
        <w:rPr>
          <w:kern w:val="22"/>
          <w:szCs w:val="22"/>
          <w:lang w:val="fr-FR"/>
        </w:rPr>
        <w:t>.</w:t>
      </w:r>
    </w:p>
    <w:p w:rsidR="00266B64"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Afin d’assurer aux Parties</w:t>
      </w:r>
      <w:r w:rsidR="004C53AB">
        <w:rPr>
          <w:kern w:val="22"/>
          <w:szCs w:val="22"/>
          <w:lang w:val="fr-FR"/>
        </w:rPr>
        <w:t xml:space="preserve"> aidées</w:t>
      </w:r>
      <w:r w:rsidRPr="00FB67C2">
        <w:rPr>
          <w:kern w:val="22"/>
          <w:szCs w:val="22"/>
          <w:lang w:val="fr-FR"/>
        </w:rPr>
        <w:t xml:space="preserve"> une marge de manœuvre suffisante, le Secrétariat a fourni à chacun des pays admissibles l’équivalent d’un billet d’avion aller-retour et de l’indemnité journalière de subsistance applicable à la durée de la réunion </w:t>
      </w:r>
      <w:r w:rsidR="004C53AB">
        <w:rPr>
          <w:kern w:val="22"/>
          <w:szCs w:val="22"/>
          <w:lang w:val="fr-FR"/>
        </w:rPr>
        <w:t>dans le cadre</w:t>
      </w:r>
      <w:r w:rsidRPr="00FB67C2">
        <w:rPr>
          <w:kern w:val="22"/>
          <w:szCs w:val="22"/>
          <w:lang w:val="fr-FR"/>
        </w:rPr>
        <w:t xml:space="preserve"> du Fonds d’affectation spéciale volontaire BZ. Il </w:t>
      </w:r>
      <w:r w:rsidR="004C53AB">
        <w:rPr>
          <w:kern w:val="22"/>
          <w:szCs w:val="22"/>
          <w:lang w:val="fr-FR"/>
        </w:rPr>
        <w:t xml:space="preserve">a ensuite incombé </w:t>
      </w:r>
      <w:r w:rsidRPr="00FB67C2">
        <w:rPr>
          <w:kern w:val="22"/>
          <w:szCs w:val="22"/>
          <w:lang w:val="fr-FR"/>
        </w:rPr>
        <w:t xml:space="preserve">à la Partie </w:t>
      </w:r>
      <w:r w:rsidR="004C53AB">
        <w:rPr>
          <w:kern w:val="22"/>
          <w:szCs w:val="22"/>
          <w:lang w:val="fr-FR"/>
        </w:rPr>
        <w:t>de décider de son</w:t>
      </w:r>
      <w:r w:rsidRPr="00FB67C2">
        <w:rPr>
          <w:kern w:val="22"/>
          <w:szCs w:val="22"/>
          <w:lang w:val="fr-FR"/>
        </w:rPr>
        <w:t xml:space="preserve"> mode d’utilisation des ressources. Dans le cas des réunions de la Conférence des Parties, et de celles de la Conférence des Parties siégeant en tant que réunion des Parties aux protocoles, certaines Parties ont par exemple cho</w:t>
      </w:r>
      <w:r w:rsidR="004C53AB">
        <w:rPr>
          <w:kern w:val="22"/>
          <w:szCs w:val="22"/>
          <w:lang w:val="fr-FR"/>
        </w:rPr>
        <w:t>isi de déléguer un</w:t>
      </w:r>
      <w:r w:rsidR="00AD31B1">
        <w:rPr>
          <w:kern w:val="22"/>
          <w:szCs w:val="22"/>
          <w:lang w:val="fr-FR"/>
        </w:rPr>
        <w:t xml:space="preserve"> seul</w:t>
      </w:r>
      <w:r w:rsidR="004C53AB">
        <w:rPr>
          <w:kern w:val="22"/>
          <w:szCs w:val="22"/>
          <w:lang w:val="fr-FR"/>
        </w:rPr>
        <w:t xml:space="preserve"> participant responsable </w:t>
      </w:r>
      <w:r w:rsidRPr="00FB67C2">
        <w:rPr>
          <w:kern w:val="22"/>
          <w:szCs w:val="22"/>
          <w:lang w:val="fr-FR"/>
        </w:rPr>
        <w:t>des questions relatives à la Convention et à ses protocoles, tandis que d’autres ont préféré répartir les billets d’avion et les indemnités journalières de subsistance parmi leurs participants</w:t>
      </w:r>
      <w:r w:rsidR="00266B64" w:rsidRPr="00FB67C2">
        <w:rPr>
          <w:kern w:val="22"/>
          <w:szCs w:val="22"/>
          <w:lang w:val="fr-FR"/>
        </w:rPr>
        <w:t>.</w:t>
      </w:r>
    </w:p>
    <w:p w:rsidR="0062295A" w:rsidRPr="00FB67C2" w:rsidRDefault="0062295A" w:rsidP="0086177B">
      <w:pPr>
        <w:pStyle w:val="Titre2"/>
        <w:keepNext w:val="0"/>
        <w:numPr>
          <w:ilvl w:val="0"/>
          <w:numId w:val="26"/>
        </w:numPr>
        <w:suppressLineNumbers/>
        <w:suppressAutoHyphens/>
        <w:kinsoku w:val="0"/>
        <w:overflowPunct w:val="0"/>
        <w:autoSpaceDE w:val="0"/>
        <w:autoSpaceDN w:val="0"/>
        <w:adjustRightInd w:val="0"/>
        <w:snapToGrid w:val="0"/>
        <w:rPr>
          <w:kern w:val="22"/>
          <w:szCs w:val="22"/>
          <w:lang w:val="fr-FR"/>
        </w:rPr>
      </w:pPr>
      <w:r w:rsidRPr="00FB67C2">
        <w:rPr>
          <w:snapToGrid w:val="0"/>
          <w:kern w:val="22"/>
          <w:szCs w:val="22"/>
          <w:lang w:val="fr-FR"/>
        </w:rPr>
        <w:t>Participation</w:t>
      </w:r>
    </w:p>
    <w:p w:rsidR="003C635B"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Selon la base de données </w:t>
      </w:r>
      <w:r w:rsidR="00074292">
        <w:rPr>
          <w:kern w:val="22"/>
          <w:szCs w:val="22"/>
          <w:lang w:val="fr-FR"/>
        </w:rPr>
        <w:t>de</w:t>
      </w:r>
      <w:r w:rsidRPr="00FB67C2">
        <w:rPr>
          <w:kern w:val="22"/>
          <w:szCs w:val="22"/>
          <w:lang w:val="fr-FR"/>
        </w:rPr>
        <w:t xml:space="preserve"> l’enregistrement aux réunions de la Convention sur la diversité biologique, 9 205 participants de pays en développement ont assisté </w:t>
      </w:r>
      <w:r w:rsidR="00074292">
        <w:rPr>
          <w:kern w:val="22"/>
          <w:szCs w:val="22"/>
          <w:lang w:val="fr-FR"/>
        </w:rPr>
        <w:t>aux réunions</w:t>
      </w:r>
      <w:r w:rsidR="00324DA9">
        <w:rPr>
          <w:kern w:val="22"/>
          <w:szCs w:val="22"/>
          <w:lang w:val="fr-FR"/>
        </w:rPr>
        <w:t xml:space="preserve"> tenues </w:t>
      </w:r>
      <w:r w:rsidRPr="00FB67C2">
        <w:rPr>
          <w:kern w:val="22"/>
          <w:szCs w:val="22"/>
          <w:lang w:val="fr-FR"/>
        </w:rPr>
        <w:t>ces quatre derniers exercices biennaux. Le nombre moyen de délégués représentant des pays en développement Parties et des économies en transition Parties à une réunion était de 95</w:t>
      </w:r>
      <w:r w:rsidR="00324DA9">
        <w:rPr>
          <w:kern w:val="22"/>
          <w:szCs w:val="22"/>
          <w:lang w:val="fr-FR"/>
        </w:rPr>
        <w:t xml:space="preserve"> par exercice biennal. Leur </w:t>
      </w:r>
      <w:r w:rsidRPr="00FB67C2">
        <w:rPr>
          <w:kern w:val="22"/>
          <w:szCs w:val="22"/>
          <w:lang w:val="fr-FR"/>
        </w:rPr>
        <w:t xml:space="preserve">participation a varié de 86 en 2013-2014 à 101 en 2011-2012 (voir figure 2 et tableau 1). Le nombre de délégués de Parties admissibles </w:t>
      </w:r>
      <w:r w:rsidR="00324DA9">
        <w:rPr>
          <w:kern w:val="22"/>
          <w:szCs w:val="22"/>
          <w:lang w:val="fr-FR"/>
        </w:rPr>
        <w:t xml:space="preserve">et aidés </w:t>
      </w:r>
      <w:r w:rsidRPr="00FB67C2">
        <w:rPr>
          <w:kern w:val="22"/>
          <w:szCs w:val="22"/>
          <w:lang w:val="fr-FR"/>
        </w:rPr>
        <w:t>pour chacune des réunions a augmenté de 63 en 2013-2014 à 86 en 2011-2012. En moyenne, ce sont 77 délégués qui ont bénéficié de ressources par réunion</w:t>
      </w:r>
      <w:r w:rsidR="001C72CE" w:rsidRPr="00FB67C2">
        <w:rPr>
          <w:kern w:val="22"/>
          <w:szCs w:val="22"/>
          <w:lang w:val="fr-FR"/>
        </w:rPr>
        <w:t>.</w:t>
      </w:r>
    </w:p>
    <w:p w:rsidR="008952E5" w:rsidRPr="00FB67C2" w:rsidRDefault="008952E5" w:rsidP="0086177B">
      <w:pPr>
        <w:suppressLineNumbers/>
        <w:suppressAutoHyphens/>
        <w:kinsoku w:val="0"/>
        <w:overflowPunct w:val="0"/>
        <w:autoSpaceDE w:val="0"/>
        <w:autoSpaceDN w:val="0"/>
        <w:adjustRightInd w:val="0"/>
        <w:snapToGrid w:val="0"/>
        <w:rPr>
          <w:b/>
          <w:snapToGrid w:val="0"/>
          <w:color w:val="FF0000"/>
          <w:kern w:val="22"/>
          <w:szCs w:val="22"/>
          <w:lang w:val="fr-FR"/>
        </w:rPr>
      </w:pPr>
    </w:p>
    <w:p w:rsidR="008952E5" w:rsidRPr="00FB67C2" w:rsidRDefault="00242348" w:rsidP="0086177B">
      <w:pPr>
        <w:suppressLineNumbers/>
        <w:suppressAutoHyphens/>
        <w:kinsoku w:val="0"/>
        <w:overflowPunct w:val="0"/>
        <w:autoSpaceDE w:val="0"/>
        <w:autoSpaceDN w:val="0"/>
        <w:adjustRightInd w:val="0"/>
        <w:snapToGrid w:val="0"/>
        <w:jc w:val="center"/>
        <w:rPr>
          <w:b/>
          <w:snapToGrid w:val="0"/>
          <w:color w:val="FF0000"/>
          <w:kern w:val="22"/>
          <w:szCs w:val="22"/>
          <w:lang w:val="fr-FR"/>
        </w:rPr>
      </w:pPr>
      <w:r w:rsidRPr="00242348">
        <w:rPr>
          <w:noProof/>
          <w:kern w:val="22"/>
          <w:szCs w:val="22"/>
          <w:lang w:val="fr-FR" w:eastAsia="fr-FR" w:bidi="bn-BD"/>
        </w:rPr>
        <w:lastRenderedPageBreak/>
        <mc:AlternateContent>
          <mc:Choice Requires="wps">
            <w:drawing>
              <wp:anchor distT="0" distB="0" distL="114300" distR="114300" simplePos="0" relativeHeight="251659264" behindDoc="0" locked="0" layoutInCell="1" allowOverlap="1" wp14:anchorId="3591FE6A" wp14:editId="3CD9FF5A">
                <wp:simplePos x="0" y="0"/>
                <wp:positionH relativeFrom="column">
                  <wp:posOffset>1830788</wp:posOffset>
                </wp:positionH>
                <wp:positionV relativeFrom="paragraph">
                  <wp:posOffset>492981</wp:posOffset>
                </wp:positionV>
                <wp:extent cx="2374265" cy="1403985"/>
                <wp:effectExtent l="0" t="0" r="2286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074292" w:rsidRDefault="00074292">
                            <w:pPr>
                              <w:rPr>
                                <w:lang w:val="fr-FR"/>
                              </w:rPr>
                            </w:pPr>
                            <w:r>
                              <w:rPr>
                                <w:lang w:val="fr-FR"/>
                              </w:rPr>
                              <w:t>2 500 – 2 000 – 1 500 – 1 000 – 500 – 0</w:t>
                            </w:r>
                          </w:p>
                          <w:p w:rsidR="00074292" w:rsidRPr="00242348" w:rsidRDefault="00074292">
                            <w:pPr>
                              <w:rPr>
                                <w:lang w:val="fr-FR"/>
                              </w:rPr>
                            </w:pPr>
                            <w:r w:rsidRPr="00242348">
                              <w:rPr>
                                <w:lang w:val="fr-FR"/>
                              </w:rPr>
                              <w:t>Total des participants</w:t>
                            </w:r>
                          </w:p>
                          <w:p w:rsidR="00074292" w:rsidRPr="00242348" w:rsidRDefault="00074292">
                            <w:pPr>
                              <w:rPr>
                                <w:lang w:val="fr-FR"/>
                              </w:rPr>
                            </w:pPr>
                            <w:r w:rsidRPr="00242348">
                              <w:rPr>
                                <w:lang w:val="fr-FR"/>
                              </w:rPr>
                              <w:t>Participants aidés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44.15pt;margin-top:38.8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">
                <v:textbox style="mso-fit-shape-to-text:t">
                  <w:txbxContent>
                    <w:p w:rsidR="00074292" w:rsidRDefault="00074292">
                      <w:pPr>
                        <w:rPr>
                          <w:lang w:val="fr-FR"/>
                        </w:rPr>
                      </w:pPr>
                      <w:r>
                        <w:rPr>
                          <w:lang w:val="fr-FR"/>
                        </w:rPr>
                        <w:t>2 500 – 2 000 – 1 500 – 1 000 – 500 – 0</w:t>
                      </w:r>
                    </w:p>
                    <w:p w:rsidR="00074292" w:rsidRPr="00242348" w:rsidRDefault="00074292">
                      <w:pPr>
                        <w:rPr>
                          <w:lang w:val="fr-FR"/>
                        </w:rPr>
                      </w:pPr>
                      <w:r w:rsidRPr="00242348">
                        <w:rPr>
                          <w:lang w:val="fr-FR"/>
                        </w:rPr>
                        <w:t>Total des participants</w:t>
                      </w:r>
                    </w:p>
                    <w:p w:rsidR="00074292" w:rsidRPr="00242348" w:rsidRDefault="00074292">
                      <w:pPr>
                        <w:rPr>
                          <w:lang w:val="fr-FR"/>
                        </w:rPr>
                      </w:pPr>
                      <w:r w:rsidRPr="00242348">
                        <w:rPr>
                          <w:lang w:val="fr-FR"/>
                        </w:rPr>
                        <w:t>Participants aidés</w:t>
                      </w:r>
                    </w:p>
                  </w:txbxContent>
                </v:textbox>
              </v:shape>
            </w:pict>
          </mc:Fallback>
        </mc:AlternateContent>
      </w:r>
      <w:r w:rsidR="006D5D8C" w:rsidRPr="00FB67C2">
        <w:rPr>
          <w:b/>
          <w:noProof/>
          <w:snapToGrid w:val="0"/>
          <w:color w:val="FF0000"/>
          <w:kern w:val="22"/>
          <w:szCs w:val="22"/>
          <w:lang w:val="fr-FR" w:eastAsia="fr-FR" w:bidi="bn-BD"/>
        </w:rPr>
        <w:drawing>
          <wp:inline distT="0" distB="0" distL="0" distR="0" wp14:anchorId="6C64EFF1" wp14:editId="7755E729">
            <wp:extent cx="4686300" cy="28226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1804" cy="2844081"/>
                    </a:xfrm>
                    <a:prstGeom prst="rect">
                      <a:avLst/>
                    </a:prstGeom>
                    <a:noFill/>
                  </pic:spPr>
                </pic:pic>
              </a:graphicData>
            </a:graphic>
          </wp:inline>
        </w:drawing>
      </w:r>
    </w:p>
    <w:p w:rsidR="00BE752C" w:rsidRPr="00FB67C2" w:rsidRDefault="009F7CA0" w:rsidP="0086177B">
      <w:pPr>
        <w:suppressLineNumbers/>
        <w:suppressAutoHyphens/>
        <w:kinsoku w:val="0"/>
        <w:overflowPunct w:val="0"/>
        <w:autoSpaceDE w:val="0"/>
        <w:autoSpaceDN w:val="0"/>
        <w:adjustRightInd w:val="0"/>
        <w:snapToGrid w:val="0"/>
        <w:spacing w:before="120"/>
        <w:rPr>
          <w:snapToGrid w:val="0"/>
          <w:kern w:val="22"/>
          <w:szCs w:val="22"/>
          <w:lang w:val="fr-FR"/>
        </w:rPr>
      </w:pPr>
      <w:r w:rsidRPr="00FB67C2">
        <w:rPr>
          <w:b/>
          <w:bCs/>
          <w:snapToGrid w:val="0"/>
          <w:kern w:val="22"/>
          <w:szCs w:val="22"/>
          <w:lang w:val="fr-FR"/>
        </w:rPr>
        <w:t>Figure</w:t>
      </w:r>
      <w:r w:rsidR="00005B59" w:rsidRPr="00FB67C2">
        <w:rPr>
          <w:b/>
          <w:bCs/>
          <w:snapToGrid w:val="0"/>
          <w:kern w:val="22"/>
          <w:szCs w:val="22"/>
          <w:lang w:val="fr-FR"/>
        </w:rPr>
        <w:t> </w:t>
      </w:r>
      <w:r w:rsidRPr="00FB67C2">
        <w:rPr>
          <w:b/>
          <w:bCs/>
          <w:snapToGrid w:val="0"/>
          <w:kern w:val="22"/>
          <w:szCs w:val="22"/>
          <w:lang w:val="fr-FR"/>
        </w:rPr>
        <w:t>2</w:t>
      </w:r>
      <w:r w:rsidR="00C14CD2" w:rsidRPr="00FB67C2">
        <w:rPr>
          <w:b/>
          <w:bCs/>
          <w:snapToGrid w:val="0"/>
          <w:kern w:val="22"/>
          <w:szCs w:val="22"/>
          <w:lang w:val="fr-FR"/>
        </w:rPr>
        <w:t>.</w:t>
      </w:r>
      <w:r w:rsidRPr="00FB67C2">
        <w:rPr>
          <w:b/>
          <w:bCs/>
          <w:snapToGrid w:val="0"/>
          <w:kern w:val="22"/>
          <w:szCs w:val="22"/>
          <w:lang w:val="fr-FR"/>
        </w:rPr>
        <w:t xml:space="preserve"> </w:t>
      </w:r>
      <w:r w:rsidR="00005B59" w:rsidRPr="00FB67C2">
        <w:rPr>
          <w:b/>
          <w:bCs/>
          <w:snapToGrid w:val="0"/>
          <w:kern w:val="22"/>
          <w:szCs w:val="22"/>
          <w:lang w:val="fr-FR"/>
        </w:rPr>
        <w:t>Participation des délégués représentant des pays en développem</w:t>
      </w:r>
      <w:r w:rsidR="00324DA9">
        <w:rPr>
          <w:b/>
          <w:bCs/>
          <w:snapToGrid w:val="0"/>
          <w:kern w:val="22"/>
          <w:szCs w:val="22"/>
          <w:lang w:val="fr-FR"/>
        </w:rPr>
        <w:t xml:space="preserve">ent Parties aux réunions </w:t>
      </w:r>
      <w:r w:rsidR="00005B59" w:rsidRPr="00FB67C2">
        <w:rPr>
          <w:b/>
          <w:bCs/>
          <w:snapToGrid w:val="0"/>
          <w:kern w:val="22"/>
          <w:szCs w:val="22"/>
          <w:lang w:val="fr-FR"/>
        </w:rPr>
        <w:t>des quatre derniers exercices biennaux</w:t>
      </w:r>
    </w:p>
    <w:p w:rsidR="00CA1CF0" w:rsidRPr="00FB67C2" w:rsidRDefault="00CA1CF0" w:rsidP="0086177B">
      <w:pPr>
        <w:suppressLineNumbers/>
        <w:suppressAutoHyphens/>
        <w:kinsoku w:val="0"/>
        <w:overflowPunct w:val="0"/>
        <w:autoSpaceDE w:val="0"/>
        <w:autoSpaceDN w:val="0"/>
        <w:adjustRightInd w:val="0"/>
        <w:snapToGrid w:val="0"/>
        <w:rPr>
          <w:snapToGrid w:val="0"/>
          <w:kern w:val="22"/>
          <w:szCs w:val="22"/>
          <w:lang w:val="fr-FR"/>
        </w:rPr>
      </w:pPr>
    </w:p>
    <w:p w:rsidR="00603E58"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Le nombre de participants </w:t>
      </w:r>
      <w:r w:rsidR="00B8721F">
        <w:rPr>
          <w:kern w:val="22"/>
          <w:szCs w:val="22"/>
          <w:lang w:val="fr-FR"/>
        </w:rPr>
        <w:t>aidés</w:t>
      </w:r>
      <w:r w:rsidRPr="00FB67C2">
        <w:rPr>
          <w:kern w:val="22"/>
          <w:szCs w:val="22"/>
          <w:lang w:val="fr-FR"/>
        </w:rPr>
        <w:t xml:space="preserve"> </w:t>
      </w:r>
      <w:r w:rsidR="00F30FA5">
        <w:rPr>
          <w:kern w:val="22"/>
          <w:szCs w:val="22"/>
          <w:lang w:val="fr-FR"/>
        </w:rPr>
        <w:t>par le</w:t>
      </w:r>
      <w:r w:rsidRPr="00FB67C2">
        <w:rPr>
          <w:kern w:val="22"/>
          <w:szCs w:val="22"/>
          <w:lang w:val="fr-FR"/>
        </w:rPr>
        <w:t xml:space="preserve"> Fonds d’affe</w:t>
      </w:r>
      <w:r w:rsidR="00B8721F">
        <w:rPr>
          <w:kern w:val="22"/>
          <w:szCs w:val="22"/>
          <w:lang w:val="fr-FR"/>
        </w:rPr>
        <w:t>ctation spéciale volontaire BZ par rapport au</w:t>
      </w:r>
      <w:r w:rsidRPr="00FB67C2">
        <w:rPr>
          <w:kern w:val="22"/>
          <w:szCs w:val="22"/>
          <w:lang w:val="fr-FR"/>
        </w:rPr>
        <w:t xml:space="preserve"> nombre total de participants de pays en développement Parties est de 27 % en moyenne. Ce </w:t>
      </w:r>
      <w:r w:rsidR="00F30FA5">
        <w:rPr>
          <w:kern w:val="22"/>
          <w:szCs w:val="22"/>
          <w:lang w:val="fr-FR"/>
        </w:rPr>
        <w:t>chiffre</w:t>
      </w:r>
      <w:r w:rsidRPr="00FB67C2">
        <w:rPr>
          <w:kern w:val="22"/>
          <w:szCs w:val="22"/>
          <w:lang w:val="fr-FR"/>
        </w:rPr>
        <w:t xml:space="preserve"> a toutefois varié au fil des exercices. Il a par exemple été de 36 % en 2011-2012 et de 24 % en 2015-2016. Des différences notables apparaissent également lorsque les chiffres des pays en développement sont ventilés. Le pourcentage est par exemple de 65 % </w:t>
      </w:r>
      <w:r w:rsidR="00B8721F">
        <w:rPr>
          <w:kern w:val="22"/>
          <w:szCs w:val="22"/>
          <w:lang w:val="fr-FR"/>
        </w:rPr>
        <w:t xml:space="preserve">en moyenne </w:t>
      </w:r>
      <w:r w:rsidRPr="00FB67C2">
        <w:rPr>
          <w:kern w:val="22"/>
          <w:szCs w:val="22"/>
          <w:lang w:val="fr-FR"/>
        </w:rPr>
        <w:t xml:space="preserve">pour les petits États insulaires en développement </w:t>
      </w:r>
      <w:r w:rsidR="00B8721F">
        <w:rPr>
          <w:kern w:val="22"/>
          <w:szCs w:val="22"/>
          <w:lang w:val="fr-FR"/>
        </w:rPr>
        <w:t>s</w:t>
      </w:r>
      <w:r w:rsidRPr="00FB67C2">
        <w:rPr>
          <w:kern w:val="22"/>
          <w:szCs w:val="22"/>
          <w:lang w:val="fr-FR"/>
        </w:rPr>
        <w:t xml:space="preserve">ur les quatre exercices biennaux, et respectivement de 46 % et de 47 % pour les pays les moins avancés et les économies en transition. Il est de 13 % pour les autres pays en développement. Ces chiffres donnent à penser que les ressources fournies </w:t>
      </w:r>
      <w:r w:rsidR="00B8721F">
        <w:rPr>
          <w:kern w:val="22"/>
          <w:szCs w:val="22"/>
          <w:lang w:val="fr-FR"/>
        </w:rPr>
        <w:t>par le</w:t>
      </w:r>
      <w:r w:rsidRPr="00FB67C2">
        <w:rPr>
          <w:kern w:val="22"/>
          <w:szCs w:val="22"/>
          <w:lang w:val="fr-FR"/>
        </w:rPr>
        <w:t xml:space="preserve"> Fonds BZ sont essentielles à la participation des représentants de pays les moins avancés, de petits États insulaires en</w:t>
      </w:r>
      <w:r w:rsidR="00F30FA5">
        <w:rPr>
          <w:kern w:val="22"/>
          <w:szCs w:val="22"/>
          <w:lang w:val="fr-FR"/>
        </w:rPr>
        <w:t xml:space="preserve"> développement et d’</w:t>
      </w:r>
      <w:r w:rsidRPr="00FB67C2">
        <w:rPr>
          <w:kern w:val="22"/>
          <w:szCs w:val="22"/>
          <w:lang w:val="fr-FR"/>
        </w:rPr>
        <w:t>économies en transition aux réunions de la Convention et de ses protocoles</w:t>
      </w:r>
      <w:r w:rsidR="00603E58" w:rsidRPr="00FB67C2">
        <w:rPr>
          <w:kern w:val="22"/>
          <w:szCs w:val="22"/>
          <w:lang w:val="fr-FR"/>
        </w:rPr>
        <w:t>.</w:t>
      </w:r>
    </w:p>
    <w:p w:rsidR="00CA1CF0" w:rsidRPr="00FB67C2" w:rsidRDefault="00FD66A3" w:rsidP="0086177B">
      <w:pPr>
        <w:keepNext/>
        <w:suppressLineNumbers/>
        <w:suppressAutoHyphens/>
        <w:kinsoku w:val="0"/>
        <w:overflowPunct w:val="0"/>
        <w:autoSpaceDE w:val="0"/>
        <w:autoSpaceDN w:val="0"/>
        <w:adjustRightInd w:val="0"/>
        <w:snapToGrid w:val="0"/>
        <w:spacing w:before="120" w:after="120"/>
        <w:rPr>
          <w:snapToGrid w:val="0"/>
          <w:kern w:val="22"/>
          <w:szCs w:val="22"/>
          <w:lang w:val="fr-FR"/>
        </w:rPr>
      </w:pPr>
      <w:r w:rsidRPr="00FB67C2">
        <w:rPr>
          <w:b/>
          <w:bCs/>
          <w:snapToGrid w:val="0"/>
          <w:color w:val="000000"/>
          <w:kern w:val="22"/>
          <w:szCs w:val="22"/>
          <w:lang w:val="fr-FR"/>
        </w:rPr>
        <w:t>Table</w:t>
      </w:r>
      <w:r w:rsidR="00005B59" w:rsidRPr="00FB67C2">
        <w:rPr>
          <w:b/>
          <w:bCs/>
          <w:snapToGrid w:val="0"/>
          <w:color w:val="000000"/>
          <w:kern w:val="22"/>
          <w:szCs w:val="22"/>
          <w:lang w:val="fr-FR"/>
        </w:rPr>
        <w:t>au </w:t>
      </w:r>
      <w:r w:rsidRPr="00FB67C2">
        <w:rPr>
          <w:b/>
          <w:bCs/>
          <w:snapToGrid w:val="0"/>
          <w:color w:val="000000"/>
          <w:kern w:val="22"/>
          <w:szCs w:val="22"/>
          <w:lang w:val="fr-FR"/>
        </w:rPr>
        <w:t xml:space="preserve">1. Participation </w:t>
      </w:r>
      <w:r w:rsidR="00005B59" w:rsidRPr="00FB67C2">
        <w:rPr>
          <w:b/>
          <w:bCs/>
          <w:snapToGrid w:val="0"/>
          <w:color w:val="000000"/>
          <w:kern w:val="22"/>
          <w:szCs w:val="22"/>
          <w:lang w:val="fr-FR"/>
        </w:rPr>
        <w:t>de</w:t>
      </w:r>
      <w:r w:rsidR="00165287">
        <w:rPr>
          <w:b/>
          <w:bCs/>
          <w:snapToGrid w:val="0"/>
          <w:color w:val="000000"/>
          <w:kern w:val="22"/>
          <w:szCs w:val="22"/>
          <w:lang w:val="fr-FR"/>
        </w:rPr>
        <w:t>s</w:t>
      </w:r>
      <w:r w:rsidR="00005B59" w:rsidRPr="00FB67C2">
        <w:rPr>
          <w:b/>
          <w:bCs/>
          <w:snapToGrid w:val="0"/>
          <w:color w:val="000000"/>
          <w:kern w:val="22"/>
          <w:szCs w:val="22"/>
          <w:lang w:val="fr-FR"/>
        </w:rPr>
        <w:t xml:space="preserve"> représentant</w:t>
      </w:r>
      <w:r w:rsidRPr="00FB67C2">
        <w:rPr>
          <w:b/>
          <w:bCs/>
          <w:snapToGrid w:val="0"/>
          <w:color w:val="000000"/>
          <w:kern w:val="22"/>
          <w:szCs w:val="22"/>
          <w:lang w:val="fr-FR"/>
        </w:rPr>
        <w:t xml:space="preserve">s </w:t>
      </w:r>
      <w:r w:rsidR="00005B59" w:rsidRPr="00FB67C2">
        <w:rPr>
          <w:b/>
          <w:bCs/>
          <w:snapToGrid w:val="0"/>
          <w:color w:val="000000"/>
          <w:kern w:val="22"/>
          <w:szCs w:val="22"/>
          <w:lang w:val="fr-FR"/>
        </w:rPr>
        <w:t>de pays en développement</w:t>
      </w:r>
      <w:r w:rsidRPr="00FB67C2">
        <w:rPr>
          <w:b/>
          <w:bCs/>
          <w:snapToGrid w:val="0"/>
          <w:color w:val="000000"/>
          <w:kern w:val="22"/>
          <w:szCs w:val="22"/>
          <w:lang w:val="fr-FR"/>
        </w:rPr>
        <w:t xml:space="preserve"> Parties</w:t>
      </w:r>
    </w:p>
    <w:tbl>
      <w:tblPr>
        <w:tblW w:w="9465" w:type="dxa"/>
        <w:tblInd w:w="93" w:type="dxa"/>
        <w:tblLayout w:type="fixed"/>
        <w:tblLook w:val="04A0" w:firstRow="1" w:lastRow="0" w:firstColumn="1" w:lastColumn="0" w:noHBand="0" w:noVBand="1"/>
      </w:tblPr>
      <w:tblGrid>
        <w:gridCol w:w="1185"/>
        <w:gridCol w:w="2700"/>
        <w:gridCol w:w="1860"/>
        <w:gridCol w:w="1860"/>
        <w:gridCol w:w="1860"/>
      </w:tblGrid>
      <w:tr w:rsidR="000F7D21" w:rsidRPr="00FB67C2" w:rsidTr="0086177B">
        <w:trPr>
          <w:trHeight w:val="754"/>
          <w:tblHeader/>
        </w:trPr>
        <w:tc>
          <w:tcPr>
            <w:tcW w:w="11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7D21" w:rsidRPr="00FB67C2" w:rsidRDefault="00165287" w:rsidP="0086177B">
            <w:pPr>
              <w:suppressLineNumbers/>
              <w:suppressAutoHyphens/>
              <w:kinsoku w:val="0"/>
              <w:overflowPunct w:val="0"/>
              <w:autoSpaceDE w:val="0"/>
              <w:autoSpaceDN w:val="0"/>
              <w:adjustRightInd w:val="0"/>
              <w:snapToGrid w:val="0"/>
              <w:spacing w:before="40" w:after="40"/>
              <w:jc w:val="center"/>
              <w:rPr>
                <w:i/>
                <w:iCs/>
                <w:snapToGrid w:val="0"/>
                <w:color w:val="000000"/>
                <w:kern w:val="22"/>
                <w:szCs w:val="22"/>
                <w:lang w:val="fr-FR"/>
              </w:rPr>
            </w:pPr>
            <w:r>
              <w:rPr>
                <w:i/>
                <w:iCs/>
                <w:snapToGrid w:val="0"/>
                <w:color w:val="000000"/>
                <w:kern w:val="22"/>
                <w:szCs w:val="22"/>
                <w:lang w:val="fr-FR"/>
              </w:rPr>
              <w:t>Exercice biennal</w:t>
            </w:r>
          </w:p>
        </w:tc>
        <w:tc>
          <w:tcPr>
            <w:tcW w:w="2700" w:type="dxa"/>
            <w:tcBorders>
              <w:top w:val="single" w:sz="8" w:space="0" w:color="auto"/>
              <w:left w:val="nil"/>
              <w:bottom w:val="single" w:sz="8" w:space="0" w:color="auto"/>
              <w:right w:val="single" w:sz="8" w:space="0" w:color="auto"/>
            </w:tcBorders>
            <w:shd w:val="clear" w:color="auto" w:fill="auto"/>
            <w:vAlign w:val="center"/>
            <w:hideMark/>
          </w:tcPr>
          <w:p w:rsidR="000F7D21" w:rsidRPr="00FB67C2" w:rsidRDefault="00165287" w:rsidP="0086177B">
            <w:pPr>
              <w:suppressLineNumbers/>
              <w:suppressAutoHyphens/>
              <w:kinsoku w:val="0"/>
              <w:overflowPunct w:val="0"/>
              <w:autoSpaceDE w:val="0"/>
              <w:autoSpaceDN w:val="0"/>
              <w:adjustRightInd w:val="0"/>
              <w:snapToGrid w:val="0"/>
              <w:spacing w:before="40" w:after="40"/>
              <w:jc w:val="center"/>
              <w:rPr>
                <w:i/>
                <w:iCs/>
                <w:snapToGrid w:val="0"/>
                <w:color w:val="000000"/>
                <w:kern w:val="22"/>
                <w:szCs w:val="22"/>
                <w:lang w:val="fr-FR"/>
              </w:rPr>
            </w:pPr>
            <w:r>
              <w:rPr>
                <w:i/>
                <w:iCs/>
                <w:snapToGrid w:val="0"/>
                <w:color w:val="000000"/>
                <w:kern w:val="22"/>
                <w:szCs w:val="22"/>
                <w:lang w:val="fr-FR"/>
              </w:rPr>
              <w:t>Catégorie</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0F7D21" w:rsidRPr="00FB67C2" w:rsidRDefault="000F7D21" w:rsidP="0086177B">
            <w:pPr>
              <w:suppressLineNumbers/>
              <w:suppressAutoHyphens/>
              <w:kinsoku w:val="0"/>
              <w:overflowPunct w:val="0"/>
              <w:autoSpaceDE w:val="0"/>
              <w:autoSpaceDN w:val="0"/>
              <w:adjustRightInd w:val="0"/>
              <w:snapToGrid w:val="0"/>
              <w:spacing w:before="40" w:after="40"/>
              <w:jc w:val="center"/>
              <w:rPr>
                <w:i/>
                <w:iCs/>
                <w:snapToGrid w:val="0"/>
                <w:color w:val="000000"/>
                <w:kern w:val="22"/>
                <w:szCs w:val="22"/>
                <w:lang w:val="fr-FR"/>
              </w:rPr>
            </w:pPr>
            <w:r w:rsidRPr="00FB67C2">
              <w:rPr>
                <w:i/>
                <w:iCs/>
                <w:snapToGrid w:val="0"/>
                <w:color w:val="000000"/>
                <w:kern w:val="22"/>
                <w:szCs w:val="22"/>
                <w:lang w:val="fr-FR"/>
              </w:rPr>
              <w:t xml:space="preserve">Total </w:t>
            </w:r>
            <w:r w:rsidR="00165287">
              <w:rPr>
                <w:i/>
                <w:iCs/>
                <w:snapToGrid w:val="0"/>
                <w:color w:val="000000"/>
                <w:kern w:val="22"/>
                <w:szCs w:val="22"/>
                <w:lang w:val="fr-FR"/>
              </w:rPr>
              <w:t xml:space="preserve">des </w:t>
            </w:r>
            <w:r w:rsidRPr="00FB67C2">
              <w:rPr>
                <w:i/>
                <w:iCs/>
                <w:snapToGrid w:val="0"/>
                <w:color w:val="000000"/>
                <w:kern w:val="22"/>
                <w:szCs w:val="22"/>
                <w:lang w:val="fr-FR"/>
              </w:rPr>
              <w:t>participants</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0F7D21" w:rsidRPr="00FB67C2" w:rsidRDefault="000F7D21" w:rsidP="00165287">
            <w:pPr>
              <w:suppressLineNumbers/>
              <w:suppressAutoHyphens/>
              <w:kinsoku w:val="0"/>
              <w:overflowPunct w:val="0"/>
              <w:autoSpaceDE w:val="0"/>
              <w:autoSpaceDN w:val="0"/>
              <w:adjustRightInd w:val="0"/>
              <w:snapToGrid w:val="0"/>
              <w:spacing w:before="40" w:after="40"/>
              <w:jc w:val="center"/>
              <w:rPr>
                <w:i/>
                <w:iCs/>
                <w:snapToGrid w:val="0"/>
                <w:color w:val="000000"/>
                <w:kern w:val="22"/>
                <w:szCs w:val="22"/>
                <w:lang w:val="fr-FR"/>
              </w:rPr>
            </w:pPr>
            <w:r w:rsidRPr="00FB67C2">
              <w:rPr>
                <w:i/>
                <w:iCs/>
                <w:snapToGrid w:val="0"/>
                <w:color w:val="000000"/>
                <w:kern w:val="22"/>
                <w:szCs w:val="22"/>
                <w:lang w:val="fr-FR"/>
              </w:rPr>
              <w:t>Participants</w:t>
            </w:r>
            <w:r w:rsidR="00165287">
              <w:rPr>
                <w:i/>
                <w:iCs/>
                <w:snapToGrid w:val="0"/>
                <w:color w:val="000000"/>
                <w:kern w:val="22"/>
                <w:szCs w:val="22"/>
                <w:lang w:val="fr-FR"/>
              </w:rPr>
              <w:t xml:space="preserve"> aidés</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0F7D21" w:rsidRPr="00FB67C2" w:rsidRDefault="00165287" w:rsidP="00165287">
            <w:pPr>
              <w:suppressLineNumbers/>
              <w:suppressAutoHyphens/>
              <w:kinsoku w:val="0"/>
              <w:overflowPunct w:val="0"/>
              <w:autoSpaceDE w:val="0"/>
              <w:autoSpaceDN w:val="0"/>
              <w:adjustRightInd w:val="0"/>
              <w:snapToGrid w:val="0"/>
              <w:spacing w:before="40" w:after="40"/>
              <w:jc w:val="center"/>
              <w:rPr>
                <w:i/>
                <w:iCs/>
                <w:snapToGrid w:val="0"/>
                <w:color w:val="000000"/>
                <w:kern w:val="22"/>
                <w:szCs w:val="22"/>
                <w:lang w:val="fr-FR"/>
              </w:rPr>
            </w:pPr>
            <w:r>
              <w:rPr>
                <w:i/>
                <w:iCs/>
                <w:snapToGrid w:val="0"/>
                <w:color w:val="000000"/>
                <w:kern w:val="22"/>
                <w:szCs w:val="22"/>
                <w:lang w:val="fr-FR"/>
              </w:rPr>
              <w:t>P</w:t>
            </w:r>
            <w:r w:rsidR="000F7D21" w:rsidRPr="00FB67C2">
              <w:rPr>
                <w:i/>
                <w:iCs/>
                <w:snapToGrid w:val="0"/>
                <w:color w:val="000000"/>
                <w:kern w:val="22"/>
                <w:szCs w:val="22"/>
                <w:lang w:val="fr-FR"/>
              </w:rPr>
              <w:t xml:space="preserve">articipants </w:t>
            </w:r>
            <w:r>
              <w:rPr>
                <w:i/>
                <w:iCs/>
                <w:snapToGrid w:val="0"/>
                <w:color w:val="000000"/>
                <w:kern w:val="22"/>
                <w:szCs w:val="22"/>
                <w:lang w:val="fr-FR"/>
              </w:rPr>
              <w:t>aidés en pou</w:t>
            </w:r>
            <w:r w:rsidR="000F7D21" w:rsidRPr="00FB67C2">
              <w:rPr>
                <w:i/>
                <w:iCs/>
                <w:snapToGrid w:val="0"/>
                <w:color w:val="000000"/>
                <w:kern w:val="22"/>
                <w:szCs w:val="22"/>
                <w:lang w:val="fr-FR"/>
              </w:rPr>
              <w:t xml:space="preserve">rcentage </w:t>
            </w:r>
            <w:r>
              <w:rPr>
                <w:i/>
                <w:iCs/>
                <w:snapToGrid w:val="0"/>
                <w:color w:val="000000"/>
                <w:kern w:val="22"/>
                <w:szCs w:val="22"/>
                <w:lang w:val="fr-FR"/>
              </w:rPr>
              <w:t>du</w:t>
            </w:r>
            <w:r w:rsidR="000F7D21" w:rsidRPr="00FB67C2">
              <w:rPr>
                <w:i/>
                <w:iCs/>
                <w:snapToGrid w:val="0"/>
                <w:color w:val="000000"/>
                <w:kern w:val="22"/>
                <w:szCs w:val="22"/>
                <w:lang w:val="fr-FR"/>
              </w:rPr>
              <w:t xml:space="preserve"> total </w:t>
            </w:r>
            <w:r>
              <w:rPr>
                <w:i/>
                <w:iCs/>
                <w:snapToGrid w:val="0"/>
                <w:color w:val="000000"/>
                <w:kern w:val="22"/>
                <w:szCs w:val="22"/>
                <w:lang w:val="fr-FR"/>
              </w:rPr>
              <w:t xml:space="preserve">des </w:t>
            </w:r>
            <w:r w:rsidR="000F7D21" w:rsidRPr="00FB67C2">
              <w:rPr>
                <w:i/>
                <w:iCs/>
                <w:snapToGrid w:val="0"/>
                <w:color w:val="000000"/>
                <w:kern w:val="22"/>
                <w:szCs w:val="22"/>
                <w:lang w:val="fr-FR"/>
              </w:rPr>
              <w:t>participants</w:t>
            </w:r>
          </w:p>
        </w:tc>
      </w:tr>
      <w:tr w:rsidR="00463CC1" w:rsidRPr="00FB67C2" w:rsidTr="008B2E9E">
        <w:trPr>
          <w:trHeight w:val="315"/>
        </w:trPr>
        <w:tc>
          <w:tcPr>
            <w:tcW w:w="1185" w:type="dxa"/>
            <w:vMerge w:val="restart"/>
            <w:tcBorders>
              <w:top w:val="nil"/>
              <w:left w:val="single" w:sz="8" w:space="0" w:color="auto"/>
              <w:bottom w:val="single" w:sz="8" w:space="0" w:color="000000"/>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rPr>
                <w:snapToGrid w:val="0"/>
                <w:color w:val="000000"/>
                <w:kern w:val="22"/>
                <w:szCs w:val="22"/>
                <w:lang w:val="fr-FR"/>
              </w:rPr>
            </w:pPr>
            <w:r w:rsidRPr="00FB67C2">
              <w:rPr>
                <w:snapToGrid w:val="0"/>
                <w:color w:val="000000"/>
                <w:kern w:val="22"/>
                <w:szCs w:val="22"/>
                <w:lang w:val="fr-FR"/>
              </w:rPr>
              <w:t>2009-2010</w:t>
            </w: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PMA</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537</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264</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49</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PEID</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285</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175</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61</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Autres pays en développement</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w:t>
            </w:r>
            <w:r w:rsidR="00165287">
              <w:rPr>
                <w:snapToGrid w:val="0"/>
                <w:color w:val="000000"/>
                <w:kern w:val="22"/>
                <w:szCs w:val="22"/>
                <w:lang w:val="fr-FR"/>
              </w:rPr>
              <w:t> </w:t>
            </w:r>
            <w:r w:rsidRPr="00FB67C2">
              <w:rPr>
                <w:snapToGrid w:val="0"/>
                <w:color w:val="000000"/>
                <w:kern w:val="22"/>
                <w:szCs w:val="22"/>
                <w:lang w:val="fr-FR"/>
              </w:rPr>
              <w:t>616</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240</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15</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Économies e</w:t>
            </w:r>
            <w:r w:rsidR="00463CC1" w:rsidRPr="00FB67C2">
              <w:rPr>
                <w:snapToGrid w:val="0"/>
                <w:color w:val="000000"/>
                <w:kern w:val="22"/>
                <w:szCs w:val="22"/>
                <w:lang w:val="fr-FR"/>
              </w:rPr>
              <w:t>n transition</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130</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58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45</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165287">
            <w:pPr>
              <w:suppressLineNumbers/>
              <w:suppressAutoHyphens/>
              <w:kinsoku w:val="0"/>
              <w:overflowPunct w:val="0"/>
              <w:autoSpaceDE w:val="0"/>
              <w:autoSpaceDN w:val="0"/>
              <w:adjustRightInd w:val="0"/>
              <w:snapToGrid w:val="0"/>
              <w:spacing w:before="40" w:after="40"/>
              <w:jc w:val="left"/>
              <w:rPr>
                <w:b/>
                <w:bCs/>
                <w:snapToGrid w:val="0"/>
                <w:color w:val="000000"/>
                <w:kern w:val="22"/>
                <w:szCs w:val="22"/>
                <w:lang w:val="fr-FR"/>
              </w:rPr>
            </w:pPr>
            <w:r w:rsidRPr="00FB67C2">
              <w:rPr>
                <w:b/>
                <w:bCs/>
                <w:snapToGrid w:val="0"/>
                <w:color w:val="000000"/>
                <w:kern w:val="22"/>
                <w:szCs w:val="22"/>
                <w:lang w:val="fr-FR"/>
              </w:rPr>
              <w:t xml:space="preserve">Total </w:t>
            </w:r>
            <w:r w:rsidR="00165287">
              <w:rPr>
                <w:b/>
                <w:bCs/>
                <w:snapToGrid w:val="0"/>
                <w:color w:val="000000"/>
                <w:kern w:val="22"/>
                <w:szCs w:val="22"/>
                <w:lang w:val="fr-FR"/>
              </w:rPr>
              <w:t>de l’exercice</w:t>
            </w:r>
            <w:r w:rsidR="00B8721F">
              <w:rPr>
                <w:b/>
                <w:bCs/>
                <w:snapToGrid w:val="0"/>
                <w:color w:val="000000"/>
                <w:kern w:val="22"/>
                <w:szCs w:val="22"/>
                <w:lang w:val="fr-FR"/>
              </w:rPr>
              <w:t xml:space="preserve"> biennal</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0C1A57"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2</w:t>
            </w:r>
            <w:r w:rsidR="00165287">
              <w:rPr>
                <w:b/>
                <w:bCs/>
                <w:snapToGrid w:val="0"/>
                <w:color w:val="000000"/>
                <w:kern w:val="22"/>
                <w:szCs w:val="22"/>
                <w:lang w:val="fr-FR"/>
              </w:rPr>
              <w:t> </w:t>
            </w:r>
            <w:r w:rsidRPr="00FB67C2">
              <w:rPr>
                <w:b/>
                <w:bCs/>
                <w:snapToGrid w:val="0"/>
                <w:color w:val="000000"/>
                <w:kern w:val="22"/>
                <w:szCs w:val="22"/>
                <w:lang w:val="fr-FR"/>
              </w:rPr>
              <w:t>568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737</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b/>
                <w:bCs/>
                <w:snapToGrid w:val="0"/>
                <w:color w:val="000000"/>
                <w:kern w:val="22"/>
                <w:szCs w:val="22"/>
                <w:lang w:val="fr-FR"/>
              </w:rPr>
            </w:pPr>
            <w:r w:rsidRPr="00FB67C2">
              <w:rPr>
                <w:b/>
                <w:bCs/>
                <w:snapToGrid w:val="0"/>
                <w:color w:val="000000"/>
                <w:kern w:val="22"/>
                <w:szCs w:val="22"/>
                <w:lang w:val="fr-FR"/>
              </w:rPr>
              <w:t>29</w:t>
            </w:r>
            <w:r w:rsidR="00165287">
              <w:rPr>
                <w:b/>
                <w:bCs/>
                <w:snapToGrid w:val="0"/>
                <w:color w:val="000000"/>
                <w:kern w:val="22"/>
                <w:szCs w:val="22"/>
                <w:lang w:val="fr-FR"/>
              </w:rPr>
              <w:t> </w:t>
            </w:r>
            <w:r w:rsidRPr="00FB67C2">
              <w:rPr>
                <w:b/>
                <w:bCs/>
                <w:snapToGrid w:val="0"/>
                <w:color w:val="000000"/>
                <w:kern w:val="22"/>
                <w:szCs w:val="22"/>
                <w:lang w:val="fr-FR"/>
              </w:rPr>
              <w:t>%</w:t>
            </w:r>
          </w:p>
        </w:tc>
      </w:tr>
      <w:tr w:rsidR="00463CC1" w:rsidRPr="00FB67C2" w:rsidTr="008B2E9E">
        <w:trPr>
          <w:trHeight w:val="315"/>
        </w:trPr>
        <w:tc>
          <w:tcPr>
            <w:tcW w:w="1185" w:type="dxa"/>
            <w:vMerge w:val="restart"/>
            <w:tcBorders>
              <w:top w:val="nil"/>
              <w:left w:val="single" w:sz="8" w:space="0" w:color="auto"/>
              <w:bottom w:val="single" w:sz="8" w:space="0" w:color="000000"/>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rPr>
                <w:snapToGrid w:val="0"/>
                <w:color w:val="000000"/>
                <w:kern w:val="22"/>
                <w:szCs w:val="22"/>
                <w:lang w:val="fr-FR"/>
              </w:rPr>
            </w:pPr>
            <w:r w:rsidRPr="00FB67C2">
              <w:rPr>
                <w:snapToGrid w:val="0"/>
                <w:color w:val="000000"/>
                <w:kern w:val="22"/>
                <w:szCs w:val="22"/>
                <w:lang w:val="fr-FR"/>
              </w:rPr>
              <w:t>2011-2012</w:t>
            </w: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PMA</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437</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240</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55</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315"/>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PEID</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226</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163</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72</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Autres pays en développement</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w:t>
            </w:r>
            <w:r w:rsidR="00165287">
              <w:rPr>
                <w:snapToGrid w:val="0"/>
                <w:color w:val="000000"/>
                <w:kern w:val="22"/>
                <w:szCs w:val="22"/>
                <w:lang w:val="fr-FR"/>
              </w:rPr>
              <w:t> </w:t>
            </w:r>
            <w:r w:rsidRPr="00FB67C2">
              <w:rPr>
                <w:snapToGrid w:val="0"/>
                <w:color w:val="000000"/>
                <w:kern w:val="22"/>
                <w:szCs w:val="22"/>
                <w:lang w:val="fr-FR"/>
              </w:rPr>
              <w:t>206</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236</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20</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Économies en transition</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129</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71</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55</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b/>
                <w:bCs/>
                <w:snapToGrid w:val="0"/>
                <w:color w:val="000000"/>
                <w:kern w:val="22"/>
                <w:szCs w:val="22"/>
                <w:lang w:val="fr-FR"/>
              </w:rPr>
            </w:pPr>
            <w:r w:rsidRPr="00FB67C2">
              <w:rPr>
                <w:b/>
                <w:bCs/>
                <w:snapToGrid w:val="0"/>
                <w:color w:val="000000"/>
                <w:kern w:val="22"/>
                <w:szCs w:val="22"/>
                <w:lang w:val="fr-FR"/>
              </w:rPr>
              <w:t xml:space="preserve">Total </w:t>
            </w:r>
            <w:r>
              <w:rPr>
                <w:b/>
                <w:bCs/>
                <w:snapToGrid w:val="0"/>
                <w:color w:val="000000"/>
                <w:kern w:val="22"/>
                <w:szCs w:val="22"/>
                <w:lang w:val="fr-FR"/>
              </w:rPr>
              <w:t>de l’exercice</w:t>
            </w:r>
            <w:r w:rsidR="00B8721F">
              <w:rPr>
                <w:b/>
                <w:bCs/>
                <w:snapToGrid w:val="0"/>
                <w:color w:val="000000"/>
                <w:kern w:val="22"/>
                <w:szCs w:val="22"/>
                <w:lang w:val="fr-FR"/>
              </w:rPr>
              <w:t xml:space="preserve"> biennal</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1</w:t>
            </w:r>
            <w:r w:rsidR="00165287">
              <w:rPr>
                <w:b/>
                <w:bCs/>
                <w:snapToGrid w:val="0"/>
                <w:color w:val="000000"/>
                <w:kern w:val="22"/>
                <w:szCs w:val="22"/>
                <w:lang w:val="fr-FR"/>
              </w:rPr>
              <w:t> </w:t>
            </w:r>
            <w:r w:rsidRPr="00FB67C2">
              <w:rPr>
                <w:b/>
                <w:bCs/>
                <w:snapToGrid w:val="0"/>
                <w:color w:val="000000"/>
                <w:kern w:val="22"/>
                <w:szCs w:val="22"/>
                <w:lang w:val="fr-FR"/>
              </w:rPr>
              <w:t>998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710</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b/>
                <w:bCs/>
                <w:snapToGrid w:val="0"/>
                <w:color w:val="000000"/>
                <w:kern w:val="22"/>
                <w:szCs w:val="22"/>
                <w:lang w:val="fr-FR"/>
              </w:rPr>
            </w:pPr>
            <w:r w:rsidRPr="00FB67C2">
              <w:rPr>
                <w:b/>
                <w:bCs/>
                <w:snapToGrid w:val="0"/>
                <w:color w:val="000000"/>
                <w:kern w:val="22"/>
                <w:szCs w:val="22"/>
                <w:lang w:val="fr-FR"/>
              </w:rPr>
              <w:t>36</w:t>
            </w:r>
            <w:r w:rsidR="00165287">
              <w:rPr>
                <w:b/>
                <w:bCs/>
                <w:snapToGrid w:val="0"/>
                <w:color w:val="000000"/>
                <w:kern w:val="22"/>
                <w:szCs w:val="22"/>
                <w:lang w:val="fr-FR"/>
              </w:rPr>
              <w:t> </w:t>
            </w:r>
            <w:r w:rsidRPr="00FB67C2">
              <w:rPr>
                <w:b/>
                <w:bCs/>
                <w:snapToGrid w:val="0"/>
                <w:color w:val="000000"/>
                <w:kern w:val="22"/>
                <w:szCs w:val="22"/>
                <w:lang w:val="fr-FR"/>
              </w:rPr>
              <w:t>%</w:t>
            </w:r>
          </w:p>
        </w:tc>
      </w:tr>
      <w:tr w:rsidR="00463CC1" w:rsidRPr="00FB67C2" w:rsidTr="008B2E9E">
        <w:trPr>
          <w:trHeight w:val="50"/>
        </w:trPr>
        <w:tc>
          <w:tcPr>
            <w:tcW w:w="1185" w:type="dxa"/>
            <w:vMerge w:val="restart"/>
            <w:tcBorders>
              <w:top w:val="nil"/>
              <w:left w:val="single" w:sz="8" w:space="0" w:color="auto"/>
              <w:bottom w:val="single" w:sz="8" w:space="0" w:color="000000"/>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rPr>
                <w:snapToGrid w:val="0"/>
                <w:color w:val="000000"/>
                <w:kern w:val="22"/>
                <w:szCs w:val="22"/>
                <w:lang w:val="fr-FR"/>
              </w:rPr>
            </w:pPr>
            <w:r w:rsidRPr="00FB67C2">
              <w:rPr>
                <w:snapToGrid w:val="0"/>
                <w:color w:val="000000"/>
                <w:kern w:val="22"/>
                <w:szCs w:val="22"/>
                <w:lang w:val="fr-FR"/>
              </w:rPr>
              <w:t>2013-2014</w:t>
            </w: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PMA</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487</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209</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43</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PEID</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206</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145</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70</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Autres pays en développement</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w:t>
            </w:r>
            <w:r w:rsidR="00165287">
              <w:rPr>
                <w:snapToGrid w:val="0"/>
                <w:color w:val="000000"/>
                <w:kern w:val="22"/>
                <w:szCs w:val="22"/>
                <w:lang w:val="fr-FR"/>
              </w:rPr>
              <w:t> </w:t>
            </w:r>
            <w:r w:rsidRPr="00FB67C2">
              <w:rPr>
                <w:snapToGrid w:val="0"/>
                <w:color w:val="000000"/>
                <w:kern w:val="22"/>
                <w:szCs w:val="22"/>
                <w:lang w:val="fr-FR"/>
              </w:rPr>
              <w:t>424</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120</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Économies en transition</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104</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44</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42</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b/>
                <w:bCs/>
                <w:snapToGrid w:val="0"/>
                <w:color w:val="000000"/>
                <w:kern w:val="22"/>
                <w:szCs w:val="22"/>
                <w:lang w:val="fr-FR"/>
              </w:rPr>
            </w:pPr>
            <w:r w:rsidRPr="00FB67C2">
              <w:rPr>
                <w:b/>
                <w:bCs/>
                <w:snapToGrid w:val="0"/>
                <w:color w:val="000000"/>
                <w:kern w:val="22"/>
                <w:szCs w:val="22"/>
                <w:lang w:val="fr-FR"/>
              </w:rPr>
              <w:t xml:space="preserve">Total </w:t>
            </w:r>
            <w:r>
              <w:rPr>
                <w:b/>
                <w:bCs/>
                <w:snapToGrid w:val="0"/>
                <w:color w:val="000000"/>
                <w:kern w:val="22"/>
                <w:szCs w:val="22"/>
                <w:lang w:val="fr-FR"/>
              </w:rPr>
              <w:t>de l’exercice</w:t>
            </w:r>
            <w:r w:rsidR="00B8721F">
              <w:rPr>
                <w:b/>
                <w:bCs/>
                <w:snapToGrid w:val="0"/>
                <w:color w:val="000000"/>
                <w:kern w:val="22"/>
                <w:szCs w:val="22"/>
                <w:lang w:val="fr-FR"/>
              </w:rPr>
              <w:t xml:space="preserve"> biennal</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2</w:t>
            </w:r>
            <w:r w:rsidR="00165287">
              <w:rPr>
                <w:b/>
                <w:bCs/>
                <w:snapToGrid w:val="0"/>
                <w:color w:val="000000"/>
                <w:kern w:val="22"/>
                <w:szCs w:val="22"/>
                <w:lang w:val="fr-FR"/>
              </w:rPr>
              <w:t> </w:t>
            </w:r>
            <w:r w:rsidRPr="00FB67C2">
              <w:rPr>
                <w:b/>
                <w:bCs/>
                <w:snapToGrid w:val="0"/>
                <w:color w:val="000000"/>
                <w:kern w:val="22"/>
                <w:szCs w:val="22"/>
                <w:lang w:val="fr-FR"/>
              </w:rPr>
              <w:t>221</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518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b/>
                <w:bCs/>
                <w:snapToGrid w:val="0"/>
                <w:color w:val="000000"/>
                <w:kern w:val="22"/>
                <w:szCs w:val="22"/>
                <w:lang w:val="fr-FR"/>
              </w:rPr>
            </w:pPr>
            <w:r w:rsidRPr="00FB67C2">
              <w:rPr>
                <w:b/>
                <w:bCs/>
                <w:snapToGrid w:val="0"/>
                <w:color w:val="000000"/>
                <w:kern w:val="22"/>
                <w:szCs w:val="22"/>
                <w:lang w:val="fr-FR"/>
              </w:rPr>
              <w:t>23</w:t>
            </w:r>
            <w:r w:rsidR="00165287">
              <w:rPr>
                <w:b/>
                <w:bCs/>
                <w:snapToGrid w:val="0"/>
                <w:color w:val="000000"/>
                <w:kern w:val="22"/>
                <w:szCs w:val="22"/>
                <w:lang w:val="fr-FR"/>
              </w:rPr>
              <w:t> </w:t>
            </w:r>
            <w:r w:rsidRPr="00FB67C2">
              <w:rPr>
                <w:b/>
                <w:bCs/>
                <w:snapToGrid w:val="0"/>
                <w:color w:val="000000"/>
                <w:kern w:val="22"/>
                <w:szCs w:val="22"/>
                <w:lang w:val="fr-FR"/>
              </w:rPr>
              <w:t>%</w:t>
            </w:r>
          </w:p>
        </w:tc>
      </w:tr>
      <w:tr w:rsidR="00463CC1" w:rsidRPr="00FB67C2" w:rsidTr="008B2E9E">
        <w:trPr>
          <w:trHeight w:val="50"/>
        </w:trPr>
        <w:tc>
          <w:tcPr>
            <w:tcW w:w="1185" w:type="dxa"/>
            <w:vMerge w:val="restart"/>
            <w:tcBorders>
              <w:top w:val="nil"/>
              <w:left w:val="single" w:sz="8" w:space="0" w:color="auto"/>
              <w:bottom w:val="single" w:sz="8" w:space="0" w:color="000000"/>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rPr>
                <w:snapToGrid w:val="0"/>
                <w:color w:val="000000"/>
                <w:kern w:val="22"/>
                <w:szCs w:val="22"/>
                <w:lang w:val="fr-FR"/>
              </w:rPr>
            </w:pPr>
            <w:r w:rsidRPr="00FB67C2">
              <w:rPr>
                <w:snapToGrid w:val="0"/>
                <w:color w:val="000000"/>
                <w:kern w:val="22"/>
                <w:szCs w:val="22"/>
                <w:lang w:val="fr-FR"/>
              </w:rPr>
              <w:t>2015-2016</w:t>
            </w: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PMA</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478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213</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45</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315"/>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PEID</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288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165</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57</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Autres pays en développement</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w:t>
            </w:r>
            <w:r w:rsidR="00165287">
              <w:rPr>
                <w:snapToGrid w:val="0"/>
                <w:color w:val="000000"/>
                <w:kern w:val="22"/>
                <w:szCs w:val="22"/>
                <w:lang w:val="fr-FR"/>
              </w:rPr>
              <w:t> </w:t>
            </w:r>
            <w:r w:rsidRPr="00FB67C2">
              <w:rPr>
                <w:snapToGrid w:val="0"/>
                <w:color w:val="000000"/>
                <w:kern w:val="22"/>
                <w:szCs w:val="22"/>
                <w:lang w:val="fr-FR"/>
              </w:rPr>
              <w:t>514</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137</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r>
              <w:rPr>
                <w:snapToGrid w:val="0"/>
                <w:color w:val="000000"/>
                <w:kern w:val="22"/>
                <w:szCs w:val="22"/>
                <w:lang w:val="fr-FR"/>
              </w:rPr>
              <w:t>Économies en transition</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138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snapToGrid w:val="0"/>
                <w:color w:val="000000"/>
                <w:kern w:val="22"/>
                <w:szCs w:val="22"/>
                <w:lang w:val="fr-FR"/>
              </w:rPr>
            </w:pPr>
            <w:r w:rsidRPr="00FB67C2">
              <w:rPr>
                <w:snapToGrid w:val="0"/>
                <w:color w:val="000000"/>
                <w:kern w:val="22"/>
                <w:szCs w:val="22"/>
                <w:lang w:val="fr-FR"/>
              </w:rPr>
              <w:t>61</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44</w:t>
            </w:r>
            <w:r w:rsidR="00165287">
              <w:rPr>
                <w:snapToGrid w:val="0"/>
                <w:color w:val="000000"/>
                <w:kern w:val="22"/>
                <w:szCs w:val="22"/>
                <w:lang w:val="fr-FR"/>
              </w:rPr>
              <w:t> </w:t>
            </w:r>
            <w:r w:rsidRPr="00FB67C2">
              <w:rPr>
                <w:snapToGrid w:val="0"/>
                <w:color w:val="000000"/>
                <w:kern w:val="22"/>
                <w:szCs w:val="22"/>
                <w:lang w:val="fr-FR"/>
              </w:rPr>
              <w:t>%</w:t>
            </w:r>
          </w:p>
        </w:tc>
      </w:tr>
      <w:tr w:rsidR="00463CC1" w:rsidRPr="00FB67C2" w:rsidTr="008B2E9E">
        <w:trPr>
          <w:trHeight w:val="50"/>
        </w:trPr>
        <w:tc>
          <w:tcPr>
            <w:tcW w:w="1185" w:type="dxa"/>
            <w:vMerge/>
            <w:tcBorders>
              <w:top w:val="nil"/>
              <w:left w:val="single" w:sz="8" w:space="0" w:color="auto"/>
              <w:bottom w:val="single" w:sz="8" w:space="0" w:color="000000"/>
              <w:right w:val="single" w:sz="8" w:space="0" w:color="auto"/>
            </w:tcBorders>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left"/>
              <w:rPr>
                <w:snapToGrid w:val="0"/>
                <w:color w:val="000000"/>
                <w:kern w:val="22"/>
                <w:szCs w:val="22"/>
                <w:lang w:val="fr-FR"/>
              </w:rPr>
            </w:pPr>
          </w:p>
        </w:tc>
        <w:tc>
          <w:tcPr>
            <w:tcW w:w="2700" w:type="dxa"/>
            <w:tcBorders>
              <w:top w:val="nil"/>
              <w:left w:val="nil"/>
              <w:bottom w:val="single" w:sz="8" w:space="0" w:color="auto"/>
              <w:right w:val="single" w:sz="8" w:space="0" w:color="auto"/>
            </w:tcBorders>
            <w:shd w:val="clear" w:color="auto" w:fill="auto"/>
            <w:vAlign w:val="center"/>
            <w:hideMark/>
          </w:tcPr>
          <w:p w:rsidR="00463CC1" w:rsidRPr="00FB67C2" w:rsidRDefault="00165287" w:rsidP="0086177B">
            <w:pPr>
              <w:suppressLineNumbers/>
              <w:suppressAutoHyphens/>
              <w:kinsoku w:val="0"/>
              <w:overflowPunct w:val="0"/>
              <w:autoSpaceDE w:val="0"/>
              <w:autoSpaceDN w:val="0"/>
              <w:adjustRightInd w:val="0"/>
              <w:snapToGrid w:val="0"/>
              <w:spacing w:before="40" w:after="40"/>
              <w:jc w:val="left"/>
              <w:rPr>
                <w:b/>
                <w:bCs/>
                <w:snapToGrid w:val="0"/>
                <w:color w:val="000000"/>
                <w:kern w:val="22"/>
                <w:szCs w:val="22"/>
                <w:lang w:val="fr-FR"/>
              </w:rPr>
            </w:pPr>
            <w:r w:rsidRPr="00FB67C2">
              <w:rPr>
                <w:b/>
                <w:bCs/>
                <w:snapToGrid w:val="0"/>
                <w:color w:val="000000"/>
                <w:kern w:val="22"/>
                <w:szCs w:val="22"/>
                <w:lang w:val="fr-FR"/>
              </w:rPr>
              <w:t xml:space="preserve">Total </w:t>
            </w:r>
            <w:r>
              <w:rPr>
                <w:b/>
                <w:bCs/>
                <w:snapToGrid w:val="0"/>
                <w:color w:val="000000"/>
                <w:kern w:val="22"/>
                <w:szCs w:val="22"/>
                <w:lang w:val="fr-FR"/>
              </w:rPr>
              <w:t>de l’exercice</w:t>
            </w:r>
            <w:r w:rsidR="008D4D49">
              <w:rPr>
                <w:b/>
                <w:bCs/>
                <w:snapToGrid w:val="0"/>
                <w:color w:val="000000"/>
                <w:kern w:val="22"/>
                <w:szCs w:val="22"/>
                <w:lang w:val="fr-FR"/>
              </w:rPr>
              <w:t xml:space="preserve"> biennal</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2</w:t>
            </w:r>
            <w:r w:rsidR="00165287">
              <w:rPr>
                <w:b/>
                <w:bCs/>
                <w:snapToGrid w:val="0"/>
                <w:color w:val="000000"/>
                <w:kern w:val="22"/>
                <w:szCs w:val="22"/>
                <w:lang w:val="fr-FR"/>
              </w:rPr>
              <w:t> </w:t>
            </w:r>
            <w:r w:rsidRPr="00FB67C2">
              <w:rPr>
                <w:b/>
                <w:bCs/>
                <w:snapToGrid w:val="0"/>
                <w:color w:val="000000"/>
                <w:kern w:val="22"/>
                <w:szCs w:val="22"/>
                <w:lang w:val="fr-FR"/>
              </w:rPr>
              <w:t>4</w:t>
            </w:r>
            <w:r w:rsidR="000C1A57" w:rsidRPr="00FB67C2">
              <w:rPr>
                <w:b/>
                <w:bCs/>
                <w:snapToGrid w:val="0"/>
                <w:color w:val="000000"/>
                <w:kern w:val="22"/>
                <w:szCs w:val="22"/>
                <w:lang w:val="fr-FR"/>
              </w:rPr>
              <w:t>18</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576</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jc w:val="center"/>
              <w:rPr>
                <w:b/>
                <w:bCs/>
                <w:snapToGrid w:val="0"/>
                <w:color w:val="000000"/>
                <w:kern w:val="22"/>
                <w:szCs w:val="22"/>
                <w:lang w:val="fr-FR"/>
              </w:rPr>
            </w:pPr>
            <w:r w:rsidRPr="00FB67C2">
              <w:rPr>
                <w:b/>
                <w:bCs/>
                <w:snapToGrid w:val="0"/>
                <w:color w:val="000000"/>
                <w:kern w:val="22"/>
                <w:szCs w:val="22"/>
                <w:lang w:val="fr-FR"/>
              </w:rPr>
              <w:t>24</w:t>
            </w:r>
            <w:r w:rsidR="00165287">
              <w:rPr>
                <w:b/>
                <w:bCs/>
                <w:snapToGrid w:val="0"/>
                <w:color w:val="000000"/>
                <w:kern w:val="22"/>
                <w:szCs w:val="22"/>
                <w:lang w:val="fr-FR"/>
              </w:rPr>
              <w:t> </w:t>
            </w:r>
            <w:r w:rsidRPr="00FB67C2">
              <w:rPr>
                <w:b/>
                <w:bCs/>
                <w:snapToGrid w:val="0"/>
                <w:color w:val="000000"/>
                <w:kern w:val="22"/>
                <w:szCs w:val="22"/>
                <w:lang w:val="fr-FR"/>
              </w:rPr>
              <w:t>%</w:t>
            </w:r>
          </w:p>
        </w:tc>
      </w:tr>
      <w:tr w:rsidR="00463CC1" w:rsidRPr="00FB67C2" w:rsidTr="008B2E9E">
        <w:trPr>
          <w:trHeight w:val="315"/>
        </w:trPr>
        <w:tc>
          <w:tcPr>
            <w:tcW w:w="3885"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3CC1" w:rsidRPr="00FB67C2" w:rsidRDefault="00165287" w:rsidP="00165287">
            <w:pPr>
              <w:suppressLineNumbers/>
              <w:suppressAutoHyphens/>
              <w:kinsoku w:val="0"/>
              <w:overflowPunct w:val="0"/>
              <w:autoSpaceDE w:val="0"/>
              <w:autoSpaceDN w:val="0"/>
              <w:adjustRightInd w:val="0"/>
              <w:snapToGrid w:val="0"/>
              <w:spacing w:before="40" w:after="40"/>
              <w:jc w:val="left"/>
              <w:rPr>
                <w:b/>
                <w:bCs/>
                <w:snapToGrid w:val="0"/>
                <w:color w:val="000000"/>
                <w:kern w:val="22"/>
                <w:szCs w:val="22"/>
                <w:lang w:val="fr-FR"/>
              </w:rPr>
            </w:pPr>
            <w:r w:rsidRPr="00FB67C2">
              <w:rPr>
                <w:b/>
                <w:bCs/>
                <w:snapToGrid w:val="0"/>
                <w:color w:val="000000"/>
                <w:kern w:val="22"/>
                <w:szCs w:val="22"/>
                <w:lang w:val="fr-FR"/>
              </w:rPr>
              <w:t xml:space="preserve">Total </w:t>
            </w:r>
            <w:r>
              <w:rPr>
                <w:b/>
                <w:bCs/>
                <w:snapToGrid w:val="0"/>
                <w:color w:val="000000"/>
                <w:kern w:val="22"/>
                <w:szCs w:val="22"/>
                <w:lang w:val="fr-FR"/>
              </w:rPr>
              <w:t>des quatre exercices</w:t>
            </w:r>
            <w:r w:rsidR="008D4D49">
              <w:rPr>
                <w:b/>
                <w:bCs/>
                <w:snapToGrid w:val="0"/>
                <w:color w:val="000000"/>
                <w:kern w:val="22"/>
                <w:szCs w:val="22"/>
                <w:lang w:val="fr-FR"/>
              </w:rPr>
              <w:t xml:space="preserve"> biennaux</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9</w:t>
            </w:r>
            <w:r w:rsidR="00165287">
              <w:rPr>
                <w:b/>
                <w:bCs/>
                <w:snapToGrid w:val="0"/>
                <w:color w:val="000000"/>
                <w:kern w:val="22"/>
                <w:szCs w:val="22"/>
                <w:lang w:val="fr-FR"/>
              </w:rPr>
              <w:t> </w:t>
            </w:r>
            <w:r w:rsidRPr="00FB67C2">
              <w:rPr>
                <w:b/>
                <w:bCs/>
                <w:snapToGrid w:val="0"/>
                <w:color w:val="000000"/>
                <w:kern w:val="22"/>
                <w:szCs w:val="22"/>
                <w:lang w:val="fr-FR"/>
              </w:rPr>
              <w:t>205</w:t>
            </w:r>
          </w:p>
        </w:tc>
        <w:tc>
          <w:tcPr>
            <w:tcW w:w="1860" w:type="dxa"/>
            <w:tcBorders>
              <w:top w:val="nil"/>
              <w:left w:val="nil"/>
              <w:bottom w:val="single" w:sz="8" w:space="0" w:color="auto"/>
              <w:right w:val="single" w:sz="8" w:space="0" w:color="auto"/>
            </w:tcBorders>
            <w:shd w:val="clear" w:color="auto" w:fill="auto"/>
            <w:vAlign w:val="center"/>
            <w:hideMark/>
          </w:tcPr>
          <w:p w:rsidR="00463CC1" w:rsidRPr="00FB67C2" w:rsidRDefault="00463CC1" w:rsidP="0086177B">
            <w:pPr>
              <w:suppressLineNumbers/>
              <w:suppressAutoHyphens/>
              <w:kinsoku w:val="0"/>
              <w:overflowPunct w:val="0"/>
              <w:autoSpaceDE w:val="0"/>
              <w:autoSpaceDN w:val="0"/>
              <w:adjustRightInd w:val="0"/>
              <w:snapToGrid w:val="0"/>
              <w:spacing w:before="40" w:after="40"/>
              <w:jc w:val="center"/>
              <w:rPr>
                <w:b/>
                <w:bCs/>
                <w:snapToGrid w:val="0"/>
                <w:color w:val="000000"/>
                <w:kern w:val="22"/>
                <w:szCs w:val="22"/>
                <w:lang w:val="fr-FR"/>
              </w:rPr>
            </w:pPr>
            <w:r w:rsidRPr="00FB67C2">
              <w:rPr>
                <w:b/>
                <w:bCs/>
                <w:snapToGrid w:val="0"/>
                <w:color w:val="000000"/>
                <w:kern w:val="22"/>
                <w:szCs w:val="22"/>
                <w:lang w:val="fr-FR"/>
              </w:rPr>
              <w:t>2</w:t>
            </w:r>
            <w:r w:rsidR="00165287">
              <w:rPr>
                <w:b/>
                <w:bCs/>
                <w:snapToGrid w:val="0"/>
                <w:color w:val="000000"/>
                <w:kern w:val="22"/>
                <w:szCs w:val="22"/>
                <w:lang w:val="fr-FR"/>
              </w:rPr>
              <w:t> </w:t>
            </w:r>
            <w:r w:rsidRPr="00FB67C2">
              <w:rPr>
                <w:b/>
                <w:bCs/>
                <w:snapToGrid w:val="0"/>
                <w:color w:val="000000"/>
                <w:kern w:val="22"/>
                <w:szCs w:val="22"/>
                <w:lang w:val="fr-FR"/>
              </w:rPr>
              <w:t>541</w:t>
            </w:r>
          </w:p>
        </w:tc>
        <w:tc>
          <w:tcPr>
            <w:tcW w:w="1860" w:type="dxa"/>
            <w:tcBorders>
              <w:top w:val="nil"/>
              <w:left w:val="nil"/>
              <w:bottom w:val="single" w:sz="8" w:space="0" w:color="auto"/>
              <w:right w:val="single" w:sz="8" w:space="0" w:color="auto"/>
            </w:tcBorders>
            <w:shd w:val="clear" w:color="auto" w:fill="auto"/>
            <w:noWrap/>
            <w:vAlign w:val="bottom"/>
            <w:hideMark/>
          </w:tcPr>
          <w:p w:rsidR="00463CC1" w:rsidRPr="00FB67C2" w:rsidRDefault="00463CC1" w:rsidP="0086177B">
            <w:pPr>
              <w:suppressLineNumbers/>
              <w:suppressAutoHyphens/>
              <w:kinsoku w:val="0"/>
              <w:overflowPunct w:val="0"/>
              <w:autoSpaceDE w:val="0"/>
              <w:autoSpaceDN w:val="0"/>
              <w:adjustRightInd w:val="0"/>
              <w:snapToGrid w:val="0"/>
              <w:jc w:val="center"/>
              <w:rPr>
                <w:b/>
                <w:bCs/>
                <w:snapToGrid w:val="0"/>
                <w:kern w:val="22"/>
                <w:szCs w:val="22"/>
                <w:lang w:val="fr-FR"/>
              </w:rPr>
            </w:pPr>
            <w:r w:rsidRPr="00FB67C2">
              <w:rPr>
                <w:b/>
                <w:bCs/>
                <w:snapToGrid w:val="0"/>
                <w:kern w:val="22"/>
                <w:szCs w:val="22"/>
                <w:lang w:val="fr-FR"/>
              </w:rPr>
              <w:t>28</w:t>
            </w:r>
            <w:r w:rsidR="00165287">
              <w:rPr>
                <w:b/>
                <w:bCs/>
                <w:snapToGrid w:val="0"/>
                <w:kern w:val="22"/>
                <w:szCs w:val="22"/>
                <w:lang w:val="fr-FR"/>
              </w:rPr>
              <w:t> </w:t>
            </w:r>
            <w:r w:rsidRPr="00FB67C2">
              <w:rPr>
                <w:b/>
                <w:bCs/>
                <w:snapToGrid w:val="0"/>
                <w:kern w:val="22"/>
                <w:szCs w:val="22"/>
                <w:lang w:val="fr-FR"/>
              </w:rPr>
              <w:t>%</w:t>
            </w:r>
          </w:p>
        </w:tc>
      </w:tr>
    </w:tbl>
    <w:p w:rsidR="000145B5" w:rsidRPr="00FB67C2" w:rsidRDefault="000145B5" w:rsidP="0086177B">
      <w:pPr>
        <w:suppressLineNumbers/>
        <w:suppressAutoHyphens/>
        <w:kinsoku w:val="0"/>
        <w:overflowPunct w:val="0"/>
        <w:autoSpaceDE w:val="0"/>
        <w:autoSpaceDN w:val="0"/>
        <w:adjustRightInd w:val="0"/>
        <w:snapToGrid w:val="0"/>
        <w:rPr>
          <w:snapToGrid w:val="0"/>
          <w:kern w:val="22"/>
          <w:szCs w:val="22"/>
          <w:lang w:val="fr-FR"/>
        </w:rPr>
      </w:pPr>
    </w:p>
    <w:p w:rsidR="00BA3049" w:rsidRPr="00FB67C2" w:rsidRDefault="008B79E4" w:rsidP="0086177B">
      <w:pPr>
        <w:pStyle w:val="Heading1longmultiline"/>
        <w:keepNext w:val="0"/>
        <w:suppressLineNumbers/>
        <w:suppressAutoHyphens/>
        <w:kinsoku w:val="0"/>
        <w:overflowPunct w:val="0"/>
        <w:autoSpaceDE w:val="0"/>
        <w:autoSpaceDN w:val="0"/>
        <w:adjustRightInd w:val="0"/>
        <w:snapToGrid w:val="0"/>
        <w:spacing w:before="120"/>
        <w:ind w:left="1844" w:hanging="1138"/>
        <w:rPr>
          <w:snapToGrid w:val="0"/>
          <w:kern w:val="22"/>
          <w:szCs w:val="22"/>
          <w:lang w:val="fr-FR"/>
        </w:rPr>
      </w:pPr>
      <w:r w:rsidRPr="00FB67C2">
        <w:rPr>
          <w:bCs/>
          <w:snapToGrid w:val="0"/>
          <w:kern w:val="22"/>
          <w:szCs w:val="22"/>
          <w:lang w:val="fr-FR"/>
        </w:rPr>
        <w:t>I</w:t>
      </w:r>
      <w:r w:rsidR="00330882" w:rsidRPr="00FB67C2">
        <w:rPr>
          <w:bCs/>
          <w:snapToGrid w:val="0"/>
          <w:kern w:val="22"/>
          <w:szCs w:val="22"/>
          <w:lang w:val="fr-FR"/>
        </w:rPr>
        <w:t>II</w:t>
      </w:r>
      <w:r w:rsidRPr="00FB67C2">
        <w:rPr>
          <w:bCs/>
          <w:snapToGrid w:val="0"/>
          <w:kern w:val="22"/>
          <w:szCs w:val="22"/>
          <w:lang w:val="fr-FR"/>
        </w:rPr>
        <w:t>.</w:t>
      </w:r>
      <w:r w:rsidRPr="00FB67C2">
        <w:rPr>
          <w:bCs/>
          <w:snapToGrid w:val="0"/>
          <w:kern w:val="22"/>
          <w:szCs w:val="22"/>
          <w:lang w:val="fr-FR"/>
        </w:rPr>
        <w:tab/>
      </w:r>
      <w:r w:rsidR="00005B59" w:rsidRPr="00FB67C2">
        <w:rPr>
          <w:bCs/>
          <w:snapToGrid w:val="0"/>
          <w:kern w:val="22"/>
          <w:szCs w:val="22"/>
          <w:lang w:val="fr-FR"/>
        </w:rPr>
        <w:t>RÉPERCUSSIONS ÉVENTUELLES SUR L’EFFICACITÉ DU FONCTIONNEMENT DES RÉUNIONS DES</w:t>
      </w:r>
      <w:r w:rsidR="005A6E1A" w:rsidRPr="00FB67C2">
        <w:rPr>
          <w:bCs/>
          <w:snapToGrid w:val="0"/>
          <w:kern w:val="22"/>
          <w:szCs w:val="22"/>
          <w:lang w:val="fr-FR"/>
        </w:rPr>
        <w:t xml:space="preserve"> </w:t>
      </w:r>
      <w:r w:rsidR="00BA3049" w:rsidRPr="00FB67C2">
        <w:rPr>
          <w:bCs/>
          <w:snapToGrid w:val="0"/>
          <w:kern w:val="22"/>
          <w:szCs w:val="22"/>
          <w:lang w:val="fr-FR"/>
        </w:rPr>
        <w:t xml:space="preserve">Parties </w:t>
      </w:r>
      <w:r w:rsidR="00005B59" w:rsidRPr="00FB67C2">
        <w:rPr>
          <w:bCs/>
          <w:snapToGrid w:val="0"/>
          <w:kern w:val="22"/>
          <w:szCs w:val="22"/>
          <w:lang w:val="fr-FR"/>
        </w:rPr>
        <w:t>À LA</w:t>
      </w:r>
      <w:r w:rsidR="00BA3049" w:rsidRPr="00FB67C2">
        <w:rPr>
          <w:bCs/>
          <w:snapToGrid w:val="0"/>
          <w:kern w:val="22"/>
          <w:szCs w:val="22"/>
          <w:lang w:val="fr-FR"/>
        </w:rPr>
        <w:t xml:space="preserve"> Convention </w:t>
      </w:r>
      <w:r w:rsidR="00005B59" w:rsidRPr="00FB67C2">
        <w:rPr>
          <w:bCs/>
          <w:snapToGrid w:val="0"/>
          <w:kern w:val="22"/>
          <w:szCs w:val="22"/>
          <w:lang w:val="fr-FR"/>
        </w:rPr>
        <w:t>ET À SES ProtocolES</w:t>
      </w:r>
      <w:r w:rsidR="00BA3049" w:rsidRPr="00FB67C2">
        <w:rPr>
          <w:bCs/>
          <w:snapToGrid w:val="0"/>
          <w:kern w:val="22"/>
          <w:szCs w:val="22"/>
          <w:lang w:val="fr-FR"/>
        </w:rPr>
        <w:t xml:space="preserve">, </w:t>
      </w:r>
      <w:r w:rsidR="00005B59" w:rsidRPr="00FB67C2">
        <w:rPr>
          <w:bCs/>
          <w:snapToGrid w:val="0"/>
          <w:kern w:val="22"/>
          <w:szCs w:val="22"/>
          <w:lang w:val="fr-FR"/>
        </w:rPr>
        <w:t>Y COMPRIS LES RÉUNIONS intersessionS À</w:t>
      </w:r>
      <w:r w:rsidR="00BA3049" w:rsidRPr="00FB67C2">
        <w:rPr>
          <w:bCs/>
          <w:snapToGrid w:val="0"/>
          <w:kern w:val="22"/>
          <w:szCs w:val="22"/>
          <w:lang w:val="fr-FR"/>
        </w:rPr>
        <w:t xml:space="preserve"> </w:t>
      </w:r>
      <w:r w:rsidR="00005B59" w:rsidRPr="00FB67C2">
        <w:rPr>
          <w:bCs/>
          <w:snapToGrid w:val="0"/>
          <w:kern w:val="22"/>
          <w:szCs w:val="22"/>
          <w:lang w:val="fr-FR"/>
        </w:rPr>
        <w:t>COMPOSITION NON LIMITÉE</w:t>
      </w:r>
    </w:p>
    <w:p w:rsidR="009F7CA0"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Les réunions de la Conventi</w:t>
      </w:r>
      <w:r w:rsidR="005E7BFB">
        <w:rPr>
          <w:kern w:val="22"/>
          <w:szCs w:val="22"/>
          <w:lang w:val="fr-FR"/>
        </w:rPr>
        <w:t xml:space="preserve">on sur la diversité biologique et </w:t>
      </w:r>
      <w:r w:rsidRPr="00FB67C2">
        <w:rPr>
          <w:kern w:val="22"/>
          <w:szCs w:val="22"/>
          <w:lang w:val="fr-FR"/>
        </w:rPr>
        <w:t>de ses protocoles</w:t>
      </w:r>
      <w:r w:rsidR="006D7ACA">
        <w:rPr>
          <w:kern w:val="22"/>
          <w:szCs w:val="22"/>
          <w:lang w:val="fr-FR"/>
        </w:rPr>
        <w:t>,</w:t>
      </w:r>
      <w:r w:rsidR="005E7BFB">
        <w:rPr>
          <w:kern w:val="22"/>
          <w:szCs w:val="22"/>
          <w:lang w:val="fr-FR"/>
        </w:rPr>
        <w:t xml:space="preserve"> ainsi que</w:t>
      </w:r>
      <w:r w:rsidRPr="00FB67C2">
        <w:rPr>
          <w:kern w:val="22"/>
          <w:szCs w:val="22"/>
          <w:lang w:val="fr-FR"/>
        </w:rPr>
        <w:t xml:space="preserve"> leurs réunions intersessions à composition non limitée</w:t>
      </w:r>
      <w:r w:rsidR="006D7ACA">
        <w:rPr>
          <w:kern w:val="22"/>
          <w:szCs w:val="22"/>
          <w:lang w:val="fr-FR"/>
        </w:rPr>
        <w:t>,</w:t>
      </w:r>
      <w:r w:rsidRPr="00FB67C2">
        <w:rPr>
          <w:kern w:val="22"/>
          <w:szCs w:val="22"/>
          <w:lang w:val="fr-FR"/>
        </w:rPr>
        <w:t xml:space="preserve"> fonctionnent sur la base du consensus. Toute incapacité à faciliter la participation de toutes les Parties </w:t>
      </w:r>
      <w:r w:rsidR="005E7BFB">
        <w:rPr>
          <w:kern w:val="22"/>
          <w:szCs w:val="22"/>
          <w:lang w:val="fr-FR"/>
        </w:rPr>
        <w:t>à ces</w:t>
      </w:r>
      <w:r w:rsidRPr="00FB67C2">
        <w:rPr>
          <w:kern w:val="22"/>
          <w:szCs w:val="22"/>
          <w:lang w:val="fr-FR"/>
        </w:rPr>
        <w:t xml:space="preserve"> réunions risque d’affaiblir la légitimité des décisions prises par la Conféren</w:t>
      </w:r>
      <w:r w:rsidR="005E7BFB">
        <w:rPr>
          <w:kern w:val="22"/>
          <w:szCs w:val="22"/>
          <w:lang w:val="fr-FR"/>
        </w:rPr>
        <w:t>ce des Parties à la Convention et l</w:t>
      </w:r>
      <w:r w:rsidRPr="00FB67C2">
        <w:rPr>
          <w:kern w:val="22"/>
          <w:szCs w:val="22"/>
          <w:lang w:val="fr-FR"/>
        </w:rPr>
        <w:t xml:space="preserve">es réunions des Parties aux protocoles. Elle pourrait également affaiblir la légitimité des recommandations adoptées et des projets de décisions élaborés par les organes subsidiaires, </w:t>
      </w:r>
      <w:r w:rsidR="005E7BFB">
        <w:rPr>
          <w:kern w:val="22"/>
          <w:szCs w:val="22"/>
          <w:lang w:val="fr-FR"/>
        </w:rPr>
        <w:t>ce qui aggraverait</w:t>
      </w:r>
      <w:r w:rsidRPr="00FB67C2">
        <w:rPr>
          <w:kern w:val="22"/>
          <w:szCs w:val="22"/>
          <w:lang w:val="fr-FR"/>
        </w:rPr>
        <w:t xml:space="preserve"> le risque d’un réexamen de</w:t>
      </w:r>
      <w:r w:rsidR="006D7ACA">
        <w:rPr>
          <w:kern w:val="22"/>
          <w:szCs w:val="22"/>
          <w:lang w:val="fr-FR"/>
        </w:rPr>
        <w:t>s</w:t>
      </w:r>
      <w:r w:rsidRPr="00FB67C2">
        <w:rPr>
          <w:kern w:val="22"/>
          <w:szCs w:val="22"/>
          <w:lang w:val="fr-FR"/>
        </w:rPr>
        <w:t xml:space="preserve"> questions déjà examinées par ces organes dans le cadre de la Conférence des Parties ou des réunions des Parties aux protocoles</w:t>
      </w:r>
      <w:r w:rsidR="005E7BFB">
        <w:rPr>
          <w:kern w:val="22"/>
          <w:szCs w:val="22"/>
          <w:lang w:val="fr-FR"/>
        </w:rPr>
        <w:t>. Cette situation</w:t>
      </w:r>
      <w:r w:rsidRPr="00FB67C2">
        <w:rPr>
          <w:kern w:val="22"/>
          <w:szCs w:val="22"/>
          <w:lang w:val="fr-FR"/>
        </w:rPr>
        <w:t xml:space="preserve"> amoindrirait l’efficacité de l’ensemble des </w:t>
      </w:r>
      <w:r w:rsidR="005E7BFB">
        <w:rPr>
          <w:kern w:val="22"/>
          <w:szCs w:val="22"/>
          <w:lang w:val="fr-FR"/>
        </w:rPr>
        <w:t>processus</w:t>
      </w:r>
      <w:r w:rsidRPr="00FB67C2">
        <w:rPr>
          <w:kern w:val="22"/>
          <w:szCs w:val="22"/>
          <w:lang w:val="fr-FR"/>
        </w:rPr>
        <w:t>. De même, le quorum exigé pour les</w:t>
      </w:r>
      <w:r w:rsidR="005E7BFB">
        <w:rPr>
          <w:kern w:val="22"/>
          <w:szCs w:val="22"/>
          <w:lang w:val="fr-FR"/>
        </w:rPr>
        <w:t xml:space="preserve"> décisions prises par chacun des </w:t>
      </w:r>
      <w:r w:rsidRPr="00FB67C2">
        <w:rPr>
          <w:kern w:val="22"/>
          <w:szCs w:val="22"/>
          <w:lang w:val="fr-FR"/>
        </w:rPr>
        <w:t>organes est fixé aux deux tiers des Parties. Toute participation limitée compromettrait ainsi la possibilité de prendre une quelconque décision</w:t>
      </w:r>
      <w:r w:rsidR="00272F18" w:rsidRPr="00FB67C2">
        <w:rPr>
          <w:kern w:val="22"/>
          <w:szCs w:val="22"/>
          <w:lang w:val="fr-FR"/>
        </w:rPr>
        <w:t>.</w:t>
      </w:r>
    </w:p>
    <w:p w:rsidR="004F7296" w:rsidRDefault="0067398D" w:rsidP="0086177B">
      <w:pPr>
        <w:pStyle w:val="Para1"/>
        <w:numPr>
          <w:ilvl w:val="0"/>
          <w:numId w:val="0"/>
        </w:numPr>
        <w:suppressLineNumbers/>
        <w:suppressAutoHyphens/>
        <w:kinsoku w:val="0"/>
        <w:overflowPunct w:val="0"/>
        <w:autoSpaceDE w:val="0"/>
        <w:autoSpaceDN w:val="0"/>
        <w:adjustRightInd w:val="0"/>
        <w:snapToGrid w:val="0"/>
        <w:spacing w:before="240"/>
        <w:rPr>
          <w:b/>
          <w:bCs/>
          <w:color w:val="000000"/>
          <w:kern w:val="22"/>
          <w:szCs w:val="22"/>
          <w:lang w:val="fr-FR"/>
        </w:rPr>
      </w:pPr>
      <w:r w:rsidRPr="00FB67C2">
        <w:rPr>
          <w:b/>
          <w:bCs/>
          <w:color w:val="000000"/>
          <w:kern w:val="22"/>
          <w:szCs w:val="22"/>
          <w:lang w:val="fr-FR"/>
        </w:rPr>
        <w:t>Table</w:t>
      </w:r>
      <w:r w:rsidR="00005B59" w:rsidRPr="00FB67C2">
        <w:rPr>
          <w:b/>
          <w:bCs/>
          <w:color w:val="000000"/>
          <w:kern w:val="22"/>
          <w:szCs w:val="22"/>
          <w:lang w:val="fr-FR"/>
        </w:rPr>
        <w:t>au </w:t>
      </w:r>
      <w:r w:rsidRPr="00FB67C2">
        <w:rPr>
          <w:b/>
          <w:bCs/>
          <w:color w:val="000000"/>
          <w:kern w:val="22"/>
          <w:szCs w:val="22"/>
          <w:lang w:val="fr-FR"/>
        </w:rPr>
        <w:t xml:space="preserve">2 – Participation </w:t>
      </w:r>
      <w:r w:rsidR="00005B59" w:rsidRPr="00FB67C2">
        <w:rPr>
          <w:b/>
          <w:bCs/>
          <w:color w:val="000000"/>
          <w:kern w:val="22"/>
          <w:szCs w:val="22"/>
          <w:lang w:val="fr-FR"/>
        </w:rPr>
        <w:t>des pays en développement Parties aux réunions de la Convention, de ses protocoles et des organes subsidiaires et associés pour les quatre derniers exercices biennaux</w:t>
      </w:r>
      <w:r w:rsidRPr="00FB67C2">
        <w:rPr>
          <w:rStyle w:val="Appelnotedebasdep"/>
          <w:color w:val="000000"/>
          <w:kern w:val="22"/>
          <w:sz w:val="22"/>
          <w:szCs w:val="22"/>
          <w:u w:val="none"/>
          <w:vertAlign w:val="superscript"/>
          <w:lang w:val="fr-FR"/>
        </w:rPr>
        <w:footnoteReference w:id="3"/>
      </w:r>
    </w:p>
    <w:p w:rsidR="005E7BFB" w:rsidRDefault="005E7BFB" w:rsidP="0086177B">
      <w:pPr>
        <w:pStyle w:val="Para1"/>
        <w:numPr>
          <w:ilvl w:val="0"/>
          <w:numId w:val="0"/>
        </w:numPr>
        <w:suppressLineNumbers/>
        <w:suppressAutoHyphens/>
        <w:kinsoku w:val="0"/>
        <w:overflowPunct w:val="0"/>
        <w:autoSpaceDE w:val="0"/>
        <w:autoSpaceDN w:val="0"/>
        <w:adjustRightInd w:val="0"/>
        <w:snapToGrid w:val="0"/>
        <w:spacing w:before="240"/>
        <w:rPr>
          <w:b/>
          <w:bCs/>
          <w:color w:val="000000"/>
          <w:kern w:val="22"/>
          <w:szCs w:val="22"/>
          <w:lang w:val="fr-FR"/>
        </w:rPr>
      </w:pPr>
    </w:p>
    <w:p w:rsidR="005E7BFB" w:rsidRDefault="005E7BFB" w:rsidP="0086177B">
      <w:pPr>
        <w:pStyle w:val="Para1"/>
        <w:numPr>
          <w:ilvl w:val="0"/>
          <w:numId w:val="0"/>
        </w:numPr>
        <w:suppressLineNumbers/>
        <w:suppressAutoHyphens/>
        <w:kinsoku w:val="0"/>
        <w:overflowPunct w:val="0"/>
        <w:autoSpaceDE w:val="0"/>
        <w:autoSpaceDN w:val="0"/>
        <w:adjustRightInd w:val="0"/>
        <w:snapToGrid w:val="0"/>
        <w:spacing w:before="240"/>
        <w:rPr>
          <w:b/>
          <w:bCs/>
          <w:color w:val="000000"/>
          <w:kern w:val="22"/>
          <w:szCs w:val="22"/>
          <w:lang w:val="fr-FR"/>
        </w:rPr>
      </w:pPr>
    </w:p>
    <w:p w:rsidR="005E7BFB" w:rsidRPr="004F7296" w:rsidRDefault="005E7BFB" w:rsidP="0086177B">
      <w:pPr>
        <w:pStyle w:val="Para1"/>
        <w:numPr>
          <w:ilvl w:val="0"/>
          <w:numId w:val="0"/>
        </w:numPr>
        <w:suppressLineNumbers/>
        <w:suppressAutoHyphens/>
        <w:kinsoku w:val="0"/>
        <w:overflowPunct w:val="0"/>
        <w:autoSpaceDE w:val="0"/>
        <w:autoSpaceDN w:val="0"/>
        <w:adjustRightInd w:val="0"/>
        <w:snapToGrid w:val="0"/>
        <w:spacing w:before="240"/>
        <w:rPr>
          <w:b/>
          <w:bCs/>
          <w:color w:val="000000"/>
          <w:kern w:val="22"/>
          <w:szCs w:val="22"/>
          <w:lang w:val="fr-FR"/>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350"/>
        <w:gridCol w:w="1800"/>
        <w:gridCol w:w="1582"/>
        <w:gridCol w:w="1748"/>
        <w:gridCol w:w="1938"/>
      </w:tblGrid>
      <w:tr w:rsidR="003D18FA" w:rsidRPr="00FB67C2" w:rsidTr="0086177B">
        <w:trPr>
          <w:trHeight w:val="296"/>
          <w:tblHeader/>
          <w:jc w:val="center"/>
        </w:trPr>
        <w:tc>
          <w:tcPr>
            <w:tcW w:w="1080" w:type="dxa"/>
            <w:vMerge w:val="restart"/>
            <w:shd w:val="clear" w:color="auto" w:fill="auto"/>
            <w:noWrap/>
            <w:vAlign w:val="center"/>
            <w:hideMark/>
          </w:tcPr>
          <w:p w:rsidR="003D18FA" w:rsidRPr="00FB67C2" w:rsidRDefault="00165287" w:rsidP="0086177B">
            <w:pPr>
              <w:suppressLineNumbers/>
              <w:suppressAutoHyphens/>
              <w:kinsoku w:val="0"/>
              <w:overflowPunct w:val="0"/>
              <w:autoSpaceDE w:val="0"/>
              <w:autoSpaceDN w:val="0"/>
              <w:adjustRightInd w:val="0"/>
              <w:snapToGrid w:val="0"/>
              <w:jc w:val="left"/>
              <w:rPr>
                <w:i/>
                <w:iCs/>
                <w:snapToGrid w:val="0"/>
                <w:color w:val="000000"/>
                <w:kern w:val="22"/>
                <w:szCs w:val="22"/>
                <w:lang w:val="fr-FR"/>
              </w:rPr>
            </w:pPr>
            <w:r>
              <w:rPr>
                <w:i/>
                <w:iCs/>
                <w:snapToGrid w:val="0"/>
                <w:color w:val="000000"/>
                <w:kern w:val="22"/>
                <w:szCs w:val="22"/>
                <w:lang w:val="fr-FR"/>
              </w:rPr>
              <w:lastRenderedPageBreak/>
              <w:t>Exercice biennal</w:t>
            </w:r>
          </w:p>
        </w:tc>
        <w:tc>
          <w:tcPr>
            <w:tcW w:w="1350" w:type="dxa"/>
            <w:vMerge w:val="restart"/>
            <w:shd w:val="clear" w:color="auto" w:fill="auto"/>
            <w:noWrap/>
            <w:vAlign w:val="center"/>
            <w:hideMark/>
          </w:tcPr>
          <w:p w:rsidR="003D18FA" w:rsidRPr="00FB67C2" w:rsidRDefault="00165287" w:rsidP="0086177B">
            <w:pPr>
              <w:suppressLineNumbers/>
              <w:suppressAutoHyphens/>
              <w:kinsoku w:val="0"/>
              <w:overflowPunct w:val="0"/>
              <w:autoSpaceDE w:val="0"/>
              <w:autoSpaceDN w:val="0"/>
              <w:adjustRightInd w:val="0"/>
              <w:snapToGrid w:val="0"/>
              <w:jc w:val="left"/>
              <w:rPr>
                <w:i/>
                <w:iCs/>
                <w:snapToGrid w:val="0"/>
                <w:color w:val="000000"/>
                <w:kern w:val="22"/>
                <w:szCs w:val="22"/>
                <w:lang w:val="fr-FR"/>
              </w:rPr>
            </w:pPr>
            <w:r>
              <w:rPr>
                <w:i/>
                <w:iCs/>
                <w:snapToGrid w:val="0"/>
                <w:color w:val="000000"/>
                <w:kern w:val="22"/>
                <w:szCs w:val="22"/>
                <w:lang w:val="fr-FR"/>
              </w:rPr>
              <w:t>Réunion</w:t>
            </w:r>
          </w:p>
        </w:tc>
        <w:tc>
          <w:tcPr>
            <w:tcW w:w="1800" w:type="dxa"/>
            <w:vMerge w:val="restart"/>
            <w:shd w:val="clear" w:color="auto" w:fill="auto"/>
            <w:vAlign w:val="center"/>
            <w:hideMark/>
          </w:tcPr>
          <w:p w:rsidR="003D18FA" w:rsidRPr="00FB67C2" w:rsidRDefault="00242348" w:rsidP="0060751D">
            <w:pPr>
              <w:suppressLineNumbers/>
              <w:suppressAutoHyphens/>
              <w:kinsoku w:val="0"/>
              <w:overflowPunct w:val="0"/>
              <w:autoSpaceDE w:val="0"/>
              <w:autoSpaceDN w:val="0"/>
              <w:adjustRightInd w:val="0"/>
              <w:snapToGrid w:val="0"/>
              <w:jc w:val="center"/>
              <w:rPr>
                <w:i/>
                <w:iCs/>
                <w:snapToGrid w:val="0"/>
                <w:color w:val="000000"/>
                <w:kern w:val="22"/>
                <w:szCs w:val="22"/>
                <w:lang w:val="fr-FR"/>
              </w:rPr>
            </w:pPr>
            <w:r>
              <w:rPr>
                <w:i/>
                <w:iCs/>
                <w:snapToGrid w:val="0"/>
                <w:color w:val="000000"/>
                <w:kern w:val="22"/>
                <w:szCs w:val="22"/>
                <w:lang w:val="fr-FR"/>
              </w:rPr>
              <w:t>Nombre de</w:t>
            </w:r>
            <w:r w:rsidR="001751B6" w:rsidRPr="00FB67C2">
              <w:rPr>
                <w:i/>
                <w:iCs/>
                <w:snapToGrid w:val="0"/>
                <w:color w:val="000000"/>
                <w:kern w:val="22"/>
                <w:szCs w:val="22"/>
                <w:lang w:val="fr-FR"/>
              </w:rPr>
              <w:t xml:space="preserve"> </w:t>
            </w:r>
            <w:r w:rsidR="003D18FA" w:rsidRPr="00FB67C2">
              <w:rPr>
                <w:i/>
                <w:iCs/>
                <w:snapToGrid w:val="0"/>
                <w:color w:val="000000"/>
                <w:kern w:val="22"/>
                <w:szCs w:val="22"/>
                <w:lang w:val="fr-FR"/>
              </w:rPr>
              <w:t xml:space="preserve">Parties </w:t>
            </w:r>
            <w:r w:rsidR="00D17A9E" w:rsidRPr="00FB67C2">
              <w:rPr>
                <w:i/>
                <w:iCs/>
                <w:snapToGrid w:val="0"/>
                <w:color w:val="000000"/>
                <w:kern w:val="22"/>
                <w:szCs w:val="22"/>
                <w:lang w:val="fr-FR"/>
              </w:rPr>
              <w:t>(</w:t>
            </w:r>
            <w:r>
              <w:rPr>
                <w:i/>
                <w:iCs/>
                <w:snapToGrid w:val="0"/>
                <w:color w:val="000000"/>
                <w:kern w:val="22"/>
                <w:szCs w:val="22"/>
                <w:lang w:val="fr-FR"/>
              </w:rPr>
              <w:t>PMA et PEID</w:t>
            </w:r>
            <w:r w:rsidR="00D17A9E" w:rsidRPr="00FB67C2">
              <w:rPr>
                <w:i/>
                <w:iCs/>
                <w:snapToGrid w:val="0"/>
                <w:color w:val="000000"/>
                <w:kern w:val="22"/>
                <w:szCs w:val="22"/>
                <w:lang w:val="fr-FR"/>
              </w:rPr>
              <w:t xml:space="preserve">) </w:t>
            </w:r>
            <w:r>
              <w:rPr>
                <w:i/>
                <w:iCs/>
                <w:snapToGrid w:val="0"/>
                <w:color w:val="000000"/>
                <w:kern w:val="22"/>
                <w:szCs w:val="22"/>
                <w:lang w:val="fr-FR"/>
              </w:rPr>
              <w:t>admissibles et participant</w:t>
            </w:r>
            <w:r w:rsidR="0060751D">
              <w:rPr>
                <w:i/>
                <w:iCs/>
                <w:snapToGrid w:val="0"/>
                <w:color w:val="000000"/>
                <w:kern w:val="22"/>
                <w:szCs w:val="22"/>
                <w:lang w:val="fr-FR"/>
              </w:rPr>
              <w:t>es</w:t>
            </w:r>
            <w:r w:rsidR="003D18FA" w:rsidRPr="00FB67C2">
              <w:rPr>
                <w:rStyle w:val="Appelnotedebasdep"/>
                <w:i/>
                <w:iCs/>
                <w:snapToGrid w:val="0"/>
                <w:color w:val="000000"/>
                <w:kern w:val="22"/>
                <w:sz w:val="22"/>
                <w:szCs w:val="22"/>
                <w:u w:val="none"/>
                <w:vertAlign w:val="superscript"/>
                <w:lang w:val="fr-FR"/>
              </w:rPr>
              <w:footnoteReference w:id="4"/>
            </w:r>
          </w:p>
        </w:tc>
        <w:tc>
          <w:tcPr>
            <w:tcW w:w="1582" w:type="dxa"/>
            <w:vMerge w:val="restart"/>
            <w:shd w:val="clear" w:color="auto" w:fill="auto"/>
            <w:vAlign w:val="center"/>
            <w:hideMark/>
          </w:tcPr>
          <w:p w:rsidR="003D18FA" w:rsidRPr="00FB67C2" w:rsidRDefault="00242348" w:rsidP="00242348">
            <w:pPr>
              <w:suppressLineNumbers/>
              <w:suppressAutoHyphens/>
              <w:kinsoku w:val="0"/>
              <w:overflowPunct w:val="0"/>
              <w:autoSpaceDE w:val="0"/>
              <w:autoSpaceDN w:val="0"/>
              <w:adjustRightInd w:val="0"/>
              <w:snapToGrid w:val="0"/>
              <w:jc w:val="center"/>
              <w:rPr>
                <w:i/>
                <w:iCs/>
                <w:snapToGrid w:val="0"/>
                <w:color w:val="000000"/>
                <w:kern w:val="22"/>
                <w:szCs w:val="22"/>
                <w:lang w:val="fr-FR"/>
              </w:rPr>
            </w:pPr>
            <w:r>
              <w:rPr>
                <w:i/>
                <w:iCs/>
                <w:snapToGrid w:val="0"/>
                <w:color w:val="000000"/>
                <w:kern w:val="22"/>
                <w:szCs w:val="22"/>
                <w:lang w:val="fr-FR"/>
              </w:rPr>
              <w:t>Nombre de</w:t>
            </w:r>
            <w:r w:rsidRPr="00FB67C2">
              <w:rPr>
                <w:i/>
                <w:iCs/>
                <w:snapToGrid w:val="0"/>
                <w:color w:val="000000"/>
                <w:kern w:val="22"/>
                <w:szCs w:val="22"/>
                <w:lang w:val="fr-FR"/>
              </w:rPr>
              <w:t xml:space="preserve"> Parties (</w:t>
            </w:r>
            <w:r>
              <w:rPr>
                <w:i/>
                <w:iCs/>
                <w:snapToGrid w:val="0"/>
                <w:color w:val="000000"/>
                <w:kern w:val="22"/>
                <w:szCs w:val="22"/>
                <w:lang w:val="fr-FR"/>
              </w:rPr>
              <w:t>PMA et PEID</w:t>
            </w:r>
            <w:r w:rsidR="00D17A9E" w:rsidRPr="00FB67C2">
              <w:rPr>
                <w:i/>
                <w:iCs/>
                <w:snapToGrid w:val="0"/>
                <w:color w:val="000000"/>
                <w:kern w:val="22"/>
                <w:szCs w:val="22"/>
                <w:lang w:val="fr-FR"/>
              </w:rPr>
              <w:t xml:space="preserve">) </w:t>
            </w:r>
            <w:r>
              <w:rPr>
                <w:i/>
                <w:iCs/>
                <w:snapToGrid w:val="0"/>
                <w:color w:val="000000"/>
                <w:kern w:val="22"/>
                <w:szCs w:val="22"/>
                <w:lang w:val="fr-FR"/>
              </w:rPr>
              <w:t>aidé</w:t>
            </w:r>
            <w:r w:rsidR="0060751D">
              <w:rPr>
                <w:i/>
                <w:iCs/>
                <w:snapToGrid w:val="0"/>
                <w:color w:val="000000"/>
                <w:kern w:val="22"/>
                <w:szCs w:val="22"/>
                <w:lang w:val="fr-FR"/>
              </w:rPr>
              <w:t>e</w:t>
            </w:r>
            <w:r>
              <w:rPr>
                <w:i/>
                <w:iCs/>
                <w:snapToGrid w:val="0"/>
                <w:color w:val="000000"/>
                <w:kern w:val="22"/>
                <w:szCs w:val="22"/>
                <w:lang w:val="fr-FR"/>
              </w:rPr>
              <w:t>s</w:t>
            </w:r>
            <w:r w:rsidR="003D18FA" w:rsidRPr="00FB67C2">
              <w:rPr>
                <w:rStyle w:val="Appelnotedebasdep"/>
                <w:i/>
                <w:iCs/>
                <w:snapToGrid w:val="0"/>
                <w:color w:val="000000"/>
                <w:kern w:val="22"/>
                <w:sz w:val="22"/>
                <w:szCs w:val="22"/>
                <w:u w:val="none"/>
                <w:vertAlign w:val="superscript"/>
                <w:lang w:val="fr-FR"/>
              </w:rPr>
              <w:footnoteReference w:id="5"/>
            </w:r>
          </w:p>
        </w:tc>
        <w:tc>
          <w:tcPr>
            <w:tcW w:w="3686" w:type="dxa"/>
            <w:gridSpan w:val="2"/>
            <w:shd w:val="clear" w:color="auto" w:fill="auto"/>
            <w:vAlign w:val="center"/>
            <w:hideMark/>
          </w:tcPr>
          <w:p w:rsidR="003D18FA" w:rsidRPr="00FB67C2" w:rsidRDefault="00D17A9E" w:rsidP="00242348">
            <w:pPr>
              <w:suppressLineNumbers/>
              <w:suppressAutoHyphens/>
              <w:kinsoku w:val="0"/>
              <w:overflowPunct w:val="0"/>
              <w:autoSpaceDE w:val="0"/>
              <w:autoSpaceDN w:val="0"/>
              <w:adjustRightInd w:val="0"/>
              <w:snapToGrid w:val="0"/>
              <w:jc w:val="center"/>
              <w:rPr>
                <w:i/>
                <w:iCs/>
                <w:snapToGrid w:val="0"/>
                <w:color w:val="000000"/>
                <w:kern w:val="22"/>
                <w:szCs w:val="22"/>
                <w:lang w:val="fr-FR"/>
              </w:rPr>
            </w:pPr>
            <w:r w:rsidRPr="00FB67C2">
              <w:rPr>
                <w:i/>
                <w:iCs/>
                <w:snapToGrid w:val="0"/>
                <w:color w:val="000000"/>
                <w:kern w:val="22"/>
                <w:szCs w:val="22"/>
                <w:lang w:val="fr-FR"/>
              </w:rPr>
              <w:t xml:space="preserve">Parties </w:t>
            </w:r>
            <w:r w:rsidR="00242348">
              <w:rPr>
                <w:i/>
                <w:iCs/>
                <w:snapToGrid w:val="0"/>
                <w:color w:val="000000"/>
                <w:kern w:val="22"/>
                <w:szCs w:val="22"/>
                <w:lang w:val="fr-FR"/>
              </w:rPr>
              <w:t>dépendant du financement</w:t>
            </w:r>
            <w:r w:rsidR="001751B6" w:rsidRPr="00FB67C2">
              <w:rPr>
                <w:rStyle w:val="Appelnotedebasdep"/>
                <w:i/>
                <w:iCs/>
                <w:snapToGrid w:val="0"/>
                <w:color w:val="000000"/>
                <w:kern w:val="22"/>
                <w:sz w:val="22"/>
                <w:szCs w:val="22"/>
                <w:u w:val="none"/>
                <w:vertAlign w:val="superscript"/>
                <w:lang w:val="fr-FR"/>
              </w:rPr>
              <w:footnoteReference w:id="6"/>
            </w:r>
          </w:p>
        </w:tc>
      </w:tr>
      <w:tr w:rsidR="003D18FA" w:rsidRPr="00FB67C2" w:rsidTr="0086177B">
        <w:trPr>
          <w:trHeight w:val="53"/>
          <w:tblHeader/>
          <w:jc w:val="center"/>
        </w:trPr>
        <w:tc>
          <w:tcPr>
            <w:tcW w:w="1080" w:type="dxa"/>
            <w:vMerge/>
            <w:shd w:val="clear" w:color="auto" w:fill="auto"/>
            <w:noWrap/>
            <w:vAlign w:val="center"/>
          </w:tcPr>
          <w:p w:rsidR="003D18FA" w:rsidRPr="00FB67C2" w:rsidRDefault="003D18FA" w:rsidP="0086177B">
            <w:pPr>
              <w:suppressLineNumbers/>
              <w:suppressAutoHyphens/>
              <w:kinsoku w:val="0"/>
              <w:overflowPunct w:val="0"/>
              <w:autoSpaceDE w:val="0"/>
              <w:autoSpaceDN w:val="0"/>
              <w:adjustRightInd w:val="0"/>
              <w:snapToGrid w:val="0"/>
              <w:jc w:val="left"/>
              <w:rPr>
                <w:b/>
                <w:bCs/>
                <w:i/>
                <w:iCs/>
                <w:snapToGrid w:val="0"/>
                <w:color w:val="000000"/>
                <w:kern w:val="22"/>
                <w:szCs w:val="22"/>
                <w:lang w:val="fr-FR"/>
              </w:rPr>
            </w:pPr>
          </w:p>
        </w:tc>
        <w:tc>
          <w:tcPr>
            <w:tcW w:w="1350" w:type="dxa"/>
            <w:vMerge/>
            <w:shd w:val="clear" w:color="auto" w:fill="auto"/>
            <w:noWrap/>
            <w:vAlign w:val="center"/>
          </w:tcPr>
          <w:p w:rsidR="003D18FA" w:rsidRPr="00FB67C2" w:rsidRDefault="003D18FA" w:rsidP="0086177B">
            <w:pPr>
              <w:suppressLineNumbers/>
              <w:suppressAutoHyphens/>
              <w:kinsoku w:val="0"/>
              <w:overflowPunct w:val="0"/>
              <w:autoSpaceDE w:val="0"/>
              <w:autoSpaceDN w:val="0"/>
              <w:adjustRightInd w:val="0"/>
              <w:snapToGrid w:val="0"/>
              <w:jc w:val="left"/>
              <w:rPr>
                <w:i/>
                <w:iCs/>
                <w:snapToGrid w:val="0"/>
                <w:color w:val="000000"/>
                <w:kern w:val="22"/>
                <w:szCs w:val="22"/>
                <w:lang w:val="fr-FR"/>
              </w:rPr>
            </w:pPr>
          </w:p>
        </w:tc>
        <w:tc>
          <w:tcPr>
            <w:tcW w:w="1800" w:type="dxa"/>
            <w:vMerge/>
            <w:shd w:val="clear" w:color="auto" w:fill="auto"/>
            <w:vAlign w:val="center"/>
          </w:tcPr>
          <w:p w:rsidR="003D18FA" w:rsidRPr="00FB67C2" w:rsidRDefault="003D18FA" w:rsidP="0086177B">
            <w:pPr>
              <w:suppressLineNumbers/>
              <w:suppressAutoHyphens/>
              <w:kinsoku w:val="0"/>
              <w:overflowPunct w:val="0"/>
              <w:autoSpaceDE w:val="0"/>
              <w:autoSpaceDN w:val="0"/>
              <w:adjustRightInd w:val="0"/>
              <w:snapToGrid w:val="0"/>
              <w:jc w:val="center"/>
              <w:rPr>
                <w:i/>
                <w:iCs/>
                <w:snapToGrid w:val="0"/>
                <w:color w:val="000000"/>
                <w:kern w:val="22"/>
                <w:szCs w:val="22"/>
                <w:lang w:val="fr-FR"/>
              </w:rPr>
            </w:pPr>
          </w:p>
        </w:tc>
        <w:tc>
          <w:tcPr>
            <w:tcW w:w="1582" w:type="dxa"/>
            <w:vMerge/>
            <w:shd w:val="clear" w:color="auto" w:fill="auto"/>
            <w:vAlign w:val="center"/>
          </w:tcPr>
          <w:p w:rsidR="003D18FA" w:rsidRPr="00FB67C2" w:rsidRDefault="003D18FA" w:rsidP="0086177B">
            <w:pPr>
              <w:suppressLineNumbers/>
              <w:suppressAutoHyphens/>
              <w:kinsoku w:val="0"/>
              <w:overflowPunct w:val="0"/>
              <w:autoSpaceDE w:val="0"/>
              <w:autoSpaceDN w:val="0"/>
              <w:adjustRightInd w:val="0"/>
              <w:snapToGrid w:val="0"/>
              <w:jc w:val="center"/>
              <w:rPr>
                <w:i/>
                <w:iCs/>
                <w:snapToGrid w:val="0"/>
                <w:color w:val="000000"/>
                <w:kern w:val="22"/>
                <w:szCs w:val="22"/>
                <w:lang w:val="fr-FR"/>
              </w:rPr>
            </w:pPr>
          </w:p>
        </w:tc>
        <w:tc>
          <w:tcPr>
            <w:tcW w:w="1748" w:type="dxa"/>
            <w:shd w:val="clear" w:color="auto" w:fill="auto"/>
            <w:vAlign w:val="center"/>
          </w:tcPr>
          <w:p w:rsidR="003D18FA" w:rsidRPr="00FB67C2" w:rsidRDefault="00242348" w:rsidP="0086177B">
            <w:pPr>
              <w:suppressLineNumbers/>
              <w:suppressAutoHyphens/>
              <w:kinsoku w:val="0"/>
              <w:overflowPunct w:val="0"/>
              <w:autoSpaceDE w:val="0"/>
              <w:autoSpaceDN w:val="0"/>
              <w:adjustRightInd w:val="0"/>
              <w:snapToGrid w:val="0"/>
              <w:jc w:val="center"/>
              <w:rPr>
                <w:i/>
                <w:iCs/>
                <w:snapToGrid w:val="0"/>
                <w:color w:val="000000"/>
                <w:kern w:val="22"/>
                <w:szCs w:val="22"/>
                <w:lang w:val="fr-FR"/>
              </w:rPr>
            </w:pPr>
            <w:r>
              <w:rPr>
                <w:i/>
                <w:iCs/>
                <w:snapToGrid w:val="0"/>
                <w:color w:val="000000"/>
                <w:kern w:val="22"/>
                <w:szCs w:val="22"/>
                <w:lang w:val="fr-FR"/>
              </w:rPr>
              <w:t>Nombre de</w:t>
            </w:r>
            <w:r w:rsidRPr="00FB67C2">
              <w:rPr>
                <w:i/>
                <w:iCs/>
                <w:snapToGrid w:val="0"/>
                <w:color w:val="000000"/>
                <w:kern w:val="22"/>
                <w:szCs w:val="22"/>
                <w:lang w:val="fr-FR"/>
              </w:rPr>
              <w:t xml:space="preserve"> Parties (</w:t>
            </w:r>
            <w:r>
              <w:rPr>
                <w:i/>
                <w:iCs/>
                <w:snapToGrid w:val="0"/>
                <w:color w:val="000000"/>
                <w:kern w:val="22"/>
                <w:szCs w:val="22"/>
                <w:lang w:val="fr-FR"/>
              </w:rPr>
              <w:t>PMA et PEID</w:t>
            </w:r>
            <w:r w:rsidR="00D17A9E" w:rsidRPr="00FB67C2">
              <w:rPr>
                <w:i/>
                <w:iCs/>
                <w:snapToGrid w:val="0"/>
                <w:color w:val="000000"/>
                <w:kern w:val="22"/>
                <w:szCs w:val="22"/>
                <w:lang w:val="fr-FR"/>
              </w:rPr>
              <w:t xml:space="preserve">) </w:t>
            </w:r>
          </w:p>
        </w:tc>
        <w:tc>
          <w:tcPr>
            <w:tcW w:w="1938" w:type="dxa"/>
            <w:shd w:val="clear" w:color="auto" w:fill="auto"/>
            <w:vAlign w:val="center"/>
          </w:tcPr>
          <w:p w:rsidR="003D18FA" w:rsidRPr="00FB67C2" w:rsidRDefault="00242348" w:rsidP="0086177B">
            <w:pPr>
              <w:suppressLineNumbers/>
              <w:suppressAutoHyphens/>
              <w:kinsoku w:val="0"/>
              <w:overflowPunct w:val="0"/>
              <w:autoSpaceDE w:val="0"/>
              <w:autoSpaceDN w:val="0"/>
              <w:adjustRightInd w:val="0"/>
              <w:snapToGrid w:val="0"/>
              <w:jc w:val="center"/>
              <w:rPr>
                <w:i/>
                <w:iCs/>
                <w:snapToGrid w:val="0"/>
                <w:color w:val="000000"/>
                <w:kern w:val="22"/>
                <w:szCs w:val="22"/>
                <w:lang w:val="fr-FR"/>
              </w:rPr>
            </w:pPr>
            <w:r>
              <w:rPr>
                <w:i/>
                <w:iCs/>
                <w:snapToGrid w:val="0"/>
                <w:color w:val="000000"/>
                <w:kern w:val="22"/>
                <w:szCs w:val="22"/>
                <w:lang w:val="fr-FR"/>
              </w:rPr>
              <w:t>Pourcentage de</w:t>
            </w:r>
            <w:r w:rsidRPr="00FB67C2">
              <w:rPr>
                <w:i/>
                <w:iCs/>
                <w:snapToGrid w:val="0"/>
                <w:color w:val="000000"/>
                <w:kern w:val="22"/>
                <w:szCs w:val="22"/>
                <w:lang w:val="fr-FR"/>
              </w:rPr>
              <w:t xml:space="preserve"> Parties (</w:t>
            </w:r>
            <w:r>
              <w:rPr>
                <w:i/>
                <w:iCs/>
                <w:snapToGrid w:val="0"/>
                <w:color w:val="000000"/>
                <w:kern w:val="22"/>
                <w:szCs w:val="22"/>
                <w:lang w:val="fr-FR"/>
              </w:rPr>
              <w:t>PMA et PEID</w:t>
            </w:r>
            <w:r w:rsidR="00D17A9E" w:rsidRPr="00FB67C2">
              <w:rPr>
                <w:i/>
                <w:iCs/>
                <w:snapToGrid w:val="0"/>
                <w:color w:val="000000"/>
                <w:kern w:val="22"/>
                <w:szCs w:val="22"/>
                <w:lang w:val="fr-FR"/>
              </w:rPr>
              <w:t>)</w:t>
            </w:r>
          </w:p>
        </w:tc>
      </w:tr>
      <w:tr w:rsidR="003D18FA" w:rsidRPr="00FB67C2" w:rsidTr="0086177B">
        <w:trPr>
          <w:trHeight w:val="300"/>
          <w:jc w:val="center"/>
        </w:trPr>
        <w:tc>
          <w:tcPr>
            <w:tcW w:w="1080" w:type="dxa"/>
            <w:vMerge w:val="restart"/>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2009-2010</w:t>
            </w: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WGR8J-06</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84</w:t>
            </w:r>
            <w:r w:rsidR="00D17A9E" w:rsidRPr="00FB67C2">
              <w:rPr>
                <w:snapToGrid w:val="0"/>
                <w:color w:val="000000"/>
                <w:kern w:val="22"/>
                <w:szCs w:val="22"/>
                <w:lang w:val="fr-FR"/>
              </w:rPr>
              <w:t xml:space="preserve"> (45)</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83</w:t>
            </w:r>
            <w:r w:rsidR="00D17A9E" w:rsidRPr="00FB67C2">
              <w:rPr>
                <w:snapToGrid w:val="0"/>
                <w:color w:val="000000"/>
                <w:kern w:val="22"/>
                <w:szCs w:val="22"/>
                <w:lang w:val="fr-FR"/>
              </w:rPr>
              <w:t xml:space="preserve"> (45)</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64</w:t>
            </w:r>
            <w:r w:rsidR="00D17A9E" w:rsidRPr="00FB67C2">
              <w:rPr>
                <w:snapToGrid w:val="0"/>
                <w:color w:val="000000"/>
                <w:kern w:val="22"/>
                <w:szCs w:val="22"/>
                <w:lang w:val="fr-FR"/>
              </w:rPr>
              <w:t xml:space="preserve"> (42) </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76</w:t>
            </w:r>
            <w:r w:rsidR="00242348">
              <w:rPr>
                <w:snapToGrid w:val="0"/>
                <w:color w:val="000000"/>
                <w:kern w:val="22"/>
                <w:szCs w:val="22"/>
                <w:lang w:val="fr-FR"/>
              </w:rPr>
              <w:t> </w:t>
            </w:r>
            <w:r w:rsidRPr="00FB67C2">
              <w:rPr>
                <w:snapToGrid w:val="0"/>
                <w:color w:val="000000"/>
                <w:kern w:val="22"/>
                <w:szCs w:val="22"/>
                <w:lang w:val="fr-FR"/>
              </w:rPr>
              <w:t>%</w:t>
            </w:r>
            <w:r w:rsidR="00D17A9E" w:rsidRPr="00FB67C2">
              <w:rPr>
                <w:snapToGrid w:val="0"/>
                <w:color w:val="000000"/>
                <w:kern w:val="22"/>
                <w:szCs w:val="22"/>
                <w:lang w:val="fr-FR"/>
              </w:rPr>
              <w:t xml:space="preserve"> (93</w:t>
            </w:r>
            <w:r w:rsidR="00242348">
              <w:rPr>
                <w:snapToGrid w:val="0"/>
                <w:color w:val="000000"/>
                <w:kern w:val="22"/>
                <w:szCs w:val="22"/>
                <w:lang w:val="fr-FR"/>
              </w:rPr>
              <w:t> </w:t>
            </w:r>
            <w:r w:rsidR="00D17A9E"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ABSWG-07</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94</w:t>
            </w:r>
            <w:r w:rsidR="007847E7" w:rsidRPr="00FB67C2">
              <w:rPr>
                <w:snapToGrid w:val="0"/>
                <w:color w:val="000000"/>
                <w:kern w:val="22"/>
                <w:szCs w:val="22"/>
                <w:lang w:val="fr-FR"/>
              </w:rPr>
              <w:t xml:space="preserve"> (40)</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85</w:t>
            </w:r>
            <w:r w:rsidR="007847E7" w:rsidRPr="00FB67C2">
              <w:rPr>
                <w:snapToGrid w:val="0"/>
                <w:color w:val="000000"/>
                <w:kern w:val="22"/>
                <w:szCs w:val="22"/>
                <w:lang w:val="fr-FR"/>
              </w:rPr>
              <w:t xml:space="preserve"> (39)</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59</w:t>
            </w:r>
            <w:r w:rsidR="007847E7" w:rsidRPr="00FB67C2">
              <w:rPr>
                <w:snapToGrid w:val="0"/>
                <w:color w:val="000000"/>
                <w:kern w:val="22"/>
                <w:szCs w:val="22"/>
                <w:lang w:val="fr-FR"/>
              </w:rPr>
              <w:t xml:space="preserve"> (33)</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63</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(83</w:t>
            </w:r>
            <w:r w:rsidR="00242348">
              <w:rPr>
                <w:snapToGrid w:val="0"/>
                <w:color w:val="000000"/>
                <w:kern w:val="22"/>
                <w:szCs w:val="22"/>
                <w:lang w:val="fr-FR"/>
              </w:rPr>
              <w:t> </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ABSWG-08</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93</w:t>
            </w:r>
            <w:r w:rsidR="007847E7" w:rsidRPr="00FB67C2">
              <w:rPr>
                <w:snapToGrid w:val="0"/>
                <w:color w:val="000000"/>
                <w:kern w:val="22"/>
                <w:szCs w:val="22"/>
                <w:lang w:val="fr-FR"/>
              </w:rPr>
              <w:t xml:space="preserve"> (44)</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b/>
                <w:snapToGrid w:val="0"/>
                <w:color w:val="000000"/>
                <w:kern w:val="22"/>
                <w:szCs w:val="22"/>
                <w:lang w:val="fr-FR"/>
              </w:rPr>
            </w:pPr>
            <w:r w:rsidRPr="00FB67C2">
              <w:rPr>
                <w:snapToGrid w:val="0"/>
                <w:color w:val="000000"/>
                <w:kern w:val="22"/>
                <w:szCs w:val="22"/>
                <w:lang w:val="fr-FR"/>
              </w:rPr>
              <w:t>83</w:t>
            </w:r>
            <w:r w:rsidR="007847E7" w:rsidRPr="00FB67C2">
              <w:rPr>
                <w:snapToGrid w:val="0"/>
                <w:color w:val="000000"/>
                <w:kern w:val="22"/>
                <w:szCs w:val="22"/>
                <w:lang w:val="fr-FR"/>
              </w:rPr>
              <w:t xml:space="preserve"> (43)</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64</w:t>
            </w:r>
            <w:r w:rsidR="007847E7" w:rsidRPr="00FB67C2">
              <w:rPr>
                <w:snapToGrid w:val="0"/>
                <w:color w:val="000000"/>
                <w:kern w:val="22"/>
                <w:szCs w:val="22"/>
                <w:lang w:val="fr-FR"/>
              </w:rPr>
              <w:t xml:space="preserve"> (39)</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69</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(87</w:t>
            </w:r>
            <w:r w:rsidR="00242348">
              <w:rPr>
                <w:snapToGrid w:val="0"/>
                <w:color w:val="000000"/>
                <w:kern w:val="22"/>
                <w:szCs w:val="22"/>
                <w:lang w:val="fr-FR"/>
              </w:rPr>
              <w:t> </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COP-10</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144</w:t>
            </w:r>
            <w:r w:rsidR="007847E7" w:rsidRPr="00FB67C2">
              <w:rPr>
                <w:snapToGrid w:val="0"/>
                <w:color w:val="000000"/>
                <w:kern w:val="22"/>
                <w:szCs w:val="22"/>
                <w:lang w:val="fr-FR"/>
              </w:rPr>
              <w:t xml:space="preserve"> (45)</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118</w:t>
            </w:r>
            <w:r w:rsidR="007847E7" w:rsidRPr="00FB67C2">
              <w:rPr>
                <w:snapToGrid w:val="0"/>
                <w:color w:val="000000"/>
                <w:kern w:val="22"/>
                <w:szCs w:val="22"/>
                <w:lang w:val="fr-FR"/>
              </w:rPr>
              <w:t xml:space="preserve"> (42)</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27</w:t>
            </w:r>
            <w:r w:rsidR="007847E7" w:rsidRPr="00FB67C2">
              <w:rPr>
                <w:snapToGrid w:val="0"/>
                <w:color w:val="000000"/>
                <w:kern w:val="22"/>
                <w:szCs w:val="22"/>
                <w:lang w:val="fr-FR"/>
              </w:rPr>
              <w:t xml:space="preserve"> (5)</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19</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(13</w:t>
            </w:r>
            <w:r w:rsidR="00242348">
              <w:rPr>
                <w:snapToGrid w:val="0"/>
                <w:color w:val="000000"/>
                <w:kern w:val="22"/>
                <w:szCs w:val="22"/>
                <w:lang w:val="fr-FR"/>
              </w:rPr>
              <w:t> </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MOP-05</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99</w:t>
            </w:r>
            <w:r w:rsidR="007847E7" w:rsidRPr="00FB67C2">
              <w:rPr>
                <w:snapToGrid w:val="0"/>
                <w:color w:val="000000"/>
                <w:kern w:val="22"/>
                <w:szCs w:val="22"/>
                <w:lang w:val="fr-FR"/>
              </w:rPr>
              <w:t xml:space="preserve"> (31)</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76</w:t>
            </w:r>
            <w:r w:rsidR="007847E7" w:rsidRPr="00FB67C2">
              <w:rPr>
                <w:snapToGrid w:val="0"/>
                <w:color w:val="000000"/>
                <w:kern w:val="22"/>
                <w:szCs w:val="22"/>
                <w:lang w:val="fr-FR"/>
              </w:rPr>
              <w:t xml:space="preserve"> (28)</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37</w:t>
            </w:r>
            <w:r w:rsidR="007847E7" w:rsidRPr="00FB67C2">
              <w:rPr>
                <w:snapToGrid w:val="0"/>
                <w:color w:val="000000"/>
                <w:kern w:val="22"/>
                <w:szCs w:val="22"/>
                <w:lang w:val="fr-FR"/>
              </w:rPr>
              <w:t xml:space="preserve"> (16)</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37</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(52</w:t>
            </w:r>
            <w:r w:rsidR="00242348">
              <w:rPr>
                <w:snapToGrid w:val="0"/>
                <w:color w:val="000000"/>
                <w:kern w:val="22"/>
                <w:szCs w:val="22"/>
                <w:lang w:val="fr-FR"/>
              </w:rPr>
              <w:t> </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SBSTTA-14</w:t>
            </w:r>
          </w:p>
        </w:tc>
        <w:tc>
          <w:tcPr>
            <w:tcW w:w="1800" w:type="dxa"/>
            <w:shd w:val="clear" w:color="auto" w:fill="auto"/>
            <w:noWrap/>
            <w:vAlign w:val="center"/>
            <w:hideMark/>
          </w:tcPr>
          <w:p w:rsidR="003D18FA" w:rsidRPr="00FB67C2" w:rsidRDefault="003D18FA" w:rsidP="006E7976">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83</w:t>
            </w:r>
            <w:r w:rsidR="006E7976">
              <w:rPr>
                <w:snapToGrid w:val="0"/>
                <w:color w:val="000000"/>
                <w:kern w:val="22"/>
                <w:szCs w:val="22"/>
                <w:lang w:val="fr-FR"/>
              </w:rPr>
              <w:t xml:space="preserve"> </w:t>
            </w:r>
            <w:r w:rsidR="007847E7" w:rsidRPr="00FB67C2">
              <w:rPr>
                <w:snapToGrid w:val="0"/>
                <w:color w:val="000000"/>
                <w:kern w:val="22"/>
                <w:szCs w:val="22"/>
                <w:lang w:val="fr-FR"/>
              </w:rPr>
              <w:t>(36)</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56</w:t>
            </w:r>
            <w:r w:rsidR="007847E7" w:rsidRPr="00FB67C2">
              <w:rPr>
                <w:snapToGrid w:val="0"/>
                <w:color w:val="000000"/>
                <w:kern w:val="22"/>
                <w:szCs w:val="22"/>
                <w:lang w:val="fr-FR"/>
              </w:rPr>
              <w:t xml:space="preserve"> (35)</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40</w:t>
            </w:r>
            <w:r w:rsidR="007847E7" w:rsidRPr="00FB67C2">
              <w:rPr>
                <w:snapToGrid w:val="0"/>
                <w:color w:val="000000"/>
                <w:kern w:val="22"/>
                <w:szCs w:val="22"/>
                <w:lang w:val="fr-FR"/>
              </w:rPr>
              <w:t xml:space="preserve"> (28)</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48</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(78</w:t>
            </w:r>
            <w:r w:rsidR="00242348">
              <w:rPr>
                <w:snapToGrid w:val="0"/>
                <w:color w:val="000000"/>
                <w:kern w:val="22"/>
                <w:szCs w:val="22"/>
                <w:lang w:val="fr-FR"/>
              </w:rPr>
              <w:t> </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WGRI-03</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79</w:t>
            </w:r>
            <w:r w:rsidR="007847E7" w:rsidRPr="00FB67C2">
              <w:rPr>
                <w:snapToGrid w:val="0"/>
                <w:color w:val="000000"/>
                <w:kern w:val="22"/>
                <w:szCs w:val="22"/>
                <w:lang w:val="fr-FR"/>
              </w:rPr>
              <w:t xml:space="preserve"> (35)</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56</w:t>
            </w:r>
            <w:r w:rsidR="007847E7" w:rsidRPr="00FB67C2">
              <w:rPr>
                <w:snapToGrid w:val="0"/>
                <w:color w:val="000000"/>
                <w:kern w:val="22"/>
                <w:szCs w:val="22"/>
                <w:lang w:val="fr-FR"/>
              </w:rPr>
              <w:t xml:space="preserve"> (35)</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45</w:t>
            </w:r>
            <w:r w:rsidR="007847E7" w:rsidRPr="00FB67C2">
              <w:rPr>
                <w:snapToGrid w:val="0"/>
                <w:color w:val="000000"/>
                <w:kern w:val="22"/>
                <w:szCs w:val="22"/>
                <w:lang w:val="fr-FR"/>
              </w:rPr>
              <w:t xml:space="preserve"> (29)</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57</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(81</w:t>
            </w:r>
            <w:r w:rsidR="00242348">
              <w:rPr>
                <w:snapToGrid w:val="0"/>
                <w:color w:val="000000"/>
                <w:kern w:val="22"/>
                <w:szCs w:val="22"/>
                <w:lang w:val="fr-FR"/>
              </w:rPr>
              <w:t> </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ABSWG-09</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71</w:t>
            </w:r>
            <w:r w:rsidR="007847E7" w:rsidRPr="00FB67C2">
              <w:rPr>
                <w:snapToGrid w:val="0"/>
                <w:color w:val="000000"/>
                <w:kern w:val="22"/>
                <w:szCs w:val="22"/>
                <w:lang w:val="fr-FR"/>
              </w:rPr>
              <w:t xml:space="preserve"> (32)</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b/>
                <w:snapToGrid w:val="0"/>
                <w:color w:val="000000"/>
                <w:kern w:val="22"/>
                <w:szCs w:val="22"/>
                <w:lang w:val="fr-FR"/>
              </w:rPr>
            </w:pPr>
            <w:r w:rsidRPr="00FB67C2">
              <w:rPr>
                <w:snapToGrid w:val="0"/>
                <w:color w:val="000000"/>
                <w:kern w:val="22"/>
                <w:szCs w:val="22"/>
                <w:lang w:val="fr-FR"/>
              </w:rPr>
              <w:t>67</w:t>
            </w:r>
            <w:r w:rsidR="007847E7" w:rsidRPr="00FB67C2">
              <w:rPr>
                <w:snapToGrid w:val="0"/>
                <w:color w:val="000000"/>
                <w:kern w:val="22"/>
                <w:szCs w:val="22"/>
                <w:lang w:val="fr-FR"/>
              </w:rPr>
              <w:t xml:space="preserve"> (32)</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43</w:t>
            </w:r>
            <w:r w:rsidR="007847E7" w:rsidRPr="00FB67C2">
              <w:rPr>
                <w:snapToGrid w:val="0"/>
                <w:color w:val="000000"/>
                <w:kern w:val="22"/>
                <w:szCs w:val="22"/>
                <w:lang w:val="fr-FR"/>
              </w:rPr>
              <w:t xml:space="preserve"> (24)</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61</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(75</w:t>
            </w:r>
            <w:r w:rsidR="00242348">
              <w:rPr>
                <w:snapToGrid w:val="0"/>
                <w:color w:val="000000"/>
                <w:kern w:val="22"/>
                <w:szCs w:val="22"/>
                <w:lang w:val="fr-FR"/>
              </w:rPr>
              <w:t> </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F651C8"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ABSWG-09-2</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91</w:t>
            </w:r>
            <w:r w:rsidR="007847E7" w:rsidRPr="00FB67C2">
              <w:rPr>
                <w:snapToGrid w:val="0"/>
                <w:color w:val="000000"/>
                <w:kern w:val="22"/>
                <w:szCs w:val="22"/>
                <w:lang w:val="fr-FR"/>
              </w:rPr>
              <w:t xml:space="preserve"> (40)</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85</w:t>
            </w:r>
            <w:r w:rsidR="007847E7" w:rsidRPr="00FB67C2">
              <w:rPr>
                <w:snapToGrid w:val="0"/>
                <w:color w:val="000000"/>
                <w:kern w:val="22"/>
                <w:szCs w:val="22"/>
                <w:lang w:val="fr-FR"/>
              </w:rPr>
              <w:t xml:space="preserve"> (40)</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67</w:t>
            </w:r>
            <w:r w:rsidR="007847E7" w:rsidRPr="00FB67C2">
              <w:rPr>
                <w:snapToGrid w:val="0"/>
                <w:color w:val="000000"/>
                <w:kern w:val="22"/>
                <w:szCs w:val="22"/>
                <w:lang w:val="fr-FR"/>
              </w:rPr>
              <w:t xml:space="preserve"> (35)</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74</w:t>
            </w:r>
            <w:r w:rsidR="00242348">
              <w:rPr>
                <w:snapToGrid w:val="0"/>
                <w:color w:val="000000"/>
                <w:kern w:val="22"/>
                <w:szCs w:val="22"/>
                <w:lang w:val="fr-FR"/>
              </w:rPr>
              <w:t> </w:t>
            </w:r>
            <w:r w:rsidRPr="00FB67C2">
              <w:rPr>
                <w:snapToGrid w:val="0"/>
                <w:color w:val="000000"/>
                <w:kern w:val="22"/>
                <w:szCs w:val="22"/>
                <w:lang w:val="fr-FR"/>
              </w:rPr>
              <w:t>%</w:t>
            </w:r>
            <w:r w:rsidR="007847E7" w:rsidRPr="00FB67C2">
              <w:rPr>
                <w:snapToGrid w:val="0"/>
                <w:color w:val="000000"/>
                <w:kern w:val="22"/>
                <w:szCs w:val="22"/>
                <w:lang w:val="fr-FR"/>
              </w:rPr>
              <w:t xml:space="preserve"> (88</w:t>
            </w:r>
            <w:r w:rsidR="00242348">
              <w:rPr>
                <w:snapToGrid w:val="0"/>
                <w:color w:val="000000"/>
                <w:kern w:val="22"/>
                <w:szCs w:val="22"/>
                <w:lang w:val="fr-FR"/>
              </w:rPr>
              <w:t> </w:t>
            </w:r>
            <w:r w:rsidR="00855992" w:rsidRPr="00FB67C2">
              <w:rPr>
                <w:snapToGrid w:val="0"/>
                <w:color w:val="000000"/>
                <w:kern w:val="22"/>
                <w:szCs w:val="22"/>
                <w:lang w:val="fr-FR"/>
              </w:rPr>
              <w:t>%</w:t>
            </w:r>
            <w:r w:rsidR="007847E7" w:rsidRPr="00FB67C2">
              <w:rPr>
                <w:snapToGrid w:val="0"/>
                <w:color w:val="000000"/>
                <w:kern w:val="22"/>
                <w:szCs w:val="22"/>
                <w:lang w:val="fr-FR"/>
              </w:rPr>
              <w:t>)</w:t>
            </w:r>
          </w:p>
        </w:tc>
      </w:tr>
      <w:tr w:rsidR="003D18FA" w:rsidRPr="00FB67C2" w:rsidTr="0086177B">
        <w:trPr>
          <w:trHeight w:val="300"/>
          <w:jc w:val="center"/>
        </w:trPr>
        <w:tc>
          <w:tcPr>
            <w:tcW w:w="1080" w:type="dxa"/>
            <w:vMerge w:val="restart"/>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2011-2012</w:t>
            </w: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SBSTTA-15</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105</w:t>
            </w:r>
            <w:r w:rsidR="00855992" w:rsidRPr="00FB67C2">
              <w:rPr>
                <w:snapToGrid w:val="0"/>
                <w:color w:val="000000"/>
                <w:kern w:val="22"/>
                <w:szCs w:val="22"/>
                <w:lang w:val="fr-FR"/>
              </w:rPr>
              <w:t xml:space="preserve"> (40)</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93</w:t>
            </w:r>
            <w:r w:rsidR="00855992" w:rsidRPr="00FB67C2">
              <w:rPr>
                <w:snapToGrid w:val="0"/>
                <w:color w:val="000000"/>
                <w:kern w:val="22"/>
                <w:szCs w:val="22"/>
                <w:lang w:val="fr-FR"/>
              </w:rPr>
              <w:t xml:space="preserve"> (40)</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75</w:t>
            </w:r>
            <w:r w:rsidR="00855992" w:rsidRPr="00FB67C2">
              <w:rPr>
                <w:snapToGrid w:val="0"/>
                <w:color w:val="000000"/>
                <w:kern w:val="22"/>
                <w:szCs w:val="22"/>
                <w:lang w:val="fr-FR"/>
              </w:rPr>
              <w:t xml:space="preserve"> (34)</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71</w:t>
            </w:r>
            <w:r w:rsidR="00242348">
              <w:rPr>
                <w:snapToGrid w:val="0"/>
                <w:color w:val="000000"/>
                <w:kern w:val="22"/>
                <w:szCs w:val="22"/>
                <w:lang w:val="fr-FR"/>
              </w:rPr>
              <w:t> </w:t>
            </w:r>
            <w:r w:rsidRPr="00FB67C2">
              <w:rPr>
                <w:snapToGrid w:val="0"/>
                <w:color w:val="000000"/>
                <w:kern w:val="22"/>
                <w:szCs w:val="22"/>
                <w:lang w:val="fr-FR"/>
              </w:rPr>
              <w:t>%</w:t>
            </w:r>
            <w:r w:rsidR="00855992" w:rsidRPr="00FB67C2">
              <w:rPr>
                <w:snapToGrid w:val="0"/>
                <w:color w:val="000000"/>
                <w:kern w:val="22"/>
                <w:szCs w:val="22"/>
                <w:lang w:val="fr-FR"/>
              </w:rPr>
              <w:t xml:space="preserve"> (85</w:t>
            </w:r>
            <w:r w:rsidR="00242348">
              <w:rPr>
                <w:snapToGrid w:val="0"/>
                <w:color w:val="000000"/>
                <w:kern w:val="22"/>
                <w:szCs w:val="22"/>
                <w:lang w:val="fr-FR"/>
              </w:rPr>
              <w:t> </w:t>
            </w:r>
            <w:r w:rsidR="00855992"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WGR8J-07</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91</w:t>
            </w:r>
            <w:r w:rsidR="00F9636F" w:rsidRPr="00FB67C2">
              <w:rPr>
                <w:snapToGrid w:val="0"/>
                <w:color w:val="000000"/>
                <w:kern w:val="22"/>
                <w:szCs w:val="22"/>
                <w:lang w:val="fr-FR"/>
              </w:rPr>
              <w:t xml:space="preserve"> (39)</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80</w:t>
            </w:r>
            <w:r w:rsidR="00F9636F" w:rsidRPr="00FB67C2">
              <w:rPr>
                <w:snapToGrid w:val="0"/>
                <w:color w:val="000000"/>
                <w:kern w:val="22"/>
                <w:szCs w:val="22"/>
                <w:lang w:val="fr-FR"/>
              </w:rPr>
              <w:t xml:space="preserve"> (37)</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66</w:t>
            </w:r>
            <w:r w:rsidR="00F9636F" w:rsidRPr="00FB67C2">
              <w:rPr>
                <w:snapToGrid w:val="0"/>
                <w:color w:val="000000"/>
                <w:kern w:val="22"/>
                <w:szCs w:val="22"/>
                <w:lang w:val="fr-FR"/>
              </w:rPr>
              <w:t xml:space="preserve"> (33)</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73</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(85</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ICNP-01</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91</w:t>
            </w:r>
            <w:r w:rsidR="00F9636F" w:rsidRPr="00FB67C2">
              <w:rPr>
                <w:snapToGrid w:val="0"/>
                <w:color w:val="000000"/>
                <w:kern w:val="22"/>
                <w:szCs w:val="22"/>
                <w:lang w:val="fr-FR"/>
              </w:rPr>
              <w:t xml:space="preserve"> (49)</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71</w:t>
            </w:r>
            <w:r w:rsidR="00F9636F" w:rsidRPr="00FB67C2">
              <w:rPr>
                <w:snapToGrid w:val="0"/>
                <w:color w:val="000000"/>
                <w:kern w:val="22"/>
                <w:szCs w:val="22"/>
                <w:lang w:val="fr-FR"/>
              </w:rPr>
              <w:t xml:space="preserve"> (47)</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60</w:t>
            </w:r>
            <w:r w:rsidR="00F9636F" w:rsidRPr="00FB67C2">
              <w:rPr>
                <w:snapToGrid w:val="0"/>
                <w:color w:val="000000"/>
                <w:kern w:val="22"/>
                <w:szCs w:val="22"/>
                <w:lang w:val="fr-FR"/>
              </w:rPr>
              <w:t xml:space="preserve"> (44)</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66</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(90</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MOP-06</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101</w:t>
            </w:r>
            <w:r w:rsidR="00F9636F" w:rsidRPr="00FB67C2">
              <w:rPr>
                <w:snapToGrid w:val="0"/>
                <w:color w:val="000000"/>
                <w:kern w:val="22"/>
                <w:szCs w:val="22"/>
                <w:lang w:val="fr-FR"/>
              </w:rPr>
              <w:t xml:space="preserve"> (33)</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81</w:t>
            </w:r>
            <w:r w:rsidR="00F9636F" w:rsidRPr="00FB67C2">
              <w:rPr>
                <w:snapToGrid w:val="0"/>
                <w:color w:val="000000"/>
                <w:kern w:val="22"/>
                <w:szCs w:val="22"/>
                <w:lang w:val="fr-FR"/>
              </w:rPr>
              <w:t xml:space="preserve"> (32)</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48</w:t>
            </w:r>
            <w:r w:rsidR="00F9636F" w:rsidRPr="00FB67C2">
              <w:rPr>
                <w:snapToGrid w:val="0"/>
                <w:color w:val="000000"/>
                <w:kern w:val="22"/>
                <w:szCs w:val="22"/>
                <w:lang w:val="fr-FR"/>
              </w:rPr>
              <w:t xml:space="preserve"> (23)</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48</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(70</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SBSTTA-16</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102</w:t>
            </w:r>
            <w:r w:rsidR="00F9636F" w:rsidRPr="00FB67C2">
              <w:rPr>
                <w:snapToGrid w:val="0"/>
                <w:color w:val="000000"/>
                <w:kern w:val="22"/>
                <w:szCs w:val="22"/>
                <w:lang w:val="fr-FR"/>
              </w:rPr>
              <w:t xml:space="preserve"> (44)</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86</w:t>
            </w:r>
            <w:r w:rsidR="00F9636F" w:rsidRPr="00FB67C2">
              <w:rPr>
                <w:snapToGrid w:val="0"/>
                <w:color w:val="000000"/>
                <w:kern w:val="22"/>
                <w:szCs w:val="22"/>
                <w:lang w:val="fr-FR"/>
              </w:rPr>
              <w:t xml:space="preserve"> (40)</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70</w:t>
            </w:r>
            <w:r w:rsidR="00F9636F" w:rsidRPr="00FB67C2">
              <w:rPr>
                <w:snapToGrid w:val="0"/>
                <w:color w:val="000000"/>
                <w:kern w:val="22"/>
                <w:szCs w:val="22"/>
                <w:lang w:val="fr-FR"/>
              </w:rPr>
              <w:t xml:space="preserve"> (37)</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69</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(84</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COP-11</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137</w:t>
            </w:r>
            <w:r w:rsidR="00F9636F" w:rsidRPr="00FB67C2">
              <w:rPr>
                <w:snapToGrid w:val="0"/>
                <w:color w:val="000000"/>
                <w:kern w:val="22"/>
                <w:szCs w:val="22"/>
                <w:lang w:val="fr-FR"/>
              </w:rPr>
              <w:t xml:space="preserve"> (44)</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111</w:t>
            </w:r>
            <w:r w:rsidR="00F9636F" w:rsidRPr="00FB67C2">
              <w:rPr>
                <w:snapToGrid w:val="0"/>
                <w:color w:val="000000"/>
                <w:kern w:val="22"/>
                <w:szCs w:val="22"/>
                <w:lang w:val="fr-FR"/>
              </w:rPr>
              <w:t xml:space="preserve"> (41)</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27</w:t>
            </w:r>
            <w:r w:rsidR="00F9636F" w:rsidRPr="00FB67C2">
              <w:rPr>
                <w:snapToGrid w:val="0"/>
                <w:color w:val="000000"/>
                <w:kern w:val="22"/>
                <w:szCs w:val="22"/>
                <w:lang w:val="fr-FR"/>
              </w:rPr>
              <w:t xml:space="preserve"> (7)</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20</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(16</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WGRI-04</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91</w:t>
            </w:r>
            <w:r w:rsidR="00F9636F" w:rsidRPr="00FB67C2">
              <w:rPr>
                <w:snapToGrid w:val="0"/>
                <w:color w:val="000000"/>
                <w:kern w:val="22"/>
                <w:szCs w:val="22"/>
                <w:lang w:val="fr-FR"/>
              </w:rPr>
              <w:t xml:space="preserve"> (41)</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81</w:t>
            </w:r>
            <w:r w:rsidR="00F9636F" w:rsidRPr="00FB67C2">
              <w:rPr>
                <w:snapToGrid w:val="0"/>
                <w:color w:val="000000"/>
                <w:kern w:val="22"/>
                <w:szCs w:val="22"/>
                <w:lang w:val="fr-FR"/>
              </w:rPr>
              <w:t xml:space="preserve"> (40)</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68</w:t>
            </w:r>
            <w:r w:rsidR="00F9636F" w:rsidRPr="00FB67C2">
              <w:rPr>
                <w:snapToGrid w:val="0"/>
                <w:color w:val="000000"/>
                <w:kern w:val="22"/>
                <w:szCs w:val="22"/>
                <w:lang w:val="fr-FR"/>
              </w:rPr>
              <w:t xml:space="preserve"> (40)</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75</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(98</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ICNP-02</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94</w:t>
            </w:r>
            <w:r w:rsidR="00F9636F" w:rsidRPr="00FB67C2">
              <w:rPr>
                <w:snapToGrid w:val="0"/>
                <w:color w:val="000000"/>
                <w:kern w:val="22"/>
                <w:szCs w:val="22"/>
                <w:lang w:val="fr-FR"/>
              </w:rPr>
              <w:t xml:space="preserve"> (41)</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89</w:t>
            </w:r>
            <w:r w:rsidR="00F9636F" w:rsidRPr="00FB67C2">
              <w:rPr>
                <w:snapToGrid w:val="0"/>
                <w:color w:val="000000"/>
                <w:kern w:val="22"/>
                <w:szCs w:val="22"/>
                <w:lang w:val="fr-FR"/>
              </w:rPr>
              <w:t xml:space="preserve"> (40)</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71</w:t>
            </w:r>
            <w:r w:rsidR="00F9636F" w:rsidRPr="00FB67C2">
              <w:rPr>
                <w:snapToGrid w:val="0"/>
                <w:color w:val="000000"/>
                <w:kern w:val="22"/>
                <w:szCs w:val="22"/>
                <w:lang w:val="fr-FR"/>
              </w:rPr>
              <w:t xml:space="preserve"> (37)</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76</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(90</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val="restart"/>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2013-2014</w:t>
            </w: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SBSTTA-17</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88</w:t>
            </w:r>
            <w:r w:rsidR="00F9636F" w:rsidRPr="00FB67C2">
              <w:rPr>
                <w:snapToGrid w:val="0"/>
                <w:color w:val="000000"/>
                <w:kern w:val="22"/>
                <w:szCs w:val="22"/>
                <w:lang w:val="fr-FR"/>
              </w:rPr>
              <w:t xml:space="preserve"> (46)</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78</w:t>
            </w:r>
            <w:r w:rsidR="00F9636F" w:rsidRPr="00FB67C2">
              <w:rPr>
                <w:snapToGrid w:val="0"/>
                <w:color w:val="000000"/>
                <w:kern w:val="22"/>
                <w:szCs w:val="22"/>
                <w:lang w:val="fr-FR"/>
              </w:rPr>
              <w:t xml:space="preserve"> (46)</w:t>
            </w:r>
          </w:p>
        </w:tc>
        <w:tc>
          <w:tcPr>
            <w:tcW w:w="1748" w:type="dxa"/>
            <w:shd w:val="clear" w:color="auto" w:fill="auto"/>
            <w:noWrap/>
            <w:vAlign w:val="center"/>
            <w:hideMark/>
          </w:tcPr>
          <w:p w:rsidR="003D18FA" w:rsidRPr="00FB67C2" w:rsidRDefault="003D18FA" w:rsidP="006E7976">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57</w:t>
            </w:r>
            <w:r w:rsidR="006E7976">
              <w:rPr>
                <w:snapToGrid w:val="0"/>
                <w:color w:val="000000"/>
                <w:kern w:val="22"/>
                <w:szCs w:val="22"/>
                <w:lang w:val="fr-FR"/>
              </w:rPr>
              <w:t xml:space="preserve"> </w:t>
            </w:r>
            <w:r w:rsidR="00F9636F" w:rsidRPr="00FB67C2">
              <w:rPr>
                <w:snapToGrid w:val="0"/>
                <w:color w:val="000000"/>
                <w:kern w:val="22"/>
                <w:szCs w:val="22"/>
                <w:lang w:val="fr-FR"/>
              </w:rPr>
              <w:t>(39)</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65</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(85</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WGR8J-08</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69</w:t>
            </w:r>
            <w:r w:rsidR="00F9636F" w:rsidRPr="00FB67C2">
              <w:rPr>
                <w:snapToGrid w:val="0"/>
                <w:color w:val="000000"/>
                <w:kern w:val="22"/>
                <w:szCs w:val="22"/>
                <w:lang w:val="fr-FR"/>
              </w:rPr>
              <w:t xml:space="preserve"> (38)</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62</w:t>
            </w:r>
            <w:r w:rsidR="00F9636F" w:rsidRPr="00FB67C2">
              <w:rPr>
                <w:snapToGrid w:val="0"/>
                <w:color w:val="000000"/>
                <w:kern w:val="22"/>
                <w:szCs w:val="22"/>
                <w:lang w:val="fr-FR"/>
              </w:rPr>
              <w:t xml:space="preserve"> (38)</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41</w:t>
            </w:r>
            <w:r w:rsidR="00F9636F" w:rsidRPr="00FB67C2">
              <w:rPr>
                <w:snapToGrid w:val="0"/>
                <w:color w:val="000000"/>
                <w:kern w:val="22"/>
                <w:szCs w:val="22"/>
                <w:lang w:val="fr-FR"/>
              </w:rPr>
              <w:t xml:space="preserve"> (30)</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59</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(79</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COP-12</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125</w:t>
            </w:r>
            <w:r w:rsidR="00F9636F" w:rsidRPr="00FB67C2">
              <w:rPr>
                <w:snapToGrid w:val="0"/>
                <w:color w:val="000000"/>
                <w:kern w:val="22"/>
                <w:szCs w:val="22"/>
                <w:lang w:val="fr-FR"/>
              </w:rPr>
              <w:t xml:space="preserve"> (64)</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74</w:t>
            </w:r>
            <w:r w:rsidR="00F9636F" w:rsidRPr="00FB67C2">
              <w:rPr>
                <w:snapToGrid w:val="0"/>
                <w:color w:val="000000"/>
                <w:kern w:val="22"/>
                <w:szCs w:val="22"/>
                <w:lang w:val="fr-FR"/>
              </w:rPr>
              <w:t xml:space="preserve"> (56)</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19</w:t>
            </w:r>
            <w:r w:rsidR="00F9636F" w:rsidRPr="00FB67C2">
              <w:rPr>
                <w:snapToGrid w:val="0"/>
                <w:color w:val="000000"/>
                <w:kern w:val="22"/>
                <w:szCs w:val="22"/>
                <w:lang w:val="fr-FR"/>
              </w:rPr>
              <w:t xml:space="preserve"> (16)</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15</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(25</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MOP-07</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94</w:t>
            </w:r>
            <w:r w:rsidR="00F9636F" w:rsidRPr="00FB67C2">
              <w:rPr>
                <w:snapToGrid w:val="0"/>
                <w:color w:val="000000"/>
                <w:kern w:val="22"/>
                <w:szCs w:val="22"/>
                <w:lang w:val="fr-FR"/>
              </w:rPr>
              <w:t xml:space="preserve"> (43)</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65</w:t>
            </w:r>
            <w:r w:rsidR="00F9636F" w:rsidRPr="00FB67C2">
              <w:rPr>
                <w:snapToGrid w:val="0"/>
                <w:color w:val="000000"/>
                <w:kern w:val="22"/>
                <w:szCs w:val="22"/>
                <w:lang w:val="fr-FR"/>
              </w:rPr>
              <w:t xml:space="preserve"> (38)</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38</w:t>
            </w:r>
            <w:r w:rsidR="00F9636F" w:rsidRPr="00FB67C2">
              <w:rPr>
                <w:snapToGrid w:val="0"/>
                <w:color w:val="000000"/>
                <w:kern w:val="22"/>
                <w:szCs w:val="22"/>
                <w:lang w:val="fr-FR"/>
              </w:rPr>
              <w:t xml:space="preserve"> (27)</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40</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(63</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NP-MOP-01</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69</w:t>
            </w:r>
            <w:r w:rsidR="00F9636F" w:rsidRPr="00FB67C2">
              <w:rPr>
                <w:snapToGrid w:val="0"/>
                <w:color w:val="000000"/>
                <w:kern w:val="22"/>
                <w:szCs w:val="22"/>
                <w:lang w:val="fr-FR"/>
              </w:rPr>
              <w:t xml:space="preserve"> (29)</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37</w:t>
            </w:r>
            <w:r w:rsidR="00F9636F" w:rsidRPr="00FB67C2">
              <w:rPr>
                <w:snapToGrid w:val="0"/>
                <w:color w:val="000000"/>
                <w:kern w:val="22"/>
                <w:szCs w:val="22"/>
                <w:lang w:val="fr-FR"/>
              </w:rPr>
              <w:t xml:space="preserve"> (18)</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15</w:t>
            </w:r>
            <w:r w:rsidR="00F9636F" w:rsidRPr="00FB67C2">
              <w:rPr>
                <w:snapToGrid w:val="0"/>
                <w:color w:val="000000"/>
                <w:kern w:val="22"/>
                <w:szCs w:val="22"/>
                <w:lang w:val="fr-FR"/>
              </w:rPr>
              <w:t xml:space="preserve"> (11)</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22</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(38</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SBSTTA-18</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89</w:t>
            </w:r>
            <w:r w:rsidR="00F9636F" w:rsidRPr="00FB67C2">
              <w:rPr>
                <w:snapToGrid w:val="0"/>
                <w:color w:val="000000"/>
                <w:kern w:val="22"/>
                <w:szCs w:val="22"/>
                <w:lang w:val="fr-FR"/>
              </w:rPr>
              <w:t xml:space="preserve"> (48)</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60</w:t>
            </w:r>
            <w:r w:rsidR="00F9636F" w:rsidRPr="00FB67C2">
              <w:rPr>
                <w:snapToGrid w:val="0"/>
                <w:color w:val="000000"/>
                <w:kern w:val="22"/>
                <w:szCs w:val="22"/>
                <w:lang w:val="fr-FR"/>
              </w:rPr>
              <w:t xml:space="preserve"> (47)</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47</w:t>
            </w:r>
            <w:r w:rsidR="00F9636F" w:rsidRPr="00FB67C2">
              <w:rPr>
                <w:snapToGrid w:val="0"/>
                <w:color w:val="000000"/>
                <w:kern w:val="22"/>
                <w:szCs w:val="22"/>
                <w:lang w:val="fr-FR"/>
              </w:rPr>
              <w:t xml:space="preserve"> (37)</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53</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(77</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WGRI-05</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75</w:t>
            </w:r>
            <w:r w:rsidR="00F9636F" w:rsidRPr="00FB67C2">
              <w:rPr>
                <w:snapToGrid w:val="0"/>
                <w:color w:val="000000"/>
                <w:kern w:val="22"/>
                <w:szCs w:val="22"/>
                <w:lang w:val="fr-FR"/>
              </w:rPr>
              <w:t xml:space="preserve"> (45)</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56</w:t>
            </w:r>
            <w:r w:rsidR="00F9636F" w:rsidRPr="00FB67C2">
              <w:rPr>
                <w:snapToGrid w:val="0"/>
                <w:color w:val="000000"/>
                <w:kern w:val="22"/>
                <w:szCs w:val="22"/>
                <w:lang w:val="fr-FR"/>
              </w:rPr>
              <w:t xml:space="preserve"> (44)</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42</w:t>
            </w:r>
            <w:r w:rsidR="00F9636F" w:rsidRPr="00FB67C2">
              <w:rPr>
                <w:snapToGrid w:val="0"/>
                <w:color w:val="000000"/>
                <w:kern w:val="22"/>
                <w:szCs w:val="22"/>
                <w:lang w:val="fr-FR"/>
              </w:rPr>
              <w:t xml:space="preserve"> (36)</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56</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(80</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ICNP-03</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85</w:t>
            </w:r>
            <w:r w:rsidR="00F9636F" w:rsidRPr="00FB67C2">
              <w:rPr>
                <w:snapToGrid w:val="0"/>
                <w:color w:val="000000"/>
                <w:kern w:val="22"/>
                <w:szCs w:val="22"/>
                <w:lang w:val="fr-FR"/>
              </w:rPr>
              <w:t xml:space="preserve"> (46)</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76</w:t>
            </w:r>
            <w:r w:rsidR="00F9636F" w:rsidRPr="00FB67C2">
              <w:rPr>
                <w:snapToGrid w:val="0"/>
                <w:color w:val="000000"/>
                <w:kern w:val="22"/>
                <w:szCs w:val="22"/>
                <w:lang w:val="fr-FR"/>
              </w:rPr>
              <w:t xml:space="preserve"> (46)</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60</w:t>
            </w:r>
            <w:r w:rsidR="00F9636F" w:rsidRPr="00FB67C2">
              <w:rPr>
                <w:snapToGrid w:val="0"/>
                <w:color w:val="000000"/>
                <w:kern w:val="22"/>
                <w:szCs w:val="22"/>
                <w:lang w:val="fr-FR"/>
              </w:rPr>
              <w:t xml:space="preserve"> (40)</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71</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(87</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val="restart"/>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2015-2016</w:t>
            </w: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SBSTTA-19</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81</w:t>
            </w:r>
            <w:r w:rsidR="00F9636F" w:rsidRPr="00FB67C2">
              <w:rPr>
                <w:snapToGrid w:val="0"/>
                <w:color w:val="000000"/>
                <w:kern w:val="22"/>
                <w:szCs w:val="22"/>
                <w:lang w:val="fr-FR"/>
              </w:rPr>
              <w:t xml:space="preserve"> (40)</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61</w:t>
            </w:r>
            <w:r w:rsidR="00F9636F" w:rsidRPr="00FB67C2">
              <w:rPr>
                <w:snapToGrid w:val="0"/>
                <w:color w:val="000000"/>
                <w:kern w:val="22"/>
                <w:szCs w:val="22"/>
                <w:lang w:val="fr-FR"/>
              </w:rPr>
              <w:t xml:space="preserve"> (40)</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42</w:t>
            </w:r>
            <w:r w:rsidR="00F9636F" w:rsidRPr="00FB67C2">
              <w:rPr>
                <w:snapToGrid w:val="0"/>
                <w:color w:val="000000"/>
                <w:kern w:val="22"/>
                <w:szCs w:val="22"/>
                <w:lang w:val="fr-FR"/>
              </w:rPr>
              <w:t xml:space="preserve"> (34)</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52</w:t>
            </w:r>
            <w:r w:rsidR="00242348">
              <w:rPr>
                <w:snapToGrid w:val="0"/>
                <w:color w:val="000000"/>
                <w:kern w:val="22"/>
                <w:szCs w:val="22"/>
                <w:lang w:val="fr-FR"/>
              </w:rPr>
              <w:t> </w:t>
            </w:r>
            <w:r w:rsidRPr="00FB67C2">
              <w:rPr>
                <w:snapToGrid w:val="0"/>
                <w:color w:val="000000"/>
                <w:kern w:val="22"/>
                <w:szCs w:val="22"/>
                <w:lang w:val="fr-FR"/>
              </w:rPr>
              <w:t>%</w:t>
            </w:r>
            <w:r w:rsidR="00F9636F" w:rsidRPr="00FB67C2">
              <w:rPr>
                <w:snapToGrid w:val="0"/>
                <w:color w:val="000000"/>
                <w:kern w:val="22"/>
                <w:szCs w:val="22"/>
                <w:lang w:val="fr-FR"/>
              </w:rPr>
              <w:t xml:space="preserve"> (85</w:t>
            </w:r>
            <w:r w:rsidR="00242348">
              <w:rPr>
                <w:snapToGrid w:val="0"/>
                <w:color w:val="000000"/>
                <w:kern w:val="22"/>
                <w:szCs w:val="22"/>
                <w:lang w:val="fr-FR"/>
              </w:rPr>
              <w:t> </w:t>
            </w:r>
            <w:r w:rsidR="00F9636F"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WGR8J-09</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79</w:t>
            </w:r>
            <w:r w:rsidR="007F0C5D" w:rsidRPr="00FB67C2">
              <w:rPr>
                <w:snapToGrid w:val="0"/>
                <w:color w:val="000000"/>
                <w:kern w:val="22"/>
                <w:szCs w:val="22"/>
                <w:lang w:val="fr-FR"/>
              </w:rPr>
              <w:t xml:space="preserve"> (40)</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62</w:t>
            </w:r>
            <w:r w:rsidR="007F0C5D" w:rsidRPr="00FB67C2">
              <w:rPr>
                <w:snapToGrid w:val="0"/>
                <w:color w:val="000000"/>
                <w:kern w:val="22"/>
                <w:szCs w:val="22"/>
                <w:lang w:val="fr-FR"/>
              </w:rPr>
              <w:t xml:space="preserve"> (40)</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43</w:t>
            </w:r>
            <w:r w:rsidR="007F0C5D" w:rsidRPr="00FB67C2">
              <w:rPr>
                <w:snapToGrid w:val="0"/>
                <w:color w:val="000000"/>
                <w:kern w:val="22"/>
                <w:szCs w:val="22"/>
                <w:lang w:val="fr-FR"/>
              </w:rPr>
              <w:t xml:space="preserve"> (35)</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54</w:t>
            </w:r>
            <w:r w:rsidR="00242348">
              <w:rPr>
                <w:snapToGrid w:val="0"/>
                <w:color w:val="000000"/>
                <w:kern w:val="22"/>
                <w:szCs w:val="22"/>
                <w:lang w:val="fr-FR"/>
              </w:rPr>
              <w:t> </w:t>
            </w:r>
            <w:r w:rsidRPr="00FB67C2">
              <w:rPr>
                <w:snapToGrid w:val="0"/>
                <w:color w:val="000000"/>
                <w:kern w:val="22"/>
                <w:szCs w:val="22"/>
                <w:lang w:val="fr-FR"/>
              </w:rPr>
              <w:t>%</w:t>
            </w:r>
            <w:r w:rsidR="007F0C5D" w:rsidRPr="00FB67C2">
              <w:rPr>
                <w:snapToGrid w:val="0"/>
                <w:color w:val="000000"/>
                <w:kern w:val="22"/>
                <w:szCs w:val="22"/>
                <w:lang w:val="fr-FR"/>
              </w:rPr>
              <w:t xml:space="preserve"> (88</w:t>
            </w:r>
            <w:r w:rsidR="00242348">
              <w:rPr>
                <w:snapToGrid w:val="0"/>
                <w:color w:val="000000"/>
                <w:kern w:val="22"/>
                <w:szCs w:val="22"/>
                <w:lang w:val="fr-FR"/>
              </w:rPr>
              <w:t> </w:t>
            </w:r>
            <w:r w:rsidR="007F0C5D"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COP-13</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133</w:t>
            </w:r>
            <w:r w:rsidR="007F0C5D" w:rsidRPr="00FB67C2">
              <w:rPr>
                <w:snapToGrid w:val="0"/>
                <w:color w:val="000000"/>
                <w:kern w:val="22"/>
                <w:szCs w:val="22"/>
                <w:lang w:val="fr-FR"/>
              </w:rPr>
              <w:t xml:space="preserve"> (66)</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108</w:t>
            </w:r>
            <w:r w:rsidR="007F0C5D" w:rsidRPr="00FB67C2">
              <w:rPr>
                <w:snapToGrid w:val="0"/>
                <w:color w:val="000000"/>
                <w:kern w:val="22"/>
                <w:szCs w:val="22"/>
                <w:lang w:val="fr-FR"/>
              </w:rPr>
              <w:t xml:space="preserve"> (65)</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34</w:t>
            </w:r>
            <w:r w:rsidR="007F0C5D" w:rsidRPr="00FB67C2">
              <w:rPr>
                <w:snapToGrid w:val="0"/>
                <w:color w:val="000000"/>
                <w:kern w:val="22"/>
                <w:szCs w:val="22"/>
                <w:lang w:val="fr-FR"/>
              </w:rPr>
              <w:t xml:space="preserve"> (25)</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26</w:t>
            </w:r>
            <w:r w:rsidR="00242348">
              <w:rPr>
                <w:snapToGrid w:val="0"/>
                <w:color w:val="000000"/>
                <w:kern w:val="22"/>
                <w:szCs w:val="22"/>
                <w:lang w:val="fr-FR"/>
              </w:rPr>
              <w:t> </w:t>
            </w:r>
            <w:r w:rsidRPr="00FB67C2">
              <w:rPr>
                <w:snapToGrid w:val="0"/>
                <w:color w:val="000000"/>
                <w:kern w:val="22"/>
                <w:szCs w:val="22"/>
                <w:lang w:val="fr-FR"/>
              </w:rPr>
              <w:t>%</w:t>
            </w:r>
            <w:r w:rsidR="007F0C5D" w:rsidRPr="00FB67C2">
              <w:rPr>
                <w:snapToGrid w:val="0"/>
                <w:color w:val="000000"/>
                <w:kern w:val="22"/>
                <w:szCs w:val="22"/>
                <w:lang w:val="fr-FR"/>
              </w:rPr>
              <w:t xml:space="preserve"> (38</w:t>
            </w:r>
            <w:r w:rsidR="00242348">
              <w:rPr>
                <w:snapToGrid w:val="0"/>
                <w:color w:val="000000"/>
                <w:kern w:val="22"/>
                <w:szCs w:val="22"/>
                <w:lang w:val="fr-FR"/>
              </w:rPr>
              <w:t> </w:t>
            </w:r>
            <w:r w:rsidR="007F0C5D"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MOP-08</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125</w:t>
            </w:r>
            <w:r w:rsidR="007F0C5D" w:rsidRPr="00FB67C2">
              <w:rPr>
                <w:snapToGrid w:val="0"/>
                <w:color w:val="000000"/>
                <w:kern w:val="22"/>
                <w:szCs w:val="22"/>
                <w:lang w:val="fr-FR"/>
              </w:rPr>
              <w:t xml:space="preserve"> (63)</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108</w:t>
            </w:r>
            <w:r w:rsidR="007F0C5D" w:rsidRPr="00FB67C2">
              <w:rPr>
                <w:snapToGrid w:val="0"/>
                <w:color w:val="000000"/>
                <w:kern w:val="22"/>
                <w:szCs w:val="22"/>
                <w:lang w:val="fr-FR"/>
              </w:rPr>
              <w:t xml:space="preserve"> (63)</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48</w:t>
            </w:r>
            <w:r w:rsidR="007F0C5D" w:rsidRPr="00FB67C2">
              <w:rPr>
                <w:snapToGrid w:val="0"/>
                <w:color w:val="000000"/>
                <w:kern w:val="22"/>
                <w:szCs w:val="22"/>
                <w:lang w:val="fr-FR"/>
              </w:rPr>
              <w:t xml:space="preserve"> (31)</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38</w:t>
            </w:r>
            <w:r w:rsidR="00242348">
              <w:rPr>
                <w:snapToGrid w:val="0"/>
                <w:color w:val="000000"/>
                <w:kern w:val="22"/>
                <w:szCs w:val="22"/>
                <w:lang w:val="fr-FR"/>
              </w:rPr>
              <w:t> </w:t>
            </w:r>
            <w:r w:rsidRPr="00FB67C2">
              <w:rPr>
                <w:snapToGrid w:val="0"/>
                <w:color w:val="000000"/>
                <w:kern w:val="22"/>
                <w:szCs w:val="22"/>
                <w:lang w:val="fr-FR"/>
              </w:rPr>
              <w:t>%</w:t>
            </w:r>
            <w:r w:rsidR="007F0C5D" w:rsidRPr="00FB67C2">
              <w:rPr>
                <w:snapToGrid w:val="0"/>
                <w:color w:val="000000"/>
                <w:kern w:val="22"/>
                <w:szCs w:val="22"/>
                <w:lang w:val="fr-FR"/>
              </w:rPr>
              <w:t xml:space="preserve"> (49</w:t>
            </w:r>
            <w:r w:rsidR="00242348">
              <w:rPr>
                <w:snapToGrid w:val="0"/>
                <w:color w:val="000000"/>
                <w:kern w:val="22"/>
                <w:szCs w:val="22"/>
                <w:lang w:val="fr-FR"/>
              </w:rPr>
              <w:t> </w:t>
            </w:r>
            <w:r w:rsidR="007F0C5D"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NP-MOP-02</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120</w:t>
            </w:r>
            <w:r w:rsidR="007F0C5D" w:rsidRPr="00FB67C2">
              <w:rPr>
                <w:snapToGrid w:val="0"/>
                <w:color w:val="000000"/>
                <w:kern w:val="22"/>
                <w:szCs w:val="22"/>
                <w:lang w:val="fr-FR"/>
              </w:rPr>
              <w:t xml:space="preserve"> (62)</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108</w:t>
            </w:r>
            <w:r w:rsidR="007F0C5D" w:rsidRPr="00FB67C2">
              <w:rPr>
                <w:snapToGrid w:val="0"/>
                <w:color w:val="000000"/>
                <w:kern w:val="22"/>
                <w:szCs w:val="22"/>
                <w:lang w:val="fr-FR"/>
              </w:rPr>
              <w:t xml:space="preserve"> (62)</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44</w:t>
            </w:r>
            <w:r w:rsidR="007F0C5D" w:rsidRPr="00FB67C2">
              <w:rPr>
                <w:snapToGrid w:val="0"/>
                <w:color w:val="000000"/>
                <w:kern w:val="22"/>
                <w:szCs w:val="22"/>
                <w:lang w:val="fr-FR"/>
              </w:rPr>
              <w:t xml:space="preserve"> (28)</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37</w:t>
            </w:r>
            <w:r w:rsidR="00242348">
              <w:rPr>
                <w:snapToGrid w:val="0"/>
                <w:color w:val="000000"/>
                <w:kern w:val="22"/>
                <w:szCs w:val="22"/>
                <w:lang w:val="fr-FR"/>
              </w:rPr>
              <w:t> </w:t>
            </w:r>
            <w:r w:rsidRPr="00FB67C2">
              <w:rPr>
                <w:snapToGrid w:val="0"/>
                <w:color w:val="000000"/>
                <w:kern w:val="22"/>
                <w:szCs w:val="22"/>
                <w:lang w:val="fr-FR"/>
              </w:rPr>
              <w:t>%</w:t>
            </w:r>
            <w:r w:rsidR="007F0C5D" w:rsidRPr="00FB67C2">
              <w:rPr>
                <w:snapToGrid w:val="0"/>
                <w:color w:val="000000"/>
                <w:kern w:val="22"/>
                <w:szCs w:val="22"/>
                <w:lang w:val="fr-FR"/>
              </w:rPr>
              <w:t xml:space="preserve"> (45</w:t>
            </w:r>
            <w:r w:rsidR="00242348">
              <w:rPr>
                <w:snapToGrid w:val="0"/>
                <w:color w:val="000000"/>
                <w:kern w:val="22"/>
                <w:szCs w:val="22"/>
                <w:lang w:val="fr-FR"/>
              </w:rPr>
              <w:t> </w:t>
            </w:r>
            <w:r w:rsidR="007F0C5D"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SBSTTA-20</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83</w:t>
            </w:r>
            <w:r w:rsidR="007F0C5D" w:rsidRPr="00FB67C2">
              <w:rPr>
                <w:snapToGrid w:val="0"/>
                <w:color w:val="000000"/>
                <w:kern w:val="22"/>
                <w:szCs w:val="22"/>
                <w:lang w:val="fr-FR"/>
              </w:rPr>
              <w:t xml:space="preserve"> (46)</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55</w:t>
            </w:r>
            <w:r w:rsidR="007F0C5D" w:rsidRPr="00FB67C2">
              <w:rPr>
                <w:snapToGrid w:val="0"/>
                <w:color w:val="000000"/>
                <w:kern w:val="22"/>
                <w:szCs w:val="22"/>
                <w:lang w:val="fr-FR"/>
              </w:rPr>
              <w:t xml:space="preserve"> (43)</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45</w:t>
            </w:r>
            <w:r w:rsidR="007F0C5D" w:rsidRPr="00FB67C2">
              <w:rPr>
                <w:snapToGrid w:val="0"/>
                <w:color w:val="000000"/>
                <w:kern w:val="22"/>
                <w:szCs w:val="22"/>
                <w:lang w:val="fr-FR"/>
              </w:rPr>
              <w:t xml:space="preserve"> (38)</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54</w:t>
            </w:r>
            <w:r w:rsidR="00242348">
              <w:rPr>
                <w:snapToGrid w:val="0"/>
                <w:color w:val="000000"/>
                <w:kern w:val="22"/>
                <w:szCs w:val="22"/>
                <w:lang w:val="fr-FR"/>
              </w:rPr>
              <w:t> </w:t>
            </w:r>
            <w:r w:rsidRPr="00FB67C2">
              <w:rPr>
                <w:snapToGrid w:val="0"/>
                <w:color w:val="000000"/>
                <w:kern w:val="22"/>
                <w:szCs w:val="22"/>
                <w:lang w:val="fr-FR"/>
              </w:rPr>
              <w:t>%</w:t>
            </w:r>
            <w:r w:rsidR="007F0C5D" w:rsidRPr="00FB67C2">
              <w:rPr>
                <w:snapToGrid w:val="0"/>
                <w:color w:val="000000"/>
                <w:kern w:val="22"/>
                <w:szCs w:val="22"/>
                <w:lang w:val="fr-FR"/>
              </w:rPr>
              <w:t xml:space="preserve"> (83</w:t>
            </w:r>
            <w:r w:rsidR="00242348">
              <w:rPr>
                <w:snapToGrid w:val="0"/>
                <w:color w:val="000000"/>
                <w:kern w:val="22"/>
                <w:szCs w:val="22"/>
                <w:lang w:val="fr-FR"/>
              </w:rPr>
              <w:t> </w:t>
            </w:r>
            <w:r w:rsidR="007F0C5D" w:rsidRPr="00FB67C2">
              <w:rPr>
                <w:snapToGrid w:val="0"/>
                <w:color w:val="000000"/>
                <w:kern w:val="22"/>
                <w:szCs w:val="22"/>
                <w:lang w:val="fr-FR"/>
              </w:rPr>
              <w:t>%)</w:t>
            </w:r>
          </w:p>
        </w:tc>
      </w:tr>
      <w:tr w:rsidR="003D18FA" w:rsidRPr="00FB67C2" w:rsidTr="0086177B">
        <w:trPr>
          <w:trHeight w:val="300"/>
          <w:jc w:val="center"/>
        </w:trPr>
        <w:tc>
          <w:tcPr>
            <w:tcW w:w="1080" w:type="dxa"/>
            <w:vMerge/>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p>
        </w:tc>
        <w:tc>
          <w:tcPr>
            <w:tcW w:w="135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left"/>
              <w:rPr>
                <w:snapToGrid w:val="0"/>
                <w:color w:val="000000"/>
                <w:kern w:val="22"/>
                <w:szCs w:val="22"/>
                <w:lang w:val="fr-FR"/>
              </w:rPr>
            </w:pPr>
            <w:r w:rsidRPr="00FB67C2">
              <w:rPr>
                <w:snapToGrid w:val="0"/>
                <w:color w:val="000000"/>
                <w:kern w:val="22"/>
                <w:szCs w:val="22"/>
                <w:lang w:val="fr-FR"/>
              </w:rPr>
              <w:t>SBI-01</w:t>
            </w:r>
          </w:p>
        </w:tc>
        <w:tc>
          <w:tcPr>
            <w:tcW w:w="1800"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84</w:t>
            </w:r>
            <w:r w:rsidR="007F0C5D" w:rsidRPr="00FB67C2">
              <w:rPr>
                <w:snapToGrid w:val="0"/>
                <w:color w:val="000000"/>
                <w:kern w:val="22"/>
                <w:szCs w:val="22"/>
                <w:lang w:val="fr-FR"/>
              </w:rPr>
              <w:t xml:space="preserve"> (47)</w:t>
            </w:r>
          </w:p>
        </w:tc>
        <w:tc>
          <w:tcPr>
            <w:tcW w:w="1582"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55</w:t>
            </w:r>
            <w:r w:rsidR="007F0C5D" w:rsidRPr="00FB67C2">
              <w:rPr>
                <w:snapToGrid w:val="0"/>
                <w:color w:val="000000"/>
                <w:kern w:val="22"/>
                <w:szCs w:val="22"/>
                <w:lang w:val="fr-FR"/>
              </w:rPr>
              <w:t xml:space="preserve"> (43)</w:t>
            </w:r>
          </w:p>
        </w:tc>
        <w:tc>
          <w:tcPr>
            <w:tcW w:w="174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46</w:t>
            </w:r>
            <w:r w:rsidR="007F0C5D" w:rsidRPr="00FB67C2">
              <w:rPr>
                <w:snapToGrid w:val="0"/>
                <w:color w:val="000000"/>
                <w:kern w:val="22"/>
                <w:szCs w:val="22"/>
                <w:lang w:val="fr-FR"/>
              </w:rPr>
              <w:t xml:space="preserve"> (38)</w:t>
            </w:r>
          </w:p>
        </w:tc>
        <w:tc>
          <w:tcPr>
            <w:tcW w:w="1938" w:type="dxa"/>
            <w:shd w:val="clear" w:color="auto" w:fill="auto"/>
            <w:noWrap/>
            <w:vAlign w:val="center"/>
            <w:hideMark/>
          </w:tcPr>
          <w:p w:rsidR="003D18FA" w:rsidRPr="00FB67C2" w:rsidRDefault="003D18FA" w:rsidP="0086177B">
            <w:pPr>
              <w:suppressLineNumbers/>
              <w:suppressAutoHyphens/>
              <w:kinsoku w:val="0"/>
              <w:overflowPunct w:val="0"/>
              <w:autoSpaceDE w:val="0"/>
              <w:autoSpaceDN w:val="0"/>
              <w:adjustRightInd w:val="0"/>
              <w:snapToGrid w:val="0"/>
              <w:jc w:val="center"/>
              <w:rPr>
                <w:snapToGrid w:val="0"/>
                <w:color w:val="000000"/>
                <w:kern w:val="22"/>
                <w:szCs w:val="22"/>
                <w:lang w:val="fr-FR"/>
              </w:rPr>
            </w:pPr>
            <w:r w:rsidRPr="00FB67C2">
              <w:rPr>
                <w:snapToGrid w:val="0"/>
                <w:color w:val="000000"/>
                <w:kern w:val="22"/>
                <w:szCs w:val="22"/>
                <w:lang w:val="fr-FR"/>
              </w:rPr>
              <w:t>55</w:t>
            </w:r>
            <w:r w:rsidR="00242348">
              <w:rPr>
                <w:snapToGrid w:val="0"/>
                <w:color w:val="000000"/>
                <w:kern w:val="22"/>
                <w:szCs w:val="22"/>
                <w:lang w:val="fr-FR"/>
              </w:rPr>
              <w:t> </w:t>
            </w:r>
            <w:r w:rsidRPr="00FB67C2">
              <w:rPr>
                <w:snapToGrid w:val="0"/>
                <w:color w:val="000000"/>
                <w:kern w:val="22"/>
                <w:szCs w:val="22"/>
                <w:lang w:val="fr-FR"/>
              </w:rPr>
              <w:t>%</w:t>
            </w:r>
            <w:r w:rsidR="007F0C5D" w:rsidRPr="00FB67C2">
              <w:rPr>
                <w:snapToGrid w:val="0"/>
                <w:color w:val="000000"/>
                <w:kern w:val="22"/>
                <w:szCs w:val="22"/>
                <w:lang w:val="fr-FR"/>
              </w:rPr>
              <w:t xml:space="preserve"> (81</w:t>
            </w:r>
            <w:r w:rsidR="00242348">
              <w:rPr>
                <w:snapToGrid w:val="0"/>
                <w:color w:val="000000"/>
                <w:kern w:val="22"/>
                <w:szCs w:val="22"/>
                <w:lang w:val="fr-FR"/>
              </w:rPr>
              <w:t> </w:t>
            </w:r>
            <w:r w:rsidR="001352E0" w:rsidRPr="00FB67C2">
              <w:rPr>
                <w:snapToGrid w:val="0"/>
                <w:color w:val="000000"/>
                <w:kern w:val="22"/>
                <w:szCs w:val="22"/>
                <w:lang w:val="fr-FR"/>
              </w:rPr>
              <w:t>%</w:t>
            </w:r>
            <w:r w:rsidR="007F0C5D" w:rsidRPr="00FB67C2">
              <w:rPr>
                <w:snapToGrid w:val="0"/>
                <w:color w:val="000000"/>
                <w:kern w:val="22"/>
                <w:szCs w:val="22"/>
                <w:lang w:val="fr-FR"/>
              </w:rPr>
              <w:t>)</w:t>
            </w:r>
          </w:p>
        </w:tc>
      </w:tr>
    </w:tbl>
    <w:p w:rsidR="0042152A" w:rsidRPr="00FB67C2" w:rsidRDefault="00B97A1C" w:rsidP="0086177B">
      <w:pPr>
        <w:pStyle w:val="Para1"/>
        <w:numPr>
          <w:ilvl w:val="0"/>
          <w:numId w:val="0"/>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 </w:t>
      </w:r>
    </w:p>
    <w:p w:rsidR="00F651C8" w:rsidRPr="00FB67C2" w:rsidRDefault="00D727D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 xml:space="preserve">Le financement en provenance du </w:t>
      </w:r>
      <w:r w:rsidR="00005B59" w:rsidRPr="00FB67C2">
        <w:rPr>
          <w:kern w:val="22"/>
          <w:szCs w:val="22"/>
          <w:lang w:val="fr-FR"/>
        </w:rPr>
        <w:t xml:space="preserve">Fonds d’affectation spéciale volontaire BZ </w:t>
      </w:r>
      <w:r>
        <w:rPr>
          <w:kern w:val="22"/>
          <w:szCs w:val="22"/>
          <w:lang w:val="fr-FR"/>
        </w:rPr>
        <w:t>a été essentiel à la participation de</w:t>
      </w:r>
      <w:r w:rsidR="00005B59" w:rsidRPr="00FB67C2">
        <w:rPr>
          <w:kern w:val="22"/>
          <w:szCs w:val="22"/>
          <w:lang w:val="fr-FR"/>
        </w:rPr>
        <w:t xml:space="preserve"> pays </w:t>
      </w:r>
      <w:r>
        <w:rPr>
          <w:kern w:val="22"/>
          <w:szCs w:val="22"/>
          <w:lang w:val="fr-FR"/>
        </w:rPr>
        <w:t>en développement Parties et d’</w:t>
      </w:r>
      <w:r w:rsidR="00005B59" w:rsidRPr="00FB67C2">
        <w:rPr>
          <w:kern w:val="22"/>
          <w:szCs w:val="22"/>
          <w:lang w:val="fr-FR"/>
        </w:rPr>
        <w:t>économies en transition Parties aux réunions de la Convention et de ses protocoles ces quatre derniers exercices biennaux. En cas de financement</w:t>
      </w:r>
      <w:r>
        <w:rPr>
          <w:kern w:val="22"/>
          <w:szCs w:val="22"/>
          <w:lang w:val="fr-FR"/>
        </w:rPr>
        <w:t xml:space="preserve"> inexistant</w:t>
      </w:r>
      <w:r w:rsidR="00650F49">
        <w:rPr>
          <w:kern w:val="22"/>
          <w:szCs w:val="22"/>
          <w:lang w:val="fr-FR"/>
        </w:rPr>
        <w:t xml:space="preserve">, </w:t>
      </w:r>
      <w:r w:rsidR="00650F49" w:rsidRPr="00FB67C2">
        <w:rPr>
          <w:kern w:val="22"/>
          <w:szCs w:val="22"/>
          <w:lang w:val="fr-FR"/>
        </w:rPr>
        <w:t>le nombre moyen de pays en développement Parties parti</w:t>
      </w:r>
      <w:r w:rsidR="00650F49">
        <w:rPr>
          <w:kern w:val="22"/>
          <w:szCs w:val="22"/>
          <w:lang w:val="fr-FR"/>
        </w:rPr>
        <w:t xml:space="preserve">cipant aux réunions </w:t>
      </w:r>
      <w:r w:rsidR="00650F49" w:rsidRPr="00FB67C2">
        <w:rPr>
          <w:kern w:val="22"/>
          <w:szCs w:val="22"/>
          <w:lang w:val="fr-FR"/>
        </w:rPr>
        <w:t>des quatre exercices biennaux examinés aurait é</w:t>
      </w:r>
      <w:r w:rsidR="00650F49">
        <w:rPr>
          <w:kern w:val="22"/>
          <w:szCs w:val="22"/>
          <w:lang w:val="fr-FR"/>
        </w:rPr>
        <w:t xml:space="preserve">té fortement moins </w:t>
      </w:r>
      <w:r w:rsidR="00650F49" w:rsidRPr="0005762C">
        <w:rPr>
          <w:kern w:val="22"/>
          <w:szCs w:val="22"/>
          <w:lang w:val="fr-FR"/>
        </w:rPr>
        <w:t>élevé,</w:t>
      </w:r>
      <w:r w:rsidRPr="0005762C">
        <w:rPr>
          <w:kern w:val="22"/>
          <w:szCs w:val="22"/>
          <w:lang w:val="fr-FR"/>
        </w:rPr>
        <w:t xml:space="preserve"> en supposant que </w:t>
      </w:r>
      <w:r w:rsidR="00005B59" w:rsidRPr="0005762C">
        <w:rPr>
          <w:kern w:val="22"/>
          <w:szCs w:val="22"/>
          <w:lang w:val="fr-FR"/>
        </w:rPr>
        <w:t xml:space="preserve">les pays admissibles </w:t>
      </w:r>
      <w:r w:rsidRPr="0005762C">
        <w:rPr>
          <w:kern w:val="22"/>
          <w:szCs w:val="22"/>
          <w:lang w:val="fr-FR"/>
        </w:rPr>
        <w:t>n</w:t>
      </w:r>
      <w:r w:rsidR="0005762C">
        <w:rPr>
          <w:kern w:val="22"/>
          <w:szCs w:val="22"/>
          <w:lang w:val="fr-FR"/>
        </w:rPr>
        <w:t>’avaie</w:t>
      </w:r>
      <w:r w:rsidR="00650F49" w:rsidRPr="0005762C">
        <w:rPr>
          <w:kern w:val="22"/>
          <w:szCs w:val="22"/>
          <w:lang w:val="fr-FR"/>
        </w:rPr>
        <w:t xml:space="preserve">nt pas pu </w:t>
      </w:r>
      <w:r w:rsidRPr="0005762C">
        <w:rPr>
          <w:kern w:val="22"/>
          <w:szCs w:val="22"/>
          <w:lang w:val="fr-FR"/>
        </w:rPr>
        <w:t>obtenir un autre moyen</w:t>
      </w:r>
      <w:r w:rsidR="00005B59" w:rsidRPr="0005762C">
        <w:rPr>
          <w:kern w:val="22"/>
          <w:szCs w:val="22"/>
          <w:lang w:val="fr-FR"/>
        </w:rPr>
        <w:t xml:space="preserve"> de financement pour </w:t>
      </w:r>
      <w:r w:rsidR="00805681" w:rsidRPr="0005762C">
        <w:rPr>
          <w:kern w:val="22"/>
          <w:szCs w:val="22"/>
          <w:lang w:val="fr-FR"/>
        </w:rPr>
        <w:t>participer à une réunion</w:t>
      </w:r>
      <w:r w:rsidR="00005B59" w:rsidRPr="0005762C">
        <w:rPr>
          <w:kern w:val="22"/>
          <w:szCs w:val="22"/>
          <w:lang w:val="fr-FR"/>
        </w:rPr>
        <w:t>, (voir tableau 2). La participation des Parties admissib</w:t>
      </w:r>
      <w:r w:rsidR="00650F49" w:rsidRPr="0005762C">
        <w:rPr>
          <w:kern w:val="22"/>
          <w:szCs w:val="22"/>
          <w:lang w:val="fr-FR"/>
        </w:rPr>
        <w:t xml:space="preserve">les aux réunions intersessions (SBSTTA, WGRI/SBI </w:t>
      </w:r>
      <w:r w:rsidR="0005762C" w:rsidRPr="0005762C">
        <w:rPr>
          <w:kern w:val="22"/>
          <w:szCs w:val="22"/>
          <w:lang w:val="fr-FR"/>
        </w:rPr>
        <w:t>et</w:t>
      </w:r>
      <w:r w:rsidR="00650F49" w:rsidRPr="0005762C">
        <w:rPr>
          <w:kern w:val="22"/>
          <w:szCs w:val="22"/>
          <w:lang w:val="fr-FR"/>
        </w:rPr>
        <w:t xml:space="preserve"> WG8J</w:t>
      </w:r>
      <w:r w:rsidR="00005B59" w:rsidRPr="0005762C">
        <w:rPr>
          <w:kern w:val="22"/>
          <w:szCs w:val="22"/>
          <w:lang w:val="fr-FR"/>
        </w:rPr>
        <w:t>) aurait été réduite d’environ 60 % (de 48 % à 76 %). La participation aux réunions de la Conférence des Parties, à celles de la Conférence des Parties siégeant en tant que réunion des Parties au Protocole de Cartagena et à celles de la Conférence des Parties siégeant en tant que réunion des Parties au Protocole</w:t>
      </w:r>
      <w:r w:rsidR="004E6606" w:rsidRPr="0005762C">
        <w:rPr>
          <w:kern w:val="22"/>
          <w:szCs w:val="22"/>
          <w:lang w:val="fr-FR"/>
        </w:rPr>
        <w:t xml:space="preserve"> de Nagoya aurait été réduite d’environ</w:t>
      </w:r>
      <w:r w:rsidR="00005B59" w:rsidRPr="0005762C">
        <w:rPr>
          <w:kern w:val="22"/>
          <w:szCs w:val="22"/>
          <w:lang w:val="fr-FR"/>
        </w:rPr>
        <w:t xml:space="preserve"> 20 %, </w:t>
      </w:r>
      <w:r w:rsidR="004E6606" w:rsidRPr="0005762C">
        <w:rPr>
          <w:kern w:val="22"/>
          <w:szCs w:val="22"/>
          <w:lang w:val="fr-FR"/>
        </w:rPr>
        <w:t>40 % et </w:t>
      </w:r>
      <w:r w:rsidR="00005B59" w:rsidRPr="0005762C">
        <w:rPr>
          <w:kern w:val="22"/>
          <w:szCs w:val="22"/>
          <w:lang w:val="fr-FR"/>
        </w:rPr>
        <w:t xml:space="preserve">30 % respectivement. </w:t>
      </w:r>
      <w:r w:rsidR="004E6606" w:rsidRPr="0005762C">
        <w:rPr>
          <w:kern w:val="22"/>
          <w:szCs w:val="22"/>
          <w:lang w:val="fr-FR"/>
        </w:rPr>
        <w:t>La non-allocation</w:t>
      </w:r>
      <w:r w:rsidR="00005B59" w:rsidRPr="0005762C">
        <w:rPr>
          <w:kern w:val="22"/>
          <w:szCs w:val="22"/>
          <w:lang w:val="fr-FR"/>
        </w:rPr>
        <w:t xml:space="preserve"> </w:t>
      </w:r>
      <w:r w:rsidR="004E6606" w:rsidRPr="0005762C">
        <w:rPr>
          <w:kern w:val="22"/>
          <w:szCs w:val="22"/>
          <w:lang w:val="fr-FR"/>
        </w:rPr>
        <w:t>de financement</w:t>
      </w:r>
      <w:r w:rsidR="00005B59" w:rsidRPr="0005762C">
        <w:rPr>
          <w:kern w:val="22"/>
          <w:szCs w:val="22"/>
          <w:lang w:val="fr-FR"/>
        </w:rPr>
        <w:t xml:space="preserve"> du Fonds BZ aurait exercé un effet marquant sur la participation des petits États insulaires en développement et des pays les moins avancés aux réunions des organes subsidiaires et associés de la Convention, étant entendu qu’environ 80 à 90 % de ces pays dépendent </w:t>
      </w:r>
      <w:r w:rsidR="004E6606" w:rsidRPr="0005762C">
        <w:rPr>
          <w:kern w:val="22"/>
          <w:szCs w:val="22"/>
          <w:lang w:val="fr-FR"/>
        </w:rPr>
        <w:t>des ressources</w:t>
      </w:r>
      <w:r w:rsidR="004E6606">
        <w:rPr>
          <w:kern w:val="22"/>
          <w:szCs w:val="22"/>
          <w:lang w:val="fr-FR"/>
        </w:rPr>
        <w:t xml:space="preserve"> du</w:t>
      </w:r>
      <w:r w:rsidR="00005B59" w:rsidRPr="00FB67C2">
        <w:rPr>
          <w:kern w:val="22"/>
          <w:szCs w:val="22"/>
          <w:lang w:val="fr-FR"/>
        </w:rPr>
        <w:t xml:space="preserve"> Fonds BZ</w:t>
      </w:r>
      <w:r w:rsidR="00F651C8" w:rsidRPr="00FB67C2">
        <w:rPr>
          <w:kern w:val="22"/>
          <w:szCs w:val="22"/>
          <w:lang w:val="fr-FR"/>
        </w:rPr>
        <w:t>.</w:t>
      </w:r>
    </w:p>
    <w:p w:rsidR="00F651C8" w:rsidRPr="00FB67C2" w:rsidRDefault="00005B59"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En outre, dans l’hypothèse précédemment mentionnée de</w:t>
      </w:r>
      <w:r w:rsidR="0057175E">
        <w:rPr>
          <w:kern w:val="22"/>
          <w:szCs w:val="22"/>
          <w:lang w:val="fr-FR"/>
        </w:rPr>
        <w:t xml:space="preserve"> non-allocation de</w:t>
      </w:r>
      <w:r w:rsidRPr="00FB67C2">
        <w:rPr>
          <w:kern w:val="22"/>
          <w:szCs w:val="22"/>
          <w:lang w:val="fr-FR"/>
        </w:rPr>
        <w:t xml:space="preserve"> </w:t>
      </w:r>
      <w:r w:rsidR="0057175E">
        <w:rPr>
          <w:kern w:val="22"/>
          <w:szCs w:val="22"/>
          <w:lang w:val="fr-FR"/>
        </w:rPr>
        <w:t>financement</w:t>
      </w:r>
      <w:r w:rsidRPr="00FB67C2">
        <w:rPr>
          <w:kern w:val="22"/>
          <w:szCs w:val="22"/>
          <w:lang w:val="fr-FR"/>
        </w:rPr>
        <w:t xml:space="preserve">, la présence de 16 à 21 Parties participant aux réunions de la Conférence des Parties aurait été </w:t>
      </w:r>
      <w:r w:rsidR="0057175E">
        <w:rPr>
          <w:kern w:val="22"/>
          <w:szCs w:val="22"/>
          <w:lang w:val="fr-FR"/>
        </w:rPr>
        <w:t>assurée par des</w:t>
      </w:r>
      <w:r w:rsidRPr="00FB67C2">
        <w:rPr>
          <w:kern w:val="22"/>
          <w:szCs w:val="22"/>
          <w:lang w:val="fr-FR"/>
        </w:rPr>
        <w:t xml:space="preserve"> délégation</w:t>
      </w:r>
      <w:r w:rsidR="00C725D9">
        <w:rPr>
          <w:kern w:val="22"/>
          <w:szCs w:val="22"/>
          <w:lang w:val="fr-FR"/>
        </w:rPr>
        <w:t>s comptant seulement un seul</w:t>
      </w:r>
      <w:r w:rsidRPr="00FB67C2">
        <w:rPr>
          <w:kern w:val="22"/>
          <w:szCs w:val="22"/>
          <w:lang w:val="fr-FR"/>
        </w:rPr>
        <w:t xml:space="preserve"> participant</w:t>
      </w:r>
      <w:r w:rsidR="00C725D9">
        <w:rPr>
          <w:kern w:val="22"/>
          <w:szCs w:val="22"/>
          <w:lang w:val="fr-FR"/>
        </w:rPr>
        <w:t>,</w:t>
      </w:r>
      <w:r w:rsidRPr="00FB67C2">
        <w:rPr>
          <w:kern w:val="22"/>
          <w:szCs w:val="22"/>
          <w:lang w:val="fr-FR"/>
        </w:rPr>
        <w:t xml:space="preserve"> et 14 à 24 Parties </w:t>
      </w:r>
      <w:r w:rsidR="00C725D9">
        <w:rPr>
          <w:kern w:val="22"/>
          <w:szCs w:val="22"/>
          <w:lang w:val="fr-FR"/>
        </w:rPr>
        <w:t>n’</w:t>
      </w:r>
      <w:r w:rsidRPr="00FB67C2">
        <w:rPr>
          <w:kern w:val="22"/>
          <w:szCs w:val="22"/>
          <w:lang w:val="fr-FR"/>
        </w:rPr>
        <w:t xml:space="preserve">auraient délégué </w:t>
      </w:r>
      <w:r w:rsidR="00C725D9">
        <w:rPr>
          <w:kern w:val="22"/>
          <w:szCs w:val="22"/>
          <w:lang w:val="fr-FR"/>
        </w:rPr>
        <w:t>chacune que deux participants</w:t>
      </w:r>
      <w:r w:rsidRPr="00FB67C2">
        <w:rPr>
          <w:kern w:val="22"/>
          <w:szCs w:val="22"/>
          <w:lang w:val="fr-FR"/>
        </w:rPr>
        <w:t>. En raison de la complexité des réunions de</w:t>
      </w:r>
      <w:r w:rsidR="00C725D9">
        <w:rPr>
          <w:kern w:val="22"/>
          <w:szCs w:val="22"/>
          <w:lang w:val="fr-FR"/>
        </w:rPr>
        <w:t xml:space="preserve"> la Conférence des Parties, cette situation </w:t>
      </w:r>
      <w:r w:rsidRPr="00FB67C2">
        <w:rPr>
          <w:kern w:val="22"/>
          <w:szCs w:val="22"/>
          <w:lang w:val="fr-FR"/>
        </w:rPr>
        <w:t xml:space="preserve">aurait compromis la capacité de ces Parties à participer </w:t>
      </w:r>
      <w:r w:rsidR="00C725D9">
        <w:rPr>
          <w:kern w:val="22"/>
          <w:szCs w:val="22"/>
          <w:lang w:val="fr-FR"/>
        </w:rPr>
        <w:t>effectivement</w:t>
      </w:r>
      <w:r w:rsidRPr="00FB67C2">
        <w:rPr>
          <w:kern w:val="22"/>
          <w:szCs w:val="22"/>
          <w:lang w:val="fr-FR"/>
        </w:rPr>
        <w:t xml:space="preserve"> aux délibéra</w:t>
      </w:r>
      <w:r w:rsidR="00C725D9">
        <w:rPr>
          <w:kern w:val="22"/>
          <w:szCs w:val="22"/>
          <w:lang w:val="fr-FR"/>
        </w:rPr>
        <w:t>tions</w:t>
      </w:r>
      <w:r w:rsidRPr="00FB67C2">
        <w:rPr>
          <w:kern w:val="22"/>
          <w:szCs w:val="22"/>
          <w:lang w:val="fr-FR"/>
        </w:rPr>
        <w:t>.</w:t>
      </w:r>
      <w:r w:rsidR="006E7976">
        <w:rPr>
          <w:kern w:val="22"/>
          <w:szCs w:val="22"/>
          <w:lang w:val="fr-FR"/>
        </w:rPr>
        <w:t xml:space="preserve"> </w:t>
      </w:r>
      <w:r w:rsidRPr="00FB67C2">
        <w:rPr>
          <w:kern w:val="22"/>
          <w:szCs w:val="22"/>
          <w:lang w:val="fr-FR"/>
        </w:rPr>
        <w:t>La question de la taille des délégations risque de devenir de plus en plus importante</w:t>
      </w:r>
      <w:r w:rsidR="00577FD7">
        <w:rPr>
          <w:kern w:val="22"/>
          <w:szCs w:val="22"/>
          <w:lang w:val="fr-FR"/>
        </w:rPr>
        <w:t xml:space="preserve"> car</w:t>
      </w:r>
      <w:r w:rsidRPr="00FB67C2">
        <w:rPr>
          <w:kern w:val="22"/>
          <w:szCs w:val="22"/>
          <w:lang w:val="fr-FR"/>
        </w:rPr>
        <w:t xml:space="preserve"> la Convention </w:t>
      </w:r>
      <w:r w:rsidR="00577FD7">
        <w:rPr>
          <w:kern w:val="22"/>
          <w:szCs w:val="22"/>
          <w:lang w:val="fr-FR"/>
        </w:rPr>
        <w:t xml:space="preserve">a décidé </w:t>
      </w:r>
      <w:r w:rsidRPr="00FB67C2">
        <w:rPr>
          <w:kern w:val="22"/>
          <w:szCs w:val="22"/>
          <w:lang w:val="fr-FR"/>
        </w:rPr>
        <w:t xml:space="preserve">de tenir les réunions de la Conférence des Parties et celles de la Conférence des Parties siégeant en tant que réunion des Parties de façon concomitante. Un certain nombre de Parties a par exemple </w:t>
      </w:r>
      <w:r w:rsidR="00577FD7">
        <w:rPr>
          <w:kern w:val="22"/>
          <w:szCs w:val="22"/>
          <w:lang w:val="fr-FR"/>
        </w:rPr>
        <w:t>signalé</w:t>
      </w:r>
      <w:r w:rsidRPr="00FB67C2">
        <w:rPr>
          <w:kern w:val="22"/>
          <w:szCs w:val="22"/>
          <w:lang w:val="fr-FR"/>
        </w:rPr>
        <w:t xml:space="preserve">, en réponse à </w:t>
      </w:r>
      <w:r w:rsidR="00577FD7">
        <w:rPr>
          <w:kern w:val="22"/>
          <w:szCs w:val="22"/>
          <w:lang w:val="fr-FR"/>
        </w:rPr>
        <w:t>une</w:t>
      </w:r>
      <w:r w:rsidRPr="00FB67C2">
        <w:rPr>
          <w:kern w:val="22"/>
          <w:szCs w:val="22"/>
          <w:lang w:val="fr-FR"/>
        </w:rPr>
        <w:t xml:space="preserve"> notification leur demandant d’exprimer leurs vues sur l’organisation </w:t>
      </w:r>
      <w:r w:rsidR="00577FD7">
        <w:rPr>
          <w:kern w:val="22"/>
          <w:szCs w:val="22"/>
          <w:lang w:val="fr-FR"/>
        </w:rPr>
        <w:t xml:space="preserve">concomitante </w:t>
      </w:r>
      <w:r w:rsidRPr="00FB67C2">
        <w:rPr>
          <w:kern w:val="22"/>
          <w:szCs w:val="22"/>
          <w:lang w:val="fr-FR"/>
        </w:rPr>
        <w:t>des réunions de la treizième Conférence des Parties, de la huitième Conférence des Parties siégeant en tant que réunion des Parties au Protocole de Cartagena et de la deuxième Conférence des Parties siégeant en tant que réunion des Parties au Protocole de Nagoya, que leur participation effective aux réunions dépend</w:t>
      </w:r>
      <w:r w:rsidR="00577FD7">
        <w:rPr>
          <w:kern w:val="22"/>
          <w:szCs w:val="22"/>
          <w:lang w:val="fr-FR"/>
        </w:rPr>
        <w:t>r</w:t>
      </w:r>
      <w:r w:rsidRPr="00FB67C2">
        <w:rPr>
          <w:kern w:val="22"/>
          <w:szCs w:val="22"/>
          <w:lang w:val="fr-FR"/>
        </w:rPr>
        <w:t xml:space="preserve">ait de leur capacité à </w:t>
      </w:r>
      <w:r w:rsidR="00577FD7">
        <w:rPr>
          <w:kern w:val="22"/>
          <w:szCs w:val="22"/>
          <w:lang w:val="fr-FR"/>
        </w:rPr>
        <w:t>doter leur</w:t>
      </w:r>
      <w:r w:rsidRPr="00FB67C2">
        <w:rPr>
          <w:kern w:val="22"/>
          <w:szCs w:val="22"/>
          <w:lang w:val="fr-FR"/>
        </w:rPr>
        <w:t xml:space="preserve"> délégation d’une taille appropriée</w:t>
      </w:r>
      <w:r w:rsidR="00F651C8" w:rsidRPr="00FB67C2">
        <w:rPr>
          <w:kern w:val="22"/>
          <w:szCs w:val="22"/>
          <w:vertAlign w:val="superscript"/>
          <w:lang w:val="fr-FR"/>
        </w:rPr>
        <w:footnoteReference w:id="7"/>
      </w:r>
      <w:r w:rsidRPr="00FB67C2">
        <w:rPr>
          <w:kern w:val="22"/>
          <w:szCs w:val="22"/>
          <w:lang w:val="fr-FR"/>
        </w:rPr>
        <w:t>.</w:t>
      </w:r>
    </w:p>
    <w:p w:rsidR="00467A8E" w:rsidRPr="00FB67C2" w:rsidRDefault="00330882" w:rsidP="0086177B">
      <w:pPr>
        <w:pStyle w:val="Titre1"/>
        <w:keepNext w:val="0"/>
        <w:suppressLineNumbers/>
        <w:suppressAutoHyphens/>
        <w:kinsoku w:val="0"/>
        <w:overflowPunct w:val="0"/>
        <w:autoSpaceDE w:val="0"/>
        <w:autoSpaceDN w:val="0"/>
        <w:adjustRightInd w:val="0"/>
        <w:snapToGrid w:val="0"/>
        <w:rPr>
          <w:snapToGrid w:val="0"/>
          <w:kern w:val="22"/>
          <w:szCs w:val="22"/>
          <w:lang w:val="fr-FR"/>
        </w:rPr>
      </w:pPr>
      <w:r w:rsidRPr="00FB67C2">
        <w:rPr>
          <w:snapToGrid w:val="0"/>
          <w:kern w:val="22"/>
          <w:szCs w:val="22"/>
          <w:lang w:val="fr-FR"/>
        </w:rPr>
        <w:t>I</w:t>
      </w:r>
      <w:r w:rsidR="008B79E4" w:rsidRPr="00FB67C2">
        <w:rPr>
          <w:snapToGrid w:val="0"/>
          <w:kern w:val="22"/>
          <w:szCs w:val="22"/>
          <w:lang w:val="fr-FR"/>
        </w:rPr>
        <w:t>V.</w:t>
      </w:r>
      <w:r w:rsidR="008B79E4" w:rsidRPr="00FB67C2">
        <w:rPr>
          <w:snapToGrid w:val="0"/>
          <w:kern w:val="22"/>
          <w:szCs w:val="22"/>
          <w:lang w:val="fr-FR"/>
        </w:rPr>
        <w:tab/>
      </w:r>
      <w:r w:rsidR="00FB67C2" w:rsidRPr="00FB67C2">
        <w:rPr>
          <w:snapToGrid w:val="0"/>
          <w:kern w:val="22"/>
          <w:szCs w:val="22"/>
          <w:lang w:val="fr-FR"/>
        </w:rPr>
        <w:t>PARTICIPATION DU SECTEUR PRIVÉ DANS LE Fonds d’affectation spÉciale volontaire Bz</w:t>
      </w:r>
    </w:p>
    <w:p w:rsidR="00C12067"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Dans sa décision XIII/32 (paragraphe 36), le Secrétaire exécutif a été invité à étudier des moyens de collaborer officiellement avec le secteur privé pour qu’il soutienne le Fonds d’affectation spéciale de contributions volontaires BZ, et de développer davantage les modalités des contributions du secteur privé de façon à garantir leur transparence</w:t>
      </w:r>
      <w:r w:rsidR="00467A8E" w:rsidRPr="00FB67C2">
        <w:rPr>
          <w:kern w:val="22"/>
          <w:szCs w:val="22"/>
          <w:lang w:val="fr-FR"/>
        </w:rPr>
        <w:t>.</w:t>
      </w:r>
    </w:p>
    <w:p w:rsidR="00C02CA0"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De nombreux processus ont reconnu le rôle que le secteur privé pourrait jouer pour l’avancement du développement durable et la concrétisation des dimensions environnementales du Programme de développement durable à l’horizon 2030</w:t>
      </w:r>
      <w:r w:rsidRPr="005B2EB4">
        <w:rPr>
          <w:rStyle w:val="Appelnotedebasdep"/>
          <w:kern w:val="22"/>
          <w:sz w:val="22"/>
          <w:szCs w:val="22"/>
          <w:u w:val="none"/>
          <w:vertAlign w:val="superscript"/>
          <w:lang w:val="fr-FR"/>
        </w:rPr>
        <w:footnoteReference w:id="8"/>
      </w:r>
      <w:r w:rsidR="005B2EB4">
        <w:rPr>
          <w:kern w:val="22"/>
          <w:szCs w:val="22"/>
          <w:lang w:val="fr-FR"/>
        </w:rPr>
        <w:t>.</w:t>
      </w:r>
      <w:r w:rsidRPr="00FB67C2">
        <w:rPr>
          <w:kern w:val="22"/>
          <w:szCs w:val="22"/>
          <w:lang w:val="fr-FR"/>
        </w:rPr>
        <w:t xml:space="preserve"> Plusieurs organisations du système des Nations Unies ont </w:t>
      </w:r>
      <w:r w:rsidRPr="00FB67C2">
        <w:rPr>
          <w:kern w:val="22"/>
          <w:szCs w:val="22"/>
          <w:lang w:val="fr-FR"/>
        </w:rPr>
        <w:lastRenderedPageBreak/>
        <w:t>élaboré des politiques ou des orientations sur la manière de gérer les relations nouées avec le secteur privé. Les exemples incluent notamment </w:t>
      </w:r>
      <w:r w:rsidR="00C02CA0" w:rsidRPr="00FB67C2">
        <w:rPr>
          <w:kern w:val="22"/>
          <w:szCs w:val="22"/>
          <w:lang w:val="fr-FR"/>
        </w:rPr>
        <w:t>:</w:t>
      </w:r>
    </w:p>
    <w:p w:rsidR="00C02CA0" w:rsidRPr="00FB67C2" w:rsidRDefault="00FB67C2" w:rsidP="0086177B">
      <w:pPr>
        <w:pStyle w:val="Para1"/>
        <w:numPr>
          <w:ilvl w:val="1"/>
          <w:numId w:val="27"/>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Le Pacte mondial des Nations Unies – Il s’agit d’une initiative volontaire qui a pour ambition de faire avance</w:t>
      </w:r>
      <w:r w:rsidR="00FF6B33">
        <w:rPr>
          <w:kern w:val="22"/>
          <w:szCs w:val="22"/>
          <w:lang w:val="fr-FR"/>
        </w:rPr>
        <w:t>r</w:t>
      </w:r>
      <w:r w:rsidRPr="00FB67C2">
        <w:rPr>
          <w:kern w:val="22"/>
          <w:szCs w:val="22"/>
          <w:lang w:val="fr-FR"/>
        </w:rPr>
        <w:t xml:space="preserve"> les principes universels des droits humains, du travail, de l’environnement et de la lutte anticorruption en assoc</w:t>
      </w:r>
      <w:r w:rsidR="00FF6B33">
        <w:rPr>
          <w:kern w:val="22"/>
          <w:szCs w:val="22"/>
          <w:lang w:val="fr-FR"/>
        </w:rPr>
        <w:t xml:space="preserve">iant activement les entreprises, </w:t>
      </w:r>
      <w:r w:rsidRPr="00FB67C2">
        <w:rPr>
          <w:kern w:val="22"/>
          <w:szCs w:val="22"/>
          <w:lang w:val="fr-FR"/>
        </w:rPr>
        <w:t>en collaboration avec la société civile et les représentants d’organisations syndicales</w:t>
      </w:r>
      <w:r w:rsidRPr="005B2EB4">
        <w:rPr>
          <w:rStyle w:val="Appelnotedebasdep"/>
          <w:kern w:val="22"/>
          <w:sz w:val="22"/>
          <w:szCs w:val="22"/>
          <w:u w:val="none"/>
          <w:vertAlign w:val="superscript"/>
          <w:lang w:val="fr-FR"/>
        </w:rPr>
        <w:footnoteReference w:id="9"/>
      </w:r>
      <w:r w:rsidR="005B2EB4">
        <w:rPr>
          <w:kern w:val="22"/>
          <w:szCs w:val="22"/>
          <w:lang w:val="fr-FR"/>
        </w:rPr>
        <w:t>.</w:t>
      </w:r>
      <w:r w:rsidRPr="00FB67C2">
        <w:rPr>
          <w:kern w:val="22"/>
          <w:szCs w:val="22"/>
          <w:lang w:val="fr-FR"/>
        </w:rPr>
        <w:t xml:space="preserve"> Il fixe dix principes que ses membres conviennent d’intégrer à leurs stratégies d’organisation</w:t>
      </w:r>
      <w:r w:rsidR="00C02CA0" w:rsidRPr="00FB67C2">
        <w:rPr>
          <w:rStyle w:val="Appelnotedebasdep"/>
          <w:kern w:val="22"/>
          <w:sz w:val="22"/>
          <w:szCs w:val="22"/>
          <w:u w:val="none"/>
          <w:vertAlign w:val="superscript"/>
          <w:lang w:val="fr-FR"/>
        </w:rPr>
        <w:footnoteReference w:id="10"/>
      </w:r>
      <w:r w:rsidRPr="00FB67C2">
        <w:rPr>
          <w:kern w:val="22"/>
          <w:szCs w:val="22"/>
          <w:lang w:val="fr-FR"/>
        </w:rPr>
        <w:t> ;</w:t>
      </w:r>
    </w:p>
    <w:p w:rsidR="006C3D82" w:rsidRPr="00FB67C2" w:rsidRDefault="00FB67C2" w:rsidP="0086177B">
      <w:pPr>
        <w:pStyle w:val="Para1"/>
        <w:numPr>
          <w:ilvl w:val="1"/>
          <w:numId w:val="27"/>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Les Directives pour une coopération entre les Nations Unies et le secteur privé fondée sur des principes – Leur objectif est de fixer un cadre susceptible de faciliter la formulation et la mise en œuvre des partenariats conclus entre les Nations Unies et le secteur privé, en sauvegardant l’intégrité, l’impartialité et l</w:t>
      </w:r>
      <w:r w:rsidR="000268BC">
        <w:rPr>
          <w:kern w:val="22"/>
          <w:szCs w:val="22"/>
          <w:lang w:val="fr-FR"/>
        </w:rPr>
        <w:t>’indépendance des Nations Unies</w:t>
      </w:r>
      <w:r w:rsidRPr="00FB67C2">
        <w:rPr>
          <w:kern w:val="22"/>
          <w:szCs w:val="22"/>
          <w:lang w:val="fr-FR"/>
        </w:rPr>
        <w:t xml:space="preserve"> et en prévenant et atténuant tout risque éventuel d’effets négatifs sur les personnes et l’environnement</w:t>
      </w:r>
      <w:r w:rsidR="006C3D82" w:rsidRPr="00FB67C2">
        <w:rPr>
          <w:rStyle w:val="Appelnotedebasdep"/>
          <w:kern w:val="22"/>
          <w:sz w:val="22"/>
          <w:szCs w:val="22"/>
          <w:u w:val="none"/>
          <w:vertAlign w:val="superscript"/>
          <w:lang w:val="fr-FR"/>
        </w:rPr>
        <w:footnoteReference w:id="11"/>
      </w:r>
      <w:r w:rsidRPr="00FB67C2">
        <w:rPr>
          <w:kern w:val="22"/>
          <w:szCs w:val="22"/>
          <w:lang w:val="fr-FR"/>
        </w:rPr>
        <w:t> ;</w:t>
      </w:r>
    </w:p>
    <w:p w:rsidR="00C02CA0" w:rsidRPr="00FB67C2" w:rsidRDefault="00FB67C2" w:rsidP="0086177B">
      <w:pPr>
        <w:pStyle w:val="Para1"/>
        <w:numPr>
          <w:ilvl w:val="1"/>
          <w:numId w:val="27"/>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La Politiqu</w:t>
      </w:r>
      <w:r w:rsidR="000F2A0B">
        <w:rPr>
          <w:kern w:val="22"/>
          <w:szCs w:val="22"/>
          <w:lang w:val="fr-FR"/>
        </w:rPr>
        <w:t>e d’engagement du secteur privé</w:t>
      </w:r>
      <w:r w:rsidRPr="00FB67C2">
        <w:rPr>
          <w:kern w:val="22"/>
          <w:szCs w:val="22"/>
          <w:lang w:val="fr-FR"/>
        </w:rPr>
        <w:t xml:space="preserve"> adoptée par le Programme des Nations Unies pour l’environnement (ONU-Environnement) – Son principal objectif est de repositionner et de consolider les travaux conduits par </w:t>
      </w:r>
      <w:r w:rsidR="007D4E78">
        <w:rPr>
          <w:kern w:val="22"/>
          <w:szCs w:val="22"/>
          <w:lang w:val="fr-FR"/>
        </w:rPr>
        <w:t>le Programme</w:t>
      </w:r>
      <w:r w:rsidRPr="00FB67C2">
        <w:rPr>
          <w:kern w:val="22"/>
          <w:szCs w:val="22"/>
          <w:lang w:val="fr-FR"/>
        </w:rPr>
        <w:t xml:space="preserve"> avec le secteur privé, en donnant la priorité aux </w:t>
      </w:r>
      <w:r w:rsidR="007D4E78">
        <w:rPr>
          <w:kern w:val="22"/>
          <w:szCs w:val="22"/>
          <w:lang w:val="fr-FR"/>
        </w:rPr>
        <w:t xml:space="preserve">possibilités de </w:t>
      </w:r>
      <w:r w:rsidRPr="00FB67C2">
        <w:rPr>
          <w:kern w:val="22"/>
          <w:szCs w:val="22"/>
          <w:lang w:val="fr-FR"/>
        </w:rPr>
        <w:t xml:space="preserve">contributions des entreprises privées et des marchés à la réalisation de la dimension environnementale du développement durable et </w:t>
      </w:r>
      <w:r w:rsidR="000F2A0B">
        <w:rPr>
          <w:kern w:val="22"/>
          <w:szCs w:val="22"/>
          <w:lang w:val="fr-FR"/>
        </w:rPr>
        <w:t>à</w:t>
      </w:r>
      <w:r w:rsidRPr="00FB67C2">
        <w:rPr>
          <w:kern w:val="22"/>
          <w:szCs w:val="22"/>
          <w:lang w:val="fr-FR"/>
        </w:rPr>
        <w:t xml:space="preserve"> la mise en œuvre du Programme de développement durable à l’horizon 2030. La politique souligne que les partenariats stratégiques conclus avec le secteur privé doivent se fonder sur une série d’avantages mutuels clairement définis, ainsi que sur des objectifs à long terme, conformément aux règles et réglementations des Nations Unies. La politique prévoit que le secteur privé pourra fournir un appui logistique et financier à certaines activités d’ONU-Environnement </w:t>
      </w:r>
      <w:r w:rsidR="000F2A0B">
        <w:rPr>
          <w:kern w:val="22"/>
          <w:szCs w:val="22"/>
          <w:lang w:val="fr-FR"/>
        </w:rPr>
        <w:t>dans le respect du</w:t>
      </w:r>
      <w:r w:rsidRPr="00FB67C2">
        <w:rPr>
          <w:kern w:val="22"/>
          <w:szCs w:val="22"/>
          <w:lang w:val="fr-FR"/>
        </w:rPr>
        <w:t xml:space="preserve"> Règlement financier et règles de gestion financière de l’Organisation des Nations Unies </w:t>
      </w:r>
      <w:r w:rsidR="008B79E4" w:rsidRPr="00FB67C2">
        <w:rPr>
          <w:kern w:val="22"/>
          <w:szCs w:val="22"/>
          <w:lang w:val="fr-FR"/>
        </w:rPr>
        <w:t>;</w:t>
      </w:r>
    </w:p>
    <w:p w:rsidR="00A46C5D" w:rsidRPr="00FB67C2" w:rsidRDefault="00FB67C2" w:rsidP="0086177B">
      <w:pPr>
        <w:pStyle w:val="Para1"/>
        <w:numPr>
          <w:ilvl w:val="1"/>
          <w:numId w:val="27"/>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Les Directives relatives aux partenariats du Secrétariat de la CCNUCC – Elles stipulent que les partenariats </w:t>
      </w:r>
      <w:r w:rsidR="00151E2B">
        <w:rPr>
          <w:kern w:val="22"/>
          <w:szCs w:val="22"/>
          <w:lang w:val="fr-FR"/>
        </w:rPr>
        <w:t>doivent</w:t>
      </w:r>
      <w:r w:rsidRPr="00FB67C2">
        <w:rPr>
          <w:kern w:val="22"/>
          <w:szCs w:val="22"/>
          <w:lang w:val="fr-FR"/>
        </w:rPr>
        <w:t xml:space="preserve"> directement ou indirectement appuyer les activités du Secrétariat de la CCNUCC, et l’aider à renforcer les compétences, les savoir-faire et les autres ressources utiles ou propices à l’accomplissement de son mandat. Elles décrivent</w:t>
      </w:r>
      <w:r w:rsidR="00151E2B">
        <w:rPr>
          <w:kern w:val="22"/>
          <w:szCs w:val="22"/>
          <w:lang w:val="fr-FR"/>
        </w:rPr>
        <w:t xml:space="preserve"> </w:t>
      </w:r>
      <w:r w:rsidRPr="00FB67C2">
        <w:rPr>
          <w:kern w:val="22"/>
          <w:szCs w:val="22"/>
          <w:lang w:val="fr-FR"/>
        </w:rPr>
        <w:t>la façon dont le Secrétariat sélectionne ses partenaires et définissent l’objet</w:t>
      </w:r>
      <w:r w:rsidR="00151E2B">
        <w:rPr>
          <w:kern w:val="22"/>
          <w:szCs w:val="22"/>
          <w:lang w:val="fr-FR"/>
        </w:rPr>
        <w:t>, les avantages et le</w:t>
      </w:r>
      <w:r w:rsidR="00151E2B" w:rsidRPr="00FB67C2">
        <w:rPr>
          <w:kern w:val="22"/>
          <w:szCs w:val="22"/>
          <w:lang w:val="fr-FR"/>
        </w:rPr>
        <w:t>s principes directeurs</w:t>
      </w:r>
      <w:r w:rsidR="00C94B22">
        <w:rPr>
          <w:kern w:val="22"/>
          <w:szCs w:val="22"/>
          <w:lang w:val="fr-FR"/>
        </w:rPr>
        <w:t xml:space="preserve"> des partenariats</w:t>
      </w:r>
      <w:r w:rsidRPr="00FB67C2">
        <w:rPr>
          <w:kern w:val="22"/>
          <w:szCs w:val="22"/>
          <w:lang w:val="fr-FR"/>
        </w:rPr>
        <w:t xml:space="preserve">. Elles ont pour ambition de faciliter la conclusion de partenariats et d’atténuer tout risque politique ou d’image éventuel, ainsi que tout conflit d’intérêt qui serait lié aux partenariats, </w:t>
      </w:r>
      <w:r w:rsidR="00151E2B">
        <w:rPr>
          <w:kern w:val="22"/>
          <w:szCs w:val="22"/>
          <w:lang w:val="fr-FR"/>
        </w:rPr>
        <w:t>et fixe</w:t>
      </w:r>
      <w:r w:rsidRPr="00FB67C2">
        <w:rPr>
          <w:kern w:val="22"/>
          <w:szCs w:val="22"/>
          <w:lang w:val="fr-FR"/>
        </w:rPr>
        <w:t>nt</w:t>
      </w:r>
      <w:r w:rsidR="00151E2B">
        <w:rPr>
          <w:kern w:val="22"/>
          <w:szCs w:val="22"/>
          <w:lang w:val="fr-FR"/>
        </w:rPr>
        <w:t xml:space="preserve"> pour ce faire</w:t>
      </w:r>
      <w:r w:rsidRPr="00FB67C2">
        <w:rPr>
          <w:kern w:val="22"/>
          <w:szCs w:val="22"/>
          <w:lang w:val="fr-FR"/>
        </w:rPr>
        <w:t xml:space="preserve"> une série de principes directeurs applicables aux arrangements</w:t>
      </w:r>
      <w:r w:rsidR="00A46C5D" w:rsidRPr="00FB67C2">
        <w:rPr>
          <w:rStyle w:val="Appelnotedebasdep"/>
          <w:kern w:val="22"/>
          <w:sz w:val="22"/>
          <w:szCs w:val="22"/>
          <w:u w:val="none"/>
          <w:vertAlign w:val="superscript"/>
          <w:lang w:val="fr-FR"/>
        </w:rPr>
        <w:footnoteReference w:id="12"/>
      </w:r>
      <w:r w:rsidRPr="00FB67C2">
        <w:rPr>
          <w:kern w:val="22"/>
          <w:szCs w:val="22"/>
          <w:lang w:val="fr-FR"/>
        </w:rPr>
        <w:t> ;</w:t>
      </w:r>
    </w:p>
    <w:p w:rsidR="00A14116"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D’une manière générale, les politiques existantes sont axées sur la participation du secteur privé </w:t>
      </w:r>
      <w:r w:rsidR="00557A42">
        <w:rPr>
          <w:kern w:val="22"/>
          <w:szCs w:val="22"/>
          <w:lang w:val="fr-FR"/>
        </w:rPr>
        <w:t>aux appuis fournis aux</w:t>
      </w:r>
      <w:r w:rsidRPr="00FB67C2">
        <w:rPr>
          <w:kern w:val="22"/>
          <w:szCs w:val="22"/>
          <w:lang w:val="fr-FR"/>
        </w:rPr>
        <w:t xml:space="preserve"> projets ou </w:t>
      </w:r>
      <w:r w:rsidR="00557A42">
        <w:rPr>
          <w:kern w:val="22"/>
          <w:szCs w:val="22"/>
          <w:lang w:val="fr-FR"/>
        </w:rPr>
        <w:t>aux</w:t>
      </w:r>
      <w:r w:rsidRPr="00FB67C2">
        <w:rPr>
          <w:kern w:val="22"/>
          <w:szCs w:val="22"/>
          <w:lang w:val="fr-FR"/>
        </w:rPr>
        <w:t xml:space="preserve"> programmes. Elles sont ainsi relativement générales par nature. </w:t>
      </w:r>
      <w:r w:rsidR="00557A42">
        <w:rPr>
          <w:kern w:val="22"/>
          <w:szCs w:val="22"/>
          <w:lang w:val="fr-FR"/>
        </w:rPr>
        <w:t>S</w:t>
      </w:r>
      <w:r w:rsidRPr="00FB67C2">
        <w:rPr>
          <w:kern w:val="22"/>
          <w:szCs w:val="22"/>
          <w:lang w:val="fr-FR"/>
        </w:rPr>
        <w:t xml:space="preserve">i elles n’interdisent pas la participation du secteur privé au </w:t>
      </w:r>
      <w:r w:rsidR="007714B7">
        <w:rPr>
          <w:kern w:val="22"/>
          <w:szCs w:val="22"/>
          <w:lang w:val="fr-FR"/>
        </w:rPr>
        <w:t>financement des déplacements de</w:t>
      </w:r>
      <w:r w:rsidRPr="00FB67C2">
        <w:rPr>
          <w:kern w:val="22"/>
          <w:szCs w:val="22"/>
          <w:lang w:val="fr-FR"/>
        </w:rPr>
        <w:t xml:space="preserve"> participants de pays admissibles, elles ne se prononcent pas non plus expressément à son sujet</w:t>
      </w:r>
      <w:r w:rsidR="00A14116" w:rsidRPr="00FB67C2">
        <w:rPr>
          <w:kern w:val="22"/>
          <w:szCs w:val="22"/>
          <w:lang w:val="fr-FR"/>
        </w:rPr>
        <w:t>.</w:t>
      </w:r>
    </w:p>
    <w:p w:rsidR="00F651C8" w:rsidRPr="00FB67C2" w:rsidRDefault="00EB7FE4"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Pr>
          <w:kern w:val="22"/>
          <w:szCs w:val="22"/>
          <w:lang w:val="fr-FR"/>
        </w:rPr>
        <w:t>L</w:t>
      </w:r>
      <w:r w:rsidR="00FB67C2" w:rsidRPr="00FB67C2">
        <w:rPr>
          <w:kern w:val="22"/>
          <w:szCs w:val="22"/>
          <w:lang w:val="fr-FR"/>
        </w:rPr>
        <w:t xml:space="preserve">e Secrétariat n’a reçu </w:t>
      </w:r>
      <w:r>
        <w:rPr>
          <w:kern w:val="22"/>
          <w:szCs w:val="22"/>
          <w:lang w:val="fr-FR"/>
        </w:rPr>
        <w:t xml:space="preserve">à ce jour </w:t>
      </w:r>
      <w:r w:rsidR="00FB67C2" w:rsidRPr="00FB67C2">
        <w:rPr>
          <w:kern w:val="22"/>
          <w:szCs w:val="22"/>
          <w:lang w:val="fr-FR"/>
        </w:rPr>
        <w:t>aucune contribution officielle de la part du secteur privé</w:t>
      </w:r>
      <w:r w:rsidR="009E49C6">
        <w:rPr>
          <w:kern w:val="22"/>
          <w:szCs w:val="22"/>
          <w:lang w:val="fr-FR"/>
        </w:rPr>
        <w:t xml:space="preserve"> pour le</w:t>
      </w:r>
      <w:r w:rsidR="00FB67C2" w:rsidRPr="00FB67C2">
        <w:rPr>
          <w:kern w:val="22"/>
          <w:szCs w:val="22"/>
          <w:lang w:val="fr-FR"/>
        </w:rPr>
        <w:t xml:space="preserve"> Fonds d’affectation spéciale volontaire BZ, ni aucun appui de sa part pour la participation de pays en développement aux réunions de la Convention et de ses protocoles. De même</w:t>
      </w:r>
      <w:r w:rsidR="006A2845">
        <w:rPr>
          <w:kern w:val="22"/>
          <w:szCs w:val="22"/>
          <w:lang w:val="fr-FR"/>
        </w:rPr>
        <w:t xml:space="preserve">, le Secrétariat n’a reçu </w:t>
      </w:r>
      <w:r w:rsidR="00FB67C2" w:rsidRPr="00FB67C2">
        <w:rPr>
          <w:kern w:val="22"/>
          <w:szCs w:val="22"/>
          <w:lang w:val="fr-FR"/>
        </w:rPr>
        <w:t>aucune offre en ce sens</w:t>
      </w:r>
      <w:r w:rsidR="006A2845">
        <w:rPr>
          <w:kern w:val="22"/>
          <w:szCs w:val="22"/>
          <w:lang w:val="fr-FR"/>
        </w:rPr>
        <w:t xml:space="preserve"> de la part du secteur privé</w:t>
      </w:r>
      <w:r w:rsidR="00F651C8" w:rsidRPr="00FB67C2">
        <w:rPr>
          <w:kern w:val="22"/>
          <w:szCs w:val="22"/>
          <w:lang w:val="fr-FR"/>
        </w:rPr>
        <w:t>.</w:t>
      </w:r>
    </w:p>
    <w:p w:rsidR="00B2606B"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Au niveau du système des Nations Unies, les exemples de contributions du secteur privé à la participation de Parties aux réunions, ou de dépendance à son égard </w:t>
      </w:r>
      <w:r w:rsidR="006A2845">
        <w:rPr>
          <w:kern w:val="22"/>
          <w:szCs w:val="22"/>
          <w:lang w:val="fr-FR"/>
        </w:rPr>
        <w:t>pour</w:t>
      </w:r>
      <w:r w:rsidRPr="00FB67C2">
        <w:rPr>
          <w:kern w:val="22"/>
          <w:szCs w:val="22"/>
          <w:lang w:val="fr-FR"/>
        </w:rPr>
        <w:t xml:space="preserve"> ce domaine, sont limités. La Convention sur le commerce international des espèces de faune et de flore sauvages menacées d’extinction (CITES) a </w:t>
      </w:r>
      <w:r w:rsidR="006A2845">
        <w:rPr>
          <w:kern w:val="22"/>
          <w:szCs w:val="22"/>
          <w:lang w:val="fr-FR"/>
        </w:rPr>
        <w:t xml:space="preserve">toutefois </w:t>
      </w:r>
      <w:r w:rsidRPr="00FB67C2">
        <w:rPr>
          <w:kern w:val="22"/>
          <w:szCs w:val="22"/>
          <w:lang w:val="fr-FR"/>
        </w:rPr>
        <w:t xml:space="preserve">récemment étudié des moyens d’associer le secteur privé au financement </w:t>
      </w:r>
      <w:r w:rsidRPr="00FB67C2">
        <w:rPr>
          <w:kern w:val="22"/>
          <w:szCs w:val="22"/>
          <w:lang w:val="fr-FR"/>
        </w:rPr>
        <w:lastRenderedPageBreak/>
        <w:t xml:space="preserve">de la venue de participants à </w:t>
      </w:r>
      <w:r w:rsidR="006A2845">
        <w:rPr>
          <w:kern w:val="22"/>
          <w:szCs w:val="22"/>
          <w:lang w:val="fr-FR"/>
        </w:rPr>
        <w:t>des</w:t>
      </w:r>
      <w:r w:rsidRPr="00FB67C2">
        <w:rPr>
          <w:kern w:val="22"/>
          <w:szCs w:val="22"/>
          <w:lang w:val="fr-FR"/>
        </w:rPr>
        <w:t xml:space="preserve"> réunions. À ce jour, aucune contribution n’a été reçue d’une organisation du secteur privé pour financer le déplacement de participants de pays admissibles </w:t>
      </w:r>
      <w:r w:rsidR="00621751">
        <w:rPr>
          <w:kern w:val="22"/>
          <w:szCs w:val="22"/>
          <w:lang w:val="fr-FR"/>
        </w:rPr>
        <w:t>aux</w:t>
      </w:r>
      <w:r w:rsidRPr="00FB67C2">
        <w:rPr>
          <w:kern w:val="22"/>
          <w:szCs w:val="22"/>
          <w:lang w:val="fr-FR"/>
        </w:rPr>
        <w:t xml:space="preserve"> réunions. La CITES a toutefois sécurisé des </w:t>
      </w:r>
      <w:r w:rsidR="00621751">
        <w:rPr>
          <w:kern w:val="22"/>
          <w:szCs w:val="22"/>
          <w:lang w:val="fr-FR"/>
        </w:rPr>
        <w:t>ressources</w:t>
      </w:r>
      <w:r w:rsidRPr="00FB67C2">
        <w:rPr>
          <w:kern w:val="22"/>
          <w:szCs w:val="22"/>
          <w:lang w:val="fr-FR"/>
        </w:rPr>
        <w:t xml:space="preserve"> pour financer la participation à certaines réunions</w:t>
      </w:r>
      <w:r w:rsidR="004D5EFC">
        <w:rPr>
          <w:kern w:val="22"/>
          <w:szCs w:val="22"/>
          <w:lang w:val="fr-FR"/>
        </w:rPr>
        <w:t>,</w:t>
      </w:r>
      <w:r w:rsidRPr="00FB67C2">
        <w:rPr>
          <w:kern w:val="22"/>
          <w:szCs w:val="22"/>
          <w:lang w:val="fr-FR"/>
        </w:rPr>
        <w:t xml:space="preserve"> auprès de plusieurs organismes ou fonds caritatifs établis par des organisations du secteur privé. La Convention de </w:t>
      </w:r>
      <w:proofErr w:type="spellStart"/>
      <w:r w:rsidRPr="00FB67C2">
        <w:rPr>
          <w:kern w:val="22"/>
          <w:szCs w:val="22"/>
          <w:lang w:val="fr-FR"/>
        </w:rPr>
        <w:t>Ramsar</w:t>
      </w:r>
      <w:proofErr w:type="spellEnd"/>
      <w:r w:rsidRPr="00FB67C2">
        <w:rPr>
          <w:kern w:val="22"/>
          <w:szCs w:val="22"/>
          <w:lang w:val="fr-FR"/>
        </w:rPr>
        <w:t xml:space="preserve"> sur les zones humides</w:t>
      </w:r>
      <w:r w:rsidR="004D5EFC">
        <w:rPr>
          <w:kern w:val="22"/>
          <w:szCs w:val="22"/>
          <w:lang w:val="fr-FR"/>
        </w:rPr>
        <w:t xml:space="preserve"> a également agi en ce sens</w:t>
      </w:r>
      <w:r w:rsidR="008C2905" w:rsidRPr="00FB67C2">
        <w:rPr>
          <w:kern w:val="22"/>
          <w:szCs w:val="22"/>
          <w:lang w:val="fr-FR"/>
        </w:rPr>
        <w:t>.</w:t>
      </w:r>
    </w:p>
    <w:p w:rsidR="008C2905"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Si la participation du secteur privé au Fonds d’affectation spéciale volontaire BZ pourrait, en théorie, accroître le montant des ressources disponibles, elle poserait également plusieurs difficultés à résoudre.</w:t>
      </w:r>
      <w:r w:rsidR="006E7976">
        <w:rPr>
          <w:kern w:val="22"/>
          <w:szCs w:val="22"/>
          <w:lang w:val="fr-FR"/>
        </w:rPr>
        <w:t xml:space="preserve"> </w:t>
      </w:r>
      <w:r w:rsidRPr="00FB67C2">
        <w:rPr>
          <w:kern w:val="22"/>
          <w:szCs w:val="22"/>
          <w:lang w:val="fr-FR"/>
        </w:rPr>
        <w:t>Par exemple </w:t>
      </w:r>
      <w:r w:rsidR="008C2905" w:rsidRPr="00FB67C2">
        <w:rPr>
          <w:kern w:val="22"/>
          <w:szCs w:val="22"/>
          <w:lang w:val="fr-FR"/>
        </w:rPr>
        <w:t>:</w:t>
      </w:r>
    </w:p>
    <w:p w:rsidR="008C2905" w:rsidRPr="00FB67C2" w:rsidRDefault="00621A76" w:rsidP="0086177B">
      <w:pPr>
        <w:pStyle w:val="Para1"/>
        <w:numPr>
          <w:ilvl w:val="1"/>
          <w:numId w:val="28"/>
        </w:numPr>
        <w:suppressLineNumbers/>
        <w:suppressAutoHyphens/>
        <w:kinsoku w:val="0"/>
        <w:overflowPunct w:val="0"/>
        <w:autoSpaceDE w:val="0"/>
        <w:autoSpaceDN w:val="0"/>
        <w:adjustRightInd w:val="0"/>
        <w:snapToGrid w:val="0"/>
        <w:rPr>
          <w:kern w:val="22"/>
          <w:szCs w:val="22"/>
          <w:lang w:val="fr-FR"/>
        </w:rPr>
      </w:pPr>
      <w:r>
        <w:rPr>
          <w:kern w:val="22"/>
          <w:szCs w:val="22"/>
          <w:lang w:val="fr-FR"/>
        </w:rPr>
        <w:t>La question du jeu d’influence éventuel</w:t>
      </w:r>
      <w:r w:rsidR="00FB67C2" w:rsidRPr="00FB67C2">
        <w:rPr>
          <w:kern w:val="22"/>
          <w:szCs w:val="22"/>
          <w:lang w:val="fr-FR"/>
        </w:rPr>
        <w:t xml:space="preserve"> des organisations du secteur privé sur le fonctionnement de la Convention et de ses protocoles nécessiterait d’être examinée. Elle concerne leur </w:t>
      </w:r>
      <w:r w:rsidR="00DC4433">
        <w:rPr>
          <w:kern w:val="22"/>
          <w:szCs w:val="22"/>
          <w:lang w:val="fr-FR"/>
        </w:rPr>
        <w:t xml:space="preserve">jeu d’influence réel ou perçu </w:t>
      </w:r>
      <w:r w:rsidR="00FB67C2" w:rsidRPr="00FB67C2">
        <w:rPr>
          <w:kern w:val="22"/>
          <w:szCs w:val="22"/>
          <w:lang w:val="fr-FR"/>
        </w:rPr>
        <w:t>et pourrait s’étendre aux situations dans lesquelles les dons sont anonymes </w:t>
      </w:r>
      <w:r w:rsidR="002E1F76" w:rsidRPr="00FB67C2">
        <w:rPr>
          <w:kern w:val="22"/>
          <w:szCs w:val="22"/>
          <w:lang w:val="fr-FR"/>
        </w:rPr>
        <w:t>;</w:t>
      </w:r>
    </w:p>
    <w:p w:rsidR="008C2905" w:rsidRPr="00FB67C2" w:rsidRDefault="00FB67C2" w:rsidP="0086177B">
      <w:pPr>
        <w:pStyle w:val="Para1"/>
        <w:numPr>
          <w:ilvl w:val="1"/>
          <w:numId w:val="28"/>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La recherche active de sources de financement privées à destination du Fonds BZ pourrait détourner l’attention portée aux autres travaux conduits au titre de la Convention et de ses protocoles dans ce domaine, notamment ceux </w:t>
      </w:r>
      <w:r w:rsidR="00DC4433">
        <w:rPr>
          <w:kern w:val="22"/>
          <w:szCs w:val="22"/>
          <w:lang w:val="fr-FR"/>
        </w:rPr>
        <w:t>sur</w:t>
      </w:r>
      <w:r w:rsidRPr="00FB67C2">
        <w:rPr>
          <w:kern w:val="22"/>
          <w:szCs w:val="22"/>
          <w:lang w:val="fr-FR"/>
        </w:rPr>
        <w:t xml:space="preserve"> l’intégration de la diversité biologique dans les secteurs économique et productif ou</w:t>
      </w:r>
      <w:r w:rsidR="00DC4433">
        <w:rPr>
          <w:kern w:val="22"/>
          <w:szCs w:val="22"/>
          <w:lang w:val="fr-FR"/>
        </w:rPr>
        <w:t xml:space="preserve"> sur</w:t>
      </w:r>
      <w:r w:rsidRPr="00FB67C2">
        <w:rPr>
          <w:kern w:val="22"/>
          <w:szCs w:val="22"/>
          <w:lang w:val="fr-FR"/>
        </w:rPr>
        <w:t xml:space="preserve"> la Plateforme mondiale sur la biodiversité et les entreprises </w:t>
      </w:r>
      <w:r w:rsidR="002E1F76" w:rsidRPr="00FB67C2">
        <w:rPr>
          <w:kern w:val="22"/>
          <w:szCs w:val="22"/>
          <w:lang w:val="fr-FR"/>
        </w:rPr>
        <w:t>;</w:t>
      </w:r>
    </w:p>
    <w:p w:rsidR="008D6685" w:rsidRPr="00FB67C2" w:rsidRDefault="00FB67C2" w:rsidP="0086177B">
      <w:pPr>
        <w:pStyle w:val="Para1"/>
        <w:numPr>
          <w:ilvl w:val="1"/>
          <w:numId w:val="28"/>
        </w:numPr>
        <w:suppressLineNumbers/>
        <w:suppressAutoHyphens/>
        <w:kinsoku w:val="0"/>
        <w:overflowPunct w:val="0"/>
        <w:autoSpaceDE w:val="0"/>
        <w:autoSpaceDN w:val="0"/>
        <w:adjustRightInd w:val="0"/>
        <w:snapToGrid w:val="0"/>
        <w:rPr>
          <w:kern w:val="22"/>
          <w:szCs w:val="22"/>
          <w:lang w:val="fr-FR"/>
        </w:rPr>
      </w:pPr>
      <w:r w:rsidRPr="00FB67C2">
        <w:rPr>
          <w:kern w:val="22"/>
          <w:szCs w:val="22"/>
          <w:lang w:val="fr-FR"/>
        </w:rPr>
        <w:t>Le recensement des organisations du secteur privé réunissant les conditions nécessaires à une collaboration serait délicat et il en irait de même pour la gestion des relations les concernant. Les questions nécessitant d’être examinées concernent par exemple le modèle de collaboration qui devrait être appliqué ; les aspects relatifs au contrôle, au suivi et à l’établissement de rapports ; les moyens de les reconnaître ; les moyens de garantir la transparence ; la résolution des conflits d’intérêt éventuels ; les moyens de s’assurer qu’un partenaire potentiel ne contrevient pas aux directives existantes des Nations Unies ou que son comportement n’a pas été sanctionné. L’établissement de relations appropriées avec des organisations du secteur privé dans ce domaine pourrait ainsi exiger de nombreuses heures de travail du personnel du Secrétariat</w:t>
      </w:r>
      <w:r w:rsidR="00276441" w:rsidRPr="00FB67C2">
        <w:rPr>
          <w:kern w:val="22"/>
          <w:szCs w:val="22"/>
          <w:lang w:val="fr-FR"/>
        </w:rPr>
        <w:t>.</w:t>
      </w:r>
    </w:p>
    <w:p w:rsidR="00B2606B"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En se fondant sur la pratique actuellement suivie par les Nations Unies et les données d’expérience existant à ce jour, il apparaît que le secteur privé serait peu à même de constituer une source de financement stable et fiable pour la participation des pays en développement aux réunions de la Convention, de ses protocoles et de leurs organes subsidiaires et associés. </w:t>
      </w:r>
      <w:r w:rsidR="004560F5">
        <w:rPr>
          <w:kern w:val="22"/>
          <w:szCs w:val="22"/>
          <w:lang w:val="fr-FR"/>
        </w:rPr>
        <w:t>Cette</w:t>
      </w:r>
      <w:r w:rsidRPr="00FB67C2">
        <w:rPr>
          <w:kern w:val="22"/>
          <w:szCs w:val="22"/>
          <w:lang w:val="fr-FR"/>
        </w:rPr>
        <w:t xml:space="preserve"> option pourrait </w:t>
      </w:r>
      <w:r w:rsidR="004560F5">
        <w:rPr>
          <w:kern w:val="22"/>
          <w:szCs w:val="22"/>
          <w:lang w:val="fr-FR"/>
        </w:rPr>
        <w:t xml:space="preserve">même </w:t>
      </w:r>
      <w:r w:rsidRPr="00FB67C2">
        <w:rPr>
          <w:kern w:val="22"/>
          <w:szCs w:val="22"/>
          <w:lang w:val="fr-FR"/>
        </w:rPr>
        <w:t>exposer la Convention sur la diversité bio</w:t>
      </w:r>
      <w:r w:rsidR="004560F5">
        <w:rPr>
          <w:kern w:val="22"/>
          <w:szCs w:val="22"/>
          <w:lang w:val="fr-FR"/>
        </w:rPr>
        <w:t xml:space="preserve">logique à une série de risques </w:t>
      </w:r>
      <w:r w:rsidRPr="00FB67C2">
        <w:rPr>
          <w:kern w:val="22"/>
          <w:szCs w:val="22"/>
          <w:lang w:val="fr-FR"/>
        </w:rPr>
        <w:t>d’image ; mettre en danger son impartialité ; et détourner l’attention portée aux autres activités de la Convention relatives au secteur privé. Compte tenu de ce qui précède, l’Organe subsidiaire chargé de l’application peut souhaiter recommander à la Conférence des Parties de demander que la suite donnée à cette qu</w:t>
      </w:r>
      <w:r w:rsidR="004560F5">
        <w:rPr>
          <w:kern w:val="22"/>
          <w:szCs w:val="22"/>
          <w:lang w:val="fr-FR"/>
        </w:rPr>
        <w:t xml:space="preserve">estion </w:t>
      </w:r>
      <w:r w:rsidR="004560F5" w:rsidRPr="00FB67C2">
        <w:rPr>
          <w:kern w:val="22"/>
          <w:szCs w:val="22"/>
          <w:lang w:val="fr-FR"/>
        </w:rPr>
        <w:t>à l’échelle du système des Nations Unies</w:t>
      </w:r>
      <w:r w:rsidR="004560F5">
        <w:rPr>
          <w:kern w:val="22"/>
          <w:szCs w:val="22"/>
          <w:lang w:val="fr-FR"/>
        </w:rPr>
        <w:t xml:space="preserve"> fasse l’objet d’un suivi</w:t>
      </w:r>
      <w:r w:rsidR="008D6685" w:rsidRPr="00FB67C2">
        <w:rPr>
          <w:kern w:val="22"/>
          <w:szCs w:val="22"/>
          <w:lang w:val="fr-FR"/>
        </w:rPr>
        <w:t>.</w:t>
      </w:r>
    </w:p>
    <w:p w:rsidR="00DE0B1D" w:rsidRPr="00FB67C2" w:rsidRDefault="00967184" w:rsidP="0086177B">
      <w:pPr>
        <w:pStyle w:val="Titre1"/>
        <w:suppressLineNumbers/>
        <w:suppressAutoHyphens/>
        <w:kinsoku w:val="0"/>
        <w:overflowPunct w:val="0"/>
        <w:autoSpaceDE w:val="0"/>
        <w:autoSpaceDN w:val="0"/>
        <w:adjustRightInd w:val="0"/>
        <w:snapToGrid w:val="0"/>
        <w:spacing w:before="120"/>
        <w:rPr>
          <w:snapToGrid w:val="0"/>
          <w:kern w:val="22"/>
          <w:szCs w:val="22"/>
          <w:lang w:val="fr-FR"/>
        </w:rPr>
      </w:pPr>
      <w:r w:rsidRPr="00FB67C2">
        <w:rPr>
          <w:snapToGrid w:val="0"/>
          <w:kern w:val="22"/>
          <w:szCs w:val="22"/>
          <w:lang w:val="fr-FR"/>
        </w:rPr>
        <w:t>VI.</w:t>
      </w:r>
      <w:r w:rsidRPr="00FB67C2">
        <w:rPr>
          <w:snapToGrid w:val="0"/>
          <w:kern w:val="22"/>
          <w:szCs w:val="22"/>
          <w:lang w:val="fr-FR"/>
        </w:rPr>
        <w:tab/>
      </w:r>
      <w:r w:rsidR="00FB67C2" w:rsidRPr="00FB67C2">
        <w:rPr>
          <w:snapToGrid w:val="0"/>
          <w:kern w:val="22"/>
          <w:szCs w:val="22"/>
          <w:lang w:val="fr-FR"/>
        </w:rPr>
        <w:t>Conclusion</w:t>
      </w:r>
    </w:p>
    <w:p w:rsidR="00C75706"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Le montant des ressources fournies au Fonds d’affectation spéciale vol</w:t>
      </w:r>
      <w:r w:rsidR="00442428">
        <w:rPr>
          <w:kern w:val="22"/>
          <w:szCs w:val="22"/>
          <w:lang w:val="fr-FR"/>
        </w:rPr>
        <w:t xml:space="preserve">ontaire BZ </w:t>
      </w:r>
      <w:r w:rsidR="009063F3">
        <w:rPr>
          <w:kern w:val="22"/>
          <w:szCs w:val="22"/>
          <w:lang w:val="fr-FR"/>
        </w:rPr>
        <w:t>a</w:t>
      </w:r>
      <w:r w:rsidR="00442428">
        <w:rPr>
          <w:kern w:val="22"/>
          <w:szCs w:val="22"/>
          <w:lang w:val="fr-FR"/>
        </w:rPr>
        <w:t xml:space="preserve"> baissé c</w:t>
      </w:r>
      <w:r w:rsidRPr="00FB67C2">
        <w:rPr>
          <w:kern w:val="22"/>
          <w:szCs w:val="22"/>
          <w:lang w:val="fr-FR"/>
        </w:rPr>
        <w:t xml:space="preserve">es quatre derniers exercices biennaux. </w:t>
      </w:r>
      <w:r w:rsidR="00442428">
        <w:rPr>
          <w:kern w:val="22"/>
          <w:szCs w:val="22"/>
          <w:lang w:val="fr-FR"/>
        </w:rPr>
        <w:t>Cette</w:t>
      </w:r>
      <w:r w:rsidRPr="00FB67C2">
        <w:rPr>
          <w:kern w:val="22"/>
          <w:szCs w:val="22"/>
          <w:lang w:val="fr-FR"/>
        </w:rPr>
        <w:t xml:space="preserve"> </w:t>
      </w:r>
      <w:r w:rsidR="00442428">
        <w:rPr>
          <w:kern w:val="22"/>
          <w:szCs w:val="22"/>
          <w:lang w:val="fr-FR"/>
        </w:rPr>
        <w:t>baisse</w:t>
      </w:r>
      <w:r w:rsidRPr="00FB67C2">
        <w:rPr>
          <w:kern w:val="22"/>
          <w:szCs w:val="22"/>
          <w:lang w:val="fr-FR"/>
        </w:rPr>
        <w:t xml:space="preserve"> empêche le Secrétariat de financer la participation de toutes les Parties admissibles aux réunions. Le nombre des participants </w:t>
      </w:r>
      <w:r w:rsidR="00442428">
        <w:rPr>
          <w:kern w:val="22"/>
          <w:szCs w:val="22"/>
          <w:lang w:val="fr-FR"/>
        </w:rPr>
        <w:t>aidés</w:t>
      </w:r>
      <w:r w:rsidRPr="00FB67C2">
        <w:rPr>
          <w:kern w:val="22"/>
          <w:szCs w:val="22"/>
          <w:lang w:val="fr-FR"/>
        </w:rPr>
        <w:t xml:space="preserve"> pour </w:t>
      </w:r>
      <w:r w:rsidR="00AC5D23">
        <w:rPr>
          <w:kern w:val="22"/>
          <w:szCs w:val="22"/>
          <w:lang w:val="fr-FR"/>
        </w:rPr>
        <w:t>assister</w:t>
      </w:r>
      <w:r w:rsidRPr="00FB67C2">
        <w:rPr>
          <w:kern w:val="22"/>
          <w:szCs w:val="22"/>
          <w:lang w:val="fr-FR"/>
        </w:rPr>
        <w:t xml:space="preserve"> à des réunions </w:t>
      </w:r>
      <w:r w:rsidR="00442428">
        <w:rPr>
          <w:kern w:val="22"/>
          <w:szCs w:val="22"/>
          <w:lang w:val="fr-FR"/>
        </w:rPr>
        <w:t>a</w:t>
      </w:r>
      <w:r w:rsidRPr="00FB67C2">
        <w:rPr>
          <w:kern w:val="22"/>
          <w:szCs w:val="22"/>
          <w:lang w:val="fr-FR"/>
        </w:rPr>
        <w:t xml:space="preserve"> également baissé par exercice biennal entre 2009 et 2014. </w:t>
      </w:r>
      <w:r w:rsidR="004919A8">
        <w:rPr>
          <w:kern w:val="22"/>
          <w:szCs w:val="22"/>
          <w:lang w:val="fr-FR"/>
        </w:rPr>
        <w:t xml:space="preserve">Sa légère augmentation survenue en 2015-2016 </w:t>
      </w:r>
      <w:r w:rsidRPr="00FB67C2">
        <w:rPr>
          <w:kern w:val="22"/>
          <w:szCs w:val="22"/>
          <w:lang w:val="fr-FR"/>
        </w:rPr>
        <w:t>reste en-deçà du seuil requis. Si cette tendance perdure, elle pourrait poser des difficultés au fonctionnement de la Convention et de ses protocoles, et mettre en péril la légitimité des accords convenus dans leur cadre</w:t>
      </w:r>
      <w:r w:rsidR="00C75706" w:rsidRPr="00FB67C2">
        <w:rPr>
          <w:kern w:val="22"/>
          <w:szCs w:val="22"/>
          <w:lang w:val="fr-FR"/>
        </w:rPr>
        <w:t>.</w:t>
      </w:r>
    </w:p>
    <w:p w:rsidR="00BC1805"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 xml:space="preserve">En raison de l’intégration accrue entre la Convention et ses deux protocoles, </w:t>
      </w:r>
      <w:r w:rsidR="00FC0CA8">
        <w:rPr>
          <w:kern w:val="22"/>
          <w:szCs w:val="22"/>
          <w:lang w:val="fr-FR"/>
        </w:rPr>
        <w:t>qui inclu</w:t>
      </w:r>
      <w:r w:rsidRPr="00FB67C2">
        <w:rPr>
          <w:kern w:val="22"/>
          <w:szCs w:val="22"/>
          <w:lang w:val="fr-FR"/>
        </w:rPr>
        <w:t xml:space="preserve">t </w:t>
      </w:r>
      <w:r w:rsidR="00FC0CA8">
        <w:rPr>
          <w:kern w:val="22"/>
          <w:szCs w:val="22"/>
          <w:lang w:val="fr-FR"/>
        </w:rPr>
        <w:t xml:space="preserve">notamment </w:t>
      </w:r>
      <w:r w:rsidRPr="00FB67C2">
        <w:rPr>
          <w:kern w:val="22"/>
          <w:szCs w:val="22"/>
          <w:lang w:val="fr-FR"/>
        </w:rPr>
        <w:t xml:space="preserve">l’organisation </w:t>
      </w:r>
      <w:r w:rsidR="00FE2138">
        <w:rPr>
          <w:kern w:val="22"/>
          <w:szCs w:val="22"/>
          <w:lang w:val="fr-FR"/>
        </w:rPr>
        <w:t>concomitante</w:t>
      </w:r>
      <w:r w:rsidR="00FC0CA8">
        <w:rPr>
          <w:kern w:val="22"/>
          <w:szCs w:val="22"/>
          <w:lang w:val="fr-FR"/>
        </w:rPr>
        <w:t xml:space="preserve"> </w:t>
      </w:r>
      <w:r w:rsidRPr="00FB67C2">
        <w:rPr>
          <w:kern w:val="22"/>
          <w:szCs w:val="22"/>
          <w:lang w:val="fr-FR"/>
        </w:rPr>
        <w:t xml:space="preserve">de réunions </w:t>
      </w:r>
      <w:r w:rsidR="00FC0CA8">
        <w:rPr>
          <w:kern w:val="22"/>
          <w:szCs w:val="22"/>
          <w:lang w:val="fr-FR"/>
        </w:rPr>
        <w:t>de</w:t>
      </w:r>
      <w:r w:rsidRPr="00FB67C2">
        <w:rPr>
          <w:kern w:val="22"/>
          <w:szCs w:val="22"/>
          <w:lang w:val="fr-FR"/>
        </w:rPr>
        <w:t xml:space="preserve"> </w:t>
      </w:r>
      <w:r w:rsidR="0065798D">
        <w:rPr>
          <w:kern w:val="22"/>
          <w:szCs w:val="22"/>
          <w:lang w:val="fr-FR"/>
        </w:rPr>
        <w:t>la Conférence des Parties et de</w:t>
      </w:r>
      <w:r w:rsidRPr="00FB67C2">
        <w:rPr>
          <w:kern w:val="22"/>
          <w:szCs w:val="22"/>
          <w:lang w:val="fr-FR"/>
        </w:rPr>
        <w:t xml:space="preserve"> réunions des Parties à ses protocoles, il est nécessaire </w:t>
      </w:r>
      <w:r w:rsidR="0065798D">
        <w:rPr>
          <w:kern w:val="22"/>
          <w:szCs w:val="22"/>
          <w:lang w:val="fr-FR"/>
        </w:rPr>
        <w:t>d’accroître l’</w:t>
      </w:r>
      <w:r w:rsidRPr="00FB67C2">
        <w:rPr>
          <w:kern w:val="22"/>
          <w:szCs w:val="22"/>
          <w:lang w:val="fr-FR"/>
        </w:rPr>
        <w:t xml:space="preserve">appui financier </w:t>
      </w:r>
      <w:r w:rsidR="0065798D">
        <w:rPr>
          <w:kern w:val="22"/>
          <w:szCs w:val="22"/>
          <w:lang w:val="fr-FR"/>
        </w:rPr>
        <w:t>fourni</w:t>
      </w:r>
      <w:r w:rsidRPr="00FB67C2">
        <w:rPr>
          <w:kern w:val="22"/>
          <w:szCs w:val="22"/>
          <w:lang w:val="fr-FR"/>
        </w:rPr>
        <w:t xml:space="preserve"> aux pays en développement Parties et aux économies en transition Parties, afin qu’elles participent aux réunions de la Convention et de ses protocoles</w:t>
      </w:r>
      <w:r w:rsidR="008170FE">
        <w:rPr>
          <w:kern w:val="22"/>
          <w:szCs w:val="22"/>
          <w:lang w:val="fr-FR"/>
        </w:rPr>
        <w:t>. Compte tenu de ce qui précède</w:t>
      </w:r>
      <w:r w:rsidRPr="00FB67C2">
        <w:rPr>
          <w:kern w:val="22"/>
          <w:szCs w:val="22"/>
          <w:lang w:val="fr-FR"/>
        </w:rPr>
        <w:t xml:space="preserve"> et des déficits récurrents du Fonds d’affectation spéciale volontaire BZ, les Parties peuvent envisager d’examiner les mécanismes mis en </w:t>
      </w:r>
      <w:r w:rsidR="008170FE">
        <w:rPr>
          <w:kern w:val="22"/>
          <w:szCs w:val="22"/>
          <w:lang w:val="fr-FR"/>
        </w:rPr>
        <w:t>place pour financer la venue de</w:t>
      </w:r>
      <w:r w:rsidRPr="00FB67C2">
        <w:rPr>
          <w:kern w:val="22"/>
          <w:szCs w:val="22"/>
          <w:lang w:val="fr-FR"/>
        </w:rPr>
        <w:t xml:space="preserve"> participants aux réunions de la Convention et de ses protocoles, afin de s’assurer que les besoins en ressources seront satisfaits en temps opportun et de façon prévisible. Dans l’attente de ressources </w:t>
      </w:r>
      <w:r w:rsidRPr="00FB67C2">
        <w:rPr>
          <w:kern w:val="22"/>
          <w:szCs w:val="22"/>
          <w:lang w:val="fr-FR"/>
        </w:rPr>
        <w:lastRenderedPageBreak/>
        <w:t xml:space="preserve">disponibles suffisantes pour financer la participation de </w:t>
      </w:r>
      <w:r w:rsidR="008170FE">
        <w:rPr>
          <w:kern w:val="22"/>
          <w:szCs w:val="22"/>
          <w:lang w:val="fr-FR"/>
        </w:rPr>
        <w:t>toutes les</w:t>
      </w:r>
      <w:r w:rsidRPr="00FB67C2">
        <w:rPr>
          <w:kern w:val="22"/>
          <w:szCs w:val="22"/>
          <w:lang w:val="fr-FR"/>
        </w:rPr>
        <w:t xml:space="preserve"> P</w:t>
      </w:r>
      <w:r w:rsidR="008170FE">
        <w:rPr>
          <w:kern w:val="22"/>
          <w:szCs w:val="22"/>
          <w:lang w:val="fr-FR"/>
        </w:rPr>
        <w:t>arties admissibles aux réunions</w:t>
      </w:r>
      <w:r w:rsidRPr="00FB67C2">
        <w:rPr>
          <w:kern w:val="22"/>
          <w:szCs w:val="22"/>
          <w:lang w:val="fr-FR"/>
        </w:rPr>
        <w:t xml:space="preserve">, l’Organe subsidiaire chargé de l’application peut recommander à la Conférence des Parties que les ressources du Fonds d’affectation spéciale volontaire BZ continuent d’être allouées de manière prioritaire aux pays les moins avancés et aux petits États insulaires en développement ; et visent ensuite à assurer la représentation adéquate de </w:t>
      </w:r>
      <w:r w:rsidR="00226773">
        <w:rPr>
          <w:kern w:val="22"/>
          <w:szCs w:val="22"/>
          <w:lang w:val="fr-FR"/>
        </w:rPr>
        <w:t>tous l</w:t>
      </w:r>
      <w:r w:rsidRPr="00FB67C2">
        <w:rPr>
          <w:kern w:val="22"/>
          <w:szCs w:val="22"/>
          <w:lang w:val="fr-FR"/>
        </w:rPr>
        <w:t>es pays en développement Parties, conformément au paragraphe 31 de la décision IX/34. En ce qui concerne les autres pays en développement et les pays dont l’économie est en transition, il pourra être envisagé de donner</w:t>
      </w:r>
      <w:r w:rsidR="0072778F">
        <w:rPr>
          <w:kern w:val="22"/>
          <w:szCs w:val="22"/>
          <w:lang w:val="fr-FR"/>
        </w:rPr>
        <w:t xml:space="preserve"> la priorité</w:t>
      </w:r>
      <w:r w:rsidRPr="00FB67C2">
        <w:rPr>
          <w:kern w:val="22"/>
          <w:szCs w:val="22"/>
          <w:lang w:val="fr-FR"/>
        </w:rPr>
        <w:t>, dans ce groupe, aux pays à faible revenu et à revenu intermédiaire (tranche inférieure)</w:t>
      </w:r>
      <w:r w:rsidR="003A0BDD">
        <w:rPr>
          <w:kern w:val="22"/>
          <w:szCs w:val="22"/>
          <w:lang w:val="fr-FR"/>
        </w:rPr>
        <w:t>,</w:t>
      </w:r>
      <w:r w:rsidRPr="00FB67C2">
        <w:rPr>
          <w:kern w:val="22"/>
          <w:szCs w:val="22"/>
          <w:lang w:val="fr-FR"/>
        </w:rPr>
        <w:t xml:space="preserve"> en tenant compte </w:t>
      </w:r>
      <w:r w:rsidR="003A0BDD">
        <w:rPr>
          <w:kern w:val="22"/>
          <w:szCs w:val="22"/>
          <w:lang w:val="fr-FR"/>
        </w:rPr>
        <w:t>du nécessaire</w:t>
      </w:r>
      <w:r w:rsidRPr="00FB67C2">
        <w:rPr>
          <w:kern w:val="22"/>
          <w:szCs w:val="22"/>
          <w:lang w:val="fr-FR"/>
        </w:rPr>
        <w:t xml:space="preserve"> équilibre régional</w:t>
      </w:r>
      <w:r w:rsidR="003E2881" w:rsidRPr="00FB67C2">
        <w:rPr>
          <w:kern w:val="22"/>
          <w:szCs w:val="22"/>
          <w:lang w:val="fr-FR"/>
        </w:rPr>
        <w:t>.</w:t>
      </w:r>
    </w:p>
    <w:p w:rsidR="00BA3049" w:rsidRPr="00FB67C2" w:rsidRDefault="00967184" w:rsidP="0086177B">
      <w:pPr>
        <w:pStyle w:val="Titre1"/>
        <w:keepNext w:val="0"/>
        <w:suppressLineNumbers/>
        <w:suppressAutoHyphens/>
        <w:kinsoku w:val="0"/>
        <w:overflowPunct w:val="0"/>
        <w:autoSpaceDE w:val="0"/>
        <w:autoSpaceDN w:val="0"/>
        <w:adjustRightInd w:val="0"/>
        <w:snapToGrid w:val="0"/>
        <w:rPr>
          <w:snapToGrid w:val="0"/>
          <w:kern w:val="22"/>
          <w:szCs w:val="22"/>
          <w:lang w:val="fr-FR"/>
        </w:rPr>
      </w:pPr>
      <w:r w:rsidRPr="00FB67C2">
        <w:rPr>
          <w:snapToGrid w:val="0"/>
          <w:kern w:val="22"/>
          <w:szCs w:val="22"/>
          <w:lang w:val="fr-FR"/>
        </w:rPr>
        <w:t>VII.</w:t>
      </w:r>
      <w:r w:rsidRPr="00FB67C2">
        <w:rPr>
          <w:snapToGrid w:val="0"/>
          <w:kern w:val="22"/>
          <w:szCs w:val="22"/>
          <w:lang w:val="fr-FR"/>
        </w:rPr>
        <w:tab/>
      </w:r>
      <w:r w:rsidR="00FB67C2" w:rsidRPr="00FB67C2">
        <w:rPr>
          <w:snapToGrid w:val="0"/>
          <w:kern w:val="22"/>
          <w:szCs w:val="22"/>
          <w:lang w:val="fr-FR"/>
        </w:rPr>
        <w:t>PROPOSITION DE</w:t>
      </w:r>
      <w:r w:rsidR="00824BB6" w:rsidRPr="00FB67C2">
        <w:rPr>
          <w:snapToGrid w:val="0"/>
          <w:kern w:val="22"/>
          <w:szCs w:val="22"/>
          <w:lang w:val="fr-FR"/>
        </w:rPr>
        <w:t xml:space="preserve"> </w:t>
      </w:r>
      <w:r w:rsidR="00FB67C2" w:rsidRPr="00FB67C2">
        <w:rPr>
          <w:snapToGrid w:val="0"/>
          <w:kern w:val="22"/>
          <w:szCs w:val="22"/>
          <w:lang w:val="fr-FR"/>
        </w:rPr>
        <w:t>RecommA</w:t>
      </w:r>
      <w:r w:rsidR="00D20FF9" w:rsidRPr="00FB67C2">
        <w:rPr>
          <w:snapToGrid w:val="0"/>
          <w:kern w:val="22"/>
          <w:szCs w:val="22"/>
          <w:lang w:val="fr-FR"/>
        </w:rPr>
        <w:t>ndation</w:t>
      </w:r>
    </w:p>
    <w:p w:rsidR="00BC1805"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L’Organe subsidiaire chargé de l’application peut souhaiter adopter une recommandation selon la formulation suivante </w:t>
      </w:r>
      <w:r w:rsidR="00BC1805" w:rsidRPr="00FB67C2">
        <w:rPr>
          <w:kern w:val="22"/>
          <w:szCs w:val="22"/>
          <w:lang w:val="fr-FR"/>
        </w:rPr>
        <w:t>:</w:t>
      </w:r>
    </w:p>
    <w:p w:rsidR="0016453B" w:rsidRPr="00FB67C2" w:rsidRDefault="00FB67C2" w:rsidP="0086177B">
      <w:pPr>
        <w:suppressLineNumbers/>
        <w:suppressAutoHyphens/>
        <w:kinsoku w:val="0"/>
        <w:overflowPunct w:val="0"/>
        <w:autoSpaceDE w:val="0"/>
        <w:autoSpaceDN w:val="0"/>
        <w:adjustRightInd w:val="0"/>
        <w:snapToGrid w:val="0"/>
        <w:spacing w:before="120" w:after="120"/>
        <w:ind w:firstLine="720"/>
        <w:rPr>
          <w:i/>
          <w:iCs/>
          <w:snapToGrid w:val="0"/>
          <w:kern w:val="22"/>
          <w:szCs w:val="22"/>
          <w:lang w:val="fr-FR"/>
        </w:rPr>
      </w:pPr>
      <w:r w:rsidRPr="00FB67C2">
        <w:rPr>
          <w:i/>
          <w:iCs/>
          <w:snapToGrid w:val="0"/>
          <w:kern w:val="22"/>
          <w:szCs w:val="22"/>
          <w:lang w:val="fr-FR"/>
        </w:rPr>
        <w:t>L’Organe subsidiaire chargé de l’applicatio</w:t>
      </w:r>
      <w:r w:rsidR="00BC1805" w:rsidRPr="00FB67C2">
        <w:rPr>
          <w:i/>
          <w:iCs/>
          <w:snapToGrid w:val="0"/>
          <w:kern w:val="22"/>
          <w:szCs w:val="22"/>
          <w:lang w:val="fr-FR"/>
        </w:rPr>
        <w:t>n</w:t>
      </w:r>
    </w:p>
    <w:p w:rsidR="00E070BC" w:rsidRPr="00FB67C2" w:rsidRDefault="00080AF7" w:rsidP="0086177B">
      <w:pPr>
        <w:pStyle w:val="Para1"/>
        <w:numPr>
          <w:ilvl w:val="0"/>
          <w:numId w:val="0"/>
        </w:numPr>
        <w:suppressLineNumbers/>
        <w:suppressAutoHyphens/>
        <w:kinsoku w:val="0"/>
        <w:overflowPunct w:val="0"/>
        <w:autoSpaceDE w:val="0"/>
        <w:autoSpaceDN w:val="0"/>
        <w:adjustRightInd w:val="0"/>
        <w:snapToGrid w:val="0"/>
        <w:ind w:left="720" w:firstLine="720"/>
        <w:rPr>
          <w:kern w:val="22"/>
          <w:szCs w:val="22"/>
          <w:lang w:val="fr-FR"/>
        </w:rPr>
      </w:pPr>
      <w:r w:rsidRPr="00FB67C2">
        <w:rPr>
          <w:kern w:val="22"/>
          <w:szCs w:val="22"/>
          <w:lang w:val="fr-FR"/>
        </w:rPr>
        <w:t>1.</w:t>
      </w:r>
      <w:r w:rsidRPr="00FB67C2">
        <w:rPr>
          <w:kern w:val="22"/>
          <w:szCs w:val="22"/>
          <w:lang w:val="fr-FR"/>
        </w:rPr>
        <w:tab/>
      </w:r>
      <w:r w:rsidR="00FB67C2" w:rsidRPr="00FB67C2">
        <w:rPr>
          <w:i/>
          <w:iCs/>
          <w:kern w:val="22"/>
          <w:szCs w:val="22"/>
          <w:lang w:val="fr-FR"/>
        </w:rPr>
        <w:t>Prend acte</w:t>
      </w:r>
      <w:r w:rsidR="00FB67C2" w:rsidRPr="00FB67C2">
        <w:rPr>
          <w:kern w:val="22"/>
          <w:szCs w:val="22"/>
          <w:lang w:val="fr-FR"/>
        </w:rPr>
        <w:t xml:space="preserve"> de l’analyse des contributions fournies au Fonds d’affectation spéciale volontaire BZ, et du degré de participation des pays en développement aux réunions de la Convention et de ses protocoles </w:t>
      </w:r>
      <w:r w:rsidR="00824BB6" w:rsidRPr="00FB67C2">
        <w:rPr>
          <w:kern w:val="22"/>
          <w:szCs w:val="22"/>
          <w:lang w:val="fr-FR"/>
        </w:rPr>
        <w:t>;</w:t>
      </w:r>
    </w:p>
    <w:p w:rsidR="00BC1805" w:rsidRPr="00FB67C2" w:rsidRDefault="00080AF7" w:rsidP="0086177B">
      <w:pPr>
        <w:pStyle w:val="Para1"/>
        <w:numPr>
          <w:ilvl w:val="0"/>
          <w:numId w:val="0"/>
        </w:numPr>
        <w:suppressLineNumbers/>
        <w:suppressAutoHyphens/>
        <w:kinsoku w:val="0"/>
        <w:overflowPunct w:val="0"/>
        <w:autoSpaceDE w:val="0"/>
        <w:autoSpaceDN w:val="0"/>
        <w:adjustRightInd w:val="0"/>
        <w:snapToGrid w:val="0"/>
        <w:ind w:left="720" w:firstLine="720"/>
        <w:rPr>
          <w:kern w:val="22"/>
          <w:szCs w:val="22"/>
          <w:lang w:val="fr-FR"/>
        </w:rPr>
      </w:pPr>
      <w:r w:rsidRPr="00FB67C2">
        <w:rPr>
          <w:kern w:val="22"/>
          <w:szCs w:val="22"/>
          <w:lang w:val="fr-FR"/>
        </w:rPr>
        <w:t>2.</w:t>
      </w:r>
      <w:r w:rsidRPr="00FB67C2">
        <w:rPr>
          <w:kern w:val="22"/>
          <w:szCs w:val="22"/>
          <w:lang w:val="fr-FR"/>
        </w:rPr>
        <w:tab/>
      </w:r>
      <w:r w:rsidR="00FB67C2" w:rsidRPr="00FB67C2">
        <w:rPr>
          <w:i/>
          <w:iCs/>
          <w:kern w:val="22"/>
          <w:szCs w:val="22"/>
          <w:lang w:val="fr-FR"/>
        </w:rPr>
        <w:t>Note</w:t>
      </w:r>
      <w:r w:rsidR="00FB67C2" w:rsidRPr="00FB67C2">
        <w:rPr>
          <w:kern w:val="22"/>
          <w:szCs w:val="22"/>
          <w:lang w:val="fr-FR"/>
        </w:rPr>
        <w:t xml:space="preserve"> que la tendance suivie par le niveau des fonds et le degré de participation pourrait exercer une incidence sur le fonctionnement et la légitimité de la Convention et de ses protocoles</w:t>
      </w:r>
      <w:r w:rsidR="00824BB6" w:rsidRPr="00FB67C2">
        <w:rPr>
          <w:kern w:val="22"/>
          <w:szCs w:val="22"/>
          <w:lang w:val="fr-FR"/>
        </w:rPr>
        <w:t>.</w:t>
      </w:r>
    </w:p>
    <w:p w:rsidR="00A53216" w:rsidRPr="00FB67C2" w:rsidRDefault="00FB67C2" w:rsidP="0086177B">
      <w:pPr>
        <w:pStyle w:val="Para1"/>
        <w:suppressLineNumbers/>
        <w:tabs>
          <w:tab w:val="clear" w:pos="360"/>
        </w:tabs>
        <w:suppressAutoHyphens/>
        <w:kinsoku w:val="0"/>
        <w:overflowPunct w:val="0"/>
        <w:autoSpaceDE w:val="0"/>
        <w:autoSpaceDN w:val="0"/>
        <w:adjustRightInd w:val="0"/>
        <w:snapToGrid w:val="0"/>
        <w:rPr>
          <w:kern w:val="22"/>
          <w:szCs w:val="22"/>
          <w:lang w:val="fr-FR"/>
        </w:rPr>
      </w:pPr>
      <w:r w:rsidRPr="00FB67C2">
        <w:rPr>
          <w:kern w:val="22"/>
          <w:szCs w:val="22"/>
          <w:lang w:val="fr-FR"/>
        </w:rPr>
        <w:t>L’Organe subsidiaire chargé de l’application peut également souhaiter recommander que la Conférence des Parties adopte une décision selon la formulation suivante</w:t>
      </w:r>
      <w:r w:rsidR="004724F9">
        <w:rPr>
          <w:kern w:val="22"/>
          <w:szCs w:val="22"/>
          <w:lang w:val="fr-FR"/>
        </w:rPr>
        <w:t xml:space="preserve"> à sa quatorzième réunion :</w:t>
      </w:r>
    </w:p>
    <w:p w:rsidR="00E070BC" w:rsidRPr="00FB67C2" w:rsidRDefault="00FB67C2" w:rsidP="0086177B">
      <w:pPr>
        <w:suppressLineNumbers/>
        <w:suppressAutoHyphens/>
        <w:kinsoku w:val="0"/>
        <w:overflowPunct w:val="0"/>
        <w:autoSpaceDE w:val="0"/>
        <w:autoSpaceDN w:val="0"/>
        <w:adjustRightInd w:val="0"/>
        <w:snapToGrid w:val="0"/>
        <w:spacing w:before="120" w:after="120"/>
        <w:ind w:firstLine="720"/>
        <w:rPr>
          <w:i/>
          <w:iCs/>
          <w:kern w:val="22"/>
          <w:szCs w:val="22"/>
          <w:lang w:val="fr-FR"/>
        </w:rPr>
      </w:pPr>
      <w:r w:rsidRPr="00FB67C2">
        <w:rPr>
          <w:i/>
          <w:iCs/>
          <w:snapToGrid w:val="0"/>
          <w:kern w:val="22"/>
          <w:szCs w:val="22"/>
          <w:lang w:val="fr-FR"/>
        </w:rPr>
        <w:t>La Conférence des Parties</w:t>
      </w:r>
    </w:p>
    <w:p w:rsidR="00342815" w:rsidRPr="00FB67C2" w:rsidRDefault="00FB67C2" w:rsidP="0086177B">
      <w:pPr>
        <w:pStyle w:val="Para1"/>
        <w:numPr>
          <w:ilvl w:val="0"/>
          <w:numId w:val="18"/>
        </w:numPr>
        <w:suppressLineNumbers/>
        <w:tabs>
          <w:tab w:val="clear" w:pos="360"/>
        </w:tabs>
        <w:suppressAutoHyphens/>
        <w:kinsoku w:val="0"/>
        <w:overflowPunct w:val="0"/>
        <w:autoSpaceDE w:val="0"/>
        <w:autoSpaceDN w:val="0"/>
        <w:adjustRightInd w:val="0"/>
        <w:snapToGrid w:val="0"/>
        <w:ind w:left="720" w:firstLine="720"/>
        <w:rPr>
          <w:kern w:val="22"/>
          <w:szCs w:val="22"/>
          <w:lang w:val="fr-FR"/>
        </w:rPr>
      </w:pPr>
      <w:r w:rsidRPr="00FB67C2">
        <w:rPr>
          <w:i/>
          <w:iCs/>
          <w:kern w:val="22"/>
          <w:szCs w:val="22"/>
          <w:lang w:val="fr-FR"/>
        </w:rPr>
        <w:t>Invite</w:t>
      </w:r>
      <w:r w:rsidRPr="00FB67C2">
        <w:rPr>
          <w:kern w:val="22"/>
          <w:szCs w:val="22"/>
          <w:lang w:val="fr-FR"/>
        </w:rPr>
        <w:t xml:space="preserve"> les pays développés Parties à augmenter leurs contributions au Fonds d’affectation spéciale volontaire BZ, afin d’assurer la participation pleine et</w:t>
      </w:r>
      <w:r w:rsidR="004724F9">
        <w:rPr>
          <w:kern w:val="22"/>
          <w:szCs w:val="22"/>
          <w:lang w:val="fr-FR"/>
        </w:rPr>
        <w:t xml:space="preserve"> effective de représentants des</w:t>
      </w:r>
      <w:r w:rsidRPr="00FB67C2">
        <w:rPr>
          <w:kern w:val="22"/>
          <w:szCs w:val="22"/>
          <w:lang w:val="fr-FR"/>
        </w:rPr>
        <w:t xml:space="preserve"> pays en développement Parties, en particulier de</w:t>
      </w:r>
      <w:r w:rsidR="004724F9">
        <w:rPr>
          <w:kern w:val="22"/>
          <w:szCs w:val="22"/>
          <w:lang w:val="fr-FR"/>
        </w:rPr>
        <w:t>s</w:t>
      </w:r>
      <w:r w:rsidRPr="00FB67C2">
        <w:rPr>
          <w:kern w:val="22"/>
          <w:szCs w:val="22"/>
          <w:lang w:val="fr-FR"/>
        </w:rPr>
        <w:t xml:space="preserve"> pays les moins avancés et de</w:t>
      </w:r>
      <w:r w:rsidR="004724F9">
        <w:rPr>
          <w:kern w:val="22"/>
          <w:szCs w:val="22"/>
          <w:lang w:val="fr-FR"/>
        </w:rPr>
        <w:t>s</w:t>
      </w:r>
      <w:r w:rsidRPr="00FB67C2">
        <w:rPr>
          <w:kern w:val="22"/>
          <w:szCs w:val="22"/>
          <w:lang w:val="fr-FR"/>
        </w:rPr>
        <w:t xml:space="preserve"> petits Ét</w:t>
      </w:r>
      <w:r w:rsidR="004724F9">
        <w:rPr>
          <w:kern w:val="22"/>
          <w:szCs w:val="22"/>
          <w:lang w:val="fr-FR"/>
        </w:rPr>
        <w:t>ats insulaires en développement</w:t>
      </w:r>
      <w:r w:rsidRPr="00FB67C2">
        <w:rPr>
          <w:kern w:val="22"/>
          <w:szCs w:val="22"/>
          <w:lang w:val="fr-FR"/>
        </w:rPr>
        <w:t>, ainsi que des économies en transition Parties </w:t>
      </w:r>
      <w:r w:rsidR="00824BB6" w:rsidRPr="00FB67C2">
        <w:rPr>
          <w:kern w:val="22"/>
          <w:szCs w:val="22"/>
          <w:lang w:val="fr-FR"/>
        </w:rPr>
        <w:t>;</w:t>
      </w:r>
    </w:p>
    <w:p w:rsidR="00342815" w:rsidRPr="00FB67C2" w:rsidRDefault="00FB67C2" w:rsidP="0086177B">
      <w:pPr>
        <w:pStyle w:val="Para1"/>
        <w:numPr>
          <w:ilvl w:val="0"/>
          <w:numId w:val="18"/>
        </w:numPr>
        <w:suppressLineNumbers/>
        <w:tabs>
          <w:tab w:val="clear" w:pos="360"/>
        </w:tabs>
        <w:suppressAutoHyphens/>
        <w:kinsoku w:val="0"/>
        <w:overflowPunct w:val="0"/>
        <w:autoSpaceDE w:val="0"/>
        <w:autoSpaceDN w:val="0"/>
        <w:adjustRightInd w:val="0"/>
        <w:snapToGrid w:val="0"/>
        <w:ind w:left="720" w:firstLine="720"/>
        <w:rPr>
          <w:kern w:val="22"/>
          <w:szCs w:val="22"/>
          <w:lang w:val="fr-FR"/>
        </w:rPr>
      </w:pPr>
      <w:r w:rsidRPr="00FB67C2">
        <w:rPr>
          <w:i/>
          <w:kern w:val="22"/>
          <w:szCs w:val="22"/>
          <w:lang w:val="fr-FR"/>
        </w:rPr>
        <w:t xml:space="preserve">Rappelle </w:t>
      </w:r>
      <w:r w:rsidRPr="00FB67C2">
        <w:rPr>
          <w:iCs/>
          <w:kern w:val="22"/>
          <w:szCs w:val="22"/>
          <w:lang w:val="fr-FR"/>
        </w:rPr>
        <w:t>le paragraphe 31 de la décision </w:t>
      </w:r>
      <w:hyperlink r:id="rId20" w:history="1">
        <w:r w:rsidRPr="00FB67C2">
          <w:rPr>
            <w:rStyle w:val="Lienhypertexte"/>
            <w:kern w:val="22"/>
            <w:szCs w:val="22"/>
            <w:lang w:val="fr-FR"/>
          </w:rPr>
          <w:t>IX/34</w:t>
        </w:r>
      </w:hyperlink>
      <w:r w:rsidRPr="00FB67C2">
        <w:rPr>
          <w:iCs/>
          <w:kern w:val="22"/>
          <w:szCs w:val="22"/>
          <w:lang w:val="fr-FR"/>
        </w:rPr>
        <w:t xml:space="preserve">, et </w:t>
      </w:r>
      <w:r w:rsidRPr="00FB67C2">
        <w:rPr>
          <w:i/>
          <w:kern w:val="22"/>
          <w:szCs w:val="22"/>
          <w:lang w:val="fr-FR"/>
        </w:rPr>
        <w:t>demande</w:t>
      </w:r>
      <w:r w:rsidRPr="00FB67C2">
        <w:rPr>
          <w:iCs/>
          <w:kern w:val="22"/>
          <w:szCs w:val="22"/>
          <w:lang w:val="fr-FR"/>
        </w:rPr>
        <w:t xml:space="preserve"> au Secrétaire exécutif de continuer à accorder la priorité absolue au financement de la participation des pays les moins avancés et des petits États insulaires en développement lors de l’allocation </w:t>
      </w:r>
      <w:r w:rsidR="00BC08A9">
        <w:rPr>
          <w:iCs/>
          <w:kern w:val="22"/>
          <w:szCs w:val="22"/>
          <w:lang w:val="fr-FR"/>
        </w:rPr>
        <w:t>de financement du</w:t>
      </w:r>
      <w:r w:rsidRPr="00FB67C2">
        <w:rPr>
          <w:iCs/>
          <w:kern w:val="22"/>
          <w:szCs w:val="22"/>
          <w:lang w:val="fr-FR"/>
        </w:rPr>
        <w:t xml:space="preserve"> Fonds d’affectation spéciale volontaire BZ </w:t>
      </w:r>
      <w:r w:rsidR="00824BB6" w:rsidRPr="00FB67C2">
        <w:rPr>
          <w:kern w:val="22"/>
          <w:szCs w:val="22"/>
          <w:lang w:val="fr-FR"/>
        </w:rPr>
        <w:t>;</w:t>
      </w:r>
    </w:p>
    <w:p w:rsidR="006441CD" w:rsidRPr="00FB67C2" w:rsidRDefault="00FB67C2" w:rsidP="0086177B">
      <w:pPr>
        <w:pStyle w:val="Para1"/>
        <w:numPr>
          <w:ilvl w:val="0"/>
          <w:numId w:val="18"/>
        </w:numPr>
        <w:suppressLineNumbers/>
        <w:tabs>
          <w:tab w:val="clear" w:pos="360"/>
        </w:tabs>
        <w:suppressAutoHyphens/>
        <w:kinsoku w:val="0"/>
        <w:overflowPunct w:val="0"/>
        <w:autoSpaceDE w:val="0"/>
        <w:autoSpaceDN w:val="0"/>
        <w:adjustRightInd w:val="0"/>
        <w:snapToGrid w:val="0"/>
        <w:ind w:left="720" w:firstLine="720"/>
        <w:rPr>
          <w:kern w:val="22"/>
          <w:szCs w:val="22"/>
          <w:lang w:val="fr-FR"/>
        </w:rPr>
      </w:pPr>
      <w:r w:rsidRPr="00FB67C2">
        <w:rPr>
          <w:i/>
          <w:iCs/>
          <w:kern w:val="22"/>
          <w:szCs w:val="22"/>
          <w:lang w:val="fr-FR"/>
        </w:rPr>
        <w:t>Prend acte</w:t>
      </w:r>
      <w:r w:rsidRPr="00FB67C2">
        <w:rPr>
          <w:kern w:val="22"/>
          <w:szCs w:val="22"/>
          <w:lang w:val="fr-FR"/>
        </w:rPr>
        <w:t xml:space="preserve"> des diverses directives qui existent </w:t>
      </w:r>
      <w:r w:rsidR="00FD00A2">
        <w:rPr>
          <w:kern w:val="22"/>
          <w:szCs w:val="22"/>
          <w:lang w:val="fr-FR"/>
        </w:rPr>
        <w:t>sur</w:t>
      </w:r>
      <w:r w:rsidRPr="00FB67C2">
        <w:rPr>
          <w:kern w:val="22"/>
          <w:szCs w:val="22"/>
          <w:lang w:val="fr-FR"/>
        </w:rPr>
        <w:t xml:space="preserve"> la participation du secteur privé </w:t>
      </w:r>
      <w:r w:rsidR="00F978B1">
        <w:rPr>
          <w:kern w:val="22"/>
          <w:szCs w:val="22"/>
          <w:lang w:val="fr-FR"/>
        </w:rPr>
        <w:t>a</w:t>
      </w:r>
      <w:r w:rsidRPr="00FB67C2">
        <w:rPr>
          <w:kern w:val="22"/>
          <w:szCs w:val="22"/>
          <w:lang w:val="fr-FR"/>
        </w:rPr>
        <w:t>u système des Nations Unies </w:t>
      </w:r>
      <w:r w:rsidR="00D4765F" w:rsidRPr="00FB67C2">
        <w:rPr>
          <w:kern w:val="22"/>
          <w:szCs w:val="22"/>
          <w:lang w:val="fr-FR"/>
        </w:rPr>
        <w:t>;</w:t>
      </w:r>
    </w:p>
    <w:p w:rsidR="005B183A" w:rsidRPr="00FB67C2" w:rsidRDefault="00FB67C2" w:rsidP="0086177B">
      <w:pPr>
        <w:pStyle w:val="Para1"/>
        <w:numPr>
          <w:ilvl w:val="0"/>
          <w:numId w:val="18"/>
        </w:numPr>
        <w:suppressLineNumbers/>
        <w:tabs>
          <w:tab w:val="clear" w:pos="360"/>
        </w:tabs>
        <w:suppressAutoHyphens/>
        <w:kinsoku w:val="0"/>
        <w:overflowPunct w:val="0"/>
        <w:autoSpaceDE w:val="0"/>
        <w:autoSpaceDN w:val="0"/>
        <w:adjustRightInd w:val="0"/>
        <w:snapToGrid w:val="0"/>
        <w:ind w:left="720" w:firstLine="720"/>
        <w:rPr>
          <w:kern w:val="22"/>
          <w:szCs w:val="22"/>
          <w:lang w:val="fr-FR"/>
        </w:rPr>
      </w:pPr>
      <w:r w:rsidRPr="00FB67C2">
        <w:rPr>
          <w:i/>
          <w:iCs/>
          <w:kern w:val="22"/>
          <w:szCs w:val="22"/>
          <w:lang w:val="fr-FR"/>
        </w:rPr>
        <w:t xml:space="preserve">Demande </w:t>
      </w:r>
      <w:r w:rsidRPr="00FB67C2">
        <w:rPr>
          <w:kern w:val="22"/>
          <w:szCs w:val="22"/>
          <w:lang w:val="fr-FR"/>
        </w:rPr>
        <w:t>au Secrétaire exécutif de suivre les données d’expérience provenant d’autres conventions et des processus des Nations Unies</w:t>
      </w:r>
      <w:r w:rsidR="00591E8C">
        <w:rPr>
          <w:kern w:val="22"/>
          <w:szCs w:val="22"/>
          <w:lang w:val="fr-FR"/>
        </w:rPr>
        <w:t xml:space="preserve"> qui portent</w:t>
      </w:r>
      <w:r w:rsidRPr="00FB67C2">
        <w:rPr>
          <w:kern w:val="22"/>
          <w:szCs w:val="22"/>
          <w:lang w:val="fr-FR"/>
        </w:rPr>
        <w:t xml:space="preserve"> sur </w:t>
      </w:r>
      <w:r w:rsidR="00591E8C">
        <w:rPr>
          <w:kern w:val="22"/>
          <w:szCs w:val="22"/>
          <w:lang w:val="fr-FR"/>
        </w:rPr>
        <w:t>la contribution</w:t>
      </w:r>
      <w:r w:rsidRPr="00FB67C2">
        <w:rPr>
          <w:kern w:val="22"/>
          <w:szCs w:val="22"/>
          <w:lang w:val="fr-FR"/>
        </w:rPr>
        <w:t xml:space="preserve"> du secteur privé </w:t>
      </w:r>
      <w:r w:rsidR="00591E8C">
        <w:rPr>
          <w:kern w:val="22"/>
          <w:szCs w:val="22"/>
          <w:lang w:val="fr-FR"/>
        </w:rPr>
        <w:t>au financement</w:t>
      </w:r>
      <w:r w:rsidRPr="00FB67C2">
        <w:rPr>
          <w:kern w:val="22"/>
          <w:szCs w:val="22"/>
          <w:lang w:val="fr-FR"/>
        </w:rPr>
        <w:t xml:space="preserve"> </w:t>
      </w:r>
      <w:r w:rsidR="00591E8C">
        <w:rPr>
          <w:kern w:val="22"/>
          <w:szCs w:val="22"/>
          <w:lang w:val="fr-FR"/>
        </w:rPr>
        <w:t>de</w:t>
      </w:r>
      <w:r w:rsidRPr="00FB67C2">
        <w:rPr>
          <w:kern w:val="22"/>
          <w:szCs w:val="22"/>
          <w:lang w:val="fr-FR"/>
        </w:rPr>
        <w:t xml:space="preserve"> la participation de délégués de pays en développement à leurs réunions ; et d’informer le Bureau de la Conférence des Parties de l’évolution de la situation à cet égard</w:t>
      </w:r>
      <w:r w:rsidR="00227514" w:rsidRPr="00FB67C2">
        <w:rPr>
          <w:kern w:val="22"/>
          <w:szCs w:val="22"/>
          <w:lang w:val="fr-FR"/>
        </w:rPr>
        <w:t>.</w:t>
      </w:r>
    </w:p>
    <w:p w:rsidR="00D15589" w:rsidRPr="0086177B" w:rsidRDefault="00742F79" w:rsidP="0086177B">
      <w:pPr>
        <w:pStyle w:val="Titre1"/>
        <w:keepNext w:val="0"/>
        <w:suppressLineNumbers/>
        <w:suppressAutoHyphens/>
        <w:kinsoku w:val="0"/>
        <w:overflowPunct w:val="0"/>
        <w:autoSpaceDE w:val="0"/>
        <w:autoSpaceDN w:val="0"/>
        <w:adjustRightInd w:val="0"/>
        <w:snapToGrid w:val="0"/>
        <w:spacing w:before="0" w:after="0"/>
        <w:rPr>
          <w:b w:val="0"/>
          <w:bCs/>
          <w:snapToGrid w:val="0"/>
          <w:kern w:val="22"/>
          <w:szCs w:val="22"/>
        </w:rPr>
      </w:pPr>
      <w:r w:rsidRPr="0086177B">
        <w:rPr>
          <w:b w:val="0"/>
          <w:bCs/>
          <w:snapToGrid w:val="0"/>
          <w:kern w:val="22"/>
          <w:szCs w:val="22"/>
        </w:rPr>
        <w:t>__________</w:t>
      </w:r>
    </w:p>
    <w:p w:rsidR="00736BC2" w:rsidRPr="0086177B" w:rsidRDefault="00736BC2" w:rsidP="0086177B">
      <w:pPr>
        <w:suppressLineNumbers/>
        <w:suppressAutoHyphens/>
        <w:kinsoku w:val="0"/>
        <w:overflowPunct w:val="0"/>
        <w:autoSpaceDE w:val="0"/>
        <w:autoSpaceDN w:val="0"/>
        <w:adjustRightInd w:val="0"/>
        <w:snapToGrid w:val="0"/>
        <w:jc w:val="center"/>
        <w:rPr>
          <w:snapToGrid w:val="0"/>
          <w:kern w:val="22"/>
          <w:szCs w:val="22"/>
        </w:rPr>
      </w:pPr>
    </w:p>
    <w:sectPr w:rsidR="00736BC2" w:rsidRPr="0086177B" w:rsidSect="00CA1572">
      <w:headerReference w:type="even" r:id="rId21"/>
      <w:headerReference w:type="default" r:id="rId22"/>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92" w:rsidRDefault="00074292">
      <w:r>
        <w:separator/>
      </w:r>
    </w:p>
  </w:endnote>
  <w:endnote w:type="continuationSeparator" w:id="0">
    <w:p w:rsidR="00074292" w:rsidRDefault="00074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inion Pro">
    <w:altName w:val="Cambria"/>
    <w:panose1 w:val="00000000000000000000"/>
    <w:charset w:val="00"/>
    <w:family w:val="roman"/>
    <w:notTrueType/>
    <w:pitch w:val="default"/>
    <w:sig w:usb0="00000003" w:usb1="08070000" w:usb2="00000010" w:usb3="00000000" w:csb0="0002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AGaramondPro-Regular">
    <w:altName w:val="MS Mincho"/>
    <w:panose1 w:val="00000000000000000000"/>
    <w:charset w:val="8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92" w:rsidRDefault="00074292">
      <w:r>
        <w:separator/>
      </w:r>
    </w:p>
  </w:footnote>
  <w:footnote w:type="continuationSeparator" w:id="0">
    <w:p w:rsidR="00074292" w:rsidRDefault="00074292">
      <w:r>
        <w:continuationSeparator/>
      </w:r>
    </w:p>
  </w:footnote>
  <w:footnote w:id="1">
    <w:p w:rsidR="00074292" w:rsidRPr="0086177B" w:rsidRDefault="00074292" w:rsidP="0086177B">
      <w:pPr>
        <w:pStyle w:val="Notedebasdepage"/>
        <w:kinsoku w:val="0"/>
        <w:overflowPunct w:val="0"/>
        <w:autoSpaceDE w:val="0"/>
        <w:autoSpaceDN w:val="0"/>
        <w:adjustRightInd w:val="0"/>
        <w:snapToGrid w:val="0"/>
        <w:ind w:firstLine="0"/>
        <w:jc w:val="left"/>
        <w:rPr>
          <w:snapToGrid w:val="0"/>
          <w:kern w:val="18"/>
          <w:szCs w:val="18"/>
        </w:rPr>
      </w:pPr>
      <w:r>
        <w:rPr>
          <w:rStyle w:val="Appelnotedebasdep"/>
          <w:snapToGrid w:val="0"/>
          <w:kern w:val="18"/>
          <w:szCs w:val="18"/>
          <w:u w:val="none"/>
        </w:rPr>
        <w:fldChar w:fldCharType="begin"/>
      </w:r>
      <w:r>
        <w:rPr>
          <w:rStyle w:val="Appelnotedebasdep"/>
          <w:snapToGrid w:val="0"/>
          <w:kern w:val="18"/>
          <w:szCs w:val="18"/>
          <w:u w:val="none"/>
        </w:rPr>
        <w:instrText xml:space="preserve"> HYPERLINK "https://www.cbd.int/doc/c/c418/4b06/65b26745a1c1a1793cc5ea40/sbi-02-01-fr.pdf" </w:instrText>
      </w:r>
      <w:r>
        <w:rPr>
          <w:rStyle w:val="Appelnotedebasdep"/>
          <w:snapToGrid w:val="0"/>
          <w:kern w:val="18"/>
          <w:szCs w:val="18"/>
          <w:u w:val="none"/>
        </w:rPr>
        <w:fldChar w:fldCharType="separate"/>
      </w:r>
      <w:r w:rsidRPr="005B2EB4">
        <w:rPr>
          <w:rStyle w:val="Lienhypertexte"/>
          <w:snapToGrid w:val="0"/>
          <w:kern w:val="18"/>
          <w:szCs w:val="18"/>
        </w:rPr>
        <w:t>* CBD/SBI/2/1</w:t>
      </w:r>
      <w:r>
        <w:rPr>
          <w:rStyle w:val="Appelnotedebasdep"/>
          <w:snapToGrid w:val="0"/>
          <w:kern w:val="18"/>
          <w:szCs w:val="18"/>
          <w:u w:val="none"/>
        </w:rPr>
        <w:fldChar w:fldCharType="end"/>
      </w:r>
      <w:r w:rsidRPr="0086177B">
        <w:rPr>
          <w:snapToGrid w:val="0"/>
          <w:kern w:val="18"/>
          <w:szCs w:val="18"/>
        </w:rPr>
        <w:t>.</w:t>
      </w:r>
    </w:p>
  </w:footnote>
  <w:footnote w:id="2">
    <w:p w:rsidR="00074292" w:rsidRPr="00FB67C2" w:rsidRDefault="00074292" w:rsidP="0086177B">
      <w:pPr>
        <w:pStyle w:val="Notedebasdepage"/>
        <w:kinsoku w:val="0"/>
        <w:overflowPunct w:val="0"/>
        <w:autoSpaceDE w:val="0"/>
        <w:autoSpaceDN w:val="0"/>
        <w:adjustRightInd w:val="0"/>
        <w:snapToGrid w:val="0"/>
        <w:ind w:firstLine="0"/>
        <w:jc w:val="left"/>
        <w:rPr>
          <w:snapToGrid w:val="0"/>
          <w:kern w:val="18"/>
          <w:szCs w:val="18"/>
          <w:lang w:val="fr-FR"/>
        </w:rPr>
      </w:pPr>
      <w:r w:rsidRPr="00FB67C2">
        <w:rPr>
          <w:rStyle w:val="Appelnotedebasdep"/>
          <w:snapToGrid w:val="0"/>
          <w:kern w:val="18"/>
          <w:szCs w:val="18"/>
          <w:u w:val="none"/>
          <w:vertAlign w:val="superscript"/>
          <w:lang w:val="fr-FR"/>
        </w:rPr>
        <w:footnoteRef/>
      </w:r>
      <w:r w:rsidRPr="00FB67C2">
        <w:rPr>
          <w:snapToGrid w:val="0"/>
          <w:kern w:val="18"/>
          <w:szCs w:val="18"/>
          <w:lang w:val="fr-FR"/>
        </w:rPr>
        <w:t xml:space="preserve"> “</w:t>
      </w:r>
      <w:r w:rsidRPr="005B2EB4">
        <w:rPr>
          <w:snapToGrid w:val="0"/>
          <w:kern w:val="18"/>
          <w:szCs w:val="18"/>
        </w:rPr>
        <w:t>Trust Fund for Participation in the UNFCCC Process</w:t>
      </w:r>
      <w:r w:rsidRPr="00FB67C2">
        <w:rPr>
          <w:snapToGrid w:val="0"/>
          <w:kern w:val="18"/>
          <w:szCs w:val="18"/>
          <w:lang w:val="fr-FR"/>
        </w:rPr>
        <w:t>”</w:t>
      </w:r>
      <w:r>
        <w:rPr>
          <w:snapToGrid w:val="0"/>
          <w:kern w:val="18"/>
          <w:szCs w:val="18"/>
          <w:lang w:val="fr-FR"/>
        </w:rPr>
        <w:t>,</w:t>
      </w:r>
      <w:r w:rsidRPr="00FB67C2">
        <w:rPr>
          <w:snapToGrid w:val="0"/>
          <w:kern w:val="18"/>
          <w:szCs w:val="18"/>
          <w:lang w:val="fr-FR"/>
        </w:rPr>
        <w:t xml:space="preserve"> </w:t>
      </w:r>
      <w:r>
        <w:rPr>
          <w:snapToGrid w:val="0"/>
          <w:kern w:val="18"/>
          <w:szCs w:val="18"/>
          <w:lang w:val="fr-FR"/>
        </w:rPr>
        <w:t xml:space="preserve">Note d’information rédigée par le Secrétariat (en date du </w:t>
      </w:r>
      <w:r w:rsidRPr="00FB67C2">
        <w:rPr>
          <w:snapToGrid w:val="0"/>
          <w:kern w:val="18"/>
          <w:szCs w:val="18"/>
          <w:lang w:val="fr-FR"/>
        </w:rPr>
        <w:t>2</w:t>
      </w:r>
      <w:r>
        <w:rPr>
          <w:snapToGrid w:val="0"/>
          <w:kern w:val="18"/>
          <w:szCs w:val="18"/>
          <w:lang w:val="fr-FR"/>
        </w:rPr>
        <w:t> o</w:t>
      </w:r>
      <w:r w:rsidRPr="00FB67C2">
        <w:rPr>
          <w:snapToGrid w:val="0"/>
          <w:kern w:val="18"/>
          <w:szCs w:val="18"/>
          <w:lang w:val="fr-FR"/>
        </w:rPr>
        <w:t>ctob</w:t>
      </w:r>
      <w:r>
        <w:rPr>
          <w:snapToGrid w:val="0"/>
          <w:kern w:val="18"/>
          <w:szCs w:val="18"/>
          <w:lang w:val="fr-FR"/>
        </w:rPr>
        <w:t>r</w:t>
      </w:r>
      <w:r w:rsidRPr="00FB67C2">
        <w:rPr>
          <w:snapToGrid w:val="0"/>
          <w:kern w:val="18"/>
          <w:szCs w:val="18"/>
          <w:lang w:val="fr-FR"/>
        </w:rPr>
        <w:t xml:space="preserve">e 2017), </w:t>
      </w:r>
      <w:r>
        <w:rPr>
          <w:snapToGrid w:val="0"/>
          <w:kern w:val="18"/>
          <w:szCs w:val="18"/>
          <w:lang w:val="fr-FR"/>
        </w:rPr>
        <w:t>disponible (en anglais) à l’adresse :</w:t>
      </w:r>
      <w:r w:rsidRPr="00FB67C2">
        <w:rPr>
          <w:snapToGrid w:val="0"/>
          <w:kern w:val="18"/>
          <w:szCs w:val="18"/>
          <w:lang w:val="fr-FR"/>
        </w:rPr>
        <w:t xml:space="preserve"> </w:t>
      </w:r>
      <w:hyperlink r:id="rId1" w:history="1">
        <w:r w:rsidRPr="00FB67C2">
          <w:rPr>
            <w:rStyle w:val="Lienhypertexte"/>
            <w:snapToGrid w:val="0"/>
            <w:kern w:val="18"/>
            <w:szCs w:val="18"/>
            <w:lang w:val="fr-FR"/>
          </w:rPr>
          <w:t>https://unfccc.int/es/process-and-meetings/conferences/un-climate-change-conference-november-2017/events-and-schedules/mandated-events/technical-workshop-on-ways-to-increase-the-efficiency-and-transparency-of-the-budget-process</w:t>
        </w:r>
      </w:hyperlink>
    </w:p>
  </w:footnote>
  <w:footnote w:id="3">
    <w:p w:rsidR="00074292" w:rsidRPr="004F7296" w:rsidRDefault="00074292" w:rsidP="0067398D">
      <w:pPr>
        <w:pStyle w:val="Notedebasdepage"/>
        <w:kinsoku w:val="0"/>
        <w:overflowPunct w:val="0"/>
        <w:autoSpaceDE w:val="0"/>
        <w:autoSpaceDN w:val="0"/>
        <w:adjustRightInd w:val="0"/>
        <w:snapToGrid w:val="0"/>
        <w:ind w:firstLine="0"/>
        <w:jc w:val="left"/>
        <w:rPr>
          <w:snapToGrid w:val="0"/>
          <w:kern w:val="18"/>
          <w:szCs w:val="18"/>
          <w:lang w:val="fr-FR"/>
        </w:rPr>
      </w:pPr>
      <w:r w:rsidRPr="004F7296">
        <w:rPr>
          <w:rStyle w:val="Appelnotedebasdep"/>
          <w:snapToGrid w:val="0"/>
          <w:kern w:val="18"/>
          <w:szCs w:val="18"/>
          <w:u w:val="none"/>
          <w:vertAlign w:val="superscript"/>
          <w:lang w:val="fr-FR"/>
        </w:rPr>
        <w:footnoteRef/>
      </w:r>
      <w:r w:rsidRPr="004F7296">
        <w:rPr>
          <w:snapToGrid w:val="0"/>
          <w:kern w:val="18"/>
          <w:szCs w:val="18"/>
          <w:lang w:val="fr-FR"/>
        </w:rPr>
        <w:t xml:space="preserve"> </w:t>
      </w:r>
      <w:r>
        <w:rPr>
          <w:snapToGrid w:val="0"/>
          <w:kern w:val="18"/>
          <w:szCs w:val="18"/>
          <w:lang w:val="fr-FR"/>
        </w:rPr>
        <w:t>La présente évaluation</w:t>
      </w:r>
      <w:r w:rsidRPr="004F7296">
        <w:rPr>
          <w:snapToGrid w:val="0"/>
          <w:kern w:val="18"/>
          <w:szCs w:val="18"/>
          <w:lang w:val="fr-FR"/>
        </w:rPr>
        <w:t xml:space="preserve"> </w:t>
      </w:r>
      <w:r>
        <w:rPr>
          <w:snapToGrid w:val="0"/>
          <w:kern w:val="18"/>
          <w:szCs w:val="18"/>
          <w:lang w:val="fr-FR"/>
        </w:rPr>
        <w:t>suppose qu’un délégué d’une Partie non aidé par le Fonds BZ n’a pas pu participer à la réunion. Lorsque ce délégué de la Partie était le seul prévu pour assister à la réunion, sa Partie n’est pas représentée. Lorsque les délégués de la Partie prévus pour la réunion sont au nombre de deux ou plus, il est estimé que leur délégation sera réduite du nombre de participants nécessitant d’être</w:t>
      </w:r>
      <w:r w:rsidR="009B0C48">
        <w:rPr>
          <w:snapToGrid w:val="0"/>
          <w:kern w:val="18"/>
          <w:szCs w:val="18"/>
          <w:lang w:val="fr-FR"/>
        </w:rPr>
        <w:t xml:space="preserve"> aidés financièrement par la</w:t>
      </w:r>
      <w:r>
        <w:rPr>
          <w:snapToGrid w:val="0"/>
          <w:kern w:val="18"/>
          <w:szCs w:val="18"/>
          <w:lang w:val="fr-FR"/>
        </w:rPr>
        <w:t xml:space="preserve"> Partie</w:t>
      </w:r>
      <w:r w:rsidRPr="004F7296">
        <w:rPr>
          <w:snapToGrid w:val="0"/>
          <w:kern w:val="18"/>
          <w:szCs w:val="18"/>
          <w:lang w:val="fr-FR"/>
        </w:rPr>
        <w:t xml:space="preserve">. </w:t>
      </w:r>
      <w:r>
        <w:rPr>
          <w:snapToGrid w:val="0"/>
          <w:kern w:val="18"/>
          <w:szCs w:val="18"/>
          <w:lang w:val="fr-FR"/>
        </w:rPr>
        <w:t>Les chiffres entre parenthèses désignent le sous-ensemble de PMA et PEID Parties admissibles</w:t>
      </w:r>
      <w:r w:rsidRPr="004F7296">
        <w:rPr>
          <w:snapToGrid w:val="0"/>
          <w:kern w:val="18"/>
          <w:szCs w:val="18"/>
          <w:lang w:val="fr-FR"/>
        </w:rPr>
        <w:t>.</w:t>
      </w:r>
    </w:p>
  </w:footnote>
  <w:footnote w:id="4">
    <w:p w:rsidR="00074292" w:rsidRPr="004F7296" w:rsidRDefault="00074292" w:rsidP="0086177B">
      <w:pPr>
        <w:pStyle w:val="Notedebasdepage"/>
        <w:kinsoku w:val="0"/>
        <w:overflowPunct w:val="0"/>
        <w:autoSpaceDE w:val="0"/>
        <w:autoSpaceDN w:val="0"/>
        <w:adjustRightInd w:val="0"/>
        <w:snapToGrid w:val="0"/>
        <w:ind w:firstLine="0"/>
        <w:jc w:val="left"/>
        <w:rPr>
          <w:snapToGrid w:val="0"/>
          <w:kern w:val="18"/>
          <w:szCs w:val="18"/>
          <w:lang w:val="fr-FR"/>
        </w:rPr>
      </w:pPr>
      <w:r w:rsidRPr="004F7296">
        <w:rPr>
          <w:rStyle w:val="Appelnotedebasdep"/>
          <w:snapToGrid w:val="0"/>
          <w:kern w:val="18"/>
          <w:szCs w:val="18"/>
          <w:u w:val="none"/>
          <w:vertAlign w:val="superscript"/>
          <w:lang w:val="fr-FR"/>
        </w:rPr>
        <w:footnoteRef/>
      </w:r>
      <w:r w:rsidRPr="004F7296">
        <w:rPr>
          <w:snapToGrid w:val="0"/>
          <w:kern w:val="18"/>
          <w:szCs w:val="18"/>
          <w:lang w:val="fr-FR"/>
        </w:rPr>
        <w:t xml:space="preserve"> </w:t>
      </w:r>
      <w:r>
        <w:rPr>
          <w:snapToGrid w:val="0"/>
          <w:kern w:val="18"/>
          <w:szCs w:val="18"/>
          <w:lang w:val="fr-FR"/>
        </w:rPr>
        <w:t>Il s’agit du</w:t>
      </w:r>
      <w:r w:rsidRPr="004F7296">
        <w:rPr>
          <w:snapToGrid w:val="0"/>
          <w:kern w:val="18"/>
          <w:szCs w:val="18"/>
          <w:lang w:val="fr-FR"/>
        </w:rPr>
        <w:t xml:space="preserve"> nombre </w:t>
      </w:r>
      <w:r>
        <w:rPr>
          <w:snapToGrid w:val="0"/>
          <w:kern w:val="18"/>
          <w:szCs w:val="18"/>
          <w:lang w:val="fr-FR"/>
        </w:rPr>
        <w:t>de pays en développement</w:t>
      </w:r>
      <w:r w:rsidRPr="004F7296">
        <w:rPr>
          <w:snapToGrid w:val="0"/>
          <w:kern w:val="18"/>
          <w:szCs w:val="18"/>
          <w:lang w:val="fr-FR"/>
        </w:rPr>
        <w:t xml:space="preserve"> Parties </w:t>
      </w:r>
      <w:r w:rsidRPr="004F7296">
        <w:rPr>
          <w:rFonts w:asciiTheme="majorBidi" w:hAnsiTheme="majorBidi" w:cstheme="majorBidi"/>
          <w:snapToGrid w:val="0"/>
          <w:color w:val="000000"/>
          <w:kern w:val="18"/>
          <w:szCs w:val="18"/>
          <w:lang w:val="fr-FR"/>
        </w:rPr>
        <w:t>(</w:t>
      </w:r>
      <w:r>
        <w:rPr>
          <w:rFonts w:asciiTheme="majorBidi" w:hAnsiTheme="majorBidi" w:cstheme="majorBidi"/>
          <w:snapToGrid w:val="0"/>
          <w:color w:val="000000"/>
          <w:kern w:val="18"/>
          <w:szCs w:val="18"/>
          <w:lang w:val="fr-FR"/>
        </w:rPr>
        <w:t>PMA et PEID</w:t>
      </w:r>
      <w:r w:rsidRPr="004F7296">
        <w:rPr>
          <w:rFonts w:asciiTheme="majorBidi" w:hAnsiTheme="majorBidi" w:cstheme="majorBidi"/>
          <w:snapToGrid w:val="0"/>
          <w:color w:val="000000"/>
          <w:kern w:val="18"/>
          <w:szCs w:val="18"/>
          <w:lang w:val="fr-FR"/>
        </w:rPr>
        <w:t>)</w:t>
      </w:r>
      <w:r w:rsidRPr="004F7296">
        <w:rPr>
          <w:snapToGrid w:val="0"/>
          <w:kern w:val="18"/>
          <w:szCs w:val="18"/>
          <w:lang w:val="fr-FR"/>
        </w:rPr>
        <w:t xml:space="preserve"> </w:t>
      </w:r>
      <w:r>
        <w:rPr>
          <w:snapToGrid w:val="0"/>
          <w:kern w:val="18"/>
          <w:szCs w:val="18"/>
          <w:lang w:val="fr-FR"/>
        </w:rPr>
        <w:t>ayant participé à chaque réunion</w:t>
      </w:r>
      <w:r w:rsidRPr="004F7296">
        <w:rPr>
          <w:snapToGrid w:val="0"/>
          <w:kern w:val="18"/>
          <w:szCs w:val="18"/>
          <w:lang w:val="fr-FR"/>
        </w:rPr>
        <w:t>.</w:t>
      </w:r>
    </w:p>
  </w:footnote>
  <w:footnote w:id="5">
    <w:p w:rsidR="00074292" w:rsidRPr="004F7296" w:rsidRDefault="00074292" w:rsidP="0086177B">
      <w:pPr>
        <w:pStyle w:val="Notedebasdepage"/>
        <w:kinsoku w:val="0"/>
        <w:overflowPunct w:val="0"/>
        <w:autoSpaceDE w:val="0"/>
        <w:autoSpaceDN w:val="0"/>
        <w:adjustRightInd w:val="0"/>
        <w:snapToGrid w:val="0"/>
        <w:ind w:firstLine="0"/>
        <w:jc w:val="left"/>
        <w:rPr>
          <w:snapToGrid w:val="0"/>
          <w:kern w:val="18"/>
          <w:szCs w:val="18"/>
          <w:lang w:val="fr-FR"/>
        </w:rPr>
      </w:pPr>
      <w:r w:rsidRPr="004F7296">
        <w:rPr>
          <w:rStyle w:val="Appelnotedebasdep"/>
          <w:snapToGrid w:val="0"/>
          <w:kern w:val="18"/>
          <w:szCs w:val="18"/>
          <w:u w:val="none"/>
          <w:vertAlign w:val="superscript"/>
          <w:lang w:val="fr-FR"/>
        </w:rPr>
        <w:footnoteRef/>
      </w:r>
      <w:r w:rsidRPr="004F7296">
        <w:rPr>
          <w:snapToGrid w:val="0"/>
          <w:kern w:val="18"/>
          <w:szCs w:val="18"/>
          <w:lang w:val="fr-FR"/>
        </w:rPr>
        <w:t xml:space="preserve"> </w:t>
      </w:r>
      <w:r>
        <w:rPr>
          <w:snapToGrid w:val="0"/>
          <w:kern w:val="18"/>
          <w:szCs w:val="18"/>
          <w:lang w:val="fr-FR"/>
        </w:rPr>
        <w:t>Il s’agit du</w:t>
      </w:r>
      <w:r w:rsidRPr="004F7296">
        <w:rPr>
          <w:snapToGrid w:val="0"/>
          <w:kern w:val="18"/>
          <w:szCs w:val="18"/>
          <w:lang w:val="fr-FR"/>
        </w:rPr>
        <w:t xml:space="preserve"> nombre </w:t>
      </w:r>
      <w:r>
        <w:rPr>
          <w:snapToGrid w:val="0"/>
          <w:kern w:val="18"/>
          <w:szCs w:val="18"/>
          <w:lang w:val="fr-FR"/>
        </w:rPr>
        <w:t>de pays en développement</w:t>
      </w:r>
      <w:r w:rsidRPr="004F7296">
        <w:rPr>
          <w:snapToGrid w:val="0"/>
          <w:kern w:val="18"/>
          <w:szCs w:val="18"/>
          <w:lang w:val="fr-FR"/>
        </w:rPr>
        <w:t xml:space="preserve"> Parties </w:t>
      </w:r>
      <w:r w:rsidRPr="004F7296">
        <w:rPr>
          <w:rFonts w:asciiTheme="majorBidi" w:hAnsiTheme="majorBidi" w:cstheme="majorBidi"/>
          <w:snapToGrid w:val="0"/>
          <w:color w:val="000000"/>
          <w:kern w:val="18"/>
          <w:szCs w:val="18"/>
          <w:lang w:val="fr-FR"/>
        </w:rPr>
        <w:t>(</w:t>
      </w:r>
      <w:r>
        <w:rPr>
          <w:rFonts w:asciiTheme="majorBidi" w:hAnsiTheme="majorBidi" w:cstheme="majorBidi"/>
          <w:snapToGrid w:val="0"/>
          <w:color w:val="000000"/>
          <w:kern w:val="18"/>
          <w:szCs w:val="18"/>
          <w:lang w:val="fr-FR"/>
        </w:rPr>
        <w:t>PMA et PEID</w:t>
      </w:r>
      <w:r w:rsidRPr="004F7296">
        <w:rPr>
          <w:rFonts w:asciiTheme="majorBidi" w:hAnsiTheme="majorBidi" w:cstheme="majorBidi"/>
          <w:snapToGrid w:val="0"/>
          <w:color w:val="000000"/>
          <w:kern w:val="18"/>
          <w:szCs w:val="18"/>
          <w:lang w:val="fr-FR"/>
        </w:rPr>
        <w:t>)</w:t>
      </w:r>
      <w:r w:rsidRPr="004F7296">
        <w:rPr>
          <w:snapToGrid w:val="0"/>
          <w:kern w:val="18"/>
          <w:szCs w:val="18"/>
          <w:lang w:val="fr-FR"/>
        </w:rPr>
        <w:t xml:space="preserve"> </w:t>
      </w:r>
      <w:r>
        <w:rPr>
          <w:snapToGrid w:val="0"/>
          <w:kern w:val="18"/>
          <w:szCs w:val="18"/>
          <w:lang w:val="fr-FR"/>
        </w:rPr>
        <w:t xml:space="preserve">ayant été </w:t>
      </w:r>
      <w:proofErr w:type="gramStart"/>
      <w:r>
        <w:rPr>
          <w:snapToGrid w:val="0"/>
          <w:kern w:val="18"/>
          <w:szCs w:val="18"/>
          <w:lang w:val="fr-FR"/>
        </w:rPr>
        <w:t>aidé</w:t>
      </w:r>
      <w:r w:rsidR="00E82D13">
        <w:rPr>
          <w:snapToGrid w:val="0"/>
          <w:kern w:val="18"/>
          <w:szCs w:val="18"/>
          <w:lang w:val="fr-FR"/>
        </w:rPr>
        <w:t>e</w:t>
      </w:r>
      <w:r>
        <w:rPr>
          <w:snapToGrid w:val="0"/>
          <w:kern w:val="18"/>
          <w:szCs w:val="18"/>
          <w:lang w:val="fr-FR"/>
        </w:rPr>
        <w:t>s</w:t>
      </w:r>
      <w:proofErr w:type="gramEnd"/>
      <w:r>
        <w:rPr>
          <w:snapToGrid w:val="0"/>
          <w:kern w:val="18"/>
          <w:szCs w:val="18"/>
          <w:lang w:val="fr-FR"/>
        </w:rPr>
        <w:t xml:space="preserve"> par le Fonds BZ pour participer à la réunion. Le financement a été fourni à un délégué dans la plupart des cas</w:t>
      </w:r>
      <w:r w:rsidRPr="004F7296">
        <w:rPr>
          <w:snapToGrid w:val="0"/>
          <w:kern w:val="18"/>
          <w:szCs w:val="18"/>
          <w:lang w:val="fr-FR"/>
        </w:rPr>
        <w:t xml:space="preserve">. </w:t>
      </w:r>
      <w:r>
        <w:rPr>
          <w:snapToGrid w:val="0"/>
          <w:kern w:val="18"/>
          <w:szCs w:val="18"/>
          <w:lang w:val="fr-FR"/>
        </w:rPr>
        <w:t>Toutefois, par exemple lorsque le représentant d’une Partie siégeait au Bureau de la Conférence des Parties ou à celui de l’Organe subsidiaire chargé de fournir des avis scientifiques, techniques et technologiques, le financement a parfois bénéficié à deux ou plusieurs représentants de la Partie</w:t>
      </w:r>
      <w:r w:rsidRPr="004F7296">
        <w:rPr>
          <w:snapToGrid w:val="0"/>
          <w:kern w:val="18"/>
          <w:szCs w:val="18"/>
          <w:lang w:val="fr-FR"/>
        </w:rPr>
        <w:t>.</w:t>
      </w:r>
    </w:p>
  </w:footnote>
  <w:footnote w:id="6">
    <w:p w:rsidR="00074292" w:rsidRPr="0086177B" w:rsidRDefault="00074292" w:rsidP="0086177B">
      <w:pPr>
        <w:pStyle w:val="Notedebasdepage"/>
        <w:kinsoku w:val="0"/>
        <w:overflowPunct w:val="0"/>
        <w:autoSpaceDE w:val="0"/>
        <w:autoSpaceDN w:val="0"/>
        <w:adjustRightInd w:val="0"/>
        <w:snapToGrid w:val="0"/>
        <w:ind w:firstLine="0"/>
        <w:jc w:val="left"/>
        <w:rPr>
          <w:snapToGrid w:val="0"/>
          <w:kern w:val="18"/>
          <w:szCs w:val="18"/>
        </w:rPr>
      </w:pPr>
      <w:r w:rsidRPr="00165287">
        <w:rPr>
          <w:rStyle w:val="Appelnotedebasdep"/>
          <w:snapToGrid w:val="0"/>
          <w:kern w:val="18"/>
          <w:szCs w:val="18"/>
          <w:u w:val="none"/>
          <w:vertAlign w:val="superscript"/>
          <w:lang w:val="fr-FR"/>
        </w:rPr>
        <w:footnoteRef/>
      </w:r>
      <w:r w:rsidRPr="00165287">
        <w:rPr>
          <w:rStyle w:val="Appelnotedebasdep"/>
          <w:snapToGrid w:val="0"/>
          <w:kern w:val="18"/>
          <w:szCs w:val="18"/>
          <w:u w:val="none"/>
          <w:vertAlign w:val="superscript"/>
          <w:lang w:val="fr-FR"/>
        </w:rPr>
        <w:t xml:space="preserve"> </w:t>
      </w:r>
      <w:r>
        <w:rPr>
          <w:snapToGrid w:val="0"/>
          <w:kern w:val="18"/>
          <w:szCs w:val="18"/>
          <w:lang w:val="fr-FR"/>
        </w:rPr>
        <w:t>Il s’agit du</w:t>
      </w:r>
      <w:r w:rsidRPr="004F7296">
        <w:rPr>
          <w:snapToGrid w:val="0"/>
          <w:kern w:val="18"/>
          <w:szCs w:val="18"/>
          <w:lang w:val="fr-FR"/>
        </w:rPr>
        <w:t xml:space="preserve"> </w:t>
      </w:r>
      <w:r>
        <w:rPr>
          <w:snapToGrid w:val="0"/>
          <w:kern w:val="18"/>
          <w:szCs w:val="18"/>
          <w:lang w:val="fr-FR"/>
        </w:rPr>
        <w:t>nombre et du pourcentage de</w:t>
      </w:r>
      <w:r w:rsidRPr="00165287">
        <w:rPr>
          <w:snapToGrid w:val="0"/>
          <w:kern w:val="18"/>
          <w:szCs w:val="18"/>
          <w:lang w:val="fr-FR"/>
        </w:rPr>
        <w:t xml:space="preserve"> Parties </w:t>
      </w:r>
      <w:r w:rsidRPr="00165287">
        <w:rPr>
          <w:rFonts w:asciiTheme="majorBidi" w:hAnsiTheme="majorBidi" w:cstheme="majorBidi"/>
          <w:snapToGrid w:val="0"/>
          <w:color w:val="000000"/>
          <w:kern w:val="18"/>
          <w:szCs w:val="18"/>
          <w:lang w:val="fr-FR"/>
        </w:rPr>
        <w:t>(</w:t>
      </w:r>
      <w:r>
        <w:rPr>
          <w:rFonts w:asciiTheme="majorBidi" w:hAnsiTheme="majorBidi" w:cstheme="majorBidi"/>
          <w:snapToGrid w:val="0"/>
          <w:color w:val="000000"/>
          <w:kern w:val="18"/>
          <w:szCs w:val="18"/>
          <w:lang w:val="fr-FR"/>
        </w:rPr>
        <w:t>PMA et PEID</w:t>
      </w:r>
      <w:r w:rsidRPr="00165287">
        <w:rPr>
          <w:rFonts w:asciiTheme="majorBidi" w:hAnsiTheme="majorBidi" w:cstheme="majorBidi"/>
          <w:snapToGrid w:val="0"/>
          <w:color w:val="000000"/>
          <w:kern w:val="18"/>
          <w:szCs w:val="18"/>
          <w:lang w:val="fr-FR"/>
        </w:rPr>
        <w:t>)</w:t>
      </w:r>
      <w:r>
        <w:rPr>
          <w:rFonts w:asciiTheme="majorBidi" w:hAnsiTheme="majorBidi" w:cstheme="majorBidi"/>
          <w:snapToGrid w:val="0"/>
          <w:color w:val="000000"/>
          <w:kern w:val="18"/>
          <w:szCs w:val="18"/>
          <w:lang w:val="fr-FR"/>
        </w:rPr>
        <w:t xml:space="preserve"> ayant été aidées pour leurs</w:t>
      </w:r>
      <w:r>
        <w:rPr>
          <w:snapToGrid w:val="0"/>
          <w:kern w:val="18"/>
          <w:szCs w:val="18"/>
          <w:lang w:val="fr-FR"/>
        </w:rPr>
        <w:t xml:space="preserve"> délégations comptant un seul représentant</w:t>
      </w:r>
      <w:r w:rsidRPr="00165287">
        <w:rPr>
          <w:snapToGrid w:val="0"/>
          <w:kern w:val="18"/>
          <w:szCs w:val="18"/>
          <w:lang w:val="fr-FR"/>
        </w:rPr>
        <w:t xml:space="preserve">. </w:t>
      </w:r>
      <w:r>
        <w:rPr>
          <w:snapToGrid w:val="0"/>
          <w:kern w:val="18"/>
          <w:szCs w:val="18"/>
          <w:lang w:val="fr-FR"/>
        </w:rPr>
        <w:t>Si aucun financement n’avait été alloué par le Fonds</w:t>
      </w:r>
      <w:r w:rsidRPr="00165287">
        <w:rPr>
          <w:snapToGrid w:val="0"/>
          <w:kern w:val="18"/>
          <w:szCs w:val="18"/>
          <w:lang w:val="fr-FR"/>
        </w:rPr>
        <w:t xml:space="preserve"> BZ </w:t>
      </w:r>
      <w:r>
        <w:rPr>
          <w:snapToGrid w:val="0"/>
          <w:kern w:val="18"/>
          <w:szCs w:val="18"/>
          <w:lang w:val="fr-FR"/>
        </w:rPr>
        <w:t>ou une autre source, les Parties de cette catégorie</w:t>
      </w:r>
      <w:r w:rsidRPr="00165287">
        <w:rPr>
          <w:snapToGrid w:val="0"/>
          <w:kern w:val="18"/>
          <w:szCs w:val="18"/>
          <w:lang w:val="fr-FR"/>
        </w:rPr>
        <w:t xml:space="preserve"> </w:t>
      </w:r>
      <w:r>
        <w:rPr>
          <w:snapToGrid w:val="0"/>
          <w:kern w:val="18"/>
          <w:szCs w:val="18"/>
          <w:lang w:val="fr-FR"/>
        </w:rPr>
        <w:t>n’auraient pas été représentées à la réunion</w:t>
      </w:r>
      <w:r w:rsidRPr="0086177B">
        <w:rPr>
          <w:snapToGrid w:val="0"/>
          <w:kern w:val="18"/>
          <w:szCs w:val="18"/>
        </w:rPr>
        <w:t>.</w:t>
      </w:r>
    </w:p>
  </w:footnote>
  <w:footnote w:id="7">
    <w:p w:rsidR="00074292" w:rsidRPr="006C6068" w:rsidRDefault="00074292" w:rsidP="0086177B">
      <w:pPr>
        <w:keepLines/>
        <w:kinsoku w:val="0"/>
        <w:overflowPunct w:val="0"/>
        <w:autoSpaceDE w:val="0"/>
        <w:autoSpaceDN w:val="0"/>
        <w:adjustRightInd w:val="0"/>
        <w:snapToGrid w:val="0"/>
        <w:spacing w:after="60"/>
        <w:jc w:val="left"/>
        <w:rPr>
          <w:snapToGrid w:val="0"/>
          <w:color w:val="333333"/>
          <w:kern w:val="18"/>
          <w:sz w:val="18"/>
          <w:szCs w:val="18"/>
          <w:lang w:val="fr-FR"/>
        </w:rPr>
      </w:pPr>
      <w:r w:rsidRPr="006C6068">
        <w:rPr>
          <w:rStyle w:val="Appelnotedebasdep"/>
          <w:snapToGrid w:val="0"/>
          <w:kern w:val="18"/>
          <w:szCs w:val="18"/>
          <w:u w:val="none"/>
          <w:vertAlign w:val="superscript"/>
          <w:lang w:val="fr-FR"/>
        </w:rPr>
        <w:footnoteRef/>
      </w:r>
      <w:r>
        <w:rPr>
          <w:snapToGrid w:val="0"/>
          <w:kern w:val="18"/>
          <w:sz w:val="18"/>
          <w:szCs w:val="18"/>
          <w:lang w:val="fr-FR"/>
        </w:rPr>
        <w:t xml:space="preserve"> Pour de plus amples </w:t>
      </w:r>
      <w:r w:rsidRPr="006C6068">
        <w:rPr>
          <w:snapToGrid w:val="0"/>
          <w:kern w:val="18"/>
          <w:sz w:val="18"/>
          <w:szCs w:val="18"/>
          <w:lang w:val="fr-FR"/>
        </w:rPr>
        <w:t>information</w:t>
      </w:r>
      <w:r>
        <w:rPr>
          <w:snapToGrid w:val="0"/>
          <w:kern w:val="18"/>
          <w:sz w:val="18"/>
          <w:szCs w:val="18"/>
          <w:lang w:val="fr-FR"/>
        </w:rPr>
        <w:t>s</w:t>
      </w:r>
      <w:r w:rsidRPr="006C6068">
        <w:rPr>
          <w:snapToGrid w:val="0"/>
          <w:kern w:val="18"/>
          <w:sz w:val="18"/>
          <w:szCs w:val="18"/>
          <w:lang w:val="fr-FR"/>
        </w:rPr>
        <w:t xml:space="preserve">, </w:t>
      </w:r>
      <w:r>
        <w:rPr>
          <w:snapToGrid w:val="0"/>
          <w:kern w:val="18"/>
          <w:sz w:val="18"/>
          <w:szCs w:val="18"/>
          <w:lang w:val="fr-FR"/>
        </w:rPr>
        <w:t xml:space="preserve">voir </w:t>
      </w:r>
      <w:r w:rsidR="0005762C">
        <w:rPr>
          <w:snapToGrid w:val="0"/>
          <w:kern w:val="18"/>
          <w:sz w:val="18"/>
          <w:szCs w:val="18"/>
          <w:lang w:val="fr-FR"/>
        </w:rPr>
        <w:t>le document</w:t>
      </w:r>
      <w:r>
        <w:rPr>
          <w:snapToGrid w:val="0"/>
          <w:kern w:val="18"/>
          <w:sz w:val="18"/>
          <w:szCs w:val="18"/>
          <w:lang w:val="fr-FR"/>
        </w:rPr>
        <w:t xml:space="preserve"> (en anglais) :</w:t>
      </w:r>
      <w:r w:rsidRPr="006C6068">
        <w:rPr>
          <w:snapToGrid w:val="0"/>
          <w:kern w:val="18"/>
          <w:sz w:val="18"/>
          <w:szCs w:val="18"/>
          <w:lang w:val="fr-FR"/>
        </w:rPr>
        <w:t xml:space="preserve"> </w:t>
      </w:r>
      <w:hyperlink r:id="rId2" w:history="1">
        <w:r w:rsidRPr="006C6068">
          <w:rPr>
            <w:rStyle w:val="Lienhypertexte"/>
            <w:kern w:val="18"/>
            <w:sz w:val="18"/>
            <w:szCs w:val="18"/>
            <w:lang w:val="fr-FR"/>
          </w:rPr>
          <w:t>CBD/SBI/2/16/Add.1</w:t>
        </w:r>
      </w:hyperlink>
      <w:r w:rsidRPr="006C6068">
        <w:rPr>
          <w:snapToGrid w:val="0"/>
          <w:kern w:val="18"/>
          <w:sz w:val="18"/>
          <w:szCs w:val="18"/>
          <w:lang w:val="fr-FR"/>
        </w:rPr>
        <w:t xml:space="preserve"> </w:t>
      </w:r>
      <w:r>
        <w:rPr>
          <w:snapToGrid w:val="0"/>
          <w:kern w:val="18"/>
          <w:sz w:val="18"/>
          <w:szCs w:val="18"/>
          <w:lang w:val="fr-FR"/>
        </w:rPr>
        <w:t xml:space="preserve">qui sera </w:t>
      </w:r>
      <w:r w:rsidR="0005762C">
        <w:rPr>
          <w:snapToGrid w:val="0"/>
          <w:kern w:val="18"/>
          <w:sz w:val="18"/>
          <w:szCs w:val="18"/>
          <w:lang w:val="fr-FR"/>
        </w:rPr>
        <w:t>examiné</w:t>
      </w:r>
      <w:r>
        <w:rPr>
          <w:snapToGrid w:val="0"/>
          <w:kern w:val="18"/>
          <w:sz w:val="18"/>
          <w:szCs w:val="18"/>
          <w:lang w:val="fr-FR"/>
        </w:rPr>
        <w:t xml:space="preserve"> au titre du point 15 de l’ordre du jour</w:t>
      </w:r>
      <w:r w:rsidRPr="006C6068">
        <w:rPr>
          <w:snapToGrid w:val="0"/>
          <w:kern w:val="18"/>
          <w:sz w:val="18"/>
          <w:szCs w:val="18"/>
          <w:lang w:val="fr-FR"/>
        </w:rPr>
        <w:t>.</w:t>
      </w:r>
    </w:p>
  </w:footnote>
  <w:footnote w:id="8">
    <w:p w:rsidR="00074292" w:rsidRPr="006C6068" w:rsidRDefault="00074292" w:rsidP="00FB67C2">
      <w:pPr>
        <w:pStyle w:val="Notedebasdepage"/>
        <w:kinsoku w:val="0"/>
        <w:overflowPunct w:val="0"/>
        <w:autoSpaceDE w:val="0"/>
        <w:autoSpaceDN w:val="0"/>
        <w:adjustRightInd w:val="0"/>
        <w:snapToGrid w:val="0"/>
        <w:ind w:firstLine="0"/>
        <w:jc w:val="left"/>
        <w:rPr>
          <w:snapToGrid w:val="0"/>
          <w:kern w:val="18"/>
          <w:szCs w:val="18"/>
          <w:lang w:val="fr-FR"/>
        </w:rPr>
      </w:pPr>
      <w:r w:rsidRPr="005B2EB4">
        <w:rPr>
          <w:rStyle w:val="Appelnotedebasdep"/>
          <w:snapToGrid w:val="0"/>
          <w:kern w:val="18"/>
          <w:szCs w:val="18"/>
          <w:u w:val="none"/>
          <w:vertAlign w:val="superscript"/>
          <w:lang w:val="fr-FR"/>
        </w:rPr>
        <w:footnoteRef/>
      </w:r>
      <w:r w:rsidRPr="005B2EB4">
        <w:rPr>
          <w:snapToGrid w:val="0"/>
          <w:kern w:val="18"/>
          <w:szCs w:val="18"/>
          <w:lang w:val="fr-FR"/>
        </w:rPr>
        <w:t xml:space="preserve"> </w:t>
      </w:r>
      <w:r w:rsidRPr="006C6068">
        <w:rPr>
          <w:snapToGrid w:val="0"/>
          <w:kern w:val="18"/>
          <w:szCs w:val="18"/>
          <w:lang w:val="fr-FR"/>
        </w:rPr>
        <w:t xml:space="preserve">Par exemple, voir la résolution </w:t>
      </w:r>
      <w:hyperlink r:id="rId3" w:history="1">
        <w:r w:rsidRPr="006C6068">
          <w:rPr>
            <w:rStyle w:val="Lienhypertexte"/>
            <w:snapToGrid w:val="0"/>
            <w:kern w:val="18"/>
            <w:szCs w:val="18"/>
            <w:lang w:val="fr-FR"/>
          </w:rPr>
          <w:t>70/1</w:t>
        </w:r>
      </w:hyperlink>
      <w:r w:rsidRPr="006C6068">
        <w:rPr>
          <w:snapToGrid w:val="0"/>
          <w:kern w:val="18"/>
          <w:szCs w:val="18"/>
          <w:lang w:val="fr-FR"/>
        </w:rPr>
        <w:t xml:space="preserve"> de l’Assemblée générale intitulée </w:t>
      </w:r>
      <w:r>
        <w:rPr>
          <w:snapToGrid w:val="0"/>
          <w:kern w:val="18"/>
          <w:szCs w:val="18"/>
          <w:lang w:val="fr-FR"/>
        </w:rPr>
        <w:t>« Transformer notre monde : le Programme de développement durable à l’horizon</w:t>
      </w:r>
      <w:r w:rsidRPr="006C6068">
        <w:rPr>
          <w:snapToGrid w:val="0"/>
          <w:kern w:val="18"/>
          <w:szCs w:val="18"/>
          <w:lang w:val="fr-FR"/>
        </w:rPr>
        <w:t xml:space="preserve"> 2030</w:t>
      </w:r>
      <w:r>
        <w:rPr>
          <w:snapToGrid w:val="0"/>
          <w:kern w:val="18"/>
          <w:szCs w:val="18"/>
          <w:lang w:val="fr-FR"/>
        </w:rPr>
        <w:t> »</w:t>
      </w:r>
      <w:r w:rsidRPr="006C6068">
        <w:rPr>
          <w:snapToGrid w:val="0"/>
          <w:kern w:val="18"/>
          <w:szCs w:val="18"/>
          <w:lang w:val="fr-FR"/>
        </w:rPr>
        <w:t>.</w:t>
      </w:r>
    </w:p>
  </w:footnote>
  <w:footnote w:id="9">
    <w:p w:rsidR="00074292" w:rsidRPr="006C6068" w:rsidRDefault="00074292" w:rsidP="00FB67C2">
      <w:pPr>
        <w:pStyle w:val="Notedebasdepage"/>
        <w:kinsoku w:val="0"/>
        <w:overflowPunct w:val="0"/>
        <w:autoSpaceDE w:val="0"/>
        <w:autoSpaceDN w:val="0"/>
        <w:adjustRightInd w:val="0"/>
        <w:snapToGrid w:val="0"/>
        <w:ind w:firstLine="0"/>
        <w:jc w:val="left"/>
        <w:rPr>
          <w:snapToGrid w:val="0"/>
          <w:kern w:val="18"/>
          <w:szCs w:val="18"/>
          <w:lang w:val="fr-FR"/>
        </w:rPr>
      </w:pPr>
      <w:r w:rsidRPr="005B2EB4">
        <w:rPr>
          <w:rStyle w:val="Appelnotedebasdep"/>
          <w:snapToGrid w:val="0"/>
          <w:kern w:val="18"/>
          <w:szCs w:val="18"/>
          <w:u w:val="none"/>
          <w:vertAlign w:val="superscript"/>
          <w:lang w:val="fr-FR"/>
        </w:rPr>
        <w:footnoteRef/>
      </w:r>
      <w:r w:rsidRPr="006C6068">
        <w:rPr>
          <w:snapToGrid w:val="0"/>
          <w:kern w:val="18"/>
          <w:szCs w:val="18"/>
          <w:lang w:val="fr-FR"/>
        </w:rPr>
        <w:t xml:space="preserve"> </w:t>
      </w:r>
      <w:r>
        <w:rPr>
          <w:snapToGrid w:val="0"/>
          <w:kern w:val="18"/>
          <w:szCs w:val="18"/>
          <w:lang w:val="fr-FR"/>
        </w:rPr>
        <w:t>Pour de plus amples informations, voir l’adresse :</w:t>
      </w:r>
      <w:r w:rsidRPr="006C6068">
        <w:rPr>
          <w:snapToGrid w:val="0"/>
          <w:kern w:val="18"/>
          <w:szCs w:val="18"/>
          <w:lang w:val="fr-FR"/>
        </w:rPr>
        <w:t xml:space="preserve"> </w:t>
      </w:r>
      <w:hyperlink r:id="rId4" w:history="1">
        <w:r w:rsidRPr="006C6068">
          <w:rPr>
            <w:rStyle w:val="Lienhypertexte"/>
            <w:snapToGrid w:val="0"/>
            <w:kern w:val="18"/>
            <w:szCs w:val="18"/>
            <w:lang w:val="fr-FR"/>
          </w:rPr>
          <w:t>https://www.unglobalcompact.org/</w:t>
        </w:r>
      </w:hyperlink>
      <w:r w:rsidRPr="006C6068">
        <w:rPr>
          <w:snapToGrid w:val="0"/>
          <w:kern w:val="18"/>
          <w:szCs w:val="18"/>
          <w:lang w:val="fr-FR"/>
        </w:rPr>
        <w:t xml:space="preserve"> </w:t>
      </w:r>
    </w:p>
  </w:footnote>
  <w:footnote w:id="10">
    <w:p w:rsidR="00074292" w:rsidRPr="006C6068" w:rsidRDefault="00074292" w:rsidP="0086177B">
      <w:pPr>
        <w:pStyle w:val="Notedebasdepage"/>
        <w:kinsoku w:val="0"/>
        <w:overflowPunct w:val="0"/>
        <w:autoSpaceDE w:val="0"/>
        <w:autoSpaceDN w:val="0"/>
        <w:adjustRightInd w:val="0"/>
        <w:snapToGrid w:val="0"/>
        <w:ind w:firstLine="0"/>
        <w:jc w:val="left"/>
        <w:rPr>
          <w:snapToGrid w:val="0"/>
          <w:kern w:val="18"/>
          <w:szCs w:val="18"/>
          <w:lang w:val="fr-FR"/>
        </w:rPr>
      </w:pPr>
      <w:r w:rsidRPr="006C6068">
        <w:rPr>
          <w:rStyle w:val="Appelnotedebasdep"/>
          <w:snapToGrid w:val="0"/>
          <w:kern w:val="18"/>
          <w:szCs w:val="18"/>
          <w:u w:val="none"/>
          <w:vertAlign w:val="superscript"/>
          <w:lang w:val="fr-FR"/>
        </w:rPr>
        <w:footnoteRef/>
      </w:r>
      <w:r w:rsidRPr="006C6068">
        <w:rPr>
          <w:snapToGrid w:val="0"/>
          <w:kern w:val="18"/>
          <w:szCs w:val="18"/>
          <w:lang w:val="fr-FR"/>
        </w:rPr>
        <w:t xml:space="preserve"> </w:t>
      </w:r>
      <w:r>
        <w:rPr>
          <w:snapToGrid w:val="0"/>
          <w:kern w:val="18"/>
          <w:szCs w:val="18"/>
          <w:lang w:val="fr-FR"/>
        </w:rPr>
        <w:t xml:space="preserve">Pour de plus amples informations, voir l’adresse : </w:t>
      </w:r>
      <w:hyperlink r:id="rId5" w:history="1">
        <w:r w:rsidRPr="006C6068">
          <w:rPr>
            <w:rStyle w:val="Lienhypertexte"/>
            <w:snapToGrid w:val="0"/>
            <w:kern w:val="18"/>
            <w:szCs w:val="18"/>
            <w:lang w:val="fr-FR"/>
          </w:rPr>
          <w:t>https://www.unglobalcompact.org/what-is-gc/mission/principles</w:t>
        </w:r>
      </w:hyperlink>
      <w:r w:rsidRPr="006C6068">
        <w:rPr>
          <w:snapToGrid w:val="0"/>
          <w:kern w:val="18"/>
          <w:szCs w:val="18"/>
          <w:lang w:val="fr-FR"/>
        </w:rPr>
        <w:t xml:space="preserve"> </w:t>
      </w:r>
    </w:p>
  </w:footnote>
  <w:footnote w:id="11">
    <w:p w:rsidR="00074292" w:rsidRPr="006C6068" w:rsidRDefault="00074292" w:rsidP="0086177B">
      <w:pPr>
        <w:pStyle w:val="Notedebasdepage"/>
        <w:kinsoku w:val="0"/>
        <w:overflowPunct w:val="0"/>
        <w:autoSpaceDE w:val="0"/>
        <w:autoSpaceDN w:val="0"/>
        <w:adjustRightInd w:val="0"/>
        <w:snapToGrid w:val="0"/>
        <w:ind w:firstLine="0"/>
        <w:jc w:val="left"/>
        <w:rPr>
          <w:snapToGrid w:val="0"/>
          <w:kern w:val="18"/>
          <w:szCs w:val="18"/>
          <w:lang w:val="fr-FR"/>
        </w:rPr>
      </w:pPr>
      <w:r w:rsidRPr="006C6068">
        <w:rPr>
          <w:rStyle w:val="Appelnotedebasdep"/>
          <w:snapToGrid w:val="0"/>
          <w:kern w:val="18"/>
          <w:szCs w:val="18"/>
          <w:u w:val="none"/>
          <w:vertAlign w:val="superscript"/>
          <w:lang w:val="fr-FR"/>
        </w:rPr>
        <w:footnoteRef/>
      </w:r>
      <w:r w:rsidRPr="006C6068">
        <w:rPr>
          <w:snapToGrid w:val="0"/>
          <w:kern w:val="18"/>
          <w:szCs w:val="18"/>
          <w:lang w:val="fr-FR"/>
        </w:rPr>
        <w:t xml:space="preserve"> </w:t>
      </w:r>
      <w:r>
        <w:rPr>
          <w:snapToGrid w:val="0"/>
          <w:kern w:val="18"/>
          <w:szCs w:val="18"/>
          <w:lang w:val="fr-FR"/>
        </w:rPr>
        <w:t xml:space="preserve">Pour de plus amples informations, voir l’adresse (en anglais) : </w:t>
      </w:r>
      <w:hyperlink r:id="rId6" w:history="1">
        <w:r w:rsidRPr="006C6068">
          <w:rPr>
            <w:rStyle w:val="Lienhypertexte"/>
            <w:snapToGrid w:val="0"/>
            <w:kern w:val="18"/>
            <w:szCs w:val="18"/>
            <w:lang w:val="fr-FR"/>
          </w:rPr>
          <w:t>https://business.un.org/en/documents/5292</w:t>
        </w:r>
      </w:hyperlink>
    </w:p>
  </w:footnote>
  <w:footnote w:id="12">
    <w:p w:rsidR="00074292" w:rsidRPr="006C6068" w:rsidRDefault="00074292" w:rsidP="0086177B">
      <w:pPr>
        <w:pStyle w:val="Notedebasdepage"/>
        <w:kinsoku w:val="0"/>
        <w:overflowPunct w:val="0"/>
        <w:autoSpaceDE w:val="0"/>
        <w:autoSpaceDN w:val="0"/>
        <w:adjustRightInd w:val="0"/>
        <w:snapToGrid w:val="0"/>
        <w:ind w:firstLine="0"/>
        <w:jc w:val="left"/>
        <w:rPr>
          <w:snapToGrid w:val="0"/>
          <w:kern w:val="18"/>
          <w:szCs w:val="18"/>
          <w:lang w:val="fr-FR"/>
        </w:rPr>
      </w:pPr>
      <w:r w:rsidRPr="006C6068">
        <w:rPr>
          <w:rStyle w:val="Appelnotedebasdep"/>
          <w:snapToGrid w:val="0"/>
          <w:kern w:val="18"/>
          <w:szCs w:val="18"/>
          <w:u w:val="none"/>
          <w:vertAlign w:val="superscript"/>
          <w:lang w:val="fr-FR"/>
        </w:rPr>
        <w:footnoteRef/>
      </w:r>
      <w:r w:rsidRPr="006C6068">
        <w:rPr>
          <w:snapToGrid w:val="0"/>
          <w:kern w:val="18"/>
          <w:szCs w:val="18"/>
          <w:lang w:val="fr-FR"/>
        </w:rPr>
        <w:t xml:space="preserve"> </w:t>
      </w:r>
      <w:r>
        <w:rPr>
          <w:snapToGrid w:val="0"/>
          <w:kern w:val="18"/>
          <w:szCs w:val="18"/>
          <w:lang w:val="fr-FR"/>
        </w:rPr>
        <w:t xml:space="preserve">Pour de plus amples informations, voir l’adresse (en anglais) : </w:t>
      </w:r>
      <w:hyperlink r:id="rId7" w:history="1">
        <w:r w:rsidRPr="006C6068">
          <w:rPr>
            <w:rStyle w:val="Lienhypertexte"/>
            <w:snapToGrid w:val="0"/>
            <w:kern w:val="18"/>
            <w:szCs w:val="18"/>
            <w:lang w:val="fr-FR"/>
          </w:rPr>
          <w:t>https://unfccc.int/sites/default/files/b_2017_1_unfccc_guidelines_for_partnership_final.pdf</w:t>
        </w:r>
      </w:hyperlink>
      <w:r w:rsidRPr="006C6068">
        <w:rPr>
          <w:snapToGrid w:val="0"/>
          <w:kern w:val="18"/>
          <w:szCs w:val="18"/>
          <w:lang w:val="fr-FR"/>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Content>
      <w:p w:rsidR="00074292" w:rsidRDefault="00074292" w:rsidP="005440A6">
        <w:pPr>
          <w:pStyle w:val="En-tte"/>
          <w:tabs>
            <w:tab w:val="clear" w:pos="4320"/>
            <w:tab w:val="clear" w:pos="8640"/>
          </w:tabs>
          <w:jc w:val="left"/>
          <w:rPr>
            <w:noProof/>
            <w:kern w:val="22"/>
          </w:rPr>
        </w:pPr>
        <w:r>
          <w:rPr>
            <w:noProof/>
            <w:kern w:val="22"/>
            <w:lang w:val="en-US"/>
          </w:rPr>
          <w:t>CBD/SBI/2/18</w:t>
        </w:r>
      </w:p>
    </w:sdtContent>
  </w:sdt>
  <w:p w:rsidR="00074292" w:rsidRPr="005440A6" w:rsidRDefault="00074292" w:rsidP="005440A6">
    <w:pPr>
      <w:pStyle w:val="En-tte"/>
      <w:tabs>
        <w:tab w:val="clear" w:pos="4320"/>
        <w:tab w:val="clear" w:pos="8640"/>
      </w:tabs>
      <w:jc w:val="lef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3C3DAD">
      <w:rPr>
        <w:noProof/>
        <w:kern w:val="22"/>
      </w:rPr>
      <w:t>10</w:t>
    </w:r>
    <w:r w:rsidRPr="005440A6">
      <w:rPr>
        <w:noProof/>
        <w:kern w:val="22"/>
      </w:rPr>
      <w:fldChar w:fldCharType="end"/>
    </w:r>
  </w:p>
  <w:p w:rsidR="00074292" w:rsidRPr="005440A6" w:rsidRDefault="00074292" w:rsidP="005440A6">
    <w:pPr>
      <w:pStyle w:val="En-tte"/>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599458323"/>
      <w:dataBinding w:prefixMappings="xmlns:ns0='http://purl.org/dc/elements/1.1/' xmlns:ns1='http://schemas.openxmlformats.org/package/2006/metadata/core-properties' " w:xpath="/ns1:coreProperties[1]/ns0:subject[1]" w:storeItemID="{6C3C8BC8-F283-45AE-878A-BAB7291924A1}"/>
      <w:text/>
    </w:sdtPr>
    <w:sdtContent>
      <w:p w:rsidR="00074292" w:rsidRPr="005440A6" w:rsidRDefault="00074292" w:rsidP="00BE45DE">
        <w:pPr>
          <w:pStyle w:val="En-tte"/>
          <w:tabs>
            <w:tab w:val="clear" w:pos="4320"/>
            <w:tab w:val="clear" w:pos="8640"/>
          </w:tabs>
          <w:jc w:val="right"/>
          <w:rPr>
            <w:noProof/>
            <w:kern w:val="22"/>
          </w:rPr>
        </w:pPr>
        <w:r>
          <w:rPr>
            <w:noProof/>
            <w:kern w:val="22"/>
            <w:lang w:val="en-US"/>
          </w:rPr>
          <w:t>CBD/SBI/2/18</w:t>
        </w:r>
      </w:p>
    </w:sdtContent>
  </w:sdt>
  <w:p w:rsidR="00074292" w:rsidRPr="005440A6" w:rsidRDefault="00074292" w:rsidP="005440A6">
    <w:pPr>
      <w:pStyle w:val="En-tte"/>
      <w:tabs>
        <w:tab w:val="clear" w:pos="4320"/>
        <w:tab w:val="clear" w:pos="8640"/>
      </w:tabs>
      <w:jc w:val="right"/>
      <w:rPr>
        <w:noProof/>
        <w:kern w:val="22"/>
      </w:rPr>
    </w:pPr>
    <w:r w:rsidRPr="005440A6">
      <w:rPr>
        <w:noProof/>
        <w:kern w:val="22"/>
      </w:rPr>
      <w:t xml:space="preserve">Page </w:t>
    </w:r>
    <w:r w:rsidRPr="005440A6">
      <w:rPr>
        <w:noProof/>
        <w:kern w:val="22"/>
      </w:rPr>
      <w:fldChar w:fldCharType="begin"/>
    </w:r>
    <w:r w:rsidRPr="005440A6">
      <w:rPr>
        <w:noProof/>
        <w:kern w:val="22"/>
      </w:rPr>
      <w:instrText xml:space="preserve"> PAGE   \* MERGEFORMAT </w:instrText>
    </w:r>
    <w:r w:rsidRPr="005440A6">
      <w:rPr>
        <w:noProof/>
        <w:kern w:val="22"/>
      </w:rPr>
      <w:fldChar w:fldCharType="separate"/>
    </w:r>
    <w:r w:rsidR="00F45EB4">
      <w:rPr>
        <w:noProof/>
        <w:kern w:val="22"/>
      </w:rPr>
      <w:t>7</w:t>
    </w:r>
    <w:r w:rsidRPr="005440A6">
      <w:rPr>
        <w:noProof/>
        <w:kern w:val="22"/>
      </w:rPr>
      <w:fldChar w:fldCharType="end"/>
    </w:r>
  </w:p>
  <w:p w:rsidR="00074292" w:rsidRPr="005440A6" w:rsidRDefault="00074292" w:rsidP="005440A6">
    <w:pPr>
      <w:pStyle w:val="En-tte"/>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5DF6"/>
    <w:multiLevelType w:val="hybridMultilevel"/>
    <w:tmpl w:val="2F646336"/>
    <w:lvl w:ilvl="0" w:tplc="BE72B9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A64E2"/>
    <w:multiLevelType w:val="hybridMultilevel"/>
    <w:tmpl w:val="19B6C9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E575F"/>
    <w:multiLevelType w:val="hybridMultilevel"/>
    <w:tmpl w:val="A9942B24"/>
    <w:lvl w:ilvl="0" w:tplc="75D626E0">
      <w:start w:val="1"/>
      <w:numFmt w:val="decimal"/>
      <w:lvlText w:val="%1."/>
      <w:lvlJc w:val="left"/>
      <w:pPr>
        <w:ind w:left="720" w:hanging="360"/>
      </w:pPr>
      <w:rPr>
        <w:rFonts w:hint="default"/>
        <w:i w:val="0"/>
        <w:i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4B30FF4"/>
    <w:multiLevelType w:val="hybridMultilevel"/>
    <w:tmpl w:val="40124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nsid w:val="36232C73"/>
    <w:multiLevelType w:val="hybridMultilevel"/>
    <w:tmpl w:val="D42C37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8443BD0"/>
    <w:multiLevelType w:val="multilevel"/>
    <w:tmpl w:val="8528F9A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C4C367F"/>
    <w:multiLevelType w:val="hybridMultilevel"/>
    <w:tmpl w:val="2DDE1E20"/>
    <w:lvl w:ilvl="0" w:tplc="F40E4858">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A27B67"/>
    <w:multiLevelType w:val="multilevel"/>
    <w:tmpl w:val="5D3C5F6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E0442B4"/>
    <w:multiLevelType w:val="multilevel"/>
    <w:tmpl w:val="CE309296"/>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5BD07EE2"/>
    <w:multiLevelType w:val="multilevel"/>
    <w:tmpl w:val="16CE5C3C"/>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nsid w:val="78275475"/>
    <w:multiLevelType w:val="multilevel"/>
    <w:tmpl w:val="217A870A"/>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7AEB6A94"/>
    <w:multiLevelType w:val="hybridMultilevel"/>
    <w:tmpl w:val="EE281D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11"/>
  </w:num>
  <w:num w:numId="5">
    <w:abstractNumId w:val="8"/>
  </w:num>
  <w:num w:numId="6">
    <w:abstractNumId w:val="13"/>
  </w:num>
  <w:num w:numId="7">
    <w:abstractNumId w:val="9"/>
  </w:num>
  <w:num w:numId="8">
    <w:abstractNumId w:val="15"/>
  </w:num>
  <w:num w:numId="9">
    <w:abstractNumId w:val="5"/>
  </w:num>
  <w:num w:numId="10">
    <w:abstractNumId w:val="2"/>
  </w:num>
  <w:num w:numId="11">
    <w:abstractNumId w:val="3"/>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num>
  <w:num w:numId="23">
    <w:abstractNumId w:val="6"/>
  </w:num>
  <w:num w:numId="24">
    <w:abstractNumId w:val="0"/>
  </w:num>
  <w:num w:numId="25">
    <w:abstractNumId w:val="14"/>
  </w:num>
  <w:num w:numId="26">
    <w:abstractNumId w:val="1"/>
  </w:num>
  <w:num w:numId="27">
    <w:abstractNumId w:val="12"/>
  </w:num>
  <w:num w:numId="28">
    <w:abstractNumId w:val="10"/>
  </w:num>
  <w:num w:numId="29">
    <w:abstractNumId w:val="11"/>
  </w:num>
  <w:num w:numId="30">
    <w:abstractNumId w:val="11"/>
  </w:num>
  <w:num w:numId="31">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eronique lefebvre">
    <w15:presenceInfo w15:providerId="AD" w15:userId="S-1-5-21-2142909598-1823411812-1512734326-3171"/>
  </w15:person>
  <w15:person w15:author="Ide Ahmed">
    <w15:presenceInfo w15:providerId="AD" w15:userId="S-1-5-21-2142909598-1823411812-1512734326-3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B3B"/>
    <w:rsid w:val="00001AD4"/>
    <w:rsid w:val="00005B59"/>
    <w:rsid w:val="0001229A"/>
    <w:rsid w:val="00012496"/>
    <w:rsid w:val="000145B5"/>
    <w:rsid w:val="000162A1"/>
    <w:rsid w:val="000219AC"/>
    <w:rsid w:val="000268BC"/>
    <w:rsid w:val="000278FA"/>
    <w:rsid w:val="00031D24"/>
    <w:rsid w:val="00032B9B"/>
    <w:rsid w:val="00037157"/>
    <w:rsid w:val="00037873"/>
    <w:rsid w:val="00037C3A"/>
    <w:rsid w:val="00046709"/>
    <w:rsid w:val="00046C90"/>
    <w:rsid w:val="000504F8"/>
    <w:rsid w:val="00050E40"/>
    <w:rsid w:val="00051FC1"/>
    <w:rsid w:val="00052C8E"/>
    <w:rsid w:val="00054381"/>
    <w:rsid w:val="00056186"/>
    <w:rsid w:val="000574EA"/>
    <w:rsid w:val="0005762C"/>
    <w:rsid w:val="0006272E"/>
    <w:rsid w:val="000711E1"/>
    <w:rsid w:val="00071FD9"/>
    <w:rsid w:val="00073708"/>
    <w:rsid w:val="00074292"/>
    <w:rsid w:val="00080AF7"/>
    <w:rsid w:val="00083F3E"/>
    <w:rsid w:val="00086F16"/>
    <w:rsid w:val="00090F6C"/>
    <w:rsid w:val="0009483D"/>
    <w:rsid w:val="000B0F98"/>
    <w:rsid w:val="000B1800"/>
    <w:rsid w:val="000B4B7C"/>
    <w:rsid w:val="000B77F9"/>
    <w:rsid w:val="000B7AE3"/>
    <w:rsid w:val="000C1A57"/>
    <w:rsid w:val="000C2923"/>
    <w:rsid w:val="000C4880"/>
    <w:rsid w:val="000C4C61"/>
    <w:rsid w:val="000C5DD5"/>
    <w:rsid w:val="000C6884"/>
    <w:rsid w:val="000D4D95"/>
    <w:rsid w:val="000D6D35"/>
    <w:rsid w:val="000D7A05"/>
    <w:rsid w:val="000E00FF"/>
    <w:rsid w:val="000E4D02"/>
    <w:rsid w:val="000E554E"/>
    <w:rsid w:val="000E62BC"/>
    <w:rsid w:val="000E637D"/>
    <w:rsid w:val="000E7E6A"/>
    <w:rsid w:val="000F2A0B"/>
    <w:rsid w:val="000F6114"/>
    <w:rsid w:val="000F63AB"/>
    <w:rsid w:val="000F7C1C"/>
    <w:rsid w:val="000F7D21"/>
    <w:rsid w:val="00103A46"/>
    <w:rsid w:val="001071F5"/>
    <w:rsid w:val="00111900"/>
    <w:rsid w:val="00115764"/>
    <w:rsid w:val="00121431"/>
    <w:rsid w:val="0012214B"/>
    <w:rsid w:val="00131F48"/>
    <w:rsid w:val="00132F87"/>
    <w:rsid w:val="001352E0"/>
    <w:rsid w:val="001371BD"/>
    <w:rsid w:val="00151073"/>
    <w:rsid w:val="00151E2B"/>
    <w:rsid w:val="001524E6"/>
    <w:rsid w:val="00153E97"/>
    <w:rsid w:val="001562E0"/>
    <w:rsid w:val="0016083D"/>
    <w:rsid w:val="001624B0"/>
    <w:rsid w:val="0016303B"/>
    <w:rsid w:val="0016453B"/>
    <w:rsid w:val="00165287"/>
    <w:rsid w:val="00166030"/>
    <w:rsid w:val="00166367"/>
    <w:rsid w:val="0017242E"/>
    <w:rsid w:val="001751B6"/>
    <w:rsid w:val="00183569"/>
    <w:rsid w:val="00184ABE"/>
    <w:rsid w:val="00192E06"/>
    <w:rsid w:val="001970A4"/>
    <w:rsid w:val="00197605"/>
    <w:rsid w:val="001A5072"/>
    <w:rsid w:val="001A600B"/>
    <w:rsid w:val="001C6ED0"/>
    <w:rsid w:val="001C72CE"/>
    <w:rsid w:val="001D0B61"/>
    <w:rsid w:val="001D5726"/>
    <w:rsid w:val="001D68F7"/>
    <w:rsid w:val="001F5A46"/>
    <w:rsid w:val="001F6379"/>
    <w:rsid w:val="001F7176"/>
    <w:rsid w:val="00200350"/>
    <w:rsid w:val="002018FD"/>
    <w:rsid w:val="0020287D"/>
    <w:rsid w:val="00204415"/>
    <w:rsid w:val="00207A6E"/>
    <w:rsid w:val="002115FF"/>
    <w:rsid w:val="00212ACA"/>
    <w:rsid w:val="00213680"/>
    <w:rsid w:val="00224B92"/>
    <w:rsid w:val="00224FB9"/>
    <w:rsid w:val="00225756"/>
    <w:rsid w:val="00226773"/>
    <w:rsid w:val="002273F3"/>
    <w:rsid w:val="00227514"/>
    <w:rsid w:val="002357E1"/>
    <w:rsid w:val="002368AB"/>
    <w:rsid w:val="00241436"/>
    <w:rsid w:val="00242348"/>
    <w:rsid w:val="00242E55"/>
    <w:rsid w:val="00252897"/>
    <w:rsid w:val="00253319"/>
    <w:rsid w:val="002563CB"/>
    <w:rsid w:val="00256E2C"/>
    <w:rsid w:val="002572A8"/>
    <w:rsid w:val="00266B64"/>
    <w:rsid w:val="00267207"/>
    <w:rsid w:val="00272F18"/>
    <w:rsid w:val="00276441"/>
    <w:rsid w:val="00281838"/>
    <w:rsid w:val="002834C7"/>
    <w:rsid w:val="002837FD"/>
    <w:rsid w:val="00286981"/>
    <w:rsid w:val="00287FD9"/>
    <w:rsid w:val="002903AF"/>
    <w:rsid w:val="00292527"/>
    <w:rsid w:val="002945FA"/>
    <w:rsid w:val="002A55F8"/>
    <w:rsid w:val="002A6D5A"/>
    <w:rsid w:val="002B0942"/>
    <w:rsid w:val="002B3D57"/>
    <w:rsid w:val="002B5BFA"/>
    <w:rsid w:val="002C39D1"/>
    <w:rsid w:val="002C4240"/>
    <w:rsid w:val="002C4BDB"/>
    <w:rsid w:val="002D089F"/>
    <w:rsid w:val="002D0B22"/>
    <w:rsid w:val="002D3C71"/>
    <w:rsid w:val="002D5647"/>
    <w:rsid w:val="002E0627"/>
    <w:rsid w:val="002E1F76"/>
    <w:rsid w:val="002E4247"/>
    <w:rsid w:val="0030342C"/>
    <w:rsid w:val="00304332"/>
    <w:rsid w:val="0031155A"/>
    <w:rsid w:val="003148B6"/>
    <w:rsid w:val="0031542D"/>
    <w:rsid w:val="0031632C"/>
    <w:rsid w:val="003210FF"/>
    <w:rsid w:val="00324DA9"/>
    <w:rsid w:val="00325233"/>
    <w:rsid w:val="00325DE3"/>
    <w:rsid w:val="003263DC"/>
    <w:rsid w:val="0032702A"/>
    <w:rsid w:val="00330882"/>
    <w:rsid w:val="0033431F"/>
    <w:rsid w:val="003348C1"/>
    <w:rsid w:val="00336766"/>
    <w:rsid w:val="00342815"/>
    <w:rsid w:val="003479F7"/>
    <w:rsid w:val="003538B5"/>
    <w:rsid w:val="00353EA7"/>
    <w:rsid w:val="00355CB4"/>
    <w:rsid w:val="00367519"/>
    <w:rsid w:val="003732C8"/>
    <w:rsid w:val="003772DB"/>
    <w:rsid w:val="003804FE"/>
    <w:rsid w:val="00381DF0"/>
    <w:rsid w:val="00390942"/>
    <w:rsid w:val="00395296"/>
    <w:rsid w:val="003A0BDD"/>
    <w:rsid w:val="003A0F1B"/>
    <w:rsid w:val="003A1A5D"/>
    <w:rsid w:val="003B10B9"/>
    <w:rsid w:val="003B4569"/>
    <w:rsid w:val="003B4807"/>
    <w:rsid w:val="003C113F"/>
    <w:rsid w:val="003C3DAD"/>
    <w:rsid w:val="003C4D79"/>
    <w:rsid w:val="003C522C"/>
    <w:rsid w:val="003C635B"/>
    <w:rsid w:val="003D18FA"/>
    <w:rsid w:val="003E2881"/>
    <w:rsid w:val="003E2DAE"/>
    <w:rsid w:val="003E4497"/>
    <w:rsid w:val="003E4C6D"/>
    <w:rsid w:val="003F1084"/>
    <w:rsid w:val="003F6E44"/>
    <w:rsid w:val="0040393A"/>
    <w:rsid w:val="00403E08"/>
    <w:rsid w:val="00404206"/>
    <w:rsid w:val="00406BC6"/>
    <w:rsid w:val="00410201"/>
    <w:rsid w:val="0041369F"/>
    <w:rsid w:val="00413D21"/>
    <w:rsid w:val="0041557D"/>
    <w:rsid w:val="00417EC6"/>
    <w:rsid w:val="0042058A"/>
    <w:rsid w:val="0042152A"/>
    <w:rsid w:val="00427B28"/>
    <w:rsid w:val="004308D0"/>
    <w:rsid w:val="0043279F"/>
    <w:rsid w:val="00433DC7"/>
    <w:rsid w:val="00435B54"/>
    <w:rsid w:val="00442428"/>
    <w:rsid w:val="0044424E"/>
    <w:rsid w:val="0044483D"/>
    <w:rsid w:val="00444F43"/>
    <w:rsid w:val="0044506A"/>
    <w:rsid w:val="00445995"/>
    <w:rsid w:val="00450BE3"/>
    <w:rsid w:val="00453750"/>
    <w:rsid w:val="004560F5"/>
    <w:rsid w:val="00457515"/>
    <w:rsid w:val="00461604"/>
    <w:rsid w:val="00461921"/>
    <w:rsid w:val="00462E67"/>
    <w:rsid w:val="00463CC1"/>
    <w:rsid w:val="0046549A"/>
    <w:rsid w:val="00467013"/>
    <w:rsid w:val="00467A8E"/>
    <w:rsid w:val="004724F9"/>
    <w:rsid w:val="00487DF4"/>
    <w:rsid w:val="004919A8"/>
    <w:rsid w:val="00494900"/>
    <w:rsid w:val="004A05AD"/>
    <w:rsid w:val="004A427F"/>
    <w:rsid w:val="004A5ED2"/>
    <w:rsid w:val="004A7797"/>
    <w:rsid w:val="004A7CCC"/>
    <w:rsid w:val="004A7D11"/>
    <w:rsid w:val="004B4965"/>
    <w:rsid w:val="004B597A"/>
    <w:rsid w:val="004C53AB"/>
    <w:rsid w:val="004C7FD0"/>
    <w:rsid w:val="004D0EEA"/>
    <w:rsid w:val="004D3F2D"/>
    <w:rsid w:val="004D5EFC"/>
    <w:rsid w:val="004E2637"/>
    <w:rsid w:val="004E4EBB"/>
    <w:rsid w:val="004E6606"/>
    <w:rsid w:val="004E6759"/>
    <w:rsid w:val="004F1331"/>
    <w:rsid w:val="004F151E"/>
    <w:rsid w:val="004F4306"/>
    <w:rsid w:val="004F7296"/>
    <w:rsid w:val="00500530"/>
    <w:rsid w:val="00503274"/>
    <w:rsid w:val="005032C9"/>
    <w:rsid w:val="0051472C"/>
    <w:rsid w:val="0051611A"/>
    <w:rsid w:val="00516C26"/>
    <w:rsid w:val="00517EFF"/>
    <w:rsid w:val="005232AA"/>
    <w:rsid w:val="00526A1F"/>
    <w:rsid w:val="0052736E"/>
    <w:rsid w:val="00530E68"/>
    <w:rsid w:val="005325C1"/>
    <w:rsid w:val="00533D1F"/>
    <w:rsid w:val="00536BA0"/>
    <w:rsid w:val="0054116A"/>
    <w:rsid w:val="005440A6"/>
    <w:rsid w:val="005513C5"/>
    <w:rsid w:val="00557A42"/>
    <w:rsid w:val="0056453D"/>
    <w:rsid w:val="00567130"/>
    <w:rsid w:val="0057175E"/>
    <w:rsid w:val="00572006"/>
    <w:rsid w:val="0057339D"/>
    <w:rsid w:val="00577FD7"/>
    <w:rsid w:val="005806FB"/>
    <w:rsid w:val="005812A2"/>
    <w:rsid w:val="00581526"/>
    <w:rsid w:val="005826FB"/>
    <w:rsid w:val="0058367C"/>
    <w:rsid w:val="0058379B"/>
    <w:rsid w:val="00585237"/>
    <w:rsid w:val="005858D5"/>
    <w:rsid w:val="00586032"/>
    <w:rsid w:val="00586398"/>
    <w:rsid w:val="00591E8C"/>
    <w:rsid w:val="0059260C"/>
    <w:rsid w:val="005935D7"/>
    <w:rsid w:val="005955D2"/>
    <w:rsid w:val="005961B0"/>
    <w:rsid w:val="005A3F5B"/>
    <w:rsid w:val="005A4284"/>
    <w:rsid w:val="005A49AB"/>
    <w:rsid w:val="005A4C1C"/>
    <w:rsid w:val="005A50E5"/>
    <w:rsid w:val="005A68B4"/>
    <w:rsid w:val="005A6E1A"/>
    <w:rsid w:val="005A6F54"/>
    <w:rsid w:val="005B183A"/>
    <w:rsid w:val="005B2EB4"/>
    <w:rsid w:val="005B7AE9"/>
    <w:rsid w:val="005C0B37"/>
    <w:rsid w:val="005C35B9"/>
    <w:rsid w:val="005C496D"/>
    <w:rsid w:val="005C4BAA"/>
    <w:rsid w:val="005C4ECB"/>
    <w:rsid w:val="005D139C"/>
    <w:rsid w:val="005D354A"/>
    <w:rsid w:val="005D5769"/>
    <w:rsid w:val="005D7ED0"/>
    <w:rsid w:val="005E3533"/>
    <w:rsid w:val="005E5DAD"/>
    <w:rsid w:val="005E7BFB"/>
    <w:rsid w:val="005E7FDB"/>
    <w:rsid w:val="005F0420"/>
    <w:rsid w:val="005F4C74"/>
    <w:rsid w:val="00603AEF"/>
    <w:rsid w:val="00603E58"/>
    <w:rsid w:val="00605608"/>
    <w:rsid w:val="00606621"/>
    <w:rsid w:val="0060751D"/>
    <w:rsid w:val="006105A8"/>
    <w:rsid w:val="00611585"/>
    <w:rsid w:val="00612626"/>
    <w:rsid w:val="0062135A"/>
    <w:rsid w:val="00621751"/>
    <w:rsid w:val="00621A76"/>
    <w:rsid w:val="0062295A"/>
    <w:rsid w:val="006260D5"/>
    <w:rsid w:val="006277BD"/>
    <w:rsid w:val="00630CCB"/>
    <w:rsid w:val="006315AD"/>
    <w:rsid w:val="0064005C"/>
    <w:rsid w:val="00642C86"/>
    <w:rsid w:val="006441CD"/>
    <w:rsid w:val="006469B4"/>
    <w:rsid w:val="00646BEF"/>
    <w:rsid w:val="006507F2"/>
    <w:rsid w:val="00650F49"/>
    <w:rsid w:val="00652EA1"/>
    <w:rsid w:val="0065798D"/>
    <w:rsid w:val="006628B4"/>
    <w:rsid w:val="00663EAF"/>
    <w:rsid w:val="006737BC"/>
    <w:rsid w:val="0067398D"/>
    <w:rsid w:val="00673B1D"/>
    <w:rsid w:val="00675038"/>
    <w:rsid w:val="006758A1"/>
    <w:rsid w:val="00675AAC"/>
    <w:rsid w:val="00684F9C"/>
    <w:rsid w:val="00690847"/>
    <w:rsid w:val="0069398A"/>
    <w:rsid w:val="00696A0B"/>
    <w:rsid w:val="006A149B"/>
    <w:rsid w:val="006A21F1"/>
    <w:rsid w:val="006A2845"/>
    <w:rsid w:val="006A4358"/>
    <w:rsid w:val="006A449E"/>
    <w:rsid w:val="006A58AC"/>
    <w:rsid w:val="006B074E"/>
    <w:rsid w:val="006B0C79"/>
    <w:rsid w:val="006B26D3"/>
    <w:rsid w:val="006B2BD5"/>
    <w:rsid w:val="006B50F4"/>
    <w:rsid w:val="006B76F3"/>
    <w:rsid w:val="006C3D82"/>
    <w:rsid w:val="006C6068"/>
    <w:rsid w:val="006C607F"/>
    <w:rsid w:val="006D0E3D"/>
    <w:rsid w:val="006D47BB"/>
    <w:rsid w:val="006D5D8C"/>
    <w:rsid w:val="006D7ACA"/>
    <w:rsid w:val="006E1139"/>
    <w:rsid w:val="006E7976"/>
    <w:rsid w:val="006F0138"/>
    <w:rsid w:val="006F0ABD"/>
    <w:rsid w:val="006F284C"/>
    <w:rsid w:val="006F63B3"/>
    <w:rsid w:val="006F7227"/>
    <w:rsid w:val="00702366"/>
    <w:rsid w:val="007048F8"/>
    <w:rsid w:val="007077DE"/>
    <w:rsid w:val="00711195"/>
    <w:rsid w:val="00711853"/>
    <w:rsid w:val="00713816"/>
    <w:rsid w:val="007163BC"/>
    <w:rsid w:val="007201E1"/>
    <w:rsid w:val="00723D27"/>
    <w:rsid w:val="00725291"/>
    <w:rsid w:val="00725DDD"/>
    <w:rsid w:val="0072778F"/>
    <w:rsid w:val="00730AE3"/>
    <w:rsid w:val="00736BC2"/>
    <w:rsid w:val="00742F79"/>
    <w:rsid w:val="00745F9C"/>
    <w:rsid w:val="007478C4"/>
    <w:rsid w:val="007504F2"/>
    <w:rsid w:val="0075164B"/>
    <w:rsid w:val="00751F2D"/>
    <w:rsid w:val="00754119"/>
    <w:rsid w:val="00755949"/>
    <w:rsid w:val="0076447F"/>
    <w:rsid w:val="0076522D"/>
    <w:rsid w:val="007665AA"/>
    <w:rsid w:val="007714B7"/>
    <w:rsid w:val="007746EE"/>
    <w:rsid w:val="007754CA"/>
    <w:rsid w:val="00777005"/>
    <w:rsid w:val="007817F1"/>
    <w:rsid w:val="00782032"/>
    <w:rsid w:val="00783F2A"/>
    <w:rsid w:val="00783FC1"/>
    <w:rsid w:val="007847E7"/>
    <w:rsid w:val="007856A2"/>
    <w:rsid w:val="00786408"/>
    <w:rsid w:val="0079325E"/>
    <w:rsid w:val="00794F1D"/>
    <w:rsid w:val="007A3547"/>
    <w:rsid w:val="007B1587"/>
    <w:rsid w:val="007B52C4"/>
    <w:rsid w:val="007C3BE6"/>
    <w:rsid w:val="007C5285"/>
    <w:rsid w:val="007C5753"/>
    <w:rsid w:val="007C633B"/>
    <w:rsid w:val="007C7FB7"/>
    <w:rsid w:val="007D0C62"/>
    <w:rsid w:val="007D0CD1"/>
    <w:rsid w:val="007D0ECA"/>
    <w:rsid w:val="007D3182"/>
    <w:rsid w:val="007D44AF"/>
    <w:rsid w:val="007D4E78"/>
    <w:rsid w:val="007D5686"/>
    <w:rsid w:val="007F09D8"/>
    <w:rsid w:val="007F0C5D"/>
    <w:rsid w:val="007F23ED"/>
    <w:rsid w:val="007F30B3"/>
    <w:rsid w:val="007F4E44"/>
    <w:rsid w:val="007F4F86"/>
    <w:rsid w:val="00805681"/>
    <w:rsid w:val="0080589A"/>
    <w:rsid w:val="008072F8"/>
    <w:rsid w:val="00811CB2"/>
    <w:rsid w:val="00814DD8"/>
    <w:rsid w:val="008170FE"/>
    <w:rsid w:val="008200FE"/>
    <w:rsid w:val="008214DE"/>
    <w:rsid w:val="00824BB6"/>
    <w:rsid w:val="008252AE"/>
    <w:rsid w:val="00825524"/>
    <w:rsid w:val="008272A4"/>
    <w:rsid w:val="0083211E"/>
    <w:rsid w:val="00842CFB"/>
    <w:rsid w:val="008438F3"/>
    <w:rsid w:val="00843FF1"/>
    <w:rsid w:val="0084588F"/>
    <w:rsid w:val="00855992"/>
    <w:rsid w:val="0086177B"/>
    <w:rsid w:val="00862BB7"/>
    <w:rsid w:val="00867173"/>
    <w:rsid w:val="00870D40"/>
    <w:rsid w:val="00871034"/>
    <w:rsid w:val="0088075F"/>
    <w:rsid w:val="00882CB0"/>
    <w:rsid w:val="0088488F"/>
    <w:rsid w:val="00885D83"/>
    <w:rsid w:val="00886DC1"/>
    <w:rsid w:val="00893701"/>
    <w:rsid w:val="008952E5"/>
    <w:rsid w:val="008964AA"/>
    <w:rsid w:val="008A4174"/>
    <w:rsid w:val="008A5DE8"/>
    <w:rsid w:val="008B048C"/>
    <w:rsid w:val="008B2E9E"/>
    <w:rsid w:val="008B79E4"/>
    <w:rsid w:val="008C013C"/>
    <w:rsid w:val="008C13EB"/>
    <w:rsid w:val="008C1E35"/>
    <w:rsid w:val="008C247B"/>
    <w:rsid w:val="008C2905"/>
    <w:rsid w:val="008C2F14"/>
    <w:rsid w:val="008C3552"/>
    <w:rsid w:val="008C4AF7"/>
    <w:rsid w:val="008C73DD"/>
    <w:rsid w:val="008D0A8C"/>
    <w:rsid w:val="008D4D49"/>
    <w:rsid w:val="008D5AA2"/>
    <w:rsid w:val="008D6685"/>
    <w:rsid w:val="008D7404"/>
    <w:rsid w:val="008E5F84"/>
    <w:rsid w:val="008E6B7B"/>
    <w:rsid w:val="008E7500"/>
    <w:rsid w:val="008F02B5"/>
    <w:rsid w:val="008F02EC"/>
    <w:rsid w:val="008F36BC"/>
    <w:rsid w:val="008F3A3D"/>
    <w:rsid w:val="008F41E9"/>
    <w:rsid w:val="008F5E9C"/>
    <w:rsid w:val="008F6599"/>
    <w:rsid w:val="00903788"/>
    <w:rsid w:val="009063F3"/>
    <w:rsid w:val="009067F8"/>
    <w:rsid w:val="00911B05"/>
    <w:rsid w:val="00912580"/>
    <w:rsid w:val="009127DE"/>
    <w:rsid w:val="0091362D"/>
    <w:rsid w:val="00915B8F"/>
    <w:rsid w:val="00922EAD"/>
    <w:rsid w:val="0092794B"/>
    <w:rsid w:val="0093084E"/>
    <w:rsid w:val="00931360"/>
    <w:rsid w:val="0093215B"/>
    <w:rsid w:val="00941AC5"/>
    <w:rsid w:val="0094214C"/>
    <w:rsid w:val="00947389"/>
    <w:rsid w:val="009476F5"/>
    <w:rsid w:val="009519B9"/>
    <w:rsid w:val="0095229F"/>
    <w:rsid w:val="009526B0"/>
    <w:rsid w:val="00953856"/>
    <w:rsid w:val="009554D5"/>
    <w:rsid w:val="00961124"/>
    <w:rsid w:val="00961FD1"/>
    <w:rsid w:val="0096244F"/>
    <w:rsid w:val="00964353"/>
    <w:rsid w:val="00966C92"/>
    <w:rsid w:val="00967184"/>
    <w:rsid w:val="00971D51"/>
    <w:rsid w:val="00981BD6"/>
    <w:rsid w:val="00982D56"/>
    <w:rsid w:val="009903FD"/>
    <w:rsid w:val="009914B5"/>
    <w:rsid w:val="009954C1"/>
    <w:rsid w:val="009A0C44"/>
    <w:rsid w:val="009A1533"/>
    <w:rsid w:val="009B0C48"/>
    <w:rsid w:val="009B2E90"/>
    <w:rsid w:val="009B5E1D"/>
    <w:rsid w:val="009C6771"/>
    <w:rsid w:val="009D2F92"/>
    <w:rsid w:val="009D2FC6"/>
    <w:rsid w:val="009D68DB"/>
    <w:rsid w:val="009E040F"/>
    <w:rsid w:val="009E2B79"/>
    <w:rsid w:val="009E49C6"/>
    <w:rsid w:val="009E6978"/>
    <w:rsid w:val="009F0844"/>
    <w:rsid w:val="009F092A"/>
    <w:rsid w:val="009F1F76"/>
    <w:rsid w:val="009F5BB8"/>
    <w:rsid w:val="009F63F5"/>
    <w:rsid w:val="009F704E"/>
    <w:rsid w:val="009F7CA0"/>
    <w:rsid w:val="00A02BA1"/>
    <w:rsid w:val="00A02EB2"/>
    <w:rsid w:val="00A10051"/>
    <w:rsid w:val="00A103DC"/>
    <w:rsid w:val="00A11E09"/>
    <w:rsid w:val="00A12253"/>
    <w:rsid w:val="00A13037"/>
    <w:rsid w:val="00A14116"/>
    <w:rsid w:val="00A14DA7"/>
    <w:rsid w:val="00A20F36"/>
    <w:rsid w:val="00A216C9"/>
    <w:rsid w:val="00A24045"/>
    <w:rsid w:val="00A24C55"/>
    <w:rsid w:val="00A2682A"/>
    <w:rsid w:val="00A30DAD"/>
    <w:rsid w:val="00A311E7"/>
    <w:rsid w:val="00A42459"/>
    <w:rsid w:val="00A46C5D"/>
    <w:rsid w:val="00A477D5"/>
    <w:rsid w:val="00A53216"/>
    <w:rsid w:val="00A579CF"/>
    <w:rsid w:val="00A6145F"/>
    <w:rsid w:val="00A64769"/>
    <w:rsid w:val="00A66E29"/>
    <w:rsid w:val="00A70495"/>
    <w:rsid w:val="00A73277"/>
    <w:rsid w:val="00A9121D"/>
    <w:rsid w:val="00A9327C"/>
    <w:rsid w:val="00A967D7"/>
    <w:rsid w:val="00AA014E"/>
    <w:rsid w:val="00AA166E"/>
    <w:rsid w:val="00AA408E"/>
    <w:rsid w:val="00AA4771"/>
    <w:rsid w:val="00AA590F"/>
    <w:rsid w:val="00AB3676"/>
    <w:rsid w:val="00AB456A"/>
    <w:rsid w:val="00AB532B"/>
    <w:rsid w:val="00AC1E69"/>
    <w:rsid w:val="00AC5D23"/>
    <w:rsid w:val="00AD1E46"/>
    <w:rsid w:val="00AD2959"/>
    <w:rsid w:val="00AD31B1"/>
    <w:rsid w:val="00AD51B4"/>
    <w:rsid w:val="00AE2435"/>
    <w:rsid w:val="00AE75C3"/>
    <w:rsid w:val="00AF02EB"/>
    <w:rsid w:val="00AF21C9"/>
    <w:rsid w:val="00AF4683"/>
    <w:rsid w:val="00B0174D"/>
    <w:rsid w:val="00B04DE8"/>
    <w:rsid w:val="00B1585D"/>
    <w:rsid w:val="00B20002"/>
    <w:rsid w:val="00B20692"/>
    <w:rsid w:val="00B2190A"/>
    <w:rsid w:val="00B24047"/>
    <w:rsid w:val="00B24085"/>
    <w:rsid w:val="00B2606B"/>
    <w:rsid w:val="00B2661E"/>
    <w:rsid w:val="00B271A0"/>
    <w:rsid w:val="00B3299A"/>
    <w:rsid w:val="00B33CB8"/>
    <w:rsid w:val="00B33F81"/>
    <w:rsid w:val="00B35F84"/>
    <w:rsid w:val="00B36666"/>
    <w:rsid w:val="00B411EF"/>
    <w:rsid w:val="00B41D4E"/>
    <w:rsid w:val="00B41DC0"/>
    <w:rsid w:val="00B42996"/>
    <w:rsid w:val="00B4723A"/>
    <w:rsid w:val="00B5204C"/>
    <w:rsid w:val="00B53E55"/>
    <w:rsid w:val="00B54B3D"/>
    <w:rsid w:val="00B56B11"/>
    <w:rsid w:val="00B6064C"/>
    <w:rsid w:val="00B61494"/>
    <w:rsid w:val="00B64008"/>
    <w:rsid w:val="00B76C98"/>
    <w:rsid w:val="00B82F04"/>
    <w:rsid w:val="00B85F9B"/>
    <w:rsid w:val="00B8721F"/>
    <w:rsid w:val="00B87234"/>
    <w:rsid w:val="00B976B9"/>
    <w:rsid w:val="00B97A1C"/>
    <w:rsid w:val="00BA1498"/>
    <w:rsid w:val="00BA3049"/>
    <w:rsid w:val="00BA3233"/>
    <w:rsid w:val="00BA422F"/>
    <w:rsid w:val="00BA43EF"/>
    <w:rsid w:val="00BA54BE"/>
    <w:rsid w:val="00BA6992"/>
    <w:rsid w:val="00BB2E26"/>
    <w:rsid w:val="00BB6B68"/>
    <w:rsid w:val="00BC08A9"/>
    <w:rsid w:val="00BC1805"/>
    <w:rsid w:val="00BC292B"/>
    <w:rsid w:val="00BE0B3D"/>
    <w:rsid w:val="00BE37A4"/>
    <w:rsid w:val="00BE45DE"/>
    <w:rsid w:val="00BE752C"/>
    <w:rsid w:val="00BF1482"/>
    <w:rsid w:val="00BF374E"/>
    <w:rsid w:val="00BF3B66"/>
    <w:rsid w:val="00BF5694"/>
    <w:rsid w:val="00BF6F9C"/>
    <w:rsid w:val="00C02CA0"/>
    <w:rsid w:val="00C04872"/>
    <w:rsid w:val="00C05456"/>
    <w:rsid w:val="00C064C9"/>
    <w:rsid w:val="00C07151"/>
    <w:rsid w:val="00C076A9"/>
    <w:rsid w:val="00C12067"/>
    <w:rsid w:val="00C12F6F"/>
    <w:rsid w:val="00C13021"/>
    <w:rsid w:val="00C14CD2"/>
    <w:rsid w:val="00C14F6B"/>
    <w:rsid w:val="00C15BBB"/>
    <w:rsid w:val="00C30D3A"/>
    <w:rsid w:val="00C31FC0"/>
    <w:rsid w:val="00C3426C"/>
    <w:rsid w:val="00C34C69"/>
    <w:rsid w:val="00C37FF1"/>
    <w:rsid w:val="00C43196"/>
    <w:rsid w:val="00C44B0B"/>
    <w:rsid w:val="00C47D95"/>
    <w:rsid w:val="00C507CD"/>
    <w:rsid w:val="00C51A98"/>
    <w:rsid w:val="00C5459D"/>
    <w:rsid w:val="00C57C7C"/>
    <w:rsid w:val="00C64EEF"/>
    <w:rsid w:val="00C71C97"/>
    <w:rsid w:val="00C725D9"/>
    <w:rsid w:val="00C753AD"/>
    <w:rsid w:val="00C75706"/>
    <w:rsid w:val="00C77A42"/>
    <w:rsid w:val="00C807CD"/>
    <w:rsid w:val="00C80878"/>
    <w:rsid w:val="00C85EA4"/>
    <w:rsid w:val="00C87FD6"/>
    <w:rsid w:val="00C912FE"/>
    <w:rsid w:val="00C94B22"/>
    <w:rsid w:val="00C9605F"/>
    <w:rsid w:val="00C97617"/>
    <w:rsid w:val="00CA1572"/>
    <w:rsid w:val="00CA19CB"/>
    <w:rsid w:val="00CA1CF0"/>
    <w:rsid w:val="00CA5E13"/>
    <w:rsid w:val="00CA6B87"/>
    <w:rsid w:val="00CB084D"/>
    <w:rsid w:val="00CB0C3B"/>
    <w:rsid w:val="00CB6192"/>
    <w:rsid w:val="00CB62B7"/>
    <w:rsid w:val="00CB775C"/>
    <w:rsid w:val="00CC1474"/>
    <w:rsid w:val="00CC2031"/>
    <w:rsid w:val="00CC366C"/>
    <w:rsid w:val="00CC395D"/>
    <w:rsid w:val="00CC5F7A"/>
    <w:rsid w:val="00CC7630"/>
    <w:rsid w:val="00CD003C"/>
    <w:rsid w:val="00CD3BA0"/>
    <w:rsid w:val="00CD5810"/>
    <w:rsid w:val="00CD73BD"/>
    <w:rsid w:val="00CE51C3"/>
    <w:rsid w:val="00CF224B"/>
    <w:rsid w:val="00CF4F69"/>
    <w:rsid w:val="00CF5255"/>
    <w:rsid w:val="00CF5810"/>
    <w:rsid w:val="00CF5A23"/>
    <w:rsid w:val="00D13253"/>
    <w:rsid w:val="00D15589"/>
    <w:rsid w:val="00D17A9E"/>
    <w:rsid w:val="00D20FF9"/>
    <w:rsid w:val="00D21F09"/>
    <w:rsid w:val="00D22675"/>
    <w:rsid w:val="00D22AE8"/>
    <w:rsid w:val="00D30698"/>
    <w:rsid w:val="00D33779"/>
    <w:rsid w:val="00D36FFF"/>
    <w:rsid w:val="00D432AD"/>
    <w:rsid w:val="00D4765F"/>
    <w:rsid w:val="00D51069"/>
    <w:rsid w:val="00D621A0"/>
    <w:rsid w:val="00D64EE0"/>
    <w:rsid w:val="00D65A12"/>
    <w:rsid w:val="00D66905"/>
    <w:rsid w:val="00D727D9"/>
    <w:rsid w:val="00D74253"/>
    <w:rsid w:val="00D77A7E"/>
    <w:rsid w:val="00D803E2"/>
    <w:rsid w:val="00D80585"/>
    <w:rsid w:val="00D80AD1"/>
    <w:rsid w:val="00D84319"/>
    <w:rsid w:val="00D86C2C"/>
    <w:rsid w:val="00D943C8"/>
    <w:rsid w:val="00D9537D"/>
    <w:rsid w:val="00DA3746"/>
    <w:rsid w:val="00DA3E47"/>
    <w:rsid w:val="00DA5EA8"/>
    <w:rsid w:val="00DB0DCF"/>
    <w:rsid w:val="00DB0F09"/>
    <w:rsid w:val="00DB79A7"/>
    <w:rsid w:val="00DC3D2E"/>
    <w:rsid w:val="00DC4433"/>
    <w:rsid w:val="00DC748E"/>
    <w:rsid w:val="00DD52CC"/>
    <w:rsid w:val="00DE0B1D"/>
    <w:rsid w:val="00DE2119"/>
    <w:rsid w:val="00DE24CC"/>
    <w:rsid w:val="00DE308B"/>
    <w:rsid w:val="00DE38B5"/>
    <w:rsid w:val="00DF3234"/>
    <w:rsid w:val="00DF7BEC"/>
    <w:rsid w:val="00E04147"/>
    <w:rsid w:val="00E070BC"/>
    <w:rsid w:val="00E102BA"/>
    <w:rsid w:val="00E141CD"/>
    <w:rsid w:val="00E256CA"/>
    <w:rsid w:val="00E30875"/>
    <w:rsid w:val="00E370BD"/>
    <w:rsid w:val="00E37A7A"/>
    <w:rsid w:val="00E45DAF"/>
    <w:rsid w:val="00E47630"/>
    <w:rsid w:val="00E47BED"/>
    <w:rsid w:val="00E544C9"/>
    <w:rsid w:val="00E55B3B"/>
    <w:rsid w:val="00E55E91"/>
    <w:rsid w:val="00E56984"/>
    <w:rsid w:val="00E605D7"/>
    <w:rsid w:val="00E64467"/>
    <w:rsid w:val="00E65713"/>
    <w:rsid w:val="00E67154"/>
    <w:rsid w:val="00E6741E"/>
    <w:rsid w:val="00E71D1F"/>
    <w:rsid w:val="00E749C8"/>
    <w:rsid w:val="00E801D8"/>
    <w:rsid w:val="00E82D13"/>
    <w:rsid w:val="00E9499C"/>
    <w:rsid w:val="00E94C76"/>
    <w:rsid w:val="00EA12D7"/>
    <w:rsid w:val="00EA3A52"/>
    <w:rsid w:val="00EA7525"/>
    <w:rsid w:val="00EB00A2"/>
    <w:rsid w:val="00EB7FE4"/>
    <w:rsid w:val="00EC0891"/>
    <w:rsid w:val="00ED559A"/>
    <w:rsid w:val="00ED612E"/>
    <w:rsid w:val="00EE309D"/>
    <w:rsid w:val="00EE3A4B"/>
    <w:rsid w:val="00EE4430"/>
    <w:rsid w:val="00EE51DB"/>
    <w:rsid w:val="00EE5517"/>
    <w:rsid w:val="00EE600D"/>
    <w:rsid w:val="00EF633E"/>
    <w:rsid w:val="00F0038E"/>
    <w:rsid w:val="00F00C40"/>
    <w:rsid w:val="00F112A8"/>
    <w:rsid w:val="00F12260"/>
    <w:rsid w:val="00F12357"/>
    <w:rsid w:val="00F13DC0"/>
    <w:rsid w:val="00F14485"/>
    <w:rsid w:val="00F16F02"/>
    <w:rsid w:val="00F25B7A"/>
    <w:rsid w:val="00F25D2F"/>
    <w:rsid w:val="00F26A60"/>
    <w:rsid w:val="00F30FA5"/>
    <w:rsid w:val="00F32123"/>
    <w:rsid w:val="00F43CB2"/>
    <w:rsid w:val="00F45EB4"/>
    <w:rsid w:val="00F465B6"/>
    <w:rsid w:val="00F50094"/>
    <w:rsid w:val="00F55878"/>
    <w:rsid w:val="00F57625"/>
    <w:rsid w:val="00F60384"/>
    <w:rsid w:val="00F61688"/>
    <w:rsid w:val="00F64CB9"/>
    <w:rsid w:val="00F651C8"/>
    <w:rsid w:val="00F67181"/>
    <w:rsid w:val="00F67995"/>
    <w:rsid w:val="00F7011F"/>
    <w:rsid w:val="00F70F1C"/>
    <w:rsid w:val="00F723C9"/>
    <w:rsid w:val="00F74609"/>
    <w:rsid w:val="00F75835"/>
    <w:rsid w:val="00F75EE8"/>
    <w:rsid w:val="00F77628"/>
    <w:rsid w:val="00F820C2"/>
    <w:rsid w:val="00F82F1D"/>
    <w:rsid w:val="00F838DD"/>
    <w:rsid w:val="00F85980"/>
    <w:rsid w:val="00F952E8"/>
    <w:rsid w:val="00F9636F"/>
    <w:rsid w:val="00F978B1"/>
    <w:rsid w:val="00FA20B1"/>
    <w:rsid w:val="00FA265B"/>
    <w:rsid w:val="00FA4EC6"/>
    <w:rsid w:val="00FB0257"/>
    <w:rsid w:val="00FB1895"/>
    <w:rsid w:val="00FB1B47"/>
    <w:rsid w:val="00FB2F55"/>
    <w:rsid w:val="00FB3B70"/>
    <w:rsid w:val="00FB456E"/>
    <w:rsid w:val="00FB67C2"/>
    <w:rsid w:val="00FB77CE"/>
    <w:rsid w:val="00FC045D"/>
    <w:rsid w:val="00FC0CA8"/>
    <w:rsid w:val="00FC5E14"/>
    <w:rsid w:val="00FC6159"/>
    <w:rsid w:val="00FC6775"/>
    <w:rsid w:val="00FD00A2"/>
    <w:rsid w:val="00FD061C"/>
    <w:rsid w:val="00FD1F51"/>
    <w:rsid w:val="00FD66A3"/>
    <w:rsid w:val="00FE0AB4"/>
    <w:rsid w:val="00FE10B7"/>
    <w:rsid w:val="00FE2138"/>
    <w:rsid w:val="00FE444C"/>
    <w:rsid w:val="00FE4A44"/>
    <w:rsid w:val="00FF20F9"/>
    <w:rsid w:val="00FF3DFC"/>
    <w:rsid w:val="00FF3FF3"/>
    <w:rsid w:val="00FF5C5D"/>
    <w:rsid w:val="00FF5F88"/>
    <w:rsid w:val="00FF6B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Titre1">
    <w:name w:val="heading 1"/>
    <w:basedOn w:val="Normal"/>
    <w:next w:val="Titre2"/>
    <w:link w:val="Titre1Car"/>
    <w:uiPriority w:val="9"/>
    <w:qFormat/>
    <w:pPr>
      <w:keepNext/>
      <w:tabs>
        <w:tab w:val="left" w:pos="720"/>
      </w:tabs>
      <w:spacing w:before="240" w:after="120"/>
      <w:jc w:val="center"/>
      <w:outlineLvl w:val="0"/>
    </w:pPr>
    <w:rPr>
      <w:b/>
      <w:caps/>
    </w:rPr>
  </w:style>
  <w:style w:type="paragraph" w:styleId="Titre2">
    <w:name w:val="heading 2"/>
    <w:basedOn w:val="Normal"/>
    <w:next w:val="Normal"/>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pPr>
      <w:keepNext/>
      <w:tabs>
        <w:tab w:val="left" w:pos="567"/>
      </w:tabs>
      <w:spacing w:before="120" w:after="120"/>
      <w:jc w:val="center"/>
      <w:outlineLvl w:val="2"/>
    </w:pPr>
    <w:rPr>
      <w:i/>
      <w:iCs/>
    </w:rPr>
  </w:style>
  <w:style w:type="paragraph" w:styleId="Titre4">
    <w:name w:val="heading 4"/>
    <w:basedOn w:val="Normal"/>
    <w:qFormat/>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qFormat/>
    <w:pPr>
      <w:keepNext/>
      <w:numPr>
        <w:ilvl w:val="4"/>
        <w:numId w:val="1"/>
      </w:numPr>
      <w:spacing w:before="120" w:after="120"/>
      <w:jc w:val="left"/>
      <w:outlineLvl w:val="4"/>
    </w:pPr>
    <w:rPr>
      <w:bCs/>
      <w:i/>
      <w:szCs w:val="26"/>
      <w:lang w:val="en-CA"/>
    </w:rPr>
  </w:style>
  <w:style w:type="paragraph" w:styleId="Titre6">
    <w:name w:val="heading 6"/>
    <w:basedOn w:val="Normal"/>
    <w:next w:val="Normal"/>
    <w:qFormat/>
    <w:pPr>
      <w:keepNext/>
      <w:spacing w:after="240" w:line="240" w:lineRule="exact"/>
      <w:ind w:left="720"/>
      <w:outlineLvl w:val="5"/>
    </w:pPr>
    <w:rPr>
      <w:u w:val="single"/>
    </w:rPr>
  </w:style>
  <w:style w:type="paragraph" w:styleId="Titre7">
    <w:name w:val="heading 7"/>
    <w:basedOn w:val="Normal"/>
    <w:next w:val="Normal"/>
    <w:qFormat/>
    <w:pPr>
      <w:keepNext/>
      <w:jc w:val="right"/>
      <w:outlineLvl w:val="6"/>
    </w:pPr>
    <w:rPr>
      <w:rFonts w:ascii="Univers" w:hAnsi="Univers"/>
      <w:b/>
      <w:sz w:val="28"/>
    </w:rPr>
  </w:style>
  <w:style w:type="paragraph" w:styleId="Titre8">
    <w:name w:val="heading 8"/>
    <w:basedOn w:val="Normal"/>
    <w:next w:val="Normal"/>
    <w:qFormat/>
    <w:pPr>
      <w:keepNext/>
      <w:jc w:val="right"/>
      <w:outlineLvl w:val="7"/>
    </w:pPr>
    <w:rPr>
      <w:rFonts w:ascii="Univers" w:hAnsi="Univers"/>
      <w:b/>
      <w:sz w:val="32"/>
    </w:rPr>
  </w:style>
  <w:style w:type="paragraph" w:styleId="Titre9">
    <w:name w:val="heading 9"/>
    <w:basedOn w:val="Normal"/>
    <w:next w:val="Normal"/>
    <w:qFormat/>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ind w:firstLine="720"/>
      <w:jc w:val="right"/>
    </w:pPr>
  </w:style>
  <w:style w:type="paragraph" w:customStyle="1" w:styleId="Para1">
    <w:name w:val="Para1"/>
    <w:basedOn w:val="Normal"/>
    <w:rsid w:val="00F13DC0"/>
    <w:pPr>
      <w:numPr>
        <w:numId w:val="2"/>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pPr>
      <w:keepLines/>
      <w:spacing w:after="60"/>
      <w:ind w:firstLine="720"/>
    </w:pPr>
    <w:rPr>
      <w:sz w:val="18"/>
    </w:rPr>
  </w:style>
  <w:style w:type="paragraph" w:styleId="Corpsdetexte">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rPr>
      <w:sz w:val="16"/>
    </w:rPr>
  </w:style>
  <w:style w:type="paragraph" w:styleId="Commentaire">
    <w:name w:val="annotation text"/>
    <w:basedOn w:val="Normal"/>
    <w:link w:val="CommentaireCar"/>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uiPriority w:val="99"/>
    <w:qFormat/>
    <w:rPr>
      <w:sz w:val="18"/>
      <w:u w:val="single"/>
      <w:vertAlign w:val="baseline"/>
    </w:rPr>
  </w:style>
  <w:style w:type="paragraph" w:styleId="Retraitcorpsdetexte">
    <w:name w:val="Body Text Indent"/>
    <w:basedOn w:val="Normal"/>
    <w:pPr>
      <w:spacing w:before="120" w:after="120"/>
      <w:ind w:left="1440" w:hanging="720"/>
      <w:jc w:val="left"/>
    </w:pPr>
  </w:style>
  <w:style w:type="character" w:styleId="Numrodepage">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pPr>
      <w:spacing w:before="120"/>
    </w:pPr>
    <w:rPr>
      <w:rFonts w:cs="Arial"/>
      <w:b/>
      <w:bCs/>
      <w:sz w:val="24"/>
    </w:rPr>
  </w:style>
  <w:style w:type="paragraph" w:styleId="TM9">
    <w:name w:val="toc 9"/>
    <w:basedOn w:val="Normal"/>
    <w:next w:val="Normal"/>
    <w:autoRedefine/>
    <w:semiHidden/>
    <w:pPr>
      <w:spacing w:before="120" w:after="120"/>
      <w:ind w:left="1760"/>
      <w:jc w:val="left"/>
    </w:pPr>
  </w:style>
  <w:style w:type="paragraph" w:styleId="TM1">
    <w:name w:val="toc 1"/>
    <w:basedOn w:val="Normal"/>
    <w:next w:val="Normal"/>
    <w:autoRedefine/>
    <w:semiHidden/>
    <w:pPr>
      <w:ind w:left="720" w:hanging="720"/>
    </w:pPr>
    <w:rPr>
      <w:caps/>
    </w:rPr>
  </w:style>
  <w:style w:type="paragraph" w:styleId="TM2">
    <w:name w:val="toc 2"/>
    <w:basedOn w:val="Normal"/>
    <w:next w:val="Normal"/>
    <w:autoRedefine/>
    <w:semiHidden/>
    <w:pPr>
      <w:tabs>
        <w:tab w:val="right" w:leader="dot" w:pos="9356"/>
      </w:tabs>
      <w:ind w:left="1440" w:hanging="720"/>
    </w:pPr>
    <w:rPr>
      <w:noProof/>
      <w:szCs w:val="22"/>
    </w:rPr>
  </w:style>
  <w:style w:type="paragraph" w:styleId="TM3">
    <w:name w:val="toc 3"/>
    <w:basedOn w:val="Normal"/>
    <w:next w:val="Normal"/>
    <w:autoRedefine/>
    <w:semiHidden/>
    <w:pPr>
      <w:ind w:left="2160" w:hanging="720"/>
    </w:pPr>
  </w:style>
  <w:style w:type="paragraph" w:styleId="TM4">
    <w:name w:val="toc 4"/>
    <w:basedOn w:val="Normal"/>
    <w:next w:val="Normal"/>
    <w:autoRedefine/>
    <w:semiHidden/>
    <w:pPr>
      <w:spacing w:before="120" w:after="120"/>
      <w:ind w:left="660"/>
      <w:jc w:val="left"/>
    </w:pPr>
  </w:style>
  <w:style w:type="paragraph" w:styleId="TM5">
    <w:name w:val="toc 5"/>
    <w:basedOn w:val="Normal"/>
    <w:next w:val="Normal"/>
    <w:autoRedefine/>
    <w:semiHidden/>
    <w:pPr>
      <w:spacing w:before="120" w:after="120"/>
      <w:ind w:left="880"/>
      <w:jc w:val="left"/>
    </w:pPr>
  </w:style>
  <w:style w:type="paragraph" w:styleId="TM6">
    <w:name w:val="toc 6"/>
    <w:basedOn w:val="Normal"/>
    <w:next w:val="Normal"/>
    <w:autoRedefine/>
    <w:semiHidden/>
    <w:pPr>
      <w:spacing w:before="120" w:after="120"/>
      <w:ind w:left="1100"/>
      <w:jc w:val="left"/>
    </w:pPr>
  </w:style>
  <w:style w:type="paragraph" w:styleId="TM7">
    <w:name w:val="toc 7"/>
    <w:basedOn w:val="Normal"/>
    <w:next w:val="Normal"/>
    <w:autoRedefine/>
    <w:semiHidden/>
    <w:pPr>
      <w:spacing w:before="120" w:after="120"/>
      <w:ind w:left="1320"/>
      <w:jc w:val="left"/>
    </w:pPr>
  </w:style>
  <w:style w:type="paragraph" w:styleId="TM8">
    <w:name w:val="toc 8"/>
    <w:basedOn w:val="Normal"/>
    <w:next w:val="Normal"/>
    <w:autoRedefine/>
    <w:semiHidden/>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Pr>
      <w:color w:val="800080"/>
      <w:u w:val="single"/>
    </w:rPr>
  </w:style>
  <w:style w:type="paragraph" w:customStyle="1" w:styleId="Style1">
    <w:name w:val="Style1"/>
    <w:basedOn w:val="Titre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nhideWhenUsed/>
    <w:rsid w:val="00406BC6"/>
    <w:rPr>
      <w:color w:val="0000FF"/>
      <w:u w:val="single"/>
    </w:rPr>
  </w:style>
  <w:style w:type="character" w:styleId="Appeldenotedefin">
    <w:name w:val="endnote reference"/>
    <w:semiHidden/>
    <w:rPr>
      <w:vertAlign w:val="superscript"/>
    </w:rPr>
  </w:style>
  <w:style w:type="paragraph" w:styleId="Notedefin">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Titre1"/>
    <w:pPr>
      <w:ind w:left="1843" w:hanging="1134"/>
      <w:jc w:val="left"/>
    </w:pPr>
  </w:style>
  <w:style w:type="paragraph" w:customStyle="1" w:styleId="Heading1multiline">
    <w:name w:val="Heading 1 (multiline)"/>
    <w:basedOn w:val="Titre1"/>
    <w:pPr>
      <w:ind w:left="1843" w:right="996" w:hanging="567"/>
      <w:jc w:val="left"/>
    </w:pPr>
  </w:style>
  <w:style w:type="paragraph" w:customStyle="1" w:styleId="Heading2multiline">
    <w:name w:val="Heading 2 (multiline)"/>
    <w:basedOn w:val="Titre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semiHidden/>
    <w:unhideWhenUsed/>
    <w:rsid w:val="00406BC6"/>
    <w:rPr>
      <w:rFonts w:ascii="Tahoma" w:hAnsi="Tahoma" w:cs="Tahoma"/>
      <w:sz w:val="16"/>
      <w:szCs w:val="16"/>
    </w:rPr>
  </w:style>
  <w:style w:type="character" w:customStyle="1" w:styleId="TextedebullesCar">
    <w:name w:val="Texte de bulles Car"/>
    <w:link w:val="Textedebulles"/>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nhideWhenUsed/>
    <w:rsid w:val="00D9537D"/>
    <w:pPr>
      <w:spacing w:after="0" w:line="240" w:lineRule="auto"/>
    </w:pPr>
    <w:rPr>
      <w:b/>
      <w:bCs/>
      <w:sz w:val="20"/>
      <w:szCs w:val="20"/>
    </w:rPr>
  </w:style>
  <w:style w:type="character" w:customStyle="1" w:styleId="CommentaireCar">
    <w:name w:val="Commentaire Car"/>
    <w:link w:val="Commentaire"/>
    <w:rsid w:val="00D9537D"/>
    <w:rPr>
      <w:sz w:val="22"/>
      <w:szCs w:val="24"/>
      <w:lang w:val="en-GB"/>
    </w:rPr>
  </w:style>
  <w:style w:type="character" w:customStyle="1" w:styleId="ObjetducommentaireCar">
    <w:name w:val="Objet du commentaire Car"/>
    <w:link w:val="Objetducommentaire"/>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autoRedefine/>
    <w:rsid w:val="00742F79"/>
    <w:rPr>
      <w:rFonts w:ascii="Lucida Sans Unicode" w:hAnsi="Lucida Sans Unicode" w:cs="Angsana New"/>
      <w:noProof/>
      <w:color w:val="0000FF"/>
      <w:lang w:val="en-US"/>
    </w:rPr>
  </w:style>
  <w:style w:type="paragraph" w:customStyle="1" w:styleId="bodytextnoindent">
    <w:name w:val="body text (no indent)"/>
    <w:basedOn w:val="Normal"/>
    <w:rsid w:val="00742F79"/>
    <w:pPr>
      <w:widowControl w:val="0"/>
      <w:overflowPunct w:val="0"/>
      <w:autoSpaceDE w:val="0"/>
      <w:autoSpaceDN w:val="0"/>
      <w:adjustRightInd w:val="0"/>
      <w:spacing w:before="120" w:after="120"/>
      <w:textAlignment w:val="baseline"/>
    </w:pPr>
    <w:rPr>
      <w:rFonts w:cs="Angsana New"/>
      <w:szCs w:val="20"/>
      <w:lang w:eastAsia="de-DE"/>
    </w:rPr>
  </w:style>
  <w:style w:type="paragraph" w:styleId="Corpsdetexte2">
    <w:name w:val="Body Text 2"/>
    <w:basedOn w:val="Normal"/>
    <w:link w:val="Corpsdetexte2Car"/>
    <w:rsid w:val="00742F79"/>
    <w:rPr>
      <w:rFonts w:cs="Angsana New"/>
      <w:i/>
      <w:iCs/>
    </w:rPr>
  </w:style>
  <w:style w:type="character" w:customStyle="1" w:styleId="Corpsdetexte2Car">
    <w:name w:val="Corps de texte 2 Car"/>
    <w:basedOn w:val="Policepardfaut"/>
    <w:link w:val="Corpsdetexte2"/>
    <w:rsid w:val="00742F79"/>
    <w:rPr>
      <w:rFonts w:cs="Angsana New"/>
      <w:i/>
      <w:iCs/>
      <w:sz w:val="22"/>
      <w:szCs w:val="24"/>
      <w:lang w:val="en-GB"/>
    </w:rPr>
  </w:style>
  <w:style w:type="paragraph" w:styleId="Corpsdetexte3">
    <w:name w:val="Body Text 3"/>
    <w:basedOn w:val="Normal"/>
    <w:link w:val="Corpsdetexte3Car"/>
    <w:rsid w:val="00742F79"/>
    <w:pPr>
      <w:jc w:val="center"/>
    </w:pPr>
    <w:rPr>
      <w:rFonts w:cs="Angsana New"/>
      <w:sz w:val="28"/>
    </w:rPr>
  </w:style>
  <w:style w:type="character" w:customStyle="1" w:styleId="Corpsdetexte3Car">
    <w:name w:val="Corps de texte 3 Car"/>
    <w:basedOn w:val="Policepardfaut"/>
    <w:link w:val="Corpsdetexte3"/>
    <w:rsid w:val="00742F79"/>
    <w:rPr>
      <w:rFonts w:cs="Angsana New"/>
      <w:sz w:val="28"/>
      <w:szCs w:val="24"/>
      <w:lang w:val="en-GB"/>
    </w:rPr>
  </w:style>
  <w:style w:type="character" w:customStyle="1" w:styleId="BodyTextChar">
    <w:name w:val="Body Text Char"/>
    <w:rsid w:val="00742F79"/>
    <w:rPr>
      <w:iCs/>
      <w:sz w:val="22"/>
      <w:szCs w:val="24"/>
      <w:lang w:val="en-GB" w:eastAsia="en-US" w:bidi="ar-SA"/>
    </w:rPr>
  </w:style>
  <w:style w:type="paragraph" w:styleId="Retraitcorpsdetexte2">
    <w:name w:val="Body Text Indent 2"/>
    <w:basedOn w:val="Normal"/>
    <w:link w:val="Retraitcorpsdetexte2Car"/>
    <w:rsid w:val="00742F79"/>
    <w:pPr>
      <w:ind w:firstLine="720"/>
    </w:pPr>
    <w:rPr>
      <w:rFonts w:cs="Angsana New"/>
    </w:rPr>
  </w:style>
  <w:style w:type="character" w:customStyle="1" w:styleId="Retraitcorpsdetexte2Car">
    <w:name w:val="Retrait corps de texte 2 Car"/>
    <w:basedOn w:val="Policepardfaut"/>
    <w:link w:val="Retraitcorpsdetexte2"/>
    <w:rsid w:val="00742F79"/>
    <w:rPr>
      <w:rFonts w:cs="Angsana New"/>
      <w:sz w:val="22"/>
      <w:szCs w:val="24"/>
      <w:lang w:val="en-GB"/>
    </w:rPr>
  </w:style>
  <w:style w:type="paragraph" w:customStyle="1" w:styleId="Bodytextitalic">
    <w:name w:val="Body text italic"/>
    <w:basedOn w:val="Corpsdetexte"/>
    <w:rsid w:val="00742F79"/>
    <w:rPr>
      <w:rFonts w:cs="Angsana New"/>
      <w:i/>
      <w:iCs w:val="0"/>
    </w:rPr>
  </w:style>
  <w:style w:type="paragraph" w:customStyle="1" w:styleId="boxbody">
    <w:name w:val="boxbody"/>
    <w:basedOn w:val="Normal"/>
    <w:rsid w:val="00742F79"/>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Titre2"/>
    <w:next w:val="Corpsdetexte"/>
    <w:rsid w:val="00742F79"/>
    <w:pPr>
      <w:tabs>
        <w:tab w:val="clear" w:pos="720"/>
        <w:tab w:val="left" w:pos="900"/>
      </w:tabs>
    </w:pPr>
    <w:rPr>
      <w:rFonts w:eastAsia="Batang"/>
      <w:b w:val="0"/>
      <w:bCs w:val="0"/>
      <w:szCs w:val="20"/>
    </w:rPr>
  </w:style>
  <w:style w:type="paragraph" w:customStyle="1" w:styleId="Heading2noletter">
    <w:name w:val="Heading 2 (no letter)"/>
    <w:basedOn w:val="Titre2"/>
    <w:rsid w:val="00742F79"/>
    <w:pPr>
      <w:tabs>
        <w:tab w:val="clear" w:pos="720"/>
      </w:tabs>
    </w:pPr>
  </w:style>
  <w:style w:type="character" w:customStyle="1" w:styleId="Heading2CharChar">
    <w:name w:val="Heading 2 Char Char"/>
    <w:rsid w:val="00742F79"/>
    <w:rPr>
      <w:rFonts w:ascii="Arial" w:hAnsi="Arial" w:cs="Arial"/>
      <w:b/>
      <w:bCs/>
      <w:i/>
      <w:iCs/>
      <w:noProof w:val="0"/>
      <w:sz w:val="28"/>
      <w:szCs w:val="28"/>
      <w:lang w:val="en-US" w:eastAsia="en-US" w:bidi="ar-SA"/>
    </w:rPr>
  </w:style>
  <w:style w:type="paragraph" w:customStyle="1" w:styleId="Heading-plain0">
    <w:name w:val="Heading-plain"/>
    <w:basedOn w:val="Normal"/>
    <w:rsid w:val="00742F79"/>
    <w:pPr>
      <w:spacing w:before="120" w:after="120"/>
      <w:jc w:val="center"/>
      <w:outlineLvl w:val="0"/>
    </w:pPr>
    <w:rPr>
      <w:rFonts w:cs="Angsana New"/>
      <w:i/>
      <w:szCs w:val="20"/>
    </w:rPr>
  </w:style>
  <w:style w:type="paragraph" w:customStyle="1" w:styleId="Heading-plainbold">
    <w:name w:val="Heading-plain bold"/>
    <w:basedOn w:val="Corpsdetexte"/>
    <w:rsid w:val="00742F79"/>
    <w:pPr>
      <w:ind w:firstLine="0"/>
      <w:jc w:val="center"/>
    </w:pPr>
    <w:rPr>
      <w:rFonts w:cs="Angsana New"/>
      <w:b/>
      <w:bCs/>
      <w:i/>
      <w:iCs w:val="0"/>
    </w:rPr>
  </w:style>
  <w:style w:type="paragraph" w:customStyle="1" w:styleId="Heading-plainitalic">
    <w:name w:val="Heading-plain italic"/>
    <w:basedOn w:val="Heading-plainbold"/>
    <w:rsid w:val="00742F79"/>
    <w:rPr>
      <w:b w:val="0"/>
      <w:bCs w:val="0"/>
    </w:rPr>
  </w:style>
  <w:style w:type="paragraph" w:styleId="NormalWeb">
    <w:name w:val="Normal (Web)"/>
    <w:basedOn w:val="Normal"/>
    <w:uiPriority w:val="99"/>
    <w:rsid w:val="00742F79"/>
    <w:pPr>
      <w:spacing w:before="100" w:beforeAutospacing="1" w:after="100" w:afterAutospacing="1"/>
      <w:jc w:val="left"/>
    </w:pPr>
    <w:rPr>
      <w:rFonts w:ascii="Verdana" w:hAnsi="Verdana" w:cs="Angsana New"/>
      <w:color w:val="000000"/>
      <w:sz w:val="18"/>
      <w:szCs w:val="18"/>
      <w:lang w:val="en-US"/>
    </w:rPr>
  </w:style>
  <w:style w:type="paragraph" w:customStyle="1" w:styleId="Para10">
    <w:name w:val="Para 1"/>
    <w:basedOn w:val="Corpsdetexte"/>
    <w:rsid w:val="00742F79"/>
    <w:pPr>
      <w:ind w:firstLine="0"/>
    </w:pPr>
    <w:rPr>
      <w:rFonts w:eastAsia="MS Mincho" w:cs="Angsana New"/>
      <w:bCs/>
      <w:iCs w:val="0"/>
      <w:szCs w:val="22"/>
    </w:rPr>
  </w:style>
  <w:style w:type="character" w:customStyle="1" w:styleId="Para1Char">
    <w:name w:val="Para 1 Char"/>
    <w:rsid w:val="00742F79"/>
    <w:rPr>
      <w:rFonts w:eastAsia="MS Mincho"/>
      <w:bCs/>
      <w:iCs/>
      <w:sz w:val="22"/>
      <w:szCs w:val="22"/>
      <w:lang w:val="en-GB" w:eastAsia="en-US" w:bidi="ar-SA"/>
    </w:rPr>
  </w:style>
  <w:style w:type="character" w:customStyle="1" w:styleId="FootnoteCharacters">
    <w:name w:val="Footnote Characters"/>
    <w:rsid w:val="00742F79"/>
    <w:rPr>
      <w:position w:val="0"/>
      <w:sz w:val="18"/>
      <w:u w:val="single"/>
      <w:vertAlign w:val="baseline"/>
    </w:rPr>
  </w:style>
  <w:style w:type="paragraph" w:customStyle="1" w:styleId="Paraofficial">
    <w:name w:val="Para official"/>
    <w:basedOn w:val="Normal"/>
    <w:rsid w:val="00742F79"/>
    <w:pPr>
      <w:framePr w:hSpace="187" w:vSpace="187" w:wrap="notBeside" w:vAnchor="text" w:hAnchor="text" w:y="1"/>
      <w:numPr>
        <w:numId w:val="6"/>
      </w:numPr>
      <w:spacing w:before="240" w:after="240"/>
      <w:jc w:val="left"/>
    </w:pPr>
    <w:rPr>
      <w:rFonts w:cs="Angsana New"/>
      <w:szCs w:val="20"/>
    </w:rPr>
  </w:style>
  <w:style w:type="paragraph" w:customStyle="1" w:styleId="Para1Char0">
    <w:name w:val="Para1 Char"/>
    <w:basedOn w:val="Normal"/>
    <w:rsid w:val="00742F79"/>
    <w:pPr>
      <w:tabs>
        <w:tab w:val="num" w:pos="720"/>
      </w:tabs>
      <w:spacing w:before="120" w:after="120"/>
      <w:ind w:left="360"/>
    </w:pPr>
    <w:rPr>
      <w:rFonts w:cs="Angsana New"/>
      <w:snapToGrid w:val="0"/>
      <w:szCs w:val="18"/>
    </w:rPr>
  </w:style>
  <w:style w:type="paragraph" w:customStyle="1" w:styleId="Para1-Annex">
    <w:name w:val="Para1-Annex"/>
    <w:basedOn w:val="Normal"/>
    <w:rsid w:val="00742F79"/>
    <w:pPr>
      <w:tabs>
        <w:tab w:val="num" w:pos="360"/>
      </w:tabs>
      <w:spacing w:after="120"/>
    </w:pPr>
    <w:rPr>
      <w:szCs w:val="22"/>
      <w:lang w:val="en-US"/>
    </w:rPr>
  </w:style>
  <w:style w:type="paragraph" w:customStyle="1" w:styleId="para20">
    <w:name w:val="para2"/>
    <w:basedOn w:val="para2a"/>
    <w:rsid w:val="00742F79"/>
  </w:style>
  <w:style w:type="paragraph" w:customStyle="1" w:styleId="Para40">
    <w:name w:val="Para4"/>
    <w:basedOn w:val="Para3"/>
    <w:rsid w:val="00742F79"/>
    <w:pPr>
      <w:numPr>
        <w:ilvl w:val="0"/>
        <w:numId w:val="0"/>
      </w:numPr>
      <w:tabs>
        <w:tab w:val="clear" w:pos="1980"/>
        <w:tab w:val="left" w:pos="2552"/>
        <w:tab w:val="num" w:pos="3540"/>
      </w:tabs>
      <w:ind w:left="2552" w:hanging="567"/>
    </w:pPr>
    <w:rPr>
      <w:rFonts w:cs="Angsana New"/>
      <w:lang w:val="en-US"/>
    </w:rPr>
  </w:style>
  <w:style w:type="paragraph" w:customStyle="1" w:styleId="Paranum">
    <w:name w:val="Paranum"/>
    <w:basedOn w:val="Normal"/>
    <w:rsid w:val="00742F79"/>
    <w:pPr>
      <w:tabs>
        <w:tab w:val="num" w:pos="360"/>
      </w:tabs>
      <w:spacing w:after="120" w:line="240" w:lineRule="exact"/>
    </w:pPr>
    <w:rPr>
      <w:rFonts w:cs="Angsana New"/>
      <w:szCs w:val="20"/>
      <w:lang w:val="en-US"/>
    </w:rPr>
  </w:style>
  <w:style w:type="character" w:styleId="lev">
    <w:name w:val="Strong"/>
    <w:uiPriority w:val="22"/>
    <w:qFormat/>
    <w:rsid w:val="00742F79"/>
    <w:rPr>
      <w:b/>
      <w:bCs/>
    </w:rPr>
  </w:style>
  <w:style w:type="paragraph" w:customStyle="1" w:styleId="StyleBodyTextTimesNewRoman11ptCharChar">
    <w:name w:val="Style Body Text + Times New Roman 11 pt Char Char"/>
    <w:basedOn w:val="Corpsdetexte"/>
    <w:rsid w:val="00742F79"/>
    <w:rPr>
      <w:rFonts w:cs="Angsana New"/>
      <w:iCs w:val="0"/>
      <w:snapToGrid w:val="0"/>
      <w:color w:val="000000"/>
      <w:szCs w:val="22"/>
      <w:lang w:val="en-US"/>
    </w:rPr>
  </w:style>
  <w:style w:type="character" w:customStyle="1" w:styleId="StyleBodyTextTimesNewRoman11ptCharCharChar">
    <w:name w:val="Style Body Text + Times New Roman 11 pt Char Char Char"/>
    <w:rsid w:val="00742F79"/>
    <w:rPr>
      <w:rFonts w:cs="Angsana New"/>
      <w:iCs/>
      <w:snapToGrid w:val="0"/>
      <w:color w:val="000000"/>
      <w:sz w:val="22"/>
      <w:szCs w:val="22"/>
      <w:lang w:val="en-US" w:eastAsia="en-US" w:bidi="ar-SA"/>
    </w:rPr>
  </w:style>
  <w:style w:type="paragraph" w:customStyle="1" w:styleId="StylePara1Firstline127cm">
    <w:name w:val="Style Para1 + First line:  1.27 cm"/>
    <w:basedOn w:val="Normal"/>
    <w:rsid w:val="00742F79"/>
    <w:pPr>
      <w:tabs>
        <w:tab w:val="num" w:pos="360"/>
      </w:tabs>
      <w:spacing w:after="120"/>
    </w:pPr>
    <w:rPr>
      <w:rFonts w:cs="Angsana New"/>
      <w:snapToGrid w:val="0"/>
      <w:szCs w:val="20"/>
    </w:rPr>
  </w:style>
  <w:style w:type="paragraph" w:customStyle="1" w:styleId="StylePara1Italic">
    <w:name w:val="Style Para1 + Italic"/>
    <w:basedOn w:val="Normal"/>
    <w:rsid w:val="00742F79"/>
    <w:pPr>
      <w:spacing w:before="120" w:after="120"/>
    </w:pPr>
    <w:rPr>
      <w:i/>
      <w:iCs/>
      <w:snapToGrid w:val="0"/>
      <w:szCs w:val="18"/>
    </w:rPr>
  </w:style>
  <w:style w:type="paragraph" w:styleId="Titre">
    <w:name w:val="Title"/>
    <w:basedOn w:val="Normal"/>
    <w:link w:val="TitreCar"/>
    <w:qFormat/>
    <w:rsid w:val="00742F79"/>
    <w:pPr>
      <w:jc w:val="center"/>
    </w:pPr>
    <w:rPr>
      <w:rFonts w:cs="Angsana New"/>
      <w:i/>
      <w:iCs/>
    </w:rPr>
  </w:style>
  <w:style w:type="character" w:customStyle="1" w:styleId="TitreCar">
    <w:name w:val="Titre Car"/>
    <w:basedOn w:val="Policepardfaut"/>
    <w:link w:val="Titre"/>
    <w:rsid w:val="00742F79"/>
    <w:rPr>
      <w:rFonts w:cs="Angsana New"/>
      <w:i/>
      <w:iCs/>
      <w:sz w:val="22"/>
      <w:szCs w:val="24"/>
      <w:lang w:val="en-GB"/>
    </w:rPr>
  </w:style>
  <w:style w:type="paragraph" w:customStyle="1" w:styleId="para2a">
    <w:name w:val="para 2 (a)"/>
    <w:basedOn w:val="Normal"/>
    <w:qFormat/>
    <w:rsid w:val="00742F79"/>
    <w:pPr>
      <w:spacing w:after="120"/>
      <w:ind w:firstLine="763"/>
    </w:pPr>
    <w:rPr>
      <w:rFonts w:eastAsia="MS Mincho" w:cs="Angsana New"/>
      <w:snapToGrid w:val="0"/>
      <w:szCs w:val="18"/>
    </w:rPr>
  </w:style>
  <w:style w:type="paragraph" w:customStyle="1" w:styleId="Default">
    <w:name w:val="Default"/>
    <w:rsid w:val="00742F79"/>
    <w:pPr>
      <w:autoSpaceDE w:val="0"/>
      <w:autoSpaceDN w:val="0"/>
      <w:adjustRightInd w:val="0"/>
    </w:pPr>
    <w:rPr>
      <w:color w:val="000000"/>
      <w:sz w:val="24"/>
      <w:szCs w:val="24"/>
      <w:lang w:val="en-US"/>
    </w:rPr>
  </w:style>
  <w:style w:type="paragraph" w:customStyle="1" w:styleId="Pa6">
    <w:name w:val="Pa6"/>
    <w:basedOn w:val="Default"/>
    <w:next w:val="Default"/>
    <w:uiPriority w:val="99"/>
    <w:rsid w:val="00742F79"/>
    <w:pPr>
      <w:spacing w:line="201" w:lineRule="atLeast"/>
    </w:pPr>
    <w:rPr>
      <w:rFonts w:ascii="Minion Pro" w:hAnsi="Minion Pro"/>
      <w:color w:val="auto"/>
    </w:rPr>
  </w:style>
  <w:style w:type="character" w:customStyle="1" w:styleId="A6">
    <w:name w:val="A6"/>
    <w:uiPriority w:val="99"/>
    <w:rsid w:val="00742F79"/>
    <w:rPr>
      <w:rFonts w:cs="Minion Pro"/>
      <w:color w:val="000000"/>
      <w:sz w:val="12"/>
      <w:szCs w:val="12"/>
    </w:rPr>
  </w:style>
  <w:style w:type="paragraph" w:customStyle="1" w:styleId="Pa45">
    <w:name w:val="Pa45"/>
    <w:basedOn w:val="Default"/>
    <w:next w:val="Default"/>
    <w:uiPriority w:val="99"/>
    <w:rsid w:val="00742F79"/>
    <w:pPr>
      <w:spacing w:line="191" w:lineRule="atLeast"/>
    </w:pPr>
    <w:rPr>
      <w:rFonts w:ascii="Myriad Roman" w:hAnsi="Myriad Roman"/>
      <w:color w:val="auto"/>
    </w:rPr>
  </w:style>
  <w:style w:type="character" w:customStyle="1" w:styleId="A13">
    <w:name w:val="A13"/>
    <w:uiPriority w:val="99"/>
    <w:rsid w:val="00742F79"/>
    <w:rPr>
      <w:rFonts w:cs="Myriad Roman"/>
      <w:color w:val="000000"/>
      <w:sz w:val="18"/>
      <w:szCs w:val="18"/>
    </w:rPr>
  </w:style>
  <w:style w:type="paragraph" w:customStyle="1" w:styleId="MediumGrid1-Accent21">
    <w:name w:val="Medium Grid 1 - Accent 21"/>
    <w:basedOn w:val="Normal"/>
    <w:rsid w:val="00742F79"/>
    <w:pPr>
      <w:ind w:left="720"/>
      <w:contextualSpacing/>
      <w:jc w:val="left"/>
    </w:pPr>
    <w:rPr>
      <w:rFonts w:ascii="Cambria" w:eastAsia="MS ??" w:hAnsi="Cambria"/>
      <w:sz w:val="24"/>
      <w:lang w:val="en-US" w:eastAsia="ja-JP"/>
    </w:rPr>
  </w:style>
  <w:style w:type="character" w:styleId="Accentuation">
    <w:name w:val="Emphasis"/>
    <w:uiPriority w:val="20"/>
    <w:qFormat/>
    <w:rsid w:val="00742F79"/>
    <w:rPr>
      <w:b/>
      <w:bCs/>
      <w:i w:val="0"/>
      <w:iCs w:val="0"/>
    </w:rPr>
  </w:style>
  <w:style w:type="character" w:customStyle="1" w:styleId="Titre1Car">
    <w:name w:val="Titre 1 Car"/>
    <w:link w:val="Titre1"/>
    <w:uiPriority w:val="9"/>
    <w:rsid w:val="00742F79"/>
    <w:rPr>
      <w:b/>
      <w:caps/>
      <w:sz w:val="22"/>
      <w:szCs w:val="24"/>
      <w:lang w:val="en-GB"/>
    </w:rPr>
  </w:style>
  <w:style w:type="paragraph" w:customStyle="1" w:styleId="ta-response-item-content">
    <w:name w:val="ta-response-item-content"/>
    <w:basedOn w:val="Normal"/>
    <w:rsid w:val="00742F79"/>
    <w:pPr>
      <w:spacing w:before="100" w:beforeAutospacing="1" w:after="100" w:afterAutospacing="1"/>
      <w:jc w:val="left"/>
    </w:pPr>
    <w:rPr>
      <w:sz w:val="24"/>
      <w:lang w:val="en-US"/>
    </w:rPr>
  </w:style>
  <w:style w:type="character" w:customStyle="1" w:styleId="En-tteCar">
    <w:name w:val="En-tête Car"/>
    <w:link w:val="En-tte"/>
    <w:rsid w:val="00742F79"/>
    <w:rPr>
      <w:sz w:val="22"/>
      <w:szCs w:val="24"/>
      <w:lang w:val="en-GB"/>
    </w:rPr>
  </w:style>
  <w:style w:type="paragraph" w:customStyle="1" w:styleId="SingleTxt">
    <w:name w:val="__Single Txt"/>
    <w:basedOn w:val="Normal"/>
    <w:rsid w:val="00911B0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spacing w:val="4"/>
      <w:w w:val="103"/>
      <w:kern w:val="14"/>
      <w:sz w:val="20"/>
      <w:szCs w:val="20"/>
    </w:rPr>
  </w:style>
  <w:style w:type="character" w:customStyle="1" w:styleId="UnresolvedMention1">
    <w:name w:val="Unresolved Mention1"/>
    <w:basedOn w:val="Policepardfaut"/>
    <w:uiPriority w:val="99"/>
    <w:semiHidden/>
    <w:unhideWhenUsed/>
    <w:rsid w:val="003E2881"/>
    <w:rPr>
      <w:color w:val="808080"/>
      <w:shd w:val="clear" w:color="auto" w:fill="E6E6E6"/>
    </w:rPr>
  </w:style>
  <w:style w:type="paragraph" w:customStyle="1" w:styleId="StylePara1HeadingsCSTimesNewRomanKernat11pt">
    <w:name w:val="Style Para1 + +Headings CS (Times New Roman) Kern at 11 pt"/>
    <w:basedOn w:val="Para1"/>
    <w:rsid w:val="008B79E4"/>
    <w:pPr>
      <w:tabs>
        <w:tab w:val="clear" w:pos="360"/>
      </w:tabs>
    </w:pPr>
    <w:rPr>
      <w:rFonts w:asciiTheme="majorBidi" w:hAnsiTheme="majorBidi"/>
      <w:kern w:val="22"/>
    </w:rPr>
  </w:style>
  <w:style w:type="character" w:customStyle="1" w:styleId="UnresolvedMention">
    <w:name w:val="Unresolved Mention"/>
    <w:basedOn w:val="Policepardfaut"/>
    <w:uiPriority w:val="99"/>
    <w:semiHidden/>
    <w:unhideWhenUsed/>
    <w:rsid w:val="00462E6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Simple 2" w:locked="1"/>
    <w:lsdException w:name="Table Simple 3" w:locked="1"/>
    <w:lsdException w:name="Table Subtle 1" w:locked="1"/>
    <w:lsdException w:name="Table Subtle 2" w:locked="1"/>
    <w:lsdException w:name="Table Web 1" w:locked="1"/>
    <w:lsdException w:name="Table Web 2" w:locked="1"/>
    <w:lsdException w:name="Table Web 3" w:locked="1"/>
    <w:lsdException w:name="Balloon Text" w:uiPriority="0"/>
    <w:lsdException w:name="Table Grid" w:semiHidden="0" w:uiPriority="59" w:unhideWhenUsed="0"/>
    <w:lsdException w:name="Table Theme" w:locked="1"/>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498"/>
    <w:pPr>
      <w:jc w:val="both"/>
    </w:pPr>
    <w:rPr>
      <w:sz w:val="22"/>
      <w:szCs w:val="24"/>
      <w:lang w:val="en-GB"/>
    </w:rPr>
  </w:style>
  <w:style w:type="paragraph" w:styleId="Titre1">
    <w:name w:val="heading 1"/>
    <w:basedOn w:val="Normal"/>
    <w:next w:val="Titre2"/>
    <w:link w:val="Titre1Car"/>
    <w:uiPriority w:val="9"/>
    <w:qFormat/>
    <w:pPr>
      <w:keepNext/>
      <w:tabs>
        <w:tab w:val="left" w:pos="720"/>
      </w:tabs>
      <w:spacing w:before="240" w:after="120"/>
      <w:jc w:val="center"/>
      <w:outlineLvl w:val="0"/>
    </w:pPr>
    <w:rPr>
      <w:b/>
      <w:caps/>
    </w:rPr>
  </w:style>
  <w:style w:type="paragraph" w:styleId="Titre2">
    <w:name w:val="heading 2"/>
    <w:basedOn w:val="Normal"/>
    <w:next w:val="Normal"/>
    <w:qFormat/>
    <w:rsid w:val="00E55B3B"/>
    <w:pPr>
      <w:keepNext/>
      <w:tabs>
        <w:tab w:val="left" w:pos="720"/>
      </w:tabs>
      <w:spacing w:before="120" w:after="120"/>
      <w:jc w:val="center"/>
      <w:outlineLvl w:val="1"/>
    </w:pPr>
    <w:rPr>
      <w:b/>
      <w:bCs/>
      <w:iCs/>
    </w:rPr>
  </w:style>
  <w:style w:type="paragraph" w:styleId="Titre3">
    <w:name w:val="heading 3"/>
    <w:basedOn w:val="Normal"/>
    <w:next w:val="Normal"/>
    <w:qFormat/>
    <w:pPr>
      <w:keepNext/>
      <w:tabs>
        <w:tab w:val="left" w:pos="567"/>
      </w:tabs>
      <w:spacing w:before="120" w:after="120"/>
      <w:jc w:val="center"/>
      <w:outlineLvl w:val="2"/>
    </w:pPr>
    <w:rPr>
      <w:i/>
      <w:iCs/>
    </w:rPr>
  </w:style>
  <w:style w:type="paragraph" w:styleId="Titre4">
    <w:name w:val="heading 4"/>
    <w:basedOn w:val="Normal"/>
    <w:qFormat/>
    <w:pPr>
      <w:keepNext/>
      <w:spacing w:before="120" w:after="120"/>
      <w:outlineLvl w:val="3"/>
    </w:pPr>
    <w:rPr>
      <w:rFonts w:ascii="Times New Roman Bold" w:eastAsia="Arial Unicode MS" w:hAnsi="Times New Roman Bold" w:cs="Arial"/>
      <w:b/>
      <w:bCs/>
      <w:i/>
    </w:rPr>
  </w:style>
  <w:style w:type="paragraph" w:styleId="Titre5">
    <w:name w:val="heading 5"/>
    <w:aliases w:val="Heading 5 - GTI"/>
    <w:basedOn w:val="Normal"/>
    <w:next w:val="Normal"/>
    <w:qFormat/>
    <w:pPr>
      <w:keepNext/>
      <w:numPr>
        <w:ilvl w:val="4"/>
        <w:numId w:val="1"/>
      </w:numPr>
      <w:spacing w:before="120" w:after="120"/>
      <w:jc w:val="left"/>
      <w:outlineLvl w:val="4"/>
    </w:pPr>
    <w:rPr>
      <w:bCs/>
      <w:i/>
      <w:szCs w:val="26"/>
      <w:lang w:val="en-CA"/>
    </w:rPr>
  </w:style>
  <w:style w:type="paragraph" w:styleId="Titre6">
    <w:name w:val="heading 6"/>
    <w:basedOn w:val="Normal"/>
    <w:next w:val="Normal"/>
    <w:qFormat/>
    <w:pPr>
      <w:keepNext/>
      <w:spacing w:after="240" w:line="240" w:lineRule="exact"/>
      <w:ind w:left="720"/>
      <w:outlineLvl w:val="5"/>
    </w:pPr>
    <w:rPr>
      <w:u w:val="single"/>
    </w:rPr>
  </w:style>
  <w:style w:type="paragraph" w:styleId="Titre7">
    <w:name w:val="heading 7"/>
    <w:basedOn w:val="Normal"/>
    <w:next w:val="Normal"/>
    <w:qFormat/>
    <w:pPr>
      <w:keepNext/>
      <w:jc w:val="right"/>
      <w:outlineLvl w:val="6"/>
    </w:pPr>
    <w:rPr>
      <w:rFonts w:ascii="Univers" w:hAnsi="Univers"/>
      <w:b/>
      <w:sz w:val="28"/>
    </w:rPr>
  </w:style>
  <w:style w:type="paragraph" w:styleId="Titre8">
    <w:name w:val="heading 8"/>
    <w:basedOn w:val="Normal"/>
    <w:next w:val="Normal"/>
    <w:qFormat/>
    <w:pPr>
      <w:keepNext/>
      <w:jc w:val="right"/>
      <w:outlineLvl w:val="7"/>
    </w:pPr>
    <w:rPr>
      <w:rFonts w:ascii="Univers" w:hAnsi="Univers"/>
      <w:b/>
      <w:sz w:val="32"/>
    </w:rPr>
  </w:style>
  <w:style w:type="paragraph" w:styleId="Titre9">
    <w:name w:val="heading 9"/>
    <w:basedOn w:val="Normal"/>
    <w:next w:val="Normal"/>
    <w:qFormat/>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ind w:firstLine="720"/>
      <w:jc w:val="right"/>
    </w:pPr>
  </w:style>
  <w:style w:type="paragraph" w:customStyle="1" w:styleId="Para1">
    <w:name w:val="Para1"/>
    <w:basedOn w:val="Normal"/>
    <w:rsid w:val="00F13DC0"/>
    <w:pPr>
      <w:numPr>
        <w:numId w:val="2"/>
      </w:numPr>
      <w:spacing w:before="120" w:after="120"/>
    </w:pPr>
    <w:rPr>
      <w:snapToGrid w:val="0"/>
      <w:szCs w:val="18"/>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pPr>
      <w:keepLines/>
      <w:spacing w:after="60"/>
      <w:ind w:firstLine="720"/>
    </w:pPr>
    <w:rPr>
      <w:sz w:val="18"/>
    </w:rPr>
  </w:style>
  <w:style w:type="paragraph" w:styleId="Corpsdetexte">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Titre2"/>
    <w:qFormat/>
    <w:rsid w:val="006507F2"/>
  </w:style>
  <w:style w:type="character" w:styleId="Marquedecommentaire">
    <w:name w:val="annotation reference"/>
    <w:rPr>
      <w:sz w:val="16"/>
    </w:rPr>
  </w:style>
  <w:style w:type="paragraph" w:styleId="Commentaire">
    <w:name w:val="annotation text"/>
    <w:basedOn w:val="Normal"/>
    <w:link w:val="CommentaireCar"/>
    <w:pPr>
      <w:spacing w:after="120" w:line="240" w:lineRule="exact"/>
    </w:p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uiPriority w:val="99"/>
    <w:qFormat/>
    <w:rPr>
      <w:sz w:val="18"/>
      <w:u w:val="single"/>
      <w:vertAlign w:val="baseline"/>
    </w:rPr>
  </w:style>
  <w:style w:type="paragraph" w:styleId="Retraitcorpsdetexte">
    <w:name w:val="Body Text Indent"/>
    <w:basedOn w:val="Normal"/>
    <w:pPr>
      <w:spacing w:before="120" w:after="120"/>
      <w:ind w:left="1440" w:hanging="720"/>
      <w:jc w:val="left"/>
    </w:pPr>
  </w:style>
  <w:style w:type="character" w:styleId="Numrodepage">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Titre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Titre2"/>
    <w:qFormat/>
    <w:rsid w:val="000F63AB"/>
    <w:pPr>
      <w:jc w:val="left"/>
      <w:outlineLvl w:val="9"/>
    </w:pPr>
  </w:style>
  <w:style w:type="paragraph" w:styleId="TitreTR">
    <w:name w:val="toa heading"/>
    <w:basedOn w:val="Normal"/>
    <w:next w:val="Normal"/>
    <w:semiHidden/>
    <w:pPr>
      <w:spacing w:before="120"/>
    </w:pPr>
    <w:rPr>
      <w:rFonts w:cs="Arial"/>
      <w:b/>
      <w:bCs/>
      <w:sz w:val="24"/>
    </w:rPr>
  </w:style>
  <w:style w:type="paragraph" w:styleId="TM9">
    <w:name w:val="toc 9"/>
    <w:basedOn w:val="Normal"/>
    <w:next w:val="Normal"/>
    <w:autoRedefine/>
    <w:semiHidden/>
    <w:pPr>
      <w:spacing w:before="120" w:after="120"/>
      <w:ind w:left="1760"/>
      <w:jc w:val="left"/>
    </w:pPr>
  </w:style>
  <w:style w:type="paragraph" w:styleId="TM1">
    <w:name w:val="toc 1"/>
    <w:basedOn w:val="Normal"/>
    <w:next w:val="Normal"/>
    <w:autoRedefine/>
    <w:semiHidden/>
    <w:pPr>
      <w:ind w:left="720" w:hanging="720"/>
    </w:pPr>
    <w:rPr>
      <w:caps/>
    </w:rPr>
  </w:style>
  <w:style w:type="paragraph" w:styleId="TM2">
    <w:name w:val="toc 2"/>
    <w:basedOn w:val="Normal"/>
    <w:next w:val="Normal"/>
    <w:autoRedefine/>
    <w:semiHidden/>
    <w:pPr>
      <w:tabs>
        <w:tab w:val="right" w:leader="dot" w:pos="9356"/>
      </w:tabs>
      <w:ind w:left="1440" w:hanging="720"/>
    </w:pPr>
    <w:rPr>
      <w:noProof/>
      <w:szCs w:val="22"/>
    </w:rPr>
  </w:style>
  <w:style w:type="paragraph" w:styleId="TM3">
    <w:name w:val="toc 3"/>
    <w:basedOn w:val="Normal"/>
    <w:next w:val="Normal"/>
    <w:autoRedefine/>
    <w:semiHidden/>
    <w:pPr>
      <w:ind w:left="2160" w:hanging="720"/>
    </w:pPr>
  </w:style>
  <w:style w:type="paragraph" w:styleId="TM4">
    <w:name w:val="toc 4"/>
    <w:basedOn w:val="Normal"/>
    <w:next w:val="Normal"/>
    <w:autoRedefine/>
    <w:semiHidden/>
    <w:pPr>
      <w:spacing w:before="120" w:after="120"/>
      <w:ind w:left="660"/>
      <w:jc w:val="left"/>
    </w:pPr>
  </w:style>
  <w:style w:type="paragraph" w:styleId="TM5">
    <w:name w:val="toc 5"/>
    <w:basedOn w:val="Normal"/>
    <w:next w:val="Normal"/>
    <w:autoRedefine/>
    <w:semiHidden/>
    <w:pPr>
      <w:spacing w:before="120" w:after="120"/>
      <w:ind w:left="880"/>
      <w:jc w:val="left"/>
    </w:pPr>
  </w:style>
  <w:style w:type="paragraph" w:styleId="TM6">
    <w:name w:val="toc 6"/>
    <w:basedOn w:val="Normal"/>
    <w:next w:val="Normal"/>
    <w:autoRedefine/>
    <w:semiHidden/>
    <w:pPr>
      <w:spacing w:before="120" w:after="120"/>
      <w:ind w:left="1100"/>
      <w:jc w:val="left"/>
    </w:pPr>
  </w:style>
  <w:style w:type="paragraph" w:styleId="TM7">
    <w:name w:val="toc 7"/>
    <w:basedOn w:val="Normal"/>
    <w:next w:val="Normal"/>
    <w:autoRedefine/>
    <w:semiHidden/>
    <w:pPr>
      <w:spacing w:before="120" w:after="120"/>
      <w:ind w:left="1320"/>
      <w:jc w:val="left"/>
    </w:pPr>
  </w:style>
  <w:style w:type="paragraph" w:styleId="TM8">
    <w:name w:val="toc 8"/>
    <w:basedOn w:val="Normal"/>
    <w:next w:val="Normal"/>
    <w:autoRedefine/>
    <w:semiHidden/>
    <w:pPr>
      <w:spacing w:before="120" w:after="120"/>
      <w:ind w:left="1540"/>
      <w:jc w:val="left"/>
    </w:pPr>
  </w:style>
  <w:style w:type="paragraph" w:customStyle="1" w:styleId="reference">
    <w:name w:val="reference"/>
    <w:basedOn w:val="Titre9"/>
    <w:qFormat/>
    <w:rsid w:val="000F63AB"/>
    <w:rPr>
      <w:i w:val="0"/>
      <w:sz w:val="18"/>
    </w:rPr>
  </w:style>
  <w:style w:type="character" w:styleId="Lienhypertextesuivivisit">
    <w:name w:val="FollowedHyperlink"/>
    <w:rPr>
      <w:color w:val="800080"/>
      <w:u w:val="single"/>
    </w:rPr>
  </w:style>
  <w:style w:type="paragraph" w:customStyle="1" w:styleId="Style1">
    <w:name w:val="Style1"/>
    <w:basedOn w:val="Titre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Lienhypertexte">
    <w:name w:val="Hyperlink"/>
    <w:unhideWhenUsed/>
    <w:rsid w:val="00406BC6"/>
    <w:rPr>
      <w:color w:val="0000FF"/>
      <w:u w:val="single"/>
    </w:rPr>
  </w:style>
  <w:style w:type="character" w:styleId="Appeldenotedefin">
    <w:name w:val="endnote reference"/>
    <w:semiHidden/>
    <w:rPr>
      <w:vertAlign w:val="superscript"/>
    </w:rPr>
  </w:style>
  <w:style w:type="paragraph" w:styleId="Notedefin">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Titre1"/>
    <w:pPr>
      <w:ind w:left="1843" w:hanging="1134"/>
      <w:jc w:val="left"/>
    </w:pPr>
  </w:style>
  <w:style w:type="paragraph" w:customStyle="1" w:styleId="Heading1multiline">
    <w:name w:val="Heading 1 (multiline)"/>
    <w:basedOn w:val="Titre1"/>
    <w:pPr>
      <w:ind w:left="1843" w:right="996" w:hanging="567"/>
      <w:jc w:val="left"/>
    </w:pPr>
  </w:style>
  <w:style w:type="paragraph" w:customStyle="1" w:styleId="Heading2multiline">
    <w:name w:val="Heading 2 (multiline)"/>
    <w:basedOn w:val="Titre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Titre3"/>
    <w:next w:val="Para1"/>
    <w:pPr>
      <w:ind w:left="1418" w:hanging="425"/>
      <w:jc w:val="left"/>
    </w:pPr>
  </w:style>
  <w:style w:type="paragraph" w:customStyle="1" w:styleId="heading2notforTOC">
    <w:name w:val="heading 2 not for TOC"/>
    <w:basedOn w:val="Titre3"/>
    <w:rsid w:val="00A71706"/>
  </w:style>
  <w:style w:type="paragraph" w:customStyle="1" w:styleId="HEADINGNOTFORTOC">
    <w:name w:val="HEADING (NOT FOR TOC)"/>
    <w:basedOn w:val="Titre1"/>
    <w:next w:val="Titre2"/>
    <w:rsid w:val="00BB5903"/>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Textedebulles">
    <w:name w:val="Balloon Text"/>
    <w:basedOn w:val="Normal"/>
    <w:link w:val="TextedebullesCar"/>
    <w:semiHidden/>
    <w:unhideWhenUsed/>
    <w:rsid w:val="00406BC6"/>
    <w:rPr>
      <w:rFonts w:ascii="Tahoma" w:hAnsi="Tahoma" w:cs="Tahoma"/>
      <w:sz w:val="16"/>
      <w:szCs w:val="16"/>
    </w:rPr>
  </w:style>
  <w:style w:type="character" w:customStyle="1" w:styleId="TextedebullesCar">
    <w:name w:val="Texte de bulles Car"/>
    <w:link w:val="Textedebulles"/>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Objetducommentaire">
    <w:name w:val="annotation subject"/>
    <w:basedOn w:val="Commentaire"/>
    <w:next w:val="Commentaire"/>
    <w:link w:val="ObjetducommentaireCar"/>
    <w:unhideWhenUsed/>
    <w:rsid w:val="00D9537D"/>
    <w:pPr>
      <w:spacing w:after="0" w:line="240" w:lineRule="auto"/>
    </w:pPr>
    <w:rPr>
      <w:b/>
      <w:bCs/>
      <w:sz w:val="20"/>
      <w:szCs w:val="20"/>
    </w:rPr>
  </w:style>
  <w:style w:type="character" w:customStyle="1" w:styleId="CommentaireCar">
    <w:name w:val="Commentaire Car"/>
    <w:link w:val="Commentaire"/>
    <w:rsid w:val="00D9537D"/>
    <w:rPr>
      <w:sz w:val="22"/>
      <w:szCs w:val="24"/>
      <w:lang w:val="en-GB"/>
    </w:rPr>
  </w:style>
  <w:style w:type="character" w:customStyle="1" w:styleId="ObjetducommentaireCar">
    <w:name w:val="Objet du commentaire Car"/>
    <w:link w:val="Objetducommentaire"/>
    <w:rsid w:val="00D9537D"/>
    <w:rPr>
      <w:b/>
      <w:bCs/>
      <w:sz w:val="22"/>
      <w:szCs w:val="24"/>
      <w:lang w:val="en-GB"/>
    </w:rPr>
  </w:style>
  <w:style w:type="paragraph" w:styleId="Rvision">
    <w:name w:val="Revision"/>
    <w:hidden/>
    <w:uiPriority w:val="99"/>
    <w:semiHidden/>
    <w:rsid w:val="00D9537D"/>
    <w:rPr>
      <w:sz w:val="22"/>
      <w:szCs w:val="24"/>
      <w:lang w:val="en-GB"/>
    </w:rPr>
  </w:style>
  <w:style w:type="character" w:styleId="Textedelespacerserv">
    <w:name w:val="Placeholder Text"/>
    <w:basedOn w:val="Policepardfaut"/>
    <w:uiPriority w:val="67"/>
    <w:rsid w:val="00073708"/>
    <w:rPr>
      <w:color w:val="808080"/>
    </w:rPr>
  </w:style>
  <w:style w:type="paragraph" w:styleId="Paragraphedeliste">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Grilledutableau">
    <w:name w:val="Table Grid"/>
    <w:basedOn w:val="Tableau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autoRedefine/>
    <w:rsid w:val="00742F79"/>
    <w:rPr>
      <w:rFonts w:ascii="Lucida Sans Unicode" w:hAnsi="Lucida Sans Unicode" w:cs="Angsana New"/>
      <w:noProof/>
      <w:color w:val="0000FF"/>
      <w:lang w:val="en-US"/>
    </w:rPr>
  </w:style>
  <w:style w:type="paragraph" w:customStyle="1" w:styleId="bodytextnoindent">
    <w:name w:val="body text (no indent)"/>
    <w:basedOn w:val="Normal"/>
    <w:rsid w:val="00742F79"/>
    <w:pPr>
      <w:widowControl w:val="0"/>
      <w:overflowPunct w:val="0"/>
      <w:autoSpaceDE w:val="0"/>
      <w:autoSpaceDN w:val="0"/>
      <w:adjustRightInd w:val="0"/>
      <w:spacing w:before="120" w:after="120"/>
      <w:textAlignment w:val="baseline"/>
    </w:pPr>
    <w:rPr>
      <w:rFonts w:cs="Angsana New"/>
      <w:szCs w:val="20"/>
      <w:lang w:eastAsia="de-DE"/>
    </w:rPr>
  </w:style>
  <w:style w:type="paragraph" w:styleId="Corpsdetexte2">
    <w:name w:val="Body Text 2"/>
    <w:basedOn w:val="Normal"/>
    <w:link w:val="Corpsdetexte2Car"/>
    <w:rsid w:val="00742F79"/>
    <w:rPr>
      <w:rFonts w:cs="Angsana New"/>
      <w:i/>
      <w:iCs/>
    </w:rPr>
  </w:style>
  <w:style w:type="character" w:customStyle="1" w:styleId="Corpsdetexte2Car">
    <w:name w:val="Corps de texte 2 Car"/>
    <w:basedOn w:val="Policepardfaut"/>
    <w:link w:val="Corpsdetexte2"/>
    <w:rsid w:val="00742F79"/>
    <w:rPr>
      <w:rFonts w:cs="Angsana New"/>
      <w:i/>
      <w:iCs/>
      <w:sz w:val="22"/>
      <w:szCs w:val="24"/>
      <w:lang w:val="en-GB"/>
    </w:rPr>
  </w:style>
  <w:style w:type="paragraph" w:styleId="Corpsdetexte3">
    <w:name w:val="Body Text 3"/>
    <w:basedOn w:val="Normal"/>
    <w:link w:val="Corpsdetexte3Car"/>
    <w:rsid w:val="00742F79"/>
    <w:pPr>
      <w:jc w:val="center"/>
    </w:pPr>
    <w:rPr>
      <w:rFonts w:cs="Angsana New"/>
      <w:sz w:val="28"/>
    </w:rPr>
  </w:style>
  <w:style w:type="character" w:customStyle="1" w:styleId="Corpsdetexte3Car">
    <w:name w:val="Corps de texte 3 Car"/>
    <w:basedOn w:val="Policepardfaut"/>
    <w:link w:val="Corpsdetexte3"/>
    <w:rsid w:val="00742F79"/>
    <w:rPr>
      <w:rFonts w:cs="Angsana New"/>
      <w:sz w:val="28"/>
      <w:szCs w:val="24"/>
      <w:lang w:val="en-GB"/>
    </w:rPr>
  </w:style>
  <w:style w:type="character" w:customStyle="1" w:styleId="BodyTextChar">
    <w:name w:val="Body Text Char"/>
    <w:rsid w:val="00742F79"/>
    <w:rPr>
      <w:iCs/>
      <w:sz w:val="22"/>
      <w:szCs w:val="24"/>
      <w:lang w:val="en-GB" w:eastAsia="en-US" w:bidi="ar-SA"/>
    </w:rPr>
  </w:style>
  <w:style w:type="paragraph" w:styleId="Retraitcorpsdetexte2">
    <w:name w:val="Body Text Indent 2"/>
    <w:basedOn w:val="Normal"/>
    <w:link w:val="Retraitcorpsdetexte2Car"/>
    <w:rsid w:val="00742F79"/>
    <w:pPr>
      <w:ind w:firstLine="720"/>
    </w:pPr>
    <w:rPr>
      <w:rFonts w:cs="Angsana New"/>
    </w:rPr>
  </w:style>
  <w:style w:type="character" w:customStyle="1" w:styleId="Retraitcorpsdetexte2Car">
    <w:name w:val="Retrait corps de texte 2 Car"/>
    <w:basedOn w:val="Policepardfaut"/>
    <w:link w:val="Retraitcorpsdetexte2"/>
    <w:rsid w:val="00742F79"/>
    <w:rPr>
      <w:rFonts w:cs="Angsana New"/>
      <w:sz w:val="22"/>
      <w:szCs w:val="24"/>
      <w:lang w:val="en-GB"/>
    </w:rPr>
  </w:style>
  <w:style w:type="paragraph" w:customStyle="1" w:styleId="Bodytextitalic">
    <w:name w:val="Body text italic"/>
    <w:basedOn w:val="Corpsdetexte"/>
    <w:rsid w:val="00742F79"/>
    <w:rPr>
      <w:rFonts w:cs="Angsana New"/>
      <w:i/>
      <w:iCs w:val="0"/>
    </w:rPr>
  </w:style>
  <w:style w:type="paragraph" w:customStyle="1" w:styleId="boxbody">
    <w:name w:val="boxbody"/>
    <w:basedOn w:val="Normal"/>
    <w:rsid w:val="00742F79"/>
    <w:pPr>
      <w:spacing w:before="100" w:beforeAutospacing="1" w:after="100" w:afterAutospacing="1"/>
      <w:ind w:left="612" w:right="612"/>
    </w:pPr>
    <w:rPr>
      <w:rFonts w:ascii="Helvetica" w:eastAsia="Arial Unicode MS" w:hAnsi="Helvetica" w:cs="Arial Unicode MS"/>
      <w:sz w:val="18"/>
      <w:szCs w:val="18"/>
    </w:rPr>
  </w:style>
  <w:style w:type="paragraph" w:customStyle="1" w:styleId="Heading-plain">
    <w:name w:val="Heading - plain"/>
    <w:basedOn w:val="Titre2"/>
    <w:next w:val="Corpsdetexte"/>
    <w:rsid w:val="00742F79"/>
    <w:pPr>
      <w:tabs>
        <w:tab w:val="clear" w:pos="720"/>
        <w:tab w:val="left" w:pos="900"/>
      </w:tabs>
    </w:pPr>
    <w:rPr>
      <w:rFonts w:eastAsia="Batang"/>
      <w:b w:val="0"/>
      <w:bCs w:val="0"/>
      <w:szCs w:val="20"/>
    </w:rPr>
  </w:style>
  <w:style w:type="paragraph" w:customStyle="1" w:styleId="Heading2noletter">
    <w:name w:val="Heading 2 (no letter)"/>
    <w:basedOn w:val="Titre2"/>
    <w:rsid w:val="00742F79"/>
    <w:pPr>
      <w:tabs>
        <w:tab w:val="clear" w:pos="720"/>
      </w:tabs>
    </w:pPr>
  </w:style>
  <w:style w:type="character" w:customStyle="1" w:styleId="Heading2CharChar">
    <w:name w:val="Heading 2 Char Char"/>
    <w:rsid w:val="00742F79"/>
    <w:rPr>
      <w:rFonts w:ascii="Arial" w:hAnsi="Arial" w:cs="Arial"/>
      <w:b/>
      <w:bCs/>
      <w:i/>
      <w:iCs/>
      <w:noProof w:val="0"/>
      <w:sz w:val="28"/>
      <w:szCs w:val="28"/>
      <w:lang w:val="en-US" w:eastAsia="en-US" w:bidi="ar-SA"/>
    </w:rPr>
  </w:style>
  <w:style w:type="paragraph" w:customStyle="1" w:styleId="Heading-plain0">
    <w:name w:val="Heading-plain"/>
    <w:basedOn w:val="Normal"/>
    <w:rsid w:val="00742F79"/>
    <w:pPr>
      <w:spacing w:before="120" w:after="120"/>
      <w:jc w:val="center"/>
      <w:outlineLvl w:val="0"/>
    </w:pPr>
    <w:rPr>
      <w:rFonts w:cs="Angsana New"/>
      <w:i/>
      <w:szCs w:val="20"/>
    </w:rPr>
  </w:style>
  <w:style w:type="paragraph" w:customStyle="1" w:styleId="Heading-plainbold">
    <w:name w:val="Heading-plain bold"/>
    <w:basedOn w:val="Corpsdetexte"/>
    <w:rsid w:val="00742F79"/>
    <w:pPr>
      <w:ind w:firstLine="0"/>
      <w:jc w:val="center"/>
    </w:pPr>
    <w:rPr>
      <w:rFonts w:cs="Angsana New"/>
      <w:b/>
      <w:bCs/>
      <w:i/>
      <w:iCs w:val="0"/>
    </w:rPr>
  </w:style>
  <w:style w:type="paragraph" w:customStyle="1" w:styleId="Heading-plainitalic">
    <w:name w:val="Heading-plain italic"/>
    <w:basedOn w:val="Heading-plainbold"/>
    <w:rsid w:val="00742F79"/>
    <w:rPr>
      <w:b w:val="0"/>
      <w:bCs w:val="0"/>
    </w:rPr>
  </w:style>
  <w:style w:type="paragraph" w:styleId="NormalWeb">
    <w:name w:val="Normal (Web)"/>
    <w:basedOn w:val="Normal"/>
    <w:uiPriority w:val="99"/>
    <w:rsid w:val="00742F79"/>
    <w:pPr>
      <w:spacing w:before="100" w:beforeAutospacing="1" w:after="100" w:afterAutospacing="1"/>
      <w:jc w:val="left"/>
    </w:pPr>
    <w:rPr>
      <w:rFonts w:ascii="Verdana" w:hAnsi="Verdana" w:cs="Angsana New"/>
      <w:color w:val="000000"/>
      <w:sz w:val="18"/>
      <w:szCs w:val="18"/>
      <w:lang w:val="en-US"/>
    </w:rPr>
  </w:style>
  <w:style w:type="paragraph" w:customStyle="1" w:styleId="Para10">
    <w:name w:val="Para 1"/>
    <w:basedOn w:val="Corpsdetexte"/>
    <w:rsid w:val="00742F79"/>
    <w:pPr>
      <w:ind w:firstLine="0"/>
    </w:pPr>
    <w:rPr>
      <w:rFonts w:eastAsia="MS Mincho" w:cs="Angsana New"/>
      <w:bCs/>
      <w:iCs w:val="0"/>
      <w:szCs w:val="22"/>
    </w:rPr>
  </w:style>
  <w:style w:type="character" w:customStyle="1" w:styleId="Para1Char">
    <w:name w:val="Para 1 Char"/>
    <w:rsid w:val="00742F79"/>
    <w:rPr>
      <w:rFonts w:eastAsia="MS Mincho"/>
      <w:bCs/>
      <w:iCs/>
      <w:sz w:val="22"/>
      <w:szCs w:val="22"/>
      <w:lang w:val="en-GB" w:eastAsia="en-US" w:bidi="ar-SA"/>
    </w:rPr>
  </w:style>
  <w:style w:type="character" w:customStyle="1" w:styleId="FootnoteCharacters">
    <w:name w:val="Footnote Characters"/>
    <w:rsid w:val="00742F79"/>
    <w:rPr>
      <w:position w:val="0"/>
      <w:sz w:val="18"/>
      <w:u w:val="single"/>
      <w:vertAlign w:val="baseline"/>
    </w:rPr>
  </w:style>
  <w:style w:type="paragraph" w:customStyle="1" w:styleId="Paraofficial">
    <w:name w:val="Para official"/>
    <w:basedOn w:val="Normal"/>
    <w:rsid w:val="00742F79"/>
    <w:pPr>
      <w:framePr w:hSpace="187" w:vSpace="187" w:wrap="notBeside" w:vAnchor="text" w:hAnchor="text" w:y="1"/>
      <w:numPr>
        <w:numId w:val="6"/>
      </w:numPr>
      <w:spacing w:before="240" w:after="240"/>
      <w:jc w:val="left"/>
    </w:pPr>
    <w:rPr>
      <w:rFonts w:cs="Angsana New"/>
      <w:szCs w:val="20"/>
    </w:rPr>
  </w:style>
  <w:style w:type="paragraph" w:customStyle="1" w:styleId="Para1Char0">
    <w:name w:val="Para1 Char"/>
    <w:basedOn w:val="Normal"/>
    <w:rsid w:val="00742F79"/>
    <w:pPr>
      <w:tabs>
        <w:tab w:val="num" w:pos="720"/>
      </w:tabs>
      <w:spacing w:before="120" w:after="120"/>
      <w:ind w:left="360"/>
    </w:pPr>
    <w:rPr>
      <w:rFonts w:cs="Angsana New"/>
      <w:snapToGrid w:val="0"/>
      <w:szCs w:val="18"/>
    </w:rPr>
  </w:style>
  <w:style w:type="paragraph" w:customStyle="1" w:styleId="Para1-Annex">
    <w:name w:val="Para1-Annex"/>
    <w:basedOn w:val="Normal"/>
    <w:rsid w:val="00742F79"/>
    <w:pPr>
      <w:tabs>
        <w:tab w:val="num" w:pos="360"/>
      </w:tabs>
      <w:spacing w:after="120"/>
    </w:pPr>
    <w:rPr>
      <w:szCs w:val="22"/>
      <w:lang w:val="en-US"/>
    </w:rPr>
  </w:style>
  <w:style w:type="paragraph" w:customStyle="1" w:styleId="para20">
    <w:name w:val="para2"/>
    <w:basedOn w:val="para2a"/>
    <w:rsid w:val="00742F79"/>
  </w:style>
  <w:style w:type="paragraph" w:customStyle="1" w:styleId="Para40">
    <w:name w:val="Para4"/>
    <w:basedOn w:val="Para3"/>
    <w:rsid w:val="00742F79"/>
    <w:pPr>
      <w:numPr>
        <w:ilvl w:val="0"/>
        <w:numId w:val="0"/>
      </w:numPr>
      <w:tabs>
        <w:tab w:val="clear" w:pos="1980"/>
        <w:tab w:val="left" w:pos="2552"/>
        <w:tab w:val="num" w:pos="3540"/>
      </w:tabs>
      <w:ind w:left="2552" w:hanging="567"/>
    </w:pPr>
    <w:rPr>
      <w:rFonts w:cs="Angsana New"/>
      <w:lang w:val="en-US"/>
    </w:rPr>
  </w:style>
  <w:style w:type="paragraph" w:customStyle="1" w:styleId="Paranum">
    <w:name w:val="Paranum"/>
    <w:basedOn w:val="Normal"/>
    <w:rsid w:val="00742F79"/>
    <w:pPr>
      <w:tabs>
        <w:tab w:val="num" w:pos="360"/>
      </w:tabs>
      <w:spacing w:after="120" w:line="240" w:lineRule="exact"/>
    </w:pPr>
    <w:rPr>
      <w:rFonts w:cs="Angsana New"/>
      <w:szCs w:val="20"/>
      <w:lang w:val="en-US"/>
    </w:rPr>
  </w:style>
  <w:style w:type="character" w:styleId="lev">
    <w:name w:val="Strong"/>
    <w:uiPriority w:val="22"/>
    <w:qFormat/>
    <w:rsid w:val="00742F79"/>
    <w:rPr>
      <w:b/>
      <w:bCs/>
    </w:rPr>
  </w:style>
  <w:style w:type="paragraph" w:customStyle="1" w:styleId="StyleBodyTextTimesNewRoman11ptCharChar">
    <w:name w:val="Style Body Text + Times New Roman 11 pt Char Char"/>
    <w:basedOn w:val="Corpsdetexte"/>
    <w:rsid w:val="00742F79"/>
    <w:rPr>
      <w:rFonts w:cs="Angsana New"/>
      <w:iCs w:val="0"/>
      <w:snapToGrid w:val="0"/>
      <w:color w:val="000000"/>
      <w:szCs w:val="22"/>
      <w:lang w:val="en-US"/>
    </w:rPr>
  </w:style>
  <w:style w:type="character" w:customStyle="1" w:styleId="StyleBodyTextTimesNewRoman11ptCharCharChar">
    <w:name w:val="Style Body Text + Times New Roman 11 pt Char Char Char"/>
    <w:rsid w:val="00742F79"/>
    <w:rPr>
      <w:rFonts w:cs="Angsana New"/>
      <w:iCs/>
      <w:snapToGrid w:val="0"/>
      <w:color w:val="000000"/>
      <w:sz w:val="22"/>
      <w:szCs w:val="22"/>
      <w:lang w:val="en-US" w:eastAsia="en-US" w:bidi="ar-SA"/>
    </w:rPr>
  </w:style>
  <w:style w:type="paragraph" w:customStyle="1" w:styleId="StylePara1Firstline127cm">
    <w:name w:val="Style Para1 + First line:  1.27 cm"/>
    <w:basedOn w:val="Normal"/>
    <w:rsid w:val="00742F79"/>
    <w:pPr>
      <w:tabs>
        <w:tab w:val="num" w:pos="360"/>
      </w:tabs>
      <w:spacing w:after="120"/>
    </w:pPr>
    <w:rPr>
      <w:rFonts w:cs="Angsana New"/>
      <w:snapToGrid w:val="0"/>
      <w:szCs w:val="20"/>
    </w:rPr>
  </w:style>
  <w:style w:type="paragraph" w:customStyle="1" w:styleId="StylePara1Italic">
    <w:name w:val="Style Para1 + Italic"/>
    <w:basedOn w:val="Normal"/>
    <w:rsid w:val="00742F79"/>
    <w:pPr>
      <w:spacing w:before="120" w:after="120"/>
    </w:pPr>
    <w:rPr>
      <w:i/>
      <w:iCs/>
      <w:snapToGrid w:val="0"/>
      <w:szCs w:val="18"/>
    </w:rPr>
  </w:style>
  <w:style w:type="paragraph" w:styleId="Titre">
    <w:name w:val="Title"/>
    <w:basedOn w:val="Normal"/>
    <w:link w:val="TitreCar"/>
    <w:qFormat/>
    <w:rsid w:val="00742F79"/>
    <w:pPr>
      <w:jc w:val="center"/>
    </w:pPr>
    <w:rPr>
      <w:rFonts w:cs="Angsana New"/>
      <w:i/>
      <w:iCs/>
    </w:rPr>
  </w:style>
  <w:style w:type="character" w:customStyle="1" w:styleId="TitreCar">
    <w:name w:val="Titre Car"/>
    <w:basedOn w:val="Policepardfaut"/>
    <w:link w:val="Titre"/>
    <w:rsid w:val="00742F79"/>
    <w:rPr>
      <w:rFonts w:cs="Angsana New"/>
      <w:i/>
      <w:iCs/>
      <w:sz w:val="22"/>
      <w:szCs w:val="24"/>
      <w:lang w:val="en-GB"/>
    </w:rPr>
  </w:style>
  <w:style w:type="paragraph" w:customStyle="1" w:styleId="para2a">
    <w:name w:val="para 2 (a)"/>
    <w:basedOn w:val="Normal"/>
    <w:qFormat/>
    <w:rsid w:val="00742F79"/>
    <w:pPr>
      <w:spacing w:after="120"/>
      <w:ind w:firstLine="763"/>
    </w:pPr>
    <w:rPr>
      <w:rFonts w:eastAsia="MS Mincho" w:cs="Angsana New"/>
      <w:snapToGrid w:val="0"/>
      <w:szCs w:val="18"/>
    </w:rPr>
  </w:style>
  <w:style w:type="paragraph" w:customStyle="1" w:styleId="Default">
    <w:name w:val="Default"/>
    <w:rsid w:val="00742F79"/>
    <w:pPr>
      <w:autoSpaceDE w:val="0"/>
      <w:autoSpaceDN w:val="0"/>
      <w:adjustRightInd w:val="0"/>
    </w:pPr>
    <w:rPr>
      <w:color w:val="000000"/>
      <w:sz w:val="24"/>
      <w:szCs w:val="24"/>
      <w:lang w:val="en-US"/>
    </w:rPr>
  </w:style>
  <w:style w:type="paragraph" w:customStyle="1" w:styleId="Pa6">
    <w:name w:val="Pa6"/>
    <w:basedOn w:val="Default"/>
    <w:next w:val="Default"/>
    <w:uiPriority w:val="99"/>
    <w:rsid w:val="00742F79"/>
    <w:pPr>
      <w:spacing w:line="201" w:lineRule="atLeast"/>
    </w:pPr>
    <w:rPr>
      <w:rFonts w:ascii="Minion Pro" w:hAnsi="Minion Pro"/>
      <w:color w:val="auto"/>
    </w:rPr>
  </w:style>
  <w:style w:type="character" w:customStyle="1" w:styleId="A6">
    <w:name w:val="A6"/>
    <w:uiPriority w:val="99"/>
    <w:rsid w:val="00742F79"/>
    <w:rPr>
      <w:rFonts w:cs="Minion Pro"/>
      <w:color w:val="000000"/>
      <w:sz w:val="12"/>
      <w:szCs w:val="12"/>
    </w:rPr>
  </w:style>
  <w:style w:type="paragraph" w:customStyle="1" w:styleId="Pa45">
    <w:name w:val="Pa45"/>
    <w:basedOn w:val="Default"/>
    <w:next w:val="Default"/>
    <w:uiPriority w:val="99"/>
    <w:rsid w:val="00742F79"/>
    <w:pPr>
      <w:spacing w:line="191" w:lineRule="atLeast"/>
    </w:pPr>
    <w:rPr>
      <w:rFonts w:ascii="Myriad Roman" w:hAnsi="Myriad Roman"/>
      <w:color w:val="auto"/>
    </w:rPr>
  </w:style>
  <w:style w:type="character" w:customStyle="1" w:styleId="A13">
    <w:name w:val="A13"/>
    <w:uiPriority w:val="99"/>
    <w:rsid w:val="00742F79"/>
    <w:rPr>
      <w:rFonts w:cs="Myriad Roman"/>
      <w:color w:val="000000"/>
      <w:sz w:val="18"/>
      <w:szCs w:val="18"/>
    </w:rPr>
  </w:style>
  <w:style w:type="paragraph" w:customStyle="1" w:styleId="MediumGrid1-Accent21">
    <w:name w:val="Medium Grid 1 - Accent 21"/>
    <w:basedOn w:val="Normal"/>
    <w:rsid w:val="00742F79"/>
    <w:pPr>
      <w:ind w:left="720"/>
      <w:contextualSpacing/>
      <w:jc w:val="left"/>
    </w:pPr>
    <w:rPr>
      <w:rFonts w:ascii="Cambria" w:eastAsia="MS ??" w:hAnsi="Cambria"/>
      <w:sz w:val="24"/>
      <w:lang w:val="en-US" w:eastAsia="ja-JP"/>
    </w:rPr>
  </w:style>
  <w:style w:type="character" w:styleId="Accentuation">
    <w:name w:val="Emphasis"/>
    <w:uiPriority w:val="20"/>
    <w:qFormat/>
    <w:rsid w:val="00742F79"/>
    <w:rPr>
      <w:b/>
      <w:bCs/>
      <w:i w:val="0"/>
      <w:iCs w:val="0"/>
    </w:rPr>
  </w:style>
  <w:style w:type="character" w:customStyle="1" w:styleId="Titre1Car">
    <w:name w:val="Titre 1 Car"/>
    <w:link w:val="Titre1"/>
    <w:uiPriority w:val="9"/>
    <w:rsid w:val="00742F79"/>
    <w:rPr>
      <w:b/>
      <w:caps/>
      <w:sz w:val="22"/>
      <w:szCs w:val="24"/>
      <w:lang w:val="en-GB"/>
    </w:rPr>
  </w:style>
  <w:style w:type="paragraph" w:customStyle="1" w:styleId="ta-response-item-content">
    <w:name w:val="ta-response-item-content"/>
    <w:basedOn w:val="Normal"/>
    <w:rsid w:val="00742F79"/>
    <w:pPr>
      <w:spacing w:before="100" w:beforeAutospacing="1" w:after="100" w:afterAutospacing="1"/>
      <w:jc w:val="left"/>
    </w:pPr>
    <w:rPr>
      <w:sz w:val="24"/>
      <w:lang w:val="en-US"/>
    </w:rPr>
  </w:style>
  <w:style w:type="character" w:customStyle="1" w:styleId="En-tteCar">
    <w:name w:val="En-tête Car"/>
    <w:link w:val="En-tte"/>
    <w:rsid w:val="00742F79"/>
    <w:rPr>
      <w:sz w:val="22"/>
      <w:szCs w:val="24"/>
      <w:lang w:val="en-GB"/>
    </w:rPr>
  </w:style>
  <w:style w:type="paragraph" w:customStyle="1" w:styleId="SingleTxt">
    <w:name w:val="__Single Txt"/>
    <w:basedOn w:val="Normal"/>
    <w:rsid w:val="00911B05"/>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pPr>
    <w:rPr>
      <w:spacing w:val="4"/>
      <w:w w:val="103"/>
      <w:kern w:val="14"/>
      <w:sz w:val="20"/>
      <w:szCs w:val="20"/>
    </w:rPr>
  </w:style>
  <w:style w:type="character" w:customStyle="1" w:styleId="UnresolvedMention1">
    <w:name w:val="Unresolved Mention1"/>
    <w:basedOn w:val="Policepardfaut"/>
    <w:uiPriority w:val="99"/>
    <w:semiHidden/>
    <w:unhideWhenUsed/>
    <w:rsid w:val="003E2881"/>
    <w:rPr>
      <w:color w:val="808080"/>
      <w:shd w:val="clear" w:color="auto" w:fill="E6E6E6"/>
    </w:rPr>
  </w:style>
  <w:style w:type="paragraph" w:customStyle="1" w:styleId="StylePara1HeadingsCSTimesNewRomanKernat11pt">
    <w:name w:val="Style Para1 + +Headings CS (Times New Roman) Kern at 11 pt"/>
    <w:basedOn w:val="Para1"/>
    <w:rsid w:val="008B79E4"/>
    <w:pPr>
      <w:tabs>
        <w:tab w:val="clear" w:pos="360"/>
      </w:tabs>
    </w:pPr>
    <w:rPr>
      <w:rFonts w:asciiTheme="majorBidi" w:hAnsiTheme="majorBidi"/>
      <w:kern w:val="22"/>
    </w:rPr>
  </w:style>
  <w:style w:type="character" w:customStyle="1" w:styleId="UnresolvedMention">
    <w:name w:val="Unresolved Mention"/>
    <w:basedOn w:val="Policepardfaut"/>
    <w:uiPriority w:val="99"/>
    <w:semiHidden/>
    <w:unhideWhenUsed/>
    <w:rsid w:val="00462E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11649">
      <w:bodyDiv w:val="1"/>
      <w:marLeft w:val="0"/>
      <w:marRight w:val="0"/>
      <w:marTop w:val="0"/>
      <w:marBottom w:val="0"/>
      <w:divBdr>
        <w:top w:val="none" w:sz="0" w:space="0" w:color="auto"/>
        <w:left w:val="none" w:sz="0" w:space="0" w:color="auto"/>
        <w:bottom w:val="none" w:sz="0" w:space="0" w:color="auto"/>
        <w:right w:val="none" w:sz="0" w:space="0" w:color="auto"/>
      </w:divBdr>
      <w:divsChild>
        <w:div w:id="239219942">
          <w:marLeft w:val="0"/>
          <w:marRight w:val="0"/>
          <w:marTop w:val="0"/>
          <w:marBottom w:val="0"/>
          <w:divBdr>
            <w:top w:val="none" w:sz="0" w:space="0" w:color="auto"/>
            <w:left w:val="none" w:sz="0" w:space="0" w:color="auto"/>
            <w:bottom w:val="none" w:sz="0" w:space="0" w:color="auto"/>
            <w:right w:val="none" w:sz="0" w:space="0" w:color="auto"/>
          </w:divBdr>
          <w:divsChild>
            <w:div w:id="1867788825">
              <w:marLeft w:val="0"/>
              <w:marRight w:val="0"/>
              <w:marTop w:val="0"/>
              <w:marBottom w:val="0"/>
              <w:divBdr>
                <w:top w:val="none" w:sz="0" w:space="0" w:color="auto"/>
                <w:left w:val="none" w:sz="0" w:space="0" w:color="auto"/>
                <w:bottom w:val="none" w:sz="0" w:space="0" w:color="auto"/>
                <w:right w:val="none" w:sz="0" w:space="0" w:color="auto"/>
              </w:divBdr>
              <w:divsChild>
                <w:div w:id="18361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2887">
      <w:bodyDiv w:val="1"/>
      <w:marLeft w:val="0"/>
      <w:marRight w:val="0"/>
      <w:marTop w:val="0"/>
      <w:marBottom w:val="0"/>
      <w:divBdr>
        <w:top w:val="none" w:sz="0" w:space="0" w:color="auto"/>
        <w:left w:val="none" w:sz="0" w:space="0" w:color="auto"/>
        <w:bottom w:val="none" w:sz="0" w:space="0" w:color="auto"/>
        <w:right w:val="none" w:sz="0" w:space="0" w:color="auto"/>
      </w:divBdr>
    </w:div>
    <w:div w:id="317612760">
      <w:bodyDiv w:val="1"/>
      <w:marLeft w:val="0"/>
      <w:marRight w:val="0"/>
      <w:marTop w:val="0"/>
      <w:marBottom w:val="0"/>
      <w:divBdr>
        <w:top w:val="none" w:sz="0" w:space="0" w:color="auto"/>
        <w:left w:val="none" w:sz="0" w:space="0" w:color="auto"/>
        <w:bottom w:val="none" w:sz="0" w:space="0" w:color="auto"/>
        <w:right w:val="none" w:sz="0" w:space="0" w:color="auto"/>
      </w:divBdr>
    </w:div>
    <w:div w:id="1209995220">
      <w:bodyDiv w:val="1"/>
      <w:marLeft w:val="0"/>
      <w:marRight w:val="0"/>
      <w:marTop w:val="0"/>
      <w:marBottom w:val="0"/>
      <w:divBdr>
        <w:top w:val="none" w:sz="0" w:space="0" w:color="auto"/>
        <w:left w:val="none" w:sz="0" w:space="0" w:color="auto"/>
        <w:bottom w:val="none" w:sz="0" w:space="0" w:color="auto"/>
        <w:right w:val="none" w:sz="0" w:space="0" w:color="auto"/>
      </w:divBdr>
    </w:div>
    <w:div w:id="1540975600">
      <w:bodyDiv w:val="1"/>
      <w:marLeft w:val="0"/>
      <w:marRight w:val="0"/>
      <w:marTop w:val="0"/>
      <w:marBottom w:val="0"/>
      <w:divBdr>
        <w:top w:val="none" w:sz="0" w:space="0" w:color="auto"/>
        <w:left w:val="none" w:sz="0" w:space="0" w:color="auto"/>
        <w:bottom w:val="none" w:sz="0" w:space="0" w:color="auto"/>
        <w:right w:val="none" w:sz="0" w:space="0" w:color="auto"/>
      </w:divBdr>
    </w:div>
    <w:div w:id="1825509314">
      <w:bodyDiv w:val="1"/>
      <w:marLeft w:val="0"/>
      <w:marRight w:val="0"/>
      <w:marTop w:val="0"/>
      <w:marBottom w:val="0"/>
      <w:divBdr>
        <w:top w:val="none" w:sz="0" w:space="0" w:color="auto"/>
        <w:left w:val="none" w:sz="0" w:space="0" w:color="auto"/>
        <w:bottom w:val="none" w:sz="0" w:space="0" w:color="auto"/>
        <w:right w:val="none" w:sz="0" w:space="0" w:color="auto"/>
      </w:divBdr>
    </w:div>
    <w:div w:id="2139033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default.shtml?id=7120" TargetMode="External"/><Relationship Id="rId18" Type="http://schemas.openxmlformats.org/officeDocument/2006/relationships/chart" Target="charts/chart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bd.int/doc/decisions/cop-13/cop-13-dec-32-fr.pdf" TargetMode="External"/><Relationship Id="rId17" Type="http://schemas.openxmlformats.org/officeDocument/2006/relationships/hyperlink" Target="https://www.cbd.int/doc/decisions/cop-09/cop-09-dec-34-f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bd.int/doc/decisions/cop-12/cop-12-dec-32-fr.pdf" TargetMode="External"/><Relationship Id="rId20" Type="http://schemas.openxmlformats.org/officeDocument/2006/relationships/hyperlink" Target="https://www.cbd.int/doc/decisions/cop-09/cop-09-dec-34-f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www.cbd.int/doc/decisions/mop-07/mop-07-dec-07-fr.pdf"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cbd.int/decision/mop/default.shtml?id=8292"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un.org/ga/search/view_doc.asp?symbol=A/RES/70/1&amp;referer=/english/&amp;Lang=F" TargetMode="External"/><Relationship Id="rId7" Type="http://schemas.openxmlformats.org/officeDocument/2006/relationships/hyperlink" Target="https://unfccc.int/sites/default/files/b_2017_1_unfccc_guidelines_for_partnership_final.pdf" TargetMode="External"/><Relationship Id="rId2" Type="http://schemas.openxmlformats.org/officeDocument/2006/relationships/hyperlink" Target="https://www.cbd.int/doc/c/2a4e/4a1b/9aa23008d4af76c6e2cf4de8/sbi-02-16-add1-en.pdf" TargetMode="External"/><Relationship Id="rId1" Type="http://schemas.openxmlformats.org/officeDocument/2006/relationships/hyperlink" Target="https://unfccc.int/es/process-and-meetings/conferences/un-climate-change-conference-november-2017/events-and-schedules/mandated-events/technical-workshop-on-ways-to-increase-the-efficiency-and-transparency-of-the-budget-process" TargetMode="External"/><Relationship Id="rId6" Type="http://schemas.openxmlformats.org/officeDocument/2006/relationships/hyperlink" Target="https://business.un.org/en/documents/5292" TargetMode="External"/><Relationship Id="rId5" Type="http://schemas.openxmlformats.org/officeDocument/2006/relationships/hyperlink" Target="https://www.unglobalcompact.org/what-is-gc/mission/principles" TargetMode="External"/><Relationship Id="rId4" Type="http://schemas.openxmlformats.org/officeDocument/2006/relationships/hyperlink" Target="https://www.unglobalcompac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ne\Documents\Convention%20Diversit&#233;%20biologique\sbi-02-18-editabl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lineChart>
        <c:grouping val="standard"/>
        <c:varyColors val="0"/>
        <c:ser>
          <c:idx val="0"/>
          <c:order val="0"/>
          <c:tx>
            <c:strRef>
              <c:f>Chart!$E$7</c:f>
              <c:strCache>
                <c:ptCount val="1"/>
                <c:pt idx="0">
                  <c:v>Countributions au Fonds BZ (en dollars)</c:v>
                </c:pt>
              </c:strCache>
            </c:strRef>
          </c:tx>
          <c:spPr>
            <a:ln w="28575" cap="rnd">
              <a:solidFill>
                <a:schemeClr val="accent1"/>
              </a:solidFill>
              <a:round/>
            </a:ln>
            <a:effectLst/>
          </c:spPr>
          <c:marker>
            <c:symbol val="none"/>
          </c:marker>
          <c:cat>
            <c:strRef>
              <c:f>Chart!$D$8:$D$17</c:f>
              <c:strCache>
                <c:ptCount val="10"/>
                <c:pt idx="0">
                  <c:v>1997-1998</c:v>
                </c:pt>
                <c:pt idx="1">
                  <c:v>1999-2000</c:v>
                </c:pt>
                <c:pt idx="2">
                  <c:v>2001-2002</c:v>
                </c:pt>
                <c:pt idx="3">
                  <c:v>2003-2004</c:v>
                </c:pt>
                <c:pt idx="4">
                  <c:v>2005-2006</c:v>
                </c:pt>
                <c:pt idx="5">
                  <c:v>2007-2008</c:v>
                </c:pt>
                <c:pt idx="6">
                  <c:v>2009-2010</c:v>
                </c:pt>
                <c:pt idx="7">
                  <c:v>2011-2012</c:v>
                </c:pt>
                <c:pt idx="8">
                  <c:v>2013-2014</c:v>
                </c:pt>
                <c:pt idx="9">
                  <c:v>2015-2016</c:v>
                </c:pt>
              </c:strCache>
            </c:strRef>
          </c:cat>
          <c:val>
            <c:numRef>
              <c:f>Chart!$E$8:$E$17</c:f>
              <c:numCache>
                <c:formatCode>_("$"* #,##0_);_("$"* \(#,##0\);_("$"* "-"??_);_(@_)</c:formatCode>
                <c:ptCount val="10"/>
                <c:pt idx="0">
                  <c:v>2600000</c:v>
                </c:pt>
                <c:pt idx="1">
                  <c:v>1800000</c:v>
                </c:pt>
                <c:pt idx="2">
                  <c:v>1780000</c:v>
                </c:pt>
                <c:pt idx="3">
                  <c:v>1650000</c:v>
                </c:pt>
                <c:pt idx="4">
                  <c:v>2000000</c:v>
                </c:pt>
                <c:pt idx="5">
                  <c:v>2600000</c:v>
                </c:pt>
                <c:pt idx="6">
                  <c:v>3067398</c:v>
                </c:pt>
                <c:pt idx="7">
                  <c:v>2841577</c:v>
                </c:pt>
                <c:pt idx="8">
                  <c:v>1387483</c:v>
                </c:pt>
                <c:pt idx="9" formatCode="_(&quot;$&quot;* #,##0.00_);_(&quot;$&quot;* \(#,##0.00\);_(&quot;$&quot;* &quot;-&quot;??_);_(@_)">
                  <c:v>704454.87</c:v>
                </c:pt>
              </c:numCache>
            </c:numRef>
          </c:val>
          <c:smooth val="0"/>
          <c:extLst xmlns:c16r2="http://schemas.microsoft.com/office/drawing/2015/06/chart">
            <c:ext xmlns:c16="http://schemas.microsoft.com/office/drawing/2014/chart" uri="{C3380CC4-5D6E-409C-BE32-E72D297353CC}">
              <c16:uniqueId val="{00000000-EA5E-4F1B-A006-F93FE501342F}"/>
            </c:ext>
          </c:extLst>
        </c:ser>
        <c:dLbls>
          <c:showLegendKey val="0"/>
          <c:showVal val="0"/>
          <c:showCatName val="0"/>
          <c:showSerName val="0"/>
          <c:showPercent val="0"/>
          <c:showBubbleSize val="0"/>
        </c:dLbls>
        <c:marker val="1"/>
        <c:smooth val="0"/>
        <c:axId val="80711040"/>
        <c:axId val="88519808"/>
      </c:lineChart>
      <c:catAx>
        <c:axId val="8071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8519808"/>
        <c:crosses val="autoZero"/>
        <c:auto val="1"/>
        <c:lblAlgn val="ctr"/>
        <c:lblOffset val="100"/>
        <c:noMultiLvlLbl val="0"/>
      </c:catAx>
      <c:valAx>
        <c:axId val="88519808"/>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0711040"/>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Textedelespacerserv"/>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Textedelespacerserv"/>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Textedelespacerserv"/>
            </w:rPr>
            <w:t>Click here to enter text.</w:t>
          </w:r>
        </w:p>
      </w:docPartBody>
    </w:docPart>
    <w:docPart>
      <w:docPartPr>
        <w:name w:val="8DA05B690E9F4825BB8E1A36EFAAF965"/>
        <w:category>
          <w:name w:val="General"/>
          <w:gallery w:val="placeholder"/>
        </w:category>
        <w:types>
          <w:type w:val="bbPlcHdr"/>
        </w:types>
        <w:behaviors>
          <w:behavior w:val="content"/>
        </w:behaviors>
        <w:guid w:val="{0DAD62DC-5ED6-4E38-B401-A69E09046BF5}"/>
      </w:docPartPr>
      <w:docPartBody>
        <w:p w:rsidR="00111804" w:rsidRDefault="0068730F" w:rsidP="0068730F">
          <w:pPr>
            <w:pStyle w:val="8DA05B690E9F4825BB8E1A36EFAAF965"/>
          </w:pPr>
          <w:r w:rsidRPr="00B903A7">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Minion Pro">
    <w:altName w:val="Cambria"/>
    <w:panose1 w:val="00000000000000000000"/>
    <w:charset w:val="00"/>
    <w:family w:val="roman"/>
    <w:notTrueType/>
    <w:pitch w:val="default"/>
    <w:sig w:usb0="00000003" w:usb1="08070000" w:usb2="00000010" w:usb3="00000000" w:csb0="00020001" w:csb1="00000000"/>
  </w:font>
  <w:font w:name="Myriad Roman">
    <w:altName w:val="Myriad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AGaramondPro-Regular">
    <w:altName w:val="MS Mincho"/>
    <w:panose1 w:val="00000000000000000000"/>
    <w:charset w:val="80"/>
    <w:family w:val="roman"/>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9AF"/>
    <w:rsid w:val="00015BC6"/>
    <w:rsid w:val="000A1E22"/>
    <w:rsid w:val="00111804"/>
    <w:rsid w:val="00133BC4"/>
    <w:rsid w:val="001B29AF"/>
    <w:rsid w:val="002641CC"/>
    <w:rsid w:val="002A77A4"/>
    <w:rsid w:val="002A7ECF"/>
    <w:rsid w:val="002B6FCB"/>
    <w:rsid w:val="0033376B"/>
    <w:rsid w:val="0037757D"/>
    <w:rsid w:val="0044146F"/>
    <w:rsid w:val="004A69EC"/>
    <w:rsid w:val="004C155F"/>
    <w:rsid w:val="004D4A1B"/>
    <w:rsid w:val="005C7555"/>
    <w:rsid w:val="005F40E2"/>
    <w:rsid w:val="00631B34"/>
    <w:rsid w:val="00635CE0"/>
    <w:rsid w:val="0065436B"/>
    <w:rsid w:val="0068730F"/>
    <w:rsid w:val="007B6F91"/>
    <w:rsid w:val="007D5F52"/>
    <w:rsid w:val="007E501A"/>
    <w:rsid w:val="008005F7"/>
    <w:rsid w:val="0082528F"/>
    <w:rsid w:val="0083264A"/>
    <w:rsid w:val="0085435A"/>
    <w:rsid w:val="00896312"/>
    <w:rsid w:val="00965FFF"/>
    <w:rsid w:val="00977C27"/>
    <w:rsid w:val="00A27574"/>
    <w:rsid w:val="00A34ADB"/>
    <w:rsid w:val="00A548D2"/>
    <w:rsid w:val="00B36C7B"/>
    <w:rsid w:val="00B84642"/>
    <w:rsid w:val="00B859D6"/>
    <w:rsid w:val="00BB2CFE"/>
    <w:rsid w:val="00BD29FE"/>
    <w:rsid w:val="00CB56F9"/>
    <w:rsid w:val="00D240E1"/>
    <w:rsid w:val="00D47059"/>
    <w:rsid w:val="00D5481D"/>
    <w:rsid w:val="00D60C9D"/>
    <w:rsid w:val="00EC17B5"/>
    <w:rsid w:val="00F22FC2"/>
    <w:rsid w:val="00F42E24"/>
    <w:rsid w:val="00FC53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68730F"/>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8E9ECE4427FD49679750D3B634D5B255">
    <w:name w:val="8E9ECE4427FD49679750D3B634D5B255"/>
    <w:rsid w:val="0068730F"/>
  </w:style>
  <w:style w:type="paragraph" w:customStyle="1" w:styleId="0009B2C2ABA140B1BD64CD9FA9C5CC37">
    <w:name w:val="0009B2C2ABA140B1BD64CD9FA9C5CC37"/>
    <w:rsid w:val="0068730F"/>
  </w:style>
  <w:style w:type="paragraph" w:customStyle="1" w:styleId="8DA05B690E9F4825BB8E1A36EFAAF965">
    <w:name w:val="8DA05B690E9F4825BB8E1A36EFAAF965"/>
    <w:rsid w:val="006873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67"/>
    <w:rsid w:val="0068730F"/>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 w:type="paragraph" w:customStyle="1" w:styleId="8E9ECE4427FD49679750D3B634D5B255">
    <w:name w:val="8E9ECE4427FD49679750D3B634D5B255"/>
    <w:rsid w:val="0068730F"/>
  </w:style>
  <w:style w:type="paragraph" w:customStyle="1" w:styleId="0009B2C2ABA140B1BD64CD9FA9C5CC37">
    <w:name w:val="0009B2C2ABA140B1BD64CD9FA9C5CC37"/>
    <w:rsid w:val="0068730F"/>
  </w:style>
  <w:style w:type="paragraph" w:customStyle="1" w:styleId="8DA05B690E9F4825BB8E1A36EFAAF965">
    <w:name w:val="8DA05B690E9F4825BB8E1A36EFAAF965"/>
    <w:rsid w:val="00687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88C28-EFBC-4582-B81A-33953FAC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356</TotalTime>
  <Pages>11</Pages>
  <Words>5023</Words>
  <Characters>27630</Characters>
  <Application>Microsoft Office Word</Application>
  <DocSecurity>0</DocSecurity>
  <Lines>230</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ALLOCATION DES RESSOURCES ET POSSIBILITÉS DE Participation DU SECTEUR PRIVÉ : FONDS D’AFFECTATION SPÉCIALE POUR LA PARTICIPATION DES PARTIES AU PROCESSUS DE LA Convention</vt:lpstr>
      <vt:lpstr>Trust Fund for Facilitating Participation of Parties in the Convention Process: allocation of resources and possibilities of engaging the private sector</vt:lpstr>
    </vt:vector>
  </TitlesOfParts>
  <Company>Biodiversity</Company>
  <LinksUpToDate>false</LinksUpToDate>
  <CharactersWithSpaces>32588</CharactersWithSpaces>
  <SharedDoc>false</SharedDoc>
  <HyperlinkBase/>
  <HLinks>
    <vt:vector size="42" baseType="variant">
      <vt:variant>
        <vt:i4>2621451</vt:i4>
      </vt:variant>
      <vt:variant>
        <vt:i4>18</vt:i4>
      </vt:variant>
      <vt:variant>
        <vt:i4>0</vt:i4>
      </vt:variant>
      <vt:variant>
        <vt:i4>5</vt:i4>
      </vt:variant>
      <vt:variant>
        <vt:lpwstr>http://www.unep.org/about/sgb/cpr_portal/Portals/50152/2-17/K1607209_UNEPEA2_RES17E.docx</vt:lpwstr>
      </vt:variant>
      <vt:variant>
        <vt:lpwstr/>
      </vt:variant>
      <vt:variant>
        <vt:i4>196699</vt:i4>
      </vt:variant>
      <vt:variant>
        <vt:i4>15</vt:i4>
      </vt:variant>
      <vt:variant>
        <vt:i4>0</vt:i4>
      </vt:variant>
      <vt:variant>
        <vt:i4>5</vt:i4>
      </vt:variant>
      <vt:variant>
        <vt:lpwstr>https://www.cbd.int/doc/decisions/cop-12/cop-12-dec-31-en.doc</vt:lpwstr>
      </vt:variant>
      <vt:variant>
        <vt:lpwstr/>
      </vt:variant>
      <vt:variant>
        <vt:i4>5767251</vt:i4>
      </vt:variant>
      <vt:variant>
        <vt:i4>12</vt:i4>
      </vt:variant>
      <vt:variant>
        <vt:i4>0</vt:i4>
      </vt:variant>
      <vt:variant>
        <vt:i4>5</vt:i4>
      </vt:variant>
      <vt:variant>
        <vt:lpwstr>http://www.fao.org/3/a-i5033e.pdf</vt:lpwstr>
      </vt:variant>
      <vt:variant>
        <vt:lpwstr/>
      </vt:variant>
      <vt:variant>
        <vt:i4>89</vt:i4>
      </vt:variant>
      <vt:variant>
        <vt:i4>9</vt:i4>
      </vt:variant>
      <vt:variant>
        <vt:i4>0</vt:i4>
      </vt:variant>
      <vt:variant>
        <vt:i4>5</vt:i4>
      </vt:variant>
      <vt:variant>
        <vt:lpwstr>https://www.cbd.int/doc/decisions/cop-12/cop-12-dec-12-en.doc</vt:lpwstr>
      </vt:variant>
      <vt:variant>
        <vt:lpwstr/>
      </vt:variant>
      <vt:variant>
        <vt:i4>3801170</vt:i4>
      </vt:variant>
      <vt:variant>
        <vt:i4>6</vt:i4>
      </vt:variant>
      <vt:variant>
        <vt:i4>0</vt:i4>
      </vt:variant>
      <vt:variant>
        <vt:i4>5</vt:i4>
      </vt:variant>
      <vt:variant>
        <vt:lpwstr>http://www.un.org/en/ga/search/view_doc.asp?symbol=A/RES/70/1</vt:lpwstr>
      </vt:variant>
      <vt:variant>
        <vt:lpwstr/>
      </vt:variant>
      <vt:variant>
        <vt:i4>5832708</vt:i4>
      </vt:variant>
      <vt:variant>
        <vt:i4>3</vt:i4>
      </vt:variant>
      <vt:variant>
        <vt:i4>0</vt:i4>
      </vt:variant>
      <vt:variant>
        <vt:i4>5</vt:i4>
      </vt:variant>
      <vt:variant>
        <vt:lpwstr>https://www.cbd.int/doc/meetings/sbi/sbi-01/information/sbi-01-inf-33-en.pdf</vt:lpwstr>
      </vt:variant>
      <vt:variant>
        <vt:lpwstr/>
      </vt:variant>
      <vt:variant>
        <vt:i4>4718606</vt:i4>
      </vt:variant>
      <vt:variant>
        <vt:i4>0</vt:i4>
      </vt:variant>
      <vt:variant>
        <vt:i4>0</vt:i4>
      </vt:variant>
      <vt:variant>
        <vt:i4>5</vt:i4>
      </vt:variant>
      <vt:variant>
        <vt:lpwstr>https://www.cbd.int/doc/meetings/sbi/sbi-01/information/sbi-01-inf-32-en.doc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DES RESSOURCES ET POSSIBILITÉS DE Participation DU SECTEUR PRIVÉ : FONDS D’AFFECTATION SPÉCIALE POUR LA PARTICIPATION DES PARTIES AU PROCESSUS DE LA Convention</dc:title>
  <dc:subject>CBD/SBI/2/18</dc:subject>
  <dc:creator>SCBD</dc:creator>
  <cp:lastModifiedBy>Anne</cp:lastModifiedBy>
  <cp:revision>91</cp:revision>
  <cp:lastPrinted>2018-06-01T16:19:00Z</cp:lastPrinted>
  <dcterms:created xsi:type="dcterms:W3CDTF">2018-06-05T12:51:00Z</dcterms:created>
  <dcterms:modified xsi:type="dcterms:W3CDTF">2018-06-07T08:20:00Z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ORGANE SUBSIDIAIRE CHARGÉ DE L'APPLICATION</vt:lpwstr>
  </property>
</Properties>
</file>