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7C55E9" w14:paraId="0E75E8D4" w14:textId="77777777" w:rsidTr="00CF1848">
        <w:trPr>
          <w:trHeight w:val="709"/>
        </w:trPr>
        <w:tc>
          <w:tcPr>
            <w:tcW w:w="976" w:type="dxa"/>
            <w:tcBorders>
              <w:bottom w:val="single" w:sz="12" w:space="0" w:color="auto"/>
            </w:tcBorders>
          </w:tcPr>
          <w:p w14:paraId="6E4BF4E1" w14:textId="77777777" w:rsidR="00C9161D" w:rsidRPr="006A6B17" w:rsidRDefault="00C9161D">
            <w:pPr>
              <w:rPr>
                <w:kern w:val="22"/>
              </w:rPr>
            </w:pPr>
            <w:r w:rsidRPr="006A6B17">
              <w:rPr>
                <w:noProof/>
                <w:kern w:val="22"/>
              </w:rPr>
              <w:drawing>
                <wp:inline distT="0" distB="0" distL="0" distR="0" wp14:anchorId="64194E7B" wp14:editId="39E4AAF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2FE4562" w14:textId="77777777" w:rsidR="00C9161D" w:rsidRPr="006A6B17" w:rsidRDefault="00C9161D">
            <w:pPr>
              <w:rPr>
                <w:kern w:val="22"/>
              </w:rPr>
            </w:pPr>
            <w:r w:rsidRPr="006A6B17">
              <w:rPr>
                <w:noProof/>
                <w:kern w:val="22"/>
              </w:rPr>
              <w:drawing>
                <wp:inline distT="0" distB="0" distL="0" distR="0" wp14:anchorId="147F76E3" wp14:editId="79009BEF">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FB8C54D" w14:textId="77777777" w:rsidR="00C9161D" w:rsidRPr="006A6B17" w:rsidRDefault="00C9161D" w:rsidP="00C9161D">
            <w:pPr>
              <w:jc w:val="right"/>
              <w:rPr>
                <w:rFonts w:ascii="Arial" w:hAnsi="Arial" w:cs="Arial"/>
                <w:b/>
                <w:kern w:val="22"/>
                <w:sz w:val="32"/>
                <w:szCs w:val="32"/>
              </w:rPr>
            </w:pPr>
            <w:r w:rsidRPr="006A6B17">
              <w:rPr>
                <w:rFonts w:ascii="Arial" w:hAnsi="Arial" w:cs="Arial"/>
                <w:b/>
                <w:kern w:val="22"/>
                <w:sz w:val="32"/>
                <w:szCs w:val="32"/>
              </w:rPr>
              <w:t>CBD</w:t>
            </w:r>
          </w:p>
        </w:tc>
      </w:tr>
      <w:tr w:rsidR="00C9161D" w:rsidRPr="007C55E9" w14:paraId="4DCE832A" w14:textId="77777777" w:rsidTr="00CF1848">
        <w:tc>
          <w:tcPr>
            <w:tcW w:w="6117" w:type="dxa"/>
            <w:gridSpan w:val="2"/>
            <w:tcBorders>
              <w:top w:val="single" w:sz="12" w:space="0" w:color="auto"/>
              <w:bottom w:val="single" w:sz="36" w:space="0" w:color="auto"/>
            </w:tcBorders>
            <w:vAlign w:val="center"/>
          </w:tcPr>
          <w:p w14:paraId="5C71B5ED" w14:textId="77777777" w:rsidR="00C9161D" w:rsidRPr="006A6B17" w:rsidRDefault="00C9161D" w:rsidP="00C9161D">
            <w:pPr>
              <w:rPr>
                <w:kern w:val="22"/>
              </w:rPr>
            </w:pPr>
            <w:r w:rsidRPr="006A6B17">
              <w:rPr>
                <w:noProof/>
                <w:kern w:val="22"/>
              </w:rPr>
              <w:drawing>
                <wp:inline distT="0" distB="0" distL="0" distR="0" wp14:anchorId="276B05E1" wp14:editId="4FCD4B8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15D25AF" w14:textId="77777777" w:rsidR="00C9161D" w:rsidRPr="006A6B17" w:rsidRDefault="00C9161D" w:rsidP="006A6B17">
            <w:pPr>
              <w:ind w:left="1215"/>
              <w:jc w:val="left"/>
              <w:rPr>
                <w:kern w:val="22"/>
                <w:szCs w:val="22"/>
              </w:rPr>
            </w:pPr>
            <w:r w:rsidRPr="006A6B17">
              <w:rPr>
                <w:kern w:val="22"/>
                <w:szCs w:val="22"/>
              </w:rPr>
              <w:t>Distr.</w:t>
            </w:r>
          </w:p>
          <w:p w14:paraId="3D7B6338" w14:textId="77777777" w:rsidR="00C9161D" w:rsidRPr="006A6B17" w:rsidRDefault="0047565C" w:rsidP="006A6B17">
            <w:pPr>
              <w:ind w:left="1215"/>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4846" w:rsidRPr="006A6B17">
                  <w:rPr>
                    <w:kern w:val="22"/>
                    <w:szCs w:val="22"/>
                  </w:rPr>
                  <w:t>GENERAL</w:t>
                </w:r>
              </w:sdtContent>
            </w:sdt>
          </w:p>
          <w:p w14:paraId="419A4179" w14:textId="77777777" w:rsidR="00C9161D" w:rsidRPr="006A6B17" w:rsidRDefault="00C9161D" w:rsidP="006A6B17">
            <w:pPr>
              <w:ind w:left="1215"/>
              <w:jc w:val="left"/>
              <w:rPr>
                <w:kern w:val="22"/>
                <w:szCs w:val="22"/>
              </w:rPr>
            </w:pPr>
          </w:p>
          <w:p w14:paraId="55CE8889" w14:textId="66ED53A5" w:rsidR="00C9161D" w:rsidRPr="006A6B17" w:rsidRDefault="0047565C" w:rsidP="006A6B17">
            <w:pPr>
              <w:ind w:left="1215"/>
              <w:jc w:val="left"/>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CF4487" w:rsidRPr="007C55E9">
                  <w:rPr>
                    <w:kern w:val="22"/>
                    <w:szCs w:val="22"/>
                  </w:rPr>
                  <w:t>CBD/CHM/IAC/2019/</w:t>
                </w:r>
                <w:r w:rsidR="003D6CB4" w:rsidRPr="007C55E9">
                  <w:rPr>
                    <w:kern w:val="22"/>
                    <w:szCs w:val="22"/>
                  </w:rPr>
                  <w:t>2</w:t>
                </w:r>
                <w:r w:rsidR="00CF4487" w:rsidRPr="007C55E9">
                  <w:rPr>
                    <w:kern w:val="22"/>
                    <w:szCs w:val="22"/>
                  </w:rPr>
                  <w:t>/</w:t>
                </w:r>
                <w:r w:rsidR="00DB2501" w:rsidRPr="007C55E9">
                  <w:rPr>
                    <w:kern w:val="22"/>
                    <w:szCs w:val="22"/>
                  </w:rPr>
                  <w:t>2</w:t>
                </w:r>
              </w:sdtContent>
            </w:sdt>
          </w:p>
          <w:p w14:paraId="6F58D7D8" w14:textId="77777777" w:rsidR="00C9161D" w:rsidRPr="006A6B17" w:rsidRDefault="0047565C" w:rsidP="006A6B17">
            <w:pPr>
              <w:ind w:left="1215"/>
              <w:jc w:val="left"/>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9-12-09T00:00:00Z">
                  <w:dateFormat w:val="d MMMM yyyy"/>
                  <w:lid w:val="en-US"/>
                  <w:storeMappedDataAs w:val="dateTime"/>
                  <w:calendar w:val="gregorian"/>
                </w:date>
              </w:sdtPr>
              <w:sdtEndPr/>
              <w:sdtContent>
                <w:r w:rsidR="003D6CB4" w:rsidRPr="006A6B17">
                  <w:rPr>
                    <w:kern w:val="22"/>
                    <w:szCs w:val="22"/>
                  </w:rPr>
                  <w:t>9</w:t>
                </w:r>
                <w:r w:rsidR="00097056" w:rsidRPr="006A6B17">
                  <w:rPr>
                    <w:kern w:val="22"/>
                    <w:szCs w:val="22"/>
                  </w:rPr>
                  <w:t xml:space="preserve"> </w:t>
                </w:r>
                <w:r w:rsidR="003D6CB4" w:rsidRPr="006A6B17">
                  <w:rPr>
                    <w:kern w:val="22"/>
                    <w:szCs w:val="22"/>
                  </w:rPr>
                  <w:t xml:space="preserve">December </w:t>
                </w:r>
                <w:r w:rsidR="00097056" w:rsidRPr="006A6B17">
                  <w:rPr>
                    <w:kern w:val="22"/>
                    <w:szCs w:val="22"/>
                  </w:rPr>
                  <w:t>2019</w:t>
                </w:r>
              </w:sdtContent>
            </w:sdt>
          </w:p>
          <w:p w14:paraId="3E5D5EC6" w14:textId="77777777" w:rsidR="00C9161D" w:rsidRPr="006A6B17" w:rsidRDefault="00C9161D" w:rsidP="006A6B17">
            <w:pPr>
              <w:ind w:left="1215"/>
              <w:jc w:val="left"/>
              <w:rPr>
                <w:kern w:val="22"/>
                <w:szCs w:val="22"/>
              </w:rPr>
            </w:pPr>
          </w:p>
          <w:p w14:paraId="1F099B96" w14:textId="385C9BB3" w:rsidR="00C9161D" w:rsidRPr="006A6B17" w:rsidRDefault="00C9161D" w:rsidP="006A6B17">
            <w:pPr>
              <w:ind w:left="1215"/>
              <w:jc w:val="left"/>
              <w:rPr>
                <w:kern w:val="22"/>
                <w:szCs w:val="22"/>
              </w:rPr>
            </w:pPr>
            <w:r w:rsidRPr="006A6B17">
              <w:rPr>
                <w:kern w:val="22"/>
                <w:szCs w:val="22"/>
              </w:rPr>
              <w:t>ENGLISH</w:t>
            </w:r>
            <w:r w:rsidR="0023431B" w:rsidRPr="006A6B17">
              <w:rPr>
                <w:kern w:val="22"/>
                <w:szCs w:val="22"/>
              </w:rPr>
              <w:t xml:space="preserve"> ONLY</w:t>
            </w:r>
          </w:p>
          <w:p w14:paraId="4EA2922C" w14:textId="77777777" w:rsidR="00C9161D" w:rsidRPr="006A6B17" w:rsidRDefault="00C9161D" w:rsidP="006A6B17">
            <w:pPr>
              <w:jc w:val="left"/>
              <w:rPr>
                <w:kern w:val="22"/>
              </w:rPr>
            </w:pPr>
          </w:p>
        </w:tc>
      </w:tr>
    </w:tbl>
    <w:p w14:paraId="068AD2A7" w14:textId="1DB4E2CF" w:rsidR="00C9161D" w:rsidRPr="006A6B17" w:rsidRDefault="0047565C" w:rsidP="00B21738">
      <w:pPr>
        <w:pStyle w:val="Heading1"/>
        <w:rPr>
          <w:kern w:val="22"/>
          <w:szCs w:val="22"/>
        </w:rPr>
      </w:pPr>
      <w:sdt>
        <w:sdtPr>
          <w:rPr>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439CB" w:rsidRPr="006A6B17">
            <w:rPr>
              <w:kern w:val="22"/>
              <w:szCs w:val="22"/>
            </w:rPr>
            <w:t>Report on the meeting of the Informal Advisory Committee to the Clearing-house Mechanism of the Convention on Biological Diversity, 2</w:t>
          </w:r>
          <w:r w:rsidR="00020AD4" w:rsidRPr="006A6B17">
            <w:rPr>
              <w:kern w:val="22"/>
              <w:szCs w:val="22"/>
            </w:rPr>
            <w:t>6 </w:t>
          </w:r>
          <w:r w:rsidR="00042C27" w:rsidRPr="006A6B17">
            <w:rPr>
              <w:kern w:val="22"/>
              <w:szCs w:val="22"/>
            </w:rPr>
            <w:t xml:space="preserve">November </w:t>
          </w:r>
          <w:r w:rsidR="00A439CB" w:rsidRPr="006A6B17">
            <w:rPr>
              <w:kern w:val="22"/>
              <w:szCs w:val="22"/>
            </w:rPr>
            <w:t>2019</w:t>
          </w:r>
        </w:sdtContent>
      </w:sdt>
    </w:p>
    <w:tbl>
      <w:tblPr>
        <w:tblW w:w="9828" w:type="dxa"/>
        <w:tblLook w:val="04A0" w:firstRow="1" w:lastRow="0" w:firstColumn="1" w:lastColumn="0" w:noHBand="0" w:noVBand="1"/>
      </w:tblPr>
      <w:tblGrid>
        <w:gridCol w:w="9828"/>
      </w:tblGrid>
      <w:tr w:rsidR="00305501" w:rsidRPr="007C55E9" w14:paraId="7C03282C" w14:textId="77777777" w:rsidTr="00873C72">
        <w:tc>
          <w:tcPr>
            <w:tcW w:w="9828" w:type="dxa"/>
            <w:tcBorders>
              <w:top w:val="single" w:sz="4" w:space="0" w:color="auto"/>
              <w:left w:val="single" w:sz="4" w:space="0" w:color="auto"/>
              <w:bottom w:val="single" w:sz="4" w:space="0" w:color="auto"/>
              <w:right w:val="single" w:sz="4" w:space="0" w:color="auto"/>
            </w:tcBorders>
          </w:tcPr>
          <w:p w14:paraId="16C015D4" w14:textId="77777777" w:rsidR="00E73692" w:rsidRPr="007C55E9" w:rsidRDefault="00E73692" w:rsidP="00B21738">
            <w:pPr>
              <w:spacing w:before="120" w:after="120"/>
              <w:jc w:val="center"/>
              <w:rPr>
                <w:i/>
                <w:kern w:val="22"/>
                <w:szCs w:val="22"/>
              </w:rPr>
            </w:pPr>
            <w:bookmarkStart w:id="0" w:name="_Hlk503274165"/>
            <w:r w:rsidRPr="007C55E9">
              <w:rPr>
                <w:i/>
                <w:kern w:val="22"/>
                <w:szCs w:val="22"/>
              </w:rPr>
              <w:t>Summary</w:t>
            </w:r>
          </w:p>
          <w:p w14:paraId="62123297" w14:textId="604F2841" w:rsidR="003D6CB4" w:rsidRPr="007C55E9" w:rsidRDefault="00305501" w:rsidP="00AA6009">
            <w:pPr>
              <w:spacing w:before="120" w:after="120"/>
              <w:ind w:firstLine="709"/>
              <w:rPr>
                <w:kern w:val="22"/>
                <w:szCs w:val="22"/>
              </w:rPr>
            </w:pPr>
            <w:r w:rsidRPr="007C55E9">
              <w:rPr>
                <w:kern w:val="22"/>
                <w:szCs w:val="22"/>
              </w:rPr>
              <w:t>The Informal Advisory Committee to the Clearing-House Mechanism</w:t>
            </w:r>
            <w:r w:rsidR="003A32FD" w:rsidRPr="007C55E9">
              <w:rPr>
                <w:kern w:val="22"/>
                <w:szCs w:val="22"/>
              </w:rPr>
              <w:t xml:space="preserve"> </w:t>
            </w:r>
            <w:r w:rsidRPr="007C55E9">
              <w:rPr>
                <w:kern w:val="22"/>
                <w:szCs w:val="22"/>
              </w:rPr>
              <w:t xml:space="preserve">met </w:t>
            </w:r>
            <w:r w:rsidR="000D70B8" w:rsidRPr="007C55E9">
              <w:rPr>
                <w:kern w:val="22"/>
                <w:szCs w:val="22"/>
              </w:rPr>
              <w:t xml:space="preserve">on the </w:t>
            </w:r>
            <w:r w:rsidR="00A439CB" w:rsidRPr="007C55E9">
              <w:rPr>
                <w:kern w:val="22"/>
                <w:szCs w:val="22"/>
              </w:rPr>
              <w:t>m</w:t>
            </w:r>
            <w:r w:rsidR="000D70B8" w:rsidRPr="007C55E9">
              <w:rPr>
                <w:kern w:val="22"/>
                <w:szCs w:val="22"/>
              </w:rPr>
              <w:t xml:space="preserve">argins of the </w:t>
            </w:r>
            <w:r w:rsidR="00A439CB" w:rsidRPr="007C55E9">
              <w:rPr>
                <w:kern w:val="22"/>
                <w:szCs w:val="22"/>
              </w:rPr>
              <w:t>t</w:t>
            </w:r>
            <w:r w:rsidR="000D70B8" w:rsidRPr="007C55E9">
              <w:rPr>
                <w:kern w:val="22"/>
                <w:szCs w:val="22"/>
              </w:rPr>
              <w:t>wenty-</w:t>
            </w:r>
            <w:r w:rsidR="00A439CB" w:rsidRPr="007C55E9">
              <w:rPr>
                <w:kern w:val="22"/>
                <w:szCs w:val="22"/>
              </w:rPr>
              <w:t>t</w:t>
            </w:r>
            <w:r w:rsidR="000D70B8" w:rsidRPr="007C55E9">
              <w:rPr>
                <w:kern w:val="22"/>
                <w:szCs w:val="22"/>
              </w:rPr>
              <w:t>hird meeting of the Subsidiary Body o</w:t>
            </w:r>
            <w:r w:rsidR="004E4DAD" w:rsidRPr="007C55E9">
              <w:rPr>
                <w:kern w:val="22"/>
                <w:szCs w:val="22"/>
              </w:rPr>
              <w:t>n</w:t>
            </w:r>
            <w:r w:rsidR="000D70B8" w:rsidRPr="007C55E9">
              <w:rPr>
                <w:kern w:val="22"/>
                <w:szCs w:val="22"/>
              </w:rPr>
              <w:t xml:space="preserve"> Scientific, Technical and Technological Advice, </w:t>
            </w:r>
            <w:r w:rsidRPr="007C55E9">
              <w:rPr>
                <w:kern w:val="22"/>
                <w:szCs w:val="22"/>
              </w:rPr>
              <w:t xml:space="preserve">in Montreal, Canada, </w:t>
            </w:r>
            <w:r w:rsidR="003D6CB4" w:rsidRPr="007C55E9">
              <w:rPr>
                <w:kern w:val="22"/>
                <w:szCs w:val="22"/>
              </w:rPr>
              <w:t>on 26 November</w:t>
            </w:r>
            <w:r w:rsidRPr="007C55E9">
              <w:rPr>
                <w:kern w:val="22"/>
                <w:szCs w:val="22"/>
              </w:rPr>
              <w:t xml:space="preserve"> 2019. It </w:t>
            </w:r>
            <w:r w:rsidR="003D6CB4" w:rsidRPr="007C55E9">
              <w:rPr>
                <w:kern w:val="22"/>
                <w:szCs w:val="22"/>
              </w:rPr>
              <w:t>reviewed it</w:t>
            </w:r>
            <w:r w:rsidR="00651270" w:rsidRPr="007C55E9">
              <w:rPr>
                <w:kern w:val="22"/>
                <w:szCs w:val="22"/>
              </w:rPr>
              <w:t>s</w:t>
            </w:r>
            <w:r w:rsidR="003D6CB4" w:rsidRPr="007C55E9">
              <w:rPr>
                <w:kern w:val="22"/>
                <w:szCs w:val="22"/>
              </w:rPr>
              <w:t xml:space="preserve"> programme of work in the following areas</w:t>
            </w:r>
            <w:r w:rsidRPr="007C55E9">
              <w:rPr>
                <w:kern w:val="22"/>
                <w:szCs w:val="22"/>
              </w:rPr>
              <w:t>: (a) award for national clearing-house mechanisms</w:t>
            </w:r>
            <w:r w:rsidR="003A32FD" w:rsidRPr="007C55E9">
              <w:rPr>
                <w:kern w:val="22"/>
                <w:szCs w:val="22"/>
              </w:rPr>
              <w:t xml:space="preserve"> (CHM Award)</w:t>
            </w:r>
            <w:r w:rsidRPr="007C55E9">
              <w:rPr>
                <w:kern w:val="22"/>
                <w:szCs w:val="22"/>
              </w:rPr>
              <w:t xml:space="preserve">; (b) </w:t>
            </w:r>
            <w:r w:rsidR="00873C72" w:rsidRPr="007C55E9">
              <w:rPr>
                <w:kern w:val="22"/>
                <w:szCs w:val="22"/>
              </w:rPr>
              <w:t xml:space="preserve">the </w:t>
            </w:r>
            <w:r w:rsidR="003D6CB4" w:rsidRPr="007C55E9">
              <w:rPr>
                <w:kern w:val="22"/>
                <w:szCs w:val="22"/>
              </w:rPr>
              <w:t>web strategy</w:t>
            </w:r>
            <w:r w:rsidRPr="007C55E9">
              <w:rPr>
                <w:kern w:val="22"/>
                <w:szCs w:val="22"/>
              </w:rPr>
              <w:t xml:space="preserve">; (c) support to national clearinghouse mechanisms; (d) </w:t>
            </w:r>
            <w:r w:rsidR="00EE5325" w:rsidRPr="007C55E9">
              <w:rPr>
                <w:kern w:val="22"/>
                <w:szCs w:val="22"/>
              </w:rPr>
              <w:t>technical and scientific cooperation</w:t>
            </w:r>
            <w:r w:rsidRPr="007C55E9">
              <w:rPr>
                <w:kern w:val="22"/>
                <w:szCs w:val="22"/>
              </w:rPr>
              <w:t xml:space="preserve">; and (e) </w:t>
            </w:r>
            <w:r w:rsidR="00EE5325" w:rsidRPr="007C55E9">
              <w:rPr>
                <w:kern w:val="22"/>
                <w:szCs w:val="22"/>
              </w:rPr>
              <w:t>knowledge management</w:t>
            </w:r>
            <w:r w:rsidRPr="007C55E9">
              <w:rPr>
                <w:kern w:val="22"/>
                <w:szCs w:val="22"/>
              </w:rPr>
              <w:t>.</w:t>
            </w:r>
          </w:p>
          <w:p w14:paraId="6F2BBD1E" w14:textId="77777777" w:rsidR="00305501" w:rsidRPr="007C55E9" w:rsidRDefault="00305501" w:rsidP="00AA6009">
            <w:pPr>
              <w:spacing w:before="120" w:after="120"/>
              <w:ind w:firstLine="709"/>
              <w:rPr>
                <w:kern w:val="22"/>
                <w:szCs w:val="22"/>
              </w:rPr>
            </w:pPr>
            <w:r w:rsidRPr="007C55E9">
              <w:rPr>
                <w:kern w:val="22"/>
                <w:szCs w:val="22"/>
              </w:rPr>
              <w:t xml:space="preserve">The account of the proceedings of the meeting appears </w:t>
            </w:r>
            <w:r w:rsidR="00EE5325" w:rsidRPr="007C55E9">
              <w:rPr>
                <w:kern w:val="22"/>
                <w:szCs w:val="22"/>
              </w:rPr>
              <w:t>below</w:t>
            </w:r>
            <w:r w:rsidRPr="007C55E9">
              <w:rPr>
                <w:kern w:val="22"/>
                <w:szCs w:val="22"/>
              </w:rPr>
              <w:t>.</w:t>
            </w:r>
          </w:p>
        </w:tc>
        <w:bookmarkEnd w:id="0"/>
      </w:tr>
    </w:tbl>
    <w:p w14:paraId="20291EFD" w14:textId="77777777" w:rsidR="003D6CB4" w:rsidRPr="007C55E9" w:rsidRDefault="003D6CB4" w:rsidP="003D6CB4">
      <w:pPr>
        <w:pStyle w:val="Heading1"/>
        <w:suppressLineNumbers/>
        <w:tabs>
          <w:tab w:val="clear" w:pos="720"/>
        </w:tabs>
        <w:suppressAutoHyphens/>
        <w:rPr>
          <w:snapToGrid w:val="0"/>
          <w:kern w:val="22"/>
          <w:szCs w:val="22"/>
        </w:rPr>
      </w:pPr>
      <w:r w:rsidRPr="007C55E9">
        <w:rPr>
          <w:bCs/>
          <w:caps w:val="0"/>
          <w:snapToGrid w:val="0"/>
          <w:kern w:val="22"/>
          <w:szCs w:val="22"/>
        </w:rPr>
        <w:t>INTRODUCTION</w:t>
      </w:r>
    </w:p>
    <w:p w14:paraId="6496A540" w14:textId="77777777" w:rsidR="003D6CB4" w:rsidRPr="006A6B17" w:rsidRDefault="003D6CB4" w:rsidP="003D6CB4">
      <w:pPr>
        <w:pStyle w:val="Para1"/>
        <w:numPr>
          <w:ilvl w:val="0"/>
          <w:numId w:val="20"/>
        </w:numPr>
        <w:tabs>
          <w:tab w:val="clear" w:pos="360"/>
        </w:tabs>
        <w:rPr>
          <w:kern w:val="22"/>
          <w:szCs w:val="22"/>
        </w:rPr>
      </w:pPr>
      <w:r w:rsidRPr="007C55E9">
        <w:rPr>
          <w:kern w:val="22"/>
          <w:szCs w:val="22"/>
        </w:rPr>
        <w:t xml:space="preserve">The Informal Advisory Committee to the Clearing-House Mechanism met at the Secretariat of the Convention on Biological Diversity in Montreal, Canada, </w:t>
      </w:r>
      <w:r w:rsidR="00B67D69" w:rsidRPr="007C55E9">
        <w:rPr>
          <w:kern w:val="22"/>
          <w:szCs w:val="22"/>
        </w:rPr>
        <w:t>on 26 November 2019</w:t>
      </w:r>
      <w:r w:rsidRPr="007C55E9">
        <w:rPr>
          <w:kern w:val="22"/>
          <w:szCs w:val="22"/>
        </w:rPr>
        <w:t>.</w:t>
      </w:r>
    </w:p>
    <w:p w14:paraId="024E842F" w14:textId="77777777" w:rsidR="000D70B8" w:rsidRPr="007C55E9" w:rsidRDefault="000D70B8" w:rsidP="006A6B17">
      <w:pPr>
        <w:pStyle w:val="Heading1"/>
        <w:suppressLineNumbers/>
        <w:tabs>
          <w:tab w:val="clear" w:pos="720"/>
          <w:tab w:val="left" w:pos="993"/>
        </w:tabs>
        <w:suppressAutoHyphens/>
        <w:spacing w:before="120"/>
        <w:rPr>
          <w:caps w:val="0"/>
          <w:snapToGrid w:val="0"/>
          <w:kern w:val="22"/>
          <w:szCs w:val="22"/>
        </w:rPr>
      </w:pPr>
      <w:r w:rsidRPr="007C55E9">
        <w:rPr>
          <w:caps w:val="0"/>
          <w:snapToGrid w:val="0"/>
          <w:kern w:val="22"/>
          <w:szCs w:val="22"/>
        </w:rPr>
        <w:t>ITEM 1.</w:t>
      </w:r>
      <w:r w:rsidRPr="007C55E9">
        <w:rPr>
          <w:caps w:val="0"/>
          <w:snapToGrid w:val="0"/>
          <w:kern w:val="22"/>
          <w:szCs w:val="22"/>
        </w:rPr>
        <w:tab/>
        <w:t>OPENING OF THE MEETING</w:t>
      </w:r>
    </w:p>
    <w:p w14:paraId="1931C330" w14:textId="43FB225E" w:rsidR="000D70B8" w:rsidRPr="007C55E9" w:rsidRDefault="000D70B8" w:rsidP="000D70B8">
      <w:pPr>
        <w:pStyle w:val="Para1"/>
        <w:numPr>
          <w:ilvl w:val="0"/>
          <w:numId w:val="20"/>
        </w:numPr>
        <w:tabs>
          <w:tab w:val="clear" w:pos="360"/>
        </w:tabs>
        <w:rPr>
          <w:kern w:val="22"/>
          <w:szCs w:val="22"/>
        </w:rPr>
      </w:pPr>
      <w:r w:rsidRPr="006A6B17">
        <w:rPr>
          <w:kern w:val="22"/>
          <w:szCs w:val="22"/>
        </w:rPr>
        <w:t>The meeting was opened at 8</w:t>
      </w:r>
      <w:r w:rsidR="000F7CFA" w:rsidRPr="006A6B17">
        <w:rPr>
          <w:kern w:val="22"/>
          <w:szCs w:val="22"/>
        </w:rPr>
        <w:t xml:space="preserve"> </w:t>
      </w:r>
      <w:r w:rsidRPr="006A6B17">
        <w:rPr>
          <w:kern w:val="22"/>
          <w:szCs w:val="22"/>
        </w:rPr>
        <w:t>a.m. on Tuesday</w:t>
      </w:r>
      <w:r w:rsidR="00956020" w:rsidRPr="007C55E9">
        <w:rPr>
          <w:kern w:val="22"/>
          <w:szCs w:val="22"/>
        </w:rPr>
        <w:t>,</w:t>
      </w:r>
      <w:r w:rsidRPr="006A6B17">
        <w:rPr>
          <w:kern w:val="22"/>
          <w:szCs w:val="22"/>
        </w:rPr>
        <w:t xml:space="preserve"> 26 November 2019, by Mr. Erie Tamale, Senior Programme </w:t>
      </w:r>
      <w:r w:rsidR="00956020" w:rsidRPr="007C55E9">
        <w:rPr>
          <w:kern w:val="22"/>
          <w:szCs w:val="22"/>
        </w:rPr>
        <w:t>O</w:t>
      </w:r>
      <w:r w:rsidRPr="006A6B17">
        <w:rPr>
          <w:kern w:val="22"/>
          <w:szCs w:val="22"/>
        </w:rPr>
        <w:t xml:space="preserve">fficer in the </w:t>
      </w:r>
      <w:r w:rsidRPr="007C55E9">
        <w:rPr>
          <w:kern w:val="22"/>
          <w:szCs w:val="22"/>
        </w:rPr>
        <w:t>Implementation Support Division of the Secretariat. He welcomed everyone on behalf of Ms. Jyoti Mathur-Filipp, Director of the Implementation Support Division.</w:t>
      </w:r>
    </w:p>
    <w:p w14:paraId="2519C030" w14:textId="364E925B" w:rsidR="000D70B8" w:rsidRPr="007C55E9" w:rsidRDefault="000D70B8" w:rsidP="000D70B8">
      <w:pPr>
        <w:pStyle w:val="Para1"/>
        <w:numPr>
          <w:ilvl w:val="0"/>
          <w:numId w:val="20"/>
        </w:numPr>
        <w:tabs>
          <w:tab w:val="clear" w:pos="360"/>
        </w:tabs>
        <w:rPr>
          <w:kern w:val="22"/>
          <w:szCs w:val="22"/>
        </w:rPr>
      </w:pPr>
      <w:r w:rsidRPr="006A6B17">
        <w:rPr>
          <w:kern w:val="22"/>
          <w:szCs w:val="22"/>
        </w:rPr>
        <w:t xml:space="preserve">He welcomed </w:t>
      </w:r>
      <w:r w:rsidR="009C6070" w:rsidRPr="007C55E9">
        <w:rPr>
          <w:kern w:val="22"/>
          <w:szCs w:val="22"/>
        </w:rPr>
        <w:t xml:space="preserve">the </w:t>
      </w:r>
      <w:r w:rsidRPr="006A6B17">
        <w:rPr>
          <w:kern w:val="22"/>
          <w:szCs w:val="22"/>
        </w:rPr>
        <w:t xml:space="preserve">participants </w:t>
      </w:r>
      <w:r w:rsidR="009C6070" w:rsidRPr="007C55E9">
        <w:rPr>
          <w:kern w:val="22"/>
          <w:szCs w:val="22"/>
        </w:rPr>
        <w:t>who were present</w:t>
      </w:r>
      <w:r w:rsidRPr="006A6B17">
        <w:rPr>
          <w:kern w:val="22"/>
          <w:szCs w:val="22"/>
        </w:rPr>
        <w:t xml:space="preserve"> and those participating remotely. He noted that</w:t>
      </w:r>
      <w:r w:rsidR="009C6070" w:rsidRPr="007C55E9">
        <w:rPr>
          <w:kern w:val="22"/>
          <w:szCs w:val="22"/>
        </w:rPr>
        <w:t>,</w:t>
      </w:r>
      <w:r w:rsidRPr="006A6B17">
        <w:rPr>
          <w:kern w:val="22"/>
          <w:szCs w:val="22"/>
        </w:rPr>
        <w:t xml:space="preserve"> owing to the limited time available</w:t>
      </w:r>
      <w:r w:rsidR="0008435F" w:rsidRPr="006A6B17">
        <w:rPr>
          <w:kern w:val="22"/>
          <w:szCs w:val="22"/>
        </w:rPr>
        <w:t>,</w:t>
      </w:r>
      <w:r w:rsidRPr="006A6B17">
        <w:rPr>
          <w:kern w:val="22"/>
          <w:szCs w:val="22"/>
        </w:rPr>
        <w:t xml:space="preserve"> the meeting would serve as an opportunity for the Secretariat to update members of the Committee on developments in the areas under review since the last meeting</w:t>
      </w:r>
      <w:r w:rsidR="00C217A7" w:rsidRPr="007C55E9">
        <w:rPr>
          <w:kern w:val="22"/>
          <w:szCs w:val="22"/>
        </w:rPr>
        <w:t>,</w:t>
      </w:r>
      <w:r w:rsidRPr="006A6B17">
        <w:rPr>
          <w:kern w:val="22"/>
          <w:szCs w:val="22"/>
        </w:rPr>
        <w:t xml:space="preserve"> in June.</w:t>
      </w:r>
    </w:p>
    <w:p w14:paraId="67EEC14F" w14:textId="77777777" w:rsidR="003D6CB4" w:rsidRPr="007C55E9" w:rsidRDefault="003D6CB4" w:rsidP="003D6CB4">
      <w:pPr>
        <w:keepNext/>
        <w:suppressLineNumbers/>
        <w:tabs>
          <w:tab w:val="left" w:pos="720"/>
        </w:tabs>
        <w:suppressAutoHyphens/>
        <w:spacing w:before="120" w:after="120"/>
        <w:jc w:val="center"/>
        <w:outlineLvl w:val="1"/>
        <w:rPr>
          <w:b/>
          <w:snapToGrid w:val="0"/>
          <w:kern w:val="22"/>
          <w:szCs w:val="22"/>
        </w:rPr>
      </w:pPr>
      <w:r w:rsidRPr="007C55E9">
        <w:rPr>
          <w:b/>
          <w:snapToGrid w:val="0"/>
          <w:kern w:val="22"/>
          <w:szCs w:val="22"/>
        </w:rPr>
        <w:t>Attendance</w:t>
      </w:r>
    </w:p>
    <w:p w14:paraId="4D7AE5AA" w14:textId="7F516DCB" w:rsidR="003D6CB4" w:rsidRPr="006A6B17" w:rsidRDefault="003D6CB4" w:rsidP="003D6CB4">
      <w:pPr>
        <w:pStyle w:val="Para1"/>
        <w:numPr>
          <w:ilvl w:val="0"/>
          <w:numId w:val="20"/>
        </w:numPr>
        <w:tabs>
          <w:tab w:val="clear" w:pos="360"/>
        </w:tabs>
        <w:rPr>
          <w:kern w:val="22"/>
          <w:szCs w:val="22"/>
        </w:rPr>
      </w:pPr>
      <w:r w:rsidRPr="006A6B17">
        <w:rPr>
          <w:kern w:val="22"/>
          <w:szCs w:val="22"/>
        </w:rPr>
        <w:t>The meeting was attended by the following members and observers:</w:t>
      </w:r>
    </w:p>
    <w:tbl>
      <w:tblPr>
        <w:tblStyle w:val="TableGrid1"/>
        <w:tblW w:w="9493" w:type="dxa"/>
        <w:jc w:val="center"/>
        <w:tblCellMar>
          <w:top w:w="57" w:type="dxa"/>
          <w:left w:w="57" w:type="dxa"/>
          <w:bottom w:w="57" w:type="dxa"/>
          <w:right w:w="57" w:type="dxa"/>
        </w:tblCellMar>
        <w:tblLook w:val="04A0" w:firstRow="1" w:lastRow="0" w:firstColumn="1" w:lastColumn="0" w:noHBand="0" w:noVBand="1"/>
      </w:tblPr>
      <w:tblGrid>
        <w:gridCol w:w="508"/>
        <w:gridCol w:w="3740"/>
        <w:gridCol w:w="5245"/>
      </w:tblGrid>
      <w:tr w:rsidR="00B67D69" w:rsidRPr="007C55E9" w14:paraId="06DA670E" w14:textId="77777777" w:rsidTr="00375BA2">
        <w:trPr>
          <w:tblHeader/>
          <w:jc w:val="center"/>
        </w:trPr>
        <w:tc>
          <w:tcPr>
            <w:tcW w:w="508" w:type="dxa"/>
            <w:tcBorders>
              <w:bottom w:val="single" w:sz="4" w:space="0" w:color="auto"/>
            </w:tcBorders>
            <w:shd w:val="clear" w:color="auto" w:fill="BFBFBF" w:themeFill="background1" w:themeFillShade="BF"/>
          </w:tcPr>
          <w:p w14:paraId="7EC98F29" w14:textId="77777777" w:rsidR="00B67D69" w:rsidRPr="006A6B17" w:rsidRDefault="00B67D69">
            <w:pPr>
              <w:keepNext/>
              <w:jc w:val="center"/>
              <w:rPr>
                <w:b/>
                <w:color w:val="000000"/>
                <w:kern w:val="22"/>
                <w:szCs w:val="22"/>
              </w:rPr>
            </w:pPr>
            <w:r w:rsidRPr="006A6B17">
              <w:rPr>
                <w:b/>
                <w:color w:val="000000"/>
                <w:kern w:val="22"/>
                <w:szCs w:val="22"/>
              </w:rPr>
              <w:t>No.</w:t>
            </w:r>
          </w:p>
        </w:tc>
        <w:tc>
          <w:tcPr>
            <w:tcW w:w="3740" w:type="dxa"/>
            <w:tcBorders>
              <w:bottom w:val="single" w:sz="4" w:space="0" w:color="auto"/>
            </w:tcBorders>
            <w:shd w:val="clear" w:color="auto" w:fill="BFBFBF" w:themeFill="background1" w:themeFillShade="BF"/>
          </w:tcPr>
          <w:p w14:paraId="15860106" w14:textId="77777777" w:rsidR="00B67D69" w:rsidRPr="006A6B17" w:rsidRDefault="00B67D69" w:rsidP="006A6B17">
            <w:pPr>
              <w:keepNext/>
              <w:jc w:val="center"/>
              <w:rPr>
                <w:b/>
                <w:color w:val="000000"/>
                <w:kern w:val="22"/>
                <w:szCs w:val="22"/>
              </w:rPr>
            </w:pPr>
            <w:r w:rsidRPr="006A6B17">
              <w:rPr>
                <w:b/>
                <w:color w:val="000000"/>
                <w:kern w:val="22"/>
                <w:szCs w:val="22"/>
              </w:rPr>
              <w:t>Party</w:t>
            </w:r>
          </w:p>
        </w:tc>
        <w:tc>
          <w:tcPr>
            <w:tcW w:w="5245" w:type="dxa"/>
            <w:tcBorders>
              <w:bottom w:val="single" w:sz="4" w:space="0" w:color="auto"/>
            </w:tcBorders>
            <w:shd w:val="clear" w:color="auto" w:fill="BFBFBF" w:themeFill="background1" w:themeFillShade="BF"/>
          </w:tcPr>
          <w:p w14:paraId="50E1F0A9" w14:textId="77777777" w:rsidR="00B67D69" w:rsidRPr="006A6B17" w:rsidRDefault="00B67D69" w:rsidP="006A6B17">
            <w:pPr>
              <w:keepNext/>
              <w:jc w:val="center"/>
              <w:rPr>
                <w:b/>
                <w:color w:val="000000"/>
                <w:kern w:val="22"/>
                <w:szCs w:val="22"/>
              </w:rPr>
            </w:pPr>
            <w:r w:rsidRPr="006A6B17">
              <w:rPr>
                <w:b/>
                <w:color w:val="000000"/>
                <w:kern w:val="22"/>
                <w:szCs w:val="22"/>
              </w:rPr>
              <w:t>Member</w:t>
            </w:r>
          </w:p>
        </w:tc>
      </w:tr>
      <w:tr w:rsidR="00B67D69" w:rsidRPr="007C55E9" w14:paraId="5DEBC605" w14:textId="77777777" w:rsidTr="00375BA2">
        <w:trPr>
          <w:jc w:val="center"/>
        </w:trPr>
        <w:tc>
          <w:tcPr>
            <w:tcW w:w="508" w:type="dxa"/>
            <w:tcBorders>
              <w:top w:val="single" w:sz="4" w:space="0" w:color="auto"/>
            </w:tcBorders>
          </w:tcPr>
          <w:p w14:paraId="03B02788" w14:textId="77777777" w:rsidR="00B67D69" w:rsidRPr="006A6B17" w:rsidRDefault="00B67D69" w:rsidP="00375BA2">
            <w:pPr>
              <w:jc w:val="center"/>
              <w:rPr>
                <w:color w:val="000000"/>
                <w:kern w:val="22"/>
                <w:szCs w:val="22"/>
              </w:rPr>
            </w:pPr>
            <w:r w:rsidRPr="006A6B17">
              <w:rPr>
                <w:color w:val="000000"/>
                <w:kern w:val="22"/>
                <w:szCs w:val="22"/>
              </w:rPr>
              <w:t>1</w:t>
            </w:r>
          </w:p>
        </w:tc>
        <w:tc>
          <w:tcPr>
            <w:tcW w:w="3740" w:type="dxa"/>
            <w:tcBorders>
              <w:top w:val="single" w:sz="4" w:space="0" w:color="auto"/>
            </w:tcBorders>
          </w:tcPr>
          <w:p w14:paraId="17E93CAA" w14:textId="77777777" w:rsidR="00B67D69" w:rsidRPr="006A6B17" w:rsidRDefault="00B67D69" w:rsidP="00375BA2">
            <w:pPr>
              <w:jc w:val="left"/>
              <w:rPr>
                <w:color w:val="000000"/>
                <w:kern w:val="22"/>
                <w:szCs w:val="22"/>
              </w:rPr>
            </w:pPr>
            <w:r w:rsidRPr="006A6B17">
              <w:rPr>
                <w:color w:val="000000"/>
                <w:kern w:val="22"/>
                <w:szCs w:val="22"/>
              </w:rPr>
              <w:t>Belgium</w:t>
            </w:r>
          </w:p>
        </w:tc>
        <w:tc>
          <w:tcPr>
            <w:tcW w:w="5245" w:type="dxa"/>
            <w:tcBorders>
              <w:top w:val="single" w:sz="4" w:space="0" w:color="auto"/>
            </w:tcBorders>
          </w:tcPr>
          <w:p w14:paraId="69C8F855" w14:textId="77777777" w:rsidR="00B67D69" w:rsidRPr="006A6B17" w:rsidRDefault="00B67D69" w:rsidP="00375BA2">
            <w:pPr>
              <w:jc w:val="left"/>
              <w:rPr>
                <w:color w:val="000000"/>
                <w:kern w:val="22"/>
                <w:szCs w:val="22"/>
              </w:rPr>
            </w:pPr>
            <w:r w:rsidRPr="006A6B17">
              <w:rPr>
                <w:color w:val="000000"/>
                <w:kern w:val="22"/>
                <w:szCs w:val="22"/>
              </w:rPr>
              <w:t xml:space="preserve">Mr. Han de </w:t>
            </w:r>
            <w:proofErr w:type="spellStart"/>
            <w:r w:rsidRPr="006A6B17">
              <w:rPr>
                <w:color w:val="000000"/>
                <w:kern w:val="22"/>
                <w:szCs w:val="22"/>
              </w:rPr>
              <w:t>Koeijer</w:t>
            </w:r>
            <w:proofErr w:type="spellEnd"/>
            <w:r w:rsidRPr="006A6B17">
              <w:rPr>
                <w:color w:val="000000"/>
                <w:kern w:val="22"/>
                <w:szCs w:val="22"/>
              </w:rPr>
              <w:t xml:space="preserve"> - Chair</w:t>
            </w:r>
          </w:p>
        </w:tc>
      </w:tr>
      <w:tr w:rsidR="00B67D69" w:rsidRPr="007C55E9" w14:paraId="216F9EC0" w14:textId="77777777" w:rsidTr="00375BA2">
        <w:trPr>
          <w:jc w:val="center"/>
        </w:trPr>
        <w:tc>
          <w:tcPr>
            <w:tcW w:w="508" w:type="dxa"/>
            <w:tcBorders>
              <w:bottom w:val="single" w:sz="4" w:space="0" w:color="auto"/>
            </w:tcBorders>
          </w:tcPr>
          <w:p w14:paraId="3918924C" w14:textId="77777777" w:rsidR="00B67D69" w:rsidRPr="006A6B17" w:rsidRDefault="00B67D69" w:rsidP="00375BA2">
            <w:pPr>
              <w:jc w:val="center"/>
              <w:rPr>
                <w:color w:val="000000"/>
                <w:kern w:val="22"/>
                <w:szCs w:val="22"/>
              </w:rPr>
            </w:pPr>
            <w:r w:rsidRPr="006A6B17">
              <w:rPr>
                <w:color w:val="000000"/>
                <w:kern w:val="22"/>
                <w:szCs w:val="22"/>
              </w:rPr>
              <w:t>2</w:t>
            </w:r>
          </w:p>
        </w:tc>
        <w:tc>
          <w:tcPr>
            <w:tcW w:w="3740" w:type="dxa"/>
            <w:tcBorders>
              <w:bottom w:val="single" w:sz="4" w:space="0" w:color="auto"/>
            </w:tcBorders>
          </w:tcPr>
          <w:p w14:paraId="7EB13756" w14:textId="77777777" w:rsidR="00B67D69" w:rsidRPr="006A6B17" w:rsidRDefault="00B67D69" w:rsidP="00375BA2">
            <w:pPr>
              <w:jc w:val="left"/>
              <w:rPr>
                <w:color w:val="000000"/>
                <w:kern w:val="22"/>
                <w:szCs w:val="22"/>
              </w:rPr>
            </w:pPr>
            <w:r w:rsidRPr="006A6B17">
              <w:rPr>
                <w:color w:val="000000"/>
                <w:kern w:val="22"/>
                <w:szCs w:val="22"/>
              </w:rPr>
              <w:t>Canada</w:t>
            </w:r>
          </w:p>
        </w:tc>
        <w:tc>
          <w:tcPr>
            <w:tcW w:w="5245" w:type="dxa"/>
            <w:tcBorders>
              <w:bottom w:val="single" w:sz="4" w:space="0" w:color="auto"/>
            </w:tcBorders>
          </w:tcPr>
          <w:p w14:paraId="6FA4D440" w14:textId="77777777" w:rsidR="00B67D69" w:rsidRPr="006A6B17" w:rsidRDefault="00B67D69" w:rsidP="00375BA2">
            <w:pPr>
              <w:jc w:val="left"/>
              <w:rPr>
                <w:color w:val="000000"/>
                <w:kern w:val="22"/>
                <w:szCs w:val="22"/>
              </w:rPr>
            </w:pPr>
            <w:r w:rsidRPr="006A6B17">
              <w:rPr>
                <w:color w:val="000000"/>
                <w:kern w:val="22"/>
                <w:szCs w:val="22"/>
              </w:rPr>
              <w:t>Mr. Charles Shulman</w:t>
            </w:r>
            <w:r w:rsidRPr="006A6B17">
              <w:rPr>
                <w:rStyle w:val="FootnoteReference"/>
                <w:color w:val="000000"/>
                <w:kern w:val="22"/>
                <w:szCs w:val="22"/>
              </w:rPr>
              <w:footnoteReference w:id="1"/>
            </w:r>
          </w:p>
        </w:tc>
      </w:tr>
      <w:tr w:rsidR="00B67D69" w:rsidRPr="007C55E9" w14:paraId="036F38D8" w14:textId="77777777" w:rsidTr="00375BA2">
        <w:trPr>
          <w:jc w:val="center"/>
        </w:trPr>
        <w:tc>
          <w:tcPr>
            <w:tcW w:w="508" w:type="dxa"/>
            <w:tcBorders>
              <w:bottom w:val="single" w:sz="4" w:space="0" w:color="auto"/>
            </w:tcBorders>
          </w:tcPr>
          <w:p w14:paraId="5229FD32" w14:textId="77777777" w:rsidR="00B67D69" w:rsidRPr="006A6B17" w:rsidRDefault="00B67D69" w:rsidP="00375BA2">
            <w:pPr>
              <w:jc w:val="center"/>
              <w:rPr>
                <w:color w:val="000000"/>
                <w:kern w:val="22"/>
                <w:szCs w:val="22"/>
              </w:rPr>
            </w:pPr>
            <w:r w:rsidRPr="006A6B17">
              <w:rPr>
                <w:color w:val="000000"/>
                <w:kern w:val="22"/>
                <w:szCs w:val="22"/>
              </w:rPr>
              <w:t>3</w:t>
            </w:r>
          </w:p>
        </w:tc>
        <w:tc>
          <w:tcPr>
            <w:tcW w:w="3740" w:type="dxa"/>
            <w:tcBorders>
              <w:bottom w:val="single" w:sz="4" w:space="0" w:color="auto"/>
            </w:tcBorders>
          </w:tcPr>
          <w:p w14:paraId="2FE35203" w14:textId="77777777" w:rsidR="00B67D69" w:rsidRPr="006A6B17" w:rsidRDefault="00B67D69" w:rsidP="00375BA2">
            <w:pPr>
              <w:jc w:val="left"/>
              <w:rPr>
                <w:color w:val="000000"/>
                <w:kern w:val="22"/>
                <w:szCs w:val="22"/>
              </w:rPr>
            </w:pPr>
            <w:r w:rsidRPr="006A6B17">
              <w:rPr>
                <w:color w:val="000000"/>
                <w:kern w:val="22"/>
                <w:szCs w:val="22"/>
              </w:rPr>
              <w:t>China</w:t>
            </w:r>
          </w:p>
        </w:tc>
        <w:tc>
          <w:tcPr>
            <w:tcW w:w="5245" w:type="dxa"/>
            <w:tcBorders>
              <w:bottom w:val="single" w:sz="4" w:space="0" w:color="auto"/>
            </w:tcBorders>
          </w:tcPr>
          <w:p w14:paraId="3ECE17AE" w14:textId="77777777" w:rsidR="00B67D69" w:rsidRPr="006A6B17" w:rsidRDefault="00B67D69" w:rsidP="00375BA2">
            <w:pPr>
              <w:jc w:val="left"/>
              <w:rPr>
                <w:color w:val="000000"/>
                <w:kern w:val="22"/>
                <w:szCs w:val="22"/>
              </w:rPr>
            </w:pPr>
            <w:r w:rsidRPr="006A6B17">
              <w:rPr>
                <w:color w:val="000000"/>
                <w:kern w:val="22"/>
                <w:szCs w:val="22"/>
              </w:rPr>
              <w:t xml:space="preserve">Ms. </w:t>
            </w:r>
            <w:r w:rsidR="009B4043" w:rsidRPr="006A6B17">
              <w:rPr>
                <w:color w:val="000000"/>
                <w:kern w:val="22"/>
                <w:szCs w:val="22"/>
              </w:rPr>
              <w:t xml:space="preserve">Zou </w:t>
            </w:r>
            <w:proofErr w:type="spellStart"/>
            <w:r w:rsidR="009B4043" w:rsidRPr="006A6B17">
              <w:rPr>
                <w:color w:val="000000"/>
                <w:kern w:val="22"/>
                <w:szCs w:val="22"/>
              </w:rPr>
              <w:t>Yeuyu</w:t>
            </w:r>
            <w:proofErr w:type="spellEnd"/>
          </w:p>
        </w:tc>
      </w:tr>
      <w:tr w:rsidR="00B67D69" w:rsidRPr="007C55E9" w14:paraId="32C09468" w14:textId="77777777" w:rsidTr="00375BA2">
        <w:trPr>
          <w:jc w:val="center"/>
        </w:trPr>
        <w:tc>
          <w:tcPr>
            <w:tcW w:w="508" w:type="dxa"/>
            <w:tcBorders>
              <w:bottom w:val="single" w:sz="4" w:space="0" w:color="auto"/>
            </w:tcBorders>
          </w:tcPr>
          <w:p w14:paraId="5CE466A5" w14:textId="77777777" w:rsidR="00B67D69" w:rsidRPr="006A6B17" w:rsidRDefault="00B67D69" w:rsidP="00375BA2">
            <w:pPr>
              <w:jc w:val="center"/>
              <w:rPr>
                <w:color w:val="000000"/>
                <w:kern w:val="22"/>
                <w:szCs w:val="22"/>
              </w:rPr>
            </w:pPr>
            <w:r w:rsidRPr="006A6B17">
              <w:rPr>
                <w:color w:val="000000"/>
                <w:kern w:val="22"/>
                <w:szCs w:val="22"/>
              </w:rPr>
              <w:t>4</w:t>
            </w:r>
          </w:p>
        </w:tc>
        <w:tc>
          <w:tcPr>
            <w:tcW w:w="3740" w:type="dxa"/>
            <w:tcBorders>
              <w:bottom w:val="single" w:sz="4" w:space="0" w:color="auto"/>
            </w:tcBorders>
          </w:tcPr>
          <w:p w14:paraId="4142C047" w14:textId="77777777" w:rsidR="00B67D69" w:rsidRPr="006A6B17" w:rsidRDefault="00B67D69" w:rsidP="00375BA2">
            <w:pPr>
              <w:jc w:val="left"/>
              <w:rPr>
                <w:color w:val="000000"/>
                <w:kern w:val="22"/>
                <w:szCs w:val="22"/>
              </w:rPr>
            </w:pPr>
            <w:r w:rsidRPr="006A6B17">
              <w:rPr>
                <w:color w:val="000000"/>
                <w:kern w:val="22"/>
                <w:szCs w:val="22"/>
              </w:rPr>
              <w:t>Jamaica</w:t>
            </w:r>
          </w:p>
        </w:tc>
        <w:tc>
          <w:tcPr>
            <w:tcW w:w="5245" w:type="dxa"/>
            <w:tcBorders>
              <w:bottom w:val="single" w:sz="4" w:space="0" w:color="auto"/>
            </w:tcBorders>
          </w:tcPr>
          <w:p w14:paraId="38D732B1" w14:textId="77777777" w:rsidR="00B67D69" w:rsidRPr="006A6B17" w:rsidRDefault="00B67D69" w:rsidP="00375BA2">
            <w:pPr>
              <w:jc w:val="left"/>
              <w:rPr>
                <w:color w:val="000000"/>
                <w:kern w:val="22"/>
                <w:szCs w:val="22"/>
              </w:rPr>
            </w:pPr>
            <w:r w:rsidRPr="006A6B17">
              <w:rPr>
                <w:color w:val="000000"/>
                <w:kern w:val="22"/>
                <w:szCs w:val="22"/>
              </w:rPr>
              <w:t>Ms. Suzanne Davis</w:t>
            </w:r>
            <w:r w:rsidRPr="006A6B17">
              <w:rPr>
                <w:rStyle w:val="FootnoteReference"/>
                <w:color w:val="000000"/>
                <w:kern w:val="22"/>
                <w:szCs w:val="22"/>
              </w:rPr>
              <w:footnoteReference w:id="2"/>
            </w:r>
          </w:p>
        </w:tc>
      </w:tr>
      <w:tr w:rsidR="00B67D69" w:rsidRPr="007C55E9" w14:paraId="49ACD3A4" w14:textId="77777777" w:rsidTr="00375BA2">
        <w:trPr>
          <w:jc w:val="center"/>
        </w:trPr>
        <w:tc>
          <w:tcPr>
            <w:tcW w:w="508" w:type="dxa"/>
            <w:tcBorders>
              <w:top w:val="single" w:sz="4" w:space="0" w:color="auto"/>
            </w:tcBorders>
          </w:tcPr>
          <w:p w14:paraId="210A2709" w14:textId="77777777" w:rsidR="00B67D69" w:rsidRPr="006A6B17" w:rsidRDefault="00B67D69" w:rsidP="00375BA2">
            <w:pPr>
              <w:jc w:val="center"/>
              <w:rPr>
                <w:color w:val="000000"/>
                <w:kern w:val="22"/>
                <w:szCs w:val="22"/>
              </w:rPr>
            </w:pPr>
            <w:r w:rsidRPr="006A6B17">
              <w:rPr>
                <w:color w:val="000000"/>
                <w:kern w:val="22"/>
                <w:szCs w:val="22"/>
              </w:rPr>
              <w:t>5</w:t>
            </w:r>
          </w:p>
        </w:tc>
        <w:tc>
          <w:tcPr>
            <w:tcW w:w="3740" w:type="dxa"/>
            <w:tcBorders>
              <w:top w:val="single" w:sz="4" w:space="0" w:color="auto"/>
            </w:tcBorders>
          </w:tcPr>
          <w:p w14:paraId="1D88422A" w14:textId="77777777" w:rsidR="00B67D69" w:rsidRPr="006A6B17" w:rsidRDefault="00B67D69" w:rsidP="00375BA2">
            <w:pPr>
              <w:jc w:val="left"/>
              <w:rPr>
                <w:color w:val="000000"/>
                <w:kern w:val="22"/>
                <w:szCs w:val="22"/>
              </w:rPr>
            </w:pPr>
            <w:r w:rsidRPr="006A6B17">
              <w:rPr>
                <w:color w:val="000000"/>
                <w:kern w:val="22"/>
                <w:szCs w:val="22"/>
              </w:rPr>
              <w:t>Morocco</w:t>
            </w:r>
          </w:p>
        </w:tc>
        <w:tc>
          <w:tcPr>
            <w:tcW w:w="5245" w:type="dxa"/>
            <w:tcBorders>
              <w:top w:val="single" w:sz="4" w:space="0" w:color="auto"/>
            </w:tcBorders>
          </w:tcPr>
          <w:p w14:paraId="0F5EFA16" w14:textId="77777777" w:rsidR="00B67D69" w:rsidRPr="006A6B17" w:rsidRDefault="00B67D69" w:rsidP="00375BA2">
            <w:pPr>
              <w:jc w:val="left"/>
              <w:rPr>
                <w:color w:val="000000"/>
                <w:kern w:val="22"/>
                <w:szCs w:val="22"/>
              </w:rPr>
            </w:pPr>
            <w:r w:rsidRPr="006A6B17">
              <w:rPr>
                <w:color w:val="000000"/>
                <w:kern w:val="22"/>
                <w:szCs w:val="22"/>
              </w:rPr>
              <w:t xml:space="preserve">Mr. Mostafa </w:t>
            </w:r>
            <w:proofErr w:type="spellStart"/>
            <w:r w:rsidRPr="006A6B17">
              <w:rPr>
                <w:color w:val="000000"/>
                <w:kern w:val="22"/>
                <w:szCs w:val="22"/>
              </w:rPr>
              <w:t>Madbouhi</w:t>
            </w:r>
            <w:proofErr w:type="spellEnd"/>
            <w:r w:rsidRPr="006A6B17">
              <w:rPr>
                <w:rStyle w:val="FootnoteReference"/>
                <w:color w:val="000000"/>
                <w:kern w:val="22"/>
                <w:szCs w:val="22"/>
              </w:rPr>
              <w:footnoteReference w:id="3"/>
            </w:r>
          </w:p>
        </w:tc>
      </w:tr>
      <w:tr w:rsidR="00B67D69" w:rsidRPr="007C55E9" w14:paraId="39EAFF5E" w14:textId="77777777" w:rsidTr="00375BA2">
        <w:trPr>
          <w:jc w:val="center"/>
        </w:trPr>
        <w:tc>
          <w:tcPr>
            <w:tcW w:w="508" w:type="dxa"/>
            <w:tcBorders>
              <w:bottom w:val="single" w:sz="4" w:space="0" w:color="auto"/>
            </w:tcBorders>
          </w:tcPr>
          <w:p w14:paraId="06401685" w14:textId="77777777" w:rsidR="00B67D69" w:rsidRPr="006A6B17" w:rsidRDefault="00B67D69" w:rsidP="00B67D69">
            <w:pPr>
              <w:jc w:val="center"/>
              <w:rPr>
                <w:color w:val="000000"/>
                <w:kern w:val="22"/>
                <w:szCs w:val="22"/>
              </w:rPr>
            </w:pPr>
            <w:r w:rsidRPr="006A6B17">
              <w:rPr>
                <w:color w:val="000000"/>
                <w:kern w:val="22"/>
                <w:szCs w:val="22"/>
              </w:rPr>
              <w:lastRenderedPageBreak/>
              <w:t>6</w:t>
            </w:r>
          </w:p>
        </w:tc>
        <w:tc>
          <w:tcPr>
            <w:tcW w:w="3740" w:type="dxa"/>
            <w:tcBorders>
              <w:bottom w:val="single" w:sz="4" w:space="0" w:color="auto"/>
            </w:tcBorders>
          </w:tcPr>
          <w:p w14:paraId="63AC9AEC" w14:textId="77777777" w:rsidR="00B67D69" w:rsidRPr="006A6B17" w:rsidRDefault="00B67D69" w:rsidP="00B67D69">
            <w:pPr>
              <w:jc w:val="left"/>
              <w:rPr>
                <w:color w:val="000000"/>
                <w:kern w:val="22"/>
                <w:szCs w:val="22"/>
              </w:rPr>
            </w:pPr>
            <w:r w:rsidRPr="006A6B17">
              <w:rPr>
                <w:color w:val="000000"/>
                <w:kern w:val="22"/>
                <w:szCs w:val="22"/>
              </w:rPr>
              <w:t>Ukraine</w:t>
            </w:r>
          </w:p>
        </w:tc>
        <w:tc>
          <w:tcPr>
            <w:tcW w:w="5245" w:type="dxa"/>
            <w:tcBorders>
              <w:bottom w:val="single" w:sz="4" w:space="0" w:color="auto"/>
            </w:tcBorders>
          </w:tcPr>
          <w:p w14:paraId="6FC028D2" w14:textId="77777777" w:rsidR="00B67D69" w:rsidRPr="006A6B17" w:rsidRDefault="00B67D69" w:rsidP="00B67D69">
            <w:pPr>
              <w:jc w:val="left"/>
              <w:rPr>
                <w:color w:val="000000"/>
                <w:kern w:val="22"/>
                <w:szCs w:val="22"/>
              </w:rPr>
            </w:pPr>
            <w:r w:rsidRPr="006A6B17">
              <w:rPr>
                <w:color w:val="000000"/>
                <w:kern w:val="22"/>
                <w:szCs w:val="22"/>
              </w:rPr>
              <w:t xml:space="preserve">Ms. Yuliya </w:t>
            </w:r>
            <w:proofErr w:type="spellStart"/>
            <w:r w:rsidRPr="006A6B17">
              <w:rPr>
                <w:color w:val="000000"/>
                <w:kern w:val="22"/>
                <w:szCs w:val="22"/>
              </w:rPr>
              <w:t>Bondarenko</w:t>
            </w:r>
            <w:proofErr w:type="spellEnd"/>
            <w:r w:rsidRPr="006A6B17">
              <w:rPr>
                <w:rStyle w:val="FootnoteReference"/>
                <w:color w:val="000000"/>
                <w:kern w:val="22"/>
                <w:szCs w:val="22"/>
              </w:rPr>
              <w:footnoteReference w:id="4"/>
            </w:r>
          </w:p>
        </w:tc>
      </w:tr>
      <w:tr w:rsidR="00B67D69" w:rsidRPr="007C55E9" w:rsidDel="000A6DCE" w14:paraId="31B5C908" w14:textId="77777777" w:rsidTr="00375BA2">
        <w:trPr>
          <w:tblHeader/>
          <w:jc w:val="center"/>
        </w:trPr>
        <w:tc>
          <w:tcPr>
            <w:tcW w:w="508" w:type="dxa"/>
            <w:tcBorders>
              <w:bottom w:val="single" w:sz="4" w:space="0" w:color="auto"/>
            </w:tcBorders>
            <w:shd w:val="clear" w:color="auto" w:fill="BFBFBF" w:themeFill="background1" w:themeFillShade="BF"/>
          </w:tcPr>
          <w:p w14:paraId="07539564" w14:textId="77777777" w:rsidR="00B67D69" w:rsidRPr="006A6B17" w:rsidRDefault="00B67D69" w:rsidP="00B67D69">
            <w:pPr>
              <w:keepNext/>
              <w:jc w:val="center"/>
              <w:rPr>
                <w:b/>
                <w:color w:val="000000"/>
                <w:kern w:val="22"/>
                <w:szCs w:val="22"/>
              </w:rPr>
            </w:pPr>
          </w:p>
        </w:tc>
        <w:tc>
          <w:tcPr>
            <w:tcW w:w="3740" w:type="dxa"/>
            <w:tcBorders>
              <w:bottom w:val="single" w:sz="4" w:space="0" w:color="auto"/>
            </w:tcBorders>
            <w:shd w:val="clear" w:color="auto" w:fill="BFBFBF" w:themeFill="background1" w:themeFillShade="BF"/>
          </w:tcPr>
          <w:p w14:paraId="2C96C172" w14:textId="77777777" w:rsidR="00B67D69" w:rsidRPr="006A6B17" w:rsidRDefault="00B67D69" w:rsidP="00B67D69">
            <w:pPr>
              <w:keepNext/>
              <w:tabs>
                <w:tab w:val="left" w:pos="900"/>
              </w:tabs>
              <w:jc w:val="left"/>
              <w:rPr>
                <w:b/>
                <w:color w:val="000000"/>
                <w:kern w:val="22"/>
                <w:szCs w:val="22"/>
              </w:rPr>
            </w:pPr>
            <w:r w:rsidRPr="006A6B17">
              <w:rPr>
                <w:b/>
                <w:color w:val="000000"/>
                <w:kern w:val="22"/>
                <w:szCs w:val="22"/>
              </w:rPr>
              <w:t>Partner organization</w:t>
            </w:r>
          </w:p>
        </w:tc>
        <w:tc>
          <w:tcPr>
            <w:tcW w:w="5245" w:type="dxa"/>
            <w:tcBorders>
              <w:bottom w:val="single" w:sz="4" w:space="0" w:color="auto"/>
            </w:tcBorders>
            <w:shd w:val="clear" w:color="auto" w:fill="BFBFBF" w:themeFill="background1" w:themeFillShade="BF"/>
          </w:tcPr>
          <w:p w14:paraId="2E87FB05" w14:textId="77777777" w:rsidR="00B67D69" w:rsidRPr="006A6B17" w:rsidRDefault="00B67D69" w:rsidP="00B67D69">
            <w:pPr>
              <w:keepNext/>
              <w:jc w:val="left"/>
              <w:rPr>
                <w:b/>
                <w:color w:val="000000"/>
                <w:kern w:val="22"/>
                <w:szCs w:val="22"/>
              </w:rPr>
            </w:pPr>
            <w:r w:rsidRPr="006A6B17">
              <w:rPr>
                <w:b/>
                <w:color w:val="000000"/>
                <w:kern w:val="22"/>
                <w:szCs w:val="22"/>
              </w:rPr>
              <w:t>Member</w:t>
            </w:r>
          </w:p>
        </w:tc>
      </w:tr>
      <w:tr w:rsidR="00B67D69" w:rsidRPr="007C55E9" w14:paraId="239CECB3" w14:textId="77777777" w:rsidTr="00375BA2">
        <w:trPr>
          <w:jc w:val="center"/>
        </w:trPr>
        <w:tc>
          <w:tcPr>
            <w:tcW w:w="508" w:type="dxa"/>
          </w:tcPr>
          <w:p w14:paraId="25EE060F" w14:textId="77777777" w:rsidR="00B67D69" w:rsidRPr="006A6B17" w:rsidRDefault="00B67D69" w:rsidP="00B67D69">
            <w:pPr>
              <w:jc w:val="center"/>
              <w:rPr>
                <w:color w:val="000000"/>
                <w:kern w:val="22"/>
                <w:szCs w:val="22"/>
              </w:rPr>
            </w:pPr>
            <w:r w:rsidRPr="006A6B17">
              <w:rPr>
                <w:color w:val="000000"/>
                <w:kern w:val="22"/>
                <w:szCs w:val="22"/>
              </w:rPr>
              <w:t>7</w:t>
            </w:r>
          </w:p>
        </w:tc>
        <w:tc>
          <w:tcPr>
            <w:tcW w:w="3740" w:type="dxa"/>
          </w:tcPr>
          <w:p w14:paraId="376B323C" w14:textId="77777777" w:rsidR="00B67D69" w:rsidRPr="006A6B17" w:rsidRDefault="00B67D69" w:rsidP="00B67D69">
            <w:pPr>
              <w:jc w:val="left"/>
              <w:rPr>
                <w:color w:val="000000"/>
                <w:kern w:val="22"/>
                <w:szCs w:val="22"/>
              </w:rPr>
            </w:pPr>
            <w:r w:rsidRPr="006A6B17">
              <w:rPr>
                <w:color w:val="000000"/>
                <w:kern w:val="22"/>
                <w:szCs w:val="22"/>
              </w:rPr>
              <w:t>ASEAN Centre for Biodiversity</w:t>
            </w:r>
          </w:p>
        </w:tc>
        <w:tc>
          <w:tcPr>
            <w:tcW w:w="5245" w:type="dxa"/>
          </w:tcPr>
          <w:p w14:paraId="2672F7E6" w14:textId="77777777" w:rsidR="00B67D69" w:rsidRPr="006A6B17" w:rsidRDefault="00B67D69" w:rsidP="00B67D69">
            <w:pPr>
              <w:jc w:val="left"/>
              <w:rPr>
                <w:color w:val="000000"/>
                <w:kern w:val="22"/>
                <w:szCs w:val="22"/>
              </w:rPr>
            </w:pPr>
            <w:r w:rsidRPr="006A6B17">
              <w:rPr>
                <w:color w:val="000000"/>
                <w:kern w:val="22"/>
                <w:szCs w:val="22"/>
              </w:rPr>
              <w:t>Ms. Sheila Vergara</w:t>
            </w:r>
          </w:p>
        </w:tc>
      </w:tr>
      <w:tr w:rsidR="00B67D69" w:rsidRPr="007C55E9" w14:paraId="26E43312" w14:textId="77777777" w:rsidTr="00375BA2">
        <w:trPr>
          <w:jc w:val="center"/>
        </w:trPr>
        <w:tc>
          <w:tcPr>
            <w:tcW w:w="508" w:type="dxa"/>
            <w:tcBorders>
              <w:bottom w:val="single" w:sz="4" w:space="0" w:color="auto"/>
            </w:tcBorders>
          </w:tcPr>
          <w:p w14:paraId="56316711" w14:textId="77777777" w:rsidR="00B67D69" w:rsidRPr="006A6B17" w:rsidRDefault="00B67D69" w:rsidP="00B67D69">
            <w:pPr>
              <w:jc w:val="center"/>
              <w:rPr>
                <w:color w:val="000000"/>
                <w:kern w:val="22"/>
                <w:szCs w:val="22"/>
              </w:rPr>
            </w:pPr>
            <w:r w:rsidRPr="006A6B17">
              <w:rPr>
                <w:color w:val="000000"/>
                <w:kern w:val="22"/>
                <w:szCs w:val="22"/>
              </w:rPr>
              <w:t>8</w:t>
            </w:r>
          </w:p>
        </w:tc>
        <w:tc>
          <w:tcPr>
            <w:tcW w:w="3740" w:type="dxa"/>
            <w:tcBorders>
              <w:bottom w:val="single" w:sz="4" w:space="0" w:color="auto"/>
            </w:tcBorders>
          </w:tcPr>
          <w:p w14:paraId="404BE16D" w14:textId="77777777" w:rsidR="00B67D69" w:rsidRPr="006A6B17" w:rsidRDefault="00B67D69" w:rsidP="00B67D69">
            <w:pPr>
              <w:jc w:val="left"/>
              <w:rPr>
                <w:color w:val="000000"/>
                <w:kern w:val="22"/>
                <w:szCs w:val="22"/>
              </w:rPr>
            </w:pPr>
            <w:r w:rsidRPr="006A6B17">
              <w:rPr>
                <w:color w:val="000000"/>
                <w:kern w:val="22"/>
                <w:szCs w:val="22"/>
              </w:rPr>
              <w:t>UNEP-WCMC</w:t>
            </w:r>
          </w:p>
        </w:tc>
        <w:tc>
          <w:tcPr>
            <w:tcW w:w="5245" w:type="dxa"/>
            <w:tcBorders>
              <w:bottom w:val="single" w:sz="4" w:space="0" w:color="auto"/>
            </w:tcBorders>
          </w:tcPr>
          <w:p w14:paraId="3A13DBCE" w14:textId="77777777" w:rsidR="00B67D69" w:rsidRPr="006A6B17" w:rsidRDefault="00B67D69" w:rsidP="00B67D69">
            <w:pPr>
              <w:jc w:val="left"/>
              <w:rPr>
                <w:color w:val="000000"/>
                <w:kern w:val="22"/>
                <w:szCs w:val="22"/>
              </w:rPr>
            </w:pPr>
            <w:r w:rsidRPr="006A6B17">
              <w:rPr>
                <w:color w:val="000000"/>
                <w:kern w:val="22"/>
                <w:szCs w:val="22"/>
              </w:rPr>
              <w:t>Mr. Jerry Harrison</w:t>
            </w:r>
          </w:p>
        </w:tc>
      </w:tr>
      <w:tr w:rsidR="00B67D69" w:rsidRPr="007C55E9" w14:paraId="1EE21377" w14:textId="77777777" w:rsidTr="00375BA2">
        <w:trPr>
          <w:jc w:val="center"/>
        </w:trPr>
        <w:tc>
          <w:tcPr>
            <w:tcW w:w="508" w:type="dxa"/>
            <w:shd w:val="clear" w:color="auto" w:fill="BFBFBF" w:themeFill="background1" w:themeFillShade="BF"/>
          </w:tcPr>
          <w:p w14:paraId="1B880D16" w14:textId="77777777" w:rsidR="00B67D69" w:rsidRPr="006A6B17" w:rsidRDefault="00B67D69" w:rsidP="00B67D69">
            <w:pPr>
              <w:keepNext/>
              <w:jc w:val="center"/>
              <w:rPr>
                <w:b/>
                <w:color w:val="000000"/>
                <w:kern w:val="22"/>
                <w:szCs w:val="22"/>
                <w14:shadow w14:blurRad="50800" w14:dist="50800" w14:dir="5400000" w14:sx="0" w14:sy="0" w14:kx="0" w14:ky="0" w14:algn="ctr">
                  <w14:schemeClr w14:val="tx1">
                    <w14:lumMod w14:val="50000"/>
                    <w14:lumOff w14:val="50000"/>
                  </w14:schemeClr>
                </w14:shadow>
              </w:rPr>
            </w:pPr>
          </w:p>
        </w:tc>
        <w:tc>
          <w:tcPr>
            <w:tcW w:w="3740" w:type="dxa"/>
            <w:shd w:val="clear" w:color="auto" w:fill="BFBFBF" w:themeFill="background1" w:themeFillShade="BF"/>
          </w:tcPr>
          <w:p w14:paraId="4D6ACCC6" w14:textId="77777777" w:rsidR="00B67D69" w:rsidRPr="006A6B17" w:rsidRDefault="00B67D69" w:rsidP="00B67D69">
            <w:pPr>
              <w:keepNext/>
              <w:tabs>
                <w:tab w:val="left" w:pos="900"/>
              </w:tabs>
              <w:jc w:val="left"/>
              <w:rPr>
                <w:b/>
                <w:color w:val="000000"/>
                <w:kern w:val="22"/>
                <w:szCs w:val="22"/>
                <w14:shadow w14:blurRad="50800" w14:dist="50800" w14:dir="5400000" w14:sx="0" w14:sy="0" w14:kx="0" w14:ky="0" w14:algn="ctr">
                  <w14:schemeClr w14:val="tx1">
                    <w14:lumMod w14:val="50000"/>
                    <w14:lumOff w14:val="50000"/>
                  </w14:schemeClr>
                </w14:shadow>
              </w:rPr>
            </w:pPr>
          </w:p>
        </w:tc>
        <w:tc>
          <w:tcPr>
            <w:tcW w:w="5245" w:type="dxa"/>
            <w:shd w:val="clear" w:color="auto" w:fill="BFBFBF" w:themeFill="background1" w:themeFillShade="BF"/>
          </w:tcPr>
          <w:p w14:paraId="153EA239" w14:textId="77777777" w:rsidR="00B67D69" w:rsidRPr="006A6B17" w:rsidRDefault="00B67D69" w:rsidP="00B67D69">
            <w:pPr>
              <w:keepNext/>
              <w:jc w:val="left"/>
              <w:rPr>
                <w:b/>
                <w:color w:val="000000"/>
                <w:kern w:val="22"/>
                <w:szCs w:val="22"/>
                <w14:shadow w14:blurRad="50800" w14:dist="50800" w14:dir="5400000" w14:sx="0" w14:sy="0" w14:kx="0" w14:ky="0" w14:algn="ctr">
                  <w14:schemeClr w14:val="tx1">
                    <w14:lumMod w14:val="50000"/>
                    <w14:lumOff w14:val="50000"/>
                  </w14:schemeClr>
                </w14:shadow>
              </w:rPr>
            </w:pPr>
            <w:r w:rsidRPr="006A6B17">
              <w:rPr>
                <w:b/>
                <w:color w:val="000000"/>
                <w:kern w:val="22"/>
                <w:szCs w:val="22"/>
                <w14:shadow w14:blurRad="50800" w14:dist="50800" w14:dir="5400000" w14:sx="0" w14:sy="0" w14:kx="0" w14:ky="0" w14:algn="ctr">
                  <w14:schemeClr w14:val="tx1">
                    <w14:lumMod w14:val="50000"/>
                    <w14:lumOff w14:val="50000"/>
                  </w14:schemeClr>
                </w14:shadow>
              </w:rPr>
              <w:t>Observer</w:t>
            </w:r>
            <w:r w:rsidR="009C5969" w:rsidRPr="006A6B17">
              <w:rPr>
                <w:b/>
                <w:color w:val="000000"/>
                <w:kern w:val="22"/>
                <w:szCs w:val="22"/>
                <w14:shadow w14:blurRad="50800" w14:dist="50800" w14:dir="5400000" w14:sx="0" w14:sy="0" w14:kx="0" w14:ky="0" w14:algn="ctr">
                  <w14:schemeClr w14:val="tx1">
                    <w14:lumMod w14:val="50000"/>
                    <w14:lumOff w14:val="50000"/>
                  </w14:schemeClr>
                </w14:shadow>
              </w:rPr>
              <w:t>s</w:t>
            </w:r>
          </w:p>
        </w:tc>
      </w:tr>
      <w:tr w:rsidR="00B67D69" w:rsidRPr="007C55E9" w14:paraId="326FF5D3" w14:textId="77777777" w:rsidTr="00375BA2">
        <w:trPr>
          <w:jc w:val="center"/>
        </w:trPr>
        <w:tc>
          <w:tcPr>
            <w:tcW w:w="508" w:type="dxa"/>
          </w:tcPr>
          <w:p w14:paraId="62117CE4" w14:textId="77777777" w:rsidR="00B67D69" w:rsidRPr="006A6B17" w:rsidRDefault="00B67D69" w:rsidP="00B67D69">
            <w:pPr>
              <w:keepNext/>
              <w:jc w:val="center"/>
              <w:rPr>
                <w:b/>
                <w:i/>
                <w:color w:val="000000"/>
                <w:kern w:val="22"/>
                <w:szCs w:val="22"/>
              </w:rPr>
            </w:pPr>
            <w:r w:rsidRPr="006A6B17">
              <w:rPr>
                <w:color w:val="000000"/>
                <w:kern w:val="22"/>
                <w:szCs w:val="22"/>
              </w:rPr>
              <w:t>9</w:t>
            </w:r>
          </w:p>
        </w:tc>
        <w:tc>
          <w:tcPr>
            <w:tcW w:w="3740" w:type="dxa"/>
          </w:tcPr>
          <w:p w14:paraId="53F12DAA" w14:textId="77777777" w:rsidR="00B67D69" w:rsidRPr="006A6B17" w:rsidRDefault="00B67D69" w:rsidP="00B67D69">
            <w:pPr>
              <w:jc w:val="left"/>
              <w:rPr>
                <w:color w:val="000000"/>
                <w:kern w:val="22"/>
                <w:szCs w:val="22"/>
              </w:rPr>
            </w:pPr>
            <w:r w:rsidRPr="006A6B17">
              <w:rPr>
                <w:color w:val="000000"/>
                <w:kern w:val="22"/>
                <w:szCs w:val="22"/>
              </w:rPr>
              <w:t>Global Biodiversity Information Forum</w:t>
            </w:r>
          </w:p>
        </w:tc>
        <w:tc>
          <w:tcPr>
            <w:tcW w:w="5245" w:type="dxa"/>
          </w:tcPr>
          <w:p w14:paraId="6671AFBE" w14:textId="77777777" w:rsidR="00B67D69" w:rsidRPr="006A6B17" w:rsidRDefault="00B67D69" w:rsidP="00B67D69">
            <w:pPr>
              <w:jc w:val="left"/>
              <w:rPr>
                <w:color w:val="000000"/>
                <w:kern w:val="22"/>
                <w:szCs w:val="22"/>
              </w:rPr>
            </w:pPr>
            <w:r w:rsidRPr="006A6B17">
              <w:rPr>
                <w:color w:val="000000"/>
                <w:kern w:val="22"/>
                <w:szCs w:val="22"/>
              </w:rPr>
              <w:t>Mr. Tim Hirsch</w:t>
            </w:r>
          </w:p>
        </w:tc>
      </w:tr>
      <w:tr w:rsidR="00B67D69" w:rsidRPr="007C55E9" w14:paraId="391E14B8" w14:textId="77777777" w:rsidTr="00375BA2">
        <w:trPr>
          <w:jc w:val="center"/>
        </w:trPr>
        <w:tc>
          <w:tcPr>
            <w:tcW w:w="508" w:type="dxa"/>
          </w:tcPr>
          <w:p w14:paraId="0C36656A" w14:textId="77777777" w:rsidR="00B67D69" w:rsidRPr="006A6B17" w:rsidRDefault="00B67D69" w:rsidP="00B67D69">
            <w:pPr>
              <w:keepNext/>
              <w:jc w:val="center"/>
              <w:rPr>
                <w:color w:val="000000"/>
                <w:kern w:val="22"/>
                <w:szCs w:val="22"/>
              </w:rPr>
            </w:pPr>
            <w:r w:rsidRPr="006A6B17">
              <w:rPr>
                <w:color w:val="000000"/>
                <w:kern w:val="22"/>
                <w:szCs w:val="22"/>
              </w:rPr>
              <w:t>10</w:t>
            </w:r>
          </w:p>
        </w:tc>
        <w:tc>
          <w:tcPr>
            <w:tcW w:w="3740" w:type="dxa"/>
          </w:tcPr>
          <w:p w14:paraId="1DDD4B1B" w14:textId="77777777" w:rsidR="00B67D69" w:rsidRPr="006A6B17" w:rsidRDefault="00B67D69" w:rsidP="00B67D69">
            <w:pPr>
              <w:jc w:val="left"/>
              <w:rPr>
                <w:color w:val="000000"/>
                <w:kern w:val="22"/>
                <w:szCs w:val="22"/>
              </w:rPr>
            </w:pPr>
            <w:r w:rsidRPr="006A6B17">
              <w:rPr>
                <w:color w:val="000000"/>
                <w:kern w:val="22"/>
                <w:szCs w:val="22"/>
              </w:rPr>
              <w:t>France</w:t>
            </w:r>
          </w:p>
        </w:tc>
        <w:tc>
          <w:tcPr>
            <w:tcW w:w="5245" w:type="dxa"/>
          </w:tcPr>
          <w:p w14:paraId="4D971C1B" w14:textId="77777777" w:rsidR="00B67D69" w:rsidRPr="006A6B17" w:rsidRDefault="00B67D69" w:rsidP="00B67D69">
            <w:pPr>
              <w:jc w:val="left"/>
              <w:rPr>
                <w:color w:val="000000"/>
                <w:kern w:val="22"/>
                <w:szCs w:val="22"/>
              </w:rPr>
            </w:pPr>
            <w:r w:rsidRPr="006A6B17">
              <w:rPr>
                <w:color w:val="000000"/>
                <w:kern w:val="22"/>
                <w:szCs w:val="22"/>
              </w:rPr>
              <w:t xml:space="preserve">Mr. </w:t>
            </w:r>
            <w:r w:rsidR="009B4043" w:rsidRPr="006A6B17">
              <w:rPr>
                <w:color w:val="000000"/>
                <w:kern w:val="22"/>
                <w:szCs w:val="22"/>
              </w:rPr>
              <w:t>Denis Duclos</w:t>
            </w:r>
          </w:p>
        </w:tc>
      </w:tr>
      <w:tr w:rsidR="00B67D69" w:rsidRPr="007C55E9" w14:paraId="027CFF6E" w14:textId="77777777" w:rsidTr="00375BA2">
        <w:trPr>
          <w:jc w:val="center"/>
        </w:trPr>
        <w:tc>
          <w:tcPr>
            <w:tcW w:w="508" w:type="dxa"/>
          </w:tcPr>
          <w:p w14:paraId="520DB9AC" w14:textId="77777777" w:rsidR="00B67D69" w:rsidRPr="006A6B17" w:rsidRDefault="00B67D69" w:rsidP="00B67D69">
            <w:pPr>
              <w:keepNext/>
              <w:jc w:val="center"/>
              <w:rPr>
                <w:color w:val="000000"/>
                <w:kern w:val="22"/>
                <w:szCs w:val="22"/>
              </w:rPr>
            </w:pPr>
            <w:r w:rsidRPr="006A6B17">
              <w:rPr>
                <w:color w:val="000000"/>
                <w:kern w:val="22"/>
                <w:szCs w:val="22"/>
              </w:rPr>
              <w:t>11</w:t>
            </w:r>
          </w:p>
        </w:tc>
        <w:tc>
          <w:tcPr>
            <w:tcW w:w="3740" w:type="dxa"/>
          </w:tcPr>
          <w:p w14:paraId="7398EBB9" w14:textId="77777777" w:rsidR="00B67D69" w:rsidRPr="006A6B17" w:rsidRDefault="00B67D69" w:rsidP="00B67D69">
            <w:pPr>
              <w:jc w:val="left"/>
              <w:rPr>
                <w:color w:val="000000"/>
                <w:kern w:val="22"/>
                <w:szCs w:val="22"/>
              </w:rPr>
            </w:pPr>
            <w:r w:rsidRPr="006A6B17">
              <w:rPr>
                <w:color w:val="000000"/>
                <w:kern w:val="22"/>
                <w:szCs w:val="22"/>
              </w:rPr>
              <w:t>Franc</w:t>
            </w:r>
            <w:r w:rsidR="009B4043" w:rsidRPr="006A6B17">
              <w:rPr>
                <w:color w:val="000000"/>
                <w:kern w:val="22"/>
                <w:szCs w:val="22"/>
              </w:rPr>
              <w:t>e</w:t>
            </w:r>
          </w:p>
        </w:tc>
        <w:tc>
          <w:tcPr>
            <w:tcW w:w="5245" w:type="dxa"/>
          </w:tcPr>
          <w:p w14:paraId="4C981C28" w14:textId="77777777" w:rsidR="00B67D69" w:rsidRPr="006A6B17" w:rsidRDefault="00B67D69" w:rsidP="00B67D69">
            <w:pPr>
              <w:jc w:val="left"/>
              <w:rPr>
                <w:color w:val="000000"/>
                <w:kern w:val="22"/>
                <w:szCs w:val="22"/>
              </w:rPr>
            </w:pPr>
            <w:r w:rsidRPr="006A6B17">
              <w:rPr>
                <w:color w:val="000000"/>
                <w:kern w:val="22"/>
                <w:szCs w:val="22"/>
              </w:rPr>
              <w:t xml:space="preserve">Mr. </w:t>
            </w:r>
            <w:r w:rsidR="009B4043" w:rsidRPr="006A6B17">
              <w:rPr>
                <w:color w:val="000000"/>
                <w:kern w:val="22"/>
                <w:szCs w:val="22"/>
              </w:rPr>
              <w:t xml:space="preserve">Pierre </w:t>
            </w:r>
            <w:proofErr w:type="spellStart"/>
            <w:r w:rsidR="009B4043" w:rsidRPr="006A6B17">
              <w:rPr>
                <w:color w:val="000000"/>
                <w:kern w:val="22"/>
                <w:szCs w:val="22"/>
              </w:rPr>
              <w:t>Spielewoy</w:t>
            </w:r>
            <w:proofErr w:type="spellEnd"/>
          </w:p>
        </w:tc>
      </w:tr>
    </w:tbl>
    <w:p w14:paraId="105FCAB9" w14:textId="77777777" w:rsidR="009B4043" w:rsidRPr="007C55E9" w:rsidRDefault="009B4043" w:rsidP="009B4043">
      <w:pPr>
        <w:pStyle w:val="Heading1"/>
        <w:suppressLineNumbers/>
        <w:tabs>
          <w:tab w:val="clear" w:pos="720"/>
          <w:tab w:val="left" w:pos="993"/>
        </w:tabs>
        <w:suppressAutoHyphens/>
        <w:rPr>
          <w:caps w:val="0"/>
          <w:snapToGrid w:val="0"/>
          <w:kern w:val="22"/>
          <w:szCs w:val="22"/>
        </w:rPr>
      </w:pPr>
      <w:r w:rsidRPr="007C55E9">
        <w:rPr>
          <w:caps w:val="0"/>
          <w:snapToGrid w:val="0"/>
          <w:kern w:val="22"/>
          <w:szCs w:val="22"/>
        </w:rPr>
        <w:t>ITEM 2.</w:t>
      </w:r>
      <w:r w:rsidRPr="007C55E9">
        <w:rPr>
          <w:caps w:val="0"/>
          <w:snapToGrid w:val="0"/>
          <w:kern w:val="22"/>
          <w:szCs w:val="22"/>
        </w:rPr>
        <w:tab/>
        <w:t>ORGANIZATIONAL MATTERS</w:t>
      </w:r>
    </w:p>
    <w:p w14:paraId="45F0D1AF" w14:textId="77777777" w:rsidR="009B4043" w:rsidRPr="007C55E9" w:rsidRDefault="009B4043" w:rsidP="009B4043">
      <w:pPr>
        <w:keepNext/>
        <w:suppressLineNumbers/>
        <w:tabs>
          <w:tab w:val="left" w:pos="720"/>
        </w:tabs>
        <w:suppressAutoHyphens/>
        <w:spacing w:before="120" w:after="120"/>
        <w:jc w:val="center"/>
        <w:outlineLvl w:val="1"/>
        <w:rPr>
          <w:b/>
          <w:bCs/>
          <w:iCs/>
          <w:snapToGrid w:val="0"/>
          <w:kern w:val="22"/>
          <w:szCs w:val="22"/>
        </w:rPr>
      </w:pPr>
      <w:r w:rsidRPr="007C55E9">
        <w:rPr>
          <w:b/>
          <w:bCs/>
          <w:iCs/>
          <w:snapToGrid w:val="0"/>
          <w:kern w:val="22"/>
          <w:szCs w:val="22"/>
        </w:rPr>
        <w:t>Adoption of the agenda and organization of work</w:t>
      </w:r>
    </w:p>
    <w:p w14:paraId="42A8F313" w14:textId="30E71FE8" w:rsidR="009B4043" w:rsidRPr="007C55E9" w:rsidRDefault="009B4043" w:rsidP="009B4043">
      <w:pPr>
        <w:numPr>
          <w:ilvl w:val="0"/>
          <w:numId w:val="2"/>
        </w:numPr>
        <w:suppressLineNumbers/>
        <w:tabs>
          <w:tab w:val="clear" w:pos="360"/>
        </w:tabs>
        <w:suppressAutoHyphens/>
        <w:spacing w:before="120" w:after="120"/>
        <w:rPr>
          <w:b/>
          <w:bCs/>
          <w:kern w:val="22"/>
          <w:szCs w:val="22"/>
        </w:rPr>
      </w:pPr>
      <w:r w:rsidRPr="007C55E9">
        <w:rPr>
          <w:kern w:val="22"/>
          <w:szCs w:val="22"/>
        </w:rPr>
        <w:t xml:space="preserve">The meeting was chaired by Mr. Han de </w:t>
      </w:r>
      <w:proofErr w:type="spellStart"/>
      <w:r w:rsidRPr="007C55E9">
        <w:rPr>
          <w:kern w:val="22"/>
          <w:szCs w:val="22"/>
        </w:rPr>
        <w:t>Koeijer</w:t>
      </w:r>
      <w:proofErr w:type="spellEnd"/>
      <w:r w:rsidRPr="007C55E9">
        <w:rPr>
          <w:kern w:val="22"/>
          <w:szCs w:val="22"/>
        </w:rPr>
        <w:t xml:space="preserve"> (Belgium). The Informal Advisory Committee took up consideration of the agenda of the meeting.</w:t>
      </w:r>
    </w:p>
    <w:p w14:paraId="66820B33" w14:textId="77777777" w:rsidR="009B4043" w:rsidRPr="007C55E9" w:rsidRDefault="009B4043" w:rsidP="009B4043">
      <w:pPr>
        <w:numPr>
          <w:ilvl w:val="0"/>
          <w:numId w:val="2"/>
        </w:numPr>
        <w:suppressLineNumbers/>
        <w:tabs>
          <w:tab w:val="clear" w:pos="360"/>
        </w:tabs>
        <w:suppressAutoHyphens/>
        <w:spacing w:before="120" w:after="120"/>
        <w:rPr>
          <w:b/>
          <w:bCs/>
          <w:kern w:val="22"/>
          <w:szCs w:val="22"/>
        </w:rPr>
      </w:pPr>
      <w:r w:rsidRPr="007C55E9">
        <w:rPr>
          <w:kern w:val="22"/>
          <w:szCs w:val="22"/>
        </w:rPr>
        <w:t xml:space="preserve">The Committee adopted the following agenda </w:t>
      </w:r>
      <w:proofErr w:type="gramStart"/>
      <w:r w:rsidRPr="007C55E9">
        <w:rPr>
          <w:kern w:val="22"/>
          <w:szCs w:val="22"/>
        </w:rPr>
        <w:t>on the basis of</w:t>
      </w:r>
      <w:proofErr w:type="gramEnd"/>
      <w:r w:rsidRPr="007C55E9">
        <w:rPr>
          <w:kern w:val="22"/>
          <w:szCs w:val="22"/>
        </w:rPr>
        <w:t xml:space="preserve"> the provisional agenda prepared by the Executive Secretary (CBD/CHM/2019/2/1):</w:t>
      </w:r>
    </w:p>
    <w:p w14:paraId="25F48190" w14:textId="77777777" w:rsidR="009B4043" w:rsidRPr="007C55E9" w:rsidRDefault="009B4043" w:rsidP="009B4043">
      <w:pPr>
        <w:suppressLineNumbers/>
        <w:suppressAutoHyphens/>
        <w:spacing w:after="60"/>
        <w:ind w:left="1440" w:hanging="720"/>
        <w:rPr>
          <w:bCs/>
          <w:kern w:val="22"/>
          <w:szCs w:val="22"/>
        </w:rPr>
      </w:pPr>
      <w:r w:rsidRPr="007C55E9">
        <w:rPr>
          <w:bCs/>
          <w:kern w:val="22"/>
          <w:szCs w:val="22"/>
        </w:rPr>
        <w:t>1.</w:t>
      </w:r>
      <w:r w:rsidRPr="007C55E9">
        <w:rPr>
          <w:bCs/>
          <w:kern w:val="22"/>
          <w:szCs w:val="22"/>
        </w:rPr>
        <w:tab/>
        <w:t>Opening of the meeting.</w:t>
      </w:r>
    </w:p>
    <w:p w14:paraId="301B4994" w14:textId="77777777" w:rsidR="009B4043" w:rsidRPr="006A6B17" w:rsidRDefault="009B4043" w:rsidP="009B4043">
      <w:pPr>
        <w:pStyle w:val="CBD-Para"/>
        <w:numPr>
          <w:ilvl w:val="0"/>
          <w:numId w:val="0"/>
        </w:numPr>
        <w:ind w:firstLine="709"/>
        <w:rPr>
          <w:kern w:val="22"/>
          <w:lang w:val="en-GB"/>
        </w:rPr>
      </w:pPr>
      <w:r w:rsidRPr="006A6B17">
        <w:rPr>
          <w:bCs/>
          <w:kern w:val="22"/>
          <w:lang w:val="en-GB"/>
        </w:rPr>
        <w:t>2.</w:t>
      </w:r>
      <w:r w:rsidRPr="006A6B17">
        <w:rPr>
          <w:bCs/>
          <w:kern w:val="22"/>
          <w:lang w:val="en-GB"/>
        </w:rPr>
        <w:tab/>
      </w:r>
      <w:r w:rsidRPr="006A6B17">
        <w:rPr>
          <w:kern w:val="22"/>
          <w:lang w:val="en-GB"/>
        </w:rPr>
        <w:t xml:space="preserve">Organizational </w:t>
      </w:r>
      <w:r w:rsidRPr="006A6B17">
        <w:rPr>
          <w:snapToGrid w:val="0"/>
          <w:kern w:val="22"/>
          <w:lang w:val="en-GB"/>
        </w:rPr>
        <w:t>matters</w:t>
      </w:r>
      <w:r w:rsidRPr="006A6B17">
        <w:rPr>
          <w:kern w:val="22"/>
          <w:lang w:val="en-GB"/>
        </w:rPr>
        <w:t>:</w:t>
      </w:r>
    </w:p>
    <w:p w14:paraId="21E28B8F" w14:textId="77777777" w:rsidR="009B4043" w:rsidRPr="006A6B17" w:rsidRDefault="009B4043" w:rsidP="009B4043">
      <w:pPr>
        <w:pStyle w:val="CBD-Para-a"/>
        <w:numPr>
          <w:ilvl w:val="0"/>
          <w:numId w:val="0"/>
        </w:numPr>
        <w:ind w:left="720" w:firstLine="698"/>
        <w:rPr>
          <w:kern w:val="22"/>
          <w:lang w:val="en-GB"/>
        </w:rPr>
      </w:pPr>
      <w:r w:rsidRPr="006A6B17">
        <w:rPr>
          <w:kern w:val="22"/>
          <w:lang w:val="en-GB"/>
        </w:rPr>
        <w:t>2.1.</w:t>
      </w:r>
      <w:r w:rsidRPr="006A6B17">
        <w:rPr>
          <w:kern w:val="22"/>
          <w:lang w:val="en-GB"/>
        </w:rPr>
        <w:tab/>
        <w:t>Adoption of the agenda;</w:t>
      </w:r>
    </w:p>
    <w:p w14:paraId="0B10A9CB" w14:textId="2DBFD6DB" w:rsidR="009B4043" w:rsidRPr="007C55E9" w:rsidRDefault="009B4043" w:rsidP="009B4043">
      <w:pPr>
        <w:suppressLineNumbers/>
        <w:suppressAutoHyphens/>
        <w:spacing w:after="60"/>
        <w:ind w:left="1440" w:hanging="720"/>
        <w:rPr>
          <w:bCs/>
          <w:kern w:val="22"/>
          <w:szCs w:val="22"/>
        </w:rPr>
      </w:pPr>
      <w:r w:rsidRPr="007C55E9">
        <w:rPr>
          <w:bCs/>
          <w:kern w:val="22"/>
          <w:szCs w:val="22"/>
        </w:rPr>
        <w:t>3.</w:t>
      </w:r>
      <w:r w:rsidRPr="007C55E9">
        <w:rPr>
          <w:bCs/>
          <w:kern w:val="22"/>
          <w:szCs w:val="22"/>
        </w:rPr>
        <w:tab/>
        <w:t>Update on standing items:</w:t>
      </w:r>
    </w:p>
    <w:p w14:paraId="194E971B" w14:textId="77777777" w:rsidR="009B4043" w:rsidRPr="006A6B17" w:rsidRDefault="009B4043" w:rsidP="006A6B17">
      <w:pPr>
        <w:pStyle w:val="CBD-Para-a"/>
        <w:numPr>
          <w:ilvl w:val="0"/>
          <w:numId w:val="0"/>
        </w:numPr>
        <w:ind w:left="1985" w:hanging="567"/>
        <w:rPr>
          <w:kern w:val="22"/>
          <w:lang w:val="en-GB"/>
        </w:rPr>
      </w:pPr>
      <w:r w:rsidRPr="006A6B17">
        <w:rPr>
          <w:kern w:val="22"/>
          <w:lang w:val="en-GB"/>
        </w:rPr>
        <w:t>3.1.</w:t>
      </w:r>
      <w:r w:rsidRPr="006A6B17">
        <w:rPr>
          <w:kern w:val="22"/>
          <w:lang w:val="en-GB"/>
        </w:rPr>
        <w:tab/>
        <w:t>Award for national clearing-house mechanisms;</w:t>
      </w:r>
    </w:p>
    <w:p w14:paraId="7707AFC9" w14:textId="44AD3464" w:rsidR="009B4043" w:rsidRPr="006A6B17" w:rsidRDefault="009B4043" w:rsidP="006A6B17">
      <w:pPr>
        <w:pStyle w:val="CBD-Para-a"/>
        <w:numPr>
          <w:ilvl w:val="0"/>
          <w:numId w:val="0"/>
        </w:numPr>
        <w:ind w:left="1985" w:hanging="567"/>
        <w:rPr>
          <w:kern w:val="22"/>
          <w:lang w:val="en-GB"/>
        </w:rPr>
      </w:pPr>
      <w:r w:rsidRPr="006A6B17">
        <w:rPr>
          <w:kern w:val="22"/>
          <w:lang w:val="en-GB"/>
        </w:rPr>
        <w:t>3.2.</w:t>
      </w:r>
      <w:r w:rsidRPr="006A6B17">
        <w:rPr>
          <w:kern w:val="22"/>
          <w:lang w:val="en-GB"/>
        </w:rPr>
        <w:tab/>
        <w:t>Web strategy for the Convention and its Protocols;</w:t>
      </w:r>
      <w:r w:rsidR="00E31155">
        <w:rPr>
          <w:rStyle w:val="FootnoteReference"/>
          <w:kern w:val="22"/>
          <w:lang w:val="en-GB"/>
        </w:rPr>
        <w:footnoteReference w:id="5"/>
      </w:r>
    </w:p>
    <w:p w14:paraId="7CEFAF12" w14:textId="77777777" w:rsidR="009B4043" w:rsidRPr="006A6B17" w:rsidRDefault="009B4043" w:rsidP="006A6B17">
      <w:pPr>
        <w:pStyle w:val="CBD-Para-a"/>
        <w:numPr>
          <w:ilvl w:val="0"/>
          <w:numId w:val="0"/>
        </w:numPr>
        <w:ind w:left="1985" w:hanging="567"/>
        <w:rPr>
          <w:kern w:val="22"/>
          <w:lang w:val="en-GB"/>
        </w:rPr>
      </w:pPr>
      <w:r w:rsidRPr="006A6B17">
        <w:rPr>
          <w:kern w:val="22"/>
          <w:lang w:val="en-GB"/>
        </w:rPr>
        <w:t>3.3.</w:t>
      </w:r>
      <w:r w:rsidRPr="006A6B17">
        <w:rPr>
          <w:kern w:val="22"/>
          <w:lang w:val="en-GB"/>
        </w:rPr>
        <w:tab/>
        <w:t xml:space="preserve">Support to national clearing-house mechanisms, including progress with the </w:t>
      </w:r>
      <w:proofErr w:type="spellStart"/>
      <w:r w:rsidRPr="006A6B17">
        <w:rPr>
          <w:kern w:val="22"/>
          <w:lang w:val="en-GB"/>
        </w:rPr>
        <w:t>Bioland</w:t>
      </w:r>
      <w:proofErr w:type="spellEnd"/>
      <w:r w:rsidRPr="006A6B17">
        <w:rPr>
          <w:kern w:val="22"/>
          <w:lang w:val="en-GB"/>
        </w:rPr>
        <w:t xml:space="preserve"> tool;</w:t>
      </w:r>
    </w:p>
    <w:p w14:paraId="121C4BE3" w14:textId="77777777" w:rsidR="009B4043" w:rsidRPr="006A6B17" w:rsidRDefault="009B4043" w:rsidP="006A6B17">
      <w:pPr>
        <w:pStyle w:val="CBD-Para-a"/>
        <w:numPr>
          <w:ilvl w:val="0"/>
          <w:numId w:val="0"/>
        </w:numPr>
        <w:ind w:left="1985" w:hanging="567"/>
        <w:rPr>
          <w:kern w:val="22"/>
          <w:lang w:val="en-GB"/>
        </w:rPr>
      </w:pPr>
      <w:r w:rsidRPr="006A6B17">
        <w:rPr>
          <w:kern w:val="22"/>
          <w:lang w:val="en-GB"/>
        </w:rPr>
        <w:t>3.4.</w:t>
      </w:r>
      <w:r w:rsidRPr="006A6B17">
        <w:rPr>
          <w:kern w:val="22"/>
          <w:lang w:val="en-GB"/>
        </w:rPr>
        <w:tab/>
        <w:t>Technical and scientific cooperation (decision 14/24);</w:t>
      </w:r>
    </w:p>
    <w:p w14:paraId="7ED75FF4" w14:textId="2F8EFBB0" w:rsidR="009B4043" w:rsidRPr="006A6B17" w:rsidRDefault="009B4043" w:rsidP="006A6B17">
      <w:pPr>
        <w:pStyle w:val="CBD-Para-a"/>
        <w:numPr>
          <w:ilvl w:val="0"/>
          <w:numId w:val="0"/>
        </w:numPr>
        <w:ind w:left="1985" w:hanging="567"/>
        <w:rPr>
          <w:kern w:val="22"/>
          <w:lang w:val="en-GB"/>
        </w:rPr>
      </w:pPr>
      <w:r w:rsidRPr="006A6B17">
        <w:rPr>
          <w:kern w:val="22"/>
          <w:lang w:val="en-GB"/>
        </w:rPr>
        <w:t>3.5.</w:t>
      </w:r>
      <w:r w:rsidRPr="006A6B17">
        <w:rPr>
          <w:kern w:val="22"/>
          <w:lang w:val="en-GB"/>
        </w:rPr>
        <w:tab/>
        <w:t>Knowledge management under the Convention and its Protocols (decision 14/25);</w:t>
      </w:r>
    </w:p>
    <w:p w14:paraId="278922D5" w14:textId="1B5A5DFD" w:rsidR="009B4043" w:rsidRPr="006A6B17" w:rsidRDefault="009B4043" w:rsidP="006A6B17">
      <w:pPr>
        <w:pStyle w:val="CBD-Para-a"/>
        <w:numPr>
          <w:ilvl w:val="0"/>
          <w:numId w:val="0"/>
        </w:numPr>
        <w:ind w:left="1418" w:hanging="709"/>
        <w:rPr>
          <w:kern w:val="22"/>
          <w:lang w:val="en-GB"/>
        </w:rPr>
      </w:pPr>
      <w:r w:rsidRPr="006A6B17">
        <w:rPr>
          <w:kern w:val="22"/>
          <w:lang w:val="en-GB"/>
        </w:rPr>
        <w:t>4.</w:t>
      </w:r>
      <w:r w:rsidRPr="006A6B17">
        <w:rPr>
          <w:kern w:val="22"/>
          <w:lang w:val="en-GB"/>
        </w:rPr>
        <w:tab/>
        <w:t>Other matters.</w:t>
      </w:r>
    </w:p>
    <w:p w14:paraId="5309FD59" w14:textId="77777777" w:rsidR="009B4043" w:rsidRPr="006A6B17" w:rsidRDefault="009B4043" w:rsidP="009B4043">
      <w:pPr>
        <w:pStyle w:val="CBD-Para"/>
        <w:numPr>
          <w:ilvl w:val="0"/>
          <w:numId w:val="0"/>
        </w:numPr>
        <w:ind w:firstLine="720"/>
        <w:rPr>
          <w:kern w:val="22"/>
          <w:lang w:val="en-GB"/>
        </w:rPr>
      </w:pPr>
      <w:r w:rsidRPr="006A6B17">
        <w:rPr>
          <w:kern w:val="22"/>
          <w:lang w:val="en-GB"/>
        </w:rPr>
        <w:t>5.</w:t>
      </w:r>
      <w:r w:rsidRPr="006A6B17">
        <w:rPr>
          <w:kern w:val="22"/>
          <w:lang w:val="en-GB"/>
        </w:rPr>
        <w:tab/>
        <w:t>Conclusions and recommendations.</w:t>
      </w:r>
    </w:p>
    <w:p w14:paraId="41493379" w14:textId="77777777" w:rsidR="009B4043" w:rsidRPr="006A6B17" w:rsidRDefault="009B4043" w:rsidP="009B4043">
      <w:pPr>
        <w:pStyle w:val="CBD-Para"/>
        <w:numPr>
          <w:ilvl w:val="0"/>
          <w:numId w:val="0"/>
        </w:numPr>
        <w:ind w:firstLine="720"/>
        <w:rPr>
          <w:kern w:val="22"/>
          <w:lang w:val="en-GB"/>
        </w:rPr>
      </w:pPr>
      <w:r w:rsidRPr="006A6B17">
        <w:rPr>
          <w:kern w:val="22"/>
          <w:lang w:val="en-GB"/>
        </w:rPr>
        <w:t>6.</w:t>
      </w:r>
      <w:r w:rsidRPr="006A6B17">
        <w:rPr>
          <w:kern w:val="22"/>
          <w:lang w:val="en-GB"/>
        </w:rPr>
        <w:tab/>
        <w:t>Closure of the meeting.</w:t>
      </w:r>
    </w:p>
    <w:p w14:paraId="30487144" w14:textId="77777777" w:rsidR="00EC4920" w:rsidRPr="006A6B17" w:rsidRDefault="00EC4920" w:rsidP="006C5EF7">
      <w:pPr>
        <w:pStyle w:val="Heading1"/>
        <w:suppressLineNumbers/>
        <w:tabs>
          <w:tab w:val="clear" w:pos="720"/>
          <w:tab w:val="left" w:pos="993"/>
        </w:tabs>
        <w:suppressAutoHyphens/>
        <w:spacing w:before="0"/>
        <w:rPr>
          <w:kern w:val="22"/>
          <w:szCs w:val="22"/>
        </w:rPr>
      </w:pPr>
      <w:r w:rsidRPr="007C55E9">
        <w:rPr>
          <w:caps w:val="0"/>
          <w:snapToGrid w:val="0"/>
          <w:kern w:val="22"/>
          <w:szCs w:val="22"/>
        </w:rPr>
        <w:t>ITEM 3.</w:t>
      </w:r>
      <w:r w:rsidRPr="007C55E9">
        <w:rPr>
          <w:caps w:val="0"/>
          <w:snapToGrid w:val="0"/>
          <w:kern w:val="22"/>
          <w:szCs w:val="22"/>
        </w:rPr>
        <w:tab/>
      </w:r>
      <w:r w:rsidR="0074267F" w:rsidRPr="007C55E9">
        <w:rPr>
          <w:caps w:val="0"/>
          <w:snapToGrid w:val="0"/>
          <w:kern w:val="22"/>
          <w:szCs w:val="22"/>
        </w:rPr>
        <w:t>UPDATE ON STANDING ITEMS</w:t>
      </w:r>
    </w:p>
    <w:p w14:paraId="0D2B10A2" w14:textId="77777777" w:rsidR="00BE422B" w:rsidRPr="007C55E9" w:rsidRDefault="00BE422B" w:rsidP="006C5EF7">
      <w:pPr>
        <w:pStyle w:val="CBD-Sub-Item"/>
        <w:numPr>
          <w:ilvl w:val="1"/>
          <w:numId w:val="39"/>
        </w:numPr>
        <w:spacing w:before="0" w:after="0"/>
        <w:rPr>
          <w:snapToGrid w:val="0"/>
          <w:kern w:val="22"/>
          <w:lang w:val="en-GB"/>
        </w:rPr>
      </w:pPr>
      <w:r w:rsidRPr="007C55E9">
        <w:rPr>
          <w:snapToGrid w:val="0"/>
          <w:kern w:val="22"/>
          <w:lang w:val="en-GB"/>
        </w:rPr>
        <w:t>Award for national clearing-house mechanisms</w:t>
      </w:r>
    </w:p>
    <w:p w14:paraId="4829DA23" w14:textId="03D126E9" w:rsidR="00B67D69" w:rsidRPr="006A6B17" w:rsidRDefault="00B67D69" w:rsidP="00B67D69">
      <w:pPr>
        <w:pStyle w:val="Para1"/>
        <w:numPr>
          <w:ilvl w:val="0"/>
          <w:numId w:val="20"/>
        </w:numPr>
        <w:tabs>
          <w:tab w:val="clear" w:pos="360"/>
        </w:tabs>
        <w:rPr>
          <w:kern w:val="22"/>
          <w:szCs w:val="22"/>
        </w:rPr>
      </w:pPr>
      <w:r w:rsidRPr="006A6B17">
        <w:rPr>
          <w:kern w:val="22"/>
          <w:szCs w:val="22"/>
        </w:rPr>
        <w:t xml:space="preserve">It was reported that the criteria for the awards had been updated </w:t>
      </w:r>
      <w:r w:rsidR="009E5C99" w:rsidRPr="006A6B17">
        <w:rPr>
          <w:kern w:val="22"/>
          <w:szCs w:val="22"/>
        </w:rPr>
        <w:t xml:space="preserve">by </w:t>
      </w:r>
      <w:r w:rsidRPr="006A6B17">
        <w:rPr>
          <w:kern w:val="22"/>
          <w:szCs w:val="22"/>
        </w:rPr>
        <w:t xml:space="preserve">the members </w:t>
      </w:r>
      <w:r w:rsidR="009E5C99" w:rsidRPr="006A6B17">
        <w:rPr>
          <w:kern w:val="22"/>
          <w:szCs w:val="22"/>
        </w:rPr>
        <w:t xml:space="preserve">of the Informal Advisory Committee </w:t>
      </w:r>
      <w:r w:rsidRPr="006A6B17">
        <w:rPr>
          <w:kern w:val="22"/>
          <w:szCs w:val="22"/>
        </w:rPr>
        <w:t xml:space="preserve">at its June </w:t>
      </w:r>
      <w:r w:rsidR="009E5C99" w:rsidRPr="006A6B17">
        <w:rPr>
          <w:kern w:val="22"/>
          <w:szCs w:val="22"/>
        </w:rPr>
        <w:t xml:space="preserve">2019 </w:t>
      </w:r>
      <w:r w:rsidRPr="006A6B17">
        <w:rPr>
          <w:kern w:val="22"/>
          <w:szCs w:val="22"/>
        </w:rPr>
        <w:t xml:space="preserve">meeting. Members observed that the criteria needed to </w:t>
      </w:r>
      <w:proofErr w:type="gramStart"/>
      <w:r w:rsidRPr="006A6B17">
        <w:rPr>
          <w:kern w:val="22"/>
          <w:szCs w:val="22"/>
        </w:rPr>
        <w:t>take into account</w:t>
      </w:r>
      <w:proofErr w:type="gramEnd"/>
      <w:r w:rsidRPr="006A6B17">
        <w:rPr>
          <w:kern w:val="22"/>
          <w:szCs w:val="22"/>
        </w:rPr>
        <w:t xml:space="preserve"> the situation involving Parties that were in the process of migrating to </w:t>
      </w:r>
      <w:proofErr w:type="spellStart"/>
      <w:r w:rsidRPr="006A6B17">
        <w:rPr>
          <w:kern w:val="22"/>
          <w:szCs w:val="22"/>
        </w:rPr>
        <w:t>Bioland</w:t>
      </w:r>
      <w:proofErr w:type="spellEnd"/>
      <w:r w:rsidRPr="006A6B17">
        <w:rPr>
          <w:kern w:val="22"/>
          <w:szCs w:val="22"/>
        </w:rPr>
        <w:t xml:space="preserve"> or developing new national </w:t>
      </w:r>
      <w:r w:rsidR="004F0049" w:rsidRPr="004F0049">
        <w:rPr>
          <w:kern w:val="22"/>
          <w:szCs w:val="22"/>
        </w:rPr>
        <w:t>clearing-house mechanism</w:t>
      </w:r>
      <w:r w:rsidR="004F0049" w:rsidRPr="006A6B17">
        <w:rPr>
          <w:kern w:val="22"/>
          <w:szCs w:val="22"/>
        </w:rPr>
        <w:t xml:space="preserve"> (</w:t>
      </w:r>
      <w:r w:rsidRPr="006A6B17">
        <w:rPr>
          <w:kern w:val="22"/>
          <w:szCs w:val="22"/>
        </w:rPr>
        <w:t>CHM</w:t>
      </w:r>
      <w:r w:rsidR="004F0049" w:rsidRPr="006A6B17">
        <w:rPr>
          <w:kern w:val="22"/>
          <w:szCs w:val="22"/>
        </w:rPr>
        <w:t>)</w:t>
      </w:r>
      <w:r w:rsidRPr="006A6B17">
        <w:rPr>
          <w:kern w:val="22"/>
          <w:szCs w:val="22"/>
        </w:rPr>
        <w:t xml:space="preserve"> websites on the </w:t>
      </w:r>
      <w:proofErr w:type="spellStart"/>
      <w:r w:rsidRPr="006A6B17">
        <w:rPr>
          <w:kern w:val="22"/>
          <w:szCs w:val="22"/>
        </w:rPr>
        <w:t>Bioland</w:t>
      </w:r>
      <w:proofErr w:type="spellEnd"/>
      <w:r w:rsidRPr="006A6B17">
        <w:rPr>
          <w:kern w:val="22"/>
          <w:szCs w:val="22"/>
        </w:rPr>
        <w:t xml:space="preserve"> platform. It was noted that the current criteria </w:t>
      </w:r>
      <w:proofErr w:type="gramStart"/>
      <w:r w:rsidR="00B4102E" w:rsidRPr="006A6B17">
        <w:rPr>
          <w:kern w:val="22"/>
          <w:szCs w:val="22"/>
        </w:rPr>
        <w:t xml:space="preserve">took </w:t>
      </w:r>
      <w:r w:rsidRPr="006A6B17">
        <w:rPr>
          <w:kern w:val="22"/>
          <w:szCs w:val="22"/>
        </w:rPr>
        <w:t>into account</w:t>
      </w:r>
      <w:proofErr w:type="gramEnd"/>
      <w:r w:rsidRPr="006A6B17">
        <w:rPr>
          <w:kern w:val="22"/>
          <w:szCs w:val="22"/>
        </w:rPr>
        <w:t xml:space="preserve"> </w:t>
      </w:r>
      <w:r w:rsidR="004F0049" w:rsidRPr="00D85E57">
        <w:rPr>
          <w:kern w:val="22"/>
          <w:szCs w:val="22"/>
        </w:rPr>
        <w:t xml:space="preserve">such </w:t>
      </w:r>
      <w:r w:rsidRPr="006A6B17">
        <w:rPr>
          <w:kern w:val="22"/>
          <w:szCs w:val="22"/>
        </w:rPr>
        <w:t>items as the CHM website layout, ongoing maintenance and upgrades. The</w:t>
      </w:r>
      <w:r w:rsidR="005F61D7" w:rsidRPr="006A6B17">
        <w:rPr>
          <w:kern w:val="22"/>
          <w:szCs w:val="22"/>
        </w:rPr>
        <w:t>re</w:t>
      </w:r>
      <w:r w:rsidRPr="006A6B17">
        <w:rPr>
          <w:kern w:val="22"/>
          <w:szCs w:val="22"/>
        </w:rPr>
        <w:t xml:space="preserve"> was a concern that</w:t>
      </w:r>
      <w:r w:rsidR="00E55959">
        <w:rPr>
          <w:kern w:val="22"/>
          <w:szCs w:val="22"/>
        </w:rPr>
        <w:t>,</w:t>
      </w:r>
      <w:r w:rsidRPr="006A6B17">
        <w:rPr>
          <w:kern w:val="22"/>
          <w:szCs w:val="22"/>
        </w:rPr>
        <w:t xml:space="preserve"> since all </w:t>
      </w:r>
      <w:proofErr w:type="spellStart"/>
      <w:r w:rsidRPr="006A6B17">
        <w:rPr>
          <w:kern w:val="22"/>
          <w:szCs w:val="22"/>
        </w:rPr>
        <w:t>Bioland</w:t>
      </w:r>
      <w:proofErr w:type="spellEnd"/>
      <w:r w:rsidRPr="006A6B17">
        <w:rPr>
          <w:kern w:val="22"/>
          <w:szCs w:val="22"/>
        </w:rPr>
        <w:t xml:space="preserve"> users would have the same template</w:t>
      </w:r>
      <w:r w:rsidR="00E55959">
        <w:rPr>
          <w:kern w:val="22"/>
          <w:szCs w:val="22"/>
        </w:rPr>
        <w:t>,</w:t>
      </w:r>
      <w:r w:rsidRPr="006A6B17">
        <w:rPr>
          <w:kern w:val="22"/>
          <w:szCs w:val="22"/>
        </w:rPr>
        <w:t xml:space="preserve"> this could cause discrepancies in </w:t>
      </w:r>
      <w:r w:rsidRPr="006A6B17">
        <w:rPr>
          <w:kern w:val="22"/>
          <w:szCs w:val="22"/>
        </w:rPr>
        <w:lastRenderedPageBreak/>
        <w:t xml:space="preserve">the scores between users of the </w:t>
      </w:r>
      <w:proofErr w:type="spellStart"/>
      <w:r w:rsidRPr="006A6B17">
        <w:rPr>
          <w:kern w:val="22"/>
          <w:szCs w:val="22"/>
        </w:rPr>
        <w:t>Bioland</w:t>
      </w:r>
      <w:proofErr w:type="spellEnd"/>
      <w:r w:rsidRPr="006A6B17">
        <w:rPr>
          <w:kern w:val="22"/>
          <w:szCs w:val="22"/>
        </w:rPr>
        <w:t xml:space="preserve"> tool and those Parties who had developed their national CHMs on different platforms.</w:t>
      </w:r>
    </w:p>
    <w:p w14:paraId="08A24EE7" w14:textId="3B009B1B" w:rsidR="009B4043" w:rsidRPr="006A6B17" w:rsidRDefault="00B67D69" w:rsidP="00B67D69">
      <w:pPr>
        <w:pStyle w:val="Para1"/>
        <w:numPr>
          <w:ilvl w:val="0"/>
          <w:numId w:val="20"/>
        </w:numPr>
        <w:tabs>
          <w:tab w:val="clear" w:pos="360"/>
        </w:tabs>
        <w:rPr>
          <w:kern w:val="22"/>
          <w:szCs w:val="22"/>
        </w:rPr>
      </w:pPr>
      <w:r w:rsidRPr="006A6B17">
        <w:rPr>
          <w:kern w:val="22"/>
          <w:szCs w:val="22"/>
        </w:rPr>
        <w:t xml:space="preserve">The Secretariat proposed that the notification be worded neutrally to provide time for the Jury members </w:t>
      </w:r>
      <w:r w:rsidR="009E5C99" w:rsidRPr="006A6B17">
        <w:rPr>
          <w:kern w:val="22"/>
          <w:szCs w:val="22"/>
        </w:rPr>
        <w:t xml:space="preserve">to </w:t>
      </w:r>
      <w:r w:rsidRPr="006A6B17">
        <w:rPr>
          <w:kern w:val="22"/>
          <w:szCs w:val="22"/>
        </w:rPr>
        <w:t xml:space="preserve">reflect on this. The members then discussed the </w:t>
      </w:r>
      <w:r w:rsidR="003377B8">
        <w:rPr>
          <w:kern w:val="22"/>
          <w:szCs w:val="22"/>
        </w:rPr>
        <w:t>a</w:t>
      </w:r>
      <w:r w:rsidRPr="006A6B17">
        <w:rPr>
          <w:kern w:val="22"/>
          <w:szCs w:val="22"/>
        </w:rPr>
        <w:t xml:space="preserve">wards process. It was reported that the first awards </w:t>
      </w:r>
      <w:r w:rsidR="003377B8">
        <w:rPr>
          <w:kern w:val="22"/>
          <w:szCs w:val="22"/>
        </w:rPr>
        <w:t>had been</w:t>
      </w:r>
      <w:r w:rsidR="003377B8" w:rsidRPr="006A6B17">
        <w:rPr>
          <w:kern w:val="22"/>
          <w:szCs w:val="22"/>
        </w:rPr>
        <w:t xml:space="preserve"> </w:t>
      </w:r>
      <w:r w:rsidRPr="006A6B17">
        <w:rPr>
          <w:kern w:val="22"/>
          <w:szCs w:val="22"/>
        </w:rPr>
        <w:t xml:space="preserve">given out during a side event at </w:t>
      </w:r>
      <w:r w:rsidR="00B22A73" w:rsidRPr="006A6B17">
        <w:rPr>
          <w:kern w:val="22"/>
          <w:szCs w:val="22"/>
        </w:rPr>
        <w:t>the thirteenth meeting of the Conference of the Parties</w:t>
      </w:r>
      <w:r w:rsidRPr="006A6B17">
        <w:rPr>
          <w:kern w:val="22"/>
          <w:szCs w:val="22"/>
        </w:rPr>
        <w:t xml:space="preserve">. At the second awards ceremony, the awards were given out in plenary.  The Committee felt that it would be best to give out the awards at plenary at some point during the first few days of </w:t>
      </w:r>
      <w:r w:rsidR="00B22A73" w:rsidRPr="006A6B17">
        <w:rPr>
          <w:kern w:val="22"/>
          <w:szCs w:val="22"/>
        </w:rPr>
        <w:t xml:space="preserve">the </w:t>
      </w:r>
      <w:r w:rsidR="009E09ED" w:rsidRPr="007C55E9">
        <w:rPr>
          <w:kern w:val="22"/>
          <w:szCs w:val="22"/>
        </w:rPr>
        <w:t xml:space="preserve">meeting of the </w:t>
      </w:r>
      <w:r w:rsidR="00B22A73" w:rsidRPr="006A6B17">
        <w:rPr>
          <w:kern w:val="22"/>
          <w:szCs w:val="22"/>
        </w:rPr>
        <w:t xml:space="preserve">Conference of the Parties </w:t>
      </w:r>
      <w:r w:rsidRPr="006A6B17">
        <w:rPr>
          <w:kern w:val="22"/>
          <w:szCs w:val="22"/>
        </w:rPr>
        <w:t>and then have a subsequent side event to provide more time for knowledge exchange and best practice sharing.</w:t>
      </w:r>
    </w:p>
    <w:p w14:paraId="55B9B3C2" w14:textId="77777777" w:rsidR="00B67D69" w:rsidRPr="006A6B17" w:rsidRDefault="009B4043" w:rsidP="00B67D69">
      <w:pPr>
        <w:pStyle w:val="Para1"/>
        <w:numPr>
          <w:ilvl w:val="0"/>
          <w:numId w:val="20"/>
        </w:numPr>
        <w:tabs>
          <w:tab w:val="clear" w:pos="360"/>
        </w:tabs>
        <w:rPr>
          <w:kern w:val="22"/>
          <w:szCs w:val="22"/>
        </w:rPr>
      </w:pPr>
      <w:r w:rsidRPr="006A6B17">
        <w:rPr>
          <w:kern w:val="22"/>
          <w:szCs w:val="22"/>
        </w:rPr>
        <w:t>Member</w:t>
      </w:r>
      <w:r w:rsidR="00B67D69" w:rsidRPr="006A6B17">
        <w:rPr>
          <w:kern w:val="22"/>
          <w:szCs w:val="22"/>
        </w:rPr>
        <w:t xml:space="preserve">s were also asked </w:t>
      </w:r>
      <w:r w:rsidRPr="006A6B17">
        <w:rPr>
          <w:kern w:val="22"/>
          <w:szCs w:val="22"/>
        </w:rPr>
        <w:t xml:space="preserve">by the Secretariat </w:t>
      </w:r>
      <w:r w:rsidR="00B67D69" w:rsidRPr="006A6B17">
        <w:rPr>
          <w:kern w:val="22"/>
          <w:szCs w:val="22"/>
        </w:rPr>
        <w:t>if they would consider providing some sort of trophy or other award for the winners to receive at the ceremony</w:t>
      </w:r>
      <w:r w:rsidRPr="006A6B17">
        <w:rPr>
          <w:kern w:val="22"/>
          <w:szCs w:val="22"/>
        </w:rPr>
        <w:t xml:space="preserve"> as there was no budget provided for the CHM Awards</w:t>
      </w:r>
      <w:r w:rsidR="00B67D69" w:rsidRPr="006A6B17">
        <w:rPr>
          <w:kern w:val="22"/>
          <w:szCs w:val="22"/>
        </w:rPr>
        <w:t>.</w:t>
      </w:r>
    </w:p>
    <w:p w14:paraId="5031EA06" w14:textId="214B2272" w:rsidR="00BE422B" w:rsidRPr="007C55E9" w:rsidRDefault="003D6CB4" w:rsidP="0074267F">
      <w:pPr>
        <w:pStyle w:val="CBD-Sub-Item"/>
        <w:numPr>
          <w:ilvl w:val="1"/>
          <w:numId w:val="39"/>
        </w:numPr>
        <w:spacing w:before="120"/>
        <w:rPr>
          <w:snapToGrid w:val="0"/>
          <w:kern w:val="22"/>
          <w:lang w:val="en-GB"/>
        </w:rPr>
      </w:pPr>
      <w:r w:rsidRPr="007C55E9">
        <w:rPr>
          <w:snapToGrid w:val="0"/>
          <w:kern w:val="22"/>
          <w:lang w:val="en-GB"/>
        </w:rPr>
        <w:t xml:space="preserve">Web </w:t>
      </w:r>
      <w:r w:rsidR="00F11A71">
        <w:rPr>
          <w:snapToGrid w:val="0"/>
          <w:kern w:val="22"/>
          <w:lang w:val="en-GB"/>
        </w:rPr>
        <w:t>s</w:t>
      </w:r>
      <w:r w:rsidRPr="007C55E9">
        <w:rPr>
          <w:snapToGrid w:val="0"/>
          <w:kern w:val="22"/>
          <w:lang w:val="en-GB"/>
        </w:rPr>
        <w:t>trategy</w:t>
      </w:r>
      <w:r w:rsidR="00F11A71" w:rsidRPr="00F11A71">
        <w:rPr>
          <w:kern w:val="22"/>
          <w:lang w:val="en-GB"/>
        </w:rPr>
        <w:t xml:space="preserve"> </w:t>
      </w:r>
      <w:r w:rsidR="00F11A71" w:rsidRPr="00575CA0">
        <w:rPr>
          <w:kern w:val="22"/>
          <w:lang w:val="en-GB"/>
        </w:rPr>
        <w:t>for the Convention and its Protocols</w:t>
      </w:r>
    </w:p>
    <w:p w14:paraId="25EBCC23" w14:textId="1E172F58" w:rsidR="00B67D69" w:rsidRPr="006A6B17" w:rsidRDefault="003C6597" w:rsidP="00B67D69">
      <w:pPr>
        <w:pStyle w:val="Para1"/>
        <w:numPr>
          <w:ilvl w:val="0"/>
          <w:numId w:val="20"/>
        </w:numPr>
        <w:tabs>
          <w:tab w:val="clear" w:pos="360"/>
        </w:tabs>
        <w:rPr>
          <w:kern w:val="22"/>
          <w:szCs w:val="22"/>
        </w:rPr>
      </w:pPr>
      <w:r w:rsidRPr="006A6B17">
        <w:rPr>
          <w:kern w:val="22"/>
          <w:szCs w:val="22"/>
        </w:rPr>
        <w:t>T</w:t>
      </w:r>
      <w:r w:rsidR="00B67D69" w:rsidRPr="006A6B17">
        <w:rPr>
          <w:kern w:val="22"/>
          <w:szCs w:val="22"/>
        </w:rPr>
        <w:t>he Secretariat made a presentation on the new website</w:t>
      </w:r>
      <w:r w:rsidR="006607C0">
        <w:rPr>
          <w:kern w:val="22"/>
          <w:szCs w:val="22"/>
        </w:rPr>
        <w:t>,</w:t>
      </w:r>
      <w:r w:rsidR="00B67D69" w:rsidRPr="006A6B17">
        <w:rPr>
          <w:kern w:val="22"/>
          <w:szCs w:val="22"/>
        </w:rPr>
        <w:t xml:space="preserve"> </w:t>
      </w:r>
      <w:r w:rsidR="006607C0">
        <w:rPr>
          <w:kern w:val="22"/>
          <w:szCs w:val="22"/>
        </w:rPr>
        <w:t>which</w:t>
      </w:r>
      <w:r w:rsidR="006607C0" w:rsidRPr="006A6B17">
        <w:rPr>
          <w:kern w:val="22"/>
          <w:szCs w:val="22"/>
        </w:rPr>
        <w:t xml:space="preserve"> </w:t>
      </w:r>
      <w:r w:rsidR="00B67D69" w:rsidRPr="006A6B17">
        <w:rPr>
          <w:kern w:val="22"/>
          <w:szCs w:val="22"/>
        </w:rPr>
        <w:t xml:space="preserve">would be launched shortly after the </w:t>
      </w:r>
      <w:r w:rsidR="00D62ADE" w:rsidRPr="006A6B17">
        <w:rPr>
          <w:kern w:val="22"/>
          <w:szCs w:val="22"/>
        </w:rPr>
        <w:t>twenty-third meeting of the Subsidiary Body on Scientific, Technical and Technological Advice</w:t>
      </w:r>
      <w:r w:rsidR="00B67D69" w:rsidRPr="006A6B17">
        <w:rPr>
          <w:kern w:val="22"/>
          <w:szCs w:val="22"/>
        </w:rPr>
        <w:t>. Staff from the Communications Unit presented the new website layout and provided information on the development process. The Committee members provided brief feedback, including comments on the colo</w:t>
      </w:r>
      <w:r w:rsidR="004A3BF6" w:rsidRPr="006A6B17">
        <w:rPr>
          <w:kern w:val="22"/>
          <w:szCs w:val="22"/>
        </w:rPr>
        <w:t>u</w:t>
      </w:r>
      <w:r w:rsidR="00B67D69" w:rsidRPr="006A6B17">
        <w:rPr>
          <w:kern w:val="22"/>
          <w:szCs w:val="22"/>
        </w:rPr>
        <w:t>r schemes of the main pages, and requested that links to national CHM websites be accessible somewhere on the website.  It was suggested that the country profile pages would be the best way to do this. Members also requested to review the test web site on their own computers.</w:t>
      </w:r>
    </w:p>
    <w:p w14:paraId="62031A07" w14:textId="1E478178" w:rsidR="00B67D69" w:rsidRPr="006A6B17" w:rsidRDefault="00B67D69" w:rsidP="00B67D69">
      <w:pPr>
        <w:pStyle w:val="Para1"/>
        <w:numPr>
          <w:ilvl w:val="0"/>
          <w:numId w:val="20"/>
        </w:numPr>
        <w:tabs>
          <w:tab w:val="clear" w:pos="360"/>
        </w:tabs>
        <w:rPr>
          <w:kern w:val="22"/>
          <w:szCs w:val="22"/>
        </w:rPr>
      </w:pPr>
      <w:r w:rsidRPr="006A6B17">
        <w:rPr>
          <w:kern w:val="22"/>
          <w:szCs w:val="22"/>
        </w:rPr>
        <w:t xml:space="preserve">The Secretariat proposed to provide a non-public link to the production site for members to view and provide more feedback. In response to the Chair’s question, the Secretariat reported that </w:t>
      </w:r>
      <w:r w:rsidR="0067585E">
        <w:rPr>
          <w:kern w:val="22"/>
          <w:szCs w:val="22"/>
        </w:rPr>
        <w:t>the</w:t>
      </w:r>
      <w:r w:rsidR="0059142C">
        <w:rPr>
          <w:kern w:val="22"/>
          <w:szCs w:val="22"/>
        </w:rPr>
        <w:t xml:space="preserve"> </w:t>
      </w:r>
      <w:r w:rsidRPr="006A6B17">
        <w:rPr>
          <w:kern w:val="22"/>
          <w:szCs w:val="22"/>
        </w:rPr>
        <w:t xml:space="preserve">web strategy would not be updated for consideration by </w:t>
      </w:r>
      <w:r w:rsidR="00691BB3" w:rsidRPr="006A6B17">
        <w:rPr>
          <w:kern w:val="22"/>
          <w:szCs w:val="22"/>
        </w:rPr>
        <w:t>the Subsidiary Body on Implementation</w:t>
      </w:r>
      <w:r w:rsidR="00EB3EC3" w:rsidRPr="006A6B17">
        <w:rPr>
          <w:kern w:val="22"/>
          <w:szCs w:val="22"/>
        </w:rPr>
        <w:t xml:space="preserve"> at its third meeting</w:t>
      </w:r>
      <w:r w:rsidRPr="006A6B17">
        <w:rPr>
          <w:kern w:val="22"/>
          <w:szCs w:val="22"/>
        </w:rPr>
        <w:t>. Instead, the Secretariat was focused on completing existing tasks and requests before updating the document yet again.</w:t>
      </w:r>
    </w:p>
    <w:p w14:paraId="2C0A6B0A" w14:textId="62466A94" w:rsidR="00BE422B" w:rsidRPr="007C55E9" w:rsidRDefault="00BE422B" w:rsidP="0074267F">
      <w:pPr>
        <w:pStyle w:val="CBD-Sub-Item"/>
        <w:numPr>
          <w:ilvl w:val="1"/>
          <w:numId w:val="39"/>
        </w:numPr>
        <w:spacing w:before="120"/>
        <w:rPr>
          <w:snapToGrid w:val="0"/>
          <w:kern w:val="22"/>
          <w:lang w:val="en-GB"/>
        </w:rPr>
      </w:pPr>
      <w:r w:rsidRPr="007C55E9">
        <w:rPr>
          <w:snapToGrid w:val="0"/>
          <w:kern w:val="22"/>
          <w:lang w:val="en-GB"/>
        </w:rPr>
        <w:t>Support to national clearing-house mechanisms</w:t>
      </w:r>
      <w:r w:rsidR="00394A74" w:rsidRPr="00575CA0">
        <w:rPr>
          <w:kern w:val="22"/>
          <w:lang w:val="en-GB"/>
        </w:rPr>
        <w:t xml:space="preserve">, including progress with the </w:t>
      </w:r>
      <w:proofErr w:type="spellStart"/>
      <w:r w:rsidR="00394A74" w:rsidRPr="00575CA0">
        <w:rPr>
          <w:kern w:val="22"/>
          <w:lang w:val="en-GB"/>
        </w:rPr>
        <w:t>Bioland</w:t>
      </w:r>
      <w:proofErr w:type="spellEnd"/>
      <w:r w:rsidR="00394A74" w:rsidRPr="00575CA0">
        <w:rPr>
          <w:kern w:val="22"/>
          <w:lang w:val="en-GB"/>
        </w:rPr>
        <w:t xml:space="preserve"> tool</w:t>
      </w:r>
    </w:p>
    <w:p w14:paraId="26B93913" w14:textId="2DC99023" w:rsidR="00B67D69" w:rsidRPr="006A6B17" w:rsidRDefault="00B67D69" w:rsidP="00B67D69">
      <w:pPr>
        <w:pStyle w:val="Para1"/>
        <w:numPr>
          <w:ilvl w:val="0"/>
          <w:numId w:val="20"/>
        </w:numPr>
        <w:tabs>
          <w:tab w:val="clear" w:pos="360"/>
        </w:tabs>
        <w:rPr>
          <w:kern w:val="22"/>
          <w:szCs w:val="22"/>
        </w:rPr>
      </w:pPr>
      <w:r w:rsidRPr="006A6B17">
        <w:rPr>
          <w:kern w:val="22"/>
          <w:szCs w:val="22"/>
        </w:rPr>
        <w:t xml:space="preserve">Committee members received an update from the Secretariat on the ongoing enhancement and use of the </w:t>
      </w:r>
      <w:proofErr w:type="spellStart"/>
      <w:r w:rsidRPr="006A6B17">
        <w:rPr>
          <w:kern w:val="22"/>
          <w:szCs w:val="22"/>
        </w:rPr>
        <w:t>Bioland</w:t>
      </w:r>
      <w:proofErr w:type="spellEnd"/>
      <w:r w:rsidRPr="006A6B17">
        <w:rPr>
          <w:kern w:val="22"/>
          <w:szCs w:val="22"/>
        </w:rPr>
        <w:t xml:space="preserve"> tool. Reference was made to the need for training support to Parties that ha</w:t>
      </w:r>
      <w:r w:rsidR="00FE63FE">
        <w:rPr>
          <w:kern w:val="22"/>
          <w:szCs w:val="22"/>
        </w:rPr>
        <w:t>d</w:t>
      </w:r>
      <w:r w:rsidRPr="006A6B17">
        <w:rPr>
          <w:kern w:val="22"/>
          <w:szCs w:val="22"/>
        </w:rPr>
        <w:t xml:space="preserve"> requested migration to </w:t>
      </w:r>
      <w:proofErr w:type="spellStart"/>
      <w:r w:rsidRPr="006A6B17">
        <w:rPr>
          <w:kern w:val="22"/>
          <w:szCs w:val="22"/>
        </w:rPr>
        <w:t>Bioland</w:t>
      </w:r>
      <w:proofErr w:type="spellEnd"/>
      <w:r w:rsidRPr="006A6B17">
        <w:rPr>
          <w:kern w:val="22"/>
          <w:szCs w:val="22"/>
        </w:rPr>
        <w:t xml:space="preserve">. France announced that a booklet providing basic information on </w:t>
      </w:r>
      <w:proofErr w:type="spellStart"/>
      <w:r w:rsidRPr="006A6B17">
        <w:rPr>
          <w:kern w:val="22"/>
          <w:szCs w:val="22"/>
        </w:rPr>
        <w:t>Bioland</w:t>
      </w:r>
      <w:proofErr w:type="spellEnd"/>
      <w:r w:rsidRPr="006A6B17">
        <w:rPr>
          <w:kern w:val="22"/>
          <w:szCs w:val="22"/>
        </w:rPr>
        <w:t xml:space="preserve"> was being prepared as part of the GBIF project. The Secretariat advised that enhancements on interoperability were ongoing. The Secretariat also advised that a notification to announce the official launch of the </w:t>
      </w:r>
      <w:proofErr w:type="spellStart"/>
      <w:r w:rsidRPr="006A6B17">
        <w:rPr>
          <w:kern w:val="22"/>
          <w:szCs w:val="22"/>
        </w:rPr>
        <w:t>Bioland</w:t>
      </w:r>
      <w:proofErr w:type="spellEnd"/>
      <w:r w:rsidRPr="006A6B17">
        <w:rPr>
          <w:kern w:val="22"/>
          <w:szCs w:val="22"/>
        </w:rPr>
        <w:t xml:space="preserve"> tool would be issued in the coming days.</w:t>
      </w:r>
    </w:p>
    <w:p w14:paraId="2ACF4A99" w14:textId="37390828" w:rsidR="00EC4920" w:rsidRPr="007C55E9" w:rsidRDefault="00EC4920" w:rsidP="0074267F">
      <w:pPr>
        <w:pStyle w:val="CBD-Sub-Item"/>
        <w:numPr>
          <w:ilvl w:val="1"/>
          <w:numId w:val="39"/>
        </w:numPr>
        <w:spacing w:before="120"/>
        <w:rPr>
          <w:snapToGrid w:val="0"/>
          <w:kern w:val="22"/>
          <w:lang w:val="en-GB"/>
        </w:rPr>
      </w:pPr>
      <w:r w:rsidRPr="007C55E9">
        <w:rPr>
          <w:snapToGrid w:val="0"/>
          <w:kern w:val="22"/>
          <w:lang w:val="en-GB"/>
        </w:rPr>
        <w:t>Technical and scientific cooperation</w:t>
      </w:r>
      <w:r w:rsidR="005E07B7">
        <w:rPr>
          <w:snapToGrid w:val="0"/>
          <w:kern w:val="22"/>
          <w:lang w:val="en-GB"/>
        </w:rPr>
        <w:t xml:space="preserve"> </w:t>
      </w:r>
      <w:r w:rsidR="005E07B7" w:rsidRPr="00575CA0">
        <w:rPr>
          <w:kern w:val="22"/>
          <w:lang w:val="en-GB"/>
        </w:rPr>
        <w:t>(decision 14/24)</w:t>
      </w:r>
    </w:p>
    <w:p w14:paraId="6D6D8800" w14:textId="2D4081F8" w:rsidR="00EC4920" w:rsidRPr="006A6B17" w:rsidRDefault="00EC4920" w:rsidP="00EC4920">
      <w:pPr>
        <w:pStyle w:val="Para1"/>
        <w:numPr>
          <w:ilvl w:val="0"/>
          <w:numId w:val="20"/>
        </w:numPr>
        <w:tabs>
          <w:tab w:val="clear" w:pos="360"/>
        </w:tabs>
        <w:rPr>
          <w:kern w:val="22"/>
          <w:szCs w:val="22"/>
        </w:rPr>
      </w:pPr>
      <w:r w:rsidRPr="006A6B17">
        <w:rPr>
          <w:kern w:val="22"/>
          <w:szCs w:val="22"/>
        </w:rPr>
        <w:t xml:space="preserve">The Secretariat reported on the further updates made to the document discussed at the </w:t>
      </w:r>
      <w:r w:rsidR="00A626C3" w:rsidRPr="006A6B17">
        <w:rPr>
          <w:kern w:val="22"/>
          <w:szCs w:val="22"/>
        </w:rPr>
        <w:t>meeting of the Informal Advisory Committee</w:t>
      </w:r>
      <w:r w:rsidRPr="006A6B17">
        <w:rPr>
          <w:kern w:val="22"/>
          <w:szCs w:val="22"/>
        </w:rPr>
        <w:t xml:space="preserve"> in June before it was </w:t>
      </w:r>
      <w:r w:rsidR="00C34EE1">
        <w:rPr>
          <w:kern w:val="22"/>
          <w:szCs w:val="22"/>
        </w:rPr>
        <w:t>issued</w:t>
      </w:r>
      <w:r w:rsidR="00C34EE1" w:rsidRPr="006A6B17">
        <w:rPr>
          <w:kern w:val="22"/>
          <w:szCs w:val="22"/>
        </w:rPr>
        <w:t xml:space="preserve"> </w:t>
      </w:r>
      <w:r w:rsidRPr="006A6B17">
        <w:rPr>
          <w:kern w:val="22"/>
          <w:szCs w:val="22"/>
        </w:rPr>
        <w:t xml:space="preserve">for consideration by </w:t>
      </w:r>
      <w:r w:rsidR="00A626C3" w:rsidRPr="006A6B17">
        <w:rPr>
          <w:kern w:val="22"/>
          <w:szCs w:val="22"/>
        </w:rPr>
        <w:t>the Subsidiary Body on Scientific, Technical and Technological Advice</w:t>
      </w:r>
      <w:r w:rsidR="00E34CA0" w:rsidRPr="006A6B17">
        <w:rPr>
          <w:kern w:val="22"/>
          <w:szCs w:val="22"/>
        </w:rPr>
        <w:t xml:space="preserve"> at its twenty-third meeting</w:t>
      </w:r>
      <w:r w:rsidRPr="006A6B17">
        <w:rPr>
          <w:kern w:val="22"/>
          <w:szCs w:val="22"/>
        </w:rPr>
        <w:t>. The updates were made following an internal peer review of the document by relevant Secretariat staff. The Secretariat also provided brief updates on the Bio-Bridge Initiative (BBI) platform. In commenting on th</w:t>
      </w:r>
      <w:r w:rsidR="007E7E23">
        <w:rPr>
          <w:kern w:val="22"/>
          <w:szCs w:val="22"/>
        </w:rPr>
        <w:t>at</w:t>
      </w:r>
      <w:r w:rsidRPr="006A6B17">
        <w:rPr>
          <w:kern w:val="22"/>
          <w:szCs w:val="22"/>
        </w:rPr>
        <w:t xml:space="preserve"> item, one member reported a lack of interoperability between the BBI platform and other databases, noting that a record </w:t>
      </w:r>
      <w:r w:rsidR="002A6680">
        <w:rPr>
          <w:kern w:val="22"/>
          <w:szCs w:val="22"/>
        </w:rPr>
        <w:t xml:space="preserve">that he had submitted </w:t>
      </w:r>
      <w:r w:rsidRPr="006A6B17">
        <w:rPr>
          <w:kern w:val="22"/>
          <w:szCs w:val="22"/>
        </w:rPr>
        <w:t xml:space="preserve">through the BBI platform </w:t>
      </w:r>
      <w:r w:rsidR="002A6680">
        <w:rPr>
          <w:kern w:val="22"/>
          <w:szCs w:val="22"/>
        </w:rPr>
        <w:t>had</w:t>
      </w:r>
      <w:r w:rsidRPr="006A6B17">
        <w:rPr>
          <w:kern w:val="22"/>
          <w:szCs w:val="22"/>
        </w:rPr>
        <w:t xml:space="preserve"> not </w:t>
      </w:r>
      <w:r w:rsidR="0039392B">
        <w:rPr>
          <w:kern w:val="22"/>
          <w:szCs w:val="22"/>
        </w:rPr>
        <w:t xml:space="preserve">been </w:t>
      </w:r>
      <w:r w:rsidRPr="006A6B17">
        <w:rPr>
          <w:kern w:val="22"/>
          <w:szCs w:val="22"/>
        </w:rPr>
        <w:t xml:space="preserve">published on other platforms. Members stressed the need </w:t>
      </w:r>
      <w:r w:rsidR="0039392B">
        <w:rPr>
          <w:kern w:val="22"/>
          <w:szCs w:val="22"/>
        </w:rPr>
        <w:t>t</w:t>
      </w:r>
      <w:r w:rsidRPr="006A6B17">
        <w:rPr>
          <w:kern w:val="22"/>
          <w:szCs w:val="22"/>
        </w:rPr>
        <w:t>o ensur</w:t>
      </w:r>
      <w:r w:rsidR="0039392B">
        <w:rPr>
          <w:kern w:val="22"/>
          <w:szCs w:val="22"/>
        </w:rPr>
        <w:t>e</w:t>
      </w:r>
      <w:r w:rsidRPr="006A6B17">
        <w:rPr>
          <w:kern w:val="22"/>
          <w:szCs w:val="22"/>
        </w:rPr>
        <w:t xml:space="preserve"> interoperability between various CHM databases.</w:t>
      </w:r>
    </w:p>
    <w:p w14:paraId="1E075F97" w14:textId="61A36E70" w:rsidR="00BE422B" w:rsidRPr="007C55E9" w:rsidRDefault="00BE422B" w:rsidP="006A6B17">
      <w:pPr>
        <w:pStyle w:val="CBD-Sub-Item"/>
        <w:numPr>
          <w:ilvl w:val="1"/>
          <w:numId w:val="39"/>
        </w:numPr>
        <w:spacing w:before="120"/>
        <w:ind w:left="714" w:hanging="357"/>
        <w:rPr>
          <w:snapToGrid w:val="0"/>
          <w:kern w:val="22"/>
          <w:lang w:val="en-GB"/>
        </w:rPr>
      </w:pPr>
      <w:r w:rsidRPr="007C55E9">
        <w:rPr>
          <w:snapToGrid w:val="0"/>
          <w:kern w:val="22"/>
          <w:lang w:val="en-GB"/>
        </w:rPr>
        <w:t xml:space="preserve">Knowledge </w:t>
      </w:r>
      <w:r w:rsidR="0002734F" w:rsidRPr="007C55E9">
        <w:rPr>
          <w:snapToGrid w:val="0"/>
          <w:kern w:val="22"/>
          <w:lang w:val="en-GB"/>
        </w:rPr>
        <w:t>m</w:t>
      </w:r>
      <w:r w:rsidRPr="007C55E9">
        <w:rPr>
          <w:snapToGrid w:val="0"/>
          <w:kern w:val="22"/>
          <w:lang w:val="en-GB"/>
        </w:rPr>
        <w:t>anagement</w:t>
      </w:r>
      <w:r w:rsidR="00BE1DA4" w:rsidRPr="00BE1DA4">
        <w:rPr>
          <w:kern w:val="22"/>
          <w:lang w:val="en-GB"/>
        </w:rPr>
        <w:t xml:space="preserve"> </w:t>
      </w:r>
      <w:r w:rsidR="00BE1DA4" w:rsidRPr="00575CA0">
        <w:rPr>
          <w:kern w:val="22"/>
          <w:lang w:val="en-GB"/>
        </w:rPr>
        <w:t>under the Convention and its Protocols (decision 14/25)</w:t>
      </w:r>
    </w:p>
    <w:p w14:paraId="1BEAD370" w14:textId="2DECBA11" w:rsidR="000D70B8" w:rsidRPr="006A6B17" w:rsidRDefault="000D70B8" w:rsidP="000D70B8">
      <w:pPr>
        <w:pStyle w:val="Para1"/>
        <w:numPr>
          <w:ilvl w:val="0"/>
          <w:numId w:val="20"/>
        </w:numPr>
        <w:tabs>
          <w:tab w:val="clear" w:pos="360"/>
        </w:tabs>
        <w:rPr>
          <w:kern w:val="22"/>
          <w:szCs w:val="22"/>
        </w:rPr>
      </w:pPr>
      <w:r w:rsidRPr="006A6B17">
        <w:rPr>
          <w:kern w:val="22"/>
          <w:szCs w:val="22"/>
        </w:rPr>
        <w:t xml:space="preserve">The Secretariat gave an update on further developments made to the draft </w:t>
      </w:r>
      <w:r w:rsidR="00C0576A" w:rsidRPr="006A6B17">
        <w:rPr>
          <w:kern w:val="22"/>
          <w:szCs w:val="22"/>
        </w:rPr>
        <w:t>k</w:t>
      </w:r>
      <w:r w:rsidRPr="006A6B17">
        <w:rPr>
          <w:kern w:val="22"/>
          <w:szCs w:val="22"/>
        </w:rPr>
        <w:t xml:space="preserve">nowledge </w:t>
      </w:r>
      <w:r w:rsidR="00C0576A" w:rsidRPr="006A6B17">
        <w:rPr>
          <w:kern w:val="22"/>
          <w:szCs w:val="22"/>
        </w:rPr>
        <w:t>m</w:t>
      </w:r>
      <w:r w:rsidRPr="006A6B17">
        <w:rPr>
          <w:kern w:val="22"/>
          <w:szCs w:val="22"/>
        </w:rPr>
        <w:t xml:space="preserve">anagement strategy document since the meeting </w:t>
      </w:r>
      <w:r w:rsidR="00AC28C9" w:rsidRPr="006A6B17">
        <w:rPr>
          <w:kern w:val="22"/>
          <w:szCs w:val="22"/>
        </w:rPr>
        <w:t xml:space="preserve">of the Informal Advisory Committee held in June </w:t>
      </w:r>
      <w:r w:rsidRPr="006A6B17">
        <w:rPr>
          <w:kern w:val="22"/>
          <w:szCs w:val="22"/>
        </w:rPr>
        <w:t xml:space="preserve">and reported that a side event on </w:t>
      </w:r>
      <w:r w:rsidR="00AC28C9" w:rsidRPr="006A6B17">
        <w:rPr>
          <w:kern w:val="22"/>
          <w:szCs w:val="22"/>
        </w:rPr>
        <w:t>k</w:t>
      </w:r>
      <w:r w:rsidRPr="006A6B17">
        <w:rPr>
          <w:kern w:val="22"/>
          <w:szCs w:val="22"/>
        </w:rPr>
        <w:t xml:space="preserve">nowledge </w:t>
      </w:r>
      <w:r w:rsidR="00AC28C9" w:rsidRPr="006A6B17">
        <w:rPr>
          <w:kern w:val="22"/>
          <w:szCs w:val="22"/>
        </w:rPr>
        <w:t>m</w:t>
      </w:r>
      <w:r w:rsidRPr="006A6B17">
        <w:rPr>
          <w:kern w:val="22"/>
          <w:szCs w:val="22"/>
        </w:rPr>
        <w:t xml:space="preserve">anagement </w:t>
      </w:r>
      <w:r w:rsidR="00E47BF1">
        <w:rPr>
          <w:kern w:val="22"/>
          <w:szCs w:val="22"/>
        </w:rPr>
        <w:t>had been</w:t>
      </w:r>
      <w:r w:rsidR="00E47BF1" w:rsidRPr="006A6B17">
        <w:rPr>
          <w:kern w:val="22"/>
          <w:szCs w:val="22"/>
        </w:rPr>
        <w:t xml:space="preserve"> </w:t>
      </w:r>
      <w:r w:rsidRPr="006A6B17">
        <w:rPr>
          <w:kern w:val="22"/>
          <w:szCs w:val="22"/>
        </w:rPr>
        <w:t>held the previous week</w:t>
      </w:r>
      <w:r w:rsidR="00F30FBF">
        <w:rPr>
          <w:kern w:val="22"/>
          <w:szCs w:val="22"/>
        </w:rPr>
        <w:t>,</w:t>
      </w:r>
      <w:r w:rsidRPr="006A6B17">
        <w:rPr>
          <w:kern w:val="22"/>
          <w:szCs w:val="22"/>
        </w:rPr>
        <w:t xml:space="preserve"> during the </w:t>
      </w:r>
      <w:r w:rsidR="00C0576A" w:rsidRPr="006A6B17">
        <w:rPr>
          <w:kern w:val="22"/>
          <w:szCs w:val="22"/>
        </w:rPr>
        <w:t xml:space="preserve">eleventh </w:t>
      </w:r>
      <w:r w:rsidRPr="006A6B17">
        <w:rPr>
          <w:kern w:val="22"/>
          <w:szCs w:val="22"/>
        </w:rPr>
        <w:t>meeting</w:t>
      </w:r>
      <w:r w:rsidR="00C0576A" w:rsidRPr="006A6B17">
        <w:rPr>
          <w:kern w:val="22"/>
          <w:szCs w:val="22"/>
        </w:rPr>
        <w:t xml:space="preserve"> of the Ad Hoc Open-ended Working Group on Article</w:t>
      </w:r>
      <w:r w:rsidR="00393AA2" w:rsidRPr="006A6B17">
        <w:rPr>
          <w:kern w:val="22"/>
          <w:szCs w:val="22"/>
        </w:rPr>
        <w:t xml:space="preserve"> 8</w:t>
      </w:r>
      <w:r w:rsidR="00C0576A" w:rsidRPr="006A6B17">
        <w:rPr>
          <w:kern w:val="22"/>
          <w:szCs w:val="22"/>
        </w:rPr>
        <w:t>(j) and Related Provisions</w:t>
      </w:r>
      <w:r w:rsidRPr="006A6B17">
        <w:rPr>
          <w:kern w:val="22"/>
          <w:szCs w:val="22"/>
        </w:rPr>
        <w:t xml:space="preserve">. The Committee members expressed concern over the fact that a revised version of the document </w:t>
      </w:r>
      <w:r w:rsidR="005F1ED3">
        <w:rPr>
          <w:kern w:val="22"/>
          <w:szCs w:val="22"/>
        </w:rPr>
        <w:t>had been</w:t>
      </w:r>
      <w:r w:rsidR="005F1ED3" w:rsidRPr="006A6B17">
        <w:rPr>
          <w:kern w:val="22"/>
          <w:szCs w:val="22"/>
        </w:rPr>
        <w:t xml:space="preserve"> </w:t>
      </w:r>
      <w:r w:rsidRPr="006A6B17">
        <w:rPr>
          <w:kern w:val="22"/>
          <w:szCs w:val="22"/>
        </w:rPr>
        <w:t>sent to them only a day before the meeting.  Members were invited to provide further feedback on the draft by 31 December 2019.</w:t>
      </w:r>
    </w:p>
    <w:p w14:paraId="1ABE3047" w14:textId="46D7BF73" w:rsidR="000D70B8" w:rsidRPr="006A6B17" w:rsidRDefault="000D70B8" w:rsidP="000D70B8">
      <w:pPr>
        <w:pStyle w:val="Para1"/>
        <w:numPr>
          <w:ilvl w:val="0"/>
          <w:numId w:val="20"/>
        </w:numPr>
        <w:tabs>
          <w:tab w:val="clear" w:pos="360"/>
        </w:tabs>
        <w:rPr>
          <w:kern w:val="22"/>
          <w:szCs w:val="22"/>
        </w:rPr>
      </w:pPr>
      <w:r w:rsidRPr="006A6B17">
        <w:rPr>
          <w:kern w:val="22"/>
          <w:szCs w:val="22"/>
        </w:rPr>
        <w:lastRenderedPageBreak/>
        <w:t xml:space="preserve">The Secretariat agreed to incorporate this feedback into the draft by 15 January 2020. Members also discussed the relationship between the </w:t>
      </w:r>
      <w:r w:rsidR="005476D4" w:rsidRPr="006A6B17">
        <w:rPr>
          <w:kern w:val="22"/>
          <w:szCs w:val="22"/>
        </w:rPr>
        <w:t>k</w:t>
      </w:r>
      <w:r w:rsidR="009E5C99" w:rsidRPr="006A6B17">
        <w:rPr>
          <w:kern w:val="22"/>
          <w:szCs w:val="22"/>
        </w:rPr>
        <w:t xml:space="preserve">nowledge </w:t>
      </w:r>
      <w:r w:rsidR="005476D4" w:rsidRPr="006A6B17">
        <w:rPr>
          <w:kern w:val="22"/>
          <w:szCs w:val="22"/>
        </w:rPr>
        <w:t>m</w:t>
      </w:r>
      <w:r w:rsidR="009E5C99" w:rsidRPr="006A6B17">
        <w:rPr>
          <w:kern w:val="22"/>
          <w:szCs w:val="22"/>
        </w:rPr>
        <w:t>anagement</w:t>
      </w:r>
      <w:r w:rsidRPr="006A6B17">
        <w:rPr>
          <w:kern w:val="22"/>
          <w:szCs w:val="22"/>
        </w:rPr>
        <w:t xml:space="preserve"> strategy and the post</w:t>
      </w:r>
      <w:r w:rsidR="005476D4" w:rsidRPr="006A6B17">
        <w:rPr>
          <w:kern w:val="22"/>
          <w:szCs w:val="22"/>
        </w:rPr>
        <w:t>-</w:t>
      </w:r>
      <w:r w:rsidRPr="006A6B17">
        <w:rPr>
          <w:kern w:val="22"/>
          <w:szCs w:val="22"/>
        </w:rPr>
        <w:t xml:space="preserve">2020 global biodiversity framework. It was noted that no specific mention of </w:t>
      </w:r>
      <w:r w:rsidR="005476D4" w:rsidRPr="006A6B17">
        <w:rPr>
          <w:kern w:val="22"/>
          <w:szCs w:val="22"/>
        </w:rPr>
        <w:t>k</w:t>
      </w:r>
      <w:r w:rsidR="009E5C99" w:rsidRPr="006A6B17">
        <w:rPr>
          <w:kern w:val="22"/>
          <w:szCs w:val="22"/>
        </w:rPr>
        <w:t xml:space="preserve">nowledge </w:t>
      </w:r>
      <w:r w:rsidR="005476D4" w:rsidRPr="006A6B17">
        <w:rPr>
          <w:kern w:val="22"/>
          <w:szCs w:val="22"/>
        </w:rPr>
        <w:t>m</w:t>
      </w:r>
      <w:r w:rsidR="009E5C99" w:rsidRPr="006A6B17">
        <w:rPr>
          <w:kern w:val="22"/>
          <w:szCs w:val="22"/>
        </w:rPr>
        <w:t>anagement</w:t>
      </w:r>
      <w:r w:rsidRPr="006A6B17">
        <w:rPr>
          <w:kern w:val="22"/>
          <w:szCs w:val="22"/>
        </w:rPr>
        <w:t xml:space="preserve"> </w:t>
      </w:r>
      <w:r w:rsidR="00082D3F">
        <w:rPr>
          <w:kern w:val="22"/>
          <w:szCs w:val="22"/>
        </w:rPr>
        <w:t>had been</w:t>
      </w:r>
      <w:r w:rsidR="00082D3F" w:rsidRPr="006A6B17">
        <w:rPr>
          <w:kern w:val="22"/>
          <w:szCs w:val="22"/>
        </w:rPr>
        <w:t xml:space="preserve"> </w:t>
      </w:r>
      <w:r w:rsidRPr="006A6B17">
        <w:rPr>
          <w:kern w:val="22"/>
          <w:szCs w:val="22"/>
        </w:rPr>
        <w:t>made during the informal briefing by the Co-Chairs o</w:t>
      </w:r>
      <w:r w:rsidR="00A630C5" w:rsidRPr="006A6B17">
        <w:rPr>
          <w:kern w:val="22"/>
          <w:szCs w:val="22"/>
        </w:rPr>
        <w:t>f</w:t>
      </w:r>
      <w:r w:rsidRPr="006A6B17">
        <w:rPr>
          <w:kern w:val="22"/>
          <w:szCs w:val="22"/>
        </w:rPr>
        <w:t xml:space="preserve"> the </w:t>
      </w:r>
      <w:r w:rsidR="00A630C5" w:rsidRPr="006A6B17">
        <w:rPr>
          <w:kern w:val="22"/>
          <w:szCs w:val="22"/>
        </w:rPr>
        <w:t>Working Group on the P</w:t>
      </w:r>
      <w:r w:rsidRPr="006A6B17">
        <w:rPr>
          <w:kern w:val="22"/>
          <w:szCs w:val="22"/>
        </w:rPr>
        <w:t xml:space="preserve">ost-2020 </w:t>
      </w:r>
      <w:r w:rsidR="00A630C5" w:rsidRPr="006A6B17">
        <w:rPr>
          <w:kern w:val="22"/>
          <w:szCs w:val="22"/>
        </w:rPr>
        <w:t>G</w:t>
      </w:r>
      <w:r w:rsidRPr="006A6B17">
        <w:rPr>
          <w:kern w:val="22"/>
          <w:szCs w:val="22"/>
        </w:rPr>
        <w:t xml:space="preserve">lobal </w:t>
      </w:r>
      <w:r w:rsidR="00A630C5" w:rsidRPr="006A6B17">
        <w:rPr>
          <w:kern w:val="22"/>
          <w:szCs w:val="22"/>
        </w:rPr>
        <w:t>B</w:t>
      </w:r>
      <w:r w:rsidRPr="006A6B17">
        <w:rPr>
          <w:kern w:val="22"/>
          <w:szCs w:val="22"/>
        </w:rPr>
        <w:t xml:space="preserve">iodiversity </w:t>
      </w:r>
      <w:r w:rsidR="00A630C5" w:rsidRPr="006A6B17">
        <w:rPr>
          <w:kern w:val="22"/>
          <w:szCs w:val="22"/>
        </w:rPr>
        <w:t>F</w:t>
      </w:r>
      <w:r w:rsidRPr="006A6B17">
        <w:rPr>
          <w:kern w:val="22"/>
          <w:szCs w:val="22"/>
        </w:rPr>
        <w:t>ramework held on 24 November 2019.</w:t>
      </w:r>
    </w:p>
    <w:p w14:paraId="0D4EDD4D" w14:textId="096831A6" w:rsidR="000D70B8" w:rsidRPr="006A6B17" w:rsidRDefault="000D70B8" w:rsidP="000D70B8">
      <w:pPr>
        <w:pStyle w:val="Para1"/>
        <w:numPr>
          <w:ilvl w:val="0"/>
          <w:numId w:val="20"/>
        </w:numPr>
        <w:tabs>
          <w:tab w:val="clear" w:pos="360"/>
        </w:tabs>
        <w:rPr>
          <w:kern w:val="22"/>
          <w:szCs w:val="22"/>
        </w:rPr>
      </w:pPr>
      <w:r w:rsidRPr="006A6B17">
        <w:rPr>
          <w:kern w:val="22"/>
          <w:szCs w:val="22"/>
        </w:rPr>
        <w:t xml:space="preserve">The Secretariat reported that no formal consultations on </w:t>
      </w:r>
      <w:r w:rsidR="005476D4" w:rsidRPr="006A6B17">
        <w:rPr>
          <w:kern w:val="22"/>
          <w:szCs w:val="22"/>
        </w:rPr>
        <w:t>k</w:t>
      </w:r>
      <w:r w:rsidRPr="006A6B17">
        <w:rPr>
          <w:kern w:val="22"/>
          <w:szCs w:val="22"/>
        </w:rPr>
        <w:t xml:space="preserve">nowledge </w:t>
      </w:r>
      <w:r w:rsidR="005476D4" w:rsidRPr="006A6B17">
        <w:rPr>
          <w:kern w:val="22"/>
          <w:szCs w:val="22"/>
        </w:rPr>
        <w:t>m</w:t>
      </w:r>
      <w:r w:rsidRPr="006A6B17">
        <w:rPr>
          <w:kern w:val="22"/>
          <w:szCs w:val="22"/>
        </w:rPr>
        <w:t>anagement were scheduled as part of the post-2020 process due to lack of resources. The Secretariat was asked to explore potential opportunities for having at least one informal consultation prior to</w:t>
      </w:r>
      <w:r w:rsidR="009E5C99" w:rsidRPr="006A6B17">
        <w:rPr>
          <w:kern w:val="22"/>
          <w:szCs w:val="22"/>
        </w:rPr>
        <w:t xml:space="preserve"> the </w:t>
      </w:r>
      <w:r w:rsidR="005476D4" w:rsidRPr="006A6B17">
        <w:rPr>
          <w:kern w:val="22"/>
          <w:szCs w:val="22"/>
        </w:rPr>
        <w:t>t</w:t>
      </w:r>
      <w:r w:rsidR="009E5C99" w:rsidRPr="006A6B17">
        <w:rPr>
          <w:kern w:val="22"/>
          <w:szCs w:val="22"/>
        </w:rPr>
        <w:t>hird meeting of the Substantive Body on Implementation</w:t>
      </w:r>
      <w:r w:rsidRPr="006A6B17">
        <w:rPr>
          <w:kern w:val="22"/>
          <w:szCs w:val="22"/>
        </w:rPr>
        <w:t>. Members noted that</w:t>
      </w:r>
      <w:r w:rsidR="00D94261">
        <w:rPr>
          <w:kern w:val="22"/>
          <w:szCs w:val="22"/>
        </w:rPr>
        <w:t>,</w:t>
      </w:r>
      <w:r w:rsidRPr="006A6B17">
        <w:rPr>
          <w:kern w:val="22"/>
          <w:szCs w:val="22"/>
        </w:rPr>
        <w:t xml:space="preserve"> due to the overlap between </w:t>
      </w:r>
      <w:r w:rsidR="00F545BD">
        <w:rPr>
          <w:kern w:val="22"/>
          <w:szCs w:val="22"/>
        </w:rPr>
        <w:t xml:space="preserve">the </w:t>
      </w:r>
      <w:r w:rsidR="005476D4" w:rsidRPr="006A6B17">
        <w:rPr>
          <w:kern w:val="22"/>
          <w:szCs w:val="22"/>
        </w:rPr>
        <w:t>c</w:t>
      </w:r>
      <w:r w:rsidRPr="006A6B17">
        <w:rPr>
          <w:kern w:val="22"/>
          <w:szCs w:val="22"/>
        </w:rPr>
        <w:t>learing-</w:t>
      </w:r>
      <w:r w:rsidR="005476D4" w:rsidRPr="006A6B17">
        <w:rPr>
          <w:kern w:val="22"/>
          <w:szCs w:val="22"/>
        </w:rPr>
        <w:t>h</w:t>
      </w:r>
      <w:r w:rsidRPr="006A6B17">
        <w:rPr>
          <w:kern w:val="22"/>
          <w:szCs w:val="22"/>
        </w:rPr>
        <w:t xml:space="preserve">ouse </w:t>
      </w:r>
      <w:r w:rsidR="005476D4" w:rsidRPr="006A6B17">
        <w:rPr>
          <w:kern w:val="22"/>
          <w:szCs w:val="22"/>
        </w:rPr>
        <w:t>m</w:t>
      </w:r>
      <w:r w:rsidRPr="006A6B17">
        <w:rPr>
          <w:kern w:val="22"/>
          <w:szCs w:val="22"/>
        </w:rPr>
        <w:t xml:space="preserve">echanism, </w:t>
      </w:r>
      <w:r w:rsidR="005476D4" w:rsidRPr="006A6B17">
        <w:rPr>
          <w:kern w:val="22"/>
          <w:szCs w:val="22"/>
        </w:rPr>
        <w:t>k</w:t>
      </w:r>
      <w:r w:rsidRPr="006A6B17">
        <w:rPr>
          <w:kern w:val="22"/>
          <w:szCs w:val="22"/>
        </w:rPr>
        <w:t xml:space="preserve">nowledge </w:t>
      </w:r>
      <w:r w:rsidR="005476D4" w:rsidRPr="006A6B17">
        <w:rPr>
          <w:kern w:val="22"/>
          <w:szCs w:val="22"/>
        </w:rPr>
        <w:t>m</w:t>
      </w:r>
      <w:r w:rsidRPr="006A6B17">
        <w:rPr>
          <w:kern w:val="22"/>
          <w:szCs w:val="22"/>
        </w:rPr>
        <w:t xml:space="preserve">anagement, </w:t>
      </w:r>
      <w:r w:rsidR="005476D4" w:rsidRPr="006A6B17">
        <w:rPr>
          <w:kern w:val="22"/>
          <w:szCs w:val="22"/>
        </w:rPr>
        <w:t>t</w:t>
      </w:r>
      <w:r w:rsidRPr="006A6B17">
        <w:rPr>
          <w:kern w:val="22"/>
          <w:szCs w:val="22"/>
        </w:rPr>
        <w:t xml:space="preserve">echnical and </w:t>
      </w:r>
      <w:r w:rsidR="005476D4" w:rsidRPr="006A6B17">
        <w:rPr>
          <w:kern w:val="22"/>
          <w:szCs w:val="22"/>
        </w:rPr>
        <w:t>s</w:t>
      </w:r>
      <w:r w:rsidRPr="006A6B17">
        <w:rPr>
          <w:kern w:val="22"/>
          <w:szCs w:val="22"/>
        </w:rPr>
        <w:t xml:space="preserve">cientific </w:t>
      </w:r>
      <w:r w:rsidR="005476D4" w:rsidRPr="006A6B17">
        <w:rPr>
          <w:kern w:val="22"/>
          <w:szCs w:val="22"/>
        </w:rPr>
        <w:t>c</w:t>
      </w:r>
      <w:r w:rsidRPr="006A6B17">
        <w:rPr>
          <w:kern w:val="22"/>
          <w:szCs w:val="22"/>
        </w:rPr>
        <w:t>ooperation and capacity</w:t>
      </w:r>
      <w:r w:rsidR="005476D4" w:rsidRPr="006A6B17">
        <w:rPr>
          <w:kern w:val="22"/>
          <w:szCs w:val="22"/>
        </w:rPr>
        <w:t>-</w:t>
      </w:r>
      <w:r w:rsidRPr="006A6B17">
        <w:rPr>
          <w:kern w:val="22"/>
          <w:szCs w:val="22"/>
        </w:rPr>
        <w:t>building</w:t>
      </w:r>
      <w:r w:rsidR="00F545BD">
        <w:rPr>
          <w:kern w:val="22"/>
          <w:szCs w:val="22"/>
        </w:rPr>
        <w:t>,</w:t>
      </w:r>
      <w:r w:rsidRPr="006A6B17">
        <w:rPr>
          <w:kern w:val="22"/>
          <w:szCs w:val="22"/>
        </w:rPr>
        <w:t xml:space="preserve"> effort</w:t>
      </w:r>
      <w:r w:rsidR="009E5C99" w:rsidRPr="006A6B17">
        <w:rPr>
          <w:kern w:val="22"/>
          <w:szCs w:val="22"/>
        </w:rPr>
        <w:t>s</w:t>
      </w:r>
      <w:r w:rsidRPr="006A6B17">
        <w:rPr>
          <w:kern w:val="22"/>
          <w:szCs w:val="22"/>
        </w:rPr>
        <w:t xml:space="preserve"> should be made to use consistent language in documents relating to th</w:t>
      </w:r>
      <w:r w:rsidR="00F545BD">
        <w:rPr>
          <w:kern w:val="22"/>
          <w:szCs w:val="22"/>
        </w:rPr>
        <w:t>o</w:t>
      </w:r>
      <w:r w:rsidRPr="006A6B17">
        <w:rPr>
          <w:kern w:val="22"/>
          <w:szCs w:val="22"/>
        </w:rPr>
        <w:t xml:space="preserve">se four areas </w:t>
      </w:r>
      <w:r w:rsidR="00F545BD">
        <w:rPr>
          <w:kern w:val="22"/>
          <w:szCs w:val="22"/>
        </w:rPr>
        <w:t xml:space="preserve">in order </w:t>
      </w:r>
      <w:r w:rsidRPr="006A6B17">
        <w:rPr>
          <w:kern w:val="22"/>
          <w:szCs w:val="22"/>
        </w:rPr>
        <w:t>to avoid creating any confusion.</w:t>
      </w:r>
    </w:p>
    <w:p w14:paraId="258C8DB8" w14:textId="77777777" w:rsidR="0073270C" w:rsidRPr="007C55E9" w:rsidRDefault="0073270C" w:rsidP="00B21738">
      <w:pPr>
        <w:pStyle w:val="Heading1"/>
        <w:suppressLineNumbers/>
        <w:tabs>
          <w:tab w:val="clear" w:pos="720"/>
          <w:tab w:val="left" w:pos="993"/>
        </w:tabs>
        <w:suppressAutoHyphens/>
        <w:spacing w:before="120"/>
        <w:rPr>
          <w:caps w:val="0"/>
          <w:snapToGrid w:val="0"/>
          <w:kern w:val="22"/>
          <w:szCs w:val="22"/>
        </w:rPr>
      </w:pPr>
      <w:r w:rsidRPr="007C55E9">
        <w:rPr>
          <w:caps w:val="0"/>
          <w:snapToGrid w:val="0"/>
          <w:kern w:val="22"/>
          <w:szCs w:val="22"/>
        </w:rPr>
        <w:t>ITEM 4.</w:t>
      </w:r>
      <w:r w:rsidRPr="007C55E9">
        <w:rPr>
          <w:caps w:val="0"/>
          <w:snapToGrid w:val="0"/>
          <w:kern w:val="22"/>
          <w:szCs w:val="22"/>
        </w:rPr>
        <w:tab/>
      </w:r>
      <w:r w:rsidR="009B4043" w:rsidRPr="007C55E9">
        <w:rPr>
          <w:caps w:val="0"/>
          <w:snapToGrid w:val="0"/>
          <w:kern w:val="22"/>
          <w:szCs w:val="22"/>
        </w:rPr>
        <w:t>OTHER MATTERS</w:t>
      </w:r>
    </w:p>
    <w:p w14:paraId="1C258EE8" w14:textId="549894D7" w:rsidR="0073270C" w:rsidRPr="006A6B17" w:rsidRDefault="00C636BF" w:rsidP="00B520CD">
      <w:pPr>
        <w:pStyle w:val="Para1"/>
        <w:numPr>
          <w:ilvl w:val="0"/>
          <w:numId w:val="2"/>
        </w:numPr>
        <w:tabs>
          <w:tab w:val="clear" w:pos="360"/>
        </w:tabs>
        <w:rPr>
          <w:kern w:val="22"/>
          <w:szCs w:val="22"/>
        </w:rPr>
      </w:pPr>
      <w:r w:rsidRPr="006A6B17">
        <w:rPr>
          <w:kern w:val="22"/>
          <w:szCs w:val="22"/>
        </w:rPr>
        <w:t xml:space="preserve">The </w:t>
      </w:r>
      <w:r w:rsidR="00D0322A">
        <w:rPr>
          <w:kern w:val="22"/>
          <w:szCs w:val="22"/>
        </w:rPr>
        <w:t>c</w:t>
      </w:r>
      <w:r w:rsidR="009B4043" w:rsidRPr="007C55E9">
        <w:rPr>
          <w:kern w:val="22"/>
          <w:szCs w:val="22"/>
        </w:rPr>
        <w:t>hair requested an update from the Secretariat on the status of recruitment of a programme office</w:t>
      </w:r>
      <w:r w:rsidR="00325F0E">
        <w:rPr>
          <w:kern w:val="22"/>
          <w:szCs w:val="22"/>
        </w:rPr>
        <w:t>r</w:t>
      </w:r>
      <w:r w:rsidR="009B4043" w:rsidRPr="007C55E9">
        <w:rPr>
          <w:kern w:val="22"/>
          <w:szCs w:val="22"/>
        </w:rPr>
        <w:t xml:space="preserve"> for the </w:t>
      </w:r>
      <w:r w:rsidR="0028382E" w:rsidRPr="007C55E9">
        <w:rPr>
          <w:kern w:val="22"/>
          <w:szCs w:val="22"/>
        </w:rPr>
        <w:t>c</w:t>
      </w:r>
      <w:r w:rsidR="009B4043" w:rsidRPr="007C55E9">
        <w:rPr>
          <w:kern w:val="22"/>
          <w:szCs w:val="22"/>
        </w:rPr>
        <w:t>learing-</w:t>
      </w:r>
      <w:r w:rsidR="0028382E" w:rsidRPr="007C55E9">
        <w:rPr>
          <w:kern w:val="22"/>
          <w:szCs w:val="22"/>
        </w:rPr>
        <w:t>h</w:t>
      </w:r>
      <w:r w:rsidR="009B4043" w:rsidRPr="007C55E9">
        <w:rPr>
          <w:kern w:val="22"/>
          <w:szCs w:val="22"/>
        </w:rPr>
        <w:t xml:space="preserve">ouse </w:t>
      </w:r>
      <w:r w:rsidR="0028382E" w:rsidRPr="007C55E9">
        <w:rPr>
          <w:kern w:val="22"/>
          <w:szCs w:val="22"/>
        </w:rPr>
        <w:t>m</w:t>
      </w:r>
      <w:r w:rsidR="009B4043" w:rsidRPr="007C55E9">
        <w:rPr>
          <w:kern w:val="22"/>
          <w:szCs w:val="22"/>
        </w:rPr>
        <w:t>echanism</w:t>
      </w:r>
      <w:r w:rsidR="00B74599" w:rsidRPr="007C55E9">
        <w:rPr>
          <w:kern w:val="22"/>
          <w:szCs w:val="22"/>
        </w:rPr>
        <w:t>.</w:t>
      </w:r>
    </w:p>
    <w:p w14:paraId="67E8238F" w14:textId="2DCA70BD" w:rsidR="00FD33C7" w:rsidRPr="006A6B17" w:rsidRDefault="009B4043" w:rsidP="00B520CD">
      <w:pPr>
        <w:pStyle w:val="Para1"/>
        <w:numPr>
          <w:ilvl w:val="0"/>
          <w:numId w:val="2"/>
        </w:numPr>
        <w:tabs>
          <w:tab w:val="clear" w:pos="360"/>
        </w:tabs>
        <w:rPr>
          <w:kern w:val="22"/>
          <w:szCs w:val="22"/>
        </w:rPr>
      </w:pPr>
      <w:r w:rsidRPr="006A6B17">
        <w:rPr>
          <w:kern w:val="22"/>
          <w:szCs w:val="22"/>
        </w:rPr>
        <w:t xml:space="preserve">The Secretariat advised that the terms of reference </w:t>
      </w:r>
      <w:r w:rsidR="0059286E" w:rsidRPr="006A6B17">
        <w:rPr>
          <w:kern w:val="22"/>
          <w:szCs w:val="22"/>
        </w:rPr>
        <w:t xml:space="preserve">for the position </w:t>
      </w:r>
      <w:r w:rsidRPr="006A6B17">
        <w:rPr>
          <w:kern w:val="22"/>
          <w:szCs w:val="22"/>
        </w:rPr>
        <w:t xml:space="preserve">had been </w:t>
      </w:r>
      <w:r w:rsidR="00B74599" w:rsidRPr="006A6B17">
        <w:rPr>
          <w:kern w:val="22"/>
          <w:szCs w:val="22"/>
        </w:rPr>
        <w:t>reviewed</w:t>
      </w:r>
      <w:r w:rsidRPr="006A6B17">
        <w:rPr>
          <w:kern w:val="22"/>
          <w:szCs w:val="22"/>
        </w:rPr>
        <w:t xml:space="preserve"> </w:t>
      </w:r>
      <w:r w:rsidR="0059286E" w:rsidRPr="006A6B17">
        <w:rPr>
          <w:kern w:val="22"/>
          <w:szCs w:val="22"/>
        </w:rPr>
        <w:t xml:space="preserve">and revised following the outcomes of </w:t>
      </w:r>
      <w:r w:rsidR="0028382E" w:rsidRPr="006A6B17">
        <w:rPr>
          <w:kern w:val="22"/>
          <w:szCs w:val="22"/>
        </w:rPr>
        <w:t>the fourteenth meeting of the Conference of the Parties</w:t>
      </w:r>
      <w:r w:rsidR="0059286E" w:rsidRPr="006A6B17">
        <w:rPr>
          <w:kern w:val="22"/>
          <w:szCs w:val="22"/>
        </w:rPr>
        <w:t>. It was anticipated that the position would be advertised in the coming weeks.</w:t>
      </w:r>
    </w:p>
    <w:p w14:paraId="4FA91784" w14:textId="77777777" w:rsidR="00D3754F" w:rsidRPr="007C55E9" w:rsidRDefault="00D3754F" w:rsidP="00B21738">
      <w:pPr>
        <w:pStyle w:val="Heading1"/>
        <w:suppressLineNumbers/>
        <w:tabs>
          <w:tab w:val="clear" w:pos="720"/>
          <w:tab w:val="left" w:pos="993"/>
        </w:tabs>
        <w:suppressAutoHyphens/>
        <w:spacing w:before="120"/>
        <w:rPr>
          <w:caps w:val="0"/>
          <w:snapToGrid w:val="0"/>
          <w:kern w:val="22"/>
          <w:szCs w:val="22"/>
        </w:rPr>
      </w:pPr>
      <w:r w:rsidRPr="007C55E9">
        <w:rPr>
          <w:caps w:val="0"/>
          <w:snapToGrid w:val="0"/>
          <w:kern w:val="22"/>
          <w:szCs w:val="22"/>
        </w:rPr>
        <w:t>ITEM 5.</w:t>
      </w:r>
      <w:r w:rsidRPr="007C55E9">
        <w:rPr>
          <w:caps w:val="0"/>
          <w:snapToGrid w:val="0"/>
          <w:kern w:val="22"/>
          <w:szCs w:val="22"/>
        </w:rPr>
        <w:tab/>
        <w:t>CONCLUSIONS AND RECOMMENDATIONS</w:t>
      </w:r>
    </w:p>
    <w:p w14:paraId="24F7F261" w14:textId="63E14C59" w:rsidR="00D3754F" w:rsidRPr="006A6B17" w:rsidRDefault="0059286E" w:rsidP="00B520CD">
      <w:pPr>
        <w:pStyle w:val="Para1"/>
        <w:numPr>
          <w:ilvl w:val="0"/>
          <w:numId w:val="2"/>
        </w:numPr>
        <w:tabs>
          <w:tab w:val="clear" w:pos="360"/>
        </w:tabs>
        <w:rPr>
          <w:kern w:val="22"/>
          <w:szCs w:val="22"/>
        </w:rPr>
      </w:pPr>
      <w:r w:rsidRPr="006A6B17">
        <w:rPr>
          <w:kern w:val="22"/>
          <w:szCs w:val="22"/>
        </w:rPr>
        <w:t xml:space="preserve">The Committee concluded its review of the standing items and reviewed the next actions prior to its next anticipated meeting on the margins of the </w:t>
      </w:r>
      <w:r w:rsidR="00A91D30" w:rsidRPr="006A6B17">
        <w:rPr>
          <w:kern w:val="22"/>
          <w:szCs w:val="22"/>
        </w:rPr>
        <w:t>t</w:t>
      </w:r>
      <w:r w:rsidRPr="006A6B17">
        <w:rPr>
          <w:kern w:val="22"/>
          <w:szCs w:val="22"/>
        </w:rPr>
        <w:t xml:space="preserve">hird </w:t>
      </w:r>
      <w:r w:rsidR="00A91D30" w:rsidRPr="006A6B17">
        <w:rPr>
          <w:kern w:val="22"/>
          <w:szCs w:val="22"/>
        </w:rPr>
        <w:t>m</w:t>
      </w:r>
      <w:r w:rsidRPr="006A6B17">
        <w:rPr>
          <w:kern w:val="22"/>
          <w:szCs w:val="22"/>
        </w:rPr>
        <w:t>eeting of the Subsidiary Body on Implementation</w:t>
      </w:r>
      <w:r w:rsidR="00D0322A">
        <w:rPr>
          <w:kern w:val="22"/>
          <w:szCs w:val="22"/>
        </w:rPr>
        <w:t>,</w:t>
      </w:r>
      <w:r w:rsidRPr="006A6B17">
        <w:rPr>
          <w:kern w:val="22"/>
          <w:szCs w:val="22"/>
        </w:rPr>
        <w:t xml:space="preserve"> in May 2020.</w:t>
      </w:r>
      <w:bookmarkStart w:id="1" w:name="_GoBack"/>
      <w:bookmarkEnd w:id="1"/>
    </w:p>
    <w:p w14:paraId="571A3B65" w14:textId="553AE978" w:rsidR="00D3754F" w:rsidRPr="007C55E9" w:rsidRDefault="00D3754F" w:rsidP="00B21738">
      <w:pPr>
        <w:pStyle w:val="Heading1"/>
        <w:suppressLineNumbers/>
        <w:tabs>
          <w:tab w:val="clear" w:pos="720"/>
          <w:tab w:val="left" w:pos="993"/>
        </w:tabs>
        <w:suppressAutoHyphens/>
        <w:spacing w:before="120"/>
        <w:rPr>
          <w:caps w:val="0"/>
          <w:snapToGrid w:val="0"/>
          <w:kern w:val="22"/>
          <w:szCs w:val="22"/>
        </w:rPr>
      </w:pPr>
      <w:r w:rsidRPr="007C55E9">
        <w:rPr>
          <w:caps w:val="0"/>
          <w:snapToGrid w:val="0"/>
          <w:kern w:val="22"/>
          <w:szCs w:val="22"/>
        </w:rPr>
        <w:t>ITEM 6.</w:t>
      </w:r>
      <w:r w:rsidR="002D30A3" w:rsidRPr="007C55E9">
        <w:rPr>
          <w:caps w:val="0"/>
          <w:snapToGrid w:val="0"/>
          <w:kern w:val="22"/>
          <w:szCs w:val="22"/>
        </w:rPr>
        <w:tab/>
      </w:r>
      <w:r w:rsidRPr="007C55E9">
        <w:rPr>
          <w:caps w:val="0"/>
          <w:snapToGrid w:val="0"/>
          <w:kern w:val="22"/>
          <w:szCs w:val="22"/>
        </w:rPr>
        <w:t>CLOSURE OF THE MEETING</w:t>
      </w:r>
    </w:p>
    <w:p w14:paraId="24656876" w14:textId="481B12AB" w:rsidR="00D3754F" w:rsidRPr="006A6B17" w:rsidRDefault="00D3754F" w:rsidP="00B520CD">
      <w:pPr>
        <w:pStyle w:val="Para1"/>
        <w:numPr>
          <w:ilvl w:val="0"/>
          <w:numId w:val="2"/>
        </w:numPr>
        <w:tabs>
          <w:tab w:val="clear" w:pos="360"/>
        </w:tabs>
        <w:rPr>
          <w:kern w:val="22"/>
          <w:szCs w:val="22"/>
        </w:rPr>
      </w:pPr>
      <w:r w:rsidRPr="006A6B17">
        <w:rPr>
          <w:kern w:val="22"/>
          <w:szCs w:val="22"/>
        </w:rPr>
        <w:t xml:space="preserve">The chair closed the meeting </w:t>
      </w:r>
      <w:r w:rsidR="00A91D30" w:rsidRPr="006A6B17">
        <w:rPr>
          <w:kern w:val="22"/>
          <w:szCs w:val="22"/>
        </w:rPr>
        <w:t xml:space="preserve">at 9.45 a.m. </w:t>
      </w:r>
      <w:r w:rsidR="00076026" w:rsidRPr="006A6B17">
        <w:rPr>
          <w:kern w:val="22"/>
          <w:szCs w:val="22"/>
        </w:rPr>
        <w:t xml:space="preserve">on </w:t>
      </w:r>
      <w:r w:rsidR="0059286E" w:rsidRPr="006A6B17">
        <w:rPr>
          <w:kern w:val="22"/>
          <w:szCs w:val="22"/>
        </w:rPr>
        <w:t>26 November</w:t>
      </w:r>
      <w:r w:rsidR="00076026" w:rsidRPr="006A6B17">
        <w:rPr>
          <w:kern w:val="22"/>
          <w:szCs w:val="22"/>
        </w:rPr>
        <w:t xml:space="preserve"> </w:t>
      </w:r>
      <w:r w:rsidR="00A91D30" w:rsidRPr="006A6B17">
        <w:rPr>
          <w:kern w:val="22"/>
          <w:szCs w:val="22"/>
        </w:rPr>
        <w:t>2019</w:t>
      </w:r>
      <w:r w:rsidR="00076026" w:rsidRPr="006A6B17">
        <w:rPr>
          <w:kern w:val="22"/>
          <w:szCs w:val="22"/>
        </w:rPr>
        <w:t>.</w:t>
      </w:r>
    </w:p>
    <w:p w14:paraId="61653761" w14:textId="77777777" w:rsidR="00B3369F" w:rsidRPr="006A6B17" w:rsidRDefault="00C9161D" w:rsidP="00B81A6D">
      <w:pPr>
        <w:jc w:val="center"/>
        <w:rPr>
          <w:kern w:val="22"/>
          <w:szCs w:val="22"/>
        </w:rPr>
      </w:pPr>
      <w:r w:rsidRPr="006A6B17">
        <w:rPr>
          <w:kern w:val="22"/>
          <w:szCs w:val="22"/>
        </w:rPr>
        <w:t>______</w:t>
      </w:r>
      <w:r w:rsidR="004D5B98" w:rsidRPr="006A6B17">
        <w:rPr>
          <w:kern w:val="22"/>
          <w:szCs w:val="22"/>
        </w:rPr>
        <w:t>____</w:t>
      </w:r>
    </w:p>
    <w:sectPr w:rsidR="00B3369F" w:rsidRPr="006A6B17" w:rsidSect="00942DC3">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1EFC0" w14:textId="77777777" w:rsidR="0047565C" w:rsidRDefault="0047565C" w:rsidP="00CF1848">
      <w:r>
        <w:separator/>
      </w:r>
    </w:p>
  </w:endnote>
  <w:endnote w:type="continuationSeparator" w:id="0">
    <w:p w14:paraId="1EE153AE" w14:textId="77777777" w:rsidR="0047565C" w:rsidRDefault="0047565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FA70" w14:textId="77777777" w:rsidR="0047565C" w:rsidRDefault="0047565C" w:rsidP="00CF1848">
      <w:r>
        <w:separator/>
      </w:r>
    </w:p>
  </w:footnote>
  <w:footnote w:type="continuationSeparator" w:id="0">
    <w:p w14:paraId="5514F8CA" w14:textId="77777777" w:rsidR="0047565C" w:rsidRDefault="0047565C" w:rsidP="00CF1848">
      <w:r>
        <w:continuationSeparator/>
      </w:r>
    </w:p>
  </w:footnote>
  <w:footnote w:id="1">
    <w:p w14:paraId="030A6D24" w14:textId="77777777" w:rsidR="00B67D69" w:rsidRPr="00AB260A" w:rsidRDefault="00B67D69" w:rsidP="00AB260A">
      <w:pPr>
        <w:pStyle w:val="FootnoteText"/>
        <w:suppressLineNumbers/>
        <w:suppressAutoHyphens/>
        <w:ind w:firstLine="0"/>
        <w:jc w:val="left"/>
        <w:rPr>
          <w:kern w:val="18"/>
          <w:szCs w:val="18"/>
        </w:rPr>
      </w:pPr>
      <w:r w:rsidRPr="00AB260A">
        <w:rPr>
          <w:rStyle w:val="FootnoteReference"/>
          <w:kern w:val="18"/>
          <w:sz w:val="18"/>
          <w:szCs w:val="18"/>
        </w:rPr>
        <w:footnoteRef/>
      </w:r>
      <w:r w:rsidRPr="00AB260A">
        <w:rPr>
          <w:kern w:val="18"/>
          <w:szCs w:val="18"/>
        </w:rPr>
        <w:t xml:space="preserve"> Was unable to connect remotely.</w:t>
      </w:r>
    </w:p>
  </w:footnote>
  <w:footnote w:id="2">
    <w:p w14:paraId="4209BCF1" w14:textId="77777777" w:rsidR="00B67D69" w:rsidRPr="00AB260A" w:rsidRDefault="00B67D69" w:rsidP="00AB260A">
      <w:pPr>
        <w:pStyle w:val="FootnoteText"/>
        <w:suppressLineNumbers/>
        <w:suppressAutoHyphens/>
        <w:ind w:firstLine="0"/>
        <w:jc w:val="left"/>
        <w:rPr>
          <w:kern w:val="18"/>
          <w:szCs w:val="18"/>
        </w:rPr>
      </w:pPr>
      <w:r w:rsidRPr="00AB260A">
        <w:rPr>
          <w:rStyle w:val="FootnoteReference"/>
          <w:kern w:val="18"/>
          <w:sz w:val="18"/>
          <w:szCs w:val="18"/>
        </w:rPr>
        <w:footnoteRef/>
      </w:r>
      <w:r w:rsidRPr="00AB260A">
        <w:rPr>
          <w:kern w:val="18"/>
          <w:szCs w:val="18"/>
        </w:rPr>
        <w:t xml:space="preserve"> Was unable to connect remotely.</w:t>
      </w:r>
    </w:p>
  </w:footnote>
  <w:footnote w:id="3">
    <w:p w14:paraId="0AA2529B" w14:textId="0F0B3D93" w:rsidR="00B67D69" w:rsidRPr="006A6B17" w:rsidRDefault="00B67D69" w:rsidP="006A6B17">
      <w:pPr>
        <w:pStyle w:val="FootnoteText"/>
        <w:suppressLineNumbers/>
        <w:suppressAutoHyphens/>
        <w:ind w:firstLine="0"/>
        <w:jc w:val="left"/>
        <w:rPr>
          <w:kern w:val="18"/>
          <w:szCs w:val="18"/>
        </w:rPr>
      </w:pPr>
      <w:r w:rsidRPr="006A6B17">
        <w:rPr>
          <w:rStyle w:val="FootnoteReference"/>
          <w:kern w:val="18"/>
          <w:sz w:val="18"/>
          <w:szCs w:val="18"/>
        </w:rPr>
        <w:footnoteRef/>
      </w:r>
      <w:r w:rsidRPr="006A6B17">
        <w:rPr>
          <w:kern w:val="18"/>
          <w:szCs w:val="18"/>
        </w:rPr>
        <w:t xml:space="preserve"> Attended remotely</w:t>
      </w:r>
      <w:r w:rsidR="007C55E9" w:rsidRPr="006A6B17">
        <w:rPr>
          <w:kern w:val="18"/>
          <w:szCs w:val="18"/>
        </w:rPr>
        <w:t>.</w:t>
      </w:r>
    </w:p>
  </w:footnote>
  <w:footnote w:id="4">
    <w:p w14:paraId="1047C1C1" w14:textId="52236FF7" w:rsidR="00B67D69" w:rsidRPr="006A6B17" w:rsidRDefault="00B67D69" w:rsidP="006A6B17">
      <w:pPr>
        <w:pStyle w:val="FootnoteText"/>
        <w:suppressLineNumbers/>
        <w:suppressAutoHyphens/>
        <w:ind w:firstLine="0"/>
        <w:jc w:val="left"/>
        <w:rPr>
          <w:kern w:val="18"/>
          <w:szCs w:val="18"/>
        </w:rPr>
      </w:pPr>
      <w:r w:rsidRPr="006A6B17">
        <w:rPr>
          <w:rStyle w:val="FootnoteReference"/>
          <w:kern w:val="18"/>
          <w:sz w:val="18"/>
          <w:szCs w:val="18"/>
        </w:rPr>
        <w:footnoteRef/>
      </w:r>
      <w:r w:rsidRPr="006A6B17">
        <w:rPr>
          <w:kern w:val="18"/>
          <w:szCs w:val="18"/>
        </w:rPr>
        <w:t xml:space="preserve"> Attended remotely</w:t>
      </w:r>
      <w:r w:rsidR="005D65D4" w:rsidRPr="006A6B17">
        <w:rPr>
          <w:kern w:val="18"/>
          <w:szCs w:val="18"/>
        </w:rPr>
        <w:t>.</w:t>
      </w:r>
    </w:p>
  </w:footnote>
  <w:footnote w:id="5">
    <w:p w14:paraId="22F8A086" w14:textId="740257FC" w:rsidR="00E31155" w:rsidRPr="006A6B17" w:rsidRDefault="00E31155" w:rsidP="006A6B17">
      <w:pPr>
        <w:pStyle w:val="FootnoteText"/>
        <w:suppressLineNumbers/>
        <w:suppressAutoHyphens/>
        <w:ind w:firstLine="0"/>
        <w:jc w:val="left"/>
        <w:rPr>
          <w:kern w:val="18"/>
          <w:szCs w:val="18"/>
          <w:lang w:val="en-CA"/>
        </w:rPr>
      </w:pPr>
      <w:r w:rsidRPr="006A6B17">
        <w:rPr>
          <w:rStyle w:val="FootnoteReference"/>
          <w:kern w:val="18"/>
          <w:sz w:val="18"/>
          <w:szCs w:val="18"/>
        </w:rPr>
        <w:footnoteRef/>
      </w:r>
      <w:r w:rsidRPr="006A6B17">
        <w:rPr>
          <w:kern w:val="18"/>
          <w:szCs w:val="18"/>
        </w:rPr>
        <w:t xml:space="preserve"> An update on the communication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955093829"/>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BE0BA7E" w14:textId="03EC2688" w:rsidR="006725F3" w:rsidRPr="006A6B17" w:rsidRDefault="00DB2501" w:rsidP="006A6B17">
        <w:pPr>
          <w:pStyle w:val="Header"/>
          <w:keepLines/>
          <w:suppressLineNumbers/>
          <w:tabs>
            <w:tab w:val="clear" w:pos="4320"/>
            <w:tab w:val="clear" w:pos="8640"/>
          </w:tabs>
          <w:suppressAutoHyphens/>
          <w:jc w:val="left"/>
          <w:rPr>
            <w:noProof/>
            <w:kern w:val="22"/>
          </w:rPr>
        </w:pPr>
        <w:r w:rsidRPr="006A6B17">
          <w:rPr>
            <w:noProof/>
            <w:kern w:val="22"/>
          </w:rPr>
          <w:t>CBD/CHM/IAC/2019/2/2</w:t>
        </w:r>
      </w:p>
    </w:sdtContent>
  </w:sdt>
  <w:p w14:paraId="675F4225" w14:textId="77777777" w:rsidR="006725F3" w:rsidRPr="006A6B17" w:rsidRDefault="006725F3" w:rsidP="006A6B17">
    <w:pPr>
      <w:pStyle w:val="Header"/>
      <w:keepLines/>
      <w:suppressLineNumbers/>
      <w:tabs>
        <w:tab w:val="clear" w:pos="4320"/>
        <w:tab w:val="clear" w:pos="8640"/>
      </w:tabs>
      <w:suppressAutoHyphens/>
      <w:jc w:val="left"/>
      <w:rPr>
        <w:noProof/>
        <w:kern w:val="22"/>
      </w:rPr>
    </w:pPr>
    <w:r w:rsidRPr="006A6B17">
      <w:rPr>
        <w:noProof/>
        <w:kern w:val="22"/>
      </w:rPr>
      <w:t xml:space="preserve">Page </w:t>
    </w:r>
    <w:r w:rsidRPr="006A6B17">
      <w:rPr>
        <w:noProof/>
        <w:kern w:val="22"/>
      </w:rPr>
      <w:fldChar w:fldCharType="begin"/>
    </w:r>
    <w:r w:rsidRPr="006A6B17">
      <w:rPr>
        <w:noProof/>
        <w:kern w:val="22"/>
      </w:rPr>
      <w:instrText xml:space="preserve"> PAGE   \* MERGEFORMAT </w:instrText>
    </w:r>
    <w:r w:rsidRPr="006A6B17">
      <w:rPr>
        <w:noProof/>
        <w:kern w:val="22"/>
      </w:rPr>
      <w:fldChar w:fldCharType="separate"/>
    </w:r>
    <w:r w:rsidR="002747B4" w:rsidRPr="006A6B17">
      <w:rPr>
        <w:noProof/>
        <w:kern w:val="22"/>
      </w:rPr>
      <w:t>2</w:t>
    </w:r>
    <w:r w:rsidRPr="006A6B17">
      <w:rPr>
        <w:noProof/>
        <w:kern w:val="22"/>
      </w:rPr>
      <w:fldChar w:fldCharType="end"/>
    </w:r>
  </w:p>
  <w:p w14:paraId="4C79857E" w14:textId="77777777" w:rsidR="006725F3" w:rsidRPr="006A6B17" w:rsidRDefault="006725F3" w:rsidP="006A6B17">
    <w:pPr>
      <w:pStyle w:val="Header"/>
      <w:keepLines/>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396244730"/>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B7778A5" w14:textId="275D75DC" w:rsidR="006725F3" w:rsidRPr="006A6B17" w:rsidRDefault="00DB2501" w:rsidP="006A6B17">
        <w:pPr>
          <w:pStyle w:val="Header"/>
          <w:tabs>
            <w:tab w:val="clear" w:pos="4320"/>
            <w:tab w:val="clear" w:pos="8640"/>
          </w:tabs>
          <w:jc w:val="right"/>
          <w:rPr>
            <w:noProof/>
            <w:kern w:val="22"/>
          </w:rPr>
        </w:pPr>
        <w:r w:rsidRPr="006A6B17">
          <w:rPr>
            <w:noProof/>
            <w:kern w:val="22"/>
          </w:rPr>
          <w:t>CBD/CHM/IAC/2019/2/2</w:t>
        </w:r>
      </w:p>
    </w:sdtContent>
  </w:sdt>
  <w:p w14:paraId="215C1F7F" w14:textId="77777777" w:rsidR="006725F3" w:rsidRPr="006A6B17" w:rsidRDefault="006725F3" w:rsidP="006A6B17">
    <w:pPr>
      <w:pStyle w:val="Header"/>
      <w:tabs>
        <w:tab w:val="clear" w:pos="4320"/>
        <w:tab w:val="clear" w:pos="8640"/>
      </w:tabs>
      <w:jc w:val="right"/>
      <w:rPr>
        <w:noProof/>
        <w:kern w:val="22"/>
      </w:rPr>
    </w:pPr>
    <w:r w:rsidRPr="006A6B17">
      <w:rPr>
        <w:noProof/>
        <w:kern w:val="22"/>
      </w:rPr>
      <w:t xml:space="preserve">Page </w:t>
    </w:r>
    <w:r w:rsidRPr="006A6B17">
      <w:rPr>
        <w:noProof/>
        <w:kern w:val="22"/>
      </w:rPr>
      <w:fldChar w:fldCharType="begin"/>
    </w:r>
    <w:r w:rsidRPr="006A6B17">
      <w:rPr>
        <w:noProof/>
        <w:kern w:val="22"/>
      </w:rPr>
      <w:instrText xml:space="preserve"> PAGE   \* MERGEFORMAT </w:instrText>
    </w:r>
    <w:r w:rsidRPr="006A6B17">
      <w:rPr>
        <w:noProof/>
        <w:kern w:val="22"/>
      </w:rPr>
      <w:fldChar w:fldCharType="separate"/>
    </w:r>
    <w:r w:rsidR="002747B4" w:rsidRPr="006A6B17">
      <w:rPr>
        <w:noProof/>
        <w:kern w:val="22"/>
      </w:rPr>
      <w:t>1</w:t>
    </w:r>
    <w:r w:rsidRPr="006A6B17">
      <w:rPr>
        <w:noProof/>
        <w:kern w:val="22"/>
      </w:rPr>
      <w:fldChar w:fldCharType="end"/>
    </w:r>
  </w:p>
  <w:p w14:paraId="6630FE89" w14:textId="77777777" w:rsidR="006725F3" w:rsidRPr="006A6B17" w:rsidRDefault="006725F3" w:rsidP="006A6B17">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A6D9C"/>
    <w:multiLevelType w:val="hybridMultilevel"/>
    <w:tmpl w:val="A0B48B3A"/>
    <w:lvl w:ilvl="0" w:tplc="C72A3F32">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2160D46"/>
    <w:multiLevelType w:val="multilevel"/>
    <w:tmpl w:val="F072FF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FD29A1"/>
    <w:multiLevelType w:val="hybridMultilevel"/>
    <w:tmpl w:val="553405DE"/>
    <w:lvl w:ilvl="0" w:tplc="10090015">
      <w:start w:val="1"/>
      <w:numFmt w:val="upperLetter"/>
      <w:lvlText w:val="%1."/>
      <w:lvlJc w:val="left"/>
      <w:pPr>
        <w:ind w:left="720" w:hanging="360"/>
      </w:pPr>
      <w:rPr>
        <w:rFonts w:hint="default"/>
      </w:rPr>
    </w:lvl>
    <w:lvl w:ilvl="1" w:tplc="A490A1B0">
      <w:start w:val="1"/>
      <w:numFmt w:val="lowerLetter"/>
      <w:lvlText w:val="%2."/>
      <w:lvlJc w:val="left"/>
      <w:pPr>
        <w:ind w:left="1800" w:hanging="720"/>
      </w:pPr>
      <w:rPr>
        <w:rFonts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DA460D"/>
    <w:multiLevelType w:val="hybridMultilevel"/>
    <w:tmpl w:val="3F924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F524D9"/>
    <w:multiLevelType w:val="hybridMultilevel"/>
    <w:tmpl w:val="81A62190"/>
    <w:lvl w:ilvl="0" w:tplc="C72A3F32">
      <w:start w:val="1"/>
      <w:numFmt w:val="lowerLetter"/>
      <w:lvlText w:val="(%1)"/>
      <w:lvlJc w:val="left"/>
      <w:pPr>
        <w:ind w:left="1440" w:hanging="360"/>
      </w:pPr>
      <w:rPr>
        <w:rFonts w:hint="default"/>
      </w:rPr>
    </w:lvl>
    <w:lvl w:ilvl="1" w:tplc="C72A3F32">
      <w:start w:val="1"/>
      <w:numFmt w:val="lowerLetter"/>
      <w:lvlText w:val="(%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F3F433A"/>
    <w:multiLevelType w:val="multilevel"/>
    <w:tmpl w:val="A30442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F80517"/>
    <w:multiLevelType w:val="hybridMultilevel"/>
    <w:tmpl w:val="553405DE"/>
    <w:lvl w:ilvl="0" w:tplc="10090015">
      <w:start w:val="1"/>
      <w:numFmt w:val="upperLetter"/>
      <w:lvlText w:val="%1."/>
      <w:lvlJc w:val="left"/>
      <w:pPr>
        <w:ind w:left="4320" w:hanging="360"/>
      </w:pPr>
      <w:rPr>
        <w:rFonts w:hint="default"/>
      </w:rPr>
    </w:lvl>
    <w:lvl w:ilvl="1" w:tplc="A490A1B0">
      <w:start w:val="1"/>
      <w:numFmt w:val="lowerLetter"/>
      <w:lvlText w:val="%2."/>
      <w:lvlJc w:val="left"/>
      <w:pPr>
        <w:ind w:left="5400" w:hanging="720"/>
      </w:pPr>
      <w:rPr>
        <w:rFonts w:cs="Times New Roman" w:hint="default"/>
      </w:r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1" w15:restartNumberingAfterBreak="0">
    <w:nsid w:val="34362999"/>
    <w:multiLevelType w:val="multilevel"/>
    <w:tmpl w:val="A30442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A410CD"/>
    <w:multiLevelType w:val="hybridMultilevel"/>
    <w:tmpl w:val="0A887CA4"/>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13674D7"/>
    <w:multiLevelType w:val="hybridMultilevel"/>
    <w:tmpl w:val="39721B7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F27504"/>
    <w:multiLevelType w:val="multilevel"/>
    <w:tmpl w:val="A304425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0442B4"/>
    <w:multiLevelType w:val="multilevel"/>
    <w:tmpl w:val="8A9E44B2"/>
    <w:lvl w:ilvl="0">
      <w:start w:val="1"/>
      <w:numFmt w:val="decimal"/>
      <w:lvlText w:val="%1."/>
      <w:lvlJc w:val="left"/>
      <w:pPr>
        <w:tabs>
          <w:tab w:val="num" w:pos="360"/>
        </w:tabs>
        <w:ind w:left="0" w:firstLine="0"/>
      </w:pPr>
      <w:rPr>
        <w:rFonts w:ascii="Times New Roman" w:hAnsi="Times New Roman" w:hint="default"/>
        <w:b w:val="0"/>
        <w:i w:val="0"/>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53A50A7"/>
    <w:multiLevelType w:val="hybridMultilevel"/>
    <w:tmpl w:val="ACB6738A"/>
    <w:lvl w:ilvl="0" w:tplc="00AAB7E8">
      <w:start w:val="1"/>
      <w:numFmt w:val="upperRoman"/>
      <w:pStyle w:val="H1report"/>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9608B"/>
    <w:multiLevelType w:val="multilevel"/>
    <w:tmpl w:val="A304425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51686"/>
    <w:multiLevelType w:val="hybridMultilevel"/>
    <w:tmpl w:val="805E0FBE"/>
    <w:lvl w:ilvl="0" w:tplc="C72A3F32">
      <w:start w:val="1"/>
      <w:numFmt w:val="lowerLetter"/>
      <w:lvlText w:val="(%1)"/>
      <w:lvlJc w:val="left"/>
      <w:pPr>
        <w:ind w:left="1440" w:hanging="360"/>
      </w:pPr>
      <w:rPr>
        <w:rFonts w:hint="default"/>
      </w:rPr>
    </w:lvl>
    <w:lvl w:ilvl="1" w:tplc="C72A3F32">
      <w:start w:val="1"/>
      <w:numFmt w:val="lowerLetter"/>
      <w:lvlText w:val="(%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12A4076"/>
    <w:multiLevelType w:val="hybridMultilevel"/>
    <w:tmpl w:val="67F6ADD2"/>
    <w:lvl w:ilvl="0" w:tplc="C72A3F32">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125FB"/>
    <w:multiLevelType w:val="multilevel"/>
    <w:tmpl w:val="A30442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4"/>
  </w:num>
  <w:num w:numId="4">
    <w:abstractNumId w:val="17"/>
  </w:num>
  <w:num w:numId="5">
    <w:abstractNumId w:val="15"/>
  </w:num>
  <w:num w:numId="6">
    <w:abstractNumId w:val="0"/>
  </w:num>
  <w:num w:numId="7">
    <w:abstractNumId w:val="4"/>
  </w:num>
  <w:num w:numId="8">
    <w:abstractNumId w:val="14"/>
    <w:lvlOverride w:ilvl="0">
      <w:startOverride w:val="1"/>
    </w:lvlOverride>
  </w:num>
  <w:num w:numId="9">
    <w:abstractNumId w:val="24"/>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1"/>
  </w:num>
  <w:num w:numId="15">
    <w:abstractNumId w:val="19"/>
  </w:num>
  <w:num w:numId="16">
    <w:abstractNumId w:val="1"/>
  </w:num>
  <w:num w:numId="17">
    <w:abstractNumId w:val="25"/>
  </w:num>
  <w:num w:numId="18">
    <w:abstractNumId w:val="27"/>
  </w:num>
  <w:num w:numId="19">
    <w:abstractNumId w:val="6"/>
  </w:num>
  <w:num w:numId="2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lvlOverride w:ilvl="0">
      <w:startOverride w:val="3"/>
    </w:lvlOverride>
  </w:num>
  <w:num w:numId="24">
    <w:abstractNumId w:val="17"/>
    <w:lvlOverride w:ilvl="0">
      <w:startOverride w:val="4"/>
    </w:lvlOverride>
  </w:num>
  <w:num w:numId="25">
    <w:abstractNumId w:val="12"/>
  </w:num>
  <w:num w:numId="26">
    <w:abstractNumId w:val="12"/>
  </w:num>
  <w:num w:numId="27">
    <w:abstractNumId w:val="9"/>
  </w:num>
  <w:num w:numId="28">
    <w:abstractNumId w:val="26"/>
  </w:num>
  <w:num w:numId="29">
    <w:abstractNumId w:val="20"/>
  </w:num>
  <w:num w:numId="30">
    <w:abstractNumId w:val="16"/>
  </w:num>
  <w:num w:numId="31">
    <w:abstractNumId w:val="11"/>
  </w:num>
  <w:num w:numId="32">
    <w:abstractNumId w:val="10"/>
  </w:num>
  <w:num w:numId="33">
    <w:abstractNumId w:val="23"/>
  </w:num>
  <w:num w:numId="34">
    <w:abstractNumId w:val="7"/>
  </w:num>
  <w:num w:numId="35">
    <w:abstractNumId w:val="2"/>
  </w:num>
  <w:num w:numId="36">
    <w:abstractNumId w:val="22"/>
  </w:num>
  <w:num w:numId="37">
    <w:abstractNumId w:val="13"/>
  </w:num>
  <w:num w:numId="38">
    <w:abstractNumId w:val="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6668"/>
    <w:rsid w:val="00011058"/>
    <w:rsid w:val="0001427D"/>
    <w:rsid w:val="0001798F"/>
    <w:rsid w:val="00020AD4"/>
    <w:rsid w:val="000244D9"/>
    <w:rsid w:val="0002680A"/>
    <w:rsid w:val="0002734F"/>
    <w:rsid w:val="00042C27"/>
    <w:rsid w:val="00043B42"/>
    <w:rsid w:val="000524C7"/>
    <w:rsid w:val="00055ACF"/>
    <w:rsid w:val="000571E2"/>
    <w:rsid w:val="00060335"/>
    <w:rsid w:val="0007029D"/>
    <w:rsid w:val="00071D4A"/>
    <w:rsid w:val="000731B6"/>
    <w:rsid w:val="00074EC1"/>
    <w:rsid w:val="000755AA"/>
    <w:rsid w:val="00076026"/>
    <w:rsid w:val="00082D3F"/>
    <w:rsid w:val="0008435F"/>
    <w:rsid w:val="000855AF"/>
    <w:rsid w:val="00086DD4"/>
    <w:rsid w:val="0009521D"/>
    <w:rsid w:val="00097056"/>
    <w:rsid w:val="000A1806"/>
    <w:rsid w:val="000A39CB"/>
    <w:rsid w:val="000B19F9"/>
    <w:rsid w:val="000B3E21"/>
    <w:rsid w:val="000C113F"/>
    <w:rsid w:val="000D2373"/>
    <w:rsid w:val="000D3097"/>
    <w:rsid w:val="000D70B8"/>
    <w:rsid w:val="000E53EE"/>
    <w:rsid w:val="000E673A"/>
    <w:rsid w:val="000F15E8"/>
    <w:rsid w:val="000F285D"/>
    <w:rsid w:val="000F5095"/>
    <w:rsid w:val="000F74F5"/>
    <w:rsid w:val="000F79AB"/>
    <w:rsid w:val="000F7CFA"/>
    <w:rsid w:val="001026EB"/>
    <w:rsid w:val="00105302"/>
    <w:rsid w:val="00105372"/>
    <w:rsid w:val="0012096F"/>
    <w:rsid w:val="0012626F"/>
    <w:rsid w:val="00131E7A"/>
    <w:rsid w:val="0013458B"/>
    <w:rsid w:val="00134846"/>
    <w:rsid w:val="00160326"/>
    <w:rsid w:val="00164437"/>
    <w:rsid w:val="00165278"/>
    <w:rsid w:val="00165415"/>
    <w:rsid w:val="00172AF6"/>
    <w:rsid w:val="00174678"/>
    <w:rsid w:val="001760A0"/>
    <w:rsid w:val="00176CEE"/>
    <w:rsid w:val="00182CE6"/>
    <w:rsid w:val="00183E31"/>
    <w:rsid w:val="00186DD8"/>
    <w:rsid w:val="001872CE"/>
    <w:rsid w:val="00187BD9"/>
    <w:rsid w:val="0019194E"/>
    <w:rsid w:val="0019365B"/>
    <w:rsid w:val="00196700"/>
    <w:rsid w:val="001A3E4F"/>
    <w:rsid w:val="001A7B1E"/>
    <w:rsid w:val="001B25B0"/>
    <w:rsid w:val="001B5B45"/>
    <w:rsid w:val="001B5F0A"/>
    <w:rsid w:val="001C60CA"/>
    <w:rsid w:val="001E08C4"/>
    <w:rsid w:val="001E37D7"/>
    <w:rsid w:val="001E3C88"/>
    <w:rsid w:val="001E3C91"/>
    <w:rsid w:val="001E554F"/>
    <w:rsid w:val="001F03D6"/>
    <w:rsid w:val="001F1338"/>
    <w:rsid w:val="001F540E"/>
    <w:rsid w:val="00207C24"/>
    <w:rsid w:val="00213189"/>
    <w:rsid w:val="0021498F"/>
    <w:rsid w:val="00224E04"/>
    <w:rsid w:val="00232920"/>
    <w:rsid w:val="0023431B"/>
    <w:rsid w:val="00244933"/>
    <w:rsid w:val="002502FE"/>
    <w:rsid w:val="00251B68"/>
    <w:rsid w:val="00252F4C"/>
    <w:rsid w:val="002540F3"/>
    <w:rsid w:val="00254DEE"/>
    <w:rsid w:val="00264C1E"/>
    <w:rsid w:val="00264FB8"/>
    <w:rsid w:val="00273ED2"/>
    <w:rsid w:val="002747B4"/>
    <w:rsid w:val="002809F6"/>
    <w:rsid w:val="00281C62"/>
    <w:rsid w:val="0028382E"/>
    <w:rsid w:val="00283FFD"/>
    <w:rsid w:val="002850B0"/>
    <w:rsid w:val="00287CB8"/>
    <w:rsid w:val="00296E2E"/>
    <w:rsid w:val="002A5B5E"/>
    <w:rsid w:val="002A6680"/>
    <w:rsid w:val="002A6864"/>
    <w:rsid w:val="002C13E8"/>
    <w:rsid w:val="002C44F5"/>
    <w:rsid w:val="002D0ACA"/>
    <w:rsid w:val="002D30A3"/>
    <w:rsid w:val="002D62DB"/>
    <w:rsid w:val="002F07D3"/>
    <w:rsid w:val="002F2B6E"/>
    <w:rsid w:val="002F57BB"/>
    <w:rsid w:val="003004CA"/>
    <w:rsid w:val="00302CF0"/>
    <w:rsid w:val="00305501"/>
    <w:rsid w:val="00306472"/>
    <w:rsid w:val="00310BED"/>
    <w:rsid w:val="00325F0E"/>
    <w:rsid w:val="00332BB8"/>
    <w:rsid w:val="003377B8"/>
    <w:rsid w:val="003401A2"/>
    <w:rsid w:val="00342AA5"/>
    <w:rsid w:val="00344626"/>
    <w:rsid w:val="0034690C"/>
    <w:rsid w:val="00350305"/>
    <w:rsid w:val="00353D4C"/>
    <w:rsid w:val="003701D4"/>
    <w:rsid w:val="00372F74"/>
    <w:rsid w:val="00373A85"/>
    <w:rsid w:val="00373D89"/>
    <w:rsid w:val="0037584D"/>
    <w:rsid w:val="00381800"/>
    <w:rsid w:val="00383ADB"/>
    <w:rsid w:val="003872EC"/>
    <w:rsid w:val="00390110"/>
    <w:rsid w:val="0039392B"/>
    <w:rsid w:val="00393AA2"/>
    <w:rsid w:val="00394A74"/>
    <w:rsid w:val="003A32FD"/>
    <w:rsid w:val="003B1C29"/>
    <w:rsid w:val="003C1B18"/>
    <w:rsid w:val="003C3695"/>
    <w:rsid w:val="003C6597"/>
    <w:rsid w:val="003D6CB4"/>
    <w:rsid w:val="003E7D9A"/>
    <w:rsid w:val="003F7224"/>
    <w:rsid w:val="00400096"/>
    <w:rsid w:val="004023FF"/>
    <w:rsid w:val="00404D26"/>
    <w:rsid w:val="00414A34"/>
    <w:rsid w:val="00415EBD"/>
    <w:rsid w:val="00425A56"/>
    <w:rsid w:val="00427D21"/>
    <w:rsid w:val="00430385"/>
    <w:rsid w:val="0043331E"/>
    <w:rsid w:val="00440622"/>
    <w:rsid w:val="00441346"/>
    <w:rsid w:val="00446201"/>
    <w:rsid w:val="00447E2C"/>
    <w:rsid w:val="00454B20"/>
    <w:rsid w:val="00456980"/>
    <w:rsid w:val="004644C2"/>
    <w:rsid w:val="00466981"/>
    <w:rsid w:val="00467F9C"/>
    <w:rsid w:val="00471EDF"/>
    <w:rsid w:val="00473EDA"/>
    <w:rsid w:val="0047565C"/>
    <w:rsid w:val="0048229D"/>
    <w:rsid w:val="00485823"/>
    <w:rsid w:val="00485D90"/>
    <w:rsid w:val="00486D08"/>
    <w:rsid w:val="004932CF"/>
    <w:rsid w:val="00493822"/>
    <w:rsid w:val="004A3BF6"/>
    <w:rsid w:val="004B19AF"/>
    <w:rsid w:val="004B541A"/>
    <w:rsid w:val="004D0179"/>
    <w:rsid w:val="004D3913"/>
    <w:rsid w:val="004D52A8"/>
    <w:rsid w:val="004D5B98"/>
    <w:rsid w:val="004D7D30"/>
    <w:rsid w:val="004E4DAD"/>
    <w:rsid w:val="004F0049"/>
    <w:rsid w:val="004F1B38"/>
    <w:rsid w:val="00504DE6"/>
    <w:rsid w:val="00512DF0"/>
    <w:rsid w:val="00512FFD"/>
    <w:rsid w:val="00514F4B"/>
    <w:rsid w:val="005222BE"/>
    <w:rsid w:val="0053097A"/>
    <w:rsid w:val="0053285C"/>
    <w:rsid w:val="00534681"/>
    <w:rsid w:val="005455A5"/>
    <w:rsid w:val="005455D1"/>
    <w:rsid w:val="005476D4"/>
    <w:rsid w:val="005616C5"/>
    <w:rsid w:val="00561C0F"/>
    <w:rsid w:val="00562A66"/>
    <w:rsid w:val="0056563D"/>
    <w:rsid w:val="0057152F"/>
    <w:rsid w:val="00576E6D"/>
    <w:rsid w:val="00580E60"/>
    <w:rsid w:val="00583D12"/>
    <w:rsid w:val="0059142C"/>
    <w:rsid w:val="0059286E"/>
    <w:rsid w:val="005A0673"/>
    <w:rsid w:val="005A6573"/>
    <w:rsid w:val="005B7726"/>
    <w:rsid w:val="005C2C6D"/>
    <w:rsid w:val="005D3D8C"/>
    <w:rsid w:val="005D65D4"/>
    <w:rsid w:val="005D6F3C"/>
    <w:rsid w:val="005D76E8"/>
    <w:rsid w:val="005E07B7"/>
    <w:rsid w:val="005E3222"/>
    <w:rsid w:val="005E3305"/>
    <w:rsid w:val="005E5870"/>
    <w:rsid w:val="005F1411"/>
    <w:rsid w:val="005F1ED3"/>
    <w:rsid w:val="005F2CF0"/>
    <w:rsid w:val="005F61D7"/>
    <w:rsid w:val="006012D6"/>
    <w:rsid w:val="00602174"/>
    <w:rsid w:val="0060270B"/>
    <w:rsid w:val="006028C9"/>
    <w:rsid w:val="00610B90"/>
    <w:rsid w:val="006122BA"/>
    <w:rsid w:val="006152BE"/>
    <w:rsid w:val="006202F8"/>
    <w:rsid w:val="0062485E"/>
    <w:rsid w:val="00626A91"/>
    <w:rsid w:val="00626C35"/>
    <w:rsid w:val="00626D25"/>
    <w:rsid w:val="00632A9F"/>
    <w:rsid w:val="006417CB"/>
    <w:rsid w:val="00651270"/>
    <w:rsid w:val="006552EF"/>
    <w:rsid w:val="006557CC"/>
    <w:rsid w:val="0065701E"/>
    <w:rsid w:val="006607C0"/>
    <w:rsid w:val="00663483"/>
    <w:rsid w:val="0066418A"/>
    <w:rsid w:val="0066541F"/>
    <w:rsid w:val="006725F3"/>
    <w:rsid w:val="0067585E"/>
    <w:rsid w:val="00680B8C"/>
    <w:rsid w:val="00691BB3"/>
    <w:rsid w:val="006963D0"/>
    <w:rsid w:val="006A2E7C"/>
    <w:rsid w:val="006A312E"/>
    <w:rsid w:val="006A45AC"/>
    <w:rsid w:val="006A6B17"/>
    <w:rsid w:val="006B2290"/>
    <w:rsid w:val="006B41AD"/>
    <w:rsid w:val="006B52DC"/>
    <w:rsid w:val="006B68C8"/>
    <w:rsid w:val="006C5EF7"/>
    <w:rsid w:val="006D4B9F"/>
    <w:rsid w:val="006E61E4"/>
    <w:rsid w:val="006F0930"/>
    <w:rsid w:val="006F0AB7"/>
    <w:rsid w:val="006F0ED4"/>
    <w:rsid w:val="006F0F92"/>
    <w:rsid w:val="00701C74"/>
    <w:rsid w:val="007057F7"/>
    <w:rsid w:val="00707E6D"/>
    <w:rsid w:val="00717D88"/>
    <w:rsid w:val="0073270C"/>
    <w:rsid w:val="00733F34"/>
    <w:rsid w:val="0074164E"/>
    <w:rsid w:val="0074267F"/>
    <w:rsid w:val="007636E5"/>
    <w:rsid w:val="007727FE"/>
    <w:rsid w:val="00790A90"/>
    <w:rsid w:val="00793781"/>
    <w:rsid w:val="007942D3"/>
    <w:rsid w:val="007A0189"/>
    <w:rsid w:val="007A1F3B"/>
    <w:rsid w:val="007B0803"/>
    <w:rsid w:val="007B101A"/>
    <w:rsid w:val="007B40F7"/>
    <w:rsid w:val="007B55AC"/>
    <w:rsid w:val="007B6C09"/>
    <w:rsid w:val="007C3CAE"/>
    <w:rsid w:val="007C55E9"/>
    <w:rsid w:val="007E09DA"/>
    <w:rsid w:val="007E7E23"/>
    <w:rsid w:val="007F5C79"/>
    <w:rsid w:val="00802947"/>
    <w:rsid w:val="008046A2"/>
    <w:rsid w:val="00814C15"/>
    <w:rsid w:val="008178B6"/>
    <w:rsid w:val="00826880"/>
    <w:rsid w:val="008312E7"/>
    <w:rsid w:val="0083372D"/>
    <w:rsid w:val="0083652A"/>
    <w:rsid w:val="0083653F"/>
    <w:rsid w:val="00837253"/>
    <w:rsid w:val="00846980"/>
    <w:rsid w:val="008503A4"/>
    <w:rsid w:val="00853B85"/>
    <w:rsid w:val="008603B2"/>
    <w:rsid w:val="0086303A"/>
    <w:rsid w:val="008656AF"/>
    <w:rsid w:val="00865B74"/>
    <w:rsid w:val="00873C72"/>
    <w:rsid w:val="008747B3"/>
    <w:rsid w:val="00884387"/>
    <w:rsid w:val="008854D1"/>
    <w:rsid w:val="0089205F"/>
    <w:rsid w:val="008939F9"/>
    <w:rsid w:val="0089658B"/>
    <w:rsid w:val="008A2E4A"/>
    <w:rsid w:val="008C140B"/>
    <w:rsid w:val="008D489B"/>
    <w:rsid w:val="008D7658"/>
    <w:rsid w:val="008D7754"/>
    <w:rsid w:val="008E08D6"/>
    <w:rsid w:val="008E3E9E"/>
    <w:rsid w:val="008E65CF"/>
    <w:rsid w:val="008F1A27"/>
    <w:rsid w:val="008F23ED"/>
    <w:rsid w:val="008F57F8"/>
    <w:rsid w:val="008F7429"/>
    <w:rsid w:val="008F7C8C"/>
    <w:rsid w:val="00904CD9"/>
    <w:rsid w:val="009121DD"/>
    <w:rsid w:val="00913E51"/>
    <w:rsid w:val="00921689"/>
    <w:rsid w:val="0092240E"/>
    <w:rsid w:val="00927CB7"/>
    <w:rsid w:val="00930BA1"/>
    <w:rsid w:val="0093169E"/>
    <w:rsid w:val="00942DC3"/>
    <w:rsid w:val="00945646"/>
    <w:rsid w:val="009505C9"/>
    <w:rsid w:val="00953F01"/>
    <w:rsid w:val="00956020"/>
    <w:rsid w:val="009603CC"/>
    <w:rsid w:val="00960B0C"/>
    <w:rsid w:val="0097279C"/>
    <w:rsid w:val="0097303D"/>
    <w:rsid w:val="009737A3"/>
    <w:rsid w:val="00987A4E"/>
    <w:rsid w:val="0099222E"/>
    <w:rsid w:val="009A2826"/>
    <w:rsid w:val="009A5ABE"/>
    <w:rsid w:val="009B04BD"/>
    <w:rsid w:val="009B38F5"/>
    <w:rsid w:val="009B4043"/>
    <w:rsid w:val="009B41EB"/>
    <w:rsid w:val="009C3A66"/>
    <w:rsid w:val="009C5969"/>
    <w:rsid w:val="009C5D8D"/>
    <w:rsid w:val="009C6070"/>
    <w:rsid w:val="009C7BFC"/>
    <w:rsid w:val="009D1FE7"/>
    <w:rsid w:val="009D4D9A"/>
    <w:rsid w:val="009E06C8"/>
    <w:rsid w:val="009E09ED"/>
    <w:rsid w:val="009E5C99"/>
    <w:rsid w:val="00A1554F"/>
    <w:rsid w:val="00A23AC9"/>
    <w:rsid w:val="00A248BE"/>
    <w:rsid w:val="00A27148"/>
    <w:rsid w:val="00A31C6E"/>
    <w:rsid w:val="00A439CB"/>
    <w:rsid w:val="00A451CB"/>
    <w:rsid w:val="00A50ECC"/>
    <w:rsid w:val="00A62578"/>
    <w:rsid w:val="00A626C3"/>
    <w:rsid w:val="00A630C5"/>
    <w:rsid w:val="00A63EC9"/>
    <w:rsid w:val="00A66AB3"/>
    <w:rsid w:val="00A67A4A"/>
    <w:rsid w:val="00A714E5"/>
    <w:rsid w:val="00A86845"/>
    <w:rsid w:val="00A87A8F"/>
    <w:rsid w:val="00A9024C"/>
    <w:rsid w:val="00A91D30"/>
    <w:rsid w:val="00A91D7B"/>
    <w:rsid w:val="00A93296"/>
    <w:rsid w:val="00AA6009"/>
    <w:rsid w:val="00AA6990"/>
    <w:rsid w:val="00AB0E5E"/>
    <w:rsid w:val="00AB15F9"/>
    <w:rsid w:val="00AB260A"/>
    <w:rsid w:val="00AC28C9"/>
    <w:rsid w:val="00AC4C38"/>
    <w:rsid w:val="00AD078D"/>
    <w:rsid w:val="00AD119A"/>
    <w:rsid w:val="00AD3E4F"/>
    <w:rsid w:val="00AD6138"/>
    <w:rsid w:val="00AE1BE7"/>
    <w:rsid w:val="00AE4D86"/>
    <w:rsid w:val="00AE5A6E"/>
    <w:rsid w:val="00AE65BA"/>
    <w:rsid w:val="00AE6C87"/>
    <w:rsid w:val="00AF42DE"/>
    <w:rsid w:val="00AF7542"/>
    <w:rsid w:val="00B008B3"/>
    <w:rsid w:val="00B008E0"/>
    <w:rsid w:val="00B021FD"/>
    <w:rsid w:val="00B116DD"/>
    <w:rsid w:val="00B17D48"/>
    <w:rsid w:val="00B21738"/>
    <w:rsid w:val="00B21B5A"/>
    <w:rsid w:val="00B22A73"/>
    <w:rsid w:val="00B26E0B"/>
    <w:rsid w:val="00B3369F"/>
    <w:rsid w:val="00B35103"/>
    <w:rsid w:val="00B363F0"/>
    <w:rsid w:val="00B4102E"/>
    <w:rsid w:val="00B41CA7"/>
    <w:rsid w:val="00B4294F"/>
    <w:rsid w:val="00B50CFC"/>
    <w:rsid w:val="00B520CD"/>
    <w:rsid w:val="00B5678E"/>
    <w:rsid w:val="00B631E6"/>
    <w:rsid w:val="00B67D69"/>
    <w:rsid w:val="00B67D8C"/>
    <w:rsid w:val="00B74599"/>
    <w:rsid w:val="00B7505A"/>
    <w:rsid w:val="00B81886"/>
    <w:rsid w:val="00B81A6D"/>
    <w:rsid w:val="00B825CB"/>
    <w:rsid w:val="00B91AB6"/>
    <w:rsid w:val="00B9232C"/>
    <w:rsid w:val="00B95EE8"/>
    <w:rsid w:val="00BB0F85"/>
    <w:rsid w:val="00BB43FC"/>
    <w:rsid w:val="00BB4606"/>
    <w:rsid w:val="00BB6AD3"/>
    <w:rsid w:val="00BC1DA9"/>
    <w:rsid w:val="00BC64CA"/>
    <w:rsid w:val="00BD63E2"/>
    <w:rsid w:val="00BE0F08"/>
    <w:rsid w:val="00BE1DA4"/>
    <w:rsid w:val="00BE422B"/>
    <w:rsid w:val="00BF11A8"/>
    <w:rsid w:val="00BF33EE"/>
    <w:rsid w:val="00BF395C"/>
    <w:rsid w:val="00BF6681"/>
    <w:rsid w:val="00C0176D"/>
    <w:rsid w:val="00C039D8"/>
    <w:rsid w:val="00C0576A"/>
    <w:rsid w:val="00C10B30"/>
    <w:rsid w:val="00C11172"/>
    <w:rsid w:val="00C16283"/>
    <w:rsid w:val="00C177B8"/>
    <w:rsid w:val="00C217A7"/>
    <w:rsid w:val="00C23D2F"/>
    <w:rsid w:val="00C32A88"/>
    <w:rsid w:val="00C34EE1"/>
    <w:rsid w:val="00C365FC"/>
    <w:rsid w:val="00C442A5"/>
    <w:rsid w:val="00C443BD"/>
    <w:rsid w:val="00C46E4A"/>
    <w:rsid w:val="00C542DC"/>
    <w:rsid w:val="00C55E93"/>
    <w:rsid w:val="00C636BF"/>
    <w:rsid w:val="00C63FD4"/>
    <w:rsid w:val="00C75FF4"/>
    <w:rsid w:val="00C76E61"/>
    <w:rsid w:val="00C846DB"/>
    <w:rsid w:val="00C8712A"/>
    <w:rsid w:val="00C87BB4"/>
    <w:rsid w:val="00C9161D"/>
    <w:rsid w:val="00C91E1D"/>
    <w:rsid w:val="00C92659"/>
    <w:rsid w:val="00C93B9A"/>
    <w:rsid w:val="00C95CC2"/>
    <w:rsid w:val="00CA1C60"/>
    <w:rsid w:val="00CA4355"/>
    <w:rsid w:val="00CA4389"/>
    <w:rsid w:val="00CC208B"/>
    <w:rsid w:val="00CC2FB8"/>
    <w:rsid w:val="00CD1633"/>
    <w:rsid w:val="00CD6806"/>
    <w:rsid w:val="00CE1230"/>
    <w:rsid w:val="00CF1848"/>
    <w:rsid w:val="00CF4487"/>
    <w:rsid w:val="00D0322A"/>
    <w:rsid w:val="00D07EAB"/>
    <w:rsid w:val="00D12044"/>
    <w:rsid w:val="00D12903"/>
    <w:rsid w:val="00D12E0B"/>
    <w:rsid w:val="00D16785"/>
    <w:rsid w:val="00D168E5"/>
    <w:rsid w:val="00D16D01"/>
    <w:rsid w:val="00D16F50"/>
    <w:rsid w:val="00D2240F"/>
    <w:rsid w:val="00D23B38"/>
    <w:rsid w:val="00D3754F"/>
    <w:rsid w:val="00D463E6"/>
    <w:rsid w:val="00D4724E"/>
    <w:rsid w:val="00D47D16"/>
    <w:rsid w:val="00D5096E"/>
    <w:rsid w:val="00D6036D"/>
    <w:rsid w:val="00D62ADE"/>
    <w:rsid w:val="00D65E5C"/>
    <w:rsid w:val="00D76A18"/>
    <w:rsid w:val="00D80741"/>
    <w:rsid w:val="00D94261"/>
    <w:rsid w:val="00DA4F94"/>
    <w:rsid w:val="00DA6C85"/>
    <w:rsid w:val="00DB2501"/>
    <w:rsid w:val="00DB6D9C"/>
    <w:rsid w:val="00DD118C"/>
    <w:rsid w:val="00DD4858"/>
    <w:rsid w:val="00DD65C2"/>
    <w:rsid w:val="00DE377E"/>
    <w:rsid w:val="00DF6287"/>
    <w:rsid w:val="00DF68F0"/>
    <w:rsid w:val="00E13212"/>
    <w:rsid w:val="00E17323"/>
    <w:rsid w:val="00E17976"/>
    <w:rsid w:val="00E23A54"/>
    <w:rsid w:val="00E25CF2"/>
    <w:rsid w:val="00E26A35"/>
    <w:rsid w:val="00E31155"/>
    <w:rsid w:val="00E3156A"/>
    <w:rsid w:val="00E34CA0"/>
    <w:rsid w:val="00E44BF9"/>
    <w:rsid w:val="00E47BF1"/>
    <w:rsid w:val="00E55850"/>
    <w:rsid w:val="00E55959"/>
    <w:rsid w:val="00E56268"/>
    <w:rsid w:val="00E626B5"/>
    <w:rsid w:val="00E649F0"/>
    <w:rsid w:val="00E66235"/>
    <w:rsid w:val="00E70AEB"/>
    <w:rsid w:val="00E73692"/>
    <w:rsid w:val="00E7469C"/>
    <w:rsid w:val="00E747E3"/>
    <w:rsid w:val="00E819F1"/>
    <w:rsid w:val="00E83C24"/>
    <w:rsid w:val="00E913EB"/>
    <w:rsid w:val="00E9318D"/>
    <w:rsid w:val="00E9694E"/>
    <w:rsid w:val="00EA100B"/>
    <w:rsid w:val="00EA17F2"/>
    <w:rsid w:val="00EB075E"/>
    <w:rsid w:val="00EB3EC3"/>
    <w:rsid w:val="00EB7FF0"/>
    <w:rsid w:val="00EC4920"/>
    <w:rsid w:val="00EC550A"/>
    <w:rsid w:val="00ED6ACA"/>
    <w:rsid w:val="00EE2C08"/>
    <w:rsid w:val="00EE5325"/>
    <w:rsid w:val="00EF5861"/>
    <w:rsid w:val="00F002DF"/>
    <w:rsid w:val="00F05DA5"/>
    <w:rsid w:val="00F07DD4"/>
    <w:rsid w:val="00F11A71"/>
    <w:rsid w:val="00F173FF"/>
    <w:rsid w:val="00F20F96"/>
    <w:rsid w:val="00F30FBF"/>
    <w:rsid w:val="00F318A8"/>
    <w:rsid w:val="00F36C50"/>
    <w:rsid w:val="00F41F8C"/>
    <w:rsid w:val="00F4480A"/>
    <w:rsid w:val="00F44C69"/>
    <w:rsid w:val="00F45241"/>
    <w:rsid w:val="00F50AE1"/>
    <w:rsid w:val="00F50FDF"/>
    <w:rsid w:val="00F53193"/>
    <w:rsid w:val="00F53BB7"/>
    <w:rsid w:val="00F545BD"/>
    <w:rsid w:val="00F614D5"/>
    <w:rsid w:val="00F6561F"/>
    <w:rsid w:val="00F6586C"/>
    <w:rsid w:val="00F74023"/>
    <w:rsid w:val="00F77E21"/>
    <w:rsid w:val="00F829E7"/>
    <w:rsid w:val="00F83C1E"/>
    <w:rsid w:val="00F84494"/>
    <w:rsid w:val="00F85142"/>
    <w:rsid w:val="00F94774"/>
    <w:rsid w:val="00F94FC7"/>
    <w:rsid w:val="00FA1C57"/>
    <w:rsid w:val="00FC14DF"/>
    <w:rsid w:val="00FC53DB"/>
    <w:rsid w:val="00FC5853"/>
    <w:rsid w:val="00FD33C7"/>
    <w:rsid w:val="00FE0A08"/>
    <w:rsid w:val="00FE502D"/>
    <w:rsid w:val="00FE63F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EC664"/>
  <w15:docId w15:val="{8A48F284-0C8C-4DF7-8A17-7F32B57A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CBD-Sub-Item">
    <w:name w:val="CBD-Sub-Item"/>
    <w:basedOn w:val="Normal"/>
    <w:rsid w:val="00BE422B"/>
    <w:pPr>
      <w:keepNext/>
      <w:spacing w:before="240" w:after="120"/>
      <w:jc w:val="center"/>
    </w:pPr>
    <w:rPr>
      <w:b/>
      <w:szCs w:val="22"/>
      <w:lang w:val="en-US"/>
    </w:rPr>
  </w:style>
  <w:style w:type="paragraph" w:customStyle="1" w:styleId="H1report">
    <w:name w:val="H1 report"/>
    <w:basedOn w:val="Heading1"/>
    <w:qFormat/>
    <w:rsid w:val="00B50CFC"/>
    <w:pPr>
      <w:numPr>
        <w:numId w:val="21"/>
      </w:numPr>
      <w:suppressLineNumbers/>
      <w:tabs>
        <w:tab w:val="clear" w:pos="720"/>
      </w:tabs>
      <w:suppressAutoHyphens/>
    </w:pPr>
    <w:rPr>
      <w:bCs/>
      <w:caps w:val="0"/>
      <w:snapToGrid w:val="0"/>
      <w:kern w:val="22"/>
      <w:szCs w:val="22"/>
    </w:rPr>
  </w:style>
  <w:style w:type="table" w:customStyle="1" w:styleId="TableGrid1">
    <w:name w:val="Table Grid1"/>
    <w:basedOn w:val="TableNormal"/>
    <w:next w:val="TableGrid"/>
    <w:rsid w:val="00B50CFC"/>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
    <w:name w:val="CBD-Para"/>
    <w:basedOn w:val="Normal"/>
    <w:link w:val="CBD-ParaCharChar"/>
    <w:rsid w:val="00E819F1"/>
    <w:pPr>
      <w:keepLines/>
      <w:numPr>
        <w:numId w:val="22"/>
      </w:numPr>
      <w:spacing w:before="120" w:after="120"/>
    </w:pPr>
    <w:rPr>
      <w:szCs w:val="22"/>
      <w:lang w:val="en-US"/>
    </w:rPr>
  </w:style>
  <w:style w:type="character" w:customStyle="1" w:styleId="CBD-ParaCharChar">
    <w:name w:val="CBD-Para Char Char"/>
    <w:link w:val="CBD-Para"/>
    <w:rsid w:val="00E819F1"/>
    <w:rPr>
      <w:rFonts w:ascii="Times New Roman" w:eastAsia="Times New Roman" w:hAnsi="Times New Roman" w:cs="Times New Roman"/>
      <w:sz w:val="22"/>
      <w:szCs w:val="22"/>
      <w:lang w:val="en-US"/>
    </w:rPr>
  </w:style>
  <w:style w:type="paragraph" w:customStyle="1" w:styleId="CBD-Para-a">
    <w:name w:val="CBD-Para-a"/>
    <w:basedOn w:val="CBD-Para"/>
    <w:rsid w:val="00E819F1"/>
    <w:pPr>
      <w:numPr>
        <w:ilvl w:val="1"/>
      </w:numPr>
      <w:spacing w:before="60" w:after="60"/>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14C15"/>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4932C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932CF"/>
    <w:rPr>
      <w:rFonts w:ascii="Times New Roman" w:eastAsia="Times New Roman" w:hAnsi="Times New Roman" w:cs="Times New Roman"/>
      <w:b/>
      <w:bCs/>
      <w:sz w:val="20"/>
      <w:szCs w:val="20"/>
      <w:lang w:val="en-GB"/>
    </w:rPr>
  </w:style>
  <w:style w:type="paragraph" w:styleId="Revision">
    <w:name w:val="Revision"/>
    <w:hidden/>
    <w:uiPriority w:val="99"/>
    <w:semiHidden/>
    <w:rsid w:val="006963D0"/>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3A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92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11ED"/>
    <w:rsid w:val="0010520C"/>
    <w:rsid w:val="001E0D05"/>
    <w:rsid w:val="001E3716"/>
    <w:rsid w:val="00225026"/>
    <w:rsid w:val="00500A2B"/>
    <w:rsid w:val="005220FA"/>
    <w:rsid w:val="0058288D"/>
    <w:rsid w:val="005F55F7"/>
    <w:rsid w:val="006801B3"/>
    <w:rsid w:val="00810A55"/>
    <w:rsid w:val="008C6619"/>
    <w:rsid w:val="008D420E"/>
    <w:rsid w:val="0098642F"/>
    <w:rsid w:val="00A86673"/>
    <w:rsid w:val="00C45F1F"/>
    <w:rsid w:val="00C8104B"/>
    <w:rsid w:val="00D73646"/>
    <w:rsid w:val="00D969D0"/>
    <w:rsid w:val="00E4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2019-12-09T00:00:00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A57DE5-E2E2-43FE-9A5D-B7ECD1609B93}">
  <ds:schemaRefs>
    <ds:schemaRef ds:uri="http://schemas.microsoft.com/sharepoint/v3/contenttype/forms"/>
  </ds:schemaRefs>
</ds:datastoreItem>
</file>

<file path=customXml/itemProps3.xml><?xml version="1.0" encoding="utf-8"?>
<ds:datastoreItem xmlns:ds="http://schemas.openxmlformats.org/officeDocument/2006/customXml" ds:itemID="{6AAB7A52-3F69-4145-A90C-AAB015B6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67E59-E82D-4C3B-8534-C09E706F8C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0A0D83-6B7D-4F5D-A735-0FEE4B4F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 on the meeting of the Informal Advisory Committee to the Clearing-house Mechanism of the Convention on Biological Diversity, 26 November 2019</vt:lpstr>
    </vt:vector>
  </TitlesOfParts>
  <Company>SCBD</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meeting of the Informal Advisory Committee to the Clearing-house Mechanism of the Convention on Biological Diversity, 26 November 2019</dc:title>
  <dc:subject>CBD/CHM/IAC/2019/2/2</dc:subject>
  <dc:creator>SCBD</dc:creator>
  <cp:keywords>Informal Advisory Committee to the Clearing-house Mechanism of the Convention on Biological Diversity</cp:keywords>
  <cp:lastModifiedBy>Orestes Plasencia</cp:lastModifiedBy>
  <cp:revision>86</cp:revision>
  <dcterms:created xsi:type="dcterms:W3CDTF">2020-02-11T17:11:00Z</dcterms:created>
  <dcterms:modified xsi:type="dcterms:W3CDTF">2020-02-25T22:02:00Z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