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RPr="00AE7119" w:rsidTr="00031A05">
        <w:trPr>
          <w:trHeight w:val="851"/>
        </w:trPr>
        <w:tc>
          <w:tcPr>
            <w:tcW w:w="977" w:type="dxa"/>
            <w:tcBorders>
              <w:bottom w:val="single" w:sz="12" w:space="0" w:color="auto"/>
            </w:tcBorders>
          </w:tcPr>
          <w:p w:rsidR="00C9161D" w:rsidRPr="00AE7119" w:rsidRDefault="00C9161D" w:rsidP="00321985">
            <w:pPr>
              <w:rPr>
                <w:lang w:val="fr-CA"/>
              </w:rPr>
            </w:pPr>
            <w:r w:rsidRPr="00AE7119">
              <w:rPr>
                <w:lang w:val="fr-CA" w:eastAsia="fr-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AE7119" w:rsidRDefault="00031A05" w:rsidP="00321985">
            <w:pPr>
              <w:rPr>
                <w:lang w:val="fr-CA"/>
              </w:rPr>
            </w:pPr>
            <w:r w:rsidRPr="00AE7119">
              <w:rPr>
                <w:lang w:val="fr-CA" w:eastAsia="fr-CA"/>
              </w:rPr>
              <w:drawing>
                <wp:inline distT="0" distB="0" distL="0" distR="0">
                  <wp:extent cx="593090" cy="340360"/>
                  <wp:effectExtent l="0" t="0" r="0" b="0"/>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89" w:type="dxa"/>
            <w:tcBorders>
              <w:bottom w:val="single" w:sz="12" w:space="0" w:color="auto"/>
            </w:tcBorders>
          </w:tcPr>
          <w:p w:rsidR="00C9161D" w:rsidRPr="00AE7119" w:rsidRDefault="00C9161D" w:rsidP="00C9161D">
            <w:pPr>
              <w:jc w:val="right"/>
              <w:rPr>
                <w:rFonts w:ascii="Arial" w:hAnsi="Arial" w:cs="Arial"/>
                <w:b/>
                <w:sz w:val="32"/>
                <w:szCs w:val="32"/>
                <w:lang w:val="fr-CA"/>
              </w:rPr>
            </w:pPr>
            <w:r w:rsidRPr="00AE7119">
              <w:rPr>
                <w:rFonts w:ascii="Arial" w:hAnsi="Arial" w:cs="Arial"/>
                <w:b/>
                <w:sz w:val="32"/>
                <w:szCs w:val="32"/>
                <w:lang w:val="fr-CA"/>
              </w:rPr>
              <w:t>CBD</w:t>
            </w:r>
          </w:p>
        </w:tc>
      </w:tr>
      <w:tr w:rsidR="00C9161D" w:rsidRPr="00AE7119" w:rsidTr="00031A05">
        <w:tc>
          <w:tcPr>
            <w:tcW w:w="6118" w:type="dxa"/>
            <w:gridSpan w:val="2"/>
            <w:tcBorders>
              <w:top w:val="single" w:sz="12" w:space="0" w:color="auto"/>
              <w:bottom w:val="single" w:sz="36" w:space="0" w:color="auto"/>
            </w:tcBorders>
            <w:vAlign w:val="center"/>
          </w:tcPr>
          <w:p w:rsidR="00C9161D" w:rsidRPr="00AE7119" w:rsidRDefault="00031A05" w:rsidP="00C9161D">
            <w:pPr>
              <w:rPr>
                <w:lang w:val="fr-CA"/>
              </w:rPr>
            </w:pPr>
            <w:r w:rsidRPr="00AE7119">
              <w:rPr>
                <w:lang w:val="fr-CA" w:eastAsia="fr-CA"/>
              </w:rPr>
              <w:drawing>
                <wp:inline distT="0" distB="0" distL="0" distR="0">
                  <wp:extent cx="2358390" cy="939800"/>
                  <wp:effectExtent l="0" t="0" r="0" b="0"/>
                  <wp:docPr id="7"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rsidR="00C9161D" w:rsidRPr="00AE7119" w:rsidRDefault="00C9161D" w:rsidP="00176CEE">
            <w:pPr>
              <w:ind w:left="1215"/>
              <w:rPr>
                <w:noProof/>
                <w:szCs w:val="22"/>
                <w:lang w:val="fr-CA"/>
              </w:rPr>
            </w:pPr>
            <w:r w:rsidRPr="00AE7119">
              <w:rPr>
                <w:noProof/>
                <w:szCs w:val="22"/>
                <w:lang w:val="fr-CA"/>
              </w:rPr>
              <w:t>Distr.</w:t>
            </w:r>
          </w:p>
          <w:p w:rsidR="00C9161D" w:rsidRPr="00AE7119" w:rsidRDefault="00B26ACD" w:rsidP="00176CEE">
            <w:pPr>
              <w:ind w:left="1215"/>
              <w:rPr>
                <w:noProof/>
                <w:szCs w:val="22"/>
                <w:lang w:val="fr-CA"/>
              </w:rPr>
            </w:pPr>
            <w:r w:rsidRPr="00AE7119">
              <w:rPr>
                <w:caps/>
                <w:noProof/>
                <w:szCs w:val="22"/>
                <w:lang w:val="fr-CA"/>
              </w:rPr>
              <w:t>LIMIT</w:t>
            </w:r>
            <w:r w:rsidR="00031A05" w:rsidRPr="00AE7119">
              <w:rPr>
                <w:caps/>
                <w:noProof/>
                <w:szCs w:val="22"/>
                <w:lang w:val="fr-CA"/>
              </w:rPr>
              <w:t>ÉE</w:t>
            </w:r>
          </w:p>
          <w:p w:rsidR="00C9161D" w:rsidRPr="00AE7119" w:rsidRDefault="00C9161D" w:rsidP="00176CEE">
            <w:pPr>
              <w:ind w:left="1215"/>
              <w:rPr>
                <w:szCs w:val="22"/>
                <w:lang w:val="fr-CA"/>
              </w:rPr>
            </w:pPr>
          </w:p>
          <w:p w:rsidR="00C9161D" w:rsidRPr="00AE7119" w:rsidRDefault="00196A5E" w:rsidP="00176CEE">
            <w:pPr>
              <w:ind w:left="1215"/>
              <w:rPr>
                <w:szCs w:val="22"/>
                <w:lang w:val="fr-CA"/>
              </w:rPr>
            </w:pPr>
            <w:sdt>
              <w:sdtPr>
                <w:rPr>
                  <w:lang w:val="fr-CA"/>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AE7119">
                  <w:rPr>
                    <w:lang w:val="fr-CA"/>
                  </w:rPr>
                  <w:t>CBD/</w:t>
                </w:r>
                <w:r w:rsidR="00937130" w:rsidRPr="00AE7119">
                  <w:rPr>
                    <w:lang w:val="fr-CA"/>
                  </w:rPr>
                  <w:t>C</w:t>
                </w:r>
                <w:r w:rsidR="005E0ED3" w:rsidRPr="00AE7119">
                  <w:rPr>
                    <w:lang w:val="fr-CA"/>
                  </w:rPr>
                  <w:t>P/MOP/10</w:t>
                </w:r>
                <w:r w:rsidR="00937130" w:rsidRPr="00AE7119">
                  <w:rPr>
                    <w:lang w:val="fr-CA"/>
                  </w:rPr>
                  <w:t>/</w:t>
                </w:r>
                <w:r w:rsidR="00B26ACD" w:rsidRPr="00AE7119">
                  <w:rPr>
                    <w:lang w:val="fr-CA"/>
                  </w:rPr>
                  <w:t>L.</w:t>
                </w:r>
                <w:r w:rsidR="00E21F89" w:rsidRPr="00AE7119">
                  <w:rPr>
                    <w:lang w:val="fr-CA"/>
                  </w:rPr>
                  <w:t>7</w:t>
                </w:r>
              </w:sdtContent>
            </w:sdt>
          </w:p>
          <w:p w:rsidR="00C9161D" w:rsidRPr="00AE7119" w:rsidRDefault="00031A05" w:rsidP="00176CEE">
            <w:pPr>
              <w:ind w:left="1215"/>
              <w:rPr>
                <w:szCs w:val="22"/>
                <w:lang w:val="fr-CA"/>
              </w:rPr>
            </w:pPr>
            <w:r w:rsidRPr="00AE7119">
              <w:rPr>
                <w:szCs w:val="22"/>
                <w:lang w:val="fr-CA"/>
              </w:rPr>
              <w:t>9 décembre </w:t>
            </w:r>
            <w:r w:rsidR="00F6586C" w:rsidRPr="00AE7119">
              <w:rPr>
                <w:szCs w:val="22"/>
                <w:lang w:val="fr-CA"/>
              </w:rPr>
              <w:t>20</w:t>
            </w:r>
            <w:r w:rsidR="00FC25F8" w:rsidRPr="00AE7119">
              <w:rPr>
                <w:szCs w:val="22"/>
                <w:lang w:val="fr-CA"/>
              </w:rPr>
              <w:t>2</w:t>
            </w:r>
            <w:r w:rsidR="00B26ACD" w:rsidRPr="00AE7119">
              <w:rPr>
                <w:szCs w:val="22"/>
                <w:lang w:val="fr-CA"/>
              </w:rPr>
              <w:t>2</w:t>
            </w:r>
          </w:p>
          <w:p w:rsidR="00C9161D" w:rsidRPr="00AE7119" w:rsidRDefault="00C9161D" w:rsidP="00176CEE">
            <w:pPr>
              <w:ind w:left="1215"/>
              <w:rPr>
                <w:szCs w:val="22"/>
                <w:lang w:val="fr-CA"/>
              </w:rPr>
            </w:pPr>
          </w:p>
          <w:p w:rsidR="00031A05" w:rsidRPr="00AE7119" w:rsidRDefault="00031A05" w:rsidP="00031A05">
            <w:pPr>
              <w:ind w:left="1146"/>
              <w:rPr>
                <w:szCs w:val="22"/>
                <w:lang w:val="fr-CA"/>
              </w:rPr>
            </w:pPr>
            <w:r w:rsidRPr="00AE7119">
              <w:rPr>
                <w:szCs w:val="22"/>
                <w:lang w:val="fr-CA"/>
              </w:rPr>
              <w:t xml:space="preserve"> FRANÇAIS</w:t>
            </w:r>
          </w:p>
          <w:p w:rsidR="00C9161D" w:rsidRPr="00AE7119" w:rsidRDefault="00031A05" w:rsidP="00031A05">
            <w:pPr>
              <w:ind w:left="1215"/>
              <w:rPr>
                <w:szCs w:val="22"/>
                <w:lang w:val="fr-CA"/>
              </w:rPr>
            </w:pPr>
            <w:r w:rsidRPr="00AE7119">
              <w:rPr>
                <w:szCs w:val="22"/>
                <w:lang w:val="fr-CA"/>
              </w:rPr>
              <w:t>ORIGINAL : ANGLAIS</w:t>
            </w:r>
          </w:p>
          <w:p w:rsidR="00C9161D" w:rsidRPr="00AE7119" w:rsidRDefault="00C9161D">
            <w:pPr>
              <w:rPr>
                <w:lang w:val="fr-CA"/>
              </w:rPr>
            </w:pPr>
          </w:p>
        </w:tc>
      </w:tr>
    </w:tbl>
    <w:p w:rsidR="003B7BB2" w:rsidRPr="00AE7119" w:rsidRDefault="00031A05" w:rsidP="003B7BB2">
      <w:pPr>
        <w:pStyle w:val="Cornernotation"/>
        <w:kinsoku w:val="0"/>
        <w:overflowPunct w:val="0"/>
        <w:autoSpaceDE w:val="0"/>
        <w:autoSpaceDN w:val="0"/>
        <w:spacing w:before="60"/>
        <w:ind w:left="227" w:right="4302" w:hanging="227"/>
        <w:rPr>
          <w:snapToGrid w:val="0"/>
          <w:kern w:val="22"/>
          <w:lang w:val="fr-CA"/>
        </w:rPr>
      </w:pPr>
      <w:r w:rsidRPr="00AE7119">
        <w:rPr>
          <w:snapToGrid w:val="0"/>
          <w:kern w:val="22"/>
          <w:lang w:val="fr-CA"/>
        </w:rPr>
        <w:t>CONFÉRENCE DES PARTIES À LA CONVENTION SUR LA DIVERSITÉ BIOLOGIQUE SIÉGEANT EN TANT QUE RÉUNION DES PARTIES AU PROTOCOLE DE CARTAGENA SUR LA PRÉVENTION DES RISQUES BIOTECHNOLOGIQUES</w:t>
      </w:r>
    </w:p>
    <w:p w:rsidR="00031A05" w:rsidRPr="00AE7119" w:rsidRDefault="00031A05" w:rsidP="00031A05">
      <w:pPr>
        <w:pStyle w:val="Cornernotation"/>
        <w:kinsoku w:val="0"/>
        <w:overflowPunct w:val="0"/>
        <w:autoSpaceDE w:val="0"/>
        <w:autoSpaceDN w:val="0"/>
        <w:ind w:left="0" w:right="4512" w:firstLine="0"/>
        <w:rPr>
          <w:snapToGrid w:val="0"/>
          <w:kern w:val="22"/>
          <w:lang w:val="fr-CA"/>
        </w:rPr>
      </w:pPr>
      <w:r w:rsidRPr="00AE7119">
        <w:rPr>
          <w:snapToGrid w:val="0"/>
          <w:kern w:val="22"/>
          <w:lang w:val="fr-CA"/>
        </w:rPr>
        <w:t>Dixième réunion – Partie II</w:t>
      </w:r>
    </w:p>
    <w:p w:rsidR="00031A05" w:rsidRPr="00AE7119" w:rsidRDefault="00031A05" w:rsidP="00031A05">
      <w:pPr>
        <w:pStyle w:val="Cornernotation"/>
        <w:kinsoku w:val="0"/>
        <w:overflowPunct w:val="0"/>
        <w:autoSpaceDE w:val="0"/>
        <w:autoSpaceDN w:val="0"/>
        <w:ind w:left="227" w:right="4512" w:hanging="227"/>
        <w:rPr>
          <w:snapToGrid w:val="0"/>
          <w:kern w:val="22"/>
          <w:szCs w:val="22"/>
          <w:lang w:val="fr-CA" w:eastAsia="nb-NO"/>
        </w:rPr>
      </w:pPr>
      <w:r w:rsidRPr="00AE7119">
        <w:rPr>
          <w:snapToGrid w:val="0"/>
          <w:kern w:val="22"/>
          <w:szCs w:val="22"/>
          <w:lang w:val="fr-CA" w:eastAsia="nb-NO"/>
        </w:rPr>
        <w:t>Montréal (Canada), 7</w:t>
      </w:r>
      <w:r w:rsidR="00D017AA">
        <w:rPr>
          <w:snapToGrid w:val="0"/>
          <w:kern w:val="22"/>
          <w:szCs w:val="22"/>
          <w:lang w:val="fr-CA" w:eastAsia="nb-NO"/>
        </w:rPr>
        <w:noBreakHyphen/>
      </w:r>
      <w:r w:rsidRPr="00AE7119">
        <w:rPr>
          <w:snapToGrid w:val="0"/>
          <w:kern w:val="22"/>
          <w:szCs w:val="22"/>
          <w:lang w:val="fr-CA" w:eastAsia="nb-NO"/>
        </w:rPr>
        <w:t>19 décembre 2022</w:t>
      </w:r>
    </w:p>
    <w:p w:rsidR="00C9161D" w:rsidRPr="00AE7119" w:rsidRDefault="00031A05" w:rsidP="00031A05">
      <w:pPr>
        <w:rPr>
          <w:lang w:val="fr-CA"/>
        </w:rPr>
      </w:pPr>
      <w:r w:rsidRPr="00AE7119">
        <w:rPr>
          <w:snapToGrid w:val="0"/>
          <w:kern w:val="22"/>
          <w:szCs w:val="22"/>
          <w:lang w:val="fr-CA"/>
        </w:rPr>
        <w:t>Point 11 de l</w:t>
      </w:r>
      <w:r w:rsidR="00D017AA">
        <w:rPr>
          <w:snapToGrid w:val="0"/>
          <w:kern w:val="22"/>
          <w:szCs w:val="22"/>
          <w:lang w:val="fr-CA"/>
        </w:rPr>
        <w:t>’</w:t>
      </w:r>
      <w:r w:rsidRPr="00AE7119">
        <w:rPr>
          <w:snapToGrid w:val="0"/>
          <w:kern w:val="22"/>
          <w:szCs w:val="22"/>
          <w:lang w:val="fr-CA"/>
        </w:rPr>
        <w:t>ordre du jour</w:t>
      </w:r>
    </w:p>
    <w:p w:rsidR="00515F4E" w:rsidRPr="00AE7119" w:rsidRDefault="00AE7119" w:rsidP="00166372">
      <w:pPr>
        <w:shd w:val="clear" w:color="auto" w:fill="FFFFFF" w:themeFill="background1"/>
        <w:spacing w:before="240" w:after="240"/>
        <w:jc w:val="center"/>
        <w:rPr>
          <w:b/>
          <w:caps/>
          <w:shd w:val="pct15" w:color="auto" w:fill="FFFFFF"/>
          <w:lang w:val="fr-CA"/>
        </w:rPr>
      </w:pPr>
      <w:r w:rsidRPr="00AE7119">
        <w:rPr>
          <w:b/>
          <w:snapToGrid w:val="0"/>
          <w:kern w:val="22"/>
          <w:szCs w:val="22"/>
          <w:lang w:val="fr-CA"/>
        </w:rPr>
        <w:t>Fonctionnement et activités du Centre d</w:t>
      </w:r>
      <w:r w:rsidR="00D017AA">
        <w:rPr>
          <w:b/>
          <w:snapToGrid w:val="0"/>
          <w:kern w:val="22"/>
          <w:szCs w:val="22"/>
          <w:lang w:val="fr-CA"/>
        </w:rPr>
        <w:t>’</w:t>
      </w:r>
      <w:r w:rsidRPr="00AE7119">
        <w:rPr>
          <w:b/>
          <w:snapToGrid w:val="0"/>
          <w:kern w:val="22"/>
          <w:szCs w:val="22"/>
          <w:lang w:val="fr-CA"/>
        </w:rPr>
        <w:t>échange pour la prévention des risques biotechnologiques (article 20)</w:t>
      </w:r>
    </w:p>
    <w:p w:rsidR="00515F4E" w:rsidRPr="00AE7119" w:rsidRDefault="00AE7119" w:rsidP="00515F4E">
      <w:pPr>
        <w:pStyle w:val="Style1"/>
        <w:outlineLvl w:val="9"/>
        <w:rPr>
          <w:bCs w:val="0"/>
          <w:i w:val="0"/>
          <w:iCs w:val="0"/>
          <w:lang w:val="fr-CA"/>
        </w:rPr>
      </w:pPr>
      <w:r w:rsidRPr="00AE7119">
        <w:rPr>
          <w:i w:val="0"/>
          <w:lang w:val="fr-CA"/>
        </w:rPr>
        <w:t>Projet de décision présenté par le président du Groupe de travail II</w:t>
      </w:r>
    </w:p>
    <w:p w:rsidR="00515F4E" w:rsidRPr="00AE7119" w:rsidRDefault="00AE7119" w:rsidP="00515F4E">
      <w:pPr>
        <w:pStyle w:val="Para1"/>
        <w:numPr>
          <w:ilvl w:val="0"/>
          <w:numId w:val="0"/>
        </w:numPr>
        <w:shd w:val="clear" w:color="auto" w:fill="FFFFFF" w:themeFill="background1"/>
        <w:ind w:firstLine="720"/>
        <w:rPr>
          <w:i/>
          <w:iCs/>
          <w:szCs w:val="22"/>
          <w:lang w:val="fr-CA"/>
        </w:rPr>
      </w:pPr>
      <w:r w:rsidRPr="00AE7119">
        <w:rPr>
          <w:rStyle w:val="None"/>
          <w:i/>
          <w:iCs/>
          <w:szCs w:val="22"/>
          <w:lang w:val="fr-CA"/>
        </w:rPr>
        <w:t>La Conférence des Parties siégeant en tant que réunion des Parties au Protocole de Cartagena sur la prévention des risques biotechnologiques</w:t>
      </w:r>
      <w:r w:rsidR="00515F4E" w:rsidRPr="00AE7119">
        <w:rPr>
          <w:i/>
          <w:iCs/>
          <w:szCs w:val="22"/>
          <w:lang w:val="fr-CA"/>
        </w:rPr>
        <w:t>,</w:t>
      </w:r>
    </w:p>
    <w:p w:rsidR="00515F4E" w:rsidRPr="00AE7119" w:rsidRDefault="00AE7119" w:rsidP="00515F4E">
      <w:pPr>
        <w:pStyle w:val="Para1"/>
        <w:numPr>
          <w:ilvl w:val="0"/>
          <w:numId w:val="0"/>
        </w:numPr>
        <w:shd w:val="clear" w:color="auto" w:fill="FFFFFF" w:themeFill="background1"/>
        <w:ind w:firstLine="720"/>
        <w:rPr>
          <w:i/>
          <w:iCs/>
          <w:snapToGrid/>
          <w:szCs w:val="22"/>
          <w:lang w:val="fr-CA"/>
        </w:rPr>
      </w:pPr>
      <w:r w:rsidRPr="00AE7119">
        <w:rPr>
          <w:rStyle w:val="None"/>
          <w:i/>
          <w:iCs/>
          <w:szCs w:val="22"/>
          <w:lang w:val="fr-CA"/>
        </w:rPr>
        <w:t xml:space="preserve">Réaffirmant </w:t>
      </w:r>
      <w:r w:rsidRPr="00AE7119">
        <w:rPr>
          <w:rStyle w:val="None"/>
          <w:szCs w:val="22"/>
          <w:lang w:val="fr-CA"/>
        </w:rPr>
        <w:t xml:space="preserve">le </w:t>
      </w:r>
      <w:r w:rsidRPr="00AE7119">
        <w:rPr>
          <w:rStyle w:val="None"/>
          <w:iCs/>
          <w:szCs w:val="22"/>
          <w:lang w:val="fr-CA"/>
        </w:rPr>
        <w:t>rôle clé du Centre d</w:t>
      </w:r>
      <w:r w:rsidR="00D017AA">
        <w:rPr>
          <w:rStyle w:val="None"/>
          <w:iCs/>
          <w:szCs w:val="22"/>
          <w:lang w:val="fr-CA"/>
        </w:rPr>
        <w:t>’</w:t>
      </w:r>
      <w:r w:rsidRPr="00AE7119">
        <w:rPr>
          <w:rStyle w:val="None"/>
          <w:iCs/>
          <w:szCs w:val="22"/>
          <w:lang w:val="fr-CA"/>
        </w:rPr>
        <w:t>échange pour la prévention des risques biotechnologiques en tant que mécanisme d</w:t>
      </w:r>
      <w:r w:rsidR="00D017AA">
        <w:rPr>
          <w:rStyle w:val="None"/>
          <w:iCs/>
          <w:szCs w:val="22"/>
          <w:lang w:val="fr-CA"/>
        </w:rPr>
        <w:t>’</w:t>
      </w:r>
      <w:r w:rsidRPr="00AE7119">
        <w:rPr>
          <w:rStyle w:val="None"/>
          <w:iCs/>
          <w:szCs w:val="22"/>
          <w:lang w:val="fr-CA"/>
        </w:rPr>
        <w:t>échange d</w:t>
      </w:r>
      <w:r w:rsidR="00D017AA">
        <w:rPr>
          <w:rStyle w:val="None"/>
          <w:iCs/>
          <w:szCs w:val="22"/>
          <w:lang w:val="fr-CA"/>
        </w:rPr>
        <w:t>’</w:t>
      </w:r>
      <w:r w:rsidRPr="00AE7119">
        <w:rPr>
          <w:rStyle w:val="None"/>
          <w:iCs/>
          <w:szCs w:val="22"/>
          <w:lang w:val="fr-CA"/>
        </w:rPr>
        <w:t>informations facilitant la mise en œuvre du Protocole de Cartagena sur la prévention des risques biotechnologiques et des actions connexes de renforcement des capacités, et notant la pertinence croissante du Centre d</w:t>
      </w:r>
      <w:r w:rsidR="00D017AA">
        <w:rPr>
          <w:rStyle w:val="None"/>
          <w:iCs/>
          <w:szCs w:val="22"/>
          <w:lang w:val="fr-CA"/>
        </w:rPr>
        <w:t>’</w:t>
      </w:r>
      <w:r w:rsidRPr="00AE7119">
        <w:rPr>
          <w:rStyle w:val="None"/>
          <w:iCs/>
          <w:szCs w:val="22"/>
          <w:lang w:val="fr-CA"/>
        </w:rPr>
        <w:t>échange pour la prévention des risques biotechnologiques pour les forums en ligne</w:t>
      </w:r>
      <w:r w:rsidR="00515F4E" w:rsidRPr="00AE7119">
        <w:rPr>
          <w:szCs w:val="22"/>
          <w:lang w:val="fr-CA"/>
        </w:rPr>
        <w:t>,</w:t>
      </w:r>
    </w:p>
    <w:p w:rsidR="00515F4E" w:rsidRPr="00AE7119" w:rsidRDefault="00515F4E" w:rsidP="00515F4E">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1.</w:t>
      </w:r>
      <w:r w:rsidRPr="00AE7119">
        <w:rPr>
          <w:snapToGrid w:val="0"/>
          <w:color w:val="000000" w:themeColor="text1"/>
          <w:szCs w:val="22"/>
          <w:lang w:val="fr-CA"/>
        </w:rPr>
        <w:tab/>
      </w:r>
      <w:r w:rsidR="00AE7119" w:rsidRPr="00A87C55">
        <w:rPr>
          <w:rStyle w:val="None"/>
          <w:i/>
          <w:iCs/>
          <w:szCs w:val="22"/>
          <w:lang w:val="fr-CA"/>
        </w:rPr>
        <w:t xml:space="preserve">Se réjouit </w:t>
      </w:r>
      <w:r w:rsidR="00AE7119" w:rsidRPr="00A87C55">
        <w:rPr>
          <w:rStyle w:val="None"/>
          <w:iCs/>
          <w:szCs w:val="22"/>
          <w:lang w:val="fr-CA"/>
        </w:rPr>
        <w:t>du transfert du portail central du Centre d</w:t>
      </w:r>
      <w:r w:rsidR="00D017AA">
        <w:rPr>
          <w:rStyle w:val="None"/>
          <w:iCs/>
          <w:szCs w:val="22"/>
          <w:lang w:val="fr-CA"/>
        </w:rPr>
        <w:t>’</w:t>
      </w:r>
      <w:r w:rsidR="00AE7119" w:rsidRPr="00A87C55">
        <w:rPr>
          <w:rStyle w:val="None"/>
          <w:iCs/>
          <w:szCs w:val="22"/>
          <w:lang w:val="fr-CA"/>
        </w:rPr>
        <w:t>échange pour la prévention des risques biotechnologiques vers sa nouvelle plateforme et des améliorations apportées en vertu des modalités de fonctionnement conjointes du mécanisme de Centre d</w:t>
      </w:r>
      <w:r w:rsidR="00D017AA">
        <w:rPr>
          <w:rStyle w:val="None"/>
          <w:iCs/>
          <w:szCs w:val="22"/>
          <w:lang w:val="fr-CA"/>
        </w:rPr>
        <w:t>’</w:t>
      </w:r>
      <w:r w:rsidR="00AE7119" w:rsidRPr="00A87C55">
        <w:rPr>
          <w:rStyle w:val="None"/>
          <w:iCs/>
          <w:szCs w:val="22"/>
          <w:lang w:val="fr-CA"/>
        </w:rPr>
        <w:t>échange de la Convention, du Centre d</w:t>
      </w:r>
      <w:r w:rsidR="00D017AA">
        <w:rPr>
          <w:rStyle w:val="None"/>
          <w:iCs/>
          <w:szCs w:val="22"/>
          <w:lang w:val="fr-CA"/>
        </w:rPr>
        <w:t>’</w:t>
      </w:r>
      <w:r w:rsidR="00AE7119" w:rsidRPr="00A87C55">
        <w:rPr>
          <w:rStyle w:val="None"/>
          <w:iCs/>
          <w:szCs w:val="22"/>
          <w:lang w:val="fr-CA"/>
        </w:rPr>
        <w:t>échange pour la prévention des risques biotechnologiques et du Centre d</w:t>
      </w:r>
      <w:r w:rsidR="00D017AA">
        <w:rPr>
          <w:rStyle w:val="None"/>
          <w:iCs/>
          <w:szCs w:val="22"/>
          <w:lang w:val="fr-CA"/>
        </w:rPr>
        <w:t>’</w:t>
      </w:r>
      <w:r w:rsidR="00AE7119" w:rsidRPr="00A87C55">
        <w:rPr>
          <w:rStyle w:val="None"/>
          <w:iCs/>
          <w:szCs w:val="22"/>
          <w:lang w:val="fr-CA"/>
        </w:rPr>
        <w:t>échange sur l</w:t>
      </w:r>
      <w:r w:rsidR="00D017AA">
        <w:rPr>
          <w:rStyle w:val="None"/>
          <w:iCs/>
          <w:szCs w:val="22"/>
          <w:lang w:val="fr-CA"/>
        </w:rPr>
        <w:t>’</w:t>
      </w:r>
      <w:r w:rsidR="00AE7119" w:rsidRPr="00A87C55">
        <w:rPr>
          <w:rStyle w:val="None"/>
          <w:iCs/>
          <w:szCs w:val="22"/>
          <w:lang w:val="fr-CA"/>
        </w:rPr>
        <w:t>accès et le partage des avantages, appuyées dans la décision COP</w:t>
      </w:r>
      <w:r w:rsidR="00D017AA">
        <w:rPr>
          <w:rStyle w:val="None"/>
          <w:iCs/>
          <w:szCs w:val="22"/>
          <w:lang w:val="fr-CA"/>
        </w:rPr>
        <w:noBreakHyphen/>
      </w:r>
      <w:r w:rsidR="00AE7119" w:rsidRPr="00A87C55">
        <w:rPr>
          <w:rStyle w:val="None"/>
          <w:iCs/>
          <w:szCs w:val="22"/>
          <w:lang w:val="fr-CA"/>
        </w:rPr>
        <w:t>9/2</w:t>
      </w:r>
      <w:r w:rsidRPr="00AE7119">
        <w:rPr>
          <w:snapToGrid w:val="0"/>
          <w:szCs w:val="22"/>
          <w:lang w:val="fr-CA"/>
        </w:rPr>
        <w:t xml:space="preserve">; </w:t>
      </w:r>
    </w:p>
    <w:p w:rsidR="00515F4E" w:rsidRPr="00AE7119" w:rsidDel="00EF45A3" w:rsidRDefault="00515F4E" w:rsidP="00515F4E">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2.</w:t>
      </w:r>
      <w:r w:rsidRPr="00AE7119">
        <w:rPr>
          <w:snapToGrid w:val="0"/>
          <w:color w:val="000000" w:themeColor="text1"/>
          <w:szCs w:val="22"/>
          <w:lang w:val="fr-CA"/>
        </w:rPr>
        <w:tab/>
      </w:r>
      <w:r w:rsidR="00AE7119" w:rsidRPr="00A87C55">
        <w:rPr>
          <w:rStyle w:val="None"/>
          <w:i/>
          <w:iCs/>
          <w:szCs w:val="22"/>
          <w:lang w:val="fr-CA"/>
        </w:rPr>
        <w:t xml:space="preserve">Invite </w:t>
      </w:r>
      <w:r w:rsidR="00AE7119" w:rsidRPr="00A87C55">
        <w:rPr>
          <w:rStyle w:val="None"/>
          <w:iCs/>
          <w:szCs w:val="22"/>
          <w:lang w:val="fr-CA"/>
        </w:rPr>
        <w:t>les Parties et les autres gouvernements à publier l</w:t>
      </w:r>
      <w:r w:rsidR="00D017AA">
        <w:rPr>
          <w:rStyle w:val="None"/>
          <w:iCs/>
          <w:szCs w:val="22"/>
          <w:lang w:val="fr-CA"/>
        </w:rPr>
        <w:t>’</w:t>
      </w:r>
      <w:r w:rsidR="00AE7119" w:rsidRPr="00A87C55">
        <w:rPr>
          <w:rStyle w:val="None"/>
          <w:iCs/>
          <w:szCs w:val="22"/>
          <w:lang w:val="fr-CA"/>
        </w:rPr>
        <w:t>information de niveau national dans le Centre d</w:t>
      </w:r>
      <w:r w:rsidR="00D017AA">
        <w:rPr>
          <w:rStyle w:val="None"/>
          <w:iCs/>
          <w:szCs w:val="22"/>
          <w:lang w:val="fr-CA"/>
        </w:rPr>
        <w:t>’</w:t>
      </w:r>
      <w:r w:rsidR="00AE7119" w:rsidRPr="00A87C55">
        <w:rPr>
          <w:rStyle w:val="None"/>
          <w:iCs/>
          <w:szCs w:val="22"/>
          <w:lang w:val="fr-CA"/>
        </w:rPr>
        <w:t>échange pour la prévention des risques biotechnologiques dans le respect de leurs obligations au titre du Protocole</w:t>
      </w:r>
      <w:r w:rsidRPr="00AE7119">
        <w:rPr>
          <w:snapToGrid w:val="0"/>
          <w:szCs w:val="22"/>
          <w:lang w:val="fr-CA"/>
        </w:rPr>
        <w:t>;</w:t>
      </w:r>
      <w:r w:rsidRPr="00AE7119" w:rsidDel="00EF45A3">
        <w:rPr>
          <w:snapToGrid w:val="0"/>
          <w:szCs w:val="22"/>
          <w:lang w:val="fr-CA"/>
        </w:rPr>
        <w:t xml:space="preserve"> </w:t>
      </w:r>
    </w:p>
    <w:p w:rsidR="00515F4E" w:rsidRPr="00AE7119" w:rsidDel="00EF45A3" w:rsidRDefault="00515F4E" w:rsidP="00515F4E">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3.</w:t>
      </w:r>
      <w:r w:rsidRPr="00AE7119">
        <w:rPr>
          <w:snapToGrid w:val="0"/>
          <w:color w:val="000000" w:themeColor="text1"/>
          <w:szCs w:val="22"/>
          <w:lang w:val="fr-CA"/>
        </w:rPr>
        <w:tab/>
      </w:r>
      <w:r w:rsidR="00AE7119" w:rsidRPr="00A87C55">
        <w:rPr>
          <w:rStyle w:val="None"/>
          <w:i/>
          <w:iCs/>
          <w:szCs w:val="22"/>
          <w:lang w:val="fr-CA"/>
        </w:rPr>
        <w:t xml:space="preserve">Invite </w:t>
      </w:r>
      <w:r w:rsidR="00AE7119" w:rsidRPr="00A87C55">
        <w:rPr>
          <w:rStyle w:val="None"/>
          <w:iCs/>
          <w:szCs w:val="22"/>
          <w:lang w:val="fr-CA"/>
        </w:rPr>
        <w:t>les Parties, les autres gouvernements et les organisations compétentes à examiner les dossiers qu</w:t>
      </w:r>
      <w:r w:rsidR="00D017AA">
        <w:rPr>
          <w:rStyle w:val="None"/>
          <w:iCs/>
          <w:szCs w:val="22"/>
          <w:lang w:val="fr-CA"/>
        </w:rPr>
        <w:t>’</w:t>
      </w:r>
      <w:r w:rsidR="00AE7119" w:rsidRPr="00A87C55">
        <w:rPr>
          <w:rStyle w:val="None"/>
          <w:iCs/>
          <w:szCs w:val="22"/>
          <w:lang w:val="fr-CA"/>
        </w:rPr>
        <w:t>ils ont déjà publiés dans le Centre d</w:t>
      </w:r>
      <w:r w:rsidR="00D017AA">
        <w:rPr>
          <w:rStyle w:val="None"/>
          <w:iCs/>
          <w:szCs w:val="22"/>
          <w:lang w:val="fr-CA"/>
        </w:rPr>
        <w:t>’</w:t>
      </w:r>
      <w:r w:rsidR="00AE7119" w:rsidRPr="00A87C55">
        <w:rPr>
          <w:rStyle w:val="None"/>
          <w:iCs/>
          <w:szCs w:val="22"/>
          <w:lang w:val="fr-CA"/>
        </w:rPr>
        <w:t>échange pour la prévention des risques biotechnologiques, afin d</w:t>
      </w:r>
      <w:r w:rsidR="00D017AA">
        <w:rPr>
          <w:rStyle w:val="None"/>
          <w:iCs/>
          <w:szCs w:val="22"/>
          <w:lang w:val="fr-CA"/>
        </w:rPr>
        <w:t>’</w:t>
      </w:r>
      <w:r w:rsidR="00AE7119" w:rsidRPr="00A87C55">
        <w:rPr>
          <w:rStyle w:val="None"/>
          <w:iCs/>
          <w:szCs w:val="22"/>
          <w:lang w:val="fr-CA"/>
        </w:rPr>
        <w:t>en vérifier l</w:t>
      </w:r>
      <w:r w:rsidR="00D017AA">
        <w:rPr>
          <w:rStyle w:val="None"/>
          <w:iCs/>
          <w:szCs w:val="22"/>
          <w:lang w:val="fr-CA"/>
        </w:rPr>
        <w:t>’</w:t>
      </w:r>
      <w:r w:rsidR="00AE7119" w:rsidRPr="00A87C55">
        <w:rPr>
          <w:rStyle w:val="None"/>
          <w:iCs/>
          <w:szCs w:val="22"/>
          <w:lang w:val="fr-CA"/>
        </w:rPr>
        <w:t>exactitude sur la nouvelle plateforme et d</w:t>
      </w:r>
      <w:r w:rsidR="00D017AA">
        <w:rPr>
          <w:rStyle w:val="None"/>
          <w:iCs/>
          <w:szCs w:val="22"/>
          <w:lang w:val="fr-CA"/>
        </w:rPr>
        <w:t>’</w:t>
      </w:r>
      <w:r w:rsidR="00AE7119" w:rsidRPr="00A87C55">
        <w:rPr>
          <w:rStyle w:val="None"/>
          <w:iCs/>
          <w:szCs w:val="22"/>
          <w:lang w:val="fr-CA"/>
        </w:rPr>
        <w:t>y apporter en temps voulu</w:t>
      </w:r>
      <w:r w:rsidR="00AE7119" w:rsidRPr="00A87C55">
        <w:rPr>
          <w:rStyle w:val="None"/>
          <w:szCs w:val="22"/>
          <w:lang w:val="fr-CA"/>
        </w:rPr>
        <w:t xml:space="preserve"> </w:t>
      </w:r>
      <w:r w:rsidR="00AE7119" w:rsidRPr="00A87C55">
        <w:rPr>
          <w:rStyle w:val="None"/>
          <w:iCs/>
          <w:szCs w:val="22"/>
          <w:lang w:val="fr-CA"/>
        </w:rPr>
        <w:t>les révisions ou les mises à jour nécessaires</w:t>
      </w:r>
      <w:r w:rsidRPr="00AE7119">
        <w:rPr>
          <w:snapToGrid w:val="0"/>
          <w:szCs w:val="22"/>
          <w:lang w:val="fr-CA"/>
        </w:rPr>
        <w:t>;</w:t>
      </w:r>
    </w:p>
    <w:p w:rsidR="00515F4E" w:rsidRPr="00AE7119" w:rsidRDefault="00515F4E" w:rsidP="00515F4E">
      <w:pPr>
        <w:ind w:firstLine="720"/>
        <w:jc w:val="left"/>
        <w:rPr>
          <w:sz w:val="24"/>
          <w:lang w:val="fr-CA" w:eastAsia="zh-CN"/>
        </w:rPr>
      </w:pPr>
      <w:r w:rsidRPr="00AE7119">
        <w:rPr>
          <w:snapToGrid w:val="0"/>
          <w:color w:val="000000" w:themeColor="text1"/>
          <w:szCs w:val="22"/>
          <w:lang w:val="fr-CA"/>
        </w:rPr>
        <w:t>4.</w:t>
      </w:r>
      <w:r w:rsidRPr="00AE7119">
        <w:rPr>
          <w:snapToGrid w:val="0"/>
          <w:color w:val="000000" w:themeColor="text1"/>
          <w:szCs w:val="22"/>
          <w:lang w:val="fr-CA"/>
        </w:rPr>
        <w:tab/>
      </w:r>
      <w:r w:rsidR="00AE7119" w:rsidRPr="00A87C55">
        <w:rPr>
          <w:i/>
          <w:iCs/>
          <w:szCs w:val="22"/>
          <w:lang w:val="fr-CA"/>
        </w:rPr>
        <w:t xml:space="preserve">Prend note </w:t>
      </w:r>
      <w:r w:rsidR="00AE7119" w:rsidRPr="00A87C55">
        <w:rPr>
          <w:iCs/>
          <w:szCs w:val="22"/>
          <w:lang w:val="fr-CA"/>
        </w:rPr>
        <w:t>de l</w:t>
      </w:r>
      <w:r w:rsidR="00D017AA">
        <w:rPr>
          <w:iCs/>
          <w:szCs w:val="22"/>
          <w:lang w:val="fr-CA"/>
        </w:rPr>
        <w:t>’</w:t>
      </w:r>
      <w:r w:rsidR="00AE7119" w:rsidRPr="00A87C55">
        <w:rPr>
          <w:iCs/>
          <w:szCs w:val="22"/>
          <w:lang w:val="fr-CA"/>
        </w:rPr>
        <w:t>objectif A.2 et des activités connexes de renforcement des capacités présentées dans le plan de mise en œuvre et le plan d</w:t>
      </w:r>
      <w:r w:rsidR="00D017AA">
        <w:rPr>
          <w:iCs/>
          <w:szCs w:val="22"/>
          <w:lang w:val="fr-CA"/>
        </w:rPr>
        <w:t>’</w:t>
      </w:r>
      <w:r w:rsidR="00AE7119" w:rsidRPr="00A87C55">
        <w:rPr>
          <w:iCs/>
          <w:szCs w:val="22"/>
          <w:lang w:val="fr-CA"/>
        </w:rPr>
        <w:t>action pour le renforcement des capacités pour le Protocole de Cartagena sur la prévention des risques biotechnologiques</w:t>
      </w:r>
      <w:r w:rsidR="00AE7119" w:rsidRPr="00A87C55">
        <w:rPr>
          <w:szCs w:val="22"/>
          <w:lang w:val="fr-CA"/>
        </w:rPr>
        <w:t xml:space="preserve"> et invite les Parties, les autres gouvernements et les organisations compétentes à exécuter les activités connexes dans le but de renforcer le rôle du Centre d</w:t>
      </w:r>
      <w:r w:rsidR="00D017AA">
        <w:rPr>
          <w:szCs w:val="22"/>
          <w:lang w:val="fr-CA"/>
        </w:rPr>
        <w:t>’</w:t>
      </w:r>
      <w:r w:rsidR="00AE7119" w:rsidRPr="00A87C55">
        <w:rPr>
          <w:szCs w:val="22"/>
          <w:lang w:val="fr-CA"/>
        </w:rPr>
        <w:t>échange pour la prévention des risques biotechnologiques dans la mise en œuvre du Protocole de Cartagena</w:t>
      </w:r>
      <w:r w:rsidRPr="00AE7119">
        <w:rPr>
          <w:szCs w:val="22"/>
          <w:lang w:val="fr-CA"/>
        </w:rPr>
        <w:t>;</w:t>
      </w:r>
    </w:p>
    <w:p w:rsidR="00515F4E" w:rsidRPr="00AE7119" w:rsidRDefault="00515F4E" w:rsidP="00515F4E">
      <w:pPr>
        <w:shd w:val="clear" w:color="auto" w:fill="FFFFFF" w:themeFill="background1"/>
        <w:snapToGrid w:val="0"/>
        <w:spacing w:before="120" w:after="120"/>
        <w:ind w:firstLine="720"/>
        <w:rPr>
          <w:szCs w:val="22"/>
          <w:lang w:val="fr-CA"/>
        </w:rPr>
      </w:pPr>
      <w:r w:rsidRPr="00AE7119">
        <w:rPr>
          <w:snapToGrid w:val="0"/>
          <w:color w:val="000000" w:themeColor="text1"/>
          <w:szCs w:val="22"/>
          <w:lang w:val="fr-CA"/>
        </w:rPr>
        <w:lastRenderedPageBreak/>
        <w:t>5.</w:t>
      </w:r>
      <w:r w:rsidRPr="00AE7119">
        <w:rPr>
          <w:snapToGrid w:val="0"/>
          <w:color w:val="000000" w:themeColor="text1"/>
          <w:szCs w:val="22"/>
          <w:lang w:val="fr-CA"/>
        </w:rPr>
        <w:tab/>
      </w:r>
      <w:r w:rsidR="00AE7119" w:rsidRPr="00A87C55">
        <w:rPr>
          <w:rStyle w:val="None"/>
          <w:i/>
          <w:iCs/>
          <w:szCs w:val="22"/>
          <w:lang w:val="fr-CA"/>
        </w:rPr>
        <w:t xml:space="preserve">Se réjouit </w:t>
      </w:r>
      <w:r w:rsidR="00AE7119" w:rsidRPr="00A87C55">
        <w:rPr>
          <w:rStyle w:val="None"/>
          <w:iCs/>
          <w:szCs w:val="22"/>
          <w:lang w:val="fr-CA"/>
        </w:rPr>
        <w:t>de la mise en œuvre réussie du projet Renforcer les capacités pour une participation effective au Centre d</w:t>
      </w:r>
      <w:r w:rsidR="00D017AA">
        <w:rPr>
          <w:rStyle w:val="None"/>
          <w:iCs/>
          <w:szCs w:val="22"/>
          <w:lang w:val="fr-CA"/>
        </w:rPr>
        <w:t>’</w:t>
      </w:r>
      <w:r w:rsidR="00AE7119" w:rsidRPr="00A87C55">
        <w:rPr>
          <w:rStyle w:val="None"/>
          <w:iCs/>
          <w:szCs w:val="22"/>
          <w:lang w:val="fr-CA"/>
        </w:rPr>
        <w:t>échange pour la prévention des risques biotechnologiques du Protocole de Cartagena (CEPRB III) et invite le Programme des Nations Unies pour l</w:t>
      </w:r>
      <w:r w:rsidR="00D017AA">
        <w:rPr>
          <w:rStyle w:val="None"/>
          <w:iCs/>
          <w:szCs w:val="22"/>
          <w:lang w:val="fr-CA"/>
        </w:rPr>
        <w:t>’</w:t>
      </w:r>
      <w:r w:rsidR="00AE7119" w:rsidRPr="00A87C55">
        <w:rPr>
          <w:rStyle w:val="None"/>
          <w:iCs/>
          <w:szCs w:val="22"/>
          <w:lang w:val="fr-CA"/>
        </w:rPr>
        <w:t>environnement à développer d</w:t>
      </w:r>
      <w:r w:rsidR="00D017AA">
        <w:rPr>
          <w:rStyle w:val="None"/>
          <w:iCs/>
          <w:szCs w:val="22"/>
          <w:lang w:val="fr-CA"/>
        </w:rPr>
        <w:t>’</w:t>
      </w:r>
      <w:r w:rsidR="00AE7119" w:rsidRPr="00A87C55">
        <w:rPr>
          <w:rStyle w:val="None"/>
          <w:iCs/>
          <w:szCs w:val="22"/>
          <w:lang w:val="fr-CA"/>
        </w:rPr>
        <w:t>autres projets de renforcement des capacités pour le Centre d</w:t>
      </w:r>
      <w:r w:rsidR="00D017AA">
        <w:rPr>
          <w:rStyle w:val="None"/>
          <w:iCs/>
          <w:szCs w:val="22"/>
          <w:lang w:val="fr-CA"/>
        </w:rPr>
        <w:t>’</w:t>
      </w:r>
      <w:r w:rsidR="00AE7119" w:rsidRPr="00A87C55">
        <w:rPr>
          <w:rStyle w:val="None"/>
          <w:iCs/>
          <w:szCs w:val="22"/>
          <w:lang w:val="fr-CA"/>
        </w:rPr>
        <w:t>échange pour la prévention des risques biotechnologiques</w:t>
      </w:r>
      <w:r w:rsidRPr="00AE7119">
        <w:rPr>
          <w:snapToGrid w:val="0"/>
          <w:szCs w:val="22"/>
          <w:lang w:val="fr-CA"/>
        </w:rPr>
        <w:t>;</w:t>
      </w:r>
      <w:r w:rsidRPr="00AE7119">
        <w:rPr>
          <w:i/>
          <w:iCs/>
          <w:snapToGrid w:val="0"/>
          <w:szCs w:val="22"/>
          <w:lang w:val="fr-CA"/>
        </w:rPr>
        <w:t xml:space="preserve"> </w:t>
      </w:r>
    </w:p>
    <w:p w:rsidR="00515F4E" w:rsidRPr="00AE7119" w:rsidRDefault="00515F4E" w:rsidP="00515F4E">
      <w:pPr>
        <w:shd w:val="clear" w:color="auto" w:fill="FFFFFF" w:themeFill="background1"/>
        <w:snapToGrid w:val="0"/>
        <w:spacing w:before="120" w:after="120"/>
        <w:ind w:firstLine="720"/>
        <w:rPr>
          <w:snapToGrid w:val="0"/>
          <w:szCs w:val="22"/>
          <w:lang w:val="fr-CA"/>
        </w:rPr>
      </w:pPr>
      <w:r w:rsidRPr="00AE7119">
        <w:rPr>
          <w:snapToGrid w:val="0"/>
          <w:color w:val="000000" w:themeColor="text1"/>
          <w:szCs w:val="22"/>
          <w:lang w:val="fr-CA"/>
        </w:rPr>
        <w:t>6.</w:t>
      </w:r>
      <w:r w:rsidRPr="00AE7119">
        <w:rPr>
          <w:snapToGrid w:val="0"/>
          <w:color w:val="000000" w:themeColor="text1"/>
          <w:szCs w:val="22"/>
          <w:lang w:val="fr-CA"/>
        </w:rPr>
        <w:tab/>
      </w:r>
      <w:r w:rsidR="00AE7119" w:rsidRPr="00A87C55">
        <w:rPr>
          <w:rStyle w:val="None"/>
          <w:i/>
          <w:iCs/>
          <w:szCs w:val="22"/>
          <w:lang w:val="fr-CA"/>
        </w:rPr>
        <w:t xml:space="preserve">Se réjouit </w:t>
      </w:r>
      <w:r w:rsidR="00AE7119" w:rsidRPr="00A87C55">
        <w:rPr>
          <w:rStyle w:val="None"/>
          <w:iCs/>
          <w:szCs w:val="22"/>
          <w:lang w:val="fr-CA"/>
        </w:rPr>
        <w:t>des activités de collaboration entreprises dans le contexte des bases de données de l</w:t>
      </w:r>
      <w:r w:rsidR="00D017AA">
        <w:rPr>
          <w:rStyle w:val="None"/>
          <w:iCs/>
          <w:szCs w:val="22"/>
          <w:lang w:val="fr-CA"/>
        </w:rPr>
        <w:t>’</w:t>
      </w:r>
      <w:r w:rsidR="00AE7119" w:rsidRPr="00A87C55">
        <w:rPr>
          <w:rStyle w:val="None"/>
          <w:iCs/>
          <w:szCs w:val="22"/>
          <w:lang w:val="fr-CA"/>
        </w:rPr>
        <w:t>Organisation des Nations Unies pour l</w:t>
      </w:r>
      <w:r w:rsidR="00D017AA">
        <w:rPr>
          <w:rStyle w:val="None"/>
          <w:iCs/>
          <w:szCs w:val="22"/>
          <w:lang w:val="fr-CA"/>
        </w:rPr>
        <w:t>’</w:t>
      </w:r>
      <w:r w:rsidR="00AE7119" w:rsidRPr="00A87C55">
        <w:rPr>
          <w:rStyle w:val="None"/>
          <w:iCs/>
          <w:szCs w:val="22"/>
          <w:lang w:val="fr-CA"/>
        </w:rPr>
        <w:t>alimentation et l</w:t>
      </w:r>
      <w:r w:rsidR="00D017AA">
        <w:rPr>
          <w:rStyle w:val="None"/>
          <w:iCs/>
          <w:szCs w:val="22"/>
          <w:lang w:val="fr-CA"/>
        </w:rPr>
        <w:t>’</w:t>
      </w:r>
      <w:r w:rsidR="00AE7119" w:rsidRPr="00A87C55">
        <w:rPr>
          <w:rStyle w:val="None"/>
          <w:iCs/>
          <w:szCs w:val="22"/>
          <w:lang w:val="fr-CA"/>
        </w:rPr>
        <w:t>agriculture, de l</w:t>
      </w:r>
      <w:r w:rsidR="00D017AA">
        <w:rPr>
          <w:rStyle w:val="None"/>
          <w:iCs/>
          <w:szCs w:val="22"/>
          <w:lang w:val="fr-CA"/>
        </w:rPr>
        <w:t>’</w:t>
      </w:r>
      <w:r w:rsidR="00AE7119" w:rsidRPr="00A87C55">
        <w:rPr>
          <w:rStyle w:val="None"/>
          <w:iCs/>
          <w:szCs w:val="22"/>
          <w:lang w:val="fr-CA"/>
        </w:rPr>
        <w:t>Organisation de coopération et de développement économiques et du Centre d</w:t>
      </w:r>
      <w:r w:rsidR="00D017AA">
        <w:rPr>
          <w:rStyle w:val="None"/>
          <w:iCs/>
          <w:szCs w:val="22"/>
          <w:lang w:val="fr-CA"/>
        </w:rPr>
        <w:t>’</w:t>
      </w:r>
      <w:r w:rsidR="00AE7119" w:rsidRPr="00A87C55">
        <w:rPr>
          <w:rStyle w:val="None"/>
          <w:iCs/>
          <w:szCs w:val="22"/>
          <w:lang w:val="fr-CA"/>
        </w:rPr>
        <w:t>échange pour la prévention des risques biotechnologiques</w:t>
      </w:r>
      <w:r w:rsidRPr="00AE7119">
        <w:rPr>
          <w:snapToGrid w:val="0"/>
          <w:szCs w:val="22"/>
          <w:lang w:val="fr-CA"/>
        </w:rPr>
        <w:t>;</w:t>
      </w:r>
    </w:p>
    <w:p w:rsidR="00515F4E" w:rsidRPr="00AE7119" w:rsidRDefault="00515F4E" w:rsidP="00515F4E">
      <w:pPr>
        <w:shd w:val="clear" w:color="auto" w:fill="FFFFFF" w:themeFill="background1"/>
        <w:snapToGrid w:val="0"/>
        <w:spacing w:before="120" w:after="120"/>
        <w:ind w:firstLine="720"/>
        <w:rPr>
          <w:snapToGrid w:val="0"/>
          <w:color w:val="000000" w:themeColor="text1"/>
          <w:szCs w:val="22"/>
          <w:lang w:val="fr-CA"/>
        </w:rPr>
      </w:pPr>
      <w:r w:rsidRPr="00AE7119">
        <w:rPr>
          <w:snapToGrid w:val="0"/>
          <w:color w:val="000000" w:themeColor="text1"/>
          <w:szCs w:val="22"/>
          <w:lang w:val="fr-CA"/>
        </w:rPr>
        <w:t>7.</w:t>
      </w:r>
      <w:r w:rsidRPr="00AE7119">
        <w:rPr>
          <w:snapToGrid w:val="0"/>
          <w:color w:val="000000" w:themeColor="text1"/>
          <w:szCs w:val="22"/>
          <w:lang w:val="fr-CA"/>
        </w:rPr>
        <w:tab/>
      </w:r>
      <w:r w:rsidR="00AE7119" w:rsidRPr="00A87C55">
        <w:rPr>
          <w:i/>
          <w:iCs/>
          <w:color w:val="000000" w:themeColor="text1"/>
          <w:szCs w:val="22"/>
          <w:lang w:val="fr-CA"/>
        </w:rPr>
        <w:t xml:space="preserve">Prie </w:t>
      </w:r>
      <w:r w:rsidR="00AE7119" w:rsidRPr="00A87C55">
        <w:rPr>
          <w:iCs/>
          <w:color w:val="000000" w:themeColor="text1"/>
          <w:szCs w:val="22"/>
          <w:lang w:val="fr-CA"/>
        </w:rPr>
        <w:t>la Secrétaire exécutive de continuer à maintenir et à apporter les améliorations nécessaires au Centre d</w:t>
      </w:r>
      <w:r w:rsidR="00D017AA">
        <w:rPr>
          <w:iCs/>
          <w:color w:val="000000" w:themeColor="text1"/>
          <w:szCs w:val="22"/>
          <w:lang w:val="fr-CA"/>
        </w:rPr>
        <w:t>’</w:t>
      </w:r>
      <w:r w:rsidR="00AE7119" w:rsidRPr="00A87C55">
        <w:rPr>
          <w:iCs/>
          <w:color w:val="000000" w:themeColor="text1"/>
          <w:szCs w:val="22"/>
          <w:lang w:val="fr-CA"/>
        </w:rPr>
        <w:t>échange pour la prévention des risques biotechnologiques, à savoir </w:t>
      </w:r>
      <w:r w:rsidR="00AE7119" w:rsidRPr="00A87C55">
        <w:rPr>
          <w:color w:val="000000" w:themeColor="text1"/>
          <w:szCs w:val="22"/>
          <w:lang w:val="fr-CA"/>
        </w:rPr>
        <w:t>:</w:t>
      </w:r>
    </w:p>
    <w:p w:rsidR="00515F4E" w:rsidRPr="00AE7119" w:rsidRDefault="00515F4E" w:rsidP="00515F4E">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a)</w:t>
      </w:r>
      <w:r w:rsidRPr="00AE7119">
        <w:rPr>
          <w:color w:val="000000" w:themeColor="text1"/>
          <w:szCs w:val="22"/>
          <w:lang w:val="fr-CA"/>
        </w:rPr>
        <w:tab/>
      </w:r>
      <w:r w:rsidR="00CB2C5F">
        <w:rPr>
          <w:color w:val="000000" w:themeColor="text1"/>
          <w:szCs w:val="22"/>
          <w:lang w:val="fr-CA"/>
        </w:rPr>
        <w:t>Traduire</w:t>
      </w:r>
      <w:r w:rsidR="0047614D" w:rsidRPr="00A87C55">
        <w:rPr>
          <w:color w:val="000000" w:themeColor="text1"/>
          <w:szCs w:val="22"/>
          <w:lang w:val="fr-CA"/>
        </w:rPr>
        <w:t xml:space="preserve"> les autres pages du Centre d</w:t>
      </w:r>
      <w:r w:rsidR="00D017AA">
        <w:rPr>
          <w:color w:val="000000" w:themeColor="text1"/>
          <w:szCs w:val="22"/>
          <w:lang w:val="fr-CA"/>
        </w:rPr>
        <w:t>’</w:t>
      </w:r>
      <w:r w:rsidR="0047614D" w:rsidRPr="00A87C55">
        <w:rPr>
          <w:color w:val="000000" w:themeColor="text1"/>
          <w:szCs w:val="22"/>
          <w:lang w:val="fr-CA"/>
        </w:rPr>
        <w:t>échange pour la prévention des risques biotechnologiques, y compris les nouvelles caractéristiques et le nouveau contenu au fil de leur développement, afin que le Centre d</w:t>
      </w:r>
      <w:r w:rsidR="00D017AA">
        <w:rPr>
          <w:color w:val="000000" w:themeColor="text1"/>
          <w:szCs w:val="22"/>
          <w:lang w:val="fr-CA"/>
        </w:rPr>
        <w:t>’</w:t>
      </w:r>
      <w:r w:rsidR="0047614D" w:rsidRPr="00A87C55">
        <w:rPr>
          <w:color w:val="000000" w:themeColor="text1"/>
          <w:szCs w:val="22"/>
          <w:lang w:val="fr-CA"/>
        </w:rPr>
        <w:t>échange pour la prévention des risques biotechnologiques soit disponible dans les six langues officielles des Nations Unies</w:t>
      </w:r>
      <w:r w:rsidRPr="00AE7119">
        <w:rPr>
          <w:color w:val="000000" w:themeColor="text1"/>
          <w:szCs w:val="22"/>
          <w:lang w:val="fr-CA"/>
        </w:rPr>
        <w:t xml:space="preserve">; </w:t>
      </w:r>
    </w:p>
    <w:p w:rsidR="00515F4E" w:rsidRPr="00AE7119" w:rsidRDefault="00515F4E" w:rsidP="00515F4E">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b)</w:t>
      </w:r>
      <w:r w:rsidRPr="00AE7119">
        <w:rPr>
          <w:color w:val="000000" w:themeColor="text1"/>
          <w:szCs w:val="22"/>
          <w:lang w:val="fr-CA"/>
        </w:rPr>
        <w:tab/>
      </w:r>
      <w:r w:rsidR="00CB2C5F">
        <w:rPr>
          <w:color w:val="000000" w:themeColor="text1"/>
          <w:szCs w:val="22"/>
          <w:lang w:val="fr-CA"/>
        </w:rPr>
        <w:t>Examiner</w:t>
      </w:r>
      <w:r w:rsidR="0047614D" w:rsidRPr="00A87C55">
        <w:rPr>
          <w:color w:val="000000" w:themeColor="text1"/>
          <w:szCs w:val="22"/>
          <w:lang w:val="fr-CA"/>
        </w:rPr>
        <w:t xml:space="preserve"> les moyens d</w:t>
      </w:r>
      <w:r w:rsidR="00D017AA">
        <w:rPr>
          <w:color w:val="000000" w:themeColor="text1"/>
          <w:szCs w:val="22"/>
          <w:lang w:val="fr-CA"/>
        </w:rPr>
        <w:t>’</w:t>
      </w:r>
      <w:r w:rsidR="0047614D" w:rsidRPr="00A87C55">
        <w:rPr>
          <w:color w:val="000000" w:themeColor="text1"/>
          <w:szCs w:val="22"/>
          <w:lang w:val="fr-CA"/>
        </w:rPr>
        <w:t xml:space="preserve">utiliser </w:t>
      </w:r>
      <w:r w:rsidR="0047614D" w:rsidRPr="00A87C55">
        <w:rPr>
          <w:noProof/>
          <w:color w:val="000000" w:themeColor="text1"/>
          <w:szCs w:val="22"/>
          <w:lang w:val="fr-CA"/>
        </w:rPr>
        <w:t>l</w:t>
      </w:r>
      <w:r w:rsidR="00D017AA">
        <w:rPr>
          <w:noProof/>
          <w:color w:val="000000" w:themeColor="text1"/>
          <w:szCs w:val="22"/>
          <w:lang w:val="fr-CA"/>
        </w:rPr>
        <w:t>’</w:t>
      </w:r>
      <w:r w:rsidR="0047614D" w:rsidRPr="00A87C55">
        <w:rPr>
          <w:noProof/>
          <w:color w:val="000000" w:themeColor="text1"/>
          <w:szCs w:val="22"/>
          <w:lang w:val="fr-CA"/>
        </w:rPr>
        <w:t xml:space="preserve">outil </w:t>
      </w:r>
      <w:r w:rsidR="0047614D" w:rsidRPr="00A87C55">
        <w:rPr>
          <w:i/>
          <w:noProof/>
          <w:color w:val="000000" w:themeColor="text1"/>
          <w:szCs w:val="22"/>
          <w:lang w:val="fr-CA"/>
        </w:rPr>
        <w:t>Bioland</w:t>
      </w:r>
      <w:r w:rsidR="0047614D" w:rsidRPr="00A87C55">
        <w:rPr>
          <w:noProof/>
          <w:color w:val="000000" w:themeColor="text1"/>
          <w:szCs w:val="22"/>
          <w:lang w:val="fr-CA"/>
        </w:rPr>
        <w:t xml:space="preserve"> pour faciliter les liens entre les sites Web nationaux et le Centre d</w:t>
      </w:r>
      <w:r w:rsidR="00D017AA">
        <w:rPr>
          <w:noProof/>
          <w:color w:val="000000" w:themeColor="text1"/>
          <w:szCs w:val="22"/>
          <w:lang w:val="fr-CA"/>
        </w:rPr>
        <w:t>’</w:t>
      </w:r>
      <w:r w:rsidR="0047614D" w:rsidRPr="00A87C55">
        <w:rPr>
          <w:noProof/>
          <w:color w:val="000000" w:themeColor="text1"/>
          <w:szCs w:val="22"/>
          <w:lang w:val="fr-CA"/>
        </w:rPr>
        <w:t>échange pour la prévention des risques</w:t>
      </w:r>
      <w:r w:rsidR="0047614D" w:rsidRPr="00A87C55">
        <w:rPr>
          <w:color w:val="000000" w:themeColor="text1"/>
          <w:szCs w:val="22"/>
          <w:lang w:val="fr-CA"/>
        </w:rPr>
        <w:t xml:space="preserve"> biotechnologiques, et les autres mécanismes qui permettent aux centres d</w:t>
      </w:r>
      <w:r w:rsidR="00D017AA">
        <w:rPr>
          <w:color w:val="000000" w:themeColor="text1"/>
          <w:szCs w:val="22"/>
          <w:lang w:val="fr-CA"/>
        </w:rPr>
        <w:t>’</w:t>
      </w:r>
      <w:r w:rsidR="0047614D" w:rsidRPr="00A87C55">
        <w:rPr>
          <w:color w:val="000000" w:themeColor="text1"/>
          <w:szCs w:val="22"/>
          <w:lang w:val="fr-CA"/>
        </w:rPr>
        <w:t>échanges de récupérer de l</w:t>
      </w:r>
      <w:r w:rsidR="00D017AA">
        <w:rPr>
          <w:color w:val="000000" w:themeColor="text1"/>
          <w:szCs w:val="22"/>
          <w:lang w:val="fr-CA"/>
        </w:rPr>
        <w:t>’</w:t>
      </w:r>
      <w:r w:rsidR="0047614D" w:rsidRPr="00A87C55">
        <w:rPr>
          <w:color w:val="000000" w:themeColor="text1"/>
          <w:szCs w:val="22"/>
          <w:lang w:val="fr-CA"/>
        </w:rPr>
        <w:t>information dans le Centre d</w:t>
      </w:r>
      <w:r w:rsidR="00D017AA">
        <w:rPr>
          <w:color w:val="000000" w:themeColor="text1"/>
          <w:szCs w:val="22"/>
          <w:lang w:val="fr-CA"/>
        </w:rPr>
        <w:t>’</w:t>
      </w:r>
      <w:r w:rsidR="0047614D" w:rsidRPr="00A87C55">
        <w:rPr>
          <w:color w:val="000000" w:themeColor="text1"/>
          <w:szCs w:val="22"/>
          <w:lang w:val="fr-CA"/>
        </w:rPr>
        <w:t>échange pour la prévention des risques biotechnologiques</w:t>
      </w:r>
      <w:r w:rsidRPr="00AE7119">
        <w:rPr>
          <w:color w:val="000000" w:themeColor="text1"/>
          <w:szCs w:val="22"/>
          <w:lang w:val="fr-CA"/>
        </w:rPr>
        <w:t>;</w:t>
      </w:r>
    </w:p>
    <w:p w:rsidR="00515F4E" w:rsidRPr="00AE7119" w:rsidRDefault="00515F4E" w:rsidP="00515F4E">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c)</w:t>
      </w:r>
      <w:r w:rsidRPr="00AE7119">
        <w:rPr>
          <w:color w:val="000000" w:themeColor="text1"/>
          <w:szCs w:val="22"/>
          <w:lang w:val="fr-CA"/>
        </w:rPr>
        <w:tab/>
      </w:r>
      <w:r w:rsidR="00CB2C5F">
        <w:rPr>
          <w:color w:val="000000" w:themeColor="text1"/>
          <w:szCs w:val="22"/>
          <w:lang w:val="fr-CA"/>
        </w:rPr>
        <w:t>Tenir</w:t>
      </w:r>
      <w:r w:rsidR="0047614D" w:rsidRPr="00A87C55">
        <w:rPr>
          <w:color w:val="000000" w:themeColor="text1"/>
          <w:szCs w:val="22"/>
          <w:lang w:val="fr-CA"/>
        </w:rPr>
        <w:t xml:space="preserve"> compte de la composante gestion des connaissances du Cadre mondial de la biodiversité pour l</w:t>
      </w:r>
      <w:r w:rsidR="00D017AA">
        <w:rPr>
          <w:color w:val="000000" w:themeColor="text1"/>
          <w:szCs w:val="22"/>
          <w:lang w:val="fr-CA"/>
        </w:rPr>
        <w:t>’</w:t>
      </w:r>
      <w:r w:rsidR="0047614D" w:rsidRPr="00A87C55">
        <w:rPr>
          <w:color w:val="000000" w:themeColor="text1"/>
          <w:szCs w:val="22"/>
          <w:lang w:val="fr-CA"/>
        </w:rPr>
        <w:t>après</w:t>
      </w:r>
      <w:r w:rsidR="00D017AA">
        <w:rPr>
          <w:color w:val="000000" w:themeColor="text1"/>
          <w:szCs w:val="22"/>
          <w:lang w:val="fr-CA"/>
        </w:rPr>
        <w:noBreakHyphen/>
      </w:r>
      <w:r w:rsidR="0047614D" w:rsidRPr="00A87C55">
        <w:rPr>
          <w:color w:val="000000" w:themeColor="text1"/>
          <w:szCs w:val="22"/>
          <w:lang w:val="fr-CA"/>
        </w:rPr>
        <w:t>2020, conformément à la décision 15/</w:t>
      </w:r>
      <w:r w:rsidR="00D017AA">
        <w:rPr>
          <w:color w:val="000000" w:themeColor="text1"/>
          <w:szCs w:val="22"/>
          <w:lang w:val="fr-CA"/>
        </w:rPr>
        <w:noBreakHyphen/>
      </w:r>
      <w:r w:rsidR="00D017AA">
        <w:rPr>
          <w:color w:val="000000" w:themeColor="text1"/>
          <w:szCs w:val="22"/>
          <w:lang w:val="fr-CA"/>
        </w:rPr>
        <w:noBreakHyphen/>
      </w:r>
      <w:r w:rsidR="0047614D" w:rsidRPr="00A87C55">
        <w:rPr>
          <w:color w:val="000000" w:themeColor="text1"/>
          <w:szCs w:val="22"/>
          <w:lang w:val="fr-CA"/>
        </w:rPr>
        <w:t xml:space="preserve"> de la Conférence des Parties, lors de la mise à jour du Centre d</w:t>
      </w:r>
      <w:r w:rsidR="00D017AA">
        <w:rPr>
          <w:color w:val="000000" w:themeColor="text1"/>
          <w:szCs w:val="22"/>
          <w:lang w:val="fr-CA"/>
        </w:rPr>
        <w:t>’</w:t>
      </w:r>
      <w:r w:rsidR="0047614D" w:rsidRPr="00A87C55">
        <w:rPr>
          <w:color w:val="000000" w:themeColor="text1"/>
          <w:szCs w:val="22"/>
          <w:lang w:val="fr-CA"/>
        </w:rPr>
        <w:t>échange pour la prévention des risques biotechnologiques</w:t>
      </w:r>
      <w:r w:rsidR="0047614D">
        <w:rPr>
          <w:color w:val="000000" w:themeColor="text1"/>
          <w:szCs w:val="22"/>
          <w:lang w:val="fr-CA"/>
        </w:rPr>
        <w:t>;</w:t>
      </w:r>
      <w:r w:rsidR="0047614D" w:rsidRPr="00A87C55">
        <w:rPr>
          <w:rStyle w:val="FootnoteReference"/>
          <w:color w:val="000000" w:themeColor="text1"/>
          <w:szCs w:val="22"/>
          <w:lang w:val="fr-CA"/>
        </w:rPr>
        <w:footnoteReference w:id="1"/>
      </w:r>
    </w:p>
    <w:p w:rsidR="00515F4E" w:rsidRPr="00AE7119" w:rsidRDefault="00515F4E" w:rsidP="00515F4E">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d)</w:t>
      </w:r>
      <w:r w:rsidRPr="00AE7119">
        <w:rPr>
          <w:color w:val="000000" w:themeColor="text1"/>
          <w:szCs w:val="22"/>
          <w:lang w:val="fr-CA"/>
        </w:rPr>
        <w:tab/>
      </w:r>
      <w:r w:rsidR="00CB2C5F">
        <w:rPr>
          <w:color w:val="000000" w:themeColor="text1"/>
          <w:szCs w:val="22"/>
          <w:lang w:val="fr-CA"/>
        </w:rPr>
        <w:t>Continuer à</w:t>
      </w:r>
      <w:r w:rsidR="00CB2C5F" w:rsidRPr="00A87C55">
        <w:rPr>
          <w:color w:val="000000" w:themeColor="text1"/>
          <w:szCs w:val="22"/>
          <w:lang w:val="fr-CA"/>
        </w:rPr>
        <w:t xml:space="preserve"> veiller à ce que les informations sur le Centre d</w:t>
      </w:r>
      <w:r w:rsidR="00D017AA">
        <w:rPr>
          <w:color w:val="000000" w:themeColor="text1"/>
          <w:szCs w:val="22"/>
          <w:lang w:val="fr-CA"/>
        </w:rPr>
        <w:t>’</w:t>
      </w:r>
      <w:r w:rsidR="00CB2C5F" w:rsidRPr="00A87C55">
        <w:rPr>
          <w:color w:val="000000" w:themeColor="text1"/>
          <w:szCs w:val="22"/>
          <w:lang w:val="fr-CA"/>
        </w:rPr>
        <w:t>échange soient à jour</w:t>
      </w:r>
      <w:r w:rsidRPr="00AE7119">
        <w:rPr>
          <w:color w:val="000000" w:themeColor="text1"/>
          <w:szCs w:val="22"/>
          <w:lang w:val="fr-CA"/>
        </w:rPr>
        <w:t>.</w:t>
      </w:r>
    </w:p>
    <w:p w:rsidR="00515F4E" w:rsidRPr="00AE7119" w:rsidRDefault="00515F4E" w:rsidP="00515F4E">
      <w:pPr>
        <w:keepNext/>
        <w:suppressLineNumbers/>
        <w:shd w:val="clear" w:color="auto" w:fill="FFFFFF" w:themeFill="background1"/>
        <w:suppressAutoHyphens/>
        <w:snapToGrid w:val="0"/>
        <w:spacing w:before="120" w:after="120"/>
        <w:ind w:firstLine="720"/>
        <w:rPr>
          <w:snapToGrid w:val="0"/>
          <w:color w:val="000000" w:themeColor="text1"/>
          <w:szCs w:val="22"/>
          <w:lang w:val="fr-CA"/>
        </w:rPr>
      </w:pPr>
      <w:r w:rsidRPr="00AE7119">
        <w:rPr>
          <w:snapToGrid w:val="0"/>
          <w:color w:val="000000" w:themeColor="text1"/>
          <w:szCs w:val="22"/>
          <w:lang w:val="fr-CA"/>
        </w:rPr>
        <w:t>8</w:t>
      </w:r>
      <w:r w:rsidRPr="00AE7119">
        <w:rPr>
          <w:i/>
          <w:iCs/>
          <w:snapToGrid w:val="0"/>
          <w:color w:val="000000" w:themeColor="text1"/>
          <w:szCs w:val="22"/>
          <w:lang w:val="fr-CA"/>
        </w:rPr>
        <w:t>.</w:t>
      </w:r>
      <w:r w:rsidRPr="00AE7119">
        <w:rPr>
          <w:i/>
          <w:iCs/>
          <w:snapToGrid w:val="0"/>
          <w:color w:val="000000" w:themeColor="text1"/>
          <w:szCs w:val="22"/>
          <w:lang w:val="fr-CA"/>
        </w:rPr>
        <w:tab/>
      </w:r>
      <w:r w:rsidR="00CB2C5F" w:rsidRPr="00A87C55">
        <w:rPr>
          <w:i/>
          <w:iCs/>
          <w:color w:val="000000" w:themeColor="text1"/>
          <w:szCs w:val="22"/>
          <w:lang w:val="fr-CA"/>
        </w:rPr>
        <w:t xml:space="preserve">Prie également </w:t>
      </w:r>
      <w:r w:rsidR="00CB2C5F" w:rsidRPr="00A87C55">
        <w:rPr>
          <w:iCs/>
          <w:color w:val="000000" w:themeColor="text1"/>
          <w:szCs w:val="22"/>
          <w:lang w:val="fr-CA"/>
        </w:rPr>
        <w:t>la Secrétaire exécutive </w:t>
      </w:r>
      <w:r w:rsidR="00CB2C5F" w:rsidRPr="00A87C55">
        <w:rPr>
          <w:color w:val="000000" w:themeColor="text1"/>
          <w:szCs w:val="22"/>
          <w:lang w:val="fr-CA"/>
        </w:rPr>
        <w:t>:</w:t>
      </w:r>
    </w:p>
    <w:p w:rsidR="00515F4E" w:rsidRPr="00AE7119" w:rsidRDefault="00515F4E" w:rsidP="00515F4E">
      <w:pPr>
        <w:suppressLineNumbers/>
        <w:shd w:val="clear" w:color="auto" w:fill="FFFFFF" w:themeFill="background1"/>
        <w:suppressAutoHyphens/>
        <w:spacing w:before="120" w:after="120"/>
        <w:ind w:firstLine="720"/>
        <w:rPr>
          <w:color w:val="000000" w:themeColor="text1"/>
          <w:szCs w:val="22"/>
          <w:lang w:val="fr-CA"/>
        </w:rPr>
      </w:pPr>
      <w:r w:rsidRPr="00AE7119">
        <w:rPr>
          <w:color w:val="000000" w:themeColor="text1"/>
          <w:szCs w:val="22"/>
          <w:lang w:val="fr-CA"/>
        </w:rPr>
        <w:t>a)</w:t>
      </w:r>
      <w:r w:rsidRPr="00AE7119">
        <w:rPr>
          <w:color w:val="000000" w:themeColor="text1"/>
          <w:szCs w:val="22"/>
          <w:lang w:val="fr-CA"/>
        </w:rPr>
        <w:tab/>
      </w:r>
      <w:r w:rsidR="00CB2C5F" w:rsidRPr="00A87C55">
        <w:rPr>
          <w:color w:val="000000" w:themeColor="text1"/>
          <w:szCs w:val="22"/>
          <w:lang w:val="fr-CA"/>
        </w:rPr>
        <w:t>D</w:t>
      </w:r>
      <w:r w:rsidR="00D017AA">
        <w:rPr>
          <w:color w:val="000000" w:themeColor="text1"/>
          <w:szCs w:val="22"/>
          <w:lang w:val="fr-CA"/>
        </w:rPr>
        <w:t>’</w:t>
      </w:r>
      <w:r w:rsidR="00CB2C5F" w:rsidRPr="00A87C55">
        <w:rPr>
          <w:color w:val="000000" w:themeColor="text1"/>
          <w:szCs w:val="22"/>
          <w:lang w:val="fr-CA"/>
        </w:rPr>
        <w:t>élaborer du matériel de renforcement des capacités en fonction des priorités identifiées par les Parties et de réaliser une formation sur les nouvelles fonctionnalités du Centre d</w:t>
      </w:r>
      <w:r w:rsidR="00D017AA">
        <w:rPr>
          <w:color w:val="000000" w:themeColor="text1"/>
          <w:szCs w:val="22"/>
          <w:lang w:val="fr-CA"/>
        </w:rPr>
        <w:t>’</w:t>
      </w:r>
      <w:r w:rsidR="00CB2C5F" w:rsidRPr="00A87C55">
        <w:rPr>
          <w:color w:val="000000" w:themeColor="text1"/>
          <w:szCs w:val="22"/>
          <w:lang w:val="fr-CA"/>
        </w:rPr>
        <w:t>échange pour la prévention des risques biotechnologiques, notamment en tant que contribution aux principales activités mises en évidence dans le plan d</w:t>
      </w:r>
      <w:r w:rsidR="00D017AA">
        <w:rPr>
          <w:color w:val="000000" w:themeColor="text1"/>
          <w:szCs w:val="22"/>
          <w:lang w:val="fr-CA"/>
        </w:rPr>
        <w:t>’</w:t>
      </w:r>
      <w:r w:rsidR="00CB2C5F" w:rsidRPr="00A87C55">
        <w:rPr>
          <w:color w:val="000000" w:themeColor="text1"/>
          <w:szCs w:val="22"/>
          <w:lang w:val="fr-CA"/>
        </w:rPr>
        <w:t>action pour le renforcement des capacités</w:t>
      </w:r>
      <w:r w:rsidR="00CB2C5F">
        <w:rPr>
          <w:color w:val="000000" w:themeColor="text1"/>
          <w:szCs w:val="22"/>
          <w:lang w:val="fr-CA"/>
        </w:rPr>
        <w:t>;</w:t>
      </w:r>
    </w:p>
    <w:p w:rsidR="00515F4E" w:rsidRPr="00AE7119" w:rsidRDefault="00515F4E" w:rsidP="00515F4E">
      <w:pPr>
        <w:suppressLineNumbers/>
        <w:shd w:val="clear" w:color="auto" w:fill="FFFFFF" w:themeFill="background1"/>
        <w:suppressAutoHyphens/>
        <w:spacing w:before="120" w:after="120"/>
        <w:ind w:firstLine="720"/>
        <w:jc w:val="left"/>
        <w:rPr>
          <w:color w:val="000000" w:themeColor="text1"/>
          <w:szCs w:val="22"/>
          <w:lang w:val="fr-CA"/>
        </w:rPr>
      </w:pPr>
      <w:r w:rsidRPr="00AE7119">
        <w:rPr>
          <w:color w:val="000000" w:themeColor="text1"/>
          <w:szCs w:val="22"/>
          <w:lang w:val="fr-CA"/>
        </w:rPr>
        <w:t>b)</w:t>
      </w:r>
      <w:r w:rsidRPr="00AE7119">
        <w:rPr>
          <w:color w:val="000000" w:themeColor="text1"/>
          <w:szCs w:val="22"/>
          <w:lang w:val="fr-CA"/>
        </w:rPr>
        <w:tab/>
      </w:r>
      <w:r w:rsidR="00CB2C5F" w:rsidRPr="00A87C55">
        <w:rPr>
          <w:color w:val="000000" w:themeColor="text1"/>
          <w:szCs w:val="22"/>
          <w:lang w:val="fr-CA"/>
        </w:rPr>
        <w:t>D</w:t>
      </w:r>
      <w:r w:rsidR="00D017AA">
        <w:rPr>
          <w:color w:val="000000" w:themeColor="text1"/>
          <w:szCs w:val="22"/>
          <w:lang w:val="fr-CA"/>
        </w:rPr>
        <w:t>’</w:t>
      </w:r>
      <w:r w:rsidR="00CB2C5F" w:rsidRPr="00A87C55">
        <w:rPr>
          <w:color w:val="000000" w:themeColor="text1"/>
          <w:szCs w:val="22"/>
          <w:lang w:val="fr-CA"/>
        </w:rPr>
        <w:t>examiner les scénarios possibles et de mettre en œuvre une démarche coordonnée concernant l</w:t>
      </w:r>
      <w:r w:rsidR="00D017AA">
        <w:rPr>
          <w:color w:val="000000" w:themeColor="text1"/>
          <w:szCs w:val="22"/>
          <w:lang w:val="fr-CA"/>
        </w:rPr>
        <w:t>’</w:t>
      </w:r>
      <w:r w:rsidR="00CB2C5F" w:rsidRPr="00A87C55">
        <w:rPr>
          <w:color w:val="000000" w:themeColor="text1"/>
          <w:szCs w:val="22"/>
          <w:lang w:val="fr-CA"/>
        </w:rPr>
        <w:t>infrastructure Web pour les forums en ligne dans tous les centres d</w:t>
      </w:r>
      <w:r w:rsidR="00D017AA">
        <w:rPr>
          <w:color w:val="000000" w:themeColor="text1"/>
          <w:szCs w:val="22"/>
          <w:lang w:val="fr-CA"/>
        </w:rPr>
        <w:t>’</w:t>
      </w:r>
      <w:r w:rsidR="00CB2C5F" w:rsidRPr="00A87C55">
        <w:rPr>
          <w:color w:val="000000" w:themeColor="text1"/>
          <w:szCs w:val="22"/>
          <w:lang w:val="fr-CA"/>
        </w:rPr>
        <w:t>échange</w:t>
      </w:r>
      <w:r w:rsidR="00CB2C5F">
        <w:rPr>
          <w:color w:val="000000" w:themeColor="text1"/>
          <w:szCs w:val="22"/>
          <w:lang w:val="fr-CA"/>
        </w:rPr>
        <w:t>;</w:t>
      </w:r>
    </w:p>
    <w:p w:rsidR="00515F4E" w:rsidRPr="00AE7119" w:rsidRDefault="00515F4E" w:rsidP="00515F4E">
      <w:pPr>
        <w:suppressLineNumbers/>
        <w:shd w:val="clear" w:color="auto" w:fill="FFFFFF" w:themeFill="background1"/>
        <w:suppressAutoHyphens/>
        <w:spacing w:before="120" w:after="120"/>
        <w:ind w:firstLine="720"/>
        <w:jc w:val="left"/>
        <w:rPr>
          <w:color w:val="000000" w:themeColor="text1"/>
          <w:szCs w:val="22"/>
          <w:lang w:val="fr-CA"/>
        </w:rPr>
      </w:pPr>
      <w:r w:rsidRPr="00AE7119">
        <w:rPr>
          <w:color w:val="000000" w:themeColor="text1"/>
          <w:szCs w:val="22"/>
          <w:lang w:val="fr-CA"/>
        </w:rPr>
        <w:t>c)</w:t>
      </w:r>
      <w:r w:rsidRPr="00AE7119">
        <w:rPr>
          <w:color w:val="000000" w:themeColor="text1"/>
          <w:szCs w:val="22"/>
          <w:lang w:val="fr-CA"/>
        </w:rPr>
        <w:tab/>
      </w:r>
      <w:r w:rsidR="00CB2C5F" w:rsidRPr="00A87C55">
        <w:rPr>
          <w:color w:val="000000" w:themeColor="text1"/>
          <w:szCs w:val="22"/>
          <w:lang w:val="fr-CA"/>
        </w:rPr>
        <w:t>De continuer à collaborer avec les autres bases de données et organisations relatives à la prévention des risques biotechnologiques</w:t>
      </w:r>
      <w:r w:rsidR="005C01CC">
        <w:rPr>
          <w:color w:val="000000" w:themeColor="text1"/>
          <w:szCs w:val="22"/>
          <w:lang w:val="fr-CA"/>
        </w:rPr>
        <w:t>.</w:t>
      </w:r>
    </w:p>
    <w:p w:rsidR="00515F4E" w:rsidRPr="00AE7119" w:rsidRDefault="00515F4E" w:rsidP="00515F4E">
      <w:pPr>
        <w:suppressLineNumbers/>
        <w:shd w:val="clear" w:color="auto" w:fill="FFFFFF" w:themeFill="background1"/>
        <w:suppressAutoHyphens/>
        <w:spacing w:before="120" w:after="120"/>
        <w:ind w:firstLine="720"/>
        <w:jc w:val="left"/>
        <w:rPr>
          <w:lang w:val="fr-CA"/>
        </w:rPr>
      </w:pPr>
    </w:p>
    <w:p w:rsidR="00B3369F" w:rsidRPr="00AE7119" w:rsidRDefault="00515F4E" w:rsidP="00166372">
      <w:pPr>
        <w:shd w:val="clear" w:color="auto" w:fill="FFFFFF" w:themeFill="background1"/>
        <w:jc w:val="center"/>
        <w:rPr>
          <w:lang w:val="fr-CA"/>
        </w:rPr>
      </w:pPr>
      <w:r w:rsidRPr="00AE7119">
        <w:rPr>
          <w:lang w:val="fr-CA"/>
        </w:rPr>
        <w:t>__________</w:t>
      </w:r>
    </w:p>
    <w:sectPr w:rsidR="00B3369F" w:rsidRPr="00AE7119" w:rsidSect="001B1D8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2A6" w:rsidRDefault="00E652A6" w:rsidP="00CF1848">
      <w:r>
        <w:separator/>
      </w:r>
    </w:p>
  </w:endnote>
  <w:endnote w:type="continuationSeparator" w:id="0">
    <w:p w:rsidR="00E652A6" w:rsidRDefault="00E652A6"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2A6" w:rsidRDefault="00E652A6" w:rsidP="00CF1848">
      <w:r>
        <w:separator/>
      </w:r>
    </w:p>
  </w:footnote>
  <w:footnote w:type="continuationSeparator" w:id="0">
    <w:p w:rsidR="00E652A6" w:rsidRDefault="00E652A6" w:rsidP="00CF1848">
      <w:r>
        <w:continuationSeparator/>
      </w:r>
    </w:p>
  </w:footnote>
  <w:footnote w:id="1">
    <w:p w:rsidR="0047614D" w:rsidRPr="00D017AA" w:rsidRDefault="0047614D" w:rsidP="0047614D">
      <w:pPr>
        <w:pStyle w:val="FootnoteText"/>
        <w:rPr>
          <w:lang w:val="fr-CA"/>
        </w:rPr>
      </w:pPr>
      <w:r w:rsidRPr="00D017AA">
        <w:rPr>
          <w:rStyle w:val="FootnoteReference"/>
          <w:lang w:val="fr-CA"/>
        </w:rPr>
        <w:footnoteRef/>
      </w:r>
      <w:r w:rsidRPr="00D017AA">
        <w:rPr>
          <w:lang w:val="fr-CA"/>
        </w:rPr>
        <w:t xml:space="preserve"> Sous réserve de l</w:t>
      </w:r>
      <w:r w:rsidR="00D017AA" w:rsidRPr="00D017AA">
        <w:rPr>
          <w:lang w:val="fr-CA"/>
        </w:rPr>
        <w:t>’</w:t>
      </w:r>
      <w:r w:rsidR="00D017AA">
        <w:rPr>
          <w:lang w:val="fr-CA"/>
        </w:rPr>
        <w:t>adoption de la composante « gestion des connaissances »</w:t>
      </w:r>
      <w:r w:rsidRPr="00D017AA">
        <w:rPr>
          <w:lang w:val="fr-CA"/>
        </w:rPr>
        <w:t xml:space="preserve"> du cadre mondial de la biodiversité pour l</w:t>
      </w:r>
      <w:r w:rsidR="00D017AA" w:rsidRPr="00D017AA">
        <w:rPr>
          <w:lang w:val="fr-CA"/>
        </w:rPr>
        <w:t>’</w:t>
      </w:r>
      <w:r w:rsidRPr="00D017AA">
        <w:rPr>
          <w:lang w:val="fr-CA"/>
        </w:rPr>
        <w:t>après</w:t>
      </w:r>
      <w:r w:rsidR="00D017AA" w:rsidRPr="00D017AA">
        <w:rPr>
          <w:lang w:val="fr-CA"/>
        </w:rPr>
        <w:noBreakHyphen/>
      </w:r>
      <w:r w:rsidRPr="00D017AA">
        <w:rPr>
          <w:lang w:val="fr-CA"/>
        </w:rPr>
        <w:t>2020.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134846" w:rsidRDefault="00E21F89" w:rsidP="00534681">
        <w:pPr>
          <w:pStyle w:val="Header"/>
          <w:rPr>
            <w:lang w:val="fr-FR"/>
          </w:rPr>
        </w:pPr>
        <w:r>
          <w:rPr>
            <w:lang w:val="fr-FR"/>
          </w:rPr>
          <w:t>CBD/CP/MOP/10/L.7</w:t>
        </w:r>
      </w:p>
    </w:sdtContent>
  </w:sdt>
  <w:p w:rsidR="00534681" w:rsidRPr="00134846" w:rsidRDefault="00534681" w:rsidP="00534681">
    <w:pPr>
      <w:pStyle w:val="Header"/>
      <w:rPr>
        <w:lang w:val="fr-FR"/>
      </w:rPr>
    </w:pPr>
    <w:r w:rsidRPr="00134846">
      <w:rPr>
        <w:lang w:val="fr-FR"/>
      </w:rPr>
      <w:t xml:space="preserve">Page </w:t>
    </w:r>
    <w:r w:rsidR="00196A5E">
      <w:fldChar w:fldCharType="begin"/>
    </w:r>
    <w:r w:rsidRPr="00134846">
      <w:rPr>
        <w:lang w:val="fr-FR"/>
      </w:rPr>
      <w:instrText xml:space="preserve"> PAGE   \* MERGEFORMAT </w:instrText>
    </w:r>
    <w:r w:rsidR="00196A5E">
      <w:fldChar w:fldCharType="separate"/>
    </w:r>
    <w:r w:rsidR="005C01CC">
      <w:rPr>
        <w:noProof/>
        <w:lang w:val="fr-FR"/>
      </w:rPr>
      <w:t>2</w:t>
    </w:r>
    <w:r w:rsidR="00196A5E">
      <w:rPr>
        <w:noProof/>
      </w:rPr>
      <w:fldChar w:fldCharType="end"/>
    </w:r>
  </w:p>
  <w:p w:rsidR="00534681" w:rsidRPr="00134846" w:rsidRDefault="00534681">
    <w:pPr>
      <w:pStyle w:val="Header"/>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E21F89" w:rsidP="009505C9">
        <w:pPr>
          <w:pStyle w:val="Header"/>
          <w:jc w:val="right"/>
          <w:rPr>
            <w:lang w:val="fr-FR"/>
          </w:rPr>
        </w:pPr>
        <w:r>
          <w:rPr>
            <w:lang w:val="fr-FR"/>
          </w:rPr>
          <w:t>CBD/CP/MOP/10/L.7</w:t>
        </w:r>
      </w:p>
    </w:sdtContent>
  </w:sdt>
  <w:p w:rsidR="009505C9" w:rsidRPr="00134846" w:rsidRDefault="009505C9" w:rsidP="009505C9">
    <w:pPr>
      <w:pStyle w:val="Header"/>
      <w:jc w:val="right"/>
      <w:rPr>
        <w:lang w:val="fr-FR"/>
      </w:rPr>
    </w:pPr>
    <w:r w:rsidRPr="00134846">
      <w:rPr>
        <w:lang w:val="fr-FR"/>
      </w:rPr>
      <w:t xml:space="preserve">Page </w:t>
    </w:r>
    <w:r w:rsidR="00196A5E">
      <w:fldChar w:fldCharType="begin"/>
    </w:r>
    <w:r w:rsidRPr="00134846">
      <w:rPr>
        <w:lang w:val="fr-FR"/>
      </w:rPr>
      <w:instrText xml:space="preserve"> PAGE   \* MERGEFORMAT </w:instrText>
    </w:r>
    <w:r w:rsidR="00196A5E">
      <w:fldChar w:fldCharType="separate"/>
    </w:r>
    <w:r w:rsidR="00F6586C" w:rsidRPr="00134846">
      <w:rPr>
        <w:noProof/>
        <w:lang w:val="fr-FR"/>
      </w:rPr>
      <w:t>3</w:t>
    </w:r>
    <w:r w:rsidR="00196A5E">
      <w:rPr>
        <w:noProof/>
      </w:rPr>
      <w:fldChar w:fldCharType="end"/>
    </w:r>
  </w:p>
  <w:p w:rsidR="009505C9" w:rsidRPr="00134846" w:rsidRDefault="009505C9">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hyphenationZone w:val="425"/>
  <w:evenAndOddHeaders/>
  <w:characterSpacingControl w:val="doNotCompress"/>
  <w:hdrShapeDefaults>
    <o:shapedefaults v:ext="edit" spidmax="4098"/>
  </w:hdrShapeDefaults>
  <w:footnotePr>
    <w:footnote w:id="-1"/>
    <w:footnote w:id="0"/>
  </w:footnotePr>
  <w:endnotePr>
    <w:endnote w:id="-1"/>
    <w:endnote w:id="0"/>
  </w:endnotePr>
  <w:compat>
    <w:useFELayout/>
  </w:compat>
  <w:rsids>
    <w:rsidRoot w:val="00C9161D"/>
    <w:rsid w:val="00020A25"/>
    <w:rsid w:val="00031A05"/>
    <w:rsid w:val="0007171B"/>
    <w:rsid w:val="000C64C2"/>
    <w:rsid w:val="000E673A"/>
    <w:rsid w:val="000F74F5"/>
    <w:rsid w:val="00105372"/>
    <w:rsid w:val="001312AD"/>
    <w:rsid w:val="00131E7A"/>
    <w:rsid w:val="00134846"/>
    <w:rsid w:val="00166372"/>
    <w:rsid w:val="00172AF6"/>
    <w:rsid w:val="00176CEE"/>
    <w:rsid w:val="00186DD8"/>
    <w:rsid w:val="00196A5E"/>
    <w:rsid w:val="001B13FE"/>
    <w:rsid w:val="001B1D8F"/>
    <w:rsid w:val="00201591"/>
    <w:rsid w:val="0030169D"/>
    <w:rsid w:val="003060EB"/>
    <w:rsid w:val="003153EB"/>
    <w:rsid w:val="00321985"/>
    <w:rsid w:val="00351205"/>
    <w:rsid w:val="00372F74"/>
    <w:rsid w:val="003B7BB2"/>
    <w:rsid w:val="003F7224"/>
    <w:rsid w:val="00427D21"/>
    <w:rsid w:val="004644C2"/>
    <w:rsid w:val="00467F9C"/>
    <w:rsid w:val="0047614D"/>
    <w:rsid w:val="004A59E1"/>
    <w:rsid w:val="00515F4E"/>
    <w:rsid w:val="00534681"/>
    <w:rsid w:val="00563442"/>
    <w:rsid w:val="00565B42"/>
    <w:rsid w:val="005B4ADC"/>
    <w:rsid w:val="005C01CC"/>
    <w:rsid w:val="005C4CE6"/>
    <w:rsid w:val="005E0ED3"/>
    <w:rsid w:val="006122BA"/>
    <w:rsid w:val="0063588C"/>
    <w:rsid w:val="006B2290"/>
    <w:rsid w:val="00717D88"/>
    <w:rsid w:val="00786056"/>
    <w:rsid w:val="007942D3"/>
    <w:rsid w:val="007B2099"/>
    <w:rsid w:val="007B6C09"/>
    <w:rsid w:val="007B7741"/>
    <w:rsid w:val="007E09DA"/>
    <w:rsid w:val="008178B6"/>
    <w:rsid w:val="00865B74"/>
    <w:rsid w:val="00892459"/>
    <w:rsid w:val="008974F0"/>
    <w:rsid w:val="008B012A"/>
    <w:rsid w:val="00906E17"/>
    <w:rsid w:val="00930BA1"/>
    <w:rsid w:val="0093169E"/>
    <w:rsid w:val="00937130"/>
    <w:rsid w:val="009505C9"/>
    <w:rsid w:val="00950752"/>
    <w:rsid w:val="00966424"/>
    <w:rsid w:val="009C2DE6"/>
    <w:rsid w:val="00A1252A"/>
    <w:rsid w:val="00AA6F92"/>
    <w:rsid w:val="00AB6934"/>
    <w:rsid w:val="00AD7FFC"/>
    <w:rsid w:val="00AE7119"/>
    <w:rsid w:val="00AF42DE"/>
    <w:rsid w:val="00B26ACD"/>
    <w:rsid w:val="00B3369F"/>
    <w:rsid w:val="00B94E6C"/>
    <w:rsid w:val="00BB4606"/>
    <w:rsid w:val="00BF11F9"/>
    <w:rsid w:val="00C23D2F"/>
    <w:rsid w:val="00C443BD"/>
    <w:rsid w:val="00C451C5"/>
    <w:rsid w:val="00C9161D"/>
    <w:rsid w:val="00CA0C1D"/>
    <w:rsid w:val="00CB2C5F"/>
    <w:rsid w:val="00CF1848"/>
    <w:rsid w:val="00D017AA"/>
    <w:rsid w:val="00D12044"/>
    <w:rsid w:val="00D30264"/>
    <w:rsid w:val="00D33EFC"/>
    <w:rsid w:val="00D40DBC"/>
    <w:rsid w:val="00D67904"/>
    <w:rsid w:val="00D76A18"/>
    <w:rsid w:val="00D80849"/>
    <w:rsid w:val="00D82E8F"/>
    <w:rsid w:val="00DD118C"/>
    <w:rsid w:val="00E02251"/>
    <w:rsid w:val="00E21F89"/>
    <w:rsid w:val="00E652A6"/>
    <w:rsid w:val="00E66235"/>
    <w:rsid w:val="00E83C24"/>
    <w:rsid w:val="00E9318D"/>
    <w:rsid w:val="00EC1F46"/>
    <w:rsid w:val="00F01116"/>
    <w:rsid w:val="00F53193"/>
    <w:rsid w:val="00F5357E"/>
    <w:rsid w:val="00F6586C"/>
    <w:rsid w:val="00F94774"/>
    <w:rsid w:val="00FA0E9A"/>
    <w:rsid w:val="00FA663B"/>
    <w:rsid w:val="00FC25F8"/>
    <w:rsid w:val="00FC53DB"/>
    <w:rsid w:val="00FE2131"/>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515F4E"/>
    <w:pPr>
      <w:spacing w:after="160" w:line="240" w:lineRule="exact"/>
      <w:jc w:val="left"/>
    </w:pPr>
    <w:rPr>
      <w:rFonts w:asciiTheme="minorHAnsi" w:eastAsiaTheme="minorEastAsia" w:hAnsiTheme="minorHAnsi" w:cstheme="minorBidi"/>
      <w:vertAlign w:val="superscript"/>
      <w:lang w:val="fr-CA"/>
    </w:rPr>
  </w:style>
  <w:style w:type="character" w:customStyle="1" w:styleId="None">
    <w:name w:val="None"/>
    <w:rsid w:val="00AE7119"/>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810A55"/>
    <w:rsid w:val="0016789F"/>
    <w:rsid w:val="003C37BD"/>
    <w:rsid w:val="0046422C"/>
    <w:rsid w:val="004760CF"/>
    <w:rsid w:val="004E092F"/>
    <w:rsid w:val="00500A2B"/>
    <w:rsid w:val="0058288D"/>
    <w:rsid w:val="00594E17"/>
    <w:rsid w:val="006476D0"/>
    <w:rsid w:val="00665C6B"/>
    <w:rsid w:val="006801B3"/>
    <w:rsid w:val="00810A55"/>
    <w:rsid w:val="00862E04"/>
    <w:rsid w:val="008C6619"/>
    <w:rsid w:val="008D420E"/>
    <w:rsid w:val="0098642F"/>
    <w:rsid w:val="00B27D2C"/>
    <w:rsid w:val="00C8104B"/>
    <w:rsid w:val="00D31D12"/>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62E04"/>
    <w:rPr>
      <w:color w:val="808080"/>
    </w:rPr>
  </w:style>
  <w:style w:type="paragraph" w:customStyle="1" w:styleId="EA0CB49B72C14941B5892E9C2F6C8CF8">
    <w:name w:val="EA0CB49B72C14941B5892E9C2F6C8CF8"/>
    <w:rsid w:val="00862E04"/>
    <w:pPr>
      <w:spacing w:after="160" w:line="259" w:lineRule="auto"/>
    </w:pPr>
    <w:rPr>
      <w:lang w:eastAsia="zh-CN"/>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8E57060-2C13-4A64-82AE-2CF134561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824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 and activities of the Biosafety Clearing-House (Article 20)</dc:title>
  <dc:subject>CBD/CP/MOP/10/L.7</dc:subject>
  <dc:creator>SCBD</dc:creator>
  <cp:keywords>Conference of the Parties serving as the meeting of the parties to the Cartagena Protocol on Biosafety, tenth meeting</cp:keywords>
  <cp:lastModifiedBy>BUBIC</cp:lastModifiedBy>
  <cp:revision>8</cp:revision>
  <cp:lastPrinted>2020-01-21T16:56:00Z</cp:lastPrinted>
  <dcterms:created xsi:type="dcterms:W3CDTF">2022-12-09T22:37:00Z</dcterms:created>
  <dcterms:modified xsi:type="dcterms:W3CDTF">2022-12-09T22:49:00Z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