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C4E47" w14:paraId="07F6750D" w14:textId="77777777" w:rsidTr="009C2DE6">
        <w:trPr>
          <w:trHeight w:val="851"/>
        </w:trPr>
        <w:tc>
          <w:tcPr>
            <w:tcW w:w="976" w:type="dxa"/>
            <w:tcBorders>
              <w:bottom w:val="single" w:sz="12" w:space="0" w:color="auto"/>
            </w:tcBorders>
          </w:tcPr>
          <w:p w14:paraId="1DEFF495" w14:textId="77777777" w:rsidR="00C9161D" w:rsidRPr="007C4E47"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rPr>
            </w:pPr>
            <w:r>
              <w:rPr>
                <w:rFonts w:asciiTheme="majorBidi" w:hAnsiTheme="majorBidi"/>
                <w:noProof/>
                <w:snapToGrid w:val="0"/>
                <w:lang w:val="fr-FR" w:eastAsia="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7F1C96AE" w:rsidR="00FA663B" w:rsidRPr="007C4E47" w:rsidRDefault="006E0795"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rPr>
            </w:pPr>
            <w:r w:rsidRPr="006E0795">
              <w:rPr>
                <w:noProof/>
                <w:snapToGrid w:val="0"/>
                <w:lang w:val="fr-FR" w:eastAsia="fr-FR"/>
              </w:rPr>
              <w:drawing>
                <wp:inline distT="0" distB="0" distL="0" distR="0" wp14:anchorId="06CD928A" wp14:editId="177B7F64">
                  <wp:extent cx="601980" cy="354330"/>
                  <wp:effectExtent l="0" t="0" r="7620" b="762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44273" cy="379224"/>
                          </a:xfrm>
                          <a:prstGeom prst="rect">
                            <a:avLst/>
                          </a:prstGeom>
                          <a:noFill/>
                          <a:ln>
                            <a:noFill/>
                          </a:ln>
                        </pic:spPr>
                      </pic:pic>
                    </a:graphicData>
                  </a:graphic>
                </wp:inline>
              </w:drawing>
            </w:r>
          </w:p>
        </w:tc>
        <w:tc>
          <w:tcPr>
            <w:tcW w:w="4090" w:type="dxa"/>
            <w:tcBorders>
              <w:bottom w:val="single" w:sz="12" w:space="0" w:color="auto"/>
            </w:tcBorders>
          </w:tcPr>
          <w:p w14:paraId="600A589D" w14:textId="7E8FCB3D" w:rsidR="00247810" w:rsidRPr="00F24717" w:rsidRDefault="00C9161D" w:rsidP="00302CD2">
            <w:pPr>
              <w:suppressLineNumbers/>
              <w:suppressAutoHyphens/>
              <w:kinsoku w:val="0"/>
              <w:overflowPunct w:val="0"/>
              <w:autoSpaceDE w:val="0"/>
              <w:autoSpaceDN w:val="0"/>
              <w:adjustRightInd w:val="0"/>
              <w:snapToGrid w:val="0"/>
              <w:jc w:val="right"/>
              <w:rPr>
                <w:rFonts w:asciiTheme="minorBidi" w:hAnsiTheme="minorBidi" w:cstheme="minorBidi"/>
                <w:b/>
                <w:snapToGrid w:val="0"/>
                <w:kern w:val="22"/>
                <w:sz w:val="32"/>
                <w:szCs w:val="32"/>
              </w:rPr>
            </w:pPr>
            <w:r>
              <w:rPr>
                <w:rFonts w:asciiTheme="minorBidi" w:hAnsiTheme="minorBidi"/>
                <w:b/>
                <w:snapToGrid w:val="0"/>
                <w:sz w:val="32"/>
                <w:szCs w:val="32"/>
              </w:rPr>
              <w:t>CB</w:t>
            </w:r>
            <w:r w:rsidR="008D72BA">
              <w:rPr>
                <w:rFonts w:asciiTheme="minorBidi" w:hAnsiTheme="minorBidi"/>
                <w:b/>
                <w:snapToGrid w:val="0"/>
                <w:sz w:val="32"/>
                <w:szCs w:val="32"/>
              </w:rPr>
              <w:t>D</w:t>
            </w:r>
          </w:p>
        </w:tc>
      </w:tr>
      <w:tr w:rsidR="00C9161D" w:rsidRPr="007C4E47" w14:paraId="6F751905" w14:textId="77777777" w:rsidTr="00CF1848">
        <w:tc>
          <w:tcPr>
            <w:tcW w:w="6117" w:type="dxa"/>
            <w:gridSpan w:val="2"/>
            <w:tcBorders>
              <w:top w:val="single" w:sz="12" w:space="0" w:color="auto"/>
              <w:bottom w:val="single" w:sz="36" w:space="0" w:color="auto"/>
            </w:tcBorders>
            <w:vAlign w:val="center"/>
          </w:tcPr>
          <w:p w14:paraId="14F52A6C" w14:textId="620B7166" w:rsidR="00C9161D" w:rsidRPr="007C4E47" w:rsidRDefault="005F6507"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rPr>
            </w:pPr>
            <w:r>
              <w:rPr>
                <w:noProof/>
                <w:lang w:val="fr-FR" w:eastAsia="fr-FR"/>
              </w:rPr>
              <w:drawing>
                <wp:inline distT="0" distB="0" distL="0" distR="0" wp14:anchorId="6C0A5249" wp14:editId="01D0E9AF">
                  <wp:extent cx="3055620" cy="1198125"/>
                  <wp:effectExtent l="0" t="0" r="0" b="2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67214" cy="1202671"/>
                          </a:xfrm>
                          <a:prstGeom prst="rect">
                            <a:avLst/>
                          </a:prstGeom>
                        </pic:spPr>
                      </pic:pic>
                    </a:graphicData>
                  </a:graphic>
                </wp:inline>
              </w:drawing>
            </w:r>
          </w:p>
        </w:tc>
        <w:tc>
          <w:tcPr>
            <w:tcW w:w="4090" w:type="dxa"/>
            <w:tcBorders>
              <w:top w:val="single" w:sz="12" w:space="0" w:color="auto"/>
              <w:bottom w:val="single" w:sz="36" w:space="0" w:color="auto"/>
            </w:tcBorders>
          </w:tcPr>
          <w:p w14:paraId="1C693BA4" w14:textId="77777777" w:rsidR="00C9161D" w:rsidRPr="007C4E4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r>
              <w:rPr>
                <w:rFonts w:asciiTheme="majorBidi" w:hAnsiTheme="majorBidi"/>
                <w:snapToGrid w:val="0"/>
                <w:szCs w:val="22"/>
              </w:rPr>
              <w:t>Distr.</w:t>
            </w:r>
          </w:p>
          <w:p w14:paraId="0C21C438" w14:textId="54985652" w:rsidR="00C9161D" w:rsidRPr="007C4E47" w:rsidRDefault="00733FC4"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r>
              <w:rPr>
                <w:rFonts w:asciiTheme="majorBidi" w:hAnsiTheme="majorBidi"/>
                <w:caps/>
                <w:snapToGrid w:val="0"/>
                <w:szCs w:val="22"/>
              </w:rPr>
              <w:t>GÉNÉRALE</w:t>
            </w:r>
          </w:p>
          <w:p w14:paraId="06715052" w14:textId="77777777" w:rsidR="00C9161D" w:rsidRPr="005F650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p>
          <w:p w14:paraId="44230134" w14:textId="403CA7BC" w:rsidR="00C9161D" w:rsidRPr="007C4E47" w:rsidRDefault="008D72BA"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sdt>
              <w:sdtPr>
                <w:rPr>
                  <w:rFonts w:asciiTheme="majorBidi" w:hAnsiTheme="majorBidi" w:cstheme="majorBidi"/>
                  <w:snapToGrid w:val="0"/>
                  <w:kern w:val="22"/>
                </w:rPr>
                <w:alias w:val="Obje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35440" w:rsidRPr="005F6507">
                  <w:rPr>
                    <w:rFonts w:asciiTheme="majorBidi" w:hAnsiTheme="majorBidi" w:cstheme="majorBidi"/>
                    <w:snapToGrid w:val="0"/>
                    <w:kern w:val="22"/>
                  </w:rPr>
                  <w:t>CBD/COP/15/12</w:t>
                </w:r>
              </w:sdtContent>
            </w:sdt>
          </w:p>
          <w:p w14:paraId="0DF1F033" w14:textId="064F06BC" w:rsidR="00C9161D" w:rsidRPr="007C4E47" w:rsidRDefault="002C6E47"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r>
              <w:rPr>
                <w:rFonts w:asciiTheme="majorBidi" w:hAnsiTheme="majorBidi"/>
                <w:snapToGrid w:val="0"/>
                <w:szCs w:val="22"/>
              </w:rPr>
              <w:t>8</w:t>
            </w:r>
            <w:r w:rsidR="00D44328">
              <w:rPr>
                <w:rFonts w:asciiTheme="majorBidi" w:hAnsiTheme="majorBidi"/>
                <w:snapToGrid w:val="0"/>
                <w:szCs w:val="22"/>
              </w:rPr>
              <w:t> novembre 2022</w:t>
            </w:r>
          </w:p>
          <w:p w14:paraId="159892DF" w14:textId="77777777" w:rsidR="00C9161D" w:rsidRPr="005F650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p>
          <w:p w14:paraId="52A6C395" w14:textId="50992FC4" w:rsidR="005F6507" w:rsidRDefault="005F6507" w:rsidP="00B00053">
            <w:pPr>
              <w:suppressLineNumbers/>
              <w:suppressAutoHyphens/>
              <w:kinsoku w:val="0"/>
              <w:overflowPunct w:val="0"/>
              <w:autoSpaceDE w:val="0"/>
              <w:autoSpaceDN w:val="0"/>
              <w:adjustRightInd w:val="0"/>
              <w:snapToGrid w:val="0"/>
              <w:ind w:left="1215"/>
              <w:rPr>
                <w:rFonts w:asciiTheme="majorBidi" w:hAnsiTheme="majorBidi"/>
                <w:snapToGrid w:val="0"/>
                <w:szCs w:val="22"/>
              </w:rPr>
            </w:pPr>
            <w:r>
              <w:rPr>
                <w:rFonts w:asciiTheme="majorBidi" w:hAnsiTheme="majorBidi"/>
                <w:snapToGrid w:val="0"/>
                <w:szCs w:val="22"/>
              </w:rPr>
              <w:t>FRANÇAIS</w:t>
            </w:r>
          </w:p>
          <w:p w14:paraId="19472D49" w14:textId="0E2A3E06" w:rsidR="00C9161D" w:rsidRPr="007C4E47" w:rsidRDefault="006B2290"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rPr>
            </w:pPr>
            <w:r>
              <w:rPr>
                <w:rFonts w:asciiTheme="majorBidi" w:hAnsiTheme="majorBidi"/>
                <w:snapToGrid w:val="0"/>
                <w:szCs w:val="22"/>
              </w:rPr>
              <w:t>ORIGINAL</w:t>
            </w:r>
            <w:r w:rsidR="00C93AF9">
              <w:rPr>
                <w:rFonts w:asciiTheme="majorBidi" w:hAnsiTheme="majorBidi"/>
                <w:snapToGrid w:val="0"/>
                <w:szCs w:val="22"/>
              </w:rPr>
              <w:t> </w:t>
            </w:r>
            <w:r>
              <w:rPr>
                <w:rFonts w:asciiTheme="majorBidi" w:hAnsiTheme="majorBidi"/>
                <w:snapToGrid w:val="0"/>
                <w:szCs w:val="22"/>
              </w:rPr>
              <w:t>: ANGLAIS</w:t>
            </w:r>
          </w:p>
          <w:p w14:paraId="5AA10CCE" w14:textId="77777777" w:rsidR="00C9161D" w:rsidRPr="007C4E47"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p>
        </w:tc>
      </w:tr>
    </w:tbl>
    <w:p w14:paraId="16E481B9" w14:textId="41E25213" w:rsidR="003B44F9" w:rsidRPr="007C4E47" w:rsidRDefault="003B44F9" w:rsidP="005F6507">
      <w:pPr>
        <w:pStyle w:val="Cornernotation"/>
        <w:suppressLineNumbers/>
        <w:suppressAutoHyphens/>
        <w:kinsoku w:val="0"/>
        <w:overflowPunct w:val="0"/>
        <w:autoSpaceDE w:val="0"/>
        <w:autoSpaceDN w:val="0"/>
        <w:adjustRightInd w:val="0"/>
        <w:snapToGrid w:val="0"/>
        <w:spacing w:before="60"/>
        <w:ind w:left="0" w:right="4642" w:firstLine="0"/>
        <w:rPr>
          <w:rFonts w:asciiTheme="majorBidi" w:hAnsiTheme="majorBidi" w:cstheme="majorBidi"/>
          <w:snapToGrid w:val="0"/>
          <w:kern w:val="22"/>
        </w:rPr>
      </w:pPr>
      <w:r>
        <w:rPr>
          <w:rFonts w:asciiTheme="majorBidi" w:hAnsiTheme="majorBidi"/>
          <w:snapToGrid w:val="0"/>
        </w:rPr>
        <w:t>CONFÉRENCE DES PARTIES À LA</w:t>
      </w:r>
      <w:r w:rsidR="005F6507">
        <w:rPr>
          <w:rFonts w:asciiTheme="majorBidi" w:hAnsiTheme="majorBidi"/>
          <w:snapToGrid w:val="0"/>
        </w:rPr>
        <w:br/>
      </w:r>
      <w:r>
        <w:rPr>
          <w:rFonts w:asciiTheme="majorBidi" w:hAnsiTheme="majorBidi"/>
          <w:snapToGrid w:val="0"/>
        </w:rPr>
        <w:t>CONVENTION SUR LA DIVERSITÉ BIOLOGIQUE</w:t>
      </w:r>
    </w:p>
    <w:p w14:paraId="57515406" w14:textId="55542D59" w:rsidR="003B44F9" w:rsidRPr="007C4E47" w:rsidRDefault="006E0795" w:rsidP="00B00053">
      <w:pPr>
        <w:pStyle w:val="Cornernotation"/>
        <w:suppressLineNumbers/>
        <w:suppressAutoHyphens/>
        <w:kinsoku w:val="0"/>
        <w:overflowPunct w:val="0"/>
        <w:autoSpaceDE w:val="0"/>
        <w:autoSpaceDN w:val="0"/>
        <w:adjustRightInd w:val="0"/>
        <w:snapToGrid w:val="0"/>
        <w:rPr>
          <w:rFonts w:asciiTheme="majorBidi" w:hAnsiTheme="majorBidi" w:cstheme="majorBidi"/>
          <w:snapToGrid w:val="0"/>
          <w:kern w:val="22"/>
        </w:rPr>
      </w:pPr>
      <w:r>
        <w:rPr>
          <w:rFonts w:asciiTheme="majorBidi" w:hAnsiTheme="majorBidi"/>
          <w:snapToGrid w:val="0"/>
        </w:rPr>
        <w:t>Quinzième réunion – Deuxième partie</w:t>
      </w:r>
    </w:p>
    <w:p w14:paraId="66113E66" w14:textId="23F46C3D" w:rsidR="003B44F9" w:rsidRPr="007C4E47" w:rsidRDefault="00F40783" w:rsidP="00056FA9">
      <w:pPr>
        <w:pStyle w:val="Cornernotation"/>
        <w:suppressLineNumbers/>
        <w:suppressAutoHyphens/>
        <w:kinsoku w:val="0"/>
        <w:overflowPunct w:val="0"/>
        <w:autoSpaceDE w:val="0"/>
        <w:autoSpaceDN w:val="0"/>
        <w:adjustRightInd w:val="0"/>
        <w:snapToGrid w:val="0"/>
        <w:ind w:right="4116"/>
        <w:rPr>
          <w:rFonts w:asciiTheme="majorBidi" w:hAnsiTheme="majorBidi" w:cstheme="majorBidi"/>
          <w:snapToGrid w:val="0"/>
          <w:kern w:val="22"/>
        </w:rPr>
      </w:pPr>
      <w:bookmarkStart w:id="0" w:name="OLE_LINK1"/>
      <w:bookmarkStart w:id="1" w:name="OLE_LINK2"/>
      <w:r>
        <w:rPr>
          <w:rFonts w:asciiTheme="majorBidi" w:hAnsiTheme="majorBidi"/>
          <w:snapToGrid w:val="0"/>
        </w:rPr>
        <w:t xml:space="preserve">Montréal (Canada), </w:t>
      </w:r>
      <w:bookmarkEnd w:id="0"/>
      <w:bookmarkEnd w:id="1"/>
      <w:r>
        <w:rPr>
          <w:rFonts w:asciiTheme="majorBidi" w:hAnsiTheme="majorBidi"/>
          <w:snapToGrid w:val="0"/>
        </w:rPr>
        <w:t xml:space="preserve">7-19 décembre 2022 </w:t>
      </w:r>
    </w:p>
    <w:p w14:paraId="2D0C5E2A" w14:textId="37CC93F8" w:rsidR="00EA670E" w:rsidRPr="002C6E47" w:rsidRDefault="007C4DFD" w:rsidP="00837B16">
      <w:pPr>
        <w:suppressLineNumbers/>
        <w:suppressAutoHyphens/>
        <w:kinsoku w:val="0"/>
        <w:overflowPunct w:val="0"/>
        <w:autoSpaceDE w:val="0"/>
        <w:autoSpaceDN w:val="0"/>
        <w:adjustRightInd w:val="0"/>
        <w:snapToGrid w:val="0"/>
        <w:rPr>
          <w:rFonts w:asciiTheme="majorBidi" w:hAnsiTheme="majorBidi" w:cstheme="majorBidi"/>
          <w:snapToGrid w:val="0"/>
          <w:kern w:val="22"/>
          <w:lang w:val="fr-FR"/>
        </w:rPr>
      </w:pPr>
      <w:r w:rsidRPr="002C6E47">
        <w:rPr>
          <w:rFonts w:asciiTheme="majorBidi" w:hAnsiTheme="majorBidi"/>
          <w:snapToGrid w:val="0"/>
          <w:szCs w:val="22"/>
          <w:lang w:val="fr-FR"/>
        </w:rPr>
        <w:t>Point 13 de l’ordre du jour</w:t>
      </w:r>
    </w:p>
    <w:sdt>
      <w:sdtPr>
        <w:rPr>
          <w:rFonts w:asciiTheme="majorBidi" w:hAnsiTheme="majorBidi" w:cstheme="majorBidi"/>
          <w:b/>
          <w:bCs/>
          <w:caps/>
          <w:snapToGrid w:val="0"/>
          <w:kern w:val="22"/>
        </w:rPr>
        <w:alias w:val="Titr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21989D92" w:rsidR="00C9161D" w:rsidRPr="005F6507" w:rsidRDefault="002C6E47" w:rsidP="00B86B08">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caps/>
              <w:snapToGrid w:val="0"/>
              <w:kern w:val="22"/>
            </w:rPr>
          </w:pPr>
          <w:r>
            <w:rPr>
              <w:rFonts w:asciiTheme="majorBidi" w:hAnsiTheme="majorBidi" w:cstheme="majorBidi"/>
              <w:b/>
              <w:bCs/>
              <w:caps/>
              <w:snapToGrid w:val="0"/>
              <w:kern w:val="22"/>
            </w:rPr>
            <w:t>RAPPORT de synthese sur</w:t>
          </w:r>
          <w:r w:rsidR="005F6507" w:rsidRPr="005F6507">
            <w:rPr>
              <w:rFonts w:asciiTheme="majorBidi" w:hAnsiTheme="majorBidi" w:cstheme="majorBidi"/>
              <w:b/>
              <w:bCs/>
              <w:caps/>
              <w:snapToGrid w:val="0"/>
              <w:kern w:val="22"/>
            </w:rPr>
            <w:t xml:space="preserve"> L’EXAMEN DES PROGRAMMES DE COOPÉRATION TECHNIQUE ET SCIENTIFIQUE</w:t>
          </w:r>
        </w:p>
      </w:sdtContent>
    </w:sdt>
    <w:p w14:paraId="1E0D2573" w14:textId="63469BE5" w:rsidR="00DE4E1B" w:rsidRPr="007C4E47" w:rsidRDefault="00DE4E1B" w:rsidP="006E0795">
      <w:pPr>
        <w:pStyle w:val="Heading2"/>
        <w:spacing w:before="240"/>
        <w:rPr>
          <w:rFonts w:asciiTheme="majorBidi" w:hAnsiTheme="majorBidi" w:cstheme="majorBidi"/>
          <w:b w:val="0"/>
          <w:i/>
          <w:kern w:val="22"/>
          <w:szCs w:val="22"/>
        </w:rPr>
      </w:pPr>
      <w:r>
        <w:rPr>
          <w:rFonts w:asciiTheme="majorBidi" w:hAnsiTheme="majorBidi"/>
          <w:b w:val="0"/>
          <w:i/>
          <w:szCs w:val="22"/>
        </w:rPr>
        <w:t>Note de la Secrétaire exécutive</w:t>
      </w:r>
    </w:p>
    <w:p w14:paraId="7154781E" w14:textId="4DF70E2D" w:rsidR="00E40C56" w:rsidRPr="007C4E47" w:rsidRDefault="00D77560" w:rsidP="00B86B08">
      <w:pPr>
        <w:pStyle w:val="ListParagraph"/>
        <w:keepNext/>
        <w:suppressLineNumbers/>
        <w:suppressAutoHyphens/>
        <w:kinsoku w:val="0"/>
        <w:overflowPunct w:val="0"/>
        <w:autoSpaceDE w:val="0"/>
        <w:autoSpaceDN w:val="0"/>
        <w:adjustRightInd w:val="0"/>
        <w:snapToGrid w:val="0"/>
        <w:spacing w:before="240" w:after="120"/>
        <w:ind w:left="0"/>
        <w:jc w:val="center"/>
        <w:outlineLvl w:val="0"/>
        <w:rPr>
          <w:rFonts w:asciiTheme="majorBidi" w:hAnsiTheme="majorBidi" w:cstheme="majorBidi"/>
          <w:b/>
          <w:snapToGrid w:val="0"/>
          <w:kern w:val="22"/>
          <w:szCs w:val="22"/>
        </w:rPr>
      </w:pPr>
      <w:r>
        <w:rPr>
          <w:rFonts w:asciiTheme="majorBidi" w:hAnsiTheme="majorBidi"/>
          <w:b/>
          <w:snapToGrid w:val="0"/>
          <w:szCs w:val="22"/>
        </w:rPr>
        <w:t>INTRODUCTION</w:t>
      </w:r>
    </w:p>
    <w:p w14:paraId="1C919BA9" w14:textId="494FA647" w:rsidR="00E660A5" w:rsidRDefault="002C6E47"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 xml:space="preserve">Au paragraphe 9 de </w:t>
      </w:r>
      <w:r w:rsidR="003874CB">
        <w:rPr>
          <w:rFonts w:asciiTheme="majorBidi" w:hAnsiTheme="majorBidi"/>
          <w:snapToGrid w:val="0"/>
          <w:szCs w:val="22"/>
        </w:rPr>
        <w:t xml:space="preserve">la </w:t>
      </w:r>
      <w:r w:rsidR="00E250F7">
        <w:rPr>
          <w:rFonts w:asciiTheme="majorBidi" w:hAnsiTheme="majorBidi"/>
          <w:snapToGrid w:val="0"/>
          <w:szCs w:val="22"/>
        </w:rPr>
        <w:t xml:space="preserve">décision 14/24 B, </w:t>
      </w:r>
      <w:r w:rsidR="003874CB">
        <w:rPr>
          <w:rFonts w:asciiTheme="majorBidi" w:hAnsiTheme="majorBidi"/>
          <w:snapToGrid w:val="0"/>
          <w:szCs w:val="22"/>
        </w:rPr>
        <w:t>la Conférence des Parties a demandé à l</w:t>
      </w:r>
      <w:r>
        <w:rPr>
          <w:rFonts w:asciiTheme="majorBidi" w:hAnsiTheme="majorBidi"/>
          <w:snapToGrid w:val="0"/>
          <w:szCs w:val="22"/>
        </w:rPr>
        <w:t>a Secrétaire exécutive d’élabor</w:t>
      </w:r>
      <w:r w:rsidR="00E250F7">
        <w:rPr>
          <w:rFonts w:asciiTheme="majorBidi" w:hAnsiTheme="majorBidi"/>
          <w:snapToGrid w:val="0"/>
          <w:szCs w:val="22"/>
        </w:rPr>
        <w:t>er des propositions concernant</w:t>
      </w:r>
      <w:r w:rsidR="003874CB">
        <w:rPr>
          <w:rFonts w:asciiTheme="majorBidi" w:hAnsiTheme="majorBidi"/>
          <w:snapToGrid w:val="0"/>
          <w:szCs w:val="22"/>
        </w:rPr>
        <w:t xml:space="preserve"> un </w:t>
      </w:r>
      <w:r w:rsidR="00E250F7">
        <w:rPr>
          <w:rFonts w:asciiTheme="majorBidi" w:hAnsiTheme="majorBidi"/>
          <w:snapToGrid w:val="0"/>
          <w:szCs w:val="22"/>
        </w:rPr>
        <w:t xml:space="preserve">processus inclusif pour examiner et </w:t>
      </w:r>
      <w:r w:rsidR="003874CB">
        <w:rPr>
          <w:rFonts w:asciiTheme="majorBidi" w:hAnsiTheme="majorBidi"/>
          <w:snapToGrid w:val="0"/>
          <w:szCs w:val="22"/>
        </w:rPr>
        <w:t>renouveler les programmes de coopération</w:t>
      </w:r>
      <w:r w:rsidR="00E250F7">
        <w:rPr>
          <w:rFonts w:asciiTheme="majorBidi" w:hAnsiTheme="majorBidi"/>
          <w:snapToGrid w:val="0"/>
          <w:szCs w:val="22"/>
        </w:rPr>
        <w:t xml:space="preserve"> technique et scientifique</w:t>
      </w:r>
      <w:r w:rsidR="001D2004">
        <w:rPr>
          <w:rStyle w:val="FootnoteReference"/>
          <w:rFonts w:asciiTheme="majorBidi" w:hAnsiTheme="majorBidi" w:cstheme="majorBidi"/>
          <w:snapToGrid w:val="0"/>
          <w:kern w:val="22"/>
          <w:szCs w:val="22"/>
          <w:lang w:val="en-CA"/>
        </w:rPr>
        <w:footnoteReference w:id="2"/>
      </w:r>
      <w:r w:rsidR="00E250F7" w:rsidRPr="00E250F7">
        <w:rPr>
          <w:rFonts w:asciiTheme="majorBidi" w:hAnsiTheme="majorBidi"/>
          <w:snapToGrid w:val="0"/>
          <w:szCs w:val="22"/>
          <w:lang w:val="fr-FR"/>
        </w:rPr>
        <w:t>,</w:t>
      </w:r>
      <w:r w:rsidR="00E250F7">
        <w:rPr>
          <w:rFonts w:asciiTheme="majorBidi" w:hAnsiTheme="majorBidi"/>
          <w:snapToGrid w:val="0"/>
          <w:szCs w:val="22"/>
        </w:rPr>
        <w:t xml:space="preserve"> en vue</w:t>
      </w:r>
      <w:r w:rsidR="003874CB">
        <w:rPr>
          <w:rFonts w:asciiTheme="majorBidi" w:hAnsiTheme="majorBidi"/>
          <w:snapToGrid w:val="0"/>
          <w:szCs w:val="22"/>
        </w:rPr>
        <w:t xml:space="preserve"> d’appuyer le cadre mondial de la biodiversité pour l’après-2020, et de prése</w:t>
      </w:r>
      <w:r w:rsidR="00E250F7">
        <w:rPr>
          <w:rFonts w:asciiTheme="majorBidi" w:hAnsiTheme="majorBidi"/>
          <w:snapToGrid w:val="0"/>
          <w:szCs w:val="22"/>
        </w:rPr>
        <w:t xml:space="preserve">nter ces propositions aux fins d’examen par </w:t>
      </w:r>
      <w:r w:rsidR="003874CB">
        <w:rPr>
          <w:rFonts w:asciiTheme="majorBidi" w:hAnsiTheme="majorBidi"/>
          <w:snapToGrid w:val="0"/>
          <w:szCs w:val="22"/>
        </w:rPr>
        <w:t>l’Organe subsidiaire chargé de fournir des avis scientifiques, techniques et technologiques et l’Organe subsidiaire chargé de l’application à leurs réunions qui se tiendront avant la quinzième réunion de la Conférence des Parties. En réponse à cette demande, la Secrétaire exécutive a élaboré les propositions et les a présentées dans les documents CBD/SBI/3/7/Add.2 et CBD/SBI</w:t>
      </w:r>
      <w:r w:rsidR="00E250F7">
        <w:rPr>
          <w:rFonts w:asciiTheme="majorBidi" w:hAnsiTheme="majorBidi"/>
          <w:snapToGrid w:val="0"/>
          <w:szCs w:val="22"/>
        </w:rPr>
        <w:t>/3/INF/15. A</w:t>
      </w:r>
      <w:r w:rsidR="003874CB">
        <w:rPr>
          <w:rFonts w:asciiTheme="majorBidi" w:hAnsiTheme="majorBidi"/>
          <w:snapToGrid w:val="0"/>
          <w:szCs w:val="22"/>
        </w:rPr>
        <w:t xml:space="preserve"> sa troisième réunion, l’Organe subsidiaire chargé de l’application </w:t>
      </w:r>
      <w:r w:rsidR="00E250F7">
        <w:rPr>
          <w:rFonts w:asciiTheme="majorBidi" w:hAnsiTheme="majorBidi"/>
          <w:snapToGrid w:val="0"/>
          <w:szCs w:val="22"/>
        </w:rPr>
        <w:t>a pris note des propositions concernant</w:t>
      </w:r>
      <w:r w:rsidR="003874CB">
        <w:rPr>
          <w:rFonts w:asciiTheme="majorBidi" w:hAnsiTheme="majorBidi"/>
          <w:snapToGrid w:val="0"/>
          <w:szCs w:val="22"/>
        </w:rPr>
        <w:t xml:space="preserve"> le processus d’examen et a prié la Sec</w:t>
      </w:r>
      <w:r w:rsidR="00E250F7">
        <w:rPr>
          <w:rFonts w:asciiTheme="majorBidi" w:hAnsiTheme="majorBidi"/>
          <w:snapToGrid w:val="0"/>
          <w:szCs w:val="22"/>
        </w:rPr>
        <w:t>r</w:t>
      </w:r>
      <w:r w:rsidR="001F37DF">
        <w:rPr>
          <w:rFonts w:asciiTheme="majorBidi" w:hAnsiTheme="majorBidi"/>
          <w:snapToGrid w:val="0"/>
          <w:szCs w:val="22"/>
        </w:rPr>
        <w:t xml:space="preserve">étaire exécutive de commander un tel </w:t>
      </w:r>
      <w:r w:rsidR="003874CB">
        <w:rPr>
          <w:rFonts w:asciiTheme="majorBidi" w:hAnsiTheme="majorBidi"/>
          <w:snapToGrid w:val="0"/>
          <w:szCs w:val="22"/>
        </w:rPr>
        <w:t>examen conformé</w:t>
      </w:r>
      <w:r w:rsidR="001F37DF">
        <w:rPr>
          <w:rFonts w:asciiTheme="majorBidi" w:hAnsiTheme="majorBidi"/>
          <w:snapToGrid w:val="0"/>
          <w:szCs w:val="22"/>
        </w:rPr>
        <w:t>ment au processus proposé, tel que</w:t>
      </w:r>
      <w:r w:rsidR="003874CB">
        <w:rPr>
          <w:rFonts w:asciiTheme="majorBidi" w:hAnsiTheme="majorBidi"/>
          <w:snapToGrid w:val="0"/>
          <w:szCs w:val="22"/>
        </w:rPr>
        <w:t xml:space="preserve"> décrit à l’annexe IV de la recommandation 3/</w:t>
      </w:r>
      <w:r w:rsidR="001F37DF">
        <w:rPr>
          <w:rFonts w:asciiTheme="majorBidi" w:hAnsiTheme="majorBidi"/>
          <w:snapToGrid w:val="0"/>
          <w:szCs w:val="22"/>
        </w:rPr>
        <w:t xml:space="preserve">8, et de présenter le rapport de cet </w:t>
      </w:r>
      <w:r w:rsidR="003874CB">
        <w:rPr>
          <w:rFonts w:asciiTheme="majorBidi" w:hAnsiTheme="majorBidi"/>
          <w:snapToGrid w:val="0"/>
          <w:szCs w:val="22"/>
        </w:rPr>
        <w:t>examen</w:t>
      </w:r>
      <w:r w:rsidR="001F37DF">
        <w:rPr>
          <w:rFonts w:asciiTheme="majorBidi" w:hAnsiTheme="majorBidi"/>
          <w:snapToGrid w:val="0"/>
          <w:szCs w:val="22"/>
        </w:rPr>
        <w:t xml:space="preserve"> pour que</w:t>
      </w:r>
      <w:r w:rsidR="003874CB">
        <w:rPr>
          <w:rFonts w:asciiTheme="majorBidi" w:hAnsiTheme="majorBidi"/>
          <w:snapToGrid w:val="0"/>
          <w:szCs w:val="22"/>
        </w:rPr>
        <w:t xml:space="preserve"> l</w:t>
      </w:r>
      <w:r w:rsidR="001F37DF">
        <w:rPr>
          <w:rFonts w:asciiTheme="majorBidi" w:hAnsiTheme="majorBidi"/>
          <w:snapToGrid w:val="0"/>
          <w:szCs w:val="22"/>
        </w:rPr>
        <w:t>a Conférence des Parties puisse l’examiner à</w:t>
      </w:r>
      <w:r w:rsidR="003874CB">
        <w:rPr>
          <w:rFonts w:asciiTheme="majorBidi" w:hAnsiTheme="majorBidi"/>
          <w:snapToGrid w:val="0"/>
          <w:szCs w:val="22"/>
        </w:rPr>
        <w:t xml:space="preserve"> sa quinzième réunion.</w:t>
      </w:r>
    </w:p>
    <w:p w14:paraId="08806DE7" w14:textId="7D749B33" w:rsidR="00BE3033" w:rsidRPr="00E660A5" w:rsidRDefault="00512806"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En conséquence, </w:t>
      </w:r>
      <w:r w:rsidR="001F37DF">
        <w:rPr>
          <w:rFonts w:asciiTheme="majorBidi" w:hAnsiTheme="majorBidi"/>
          <w:snapToGrid w:val="0"/>
        </w:rPr>
        <w:t>la Secrétaire exécutive, avec le</w:t>
      </w:r>
      <w:r>
        <w:rPr>
          <w:rFonts w:asciiTheme="majorBidi" w:hAnsiTheme="majorBidi"/>
          <w:snapToGrid w:val="0"/>
        </w:rPr>
        <w:t xml:space="preserve"> financement de la Républiq</w:t>
      </w:r>
      <w:r w:rsidR="001F37DF">
        <w:rPr>
          <w:rFonts w:asciiTheme="majorBidi" w:hAnsiTheme="majorBidi"/>
          <w:snapToGrid w:val="0"/>
        </w:rPr>
        <w:t xml:space="preserve">ue de Corée, a demandé à un groupe indépendant </w:t>
      </w:r>
      <w:r>
        <w:rPr>
          <w:rFonts w:asciiTheme="majorBidi" w:hAnsiTheme="majorBidi"/>
          <w:snapToGrid w:val="0"/>
        </w:rPr>
        <w:t xml:space="preserve">de trois </w:t>
      </w:r>
      <w:r w:rsidR="001F37DF">
        <w:rPr>
          <w:rFonts w:asciiTheme="majorBidi" w:hAnsiTheme="majorBidi"/>
          <w:snapToGrid w:val="0"/>
        </w:rPr>
        <w:t xml:space="preserve">experts, </w:t>
      </w:r>
      <w:r>
        <w:rPr>
          <w:rFonts w:asciiTheme="majorBidi" w:hAnsiTheme="majorBidi"/>
          <w:snapToGrid w:val="0"/>
        </w:rPr>
        <w:t>en juin 2022</w:t>
      </w:r>
      <w:r w:rsidR="001F37DF">
        <w:rPr>
          <w:rFonts w:asciiTheme="majorBidi" w:hAnsiTheme="majorBidi"/>
          <w:snapToGrid w:val="0"/>
        </w:rPr>
        <w:t>,</w:t>
      </w:r>
      <w:r>
        <w:rPr>
          <w:rFonts w:asciiTheme="majorBidi" w:hAnsiTheme="majorBidi"/>
          <w:snapToGrid w:val="0"/>
        </w:rPr>
        <w:t xml:space="preserve"> </w:t>
      </w:r>
      <w:r w:rsidR="001F37DF">
        <w:rPr>
          <w:rFonts w:asciiTheme="majorBidi" w:hAnsiTheme="majorBidi"/>
          <w:snapToGrid w:val="0"/>
        </w:rPr>
        <w:t>de</w:t>
      </w:r>
      <w:r>
        <w:rPr>
          <w:rFonts w:asciiTheme="majorBidi" w:hAnsiTheme="majorBidi"/>
          <w:snapToGrid w:val="0"/>
        </w:rPr>
        <w:t xml:space="preserve"> réaliser l’examen des programmes de coopération technique et scientifique. </w:t>
      </w:r>
      <w:r w:rsidR="001F37DF">
        <w:rPr>
          <w:rFonts w:asciiTheme="majorBidi" w:hAnsiTheme="majorBidi"/>
          <w:snapToGrid w:val="0"/>
          <w:szCs w:val="22"/>
        </w:rPr>
        <w:t>Le groupe d’experts</w:t>
      </w:r>
      <w:r>
        <w:rPr>
          <w:rFonts w:asciiTheme="majorBidi" w:hAnsiTheme="majorBidi"/>
          <w:snapToGrid w:val="0"/>
          <w:szCs w:val="22"/>
        </w:rPr>
        <w:t xml:space="preserve"> a procédé à une analyse stratégique de haut niveau des</w:t>
      </w:r>
      <w:r w:rsidR="001F37DF">
        <w:rPr>
          <w:rFonts w:asciiTheme="majorBidi" w:hAnsiTheme="majorBidi"/>
          <w:snapToGrid w:val="0"/>
          <w:szCs w:val="22"/>
        </w:rPr>
        <w:t xml:space="preserve"> programmes et initiatives dirig</w:t>
      </w:r>
      <w:r>
        <w:rPr>
          <w:rFonts w:asciiTheme="majorBidi" w:hAnsiTheme="majorBidi"/>
          <w:snapToGrid w:val="0"/>
          <w:szCs w:val="22"/>
        </w:rPr>
        <w:t>és par l</w:t>
      </w:r>
      <w:r w:rsidR="001F37DF">
        <w:rPr>
          <w:rFonts w:asciiTheme="majorBidi" w:hAnsiTheme="majorBidi"/>
          <w:snapToGrid w:val="0"/>
          <w:szCs w:val="22"/>
        </w:rPr>
        <w:t>e Secrétariat qui comprennent</w:t>
      </w:r>
      <w:r>
        <w:rPr>
          <w:rFonts w:asciiTheme="majorBidi" w:hAnsiTheme="majorBidi"/>
          <w:snapToGrid w:val="0"/>
          <w:szCs w:val="22"/>
        </w:rPr>
        <w:t xml:space="preserve"> des activités de coopération technique et scientifique, dans le but de déterminer les bonnes pratiques et les enseignements tirés et de formuler des </w:t>
      </w:r>
      <w:r w:rsidR="005F6507">
        <w:rPr>
          <w:rFonts w:asciiTheme="majorBidi" w:hAnsiTheme="majorBidi"/>
          <w:snapToGrid w:val="0"/>
          <w:szCs w:val="22"/>
        </w:rPr>
        <w:t xml:space="preserve">recommandations </w:t>
      </w:r>
      <w:r w:rsidR="005F6507">
        <w:t>visant</w:t>
      </w:r>
      <w:r>
        <w:rPr>
          <w:rFonts w:asciiTheme="majorBidi" w:hAnsiTheme="majorBidi"/>
        </w:rPr>
        <w:t xml:space="preserve"> à faciliter le renouvellement et le renforcement de la coopération technique et scientifique à l’appui du cadre mondial de la biodiversité pour l’après-2020. L’examen a porté sur les initiatives suivantes : l’Initiative Bio-Bridge, l’Initiative de restauration des écosystèmes, l’Initiative </w:t>
      </w:r>
      <w:r>
        <w:rPr>
          <w:rFonts w:asciiTheme="majorBidi" w:hAnsiTheme="majorBidi"/>
        </w:rPr>
        <w:lastRenderedPageBreak/>
        <w:t>pour des océans durables, l’</w:t>
      </w:r>
      <w:r w:rsidR="001F37DF">
        <w:rPr>
          <w:rFonts w:asciiTheme="majorBidi" w:hAnsiTheme="majorBidi"/>
        </w:rPr>
        <w:t>Initiative de dialogue pour la p</w:t>
      </w:r>
      <w:r>
        <w:rPr>
          <w:rFonts w:asciiTheme="majorBidi" w:hAnsiTheme="majorBidi"/>
        </w:rPr>
        <w:t>aix et la biodiversité et</w:t>
      </w:r>
      <w:r w:rsidR="001F37DF">
        <w:rPr>
          <w:rFonts w:asciiTheme="majorBidi" w:hAnsiTheme="majorBidi"/>
        </w:rPr>
        <w:t xml:space="preserve"> l’Initiative pour le renforcement des capacités en matière de prévention des risques biotechnologiques, a</w:t>
      </w:r>
      <w:r>
        <w:rPr>
          <w:rFonts w:asciiTheme="majorBidi" w:hAnsiTheme="majorBidi"/>
        </w:rPr>
        <w:t>insi que des programmes internationaux adoptés par la Conférence des Parties, y compris l’Initiative taxonomique mondiale et le programme de la St</w:t>
      </w:r>
      <w:r w:rsidR="001F37DF">
        <w:rPr>
          <w:rFonts w:asciiTheme="majorBidi" w:hAnsiTheme="majorBidi"/>
        </w:rPr>
        <w:t xml:space="preserve">ratégie mondiale </w:t>
      </w:r>
      <w:r>
        <w:rPr>
          <w:rFonts w:asciiTheme="majorBidi" w:hAnsiTheme="majorBidi"/>
        </w:rPr>
        <w:t>pour la conservation des plantes. Cet examen s’est également penché sur certaines des activités et certains des partenariats du Secrétariat qui favorisent la coopération technique et scientifique, notamment ses efforts visant à soutenir et accélérer le</w:t>
      </w:r>
      <w:r w:rsidR="00F47BDC">
        <w:rPr>
          <w:rFonts w:asciiTheme="majorBidi" w:hAnsiTheme="majorBidi"/>
        </w:rPr>
        <w:t>s travaux</w:t>
      </w:r>
      <w:r>
        <w:rPr>
          <w:rFonts w:asciiTheme="majorBidi" w:hAnsiTheme="majorBidi"/>
        </w:rPr>
        <w:t xml:space="preserve"> du Consortium de partenaires scientifiques sur la biodiversité et ses</w:t>
      </w:r>
      <w:r w:rsidR="00F47BDC">
        <w:rPr>
          <w:rFonts w:asciiTheme="majorBidi" w:hAnsiTheme="majorBidi"/>
        </w:rPr>
        <w:t xml:space="preserve"> institutions membres plus larges</w:t>
      </w:r>
      <w:r>
        <w:rPr>
          <w:rFonts w:asciiTheme="majorBidi" w:hAnsiTheme="majorBidi"/>
        </w:rPr>
        <w:t>.</w:t>
      </w:r>
    </w:p>
    <w:p w14:paraId="1FC3521D" w14:textId="27D65AB1" w:rsidR="00271661" w:rsidRPr="007C4E47" w:rsidRDefault="50F41C3C" w:rsidP="6F712D89">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rPr>
        <w:t>Le processus a inclus un examen sur dossier des rapports et documents pertinents, des entretiens ciblés avec les membres du p</w:t>
      </w:r>
      <w:r w:rsidR="00F47BDC">
        <w:rPr>
          <w:rFonts w:asciiTheme="majorBidi" w:hAnsiTheme="majorBidi"/>
        </w:rPr>
        <w:t>ersonnel du Secrétariat concernés</w:t>
      </w:r>
      <w:r>
        <w:rPr>
          <w:rFonts w:asciiTheme="majorBidi" w:hAnsiTheme="majorBidi"/>
        </w:rPr>
        <w:t>, et l’ana</w:t>
      </w:r>
      <w:r w:rsidR="00F47BDC">
        <w:rPr>
          <w:rFonts w:asciiTheme="majorBidi" w:hAnsiTheme="majorBidi"/>
        </w:rPr>
        <w:t>lyse d’un questionnaire distribué</w:t>
      </w:r>
      <w:r>
        <w:rPr>
          <w:rFonts w:asciiTheme="majorBidi" w:hAnsiTheme="majorBidi"/>
        </w:rPr>
        <w:t xml:space="preserve"> aux Parties et aux autres parties prenantes par le Secrétariat. Dans la mesure du possible, l’examen a tenu compte des renseignements fournis par les Parties, les peuples autochtones et les communautés locales, les femmes et les jeunes, les non-Parties et les autres parties prenantes concernées, ainsi que des rapports et des </w:t>
      </w:r>
      <w:r w:rsidR="00F47BDC">
        <w:rPr>
          <w:rFonts w:asciiTheme="majorBidi" w:hAnsiTheme="majorBidi"/>
        </w:rPr>
        <w:t>études de cas sur les travaux liés à la</w:t>
      </w:r>
      <w:r>
        <w:rPr>
          <w:rFonts w:asciiTheme="majorBidi" w:hAnsiTheme="majorBidi"/>
        </w:rPr>
        <w:t xml:space="preserve"> coopération technique et scien</w:t>
      </w:r>
      <w:r w:rsidR="00F47BDC">
        <w:rPr>
          <w:rFonts w:asciiTheme="majorBidi" w:hAnsiTheme="majorBidi"/>
        </w:rPr>
        <w:t>tifique effectués dans le cadre</w:t>
      </w:r>
      <w:r>
        <w:rPr>
          <w:rFonts w:asciiTheme="majorBidi" w:hAnsiTheme="majorBidi"/>
        </w:rPr>
        <w:t xml:space="preserve"> d’autres conventions et processus, notamment un examen</w:t>
      </w:r>
      <w:r w:rsidR="00F47BDC">
        <w:rPr>
          <w:rFonts w:asciiTheme="majorBidi" w:hAnsiTheme="majorBidi"/>
        </w:rPr>
        <w:t xml:space="preserve"> de la mise en œuvre du Centre et r</w:t>
      </w:r>
      <w:r>
        <w:rPr>
          <w:rFonts w:asciiTheme="majorBidi" w:hAnsiTheme="majorBidi"/>
        </w:rPr>
        <w:t>éseau des t</w:t>
      </w:r>
      <w:r w:rsidR="00F47BDC">
        <w:rPr>
          <w:rFonts w:asciiTheme="majorBidi" w:hAnsiTheme="majorBidi"/>
        </w:rPr>
        <w:t>echnologies climatiques au titre</w:t>
      </w:r>
      <w:r>
        <w:rPr>
          <w:rFonts w:asciiTheme="majorBidi" w:hAnsiTheme="majorBidi"/>
        </w:rPr>
        <w:t xml:space="preserve"> de la Convention-cadre des Nations Unies sur les changements climatiques.</w:t>
      </w:r>
      <w:r>
        <w:rPr>
          <w:rFonts w:asciiTheme="majorBidi" w:hAnsiTheme="majorBidi"/>
          <w:snapToGrid w:val="0"/>
        </w:rPr>
        <w:t xml:space="preserve"> </w:t>
      </w:r>
    </w:p>
    <w:p w14:paraId="1211B476" w14:textId="66BDED77" w:rsidR="00271661" w:rsidRPr="007C4E47" w:rsidRDefault="00F47BDC" w:rsidP="00B83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La partie</w:t>
      </w:r>
      <w:r w:rsidR="00FA2016">
        <w:rPr>
          <w:rFonts w:asciiTheme="majorBidi" w:hAnsiTheme="majorBidi"/>
          <w:snapToGrid w:val="0"/>
        </w:rPr>
        <w:t xml:space="preserve"> I de la présente note </w:t>
      </w:r>
      <w:r w:rsidR="00FA2016">
        <w:rPr>
          <w:rFonts w:asciiTheme="majorBidi" w:hAnsiTheme="majorBidi"/>
        </w:rPr>
        <w:t>fournit un résumé des princ</w:t>
      </w:r>
      <w:r>
        <w:rPr>
          <w:rFonts w:asciiTheme="majorBidi" w:hAnsiTheme="majorBidi"/>
        </w:rPr>
        <w:t>ipales conclusions. La partie</w:t>
      </w:r>
      <w:r w:rsidR="00FA2016">
        <w:rPr>
          <w:rFonts w:asciiTheme="majorBidi" w:hAnsiTheme="majorBidi"/>
        </w:rPr>
        <w:t> II présente des</w:t>
      </w:r>
      <w:r>
        <w:rPr>
          <w:rFonts w:asciiTheme="majorBidi" w:hAnsiTheme="majorBidi"/>
        </w:rPr>
        <w:t xml:space="preserve"> propositions concernant</w:t>
      </w:r>
      <w:r w:rsidR="00FA2016">
        <w:rPr>
          <w:rFonts w:asciiTheme="majorBidi" w:hAnsiTheme="majorBidi"/>
        </w:rPr>
        <w:t xml:space="preserve"> le renouvellement et le renforcement possibles des programmes de coopération technique et scientifique, y compris les principales recomma</w:t>
      </w:r>
      <w:r>
        <w:rPr>
          <w:rFonts w:asciiTheme="majorBidi" w:hAnsiTheme="majorBidi"/>
        </w:rPr>
        <w:t>ndations de l’examen. La partie</w:t>
      </w:r>
      <w:r w:rsidR="00FA2016">
        <w:rPr>
          <w:rFonts w:asciiTheme="majorBidi" w:hAnsiTheme="majorBidi"/>
        </w:rPr>
        <w:t> III fournit des considérations sup</w:t>
      </w:r>
      <w:r>
        <w:rPr>
          <w:rFonts w:asciiTheme="majorBidi" w:hAnsiTheme="majorBidi"/>
        </w:rPr>
        <w:t xml:space="preserve">plémentaires pour </w:t>
      </w:r>
      <w:r w:rsidR="00FA2016">
        <w:rPr>
          <w:rFonts w:asciiTheme="majorBidi" w:hAnsiTheme="majorBidi"/>
        </w:rPr>
        <w:t>aborder les éléments proposés à l</w:t>
      </w:r>
      <w:r>
        <w:rPr>
          <w:rFonts w:asciiTheme="majorBidi" w:hAnsiTheme="majorBidi"/>
        </w:rPr>
        <w:t>’annexe IV de la recommandation </w:t>
      </w:r>
      <w:r w:rsidR="00FA2016">
        <w:rPr>
          <w:rFonts w:asciiTheme="majorBidi" w:hAnsiTheme="majorBidi"/>
        </w:rPr>
        <w:t>3/8 de l’</w:t>
      </w:r>
      <w:r w:rsidR="0013681D">
        <w:rPr>
          <w:rFonts w:asciiTheme="majorBidi" w:hAnsiTheme="majorBidi"/>
        </w:rPr>
        <w:t>Organe subsidiaire</w:t>
      </w:r>
      <w:r w:rsidR="00FA2016">
        <w:rPr>
          <w:rFonts w:asciiTheme="majorBidi" w:hAnsiTheme="majorBidi"/>
        </w:rPr>
        <w:t xml:space="preserve"> chargé de</w:t>
      </w:r>
      <w:r>
        <w:rPr>
          <w:rFonts w:asciiTheme="majorBidi" w:hAnsiTheme="majorBidi"/>
        </w:rPr>
        <w:t xml:space="preserve"> l’application. Enfin, la partie</w:t>
      </w:r>
      <w:r w:rsidR="00FA2016">
        <w:rPr>
          <w:rFonts w:asciiTheme="majorBidi" w:hAnsiTheme="majorBidi"/>
        </w:rPr>
        <w:t xml:space="preserve"> IV présente une </w:t>
      </w:r>
      <w:r>
        <w:rPr>
          <w:rFonts w:asciiTheme="majorBidi" w:hAnsiTheme="majorBidi"/>
        </w:rPr>
        <w:t xml:space="preserve">conclusion et une éventuelle voie </w:t>
      </w:r>
      <w:r w:rsidR="00FA2016">
        <w:rPr>
          <w:rFonts w:asciiTheme="majorBidi" w:hAnsiTheme="majorBidi"/>
        </w:rPr>
        <w:t>à suivre. Le</w:t>
      </w:r>
      <w:r>
        <w:rPr>
          <w:rFonts w:asciiTheme="majorBidi" w:hAnsiTheme="majorBidi"/>
        </w:rPr>
        <w:t xml:space="preserve"> rapport d’examen complet établi</w:t>
      </w:r>
      <w:r w:rsidR="00FA2016">
        <w:rPr>
          <w:rFonts w:asciiTheme="majorBidi" w:hAnsiTheme="majorBidi"/>
        </w:rPr>
        <w:t xml:space="preserve"> par l’équipe d’e</w:t>
      </w:r>
      <w:r>
        <w:rPr>
          <w:rFonts w:asciiTheme="majorBidi" w:hAnsiTheme="majorBidi"/>
        </w:rPr>
        <w:t>xperts indépendants est disponib</w:t>
      </w:r>
      <w:r w:rsidR="00FA2016">
        <w:rPr>
          <w:rFonts w:asciiTheme="majorBidi" w:hAnsiTheme="majorBidi"/>
        </w:rPr>
        <w:t xml:space="preserve">le dans le document CBD/COP/15/INF/6. </w:t>
      </w:r>
    </w:p>
    <w:p w14:paraId="0727913E" w14:textId="240D3030" w:rsidR="00AC0588" w:rsidRPr="007C4E47" w:rsidRDefault="003F09AC" w:rsidP="00F24717">
      <w:pPr>
        <w:pStyle w:val="Heading1"/>
        <w:numPr>
          <w:ilvl w:val="0"/>
          <w:numId w:val="25"/>
        </w:numPr>
        <w:rPr>
          <w:snapToGrid w:val="0"/>
        </w:rPr>
      </w:pPr>
      <w:r>
        <w:rPr>
          <w:snapToGrid w:val="0"/>
        </w:rPr>
        <w:t>RÉSUMÉ DES PRINCIPALES CONCLUSIONS DE L’EXAMEN</w:t>
      </w:r>
    </w:p>
    <w:p w14:paraId="57FD52AC" w14:textId="701FEBED" w:rsidR="005D56EB" w:rsidRPr="00622A74" w:rsidRDefault="006E0795" w:rsidP="00622A74">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Cette</w:t>
      </w:r>
      <w:r w:rsidR="00F47BDC">
        <w:rPr>
          <w:rFonts w:asciiTheme="majorBidi" w:hAnsiTheme="majorBidi"/>
          <w:snapToGrid w:val="0"/>
        </w:rPr>
        <w:t xml:space="preserve"> partie</w:t>
      </w:r>
      <w:r>
        <w:rPr>
          <w:rFonts w:asciiTheme="majorBidi" w:hAnsiTheme="majorBidi"/>
          <w:snapToGrid w:val="0"/>
        </w:rPr>
        <w:t xml:space="preserve"> </w:t>
      </w:r>
      <w:r w:rsidR="005D56EB">
        <w:rPr>
          <w:rFonts w:asciiTheme="majorBidi" w:hAnsiTheme="majorBidi"/>
          <w:snapToGrid w:val="0"/>
        </w:rPr>
        <w:t>présente un résumé des principales conclusions de l’examen, orga</w:t>
      </w:r>
      <w:r w:rsidR="00F47BDC">
        <w:rPr>
          <w:rFonts w:asciiTheme="majorBidi" w:hAnsiTheme="majorBidi"/>
          <w:snapToGrid w:val="0"/>
        </w:rPr>
        <w:t>nisé en deux sous-partie</w:t>
      </w:r>
      <w:r w:rsidR="005D56EB">
        <w:rPr>
          <w:rFonts w:asciiTheme="majorBidi" w:hAnsiTheme="majorBidi"/>
          <w:snapToGrid w:val="0"/>
        </w:rPr>
        <w:t>s.</w:t>
      </w:r>
      <w:r w:rsidR="005D56EB">
        <w:rPr>
          <w:rFonts w:asciiTheme="majorBidi" w:hAnsiTheme="majorBidi"/>
          <w:snapToGrid w:val="0"/>
          <w:szCs w:val="22"/>
        </w:rPr>
        <w:t xml:space="preserve"> </w:t>
      </w:r>
      <w:r w:rsidR="00F47BDC">
        <w:rPr>
          <w:rFonts w:asciiTheme="majorBidi" w:hAnsiTheme="majorBidi"/>
          <w:snapToGrid w:val="0"/>
        </w:rPr>
        <w:t>La sous-partie</w:t>
      </w:r>
      <w:r w:rsidR="005D56EB">
        <w:rPr>
          <w:rFonts w:asciiTheme="majorBidi" w:hAnsiTheme="majorBidi"/>
          <w:snapToGrid w:val="0"/>
        </w:rPr>
        <w:t xml:space="preserve"> A décrit les aspects des programmes actuels de coopération technique et scientifique en vertu de la Convention et de ses Protocoles qui ont obtenu d</w:t>
      </w:r>
      <w:r w:rsidR="00F47BDC">
        <w:rPr>
          <w:rFonts w:asciiTheme="majorBidi" w:hAnsiTheme="majorBidi"/>
          <w:snapToGrid w:val="0"/>
        </w:rPr>
        <w:t>es résultats probants, y compris</w:t>
      </w:r>
      <w:r w:rsidR="005D56EB">
        <w:rPr>
          <w:rFonts w:asciiTheme="majorBidi" w:hAnsiTheme="majorBidi"/>
          <w:snapToGrid w:val="0"/>
        </w:rPr>
        <w:t xml:space="preserve"> les facteurs clés de réussite, les bonnes pratiques et les </w:t>
      </w:r>
      <w:r w:rsidR="005D56EB">
        <w:rPr>
          <w:rFonts w:asciiTheme="majorBidi" w:hAnsiTheme="majorBidi"/>
        </w:rPr>
        <w:t>enseignements tirés. L</w:t>
      </w:r>
      <w:r w:rsidR="00F47BDC">
        <w:rPr>
          <w:rFonts w:asciiTheme="majorBidi" w:hAnsiTheme="majorBidi"/>
          <w:snapToGrid w:val="0"/>
          <w:szCs w:val="22"/>
        </w:rPr>
        <w:t>a sous-partie</w:t>
      </w:r>
      <w:r w:rsidR="005D56EB">
        <w:rPr>
          <w:rFonts w:asciiTheme="majorBidi" w:hAnsiTheme="majorBidi"/>
          <w:snapToGrid w:val="0"/>
          <w:szCs w:val="22"/>
        </w:rPr>
        <w:t xml:space="preserve"> B présente les aspects qui n’ont pas </w:t>
      </w:r>
      <w:r>
        <w:rPr>
          <w:rFonts w:asciiTheme="majorBidi" w:hAnsiTheme="majorBidi"/>
          <w:snapToGrid w:val="0"/>
          <w:szCs w:val="22"/>
        </w:rPr>
        <w:t>été concluants</w:t>
      </w:r>
      <w:r w:rsidR="00F47BDC">
        <w:rPr>
          <w:rFonts w:asciiTheme="majorBidi" w:hAnsiTheme="majorBidi"/>
          <w:snapToGrid w:val="0"/>
          <w:szCs w:val="22"/>
        </w:rPr>
        <w:t>, y compris</w:t>
      </w:r>
      <w:r w:rsidR="005D56EB">
        <w:rPr>
          <w:rFonts w:asciiTheme="majorBidi" w:hAnsiTheme="majorBidi"/>
          <w:snapToGrid w:val="0"/>
          <w:szCs w:val="22"/>
        </w:rPr>
        <w:t xml:space="preserve"> les</w:t>
      </w:r>
      <w:r w:rsidR="00F47BDC">
        <w:rPr>
          <w:rFonts w:asciiTheme="majorBidi" w:hAnsiTheme="majorBidi"/>
          <w:snapToGrid w:val="0"/>
          <w:szCs w:val="22"/>
        </w:rPr>
        <w:t xml:space="preserve"> principales faiblesses et dif</w:t>
      </w:r>
      <w:r>
        <w:rPr>
          <w:rFonts w:asciiTheme="majorBidi" w:hAnsiTheme="majorBidi"/>
          <w:snapToGrid w:val="0"/>
          <w:szCs w:val="22"/>
        </w:rPr>
        <w:t>ficultés qui doivent être abordées de façon urgent</w:t>
      </w:r>
      <w:r w:rsidR="00F47BDC">
        <w:rPr>
          <w:rFonts w:asciiTheme="majorBidi" w:hAnsiTheme="majorBidi"/>
          <w:snapToGrid w:val="0"/>
          <w:szCs w:val="22"/>
        </w:rPr>
        <w:t>e</w:t>
      </w:r>
      <w:r w:rsidR="005D56EB">
        <w:rPr>
          <w:rFonts w:asciiTheme="majorBidi" w:hAnsiTheme="majorBidi"/>
          <w:snapToGrid w:val="0"/>
          <w:szCs w:val="22"/>
        </w:rPr>
        <w:t xml:space="preserve">. </w:t>
      </w:r>
    </w:p>
    <w:p w14:paraId="5D7F4E86" w14:textId="6478E777" w:rsidR="00C113D3" w:rsidRPr="00622A74" w:rsidRDefault="00622A74" w:rsidP="00F24717">
      <w:pPr>
        <w:pStyle w:val="Heading2"/>
        <w:numPr>
          <w:ilvl w:val="0"/>
          <w:numId w:val="26"/>
        </w:numPr>
        <w:rPr>
          <w:snapToGrid w:val="0"/>
        </w:rPr>
      </w:pPr>
      <w:r>
        <w:rPr>
          <w:snapToGrid w:val="0"/>
        </w:rPr>
        <w:t>Éléments qui ont obtenu des résultats probants</w:t>
      </w:r>
    </w:p>
    <w:p w14:paraId="282F11DF" w14:textId="10E89D4D" w:rsidR="004005BB" w:rsidRDefault="006E2C0F" w:rsidP="0058655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L’examen a révélé que dans l’ensemble, les Parties et les parties prenantes considèrent la coopération technique e</w:t>
      </w:r>
      <w:r w:rsidR="00F47BDC">
        <w:rPr>
          <w:rFonts w:asciiTheme="majorBidi" w:hAnsiTheme="majorBidi"/>
          <w:snapToGrid w:val="0"/>
        </w:rPr>
        <w:t>t scientifique comme un moyen pertinent</w:t>
      </w:r>
      <w:r w:rsidR="001262CA">
        <w:rPr>
          <w:rFonts w:asciiTheme="majorBidi" w:hAnsiTheme="majorBidi"/>
          <w:snapToGrid w:val="0"/>
        </w:rPr>
        <w:t xml:space="preserve"> et important pour assurer l’</w:t>
      </w:r>
      <w:r w:rsidR="00F47BDC">
        <w:rPr>
          <w:rFonts w:asciiTheme="majorBidi" w:hAnsiTheme="majorBidi"/>
          <w:snapToGrid w:val="0"/>
        </w:rPr>
        <w:t>application</w:t>
      </w:r>
      <w:r>
        <w:rPr>
          <w:rFonts w:asciiTheme="majorBidi" w:hAnsiTheme="majorBidi"/>
          <w:snapToGrid w:val="0"/>
        </w:rPr>
        <w:t xml:space="preserve"> de la Convention et de ses Protocoles.</w:t>
      </w:r>
      <w:r>
        <w:rPr>
          <w:rFonts w:asciiTheme="majorBidi" w:hAnsiTheme="majorBidi"/>
          <w:snapToGrid w:val="0"/>
          <w:szCs w:val="22"/>
        </w:rPr>
        <w:t xml:space="preserve"> </w:t>
      </w:r>
      <w:r>
        <w:rPr>
          <w:rFonts w:asciiTheme="majorBidi" w:hAnsiTheme="majorBidi"/>
          <w:snapToGrid w:val="0"/>
        </w:rPr>
        <w:t>Selon les résultats du questionnaire, une majorité des répondants ont indiqué que les activités et programmes de coopération technique et scientifique auxquels ils ont pris part avaient été très utiles et</w:t>
      </w:r>
      <w:r w:rsidR="001262CA">
        <w:rPr>
          <w:rFonts w:asciiTheme="majorBidi" w:hAnsiTheme="majorBidi"/>
          <w:snapToGrid w:val="0"/>
        </w:rPr>
        <w:t xml:space="preserve"> hautement </w:t>
      </w:r>
      <w:r w:rsidR="00F47BDC">
        <w:rPr>
          <w:rFonts w:asciiTheme="majorBidi" w:hAnsiTheme="majorBidi"/>
          <w:snapToGrid w:val="0"/>
        </w:rPr>
        <w:t>pertinents. D’autre part</w:t>
      </w:r>
      <w:r>
        <w:rPr>
          <w:rFonts w:asciiTheme="majorBidi" w:hAnsiTheme="majorBidi"/>
          <w:snapToGrid w:val="0"/>
        </w:rPr>
        <w:t>, plus de 70 pour cent des répondants estimaient que de nouveaux investissements étaient nécessaires pour promouvoir et permettre la coopération technique et scientifique dans le but de soutenir le cadre mondial de la biodiversité pour l’après-2020.</w:t>
      </w:r>
    </w:p>
    <w:p w14:paraId="7FD5B17D" w14:textId="4A753A6D" w:rsidR="00586553" w:rsidRPr="00CA2698" w:rsidRDefault="00C113D3" w:rsidP="00CA2698">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 xml:space="preserve">L’examen a également montré que la prestation des activités, programmes et initiatives de coopération technique et scientifique dans le cadre de la Convention et de ses Protocoles s’est améliorée au fil du temps. Parmi les principaux facteurs de réussite, citons l’adoption d’une approche centrée sur les personnes qui met l’accent sur la création et le renforcement des compétences et capacités des personnes et </w:t>
      </w:r>
      <w:r w:rsidR="001262CA">
        <w:rPr>
          <w:rFonts w:asciiTheme="majorBidi" w:hAnsiTheme="majorBidi"/>
          <w:snapToGrid w:val="0"/>
          <w:szCs w:val="22"/>
        </w:rPr>
        <w:t>institutions chargées</w:t>
      </w:r>
      <w:r>
        <w:rPr>
          <w:rFonts w:asciiTheme="majorBidi" w:hAnsiTheme="majorBidi"/>
          <w:snapToGrid w:val="0"/>
          <w:szCs w:val="22"/>
        </w:rPr>
        <w:t xml:space="preserve"> de la mise en œuvre des activités, programmes et initiatives sur le terrain. La création de partenariats </w:t>
      </w:r>
      <w:r w:rsidR="0064507B">
        <w:rPr>
          <w:rFonts w:asciiTheme="majorBidi" w:hAnsiTheme="majorBidi"/>
          <w:snapToGrid w:val="0"/>
          <w:szCs w:val="22"/>
        </w:rPr>
        <w:t>aux</w:t>
      </w:r>
      <w:r w:rsidR="001262CA">
        <w:rPr>
          <w:rFonts w:asciiTheme="majorBidi" w:hAnsiTheme="majorBidi"/>
          <w:snapToGrid w:val="0"/>
          <w:szCs w:val="22"/>
        </w:rPr>
        <w:t xml:space="preserve"> niveaux mondial, régional</w:t>
      </w:r>
      <w:r>
        <w:rPr>
          <w:rFonts w:asciiTheme="majorBidi" w:hAnsiTheme="majorBidi"/>
          <w:snapToGrid w:val="0"/>
          <w:szCs w:val="22"/>
        </w:rPr>
        <w:t xml:space="preserve"> et national a été une autre bonne pratique. </w:t>
      </w:r>
    </w:p>
    <w:p w14:paraId="06BDC6B9" w14:textId="4810232B" w:rsidR="00586553" w:rsidRPr="006F5C4E" w:rsidRDefault="00843687" w:rsidP="006F5C4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Les Parties et les parties prenantes concernées ont trouvé certaines approches de coopération technique et scientifique particulièrement e</w:t>
      </w:r>
      <w:r w:rsidR="001262CA">
        <w:rPr>
          <w:rFonts w:asciiTheme="majorBidi" w:hAnsiTheme="majorBidi"/>
          <w:snapToGrid w:val="0"/>
          <w:szCs w:val="22"/>
        </w:rPr>
        <w:t>fficaces. Ces approches inclu</w:t>
      </w:r>
      <w:r>
        <w:rPr>
          <w:rFonts w:asciiTheme="majorBidi" w:hAnsiTheme="majorBidi"/>
          <w:snapToGrid w:val="0"/>
          <w:szCs w:val="22"/>
        </w:rPr>
        <w:t>ent les activités de formation conjointe</w:t>
      </w:r>
      <w:r w:rsidR="001262CA">
        <w:rPr>
          <w:rFonts w:asciiTheme="majorBidi" w:hAnsiTheme="majorBidi"/>
          <w:snapToGrid w:val="0"/>
          <w:szCs w:val="22"/>
        </w:rPr>
        <w:t>s</w:t>
      </w:r>
      <w:r>
        <w:rPr>
          <w:rFonts w:asciiTheme="majorBidi" w:hAnsiTheme="majorBidi"/>
          <w:snapToGrid w:val="0"/>
          <w:szCs w:val="22"/>
        </w:rPr>
        <w:t xml:space="preserve">, le transfert de connaissances entre pairs, </w:t>
      </w:r>
      <w:r w:rsidR="001262CA">
        <w:rPr>
          <w:rFonts w:asciiTheme="majorBidi" w:hAnsiTheme="majorBidi"/>
          <w:snapToGrid w:val="0"/>
          <w:szCs w:val="22"/>
        </w:rPr>
        <w:t xml:space="preserve">la création de partenariats et de réseaux, </w:t>
      </w:r>
      <w:r>
        <w:rPr>
          <w:rFonts w:asciiTheme="majorBidi" w:hAnsiTheme="majorBidi"/>
          <w:snapToGrid w:val="0"/>
          <w:szCs w:val="22"/>
        </w:rPr>
        <w:t xml:space="preserve">l’échange </w:t>
      </w:r>
      <w:r>
        <w:rPr>
          <w:rFonts w:asciiTheme="majorBidi" w:hAnsiTheme="majorBidi"/>
          <w:snapToGrid w:val="0"/>
          <w:szCs w:val="22"/>
        </w:rPr>
        <w:lastRenderedPageBreak/>
        <w:t>d’experts, les programmes conjoints de dével</w:t>
      </w:r>
      <w:r w:rsidR="001262CA">
        <w:rPr>
          <w:rFonts w:asciiTheme="majorBidi" w:hAnsiTheme="majorBidi"/>
          <w:snapToGrid w:val="0"/>
          <w:szCs w:val="22"/>
        </w:rPr>
        <w:t xml:space="preserve">oppement de la recherche et de </w:t>
      </w:r>
      <w:r>
        <w:rPr>
          <w:rFonts w:asciiTheme="majorBidi" w:hAnsiTheme="majorBidi"/>
          <w:snapToGrid w:val="0"/>
          <w:szCs w:val="22"/>
        </w:rPr>
        <w:t>technologies</w:t>
      </w:r>
      <w:r w:rsidR="001262CA">
        <w:rPr>
          <w:rFonts w:asciiTheme="majorBidi" w:hAnsiTheme="majorBidi"/>
          <w:snapToGrid w:val="0"/>
          <w:szCs w:val="22"/>
        </w:rPr>
        <w:t>,</w:t>
      </w:r>
      <w:r>
        <w:rPr>
          <w:rFonts w:asciiTheme="majorBidi" w:hAnsiTheme="majorBidi"/>
          <w:snapToGrid w:val="0"/>
          <w:szCs w:val="22"/>
        </w:rPr>
        <w:t xml:space="preserve"> et les voyages d’études internationaux. </w:t>
      </w:r>
    </w:p>
    <w:p w14:paraId="72E8D7AC" w14:textId="5D7648D9" w:rsidR="00951C61" w:rsidRPr="001C0196" w:rsidRDefault="001262CA" w:rsidP="001C0196">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szCs w:val="22"/>
        </w:rPr>
        <w:t>En ce qui concerne les</w:t>
      </w:r>
      <w:r w:rsidR="00C113D3">
        <w:rPr>
          <w:rFonts w:asciiTheme="majorBidi" w:hAnsiTheme="majorBidi"/>
          <w:snapToGrid w:val="0"/>
          <w:szCs w:val="22"/>
        </w:rPr>
        <w:t xml:space="preserve"> approches globales en matière de coopération technique et scientifique, l’examen a révélé que l</w:t>
      </w:r>
      <w:r>
        <w:rPr>
          <w:rFonts w:asciiTheme="majorBidi" w:hAnsiTheme="majorBidi"/>
          <w:snapToGrid w:val="0"/>
          <w:szCs w:val="22"/>
        </w:rPr>
        <w:t>es mécanismes régionaux et infra</w:t>
      </w:r>
      <w:r w:rsidR="00C113D3">
        <w:rPr>
          <w:rFonts w:asciiTheme="majorBidi" w:hAnsiTheme="majorBidi"/>
          <w:snapToGrid w:val="0"/>
          <w:szCs w:val="22"/>
        </w:rPr>
        <w:t>régionaux présentent plusieurs avantages par rapport aux mécanismes mondiaux, not</w:t>
      </w:r>
      <w:r>
        <w:rPr>
          <w:rFonts w:asciiTheme="majorBidi" w:hAnsiTheme="majorBidi"/>
          <w:snapToGrid w:val="0"/>
          <w:szCs w:val="22"/>
        </w:rPr>
        <w:t>amment le fait qu’ils : atteigne</w:t>
      </w:r>
      <w:r w:rsidR="00C113D3">
        <w:rPr>
          <w:rFonts w:asciiTheme="majorBidi" w:hAnsiTheme="majorBidi"/>
          <w:snapToGrid w:val="0"/>
          <w:szCs w:val="22"/>
        </w:rPr>
        <w:t>nt un pl</w:t>
      </w:r>
      <w:r>
        <w:rPr>
          <w:rFonts w:asciiTheme="majorBidi" w:hAnsiTheme="majorBidi"/>
          <w:snapToGrid w:val="0"/>
          <w:szCs w:val="22"/>
        </w:rPr>
        <w:t>us grand nombre de publics ciblé</w:t>
      </w:r>
      <w:r w:rsidR="00C113D3">
        <w:rPr>
          <w:rFonts w:asciiTheme="majorBidi" w:hAnsiTheme="majorBidi"/>
          <w:snapToGrid w:val="0"/>
          <w:szCs w:val="22"/>
        </w:rPr>
        <w:t>s (notamment les peuples autochton</w:t>
      </w:r>
      <w:r>
        <w:rPr>
          <w:rFonts w:asciiTheme="majorBidi" w:hAnsiTheme="majorBidi"/>
          <w:snapToGrid w:val="0"/>
          <w:szCs w:val="22"/>
        </w:rPr>
        <w:t>es et les communautés locales)</w:t>
      </w:r>
      <w:r w:rsidR="00C113D3">
        <w:rPr>
          <w:rFonts w:asciiTheme="majorBidi" w:hAnsiTheme="majorBidi"/>
          <w:snapToGrid w:val="0"/>
          <w:szCs w:val="22"/>
        </w:rPr>
        <w:t xml:space="preserve">; adaptent et ciblent mieux le renforcement des connaissances et des capacités </w:t>
      </w:r>
      <w:r>
        <w:rPr>
          <w:rFonts w:asciiTheme="majorBidi" w:hAnsiTheme="majorBidi"/>
          <w:snapToGrid w:val="0"/>
          <w:szCs w:val="22"/>
        </w:rPr>
        <w:t>aux besoins nationaux et locaux; promeuvent d</w:t>
      </w:r>
      <w:r w:rsidR="00C113D3">
        <w:rPr>
          <w:rFonts w:asciiTheme="majorBidi" w:hAnsiTheme="majorBidi"/>
          <w:snapToGrid w:val="0"/>
          <w:szCs w:val="22"/>
        </w:rPr>
        <w:t>es initiatives p</w:t>
      </w:r>
      <w:r>
        <w:rPr>
          <w:rFonts w:asciiTheme="majorBidi" w:hAnsiTheme="majorBidi"/>
          <w:snapToGrid w:val="0"/>
          <w:szCs w:val="22"/>
        </w:rPr>
        <w:t xml:space="preserve">lus durables et </w:t>
      </w:r>
      <w:r w:rsidR="00C113D3">
        <w:rPr>
          <w:rFonts w:asciiTheme="majorBidi" w:hAnsiTheme="majorBidi"/>
          <w:snapToGrid w:val="0"/>
          <w:szCs w:val="22"/>
        </w:rPr>
        <w:t xml:space="preserve">à </w:t>
      </w:r>
      <w:r>
        <w:rPr>
          <w:rFonts w:asciiTheme="majorBidi" w:hAnsiTheme="majorBidi"/>
          <w:snapToGrid w:val="0"/>
          <w:szCs w:val="22"/>
        </w:rPr>
        <w:t>plus long terme</w:t>
      </w:r>
      <w:r w:rsidR="00C113D3">
        <w:rPr>
          <w:rFonts w:asciiTheme="majorBidi" w:hAnsiTheme="majorBidi"/>
          <w:snapToGrid w:val="0"/>
          <w:szCs w:val="22"/>
        </w:rPr>
        <w:t>;</w:t>
      </w:r>
      <w:r>
        <w:rPr>
          <w:rFonts w:asciiTheme="majorBidi" w:hAnsiTheme="majorBidi"/>
          <w:snapToGrid w:val="0"/>
          <w:szCs w:val="22"/>
        </w:rPr>
        <w:t xml:space="preserve"> favorisent le développement de</w:t>
      </w:r>
      <w:r w:rsidR="00C113D3">
        <w:rPr>
          <w:rFonts w:asciiTheme="majorBidi" w:hAnsiTheme="majorBidi"/>
          <w:snapToGrid w:val="0"/>
          <w:szCs w:val="22"/>
        </w:rPr>
        <w:t xml:space="preserve"> technologies</w:t>
      </w:r>
      <w:r>
        <w:rPr>
          <w:rFonts w:asciiTheme="majorBidi" w:hAnsiTheme="majorBidi"/>
          <w:snapToGrid w:val="0"/>
          <w:szCs w:val="22"/>
        </w:rPr>
        <w:t xml:space="preserve"> utiles aux régions respectives; aident à</w:t>
      </w:r>
      <w:r w:rsidR="00C113D3">
        <w:rPr>
          <w:rFonts w:asciiTheme="majorBidi" w:hAnsiTheme="majorBidi"/>
          <w:snapToGrid w:val="0"/>
          <w:szCs w:val="22"/>
        </w:rPr>
        <w:t xml:space="preserve"> créer des canaux de discussion plus effica</w:t>
      </w:r>
      <w:r>
        <w:rPr>
          <w:rFonts w:asciiTheme="majorBidi" w:hAnsiTheme="majorBidi"/>
          <w:snapToGrid w:val="0"/>
          <w:szCs w:val="22"/>
        </w:rPr>
        <w:t xml:space="preserve">ces pour fournir une contribution </w:t>
      </w:r>
      <w:r w:rsidR="00C113D3">
        <w:rPr>
          <w:rFonts w:asciiTheme="majorBidi" w:hAnsiTheme="majorBidi"/>
          <w:snapToGrid w:val="0"/>
          <w:szCs w:val="22"/>
        </w:rPr>
        <w:t xml:space="preserve">à la conception et à la mise en œuvre des programmes de biodiversité. </w:t>
      </w:r>
    </w:p>
    <w:p w14:paraId="088A6A4B" w14:textId="5F180D9E" w:rsidR="007B0C6F" w:rsidRPr="00622A74" w:rsidRDefault="00622A74" w:rsidP="00F24717">
      <w:pPr>
        <w:pStyle w:val="Heading2"/>
        <w:numPr>
          <w:ilvl w:val="0"/>
          <w:numId w:val="26"/>
        </w:numPr>
        <w:rPr>
          <w:snapToGrid w:val="0"/>
        </w:rPr>
      </w:pPr>
      <w:r>
        <w:rPr>
          <w:snapToGrid w:val="0"/>
        </w:rPr>
        <w:t>Éléments à améliorer</w:t>
      </w:r>
    </w:p>
    <w:p w14:paraId="4B3755FB" w14:textId="3E50594B" w:rsidR="005B5288" w:rsidRPr="00024B41" w:rsidRDefault="009570AA" w:rsidP="00C24341">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rPr>
        <w:t xml:space="preserve">L’examen a mis en lumière divers </w:t>
      </w:r>
      <w:r>
        <w:rPr>
          <w:rFonts w:asciiTheme="majorBidi" w:hAnsiTheme="majorBidi"/>
          <w:snapToGrid w:val="0"/>
          <w:szCs w:val="22"/>
        </w:rPr>
        <w:t xml:space="preserve">aspects de la coopération technique et scientifique </w:t>
      </w:r>
      <w:r>
        <w:rPr>
          <w:rFonts w:asciiTheme="majorBidi" w:hAnsiTheme="majorBidi"/>
        </w:rPr>
        <w:t>dans le cadre de la Convention et de ses Protocoles</w:t>
      </w:r>
      <w:r>
        <w:rPr>
          <w:rFonts w:asciiTheme="majorBidi" w:hAnsiTheme="majorBidi"/>
          <w:snapToGrid w:val="0"/>
          <w:szCs w:val="22"/>
        </w:rPr>
        <w:t xml:space="preserve"> qui n’ont pas obtenu les résultats escomptés en raiso</w:t>
      </w:r>
      <w:r w:rsidR="001262CA">
        <w:rPr>
          <w:rFonts w:asciiTheme="majorBidi" w:hAnsiTheme="majorBidi"/>
          <w:snapToGrid w:val="0"/>
          <w:szCs w:val="22"/>
        </w:rPr>
        <w:t>n d’un certain nombre de faiblesses et de difficulté</w:t>
      </w:r>
      <w:r>
        <w:rPr>
          <w:rFonts w:asciiTheme="majorBidi" w:hAnsiTheme="majorBidi"/>
          <w:snapToGrid w:val="0"/>
          <w:szCs w:val="22"/>
        </w:rPr>
        <w:t xml:space="preserve">s. </w:t>
      </w:r>
      <w:r w:rsidR="001262CA">
        <w:rPr>
          <w:rFonts w:asciiTheme="majorBidi" w:hAnsiTheme="majorBidi"/>
          <w:snapToGrid w:val="0"/>
        </w:rPr>
        <w:t>Les principales difficulté</w:t>
      </w:r>
      <w:r>
        <w:rPr>
          <w:rFonts w:asciiTheme="majorBidi" w:hAnsiTheme="majorBidi"/>
          <w:snapToGrid w:val="0"/>
        </w:rPr>
        <w:t>s</w:t>
      </w:r>
      <w:r w:rsidR="001262CA">
        <w:rPr>
          <w:rFonts w:asciiTheme="majorBidi" w:hAnsiTheme="majorBidi"/>
          <w:snapToGrid w:val="0"/>
        </w:rPr>
        <w:t xml:space="preserve"> rencontrées</w:t>
      </w:r>
      <w:r>
        <w:rPr>
          <w:rFonts w:asciiTheme="majorBidi" w:hAnsiTheme="majorBidi"/>
          <w:snapToGrid w:val="0"/>
        </w:rPr>
        <w:t xml:space="preserve"> sont lié</w:t>
      </w:r>
      <w:r w:rsidR="001262CA">
        <w:rPr>
          <w:rFonts w:asciiTheme="majorBidi" w:hAnsiTheme="majorBidi"/>
          <w:snapToGrid w:val="0"/>
        </w:rPr>
        <w:t>e</w:t>
      </w:r>
      <w:r>
        <w:rPr>
          <w:rFonts w:asciiTheme="majorBidi" w:hAnsiTheme="majorBidi"/>
          <w:snapToGrid w:val="0"/>
        </w:rPr>
        <w:t>s au</w:t>
      </w:r>
      <w:r w:rsidR="001262CA">
        <w:rPr>
          <w:rFonts w:asciiTheme="majorBidi" w:hAnsiTheme="majorBidi"/>
          <w:snapToGrid w:val="0"/>
        </w:rPr>
        <w:t>x</w:t>
      </w:r>
      <w:r>
        <w:rPr>
          <w:rFonts w:asciiTheme="majorBidi" w:hAnsiTheme="majorBidi"/>
          <w:snapToGrid w:val="0"/>
        </w:rPr>
        <w:t xml:space="preserve"> financement</w:t>
      </w:r>
      <w:r w:rsidR="001262CA">
        <w:rPr>
          <w:rFonts w:asciiTheme="majorBidi" w:hAnsiTheme="majorBidi"/>
          <w:snapToGrid w:val="0"/>
        </w:rPr>
        <w:t>s et ressources humaines insuffisants et limité</w:t>
      </w:r>
      <w:r>
        <w:rPr>
          <w:rFonts w:asciiTheme="majorBidi" w:hAnsiTheme="majorBidi"/>
          <w:snapToGrid w:val="0"/>
        </w:rPr>
        <w:t>s affectés aux activités et programmes de coopération technique et scientifique.</w:t>
      </w:r>
      <w:r>
        <w:rPr>
          <w:rFonts w:asciiTheme="majorBidi" w:hAnsiTheme="majorBidi"/>
          <w:snapToGrid w:val="0"/>
          <w:szCs w:val="22"/>
        </w:rPr>
        <w:t xml:space="preserve"> </w:t>
      </w:r>
      <w:r>
        <w:rPr>
          <w:rFonts w:asciiTheme="majorBidi" w:hAnsiTheme="majorBidi"/>
          <w:snapToGrid w:val="0"/>
        </w:rPr>
        <w:t>Les ressources financières destinées à la coopération technique et scientifique se font rares, en p</w:t>
      </w:r>
      <w:r w:rsidR="001262CA">
        <w:rPr>
          <w:rFonts w:asciiTheme="majorBidi" w:hAnsiTheme="majorBidi"/>
          <w:snapToGrid w:val="0"/>
        </w:rPr>
        <w:t>lus d’être inadéquate</w:t>
      </w:r>
      <w:r>
        <w:rPr>
          <w:rFonts w:asciiTheme="majorBidi" w:hAnsiTheme="majorBidi"/>
          <w:snapToGrid w:val="0"/>
        </w:rPr>
        <w:t>s et imprévisibles.</w:t>
      </w:r>
      <w:r>
        <w:rPr>
          <w:rFonts w:asciiTheme="majorBidi" w:hAnsiTheme="majorBidi"/>
          <w:snapToGrid w:val="0"/>
          <w:szCs w:val="22"/>
        </w:rPr>
        <w:t xml:space="preserve"> En raison de cette situation, il a été difficile de prévoir et de mettre en place des activités cruciales </w:t>
      </w:r>
      <w:r w:rsidR="00725288">
        <w:rPr>
          <w:rFonts w:asciiTheme="majorBidi" w:hAnsiTheme="majorBidi"/>
          <w:snapToGrid w:val="0"/>
          <w:szCs w:val="22"/>
        </w:rPr>
        <w:t xml:space="preserve">en matière </w:t>
      </w:r>
      <w:r>
        <w:rPr>
          <w:rFonts w:asciiTheme="majorBidi" w:hAnsiTheme="majorBidi"/>
          <w:snapToGrid w:val="0"/>
          <w:szCs w:val="22"/>
        </w:rPr>
        <w:t xml:space="preserve">de coopération technique et scientifique. </w:t>
      </w:r>
      <w:r>
        <w:rPr>
          <w:rFonts w:asciiTheme="majorBidi" w:hAnsiTheme="majorBidi"/>
          <w:snapToGrid w:val="0"/>
        </w:rPr>
        <w:t>Par exemple, bien que la mise en relation d’investisseurs et de porteurs de projets</w:t>
      </w:r>
      <w:r w:rsidR="00186267">
        <w:rPr>
          <w:rStyle w:val="FootnoteReference"/>
          <w:rFonts w:asciiTheme="majorBidi" w:hAnsiTheme="majorBidi" w:cstheme="majorBidi"/>
          <w:snapToGrid w:val="0"/>
          <w:kern w:val="22"/>
          <w:lang w:val="en-CA"/>
        </w:rPr>
        <w:footnoteReference w:id="3"/>
      </w:r>
      <w:r>
        <w:rPr>
          <w:rFonts w:asciiTheme="majorBidi" w:hAnsiTheme="majorBidi"/>
          <w:snapToGrid w:val="0"/>
          <w:szCs w:val="22"/>
        </w:rPr>
        <w:t xml:space="preserve"> soit un outil important et efficace pour la prestation d’activités et de programmes de coopération technique et scientifique, il est difficile de mettre cet outil en œuvre sans disposer des ressources financières nécessaires, comme en témoigne l’expérience de l’Initiative Bio-Bridge. </w:t>
      </w:r>
      <w:r w:rsidR="00725288">
        <w:rPr>
          <w:rFonts w:asciiTheme="majorBidi" w:hAnsiTheme="majorBidi"/>
        </w:rPr>
        <w:t xml:space="preserve">L’examen a </w:t>
      </w:r>
      <w:r>
        <w:rPr>
          <w:rFonts w:asciiTheme="majorBidi" w:hAnsiTheme="majorBidi"/>
        </w:rPr>
        <w:t>montré que même si certaines Parties ou organisations souhaitent fournir une assistance technique à ceux qui en expriment le besoin, bon nombre d’entre elles sont incapables de le faire sans soutien financier, ne serait-ce que pour couvrir les dépenses de fonc</w:t>
      </w:r>
      <w:r w:rsidR="00725288">
        <w:rPr>
          <w:rFonts w:asciiTheme="majorBidi" w:hAnsiTheme="majorBidi"/>
        </w:rPr>
        <w:t>tionnement, comme les voyages et</w:t>
      </w:r>
      <w:r>
        <w:rPr>
          <w:rFonts w:asciiTheme="majorBidi" w:hAnsiTheme="majorBidi"/>
        </w:rPr>
        <w:t xml:space="preserve"> l’hébergement. </w:t>
      </w:r>
      <w:r>
        <w:rPr>
          <w:rFonts w:asciiTheme="majorBidi" w:hAnsiTheme="majorBidi"/>
          <w:snapToGrid w:val="0"/>
        </w:rPr>
        <w:t>Dans leur examen, les experts soulignent que les i</w:t>
      </w:r>
      <w:r>
        <w:rPr>
          <w:rFonts w:asciiTheme="majorBidi" w:hAnsiTheme="majorBidi"/>
        </w:rPr>
        <w:t>n</w:t>
      </w:r>
      <w:r w:rsidR="00725288">
        <w:rPr>
          <w:rFonts w:asciiTheme="majorBidi" w:hAnsiTheme="majorBidi"/>
        </w:rPr>
        <w:t>itiatives qui disposent d’un financement pour faciliter des</w:t>
      </w:r>
      <w:r>
        <w:rPr>
          <w:rFonts w:asciiTheme="majorBidi" w:hAnsiTheme="majorBidi"/>
        </w:rPr>
        <w:t xml:space="preserve"> activités de coopération technique et </w:t>
      </w:r>
      <w:r w:rsidR="005F6507">
        <w:rPr>
          <w:rFonts w:asciiTheme="majorBidi" w:hAnsiTheme="majorBidi"/>
        </w:rPr>
        <w:t>scientifique,</w:t>
      </w:r>
      <w:r w:rsidR="00725288">
        <w:rPr>
          <w:rFonts w:asciiTheme="majorBidi" w:hAnsiTheme="majorBidi"/>
          <w:snapToGrid w:val="0"/>
        </w:rPr>
        <w:t xml:space="preserve"> au moyen </w:t>
      </w:r>
      <w:r>
        <w:rPr>
          <w:rFonts w:asciiTheme="majorBidi" w:hAnsiTheme="majorBidi"/>
          <w:snapToGrid w:val="0"/>
        </w:rPr>
        <w:t>de</w:t>
      </w:r>
      <w:r w:rsidR="00725288">
        <w:rPr>
          <w:rFonts w:asciiTheme="majorBidi" w:hAnsiTheme="majorBidi"/>
          <w:snapToGrid w:val="0"/>
        </w:rPr>
        <w:t xml:space="preserve"> ses</w:t>
      </w:r>
      <w:r>
        <w:rPr>
          <w:rFonts w:asciiTheme="majorBidi" w:hAnsiTheme="majorBidi"/>
          <w:snapToGrid w:val="0"/>
        </w:rPr>
        <w:t xml:space="preserve"> </w:t>
      </w:r>
      <w:r w:rsidR="00725288">
        <w:rPr>
          <w:rFonts w:asciiTheme="majorBidi" w:hAnsiTheme="majorBidi"/>
          <w:snapToGrid w:val="0"/>
        </w:rPr>
        <w:t>petites subventions</w:t>
      </w:r>
      <w:r>
        <w:rPr>
          <w:rFonts w:asciiTheme="majorBidi" w:hAnsiTheme="majorBidi"/>
          <w:snapToGrid w:val="0"/>
          <w:szCs w:val="22"/>
        </w:rPr>
        <w:t>,</w:t>
      </w:r>
      <w:r>
        <w:rPr>
          <w:rFonts w:asciiTheme="majorBidi" w:hAnsiTheme="majorBidi"/>
        </w:rPr>
        <w:t xml:space="preserve"> ont connu plus de succès</w:t>
      </w:r>
      <w:r>
        <w:rPr>
          <w:rFonts w:asciiTheme="majorBidi" w:hAnsiTheme="majorBidi"/>
          <w:snapToGrid w:val="0"/>
          <w:szCs w:val="22"/>
        </w:rPr>
        <w:t>.</w:t>
      </w:r>
    </w:p>
    <w:p w14:paraId="4F79DFA4" w14:textId="4261B659" w:rsidR="008E0F55" w:rsidRPr="007C4E47" w:rsidRDefault="0039067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L’abs</w:t>
      </w:r>
      <w:r w:rsidR="00725288">
        <w:rPr>
          <w:rFonts w:asciiTheme="majorBidi" w:hAnsiTheme="majorBidi"/>
          <w:snapToGrid w:val="0"/>
        </w:rPr>
        <w:t>ence d’une définition commune de ce</w:t>
      </w:r>
      <w:r>
        <w:t xml:space="preserve"> qui constitue </w:t>
      </w:r>
      <w:r w:rsidR="005F6507">
        <w:t>la</w:t>
      </w:r>
      <w:r w:rsidR="005F6507">
        <w:rPr>
          <w:rFonts w:asciiTheme="majorBidi" w:hAnsiTheme="majorBidi"/>
          <w:snapToGrid w:val="0"/>
        </w:rPr>
        <w:t xml:space="preserve"> coopération</w:t>
      </w:r>
      <w:r>
        <w:rPr>
          <w:rFonts w:asciiTheme="majorBidi" w:hAnsiTheme="majorBidi"/>
          <w:snapToGrid w:val="0"/>
        </w:rPr>
        <w:t xml:space="preserve"> techniq</w:t>
      </w:r>
      <w:r w:rsidR="00725288">
        <w:rPr>
          <w:rFonts w:asciiTheme="majorBidi" w:hAnsiTheme="majorBidi"/>
          <w:snapToGrid w:val="0"/>
        </w:rPr>
        <w:t>ue et scientifique au titre de la Convention et de ses</w:t>
      </w:r>
      <w:r>
        <w:rPr>
          <w:rFonts w:asciiTheme="majorBidi" w:hAnsiTheme="majorBidi"/>
          <w:snapToGrid w:val="0"/>
        </w:rPr>
        <w:t xml:space="preserve"> Protocoles est un</w:t>
      </w:r>
      <w:r w:rsidR="00725288">
        <w:rPr>
          <w:rFonts w:asciiTheme="majorBidi" w:hAnsiTheme="majorBidi"/>
          <w:snapToGrid w:val="0"/>
        </w:rPr>
        <w:t>e</w:t>
      </w:r>
      <w:r>
        <w:rPr>
          <w:rFonts w:asciiTheme="majorBidi" w:hAnsiTheme="majorBidi"/>
          <w:snapToGrid w:val="0"/>
        </w:rPr>
        <w:t xml:space="preserve"> autre </w:t>
      </w:r>
      <w:r w:rsidR="00725288">
        <w:rPr>
          <w:rFonts w:asciiTheme="majorBidi" w:hAnsiTheme="majorBidi"/>
          <w:snapToGrid w:val="0"/>
        </w:rPr>
        <w:t xml:space="preserve">difficulté </w:t>
      </w:r>
      <w:r>
        <w:rPr>
          <w:rFonts w:asciiTheme="majorBidi" w:hAnsiTheme="majorBidi"/>
          <w:snapToGrid w:val="0"/>
        </w:rPr>
        <w:t>importan</w:t>
      </w:r>
      <w:r w:rsidR="00725288">
        <w:rPr>
          <w:rFonts w:asciiTheme="majorBidi" w:hAnsiTheme="majorBidi"/>
          <w:snapToGrid w:val="0"/>
        </w:rPr>
        <w:t>te</w:t>
      </w:r>
      <w:r>
        <w:rPr>
          <w:rFonts w:asciiTheme="majorBidi" w:hAnsiTheme="majorBidi"/>
          <w:snapToGrid w:val="0"/>
        </w:rPr>
        <w:t xml:space="preserve"> qui nuit à l’adoption d’approches harmonisées et ciblées en matière de coopération technique et scientif</w:t>
      </w:r>
      <w:r w:rsidR="00725288">
        <w:rPr>
          <w:rFonts w:asciiTheme="majorBidi" w:hAnsiTheme="majorBidi"/>
          <w:snapToGrid w:val="0"/>
        </w:rPr>
        <w:t xml:space="preserve">ique. Il faut ajouter à cette difficulté </w:t>
      </w:r>
      <w:r>
        <w:rPr>
          <w:rFonts w:asciiTheme="majorBidi" w:hAnsiTheme="majorBidi"/>
          <w:snapToGrid w:val="0"/>
        </w:rPr>
        <w:t xml:space="preserve">un aspect qui y est lié, soit l’absence d’un programme global et cohérent </w:t>
      </w:r>
      <w:r w:rsidR="00725288">
        <w:rPr>
          <w:rFonts w:asciiTheme="majorBidi" w:hAnsiTheme="majorBidi"/>
          <w:snapToGrid w:val="0"/>
        </w:rPr>
        <w:t xml:space="preserve">en matière </w:t>
      </w:r>
      <w:r>
        <w:rPr>
          <w:rFonts w:asciiTheme="majorBidi" w:hAnsiTheme="majorBidi"/>
          <w:snapToGrid w:val="0"/>
        </w:rPr>
        <w:t>de coopération technique et scientifiqu</w:t>
      </w:r>
      <w:r w:rsidR="00725288">
        <w:rPr>
          <w:rFonts w:asciiTheme="majorBidi" w:hAnsiTheme="majorBidi"/>
          <w:snapToGrid w:val="0"/>
        </w:rPr>
        <w:t>e au titre</w:t>
      </w:r>
      <w:r>
        <w:rPr>
          <w:rFonts w:asciiTheme="majorBidi" w:hAnsiTheme="majorBidi"/>
          <w:snapToGrid w:val="0"/>
        </w:rPr>
        <w:t xml:space="preserve"> de la Conve</w:t>
      </w:r>
      <w:r w:rsidR="00725288">
        <w:rPr>
          <w:rFonts w:asciiTheme="majorBidi" w:hAnsiTheme="majorBidi"/>
          <w:snapToGrid w:val="0"/>
        </w:rPr>
        <w:t>ntion, comprenant une définition précise de la</w:t>
      </w:r>
      <w:r>
        <w:rPr>
          <w:rFonts w:asciiTheme="majorBidi" w:hAnsiTheme="majorBidi"/>
          <w:snapToGrid w:val="0"/>
        </w:rPr>
        <w:t xml:space="preserve"> théorie du changement, ainsi que l’absence d’un plan de suivi et d’évaluation</w:t>
      </w:r>
      <w:r w:rsidR="00725288">
        <w:rPr>
          <w:rFonts w:asciiTheme="majorBidi" w:hAnsiTheme="majorBidi"/>
        </w:rPr>
        <w:t xml:space="preserve"> comprenant</w:t>
      </w:r>
      <w:r>
        <w:rPr>
          <w:rFonts w:asciiTheme="majorBidi" w:hAnsiTheme="majorBidi"/>
        </w:rPr>
        <w:t xml:space="preserve"> des indicateurs </w:t>
      </w:r>
      <w:r w:rsidR="005F6507">
        <w:rPr>
          <w:rFonts w:asciiTheme="majorBidi" w:hAnsiTheme="majorBidi"/>
        </w:rPr>
        <w:t>clairs.</w:t>
      </w:r>
      <w:r>
        <w:rPr>
          <w:rFonts w:asciiTheme="majorBidi" w:hAnsiTheme="majorBidi"/>
          <w:snapToGrid w:val="0"/>
        </w:rPr>
        <w:t xml:space="preserve"> Ce manque de clarté a empêché la coopération technique et scientifique d’atteindre</w:t>
      </w:r>
      <w:r w:rsidR="00725288">
        <w:rPr>
          <w:rFonts w:asciiTheme="majorBidi" w:hAnsiTheme="majorBidi"/>
          <w:snapToGrid w:val="0"/>
        </w:rPr>
        <w:t xml:space="preserve"> son plein potentiel comme </w:t>
      </w:r>
      <w:r>
        <w:rPr>
          <w:rFonts w:asciiTheme="majorBidi" w:hAnsiTheme="majorBidi"/>
          <w:snapToGrid w:val="0"/>
        </w:rPr>
        <w:t>moyen efficace de mise en œuvre.</w:t>
      </w:r>
      <w:r>
        <w:rPr>
          <w:rFonts w:asciiTheme="majorBidi" w:hAnsiTheme="majorBidi"/>
          <w:snapToGrid w:val="0"/>
          <w:szCs w:val="22"/>
        </w:rPr>
        <w:t xml:space="preserve"> </w:t>
      </w:r>
    </w:p>
    <w:p w14:paraId="30518CCE" w14:textId="3D692442" w:rsidR="00B22774" w:rsidRPr="007C4E47" w:rsidRDefault="0024327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Les contraintes liées aux ressources humaines représentent un autre défi considérable aya</w:t>
      </w:r>
      <w:r w:rsidR="00725288">
        <w:rPr>
          <w:rFonts w:asciiTheme="majorBidi" w:hAnsiTheme="majorBidi"/>
          <w:snapToGrid w:val="0"/>
        </w:rPr>
        <w:t>nt une incidence sur les initiatives en matière</w:t>
      </w:r>
      <w:r>
        <w:rPr>
          <w:rFonts w:asciiTheme="majorBidi" w:hAnsiTheme="majorBidi"/>
          <w:snapToGrid w:val="0"/>
        </w:rPr>
        <w:t xml:space="preserve"> de coopération technique et scientifique dans le cadre de la Conv</w:t>
      </w:r>
      <w:r w:rsidR="00725288">
        <w:rPr>
          <w:rFonts w:asciiTheme="majorBidi" w:hAnsiTheme="majorBidi"/>
          <w:snapToGrid w:val="0"/>
        </w:rPr>
        <w:t>ention et de ses Protocoles. A titre d’</w:t>
      </w:r>
      <w:r>
        <w:rPr>
          <w:rFonts w:asciiTheme="majorBidi" w:hAnsiTheme="majorBidi"/>
          <w:snapToGrid w:val="0"/>
        </w:rPr>
        <w:t xml:space="preserve">exemple, l’absence de personnel </w:t>
      </w:r>
      <w:r w:rsidR="00725288">
        <w:rPr>
          <w:rFonts w:asciiTheme="majorBidi" w:hAnsiTheme="majorBidi"/>
          <w:snapToGrid w:val="0"/>
        </w:rPr>
        <w:t>à plein temps affecté aux initiative</w:t>
      </w:r>
      <w:r>
        <w:rPr>
          <w:rFonts w:asciiTheme="majorBidi" w:hAnsiTheme="majorBidi"/>
          <w:snapToGrid w:val="0"/>
        </w:rPr>
        <w:t>s de coopérati</w:t>
      </w:r>
      <w:r w:rsidR="00725288">
        <w:rPr>
          <w:rFonts w:asciiTheme="majorBidi" w:hAnsiTheme="majorBidi"/>
          <w:snapToGrid w:val="0"/>
        </w:rPr>
        <w:t xml:space="preserve">on technique et scientifique au sein du </w:t>
      </w:r>
      <w:r>
        <w:rPr>
          <w:rFonts w:asciiTheme="majorBidi" w:hAnsiTheme="majorBidi"/>
          <w:snapToGrid w:val="0"/>
        </w:rPr>
        <w:t>Secrétariat restreint l’efficacité de la plan</w:t>
      </w:r>
      <w:r w:rsidR="00725288">
        <w:rPr>
          <w:rFonts w:asciiTheme="majorBidi" w:hAnsiTheme="majorBidi"/>
          <w:snapToGrid w:val="0"/>
        </w:rPr>
        <w:t>ification et de l’apport d’un</w:t>
      </w:r>
      <w:r>
        <w:rPr>
          <w:rFonts w:asciiTheme="majorBidi" w:hAnsiTheme="majorBidi"/>
          <w:snapToGrid w:val="0"/>
        </w:rPr>
        <w:t xml:space="preserve"> soutien aux Parties.</w:t>
      </w:r>
      <w:r>
        <w:rPr>
          <w:rFonts w:asciiTheme="majorBidi" w:hAnsiTheme="majorBidi"/>
          <w:snapToGrid w:val="0"/>
          <w:szCs w:val="22"/>
        </w:rPr>
        <w:t xml:space="preserve"> </w:t>
      </w:r>
      <w:r>
        <w:rPr>
          <w:rFonts w:asciiTheme="majorBidi" w:hAnsiTheme="majorBidi"/>
          <w:snapToGrid w:val="0"/>
        </w:rPr>
        <w:t>Le manque de ressources humaines et</w:t>
      </w:r>
      <w:r w:rsidR="00725288">
        <w:rPr>
          <w:rFonts w:asciiTheme="majorBidi" w:hAnsiTheme="majorBidi"/>
          <w:snapToGrid w:val="0"/>
        </w:rPr>
        <w:t xml:space="preserve"> d’experts aux niveaux national et régional</w:t>
      </w:r>
      <w:r>
        <w:rPr>
          <w:rFonts w:asciiTheme="majorBidi" w:hAnsiTheme="majorBidi"/>
          <w:snapToGrid w:val="0"/>
        </w:rPr>
        <w:t xml:space="preserve"> nuit également aux efforts visant à catalyser et à maintenir la coopération technique et scientifique afin d’atteindre les objectifs de la Convention et de ses Protocoles.</w:t>
      </w:r>
      <w:r>
        <w:rPr>
          <w:rFonts w:asciiTheme="majorBidi" w:hAnsiTheme="majorBidi"/>
          <w:snapToGrid w:val="0"/>
          <w:szCs w:val="22"/>
        </w:rPr>
        <w:t xml:space="preserve"> </w:t>
      </w:r>
    </w:p>
    <w:p w14:paraId="31CAE750" w14:textId="73E92534" w:rsidR="009B7BEC" w:rsidRPr="007C4E47" w:rsidRDefault="00DC2AE3"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lastRenderedPageBreak/>
        <w:t xml:space="preserve">L’examen a en outre mis en lumière, à titre de limites importantes, l’absence d’une approche à long terme en matière de coopération technique et scientifique et une dépendance excessive envers les interventions à court </w:t>
      </w:r>
      <w:r w:rsidR="00D823DE">
        <w:rPr>
          <w:rFonts w:asciiTheme="majorBidi" w:hAnsiTheme="majorBidi"/>
          <w:snapToGrid w:val="0"/>
          <w:szCs w:val="22"/>
        </w:rPr>
        <w:t>terme afin de</w:t>
      </w:r>
      <w:r>
        <w:rPr>
          <w:rFonts w:asciiTheme="majorBidi" w:hAnsiTheme="majorBidi"/>
          <w:snapToGrid w:val="0"/>
          <w:szCs w:val="22"/>
        </w:rPr>
        <w:t xml:space="preserve"> promouvoir et </w:t>
      </w:r>
      <w:r w:rsidR="00D823DE">
        <w:rPr>
          <w:rFonts w:asciiTheme="majorBidi" w:hAnsiTheme="majorBidi"/>
          <w:snapToGrid w:val="0"/>
          <w:szCs w:val="22"/>
        </w:rPr>
        <w:t xml:space="preserve">de </w:t>
      </w:r>
      <w:r>
        <w:rPr>
          <w:rFonts w:asciiTheme="majorBidi" w:hAnsiTheme="majorBidi"/>
          <w:snapToGrid w:val="0"/>
          <w:szCs w:val="22"/>
        </w:rPr>
        <w:t xml:space="preserve">faciliter la coopération technique et scientifique. </w:t>
      </w:r>
      <w:r>
        <w:rPr>
          <w:rFonts w:asciiTheme="majorBidi" w:hAnsiTheme="majorBidi"/>
          <w:snapToGrid w:val="0"/>
        </w:rPr>
        <w:t>Les Parties et les parties prenantes ont mentionné qu’une planification à plus long terme et un soutien constant sont nécessaires pour faire la différence.</w:t>
      </w:r>
      <w:r>
        <w:rPr>
          <w:rFonts w:asciiTheme="majorBidi" w:hAnsiTheme="majorBidi"/>
          <w:snapToGrid w:val="0"/>
          <w:szCs w:val="22"/>
        </w:rPr>
        <w:t xml:space="preserve"> </w:t>
      </w:r>
    </w:p>
    <w:p w14:paraId="727042AE" w14:textId="680D04B2" w:rsidR="00DB4713" w:rsidRPr="007C4E47" w:rsidRDefault="008F21A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Qui plus est, l’examen a souligné qu’un certain nombre de programmes et d’initiatives </w:t>
      </w:r>
      <w:r w:rsidR="00D823DE">
        <w:rPr>
          <w:rFonts w:asciiTheme="majorBidi" w:hAnsiTheme="majorBidi"/>
          <w:snapToGrid w:val="0"/>
        </w:rPr>
        <w:t xml:space="preserve">en matière </w:t>
      </w:r>
      <w:r>
        <w:rPr>
          <w:rFonts w:asciiTheme="majorBidi" w:hAnsiTheme="majorBidi"/>
          <w:snapToGrid w:val="0"/>
        </w:rPr>
        <w:t>de coopération te</w:t>
      </w:r>
      <w:r w:rsidR="00D823DE">
        <w:rPr>
          <w:rFonts w:asciiTheme="majorBidi" w:hAnsiTheme="majorBidi"/>
          <w:snapToGrid w:val="0"/>
        </w:rPr>
        <w:t>chnique et scientifique au titre</w:t>
      </w:r>
      <w:r>
        <w:rPr>
          <w:rFonts w:asciiTheme="majorBidi" w:hAnsiTheme="majorBidi"/>
          <w:snapToGrid w:val="0"/>
        </w:rPr>
        <w:t xml:space="preserve"> de la Convention ont été élaborés selon une approche « descendante ». Autrement dit, ces programmes et initiatives ont été conçus à l’échelle mondiale, et les parties prenantes à l’échelle locale n’ont pas été consultées de manière stratégique et efficace à l’étape de la conception.</w:t>
      </w:r>
      <w:r>
        <w:rPr>
          <w:rFonts w:asciiTheme="majorBidi" w:hAnsiTheme="majorBidi"/>
          <w:snapToGrid w:val="0"/>
          <w:szCs w:val="22"/>
        </w:rPr>
        <w:t xml:space="preserve"> </w:t>
      </w:r>
      <w:r>
        <w:rPr>
          <w:rFonts w:asciiTheme="majorBidi" w:hAnsiTheme="majorBidi"/>
          <w:snapToGrid w:val="0"/>
        </w:rPr>
        <w:t>Il est né</w:t>
      </w:r>
      <w:r w:rsidR="00D823DE">
        <w:rPr>
          <w:rFonts w:asciiTheme="majorBidi" w:hAnsiTheme="majorBidi"/>
          <w:snapToGrid w:val="0"/>
        </w:rPr>
        <w:t>cessaire d’établir une bonne cartographie</w:t>
      </w:r>
      <w:r>
        <w:rPr>
          <w:rFonts w:asciiTheme="majorBidi" w:hAnsiTheme="majorBidi"/>
          <w:snapToGrid w:val="0"/>
        </w:rPr>
        <w:t xml:space="preserve"> des parties prenantes, ainsi que d’évaluer systématiquement les besoins et de communiquer convenablement avec les parties pren</w:t>
      </w:r>
      <w:r w:rsidR="00D823DE">
        <w:rPr>
          <w:rFonts w:asciiTheme="majorBidi" w:hAnsiTheme="majorBidi"/>
          <w:snapToGrid w:val="0"/>
        </w:rPr>
        <w:t>antes à différents niveaux, afin d’améliorer le caractère pertinent</w:t>
      </w:r>
      <w:r>
        <w:rPr>
          <w:rFonts w:asciiTheme="majorBidi" w:hAnsiTheme="majorBidi"/>
          <w:snapToGrid w:val="0"/>
        </w:rPr>
        <w:t xml:space="preserve"> et l’efficacité des programmes de coopération technique et scientifique. </w:t>
      </w:r>
      <w:r>
        <w:rPr>
          <w:rFonts w:asciiTheme="majorBidi" w:hAnsiTheme="majorBidi"/>
          <w:snapToGrid w:val="0"/>
          <w:szCs w:val="22"/>
        </w:rPr>
        <w:t xml:space="preserve"> </w:t>
      </w:r>
    </w:p>
    <w:p w14:paraId="0CDD573A" w14:textId="697E04BA" w:rsidR="003A2139" w:rsidRDefault="006E0795"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De plus</w:t>
      </w:r>
      <w:r w:rsidR="00E721BD">
        <w:rPr>
          <w:rFonts w:asciiTheme="majorBidi" w:hAnsiTheme="majorBidi"/>
          <w:snapToGrid w:val="0"/>
        </w:rPr>
        <w:t xml:space="preserve">, l’examen a déterminé que la coopération Sud-Sud et la coopération triangulaire sont favorisées dans une moindre mesure </w:t>
      </w:r>
      <w:r w:rsidR="0064507B">
        <w:rPr>
          <w:rFonts w:asciiTheme="majorBidi" w:hAnsiTheme="majorBidi" w:cstheme="majorBidi"/>
          <w:snapToGrid w:val="0"/>
        </w:rPr>
        <w:t>‒</w:t>
      </w:r>
      <w:r w:rsidR="00E721BD">
        <w:rPr>
          <w:rFonts w:asciiTheme="majorBidi" w:hAnsiTheme="majorBidi"/>
          <w:snapToGrid w:val="0"/>
        </w:rPr>
        <w:t xml:space="preserve"> et présentent de plus grands défis </w:t>
      </w:r>
      <w:r w:rsidR="0064507B">
        <w:rPr>
          <w:rFonts w:asciiTheme="majorBidi" w:hAnsiTheme="majorBidi" w:cstheme="majorBidi"/>
          <w:snapToGrid w:val="0"/>
        </w:rPr>
        <w:t>‒</w:t>
      </w:r>
      <w:r w:rsidR="00E721BD">
        <w:rPr>
          <w:rFonts w:asciiTheme="majorBidi" w:hAnsiTheme="majorBidi"/>
          <w:snapToGrid w:val="0"/>
        </w:rPr>
        <w:t xml:space="preserve"> que la coopération Nord-Sud. Des préoccupations ont été soulevées quant à l’ampleur des connaissances et de l’expertise perdues lorsqu’on ne tire pas parti des possibilités de collaboration Sud-Sud. Dans les pays développés comme les pays en développement, une autre lacune que l’examen a mise en lumière est l’absence d’inclusion significative des peuples autochtones et des communauté</w:t>
      </w:r>
      <w:r w:rsidR="00F261FE">
        <w:rPr>
          <w:rFonts w:asciiTheme="majorBidi" w:hAnsiTheme="majorBidi"/>
          <w:snapToGrid w:val="0"/>
        </w:rPr>
        <w:t>s locales dans les activités</w:t>
      </w:r>
      <w:r w:rsidR="00E721BD">
        <w:rPr>
          <w:rFonts w:asciiTheme="majorBidi" w:hAnsiTheme="majorBidi"/>
          <w:snapToGrid w:val="0"/>
        </w:rPr>
        <w:t xml:space="preserve"> de coopération technique et scientifique.</w:t>
      </w:r>
      <w:r w:rsidR="00E721BD">
        <w:rPr>
          <w:rFonts w:asciiTheme="majorBidi" w:hAnsiTheme="majorBidi"/>
          <w:snapToGrid w:val="0"/>
          <w:szCs w:val="22"/>
        </w:rPr>
        <w:t xml:space="preserve"> </w:t>
      </w:r>
    </w:p>
    <w:p w14:paraId="388D5FAD" w14:textId="572A2A97" w:rsidR="002407D7" w:rsidRPr="002248FA" w:rsidRDefault="006407E4" w:rsidP="00224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Enfin, l’examen indique que même si le Centre d’échange est cité dans le texte de la Convention comme un mécanisme visant à promouvoir et</w:t>
      </w:r>
      <w:r w:rsidR="00F261FE">
        <w:rPr>
          <w:rFonts w:asciiTheme="majorBidi" w:hAnsiTheme="majorBidi"/>
          <w:snapToGrid w:val="0"/>
        </w:rPr>
        <w:t xml:space="preserve"> à</w:t>
      </w:r>
      <w:r>
        <w:rPr>
          <w:rFonts w:asciiTheme="majorBidi" w:hAnsiTheme="majorBidi"/>
          <w:snapToGrid w:val="0"/>
        </w:rPr>
        <w:t xml:space="preserve"> faciliter la coopération technique et scientifi</w:t>
      </w:r>
      <w:r w:rsidR="00F261FE">
        <w:rPr>
          <w:rFonts w:asciiTheme="majorBidi" w:hAnsiTheme="majorBidi"/>
          <w:snapToGrid w:val="0"/>
        </w:rPr>
        <w:t>que, l’analyse des information</w:t>
      </w:r>
      <w:r>
        <w:rPr>
          <w:rFonts w:asciiTheme="majorBidi" w:hAnsiTheme="majorBidi"/>
          <w:snapToGrid w:val="0"/>
        </w:rPr>
        <w:t>s et des rapports disponibles ne permet pas de déterminer clairement comment le Centre d’échange promeut et facilite concrètement la coopération technique et scientifique. Il a également été difficile d’évaluer comment le Centre d’échange et les autres initiatives réagissent aux décisio</w:t>
      </w:r>
      <w:r w:rsidR="00F261FE">
        <w:rPr>
          <w:rFonts w:asciiTheme="majorBidi" w:hAnsiTheme="majorBidi"/>
          <w:snapToGrid w:val="0"/>
        </w:rPr>
        <w:t>ns relative</w:t>
      </w:r>
      <w:r>
        <w:rPr>
          <w:rFonts w:asciiTheme="majorBidi" w:hAnsiTheme="majorBidi"/>
          <w:snapToGrid w:val="0"/>
        </w:rPr>
        <w:t>s à la coopération technique et scientifique adoptées par la Conférence des Parties.</w:t>
      </w:r>
    </w:p>
    <w:p w14:paraId="1BA91FC9" w14:textId="69E30AAC" w:rsidR="00806B88" w:rsidRPr="0030523C" w:rsidRDefault="00806B88" w:rsidP="00F24717">
      <w:pPr>
        <w:pStyle w:val="Heading1"/>
        <w:numPr>
          <w:ilvl w:val="0"/>
          <w:numId w:val="25"/>
        </w:numPr>
        <w:tabs>
          <w:tab w:val="clear" w:pos="720"/>
          <w:tab w:val="left" w:pos="1276"/>
        </w:tabs>
        <w:ind w:left="1276"/>
        <w:jc w:val="left"/>
        <w:rPr>
          <w:snapToGrid w:val="0"/>
        </w:rPr>
      </w:pPr>
      <w:r>
        <w:rPr>
          <w:snapToGrid w:val="0"/>
        </w:rPr>
        <w:t>PROPOSITIONS POUR LE RENOUVELLEM</w:t>
      </w:r>
      <w:r w:rsidR="006E0795">
        <w:rPr>
          <w:snapToGrid w:val="0"/>
        </w:rPr>
        <w:t>ENT ET LE RENFORCEMENT É</w:t>
      </w:r>
      <w:r w:rsidR="00F261FE">
        <w:rPr>
          <w:snapToGrid w:val="0"/>
        </w:rPr>
        <w:t>ventuels</w:t>
      </w:r>
      <w:r>
        <w:rPr>
          <w:snapToGrid w:val="0"/>
        </w:rPr>
        <w:t xml:space="preserve"> DES PROGRAMMES DE COOPÉRATION TECHNIQUE ET SCIENTIFIQUE </w:t>
      </w:r>
    </w:p>
    <w:p w14:paraId="6E86C2DA" w14:textId="7AB602B2" w:rsidR="009A6498" w:rsidRPr="007C4E47" w:rsidRDefault="008E4FE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Compte tenu des conclusions de l’examen, </w:t>
      </w:r>
      <w:r w:rsidR="00F261FE">
        <w:rPr>
          <w:rFonts w:asciiTheme="majorBidi" w:hAnsiTheme="majorBidi"/>
          <w:snapToGrid w:val="0"/>
        </w:rPr>
        <w:t>cette partie</w:t>
      </w:r>
      <w:r>
        <w:rPr>
          <w:rFonts w:asciiTheme="majorBidi" w:hAnsiTheme="majorBidi"/>
          <w:snapToGrid w:val="0"/>
        </w:rPr>
        <w:t xml:space="preserve"> présente des propositions pour le renouvelle</w:t>
      </w:r>
      <w:r w:rsidR="00F261FE">
        <w:rPr>
          <w:rFonts w:asciiTheme="majorBidi" w:hAnsiTheme="majorBidi"/>
          <w:snapToGrid w:val="0"/>
        </w:rPr>
        <w:t>ment et le renforcement éventuel</w:t>
      </w:r>
      <w:r>
        <w:rPr>
          <w:rFonts w:asciiTheme="majorBidi" w:hAnsiTheme="majorBidi"/>
          <w:snapToGrid w:val="0"/>
        </w:rPr>
        <w:t xml:space="preserve">s des programmes et initiatives </w:t>
      </w:r>
      <w:r w:rsidR="00F261FE">
        <w:rPr>
          <w:rFonts w:asciiTheme="majorBidi" w:hAnsiTheme="majorBidi"/>
          <w:snapToGrid w:val="0"/>
        </w:rPr>
        <w:t xml:space="preserve">en matière </w:t>
      </w:r>
      <w:r>
        <w:rPr>
          <w:rFonts w:asciiTheme="majorBidi" w:hAnsiTheme="majorBidi"/>
          <w:snapToGrid w:val="0"/>
        </w:rPr>
        <w:t>de coopération technique et scientifique</w:t>
      </w:r>
      <w:r w:rsidR="00F261FE">
        <w:rPr>
          <w:rFonts w:asciiTheme="majorBidi" w:hAnsiTheme="majorBidi"/>
          <w:snapToGrid w:val="0"/>
        </w:rPr>
        <w:t>,</w:t>
      </w:r>
      <w:r>
        <w:rPr>
          <w:rFonts w:asciiTheme="majorBidi" w:hAnsiTheme="majorBidi"/>
          <w:snapToGrid w:val="0"/>
        </w:rPr>
        <w:t xml:space="preserve"> dans le but de soutenir la mise en œuvre du cadre mondial de la biodiversité pour l’après-202</w:t>
      </w:r>
      <w:r w:rsidR="00F261FE">
        <w:rPr>
          <w:rFonts w:asciiTheme="majorBidi" w:hAnsiTheme="majorBidi"/>
          <w:snapToGrid w:val="0"/>
        </w:rPr>
        <w:t>0. La sous-partie</w:t>
      </w:r>
      <w:r>
        <w:rPr>
          <w:rFonts w:asciiTheme="majorBidi" w:hAnsiTheme="majorBidi"/>
          <w:snapToGrid w:val="0"/>
        </w:rPr>
        <w:t xml:space="preserve"> A présente des recommandations </w:t>
      </w:r>
      <w:r w:rsidR="00F261FE">
        <w:rPr>
          <w:rFonts w:asciiTheme="majorBidi" w:hAnsiTheme="majorBidi"/>
          <w:snapToGrid w:val="0"/>
        </w:rPr>
        <w:t xml:space="preserve">globales </w:t>
      </w:r>
      <w:r>
        <w:rPr>
          <w:rFonts w:asciiTheme="majorBidi" w:hAnsiTheme="majorBidi"/>
          <w:snapToGrid w:val="0"/>
        </w:rPr>
        <w:t xml:space="preserve">stratégiques et </w:t>
      </w:r>
      <w:r w:rsidR="00F261FE">
        <w:rPr>
          <w:rFonts w:asciiTheme="majorBidi" w:hAnsiTheme="majorBidi"/>
          <w:snapToGrid w:val="0"/>
        </w:rPr>
        <w:t>opérationnelles qui ont pour but de résoudre</w:t>
      </w:r>
      <w:r>
        <w:rPr>
          <w:rFonts w:asciiTheme="majorBidi" w:hAnsiTheme="majorBidi"/>
          <w:snapToGrid w:val="0"/>
        </w:rPr>
        <w:t xml:space="preserve"> certain</w:t>
      </w:r>
      <w:r w:rsidR="00F261FE">
        <w:rPr>
          <w:rFonts w:asciiTheme="majorBidi" w:hAnsiTheme="majorBidi"/>
          <w:snapToGrid w:val="0"/>
        </w:rPr>
        <w:t>es difficultés et limitat</w:t>
      </w:r>
      <w:r>
        <w:rPr>
          <w:rFonts w:asciiTheme="majorBidi" w:hAnsiTheme="majorBidi"/>
          <w:snapToGrid w:val="0"/>
        </w:rPr>
        <w:t>ions auxquels les programmes et initiatives actuels sont confrontés, d’améliorer leur pertinence et leur efficacité</w:t>
      </w:r>
      <w:r w:rsidR="00F261FE">
        <w:rPr>
          <w:rFonts w:asciiTheme="majorBidi" w:hAnsiTheme="majorBidi"/>
          <w:snapToGrid w:val="0"/>
        </w:rPr>
        <w:t>,</w:t>
      </w:r>
      <w:r>
        <w:rPr>
          <w:rFonts w:asciiTheme="majorBidi" w:hAnsiTheme="majorBidi"/>
          <w:snapToGrid w:val="0"/>
        </w:rPr>
        <w:t xml:space="preserve"> et de bonifier les programmes de coopération techniq</w:t>
      </w:r>
      <w:r w:rsidR="00F261FE">
        <w:rPr>
          <w:rFonts w:asciiTheme="majorBidi" w:hAnsiTheme="majorBidi"/>
          <w:snapToGrid w:val="0"/>
        </w:rPr>
        <w:t>ue et scientifique au titre</w:t>
      </w:r>
      <w:r>
        <w:rPr>
          <w:rFonts w:asciiTheme="majorBidi" w:hAnsiTheme="majorBidi"/>
          <w:snapToGrid w:val="0"/>
        </w:rPr>
        <w:t xml:space="preserve"> de la Convention et de ses Protocoles.</w:t>
      </w:r>
      <w:r>
        <w:rPr>
          <w:rFonts w:asciiTheme="majorBidi" w:hAnsiTheme="majorBidi"/>
          <w:snapToGrid w:val="0"/>
          <w:szCs w:val="22"/>
        </w:rPr>
        <w:t xml:space="preserve"> </w:t>
      </w:r>
    </w:p>
    <w:p w14:paraId="1ADD84E5" w14:textId="04439ED7" w:rsidR="00B5367A" w:rsidRPr="007C4E47" w:rsidRDefault="00F261FE" w:rsidP="00B5367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La sous-partie</w:t>
      </w:r>
      <w:r w:rsidR="00E55FF7">
        <w:rPr>
          <w:rFonts w:asciiTheme="majorBidi" w:hAnsiTheme="majorBidi"/>
          <w:snapToGrid w:val="0"/>
        </w:rPr>
        <w:t xml:space="preserve"> B présente des propositions visant à créer un programme cohérent de coopération sc</w:t>
      </w:r>
      <w:r>
        <w:rPr>
          <w:rFonts w:asciiTheme="majorBidi" w:hAnsiTheme="majorBidi"/>
          <w:snapToGrid w:val="0"/>
        </w:rPr>
        <w:t xml:space="preserve">ientifique et technique, comprenant </w:t>
      </w:r>
      <w:r w:rsidR="00E55FF7">
        <w:rPr>
          <w:rFonts w:asciiTheme="majorBidi" w:hAnsiTheme="majorBidi"/>
          <w:snapToGrid w:val="0"/>
        </w:rPr>
        <w:t>une théorie du changement claire</w:t>
      </w:r>
      <w:r w:rsidR="00725D48">
        <w:rPr>
          <w:rFonts w:asciiTheme="majorBidi" w:hAnsiTheme="majorBidi"/>
          <w:snapToGrid w:val="0"/>
        </w:rPr>
        <w:t>,</w:t>
      </w:r>
      <w:r w:rsidR="00E55FF7">
        <w:rPr>
          <w:rFonts w:asciiTheme="majorBidi" w:hAnsiTheme="majorBidi"/>
          <w:snapToGrid w:val="0"/>
        </w:rPr>
        <w:t xml:space="preserve"> conforme à la théorie du changement du cadre mondial de la biodiversité po</w:t>
      </w:r>
      <w:r w:rsidR="00725D48">
        <w:rPr>
          <w:rFonts w:asciiTheme="majorBidi" w:hAnsiTheme="majorBidi"/>
          <w:snapToGrid w:val="0"/>
        </w:rPr>
        <w:t>ur l’après-2020. La sous-partie</w:t>
      </w:r>
      <w:r w:rsidR="00E55FF7">
        <w:rPr>
          <w:rFonts w:asciiTheme="majorBidi" w:hAnsiTheme="majorBidi"/>
          <w:snapToGrid w:val="0"/>
        </w:rPr>
        <w:t xml:space="preserve"> C présente d</w:t>
      </w:r>
      <w:r w:rsidR="00725D48">
        <w:rPr>
          <w:rFonts w:asciiTheme="majorBidi" w:hAnsiTheme="majorBidi"/>
          <w:snapToGrid w:val="0"/>
        </w:rPr>
        <w:t>es propositions pour créer</w:t>
      </w:r>
      <w:r w:rsidR="00E55FF7">
        <w:rPr>
          <w:rFonts w:asciiTheme="majorBidi" w:hAnsiTheme="majorBidi"/>
          <w:snapToGrid w:val="0"/>
        </w:rPr>
        <w:t xml:space="preserve"> un cadre </w:t>
      </w:r>
      <w:r w:rsidR="005F6507">
        <w:rPr>
          <w:rFonts w:asciiTheme="majorBidi" w:hAnsiTheme="majorBidi"/>
          <w:snapToGrid w:val="0"/>
        </w:rPr>
        <w:t>global</w:t>
      </w:r>
      <w:r w:rsidR="005F6507">
        <w:rPr>
          <w:rFonts w:asciiTheme="majorBidi" w:hAnsiTheme="majorBidi"/>
        </w:rPr>
        <w:t xml:space="preserve"> de</w:t>
      </w:r>
      <w:r w:rsidR="00E55FF7">
        <w:rPr>
          <w:rFonts w:asciiTheme="majorBidi" w:hAnsiTheme="majorBidi"/>
        </w:rPr>
        <w:t xml:space="preserve"> suivi, d’examen et </w:t>
      </w:r>
      <w:r w:rsidR="00725D48">
        <w:rPr>
          <w:rFonts w:asciiTheme="majorBidi" w:hAnsiTheme="majorBidi"/>
        </w:rPr>
        <w:t>d’établissement de rapports axé sur les résultats</w:t>
      </w:r>
      <w:r w:rsidR="00E55FF7">
        <w:rPr>
          <w:rFonts w:asciiTheme="majorBidi" w:hAnsiTheme="majorBidi"/>
        </w:rPr>
        <w:t xml:space="preserve"> pour les programmes et les initiatives </w:t>
      </w:r>
      <w:r w:rsidR="00725D48">
        <w:rPr>
          <w:rFonts w:asciiTheme="majorBidi" w:hAnsiTheme="majorBidi"/>
        </w:rPr>
        <w:t xml:space="preserve">en matière </w:t>
      </w:r>
      <w:r w:rsidR="00E55FF7">
        <w:rPr>
          <w:rFonts w:asciiTheme="majorBidi" w:hAnsiTheme="majorBidi"/>
        </w:rPr>
        <w:t>de coopération technique et scientifique, y compris des indicate</w:t>
      </w:r>
      <w:r w:rsidR="00725D48">
        <w:rPr>
          <w:rFonts w:asciiTheme="majorBidi" w:hAnsiTheme="majorBidi"/>
        </w:rPr>
        <w:t>urs de performance clés éventuel</w:t>
      </w:r>
      <w:r w:rsidR="00E55FF7">
        <w:rPr>
          <w:rFonts w:asciiTheme="majorBidi" w:hAnsiTheme="majorBidi"/>
        </w:rPr>
        <w:t>s</w:t>
      </w:r>
      <w:r w:rsidR="00E55FF7">
        <w:rPr>
          <w:rFonts w:asciiTheme="majorBidi" w:hAnsiTheme="majorBidi"/>
          <w:snapToGrid w:val="0"/>
          <w:szCs w:val="22"/>
        </w:rPr>
        <w:t xml:space="preserve">. </w:t>
      </w:r>
    </w:p>
    <w:p w14:paraId="027CAE4D" w14:textId="031706AE" w:rsidR="002118CB" w:rsidRPr="007C4E47" w:rsidRDefault="00A52F87" w:rsidP="00F24717">
      <w:pPr>
        <w:pStyle w:val="Heading2"/>
        <w:numPr>
          <w:ilvl w:val="0"/>
          <w:numId w:val="27"/>
        </w:numPr>
        <w:jc w:val="left"/>
        <w:rPr>
          <w:snapToGrid w:val="0"/>
        </w:rPr>
      </w:pPr>
      <w:r>
        <w:rPr>
          <w:snapToGrid w:val="0"/>
        </w:rPr>
        <w:t>Recommandations global</w:t>
      </w:r>
      <w:r w:rsidR="0022626B">
        <w:rPr>
          <w:snapToGrid w:val="0"/>
        </w:rPr>
        <w:t>es</w:t>
      </w:r>
      <w:r w:rsidR="0022626B">
        <w:t xml:space="preserve"> </w:t>
      </w:r>
      <w:r w:rsidR="0022626B">
        <w:rPr>
          <w:snapToGrid w:val="0"/>
        </w:rPr>
        <w:t>pour le renforcement de la coopératio</w:t>
      </w:r>
      <w:r>
        <w:rPr>
          <w:snapToGrid w:val="0"/>
        </w:rPr>
        <w:t>n technique et scientifique en appui a</w:t>
      </w:r>
      <w:r w:rsidR="0022626B">
        <w:rPr>
          <w:snapToGrid w:val="0"/>
        </w:rPr>
        <w:t>u cadre mondial de la biodiversité</w:t>
      </w:r>
    </w:p>
    <w:p w14:paraId="41F7E160" w14:textId="2B2269E2" w:rsidR="0064507B" w:rsidRPr="00725D48" w:rsidRDefault="00A52F87" w:rsidP="0064507B">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Sur la base des conclusions du présent </w:t>
      </w:r>
      <w:r w:rsidR="007E033A">
        <w:rPr>
          <w:rFonts w:asciiTheme="majorBidi" w:hAnsiTheme="majorBidi"/>
          <w:snapToGrid w:val="0"/>
        </w:rPr>
        <w:t>examen, les recommandations su</w:t>
      </w:r>
      <w:r w:rsidR="00725D48">
        <w:rPr>
          <w:rFonts w:asciiTheme="majorBidi" w:hAnsiTheme="majorBidi"/>
          <w:snapToGrid w:val="0"/>
        </w:rPr>
        <w:t>ivantes sont proposées aux fins d’examen, le cas échéant, par les Parties, le Secrétariat et les</w:t>
      </w:r>
      <w:r w:rsidR="007E033A">
        <w:rPr>
          <w:rFonts w:asciiTheme="majorBidi" w:hAnsiTheme="majorBidi"/>
          <w:snapToGrid w:val="0"/>
        </w:rPr>
        <w:t xml:space="preserve"> parties prenantes concernées</w:t>
      </w:r>
      <w:r w:rsidR="00725D48">
        <w:rPr>
          <w:rFonts w:asciiTheme="majorBidi" w:hAnsiTheme="majorBidi"/>
          <w:snapToGrid w:val="0"/>
        </w:rPr>
        <w:t>,</w:t>
      </w:r>
      <w:r w:rsidR="007E033A">
        <w:rPr>
          <w:rFonts w:asciiTheme="majorBidi" w:hAnsiTheme="majorBidi"/>
          <w:snapToGrid w:val="0"/>
        </w:rPr>
        <w:t xml:space="preserve"> afin d’améliorer la pertinence et l’efficacité de la coopération technique et scientifique</w:t>
      </w:r>
      <w:r w:rsidR="00725D48">
        <w:rPr>
          <w:rFonts w:asciiTheme="majorBidi" w:hAnsiTheme="majorBidi"/>
          <w:snapToGrid w:val="0"/>
        </w:rPr>
        <w:t xml:space="preserve"> en appui à</w:t>
      </w:r>
      <w:r w:rsidR="007E033A">
        <w:rPr>
          <w:rFonts w:asciiTheme="majorBidi" w:hAnsiTheme="majorBidi"/>
          <w:snapToGrid w:val="0"/>
        </w:rPr>
        <w:t xml:space="preserve"> la mise en </w:t>
      </w:r>
      <w:r w:rsidR="007E033A">
        <w:rPr>
          <w:rFonts w:asciiTheme="majorBidi" w:hAnsiTheme="majorBidi"/>
          <w:snapToGrid w:val="0"/>
        </w:rPr>
        <w:lastRenderedPageBreak/>
        <w:t>œuvre du cadre mondial de la biodiversité pour l’après-2020.</w:t>
      </w:r>
      <w:r w:rsidR="007E033A">
        <w:rPr>
          <w:rFonts w:asciiTheme="majorBidi" w:hAnsiTheme="majorBidi"/>
          <w:snapToGrid w:val="0"/>
          <w:szCs w:val="22"/>
        </w:rPr>
        <w:t xml:space="preserve"> </w:t>
      </w:r>
      <w:r w:rsidR="007E033A">
        <w:rPr>
          <w:rFonts w:asciiTheme="majorBidi" w:hAnsiTheme="majorBidi"/>
          <w:snapToGrid w:val="0"/>
        </w:rPr>
        <w:t>Les recommandations sont organisées en deux grandes catégories : les recommandations stratégiques et les recommanda</w:t>
      </w:r>
      <w:r w:rsidR="00725D48">
        <w:rPr>
          <w:rFonts w:asciiTheme="majorBidi" w:hAnsiTheme="majorBidi"/>
          <w:snapToGrid w:val="0"/>
        </w:rPr>
        <w:t>tions opérationnelles</w:t>
      </w:r>
      <w:r w:rsidR="007E033A">
        <w:rPr>
          <w:rFonts w:asciiTheme="majorBidi" w:hAnsiTheme="majorBidi"/>
          <w:snapToGrid w:val="0"/>
        </w:rPr>
        <w:t xml:space="preserve">. </w:t>
      </w:r>
    </w:p>
    <w:p w14:paraId="61EC0C26" w14:textId="661A23E7" w:rsidR="00E3362B" w:rsidRPr="007C4E47" w:rsidRDefault="00E3362B" w:rsidP="002118CB">
      <w:pPr>
        <w:suppressLineNumbers/>
        <w:tabs>
          <w:tab w:val="left" w:pos="630"/>
          <w:tab w:val="left" w:pos="720"/>
        </w:tabs>
        <w:suppressAutoHyphens/>
        <w:kinsoku w:val="0"/>
        <w:overflowPunct w:val="0"/>
        <w:autoSpaceDE w:val="0"/>
        <w:autoSpaceDN w:val="0"/>
        <w:adjustRightInd w:val="0"/>
        <w:snapToGrid w:val="0"/>
        <w:spacing w:before="120" w:after="120"/>
        <w:rPr>
          <w:rFonts w:asciiTheme="majorBidi" w:hAnsiTheme="majorBidi" w:cstheme="majorBidi"/>
          <w:i/>
          <w:iCs/>
          <w:snapToGrid w:val="0"/>
          <w:kern w:val="22"/>
          <w:szCs w:val="22"/>
        </w:rPr>
      </w:pPr>
      <w:r>
        <w:rPr>
          <w:rFonts w:asciiTheme="majorBidi" w:hAnsiTheme="majorBidi"/>
          <w:i/>
          <w:iCs/>
          <w:snapToGrid w:val="0"/>
          <w:szCs w:val="22"/>
        </w:rPr>
        <w:t>Recommandations stratégiques</w:t>
      </w:r>
    </w:p>
    <w:p w14:paraId="5F9569C1" w14:textId="5AAC0A36" w:rsidR="005C205A" w:rsidRPr="00D54E29" w:rsidRDefault="00725D48"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Élabore</w:t>
      </w:r>
      <w:r w:rsidR="00F81CC4">
        <w:rPr>
          <w:rFonts w:asciiTheme="majorBidi" w:hAnsiTheme="majorBidi"/>
          <w:b/>
          <w:bCs/>
          <w:snapToGrid w:val="0"/>
        </w:rPr>
        <w:t xml:space="preserve">r une description claire du champ d’application de la coopération technique et scientifique et de </w:t>
      </w:r>
      <w:r>
        <w:rPr>
          <w:rFonts w:asciiTheme="majorBidi" w:hAnsiTheme="majorBidi"/>
          <w:b/>
          <w:bCs/>
          <w:snapToGrid w:val="0"/>
        </w:rPr>
        <w:t>la façon de la mettre en œuvre</w:t>
      </w:r>
      <w:r w:rsidR="00F81CC4">
        <w:rPr>
          <w:rFonts w:asciiTheme="majorBidi" w:hAnsiTheme="majorBidi"/>
          <w:b/>
          <w:bCs/>
          <w:snapToGrid w:val="0"/>
        </w:rPr>
        <w:t xml:space="preserve"> à tous les niveaux. </w:t>
      </w:r>
      <w:r w:rsidR="00F81CC4">
        <w:rPr>
          <w:rFonts w:asciiTheme="majorBidi" w:hAnsiTheme="majorBidi"/>
          <w:snapToGrid w:val="0"/>
        </w:rPr>
        <w:t>Il pourrait être util</w:t>
      </w:r>
      <w:r>
        <w:rPr>
          <w:rFonts w:asciiTheme="majorBidi" w:hAnsiTheme="majorBidi"/>
          <w:snapToGrid w:val="0"/>
        </w:rPr>
        <w:t>e d’élaborer une définition commune</w:t>
      </w:r>
      <w:r w:rsidR="00F81CC4">
        <w:rPr>
          <w:rFonts w:asciiTheme="majorBidi" w:hAnsiTheme="majorBidi"/>
          <w:snapToGrid w:val="0"/>
        </w:rPr>
        <w:t xml:space="preserve"> et une approche harmonisée en matière de coopération technique et scientifique dans le </w:t>
      </w:r>
      <w:r>
        <w:rPr>
          <w:rFonts w:asciiTheme="majorBidi" w:hAnsiTheme="majorBidi"/>
          <w:snapToGrid w:val="0"/>
        </w:rPr>
        <w:t>contexte des programmes menés au titre</w:t>
      </w:r>
      <w:r w:rsidR="00F81CC4">
        <w:rPr>
          <w:rFonts w:asciiTheme="majorBidi" w:hAnsiTheme="majorBidi"/>
          <w:snapToGrid w:val="0"/>
        </w:rPr>
        <w:t xml:space="preserve"> de la Convention</w:t>
      </w:r>
      <w:r>
        <w:rPr>
          <w:rFonts w:asciiTheme="majorBidi" w:hAnsiTheme="majorBidi"/>
          <w:snapToGrid w:val="0"/>
        </w:rPr>
        <w:t>,</w:t>
      </w:r>
      <w:r w:rsidR="00F81CC4">
        <w:rPr>
          <w:rFonts w:asciiTheme="majorBidi" w:hAnsiTheme="majorBidi"/>
          <w:snapToGrid w:val="0"/>
        </w:rPr>
        <w:t xml:space="preserve"> afin </w:t>
      </w:r>
      <w:r>
        <w:rPr>
          <w:rFonts w:asciiTheme="majorBidi" w:hAnsiTheme="majorBidi"/>
          <w:snapToGrid w:val="0"/>
        </w:rPr>
        <w:t>de mieux cibler les activité</w:t>
      </w:r>
      <w:r w:rsidR="00F81CC4">
        <w:rPr>
          <w:rFonts w:asciiTheme="majorBidi" w:hAnsiTheme="majorBidi"/>
          <w:snapToGrid w:val="0"/>
        </w:rPr>
        <w:t xml:space="preserve">s de coopération technique et scientifique à toutes les échelles, de manière à les rendre </w:t>
      </w:r>
      <w:r>
        <w:rPr>
          <w:rFonts w:asciiTheme="majorBidi" w:hAnsiTheme="majorBidi"/>
          <w:snapToGrid w:val="0"/>
        </w:rPr>
        <w:t>plus efficaces et de garantir un</w:t>
      </w:r>
      <w:r w:rsidR="00F81CC4">
        <w:rPr>
          <w:rFonts w:asciiTheme="majorBidi" w:hAnsiTheme="majorBidi"/>
          <w:snapToGrid w:val="0"/>
        </w:rPr>
        <w:t xml:space="preserve"> </w:t>
      </w:r>
      <w:r>
        <w:rPr>
          <w:rFonts w:asciiTheme="majorBidi" w:hAnsiTheme="majorBidi"/>
          <w:snapToGrid w:val="0"/>
        </w:rPr>
        <w:t>suivi et des rapports systématiques sur le</w:t>
      </w:r>
      <w:r w:rsidR="00F81CC4">
        <w:rPr>
          <w:rFonts w:asciiTheme="majorBidi" w:hAnsiTheme="majorBidi"/>
          <w:snapToGrid w:val="0"/>
        </w:rPr>
        <w:t>s progrès réalisés.</w:t>
      </w:r>
    </w:p>
    <w:p w14:paraId="2CD4173E" w14:textId="5710A383" w:rsidR="000B5AD9" w:rsidRPr="007C4E47" w:rsidRDefault="0066404E"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Institutionnaliser la c</w:t>
      </w:r>
      <w:r w:rsidR="00725D48">
        <w:rPr>
          <w:rFonts w:asciiTheme="majorBidi" w:hAnsiTheme="majorBidi"/>
          <w:b/>
          <w:bCs/>
          <w:snapToGrid w:val="0"/>
        </w:rPr>
        <w:t>oordination et les actions en matière de</w:t>
      </w:r>
      <w:r>
        <w:rPr>
          <w:rFonts w:asciiTheme="majorBidi" w:hAnsiTheme="majorBidi"/>
          <w:b/>
          <w:bCs/>
          <w:snapToGrid w:val="0"/>
        </w:rPr>
        <w:t xml:space="preserve"> coopéra</w:t>
      </w:r>
      <w:r w:rsidR="00725D48">
        <w:rPr>
          <w:rFonts w:asciiTheme="majorBidi" w:hAnsiTheme="majorBidi"/>
          <w:b/>
          <w:bCs/>
          <w:snapToGrid w:val="0"/>
        </w:rPr>
        <w:t>tion technique et scientifique au moyen</w:t>
      </w:r>
      <w:r>
        <w:rPr>
          <w:rFonts w:asciiTheme="majorBidi" w:hAnsiTheme="majorBidi"/>
          <w:b/>
          <w:bCs/>
          <w:snapToGrid w:val="0"/>
        </w:rPr>
        <w:t xml:space="preserve"> </w:t>
      </w:r>
      <w:r w:rsidR="00725D48">
        <w:rPr>
          <w:rFonts w:asciiTheme="majorBidi" w:hAnsiTheme="majorBidi"/>
          <w:b/>
          <w:bCs/>
          <w:snapToGrid w:val="0"/>
        </w:rPr>
        <w:t>de mécanismes régionaux et infra</w:t>
      </w:r>
      <w:r>
        <w:rPr>
          <w:rFonts w:asciiTheme="majorBidi" w:hAnsiTheme="majorBidi"/>
          <w:b/>
          <w:bCs/>
          <w:snapToGrid w:val="0"/>
        </w:rPr>
        <w:t xml:space="preserve">régionaux. </w:t>
      </w:r>
      <w:r w:rsidR="00725D48">
        <w:rPr>
          <w:rFonts w:asciiTheme="majorBidi" w:hAnsiTheme="majorBidi"/>
          <w:snapToGrid w:val="0"/>
        </w:rPr>
        <w:t>Les centres régionaux et infra</w:t>
      </w:r>
      <w:r>
        <w:rPr>
          <w:rFonts w:asciiTheme="majorBidi" w:hAnsiTheme="majorBidi"/>
          <w:snapToGrid w:val="0"/>
        </w:rPr>
        <w:t xml:space="preserve">régionaux présentent l’avantage d’avoir un nombre accru de relations et de connaissances, non seulement en ce qui a trait aux enjeux et aux défis, mais aussi aux parties prenantes et aux experts qui œuvrent sur le terrain pour atteindre les objectifs de biodiversité. Ces centres peuvent s’avérer plus efficients et efficaces pour mettre en relation l’échelle mondiale et l’échelle locale, pour favoriser les partenariats </w:t>
      </w:r>
      <w:r w:rsidR="00916E7E">
        <w:rPr>
          <w:rFonts w:asciiTheme="majorBidi" w:hAnsiTheme="majorBidi"/>
          <w:snapToGrid w:val="0"/>
        </w:rPr>
        <w:t xml:space="preserve">en matière </w:t>
      </w:r>
      <w:r>
        <w:rPr>
          <w:rFonts w:asciiTheme="majorBidi" w:hAnsiTheme="majorBidi"/>
          <w:snapToGrid w:val="0"/>
        </w:rPr>
        <w:t>de coopération technique et scientifique et pour créer des jumelages qui appuieront la mise en œuvre du cadre mondial de la biodiversité pour l’après-2020.</w:t>
      </w:r>
      <w:r>
        <w:rPr>
          <w:rFonts w:asciiTheme="majorBidi" w:hAnsiTheme="majorBidi"/>
          <w:snapToGrid w:val="0"/>
          <w:szCs w:val="22"/>
        </w:rPr>
        <w:t xml:space="preserve"> </w:t>
      </w:r>
      <w:r w:rsidR="00916E7E">
        <w:rPr>
          <w:rFonts w:asciiTheme="majorBidi" w:hAnsiTheme="majorBidi"/>
          <w:snapToGrid w:val="0"/>
        </w:rPr>
        <w:t xml:space="preserve">Pour que cela </w:t>
      </w:r>
      <w:r>
        <w:rPr>
          <w:rFonts w:asciiTheme="majorBidi" w:hAnsiTheme="majorBidi"/>
          <w:snapToGrid w:val="0"/>
        </w:rPr>
        <w:t>soit efficace, il est important que les capacités des institutions ou centres régionaux soient renforcées, en particulier dans certains domaines, notamment la mobilisation des ressources.</w:t>
      </w:r>
    </w:p>
    <w:p w14:paraId="02EF0644" w14:textId="0C255AE1" w:rsidR="00F10415" w:rsidRPr="007C4E47" w:rsidRDefault="00DB7426"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Intégrer des activités d</w:t>
      </w:r>
      <w:r w:rsidR="00916E7E">
        <w:rPr>
          <w:rFonts w:asciiTheme="majorBidi" w:hAnsiTheme="majorBidi"/>
          <w:b/>
          <w:bCs/>
          <w:snapToGrid w:val="0"/>
        </w:rPr>
        <w:t>e renforcement des capacités dans les</w:t>
      </w:r>
      <w:r>
        <w:rPr>
          <w:rFonts w:asciiTheme="majorBidi" w:hAnsiTheme="majorBidi"/>
          <w:b/>
          <w:bCs/>
          <w:snapToGrid w:val="0"/>
        </w:rPr>
        <w:t xml:space="preserve"> programmes de coopération technique et scientifique. </w:t>
      </w:r>
      <w:r>
        <w:rPr>
          <w:rFonts w:asciiTheme="majorBidi" w:hAnsiTheme="majorBidi"/>
          <w:snapToGrid w:val="0"/>
        </w:rPr>
        <w:t>Le</w:t>
      </w:r>
      <w:r w:rsidR="00916E7E">
        <w:rPr>
          <w:rFonts w:asciiTheme="majorBidi" w:hAnsiTheme="majorBidi"/>
          <w:snapToGrid w:val="0"/>
        </w:rPr>
        <w:t>s initiatives qui ont inclus des activités de</w:t>
      </w:r>
      <w:r>
        <w:rPr>
          <w:rFonts w:asciiTheme="majorBidi" w:hAnsiTheme="majorBidi"/>
          <w:snapToGrid w:val="0"/>
        </w:rPr>
        <w:t xml:space="preserve"> renforcement des</w:t>
      </w:r>
      <w:r w:rsidR="00916E7E">
        <w:rPr>
          <w:rFonts w:asciiTheme="majorBidi" w:hAnsiTheme="majorBidi"/>
          <w:snapToGrid w:val="0"/>
        </w:rPr>
        <w:t xml:space="preserve"> capacités ont une portée plus grande et peuvent potentiellement avoir un plus grand impact</w:t>
      </w:r>
      <w:r>
        <w:rPr>
          <w:rFonts w:asciiTheme="majorBidi" w:hAnsiTheme="majorBidi"/>
          <w:snapToGrid w:val="0"/>
        </w:rPr>
        <w:t>; en conséquence, les programmes de coopération technique et scientifique devraient délibérément inclure des activités de renforcement des capacités.</w:t>
      </w:r>
    </w:p>
    <w:p w14:paraId="4B360385" w14:textId="609B1C36" w:rsidR="00435B6D" w:rsidRPr="007C4E47" w:rsidRDefault="00435B6D"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Adapter et cibler les programmes de coopération technique et scientifiqu</w:t>
      </w:r>
      <w:r w:rsidR="00916E7E">
        <w:rPr>
          <w:rFonts w:asciiTheme="majorBidi" w:hAnsiTheme="majorBidi"/>
          <w:b/>
          <w:bCs/>
          <w:snapToGrid w:val="0"/>
        </w:rPr>
        <w:t>e en fonction des besoins recensés</w:t>
      </w:r>
      <w:r>
        <w:rPr>
          <w:rFonts w:asciiTheme="majorBidi" w:hAnsiTheme="majorBidi"/>
          <w:b/>
          <w:bCs/>
          <w:snapToGrid w:val="0"/>
        </w:rPr>
        <w:t xml:space="preserve"> par les pays et </w:t>
      </w:r>
      <w:r w:rsidR="00916E7E">
        <w:rPr>
          <w:rFonts w:asciiTheme="majorBidi" w:hAnsiTheme="majorBidi"/>
          <w:b/>
          <w:bCs/>
          <w:snapToGrid w:val="0"/>
        </w:rPr>
        <w:t xml:space="preserve">les </w:t>
      </w:r>
      <w:r>
        <w:rPr>
          <w:rFonts w:asciiTheme="majorBidi" w:hAnsiTheme="majorBidi"/>
          <w:b/>
          <w:bCs/>
          <w:snapToGrid w:val="0"/>
        </w:rPr>
        <w:t xml:space="preserve">communautés partenaires. </w:t>
      </w:r>
      <w:r>
        <w:rPr>
          <w:rFonts w:asciiTheme="majorBidi" w:hAnsiTheme="majorBidi"/>
          <w:snapToGrid w:val="0"/>
        </w:rPr>
        <w:t xml:space="preserve">Il est essentiel de déployer des efforts plus soutenus et </w:t>
      </w:r>
      <w:r w:rsidR="00916E7E">
        <w:rPr>
          <w:rFonts w:asciiTheme="majorBidi" w:hAnsiTheme="majorBidi"/>
          <w:snapToGrid w:val="0"/>
        </w:rPr>
        <w:t>plus systématiques pour faire en sorte</w:t>
      </w:r>
      <w:r>
        <w:rPr>
          <w:rFonts w:asciiTheme="majorBidi" w:hAnsiTheme="majorBidi"/>
          <w:snapToGrid w:val="0"/>
        </w:rPr>
        <w:t xml:space="preserve"> que les programmes de coopération technique et scientifique soient fondés sur la demande et qu’ils répondent a</w:t>
      </w:r>
      <w:r w:rsidR="00916E7E">
        <w:rPr>
          <w:rFonts w:asciiTheme="majorBidi" w:hAnsiTheme="majorBidi"/>
          <w:snapToGrid w:val="0"/>
        </w:rPr>
        <w:t>ux besoins et aux lacunes recens</w:t>
      </w:r>
      <w:r>
        <w:rPr>
          <w:rFonts w:asciiTheme="majorBidi" w:hAnsiTheme="majorBidi"/>
          <w:snapToGrid w:val="0"/>
        </w:rPr>
        <w:t>és par le</w:t>
      </w:r>
      <w:r w:rsidR="00916E7E">
        <w:rPr>
          <w:rFonts w:asciiTheme="majorBidi" w:hAnsiTheme="majorBidi"/>
          <w:snapToGrid w:val="0"/>
        </w:rPr>
        <w:t>s bénéficiaires des activité</w:t>
      </w:r>
      <w:r>
        <w:rPr>
          <w:rFonts w:asciiTheme="majorBidi" w:hAnsiTheme="majorBidi"/>
          <w:snapToGrid w:val="0"/>
        </w:rPr>
        <w:t>s envisagées.</w:t>
      </w:r>
    </w:p>
    <w:p w14:paraId="795C8DE9" w14:textId="6770657A" w:rsidR="00C41A30" w:rsidRPr="007C4E47" w:rsidRDefault="00C41A30"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 xml:space="preserve">Renforcer les capacités organisationnelles et institutionnelles des institutions régionales et nationales partenaires. </w:t>
      </w:r>
      <w:r>
        <w:rPr>
          <w:rFonts w:asciiTheme="majorBidi" w:hAnsiTheme="majorBidi"/>
          <w:snapToGrid w:val="0"/>
        </w:rPr>
        <w:t>Il est important que les programmes de coopération technique et scientifique mettent davantage l’accent sur le renforcement des capacités organisationnelles et institutionnelles et qu’ils incluent des stratégies qui favorisent l’amélioration de la gouvernance, des structures de prise de décisions, des procédures et des ressources financières et humaines</w:t>
      </w:r>
      <w:r w:rsidR="0019536D">
        <w:rPr>
          <w:rFonts w:asciiTheme="majorBidi" w:hAnsiTheme="majorBidi"/>
          <w:snapToGrid w:val="0"/>
        </w:rPr>
        <w:t>, entre autres</w:t>
      </w:r>
      <w:r>
        <w:rPr>
          <w:rFonts w:asciiTheme="majorBidi" w:hAnsiTheme="majorBidi"/>
          <w:snapToGrid w:val="0"/>
        </w:rPr>
        <w:t>. Ces aspects peuvent favoriser le développement scientifique et les innovations technologi</w:t>
      </w:r>
      <w:r w:rsidR="0019536D">
        <w:rPr>
          <w:rFonts w:asciiTheme="majorBidi" w:hAnsiTheme="majorBidi"/>
          <w:snapToGrid w:val="0"/>
        </w:rPr>
        <w:t>ques à long terme, susceptibles d’appuyer</w:t>
      </w:r>
      <w:r>
        <w:rPr>
          <w:rFonts w:asciiTheme="majorBidi" w:hAnsiTheme="majorBidi"/>
          <w:snapToGrid w:val="0"/>
        </w:rPr>
        <w:t xml:space="preserve"> le cadre mondial de la biodiversité pour l’après-2020.</w:t>
      </w:r>
    </w:p>
    <w:p w14:paraId="41E057CC" w14:textId="1A9355F0" w:rsidR="000019D4" w:rsidRPr="007C4E47" w:rsidRDefault="005C68C0"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Accorder la priorité aux activités de coopération technique et scientifique qui favorisent le partage des connaissa</w:t>
      </w:r>
      <w:r w:rsidR="0019536D">
        <w:rPr>
          <w:rFonts w:asciiTheme="majorBidi" w:hAnsiTheme="majorBidi"/>
          <w:b/>
          <w:bCs/>
          <w:snapToGrid w:val="0"/>
        </w:rPr>
        <w:t xml:space="preserve">nces locales et </w:t>
      </w:r>
      <w:r>
        <w:rPr>
          <w:rFonts w:asciiTheme="majorBidi" w:hAnsiTheme="majorBidi"/>
          <w:b/>
          <w:bCs/>
          <w:snapToGrid w:val="0"/>
        </w:rPr>
        <w:t>auto</w:t>
      </w:r>
      <w:r w:rsidR="0019536D">
        <w:rPr>
          <w:rFonts w:asciiTheme="majorBidi" w:hAnsiTheme="majorBidi"/>
          <w:b/>
          <w:bCs/>
          <w:snapToGrid w:val="0"/>
        </w:rPr>
        <w:t>chtones entre les Parties et opt</w:t>
      </w:r>
      <w:r>
        <w:rPr>
          <w:rFonts w:asciiTheme="majorBidi" w:hAnsiTheme="majorBidi"/>
          <w:b/>
          <w:bCs/>
          <w:snapToGrid w:val="0"/>
        </w:rPr>
        <w:t xml:space="preserve">imisent le recours aux experts locaux pour la conception de nouvelles technologies. </w:t>
      </w:r>
      <w:r w:rsidR="0019536D">
        <w:rPr>
          <w:rFonts w:asciiTheme="majorBidi" w:hAnsiTheme="majorBidi"/>
          <w:snapToGrid w:val="0"/>
        </w:rPr>
        <w:t xml:space="preserve">Il importe </w:t>
      </w:r>
      <w:r>
        <w:rPr>
          <w:rFonts w:asciiTheme="majorBidi" w:hAnsiTheme="majorBidi"/>
          <w:snapToGrid w:val="0"/>
        </w:rPr>
        <w:t>de déployer des efforts plus soutenus pour concevoir des programmes de coopération technique et scientifique qui sont spécialement destinés aux peuples autochtones et aux communautés locales et qui mettent l’</w:t>
      </w:r>
      <w:r w:rsidR="0019536D">
        <w:rPr>
          <w:rFonts w:asciiTheme="majorBidi" w:hAnsiTheme="majorBidi"/>
          <w:snapToGrid w:val="0"/>
        </w:rPr>
        <w:t>accent sur le recours aux connaissance</w:t>
      </w:r>
      <w:r>
        <w:rPr>
          <w:rFonts w:asciiTheme="majorBidi" w:hAnsiTheme="majorBidi"/>
          <w:snapToGrid w:val="0"/>
        </w:rPr>
        <w:t>s autochtones et aux experts locaux. À cet effet, il est également recommandé que les Parties, les organisations et les autres parties prenantes qui élaborent des programmes de coopération technique et sci</w:t>
      </w:r>
      <w:r w:rsidR="0019536D">
        <w:rPr>
          <w:rFonts w:asciiTheme="majorBidi" w:hAnsiTheme="majorBidi"/>
          <w:snapToGrid w:val="0"/>
        </w:rPr>
        <w:t>entifique appliquent</w:t>
      </w:r>
      <w:r>
        <w:rPr>
          <w:rFonts w:asciiTheme="majorBidi" w:hAnsiTheme="majorBidi"/>
          <w:snapToGrid w:val="0"/>
        </w:rPr>
        <w:t xml:space="preserve"> les lignes directrices facultatives Akwé:Kon</w:t>
      </w:r>
      <w:r w:rsidR="00444EC0">
        <w:rPr>
          <w:rStyle w:val="FootnoteReference"/>
          <w:rFonts w:asciiTheme="majorBidi" w:hAnsiTheme="majorBidi" w:cstheme="majorBidi"/>
          <w:snapToGrid w:val="0"/>
          <w:kern w:val="22"/>
          <w:lang w:val="en-CA"/>
        </w:rPr>
        <w:footnoteReference w:id="4"/>
      </w:r>
      <w:r w:rsidR="0019536D">
        <w:rPr>
          <w:rFonts w:asciiTheme="majorBidi" w:hAnsiTheme="majorBidi"/>
          <w:snapToGrid w:val="0"/>
        </w:rPr>
        <w:t>, afin de gérer</w:t>
      </w:r>
      <w:r>
        <w:rPr>
          <w:rFonts w:asciiTheme="majorBidi" w:hAnsiTheme="majorBidi"/>
          <w:snapToGrid w:val="0"/>
        </w:rPr>
        <w:t xml:space="preserve"> les aménagements </w:t>
      </w:r>
      <w:r>
        <w:rPr>
          <w:rFonts w:asciiTheme="majorBidi" w:hAnsiTheme="majorBidi"/>
          <w:snapToGrid w:val="0"/>
        </w:rPr>
        <w:lastRenderedPageBreak/>
        <w:t xml:space="preserve">proposés qui pourraient avoir une incidence sur des sites sacrés et sur des terres ou des eaux occupées ou utilisées traditionnellement par des communautés autochtones et locales.  </w:t>
      </w:r>
    </w:p>
    <w:p w14:paraId="61A0B38D" w14:textId="4563E5C2" w:rsidR="002C0C04" w:rsidRPr="007C4E47" w:rsidRDefault="00D75386"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b/>
          <w:bCs/>
          <w:snapToGrid w:val="0"/>
        </w:rPr>
        <w:t xml:space="preserve">Renforcer les partenariats et la coopération intersectorielle et diversifier les partenaires stratégiques et opérationnels </w:t>
      </w:r>
      <w:r w:rsidR="0019536D">
        <w:rPr>
          <w:rFonts w:asciiTheme="majorBidi" w:hAnsiTheme="majorBidi"/>
          <w:b/>
          <w:bCs/>
          <w:snapToGrid w:val="0"/>
        </w:rPr>
        <w:t xml:space="preserve">en matière </w:t>
      </w:r>
      <w:r>
        <w:rPr>
          <w:rFonts w:asciiTheme="majorBidi" w:hAnsiTheme="majorBidi"/>
          <w:b/>
          <w:bCs/>
          <w:snapToGrid w:val="0"/>
        </w:rPr>
        <w:t xml:space="preserve">de coopération technique et scientifique. </w:t>
      </w:r>
      <w:r>
        <w:rPr>
          <w:rFonts w:asciiTheme="majorBidi" w:hAnsiTheme="majorBidi"/>
          <w:snapToGrid w:val="0"/>
        </w:rPr>
        <w:t xml:space="preserve">Lorsque </w:t>
      </w:r>
      <w:r w:rsidR="0019536D">
        <w:rPr>
          <w:rFonts w:asciiTheme="majorBidi" w:hAnsiTheme="majorBidi"/>
          <w:snapToGrid w:val="0"/>
        </w:rPr>
        <w:t xml:space="preserve">cela est </w:t>
      </w:r>
      <w:r>
        <w:rPr>
          <w:rFonts w:asciiTheme="majorBidi" w:hAnsiTheme="majorBidi"/>
          <w:snapToGrid w:val="0"/>
        </w:rPr>
        <w:t xml:space="preserve">possible, les programmes de coopération technique et scientifique devraient favoriser les synergies entre la Convention sur la diversité biologique et les accords multilatéraux sur l’environnement </w:t>
      </w:r>
      <w:r w:rsidR="0019536D">
        <w:rPr>
          <w:rFonts w:asciiTheme="majorBidi" w:hAnsiTheme="majorBidi"/>
          <w:snapToGrid w:val="0"/>
        </w:rPr>
        <w:t xml:space="preserve">pertinents </w:t>
      </w:r>
      <w:r>
        <w:rPr>
          <w:rFonts w:asciiTheme="majorBidi" w:hAnsiTheme="majorBidi"/>
          <w:snapToGrid w:val="0"/>
        </w:rPr>
        <w:t>et les plateformes existantes, notamment le Groupe d’experts intergouvernement</w:t>
      </w:r>
      <w:r w:rsidR="00AB1563">
        <w:rPr>
          <w:rFonts w:asciiTheme="majorBidi" w:hAnsiTheme="majorBidi"/>
          <w:snapToGrid w:val="0"/>
        </w:rPr>
        <w:t>al sur l’évolution du climat (G</w:t>
      </w:r>
      <w:r>
        <w:rPr>
          <w:rFonts w:asciiTheme="majorBidi" w:hAnsiTheme="majorBidi"/>
          <w:snapToGrid w:val="0"/>
        </w:rPr>
        <w:t>I</w:t>
      </w:r>
      <w:r w:rsidR="00AB1563">
        <w:rPr>
          <w:rFonts w:asciiTheme="majorBidi" w:hAnsiTheme="majorBidi"/>
          <w:snapToGrid w:val="0"/>
        </w:rPr>
        <w:t>E</w:t>
      </w:r>
      <w:r>
        <w:rPr>
          <w:rFonts w:asciiTheme="majorBidi" w:hAnsiTheme="majorBidi"/>
          <w:snapToGrid w:val="0"/>
        </w:rPr>
        <w:t>C) et la Plateforme intergouvernementale scientifique et politique sur la biodiversité et les services écosystémiques. Dans le cas des nouveaux programmes, il conviendrait de mettre davantage l’accent</w:t>
      </w:r>
      <w:r w:rsidR="0019536D">
        <w:rPr>
          <w:rFonts w:asciiTheme="majorBidi" w:hAnsiTheme="majorBidi"/>
          <w:snapToGrid w:val="0"/>
        </w:rPr>
        <w:t xml:space="preserve"> sur les questions et l</w:t>
      </w:r>
      <w:r>
        <w:rPr>
          <w:rFonts w:asciiTheme="majorBidi" w:hAnsiTheme="majorBidi"/>
          <w:snapToGrid w:val="0"/>
        </w:rPr>
        <w:t>es thèmes intersectoriels, ainsi</w:t>
      </w:r>
      <w:r w:rsidR="00C24341">
        <w:rPr>
          <w:rFonts w:asciiTheme="majorBidi" w:hAnsiTheme="majorBidi"/>
          <w:snapToGrid w:val="0"/>
        </w:rPr>
        <w:t xml:space="preserve"> que sur la résolution des difficultés rencontrées pour assurer la participation d’</w:t>
      </w:r>
      <w:r w:rsidR="005F6507">
        <w:rPr>
          <w:rFonts w:asciiTheme="majorBidi" w:hAnsiTheme="majorBidi"/>
          <w:snapToGrid w:val="0"/>
        </w:rPr>
        <w:t xml:space="preserve">autres </w:t>
      </w:r>
      <w:r w:rsidR="005F6507">
        <w:rPr>
          <w:rFonts w:asciiTheme="majorBidi" w:hAnsiTheme="majorBidi"/>
        </w:rPr>
        <w:t>accords</w:t>
      </w:r>
      <w:r>
        <w:rPr>
          <w:rFonts w:asciiTheme="majorBidi" w:hAnsiTheme="majorBidi"/>
          <w:snapToGrid w:val="0"/>
        </w:rPr>
        <w:t xml:space="preserve"> multilatéraux sur l’environnement</w:t>
      </w:r>
      <w:r w:rsidR="00C24341">
        <w:rPr>
          <w:rFonts w:asciiTheme="majorBidi" w:hAnsiTheme="majorBidi"/>
          <w:snapToGrid w:val="0"/>
        </w:rPr>
        <w:t xml:space="preserve"> pertinents et de</w:t>
      </w:r>
      <w:r>
        <w:rPr>
          <w:rFonts w:asciiTheme="majorBidi" w:hAnsiTheme="majorBidi"/>
          <w:snapToGrid w:val="0"/>
        </w:rPr>
        <w:t xml:space="preserve"> </w:t>
      </w:r>
      <w:r w:rsidR="00C24341">
        <w:rPr>
          <w:rFonts w:asciiTheme="majorBidi" w:hAnsiTheme="majorBidi"/>
          <w:snapToGrid w:val="0"/>
        </w:rPr>
        <w:t>nouveaux partenaires de mise en œuvre</w:t>
      </w:r>
      <w:r>
        <w:rPr>
          <w:rFonts w:asciiTheme="majorBidi" w:hAnsiTheme="majorBidi"/>
          <w:snapToGrid w:val="0"/>
          <w:szCs w:val="22"/>
        </w:rPr>
        <w:t xml:space="preserve">.  </w:t>
      </w:r>
    </w:p>
    <w:p w14:paraId="635FE97D" w14:textId="275A9F40" w:rsidR="004744DA" w:rsidRPr="007C4E47" w:rsidRDefault="008155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Élargir et renforcer la coopération Sud-Sud.</w:t>
      </w:r>
      <w:r>
        <w:rPr>
          <w:rFonts w:asciiTheme="majorBidi" w:hAnsiTheme="majorBidi"/>
          <w:snapToGrid w:val="0"/>
          <w:szCs w:val="22"/>
        </w:rPr>
        <w:t xml:space="preserve"> </w:t>
      </w:r>
      <w:r>
        <w:rPr>
          <w:rFonts w:asciiTheme="majorBidi" w:hAnsiTheme="majorBidi"/>
          <w:snapToGrid w:val="0"/>
        </w:rPr>
        <w:t xml:space="preserve">Il est </w:t>
      </w:r>
      <w:r w:rsidR="00C24341">
        <w:rPr>
          <w:rFonts w:asciiTheme="majorBidi" w:hAnsiTheme="majorBidi"/>
          <w:snapToGrid w:val="0"/>
        </w:rPr>
        <w:t>recommandé de mettre à disposition</w:t>
      </w:r>
      <w:r>
        <w:rPr>
          <w:rFonts w:asciiTheme="majorBidi" w:hAnsiTheme="majorBidi"/>
          <w:snapToGrid w:val="0"/>
        </w:rPr>
        <w:t xml:space="preserve"> des ressources qui permettront d’élargir et de renforcer la coopération Sud-Sud, dans le but d’aider les pays en développement Parties </w:t>
      </w:r>
      <w:r w:rsidR="002158E1">
        <w:rPr>
          <w:rFonts w:asciiTheme="majorBidi" w:hAnsiTheme="majorBidi"/>
          <w:snapToGrid w:val="0"/>
        </w:rPr>
        <w:t>à</w:t>
      </w:r>
      <w:r>
        <w:rPr>
          <w:rFonts w:asciiTheme="majorBidi" w:hAnsiTheme="majorBidi"/>
          <w:snapToGrid w:val="0"/>
        </w:rPr>
        <w:t xml:space="preserve"> collaborer pour concevoir et mettre en œuvre des activités concertées de coopération </w:t>
      </w:r>
      <w:r w:rsidR="00C24341">
        <w:rPr>
          <w:rFonts w:asciiTheme="majorBidi" w:hAnsiTheme="majorBidi"/>
          <w:snapToGrid w:val="0"/>
        </w:rPr>
        <w:t xml:space="preserve">technique et scientifique et à </w:t>
      </w:r>
      <w:r>
        <w:rPr>
          <w:rFonts w:asciiTheme="majorBidi" w:hAnsiTheme="majorBidi"/>
          <w:snapToGrid w:val="0"/>
        </w:rPr>
        <w:t>créer conjointement de nouvelles connaissances et technologies.</w:t>
      </w:r>
      <w:r>
        <w:rPr>
          <w:rFonts w:asciiTheme="majorBidi" w:hAnsiTheme="majorBidi"/>
          <w:snapToGrid w:val="0"/>
          <w:szCs w:val="22"/>
        </w:rPr>
        <w:t xml:space="preserve"> </w:t>
      </w:r>
      <w:r w:rsidR="00C24341">
        <w:rPr>
          <w:rFonts w:asciiTheme="majorBidi" w:hAnsiTheme="majorBidi"/>
          <w:snapToGrid w:val="0"/>
        </w:rPr>
        <w:t>Ceci devrait être complété</w:t>
      </w:r>
      <w:r>
        <w:rPr>
          <w:rFonts w:asciiTheme="majorBidi" w:hAnsiTheme="majorBidi"/>
          <w:snapToGrid w:val="0"/>
        </w:rPr>
        <w:t xml:space="preserve"> par une coopération triangulaire et une coopération Nord-Sud afin d’intégrer toutes les perspectives et les </w:t>
      </w:r>
      <w:r w:rsidR="00C24341">
        <w:rPr>
          <w:rFonts w:asciiTheme="majorBidi" w:hAnsiTheme="majorBidi"/>
          <w:snapToGrid w:val="0"/>
        </w:rPr>
        <w:t>connaissances existantes. Pour réaliser cela</w:t>
      </w:r>
      <w:r>
        <w:rPr>
          <w:rFonts w:asciiTheme="majorBidi" w:hAnsiTheme="majorBidi"/>
          <w:snapToGrid w:val="0"/>
        </w:rPr>
        <w:t>, la fonction de mise en relation du Centre d’échange devrait être renforcée</w:t>
      </w:r>
      <w:r w:rsidR="00C24341">
        <w:rPr>
          <w:rFonts w:asciiTheme="majorBidi" w:hAnsiTheme="majorBidi"/>
          <w:snapToGrid w:val="0"/>
        </w:rPr>
        <w:t xml:space="preserve">, afin de </w:t>
      </w:r>
      <w:r>
        <w:rPr>
          <w:rFonts w:asciiTheme="majorBidi" w:hAnsiTheme="majorBidi"/>
          <w:snapToGrid w:val="0"/>
        </w:rPr>
        <w:t>permettr</w:t>
      </w:r>
      <w:r w:rsidR="00C24341">
        <w:rPr>
          <w:rFonts w:asciiTheme="majorBidi" w:hAnsiTheme="majorBidi"/>
          <w:snapToGrid w:val="0"/>
        </w:rPr>
        <w:t>e aux Parties d’identifier de</w:t>
      </w:r>
      <w:r>
        <w:rPr>
          <w:rFonts w:asciiTheme="majorBidi" w:hAnsiTheme="majorBidi"/>
          <w:snapToGrid w:val="0"/>
        </w:rPr>
        <w:t>s partenaires et</w:t>
      </w:r>
      <w:r w:rsidR="00C24341">
        <w:rPr>
          <w:rFonts w:asciiTheme="majorBidi" w:hAnsiTheme="majorBidi"/>
          <w:snapToGrid w:val="0"/>
        </w:rPr>
        <w:t xml:space="preserve"> des </w:t>
      </w:r>
      <w:r>
        <w:rPr>
          <w:rFonts w:asciiTheme="majorBidi" w:hAnsiTheme="majorBidi"/>
          <w:snapToGrid w:val="0"/>
        </w:rPr>
        <w:t xml:space="preserve"> donateurs</w:t>
      </w:r>
      <w:r w:rsidR="00C24341">
        <w:rPr>
          <w:rFonts w:asciiTheme="majorBidi" w:hAnsiTheme="majorBidi"/>
          <w:snapToGrid w:val="0"/>
        </w:rPr>
        <w:t xml:space="preserve"> potentiels</w:t>
      </w:r>
      <w:r>
        <w:rPr>
          <w:rFonts w:asciiTheme="majorBidi" w:hAnsiTheme="majorBidi"/>
          <w:snapToGrid w:val="0"/>
        </w:rPr>
        <w:t>.</w:t>
      </w:r>
    </w:p>
    <w:p w14:paraId="16FC5867" w14:textId="5D01929E" w:rsidR="00091199" w:rsidRPr="007C4E47" w:rsidRDefault="004744DA" w:rsidP="002118CB">
      <w:pPr>
        <w:suppressLineNumbers/>
        <w:tabs>
          <w:tab w:val="left" w:pos="360"/>
          <w:tab w:val="left" w:pos="720"/>
        </w:tabs>
        <w:suppressAutoHyphens/>
        <w:kinsoku w:val="0"/>
        <w:overflowPunct w:val="0"/>
        <w:autoSpaceDE w:val="0"/>
        <w:autoSpaceDN w:val="0"/>
        <w:adjustRightInd w:val="0"/>
        <w:snapToGrid w:val="0"/>
        <w:spacing w:before="240" w:after="120"/>
        <w:rPr>
          <w:rFonts w:asciiTheme="majorBidi" w:hAnsiTheme="majorBidi" w:cstheme="majorBidi"/>
          <w:i/>
          <w:iCs/>
          <w:snapToGrid w:val="0"/>
          <w:kern w:val="22"/>
          <w:szCs w:val="22"/>
        </w:rPr>
      </w:pPr>
      <w:r>
        <w:rPr>
          <w:rFonts w:asciiTheme="majorBidi" w:hAnsiTheme="majorBidi"/>
          <w:i/>
          <w:iCs/>
          <w:snapToGrid w:val="0"/>
          <w:szCs w:val="22"/>
        </w:rPr>
        <w:t>Recommandations opérationnelles</w:t>
      </w:r>
    </w:p>
    <w:p w14:paraId="0B3BCB66" w14:textId="040AAE16" w:rsidR="00590F90" w:rsidRPr="007C4E47" w:rsidRDefault="00DB7D5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b/>
          <w:bCs/>
          <w:snapToGrid w:val="0"/>
        </w:rPr>
        <w:t>Mettre en place des mécanismes qui garantissent l’affectation de ressources financières adéquates et durables à la coopération technique et scientifique.</w:t>
      </w:r>
      <w:r>
        <w:rPr>
          <w:rFonts w:asciiTheme="majorBidi" w:hAnsiTheme="majorBidi"/>
          <w:snapToGrid w:val="0"/>
          <w:szCs w:val="22"/>
        </w:rPr>
        <w:t xml:space="preserve"> </w:t>
      </w:r>
      <w:r w:rsidR="00C24341">
        <w:rPr>
          <w:rFonts w:asciiTheme="majorBidi" w:hAnsiTheme="majorBidi"/>
          <w:snapToGrid w:val="0"/>
        </w:rPr>
        <w:t xml:space="preserve">Afin de maintenir </w:t>
      </w:r>
      <w:r>
        <w:rPr>
          <w:rFonts w:asciiTheme="majorBidi" w:hAnsiTheme="majorBidi"/>
          <w:snapToGrid w:val="0"/>
        </w:rPr>
        <w:t>un apport prévisible et suffisant de ressources financières pour la mise en œuvre efficace des programmes de coopération technique et scientifique, des mécanismes de financement spécialement dédiés à la coopération technique et scientifique, ainsi qu’une stratégie de mobilisation et de diversification des ressources, devraient être mis en place.</w:t>
      </w:r>
      <w:r>
        <w:rPr>
          <w:rFonts w:asciiTheme="majorBidi" w:hAnsiTheme="majorBidi"/>
          <w:snapToGrid w:val="0"/>
          <w:szCs w:val="22"/>
        </w:rPr>
        <w:t xml:space="preserve"> </w:t>
      </w:r>
    </w:p>
    <w:p w14:paraId="06AAABE9" w14:textId="5E1CD8B0" w:rsidR="00590F90" w:rsidRPr="007C4E47" w:rsidRDefault="00C24341"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b/>
          <w:bCs/>
          <w:snapToGrid w:val="0"/>
        </w:rPr>
        <w:t>Étoffer le</w:t>
      </w:r>
      <w:r w:rsidR="000B21FF">
        <w:rPr>
          <w:rFonts w:asciiTheme="majorBidi" w:hAnsiTheme="majorBidi"/>
          <w:b/>
          <w:bCs/>
          <w:snapToGrid w:val="0"/>
        </w:rPr>
        <w:t xml:space="preserve"> Centre de partage et en améliorer l’utilisation.</w:t>
      </w:r>
      <w:r w:rsidR="000B21FF">
        <w:rPr>
          <w:rFonts w:asciiTheme="majorBidi" w:hAnsiTheme="majorBidi"/>
          <w:snapToGrid w:val="0"/>
          <w:szCs w:val="22"/>
        </w:rPr>
        <w:t xml:space="preserve"> </w:t>
      </w:r>
      <w:r>
        <w:rPr>
          <w:rFonts w:asciiTheme="majorBidi" w:hAnsiTheme="majorBidi"/>
          <w:snapToGrid w:val="0"/>
        </w:rPr>
        <w:t>Le Centre d’échange</w:t>
      </w:r>
      <w:r w:rsidR="000B21FF">
        <w:rPr>
          <w:rFonts w:asciiTheme="majorBidi" w:hAnsiTheme="majorBidi"/>
          <w:snapToGrid w:val="0"/>
        </w:rPr>
        <w:t xml:space="preserve"> devrait êt</w:t>
      </w:r>
      <w:r>
        <w:rPr>
          <w:rFonts w:asciiTheme="majorBidi" w:hAnsiTheme="majorBidi"/>
          <w:snapToGrid w:val="0"/>
        </w:rPr>
        <w:t xml:space="preserve">re renforcé en vue de remplir efficacement </w:t>
      </w:r>
      <w:r w:rsidR="000B21FF">
        <w:rPr>
          <w:rFonts w:asciiTheme="majorBidi" w:hAnsiTheme="majorBidi"/>
          <w:snapToGrid w:val="0"/>
        </w:rPr>
        <w:t>son mandat, qui vise à promouvoir et</w:t>
      </w:r>
      <w:r>
        <w:rPr>
          <w:rFonts w:asciiTheme="majorBidi" w:hAnsiTheme="majorBidi"/>
          <w:snapToGrid w:val="0"/>
        </w:rPr>
        <w:t xml:space="preserve"> à</w:t>
      </w:r>
      <w:r w:rsidR="000B21FF">
        <w:rPr>
          <w:rFonts w:asciiTheme="majorBidi" w:hAnsiTheme="majorBidi"/>
          <w:snapToGrid w:val="0"/>
        </w:rPr>
        <w:t xml:space="preserve"> faciliter la coopération technique et scientifique. Plus particulièrement, la fonction de mise en relation d’investisseurs et de porteurs de projets du Centre d’échange devrait être bonifiée</w:t>
      </w:r>
      <w:r>
        <w:rPr>
          <w:rFonts w:asciiTheme="majorBidi" w:hAnsiTheme="majorBidi"/>
          <w:snapToGrid w:val="0"/>
        </w:rPr>
        <w:t xml:space="preserve">, afin </w:t>
      </w:r>
      <w:r w:rsidR="000B21FF">
        <w:rPr>
          <w:rFonts w:asciiTheme="majorBidi" w:hAnsiTheme="majorBidi"/>
          <w:snapToGrid w:val="0"/>
        </w:rPr>
        <w:t xml:space="preserve">de permettre aux Parties de trouver d’autres Parties et des parties prenantes </w:t>
      </w:r>
      <w:r w:rsidR="002158E1">
        <w:rPr>
          <w:rFonts w:asciiTheme="majorBidi" w:hAnsiTheme="majorBidi"/>
          <w:snapToGrid w:val="0"/>
        </w:rPr>
        <w:t>compétentes</w:t>
      </w:r>
      <w:r w:rsidR="000B21FF">
        <w:rPr>
          <w:rFonts w:asciiTheme="majorBidi" w:hAnsiTheme="majorBidi"/>
          <w:snapToGrid w:val="0"/>
        </w:rPr>
        <w:t xml:space="preserve"> et de communiquer et collaborer avec cel</w:t>
      </w:r>
      <w:r>
        <w:rPr>
          <w:rFonts w:asciiTheme="majorBidi" w:hAnsiTheme="majorBidi"/>
          <w:snapToGrid w:val="0"/>
        </w:rPr>
        <w:t>les-ci relativement à des questions</w:t>
      </w:r>
      <w:r w:rsidR="000B21FF">
        <w:rPr>
          <w:rFonts w:asciiTheme="majorBidi" w:hAnsiTheme="majorBidi"/>
          <w:snapToGrid w:val="0"/>
        </w:rPr>
        <w:t xml:space="preserve"> d’intérêt commun, ainsi que de trouver des donateurs. En </w:t>
      </w:r>
      <w:r>
        <w:rPr>
          <w:rFonts w:asciiTheme="majorBidi" w:hAnsiTheme="majorBidi"/>
          <w:snapToGrid w:val="0"/>
        </w:rPr>
        <w:t>outre, de nouveaux outils, tels que</w:t>
      </w:r>
      <w:r w:rsidR="000B21FF">
        <w:rPr>
          <w:rFonts w:asciiTheme="majorBidi" w:hAnsiTheme="majorBidi"/>
          <w:snapToGrid w:val="0"/>
        </w:rPr>
        <w:t xml:space="preserve"> des applications mobiles, devraient être mis au point et déployés pour élargir et fa</w:t>
      </w:r>
      <w:r>
        <w:rPr>
          <w:rFonts w:asciiTheme="majorBidi" w:hAnsiTheme="majorBidi"/>
          <w:snapToGrid w:val="0"/>
        </w:rPr>
        <w:t xml:space="preserve">ciliter l’accès au </w:t>
      </w:r>
      <w:r w:rsidR="000B21FF">
        <w:rPr>
          <w:rFonts w:asciiTheme="majorBidi" w:hAnsiTheme="majorBidi"/>
          <w:snapToGrid w:val="0"/>
        </w:rPr>
        <w:t>Centre de partage et en favoriser l’utilisation. Également, les platefo</w:t>
      </w:r>
      <w:r>
        <w:rPr>
          <w:rFonts w:asciiTheme="majorBidi" w:hAnsiTheme="majorBidi"/>
          <w:snapToGrid w:val="0"/>
        </w:rPr>
        <w:t xml:space="preserve">rmes de discussion </w:t>
      </w:r>
      <w:r w:rsidR="000B21FF">
        <w:rPr>
          <w:rFonts w:asciiTheme="majorBidi" w:hAnsiTheme="majorBidi"/>
          <w:snapToGrid w:val="0"/>
        </w:rPr>
        <w:t xml:space="preserve">du Centre de partage devraient être renforcées afin de promouvoir et de faciliter la coopération technique et scientifique entre les Parties et les parties prenantes </w:t>
      </w:r>
      <w:r>
        <w:rPr>
          <w:rFonts w:asciiTheme="majorBidi" w:hAnsiTheme="majorBidi"/>
          <w:snapToGrid w:val="0"/>
        </w:rPr>
        <w:t>concerné</w:t>
      </w:r>
      <w:r w:rsidR="002158E1">
        <w:rPr>
          <w:rFonts w:asciiTheme="majorBidi" w:hAnsiTheme="majorBidi"/>
          <w:snapToGrid w:val="0"/>
        </w:rPr>
        <w:t>es</w:t>
      </w:r>
      <w:r w:rsidR="000B21FF">
        <w:rPr>
          <w:rFonts w:asciiTheme="majorBidi" w:hAnsiTheme="majorBidi"/>
          <w:snapToGrid w:val="0"/>
        </w:rPr>
        <w:t>.</w:t>
      </w:r>
      <w:r w:rsidR="000B21FF">
        <w:rPr>
          <w:rFonts w:asciiTheme="majorBidi" w:hAnsiTheme="majorBidi"/>
          <w:snapToGrid w:val="0"/>
          <w:szCs w:val="22"/>
        </w:rPr>
        <w:t xml:space="preserve"> </w:t>
      </w:r>
    </w:p>
    <w:p w14:paraId="57265219" w14:textId="3E29E4C9" w:rsidR="00590F90" w:rsidRPr="007C4E47" w:rsidRDefault="00AB1563"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cstheme="majorBidi"/>
          <w:b/>
          <w:bCs/>
          <w:snapToGrid w:val="0"/>
        </w:rPr>
        <w:t>É</w:t>
      </w:r>
      <w:r>
        <w:rPr>
          <w:rFonts w:asciiTheme="majorBidi" w:hAnsiTheme="majorBidi"/>
          <w:b/>
          <w:bCs/>
          <w:snapToGrid w:val="0"/>
        </w:rPr>
        <w:t>laborer</w:t>
      </w:r>
      <w:r w:rsidR="00C24341">
        <w:rPr>
          <w:rFonts w:asciiTheme="majorBidi" w:hAnsiTheme="majorBidi"/>
          <w:b/>
          <w:bCs/>
          <w:snapToGrid w:val="0"/>
        </w:rPr>
        <w:t xml:space="preserve"> un programme globa</w:t>
      </w:r>
      <w:r w:rsidR="00086CFD">
        <w:rPr>
          <w:rFonts w:asciiTheme="majorBidi" w:hAnsiTheme="majorBidi"/>
          <w:b/>
          <w:bCs/>
          <w:snapToGrid w:val="0"/>
        </w:rPr>
        <w:t>l de coopératio</w:t>
      </w:r>
      <w:r w:rsidR="00C24341">
        <w:rPr>
          <w:rFonts w:asciiTheme="majorBidi" w:hAnsiTheme="majorBidi"/>
          <w:b/>
          <w:bCs/>
          <w:snapToGrid w:val="0"/>
        </w:rPr>
        <w:t xml:space="preserve">n technique et scientifique comprenant </w:t>
      </w:r>
      <w:r w:rsidR="00086CFD">
        <w:rPr>
          <w:rFonts w:asciiTheme="majorBidi" w:hAnsiTheme="majorBidi"/>
          <w:b/>
          <w:bCs/>
          <w:snapToGrid w:val="0"/>
        </w:rPr>
        <w:t>une th</w:t>
      </w:r>
      <w:r w:rsidR="00C24341">
        <w:rPr>
          <w:rFonts w:asciiTheme="majorBidi" w:hAnsiTheme="majorBidi"/>
          <w:b/>
          <w:bCs/>
          <w:snapToGrid w:val="0"/>
        </w:rPr>
        <w:t xml:space="preserve">éorie du changement claire et </w:t>
      </w:r>
      <w:r w:rsidR="00086CFD">
        <w:rPr>
          <w:rFonts w:asciiTheme="majorBidi" w:hAnsiTheme="majorBidi"/>
          <w:b/>
          <w:bCs/>
          <w:snapToGrid w:val="0"/>
        </w:rPr>
        <w:t xml:space="preserve">un cadre de suivi et d’évaluation </w:t>
      </w:r>
      <w:r w:rsidR="00C24341">
        <w:rPr>
          <w:rFonts w:asciiTheme="majorBidi" w:hAnsiTheme="majorBidi"/>
          <w:b/>
          <w:bCs/>
          <w:snapToGrid w:val="0"/>
        </w:rPr>
        <w:t>ax</w:t>
      </w:r>
      <w:r w:rsidR="00086CFD">
        <w:rPr>
          <w:rFonts w:asciiTheme="majorBidi" w:hAnsiTheme="majorBidi"/>
          <w:b/>
          <w:bCs/>
          <w:snapToGrid w:val="0"/>
        </w:rPr>
        <w:t>é sur les résultats.</w:t>
      </w:r>
      <w:r w:rsidR="00086CFD">
        <w:rPr>
          <w:rFonts w:asciiTheme="majorBidi" w:hAnsiTheme="majorBidi"/>
          <w:snapToGrid w:val="0"/>
          <w:szCs w:val="22"/>
        </w:rPr>
        <w:t xml:space="preserve"> </w:t>
      </w:r>
      <w:r w:rsidR="00086CFD">
        <w:rPr>
          <w:rFonts w:asciiTheme="majorBidi" w:hAnsiTheme="majorBidi"/>
          <w:snapToGrid w:val="0"/>
        </w:rPr>
        <w:t>Il est recommandé</w:t>
      </w:r>
      <w:r w:rsidR="00C24341">
        <w:rPr>
          <w:rFonts w:asciiTheme="majorBidi" w:hAnsiTheme="majorBidi"/>
          <w:snapToGrid w:val="0"/>
        </w:rPr>
        <w:t xml:space="preserve"> de concevoir un programme glob</w:t>
      </w:r>
      <w:r w:rsidR="00086CFD">
        <w:rPr>
          <w:rFonts w:asciiTheme="majorBidi" w:hAnsiTheme="majorBidi"/>
          <w:snapToGrid w:val="0"/>
        </w:rPr>
        <w:t>al de coopération t</w:t>
      </w:r>
      <w:r w:rsidR="00C24341">
        <w:rPr>
          <w:rFonts w:asciiTheme="majorBidi" w:hAnsiTheme="majorBidi"/>
          <w:snapToGrid w:val="0"/>
        </w:rPr>
        <w:t xml:space="preserve">echnique et scientifique comprenant </w:t>
      </w:r>
      <w:r w:rsidR="00086CFD">
        <w:rPr>
          <w:rFonts w:asciiTheme="majorBidi" w:hAnsiTheme="majorBidi"/>
          <w:snapToGrid w:val="0"/>
        </w:rPr>
        <w:t>une th</w:t>
      </w:r>
      <w:r w:rsidR="00C24341">
        <w:rPr>
          <w:rFonts w:asciiTheme="majorBidi" w:hAnsiTheme="majorBidi"/>
          <w:snapToGrid w:val="0"/>
        </w:rPr>
        <w:t xml:space="preserve">éorie du changement claire et </w:t>
      </w:r>
      <w:r w:rsidR="00086CFD">
        <w:rPr>
          <w:rFonts w:asciiTheme="majorBidi" w:hAnsiTheme="majorBidi"/>
          <w:snapToGrid w:val="0"/>
        </w:rPr>
        <w:t>un cad</w:t>
      </w:r>
      <w:r w:rsidR="00C24341">
        <w:rPr>
          <w:rFonts w:asciiTheme="majorBidi" w:hAnsiTheme="majorBidi"/>
          <w:snapToGrid w:val="0"/>
        </w:rPr>
        <w:t>re de suivi et d’évaluation ax</w:t>
      </w:r>
      <w:r w:rsidR="00086CFD">
        <w:rPr>
          <w:rFonts w:asciiTheme="majorBidi" w:hAnsiTheme="majorBidi"/>
          <w:snapToGrid w:val="0"/>
        </w:rPr>
        <w:t>é sur les résultats</w:t>
      </w:r>
      <w:r w:rsidR="00C24341">
        <w:rPr>
          <w:rFonts w:asciiTheme="majorBidi" w:hAnsiTheme="majorBidi"/>
          <w:snapToGrid w:val="0"/>
        </w:rPr>
        <w:t>, afin de fournir d</w:t>
      </w:r>
      <w:r w:rsidR="00086CFD">
        <w:rPr>
          <w:rFonts w:asciiTheme="majorBidi" w:hAnsiTheme="majorBidi"/>
          <w:snapToGrid w:val="0"/>
        </w:rPr>
        <w:t>e</w:t>
      </w:r>
      <w:r w:rsidR="00C24341">
        <w:rPr>
          <w:rFonts w:asciiTheme="majorBidi" w:hAnsiTheme="majorBidi"/>
          <w:snapToGrid w:val="0"/>
        </w:rPr>
        <w:t>s</w:t>
      </w:r>
      <w:r w:rsidR="00086CFD">
        <w:rPr>
          <w:rFonts w:asciiTheme="majorBidi" w:hAnsiTheme="majorBidi"/>
          <w:snapToGrid w:val="0"/>
        </w:rPr>
        <w:t xml:space="preserve"> orientation</w:t>
      </w:r>
      <w:r w:rsidR="00C24341">
        <w:rPr>
          <w:rFonts w:asciiTheme="majorBidi" w:hAnsiTheme="majorBidi"/>
          <w:snapToGrid w:val="0"/>
        </w:rPr>
        <w:t>s</w:t>
      </w:r>
      <w:r w:rsidR="00086CFD">
        <w:rPr>
          <w:rFonts w:asciiTheme="majorBidi" w:hAnsiTheme="majorBidi"/>
          <w:snapToGrid w:val="0"/>
        </w:rPr>
        <w:t xml:space="preserve"> générale</w:t>
      </w:r>
      <w:r w:rsidR="00C24341">
        <w:rPr>
          <w:rFonts w:asciiTheme="majorBidi" w:hAnsiTheme="majorBidi"/>
          <w:snapToGrid w:val="0"/>
        </w:rPr>
        <w:t>s</w:t>
      </w:r>
      <w:r w:rsidR="00086CFD">
        <w:rPr>
          <w:rFonts w:asciiTheme="majorBidi" w:hAnsiTheme="majorBidi"/>
          <w:snapToGrid w:val="0"/>
        </w:rPr>
        <w:t xml:space="preserve"> aux Parties et aux partenaires </w:t>
      </w:r>
      <w:r w:rsidR="00C24341">
        <w:rPr>
          <w:rFonts w:asciiTheme="majorBidi" w:hAnsiTheme="majorBidi"/>
          <w:snapToGrid w:val="0"/>
        </w:rPr>
        <w:t xml:space="preserve">en matière </w:t>
      </w:r>
      <w:r w:rsidR="00086CFD">
        <w:rPr>
          <w:rFonts w:asciiTheme="majorBidi" w:hAnsiTheme="majorBidi"/>
          <w:snapToGrid w:val="0"/>
        </w:rPr>
        <w:t>de coopération technique et scientifique</w:t>
      </w:r>
      <w:r w:rsidR="007B4DBE">
        <w:rPr>
          <w:rFonts w:asciiTheme="majorBidi" w:hAnsiTheme="majorBidi"/>
          <w:snapToGrid w:val="0"/>
        </w:rPr>
        <w:t>, et de faciliter l’établissement</w:t>
      </w:r>
      <w:r w:rsidR="00086CFD">
        <w:rPr>
          <w:rFonts w:asciiTheme="majorBidi" w:hAnsiTheme="majorBidi"/>
          <w:snapToGrid w:val="0"/>
        </w:rPr>
        <w:t xml:space="preserve"> de rapports</w:t>
      </w:r>
      <w:r w:rsidR="007B4DBE">
        <w:rPr>
          <w:rFonts w:asciiTheme="majorBidi" w:hAnsiTheme="majorBidi"/>
          <w:snapToGrid w:val="0"/>
        </w:rPr>
        <w:t xml:space="preserve"> fondés sur des données probantes sur l</w:t>
      </w:r>
      <w:r w:rsidR="00086CFD">
        <w:rPr>
          <w:rFonts w:asciiTheme="majorBidi" w:hAnsiTheme="majorBidi"/>
          <w:snapToGrid w:val="0"/>
        </w:rPr>
        <w:t xml:space="preserve">es progrès </w:t>
      </w:r>
      <w:r w:rsidR="007B4DBE">
        <w:rPr>
          <w:rFonts w:asciiTheme="majorBidi" w:hAnsiTheme="majorBidi"/>
          <w:snapToGrid w:val="0"/>
        </w:rPr>
        <w:t xml:space="preserve">accomplis dans </w:t>
      </w:r>
      <w:r w:rsidR="00086CFD">
        <w:rPr>
          <w:rFonts w:asciiTheme="majorBidi" w:hAnsiTheme="majorBidi"/>
          <w:snapToGrid w:val="0"/>
        </w:rPr>
        <w:t xml:space="preserve">la contribution de la coopération technique et </w:t>
      </w:r>
      <w:r w:rsidR="007B4DBE">
        <w:rPr>
          <w:rFonts w:asciiTheme="majorBidi" w:hAnsiTheme="majorBidi"/>
          <w:snapToGrid w:val="0"/>
        </w:rPr>
        <w:t>scientifique à la réalisation des</w:t>
      </w:r>
      <w:r w:rsidR="00086CFD">
        <w:rPr>
          <w:rFonts w:asciiTheme="majorBidi" w:hAnsiTheme="majorBidi"/>
          <w:snapToGrid w:val="0"/>
        </w:rPr>
        <w:t xml:space="preserve"> cibles et </w:t>
      </w:r>
      <w:r w:rsidR="007B4DBE">
        <w:rPr>
          <w:rFonts w:asciiTheme="majorBidi" w:hAnsiTheme="majorBidi"/>
          <w:snapToGrid w:val="0"/>
        </w:rPr>
        <w:t xml:space="preserve">des </w:t>
      </w:r>
      <w:r w:rsidR="00086CFD">
        <w:rPr>
          <w:rFonts w:asciiTheme="majorBidi" w:hAnsiTheme="majorBidi"/>
          <w:snapToGrid w:val="0"/>
        </w:rPr>
        <w:t>objectifs du cadre mondial de la biodiversité pour l’après-2020.</w:t>
      </w:r>
    </w:p>
    <w:p w14:paraId="5C43C448" w14:textId="292F8ABB" w:rsidR="003750CF" w:rsidRPr="00AE1B2D" w:rsidRDefault="00B44672"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b/>
          <w:bCs/>
          <w:snapToGrid w:val="0"/>
        </w:rPr>
        <w:t>Renforcer les ressources humaines.</w:t>
      </w:r>
      <w:r>
        <w:rPr>
          <w:rFonts w:asciiTheme="majorBidi" w:hAnsiTheme="majorBidi"/>
          <w:snapToGrid w:val="0"/>
          <w:szCs w:val="22"/>
        </w:rPr>
        <w:t xml:space="preserve"> </w:t>
      </w:r>
      <w:r>
        <w:rPr>
          <w:rFonts w:asciiTheme="majorBidi" w:hAnsiTheme="majorBidi"/>
          <w:snapToGrid w:val="0"/>
        </w:rPr>
        <w:t>Les Parties devraient mettre en place des environneme</w:t>
      </w:r>
      <w:r w:rsidR="007B4DBE">
        <w:rPr>
          <w:rFonts w:asciiTheme="majorBidi" w:hAnsiTheme="majorBidi"/>
          <w:snapToGrid w:val="0"/>
        </w:rPr>
        <w:t>nts et autres mesures habilitante</w:t>
      </w:r>
      <w:r>
        <w:rPr>
          <w:rFonts w:asciiTheme="majorBidi" w:hAnsiTheme="majorBidi"/>
          <w:snapToGrid w:val="0"/>
        </w:rPr>
        <w:t xml:space="preserve">s qui permettront aux mêmes personnes de demeurer impliquées dans les programmes de coopération technique et scientifique pendant de plus longues périodes, en plus de faciliter </w:t>
      </w:r>
      <w:r>
        <w:rPr>
          <w:rFonts w:asciiTheme="majorBidi" w:hAnsiTheme="majorBidi"/>
          <w:snapToGrid w:val="0"/>
        </w:rPr>
        <w:lastRenderedPageBreak/>
        <w:t>l’éch</w:t>
      </w:r>
      <w:r w:rsidR="007B4DBE">
        <w:rPr>
          <w:rFonts w:asciiTheme="majorBidi" w:hAnsiTheme="majorBidi"/>
          <w:snapToGrid w:val="0"/>
        </w:rPr>
        <w:t>ange systématique de compétences, de connaissances et d’</w:t>
      </w:r>
      <w:r>
        <w:rPr>
          <w:rFonts w:asciiTheme="majorBidi" w:hAnsiTheme="majorBidi"/>
          <w:snapToGrid w:val="0"/>
        </w:rPr>
        <w:t>expériences. Dans le cadre des programmes de coopération techn</w:t>
      </w:r>
      <w:r w:rsidR="007B4DBE">
        <w:rPr>
          <w:rFonts w:asciiTheme="majorBidi" w:hAnsiTheme="majorBidi"/>
          <w:snapToGrid w:val="0"/>
        </w:rPr>
        <w:t>ique et scientifique, il conviendrait de</w:t>
      </w:r>
      <w:r>
        <w:rPr>
          <w:rFonts w:asciiTheme="majorBidi" w:hAnsiTheme="majorBidi"/>
          <w:snapToGrid w:val="0"/>
        </w:rPr>
        <w:t xml:space="preserve"> réduire le recours excessif aux consultants extérieurs, aux détachements et aux autres effectifs temporaires</w:t>
      </w:r>
      <w:r w:rsidR="007B4DBE">
        <w:rPr>
          <w:rFonts w:asciiTheme="majorBidi" w:hAnsiTheme="majorBidi"/>
          <w:snapToGrid w:val="0"/>
        </w:rPr>
        <w:t>,</w:t>
      </w:r>
      <w:r>
        <w:rPr>
          <w:rFonts w:asciiTheme="majorBidi" w:hAnsiTheme="majorBidi"/>
          <w:snapToGrid w:val="0"/>
        </w:rPr>
        <w:t xml:space="preserve"> afin d’améliorer les capacités institutionnelles à long terme et de dimi</w:t>
      </w:r>
      <w:r w:rsidR="007B4DBE">
        <w:rPr>
          <w:rFonts w:asciiTheme="majorBidi" w:hAnsiTheme="majorBidi"/>
          <w:snapToGrid w:val="0"/>
        </w:rPr>
        <w:t>nuer les interruptions lors de la mise</w:t>
      </w:r>
      <w:r>
        <w:rPr>
          <w:rFonts w:asciiTheme="majorBidi" w:hAnsiTheme="majorBidi"/>
          <w:snapToGrid w:val="0"/>
        </w:rPr>
        <w:t xml:space="preserve"> en œuvre.</w:t>
      </w:r>
      <w:r>
        <w:rPr>
          <w:rFonts w:asciiTheme="majorBidi" w:hAnsiTheme="majorBidi"/>
          <w:snapToGrid w:val="0"/>
          <w:szCs w:val="22"/>
        </w:rPr>
        <w:t xml:space="preserve"> </w:t>
      </w:r>
    </w:p>
    <w:p w14:paraId="497521C4" w14:textId="3BBF8FC3" w:rsidR="00AA0FBF" w:rsidRPr="007C4E47" w:rsidRDefault="00AA0FB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rPr>
      </w:pPr>
      <w:r>
        <w:rPr>
          <w:rFonts w:asciiTheme="majorBidi" w:hAnsiTheme="majorBidi"/>
          <w:snapToGrid w:val="0"/>
        </w:rPr>
        <w:t>Il est à noter que la plupart de ces recommandations sont déjà prises en comp</w:t>
      </w:r>
      <w:r w:rsidR="007B4DBE">
        <w:rPr>
          <w:rFonts w:asciiTheme="majorBidi" w:hAnsiTheme="majorBidi"/>
          <w:snapToGrid w:val="0"/>
        </w:rPr>
        <w:t>te dans les propositions pour</w:t>
      </w:r>
      <w:r>
        <w:rPr>
          <w:rFonts w:asciiTheme="majorBidi" w:hAnsiTheme="majorBidi"/>
          <w:snapToGrid w:val="0"/>
        </w:rPr>
        <w:t xml:space="preserve"> renforcer la coopération techniq</w:t>
      </w:r>
      <w:r w:rsidR="007B4DBE">
        <w:rPr>
          <w:rFonts w:asciiTheme="majorBidi" w:hAnsiTheme="majorBidi"/>
          <w:snapToGrid w:val="0"/>
        </w:rPr>
        <w:t>ue et scientifique présentées dans l’annexe au</w:t>
      </w:r>
      <w:r>
        <w:rPr>
          <w:rFonts w:asciiTheme="majorBidi" w:hAnsiTheme="majorBidi"/>
          <w:snapToGrid w:val="0"/>
        </w:rPr>
        <w:t xml:space="preserve"> projet de décision recommandé par l’</w:t>
      </w:r>
      <w:r w:rsidR="0013681D">
        <w:rPr>
          <w:rFonts w:asciiTheme="majorBidi" w:hAnsiTheme="majorBidi"/>
          <w:snapToGrid w:val="0"/>
        </w:rPr>
        <w:t>Organe subsidiaire</w:t>
      </w:r>
      <w:r>
        <w:rPr>
          <w:rFonts w:asciiTheme="majorBidi" w:hAnsiTheme="majorBidi"/>
          <w:snapToGrid w:val="0"/>
        </w:rPr>
        <w:t xml:space="preserve"> chargé de l’application (voir CBD/COP/15/2, point 13A, annexe II). </w:t>
      </w:r>
    </w:p>
    <w:p w14:paraId="2D313D4A" w14:textId="348319D6" w:rsidR="003750CF" w:rsidRPr="00F24717" w:rsidRDefault="00470AFB" w:rsidP="00F24717">
      <w:pPr>
        <w:pStyle w:val="Heading2"/>
        <w:numPr>
          <w:ilvl w:val="0"/>
          <w:numId w:val="27"/>
        </w:numPr>
        <w:ind w:left="0" w:firstLine="0"/>
        <w:rPr>
          <w:snapToGrid w:val="0"/>
        </w:rPr>
      </w:pPr>
      <w:r>
        <w:rPr>
          <w:snapToGrid w:val="0"/>
        </w:rPr>
        <w:t xml:space="preserve">Théorie du changement proposée pour la coopération technique et scientifique </w:t>
      </w:r>
    </w:p>
    <w:p w14:paraId="1B3BEBDD" w14:textId="3BAFB6C7" w:rsidR="00DA2636" w:rsidRPr="0030523C" w:rsidRDefault="0013681D" w:rsidP="000D077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2" w:name="_Hlk118974476"/>
      <w:r>
        <w:rPr>
          <w:rFonts w:asciiTheme="majorBidi" w:hAnsiTheme="majorBidi"/>
          <w:snapToGrid w:val="0"/>
        </w:rPr>
        <w:t>Cette partie</w:t>
      </w:r>
      <w:r w:rsidR="007B4DBE">
        <w:rPr>
          <w:rFonts w:asciiTheme="majorBidi" w:hAnsiTheme="majorBidi"/>
          <w:snapToGrid w:val="0"/>
        </w:rPr>
        <w:t xml:space="preserve"> </w:t>
      </w:r>
      <w:r w:rsidR="008C6368">
        <w:rPr>
          <w:rFonts w:asciiTheme="majorBidi" w:hAnsiTheme="majorBidi"/>
          <w:snapToGrid w:val="0"/>
        </w:rPr>
        <w:t xml:space="preserve">présente une proposition de théorie du changement générale pour la coopération technique et scientifique dans le contexte du cadre mondial </w:t>
      </w:r>
      <w:bookmarkEnd w:id="2"/>
      <w:r w:rsidR="008C6368">
        <w:rPr>
          <w:rFonts w:asciiTheme="majorBidi" w:hAnsiTheme="majorBidi"/>
          <w:snapToGrid w:val="0"/>
        </w:rPr>
        <w:t xml:space="preserve">de la biodiversité pour l’après-2020. </w:t>
      </w:r>
      <w:r w:rsidR="008C6368">
        <w:rPr>
          <w:rFonts w:asciiTheme="majorBidi" w:hAnsiTheme="majorBidi"/>
        </w:rPr>
        <w:t>Il est important de souligner que cette théorie du changement, fournie à titre indic</w:t>
      </w:r>
      <w:r w:rsidR="007B4DBE">
        <w:rPr>
          <w:rFonts w:asciiTheme="majorBidi" w:hAnsiTheme="majorBidi"/>
        </w:rPr>
        <w:t>atif, a été élaborée par le groupe d’experts, aux fins d’examen par les</w:t>
      </w:r>
      <w:r w:rsidR="008C6368">
        <w:rPr>
          <w:rFonts w:asciiTheme="majorBidi" w:hAnsiTheme="majorBidi"/>
        </w:rPr>
        <w:t xml:space="preserve"> Parties à la Convention. </w:t>
      </w:r>
    </w:p>
    <w:p w14:paraId="4F90D870" w14:textId="04FD83D4" w:rsidR="008C6368" w:rsidRPr="00F24717" w:rsidRDefault="008C6368"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3" w:name="_Hlk118974518"/>
      <w:r>
        <w:rPr>
          <w:rFonts w:asciiTheme="majorBidi" w:hAnsiTheme="majorBidi"/>
          <w:snapToGrid w:val="0"/>
        </w:rPr>
        <w:t>La théorie proposée s’appuie sur une chaîn</w:t>
      </w:r>
      <w:r w:rsidR="007B4DBE">
        <w:rPr>
          <w:rFonts w:asciiTheme="majorBidi" w:hAnsiTheme="majorBidi"/>
          <w:snapToGrid w:val="0"/>
        </w:rPr>
        <w:t>e de résultats qui contribuera à la réalisation</w:t>
      </w:r>
      <w:r>
        <w:rPr>
          <w:rFonts w:asciiTheme="majorBidi" w:hAnsiTheme="majorBidi"/>
          <w:snapToGrid w:val="0"/>
        </w:rPr>
        <w:t xml:space="preserve"> de la cible 19.2 : consolid</w:t>
      </w:r>
      <w:r w:rsidR="007B4DBE">
        <w:rPr>
          <w:rFonts w:asciiTheme="majorBidi" w:hAnsiTheme="majorBidi"/>
          <w:snapToGrid w:val="0"/>
        </w:rPr>
        <w:t xml:space="preserve">er </w:t>
      </w:r>
      <w:r>
        <w:rPr>
          <w:rFonts w:asciiTheme="majorBidi" w:hAnsiTheme="majorBidi"/>
          <w:snapToGrid w:val="0"/>
        </w:rPr>
        <w:t xml:space="preserve">le renforcement </w:t>
      </w:r>
      <w:r w:rsidR="007B4DBE">
        <w:rPr>
          <w:rFonts w:asciiTheme="majorBidi" w:hAnsiTheme="majorBidi"/>
          <w:snapToGrid w:val="0"/>
        </w:rPr>
        <w:t>et la création de</w:t>
      </w:r>
      <w:r>
        <w:rPr>
          <w:rFonts w:asciiTheme="majorBidi" w:hAnsiTheme="majorBidi"/>
          <w:snapToGrid w:val="0"/>
        </w:rPr>
        <w:t xml:space="preserve"> capacités, </w:t>
      </w:r>
      <w:r>
        <w:rPr>
          <w:rFonts w:asciiTheme="majorBidi" w:hAnsiTheme="majorBidi"/>
        </w:rPr>
        <w:t xml:space="preserve">l’accès aux technologies et leur transfert, et promouvoir le </w:t>
      </w:r>
      <w:bookmarkStart w:id="4" w:name="_Hlk118974627"/>
      <w:bookmarkStart w:id="5" w:name="_Hlk118974579"/>
      <w:r>
        <w:rPr>
          <w:rFonts w:asciiTheme="majorBidi" w:hAnsiTheme="majorBidi"/>
        </w:rPr>
        <w:t>développement et l’accès</w:t>
      </w:r>
      <w:r w:rsidR="00B80BB8" w:rsidRPr="00751E08">
        <w:rPr>
          <w:rStyle w:val="FootnoteReference"/>
          <w:rFonts w:asciiTheme="majorBidi" w:hAnsiTheme="majorBidi" w:cstheme="majorBidi"/>
          <w:snapToGrid w:val="0"/>
          <w:kern w:val="22"/>
          <w:szCs w:val="22"/>
          <w:lang w:val="en-CA"/>
        </w:rPr>
        <w:footnoteReference w:id="5"/>
      </w:r>
      <w:r w:rsidR="007B4DBE">
        <w:rPr>
          <w:rFonts w:asciiTheme="majorBidi" w:hAnsiTheme="majorBidi"/>
        </w:rPr>
        <w:t xml:space="preserve"> </w:t>
      </w:r>
      <w:r>
        <w:rPr>
          <w:rFonts w:asciiTheme="majorBidi" w:hAnsiTheme="majorBidi"/>
        </w:rPr>
        <w:t>à l’innovation</w:t>
      </w:r>
      <w:r>
        <w:t xml:space="preserve"> et la coopération technique et scientifique.</w:t>
      </w:r>
      <w:bookmarkEnd w:id="3"/>
      <w:r>
        <w:rPr>
          <w:rFonts w:asciiTheme="majorBidi" w:hAnsiTheme="majorBidi"/>
          <w:snapToGrid w:val="0"/>
          <w:szCs w:val="22"/>
        </w:rPr>
        <w:t xml:space="preserve"> </w:t>
      </w:r>
      <w:r>
        <w:rPr>
          <w:rFonts w:asciiTheme="majorBidi" w:hAnsiTheme="majorBidi"/>
          <w:snapToGrid w:val="0"/>
        </w:rPr>
        <w:t>Elle définit des éléments qui relèvent directement de</w:t>
      </w:r>
      <w:r w:rsidR="007B4DBE">
        <w:rPr>
          <w:rFonts w:asciiTheme="majorBidi" w:hAnsiTheme="majorBidi"/>
          <w:snapToGrid w:val="0"/>
        </w:rPr>
        <w:t xml:space="preserve"> la compétence de</w:t>
      </w:r>
      <w:r>
        <w:rPr>
          <w:rFonts w:asciiTheme="majorBidi" w:hAnsiTheme="majorBidi"/>
          <w:snapToGrid w:val="0"/>
        </w:rPr>
        <w:t>s Parties</w:t>
      </w:r>
      <w:r>
        <w:rPr>
          <w:rFonts w:asciiTheme="majorBidi" w:hAnsiTheme="majorBidi"/>
        </w:rPr>
        <w:t xml:space="preserve"> et des parties prenantes </w:t>
      </w:r>
      <w:r w:rsidR="007B4DBE">
        <w:rPr>
          <w:rFonts w:asciiTheme="majorBidi" w:hAnsiTheme="majorBidi"/>
        </w:rPr>
        <w:t>concerné</w:t>
      </w:r>
      <w:r w:rsidR="002158E1">
        <w:rPr>
          <w:rFonts w:asciiTheme="majorBidi" w:hAnsiTheme="majorBidi"/>
        </w:rPr>
        <w:t>es</w:t>
      </w:r>
      <w:r>
        <w:rPr>
          <w:rFonts w:asciiTheme="majorBidi" w:hAnsiTheme="majorBidi"/>
        </w:rPr>
        <w:t>,</w:t>
      </w:r>
      <w:r>
        <w:rPr>
          <w:rFonts w:asciiTheme="majorBidi" w:hAnsiTheme="majorBidi"/>
          <w:snapToGrid w:val="0"/>
          <w:szCs w:val="22"/>
        </w:rPr>
        <w:t xml:space="preserve"> </w:t>
      </w:r>
      <w:r w:rsidR="007B4DBE">
        <w:rPr>
          <w:rFonts w:asciiTheme="majorBidi" w:hAnsiTheme="majorBidi"/>
        </w:rPr>
        <w:t>notamment les contributions</w:t>
      </w:r>
      <w:r>
        <w:rPr>
          <w:rFonts w:asciiTheme="majorBidi" w:hAnsiTheme="majorBidi"/>
        </w:rPr>
        <w:t xml:space="preserve"> </w:t>
      </w:r>
      <w:r w:rsidR="005F6507">
        <w:rPr>
          <w:rFonts w:asciiTheme="majorBidi" w:hAnsiTheme="majorBidi"/>
        </w:rPr>
        <w:t xml:space="preserve">nécessaires </w:t>
      </w:r>
      <w:r w:rsidR="005F6507">
        <w:rPr>
          <w:rFonts w:asciiTheme="majorBidi" w:hAnsiTheme="majorBidi"/>
          <w:snapToGrid w:val="0"/>
        </w:rPr>
        <w:t>pour</w:t>
      </w:r>
      <w:r w:rsidR="007B4DBE">
        <w:rPr>
          <w:rFonts w:asciiTheme="majorBidi" w:hAnsiTheme="majorBidi"/>
          <w:snapToGrid w:val="0"/>
        </w:rPr>
        <w:t xml:space="preserve"> appliquer</w:t>
      </w:r>
      <w:r>
        <w:rPr>
          <w:rFonts w:asciiTheme="majorBidi" w:hAnsiTheme="majorBidi"/>
          <w:snapToGrid w:val="0"/>
        </w:rPr>
        <w:t xml:space="preserve"> l’article 18 de la Convention,</w:t>
      </w:r>
      <w:r>
        <w:rPr>
          <w:rFonts w:asciiTheme="majorBidi" w:hAnsiTheme="majorBidi"/>
        </w:rPr>
        <w:t xml:space="preserve"> </w:t>
      </w:r>
      <w:r w:rsidR="007B4DBE">
        <w:rPr>
          <w:rFonts w:asciiTheme="majorBidi" w:hAnsiTheme="majorBidi"/>
        </w:rPr>
        <w:t xml:space="preserve">comme </w:t>
      </w:r>
      <w:r>
        <w:rPr>
          <w:rFonts w:asciiTheme="majorBidi" w:hAnsiTheme="majorBidi"/>
        </w:rPr>
        <w:t>par exemple des ressources financières adéquates, des mécanismes institutionnels révisés, des partenariats élargis</w:t>
      </w:r>
      <w:r w:rsidR="007B4DBE">
        <w:rPr>
          <w:rFonts w:asciiTheme="majorBidi" w:hAnsiTheme="majorBidi"/>
        </w:rPr>
        <w:t>,</w:t>
      </w:r>
      <w:r>
        <w:rPr>
          <w:rFonts w:asciiTheme="majorBidi" w:hAnsiTheme="majorBidi"/>
        </w:rPr>
        <w:t xml:space="preserve"> et une planifica</w:t>
      </w:r>
      <w:r w:rsidR="007B4DBE">
        <w:rPr>
          <w:rFonts w:asciiTheme="majorBidi" w:hAnsiTheme="majorBidi"/>
        </w:rPr>
        <w:t>tion et l’établissement de rapports améliorées. Ces contribution</w:t>
      </w:r>
      <w:r>
        <w:rPr>
          <w:rFonts w:asciiTheme="majorBidi" w:hAnsiTheme="majorBidi"/>
        </w:rPr>
        <w:t>s faciliteront la mise en œuvre d’activités qui produiront les résultats souhaités, y comp</w:t>
      </w:r>
      <w:r w:rsidR="007B4DBE">
        <w:rPr>
          <w:rFonts w:asciiTheme="majorBidi" w:hAnsiTheme="majorBidi"/>
        </w:rPr>
        <w:t xml:space="preserve">ris la présentation des demandes </w:t>
      </w:r>
      <w:r>
        <w:rPr>
          <w:rFonts w:asciiTheme="majorBidi" w:hAnsiTheme="majorBidi"/>
        </w:rPr>
        <w:t>de coopération technique et scientifique, des mécanismes favorisant cette c</w:t>
      </w:r>
      <w:r w:rsidR="007B4DBE">
        <w:rPr>
          <w:rFonts w:asciiTheme="majorBidi" w:hAnsiTheme="majorBidi"/>
        </w:rPr>
        <w:t>oopération, une aide au</w:t>
      </w:r>
      <w:r>
        <w:rPr>
          <w:rFonts w:asciiTheme="majorBidi" w:hAnsiTheme="majorBidi"/>
        </w:rPr>
        <w:t xml:space="preserve"> développement de</w:t>
      </w:r>
      <w:r w:rsidR="007B4DBE">
        <w:rPr>
          <w:rFonts w:asciiTheme="majorBidi" w:hAnsiTheme="majorBidi"/>
        </w:rPr>
        <w:t>s</w:t>
      </w:r>
      <w:r>
        <w:rPr>
          <w:rFonts w:asciiTheme="majorBidi" w:hAnsiTheme="majorBidi"/>
        </w:rPr>
        <w:t xml:space="preserve"> technologies, la création de réseaux</w:t>
      </w:r>
      <w:r w:rsidR="007B4DBE">
        <w:rPr>
          <w:rFonts w:asciiTheme="majorBidi" w:hAnsiTheme="majorBidi"/>
        </w:rPr>
        <w:t xml:space="preserve"> de praticiens, etc. Ces produits</w:t>
      </w:r>
      <w:r>
        <w:rPr>
          <w:rFonts w:asciiTheme="majorBidi" w:hAnsiTheme="majorBidi"/>
        </w:rPr>
        <w:t xml:space="preserve"> cont</w:t>
      </w:r>
      <w:r w:rsidR="007B4DBE">
        <w:rPr>
          <w:rFonts w:asciiTheme="majorBidi" w:hAnsiTheme="majorBidi"/>
        </w:rPr>
        <w:t>ribueront à l’obtention des résultats souhaités</w:t>
      </w:r>
      <w:r>
        <w:rPr>
          <w:rFonts w:asciiTheme="majorBidi" w:hAnsiTheme="majorBidi"/>
        </w:rPr>
        <w:t xml:space="preserve">, qui </w:t>
      </w:r>
      <w:r w:rsidR="005F6507">
        <w:rPr>
          <w:rFonts w:asciiTheme="majorBidi" w:hAnsiTheme="majorBidi"/>
        </w:rPr>
        <w:t xml:space="preserve">font </w:t>
      </w:r>
      <w:r w:rsidR="005F6507">
        <w:rPr>
          <w:rFonts w:asciiTheme="majorBidi" w:hAnsiTheme="majorBidi"/>
          <w:snapToGrid w:val="0"/>
          <w:szCs w:val="22"/>
        </w:rPr>
        <w:t>partie</w:t>
      </w:r>
      <w:r>
        <w:rPr>
          <w:rFonts w:asciiTheme="majorBidi" w:hAnsiTheme="majorBidi"/>
        </w:rPr>
        <w:t xml:space="preserve"> d</w:t>
      </w:r>
      <w:r w:rsidR="00C93AF9">
        <w:rPr>
          <w:rFonts w:asciiTheme="majorBidi" w:hAnsiTheme="majorBidi"/>
        </w:rPr>
        <w:t>e la sphère</w:t>
      </w:r>
      <w:r>
        <w:rPr>
          <w:rFonts w:asciiTheme="majorBidi" w:hAnsiTheme="majorBidi"/>
          <w:snapToGrid w:val="0"/>
        </w:rPr>
        <w:t xml:space="preserve"> d’influence</w:t>
      </w:r>
      <w:r>
        <w:rPr>
          <w:rFonts w:asciiTheme="majorBidi" w:hAnsiTheme="majorBidi"/>
        </w:rPr>
        <w:t xml:space="preserve"> du programme</w:t>
      </w:r>
      <w:bookmarkEnd w:id="4"/>
      <w:r>
        <w:rPr>
          <w:rFonts w:asciiTheme="majorBidi" w:hAnsiTheme="majorBidi"/>
        </w:rPr>
        <w:t>.</w:t>
      </w:r>
      <w:r>
        <w:rPr>
          <w:rFonts w:asciiTheme="majorBidi" w:hAnsiTheme="majorBidi"/>
          <w:snapToGrid w:val="0"/>
          <w:szCs w:val="22"/>
        </w:rPr>
        <w:t xml:space="preserve"> </w:t>
      </w:r>
    </w:p>
    <w:p w14:paraId="00B50547" w14:textId="3C05C468" w:rsidR="00FF3F7E" w:rsidRPr="00F24717" w:rsidRDefault="00855B36" w:rsidP="00FF3F7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6" w:name="_Hlk118974683"/>
      <w:r>
        <w:rPr>
          <w:rFonts w:asciiTheme="majorBidi" w:hAnsiTheme="majorBidi"/>
        </w:rPr>
        <w:t xml:space="preserve">Plusieurs hypothèses sous-tendent cette </w:t>
      </w:r>
      <w:r>
        <w:rPr>
          <w:rFonts w:asciiTheme="majorBidi" w:hAnsiTheme="majorBidi"/>
          <w:snapToGrid w:val="0"/>
        </w:rPr>
        <w:t>théorie du changement</w:t>
      </w:r>
      <w:r>
        <w:rPr>
          <w:rFonts w:asciiTheme="majorBidi" w:hAnsiTheme="majorBidi"/>
        </w:rPr>
        <w:t>, notamment le fait que la coopération technique et scientifique demeure un moyen important, doté de ressources suffisantes, pour mettre en œuvre le c</w:t>
      </w:r>
      <w:r w:rsidR="008E460F">
        <w:rPr>
          <w:rFonts w:asciiTheme="majorBidi" w:hAnsiTheme="majorBidi"/>
        </w:rPr>
        <w:t>adre mondial de la biodiversité</w:t>
      </w:r>
      <w:r>
        <w:rPr>
          <w:rFonts w:asciiTheme="majorBidi" w:hAnsiTheme="majorBidi"/>
        </w:rPr>
        <w:t>; le fait que les programmes de coopération technique et scientifique soient conçus de manière à répondre au</w:t>
      </w:r>
      <w:r w:rsidR="008E460F">
        <w:rPr>
          <w:rFonts w:asciiTheme="majorBidi" w:hAnsiTheme="majorBidi"/>
        </w:rPr>
        <w:t>x besoins et priorités des pays; le fait que les connaissance</w:t>
      </w:r>
      <w:r>
        <w:rPr>
          <w:rFonts w:asciiTheme="majorBidi" w:hAnsiTheme="majorBidi"/>
        </w:rPr>
        <w:t>s autochtones et traditionnel</w:t>
      </w:r>
      <w:r w:rsidR="008E460F">
        <w:rPr>
          <w:rFonts w:asciiTheme="majorBidi" w:hAnsiTheme="majorBidi"/>
        </w:rPr>
        <w:t>le</w:t>
      </w:r>
      <w:r>
        <w:rPr>
          <w:rFonts w:asciiTheme="majorBidi" w:hAnsiTheme="majorBidi"/>
        </w:rPr>
        <w:t>s soient adéquatement intégré</w:t>
      </w:r>
      <w:r w:rsidR="008E460F">
        <w:rPr>
          <w:rFonts w:asciiTheme="majorBidi" w:hAnsiTheme="majorBidi"/>
        </w:rPr>
        <w:t>es dans les</w:t>
      </w:r>
      <w:r>
        <w:rPr>
          <w:rFonts w:asciiTheme="majorBidi" w:hAnsiTheme="majorBidi"/>
        </w:rPr>
        <w:t xml:space="preserve"> programmes de coopér</w:t>
      </w:r>
      <w:r w:rsidR="008E460F">
        <w:rPr>
          <w:rFonts w:asciiTheme="majorBidi" w:hAnsiTheme="majorBidi"/>
        </w:rPr>
        <w:t>ation technique et scientifique</w:t>
      </w:r>
      <w:r>
        <w:rPr>
          <w:rFonts w:asciiTheme="majorBidi" w:hAnsiTheme="majorBidi"/>
        </w:rPr>
        <w:t>; et le fait que suffisamment de capacités soient créées pour que les p</w:t>
      </w:r>
      <w:r w:rsidR="008E460F">
        <w:rPr>
          <w:rFonts w:asciiTheme="majorBidi" w:hAnsiTheme="majorBidi"/>
        </w:rPr>
        <w:t>rogrammes puissent être mis en œuvre</w:t>
      </w:r>
      <w:r>
        <w:rPr>
          <w:rFonts w:asciiTheme="majorBidi" w:hAnsiTheme="majorBidi"/>
        </w:rPr>
        <w:t xml:space="preserve"> d’une man</w:t>
      </w:r>
      <w:r w:rsidR="008E460F">
        <w:rPr>
          <w:rFonts w:asciiTheme="majorBidi" w:hAnsiTheme="majorBidi"/>
        </w:rPr>
        <w:t>ière efficace et respectueuse de l’égalité des sexes</w:t>
      </w:r>
      <w:r>
        <w:rPr>
          <w:rFonts w:asciiTheme="majorBidi" w:hAnsiTheme="majorBidi"/>
        </w:rPr>
        <w:t>.</w:t>
      </w:r>
      <w:bookmarkEnd w:id="6"/>
      <w:r>
        <w:rPr>
          <w:rFonts w:asciiTheme="majorBidi" w:hAnsiTheme="majorBidi"/>
          <w:snapToGrid w:val="0"/>
        </w:rPr>
        <w:t xml:space="preserve"> </w:t>
      </w:r>
    </w:p>
    <w:p w14:paraId="115F003C" w14:textId="20555A01" w:rsidR="0012758E" w:rsidRPr="00F24717" w:rsidRDefault="00D31AC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7" w:name="_Hlk118974729"/>
      <w:r>
        <w:rPr>
          <w:rFonts w:asciiTheme="majorBidi" w:hAnsiTheme="majorBidi"/>
        </w:rPr>
        <w:t>La théorie du changement proposée reconnaît que pour contribuer efficacement au cadre mondial de la biodiversité pour l’après-2020, il sera nécessaire d</w:t>
      </w:r>
      <w:r w:rsidR="008E460F">
        <w:rPr>
          <w:rFonts w:asciiTheme="majorBidi" w:hAnsiTheme="majorBidi"/>
        </w:rPr>
        <w:t>e s’engager à mettre en place</w:t>
      </w:r>
      <w:r>
        <w:rPr>
          <w:rFonts w:asciiTheme="majorBidi" w:hAnsiTheme="majorBidi"/>
        </w:rPr>
        <w:t xml:space="preserve"> des programmes cohérents </w:t>
      </w:r>
      <w:r w:rsidR="008E460F">
        <w:rPr>
          <w:rFonts w:asciiTheme="majorBidi" w:hAnsiTheme="majorBidi"/>
        </w:rPr>
        <w:t xml:space="preserve">en matière </w:t>
      </w:r>
      <w:r>
        <w:rPr>
          <w:rFonts w:asciiTheme="majorBidi" w:hAnsiTheme="majorBidi"/>
        </w:rPr>
        <w:t>de coopération technique et scientif</w:t>
      </w:r>
      <w:r w:rsidR="008E460F">
        <w:rPr>
          <w:rFonts w:asciiTheme="majorBidi" w:hAnsiTheme="majorBidi"/>
        </w:rPr>
        <w:t>ique, notamment au moyen</w:t>
      </w:r>
      <w:r>
        <w:rPr>
          <w:rFonts w:asciiTheme="majorBidi" w:hAnsiTheme="majorBidi"/>
        </w:rPr>
        <w:t xml:space="preserve"> d’une gouvernance efficace, ainsi que d’une planification et d’un financement stratégiques. C</w:t>
      </w:r>
      <w:r w:rsidR="008E460F">
        <w:rPr>
          <w:rFonts w:asciiTheme="majorBidi" w:hAnsiTheme="majorBidi"/>
        </w:rPr>
        <w:t>es changements représentent des contributions essentielles, et ils conditionneront la réalisation des produit</w:t>
      </w:r>
      <w:r w:rsidR="002158E1">
        <w:rPr>
          <w:rFonts w:asciiTheme="majorBidi" w:hAnsiTheme="majorBidi"/>
        </w:rPr>
        <w:t>s</w:t>
      </w:r>
      <w:r>
        <w:rPr>
          <w:rFonts w:asciiTheme="majorBidi" w:hAnsiTheme="majorBidi"/>
        </w:rPr>
        <w:t>, des ré</w:t>
      </w:r>
      <w:r w:rsidR="008E460F">
        <w:rPr>
          <w:rFonts w:asciiTheme="majorBidi" w:hAnsiTheme="majorBidi"/>
        </w:rPr>
        <w:t>sultats et des impacts</w:t>
      </w:r>
      <w:r>
        <w:rPr>
          <w:rFonts w:asciiTheme="majorBidi" w:hAnsiTheme="majorBidi"/>
        </w:rPr>
        <w:t>.</w:t>
      </w:r>
      <w:bookmarkEnd w:id="7"/>
      <w:r>
        <w:rPr>
          <w:rFonts w:asciiTheme="majorBidi" w:hAnsiTheme="majorBidi"/>
        </w:rPr>
        <w:t xml:space="preserve"> </w:t>
      </w:r>
      <w:bookmarkStart w:id="8" w:name="_Hlk118974769"/>
    </w:p>
    <w:p w14:paraId="1164111A" w14:textId="7A968905" w:rsidR="00C47458" w:rsidRPr="00F24717" w:rsidRDefault="000C5B85" w:rsidP="00F24717">
      <w:pPr>
        <w:keepNext/>
        <w:suppressLineNumbers/>
        <w:pBdr>
          <w:top w:val="nil"/>
          <w:left w:val="nil"/>
          <w:bottom w:val="nil"/>
          <w:right w:val="nil"/>
          <w:between w:val="nil"/>
        </w:pBdr>
        <w:tabs>
          <w:tab w:val="left" w:pos="360"/>
          <w:tab w:val="left" w:pos="720"/>
        </w:tabs>
        <w:suppressAutoHyphens/>
        <w:kinsoku w:val="0"/>
        <w:overflowPunct w:val="0"/>
        <w:autoSpaceDE w:val="0"/>
        <w:autoSpaceDN w:val="0"/>
        <w:adjustRightInd w:val="0"/>
        <w:snapToGrid w:val="0"/>
        <w:spacing w:before="240" w:after="120"/>
        <w:jc w:val="center"/>
        <w:rPr>
          <w:rFonts w:asciiTheme="majorBidi" w:hAnsiTheme="majorBidi" w:cstheme="majorBidi"/>
          <w:i/>
          <w:iCs/>
        </w:rPr>
      </w:pPr>
      <w:r>
        <w:rPr>
          <w:rFonts w:asciiTheme="majorBidi" w:hAnsiTheme="majorBidi"/>
          <w:i/>
          <w:iCs/>
        </w:rPr>
        <w:lastRenderedPageBreak/>
        <w:t xml:space="preserve">Figure 1. Théorie du changement </w:t>
      </w:r>
      <w:r>
        <w:rPr>
          <w:rFonts w:asciiTheme="majorBidi" w:hAnsiTheme="majorBidi"/>
          <w:i/>
          <w:iCs/>
          <w:snapToGrid w:val="0"/>
          <w:szCs w:val="22"/>
        </w:rPr>
        <w:t>proposée pour la coopération technique et scientifique</w:t>
      </w:r>
    </w:p>
    <w:p w14:paraId="214F9918" w14:textId="689E325A" w:rsidR="00C47458" w:rsidRPr="007C4E47" w:rsidRDefault="00C93AF9" w:rsidP="00EC79B5">
      <w:pPr>
        <w:pStyle w:val="ListParagraph"/>
        <w:ind w:left="0"/>
        <w:rPr>
          <w:rFonts w:asciiTheme="majorBidi" w:hAnsiTheme="majorBidi" w:cstheme="majorBidi"/>
        </w:rPr>
      </w:pPr>
      <w:r>
        <w:rPr>
          <w:noProof/>
          <w:lang w:val="fr-FR" w:eastAsia="fr-FR"/>
        </w:rPr>
        <w:drawing>
          <wp:inline distT="0" distB="0" distL="0" distR="0" wp14:anchorId="0020C8CA" wp14:editId="08D4D93A">
            <wp:extent cx="5943600" cy="408241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082415"/>
                    </a:xfrm>
                    <a:prstGeom prst="rect">
                      <a:avLst/>
                    </a:prstGeom>
                  </pic:spPr>
                </pic:pic>
              </a:graphicData>
            </a:graphic>
          </wp:inline>
        </w:drawing>
      </w:r>
    </w:p>
    <w:p w14:paraId="1A1275B7" w14:textId="77777777" w:rsidR="00AE7331" w:rsidRPr="007C4E47" w:rsidRDefault="00AE7331" w:rsidP="00AE7331">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p>
    <w:bookmarkEnd w:id="8"/>
    <w:p w14:paraId="5D17677D" w14:textId="5F3C4AB1" w:rsidR="00527312" w:rsidRPr="007C4E47" w:rsidRDefault="0052466F" w:rsidP="00F24717">
      <w:pPr>
        <w:pStyle w:val="Heading2"/>
        <w:numPr>
          <w:ilvl w:val="0"/>
          <w:numId w:val="27"/>
        </w:numPr>
        <w:ind w:left="0" w:firstLine="0"/>
        <w:rPr>
          <w:snapToGrid w:val="0"/>
        </w:rPr>
      </w:pPr>
      <w:r>
        <w:rPr>
          <w:snapToGrid w:val="0"/>
        </w:rPr>
        <w:t>Cadre de suivi proposé pour la coopération technique et scientifique</w:t>
      </w:r>
    </w:p>
    <w:p w14:paraId="5A39A540" w14:textId="31C2BB2E" w:rsidR="005130DC" w:rsidRPr="007C4E47" w:rsidRDefault="001C3C57"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rPr>
      </w:pPr>
      <w:r>
        <w:rPr>
          <w:rFonts w:asciiTheme="majorBidi" w:hAnsiTheme="majorBidi"/>
        </w:rPr>
        <w:t>Étant donné que le cadre mondial de la biodiversité pour l’après-2020 est toujours en cours d’</w:t>
      </w:r>
      <w:bookmarkStart w:id="9" w:name="_Hlk118975555"/>
      <w:r w:rsidR="005F6507">
        <w:rPr>
          <w:rFonts w:asciiTheme="majorBidi" w:hAnsiTheme="majorBidi"/>
        </w:rPr>
        <w:t>élaboration, le</w:t>
      </w:r>
      <w:r>
        <w:rPr>
          <w:rFonts w:asciiTheme="majorBidi" w:hAnsiTheme="majorBidi"/>
        </w:rPr>
        <w:t xml:space="preserve"> cadre de suivi proposé pour la coopération technique et scientifique, </w:t>
      </w:r>
      <w:r w:rsidR="008E460F">
        <w:rPr>
          <w:rFonts w:asciiTheme="majorBidi" w:hAnsiTheme="majorBidi"/>
        </w:rPr>
        <w:t>présenté ci-dessous, définit des</w:t>
      </w:r>
      <w:r>
        <w:rPr>
          <w:rFonts w:asciiTheme="majorBidi" w:hAnsiTheme="majorBidi"/>
        </w:rPr>
        <w:t xml:space="preserve"> orientation</w:t>
      </w:r>
      <w:r w:rsidR="008E460F">
        <w:rPr>
          <w:rFonts w:asciiTheme="majorBidi" w:hAnsiTheme="majorBidi"/>
        </w:rPr>
        <w:t>s</w:t>
      </w:r>
      <w:r>
        <w:rPr>
          <w:rFonts w:asciiTheme="majorBidi" w:hAnsiTheme="majorBidi"/>
        </w:rPr>
        <w:t xml:space="preserve"> générale</w:t>
      </w:r>
      <w:r w:rsidR="008E460F">
        <w:rPr>
          <w:rFonts w:asciiTheme="majorBidi" w:hAnsiTheme="majorBidi"/>
        </w:rPr>
        <w:t>s</w:t>
      </w:r>
      <w:r>
        <w:rPr>
          <w:rFonts w:asciiTheme="majorBidi" w:hAnsiTheme="majorBidi"/>
        </w:rPr>
        <w:t xml:space="preserve"> vi</w:t>
      </w:r>
      <w:r w:rsidR="008E460F">
        <w:rPr>
          <w:rFonts w:asciiTheme="majorBidi" w:hAnsiTheme="majorBidi"/>
        </w:rPr>
        <w:t>sant à aider les Parties à assurer le suivi et la collecte des</w:t>
      </w:r>
      <w:r>
        <w:rPr>
          <w:rFonts w:asciiTheme="majorBidi" w:hAnsiTheme="majorBidi"/>
        </w:rPr>
        <w:t xml:space="preserve"> do</w:t>
      </w:r>
      <w:r w:rsidR="008E460F">
        <w:rPr>
          <w:rFonts w:asciiTheme="majorBidi" w:hAnsiTheme="majorBidi"/>
        </w:rPr>
        <w:t>nnées factuelles afin de montrer comment les activités</w:t>
      </w:r>
      <w:r>
        <w:rPr>
          <w:rFonts w:asciiTheme="majorBidi" w:hAnsiTheme="majorBidi"/>
        </w:rPr>
        <w:t xml:space="preserve"> de coopération techniq</w:t>
      </w:r>
      <w:r w:rsidR="008E460F">
        <w:rPr>
          <w:rFonts w:asciiTheme="majorBidi" w:hAnsiTheme="majorBidi"/>
        </w:rPr>
        <w:t>ue et scientifique</w:t>
      </w:r>
      <w:r w:rsidR="0013681D">
        <w:rPr>
          <w:rFonts w:asciiTheme="majorBidi" w:hAnsiTheme="majorBidi"/>
        </w:rPr>
        <w:t xml:space="preserve"> concernant la</w:t>
      </w:r>
      <w:r>
        <w:rPr>
          <w:rFonts w:asciiTheme="majorBidi" w:hAnsiTheme="majorBidi"/>
        </w:rPr>
        <w:t xml:space="preserve"> biodi</w:t>
      </w:r>
      <w:r w:rsidR="008E460F">
        <w:rPr>
          <w:rFonts w:asciiTheme="majorBidi" w:hAnsiTheme="majorBidi"/>
        </w:rPr>
        <w:t>versité contribuent à la réalisation</w:t>
      </w:r>
      <w:r>
        <w:rPr>
          <w:rFonts w:asciiTheme="majorBidi" w:hAnsiTheme="majorBidi"/>
        </w:rPr>
        <w:t xml:space="preserve"> de la cible 19.2. Le cadre tient également compte des obligations définies à l’article 18 de la </w:t>
      </w:r>
      <w:bookmarkEnd w:id="9"/>
      <w:r w:rsidR="005F6507">
        <w:rPr>
          <w:rFonts w:asciiTheme="majorBidi" w:hAnsiTheme="majorBidi"/>
        </w:rPr>
        <w:t>Convention.</w:t>
      </w:r>
      <w:r>
        <w:rPr>
          <w:rFonts w:asciiTheme="majorBidi" w:hAnsiTheme="majorBidi"/>
        </w:rPr>
        <w:t xml:space="preserve"> </w:t>
      </w:r>
    </w:p>
    <w:bookmarkEnd w:id="5"/>
    <w:p w14:paraId="485E7A89" w14:textId="63BB4491" w:rsidR="005130DC" w:rsidRPr="007C4E47" w:rsidRDefault="005130D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rPr>
        <w:t xml:space="preserve">Le cadre de suivi met l’accent sur </w:t>
      </w:r>
      <w:bookmarkStart w:id="10" w:name="_Hlk118976383"/>
      <w:r>
        <w:rPr>
          <w:rFonts w:asciiTheme="majorBidi" w:hAnsiTheme="majorBidi"/>
        </w:rPr>
        <w:t>l’identification des éléments qui peuvent être évalués pour déterminer si les résultats souhaités, décrits dans la théorie du changement proposée pour la coopération technique et scientifique, sont en voie d’être atteints. Les éléments suivants peuvent être utilisés pour mesurer</w:t>
      </w:r>
      <w:r w:rsidR="0013681D">
        <w:rPr>
          <w:rFonts w:asciiTheme="majorBidi" w:hAnsiTheme="majorBidi"/>
        </w:rPr>
        <w:t xml:space="preserve"> les progrès accomplis dans la réalisation </w:t>
      </w:r>
      <w:r>
        <w:rPr>
          <w:rFonts w:asciiTheme="majorBidi" w:hAnsiTheme="majorBidi"/>
        </w:rPr>
        <w:t xml:space="preserve">des </w:t>
      </w:r>
      <w:r w:rsidR="002158E1">
        <w:rPr>
          <w:rFonts w:asciiTheme="majorBidi" w:hAnsiTheme="majorBidi"/>
        </w:rPr>
        <w:t>effet</w:t>
      </w:r>
      <w:r>
        <w:rPr>
          <w:rFonts w:asciiTheme="majorBidi" w:hAnsiTheme="majorBidi"/>
        </w:rPr>
        <w:t xml:space="preserve">s et </w:t>
      </w:r>
      <w:r w:rsidR="0013681D">
        <w:rPr>
          <w:rFonts w:asciiTheme="majorBidi" w:hAnsiTheme="majorBidi"/>
        </w:rPr>
        <w:t xml:space="preserve">des </w:t>
      </w:r>
      <w:r>
        <w:rPr>
          <w:rFonts w:asciiTheme="majorBidi" w:hAnsiTheme="majorBidi"/>
        </w:rPr>
        <w:t xml:space="preserve">résultats souhaités : </w:t>
      </w:r>
      <w:bookmarkEnd w:id="10"/>
      <w:r>
        <w:rPr>
          <w:rFonts w:asciiTheme="majorBidi" w:hAnsiTheme="majorBidi"/>
        </w:rPr>
        <w:t xml:space="preserve"> </w:t>
      </w:r>
    </w:p>
    <w:p w14:paraId="31154B72" w14:textId="68271DA6" w:rsidR="00AE7C2A"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Création conjointe et déploi</w:t>
      </w:r>
      <w:r w:rsidR="0013681D">
        <w:rPr>
          <w:rFonts w:asciiTheme="majorBidi" w:hAnsiTheme="majorBidi"/>
        </w:rPr>
        <w:t>ement de nouvelles technologies</w:t>
      </w:r>
      <w:r>
        <w:rPr>
          <w:rFonts w:asciiTheme="majorBidi" w:hAnsiTheme="majorBidi"/>
        </w:rPr>
        <w:t>;</w:t>
      </w:r>
    </w:p>
    <w:p w14:paraId="08E3A43D" w14:textId="074B3D14" w:rsidR="005130DC" w:rsidRPr="007C4E47" w:rsidRDefault="00AE7C2A"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Réalisation et publi</w:t>
      </w:r>
      <w:r w:rsidR="0013681D">
        <w:rPr>
          <w:rFonts w:asciiTheme="majorBidi" w:hAnsiTheme="majorBidi"/>
        </w:rPr>
        <w:t>cation de recherches conjointes</w:t>
      </w:r>
      <w:r>
        <w:rPr>
          <w:rFonts w:asciiTheme="majorBidi" w:hAnsiTheme="majorBidi"/>
        </w:rPr>
        <w:t>;</w:t>
      </w:r>
    </w:p>
    <w:p w14:paraId="202065B8" w14:textId="0D3F7B61" w:rsidR="005130DC"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Renforcement des capacités et amélioration de la sensibilisation des Parties grâce à des activités de coopération technique et sci</w:t>
      </w:r>
      <w:r w:rsidR="0013681D">
        <w:rPr>
          <w:rFonts w:asciiTheme="majorBidi" w:hAnsiTheme="majorBidi"/>
        </w:rPr>
        <w:t>entifique ciblées ou sur mesure</w:t>
      </w:r>
      <w:r>
        <w:rPr>
          <w:rFonts w:asciiTheme="majorBidi" w:hAnsiTheme="majorBidi"/>
        </w:rPr>
        <w:t>;</w:t>
      </w:r>
    </w:p>
    <w:p w14:paraId="77CB4F0A" w14:textId="1F5EA0E9" w:rsidR="00AB1B2A"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 xml:space="preserve">Mise en place de politiques nationales pour soutenir les buts et </w:t>
      </w:r>
      <w:r w:rsidR="0013681D">
        <w:rPr>
          <w:rFonts w:asciiTheme="majorBidi" w:hAnsiTheme="majorBidi"/>
        </w:rPr>
        <w:t xml:space="preserve">les </w:t>
      </w:r>
      <w:r>
        <w:rPr>
          <w:rFonts w:asciiTheme="majorBidi" w:hAnsiTheme="majorBidi"/>
        </w:rPr>
        <w:t>objectifs liés à la coopér</w:t>
      </w:r>
      <w:r w:rsidR="0013681D">
        <w:rPr>
          <w:rFonts w:asciiTheme="majorBidi" w:hAnsiTheme="majorBidi"/>
        </w:rPr>
        <w:t>ation technique et scientifique</w:t>
      </w:r>
      <w:r>
        <w:rPr>
          <w:rFonts w:asciiTheme="majorBidi" w:hAnsiTheme="majorBidi"/>
        </w:rPr>
        <w:t>;</w:t>
      </w:r>
    </w:p>
    <w:p w14:paraId="54D7338C" w14:textId="3867B13C" w:rsidR="003F17DB" w:rsidRPr="007C4E47" w:rsidRDefault="002158E1"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Élaboration de pol</w:t>
      </w:r>
      <w:r w:rsidR="0013681D">
        <w:rPr>
          <w:rFonts w:asciiTheme="majorBidi" w:hAnsiTheme="majorBidi"/>
        </w:rPr>
        <w:t>itiques orient</w:t>
      </w:r>
      <w:r>
        <w:rPr>
          <w:rFonts w:asciiTheme="majorBidi" w:hAnsiTheme="majorBidi"/>
        </w:rPr>
        <w:t>ées vers</w:t>
      </w:r>
      <w:r w:rsidR="0013681D">
        <w:rPr>
          <w:rFonts w:asciiTheme="majorBidi" w:hAnsiTheme="majorBidi"/>
        </w:rPr>
        <w:t xml:space="preserve"> un</w:t>
      </w:r>
      <w:r w:rsidR="006523AE">
        <w:rPr>
          <w:rFonts w:asciiTheme="majorBidi" w:hAnsiTheme="majorBidi"/>
        </w:rPr>
        <w:t xml:space="preserve"> changement des modèles sociaux, économiques et financiers qui </w:t>
      </w:r>
      <w:r w:rsidR="0013681D">
        <w:rPr>
          <w:rFonts w:asciiTheme="majorBidi" w:hAnsiTheme="majorBidi"/>
        </w:rPr>
        <w:t>conduisent à l’érosion</w:t>
      </w:r>
      <w:r>
        <w:rPr>
          <w:rFonts w:asciiTheme="majorBidi" w:hAnsiTheme="majorBidi"/>
        </w:rPr>
        <w:t xml:space="preserve"> de</w:t>
      </w:r>
      <w:r w:rsidR="006523AE">
        <w:rPr>
          <w:rFonts w:asciiTheme="majorBidi" w:hAnsiTheme="majorBidi"/>
        </w:rPr>
        <w:t xml:space="preserve"> </w:t>
      </w:r>
      <w:r w:rsidR="0013681D">
        <w:rPr>
          <w:rFonts w:asciiTheme="majorBidi" w:hAnsiTheme="majorBidi"/>
        </w:rPr>
        <w:t>la biodiversité</w:t>
      </w:r>
      <w:r w:rsidR="006523AE">
        <w:rPr>
          <w:rFonts w:asciiTheme="majorBidi" w:hAnsiTheme="majorBidi"/>
        </w:rPr>
        <w:t>;</w:t>
      </w:r>
    </w:p>
    <w:p w14:paraId="15EB081B" w14:textId="55C401DF" w:rsidR="005130DC" w:rsidRPr="007C4E47" w:rsidRDefault="0013681D"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lastRenderedPageBreak/>
        <w:t>Adoption par les responsables</w:t>
      </w:r>
      <w:r w:rsidR="002158E1">
        <w:rPr>
          <w:rFonts w:asciiTheme="majorBidi" w:hAnsiTheme="majorBidi"/>
        </w:rPr>
        <w:t xml:space="preserve"> po</w:t>
      </w:r>
      <w:r>
        <w:rPr>
          <w:rFonts w:asciiTheme="majorBidi" w:hAnsiTheme="majorBidi"/>
        </w:rPr>
        <w:t>litiques des changements accepté</w:t>
      </w:r>
      <w:r w:rsidR="002158E1">
        <w:rPr>
          <w:rFonts w:asciiTheme="majorBidi" w:hAnsiTheme="majorBidi"/>
        </w:rPr>
        <w:t>s en faveur de l’utilisation durable et équitable de la biodiversité</w:t>
      </w:r>
      <w:r>
        <w:rPr>
          <w:rFonts w:asciiTheme="majorBidi" w:hAnsiTheme="majorBidi"/>
        </w:rPr>
        <w:t>, éclairés par les contributions de la nature aux populations</w:t>
      </w:r>
      <w:r w:rsidR="00CF6348">
        <w:rPr>
          <w:rFonts w:asciiTheme="majorBidi" w:hAnsiTheme="majorBidi"/>
        </w:rPr>
        <w:t>;</w:t>
      </w:r>
    </w:p>
    <w:p w14:paraId="6E028A68" w14:textId="4EE928CC" w:rsidR="00F66AF4" w:rsidRPr="007C4E47" w:rsidRDefault="0013681D"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 xml:space="preserve">Partenariats créés et/ou </w:t>
      </w:r>
      <w:r w:rsidR="005130DC">
        <w:rPr>
          <w:rFonts w:asciiTheme="majorBidi" w:hAnsiTheme="majorBidi"/>
        </w:rPr>
        <w:t>élargis et coopéra</w:t>
      </w:r>
      <w:r>
        <w:rPr>
          <w:rFonts w:asciiTheme="majorBidi" w:hAnsiTheme="majorBidi"/>
        </w:rPr>
        <w:t>tion intersectorielle renforcée</w:t>
      </w:r>
      <w:r w:rsidR="005130DC">
        <w:rPr>
          <w:rFonts w:asciiTheme="majorBidi" w:hAnsiTheme="majorBidi"/>
        </w:rPr>
        <w:t>;</w:t>
      </w:r>
    </w:p>
    <w:p w14:paraId="74A2B97D" w14:textId="5D7CAB69" w:rsidR="005130DC" w:rsidRPr="007C4E47" w:rsidRDefault="00507118"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rPr>
        <w:t xml:space="preserve">Ressources mobilisées pour soutenir et </w:t>
      </w:r>
      <w:r w:rsidR="002654D1">
        <w:rPr>
          <w:rFonts w:asciiTheme="majorBidi" w:hAnsiTheme="majorBidi"/>
        </w:rPr>
        <w:t xml:space="preserve">étendre la couverture des </w:t>
      </w:r>
      <w:r>
        <w:rPr>
          <w:rFonts w:asciiTheme="majorBidi" w:hAnsiTheme="majorBidi"/>
        </w:rPr>
        <w:t>programmes de coopér</w:t>
      </w:r>
      <w:r w:rsidR="0013681D">
        <w:rPr>
          <w:rFonts w:asciiTheme="majorBidi" w:hAnsiTheme="majorBidi"/>
        </w:rPr>
        <w:t>ation technique et scientifique</w:t>
      </w:r>
      <w:r>
        <w:rPr>
          <w:rFonts w:asciiTheme="majorBidi" w:hAnsiTheme="majorBidi"/>
        </w:rPr>
        <w:t>;</w:t>
      </w:r>
    </w:p>
    <w:p w14:paraId="7D70D013" w14:textId="4D1EC798" w:rsidR="00AF7EAB" w:rsidRPr="00AB1563" w:rsidRDefault="005130DC" w:rsidP="00AB1563">
      <w:pPr>
        <w:pStyle w:val="Para1"/>
        <w:numPr>
          <w:ilvl w:val="1"/>
          <w:numId w:val="5"/>
        </w:numPr>
        <w:suppressLineNumbers/>
        <w:tabs>
          <w:tab w:val="clear" w:pos="1481"/>
        </w:tabs>
        <w:suppressAutoHyphens/>
        <w:kinsoku w:val="0"/>
        <w:overflowPunct w:val="0"/>
        <w:autoSpaceDE w:val="0"/>
        <w:autoSpaceDN w:val="0"/>
        <w:adjustRightInd w:val="0"/>
        <w:snapToGrid w:val="0"/>
        <w:spacing w:after="240"/>
        <w:rPr>
          <w:rFonts w:asciiTheme="majorBidi" w:hAnsiTheme="majorBidi" w:cstheme="majorBidi"/>
          <w:kern w:val="22"/>
        </w:rPr>
      </w:pPr>
      <w:r>
        <w:rPr>
          <w:rFonts w:asciiTheme="majorBidi" w:hAnsiTheme="majorBidi"/>
        </w:rPr>
        <w:t>Coopération Sud-Sud renforcée et complétée par une coopération triangulaire et une coopération Sud-Nord.</w:t>
      </w:r>
    </w:p>
    <w:p w14:paraId="7A5C0273" w14:textId="413DE716" w:rsidR="0023086B" w:rsidRPr="007C4E47" w:rsidRDefault="00A32E03" w:rsidP="0013681D">
      <w:pPr>
        <w:numPr>
          <w:ilvl w:val="0"/>
          <w:numId w:val="5"/>
        </w:numPr>
        <w:suppressLineNumbers/>
        <w:tabs>
          <w:tab w:val="clear" w:pos="360"/>
          <w:tab w:val="left" w:pos="720"/>
        </w:tabs>
        <w:suppressAutoHyphens/>
        <w:kinsoku w:val="0"/>
        <w:overflowPunct w:val="0"/>
        <w:autoSpaceDE w:val="0"/>
        <w:autoSpaceDN w:val="0"/>
        <w:adjustRightInd w:val="0"/>
        <w:snapToGrid w:val="0"/>
        <w:spacing w:after="240"/>
        <w:rPr>
          <w:rFonts w:asciiTheme="majorBidi" w:hAnsiTheme="majorBidi" w:cstheme="majorBidi"/>
        </w:rPr>
      </w:pPr>
      <w:r>
        <w:rPr>
          <w:rFonts w:asciiTheme="majorBidi" w:hAnsiTheme="majorBidi"/>
        </w:rPr>
        <w:t>Des exemples d’éléments de programmes de coopération technique et scientifique qui pourraient faire l’objet d’un suivi, ainsi que quelques exemples d’indicateurs de per</w:t>
      </w:r>
      <w:r w:rsidR="0013681D">
        <w:rPr>
          <w:rFonts w:asciiTheme="majorBidi" w:hAnsiTheme="majorBidi"/>
        </w:rPr>
        <w:t>formance clés, sont présentés dans l’</w:t>
      </w:r>
      <w:r>
        <w:rPr>
          <w:rFonts w:asciiTheme="majorBidi" w:hAnsiTheme="majorBidi"/>
        </w:rPr>
        <w:t xml:space="preserve">annexe au présent document à titre de référence. Il sera nécessaire d’élaborer un cadre de suivi plus exhaustif pour la coopération technique et scientifique, et ce cadre devra être conforme, et complémentaire, au </w:t>
      </w:r>
      <w:r>
        <w:rPr>
          <w:rFonts w:asciiTheme="majorBidi" w:hAnsiTheme="majorBidi"/>
          <w:snapToGrid w:val="0"/>
        </w:rPr>
        <w:t>cadre de suivi du cadre mondial de la biodiversité pour l’après-2020</w:t>
      </w:r>
      <w:r>
        <w:rPr>
          <w:rFonts w:asciiTheme="majorBidi" w:hAnsiTheme="majorBidi"/>
          <w:szCs w:val="22"/>
        </w:rPr>
        <w:t>.</w:t>
      </w:r>
    </w:p>
    <w:p w14:paraId="36A979C5" w14:textId="694C961C" w:rsidR="002148C1" w:rsidRPr="007C4E47" w:rsidRDefault="0023086B" w:rsidP="00F24717">
      <w:pPr>
        <w:pStyle w:val="Heading1"/>
        <w:numPr>
          <w:ilvl w:val="0"/>
          <w:numId w:val="25"/>
        </w:numPr>
        <w:tabs>
          <w:tab w:val="clear" w:pos="720"/>
        </w:tabs>
        <w:jc w:val="left"/>
        <w:rPr>
          <w:snapToGrid w:val="0"/>
        </w:rPr>
      </w:pPr>
      <w:r>
        <w:rPr>
          <w:snapToGrid w:val="0"/>
        </w:rPr>
        <w:t>AU</w:t>
      </w:r>
      <w:r w:rsidR="00AB1563">
        <w:rPr>
          <w:snapToGrid w:val="0"/>
        </w:rPr>
        <w:t>TRES CONSIDÉRATIONS à prendre en compte pour</w:t>
      </w:r>
      <w:r w:rsidR="0013681D">
        <w:rPr>
          <w:snapToGrid w:val="0"/>
        </w:rPr>
        <w:t xml:space="preserve"> </w:t>
      </w:r>
      <w:r>
        <w:rPr>
          <w:snapToGrid w:val="0"/>
        </w:rPr>
        <w:t>L’EXAMEN DES PROGRAMMES DE COOPÉRATION TECHNIQUE ET SCIENTIFIQUE</w:t>
      </w:r>
      <w:r>
        <w:rPr>
          <w:snapToGrid w:val="0"/>
        </w:rPr>
        <w:tab/>
      </w:r>
    </w:p>
    <w:p w14:paraId="57C88BE6" w14:textId="03B76E02" w:rsidR="007E74AD" w:rsidRPr="007C4E47" w:rsidRDefault="0013681D" w:rsidP="00E17875">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Cette partie</w:t>
      </w:r>
      <w:r w:rsidR="005F6507">
        <w:rPr>
          <w:rFonts w:asciiTheme="majorBidi" w:hAnsiTheme="majorBidi"/>
        </w:rPr>
        <w:t xml:space="preserve"> aborde</w:t>
      </w:r>
      <w:r w:rsidR="30667D1B">
        <w:rPr>
          <w:rFonts w:asciiTheme="majorBidi" w:hAnsiTheme="majorBidi"/>
        </w:rPr>
        <w:t xml:space="preserve"> les autres éléments proposés à l’annexe IV de la recommandation 3/8 de l’</w:t>
      </w:r>
      <w:r>
        <w:rPr>
          <w:rFonts w:asciiTheme="majorBidi" w:hAnsiTheme="majorBidi"/>
        </w:rPr>
        <w:t>Organe subsidiaire</w:t>
      </w:r>
      <w:r w:rsidR="30667D1B">
        <w:rPr>
          <w:rFonts w:asciiTheme="majorBidi" w:hAnsiTheme="majorBidi"/>
        </w:rPr>
        <w:t xml:space="preserve"> chargé de l’application. </w:t>
      </w:r>
      <w:r>
        <w:rPr>
          <w:rFonts w:asciiTheme="majorBidi" w:hAnsiTheme="majorBidi"/>
          <w:snapToGrid w:val="0"/>
        </w:rPr>
        <w:t>La sous-partie A présente des informations</w:t>
      </w:r>
      <w:r w:rsidR="30667D1B">
        <w:rPr>
          <w:rFonts w:asciiTheme="majorBidi" w:hAnsiTheme="majorBidi"/>
          <w:snapToGrid w:val="0"/>
        </w:rPr>
        <w:t xml:space="preserve"> pertinent</w:t>
      </w:r>
      <w:r>
        <w:rPr>
          <w:rFonts w:asciiTheme="majorBidi" w:hAnsiTheme="majorBidi"/>
          <w:snapToGrid w:val="0"/>
        </w:rPr>
        <w:t>e</w:t>
      </w:r>
      <w:r w:rsidR="30667D1B">
        <w:rPr>
          <w:rFonts w:asciiTheme="majorBidi" w:hAnsiTheme="majorBidi"/>
          <w:snapToGrid w:val="0"/>
        </w:rPr>
        <w:t>s au sujet des</w:t>
      </w:r>
      <w:r>
        <w:rPr>
          <w:rFonts w:asciiTheme="majorBidi" w:hAnsiTheme="majorBidi"/>
          <w:snapToGrid w:val="0"/>
        </w:rPr>
        <w:t xml:space="preserve"> précédentes analyses effectuée</w:t>
      </w:r>
      <w:r w:rsidR="30667D1B">
        <w:rPr>
          <w:rFonts w:asciiTheme="majorBidi" w:hAnsiTheme="majorBidi"/>
          <w:snapToGrid w:val="0"/>
        </w:rPr>
        <w:t xml:space="preserve">s pour estimer les ressources nécessaires </w:t>
      </w:r>
      <w:r w:rsidR="30667D1B">
        <w:rPr>
          <w:rFonts w:asciiTheme="majorBidi" w:hAnsiTheme="majorBidi"/>
        </w:rPr>
        <w:t xml:space="preserve">pour appuyer les programmes et initiatives </w:t>
      </w:r>
      <w:r>
        <w:rPr>
          <w:rFonts w:asciiTheme="majorBidi" w:hAnsiTheme="majorBidi"/>
        </w:rPr>
        <w:t xml:space="preserve">en matière </w:t>
      </w:r>
      <w:r w:rsidR="30667D1B">
        <w:rPr>
          <w:rFonts w:asciiTheme="majorBidi" w:hAnsiTheme="majorBidi"/>
        </w:rPr>
        <w:t xml:space="preserve">de coopération technique </w:t>
      </w:r>
      <w:r>
        <w:rPr>
          <w:rFonts w:asciiTheme="majorBidi" w:hAnsiTheme="majorBidi"/>
        </w:rPr>
        <w:t>et scientifique. La sous-partie</w:t>
      </w:r>
      <w:r w:rsidR="30667D1B">
        <w:rPr>
          <w:rFonts w:asciiTheme="majorBidi" w:hAnsiTheme="majorBidi"/>
        </w:rPr>
        <w:t xml:space="preserve"> B présen</w:t>
      </w:r>
      <w:r>
        <w:rPr>
          <w:rFonts w:asciiTheme="majorBidi" w:hAnsiTheme="majorBidi"/>
        </w:rPr>
        <w:t>te des propositions relatives</w:t>
      </w:r>
      <w:r w:rsidR="30667D1B">
        <w:rPr>
          <w:rFonts w:asciiTheme="majorBidi" w:hAnsiTheme="majorBidi"/>
        </w:rPr>
        <w:t xml:space="preserve"> aux critères et aux modalités de sélection des entités et org</w:t>
      </w:r>
      <w:r w:rsidR="00592EE5">
        <w:rPr>
          <w:rFonts w:asciiTheme="majorBidi" w:hAnsiTheme="majorBidi"/>
        </w:rPr>
        <w:t>anisations qui accueilleront l</w:t>
      </w:r>
      <w:r w:rsidR="30667D1B">
        <w:rPr>
          <w:rFonts w:asciiTheme="majorBidi" w:hAnsiTheme="majorBidi"/>
        </w:rPr>
        <w:t>es mécanisme</w:t>
      </w:r>
      <w:r w:rsidR="00592EE5">
        <w:rPr>
          <w:rFonts w:asciiTheme="majorBidi" w:hAnsiTheme="majorBidi"/>
        </w:rPr>
        <w:t xml:space="preserve">s institutionnels visant à promouvoir et à </w:t>
      </w:r>
      <w:r w:rsidR="30667D1B">
        <w:rPr>
          <w:rFonts w:asciiTheme="majorBidi" w:hAnsiTheme="majorBidi"/>
        </w:rPr>
        <w:t>faciliter les programmes de coopération techni</w:t>
      </w:r>
      <w:r w:rsidR="00592EE5">
        <w:rPr>
          <w:rFonts w:asciiTheme="majorBidi" w:hAnsiTheme="majorBidi"/>
        </w:rPr>
        <w:t>que et scientifique aux niveaux</w:t>
      </w:r>
      <w:r w:rsidR="30667D1B">
        <w:rPr>
          <w:rFonts w:asciiTheme="majorBidi" w:hAnsiTheme="majorBidi"/>
        </w:rPr>
        <w:t xml:space="preserve"> </w:t>
      </w:r>
      <w:r w:rsidR="00592EE5">
        <w:rPr>
          <w:rFonts w:asciiTheme="majorBidi" w:hAnsiTheme="majorBidi"/>
        </w:rPr>
        <w:t>mondial, régional</w:t>
      </w:r>
      <w:r>
        <w:rPr>
          <w:rFonts w:asciiTheme="majorBidi" w:hAnsiTheme="majorBidi"/>
        </w:rPr>
        <w:t xml:space="preserve"> et/ou infra</w:t>
      </w:r>
      <w:r w:rsidR="00592EE5">
        <w:rPr>
          <w:rFonts w:asciiTheme="majorBidi" w:hAnsiTheme="majorBidi"/>
        </w:rPr>
        <w:t>régional</w:t>
      </w:r>
      <w:r w:rsidR="30667D1B">
        <w:rPr>
          <w:rFonts w:asciiTheme="majorBidi" w:hAnsiTheme="majorBidi"/>
        </w:rPr>
        <w:t xml:space="preserve">. </w:t>
      </w:r>
    </w:p>
    <w:p w14:paraId="1D490962" w14:textId="00256F0F" w:rsidR="007C2C43" w:rsidRPr="007C4E47" w:rsidRDefault="007C2C43" w:rsidP="00F24717">
      <w:pPr>
        <w:pStyle w:val="Heading2"/>
        <w:numPr>
          <w:ilvl w:val="0"/>
          <w:numId w:val="28"/>
        </w:numPr>
        <w:tabs>
          <w:tab w:val="clear" w:pos="720"/>
          <w:tab w:val="left" w:pos="1418"/>
        </w:tabs>
        <w:ind w:left="1418" w:hanging="567"/>
        <w:jc w:val="left"/>
        <w:rPr>
          <w:snapToGrid w:val="0"/>
        </w:rPr>
      </w:pPr>
      <w:r>
        <w:rPr>
          <w:snapToGrid w:val="0"/>
        </w:rPr>
        <w:t>Besoins en ressources et stratégie de mobilisation des ressources pour la coopération technique et scientifique</w:t>
      </w:r>
    </w:p>
    <w:p w14:paraId="15F9A47C" w14:textId="5052C227" w:rsidR="007C2C43" w:rsidRPr="007C4E47" w:rsidRDefault="00592EE5"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rPr>
      </w:pPr>
      <w:r>
        <w:rPr>
          <w:rFonts w:asciiTheme="majorBidi" w:hAnsiTheme="majorBidi"/>
          <w:snapToGrid w:val="0"/>
        </w:rPr>
        <w:t>L’examen a révélé que la réalisation</w:t>
      </w:r>
      <w:r w:rsidR="007661BD">
        <w:rPr>
          <w:rFonts w:asciiTheme="majorBidi" w:hAnsiTheme="majorBidi"/>
          <w:snapToGrid w:val="0"/>
        </w:rPr>
        <w:t xml:space="preserve"> des programmes de coopération technique et scientifique est entravée par </w:t>
      </w:r>
      <w:r>
        <w:rPr>
          <w:rFonts w:asciiTheme="majorBidi" w:hAnsiTheme="majorBidi"/>
        </w:rPr>
        <w:t>plusieurs</w:t>
      </w:r>
      <w:r w:rsidR="007661BD">
        <w:rPr>
          <w:rFonts w:asciiTheme="majorBidi" w:hAnsiTheme="majorBidi"/>
        </w:rPr>
        <w:t xml:space="preserve"> facteurs, plus particulièrement le</w:t>
      </w:r>
      <w:r w:rsidR="007661BD">
        <w:rPr>
          <w:rFonts w:asciiTheme="majorBidi" w:hAnsiTheme="majorBidi"/>
          <w:snapToGrid w:val="0"/>
        </w:rPr>
        <w:t xml:space="preserve"> manque de ressources financières et humaines adéquates et durables. Les ressources financières affectées à la coopération technique et s</w:t>
      </w:r>
      <w:r>
        <w:rPr>
          <w:rFonts w:asciiTheme="majorBidi" w:hAnsiTheme="majorBidi"/>
          <w:snapToGrid w:val="0"/>
        </w:rPr>
        <w:t>cientifique sont rar</w:t>
      </w:r>
      <w:r w:rsidR="007661BD">
        <w:rPr>
          <w:rFonts w:asciiTheme="majorBidi" w:hAnsiTheme="majorBidi"/>
          <w:snapToGrid w:val="0"/>
        </w:rPr>
        <w:t>es,</w:t>
      </w:r>
      <w:r>
        <w:rPr>
          <w:rFonts w:asciiTheme="majorBidi" w:hAnsiTheme="majorBidi"/>
          <w:snapToGrid w:val="0"/>
        </w:rPr>
        <w:t xml:space="preserve"> insuffisantes,</w:t>
      </w:r>
      <w:r w:rsidR="007661BD">
        <w:rPr>
          <w:rFonts w:asciiTheme="majorBidi" w:hAnsiTheme="majorBidi"/>
          <w:snapToGrid w:val="0"/>
        </w:rPr>
        <w:t xml:space="preserve"> de courte durée, imprévisibles et non viables. Ce facteur a été particulière</w:t>
      </w:r>
      <w:r w:rsidR="00DA4879">
        <w:rPr>
          <w:rFonts w:asciiTheme="majorBidi" w:hAnsiTheme="majorBidi"/>
          <w:snapToGrid w:val="0"/>
        </w:rPr>
        <w:t>ment défavorable aux pa</w:t>
      </w:r>
      <w:r>
        <w:rPr>
          <w:rFonts w:asciiTheme="majorBidi" w:hAnsiTheme="majorBidi"/>
          <w:snapToGrid w:val="0"/>
        </w:rPr>
        <w:t>ys les moins avanc</w:t>
      </w:r>
      <w:r w:rsidR="007661BD">
        <w:rPr>
          <w:rFonts w:asciiTheme="majorBidi" w:hAnsiTheme="majorBidi"/>
          <w:snapToGrid w:val="0"/>
        </w:rPr>
        <w:t>és, aux petits États insulaires en développement et aux pays à économie en transition</w:t>
      </w:r>
      <w:r>
        <w:rPr>
          <w:rFonts w:asciiTheme="majorBidi" w:hAnsiTheme="majorBidi"/>
          <w:snapToGrid w:val="0"/>
        </w:rPr>
        <w:t xml:space="preserve">, en faisant obstacle à leurs initiatives pour appliquer efficacement </w:t>
      </w:r>
      <w:r w:rsidR="007661BD">
        <w:rPr>
          <w:rFonts w:asciiTheme="majorBidi" w:hAnsiTheme="majorBidi"/>
          <w:snapToGrid w:val="0"/>
        </w:rPr>
        <w:t>la Convention et ses Protocoles. La quasi-totalité des activités et initiatives de coopération technique et scientifique dirigée</w:t>
      </w:r>
      <w:r>
        <w:rPr>
          <w:rFonts w:asciiTheme="majorBidi" w:hAnsiTheme="majorBidi"/>
          <w:snapToGrid w:val="0"/>
        </w:rPr>
        <w:t>s par le Secrétariat sont appuyées</w:t>
      </w:r>
      <w:r w:rsidR="007661BD">
        <w:rPr>
          <w:rFonts w:asciiTheme="majorBidi" w:hAnsiTheme="majorBidi"/>
          <w:snapToGrid w:val="0"/>
        </w:rPr>
        <w:t xml:space="preserve"> par des contributions volontaires, qui peuvent souvent être imprévisibles, ce qui compliqu</w:t>
      </w:r>
      <w:r>
        <w:rPr>
          <w:rFonts w:asciiTheme="majorBidi" w:hAnsiTheme="majorBidi"/>
          <w:snapToGrid w:val="0"/>
        </w:rPr>
        <w:t>e l’élaboration et la réalisation</w:t>
      </w:r>
      <w:r w:rsidR="007661BD">
        <w:rPr>
          <w:rFonts w:asciiTheme="majorBidi" w:hAnsiTheme="majorBidi"/>
          <w:snapToGrid w:val="0"/>
        </w:rPr>
        <w:t xml:space="preserve"> des programmes de coopération technique et scientifique. </w:t>
      </w:r>
    </w:p>
    <w:p w14:paraId="2527DF26" w14:textId="13A4419D" w:rsidR="007C2C43" w:rsidRPr="007C4E47" w:rsidRDefault="00592EE5"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 xml:space="preserve">Donnant suite </w:t>
      </w:r>
      <w:r w:rsidR="007C2C43">
        <w:rPr>
          <w:rFonts w:asciiTheme="majorBidi" w:hAnsiTheme="majorBidi"/>
          <w:snapToGrid w:val="0"/>
        </w:rPr>
        <w:t xml:space="preserve">à la recommandation 23/6 de l’Organe subsidiaire chargé de fournir des avis scientifiques, techniques et technologiques, </w:t>
      </w:r>
      <w:r>
        <w:rPr>
          <w:rFonts w:asciiTheme="majorBidi" w:hAnsiTheme="majorBidi"/>
          <w:snapToGrid w:val="0"/>
        </w:rPr>
        <w:t>la Secrétaire exécutive a consolidé les informations sur les coûts estimés</w:t>
      </w:r>
      <w:r w:rsidR="007C2C43">
        <w:rPr>
          <w:rFonts w:asciiTheme="majorBidi" w:hAnsiTheme="majorBidi"/>
          <w:snapToGrid w:val="0"/>
        </w:rPr>
        <w:t xml:space="preserve"> de</w:t>
      </w:r>
      <w:r>
        <w:rPr>
          <w:rFonts w:asciiTheme="majorBidi" w:hAnsiTheme="majorBidi"/>
          <w:snapToGrid w:val="0"/>
        </w:rPr>
        <w:t>s différentes options pour les</w:t>
      </w:r>
      <w:r w:rsidR="007C2C43">
        <w:rPr>
          <w:rFonts w:asciiTheme="majorBidi" w:hAnsiTheme="majorBidi"/>
          <w:snapToGrid w:val="0"/>
        </w:rPr>
        <w:t xml:space="preserve"> mécanismes institutionnels visant à faciliter et </w:t>
      </w:r>
      <w:r>
        <w:rPr>
          <w:rFonts w:asciiTheme="majorBidi" w:hAnsiTheme="majorBidi"/>
          <w:snapToGrid w:val="0"/>
        </w:rPr>
        <w:t xml:space="preserve">à </w:t>
      </w:r>
      <w:r w:rsidR="007C2C43">
        <w:rPr>
          <w:rFonts w:asciiTheme="majorBidi" w:hAnsiTheme="majorBidi"/>
          <w:snapToGrid w:val="0"/>
        </w:rPr>
        <w:t>améliorer la coopération technique et scientifique</w:t>
      </w:r>
      <w:r>
        <w:rPr>
          <w:rFonts w:asciiTheme="majorBidi" w:hAnsiTheme="majorBidi"/>
          <w:snapToGrid w:val="0"/>
        </w:rPr>
        <w:t>,</w:t>
      </w:r>
      <w:r w:rsidR="007C2C43">
        <w:rPr>
          <w:rFonts w:asciiTheme="majorBidi" w:hAnsiTheme="majorBidi"/>
          <w:snapToGrid w:val="0"/>
        </w:rPr>
        <w:t xml:space="preserve"> et a prése</w:t>
      </w:r>
      <w:r>
        <w:rPr>
          <w:rFonts w:asciiTheme="majorBidi" w:hAnsiTheme="majorBidi"/>
          <w:snapToGrid w:val="0"/>
        </w:rPr>
        <w:t>nté ces information</w:t>
      </w:r>
      <w:r w:rsidR="007C2C43">
        <w:rPr>
          <w:rFonts w:asciiTheme="majorBidi" w:hAnsiTheme="majorBidi"/>
          <w:snapToGrid w:val="0"/>
        </w:rPr>
        <w:t>s dans le document CBD/S</w:t>
      </w:r>
      <w:r>
        <w:rPr>
          <w:rFonts w:asciiTheme="majorBidi" w:hAnsiTheme="majorBidi"/>
          <w:snapToGrid w:val="0"/>
        </w:rPr>
        <w:t>BI/3/INF/16.  Les informations contenues dans ce document</w:t>
      </w:r>
      <w:r w:rsidR="007C2C43">
        <w:rPr>
          <w:rFonts w:asciiTheme="majorBidi" w:hAnsiTheme="majorBidi"/>
          <w:snapToGrid w:val="0"/>
        </w:rPr>
        <w:t xml:space="preserve"> fourni</w:t>
      </w:r>
      <w:r>
        <w:rPr>
          <w:rFonts w:asciiTheme="majorBidi" w:hAnsiTheme="majorBidi"/>
          <w:snapToGrid w:val="0"/>
        </w:rPr>
        <w:t>ssen</w:t>
      </w:r>
      <w:r w:rsidR="007C2C43">
        <w:rPr>
          <w:rFonts w:asciiTheme="majorBidi" w:hAnsiTheme="majorBidi"/>
          <w:snapToGrid w:val="0"/>
        </w:rPr>
        <w:t>t des évaluations prudentes des ressources minimales nécessaires pour mettre en place les mécanisme</w:t>
      </w:r>
      <w:r>
        <w:rPr>
          <w:rFonts w:asciiTheme="majorBidi" w:hAnsiTheme="majorBidi"/>
          <w:snapToGrid w:val="0"/>
        </w:rPr>
        <w:t>s institutionnels de base nécessaires</w:t>
      </w:r>
      <w:r w:rsidR="007C2C43">
        <w:rPr>
          <w:rFonts w:asciiTheme="majorBidi" w:hAnsiTheme="majorBidi"/>
          <w:snapToGrid w:val="0"/>
        </w:rPr>
        <w:t>. Cependant, il faudra engager beaucoup plus de ressources pour soutenir les activités, pr</w:t>
      </w:r>
      <w:r>
        <w:rPr>
          <w:rFonts w:asciiTheme="majorBidi" w:hAnsiTheme="majorBidi"/>
          <w:snapToGrid w:val="0"/>
        </w:rPr>
        <w:t>ojets et programmes</w:t>
      </w:r>
      <w:r w:rsidR="007C2C43">
        <w:rPr>
          <w:rFonts w:asciiTheme="majorBidi" w:hAnsiTheme="majorBidi"/>
          <w:snapToGrid w:val="0"/>
        </w:rPr>
        <w:t xml:space="preserve"> de coopération technique et scientifique proprement dits.</w:t>
      </w:r>
    </w:p>
    <w:p w14:paraId="13241340" w14:textId="3D6F4446" w:rsidR="00732D25" w:rsidRPr="007C4E47" w:rsidRDefault="000F65E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snapToGrid w:val="0"/>
        </w:rPr>
        <w:t>Afin de souligner l’importance de la mobilisation des ressources, il convient de mentionner que 72 pour cent des répondants du que</w:t>
      </w:r>
      <w:r w:rsidR="00936F95">
        <w:rPr>
          <w:rFonts w:asciiTheme="majorBidi" w:hAnsiTheme="majorBidi"/>
          <w:snapToGrid w:val="0"/>
        </w:rPr>
        <w:t>stionnaire étaient entièrement d’</w:t>
      </w:r>
      <w:r>
        <w:rPr>
          <w:rFonts w:asciiTheme="majorBidi" w:hAnsiTheme="majorBidi"/>
          <w:snapToGrid w:val="0"/>
        </w:rPr>
        <w:t>accord avec l’affirmation suivante : « afin d’atteindre les objectifs du cadre mondial de la biodiversité pour l’après-2020, des investissements accrus doivent être faits pour promouvoir et mettre en œuvre la coopération technique et scientifiqu</w:t>
      </w:r>
      <w:r w:rsidR="00936F95">
        <w:rPr>
          <w:rFonts w:asciiTheme="majorBidi" w:hAnsiTheme="majorBidi"/>
          <w:snapToGrid w:val="0"/>
        </w:rPr>
        <w:t>e, en particulier au profit</w:t>
      </w:r>
      <w:r>
        <w:rPr>
          <w:rFonts w:asciiTheme="majorBidi" w:hAnsiTheme="majorBidi"/>
          <w:snapToGrid w:val="0"/>
        </w:rPr>
        <w:t xml:space="preserve"> des pays en développement et de</w:t>
      </w:r>
      <w:r w:rsidR="00936F95">
        <w:rPr>
          <w:rFonts w:asciiTheme="majorBidi" w:hAnsiTheme="majorBidi"/>
          <w:snapToGrid w:val="0"/>
        </w:rPr>
        <w:t>s pays à économie en transition</w:t>
      </w:r>
      <w:r>
        <w:rPr>
          <w:rFonts w:asciiTheme="majorBidi" w:hAnsiTheme="majorBidi"/>
          <w:snapToGrid w:val="0"/>
        </w:rPr>
        <w:t> »</w:t>
      </w:r>
      <w:r w:rsidR="00936F95">
        <w:rPr>
          <w:rFonts w:asciiTheme="majorBidi" w:hAnsiTheme="majorBidi"/>
          <w:snapToGrid w:val="0"/>
        </w:rPr>
        <w:t>.</w:t>
      </w:r>
      <w:r>
        <w:rPr>
          <w:rFonts w:asciiTheme="majorBidi" w:hAnsiTheme="majorBidi"/>
          <w:snapToGrid w:val="0"/>
        </w:rPr>
        <w:t xml:space="preserve"> </w:t>
      </w:r>
    </w:p>
    <w:p w14:paraId="0E846E21" w14:textId="0634447D" w:rsidR="00732D25" w:rsidRPr="00F24717" w:rsidRDefault="007C2C43" w:rsidP="00F2471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lastRenderedPageBreak/>
        <w:t>La mobilisa</w:t>
      </w:r>
      <w:r w:rsidR="00936F95">
        <w:rPr>
          <w:rFonts w:asciiTheme="majorBidi" w:hAnsiTheme="majorBidi"/>
          <w:snapToGrid w:val="0"/>
        </w:rPr>
        <w:t>tion de ressources pour les programmes de</w:t>
      </w:r>
      <w:r>
        <w:rPr>
          <w:rFonts w:asciiTheme="majorBidi" w:hAnsiTheme="majorBidi"/>
          <w:snapToGrid w:val="0"/>
        </w:rPr>
        <w:t xml:space="preserve"> coopération technique e</w:t>
      </w:r>
      <w:r w:rsidR="00936F95">
        <w:rPr>
          <w:rFonts w:asciiTheme="majorBidi" w:hAnsiTheme="majorBidi"/>
          <w:snapToGrid w:val="0"/>
        </w:rPr>
        <w:t xml:space="preserve">t scientifique et </w:t>
      </w:r>
      <w:r>
        <w:rPr>
          <w:rFonts w:asciiTheme="majorBidi" w:hAnsiTheme="majorBidi"/>
          <w:snapToGrid w:val="0"/>
        </w:rPr>
        <w:t>d’autres prog</w:t>
      </w:r>
      <w:r w:rsidR="00936F95">
        <w:rPr>
          <w:rFonts w:asciiTheme="majorBidi" w:hAnsiTheme="majorBidi"/>
          <w:snapToGrid w:val="0"/>
        </w:rPr>
        <w:t>rammes reste un obstacle important dans le cadre</w:t>
      </w:r>
      <w:r>
        <w:rPr>
          <w:rFonts w:asciiTheme="majorBidi" w:hAnsiTheme="majorBidi"/>
          <w:snapToGrid w:val="0"/>
        </w:rPr>
        <w:t xml:space="preserve"> la Convention et de ses Protocoles. Il est nécessaire de trouver et </w:t>
      </w:r>
      <w:r w:rsidR="00936F95">
        <w:rPr>
          <w:rFonts w:asciiTheme="majorBidi" w:hAnsiTheme="majorBidi"/>
          <w:snapToGrid w:val="0"/>
        </w:rPr>
        <w:t>de mobiliser des ressources provenant de différentes sources</w:t>
      </w:r>
      <w:r w:rsidR="00C93AF9">
        <w:rPr>
          <w:rFonts w:asciiTheme="majorBidi" w:hAnsiTheme="majorBidi"/>
          <w:snapToGrid w:val="0"/>
        </w:rPr>
        <w:t xml:space="preserve"> </w:t>
      </w:r>
      <w:r>
        <w:rPr>
          <w:rFonts w:asciiTheme="majorBidi" w:hAnsiTheme="majorBidi"/>
          <w:snapToGrid w:val="0"/>
        </w:rPr>
        <w:t xml:space="preserve">pour les programmes et initiatives </w:t>
      </w:r>
      <w:r w:rsidR="00936F95">
        <w:rPr>
          <w:rFonts w:asciiTheme="majorBidi" w:hAnsiTheme="majorBidi"/>
          <w:snapToGrid w:val="0"/>
        </w:rPr>
        <w:t xml:space="preserve">en matière </w:t>
      </w:r>
      <w:r>
        <w:rPr>
          <w:rFonts w:asciiTheme="majorBidi" w:hAnsiTheme="majorBidi"/>
          <w:snapToGrid w:val="0"/>
        </w:rPr>
        <w:t>de coopération technique et scientifique, dans le cadre de la stratégie globale de mobilisation de ressources pour le cadre mondial de la biodiversité pour l’après-2020</w:t>
      </w:r>
      <w:r w:rsidR="00B05E38">
        <w:rPr>
          <w:rStyle w:val="FootnoteReference"/>
          <w:rFonts w:asciiTheme="majorBidi" w:hAnsiTheme="majorBidi" w:cstheme="majorBidi"/>
          <w:snapToGrid w:val="0"/>
          <w:kern w:val="22"/>
          <w:szCs w:val="22"/>
          <w:lang w:val="en-CA"/>
        </w:rPr>
        <w:footnoteReference w:id="6"/>
      </w:r>
      <w:r>
        <w:rPr>
          <w:rFonts w:asciiTheme="majorBidi" w:hAnsiTheme="majorBidi"/>
          <w:snapToGrid w:val="0"/>
        </w:rPr>
        <w:t>.</w:t>
      </w:r>
      <w:r>
        <w:rPr>
          <w:rFonts w:asciiTheme="majorBidi" w:hAnsiTheme="majorBidi"/>
          <w:snapToGrid w:val="0"/>
          <w:szCs w:val="22"/>
        </w:rPr>
        <w:t xml:space="preserve"> </w:t>
      </w:r>
    </w:p>
    <w:p w14:paraId="298A1A42" w14:textId="53D6DBC3" w:rsidR="007C2C43" w:rsidRPr="00F24717" w:rsidRDefault="007C2C43" w:rsidP="00F24717">
      <w:pPr>
        <w:pStyle w:val="Heading2"/>
        <w:numPr>
          <w:ilvl w:val="0"/>
          <w:numId w:val="28"/>
        </w:numPr>
        <w:tabs>
          <w:tab w:val="clear" w:pos="720"/>
          <w:tab w:val="left" w:pos="1418"/>
        </w:tabs>
        <w:ind w:left="1418" w:hanging="567"/>
        <w:jc w:val="left"/>
        <w:rPr>
          <w:snapToGrid w:val="0"/>
        </w:rPr>
      </w:pPr>
      <w:r>
        <w:rPr>
          <w:snapToGrid w:val="0"/>
        </w:rPr>
        <w:t xml:space="preserve">Critères et modalités de </w:t>
      </w:r>
      <w:bookmarkStart w:id="11" w:name="_Hlk118222625"/>
      <w:r w:rsidR="00AB1563">
        <w:rPr>
          <w:snapToGrid w:val="0"/>
        </w:rPr>
        <w:t xml:space="preserve">sélection des </w:t>
      </w:r>
      <w:r w:rsidR="005F6507">
        <w:rPr>
          <w:snapToGrid w:val="0"/>
        </w:rPr>
        <w:t>entités</w:t>
      </w:r>
      <w:r w:rsidR="00AB1563">
        <w:rPr>
          <w:snapToGrid w:val="0"/>
        </w:rPr>
        <w:t xml:space="preserve"> et </w:t>
      </w:r>
      <w:r>
        <w:rPr>
          <w:snapToGrid w:val="0"/>
        </w:rPr>
        <w:t xml:space="preserve">organisations </w:t>
      </w:r>
      <w:bookmarkEnd w:id="11"/>
      <w:r w:rsidR="00AB1563">
        <w:rPr>
          <w:snapToGrid w:val="0"/>
        </w:rPr>
        <w:t>qui accueilleront l</w:t>
      </w:r>
      <w:r>
        <w:rPr>
          <w:snapToGrid w:val="0"/>
        </w:rPr>
        <w:t xml:space="preserve">es mécanismes institutionnels visant à promouvoir et </w:t>
      </w:r>
      <w:r w:rsidR="00936F95">
        <w:rPr>
          <w:snapToGrid w:val="0"/>
        </w:rPr>
        <w:t xml:space="preserve">à </w:t>
      </w:r>
      <w:r>
        <w:rPr>
          <w:snapToGrid w:val="0"/>
        </w:rPr>
        <w:t xml:space="preserve">faciliter la coopération technique et scientifique </w:t>
      </w:r>
    </w:p>
    <w:p w14:paraId="321E3151" w14:textId="6282277F" w:rsidR="007C2C43" w:rsidRPr="00D92897" w:rsidRDefault="00936F95" w:rsidP="00D9289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rPr>
        <w:t xml:space="preserve">A </w:t>
      </w:r>
      <w:r w:rsidR="004B1CF8">
        <w:rPr>
          <w:rFonts w:asciiTheme="majorBidi" w:hAnsiTheme="majorBidi"/>
        </w:rPr>
        <w:t>sa troisième réunion, l’</w:t>
      </w:r>
      <w:r w:rsidR="0013681D">
        <w:rPr>
          <w:rFonts w:asciiTheme="majorBidi" w:hAnsiTheme="majorBidi"/>
        </w:rPr>
        <w:t>Organe subsidiaire</w:t>
      </w:r>
      <w:r w:rsidR="004B1CF8">
        <w:rPr>
          <w:rFonts w:asciiTheme="majorBidi" w:hAnsiTheme="majorBidi"/>
        </w:rPr>
        <w:t xml:space="preserve"> chargé d</w:t>
      </w:r>
      <w:r>
        <w:rPr>
          <w:rFonts w:asciiTheme="majorBidi" w:hAnsiTheme="majorBidi"/>
        </w:rPr>
        <w:t xml:space="preserve">e l’application a examiné un ensemble de critères proposés pour les </w:t>
      </w:r>
      <w:r w:rsidR="004B1CF8">
        <w:rPr>
          <w:rFonts w:asciiTheme="majorBidi" w:hAnsiTheme="majorBidi"/>
        </w:rPr>
        <w:t xml:space="preserve">entités </w:t>
      </w:r>
      <w:r>
        <w:rPr>
          <w:rFonts w:asciiTheme="majorBidi" w:hAnsiTheme="majorBidi"/>
        </w:rPr>
        <w:t xml:space="preserve">et organisations qui </w:t>
      </w:r>
      <w:r w:rsidR="004B1CF8">
        <w:rPr>
          <w:rFonts w:asciiTheme="majorBidi" w:hAnsiTheme="majorBidi"/>
        </w:rPr>
        <w:t>souhaiter</w:t>
      </w:r>
      <w:r>
        <w:rPr>
          <w:rFonts w:asciiTheme="majorBidi" w:hAnsiTheme="majorBidi"/>
        </w:rPr>
        <w:t>ont peut-être accueilli</w:t>
      </w:r>
      <w:r w:rsidR="004B1CF8">
        <w:rPr>
          <w:rFonts w:asciiTheme="majorBidi" w:hAnsiTheme="majorBidi"/>
        </w:rPr>
        <w:t xml:space="preserve">r des mécanismes institutionnels visant à promouvoir et </w:t>
      </w:r>
      <w:r>
        <w:rPr>
          <w:rFonts w:asciiTheme="majorBidi" w:hAnsiTheme="majorBidi"/>
        </w:rPr>
        <w:t xml:space="preserve">à </w:t>
      </w:r>
      <w:r w:rsidR="004B1CF8">
        <w:rPr>
          <w:rFonts w:asciiTheme="majorBidi" w:hAnsiTheme="majorBidi"/>
        </w:rPr>
        <w:t>faciliter la coopération techni</w:t>
      </w:r>
      <w:r>
        <w:rPr>
          <w:rFonts w:asciiTheme="majorBidi" w:hAnsiTheme="majorBidi"/>
        </w:rPr>
        <w:t>que et scientifique aux niveaux mondial, régional et/ou infrarégional</w:t>
      </w:r>
      <w:r w:rsidR="004B1CF8">
        <w:rPr>
          <w:rFonts w:asciiTheme="majorBidi" w:hAnsiTheme="majorBidi"/>
        </w:rPr>
        <w:t>. Ces critères sont inclus dans le projet de d</w:t>
      </w:r>
      <w:r>
        <w:rPr>
          <w:rFonts w:asciiTheme="majorBidi" w:hAnsiTheme="majorBidi"/>
        </w:rPr>
        <w:t xml:space="preserve">écision sur </w:t>
      </w:r>
      <w:r w:rsidR="004B1CF8">
        <w:rPr>
          <w:rFonts w:asciiTheme="majorBidi" w:hAnsiTheme="majorBidi"/>
        </w:rPr>
        <w:t>le r</w:t>
      </w:r>
      <w:r>
        <w:rPr>
          <w:rFonts w:asciiTheme="majorBidi" w:hAnsiTheme="majorBidi"/>
        </w:rPr>
        <w:t xml:space="preserve">enforcement </w:t>
      </w:r>
      <w:r w:rsidR="00D85B09">
        <w:rPr>
          <w:rFonts w:asciiTheme="majorBidi" w:hAnsiTheme="majorBidi"/>
        </w:rPr>
        <w:t xml:space="preserve">des capacités et </w:t>
      </w:r>
      <w:r w:rsidR="004B1CF8">
        <w:rPr>
          <w:rFonts w:asciiTheme="majorBidi" w:hAnsiTheme="majorBidi"/>
        </w:rPr>
        <w:t>la coopération technique et scientifique</w:t>
      </w:r>
      <w:r>
        <w:rPr>
          <w:rFonts w:asciiTheme="majorBidi" w:hAnsiTheme="majorBidi"/>
        </w:rPr>
        <w:t>, mis à dispositi</w:t>
      </w:r>
      <w:r w:rsidR="00D85B09">
        <w:rPr>
          <w:rFonts w:asciiTheme="majorBidi" w:hAnsiTheme="majorBidi"/>
        </w:rPr>
        <w:t>on pour examen par la Conférence des Parties à</w:t>
      </w:r>
      <w:r w:rsidR="004B1CF8">
        <w:rPr>
          <w:rFonts w:asciiTheme="majorBidi" w:hAnsiTheme="majorBidi"/>
        </w:rPr>
        <w:t xml:space="preserve"> sa quinzième réunion dans le document CBD/COP/15/2</w:t>
      </w:r>
      <w:r w:rsidR="0053051A">
        <w:rPr>
          <w:rStyle w:val="FootnoteReference"/>
          <w:rFonts w:asciiTheme="majorBidi" w:hAnsiTheme="majorBidi" w:cstheme="majorBidi"/>
          <w:kern w:val="22"/>
          <w:lang w:val="en-CA"/>
        </w:rPr>
        <w:footnoteReference w:id="7"/>
      </w:r>
      <w:r w:rsidR="004B1CF8">
        <w:rPr>
          <w:rFonts w:asciiTheme="majorBidi" w:hAnsiTheme="majorBidi"/>
        </w:rPr>
        <w:t>.</w:t>
      </w:r>
    </w:p>
    <w:p w14:paraId="6A9C7670" w14:textId="17037C00" w:rsidR="000460FA" w:rsidRPr="007C4E47" w:rsidRDefault="00D85B09"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rPr>
      </w:pPr>
      <w:r>
        <w:rPr>
          <w:rFonts w:asciiTheme="majorBidi" w:hAnsiTheme="majorBidi"/>
        </w:rPr>
        <w:t>De plus</w:t>
      </w:r>
      <w:r w:rsidR="00BB0AB4">
        <w:rPr>
          <w:rFonts w:asciiTheme="majorBidi" w:hAnsiTheme="majorBidi"/>
        </w:rPr>
        <w:t>, dans l</w:t>
      </w:r>
      <w:r>
        <w:rPr>
          <w:rFonts w:asciiTheme="majorBidi" w:hAnsiTheme="majorBidi"/>
        </w:rPr>
        <w:t xml:space="preserve">e cadre du questionnaire pour le présent </w:t>
      </w:r>
      <w:r w:rsidR="00BB0AB4">
        <w:rPr>
          <w:rFonts w:asciiTheme="majorBidi" w:hAnsiTheme="majorBidi"/>
        </w:rPr>
        <w:t>examen, les réponda</w:t>
      </w:r>
      <w:r>
        <w:rPr>
          <w:rFonts w:asciiTheme="majorBidi" w:hAnsiTheme="majorBidi"/>
        </w:rPr>
        <w:t>nts ont été invités à recenser d</w:t>
      </w:r>
      <w:r w:rsidR="00BB0AB4">
        <w:rPr>
          <w:rFonts w:asciiTheme="majorBidi" w:hAnsiTheme="majorBidi"/>
        </w:rPr>
        <w:t>es critères prioritaires qui devraient être pris e</w:t>
      </w:r>
      <w:r w:rsidR="00AB1563">
        <w:rPr>
          <w:rFonts w:asciiTheme="majorBidi" w:hAnsiTheme="majorBidi"/>
        </w:rPr>
        <w:t xml:space="preserve">n compte lors de la sélection des </w:t>
      </w:r>
      <w:r w:rsidR="00BB0AB4">
        <w:rPr>
          <w:rFonts w:asciiTheme="majorBidi" w:hAnsiTheme="majorBidi"/>
        </w:rPr>
        <w:t xml:space="preserve">entités </w:t>
      </w:r>
      <w:r w:rsidR="00AB1563">
        <w:rPr>
          <w:rFonts w:asciiTheme="majorBidi" w:hAnsiTheme="majorBidi"/>
        </w:rPr>
        <w:t xml:space="preserve">et </w:t>
      </w:r>
      <w:r>
        <w:rPr>
          <w:rFonts w:asciiTheme="majorBidi" w:hAnsiTheme="majorBidi"/>
        </w:rPr>
        <w:t xml:space="preserve">organisations qui seront chargées de </w:t>
      </w:r>
      <w:r w:rsidR="00BB0AB4">
        <w:rPr>
          <w:rFonts w:asciiTheme="majorBidi" w:hAnsiTheme="majorBidi"/>
        </w:rPr>
        <w:t xml:space="preserve">faciliter et </w:t>
      </w:r>
      <w:r>
        <w:rPr>
          <w:rFonts w:asciiTheme="majorBidi" w:hAnsiTheme="majorBidi"/>
        </w:rPr>
        <w:t>d’</w:t>
      </w:r>
      <w:r w:rsidR="00BB0AB4">
        <w:rPr>
          <w:rFonts w:asciiTheme="majorBidi" w:hAnsiTheme="majorBidi"/>
        </w:rPr>
        <w:t>améliorer la coopératio</w:t>
      </w:r>
      <w:r>
        <w:rPr>
          <w:rFonts w:asciiTheme="majorBidi" w:hAnsiTheme="majorBidi"/>
        </w:rPr>
        <w:t>n technique et scientifique en appui a</w:t>
      </w:r>
      <w:r w:rsidR="00BB0AB4">
        <w:rPr>
          <w:rFonts w:asciiTheme="majorBidi" w:hAnsiTheme="majorBidi"/>
        </w:rPr>
        <w:t>u cadre mondial de la biodiversité de l’après-2020. Les q</w:t>
      </w:r>
      <w:r>
        <w:rPr>
          <w:rFonts w:asciiTheme="majorBidi" w:hAnsiTheme="majorBidi"/>
        </w:rPr>
        <w:t>uatre principaux critères retenu</w:t>
      </w:r>
      <w:r w:rsidR="00BB0AB4">
        <w:rPr>
          <w:rFonts w:asciiTheme="majorBidi" w:hAnsiTheme="majorBidi"/>
        </w:rPr>
        <w:t>s par la majorité des répondants sont les suivants :</w:t>
      </w:r>
    </w:p>
    <w:p w14:paraId="27776DDF" w14:textId="27120154" w:rsidR="00BD6B74" w:rsidRPr="0030523C" w:rsidRDefault="00BD6B74" w:rsidP="002654D1">
      <w:pPr>
        <w:pStyle w:val="Para1"/>
        <w:numPr>
          <w:ilvl w:val="1"/>
          <w:numId w:val="5"/>
        </w:numPr>
        <w:suppressLineNumbers/>
        <w:tabs>
          <w:tab w:val="left" w:pos="360"/>
        </w:tabs>
        <w:suppressAutoHyphens/>
        <w:kinsoku w:val="0"/>
        <w:overflowPunct w:val="0"/>
        <w:autoSpaceDE w:val="0"/>
        <w:autoSpaceDN w:val="0"/>
        <w:adjustRightInd w:val="0"/>
        <w:snapToGrid w:val="0"/>
        <w:ind w:left="1560" w:hanging="799"/>
        <w:rPr>
          <w:rFonts w:asciiTheme="majorBidi" w:hAnsiTheme="majorBidi" w:cstheme="majorBidi"/>
          <w:kern w:val="22"/>
        </w:rPr>
      </w:pPr>
      <w:r>
        <w:rPr>
          <w:rFonts w:asciiTheme="majorBidi" w:hAnsiTheme="majorBidi"/>
        </w:rPr>
        <w:t>Participation à des réseaux et</w:t>
      </w:r>
      <w:r w:rsidR="003F32E4">
        <w:rPr>
          <w:rFonts w:asciiTheme="majorBidi" w:hAnsiTheme="majorBidi"/>
        </w:rPr>
        <w:t xml:space="preserve"> partenariats régionaux et infrarégionaux relatif</w:t>
      </w:r>
      <w:r>
        <w:rPr>
          <w:rFonts w:asciiTheme="majorBidi" w:hAnsiTheme="majorBidi"/>
        </w:rPr>
        <w:t xml:space="preserve">s à la </w:t>
      </w:r>
      <w:r w:rsidR="002654D1">
        <w:rPr>
          <w:rFonts w:asciiTheme="majorBidi" w:hAnsiTheme="majorBidi"/>
        </w:rPr>
        <w:t xml:space="preserve"> </w:t>
      </w:r>
      <w:r w:rsidR="003F32E4">
        <w:rPr>
          <w:rFonts w:asciiTheme="majorBidi" w:hAnsiTheme="majorBidi"/>
        </w:rPr>
        <w:t>biodiversité</w:t>
      </w:r>
      <w:r>
        <w:rPr>
          <w:rFonts w:asciiTheme="majorBidi" w:hAnsiTheme="majorBidi"/>
        </w:rPr>
        <w:t>;</w:t>
      </w:r>
    </w:p>
    <w:p w14:paraId="099AC347" w14:textId="4CFCC90D" w:rsidR="00BD6B74" w:rsidRPr="0030523C" w:rsidRDefault="003F32E4"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rPr>
      </w:pPr>
      <w:r>
        <w:rPr>
          <w:rFonts w:asciiTheme="majorBidi" w:hAnsiTheme="majorBidi"/>
        </w:rPr>
        <w:t>Compétences</w:t>
      </w:r>
      <w:r w:rsidR="00FE2C99">
        <w:rPr>
          <w:rFonts w:asciiTheme="majorBidi" w:hAnsiTheme="majorBidi"/>
        </w:rPr>
        <w:t xml:space="preserve"> d</w:t>
      </w:r>
      <w:r>
        <w:rPr>
          <w:rFonts w:asciiTheme="majorBidi" w:hAnsiTheme="majorBidi"/>
        </w:rPr>
        <w:t>ans les domaines de travail relatifs</w:t>
      </w:r>
      <w:r w:rsidR="00FE2C99">
        <w:rPr>
          <w:rFonts w:asciiTheme="majorBidi" w:hAnsiTheme="majorBidi"/>
        </w:rPr>
        <w:t xml:space="preserve"> </w:t>
      </w:r>
      <w:r>
        <w:rPr>
          <w:rFonts w:asciiTheme="majorBidi" w:hAnsiTheme="majorBidi"/>
        </w:rPr>
        <w:t>à la biodiversité</w:t>
      </w:r>
      <w:r w:rsidR="00FE2C99">
        <w:rPr>
          <w:rFonts w:asciiTheme="majorBidi" w:hAnsiTheme="majorBidi"/>
        </w:rPr>
        <w:t>;</w:t>
      </w:r>
    </w:p>
    <w:p w14:paraId="2AAAE659" w14:textId="2D0DC2F3" w:rsidR="0070085D" w:rsidRPr="0030523C" w:rsidRDefault="00F53E29"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rPr>
      </w:pPr>
      <w:r>
        <w:rPr>
          <w:rFonts w:asciiTheme="majorBidi" w:hAnsiTheme="majorBidi"/>
        </w:rPr>
        <w:t>Expérience avérée dans la facilitation de la coopér</w:t>
      </w:r>
      <w:r w:rsidR="003F32E4">
        <w:rPr>
          <w:rFonts w:asciiTheme="majorBidi" w:hAnsiTheme="majorBidi"/>
        </w:rPr>
        <w:t>ation technique et scientifique</w:t>
      </w:r>
      <w:r>
        <w:rPr>
          <w:rFonts w:asciiTheme="majorBidi" w:hAnsiTheme="majorBidi"/>
        </w:rPr>
        <w:t>;</w:t>
      </w:r>
    </w:p>
    <w:p w14:paraId="2312BEBA" w14:textId="00C6173E" w:rsidR="00F57E9D" w:rsidRPr="0030523C" w:rsidRDefault="00F53E29"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rPr>
      </w:pPr>
      <w:r>
        <w:rPr>
          <w:rFonts w:asciiTheme="majorBidi" w:hAnsiTheme="majorBidi"/>
        </w:rPr>
        <w:t>Aptitude</w:t>
      </w:r>
      <w:r w:rsidR="003F32E4">
        <w:rPr>
          <w:rFonts w:asciiTheme="majorBidi" w:hAnsiTheme="majorBidi"/>
        </w:rPr>
        <w:t>s</w:t>
      </w:r>
      <w:r>
        <w:rPr>
          <w:rFonts w:asciiTheme="majorBidi" w:hAnsiTheme="majorBidi"/>
        </w:rPr>
        <w:t xml:space="preserve"> et capacité</w:t>
      </w:r>
      <w:r w:rsidR="003F32E4">
        <w:rPr>
          <w:rFonts w:asciiTheme="majorBidi" w:hAnsiTheme="majorBidi"/>
        </w:rPr>
        <w:t>s</w:t>
      </w:r>
      <w:r>
        <w:rPr>
          <w:rFonts w:asciiTheme="majorBidi" w:hAnsiTheme="majorBidi"/>
        </w:rPr>
        <w:t xml:space="preserve"> institutionnelle</w:t>
      </w:r>
      <w:r w:rsidR="003F32E4">
        <w:rPr>
          <w:rFonts w:asciiTheme="majorBidi" w:hAnsiTheme="majorBidi"/>
        </w:rPr>
        <w:t>s avérées en matière de gestion de</w:t>
      </w:r>
      <w:r>
        <w:rPr>
          <w:rFonts w:asciiTheme="majorBidi" w:hAnsiTheme="majorBidi"/>
        </w:rPr>
        <w:t xml:space="preserve"> projets multiples. </w:t>
      </w:r>
    </w:p>
    <w:p w14:paraId="4575FCFC" w14:textId="7D0BD528" w:rsidR="0099722A" w:rsidRPr="007C4E47" w:rsidRDefault="003F32E4" w:rsidP="003F32E4">
      <w:pPr>
        <w:numPr>
          <w:ilvl w:val="0"/>
          <w:numId w:val="5"/>
        </w:numPr>
        <w:suppressLineNumbers/>
        <w:tabs>
          <w:tab w:val="clear" w:pos="360"/>
          <w:tab w:val="left" w:pos="720"/>
        </w:tabs>
        <w:suppressAutoHyphens/>
        <w:kinsoku w:val="0"/>
        <w:overflowPunct w:val="0"/>
        <w:autoSpaceDE w:val="0"/>
        <w:autoSpaceDN w:val="0"/>
        <w:adjustRightInd w:val="0"/>
        <w:snapToGrid w:val="0"/>
        <w:spacing w:before="240" w:after="120"/>
        <w:rPr>
          <w:rFonts w:asciiTheme="majorBidi" w:hAnsiTheme="majorBidi" w:cstheme="majorBidi"/>
          <w:snapToGrid w:val="0"/>
          <w:kern w:val="22"/>
          <w:szCs w:val="22"/>
        </w:rPr>
      </w:pPr>
      <w:r>
        <w:rPr>
          <w:rFonts w:asciiTheme="majorBidi" w:hAnsiTheme="majorBidi"/>
        </w:rPr>
        <w:t>L</w:t>
      </w:r>
      <w:r w:rsidR="682C8827">
        <w:rPr>
          <w:rFonts w:asciiTheme="majorBidi" w:hAnsiTheme="majorBidi"/>
        </w:rPr>
        <w:t xml:space="preserve">a Conférence des Parties souhaitera peut-être </w:t>
      </w:r>
      <w:r>
        <w:rPr>
          <w:rFonts w:asciiTheme="majorBidi" w:hAnsiTheme="majorBidi"/>
        </w:rPr>
        <w:t xml:space="preserve">également </w:t>
      </w:r>
      <w:r w:rsidR="682C8827">
        <w:rPr>
          <w:rFonts w:asciiTheme="majorBidi" w:hAnsiTheme="majorBidi"/>
        </w:rPr>
        <w:t>envisager d’</w:t>
      </w:r>
      <w:bookmarkStart w:id="12" w:name="_Hlk118972938"/>
      <w:r w:rsidR="005F6507">
        <w:rPr>
          <w:rFonts w:asciiTheme="majorBidi" w:hAnsiTheme="majorBidi"/>
        </w:rPr>
        <w:t>adopter</w:t>
      </w:r>
      <w:r w:rsidR="005F6507">
        <w:t xml:space="preserve"> les</w:t>
      </w:r>
      <w:r w:rsidR="682C8827">
        <w:t xml:space="preserve"> processus et modalités ci-dessous pour la sélection des entités et o</w:t>
      </w:r>
      <w:r w:rsidR="00AB1563">
        <w:t>rganisations qui accueilleront l</w:t>
      </w:r>
      <w:r w:rsidR="682C8827">
        <w:t>es mécanismes in</w:t>
      </w:r>
      <w:r>
        <w:t>stitutionnels visant à</w:t>
      </w:r>
      <w:r w:rsidR="682C8827">
        <w:t xml:space="preserve"> promouvoir et </w:t>
      </w:r>
      <w:r>
        <w:t xml:space="preserve">à </w:t>
      </w:r>
      <w:r w:rsidR="682C8827">
        <w:t xml:space="preserve">faciliter la coopération technique et scientifique, selon </w:t>
      </w:r>
      <w:bookmarkEnd w:id="12"/>
      <w:r>
        <w:t>qu’il convient</w:t>
      </w:r>
      <w:r w:rsidR="682C8827">
        <w:rPr>
          <w:rFonts w:asciiTheme="majorBidi" w:hAnsiTheme="majorBidi"/>
        </w:rPr>
        <w:t xml:space="preserve"> : </w:t>
      </w:r>
    </w:p>
    <w:p w14:paraId="169F193E" w14:textId="77777777" w:rsidR="0099722A" w:rsidRPr="00F24717" w:rsidRDefault="0AD3C6F5" w:rsidP="0099722A">
      <w:pPr>
        <w:numPr>
          <w:ilvl w:val="1"/>
          <w:numId w:val="5"/>
        </w:num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Pr>
          <w:rFonts w:asciiTheme="majorBidi" w:hAnsiTheme="majorBidi"/>
          <w:snapToGrid w:val="0"/>
        </w:rPr>
        <w:t>Prier la Secrétaire exécutive de :</w:t>
      </w:r>
    </w:p>
    <w:p w14:paraId="70981193" w14:textId="6C54B221"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bookmarkStart w:id="13" w:name="_Hlk118973184"/>
      <w:r>
        <w:rPr>
          <w:rFonts w:asciiTheme="majorBidi" w:hAnsiTheme="majorBidi"/>
          <w:snapToGrid w:val="0"/>
        </w:rPr>
        <w:t>Publier une notification invitant les entités et organisations qui répondent aux critères de</w:t>
      </w:r>
      <w:r w:rsidR="002654D1">
        <w:rPr>
          <w:rFonts w:asciiTheme="majorBidi" w:hAnsiTheme="majorBidi"/>
          <w:snapToGrid w:val="0"/>
        </w:rPr>
        <w:t xml:space="preserve"> </w:t>
      </w:r>
      <w:r>
        <w:rPr>
          <w:rFonts w:asciiTheme="majorBidi" w:hAnsiTheme="majorBidi"/>
          <w:snapToGrid w:val="0"/>
        </w:rPr>
        <w:t>sélection et souhaitent accueillir le ou les mécanismes institutionnels visant à promouvoir et à</w:t>
      </w:r>
      <w:r w:rsidR="002654D1">
        <w:rPr>
          <w:rFonts w:asciiTheme="majorBidi" w:hAnsiTheme="majorBidi"/>
          <w:snapToGrid w:val="0"/>
        </w:rPr>
        <w:t xml:space="preserve"> </w:t>
      </w:r>
      <w:r>
        <w:rPr>
          <w:rFonts w:asciiTheme="majorBidi" w:hAnsiTheme="majorBidi"/>
          <w:snapToGrid w:val="0"/>
        </w:rPr>
        <w:t>faciliter la coopération technique et scientifique à soumettre des déclarations d’intérêt et une</w:t>
      </w:r>
      <w:r w:rsidR="002654D1">
        <w:rPr>
          <w:rFonts w:asciiTheme="majorBidi" w:hAnsiTheme="majorBidi"/>
          <w:snapToGrid w:val="0"/>
        </w:rPr>
        <w:t xml:space="preserve"> </w:t>
      </w:r>
      <w:r>
        <w:rPr>
          <w:rFonts w:asciiTheme="majorBidi" w:hAnsiTheme="majorBidi"/>
          <w:snapToGrid w:val="0"/>
        </w:rPr>
        <w:t>propo</w:t>
      </w:r>
      <w:r w:rsidR="003F32E4">
        <w:rPr>
          <w:rFonts w:asciiTheme="majorBidi" w:hAnsiTheme="majorBidi"/>
          <w:snapToGrid w:val="0"/>
        </w:rPr>
        <w:t>sition détaillée de leur action</w:t>
      </w:r>
      <w:r>
        <w:rPr>
          <w:rFonts w:asciiTheme="majorBidi" w:hAnsiTheme="majorBidi"/>
          <w:snapToGrid w:val="0"/>
        </w:rPr>
        <w:t>;</w:t>
      </w:r>
    </w:p>
    <w:p w14:paraId="14E71B22" w14:textId="79A92C95"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Fournir des réponses à toute demande ou point d’éclaircissement des entités et organisations</w:t>
      </w:r>
      <w:r w:rsidR="002654D1">
        <w:rPr>
          <w:rFonts w:asciiTheme="majorBidi" w:hAnsiTheme="majorBidi"/>
          <w:snapToGrid w:val="0"/>
        </w:rPr>
        <w:t xml:space="preserve"> </w:t>
      </w:r>
      <w:r w:rsidR="003F32E4">
        <w:rPr>
          <w:rFonts w:asciiTheme="majorBidi" w:hAnsiTheme="majorBidi"/>
          <w:snapToGrid w:val="0"/>
        </w:rPr>
        <w:t>intéressées, le cas échéant</w:t>
      </w:r>
      <w:r>
        <w:rPr>
          <w:rFonts w:asciiTheme="majorBidi" w:hAnsiTheme="majorBidi"/>
          <w:snapToGrid w:val="0"/>
        </w:rPr>
        <w:t>;</w:t>
      </w:r>
    </w:p>
    <w:p w14:paraId="01089C08" w14:textId="74BF3E4F" w:rsidR="0099722A" w:rsidRPr="00F24717" w:rsidRDefault="0AD3C6F5" w:rsidP="003623C5">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Organiser une réunion du groupe consultatif informel sur la coopération technique et</w:t>
      </w:r>
      <w:r w:rsidR="002654D1">
        <w:rPr>
          <w:rFonts w:asciiTheme="majorBidi" w:hAnsiTheme="majorBidi"/>
          <w:snapToGrid w:val="0"/>
        </w:rPr>
        <w:t xml:space="preserve"> </w:t>
      </w:r>
      <w:r>
        <w:rPr>
          <w:rFonts w:asciiTheme="majorBidi" w:hAnsiTheme="majorBidi"/>
          <w:snapToGrid w:val="0"/>
        </w:rPr>
        <w:t>scientifique pour procéder à une évaluation objective des propositions reçues et fournir des</w:t>
      </w:r>
      <w:r w:rsidR="002654D1">
        <w:rPr>
          <w:rFonts w:asciiTheme="majorBidi" w:hAnsiTheme="majorBidi"/>
          <w:snapToGrid w:val="0"/>
        </w:rPr>
        <w:t xml:space="preserve"> </w:t>
      </w:r>
      <w:r>
        <w:rPr>
          <w:rFonts w:asciiTheme="majorBidi" w:hAnsiTheme="majorBidi"/>
          <w:snapToGrid w:val="0"/>
        </w:rPr>
        <w:t>conseils sur le</w:t>
      </w:r>
      <w:r w:rsidR="003F32E4">
        <w:rPr>
          <w:rFonts w:asciiTheme="majorBidi" w:hAnsiTheme="majorBidi"/>
          <w:snapToGrid w:val="0"/>
        </w:rPr>
        <w:t>s candidats les plus appropriés</w:t>
      </w:r>
      <w:r>
        <w:rPr>
          <w:rFonts w:asciiTheme="majorBidi" w:hAnsiTheme="majorBidi"/>
          <w:snapToGrid w:val="0"/>
        </w:rPr>
        <w:t xml:space="preserve">; </w:t>
      </w:r>
    </w:p>
    <w:p w14:paraId="4256869E" w14:textId="4011F9CD"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Élaborer un rapport d’évaluation avec une liste restreinte classée de trois entités et</w:t>
      </w:r>
      <w:r>
        <w:rPr>
          <w:rFonts w:asciiTheme="majorBidi" w:hAnsiTheme="majorBidi"/>
          <w:snapToGrid w:val="0"/>
        </w:rPr>
        <w:br/>
        <w:t>organisations au maximum, fournissant également des informations sur la manière dont les</w:t>
      </w:r>
      <w:r w:rsidR="002654D1">
        <w:rPr>
          <w:rFonts w:asciiTheme="majorBidi" w:hAnsiTheme="majorBidi"/>
          <w:snapToGrid w:val="0"/>
        </w:rPr>
        <w:t xml:space="preserve"> </w:t>
      </w:r>
      <w:r>
        <w:rPr>
          <w:rFonts w:asciiTheme="majorBidi" w:hAnsiTheme="majorBidi"/>
          <w:snapToGrid w:val="0"/>
        </w:rPr>
        <w:t>critères</w:t>
      </w:r>
      <w:r w:rsidR="003F32E4">
        <w:rPr>
          <w:rFonts w:asciiTheme="majorBidi" w:hAnsiTheme="majorBidi"/>
          <w:snapToGrid w:val="0"/>
        </w:rPr>
        <w:t xml:space="preserve"> de sélection ont été appliqués</w:t>
      </w:r>
      <w:r>
        <w:rPr>
          <w:rFonts w:asciiTheme="majorBidi" w:hAnsiTheme="majorBidi"/>
          <w:snapToGrid w:val="0"/>
        </w:rPr>
        <w:t xml:space="preserve">; </w:t>
      </w:r>
    </w:p>
    <w:p w14:paraId="55CEF073" w14:textId="337B3532"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lastRenderedPageBreak/>
        <w:t>Examiner les trois meilleurs candidats présélectionnés avec la contribution du bureau de</w:t>
      </w:r>
      <w:r w:rsidR="002654D1">
        <w:rPr>
          <w:rFonts w:asciiTheme="majorBidi" w:hAnsiTheme="majorBidi"/>
          <w:snapToGrid w:val="0"/>
        </w:rPr>
        <w:t xml:space="preserve"> </w:t>
      </w:r>
      <w:r>
        <w:rPr>
          <w:rFonts w:asciiTheme="majorBidi" w:hAnsiTheme="majorBidi"/>
          <w:snapToGrid w:val="0"/>
        </w:rPr>
        <w:t>l’Organe subsidiaire chargé de fournir des avis scientifiques, techniques et technologiques et</w:t>
      </w:r>
      <w:r w:rsidR="002654D1">
        <w:rPr>
          <w:rFonts w:asciiTheme="majorBidi" w:hAnsiTheme="majorBidi"/>
          <w:snapToGrid w:val="0"/>
        </w:rPr>
        <w:t xml:space="preserve"> </w:t>
      </w:r>
      <w:r>
        <w:rPr>
          <w:rFonts w:asciiTheme="majorBidi" w:hAnsiTheme="majorBidi"/>
          <w:snapToGrid w:val="0"/>
        </w:rPr>
        <w:t>sélectionner la ou les entités et organisations les plus appropriées pour accueillir le ou les</w:t>
      </w:r>
      <w:r w:rsidR="002654D1">
        <w:rPr>
          <w:rFonts w:asciiTheme="majorBidi" w:hAnsiTheme="majorBidi"/>
          <w:snapToGrid w:val="0"/>
        </w:rPr>
        <w:t xml:space="preserve"> </w:t>
      </w:r>
      <w:r>
        <w:rPr>
          <w:rFonts w:asciiTheme="majorBidi" w:hAnsiTheme="majorBidi"/>
          <w:snapToGrid w:val="0"/>
        </w:rPr>
        <w:t>mécanismes institutionnels destinés à promouvoir et à faciliter la coopération technique et</w:t>
      </w:r>
      <w:r w:rsidR="002654D1">
        <w:rPr>
          <w:rFonts w:asciiTheme="majorBidi" w:hAnsiTheme="majorBidi"/>
          <w:snapToGrid w:val="0"/>
        </w:rPr>
        <w:t xml:space="preserve"> </w:t>
      </w:r>
      <w:r>
        <w:rPr>
          <w:rFonts w:asciiTheme="majorBidi" w:hAnsiTheme="majorBidi"/>
          <w:snapToGrid w:val="0"/>
        </w:rPr>
        <w:t>scientifique aux niveaux mondial, régional et</w:t>
      </w:r>
      <w:r w:rsidR="003F32E4">
        <w:rPr>
          <w:rFonts w:asciiTheme="majorBidi" w:hAnsiTheme="majorBidi"/>
          <w:snapToGrid w:val="0"/>
        </w:rPr>
        <w:t>/ou infrarégional, selon le cas</w:t>
      </w:r>
      <w:r>
        <w:rPr>
          <w:rFonts w:asciiTheme="majorBidi" w:hAnsiTheme="majorBidi"/>
          <w:snapToGrid w:val="0"/>
        </w:rPr>
        <w:t>;</w:t>
      </w:r>
    </w:p>
    <w:p w14:paraId="7EEB43E4" w14:textId="6275B782" w:rsidR="0099722A" w:rsidRPr="00F24717" w:rsidRDefault="006A47FC"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Communiquer la décision finale à l’entité (aux entités) et à l’organisation (aux</w:t>
      </w:r>
      <w:r w:rsidR="002654D1">
        <w:rPr>
          <w:rFonts w:asciiTheme="majorBidi" w:hAnsiTheme="majorBidi"/>
          <w:snapToGrid w:val="0"/>
        </w:rPr>
        <w:t xml:space="preserve"> </w:t>
      </w:r>
      <w:r>
        <w:rPr>
          <w:rFonts w:asciiTheme="majorBidi" w:hAnsiTheme="majorBidi"/>
          <w:snapToGrid w:val="0"/>
        </w:rPr>
        <w:t>organisations)</w:t>
      </w:r>
      <w:r w:rsidR="002654D1">
        <w:rPr>
          <w:rFonts w:asciiTheme="majorBidi" w:hAnsiTheme="majorBidi"/>
          <w:snapToGrid w:val="0"/>
        </w:rPr>
        <w:t xml:space="preserve"> </w:t>
      </w:r>
      <w:r>
        <w:rPr>
          <w:rFonts w:asciiTheme="majorBidi" w:hAnsiTheme="majorBidi"/>
          <w:snapToGrid w:val="0"/>
        </w:rPr>
        <w:t xml:space="preserve">sélectionnées et les inviter à confirmer qu’elles acceptent la sélection dans un </w:t>
      </w:r>
      <w:r w:rsidR="003F32E4">
        <w:rPr>
          <w:rFonts w:asciiTheme="majorBidi" w:hAnsiTheme="majorBidi"/>
          <w:snapToGrid w:val="0"/>
        </w:rPr>
        <w:t>délai d’un mois</w:t>
      </w:r>
      <w:r>
        <w:rPr>
          <w:rFonts w:asciiTheme="majorBidi" w:hAnsiTheme="majorBidi"/>
          <w:snapToGrid w:val="0"/>
        </w:rPr>
        <w:t>;</w:t>
      </w:r>
    </w:p>
    <w:p w14:paraId="2825C815" w14:textId="05EAA033" w:rsidR="00AA0FBF" w:rsidRPr="00F24717" w:rsidRDefault="00AA0FBF" w:rsidP="00AA0FBF">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rPr>
      </w:pPr>
      <w:r>
        <w:rPr>
          <w:rFonts w:asciiTheme="majorBidi" w:hAnsiTheme="majorBidi"/>
          <w:snapToGrid w:val="0"/>
        </w:rPr>
        <w:t>Lancer et faciliter un processus de recensement des donateurs susceptibles de fournir</w:t>
      </w:r>
      <w:r w:rsidR="002654D1">
        <w:rPr>
          <w:rFonts w:asciiTheme="majorBidi" w:hAnsiTheme="majorBidi"/>
          <w:snapToGrid w:val="0"/>
        </w:rPr>
        <w:t xml:space="preserve"> </w:t>
      </w:r>
      <w:r>
        <w:rPr>
          <w:rFonts w:asciiTheme="majorBidi" w:hAnsiTheme="majorBidi"/>
          <w:snapToGrid w:val="0"/>
        </w:rPr>
        <w:t>des</w:t>
      </w:r>
      <w:r w:rsidR="002654D1">
        <w:rPr>
          <w:rFonts w:asciiTheme="majorBidi" w:hAnsiTheme="majorBidi"/>
          <w:snapToGrid w:val="0"/>
        </w:rPr>
        <w:t xml:space="preserve"> </w:t>
      </w:r>
      <w:r>
        <w:rPr>
          <w:rFonts w:asciiTheme="majorBidi" w:hAnsiTheme="majorBidi"/>
          <w:snapToGrid w:val="0"/>
        </w:rPr>
        <w:t>fonds à l’entité ou aux entités sélectionnées pour faciliter la coopération</w:t>
      </w:r>
      <w:r w:rsidR="002654D1">
        <w:rPr>
          <w:rFonts w:asciiTheme="majorBidi" w:hAnsiTheme="majorBidi"/>
          <w:snapToGrid w:val="0"/>
        </w:rPr>
        <w:t xml:space="preserve"> </w:t>
      </w:r>
      <w:r>
        <w:rPr>
          <w:rFonts w:asciiTheme="majorBidi" w:hAnsiTheme="majorBidi"/>
          <w:snapToGrid w:val="0"/>
        </w:rPr>
        <w:t>technique et scientifique</w:t>
      </w:r>
      <w:r w:rsidR="002654D1">
        <w:rPr>
          <w:rFonts w:asciiTheme="majorBidi" w:hAnsiTheme="majorBidi"/>
          <w:snapToGrid w:val="0"/>
        </w:rPr>
        <w:t xml:space="preserve"> </w:t>
      </w:r>
      <w:r>
        <w:rPr>
          <w:rFonts w:asciiTheme="majorBidi" w:hAnsiTheme="majorBidi"/>
          <w:snapToGrid w:val="0"/>
        </w:rPr>
        <w:t>à l’appui de la mise en œuvre du cadre mondial de la</w:t>
      </w:r>
      <w:r w:rsidR="003F32E4">
        <w:rPr>
          <w:rFonts w:asciiTheme="majorBidi" w:hAnsiTheme="majorBidi"/>
          <w:snapToGrid w:val="0"/>
        </w:rPr>
        <w:t xml:space="preserve"> biodiversité pour l’après-2020</w:t>
      </w:r>
      <w:r>
        <w:rPr>
          <w:rFonts w:asciiTheme="majorBidi" w:hAnsiTheme="majorBidi"/>
          <w:snapToGrid w:val="0"/>
        </w:rPr>
        <w:t>;</w:t>
      </w:r>
    </w:p>
    <w:p w14:paraId="2298730C" w14:textId="4B4188BF" w:rsidR="0099722A" w:rsidRPr="00F24717" w:rsidRDefault="006A47FC" w:rsidP="003F32E4">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240"/>
        <w:ind w:left="1980" w:hanging="270"/>
        <w:rPr>
          <w:rFonts w:asciiTheme="majorBidi" w:hAnsiTheme="majorBidi" w:cstheme="majorBidi"/>
          <w:snapToGrid w:val="0"/>
          <w:kern w:val="22"/>
          <w:szCs w:val="22"/>
        </w:rPr>
      </w:pPr>
      <w:r>
        <w:rPr>
          <w:rFonts w:asciiTheme="majorBidi" w:hAnsiTheme="majorBidi"/>
          <w:snapToGrid w:val="0"/>
        </w:rPr>
        <w:t>Lancer et faciliter le processus de signature du ou des accords d’accueil avec la ou les</w:t>
      </w:r>
      <w:r w:rsidR="002654D1">
        <w:rPr>
          <w:rFonts w:asciiTheme="majorBidi" w:hAnsiTheme="majorBidi"/>
          <w:snapToGrid w:val="0"/>
        </w:rPr>
        <w:t xml:space="preserve"> </w:t>
      </w:r>
      <w:r>
        <w:rPr>
          <w:rFonts w:asciiTheme="majorBidi" w:hAnsiTheme="majorBidi"/>
          <w:snapToGrid w:val="0"/>
        </w:rPr>
        <w:t>entités et organisations sélectionnées dans un délai de trois mois.</w:t>
      </w:r>
    </w:p>
    <w:bookmarkEnd w:id="13"/>
    <w:p w14:paraId="29CF09B7" w14:textId="727C12D1" w:rsidR="0023086B" w:rsidRPr="007C4E47" w:rsidRDefault="003F32E4" w:rsidP="00F24717">
      <w:pPr>
        <w:pStyle w:val="Heading1"/>
        <w:numPr>
          <w:ilvl w:val="0"/>
          <w:numId w:val="25"/>
        </w:numPr>
        <w:tabs>
          <w:tab w:val="clear" w:pos="720"/>
        </w:tabs>
        <w:ind w:left="0" w:firstLine="0"/>
        <w:rPr>
          <w:bCs/>
        </w:rPr>
      </w:pPr>
      <w:r>
        <w:t>CONCLUSION ET VOIE À SUIVRE Éventuelle</w:t>
      </w:r>
    </w:p>
    <w:p w14:paraId="1D24C948" w14:textId="70CAC377" w:rsidR="0023086B" w:rsidRPr="007C4E47" w:rsidRDefault="5BA8D0A9"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rPr>
        <w:t>L’examen</w:t>
      </w:r>
      <w:r w:rsidR="005F6507">
        <w:rPr>
          <w:rFonts w:asciiTheme="majorBidi" w:hAnsiTheme="majorBidi"/>
        </w:rPr>
        <w:t xml:space="preserve"> </w:t>
      </w:r>
      <w:r w:rsidR="003F32E4">
        <w:rPr>
          <w:rFonts w:asciiTheme="majorBidi" w:hAnsiTheme="majorBidi"/>
          <w:snapToGrid w:val="0"/>
        </w:rPr>
        <w:t>a permis d’identifier</w:t>
      </w:r>
      <w:r>
        <w:rPr>
          <w:rFonts w:asciiTheme="majorBidi" w:hAnsiTheme="majorBidi"/>
          <w:snapToGrid w:val="0"/>
        </w:rPr>
        <w:t xml:space="preserve"> un certain nombre d’observations, de bonnes pratiques et d’enseignements tirés</w:t>
      </w:r>
      <w:r w:rsidR="003F32E4">
        <w:rPr>
          <w:rFonts w:asciiTheme="majorBidi" w:hAnsiTheme="majorBidi"/>
          <w:snapToGrid w:val="0"/>
        </w:rPr>
        <w:t xml:space="preserve">, et de formuler </w:t>
      </w:r>
      <w:r>
        <w:rPr>
          <w:rFonts w:asciiTheme="majorBidi" w:hAnsiTheme="majorBidi"/>
          <w:snapToGrid w:val="0"/>
        </w:rPr>
        <w:t>des recommandations stratégiq</w:t>
      </w:r>
      <w:r w:rsidR="003F32E4">
        <w:rPr>
          <w:rFonts w:asciiTheme="majorBidi" w:hAnsiTheme="majorBidi"/>
          <w:snapToGrid w:val="0"/>
        </w:rPr>
        <w:t>ues et des recommandations opérationnelles concrètes</w:t>
      </w:r>
      <w:r>
        <w:rPr>
          <w:rFonts w:asciiTheme="majorBidi" w:hAnsiTheme="majorBidi"/>
          <w:snapToGrid w:val="0"/>
        </w:rPr>
        <w:t>. Il a révélé que bon nombre de Parties considèrent la coopération technique et scientifique comme une composante essentielle de l’application fructueuse de la Convention et du cadre mondial de la biodiversité pour l’après-2020</w:t>
      </w:r>
      <w:r w:rsidR="003F32E4">
        <w:rPr>
          <w:rFonts w:asciiTheme="majorBidi" w:hAnsiTheme="majorBidi"/>
          <w:snapToGrid w:val="0"/>
        </w:rPr>
        <w:t>,</w:t>
      </w:r>
      <w:r>
        <w:rPr>
          <w:rFonts w:asciiTheme="majorBidi" w:hAnsiTheme="majorBidi"/>
          <w:snapToGrid w:val="0"/>
        </w:rPr>
        <w:t xml:space="preserve"> et qu’elles estiment que des investissements supplémentaires sont nécessaires pour renouveler et renforcer la coopération techni</w:t>
      </w:r>
      <w:r w:rsidR="003F32E4">
        <w:rPr>
          <w:rFonts w:asciiTheme="majorBidi" w:hAnsiTheme="majorBidi"/>
          <w:snapToGrid w:val="0"/>
        </w:rPr>
        <w:t>que et scientifique aux niveaux mondial, régional et national</w:t>
      </w:r>
      <w:r>
        <w:rPr>
          <w:rFonts w:asciiTheme="majorBidi" w:hAnsiTheme="majorBidi"/>
          <w:snapToGrid w:val="0"/>
        </w:rPr>
        <w:t>.</w:t>
      </w:r>
    </w:p>
    <w:p w14:paraId="753D1928" w14:textId="6642288C" w:rsidR="00EA0E93" w:rsidRPr="00EA0E93" w:rsidRDefault="00EA0E9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rPr>
        <w:t xml:space="preserve">L’examen a également recensé un certain nombre de défis, limites et lacunes importants qui nuisent actuellement à l’efficacité des programmes et initiatives </w:t>
      </w:r>
      <w:r w:rsidR="003F32E4">
        <w:rPr>
          <w:rFonts w:asciiTheme="majorBidi" w:hAnsiTheme="majorBidi"/>
        </w:rPr>
        <w:t xml:space="preserve">en matière </w:t>
      </w:r>
      <w:r>
        <w:rPr>
          <w:rFonts w:asciiTheme="majorBidi" w:hAnsiTheme="majorBidi"/>
        </w:rPr>
        <w:t>de coopération technique et scientifique dans le cadre de la Convention et de ses Protocoles. Ces défis</w:t>
      </w:r>
      <w:r w:rsidR="003F32E4">
        <w:rPr>
          <w:rFonts w:asciiTheme="majorBidi" w:hAnsiTheme="majorBidi"/>
        </w:rPr>
        <w:t>, limites et lacunes incluent des</w:t>
      </w:r>
      <w:r>
        <w:rPr>
          <w:rFonts w:asciiTheme="majorBidi" w:hAnsiTheme="majorBidi"/>
        </w:rPr>
        <w:t xml:space="preserve"> financement</w:t>
      </w:r>
      <w:r w:rsidR="003F32E4">
        <w:rPr>
          <w:rFonts w:asciiTheme="majorBidi" w:hAnsiTheme="majorBidi"/>
        </w:rPr>
        <w:t>s limités</w:t>
      </w:r>
      <w:r>
        <w:rPr>
          <w:rFonts w:asciiTheme="majorBidi" w:hAnsiTheme="majorBidi"/>
        </w:rPr>
        <w:t xml:space="preserve"> et imprévisible</w:t>
      </w:r>
      <w:r w:rsidR="003F32E4">
        <w:rPr>
          <w:rFonts w:asciiTheme="majorBidi" w:hAnsiTheme="majorBidi"/>
        </w:rPr>
        <w:t>s</w:t>
      </w:r>
      <w:r>
        <w:rPr>
          <w:rFonts w:asciiTheme="majorBidi" w:hAnsiTheme="majorBidi"/>
        </w:rPr>
        <w:t xml:space="preserve">, le manque de ressources humaines adéquates, </w:t>
      </w:r>
      <w:r w:rsidR="003F32E4">
        <w:rPr>
          <w:rFonts w:asciiTheme="majorBidi" w:hAnsiTheme="majorBidi"/>
        </w:rPr>
        <w:t>l’absence de définition commune et d’</w:t>
      </w:r>
      <w:r>
        <w:rPr>
          <w:rFonts w:asciiTheme="majorBidi" w:hAnsiTheme="majorBidi"/>
        </w:rPr>
        <w:t>approche harmonisée en matière de coopération technique et scientifique, l’absence d’une perspective et d’une approche à l</w:t>
      </w:r>
      <w:r w:rsidR="003F32E4">
        <w:rPr>
          <w:rFonts w:asciiTheme="majorBidi" w:hAnsiTheme="majorBidi"/>
        </w:rPr>
        <w:t>ong terme en matière de</w:t>
      </w:r>
      <w:r>
        <w:rPr>
          <w:rFonts w:asciiTheme="majorBidi" w:hAnsiTheme="majorBidi"/>
        </w:rPr>
        <w:t xml:space="preserve"> coopération technique et scientifique, l’absence d’un programme global et cohérent </w:t>
      </w:r>
      <w:r w:rsidR="003F32E4">
        <w:rPr>
          <w:rFonts w:asciiTheme="majorBidi" w:hAnsiTheme="majorBidi"/>
        </w:rPr>
        <w:t xml:space="preserve">en matière </w:t>
      </w:r>
      <w:r>
        <w:rPr>
          <w:rFonts w:asciiTheme="majorBidi" w:hAnsiTheme="majorBidi"/>
        </w:rPr>
        <w:t>de coopération techn</w:t>
      </w:r>
      <w:r w:rsidR="003F32E4">
        <w:rPr>
          <w:rFonts w:asciiTheme="majorBidi" w:hAnsiTheme="majorBidi"/>
        </w:rPr>
        <w:t xml:space="preserve">ique et scientifique comprenant </w:t>
      </w:r>
      <w:r>
        <w:rPr>
          <w:rFonts w:asciiTheme="majorBidi" w:hAnsiTheme="majorBidi"/>
        </w:rPr>
        <w:t>une théorie du changement bien définie, et l’absence d’un plan de suivi et d’évaluation de la coopératio</w:t>
      </w:r>
      <w:r w:rsidR="003F32E4">
        <w:rPr>
          <w:rFonts w:asciiTheme="majorBidi" w:hAnsiTheme="majorBidi"/>
        </w:rPr>
        <w:t>n technique et scientifique comprenant</w:t>
      </w:r>
      <w:r>
        <w:rPr>
          <w:rFonts w:asciiTheme="majorBidi" w:hAnsiTheme="majorBidi"/>
        </w:rPr>
        <w:t xml:space="preserve"> des indicateurs clairs. Ces défis, limi</w:t>
      </w:r>
      <w:r w:rsidR="00611FC7">
        <w:rPr>
          <w:rFonts w:asciiTheme="majorBidi" w:hAnsiTheme="majorBidi"/>
        </w:rPr>
        <w:t>tes et lacunes doivent être abord</w:t>
      </w:r>
      <w:r>
        <w:rPr>
          <w:rFonts w:asciiTheme="majorBidi" w:hAnsiTheme="majorBidi"/>
        </w:rPr>
        <w:t>és de façon urgente.</w:t>
      </w:r>
    </w:p>
    <w:p w14:paraId="6CFEC449" w14:textId="106F955D" w:rsidR="00C944E6" w:rsidRPr="007C4E47" w:rsidRDefault="7BF75F6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Pr>
          <w:rFonts w:asciiTheme="majorBidi" w:hAnsiTheme="majorBidi"/>
          <w:snapToGrid w:val="0"/>
        </w:rPr>
        <w:t xml:space="preserve">La Conférence des Parties souhaitera peut-être examiner et utiliser les résultats et </w:t>
      </w:r>
      <w:r w:rsidR="00611FC7">
        <w:rPr>
          <w:rFonts w:asciiTheme="majorBidi" w:hAnsiTheme="majorBidi"/>
          <w:snapToGrid w:val="0"/>
        </w:rPr>
        <w:t xml:space="preserve">les </w:t>
      </w:r>
      <w:r w:rsidR="00160373">
        <w:rPr>
          <w:rFonts w:asciiTheme="majorBidi" w:hAnsiTheme="majorBidi"/>
          <w:snapToGrid w:val="0"/>
        </w:rPr>
        <w:t>recommandations de l’examen, tel que résumé</w:t>
      </w:r>
      <w:r>
        <w:rPr>
          <w:rFonts w:asciiTheme="majorBidi" w:hAnsiTheme="majorBidi"/>
        </w:rPr>
        <w:t xml:space="preserve"> dan</w:t>
      </w:r>
      <w:r w:rsidR="00160373">
        <w:rPr>
          <w:rFonts w:asciiTheme="majorBidi" w:hAnsiTheme="majorBidi"/>
        </w:rPr>
        <w:t>s le présent document, afin d’éclairer</w:t>
      </w:r>
      <w:r w:rsidR="00AB1563">
        <w:rPr>
          <w:rFonts w:asciiTheme="majorBidi" w:hAnsiTheme="majorBidi"/>
        </w:rPr>
        <w:t xml:space="preserve"> ses débats concernant </w:t>
      </w:r>
      <w:r w:rsidR="00611FC7">
        <w:rPr>
          <w:rFonts w:asciiTheme="majorBidi" w:hAnsiTheme="majorBidi"/>
        </w:rPr>
        <w:t>le</w:t>
      </w:r>
      <w:r w:rsidR="00160373">
        <w:rPr>
          <w:rFonts w:asciiTheme="majorBidi" w:hAnsiTheme="majorBidi"/>
        </w:rPr>
        <w:t xml:space="preserve"> projet de décision contenu</w:t>
      </w:r>
      <w:r>
        <w:rPr>
          <w:rFonts w:asciiTheme="majorBidi" w:hAnsiTheme="majorBidi"/>
        </w:rPr>
        <w:t xml:space="preserve"> dans le document CBD/COP/15/2, y com</w:t>
      </w:r>
      <w:r w:rsidR="00611FC7">
        <w:rPr>
          <w:rFonts w:asciiTheme="majorBidi" w:hAnsiTheme="majorBidi"/>
        </w:rPr>
        <w:t>pris les proposit</w:t>
      </w:r>
      <w:r w:rsidR="00160373">
        <w:rPr>
          <w:rFonts w:asciiTheme="majorBidi" w:hAnsiTheme="majorBidi"/>
        </w:rPr>
        <w:t>ions faites</w:t>
      </w:r>
      <w:r w:rsidR="00AB1563">
        <w:rPr>
          <w:rFonts w:asciiTheme="majorBidi" w:hAnsiTheme="majorBidi"/>
        </w:rPr>
        <w:t xml:space="preserve"> da</w:t>
      </w:r>
      <w:r w:rsidR="00611FC7">
        <w:rPr>
          <w:rFonts w:asciiTheme="majorBidi" w:hAnsiTheme="majorBidi"/>
        </w:rPr>
        <w:t>ns l’annexe II a</w:t>
      </w:r>
      <w:r>
        <w:rPr>
          <w:rFonts w:asciiTheme="majorBidi" w:hAnsiTheme="majorBidi"/>
        </w:rPr>
        <w:t>u projet de décision</w:t>
      </w:r>
      <w:r w:rsidR="00160373">
        <w:rPr>
          <w:rFonts w:asciiTheme="majorBidi" w:hAnsiTheme="majorBidi"/>
        </w:rPr>
        <w:t xml:space="preserve"> de </w:t>
      </w:r>
      <w:r>
        <w:rPr>
          <w:rFonts w:asciiTheme="majorBidi" w:hAnsiTheme="majorBidi"/>
        </w:rPr>
        <w:t>renforcer les programmes de coopération techniqu</w:t>
      </w:r>
      <w:r w:rsidR="00160373">
        <w:rPr>
          <w:rFonts w:asciiTheme="majorBidi" w:hAnsiTheme="majorBidi"/>
        </w:rPr>
        <w:t>e et scientifique en vue d’</w:t>
      </w:r>
      <w:r>
        <w:rPr>
          <w:rFonts w:asciiTheme="majorBidi" w:hAnsiTheme="majorBidi"/>
        </w:rPr>
        <w:t>appuyer la mise en œuvre du cadre mondial de la biodiversit</w:t>
      </w:r>
      <w:r w:rsidR="00611FC7">
        <w:rPr>
          <w:rFonts w:asciiTheme="majorBidi" w:hAnsiTheme="majorBidi"/>
        </w:rPr>
        <w:t>é pour l’après-2020 aux niveaux</w:t>
      </w:r>
      <w:r>
        <w:rPr>
          <w:rFonts w:asciiTheme="majorBidi" w:hAnsiTheme="majorBidi"/>
        </w:rPr>
        <w:t xml:space="preserve"> na</w:t>
      </w:r>
      <w:r w:rsidR="00611FC7">
        <w:rPr>
          <w:rFonts w:asciiTheme="majorBidi" w:hAnsiTheme="majorBidi"/>
        </w:rPr>
        <w:t>tional, régional et mondial</w:t>
      </w:r>
      <w:r>
        <w:rPr>
          <w:rFonts w:asciiTheme="majorBidi" w:hAnsiTheme="majorBidi"/>
        </w:rPr>
        <w:t>.</w:t>
      </w:r>
    </w:p>
    <w:p w14:paraId="640083F0" w14:textId="5FDDCA8A" w:rsidR="00C944E6" w:rsidRPr="007C4E47" w:rsidRDefault="00B97E56">
      <w:pPr>
        <w:jc w:val="left"/>
        <w:rPr>
          <w:rFonts w:asciiTheme="majorBidi" w:hAnsiTheme="majorBidi" w:cstheme="majorBidi"/>
          <w:snapToGrid w:val="0"/>
          <w:kern w:val="22"/>
          <w:szCs w:val="22"/>
        </w:rPr>
      </w:pPr>
      <w:r>
        <w:br w:type="page"/>
      </w:r>
    </w:p>
    <w:p w14:paraId="4827D01F" w14:textId="3FBA688A" w:rsidR="00901D61" w:rsidRPr="00F24717" w:rsidRDefault="00D51029" w:rsidP="00F24717">
      <w:pPr>
        <w:keepNext/>
        <w:suppressLineNumbers/>
        <w:tabs>
          <w:tab w:val="center" w:pos="4680"/>
          <w:tab w:val="right" w:pos="9360"/>
        </w:tabs>
        <w:suppressAutoHyphens/>
        <w:kinsoku w:val="0"/>
        <w:overflowPunct w:val="0"/>
        <w:autoSpaceDE w:val="0"/>
        <w:autoSpaceDN w:val="0"/>
        <w:adjustRightInd w:val="0"/>
        <w:snapToGrid w:val="0"/>
        <w:spacing w:before="120" w:after="120"/>
        <w:jc w:val="left"/>
        <w:outlineLvl w:val="0"/>
        <w:rPr>
          <w:rFonts w:asciiTheme="majorBidi" w:hAnsiTheme="majorBidi" w:cstheme="majorBidi"/>
          <w:i/>
          <w:iCs/>
          <w:snapToGrid w:val="0"/>
          <w:kern w:val="22"/>
          <w:szCs w:val="22"/>
        </w:rPr>
      </w:pPr>
      <w:bookmarkStart w:id="14" w:name="_Hlk118975893"/>
      <w:r>
        <w:rPr>
          <w:rFonts w:asciiTheme="majorBidi" w:hAnsiTheme="majorBidi"/>
          <w:i/>
          <w:iCs/>
          <w:snapToGrid w:val="0"/>
          <w:szCs w:val="22"/>
        </w:rPr>
        <w:lastRenderedPageBreak/>
        <w:tab/>
        <w:t xml:space="preserve">Annexe </w:t>
      </w:r>
      <w:r>
        <w:rPr>
          <w:rFonts w:asciiTheme="majorBidi" w:hAnsiTheme="majorBidi"/>
          <w:i/>
          <w:iCs/>
          <w:snapToGrid w:val="0"/>
          <w:szCs w:val="22"/>
        </w:rPr>
        <w:tab/>
      </w:r>
    </w:p>
    <w:p w14:paraId="764FBC40" w14:textId="64E84273" w:rsidR="008C4467" w:rsidRPr="007D217D" w:rsidRDefault="0080244F" w:rsidP="00F24717">
      <w:pPr>
        <w:pStyle w:val="Heading1"/>
        <w:rPr>
          <w:snapToGrid w:val="0"/>
          <w:highlight w:val="yellow"/>
        </w:rPr>
      </w:pPr>
      <w:r>
        <w:t>Cadre de suivi proposé pour la coopération technique et scientifique dans le cadre de la Conventi</w:t>
      </w:r>
      <w:r w:rsidR="00160373">
        <w:t>on</w:t>
      </w:r>
      <w:r w:rsidR="00AB1563">
        <w:t xml:space="preserve"> sur la diversité biologique (échantillon</w:t>
      </w:r>
      <w:r w:rsidR="00160373">
        <w:t xml:space="preserve"> d’indicateurs </w:t>
      </w:r>
      <w:r>
        <w:t>de performance</w:t>
      </w:r>
      <w:r w:rsidR="00AB1563">
        <w:t xml:space="preserve"> clé</w:t>
      </w:r>
      <w:r w:rsidR="00160373">
        <w:t>s</w:t>
      </w:r>
      <w:r>
        <w:t>)</w:t>
      </w:r>
    </w:p>
    <w:tbl>
      <w:tblPr>
        <w:tblStyle w:val="TableGrid"/>
        <w:tblpPr w:leftFromText="180" w:rightFromText="180" w:vertAnchor="text" w:tblpY="1"/>
        <w:tblOverlap w:val="never"/>
        <w:tblW w:w="0" w:type="auto"/>
        <w:tblLook w:val="04A0" w:firstRow="1" w:lastRow="0" w:firstColumn="1" w:lastColumn="0" w:noHBand="0" w:noVBand="1"/>
      </w:tblPr>
      <w:tblGrid>
        <w:gridCol w:w="2605"/>
        <w:gridCol w:w="3780"/>
        <w:gridCol w:w="2965"/>
      </w:tblGrid>
      <w:tr w:rsidR="007F39F3" w:rsidRPr="00AA0FBF" w14:paraId="65423DEA" w14:textId="77777777" w:rsidTr="00635440">
        <w:trPr>
          <w:trHeight w:val="339"/>
        </w:trPr>
        <w:tc>
          <w:tcPr>
            <w:tcW w:w="2605" w:type="dxa"/>
          </w:tcPr>
          <w:p w14:paraId="7A93BF4A" w14:textId="77777777" w:rsidR="007F39F3" w:rsidRPr="00F24717" w:rsidRDefault="007F39F3" w:rsidP="00635440">
            <w:pPr>
              <w:spacing w:before="60" w:after="60"/>
              <w:jc w:val="left"/>
              <w:rPr>
                <w:rFonts w:asciiTheme="majorBidi" w:hAnsiTheme="majorBidi" w:cstheme="majorBidi"/>
                <w:b/>
                <w:bCs/>
                <w:szCs w:val="22"/>
              </w:rPr>
            </w:pPr>
            <w:bookmarkStart w:id="15" w:name="_Hlk115179391"/>
            <w:r>
              <w:rPr>
                <w:rFonts w:asciiTheme="majorBidi" w:hAnsiTheme="majorBidi"/>
                <w:b/>
                <w:bCs/>
                <w:szCs w:val="22"/>
              </w:rPr>
              <w:t>Éléments</w:t>
            </w:r>
          </w:p>
        </w:tc>
        <w:tc>
          <w:tcPr>
            <w:tcW w:w="3780" w:type="dxa"/>
          </w:tcPr>
          <w:p w14:paraId="111E6C74" w14:textId="1148E388" w:rsidR="007F39F3" w:rsidRPr="00F24717" w:rsidRDefault="007F39F3" w:rsidP="00635440">
            <w:pPr>
              <w:spacing w:before="60" w:after="60"/>
              <w:jc w:val="left"/>
              <w:rPr>
                <w:rFonts w:asciiTheme="majorBidi" w:hAnsiTheme="majorBidi" w:cstheme="majorBidi"/>
                <w:b/>
                <w:bCs/>
                <w:szCs w:val="22"/>
              </w:rPr>
            </w:pPr>
            <w:r>
              <w:rPr>
                <w:rFonts w:asciiTheme="majorBidi" w:hAnsiTheme="majorBidi"/>
                <w:b/>
                <w:bCs/>
                <w:szCs w:val="22"/>
              </w:rPr>
              <w:t>Définition de l’élément</w:t>
            </w:r>
          </w:p>
        </w:tc>
        <w:tc>
          <w:tcPr>
            <w:tcW w:w="2965" w:type="dxa"/>
          </w:tcPr>
          <w:p w14:paraId="57334746" w14:textId="39D7B6F1" w:rsidR="007F39F3" w:rsidRPr="007D217D" w:rsidRDefault="00AB1563" w:rsidP="00635440">
            <w:pPr>
              <w:spacing w:before="60" w:after="60"/>
              <w:jc w:val="left"/>
              <w:rPr>
                <w:rFonts w:asciiTheme="majorBidi" w:hAnsiTheme="majorBidi" w:cstheme="majorBidi"/>
                <w:b/>
                <w:bCs/>
                <w:szCs w:val="22"/>
                <w:highlight w:val="yellow"/>
              </w:rPr>
            </w:pPr>
            <w:r>
              <w:rPr>
                <w:rFonts w:asciiTheme="majorBidi" w:hAnsiTheme="majorBidi"/>
                <w:b/>
                <w:bCs/>
                <w:szCs w:val="22"/>
              </w:rPr>
              <w:t xml:space="preserve">Exemples d’indicateurs </w:t>
            </w:r>
            <w:r w:rsidR="007F39F3">
              <w:rPr>
                <w:rFonts w:asciiTheme="majorBidi" w:hAnsiTheme="majorBidi"/>
                <w:b/>
                <w:bCs/>
                <w:szCs w:val="22"/>
              </w:rPr>
              <w:t>de performance</w:t>
            </w:r>
            <w:r>
              <w:rPr>
                <w:rFonts w:asciiTheme="majorBidi" w:hAnsiTheme="majorBidi"/>
                <w:b/>
                <w:bCs/>
                <w:szCs w:val="22"/>
              </w:rPr>
              <w:t xml:space="preserve"> clés</w:t>
            </w:r>
          </w:p>
        </w:tc>
      </w:tr>
      <w:tr w:rsidR="007F39F3" w:rsidRPr="00AA0FBF" w14:paraId="080807B5" w14:textId="77777777" w:rsidTr="00635440">
        <w:trPr>
          <w:trHeight w:val="388"/>
        </w:trPr>
        <w:tc>
          <w:tcPr>
            <w:tcW w:w="9350" w:type="dxa"/>
            <w:gridSpan w:val="3"/>
          </w:tcPr>
          <w:p w14:paraId="394E3305" w14:textId="59E3C94F" w:rsidR="007F39F3" w:rsidRPr="00F24717" w:rsidRDefault="008160AC" w:rsidP="00635440">
            <w:pPr>
              <w:spacing w:before="60" w:after="60"/>
              <w:jc w:val="center"/>
              <w:rPr>
                <w:rFonts w:asciiTheme="majorBidi" w:hAnsiTheme="majorBidi" w:cstheme="majorBidi"/>
                <w:szCs w:val="22"/>
              </w:rPr>
            </w:pPr>
            <w:bookmarkStart w:id="16" w:name="_Hlk115343673"/>
            <w:r>
              <w:rPr>
                <w:rFonts w:asciiTheme="majorBidi" w:hAnsiTheme="majorBidi"/>
                <w:b/>
                <w:bCs/>
                <w:szCs w:val="22"/>
              </w:rPr>
              <w:t>Résultats</w:t>
            </w:r>
          </w:p>
        </w:tc>
      </w:tr>
      <w:tr w:rsidR="007F39F3" w:rsidRPr="00AA0FBF" w14:paraId="7650D9DB" w14:textId="77777777" w:rsidTr="00635440">
        <w:trPr>
          <w:trHeight w:val="339"/>
        </w:trPr>
        <w:tc>
          <w:tcPr>
            <w:tcW w:w="2605" w:type="dxa"/>
            <w:vMerge w:val="restart"/>
          </w:tcPr>
          <w:p w14:paraId="58127B30" w14:textId="07BF8991"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Nouvelles technologies créées</w:t>
            </w:r>
            <w:r w:rsidR="00160373">
              <w:rPr>
                <w:rFonts w:asciiTheme="majorBidi" w:hAnsiTheme="majorBidi"/>
                <w:sz w:val="20"/>
                <w:szCs w:val="20"/>
              </w:rPr>
              <w:t xml:space="preserve"> conjointement et déployées</w:t>
            </w:r>
          </w:p>
          <w:p w14:paraId="7DE269FA" w14:textId="4304D5B4"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 xml:space="preserve">Création d’entreprises conjointes de développement technologique </w:t>
            </w:r>
          </w:p>
          <w:p w14:paraId="720888B0" w14:textId="768F423D"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Recherches conjointes menées et publiées</w:t>
            </w:r>
          </w:p>
        </w:tc>
        <w:tc>
          <w:tcPr>
            <w:tcW w:w="3780" w:type="dxa"/>
          </w:tcPr>
          <w:p w14:paraId="1D4DA3BE" w14:textId="10B40CB2"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Promotion du partage des connaissances locales et autochtones</w:t>
            </w:r>
          </w:p>
          <w:p w14:paraId="075BC67E" w14:textId="3CDED483" w:rsidR="007F39F3" w:rsidRPr="00F24717" w:rsidRDefault="0052422E" w:rsidP="00F24717">
            <w:pPr>
              <w:spacing w:before="120" w:after="120"/>
              <w:jc w:val="left"/>
              <w:rPr>
                <w:rFonts w:asciiTheme="majorBidi" w:hAnsiTheme="majorBidi" w:cstheme="majorBidi"/>
                <w:sz w:val="20"/>
                <w:szCs w:val="20"/>
              </w:rPr>
            </w:pPr>
            <w:r>
              <w:rPr>
                <w:rFonts w:asciiTheme="majorBidi" w:hAnsiTheme="majorBidi"/>
                <w:sz w:val="20"/>
                <w:szCs w:val="20"/>
              </w:rPr>
              <w:t>Les scientifiques sont associés à des experts locaux et autochtones pour comprendre les problèmes et trouver des solutions</w:t>
            </w:r>
          </w:p>
          <w:p w14:paraId="68AA9741" w14:textId="03AB8C86"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Les nouvelles technologies sont développées à travers un processus dynamique qui respecte les différentes visions du monde</w:t>
            </w:r>
          </w:p>
        </w:tc>
        <w:tc>
          <w:tcPr>
            <w:tcW w:w="2965" w:type="dxa"/>
          </w:tcPr>
          <w:p w14:paraId="19B4C970" w14:textId="25AC6411"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 xml:space="preserve">Nombre de technologies créées conjointement </w:t>
            </w:r>
          </w:p>
          <w:p w14:paraId="47A093BF" w14:textId="30BD1C18" w:rsidR="007F39F3" w:rsidRPr="00F24717" w:rsidRDefault="00DE2EF9" w:rsidP="00F24717">
            <w:pPr>
              <w:spacing w:before="120" w:after="120"/>
              <w:jc w:val="left"/>
              <w:rPr>
                <w:rFonts w:asciiTheme="majorBidi" w:hAnsiTheme="majorBidi" w:cstheme="majorBidi"/>
                <w:sz w:val="20"/>
                <w:szCs w:val="20"/>
              </w:rPr>
            </w:pPr>
            <w:r>
              <w:rPr>
                <w:rFonts w:asciiTheme="majorBidi" w:hAnsiTheme="majorBidi"/>
                <w:sz w:val="20"/>
                <w:szCs w:val="20"/>
              </w:rPr>
              <w:t>Pourcentage de participation des parties prenantes (par type et rôle) au développement des technologies</w:t>
            </w:r>
          </w:p>
        </w:tc>
      </w:tr>
      <w:tr w:rsidR="007F39F3" w:rsidRPr="00AA0FBF" w14:paraId="65AA3BDA" w14:textId="77777777" w:rsidTr="00635440">
        <w:trPr>
          <w:trHeight w:val="339"/>
        </w:trPr>
        <w:tc>
          <w:tcPr>
            <w:tcW w:w="2605" w:type="dxa"/>
            <w:vMerge/>
          </w:tcPr>
          <w:p w14:paraId="16C28DBD" w14:textId="77777777" w:rsidR="007F39F3" w:rsidRPr="005F6507" w:rsidRDefault="007F39F3" w:rsidP="00F24717">
            <w:pPr>
              <w:spacing w:before="120" w:after="120"/>
              <w:ind w:left="30"/>
              <w:rPr>
                <w:rFonts w:asciiTheme="majorBidi" w:hAnsiTheme="majorBidi" w:cstheme="majorBidi"/>
                <w:sz w:val="20"/>
                <w:szCs w:val="20"/>
                <w:highlight w:val="yellow"/>
              </w:rPr>
            </w:pPr>
          </w:p>
        </w:tc>
        <w:tc>
          <w:tcPr>
            <w:tcW w:w="3780" w:type="dxa"/>
          </w:tcPr>
          <w:p w14:paraId="44692B5E" w14:textId="75348D1B" w:rsidR="007F39F3" w:rsidRPr="004E55F9"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 xml:space="preserve">Mise en œuvre au niveau national bénéficiant du soutien régional et des conseils mondiaux </w:t>
            </w:r>
          </w:p>
        </w:tc>
        <w:tc>
          <w:tcPr>
            <w:tcW w:w="2965" w:type="dxa"/>
          </w:tcPr>
          <w:p w14:paraId="11B19B94" w14:textId="61EB80CF" w:rsidR="004C6AC8" w:rsidRPr="004E55F9" w:rsidRDefault="00D8181F" w:rsidP="00F24717">
            <w:pPr>
              <w:spacing w:before="120" w:after="120"/>
              <w:jc w:val="left"/>
              <w:rPr>
                <w:rFonts w:asciiTheme="majorBidi" w:hAnsiTheme="majorBidi" w:cstheme="majorBidi"/>
                <w:sz w:val="20"/>
                <w:szCs w:val="20"/>
              </w:rPr>
            </w:pPr>
            <w:r>
              <w:rPr>
                <w:rFonts w:asciiTheme="majorBidi" w:hAnsiTheme="majorBidi"/>
                <w:sz w:val="20"/>
                <w:szCs w:val="20"/>
              </w:rPr>
              <w:t xml:space="preserve">Pourcentage d’initiatives de coopération technique et scientifique coordonnées au niveau régional  </w:t>
            </w:r>
          </w:p>
        </w:tc>
      </w:tr>
      <w:tr w:rsidR="007F39F3" w:rsidRPr="00AA0FBF" w14:paraId="11D3CB5B" w14:textId="77777777" w:rsidTr="00635440">
        <w:trPr>
          <w:trHeight w:val="339"/>
        </w:trPr>
        <w:tc>
          <w:tcPr>
            <w:tcW w:w="2605" w:type="dxa"/>
            <w:vMerge w:val="restart"/>
          </w:tcPr>
          <w:p w14:paraId="46F6509B" w14:textId="186E4CF5"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Renforcement des capacités des Parties grâce à la coopération technique et scientifique</w:t>
            </w:r>
          </w:p>
          <w:p w14:paraId="727F2C3D" w14:textId="5A8B0188" w:rsidR="007F39F3" w:rsidRPr="00F24717" w:rsidRDefault="007F39F3" w:rsidP="00F24717">
            <w:pPr>
              <w:spacing w:before="120" w:after="120"/>
              <w:ind w:left="30"/>
              <w:jc w:val="left"/>
              <w:rPr>
                <w:rFonts w:asciiTheme="majorBidi" w:hAnsiTheme="majorBidi" w:cstheme="majorBidi"/>
                <w:sz w:val="20"/>
                <w:szCs w:val="20"/>
              </w:rPr>
            </w:pPr>
            <w:r>
              <w:rPr>
                <w:rFonts w:asciiTheme="majorBidi" w:hAnsiTheme="majorBidi"/>
                <w:sz w:val="20"/>
                <w:szCs w:val="20"/>
              </w:rPr>
              <w:t>Sensibilisation accrue grâce à des activités de coopération technique et scientifique ciblées/adaptées</w:t>
            </w:r>
          </w:p>
        </w:tc>
        <w:tc>
          <w:tcPr>
            <w:tcW w:w="3780" w:type="dxa"/>
          </w:tcPr>
          <w:p w14:paraId="5566A90D" w14:textId="319A118D" w:rsidR="007F39F3" w:rsidRPr="00F2471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 xml:space="preserve">Objectifs et activités de renforcement des capacités visant l’échange de connaissances et l’apprentissage mutuel entre les partenaires participants  </w:t>
            </w:r>
          </w:p>
        </w:tc>
        <w:tc>
          <w:tcPr>
            <w:tcW w:w="2965" w:type="dxa"/>
          </w:tcPr>
          <w:p w14:paraId="5E7035FB" w14:textId="21C6B6E5" w:rsidR="007F39F3" w:rsidRPr="007D217D"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Pourcentage d’activités de renforcement des capacités menées par des partenaires du Sud et des peuples autochtones et communautés locales</w:t>
            </w:r>
          </w:p>
        </w:tc>
      </w:tr>
      <w:tr w:rsidR="007F39F3" w:rsidRPr="00AA0FBF" w14:paraId="6AA5286B" w14:textId="77777777" w:rsidTr="00635440">
        <w:trPr>
          <w:trHeight w:val="339"/>
        </w:trPr>
        <w:tc>
          <w:tcPr>
            <w:tcW w:w="2605" w:type="dxa"/>
            <w:vMerge/>
          </w:tcPr>
          <w:p w14:paraId="052D2E7D" w14:textId="77777777" w:rsidR="007F39F3" w:rsidRPr="005F6507" w:rsidRDefault="007F39F3" w:rsidP="00F24717">
            <w:pPr>
              <w:spacing w:before="120" w:after="120"/>
              <w:ind w:left="30"/>
              <w:jc w:val="left"/>
              <w:rPr>
                <w:rFonts w:asciiTheme="majorBidi" w:hAnsiTheme="majorBidi" w:cstheme="majorBidi"/>
                <w:sz w:val="20"/>
                <w:szCs w:val="20"/>
                <w:highlight w:val="yellow"/>
              </w:rPr>
            </w:pPr>
          </w:p>
        </w:tc>
        <w:tc>
          <w:tcPr>
            <w:tcW w:w="3780" w:type="dxa"/>
          </w:tcPr>
          <w:p w14:paraId="5EEF5808" w14:textId="289671DB"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Les capacités des organisations de base et de celles qui protègent actuellement la biodiversité sur le terrain ont été renforcées pour leur permettre de participer positivement à la réalisation des objectifs de la Convention.</w:t>
            </w:r>
          </w:p>
        </w:tc>
        <w:tc>
          <w:tcPr>
            <w:tcW w:w="2965" w:type="dxa"/>
          </w:tcPr>
          <w:p w14:paraId="1F1102CD" w14:textId="2E9A9422"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 xml:space="preserve">Pourcentage d’activités de renforcement des capacités proposées aux organisations de base dans les langues locales   </w:t>
            </w:r>
          </w:p>
        </w:tc>
      </w:tr>
      <w:tr w:rsidR="007F39F3" w:rsidRPr="00AA0FBF" w14:paraId="33772AE2" w14:textId="77777777" w:rsidTr="00635440">
        <w:trPr>
          <w:trHeight w:val="339"/>
        </w:trPr>
        <w:tc>
          <w:tcPr>
            <w:tcW w:w="2605" w:type="dxa"/>
            <w:vMerge/>
          </w:tcPr>
          <w:p w14:paraId="5D0C88AE" w14:textId="77777777" w:rsidR="007F39F3" w:rsidRPr="005F6507" w:rsidRDefault="007F39F3" w:rsidP="00F24717">
            <w:pPr>
              <w:spacing w:before="120" w:after="120"/>
              <w:ind w:left="30"/>
              <w:jc w:val="left"/>
              <w:rPr>
                <w:rFonts w:asciiTheme="majorBidi" w:hAnsiTheme="majorBidi" w:cstheme="majorBidi"/>
                <w:sz w:val="20"/>
                <w:szCs w:val="20"/>
                <w:highlight w:val="yellow"/>
              </w:rPr>
            </w:pPr>
          </w:p>
        </w:tc>
        <w:tc>
          <w:tcPr>
            <w:tcW w:w="3780" w:type="dxa"/>
          </w:tcPr>
          <w:p w14:paraId="092C280B" w14:textId="209866CB"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 xml:space="preserve">Les activités de renforcement des capacités ont ciblé — outre les connaissances et les innovations scientifiques et techniques — le développement organisationnel des institutions régionales et nationales partenaires, ce qui inclut la gouvernance, l’infrastructure, les systèmes, les procédures, les ressources financières et humaines.  </w:t>
            </w:r>
          </w:p>
        </w:tc>
        <w:tc>
          <w:tcPr>
            <w:tcW w:w="2965" w:type="dxa"/>
          </w:tcPr>
          <w:p w14:paraId="7E08D242" w14:textId="449604A0"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Pourcentage de programmes de renforcement des capacités proposés sur la gestion et le développement des organisations</w:t>
            </w:r>
          </w:p>
        </w:tc>
      </w:tr>
      <w:tr w:rsidR="007F39F3" w:rsidRPr="00AA0FBF" w14:paraId="0B79A8DC" w14:textId="77777777" w:rsidTr="00635440">
        <w:trPr>
          <w:trHeight w:val="339"/>
        </w:trPr>
        <w:tc>
          <w:tcPr>
            <w:tcW w:w="2605" w:type="dxa"/>
            <w:vMerge/>
          </w:tcPr>
          <w:p w14:paraId="7DB4F225" w14:textId="77777777" w:rsidR="007F39F3" w:rsidRPr="005F6507" w:rsidRDefault="007F39F3" w:rsidP="00F24717">
            <w:pPr>
              <w:spacing w:before="120" w:after="120"/>
              <w:ind w:left="30"/>
              <w:rPr>
                <w:rFonts w:asciiTheme="majorBidi" w:hAnsiTheme="majorBidi" w:cstheme="majorBidi"/>
                <w:sz w:val="20"/>
                <w:szCs w:val="20"/>
                <w:highlight w:val="yellow"/>
              </w:rPr>
            </w:pPr>
          </w:p>
        </w:tc>
        <w:tc>
          <w:tcPr>
            <w:tcW w:w="3780" w:type="dxa"/>
          </w:tcPr>
          <w:p w14:paraId="08A7B39F" w14:textId="4323E8DB"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Les activités de se</w:t>
            </w:r>
            <w:r w:rsidR="00160373">
              <w:rPr>
                <w:rFonts w:asciiTheme="majorBidi" w:hAnsiTheme="majorBidi"/>
                <w:sz w:val="20"/>
                <w:szCs w:val="20"/>
              </w:rPr>
              <w:t>nsibilisation ciblant des publics</w:t>
            </w:r>
            <w:r>
              <w:rPr>
                <w:rFonts w:asciiTheme="majorBidi" w:hAnsiTheme="majorBidi"/>
                <w:sz w:val="20"/>
                <w:szCs w:val="20"/>
              </w:rPr>
              <w:t xml:space="preserve"> ind</w:t>
            </w:r>
            <w:r w:rsidR="00160373">
              <w:rPr>
                <w:rFonts w:asciiTheme="majorBidi" w:hAnsiTheme="majorBidi"/>
                <w:sz w:val="20"/>
                <w:szCs w:val="20"/>
              </w:rPr>
              <w:t>irect</w:t>
            </w:r>
            <w:r>
              <w:rPr>
                <w:rFonts w:asciiTheme="majorBidi" w:hAnsiTheme="majorBidi"/>
                <w:sz w:val="20"/>
                <w:szCs w:val="20"/>
              </w:rPr>
              <w:t>s ont été étendues afin de créer un environnement accueillant et responsabilisant pour les actions de mise en œuvre</w:t>
            </w:r>
          </w:p>
        </w:tc>
        <w:tc>
          <w:tcPr>
            <w:tcW w:w="2965" w:type="dxa"/>
          </w:tcPr>
          <w:p w14:paraId="24A28FF6" w14:textId="79A8C69E"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Nombre d’activités de sensibilisation virtuelles et en face à face et nombre et types de populations touchées</w:t>
            </w:r>
          </w:p>
        </w:tc>
      </w:tr>
      <w:tr w:rsidR="007F39F3" w:rsidRPr="00AA0FBF" w14:paraId="03A0086D" w14:textId="77777777" w:rsidTr="00635440">
        <w:trPr>
          <w:trHeight w:val="339"/>
        </w:trPr>
        <w:tc>
          <w:tcPr>
            <w:tcW w:w="2605" w:type="dxa"/>
          </w:tcPr>
          <w:p w14:paraId="55E4EBF2" w14:textId="33137F76" w:rsidR="00837737"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lastRenderedPageBreak/>
              <w:t>Élaboration, révision et mise en œuvre de politiques nationales à l’appui de la coopération technique et scientifique</w:t>
            </w:r>
          </w:p>
          <w:p w14:paraId="7950B869" w14:textId="12FEA832" w:rsidR="00837737" w:rsidRPr="00792EA0" w:rsidRDefault="00CB1E6D" w:rsidP="00F24717">
            <w:pPr>
              <w:spacing w:before="120" w:after="120"/>
              <w:jc w:val="left"/>
              <w:rPr>
                <w:rFonts w:asciiTheme="majorBidi" w:hAnsiTheme="majorBidi" w:cstheme="majorBidi"/>
                <w:sz w:val="20"/>
                <w:szCs w:val="20"/>
              </w:rPr>
            </w:pPr>
            <w:r>
              <w:rPr>
                <w:rFonts w:asciiTheme="majorBidi" w:hAnsiTheme="majorBidi"/>
                <w:sz w:val="20"/>
                <w:szCs w:val="20"/>
              </w:rPr>
              <w:t>Él</w:t>
            </w:r>
            <w:r w:rsidR="00160373">
              <w:rPr>
                <w:rFonts w:asciiTheme="majorBidi" w:hAnsiTheme="majorBidi"/>
                <w:sz w:val="20"/>
                <w:szCs w:val="20"/>
              </w:rPr>
              <w:t>aboration de politiques orient</w:t>
            </w:r>
            <w:r>
              <w:rPr>
                <w:rFonts w:asciiTheme="majorBidi" w:hAnsiTheme="majorBidi"/>
                <w:sz w:val="20"/>
                <w:szCs w:val="20"/>
              </w:rPr>
              <w:t>ées vers le changement des modèles sociaux, économiques et financiers qui conduisent à la perte de biodiversité</w:t>
            </w:r>
          </w:p>
          <w:p w14:paraId="709BDF74" w14:textId="36CC0274" w:rsidR="007F39F3" w:rsidRPr="00F24717" w:rsidRDefault="00F74776"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Adoption par les décideurs po</w:t>
            </w:r>
            <w:r w:rsidR="00160373">
              <w:rPr>
                <w:rFonts w:asciiTheme="majorBidi" w:hAnsiTheme="majorBidi"/>
                <w:sz w:val="20"/>
                <w:szCs w:val="20"/>
              </w:rPr>
              <w:t>litiques des changements accepté</w:t>
            </w:r>
            <w:r>
              <w:rPr>
                <w:rFonts w:asciiTheme="majorBidi" w:hAnsiTheme="majorBidi"/>
                <w:sz w:val="20"/>
                <w:szCs w:val="20"/>
              </w:rPr>
              <w:t xml:space="preserve">s en faveur de l’utilisation durable et équitable de la biodiversité </w:t>
            </w:r>
          </w:p>
        </w:tc>
        <w:tc>
          <w:tcPr>
            <w:tcW w:w="3780" w:type="dxa"/>
          </w:tcPr>
          <w:p w14:paraId="26D852FD" w14:textId="4A18718E"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Les décideurs politiques ont été contactés et mis en relation grâce à des activités de sensibilisation, ont discuté avec les partenaires des changements nécessaires, se sont engagés à les réaliser et ont démontré des résultats.</w:t>
            </w:r>
          </w:p>
        </w:tc>
        <w:tc>
          <w:tcPr>
            <w:tcW w:w="2965" w:type="dxa"/>
          </w:tcPr>
          <w:p w14:paraId="53F47279" w14:textId="26C92882" w:rsidR="007F39F3" w:rsidRPr="00792EA0"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Pourcentage de participation des décideurs politiques aux activités de sensibilisation à tous les niveaux.</w:t>
            </w:r>
          </w:p>
          <w:p w14:paraId="63D87F7F" w14:textId="0E23C77D" w:rsidR="007F39F3" w:rsidRPr="00792EA0"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Nombre de politiques modifiées ou élaborées à l’appui de la Convention sur la diversité biologique à différents niveaux</w:t>
            </w:r>
          </w:p>
        </w:tc>
      </w:tr>
      <w:tr w:rsidR="007F39F3" w:rsidRPr="00AA0FBF" w14:paraId="03F7B05C" w14:textId="77777777" w:rsidTr="00635440">
        <w:trPr>
          <w:trHeight w:val="339"/>
        </w:trPr>
        <w:tc>
          <w:tcPr>
            <w:tcW w:w="2605" w:type="dxa"/>
            <w:vMerge w:val="restart"/>
          </w:tcPr>
          <w:p w14:paraId="4B392AE1" w14:textId="673B564E" w:rsidR="00C8227B" w:rsidRPr="00792EA0" w:rsidRDefault="00792EA0" w:rsidP="00F24717">
            <w:pPr>
              <w:spacing w:before="120" w:after="120"/>
              <w:jc w:val="left"/>
              <w:rPr>
                <w:rFonts w:asciiTheme="majorBidi" w:hAnsiTheme="majorBidi" w:cstheme="majorBidi"/>
                <w:sz w:val="20"/>
                <w:szCs w:val="20"/>
              </w:rPr>
            </w:pPr>
            <w:r>
              <w:rPr>
                <w:rFonts w:asciiTheme="majorBidi" w:hAnsiTheme="majorBidi"/>
                <w:sz w:val="20"/>
                <w:szCs w:val="20"/>
              </w:rPr>
              <w:t>Partenariats de coopération technique et scientifique établis et élargis</w:t>
            </w:r>
          </w:p>
          <w:p w14:paraId="09B091FA" w14:textId="523D6ED6" w:rsidR="005C16A7" w:rsidRPr="00792EA0"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Renforcement de la coopération Sud-Sud et triangulaire</w:t>
            </w:r>
          </w:p>
          <w:p w14:paraId="55F50DCF" w14:textId="2FF965E6" w:rsidR="007F39F3" w:rsidRPr="00F24717" w:rsidRDefault="001A58BC"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Ressources mobilisées pour soutenir et étendre la couverture de la coopération technique et scientifique</w:t>
            </w:r>
          </w:p>
        </w:tc>
        <w:tc>
          <w:tcPr>
            <w:tcW w:w="3780" w:type="dxa"/>
          </w:tcPr>
          <w:p w14:paraId="351FA7C6" w14:textId="77777777"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Le partenariat dans la mise en œuvre a inclus différents secteurs qui se sont unis aux niveaux de la planification, et d’autres secteurs représentatifs.</w:t>
            </w:r>
          </w:p>
        </w:tc>
        <w:tc>
          <w:tcPr>
            <w:tcW w:w="2965" w:type="dxa"/>
          </w:tcPr>
          <w:p w14:paraId="270CE388" w14:textId="370C0F83"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Niveau de participation d’autres conventions ou organisations des Nations Unies</w:t>
            </w:r>
          </w:p>
          <w:p w14:paraId="6A477E9B" w14:textId="6FB4BBE8"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Niveau de participation du secteur privé</w:t>
            </w:r>
          </w:p>
          <w:p w14:paraId="1B7C2081" w14:textId="3006D6F4"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Niveau de participation des ONG</w:t>
            </w:r>
          </w:p>
        </w:tc>
      </w:tr>
      <w:tr w:rsidR="007F39F3" w:rsidRPr="00AA0FBF" w14:paraId="02A87946" w14:textId="77777777" w:rsidTr="00635440">
        <w:trPr>
          <w:trHeight w:val="339"/>
        </w:trPr>
        <w:tc>
          <w:tcPr>
            <w:tcW w:w="2605" w:type="dxa"/>
            <w:vMerge/>
          </w:tcPr>
          <w:p w14:paraId="50357570" w14:textId="77777777" w:rsidR="007F39F3" w:rsidRPr="005F6507" w:rsidRDefault="007F39F3" w:rsidP="00F24717">
            <w:pPr>
              <w:spacing w:before="120" w:after="120"/>
              <w:jc w:val="left"/>
              <w:rPr>
                <w:rFonts w:asciiTheme="majorBidi" w:hAnsiTheme="majorBidi" w:cstheme="majorBidi"/>
                <w:sz w:val="20"/>
                <w:szCs w:val="20"/>
                <w:highlight w:val="yellow"/>
              </w:rPr>
            </w:pPr>
          </w:p>
        </w:tc>
        <w:tc>
          <w:tcPr>
            <w:tcW w:w="3780" w:type="dxa"/>
          </w:tcPr>
          <w:p w14:paraId="1A2202FF" w14:textId="240319DA" w:rsidR="007F39F3" w:rsidRPr="005D14A8"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Des ressources ont été mises à disposition pour la coopération Sud-Sud afin de développer en collaboration de nouvelles connaissances et technologies qui ciblent les défis spécifiques du Sud</w:t>
            </w:r>
          </w:p>
        </w:tc>
        <w:tc>
          <w:tcPr>
            <w:tcW w:w="2965" w:type="dxa"/>
          </w:tcPr>
          <w:p w14:paraId="1186B05D" w14:textId="5ED9676B"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Pourcentage des ressources allouées à la coopération Sud-Sud</w:t>
            </w:r>
          </w:p>
          <w:p w14:paraId="2E22A88A" w14:textId="12C8BC33"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Pourcentage d’accords de coopération Sud-Sud par rapport aux accords Nord-Sud</w:t>
            </w:r>
          </w:p>
        </w:tc>
      </w:tr>
      <w:tr w:rsidR="007F39F3" w:rsidRPr="00AA0FBF" w14:paraId="62953E03" w14:textId="77777777" w:rsidTr="00635440">
        <w:trPr>
          <w:trHeight w:val="339"/>
        </w:trPr>
        <w:tc>
          <w:tcPr>
            <w:tcW w:w="2605" w:type="dxa"/>
            <w:vMerge/>
          </w:tcPr>
          <w:p w14:paraId="14411C51" w14:textId="77777777" w:rsidR="007F39F3" w:rsidRPr="005F6507" w:rsidRDefault="007F39F3" w:rsidP="00F24717">
            <w:pPr>
              <w:spacing w:before="120" w:after="120"/>
              <w:jc w:val="left"/>
              <w:rPr>
                <w:rFonts w:asciiTheme="majorBidi" w:hAnsiTheme="majorBidi" w:cstheme="majorBidi"/>
                <w:sz w:val="20"/>
                <w:szCs w:val="20"/>
                <w:highlight w:val="yellow"/>
              </w:rPr>
            </w:pPr>
          </w:p>
        </w:tc>
        <w:tc>
          <w:tcPr>
            <w:tcW w:w="3780" w:type="dxa"/>
          </w:tcPr>
          <w:p w14:paraId="02DABD08" w14:textId="48249D4E" w:rsidR="007F39F3" w:rsidRPr="005D14A8"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Une coopération triangulaire en plus de la coopération régulière Sud-Nord a été recherchée</w:t>
            </w:r>
          </w:p>
        </w:tc>
        <w:tc>
          <w:tcPr>
            <w:tcW w:w="2965" w:type="dxa"/>
          </w:tcPr>
          <w:p w14:paraId="2C10F5BC" w14:textId="092F9FD3" w:rsidR="00837737" w:rsidRPr="002F4BC4"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Pourcentage des ressources allouées à la coopération triangulaire</w:t>
            </w:r>
          </w:p>
          <w:p w14:paraId="3EC9E64F" w14:textId="77777777" w:rsidR="007F39F3" w:rsidRPr="00F24717" w:rsidRDefault="007F39F3" w:rsidP="00F24717">
            <w:pPr>
              <w:spacing w:before="120" w:after="120"/>
              <w:jc w:val="left"/>
              <w:rPr>
                <w:rFonts w:asciiTheme="majorBidi" w:hAnsiTheme="majorBidi" w:cstheme="majorBidi"/>
                <w:sz w:val="20"/>
                <w:szCs w:val="20"/>
                <w:highlight w:val="yellow"/>
              </w:rPr>
            </w:pPr>
            <w:r>
              <w:rPr>
                <w:rFonts w:asciiTheme="majorBidi" w:hAnsiTheme="majorBidi"/>
                <w:sz w:val="20"/>
                <w:szCs w:val="20"/>
              </w:rPr>
              <w:t>Pourcentage d’accords de coopération triangulaire par rapport aux accords Nord-Sud</w:t>
            </w:r>
          </w:p>
        </w:tc>
      </w:tr>
      <w:tr w:rsidR="007F39F3" w:rsidRPr="007C4E47" w14:paraId="4C745E6B" w14:textId="77777777" w:rsidTr="00635440">
        <w:trPr>
          <w:trHeight w:val="1382"/>
        </w:trPr>
        <w:tc>
          <w:tcPr>
            <w:tcW w:w="2605" w:type="dxa"/>
            <w:vMerge/>
          </w:tcPr>
          <w:p w14:paraId="1278E6B7" w14:textId="77777777" w:rsidR="007F39F3" w:rsidRPr="005F6507" w:rsidRDefault="007F39F3" w:rsidP="00F24717">
            <w:pPr>
              <w:spacing w:before="120" w:after="120"/>
              <w:rPr>
                <w:rFonts w:asciiTheme="majorBidi" w:hAnsiTheme="majorBidi" w:cstheme="majorBidi"/>
                <w:sz w:val="20"/>
                <w:szCs w:val="20"/>
                <w:highlight w:val="yellow"/>
              </w:rPr>
            </w:pPr>
          </w:p>
        </w:tc>
        <w:tc>
          <w:tcPr>
            <w:tcW w:w="3780" w:type="dxa"/>
          </w:tcPr>
          <w:p w14:paraId="4337A3FE" w14:textId="341475FE" w:rsidR="007F39F3" w:rsidRPr="001475F9" w:rsidRDefault="001475F9" w:rsidP="00F24717">
            <w:pPr>
              <w:spacing w:before="120" w:after="120"/>
              <w:jc w:val="left"/>
              <w:rPr>
                <w:rFonts w:asciiTheme="majorBidi" w:hAnsiTheme="majorBidi" w:cstheme="majorBidi"/>
                <w:sz w:val="20"/>
                <w:szCs w:val="20"/>
              </w:rPr>
            </w:pPr>
            <w:r>
              <w:rPr>
                <w:rFonts w:asciiTheme="majorBidi" w:hAnsiTheme="majorBidi"/>
                <w:sz w:val="20"/>
                <w:szCs w:val="20"/>
              </w:rPr>
              <w:t xml:space="preserve">La mise en relation a été rendue effective grâce à une fonctionnalité du portail central du centre d’échange qui permet aux pays ayant des besoins techniques et scientifiques spécifiques de soumettre des demandes d’assistance et aux pays et organisations compétentes </w:t>
            </w:r>
            <w:r w:rsidR="00A77195">
              <w:rPr>
                <w:rFonts w:asciiTheme="majorBidi" w:hAnsiTheme="majorBidi"/>
                <w:sz w:val="20"/>
                <w:szCs w:val="20"/>
              </w:rPr>
              <w:t xml:space="preserve">qui sont </w:t>
            </w:r>
            <w:r>
              <w:rPr>
                <w:rFonts w:asciiTheme="majorBidi" w:hAnsiTheme="majorBidi"/>
                <w:sz w:val="20"/>
                <w:szCs w:val="20"/>
              </w:rPr>
              <w:t>en mesure d’offrir une assistance de s’inscrire en ligne.</w:t>
            </w:r>
          </w:p>
        </w:tc>
        <w:tc>
          <w:tcPr>
            <w:tcW w:w="2965" w:type="dxa"/>
          </w:tcPr>
          <w:p w14:paraId="108A4742" w14:textId="63A0D4D4" w:rsidR="00837737" w:rsidRPr="001475F9"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Pourcentage de Parties utilisant régulièrement le mécanisme d’échange d’informations</w:t>
            </w:r>
          </w:p>
          <w:p w14:paraId="002FFFC8" w14:textId="2C11B956" w:rsidR="007F39F3" w:rsidRPr="007C4E47" w:rsidRDefault="007F39F3" w:rsidP="00F24717">
            <w:pPr>
              <w:spacing w:before="120" w:after="120"/>
              <w:jc w:val="left"/>
              <w:rPr>
                <w:rFonts w:asciiTheme="majorBidi" w:hAnsiTheme="majorBidi" w:cstheme="majorBidi"/>
                <w:sz w:val="20"/>
                <w:szCs w:val="20"/>
              </w:rPr>
            </w:pPr>
            <w:r>
              <w:rPr>
                <w:rFonts w:asciiTheme="majorBidi" w:hAnsiTheme="majorBidi"/>
                <w:sz w:val="20"/>
                <w:szCs w:val="20"/>
              </w:rPr>
              <w:t>Pourcentage d’accords conclus grâce à la fonction de mise en relation du centre d’échange.</w:t>
            </w:r>
          </w:p>
        </w:tc>
      </w:tr>
    </w:tbl>
    <w:bookmarkEnd w:id="15"/>
    <w:bookmarkEnd w:id="16"/>
    <w:p w14:paraId="620F4B1C" w14:textId="3EFFED70" w:rsidR="002148C1" w:rsidRPr="007C4E47" w:rsidRDefault="000C2443" w:rsidP="00F24717">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snapToGrid w:val="0"/>
          <w:kern w:val="22"/>
          <w:szCs w:val="22"/>
        </w:rPr>
      </w:pPr>
      <w:r>
        <w:rPr>
          <w:rFonts w:asciiTheme="majorBidi" w:hAnsiTheme="majorBidi"/>
          <w:snapToGrid w:val="0"/>
          <w:szCs w:val="22"/>
        </w:rPr>
        <w:t>__________</w:t>
      </w:r>
      <w:bookmarkEnd w:id="14"/>
    </w:p>
    <w:sectPr w:rsidR="002148C1" w:rsidRPr="007C4E47" w:rsidSect="0090075A">
      <w:headerReference w:type="even" r:id="rId16"/>
      <w:headerReference w:type="default" r:id="rId17"/>
      <w:footerReference w:type="even" r:id="rId18"/>
      <w:footerReference w:type="default" r:id="rId19"/>
      <w:headerReference w:type="first" r:id="rId20"/>
      <w:footerReference w:type="firs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3BE19" w14:textId="77777777" w:rsidR="00186837" w:rsidRDefault="00186837" w:rsidP="00CF1848">
      <w:r>
        <w:separator/>
      </w:r>
    </w:p>
  </w:endnote>
  <w:endnote w:type="continuationSeparator" w:id="0">
    <w:p w14:paraId="751417FD" w14:textId="77777777" w:rsidR="00186837" w:rsidRDefault="00186837" w:rsidP="00CF1848">
      <w:r>
        <w:continuationSeparator/>
      </w:r>
    </w:p>
  </w:endnote>
  <w:endnote w:type="continuationNotice" w:id="1">
    <w:p w14:paraId="76D6723A" w14:textId="77777777" w:rsidR="00186837" w:rsidRDefault="001868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7E893" w14:textId="77777777" w:rsidR="00C24341" w:rsidRDefault="00C24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41D3E" w14:textId="77777777" w:rsidR="00C24341" w:rsidRDefault="00C24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C8D2" w14:textId="77777777" w:rsidR="00C24341" w:rsidRDefault="00C24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1C0F3" w14:textId="77777777" w:rsidR="00186837" w:rsidRDefault="00186837" w:rsidP="00CF1848">
      <w:r>
        <w:separator/>
      </w:r>
    </w:p>
  </w:footnote>
  <w:footnote w:type="continuationSeparator" w:id="0">
    <w:p w14:paraId="38A92A30" w14:textId="77777777" w:rsidR="00186837" w:rsidRDefault="00186837" w:rsidP="00CF1848">
      <w:r>
        <w:continuationSeparator/>
      </w:r>
    </w:p>
  </w:footnote>
  <w:footnote w:type="continuationNotice" w:id="1">
    <w:p w14:paraId="2248694B" w14:textId="77777777" w:rsidR="00186837" w:rsidRDefault="00186837"/>
  </w:footnote>
  <w:footnote w:id="2">
    <w:p w14:paraId="48A4F1C3" w14:textId="3C20606B" w:rsidR="00C24341" w:rsidRPr="001D2004" w:rsidRDefault="00C24341" w:rsidP="00F24717">
      <w:pPr>
        <w:pStyle w:val="FootnoteText"/>
        <w:ind w:firstLine="0"/>
      </w:pPr>
      <w:r>
        <w:rPr>
          <w:rStyle w:val="FootnoteReference"/>
        </w:rPr>
        <w:footnoteRef/>
      </w:r>
      <w:r>
        <w:t xml:space="preserve"> Dans le contexte de cet examen, on entend par « coopération technique et scientifique » un processus en vertu duquel deux pays ou institutions ou plus cherchent à réaliser des progrès en vue d’atteindre leurs objectifs individuels ou communs en matière de biodiversité, à l’aide d’actions concertées et/ou d’un partage de connaissances, d’expertise, de données, d’outils et ressources, de technologies et de savoir-faire techniques et scientifiques. La coopération technique et scientifique peut comprendre le renforcement des ressources humaines, la création d’institutions, l’échange d’experts, les formations conjointes de personnel, des programmes de recherche conjoints, des coentreprises pour le développement et la diffusion des technologies (y compris les technologies autochtones et traditionnelles), et le transfert de techn</w:t>
      </w:r>
      <w:r w:rsidR="006E0795">
        <w:t>ologie et de savoir-faire</w:t>
      </w:r>
      <w:r>
        <w:t xml:space="preserve"> (</w:t>
      </w:r>
      <w:r w:rsidRPr="001F37DF">
        <w:rPr>
          <w:szCs w:val="18"/>
        </w:rPr>
        <w:t>Tiré de CBD/SBI/3/7/Add.2</w:t>
      </w:r>
      <w:r>
        <w:t>)</w:t>
      </w:r>
      <w:r w:rsidR="006E0795">
        <w:t>.</w:t>
      </w:r>
    </w:p>
  </w:footnote>
  <w:footnote w:id="3">
    <w:p w14:paraId="0914B612" w14:textId="5686F527" w:rsidR="00C24341" w:rsidRDefault="00C24341" w:rsidP="00725288">
      <w:pPr>
        <w:pStyle w:val="FootnoteText"/>
        <w:ind w:firstLine="0"/>
      </w:pPr>
      <w:r>
        <w:rPr>
          <w:rStyle w:val="FootnoteReference"/>
        </w:rPr>
        <w:footnoteRef/>
      </w:r>
      <w:r>
        <w:t xml:space="preserve"> La mise en relation d’investisseurs et de porteurs de projets consiste à établir un lien entre des pays qui ont des besoins techniques ou scientifiques précis avec des pays ou des organisations en mesure de fournir le soutien et les ressources techniques nécessaires (notamment les connaissances, l’expertise, la documentation, les technologies, le financement, etc.), afin de répondre aux besoins exprimés, par l’entremise de leurs partenariats mutuels. Cette mise en relation peut être faite directement au moyen d’une plateforme Web ou d’un service d’assistance informatique. </w:t>
      </w:r>
    </w:p>
    <w:p w14:paraId="765C9D22" w14:textId="170E2FE9" w:rsidR="00C24341" w:rsidRPr="00186267" w:rsidRDefault="00C24341" w:rsidP="00583081">
      <w:pPr>
        <w:pStyle w:val="FootnoteText"/>
        <w:ind w:firstLine="0"/>
        <w:jc w:val="left"/>
      </w:pPr>
    </w:p>
  </w:footnote>
  <w:footnote w:id="4">
    <w:p w14:paraId="207680BB" w14:textId="0774E269" w:rsidR="00C24341" w:rsidRPr="0030523C" w:rsidRDefault="00C24341" w:rsidP="00F24717">
      <w:pPr>
        <w:pStyle w:val="FootnoteText"/>
        <w:ind w:firstLine="0"/>
      </w:pPr>
      <w:r>
        <w:rPr>
          <w:rStyle w:val="FootnoteReference"/>
        </w:rPr>
        <w:footnoteRef/>
      </w:r>
      <w:r>
        <w:t xml:space="preserve"> Lignes directrices facultatives Akwé:Kon pour la conduite d’études d’impacts culturels, environnementaux et sociaux des aménagements proposés, ou qui sont susceptibles d’avoir un impact, sur des sites sacrés et sur des terres ou des eaux occupées ou utilisées traditionnellement par des communautés autochtones et locales. Décision VII/16 F.</w:t>
      </w:r>
    </w:p>
  </w:footnote>
  <w:footnote w:id="5">
    <w:p w14:paraId="05542359" w14:textId="4EC8F357" w:rsidR="00C24341" w:rsidRPr="0030523C" w:rsidRDefault="00C24341" w:rsidP="00F24717">
      <w:pPr>
        <w:pStyle w:val="FootnoteText"/>
        <w:ind w:firstLine="0"/>
      </w:pPr>
      <w:r>
        <w:rPr>
          <w:rStyle w:val="FootnoteReference"/>
        </w:rPr>
        <w:footnoteRef/>
      </w:r>
      <w:r>
        <w:t xml:space="preserve"> Cet énoncé de la cible 19.2 est une version abrégée qui s’appuie sur les résultats de la quatrième réunion du Groupe de travail spécial à composition non limitée chargé d’examiner le cadre mondial de la biodiversité pour l’après-2020. Voir la </w:t>
      </w:r>
      <w:hyperlink r:id="rId1" w:history="1">
        <w:r>
          <w:rPr>
            <w:rStyle w:val="Hyperlink"/>
          </w:rPr>
          <w:t>recommandation 4/1</w:t>
        </w:r>
      </w:hyperlink>
      <w:r>
        <w:t>.</w:t>
      </w:r>
    </w:p>
  </w:footnote>
  <w:footnote w:id="6">
    <w:p w14:paraId="2981E2A6" w14:textId="579E1480" w:rsidR="00C24341" w:rsidRPr="00B05E38" w:rsidRDefault="00C24341" w:rsidP="00F24717">
      <w:pPr>
        <w:pStyle w:val="FootnoteText"/>
        <w:ind w:firstLine="0"/>
      </w:pPr>
      <w:r>
        <w:rPr>
          <w:rStyle w:val="FootnoteReference"/>
        </w:rPr>
        <w:footnoteRef/>
      </w:r>
      <w:r>
        <w:t xml:space="preserve"> Décision 15/-- au sujet de la mobilisation des ressources.</w:t>
      </w:r>
    </w:p>
  </w:footnote>
  <w:footnote w:id="7">
    <w:p w14:paraId="0BBAC820" w14:textId="6985889A" w:rsidR="00C24341" w:rsidRPr="00F24717" w:rsidRDefault="00C24341" w:rsidP="00F24717">
      <w:pPr>
        <w:pStyle w:val="FootnoteText"/>
        <w:ind w:firstLine="0"/>
      </w:pPr>
      <w:r>
        <w:rPr>
          <w:rStyle w:val="FootnoteReference"/>
        </w:rPr>
        <w:footnoteRef/>
      </w:r>
      <w:r>
        <w:t xml:space="preserve"> </w:t>
      </w:r>
      <w:r w:rsidR="00AB1563">
        <w:rPr>
          <w:rFonts w:asciiTheme="majorBidi" w:hAnsiTheme="majorBidi"/>
        </w:rPr>
        <w:t>Au titre du</w:t>
      </w:r>
      <w:r>
        <w:rPr>
          <w:rFonts w:asciiTheme="majorBidi" w:hAnsiTheme="majorBidi"/>
        </w:rPr>
        <w:t xml:space="preserve"> point 13A, annexe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F2D8077" w:rsidR="00C24341" w:rsidRPr="00B00053" w:rsidRDefault="00C24341" w:rsidP="00B00053">
    <w:pPr>
      <w:pStyle w:val="Header"/>
      <w:tabs>
        <w:tab w:val="clear" w:pos="4320"/>
        <w:tab w:val="clear" w:pos="8640"/>
      </w:tabs>
      <w:kinsoku w:val="0"/>
      <w:overflowPunct w:val="0"/>
      <w:autoSpaceDE w:val="0"/>
      <w:autoSpaceDN w:val="0"/>
      <w:jc w:val="left"/>
      <w:rPr>
        <w:noProof/>
      </w:rPr>
    </w:pPr>
    <w:r>
      <w:t>CBD/COP/15/12</w:t>
    </w:r>
  </w:p>
  <w:p w14:paraId="61C60697" w14:textId="1395147B" w:rsidR="00C24341" w:rsidRPr="00B00053" w:rsidRDefault="00C24341" w:rsidP="00F24717">
    <w:pPr>
      <w:pStyle w:val="Header"/>
      <w:tabs>
        <w:tab w:val="clear" w:pos="4320"/>
        <w:tab w:val="clear" w:pos="8640"/>
      </w:tabs>
      <w:kinsoku w:val="0"/>
      <w:overflowPunct w:val="0"/>
      <w:autoSpaceDE w:val="0"/>
      <w:autoSpaceDN w:val="0"/>
      <w:spacing w:after="240"/>
      <w:jc w:val="left"/>
      <w:rPr>
        <w:noProof/>
      </w:rPr>
    </w:pPr>
    <w:r>
      <w:t xml:space="preserve">Page </w:t>
    </w:r>
    <w:r w:rsidRPr="00B00053">
      <w:fldChar w:fldCharType="begin"/>
    </w:r>
    <w:r w:rsidRPr="00B00053">
      <w:instrText xml:space="preserve"> PAGE   \* MERGEFORMAT </w:instrText>
    </w:r>
    <w:r w:rsidRPr="00B00053">
      <w:fldChar w:fldCharType="separate"/>
    </w:r>
    <w:r w:rsidR="00341106">
      <w:rPr>
        <w:noProof/>
      </w:rPr>
      <w:t>10</w:t>
    </w:r>
    <w:r w:rsidRPr="00B0005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Obje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BD31721" w:rsidR="00C24341" w:rsidRPr="00B00053" w:rsidRDefault="00C24341" w:rsidP="00B00053">
        <w:pPr>
          <w:pStyle w:val="Header"/>
          <w:tabs>
            <w:tab w:val="clear" w:pos="4320"/>
            <w:tab w:val="clear" w:pos="8640"/>
          </w:tabs>
          <w:kinsoku w:val="0"/>
          <w:overflowPunct w:val="0"/>
          <w:autoSpaceDE w:val="0"/>
          <w:autoSpaceDN w:val="0"/>
          <w:jc w:val="right"/>
          <w:rPr>
            <w:noProof/>
          </w:rPr>
        </w:pPr>
        <w:r>
          <w:rPr>
            <w:noProof/>
          </w:rPr>
          <w:t>CBD/COP/15/12</w:t>
        </w:r>
      </w:p>
    </w:sdtContent>
  </w:sdt>
  <w:p w14:paraId="16137B8A" w14:textId="6315A35E" w:rsidR="00C24341" w:rsidRPr="00B00053" w:rsidRDefault="00C24341" w:rsidP="00F24717">
    <w:pPr>
      <w:pStyle w:val="Header"/>
      <w:tabs>
        <w:tab w:val="clear" w:pos="4320"/>
        <w:tab w:val="clear" w:pos="8640"/>
      </w:tabs>
      <w:kinsoku w:val="0"/>
      <w:overflowPunct w:val="0"/>
      <w:autoSpaceDE w:val="0"/>
      <w:autoSpaceDN w:val="0"/>
      <w:spacing w:after="240"/>
      <w:jc w:val="right"/>
      <w:rPr>
        <w:noProof/>
      </w:rPr>
    </w:pPr>
    <w:r>
      <w:t xml:space="preserve">Page </w:t>
    </w:r>
    <w:r w:rsidRPr="00B00053">
      <w:fldChar w:fldCharType="begin"/>
    </w:r>
    <w:r w:rsidRPr="00B00053">
      <w:instrText xml:space="preserve"> PAGE   \* MERGEFORMAT </w:instrText>
    </w:r>
    <w:r w:rsidRPr="00B00053">
      <w:fldChar w:fldCharType="separate"/>
    </w:r>
    <w:r w:rsidR="00341106">
      <w:rPr>
        <w:noProof/>
      </w:rPr>
      <w:t>11</w:t>
    </w:r>
    <w:r w:rsidRPr="00B00053">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99240" w14:textId="77777777" w:rsidR="00C24341" w:rsidRDefault="00C24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DB8"/>
    <w:multiLevelType w:val="hybridMultilevel"/>
    <w:tmpl w:val="3CF4EB34"/>
    <w:lvl w:ilvl="0" w:tplc="C20603BA">
      <w:start w:val="1"/>
      <w:numFmt w:val="decimal"/>
      <w:lvlText w:val="%1."/>
      <w:lvlJc w:val="left"/>
      <w:pPr>
        <w:ind w:left="0" w:firstLine="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4752024"/>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404E9"/>
    <w:multiLevelType w:val="hybridMultilevel"/>
    <w:tmpl w:val="13AE4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082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C92E05"/>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E4347"/>
    <w:multiLevelType w:val="hybridMultilevel"/>
    <w:tmpl w:val="BD202B96"/>
    <w:lvl w:ilvl="0" w:tplc="C6A656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1ED153E"/>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A410CD"/>
    <w:multiLevelType w:val="hybridMultilevel"/>
    <w:tmpl w:val="7D3AA9DE"/>
    <w:lvl w:ilvl="0" w:tplc="2A9E6110">
      <w:start w:val="1"/>
      <w:numFmt w:val="decimal"/>
      <w:pStyle w:val="CBD-Para"/>
      <w:lvlText w:val="%1."/>
      <w:lvlJc w:val="left"/>
      <w:pPr>
        <w:tabs>
          <w:tab w:val="num" w:pos="720"/>
        </w:tabs>
        <w:ind w:left="0" w:firstLine="0"/>
      </w:pPr>
      <w:rPr>
        <w:b w:val="0"/>
        <w:bCs w:val="0"/>
        <w:i w:val="0"/>
        <w:color w:val="auto"/>
      </w:rPr>
    </w:lvl>
    <w:lvl w:ilvl="1" w:tplc="0B96F580">
      <w:start w:val="1"/>
      <w:numFmt w:val="lowerLetter"/>
      <w:pStyle w:val="CBD-Para-a"/>
      <w:lvlText w:val="(%2)"/>
      <w:lvlJc w:val="left"/>
      <w:pPr>
        <w:tabs>
          <w:tab w:val="num" w:pos="1080"/>
        </w:tabs>
        <w:ind w:left="1080" w:hanging="360"/>
      </w:pPr>
      <w:rPr>
        <w:i w:val="0"/>
        <w:iCs w:val="0"/>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0A83212"/>
    <w:multiLevelType w:val="hybridMultilevel"/>
    <w:tmpl w:val="3D8EE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53BB9"/>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96F3B44"/>
    <w:multiLevelType w:val="hybridMultilevel"/>
    <w:tmpl w:val="2DF221A6"/>
    <w:lvl w:ilvl="0" w:tplc="9A182432">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604309"/>
    <w:multiLevelType w:val="hybridMultilevel"/>
    <w:tmpl w:val="62048D0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5F2150D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0D6AEB"/>
    <w:multiLevelType w:val="multilevel"/>
    <w:tmpl w:val="BE708484"/>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7" w15:restartNumberingAfterBreak="0">
    <w:nsid w:val="63EF263A"/>
    <w:multiLevelType w:val="hybridMultilevel"/>
    <w:tmpl w:val="1884EE8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6B22E3"/>
    <w:multiLevelType w:val="hybridMultilevel"/>
    <w:tmpl w:val="BB040DB6"/>
    <w:lvl w:ilvl="0" w:tplc="0246A76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6CB65D14"/>
    <w:multiLevelType w:val="hybridMultilevel"/>
    <w:tmpl w:val="0A128F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11"/>
  </w:num>
  <w:num w:numId="4">
    <w:abstractNumId w:val="20"/>
  </w:num>
  <w:num w:numId="5">
    <w:abstractNumId w:val="16"/>
  </w:num>
  <w:num w:numId="6">
    <w:abstractNumId w:val="16"/>
  </w:num>
  <w:num w:numId="7">
    <w:abstractNumId w:val="13"/>
  </w:num>
  <w:num w:numId="8">
    <w:abstractNumId w:val="14"/>
  </w:num>
  <w:num w:numId="9">
    <w:abstractNumId w:val="19"/>
  </w:num>
  <w:num w:numId="10">
    <w:abstractNumId w:val="4"/>
  </w:num>
  <w:num w:numId="11">
    <w:abstractNumId w:val="15"/>
  </w:num>
  <w:num w:numId="12">
    <w:abstractNumId w:val="3"/>
  </w:num>
  <w:num w:numId="13">
    <w:abstractNumId w:val="0"/>
  </w:num>
  <w:num w:numId="14">
    <w:abstractNumId w:val="1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 w:numId="18">
    <w:abstractNumId w:val="12"/>
  </w:num>
  <w:num w:numId="19">
    <w:abstractNumId w:val="12"/>
  </w:num>
  <w:num w:numId="20">
    <w:abstractNumId w:val="12"/>
  </w:num>
  <w:num w:numId="21">
    <w:abstractNumId w:val="12"/>
  </w:num>
  <w:num w:numId="22">
    <w:abstractNumId w:val="12"/>
  </w:num>
  <w:num w:numId="23">
    <w:abstractNumId w:val="17"/>
  </w:num>
  <w:num w:numId="24">
    <w:abstractNumId w:val="1"/>
  </w:num>
  <w:num w:numId="25">
    <w:abstractNumId w:val="5"/>
  </w:num>
  <w:num w:numId="26">
    <w:abstractNumId w:val="2"/>
  </w:num>
  <w:num w:numId="27">
    <w:abstractNumId w:val="18"/>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YyMzQxNTY3NzY3NTRR0lEKTi0uzszPAykwrAUAUy222iwAAAA="/>
  </w:docVars>
  <w:rsids>
    <w:rsidRoot w:val="00C9161D"/>
    <w:rsid w:val="0000038A"/>
    <w:rsid w:val="00000431"/>
    <w:rsid w:val="00000951"/>
    <w:rsid w:val="00001305"/>
    <w:rsid w:val="000014CF"/>
    <w:rsid w:val="000019D4"/>
    <w:rsid w:val="00001FCD"/>
    <w:rsid w:val="0000296B"/>
    <w:rsid w:val="00002BAD"/>
    <w:rsid w:val="00003104"/>
    <w:rsid w:val="000037C4"/>
    <w:rsid w:val="000038C1"/>
    <w:rsid w:val="00003DF2"/>
    <w:rsid w:val="00004584"/>
    <w:rsid w:val="000052AC"/>
    <w:rsid w:val="00005497"/>
    <w:rsid w:val="000058D1"/>
    <w:rsid w:val="000063F9"/>
    <w:rsid w:val="00006D47"/>
    <w:rsid w:val="00006E4F"/>
    <w:rsid w:val="00007BCF"/>
    <w:rsid w:val="00010FE8"/>
    <w:rsid w:val="0001176C"/>
    <w:rsid w:val="00011BF4"/>
    <w:rsid w:val="000127D7"/>
    <w:rsid w:val="00012AC8"/>
    <w:rsid w:val="000135D0"/>
    <w:rsid w:val="0001411D"/>
    <w:rsid w:val="00014754"/>
    <w:rsid w:val="00014908"/>
    <w:rsid w:val="00014B2D"/>
    <w:rsid w:val="00015627"/>
    <w:rsid w:val="000159C3"/>
    <w:rsid w:val="000159E4"/>
    <w:rsid w:val="00015D93"/>
    <w:rsid w:val="000168BC"/>
    <w:rsid w:val="00016EAB"/>
    <w:rsid w:val="000176FD"/>
    <w:rsid w:val="000177A1"/>
    <w:rsid w:val="000200E2"/>
    <w:rsid w:val="0002026F"/>
    <w:rsid w:val="00020B77"/>
    <w:rsid w:val="00020D56"/>
    <w:rsid w:val="00020F08"/>
    <w:rsid w:val="00020FCA"/>
    <w:rsid w:val="00021050"/>
    <w:rsid w:val="00021EEF"/>
    <w:rsid w:val="00022643"/>
    <w:rsid w:val="00022D9A"/>
    <w:rsid w:val="0002426F"/>
    <w:rsid w:val="00024B41"/>
    <w:rsid w:val="0002528B"/>
    <w:rsid w:val="0002566F"/>
    <w:rsid w:val="00026BD0"/>
    <w:rsid w:val="00026FE7"/>
    <w:rsid w:val="0002734E"/>
    <w:rsid w:val="00030969"/>
    <w:rsid w:val="000313BE"/>
    <w:rsid w:val="00031B78"/>
    <w:rsid w:val="00031E51"/>
    <w:rsid w:val="00032FB7"/>
    <w:rsid w:val="0003325A"/>
    <w:rsid w:val="0003333D"/>
    <w:rsid w:val="0003435A"/>
    <w:rsid w:val="000348CE"/>
    <w:rsid w:val="00037C10"/>
    <w:rsid w:val="00041899"/>
    <w:rsid w:val="00041CFD"/>
    <w:rsid w:val="000439FA"/>
    <w:rsid w:val="000439FB"/>
    <w:rsid w:val="00043AD3"/>
    <w:rsid w:val="0004412C"/>
    <w:rsid w:val="00044473"/>
    <w:rsid w:val="000455AA"/>
    <w:rsid w:val="000460FA"/>
    <w:rsid w:val="00046745"/>
    <w:rsid w:val="000468C3"/>
    <w:rsid w:val="00050619"/>
    <w:rsid w:val="00050BB1"/>
    <w:rsid w:val="00051DB0"/>
    <w:rsid w:val="00054214"/>
    <w:rsid w:val="00054600"/>
    <w:rsid w:val="00054AA8"/>
    <w:rsid w:val="00054BA5"/>
    <w:rsid w:val="00054D37"/>
    <w:rsid w:val="00056FA9"/>
    <w:rsid w:val="00056FF9"/>
    <w:rsid w:val="00057853"/>
    <w:rsid w:val="0005785E"/>
    <w:rsid w:val="00060E29"/>
    <w:rsid w:val="000625B7"/>
    <w:rsid w:val="000635B8"/>
    <w:rsid w:val="00063926"/>
    <w:rsid w:val="000648CF"/>
    <w:rsid w:val="0006495B"/>
    <w:rsid w:val="00064C2B"/>
    <w:rsid w:val="00064CBF"/>
    <w:rsid w:val="00066BC7"/>
    <w:rsid w:val="00066F5D"/>
    <w:rsid w:val="00067497"/>
    <w:rsid w:val="000675E0"/>
    <w:rsid w:val="00067854"/>
    <w:rsid w:val="00067907"/>
    <w:rsid w:val="00067B75"/>
    <w:rsid w:val="00070153"/>
    <w:rsid w:val="0007171B"/>
    <w:rsid w:val="00071A8D"/>
    <w:rsid w:val="000735C6"/>
    <w:rsid w:val="00073B4C"/>
    <w:rsid w:val="000745DC"/>
    <w:rsid w:val="000755E6"/>
    <w:rsid w:val="00076D54"/>
    <w:rsid w:val="00076DBF"/>
    <w:rsid w:val="000771D7"/>
    <w:rsid w:val="00077934"/>
    <w:rsid w:val="00077A5C"/>
    <w:rsid w:val="00077F43"/>
    <w:rsid w:val="00080150"/>
    <w:rsid w:val="00080354"/>
    <w:rsid w:val="00080A7A"/>
    <w:rsid w:val="00082188"/>
    <w:rsid w:val="0008226B"/>
    <w:rsid w:val="00083D82"/>
    <w:rsid w:val="00084926"/>
    <w:rsid w:val="00086AD1"/>
    <w:rsid w:val="00086CFD"/>
    <w:rsid w:val="000876FF"/>
    <w:rsid w:val="000901AE"/>
    <w:rsid w:val="00091199"/>
    <w:rsid w:val="0009133F"/>
    <w:rsid w:val="000921FE"/>
    <w:rsid w:val="000927CF"/>
    <w:rsid w:val="000933A1"/>
    <w:rsid w:val="000935C2"/>
    <w:rsid w:val="00094272"/>
    <w:rsid w:val="000946B6"/>
    <w:rsid w:val="00094904"/>
    <w:rsid w:val="00094DF8"/>
    <w:rsid w:val="000954AB"/>
    <w:rsid w:val="00095E1D"/>
    <w:rsid w:val="00096868"/>
    <w:rsid w:val="00097273"/>
    <w:rsid w:val="0009729E"/>
    <w:rsid w:val="0009742E"/>
    <w:rsid w:val="00097B8E"/>
    <w:rsid w:val="00097C19"/>
    <w:rsid w:val="00097F7A"/>
    <w:rsid w:val="000A0AE7"/>
    <w:rsid w:val="000A1E4F"/>
    <w:rsid w:val="000A2175"/>
    <w:rsid w:val="000A2E96"/>
    <w:rsid w:val="000A3581"/>
    <w:rsid w:val="000A3875"/>
    <w:rsid w:val="000A3FDF"/>
    <w:rsid w:val="000A551A"/>
    <w:rsid w:val="000A5BE9"/>
    <w:rsid w:val="000A5D83"/>
    <w:rsid w:val="000A6C61"/>
    <w:rsid w:val="000A79AA"/>
    <w:rsid w:val="000B0805"/>
    <w:rsid w:val="000B0D01"/>
    <w:rsid w:val="000B17D2"/>
    <w:rsid w:val="000B21FF"/>
    <w:rsid w:val="000B24B5"/>
    <w:rsid w:val="000B38F2"/>
    <w:rsid w:val="000B3BF1"/>
    <w:rsid w:val="000B3DEA"/>
    <w:rsid w:val="000B4125"/>
    <w:rsid w:val="000B4F0D"/>
    <w:rsid w:val="000B58EE"/>
    <w:rsid w:val="000B5AD9"/>
    <w:rsid w:val="000B67A5"/>
    <w:rsid w:val="000B76D4"/>
    <w:rsid w:val="000B7861"/>
    <w:rsid w:val="000B7ABE"/>
    <w:rsid w:val="000C02F7"/>
    <w:rsid w:val="000C0F70"/>
    <w:rsid w:val="000C19B0"/>
    <w:rsid w:val="000C1B8D"/>
    <w:rsid w:val="000C1C09"/>
    <w:rsid w:val="000C2443"/>
    <w:rsid w:val="000C2D99"/>
    <w:rsid w:val="000C3EE9"/>
    <w:rsid w:val="000C59A1"/>
    <w:rsid w:val="000C5B85"/>
    <w:rsid w:val="000C5FF2"/>
    <w:rsid w:val="000C6A10"/>
    <w:rsid w:val="000C6D9A"/>
    <w:rsid w:val="000C7188"/>
    <w:rsid w:val="000C7B1E"/>
    <w:rsid w:val="000D00B4"/>
    <w:rsid w:val="000D0777"/>
    <w:rsid w:val="000D0863"/>
    <w:rsid w:val="000D23E8"/>
    <w:rsid w:val="000D2441"/>
    <w:rsid w:val="000D2F9C"/>
    <w:rsid w:val="000D3319"/>
    <w:rsid w:val="000D3568"/>
    <w:rsid w:val="000D3660"/>
    <w:rsid w:val="000D503A"/>
    <w:rsid w:val="000D6335"/>
    <w:rsid w:val="000D6A86"/>
    <w:rsid w:val="000D7F8C"/>
    <w:rsid w:val="000E07BF"/>
    <w:rsid w:val="000E14AE"/>
    <w:rsid w:val="000E3114"/>
    <w:rsid w:val="000E3A70"/>
    <w:rsid w:val="000E4739"/>
    <w:rsid w:val="000E4E02"/>
    <w:rsid w:val="000E596D"/>
    <w:rsid w:val="000E5D43"/>
    <w:rsid w:val="000E673A"/>
    <w:rsid w:val="000E6E23"/>
    <w:rsid w:val="000E7402"/>
    <w:rsid w:val="000E7DCA"/>
    <w:rsid w:val="000F04EA"/>
    <w:rsid w:val="000F1571"/>
    <w:rsid w:val="000F1799"/>
    <w:rsid w:val="000F311D"/>
    <w:rsid w:val="000F37E5"/>
    <w:rsid w:val="000F3EB7"/>
    <w:rsid w:val="000F46CF"/>
    <w:rsid w:val="000F4A22"/>
    <w:rsid w:val="000F4D87"/>
    <w:rsid w:val="000F65EE"/>
    <w:rsid w:val="000F6D30"/>
    <w:rsid w:val="000F70F5"/>
    <w:rsid w:val="000F72C9"/>
    <w:rsid w:val="000F74F5"/>
    <w:rsid w:val="000F7B3E"/>
    <w:rsid w:val="0010075D"/>
    <w:rsid w:val="00101848"/>
    <w:rsid w:val="001023FC"/>
    <w:rsid w:val="0010245D"/>
    <w:rsid w:val="00102C09"/>
    <w:rsid w:val="00103C86"/>
    <w:rsid w:val="00104358"/>
    <w:rsid w:val="0010438A"/>
    <w:rsid w:val="0010518E"/>
    <w:rsid w:val="00105372"/>
    <w:rsid w:val="00105E7F"/>
    <w:rsid w:val="00106250"/>
    <w:rsid w:val="0010669D"/>
    <w:rsid w:val="00107A17"/>
    <w:rsid w:val="00107D96"/>
    <w:rsid w:val="001101FE"/>
    <w:rsid w:val="00110DF2"/>
    <w:rsid w:val="001127E8"/>
    <w:rsid w:val="00112C5C"/>
    <w:rsid w:val="00112F45"/>
    <w:rsid w:val="00113E77"/>
    <w:rsid w:val="0011430E"/>
    <w:rsid w:val="001151A2"/>
    <w:rsid w:val="00115372"/>
    <w:rsid w:val="00116007"/>
    <w:rsid w:val="00116F41"/>
    <w:rsid w:val="001200B8"/>
    <w:rsid w:val="00120207"/>
    <w:rsid w:val="00120533"/>
    <w:rsid w:val="00120B13"/>
    <w:rsid w:val="0012179B"/>
    <w:rsid w:val="00121922"/>
    <w:rsid w:val="001221CC"/>
    <w:rsid w:val="001227F1"/>
    <w:rsid w:val="00123765"/>
    <w:rsid w:val="00125D62"/>
    <w:rsid w:val="001262CA"/>
    <w:rsid w:val="001268FA"/>
    <w:rsid w:val="00127549"/>
    <w:rsid w:val="0012758E"/>
    <w:rsid w:val="00130598"/>
    <w:rsid w:val="001312AD"/>
    <w:rsid w:val="001318DD"/>
    <w:rsid w:val="00131B94"/>
    <w:rsid w:val="00131B96"/>
    <w:rsid w:val="00131E7A"/>
    <w:rsid w:val="0013356A"/>
    <w:rsid w:val="00134846"/>
    <w:rsid w:val="001352F4"/>
    <w:rsid w:val="00135921"/>
    <w:rsid w:val="00135C09"/>
    <w:rsid w:val="0013681D"/>
    <w:rsid w:val="001371E7"/>
    <w:rsid w:val="00137350"/>
    <w:rsid w:val="00140105"/>
    <w:rsid w:val="0014172A"/>
    <w:rsid w:val="00141965"/>
    <w:rsid w:val="00141A6B"/>
    <w:rsid w:val="00141AB5"/>
    <w:rsid w:val="00141BF6"/>
    <w:rsid w:val="00142423"/>
    <w:rsid w:val="00142DB4"/>
    <w:rsid w:val="00143EE5"/>
    <w:rsid w:val="00143F8A"/>
    <w:rsid w:val="001440D4"/>
    <w:rsid w:val="00144E68"/>
    <w:rsid w:val="0014691A"/>
    <w:rsid w:val="001475F9"/>
    <w:rsid w:val="0014770D"/>
    <w:rsid w:val="001503CB"/>
    <w:rsid w:val="00152305"/>
    <w:rsid w:val="001523FB"/>
    <w:rsid w:val="00152EC3"/>
    <w:rsid w:val="0015340E"/>
    <w:rsid w:val="001537EA"/>
    <w:rsid w:val="00153CD4"/>
    <w:rsid w:val="00154839"/>
    <w:rsid w:val="00156063"/>
    <w:rsid w:val="0015612D"/>
    <w:rsid w:val="0015739F"/>
    <w:rsid w:val="0015751A"/>
    <w:rsid w:val="00157D17"/>
    <w:rsid w:val="001600A2"/>
    <w:rsid w:val="00160373"/>
    <w:rsid w:val="001605BC"/>
    <w:rsid w:val="001605D7"/>
    <w:rsid w:val="00160E08"/>
    <w:rsid w:val="00161511"/>
    <w:rsid w:val="001615C7"/>
    <w:rsid w:val="001617A6"/>
    <w:rsid w:val="001617AA"/>
    <w:rsid w:val="00161807"/>
    <w:rsid w:val="0016305B"/>
    <w:rsid w:val="001631A9"/>
    <w:rsid w:val="00164B8F"/>
    <w:rsid w:val="00164F1D"/>
    <w:rsid w:val="00166377"/>
    <w:rsid w:val="00167968"/>
    <w:rsid w:val="00167EDD"/>
    <w:rsid w:val="001703BA"/>
    <w:rsid w:val="00170626"/>
    <w:rsid w:val="001715A9"/>
    <w:rsid w:val="001724ED"/>
    <w:rsid w:val="00172AF6"/>
    <w:rsid w:val="001736CA"/>
    <w:rsid w:val="00173A7E"/>
    <w:rsid w:val="00173FD2"/>
    <w:rsid w:val="00174940"/>
    <w:rsid w:val="001749B6"/>
    <w:rsid w:val="001761E2"/>
    <w:rsid w:val="00176CEE"/>
    <w:rsid w:val="00176F80"/>
    <w:rsid w:val="00177AB2"/>
    <w:rsid w:val="00181AA0"/>
    <w:rsid w:val="0018226D"/>
    <w:rsid w:val="001825B6"/>
    <w:rsid w:val="0018417F"/>
    <w:rsid w:val="00184442"/>
    <w:rsid w:val="00184788"/>
    <w:rsid w:val="00184DB7"/>
    <w:rsid w:val="0018555F"/>
    <w:rsid w:val="00185734"/>
    <w:rsid w:val="0018576A"/>
    <w:rsid w:val="00186267"/>
    <w:rsid w:val="00186837"/>
    <w:rsid w:val="00186DD8"/>
    <w:rsid w:val="001870C6"/>
    <w:rsid w:val="0018718D"/>
    <w:rsid w:val="00187598"/>
    <w:rsid w:val="00187B4E"/>
    <w:rsid w:val="00190A67"/>
    <w:rsid w:val="00191CC3"/>
    <w:rsid w:val="00191E23"/>
    <w:rsid w:val="00192541"/>
    <w:rsid w:val="00192910"/>
    <w:rsid w:val="0019453E"/>
    <w:rsid w:val="00194871"/>
    <w:rsid w:val="00195122"/>
    <w:rsid w:val="0019536D"/>
    <w:rsid w:val="00195E34"/>
    <w:rsid w:val="00196232"/>
    <w:rsid w:val="00197AB8"/>
    <w:rsid w:val="00197BF3"/>
    <w:rsid w:val="00197DEA"/>
    <w:rsid w:val="001A14EB"/>
    <w:rsid w:val="001A1D22"/>
    <w:rsid w:val="001A2767"/>
    <w:rsid w:val="001A3B02"/>
    <w:rsid w:val="001A58BC"/>
    <w:rsid w:val="001A5E0D"/>
    <w:rsid w:val="001A74EE"/>
    <w:rsid w:val="001A77EF"/>
    <w:rsid w:val="001B0221"/>
    <w:rsid w:val="001B0F28"/>
    <w:rsid w:val="001B13FE"/>
    <w:rsid w:val="001B2417"/>
    <w:rsid w:val="001B2D36"/>
    <w:rsid w:val="001B2FA3"/>
    <w:rsid w:val="001B36EC"/>
    <w:rsid w:val="001B376A"/>
    <w:rsid w:val="001B3795"/>
    <w:rsid w:val="001B40E9"/>
    <w:rsid w:val="001B4EE1"/>
    <w:rsid w:val="001B501F"/>
    <w:rsid w:val="001B5F6D"/>
    <w:rsid w:val="001B70E6"/>
    <w:rsid w:val="001B74C0"/>
    <w:rsid w:val="001B7F74"/>
    <w:rsid w:val="001B7F79"/>
    <w:rsid w:val="001C0196"/>
    <w:rsid w:val="001C0442"/>
    <w:rsid w:val="001C04BC"/>
    <w:rsid w:val="001C0C36"/>
    <w:rsid w:val="001C0E7B"/>
    <w:rsid w:val="001C2547"/>
    <w:rsid w:val="001C27D5"/>
    <w:rsid w:val="001C2B6F"/>
    <w:rsid w:val="001C326A"/>
    <w:rsid w:val="001C32A3"/>
    <w:rsid w:val="001C3C57"/>
    <w:rsid w:val="001C3DAE"/>
    <w:rsid w:val="001C6079"/>
    <w:rsid w:val="001C6D98"/>
    <w:rsid w:val="001C7277"/>
    <w:rsid w:val="001C7291"/>
    <w:rsid w:val="001D0344"/>
    <w:rsid w:val="001D0E4B"/>
    <w:rsid w:val="001D11B6"/>
    <w:rsid w:val="001D125B"/>
    <w:rsid w:val="001D1999"/>
    <w:rsid w:val="001D1D67"/>
    <w:rsid w:val="001D2004"/>
    <w:rsid w:val="001D2E2A"/>
    <w:rsid w:val="001D312D"/>
    <w:rsid w:val="001D4501"/>
    <w:rsid w:val="001D4C80"/>
    <w:rsid w:val="001D4FE1"/>
    <w:rsid w:val="001D6413"/>
    <w:rsid w:val="001D692B"/>
    <w:rsid w:val="001D6A34"/>
    <w:rsid w:val="001D75DC"/>
    <w:rsid w:val="001E01C7"/>
    <w:rsid w:val="001E0A90"/>
    <w:rsid w:val="001E0C82"/>
    <w:rsid w:val="001E0E36"/>
    <w:rsid w:val="001E17ED"/>
    <w:rsid w:val="001E195A"/>
    <w:rsid w:val="001E1ACD"/>
    <w:rsid w:val="001E1F55"/>
    <w:rsid w:val="001E2389"/>
    <w:rsid w:val="001E2B5F"/>
    <w:rsid w:val="001E354E"/>
    <w:rsid w:val="001E3C06"/>
    <w:rsid w:val="001E3C0F"/>
    <w:rsid w:val="001E3E77"/>
    <w:rsid w:val="001E439A"/>
    <w:rsid w:val="001E4DF6"/>
    <w:rsid w:val="001E50A8"/>
    <w:rsid w:val="001E54A6"/>
    <w:rsid w:val="001E785D"/>
    <w:rsid w:val="001E7AF2"/>
    <w:rsid w:val="001F01AB"/>
    <w:rsid w:val="001F0A8A"/>
    <w:rsid w:val="001F12CF"/>
    <w:rsid w:val="001F130C"/>
    <w:rsid w:val="001F287D"/>
    <w:rsid w:val="001F2B81"/>
    <w:rsid w:val="001F37DF"/>
    <w:rsid w:val="001F47C0"/>
    <w:rsid w:val="001F5518"/>
    <w:rsid w:val="001F644B"/>
    <w:rsid w:val="001F6D4C"/>
    <w:rsid w:val="002002C9"/>
    <w:rsid w:val="00200D08"/>
    <w:rsid w:val="00200D2F"/>
    <w:rsid w:val="00200E8D"/>
    <w:rsid w:val="002012A5"/>
    <w:rsid w:val="0020138E"/>
    <w:rsid w:val="00201515"/>
    <w:rsid w:val="0020196B"/>
    <w:rsid w:val="00202607"/>
    <w:rsid w:val="00203BB2"/>
    <w:rsid w:val="00203F07"/>
    <w:rsid w:val="00203F9A"/>
    <w:rsid w:val="00205A96"/>
    <w:rsid w:val="00205D80"/>
    <w:rsid w:val="002062BC"/>
    <w:rsid w:val="002071F2"/>
    <w:rsid w:val="00210470"/>
    <w:rsid w:val="00210517"/>
    <w:rsid w:val="002110B3"/>
    <w:rsid w:val="002118CB"/>
    <w:rsid w:val="00211BC6"/>
    <w:rsid w:val="00212E25"/>
    <w:rsid w:val="00212FF6"/>
    <w:rsid w:val="00213032"/>
    <w:rsid w:val="002142CC"/>
    <w:rsid w:val="002148C1"/>
    <w:rsid w:val="002158E1"/>
    <w:rsid w:val="002159BD"/>
    <w:rsid w:val="00215C4F"/>
    <w:rsid w:val="00215E4E"/>
    <w:rsid w:val="002175B0"/>
    <w:rsid w:val="00220268"/>
    <w:rsid w:val="002205DA"/>
    <w:rsid w:val="0022149F"/>
    <w:rsid w:val="00221D0D"/>
    <w:rsid w:val="00222371"/>
    <w:rsid w:val="0022337C"/>
    <w:rsid w:val="0022405D"/>
    <w:rsid w:val="002244A1"/>
    <w:rsid w:val="002248FA"/>
    <w:rsid w:val="002258A9"/>
    <w:rsid w:val="0022626B"/>
    <w:rsid w:val="002301DA"/>
    <w:rsid w:val="00230391"/>
    <w:rsid w:val="00230582"/>
    <w:rsid w:val="0023086B"/>
    <w:rsid w:val="00231494"/>
    <w:rsid w:val="00233BCC"/>
    <w:rsid w:val="00233EB0"/>
    <w:rsid w:val="00234C8C"/>
    <w:rsid w:val="00235208"/>
    <w:rsid w:val="00235265"/>
    <w:rsid w:val="00236C72"/>
    <w:rsid w:val="00237035"/>
    <w:rsid w:val="0023728C"/>
    <w:rsid w:val="00237D39"/>
    <w:rsid w:val="00237F40"/>
    <w:rsid w:val="002407D7"/>
    <w:rsid w:val="0024108B"/>
    <w:rsid w:val="0024252C"/>
    <w:rsid w:val="00243279"/>
    <w:rsid w:val="002442A9"/>
    <w:rsid w:val="0024435A"/>
    <w:rsid w:val="00244C81"/>
    <w:rsid w:val="002469B3"/>
    <w:rsid w:val="00247810"/>
    <w:rsid w:val="00250071"/>
    <w:rsid w:val="002518B1"/>
    <w:rsid w:val="00251BC8"/>
    <w:rsid w:val="00252935"/>
    <w:rsid w:val="0025329A"/>
    <w:rsid w:val="00253A62"/>
    <w:rsid w:val="00253E63"/>
    <w:rsid w:val="00254F05"/>
    <w:rsid w:val="0025508D"/>
    <w:rsid w:val="00256649"/>
    <w:rsid w:val="002567CD"/>
    <w:rsid w:val="00256A0F"/>
    <w:rsid w:val="002570A7"/>
    <w:rsid w:val="002600EF"/>
    <w:rsid w:val="00260A32"/>
    <w:rsid w:val="00260BB1"/>
    <w:rsid w:val="00261165"/>
    <w:rsid w:val="00261582"/>
    <w:rsid w:val="00262241"/>
    <w:rsid w:val="00263B40"/>
    <w:rsid w:val="00264A71"/>
    <w:rsid w:val="00264A81"/>
    <w:rsid w:val="00264BEA"/>
    <w:rsid w:val="00264C3A"/>
    <w:rsid w:val="00264F3F"/>
    <w:rsid w:val="00265106"/>
    <w:rsid w:val="00265373"/>
    <w:rsid w:val="002654D1"/>
    <w:rsid w:val="0026648A"/>
    <w:rsid w:val="00267418"/>
    <w:rsid w:val="00267B18"/>
    <w:rsid w:val="002702BA"/>
    <w:rsid w:val="00271661"/>
    <w:rsid w:val="00271FDF"/>
    <w:rsid w:val="00273D84"/>
    <w:rsid w:val="00274F22"/>
    <w:rsid w:val="00274FC1"/>
    <w:rsid w:val="002752C9"/>
    <w:rsid w:val="00280564"/>
    <w:rsid w:val="002809EA"/>
    <w:rsid w:val="00280D43"/>
    <w:rsid w:val="002811DE"/>
    <w:rsid w:val="00281772"/>
    <w:rsid w:val="0028367B"/>
    <w:rsid w:val="00284803"/>
    <w:rsid w:val="00284A1C"/>
    <w:rsid w:val="0028551B"/>
    <w:rsid w:val="00285587"/>
    <w:rsid w:val="00285CDD"/>
    <w:rsid w:val="00287CF9"/>
    <w:rsid w:val="002901D8"/>
    <w:rsid w:val="0029069C"/>
    <w:rsid w:val="002908FA"/>
    <w:rsid w:val="00291D8B"/>
    <w:rsid w:val="00292A30"/>
    <w:rsid w:val="00293670"/>
    <w:rsid w:val="00293DE2"/>
    <w:rsid w:val="00294783"/>
    <w:rsid w:val="002958D0"/>
    <w:rsid w:val="00295EAE"/>
    <w:rsid w:val="002961A4"/>
    <w:rsid w:val="00296749"/>
    <w:rsid w:val="00296FC8"/>
    <w:rsid w:val="002977F7"/>
    <w:rsid w:val="002A06EE"/>
    <w:rsid w:val="002A17FC"/>
    <w:rsid w:val="002A441C"/>
    <w:rsid w:val="002A54E7"/>
    <w:rsid w:val="002A55E5"/>
    <w:rsid w:val="002A5872"/>
    <w:rsid w:val="002A63BA"/>
    <w:rsid w:val="002A701D"/>
    <w:rsid w:val="002A71BD"/>
    <w:rsid w:val="002A75B9"/>
    <w:rsid w:val="002B0FE0"/>
    <w:rsid w:val="002B16C1"/>
    <w:rsid w:val="002B4957"/>
    <w:rsid w:val="002B59F3"/>
    <w:rsid w:val="002B5F6C"/>
    <w:rsid w:val="002C0C04"/>
    <w:rsid w:val="002C3049"/>
    <w:rsid w:val="002C43C5"/>
    <w:rsid w:val="002C579C"/>
    <w:rsid w:val="002C5FA4"/>
    <w:rsid w:val="002C6649"/>
    <w:rsid w:val="002C6BBB"/>
    <w:rsid w:val="002C6E47"/>
    <w:rsid w:val="002C7542"/>
    <w:rsid w:val="002C768F"/>
    <w:rsid w:val="002C7C3F"/>
    <w:rsid w:val="002C7F1E"/>
    <w:rsid w:val="002D0B54"/>
    <w:rsid w:val="002D1741"/>
    <w:rsid w:val="002D2055"/>
    <w:rsid w:val="002D29E7"/>
    <w:rsid w:val="002D3737"/>
    <w:rsid w:val="002D3A43"/>
    <w:rsid w:val="002D3D84"/>
    <w:rsid w:val="002D433E"/>
    <w:rsid w:val="002D45BF"/>
    <w:rsid w:val="002D5F7C"/>
    <w:rsid w:val="002D64F4"/>
    <w:rsid w:val="002D6862"/>
    <w:rsid w:val="002D6D11"/>
    <w:rsid w:val="002E0046"/>
    <w:rsid w:val="002E04F1"/>
    <w:rsid w:val="002E0923"/>
    <w:rsid w:val="002E0DBA"/>
    <w:rsid w:val="002E258C"/>
    <w:rsid w:val="002E2916"/>
    <w:rsid w:val="002E31C7"/>
    <w:rsid w:val="002E376B"/>
    <w:rsid w:val="002E4195"/>
    <w:rsid w:val="002E4E4C"/>
    <w:rsid w:val="002E7476"/>
    <w:rsid w:val="002F0A85"/>
    <w:rsid w:val="002F0E9A"/>
    <w:rsid w:val="002F10EC"/>
    <w:rsid w:val="002F1141"/>
    <w:rsid w:val="002F14DF"/>
    <w:rsid w:val="002F1C02"/>
    <w:rsid w:val="002F2EE7"/>
    <w:rsid w:val="002F3B5B"/>
    <w:rsid w:val="002F3D70"/>
    <w:rsid w:val="002F3FD3"/>
    <w:rsid w:val="002F46F3"/>
    <w:rsid w:val="002F4BC4"/>
    <w:rsid w:val="002F6006"/>
    <w:rsid w:val="002F709D"/>
    <w:rsid w:val="002F7959"/>
    <w:rsid w:val="002F7C9C"/>
    <w:rsid w:val="002F7EA5"/>
    <w:rsid w:val="00300F4B"/>
    <w:rsid w:val="003010D2"/>
    <w:rsid w:val="0030169D"/>
    <w:rsid w:val="00301CB6"/>
    <w:rsid w:val="00301EF0"/>
    <w:rsid w:val="0030206A"/>
    <w:rsid w:val="00302953"/>
    <w:rsid w:val="00302CD2"/>
    <w:rsid w:val="003031DB"/>
    <w:rsid w:val="0030325D"/>
    <w:rsid w:val="0030358A"/>
    <w:rsid w:val="0030397E"/>
    <w:rsid w:val="003040FE"/>
    <w:rsid w:val="00304165"/>
    <w:rsid w:val="00304795"/>
    <w:rsid w:val="0030523C"/>
    <w:rsid w:val="003060EB"/>
    <w:rsid w:val="003061E0"/>
    <w:rsid w:val="00306353"/>
    <w:rsid w:val="003065BD"/>
    <w:rsid w:val="00306616"/>
    <w:rsid w:val="00306B9D"/>
    <w:rsid w:val="003100AD"/>
    <w:rsid w:val="00310AB5"/>
    <w:rsid w:val="00310B05"/>
    <w:rsid w:val="00311741"/>
    <w:rsid w:val="003119EF"/>
    <w:rsid w:val="00311DDF"/>
    <w:rsid w:val="00312660"/>
    <w:rsid w:val="00313996"/>
    <w:rsid w:val="00313F5C"/>
    <w:rsid w:val="003153EB"/>
    <w:rsid w:val="00315A97"/>
    <w:rsid w:val="00315F2D"/>
    <w:rsid w:val="0031606E"/>
    <w:rsid w:val="003166BF"/>
    <w:rsid w:val="00316FF4"/>
    <w:rsid w:val="0031751C"/>
    <w:rsid w:val="003179A1"/>
    <w:rsid w:val="00317BDB"/>
    <w:rsid w:val="00317CB8"/>
    <w:rsid w:val="00317D13"/>
    <w:rsid w:val="0032036A"/>
    <w:rsid w:val="00320379"/>
    <w:rsid w:val="003215C6"/>
    <w:rsid w:val="00321985"/>
    <w:rsid w:val="00322FEF"/>
    <w:rsid w:val="0032300E"/>
    <w:rsid w:val="003232A4"/>
    <w:rsid w:val="00323356"/>
    <w:rsid w:val="003236BB"/>
    <w:rsid w:val="003259E6"/>
    <w:rsid w:val="003262B9"/>
    <w:rsid w:val="0032698D"/>
    <w:rsid w:val="003274C0"/>
    <w:rsid w:val="00327EC0"/>
    <w:rsid w:val="0033139F"/>
    <w:rsid w:val="00331431"/>
    <w:rsid w:val="003318E9"/>
    <w:rsid w:val="00331A61"/>
    <w:rsid w:val="00332134"/>
    <w:rsid w:val="0033387D"/>
    <w:rsid w:val="00333FE2"/>
    <w:rsid w:val="0033436B"/>
    <w:rsid w:val="00334390"/>
    <w:rsid w:val="0033482D"/>
    <w:rsid w:val="003357B6"/>
    <w:rsid w:val="0033609A"/>
    <w:rsid w:val="003360C2"/>
    <w:rsid w:val="00336DBB"/>
    <w:rsid w:val="00340690"/>
    <w:rsid w:val="00340C02"/>
    <w:rsid w:val="00341106"/>
    <w:rsid w:val="00341664"/>
    <w:rsid w:val="00341B38"/>
    <w:rsid w:val="00341EEF"/>
    <w:rsid w:val="0034225F"/>
    <w:rsid w:val="00342AC3"/>
    <w:rsid w:val="00342B2F"/>
    <w:rsid w:val="00343208"/>
    <w:rsid w:val="003437FC"/>
    <w:rsid w:val="003440EF"/>
    <w:rsid w:val="0034422F"/>
    <w:rsid w:val="00344CA6"/>
    <w:rsid w:val="00345514"/>
    <w:rsid w:val="0034676D"/>
    <w:rsid w:val="00351205"/>
    <w:rsid w:val="00351875"/>
    <w:rsid w:val="00351F13"/>
    <w:rsid w:val="003528A9"/>
    <w:rsid w:val="003532CB"/>
    <w:rsid w:val="0035341F"/>
    <w:rsid w:val="0035353A"/>
    <w:rsid w:val="0035438A"/>
    <w:rsid w:val="00354668"/>
    <w:rsid w:val="00355AED"/>
    <w:rsid w:val="0035699C"/>
    <w:rsid w:val="00357975"/>
    <w:rsid w:val="00357C4D"/>
    <w:rsid w:val="0036046E"/>
    <w:rsid w:val="003607F3"/>
    <w:rsid w:val="00361197"/>
    <w:rsid w:val="00361270"/>
    <w:rsid w:val="003615A1"/>
    <w:rsid w:val="003616AD"/>
    <w:rsid w:val="003623C5"/>
    <w:rsid w:val="00362642"/>
    <w:rsid w:val="00362C05"/>
    <w:rsid w:val="003644A4"/>
    <w:rsid w:val="00365BF4"/>
    <w:rsid w:val="00365CE2"/>
    <w:rsid w:val="003660CD"/>
    <w:rsid w:val="0036684F"/>
    <w:rsid w:val="00367330"/>
    <w:rsid w:val="003677F9"/>
    <w:rsid w:val="00367882"/>
    <w:rsid w:val="003702FD"/>
    <w:rsid w:val="00370A79"/>
    <w:rsid w:val="00372846"/>
    <w:rsid w:val="00372F55"/>
    <w:rsid w:val="00372F74"/>
    <w:rsid w:val="00373BA2"/>
    <w:rsid w:val="003743D0"/>
    <w:rsid w:val="003744D1"/>
    <w:rsid w:val="00374864"/>
    <w:rsid w:val="003749A2"/>
    <w:rsid w:val="003750CF"/>
    <w:rsid w:val="00375116"/>
    <w:rsid w:val="0037732D"/>
    <w:rsid w:val="003778E4"/>
    <w:rsid w:val="00380488"/>
    <w:rsid w:val="003806F1"/>
    <w:rsid w:val="00380B8E"/>
    <w:rsid w:val="00380FB2"/>
    <w:rsid w:val="00381840"/>
    <w:rsid w:val="00381E12"/>
    <w:rsid w:val="00381F9B"/>
    <w:rsid w:val="0038296C"/>
    <w:rsid w:val="00382D7C"/>
    <w:rsid w:val="00382D86"/>
    <w:rsid w:val="0038397E"/>
    <w:rsid w:val="0038459B"/>
    <w:rsid w:val="003864F7"/>
    <w:rsid w:val="0038664D"/>
    <w:rsid w:val="00387409"/>
    <w:rsid w:val="003874CB"/>
    <w:rsid w:val="00387502"/>
    <w:rsid w:val="00387C7D"/>
    <w:rsid w:val="00390208"/>
    <w:rsid w:val="00390679"/>
    <w:rsid w:val="00390BDB"/>
    <w:rsid w:val="0039170A"/>
    <w:rsid w:val="00392534"/>
    <w:rsid w:val="00392CD7"/>
    <w:rsid w:val="00393312"/>
    <w:rsid w:val="00393383"/>
    <w:rsid w:val="0039400D"/>
    <w:rsid w:val="00394A57"/>
    <w:rsid w:val="00395E5C"/>
    <w:rsid w:val="00396826"/>
    <w:rsid w:val="00397785"/>
    <w:rsid w:val="003A0B6D"/>
    <w:rsid w:val="003A0CC2"/>
    <w:rsid w:val="003A0DE8"/>
    <w:rsid w:val="003A2139"/>
    <w:rsid w:val="003A22F6"/>
    <w:rsid w:val="003A25CF"/>
    <w:rsid w:val="003A3AAA"/>
    <w:rsid w:val="003A4A12"/>
    <w:rsid w:val="003A4BD7"/>
    <w:rsid w:val="003A612E"/>
    <w:rsid w:val="003A65FB"/>
    <w:rsid w:val="003A6BCC"/>
    <w:rsid w:val="003A6DCF"/>
    <w:rsid w:val="003A78DE"/>
    <w:rsid w:val="003B36B8"/>
    <w:rsid w:val="003B44F9"/>
    <w:rsid w:val="003B4A49"/>
    <w:rsid w:val="003B59E7"/>
    <w:rsid w:val="003B684E"/>
    <w:rsid w:val="003B6C8B"/>
    <w:rsid w:val="003B791C"/>
    <w:rsid w:val="003B7C04"/>
    <w:rsid w:val="003B7CE5"/>
    <w:rsid w:val="003C0645"/>
    <w:rsid w:val="003C08EE"/>
    <w:rsid w:val="003C1543"/>
    <w:rsid w:val="003C2B7A"/>
    <w:rsid w:val="003C31B5"/>
    <w:rsid w:val="003C5A7D"/>
    <w:rsid w:val="003C5EA1"/>
    <w:rsid w:val="003C7694"/>
    <w:rsid w:val="003C7752"/>
    <w:rsid w:val="003C7863"/>
    <w:rsid w:val="003C7984"/>
    <w:rsid w:val="003D0486"/>
    <w:rsid w:val="003D0A52"/>
    <w:rsid w:val="003D16F4"/>
    <w:rsid w:val="003D178A"/>
    <w:rsid w:val="003D1AB7"/>
    <w:rsid w:val="003D2421"/>
    <w:rsid w:val="003D37C2"/>
    <w:rsid w:val="003D4048"/>
    <w:rsid w:val="003D4105"/>
    <w:rsid w:val="003D45EB"/>
    <w:rsid w:val="003D5336"/>
    <w:rsid w:val="003D542D"/>
    <w:rsid w:val="003D5516"/>
    <w:rsid w:val="003D6F48"/>
    <w:rsid w:val="003D74C8"/>
    <w:rsid w:val="003D766C"/>
    <w:rsid w:val="003D76AD"/>
    <w:rsid w:val="003D7A84"/>
    <w:rsid w:val="003D8479"/>
    <w:rsid w:val="003E14E3"/>
    <w:rsid w:val="003E38A1"/>
    <w:rsid w:val="003E3C54"/>
    <w:rsid w:val="003E3D67"/>
    <w:rsid w:val="003E3DB1"/>
    <w:rsid w:val="003E5301"/>
    <w:rsid w:val="003E54D8"/>
    <w:rsid w:val="003E54F3"/>
    <w:rsid w:val="003E666E"/>
    <w:rsid w:val="003E69D9"/>
    <w:rsid w:val="003E6A36"/>
    <w:rsid w:val="003E7232"/>
    <w:rsid w:val="003E7B2A"/>
    <w:rsid w:val="003E7D82"/>
    <w:rsid w:val="003F09AC"/>
    <w:rsid w:val="003F1632"/>
    <w:rsid w:val="003F17DB"/>
    <w:rsid w:val="003F1CCE"/>
    <w:rsid w:val="003F264D"/>
    <w:rsid w:val="003F2DD3"/>
    <w:rsid w:val="003F32E4"/>
    <w:rsid w:val="003F393A"/>
    <w:rsid w:val="003F3D55"/>
    <w:rsid w:val="003F507F"/>
    <w:rsid w:val="003F581B"/>
    <w:rsid w:val="003F5913"/>
    <w:rsid w:val="003F6ABF"/>
    <w:rsid w:val="003F6F74"/>
    <w:rsid w:val="003F7224"/>
    <w:rsid w:val="003F742C"/>
    <w:rsid w:val="003F787E"/>
    <w:rsid w:val="003F7AA9"/>
    <w:rsid w:val="003F7ABC"/>
    <w:rsid w:val="004003AE"/>
    <w:rsid w:val="00400411"/>
    <w:rsid w:val="004005BB"/>
    <w:rsid w:val="00400725"/>
    <w:rsid w:val="00400E9B"/>
    <w:rsid w:val="00401158"/>
    <w:rsid w:val="004028C8"/>
    <w:rsid w:val="00402B71"/>
    <w:rsid w:val="00402F73"/>
    <w:rsid w:val="00403529"/>
    <w:rsid w:val="00403B38"/>
    <w:rsid w:val="00403D50"/>
    <w:rsid w:val="004044AE"/>
    <w:rsid w:val="004073D3"/>
    <w:rsid w:val="0040D0B3"/>
    <w:rsid w:val="00411137"/>
    <w:rsid w:val="00411200"/>
    <w:rsid w:val="00412777"/>
    <w:rsid w:val="00414573"/>
    <w:rsid w:val="00414DF2"/>
    <w:rsid w:val="00414E1A"/>
    <w:rsid w:val="0041554E"/>
    <w:rsid w:val="0041623B"/>
    <w:rsid w:val="00416456"/>
    <w:rsid w:val="00417435"/>
    <w:rsid w:val="00417899"/>
    <w:rsid w:val="0042005A"/>
    <w:rsid w:val="004200F1"/>
    <w:rsid w:val="00420210"/>
    <w:rsid w:val="00420B50"/>
    <w:rsid w:val="004211DC"/>
    <w:rsid w:val="0042152F"/>
    <w:rsid w:val="00422CC8"/>
    <w:rsid w:val="00423F7C"/>
    <w:rsid w:val="004245BB"/>
    <w:rsid w:val="00424F1A"/>
    <w:rsid w:val="00426A9D"/>
    <w:rsid w:val="00426D92"/>
    <w:rsid w:val="00427539"/>
    <w:rsid w:val="00427D21"/>
    <w:rsid w:val="00430409"/>
    <w:rsid w:val="0043092D"/>
    <w:rsid w:val="004330DA"/>
    <w:rsid w:val="00433656"/>
    <w:rsid w:val="00433AF4"/>
    <w:rsid w:val="00435B6D"/>
    <w:rsid w:val="00436807"/>
    <w:rsid w:val="0043707D"/>
    <w:rsid w:val="004377DA"/>
    <w:rsid w:val="00437EB0"/>
    <w:rsid w:val="00441CAE"/>
    <w:rsid w:val="004423E1"/>
    <w:rsid w:val="00442C94"/>
    <w:rsid w:val="00442F09"/>
    <w:rsid w:val="004440CB"/>
    <w:rsid w:val="0044436A"/>
    <w:rsid w:val="00444E24"/>
    <w:rsid w:val="00444EC0"/>
    <w:rsid w:val="004451AD"/>
    <w:rsid w:val="00447124"/>
    <w:rsid w:val="004471D2"/>
    <w:rsid w:val="00447AE6"/>
    <w:rsid w:val="00447DBE"/>
    <w:rsid w:val="00450881"/>
    <w:rsid w:val="0045358C"/>
    <w:rsid w:val="00453AC3"/>
    <w:rsid w:val="0045454D"/>
    <w:rsid w:val="004559BE"/>
    <w:rsid w:val="0045641E"/>
    <w:rsid w:val="004571B4"/>
    <w:rsid w:val="004572BA"/>
    <w:rsid w:val="00460573"/>
    <w:rsid w:val="004605FC"/>
    <w:rsid w:val="004608CC"/>
    <w:rsid w:val="004608DF"/>
    <w:rsid w:val="004615DB"/>
    <w:rsid w:val="00461826"/>
    <w:rsid w:val="0046209F"/>
    <w:rsid w:val="0046231E"/>
    <w:rsid w:val="004625FF"/>
    <w:rsid w:val="00462B0F"/>
    <w:rsid w:val="00463444"/>
    <w:rsid w:val="00464182"/>
    <w:rsid w:val="004644C2"/>
    <w:rsid w:val="0046483F"/>
    <w:rsid w:val="00464BDD"/>
    <w:rsid w:val="00466125"/>
    <w:rsid w:val="00466B90"/>
    <w:rsid w:val="0046760A"/>
    <w:rsid w:val="00467F9C"/>
    <w:rsid w:val="00470AFB"/>
    <w:rsid w:val="00470D94"/>
    <w:rsid w:val="00471550"/>
    <w:rsid w:val="00471AD9"/>
    <w:rsid w:val="00471C5B"/>
    <w:rsid w:val="00471E7D"/>
    <w:rsid w:val="00473C00"/>
    <w:rsid w:val="004744DA"/>
    <w:rsid w:val="0047508B"/>
    <w:rsid w:val="00475718"/>
    <w:rsid w:val="00475A41"/>
    <w:rsid w:val="004764FE"/>
    <w:rsid w:val="00477270"/>
    <w:rsid w:val="004776C8"/>
    <w:rsid w:val="00477D87"/>
    <w:rsid w:val="00477F27"/>
    <w:rsid w:val="00480F35"/>
    <w:rsid w:val="0048156B"/>
    <w:rsid w:val="00481BF5"/>
    <w:rsid w:val="00481C07"/>
    <w:rsid w:val="00482AC4"/>
    <w:rsid w:val="00483404"/>
    <w:rsid w:val="004835D4"/>
    <w:rsid w:val="00483EBD"/>
    <w:rsid w:val="00484025"/>
    <w:rsid w:val="00486DA8"/>
    <w:rsid w:val="00487C34"/>
    <w:rsid w:val="004904D9"/>
    <w:rsid w:val="00490C8C"/>
    <w:rsid w:val="00492633"/>
    <w:rsid w:val="004926CE"/>
    <w:rsid w:val="004928C3"/>
    <w:rsid w:val="00492A46"/>
    <w:rsid w:val="00493109"/>
    <w:rsid w:val="004936A3"/>
    <w:rsid w:val="00494342"/>
    <w:rsid w:val="00496661"/>
    <w:rsid w:val="00496BCE"/>
    <w:rsid w:val="004972D5"/>
    <w:rsid w:val="00497CB1"/>
    <w:rsid w:val="004A202D"/>
    <w:rsid w:val="004A207B"/>
    <w:rsid w:val="004A2E93"/>
    <w:rsid w:val="004A37EA"/>
    <w:rsid w:val="004A3BD4"/>
    <w:rsid w:val="004A3D84"/>
    <w:rsid w:val="004A632A"/>
    <w:rsid w:val="004A6D92"/>
    <w:rsid w:val="004A729F"/>
    <w:rsid w:val="004A7503"/>
    <w:rsid w:val="004B0D75"/>
    <w:rsid w:val="004B1222"/>
    <w:rsid w:val="004B1716"/>
    <w:rsid w:val="004B1CF8"/>
    <w:rsid w:val="004B2A9E"/>
    <w:rsid w:val="004B3A5F"/>
    <w:rsid w:val="004B4CE8"/>
    <w:rsid w:val="004B4D67"/>
    <w:rsid w:val="004B5647"/>
    <w:rsid w:val="004B58ED"/>
    <w:rsid w:val="004B5B8B"/>
    <w:rsid w:val="004B5D0E"/>
    <w:rsid w:val="004B602F"/>
    <w:rsid w:val="004B60D7"/>
    <w:rsid w:val="004B6A65"/>
    <w:rsid w:val="004B6C67"/>
    <w:rsid w:val="004B75B5"/>
    <w:rsid w:val="004C02B7"/>
    <w:rsid w:val="004C08A9"/>
    <w:rsid w:val="004C0D34"/>
    <w:rsid w:val="004C0DAC"/>
    <w:rsid w:val="004C0F6F"/>
    <w:rsid w:val="004C2FBE"/>
    <w:rsid w:val="004C478A"/>
    <w:rsid w:val="004C52C2"/>
    <w:rsid w:val="004C5B17"/>
    <w:rsid w:val="004C6AC8"/>
    <w:rsid w:val="004C6BF8"/>
    <w:rsid w:val="004C6DE0"/>
    <w:rsid w:val="004C7211"/>
    <w:rsid w:val="004C7C8A"/>
    <w:rsid w:val="004C7DC2"/>
    <w:rsid w:val="004D0232"/>
    <w:rsid w:val="004D1053"/>
    <w:rsid w:val="004D12FE"/>
    <w:rsid w:val="004D13C9"/>
    <w:rsid w:val="004D18D9"/>
    <w:rsid w:val="004D22C4"/>
    <w:rsid w:val="004D2E1A"/>
    <w:rsid w:val="004D3581"/>
    <w:rsid w:val="004D4A2F"/>
    <w:rsid w:val="004D5442"/>
    <w:rsid w:val="004D570E"/>
    <w:rsid w:val="004D5844"/>
    <w:rsid w:val="004D5A12"/>
    <w:rsid w:val="004D6247"/>
    <w:rsid w:val="004D7231"/>
    <w:rsid w:val="004D73F6"/>
    <w:rsid w:val="004D790E"/>
    <w:rsid w:val="004D7D08"/>
    <w:rsid w:val="004D7F0C"/>
    <w:rsid w:val="004E0B8D"/>
    <w:rsid w:val="004E1128"/>
    <w:rsid w:val="004E1340"/>
    <w:rsid w:val="004E2CC5"/>
    <w:rsid w:val="004E3DB0"/>
    <w:rsid w:val="004E4DFB"/>
    <w:rsid w:val="004E51D9"/>
    <w:rsid w:val="004E55F9"/>
    <w:rsid w:val="004E68F4"/>
    <w:rsid w:val="004E6DA4"/>
    <w:rsid w:val="004E792F"/>
    <w:rsid w:val="004F0A1C"/>
    <w:rsid w:val="004F129F"/>
    <w:rsid w:val="004F16E7"/>
    <w:rsid w:val="004F174A"/>
    <w:rsid w:val="004F37FC"/>
    <w:rsid w:val="004F3A42"/>
    <w:rsid w:val="004F5513"/>
    <w:rsid w:val="004F5BA8"/>
    <w:rsid w:val="004F6914"/>
    <w:rsid w:val="004F70A8"/>
    <w:rsid w:val="0050049A"/>
    <w:rsid w:val="005008D7"/>
    <w:rsid w:val="00501C81"/>
    <w:rsid w:val="005022B0"/>
    <w:rsid w:val="00502709"/>
    <w:rsid w:val="0050479D"/>
    <w:rsid w:val="00505615"/>
    <w:rsid w:val="00506362"/>
    <w:rsid w:val="00506688"/>
    <w:rsid w:val="00507118"/>
    <w:rsid w:val="005078DE"/>
    <w:rsid w:val="00507B89"/>
    <w:rsid w:val="00512806"/>
    <w:rsid w:val="005130DC"/>
    <w:rsid w:val="0051377D"/>
    <w:rsid w:val="005140AC"/>
    <w:rsid w:val="00514559"/>
    <w:rsid w:val="005147EE"/>
    <w:rsid w:val="0051491D"/>
    <w:rsid w:val="00514C15"/>
    <w:rsid w:val="0051545A"/>
    <w:rsid w:val="00515954"/>
    <w:rsid w:val="005174C8"/>
    <w:rsid w:val="005202AD"/>
    <w:rsid w:val="0052084F"/>
    <w:rsid w:val="00520970"/>
    <w:rsid w:val="0052286D"/>
    <w:rsid w:val="00522D40"/>
    <w:rsid w:val="0052368A"/>
    <w:rsid w:val="0052422E"/>
    <w:rsid w:val="00524236"/>
    <w:rsid w:val="0052441F"/>
    <w:rsid w:val="0052466F"/>
    <w:rsid w:val="0052491C"/>
    <w:rsid w:val="00524C27"/>
    <w:rsid w:val="005264F8"/>
    <w:rsid w:val="00526585"/>
    <w:rsid w:val="00526863"/>
    <w:rsid w:val="00527312"/>
    <w:rsid w:val="00527604"/>
    <w:rsid w:val="00527AC7"/>
    <w:rsid w:val="0053032B"/>
    <w:rsid w:val="0053051A"/>
    <w:rsid w:val="00530E1E"/>
    <w:rsid w:val="0053139E"/>
    <w:rsid w:val="0053183C"/>
    <w:rsid w:val="0053392A"/>
    <w:rsid w:val="00534310"/>
    <w:rsid w:val="00534681"/>
    <w:rsid w:val="00534696"/>
    <w:rsid w:val="00535DFC"/>
    <w:rsid w:val="00535FF5"/>
    <w:rsid w:val="005375BB"/>
    <w:rsid w:val="005403D3"/>
    <w:rsid w:val="00540496"/>
    <w:rsid w:val="0054114E"/>
    <w:rsid w:val="00541483"/>
    <w:rsid w:val="00541CDD"/>
    <w:rsid w:val="005437FD"/>
    <w:rsid w:val="0054429B"/>
    <w:rsid w:val="00544A7E"/>
    <w:rsid w:val="00544FBA"/>
    <w:rsid w:val="00545C61"/>
    <w:rsid w:val="00545C6A"/>
    <w:rsid w:val="005462B8"/>
    <w:rsid w:val="00546A5B"/>
    <w:rsid w:val="00547135"/>
    <w:rsid w:val="00547207"/>
    <w:rsid w:val="0054779C"/>
    <w:rsid w:val="00547BEA"/>
    <w:rsid w:val="00550477"/>
    <w:rsid w:val="00550735"/>
    <w:rsid w:val="00551779"/>
    <w:rsid w:val="00551D68"/>
    <w:rsid w:val="0055227A"/>
    <w:rsid w:val="00552F80"/>
    <w:rsid w:val="00554206"/>
    <w:rsid w:val="005556A5"/>
    <w:rsid w:val="005568F8"/>
    <w:rsid w:val="005578BF"/>
    <w:rsid w:val="00557D3F"/>
    <w:rsid w:val="005600AC"/>
    <w:rsid w:val="005601BE"/>
    <w:rsid w:val="00560242"/>
    <w:rsid w:val="00560A72"/>
    <w:rsid w:val="00560E68"/>
    <w:rsid w:val="00560F0B"/>
    <w:rsid w:val="00562B2C"/>
    <w:rsid w:val="0056328A"/>
    <w:rsid w:val="005632A1"/>
    <w:rsid w:val="00563442"/>
    <w:rsid w:val="0056351E"/>
    <w:rsid w:val="0056357A"/>
    <w:rsid w:val="005635BD"/>
    <w:rsid w:val="00563E9B"/>
    <w:rsid w:val="00565143"/>
    <w:rsid w:val="00565B42"/>
    <w:rsid w:val="00566507"/>
    <w:rsid w:val="005666F7"/>
    <w:rsid w:val="00566C43"/>
    <w:rsid w:val="00566F30"/>
    <w:rsid w:val="0056725A"/>
    <w:rsid w:val="00570858"/>
    <w:rsid w:val="00571244"/>
    <w:rsid w:val="005712E7"/>
    <w:rsid w:val="005719F3"/>
    <w:rsid w:val="00571DB7"/>
    <w:rsid w:val="00572255"/>
    <w:rsid w:val="0057233C"/>
    <w:rsid w:val="00573D1D"/>
    <w:rsid w:val="00574AEB"/>
    <w:rsid w:val="00575AEC"/>
    <w:rsid w:val="00575D58"/>
    <w:rsid w:val="005769A8"/>
    <w:rsid w:val="00576C32"/>
    <w:rsid w:val="00580883"/>
    <w:rsid w:val="00580D78"/>
    <w:rsid w:val="005811B3"/>
    <w:rsid w:val="00583081"/>
    <w:rsid w:val="00584A6C"/>
    <w:rsid w:val="00586553"/>
    <w:rsid w:val="00586637"/>
    <w:rsid w:val="00587196"/>
    <w:rsid w:val="0058761E"/>
    <w:rsid w:val="00590F90"/>
    <w:rsid w:val="00590F94"/>
    <w:rsid w:val="005910FD"/>
    <w:rsid w:val="005915E7"/>
    <w:rsid w:val="00592EE5"/>
    <w:rsid w:val="005931E6"/>
    <w:rsid w:val="005939DF"/>
    <w:rsid w:val="0059446E"/>
    <w:rsid w:val="005944E0"/>
    <w:rsid w:val="00594E6C"/>
    <w:rsid w:val="005957E3"/>
    <w:rsid w:val="00597366"/>
    <w:rsid w:val="00597E6C"/>
    <w:rsid w:val="005A07CA"/>
    <w:rsid w:val="005A0988"/>
    <w:rsid w:val="005A0CD5"/>
    <w:rsid w:val="005A107A"/>
    <w:rsid w:val="005A177C"/>
    <w:rsid w:val="005A19B8"/>
    <w:rsid w:val="005A1C30"/>
    <w:rsid w:val="005A1D2E"/>
    <w:rsid w:val="005A2C02"/>
    <w:rsid w:val="005A2F5E"/>
    <w:rsid w:val="005A31C9"/>
    <w:rsid w:val="005A3F13"/>
    <w:rsid w:val="005A5661"/>
    <w:rsid w:val="005A5B1B"/>
    <w:rsid w:val="005A5B4C"/>
    <w:rsid w:val="005A7C3E"/>
    <w:rsid w:val="005A7E00"/>
    <w:rsid w:val="005B0295"/>
    <w:rsid w:val="005B2D69"/>
    <w:rsid w:val="005B36A8"/>
    <w:rsid w:val="005B4401"/>
    <w:rsid w:val="005B4F58"/>
    <w:rsid w:val="005B5288"/>
    <w:rsid w:val="005B5E01"/>
    <w:rsid w:val="005B6FC1"/>
    <w:rsid w:val="005B7258"/>
    <w:rsid w:val="005B72B8"/>
    <w:rsid w:val="005C058B"/>
    <w:rsid w:val="005C07CB"/>
    <w:rsid w:val="005C16A7"/>
    <w:rsid w:val="005C1FD4"/>
    <w:rsid w:val="005C205A"/>
    <w:rsid w:val="005C2CAD"/>
    <w:rsid w:val="005C3A5A"/>
    <w:rsid w:val="005C3E9A"/>
    <w:rsid w:val="005C458B"/>
    <w:rsid w:val="005C4755"/>
    <w:rsid w:val="005C4CE6"/>
    <w:rsid w:val="005C6206"/>
    <w:rsid w:val="005C674D"/>
    <w:rsid w:val="005C67C1"/>
    <w:rsid w:val="005C68C0"/>
    <w:rsid w:val="005C71FF"/>
    <w:rsid w:val="005C7995"/>
    <w:rsid w:val="005D074B"/>
    <w:rsid w:val="005D14A8"/>
    <w:rsid w:val="005D15D7"/>
    <w:rsid w:val="005D1C0E"/>
    <w:rsid w:val="005D3201"/>
    <w:rsid w:val="005D363F"/>
    <w:rsid w:val="005D4191"/>
    <w:rsid w:val="005D45D9"/>
    <w:rsid w:val="005D56EB"/>
    <w:rsid w:val="005D6EB7"/>
    <w:rsid w:val="005E0ED2"/>
    <w:rsid w:val="005E24BF"/>
    <w:rsid w:val="005E2B35"/>
    <w:rsid w:val="005E30AD"/>
    <w:rsid w:val="005E3D69"/>
    <w:rsid w:val="005E49A0"/>
    <w:rsid w:val="005E4B21"/>
    <w:rsid w:val="005E4CFE"/>
    <w:rsid w:val="005E50A0"/>
    <w:rsid w:val="005E639B"/>
    <w:rsid w:val="005E6571"/>
    <w:rsid w:val="005E66FC"/>
    <w:rsid w:val="005F25CC"/>
    <w:rsid w:val="005F2933"/>
    <w:rsid w:val="005F369B"/>
    <w:rsid w:val="005F3DB3"/>
    <w:rsid w:val="005F54F3"/>
    <w:rsid w:val="005F552C"/>
    <w:rsid w:val="005F56AE"/>
    <w:rsid w:val="005F56E0"/>
    <w:rsid w:val="005F6507"/>
    <w:rsid w:val="005F6ED2"/>
    <w:rsid w:val="005F7AF3"/>
    <w:rsid w:val="005F7DC1"/>
    <w:rsid w:val="00601C51"/>
    <w:rsid w:val="00602098"/>
    <w:rsid w:val="00602495"/>
    <w:rsid w:val="00602A12"/>
    <w:rsid w:val="006039FB"/>
    <w:rsid w:val="00603ADF"/>
    <w:rsid w:val="00603FF3"/>
    <w:rsid w:val="00604996"/>
    <w:rsid w:val="00604C67"/>
    <w:rsid w:val="00604D3A"/>
    <w:rsid w:val="006054BB"/>
    <w:rsid w:val="00607055"/>
    <w:rsid w:val="006072C8"/>
    <w:rsid w:val="00607AC9"/>
    <w:rsid w:val="006103FF"/>
    <w:rsid w:val="0061042F"/>
    <w:rsid w:val="0061073C"/>
    <w:rsid w:val="00610C05"/>
    <w:rsid w:val="00610DDF"/>
    <w:rsid w:val="00611BBA"/>
    <w:rsid w:val="00611E3A"/>
    <w:rsid w:val="00611FC7"/>
    <w:rsid w:val="006122BA"/>
    <w:rsid w:val="0061275F"/>
    <w:rsid w:val="00612A00"/>
    <w:rsid w:val="00612F5E"/>
    <w:rsid w:val="00613496"/>
    <w:rsid w:val="0061372F"/>
    <w:rsid w:val="006137EE"/>
    <w:rsid w:val="0061476F"/>
    <w:rsid w:val="00615288"/>
    <w:rsid w:val="006157F9"/>
    <w:rsid w:val="006163C2"/>
    <w:rsid w:val="006179E6"/>
    <w:rsid w:val="00617D3E"/>
    <w:rsid w:val="00620A44"/>
    <w:rsid w:val="00620A4D"/>
    <w:rsid w:val="00620E56"/>
    <w:rsid w:val="00620E7D"/>
    <w:rsid w:val="00620FDE"/>
    <w:rsid w:val="00621EA1"/>
    <w:rsid w:val="00622A74"/>
    <w:rsid w:val="006239F2"/>
    <w:rsid w:val="00627DEB"/>
    <w:rsid w:val="00627E0C"/>
    <w:rsid w:val="0063050B"/>
    <w:rsid w:val="0063104D"/>
    <w:rsid w:val="006312EF"/>
    <w:rsid w:val="0063165C"/>
    <w:rsid w:val="0063196E"/>
    <w:rsid w:val="00631D39"/>
    <w:rsid w:val="00632324"/>
    <w:rsid w:val="00632625"/>
    <w:rsid w:val="00632E72"/>
    <w:rsid w:val="00633BA2"/>
    <w:rsid w:val="00635440"/>
    <w:rsid w:val="0063545F"/>
    <w:rsid w:val="00636DD7"/>
    <w:rsid w:val="00637078"/>
    <w:rsid w:val="00637757"/>
    <w:rsid w:val="00637CCC"/>
    <w:rsid w:val="006407E4"/>
    <w:rsid w:val="00640937"/>
    <w:rsid w:val="00640F1E"/>
    <w:rsid w:val="006412B3"/>
    <w:rsid w:val="006412B9"/>
    <w:rsid w:val="00641CF8"/>
    <w:rsid w:val="00642460"/>
    <w:rsid w:val="00642707"/>
    <w:rsid w:val="00642E2D"/>
    <w:rsid w:val="00642E41"/>
    <w:rsid w:val="00642EA7"/>
    <w:rsid w:val="00643443"/>
    <w:rsid w:val="006445CC"/>
    <w:rsid w:val="00644B6A"/>
    <w:rsid w:val="0064507B"/>
    <w:rsid w:val="00645422"/>
    <w:rsid w:val="00646310"/>
    <w:rsid w:val="00646638"/>
    <w:rsid w:val="00646B93"/>
    <w:rsid w:val="00646D7B"/>
    <w:rsid w:val="00650665"/>
    <w:rsid w:val="00651712"/>
    <w:rsid w:val="00651927"/>
    <w:rsid w:val="00651A27"/>
    <w:rsid w:val="00651AA0"/>
    <w:rsid w:val="006523AE"/>
    <w:rsid w:val="006529D9"/>
    <w:rsid w:val="00652BF2"/>
    <w:rsid w:val="006532D7"/>
    <w:rsid w:val="00653591"/>
    <w:rsid w:val="00654077"/>
    <w:rsid w:val="00654595"/>
    <w:rsid w:val="00655C8A"/>
    <w:rsid w:val="00657BB6"/>
    <w:rsid w:val="00657E41"/>
    <w:rsid w:val="00661094"/>
    <w:rsid w:val="00661600"/>
    <w:rsid w:val="00662278"/>
    <w:rsid w:val="006622B4"/>
    <w:rsid w:val="006623D0"/>
    <w:rsid w:val="00662AA2"/>
    <w:rsid w:val="00663606"/>
    <w:rsid w:val="00663C65"/>
    <w:rsid w:val="0066404E"/>
    <w:rsid w:val="00664801"/>
    <w:rsid w:val="0066484A"/>
    <w:rsid w:val="00664946"/>
    <w:rsid w:val="00664A9F"/>
    <w:rsid w:val="006654C6"/>
    <w:rsid w:val="006659FB"/>
    <w:rsid w:val="00667382"/>
    <w:rsid w:val="00671160"/>
    <w:rsid w:val="00671C6D"/>
    <w:rsid w:val="0067277D"/>
    <w:rsid w:val="006739D0"/>
    <w:rsid w:val="00673C35"/>
    <w:rsid w:val="00673EF4"/>
    <w:rsid w:val="006747E8"/>
    <w:rsid w:val="00674C7C"/>
    <w:rsid w:val="00675380"/>
    <w:rsid w:val="00675412"/>
    <w:rsid w:val="006756BD"/>
    <w:rsid w:val="00676129"/>
    <w:rsid w:val="006770DB"/>
    <w:rsid w:val="00677D5C"/>
    <w:rsid w:val="00677DF8"/>
    <w:rsid w:val="0068012A"/>
    <w:rsid w:val="00680DFC"/>
    <w:rsid w:val="0068167D"/>
    <w:rsid w:val="00682EBC"/>
    <w:rsid w:val="00683C43"/>
    <w:rsid w:val="00684F0F"/>
    <w:rsid w:val="00685244"/>
    <w:rsid w:val="00686AFF"/>
    <w:rsid w:val="00687DE3"/>
    <w:rsid w:val="00690568"/>
    <w:rsid w:val="00690988"/>
    <w:rsid w:val="00690DBC"/>
    <w:rsid w:val="00690DE9"/>
    <w:rsid w:val="0069288E"/>
    <w:rsid w:val="006930D4"/>
    <w:rsid w:val="00693401"/>
    <w:rsid w:val="00693B2F"/>
    <w:rsid w:val="006943AE"/>
    <w:rsid w:val="00694DB6"/>
    <w:rsid w:val="0069525C"/>
    <w:rsid w:val="00695B9A"/>
    <w:rsid w:val="0069603A"/>
    <w:rsid w:val="006960B2"/>
    <w:rsid w:val="0069678E"/>
    <w:rsid w:val="00697C81"/>
    <w:rsid w:val="006A0AF6"/>
    <w:rsid w:val="006A0C1A"/>
    <w:rsid w:val="006A0E5B"/>
    <w:rsid w:val="006A170B"/>
    <w:rsid w:val="006A1B23"/>
    <w:rsid w:val="006A393F"/>
    <w:rsid w:val="006A47FC"/>
    <w:rsid w:val="006A5031"/>
    <w:rsid w:val="006A6B7D"/>
    <w:rsid w:val="006A6DE1"/>
    <w:rsid w:val="006A7FA5"/>
    <w:rsid w:val="006B0365"/>
    <w:rsid w:val="006B0507"/>
    <w:rsid w:val="006B1FB4"/>
    <w:rsid w:val="006B21B9"/>
    <w:rsid w:val="006B2290"/>
    <w:rsid w:val="006B3178"/>
    <w:rsid w:val="006B434C"/>
    <w:rsid w:val="006B4A0C"/>
    <w:rsid w:val="006B517A"/>
    <w:rsid w:val="006B5A03"/>
    <w:rsid w:val="006B5AF0"/>
    <w:rsid w:val="006B5D17"/>
    <w:rsid w:val="006B6A2D"/>
    <w:rsid w:val="006B76A8"/>
    <w:rsid w:val="006B7F14"/>
    <w:rsid w:val="006C01A8"/>
    <w:rsid w:val="006C0852"/>
    <w:rsid w:val="006C16C8"/>
    <w:rsid w:val="006C1CA5"/>
    <w:rsid w:val="006C1F1A"/>
    <w:rsid w:val="006C240D"/>
    <w:rsid w:val="006C27F8"/>
    <w:rsid w:val="006C2B5C"/>
    <w:rsid w:val="006C3FE4"/>
    <w:rsid w:val="006C4855"/>
    <w:rsid w:val="006C509A"/>
    <w:rsid w:val="006C7530"/>
    <w:rsid w:val="006C777B"/>
    <w:rsid w:val="006D0BD4"/>
    <w:rsid w:val="006D0BE1"/>
    <w:rsid w:val="006D0E54"/>
    <w:rsid w:val="006D1608"/>
    <w:rsid w:val="006D1E14"/>
    <w:rsid w:val="006D22E6"/>
    <w:rsid w:val="006D2A57"/>
    <w:rsid w:val="006D2FAF"/>
    <w:rsid w:val="006D34C8"/>
    <w:rsid w:val="006D36EA"/>
    <w:rsid w:val="006D3B61"/>
    <w:rsid w:val="006D44FF"/>
    <w:rsid w:val="006D4BF2"/>
    <w:rsid w:val="006D63E5"/>
    <w:rsid w:val="006D6B99"/>
    <w:rsid w:val="006D736C"/>
    <w:rsid w:val="006D7FE3"/>
    <w:rsid w:val="006E0795"/>
    <w:rsid w:val="006E13FA"/>
    <w:rsid w:val="006E1528"/>
    <w:rsid w:val="006E1803"/>
    <w:rsid w:val="006E18EC"/>
    <w:rsid w:val="006E1B4D"/>
    <w:rsid w:val="006E28AD"/>
    <w:rsid w:val="006E2C0F"/>
    <w:rsid w:val="006E2E2B"/>
    <w:rsid w:val="006E3A75"/>
    <w:rsid w:val="006E3E8B"/>
    <w:rsid w:val="006E3F77"/>
    <w:rsid w:val="006E4784"/>
    <w:rsid w:val="006E5688"/>
    <w:rsid w:val="006E5A71"/>
    <w:rsid w:val="006E64D1"/>
    <w:rsid w:val="006E743F"/>
    <w:rsid w:val="006F056E"/>
    <w:rsid w:val="006F22E7"/>
    <w:rsid w:val="006F2F02"/>
    <w:rsid w:val="006F37B3"/>
    <w:rsid w:val="006F3B7E"/>
    <w:rsid w:val="006F3C71"/>
    <w:rsid w:val="006F3F07"/>
    <w:rsid w:val="006F42B3"/>
    <w:rsid w:val="006F4CDF"/>
    <w:rsid w:val="006F5755"/>
    <w:rsid w:val="006F5965"/>
    <w:rsid w:val="006F5C4E"/>
    <w:rsid w:val="006F6023"/>
    <w:rsid w:val="006F7A8A"/>
    <w:rsid w:val="006F7AA2"/>
    <w:rsid w:val="00700096"/>
    <w:rsid w:val="007003B7"/>
    <w:rsid w:val="0070085D"/>
    <w:rsid w:val="00700F04"/>
    <w:rsid w:val="007012F4"/>
    <w:rsid w:val="0070133B"/>
    <w:rsid w:val="00702C8F"/>
    <w:rsid w:val="00703A10"/>
    <w:rsid w:val="00703C89"/>
    <w:rsid w:val="00703D31"/>
    <w:rsid w:val="0070533D"/>
    <w:rsid w:val="00705C3D"/>
    <w:rsid w:val="00706339"/>
    <w:rsid w:val="0070793D"/>
    <w:rsid w:val="00707A54"/>
    <w:rsid w:val="00707A9D"/>
    <w:rsid w:val="007100BA"/>
    <w:rsid w:val="00710269"/>
    <w:rsid w:val="007105CE"/>
    <w:rsid w:val="00712C16"/>
    <w:rsid w:val="00712D87"/>
    <w:rsid w:val="007130D3"/>
    <w:rsid w:val="007134B8"/>
    <w:rsid w:val="007137CD"/>
    <w:rsid w:val="0071456E"/>
    <w:rsid w:val="007145C6"/>
    <w:rsid w:val="007147E2"/>
    <w:rsid w:val="00714874"/>
    <w:rsid w:val="0071556C"/>
    <w:rsid w:val="0071635B"/>
    <w:rsid w:val="00717A1B"/>
    <w:rsid w:val="00717D88"/>
    <w:rsid w:val="00720167"/>
    <w:rsid w:val="00720771"/>
    <w:rsid w:val="00721FAB"/>
    <w:rsid w:val="00724DDF"/>
    <w:rsid w:val="00724DED"/>
    <w:rsid w:val="00725288"/>
    <w:rsid w:val="00725393"/>
    <w:rsid w:val="00725D48"/>
    <w:rsid w:val="00725E29"/>
    <w:rsid w:val="00726FAC"/>
    <w:rsid w:val="00727449"/>
    <w:rsid w:val="00727542"/>
    <w:rsid w:val="00727CE4"/>
    <w:rsid w:val="00730029"/>
    <w:rsid w:val="0073048B"/>
    <w:rsid w:val="007304E8"/>
    <w:rsid w:val="00730E4B"/>
    <w:rsid w:val="00730F21"/>
    <w:rsid w:val="00731430"/>
    <w:rsid w:val="00731570"/>
    <w:rsid w:val="00731F50"/>
    <w:rsid w:val="00732D25"/>
    <w:rsid w:val="00732E9E"/>
    <w:rsid w:val="00733FC4"/>
    <w:rsid w:val="00734BBC"/>
    <w:rsid w:val="007351C5"/>
    <w:rsid w:val="00735756"/>
    <w:rsid w:val="0073685D"/>
    <w:rsid w:val="00736A73"/>
    <w:rsid w:val="0073799D"/>
    <w:rsid w:val="007400AA"/>
    <w:rsid w:val="00740795"/>
    <w:rsid w:val="00740D3A"/>
    <w:rsid w:val="007410CD"/>
    <w:rsid w:val="007424DF"/>
    <w:rsid w:val="007425A9"/>
    <w:rsid w:val="00742694"/>
    <w:rsid w:val="007429C1"/>
    <w:rsid w:val="00743343"/>
    <w:rsid w:val="00743CD3"/>
    <w:rsid w:val="00743DDE"/>
    <w:rsid w:val="00745231"/>
    <w:rsid w:val="007454CA"/>
    <w:rsid w:val="00745979"/>
    <w:rsid w:val="00745B42"/>
    <w:rsid w:val="00747098"/>
    <w:rsid w:val="007474D7"/>
    <w:rsid w:val="00747804"/>
    <w:rsid w:val="00747BC1"/>
    <w:rsid w:val="00752983"/>
    <w:rsid w:val="00752BC5"/>
    <w:rsid w:val="00752F13"/>
    <w:rsid w:val="00753555"/>
    <w:rsid w:val="00754C19"/>
    <w:rsid w:val="00754E67"/>
    <w:rsid w:val="00755144"/>
    <w:rsid w:val="00755215"/>
    <w:rsid w:val="00755BC8"/>
    <w:rsid w:val="00755C73"/>
    <w:rsid w:val="00755DEE"/>
    <w:rsid w:val="00756CD7"/>
    <w:rsid w:val="00756F43"/>
    <w:rsid w:val="00756FB7"/>
    <w:rsid w:val="00757493"/>
    <w:rsid w:val="00757AE3"/>
    <w:rsid w:val="007600A1"/>
    <w:rsid w:val="00760584"/>
    <w:rsid w:val="007611D6"/>
    <w:rsid w:val="007629C1"/>
    <w:rsid w:val="00763922"/>
    <w:rsid w:val="007641CE"/>
    <w:rsid w:val="00764597"/>
    <w:rsid w:val="0076488B"/>
    <w:rsid w:val="00765EED"/>
    <w:rsid w:val="007661BD"/>
    <w:rsid w:val="007701FD"/>
    <w:rsid w:val="00770FA9"/>
    <w:rsid w:val="0077173B"/>
    <w:rsid w:val="00771FAA"/>
    <w:rsid w:val="00772B87"/>
    <w:rsid w:val="0077351F"/>
    <w:rsid w:val="00773589"/>
    <w:rsid w:val="00773F9A"/>
    <w:rsid w:val="00775A1C"/>
    <w:rsid w:val="007767AF"/>
    <w:rsid w:val="0077689C"/>
    <w:rsid w:val="00781719"/>
    <w:rsid w:val="0078246D"/>
    <w:rsid w:val="0078442C"/>
    <w:rsid w:val="00785153"/>
    <w:rsid w:val="00786056"/>
    <w:rsid w:val="007911CF"/>
    <w:rsid w:val="0079137C"/>
    <w:rsid w:val="00791B34"/>
    <w:rsid w:val="00791BAF"/>
    <w:rsid w:val="0079266A"/>
    <w:rsid w:val="00792EA0"/>
    <w:rsid w:val="00792EFB"/>
    <w:rsid w:val="007933A1"/>
    <w:rsid w:val="007942D3"/>
    <w:rsid w:val="00794C26"/>
    <w:rsid w:val="00794DF9"/>
    <w:rsid w:val="007954C4"/>
    <w:rsid w:val="007954F0"/>
    <w:rsid w:val="007967EA"/>
    <w:rsid w:val="00797C32"/>
    <w:rsid w:val="00797C92"/>
    <w:rsid w:val="007A01A7"/>
    <w:rsid w:val="007A079D"/>
    <w:rsid w:val="007A0BF9"/>
    <w:rsid w:val="007A0F85"/>
    <w:rsid w:val="007A185D"/>
    <w:rsid w:val="007A21AD"/>
    <w:rsid w:val="007A2BB2"/>
    <w:rsid w:val="007A3FEE"/>
    <w:rsid w:val="007A43EC"/>
    <w:rsid w:val="007A4D47"/>
    <w:rsid w:val="007A540D"/>
    <w:rsid w:val="007A65FD"/>
    <w:rsid w:val="007A69F0"/>
    <w:rsid w:val="007A6C23"/>
    <w:rsid w:val="007A707F"/>
    <w:rsid w:val="007A7317"/>
    <w:rsid w:val="007B00CD"/>
    <w:rsid w:val="007B0C6F"/>
    <w:rsid w:val="007B1ECB"/>
    <w:rsid w:val="007B2099"/>
    <w:rsid w:val="007B2531"/>
    <w:rsid w:val="007B341C"/>
    <w:rsid w:val="007B3439"/>
    <w:rsid w:val="007B3F77"/>
    <w:rsid w:val="007B4DBE"/>
    <w:rsid w:val="007B501E"/>
    <w:rsid w:val="007B59C2"/>
    <w:rsid w:val="007B5F58"/>
    <w:rsid w:val="007B62D6"/>
    <w:rsid w:val="007B6C09"/>
    <w:rsid w:val="007B7741"/>
    <w:rsid w:val="007B789B"/>
    <w:rsid w:val="007B7EF2"/>
    <w:rsid w:val="007C1227"/>
    <w:rsid w:val="007C1268"/>
    <w:rsid w:val="007C2C43"/>
    <w:rsid w:val="007C3149"/>
    <w:rsid w:val="007C3261"/>
    <w:rsid w:val="007C3366"/>
    <w:rsid w:val="007C4169"/>
    <w:rsid w:val="007C47FA"/>
    <w:rsid w:val="007C4B1E"/>
    <w:rsid w:val="007C4DFD"/>
    <w:rsid w:val="007C4E47"/>
    <w:rsid w:val="007C5366"/>
    <w:rsid w:val="007C674E"/>
    <w:rsid w:val="007C79CF"/>
    <w:rsid w:val="007C7B7B"/>
    <w:rsid w:val="007C7DCA"/>
    <w:rsid w:val="007D00D9"/>
    <w:rsid w:val="007D0676"/>
    <w:rsid w:val="007D20C8"/>
    <w:rsid w:val="007D217D"/>
    <w:rsid w:val="007D250F"/>
    <w:rsid w:val="007D2611"/>
    <w:rsid w:val="007D2946"/>
    <w:rsid w:val="007D2D47"/>
    <w:rsid w:val="007D3949"/>
    <w:rsid w:val="007D4B46"/>
    <w:rsid w:val="007D4B87"/>
    <w:rsid w:val="007D5202"/>
    <w:rsid w:val="007D59F3"/>
    <w:rsid w:val="007D5E4F"/>
    <w:rsid w:val="007E033A"/>
    <w:rsid w:val="007E09DA"/>
    <w:rsid w:val="007E23C5"/>
    <w:rsid w:val="007E3C65"/>
    <w:rsid w:val="007E3C6A"/>
    <w:rsid w:val="007E3E5D"/>
    <w:rsid w:val="007E4990"/>
    <w:rsid w:val="007E56D5"/>
    <w:rsid w:val="007E5D5C"/>
    <w:rsid w:val="007E60B1"/>
    <w:rsid w:val="007E702F"/>
    <w:rsid w:val="007E7267"/>
    <w:rsid w:val="007E74AD"/>
    <w:rsid w:val="007F027C"/>
    <w:rsid w:val="007F0A7C"/>
    <w:rsid w:val="007F0CA8"/>
    <w:rsid w:val="007F0CE8"/>
    <w:rsid w:val="007F0D04"/>
    <w:rsid w:val="007F20F0"/>
    <w:rsid w:val="007F26A4"/>
    <w:rsid w:val="007F3081"/>
    <w:rsid w:val="007F39F3"/>
    <w:rsid w:val="007F512A"/>
    <w:rsid w:val="007F5E20"/>
    <w:rsid w:val="007F693B"/>
    <w:rsid w:val="007F6A83"/>
    <w:rsid w:val="007F6AA9"/>
    <w:rsid w:val="007F7615"/>
    <w:rsid w:val="008007A1"/>
    <w:rsid w:val="00800DA6"/>
    <w:rsid w:val="00801AFD"/>
    <w:rsid w:val="0080244F"/>
    <w:rsid w:val="0080279B"/>
    <w:rsid w:val="008027B9"/>
    <w:rsid w:val="00802996"/>
    <w:rsid w:val="0080388D"/>
    <w:rsid w:val="00803E64"/>
    <w:rsid w:val="00803FCA"/>
    <w:rsid w:val="00805D7B"/>
    <w:rsid w:val="008068EB"/>
    <w:rsid w:val="00806A02"/>
    <w:rsid w:val="00806B88"/>
    <w:rsid w:val="00807192"/>
    <w:rsid w:val="008071C3"/>
    <w:rsid w:val="0081007C"/>
    <w:rsid w:val="0081018E"/>
    <w:rsid w:val="00811965"/>
    <w:rsid w:val="00811A84"/>
    <w:rsid w:val="008127F1"/>
    <w:rsid w:val="00812F64"/>
    <w:rsid w:val="008130B2"/>
    <w:rsid w:val="0081374E"/>
    <w:rsid w:val="00813D2C"/>
    <w:rsid w:val="00814BCB"/>
    <w:rsid w:val="008155BD"/>
    <w:rsid w:val="00815E67"/>
    <w:rsid w:val="008160AC"/>
    <w:rsid w:val="0081704C"/>
    <w:rsid w:val="008178B6"/>
    <w:rsid w:val="00817974"/>
    <w:rsid w:val="008205D4"/>
    <w:rsid w:val="008207DE"/>
    <w:rsid w:val="0082121A"/>
    <w:rsid w:val="008213B9"/>
    <w:rsid w:val="00821DE4"/>
    <w:rsid w:val="00822EE0"/>
    <w:rsid w:val="00823469"/>
    <w:rsid w:val="00824D43"/>
    <w:rsid w:val="00827FEE"/>
    <w:rsid w:val="00830CFB"/>
    <w:rsid w:val="00831F7A"/>
    <w:rsid w:val="00832B21"/>
    <w:rsid w:val="008331D8"/>
    <w:rsid w:val="008348AB"/>
    <w:rsid w:val="00834916"/>
    <w:rsid w:val="00835078"/>
    <w:rsid w:val="00835E06"/>
    <w:rsid w:val="008368D1"/>
    <w:rsid w:val="008369C5"/>
    <w:rsid w:val="00836CC0"/>
    <w:rsid w:val="00837737"/>
    <w:rsid w:val="00837B16"/>
    <w:rsid w:val="00837B2F"/>
    <w:rsid w:val="00837F9C"/>
    <w:rsid w:val="0084094A"/>
    <w:rsid w:val="00841A70"/>
    <w:rsid w:val="00843687"/>
    <w:rsid w:val="00844530"/>
    <w:rsid w:val="008448BE"/>
    <w:rsid w:val="00844A46"/>
    <w:rsid w:val="00845ACB"/>
    <w:rsid w:val="00846496"/>
    <w:rsid w:val="00846BB9"/>
    <w:rsid w:val="00846C5C"/>
    <w:rsid w:val="00846F00"/>
    <w:rsid w:val="0085056C"/>
    <w:rsid w:val="008505F2"/>
    <w:rsid w:val="00850809"/>
    <w:rsid w:val="00850F93"/>
    <w:rsid w:val="008515C9"/>
    <w:rsid w:val="00851919"/>
    <w:rsid w:val="00851CA4"/>
    <w:rsid w:val="00853231"/>
    <w:rsid w:val="00853465"/>
    <w:rsid w:val="00854B59"/>
    <w:rsid w:val="00854BA6"/>
    <w:rsid w:val="00854D43"/>
    <w:rsid w:val="008555B1"/>
    <w:rsid w:val="00855AFF"/>
    <w:rsid w:val="00855B36"/>
    <w:rsid w:val="008561B7"/>
    <w:rsid w:val="00857264"/>
    <w:rsid w:val="00860236"/>
    <w:rsid w:val="00860578"/>
    <w:rsid w:val="00860832"/>
    <w:rsid w:val="00860C5C"/>
    <w:rsid w:val="00860CFA"/>
    <w:rsid w:val="00860D39"/>
    <w:rsid w:val="00861425"/>
    <w:rsid w:val="00861432"/>
    <w:rsid w:val="008615BB"/>
    <w:rsid w:val="00861755"/>
    <w:rsid w:val="00862658"/>
    <w:rsid w:val="00862C6C"/>
    <w:rsid w:val="00864098"/>
    <w:rsid w:val="00864799"/>
    <w:rsid w:val="00864A31"/>
    <w:rsid w:val="00865504"/>
    <w:rsid w:val="00865869"/>
    <w:rsid w:val="0086596D"/>
    <w:rsid w:val="00865B05"/>
    <w:rsid w:val="00865B74"/>
    <w:rsid w:val="00866542"/>
    <w:rsid w:val="008678F0"/>
    <w:rsid w:val="008703E8"/>
    <w:rsid w:val="00870557"/>
    <w:rsid w:val="00870B5E"/>
    <w:rsid w:val="00870DA1"/>
    <w:rsid w:val="00870FD9"/>
    <w:rsid w:val="008718E4"/>
    <w:rsid w:val="00872F39"/>
    <w:rsid w:val="008736E8"/>
    <w:rsid w:val="00873A38"/>
    <w:rsid w:val="00873CDB"/>
    <w:rsid w:val="008746C2"/>
    <w:rsid w:val="00874CE4"/>
    <w:rsid w:val="0087539F"/>
    <w:rsid w:val="00875D3A"/>
    <w:rsid w:val="008778DC"/>
    <w:rsid w:val="00877B54"/>
    <w:rsid w:val="00877CD0"/>
    <w:rsid w:val="00877DA5"/>
    <w:rsid w:val="00877FF2"/>
    <w:rsid w:val="00880BFC"/>
    <w:rsid w:val="0088174B"/>
    <w:rsid w:val="00881F91"/>
    <w:rsid w:val="008832EC"/>
    <w:rsid w:val="00883756"/>
    <w:rsid w:val="00884258"/>
    <w:rsid w:val="00884632"/>
    <w:rsid w:val="00884DEB"/>
    <w:rsid w:val="008856F2"/>
    <w:rsid w:val="00885F56"/>
    <w:rsid w:val="00886245"/>
    <w:rsid w:val="00886439"/>
    <w:rsid w:val="00886900"/>
    <w:rsid w:val="008870DF"/>
    <w:rsid w:val="00887724"/>
    <w:rsid w:val="00887AD8"/>
    <w:rsid w:val="008905BE"/>
    <w:rsid w:val="00891D4C"/>
    <w:rsid w:val="00892021"/>
    <w:rsid w:val="00892058"/>
    <w:rsid w:val="008931A9"/>
    <w:rsid w:val="008932E5"/>
    <w:rsid w:val="0089394D"/>
    <w:rsid w:val="008947B5"/>
    <w:rsid w:val="00894EAA"/>
    <w:rsid w:val="00896F5F"/>
    <w:rsid w:val="008974F0"/>
    <w:rsid w:val="008A01F7"/>
    <w:rsid w:val="008A05F0"/>
    <w:rsid w:val="008A05FE"/>
    <w:rsid w:val="008A0E63"/>
    <w:rsid w:val="008A19E5"/>
    <w:rsid w:val="008A1AD7"/>
    <w:rsid w:val="008A3533"/>
    <w:rsid w:val="008A3F64"/>
    <w:rsid w:val="008A4B5D"/>
    <w:rsid w:val="008A53BD"/>
    <w:rsid w:val="008A585E"/>
    <w:rsid w:val="008A6676"/>
    <w:rsid w:val="008A74BB"/>
    <w:rsid w:val="008A7769"/>
    <w:rsid w:val="008A7D86"/>
    <w:rsid w:val="008A7FE7"/>
    <w:rsid w:val="008B012A"/>
    <w:rsid w:val="008B2708"/>
    <w:rsid w:val="008B2899"/>
    <w:rsid w:val="008B2C54"/>
    <w:rsid w:val="008B3129"/>
    <w:rsid w:val="008B339B"/>
    <w:rsid w:val="008B3427"/>
    <w:rsid w:val="008B3A77"/>
    <w:rsid w:val="008B3B47"/>
    <w:rsid w:val="008B3CFD"/>
    <w:rsid w:val="008B40BB"/>
    <w:rsid w:val="008B48AC"/>
    <w:rsid w:val="008B57EF"/>
    <w:rsid w:val="008B5C6E"/>
    <w:rsid w:val="008B5D74"/>
    <w:rsid w:val="008B609D"/>
    <w:rsid w:val="008B740B"/>
    <w:rsid w:val="008C0252"/>
    <w:rsid w:val="008C203D"/>
    <w:rsid w:val="008C25D7"/>
    <w:rsid w:val="008C341C"/>
    <w:rsid w:val="008C378F"/>
    <w:rsid w:val="008C39A9"/>
    <w:rsid w:val="008C3B9C"/>
    <w:rsid w:val="008C4034"/>
    <w:rsid w:val="008C4467"/>
    <w:rsid w:val="008C543E"/>
    <w:rsid w:val="008C5663"/>
    <w:rsid w:val="008C6368"/>
    <w:rsid w:val="008C7DFA"/>
    <w:rsid w:val="008D0EB5"/>
    <w:rsid w:val="008D132F"/>
    <w:rsid w:val="008D22D4"/>
    <w:rsid w:val="008D2633"/>
    <w:rsid w:val="008D4DBC"/>
    <w:rsid w:val="008D4E5D"/>
    <w:rsid w:val="008D5232"/>
    <w:rsid w:val="008D5532"/>
    <w:rsid w:val="008D5F7D"/>
    <w:rsid w:val="008D651A"/>
    <w:rsid w:val="008D66BB"/>
    <w:rsid w:val="008D6D0C"/>
    <w:rsid w:val="008D71AA"/>
    <w:rsid w:val="008D72BA"/>
    <w:rsid w:val="008D7E60"/>
    <w:rsid w:val="008E00F6"/>
    <w:rsid w:val="008E0784"/>
    <w:rsid w:val="008E078E"/>
    <w:rsid w:val="008E0F55"/>
    <w:rsid w:val="008E1DBC"/>
    <w:rsid w:val="008E21E5"/>
    <w:rsid w:val="008E247A"/>
    <w:rsid w:val="008E3660"/>
    <w:rsid w:val="008E3AEA"/>
    <w:rsid w:val="008E460F"/>
    <w:rsid w:val="008E4707"/>
    <w:rsid w:val="008E4FEC"/>
    <w:rsid w:val="008E564B"/>
    <w:rsid w:val="008E7348"/>
    <w:rsid w:val="008E789F"/>
    <w:rsid w:val="008F0E21"/>
    <w:rsid w:val="008F21A9"/>
    <w:rsid w:val="008F2726"/>
    <w:rsid w:val="008F4CB2"/>
    <w:rsid w:val="008F60E3"/>
    <w:rsid w:val="008F626F"/>
    <w:rsid w:val="008F6B1D"/>
    <w:rsid w:val="0090075A"/>
    <w:rsid w:val="009016D4"/>
    <w:rsid w:val="00901951"/>
    <w:rsid w:val="00901993"/>
    <w:rsid w:val="00901D61"/>
    <w:rsid w:val="0090326C"/>
    <w:rsid w:val="009033D3"/>
    <w:rsid w:val="00904419"/>
    <w:rsid w:val="00906AF9"/>
    <w:rsid w:val="00906C92"/>
    <w:rsid w:val="00906E17"/>
    <w:rsid w:val="00910AF6"/>
    <w:rsid w:val="00911A97"/>
    <w:rsid w:val="009123DC"/>
    <w:rsid w:val="00912B17"/>
    <w:rsid w:val="00912B7A"/>
    <w:rsid w:val="00914008"/>
    <w:rsid w:val="00914DEF"/>
    <w:rsid w:val="00915A52"/>
    <w:rsid w:val="009164B1"/>
    <w:rsid w:val="00916E7E"/>
    <w:rsid w:val="00917562"/>
    <w:rsid w:val="00917564"/>
    <w:rsid w:val="009178CC"/>
    <w:rsid w:val="00917918"/>
    <w:rsid w:val="00917B01"/>
    <w:rsid w:val="00917C8C"/>
    <w:rsid w:val="00917F15"/>
    <w:rsid w:val="009204D9"/>
    <w:rsid w:val="009208E5"/>
    <w:rsid w:val="0092144F"/>
    <w:rsid w:val="009217B3"/>
    <w:rsid w:val="00921973"/>
    <w:rsid w:val="009219D6"/>
    <w:rsid w:val="00922013"/>
    <w:rsid w:val="00922106"/>
    <w:rsid w:val="0092355B"/>
    <w:rsid w:val="00923A6F"/>
    <w:rsid w:val="00923CF8"/>
    <w:rsid w:val="00924733"/>
    <w:rsid w:val="00924839"/>
    <w:rsid w:val="009251DA"/>
    <w:rsid w:val="009255BF"/>
    <w:rsid w:val="00925F15"/>
    <w:rsid w:val="00926B04"/>
    <w:rsid w:val="00927B64"/>
    <w:rsid w:val="00927D51"/>
    <w:rsid w:val="009308C4"/>
    <w:rsid w:val="00930BA1"/>
    <w:rsid w:val="00930C08"/>
    <w:rsid w:val="00930D24"/>
    <w:rsid w:val="0093132A"/>
    <w:rsid w:val="0093157A"/>
    <w:rsid w:val="0093169E"/>
    <w:rsid w:val="00932928"/>
    <w:rsid w:val="00932B66"/>
    <w:rsid w:val="00932C2E"/>
    <w:rsid w:val="00932E8B"/>
    <w:rsid w:val="0093317D"/>
    <w:rsid w:val="009336D7"/>
    <w:rsid w:val="009337CF"/>
    <w:rsid w:val="009337EC"/>
    <w:rsid w:val="00933E3B"/>
    <w:rsid w:val="00933F2C"/>
    <w:rsid w:val="00934F5C"/>
    <w:rsid w:val="00936F95"/>
    <w:rsid w:val="009403BC"/>
    <w:rsid w:val="00940773"/>
    <w:rsid w:val="0094159A"/>
    <w:rsid w:val="00941947"/>
    <w:rsid w:val="00941AE5"/>
    <w:rsid w:val="00942C7B"/>
    <w:rsid w:val="00942CC3"/>
    <w:rsid w:val="00943212"/>
    <w:rsid w:val="0094381D"/>
    <w:rsid w:val="00943BF0"/>
    <w:rsid w:val="00944366"/>
    <w:rsid w:val="0094458E"/>
    <w:rsid w:val="009450C5"/>
    <w:rsid w:val="009457CE"/>
    <w:rsid w:val="00946278"/>
    <w:rsid w:val="009469DE"/>
    <w:rsid w:val="00946D07"/>
    <w:rsid w:val="009505C9"/>
    <w:rsid w:val="00950752"/>
    <w:rsid w:val="00951B1F"/>
    <w:rsid w:val="00951C61"/>
    <w:rsid w:val="009520F1"/>
    <w:rsid w:val="00952E18"/>
    <w:rsid w:val="0095385B"/>
    <w:rsid w:val="00954F5E"/>
    <w:rsid w:val="009568FA"/>
    <w:rsid w:val="009570AA"/>
    <w:rsid w:val="00960B9A"/>
    <w:rsid w:val="00960E0A"/>
    <w:rsid w:val="00961EDE"/>
    <w:rsid w:val="00962373"/>
    <w:rsid w:val="00962AA0"/>
    <w:rsid w:val="00963B4D"/>
    <w:rsid w:val="00963B62"/>
    <w:rsid w:val="00966424"/>
    <w:rsid w:val="00966CC0"/>
    <w:rsid w:val="00967183"/>
    <w:rsid w:val="009671A2"/>
    <w:rsid w:val="00971AFF"/>
    <w:rsid w:val="009722A4"/>
    <w:rsid w:val="00972E40"/>
    <w:rsid w:val="00975A4F"/>
    <w:rsid w:val="00976AFB"/>
    <w:rsid w:val="00977139"/>
    <w:rsid w:val="00977913"/>
    <w:rsid w:val="00977A55"/>
    <w:rsid w:val="009808C9"/>
    <w:rsid w:val="009843CA"/>
    <w:rsid w:val="00984CBA"/>
    <w:rsid w:val="009850A8"/>
    <w:rsid w:val="009851CD"/>
    <w:rsid w:val="00986DE9"/>
    <w:rsid w:val="00987896"/>
    <w:rsid w:val="00987FE2"/>
    <w:rsid w:val="00990037"/>
    <w:rsid w:val="00990469"/>
    <w:rsid w:val="009918AD"/>
    <w:rsid w:val="0099342E"/>
    <w:rsid w:val="00993C47"/>
    <w:rsid w:val="00993CF1"/>
    <w:rsid w:val="00993D71"/>
    <w:rsid w:val="009961AA"/>
    <w:rsid w:val="009967B7"/>
    <w:rsid w:val="00996828"/>
    <w:rsid w:val="0099722A"/>
    <w:rsid w:val="00997724"/>
    <w:rsid w:val="00997885"/>
    <w:rsid w:val="00997FFD"/>
    <w:rsid w:val="009A01ED"/>
    <w:rsid w:val="009A05E2"/>
    <w:rsid w:val="009A0A69"/>
    <w:rsid w:val="009A10E3"/>
    <w:rsid w:val="009A1305"/>
    <w:rsid w:val="009A1E78"/>
    <w:rsid w:val="009A3228"/>
    <w:rsid w:val="009A3B4B"/>
    <w:rsid w:val="009A3B8B"/>
    <w:rsid w:val="009A48E2"/>
    <w:rsid w:val="009A58A9"/>
    <w:rsid w:val="009A5CBB"/>
    <w:rsid w:val="009A6431"/>
    <w:rsid w:val="009A645B"/>
    <w:rsid w:val="009A6498"/>
    <w:rsid w:val="009A64E8"/>
    <w:rsid w:val="009A67AC"/>
    <w:rsid w:val="009A6CF4"/>
    <w:rsid w:val="009A77B8"/>
    <w:rsid w:val="009B0A24"/>
    <w:rsid w:val="009B0DE3"/>
    <w:rsid w:val="009B1493"/>
    <w:rsid w:val="009B1706"/>
    <w:rsid w:val="009B1A75"/>
    <w:rsid w:val="009B1BA7"/>
    <w:rsid w:val="009B1DCF"/>
    <w:rsid w:val="009B26DA"/>
    <w:rsid w:val="009B38B3"/>
    <w:rsid w:val="009B3E04"/>
    <w:rsid w:val="009B4B78"/>
    <w:rsid w:val="009B5B77"/>
    <w:rsid w:val="009B5F63"/>
    <w:rsid w:val="009B77E4"/>
    <w:rsid w:val="009B7BEC"/>
    <w:rsid w:val="009B7C8F"/>
    <w:rsid w:val="009B7E54"/>
    <w:rsid w:val="009C042B"/>
    <w:rsid w:val="009C07CC"/>
    <w:rsid w:val="009C11A5"/>
    <w:rsid w:val="009C23AD"/>
    <w:rsid w:val="009C28C1"/>
    <w:rsid w:val="009C2DE6"/>
    <w:rsid w:val="009C3025"/>
    <w:rsid w:val="009C32E2"/>
    <w:rsid w:val="009C3F87"/>
    <w:rsid w:val="009C5444"/>
    <w:rsid w:val="009C6006"/>
    <w:rsid w:val="009C6151"/>
    <w:rsid w:val="009C6771"/>
    <w:rsid w:val="009C71E8"/>
    <w:rsid w:val="009C78B1"/>
    <w:rsid w:val="009D0451"/>
    <w:rsid w:val="009D0D13"/>
    <w:rsid w:val="009D1097"/>
    <w:rsid w:val="009D14AD"/>
    <w:rsid w:val="009D189E"/>
    <w:rsid w:val="009D1904"/>
    <w:rsid w:val="009D1951"/>
    <w:rsid w:val="009D1D77"/>
    <w:rsid w:val="009D1DC6"/>
    <w:rsid w:val="009D20CC"/>
    <w:rsid w:val="009D239C"/>
    <w:rsid w:val="009D3629"/>
    <w:rsid w:val="009D476F"/>
    <w:rsid w:val="009D4987"/>
    <w:rsid w:val="009D4A23"/>
    <w:rsid w:val="009D4B27"/>
    <w:rsid w:val="009D4FF8"/>
    <w:rsid w:val="009D54E8"/>
    <w:rsid w:val="009D5729"/>
    <w:rsid w:val="009D5E7C"/>
    <w:rsid w:val="009D5FC6"/>
    <w:rsid w:val="009D6216"/>
    <w:rsid w:val="009D6278"/>
    <w:rsid w:val="009D66DD"/>
    <w:rsid w:val="009E0505"/>
    <w:rsid w:val="009E069B"/>
    <w:rsid w:val="009E267F"/>
    <w:rsid w:val="009E2823"/>
    <w:rsid w:val="009E2B55"/>
    <w:rsid w:val="009E2DCA"/>
    <w:rsid w:val="009E3373"/>
    <w:rsid w:val="009E3CF1"/>
    <w:rsid w:val="009E6273"/>
    <w:rsid w:val="009E68CF"/>
    <w:rsid w:val="009E742F"/>
    <w:rsid w:val="009E7E00"/>
    <w:rsid w:val="009E7EC4"/>
    <w:rsid w:val="009F0F54"/>
    <w:rsid w:val="009F127D"/>
    <w:rsid w:val="009F1FBB"/>
    <w:rsid w:val="009F269D"/>
    <w:rsid w:val="009F40DC"/>
    <w:rsid w:val="009F501F"/>
    <w:rsid w:val="009F554E"/>
    <w:rsid w:val="009F5D0E"/>
    <w:rsid w:val="009F645D"/>
    <w:rsid w:val="009F6465"/>
    <w:rsid w:val="009F649B"/>
    <w:rsid w:val="009F6563"/>
    <w:rsid w:val="009F65FA"/>
    <w:rsid w:val="00A0048C"/>
    <w:rsid w:val="00A021B0"/>
    <w:rsid w:val="00A022CA"/>
    <w:rsid w:val="00A02333"/>
    <w:rsid w:val="00A0238C"/>
    <w:rsid w:val="00A02549"/>
    <w:rsid w:val="00A04895"/>
    <w:rsid w:val="00A049B0"/>
    <w:rsid w:val="00A0691E"/>
    <w:rsid w:val="00A069AB"/>
    <w:rsid w:val="00A07324"/>
    <w:rsid w:val="00A077D3"/>
    <w:rsid w:val="00A077D8"/>
    <w:rsid w:val="00A10297"/>
    <w:rsid w:val="00A104FE"/>
    <w:rsid w:val="00A106B2"/>
    <w:rsid w:val="00A1084B"/>
    <w:rsid w:val="00A10854"/>
    <w:rsid w:val="00A112A5"/>
    <w:rsid w:val="00A11954"/>
    <w:rsid w:val="00A11E8A"/>
    <w:rsid w:val="00A12788"/>
    <w:rsid w:val="00A12C75"/>
    <w:rsid w:val="00A12E3E"/>
    <w:rsid w:val="00A13294"/>
    <w:rsid w:val="00A13320"/>
    <w:rsid w:val="00A135B7"/>
    <w:rsid w:val="00A1491F"/>
    <w:rsid w:val="00A14FBF"/>
    <w:rsid w:val="00A151E2"/>
    <w:rsid w:val="00A153D3"/>
    <w:rsid w:val="00A16D8F"/>
    <w:rsid w:val="00A16E8E"/>
    <w:rsid w:val="00A173B3"/>
    <w:rsid w:val="00A1792A"/>
    <w:rsid w:val="00A209E1"/>
    <w:rsid w:val="00A21ABA"/>
    <w:rsid w:val="00A2310E"/>
    <w:rsid w:val="00A23D58"/>
    <w:rsid w:val="00A247FB"/>
    <w:rsid w:val="00A2484C"/>
    <w:rsid w:val="00A24A8F"/>
    <w:rsid w:val="00A26F53"/>
    <w:rsid w:val="00A2747E"/>
    <w:rsid w:val="00A301C7"/>
    <w:rsid w:val="00A30A64"/>
    <w:rsid w:val="00A3124D"/>
    <w:rsid w:val="00A320CD"/>
    <w:rsid w:val="00A32175"/>
    <w:rsid w:val="00A324AA"/>
    <w:rsid w:val="00A3266B"/>
    <w:rsid w:val="00A32A72"/>
    <w:rsid w:val="00A32AF0"/>
    <w:rsid w:val="00A32B76"/>
    <w:rsid w:val="00A32E03"/>
    <w:rsid w:val="00A335D3"/>
    <w:rsid w:val="00A3381A"/>
    <w:rsid w:val="00A34181"/>
    <w:rsid w:val="00A34AB2"/>
    <w:rsid w:val="00A35199"/>
    <w:rsid w:val="00A359A8"/>
    <w:rsid w:val="00A36B03"/>
    <w:rsid w:val="00A36BA8"/>
    <w:rsid w:val="00A36C1E"/>
    <w:rsid w:val="00A36EF3"/>
    <w:rsid w:val="00A36FC9"/>
    <w:rsid w:val="00A3724C"/>
    <w:rsid w:val="00A375F0"/>
    <w:rsid w:val="00A37B96"/>
    <w:rsid w:val="00A40223"/>
    <w:rsid w:val="00A41501"/>
    <w:rsid w:val="00A41EA4"/>
    <w:rsid w:val="00A41F40"/>
    <w:rsid w:val="00A43231"/>
    <w:rsid w:val="00A43F25"/>
    <w:rsid w:val="00A44872"/>
    <w:rsid w:val="00A45775"/>
    <w:rsid w:val="00A46896"/>
    <w:rsid w:val="00A46A4B"/>
    <w:rsid w:val="00A47BA3"/>
    <w:rsid w:val="00A47BB5"/>
    <w:rsid w:val="00A47F15"/>
    <w:rsid w:val="00A50395"/>
    <w:rsid w:val="00A50A57"/>
    <w:rsid w:val="00A525FC"/>
    <w:rsid w:val="00A52809"/>
    <w:rsid w:val="00A52F87"/>
    <w:rsid w:val="00A5560C"/>
    <w:rsid w:val="00A55A37"/>
    <w:rsid w:val="00A5774A"/>
    <w:rsid w:val="00A61256"/>
    <w:rsid w:val="00A62BC9"/>
    <w:rsid w:val="00A63174"/>
    <w:rsid w:val="00A63A80"/>
    <w:rsid w:val="00A6471F"/>
    <w:rsid w:val="00A650E0"/>
    <w:rsid w:val="00A65124"/>
    <w:rsid w:val="00A662B8"/>
    <w:rsid w:val="00A66892"/>
    <w:rsid w:val="00A668A6"/>
    <w:rsid w:val="00A715D8"/>
    <w:rsid w:val="00A730BC"/>
    <w:rsid w:val="00A7413D"/>
    <w:rsid w:val="00A747FB"/>
    <w:rsid w:val="00A74C55"/>
    <w:rsid w:val="00A7577A"/>
    <w:rsid w:val="00A75B2C"/>
    <w:rsid w:val="00A76686"/>
    <w:rsid w:val="00A7682B"/>
    <w:rsid w:val="00A76D69"/>
    <w:rsid w:val="00A77195"/>
    <w:rsid w:val="00A778B0"/>
    <w:rsid w:val="00A8033E"/>
    <w:rsid w:val="00A814B6"/>
    <w:rsid w:val="00A814EF"/>
    <w:rsid w:val="00A81574"/>
    <w:rsid w:val="00A81FBD"/>
    <w:rsid w:val="00A8251F"/>
    <w:rsid w:val="00A82A2A"/>
    <w:rsid w:val="00A82DC9"/>
    <w:rsid w:val="00A83231"/>
    <w:rsid w:val="00A833C5"/>
    <w:rsid w:val="00A83A91"/>
    <w:rsid w:val="00A840CC"/>
    <w:rsid w:val="00A84A0A"/>
    <w:rsid w:val="00A84FB3"/>
    <w:rsid w:val="00A862F4"/>
    <w:rsid w:val="00A86370"/>
    <w:rsid w:val="00A86545"/>
    <w:rsid w:val="00A8716D"/>
    <w:rsid w:val="00A87787"/>
    <w:rsid w:val="00A87CF7"/>
    <w:rsid w:val="00A90080"/>
    <w:rsid w:val="00A91250"/>
    <w:rsid w:val="00A931F7"/>
    <w:rsid w:val="00A93CA0"/>
    <w:rsid w:val="00A93F76"/>
    <w:rsid w:val="00A95556"/>
    <w:rsid w:val="00A95887"/>
    <w:rsid w:val="00A95A3A"/>
    <w:rsid w:val="00AA03FD"/>
    <w:rsid w:val="00AA0990"/>
    <w:rsid w:val="00AA0FBF"/>
    <w:rsid w:val="00AA107F"/>
    <w:rsid w:val="00AA1AB0"/>
    <w:rsid w:val="00AA1D76"/>
    <w:rsid w:val="00AA1F6A"/>
    <w:rsid w:val="00AA2126"/>
    <w:rsid w:val="00AA2528"/>
    <w:rsid w:val="00AA2DB0"/>
    <w:rsid w:val="00AA38CC"/>
    <w:rsid w:val="00AA4673"/>
    <w:rsid w:val="00AA588F"/>
    <w:rsid w:val="00AA66D9"/>
    <w:rsid w:val="00AA6F92"/>
    <w:rsid w:val="00AA76BC"/>
    <w:rsid w:val="00AB1563"/>
    <w:rsid w:val="00AB1B2A"/>
    <w:rsid w:val="00AB2018"/>
    <w:rsid w:val="00AB4416"/>
    <w:rsid w:val="00AB49EF"/>
    <w:rsid w:val="00AB4CF5"/>
    <w:rsid w:val="00AB515C"/>
    <w:rsid w:val="00AB5C77"/>
    <w:rsid w:val="00AB6103"/>
    <w:rsid w:val="00AB6149"/>
    <w:rsid w:val="00AB68AA"/>
    <w:rsid w:val="00AB6934"/>
    <w:rsid w:val="00AB7864"/>
    <w:rsid w:val="00AB7ECF"/>
    <w:rsid w:val="00AC0588"/>
    <w:rsid w:val="00AC09AA"/>
    <w:rsid w:val="00AC0B75"/>
    <w:rsid w:val="00AC0CE0"/>
    <w:rsid w:val="00AC0DEA"/>
    <w:rsid w:val="00AC1D82"/>
    <w:rsid w:val="00AC3850"/>
    <w:rsid w:val="00AC3C36"/>
    <w:rsid w:val="00AC3E24"/>
    <w:rsid w:val="00AC5612"/>
    <w:rsid w:val="00AC5680"/>
    <w:rsid w:val="00AC6376"/>
    <w:rsid w:val="00AC63D0"/>
    <w:rsid w:val="00AC6BD3"/>
    <w:rsid w:val="00AC7619"/>
    <w:rsid w:val="00AD0D4F"/>
    <w:rsid w:val="00AD1188"/>
    <w:rsid w:val="00AD1968"/>
    <w:rsid w:val="00AD4223"/>
    <w:rsid w:val="00AD48E2"/>
    <w:rsid w:val="00AD5C98"/>
    <w:rsid w:val="00AD5F26"/>
    <w:rsid w:val="00AD6A97"/>
    <w:rsid w:val="00AD6ABE"/>
    <w:rsid w:val="00AD6BA0"/>
    <w:rsid w:val="00AD6F79"/>
    <w:rsid w:val="00AD70CF"/>
    <w:rsid w:val="00AD7155"/>
    <w:rsid w:val="00AD7F2B"/>
    <w:rsid w:val="00AE0770"/>
    <w:rsid w:val="00AE17C5"/>
    <w:rsid w:val="00AE1A70"/>
    <w:rsid w:val="00AE1B2D"/>
    <w:rsid w:val="00AE221C"/>
    <w:rsid w:val="00AE2F9A"/>
    <w:rsid w:val="00AE555C"/>
    <w:rsid w:val="00AE5889"/>
    <w:rsid w:val="00AE7331"/>
    <w:rsid w:val="00AE7C2A"/>
    <w:rsid w:val="00AF0A15"/>
    <w:rsid w:val="00AF1AF7"/>
    <w:rsid w:val="00AF2425"/>
    <w:rsid w:val="00AF3251"/>
    <w:rsid w:val="00AF42DE"/>
    <w:rsid w:val="00AF46F4"/>
    <w:rsid w:val="00AF5229"/>
    <w:rsid w:val="00AF5A8E"/>
    <w:rsid w:val="00AF5D9B"/>
    <w:rsid w:val="00AF77BA"/>
    <w:rsid w:val="00AF7EAB"/>
    <w:rsid w:val="00B00053"/>
    <w:rsid w:val="00B00430"/>
    <w:rsid w:val="00B013C2"/>
    <w:rsid w:val="00B01D26"/>
    <w:rsid w:val="00B0210F"/>
    <w:rsid w:val="00B027F7"/>
    <w:rsid w:val="00B039D0"/>
    <w:rsid w:val="00B03E6C"/>
    <w:rsid w:val="00B04A4B"/>
    <w:rsid w:val="00B04B31"/>
    <w:rsid w:val="00B04BED"/>
    <w:rsid w:val="00B05642"/>
    <w:rsid w:val="00B05E38"/>
    <w:rsid w:val="00B0640B"/>
    <w:rsid w:val="00B0651A"/>
    <w:rsid w:val="00B06710"/>
    <w:rsid w:val="00B06EDC"/>
    <w:rsid w:val="00B07CE5"/>
    <w:rsid w:val="00B1089F"/>
    <w:rsid w:val="00B10A30"/>
    <w:rsid w:val="00B11BB6"/>
    <w:rsid w:val="00B11EAB"/>
    <w:rsid w:val="00B1288E"/>
    <w:rsid w:val="00B12B3B"/>
    <w:rsid w:val="00B12EEC"/>
    <w:rsid w:val="00B13F4B"/>
    <w:rsid w:val="00B143ED"/>
    <w:rsid w:val="00B16C86"/>
    <w:rsid w:val="00B16E6F"/>
    <w:rsid w:val="00B17F3A"/>
    <w:rsid w:val="00B20321"/>
    <w:rsid w:val="00B20E1C"/>
    <w:rsid w:val="00B22774"/>
    <w:rsid w:val="00B24198"/>
    <w:rsid w:val="00B25C01"/>
    <w:rsid w:val="00B26923"/>
    <w:rsid w:val="00B26C7B"/>
    <w:rsid w:val="00B30C0A"/>
    <w:rsid w:val="00B30FB3"/>
    <w:rsid w:val="00B31AD4"/>
    <w:rsid w:val="00B3369F"/>
    <w:rsid w:val="00B33D96"/>
    <w:rsid w:val="00B3494A"/>
    <w:rsid w:val="00B355DB"/>
    <w:rsid w:val="00B357D4"/>
    <w:rsid w:val="00B37E77"/>
    <w:rsid w:val="00B41430"/>
    <w:rsid w:val="00B41CB0"/>
    <w:rsid w:val="00B42683"/>
    <w:rsid w:val="00B44672"/>
    <w:rsid w:val="00B447E7"/>
    <w:rsid w:val="00B4609A"/>
    <w:rsid w:val="00B47CF3"/>
    <w:rsid w:val="00B506A3"/>
    <w:rsid w:val="00B507E0"/>
    <w:rsid w:val="00B50E31"/>
    <w:rsid w:val="00B51195"/>
    <w:rsid w:val="00B51A15"/>
    <w:rsid w:val="00B51B0C"/>
    <w:rsid w:val="00B52173"/>
    <w:rsid w:val="00B52228"/>
    <w:rsid w:val="00B52426"/>
    <w:rsid w:val="00B5266B"/>
    <w:rsid w:val="00B52F2E"/>
    <w:rsid w:val="00B53526"/>
    <w:rsid w:val="00B5367A"/>
    <w:rsid w:val="00B540E8"/>
    <w:rsid w:val="00B5436C"/>
    <w:rsid w:val="00B543AA"/>
    <w:rsid w:val="00B54514"/>
    <w:rsid w:val="00B55020"/>
    <w:rsid w:val="00B558D6"/>
    <w:rsid w:val="00B55BA1"/>
    <w:rsid w:val="00B55FBC"/>
    <w:rsid w:val="00B566A9"/>
    <w:rsid w:val="00B56C1B"/>
    <w:rsid w:val="00B56EF6"/>
    <w:rsid w:val="00B57916"/>
    <w:rsid w:val="00B57F69"/>
    <w:rsid w:val="00B60D6B"/>
    <w:rsid w:val="00B60FC7"/>
    <w:rsid w:val="00B619D8"/>
    <w:rsid w:val="00B61EAB"/>
    <w:rsid w:val="00B62325"/>
    <w:rsid w:val="00B62D57"/>
    <w:rsid w:val="00B6361C"/>
    <w:rsid w:val="00B639B4"/>
    <w:rsid w:val="00B662EB"/>
    <w:rsid w:val="00B66648"/>
    <w:rsid w:val="00B668F0"/>
    <w:rsid w:val="00B66D8A"/>
    <w:rsid w:val="00B671A3"/>
    <w:rsid w:val="00B677F9"/>
    <w:rsid w:val="00B67E55"/>
    <w:rsid w:val="00B70E1E"/>
    <w:rsid w:val="00B713CE"/>
    <w:rsid w:val="00B71E32"/>
    <w:rsid w:val="00B7524B"/>
    <w:rsid w:val="00B75826"/>
    <w:rsid w:val="00B75D01"/>
    <w:rsid w:val="00B76303"/>
    <w:rsid w:val="00B768ED"/>
    <w:rsid w:val="00B77254"/>
    <w:rsid w:val="00B77460"/>
    <w:rsid w:val="00B777DE"/>
    <w:rsid w:val="00B77B3C"/>
    <w:rsid w:val="00B805BC"/>
    <w:rsid w:val="00B80BB8"/>
    <w:rsid w:val="00B80FE8"/>
    <w:rsid w:val="00B8166D"/>
    <w:rsid w:val="00B8221D"/>
    <w:rsid w:val="00B82232"/>
    <w:rsid w:val="00B82E53"/>
    <w:rsid w:val="00B830CA"/>
    <w:rsid w:val="00B838FA"/>
    <w:rsid w:val="00B83FC4"/>
    <w:rsid w:val="00B84C93"/>
    <w:rsid w:val="00B85A15"/>
    <w:rsid w:val="00B86B08"/>
    <w:rsid w:val="00B86B9E"/>
    <w:rsid w:val="00B86C6C"/>
    <w:rsid w:val="00B86DB8"/>
    <w:rsid w:val="00B87290"/>
    <w:rsid w:val="00B9057A"/>
    <w:rsid w:val="00B90C26"/>
    <w:rsid w:val="00B91B23"/>
    <w:rsid w:val="00B91B4D"/>
    <w:rsid w:val="00B92687"/>
    <w:rsid w:val="00B92B64"/>
    <w:rsid w:val="00B92DC3"/>
    <w:rsid w:val="00B92E02"/>
    <w:rsid w:val="00B92E83"/>
    <w:rsid w:val="00B93330"/>
    <w:rsid w:val="00B93B6B"/>
    <w:rsid w:val="00B93C79"/>
    <w:rsid w:val="00B93D9F"/>
    <w:rsid w:val="00B94837"/>
    <w:rsid w:val="00B94E6C"/>
    <w:rsid w:val="00B95308"/>
    <w:rsid w:val="00B9567C"/>
    <w:rsid w:val="00B95861"/>
    <w:rsid w:val="00B96951"/>
    <w:rsid w:val="00B96B20"/>
    <w:rsid w:val="00B97455"/>
    <w:rsid w:val="00B97E56"/>
    <w:rsid w:val="00BA1062"/>
    <w:rsid w:val="00BA2E6C"/>
    <w:rsid w:val="00BA33ED"/>
    <w:rsid w:val="00BA33F9"/>
    <w:rsid w:val="00BA3B8D"/>
    <w:rsid w:val="00BA4C2E"/>
    <w:rsid w:val="00BA4FB1"/>
    <w:rsid w:val="00BA693E"/>
    <w:rsid w:val="00BA73FF"/>
    <w:rsid w:val="00BB07AE"/>
    <w:rsid w:val="00BB0978"/>
    <w:rsid w:val="00BB0AB4"/>
    <w:rsid w:val="00BB1368"/>
    <w:rsid w:val="00BB19E7"/>
    <w:rsid w:val="00BB1B67"/>
    <w:rsid w:val="00BB2810"/>
    <w:rsid w:val="00BB357B"/>
    <w:rsid w:val="00BB3F08"/>
    <w:rsid w:val="00BB40CD"/>
    <w:rsid w:val="00BB42ED"/>
    <w:rsid w:val="00BB4606"/>
    <w:rsid w:val="00BB500E"/>
    <w:rsid w:val="00BB5039"/>
    <w:rsid w:val="00BB533E"/>
    <w:rsid w:val="00BB5954"/>
    <w:rsid w:val="00BB5B4B"/>
    <w:rsid w:val="00BB6B8E"/>
    <w:rsid w:val="00BB6D1F"/>
    <w:rsid w:val="00BB767B"/>
    <w:rsid w:val="00BC0199"/>
    <w:rsid w:val="00BC11AD"/>
    <w:rsid w:val="00BC24BF"/>
    <w:rsid w:val="00BC257F"/>
    <w:rsid w:val="00BC2E6E"/>
    <w:rsid w:val="00BC35B5"/>
    <w:rsid w:val="00BC3879"/>
    <w:rsid w:val="00BC4984"/>
    <w:rsid w:val="00BC50B7"/>
    <w:rsid w:val="00BC7212"/>
    <w:rsid w:val="00BD00B3"/>
    <w:rsid w:val="00BD0A05"/>
    <w:rsid w:val="00BD0A1E"/>
    <w:rsid w:val="00BD0F35"/>
    <w:rsid w:val="00BD133F"/>
    <w:rsid w:val="00BD1E1F"/>
    <w:rsid w:val="00BD2947"/>
    <w:rsid w:val="00BD37D3"/>
    <w:rsid w:val="00BD3BC3"/>
    <w:rsid w:val="00BD3CCD"/>
    <w:rsid w:val="00BD4D97"/>
    <w:rsid w:val="00BD5469"/>
    <w:rsid w:val="00BD57C8"/>
    <w:rsid w:val="00BD5A09"/>
    <w:rsid w:val="00BD6B74"/>
    <w:rsid w:val="00BE082D"/>
    <w:rsid w:val="00BE0E57"/>
    <w:rsid w:val="00BE147B"/>
    <w:rsid w:val="00BE2315"/>
    <w:rsid w:val="00BE3009"/>
    <w:rsid w:val="00BE3033"/>
    <w:rsid w:val="00BE3765"/>
    <w:rsid w:val="00BE495B"/>
    <w:rsid w:val="00BE4B2D"/>
    <w:rsid w:val="00BE66DA"/>
    <w:rsid w:val="00BE6C24"/>
    <w:rsid w:val="00BE77B4"/>
    <w:rsid w:val="00BE7D5E"/>
    <w:rsid w:val="00BF0005"/>
    <w:rsid w:val="00BF0499"/>
    <w:rsid w:val="00BF04BF"/>
    <w:rsid w:val="00BF0813"/>
    <w:rsid w:val="00BF1032"/>
    <w:rsid w:val="00BF1361"/>
    <w:rsid w:val="00BF1372"/>
    <w:rsid w:val="00BF13B2"/>
    <w:rsid w:val="00BF156A"/>
    <w:rsid w:val="00BF29D2"/>
    <w:rsid w:val="00BF305F"/>
    <w:rsid w:val="00BF3723"/>
    <w:rsid w:val="00BF3EC9"/>
    <w:rsid w:val="00BF4C5D"/>
    <w:rsid w:val="00BF546E"/>
    <w:rsid w:val="00BF5A18"/>
    <w:rsid w:val="00BF5CE1"/>
    <w:rsid w:val="00BF7238"/>
    <w:rsid w:val="00C0061D"/>
    <w:rsid w:val="00C00703"/>
    <w:rsid w:val="00C012BA"/>
    <w:rsid w:val="00C01801"/>
    <w:rsid w:val="00C0387D"/>
    <w:rsid w:val="00C03EBF"/>
    <w:rsid w:val="00C05A18"/>
    <w:rsid w:val="00C07004"/>
    <w:rsid w:val="00C07658"/>
    <w:rsid w:val="00C1024B"/>
    <w:rsid w:val="00C10CD9"/>
    <w:rsid w:val="00C113D3"/>
    <w:rsid w:val="00C12884"/>
    <w:rsid w:val="00C128EC"/>
    <w:rsid w:val="00C12DE0"/>
    <w:rsid w:val="00C130DD"/>
    <w:rsid w:val="00C13383"/>
    <w:rsid w:val="00C13493"/>
    <w:rsid w:val="00C139F3"/>
    <w:rsid w:val="00C144AA"/>
    <w:rsid w:val="00C15D15"/>
    <w:rsid w:val="00C16534"/>
    <w:rsid w:val="00C169A4"/>
    <w:rsid w:val="00C1774A"/>
    <w:rsid w:val="00C20C38"/>
    <w:rsid w:val="00C20D59"/>
    <w:rsid w:val="00C218F6"/>
    <w:rsid w:val="00C21E63"/>
    <w:rsid w:val="00C232CE"/>
    <w:rsid w:val="00C23D2F"/>
    <w:rsid w:val="00C2406C"/>
    <w:rsid w:val="00C24341"/>
    <w:rsid w:val="00C255E4"/>
    <w:rsid w:val="00C2594C"/>
    <w:rsid w:val="00C25BBF"/>
    <w:rsid w:val="00C25C40"/>
    <w:rsid w:val="00C26722"/>
    <w:rsid w:val="00C26924"/>
    <w:rsid w:val="00C27396"/>
    <w:rsid w:val="00C2776D"/>
    <w:rsid w:val="00C277D9"/>
    <w:rsid w:val="00C27897"/>
    <w:rsid w:val="00C304E6"/>
    <w:rsid w:val="00C31115"/>
    <w:rsid w:val="00C3190F"/>
    <w:rsid w:val="00C31AC6"/>
    <w:rsid w:val="00C3306F"/>
    <w:rsid w:val="00C34039"/>
    <w:rsid w:val="00C3473A"/>
    <w:rsid w:val="00C3486A"/>
    <w:rsid w:val="00C34926"/>
    <w:rsid w:val="00C34B69"/>
    <w:rsid w:val="00C356E0"/>
    <w:rsid w:val="00C35760"/>
    <w:rsid w:val="00C360ED"/>
    <w:rsid w:val="00C37524"/>
    <w:rsid w:val="00C415DA"/>
    <w:rsid w:val="00C41A2E"/>
    <w:rsid w:val="00C41A30"/>
    <w:rsid w:val="00C41B1A"/>
    <w:rsid w:val="00C41C95"/>
    <w:rsid w:val="00C41FA7"/>
    <w:rsid w:val="00C42041"/>
    <w:rsid w:val="00C439A2"/>
    <w:rsid w:val="00C43E1E"/>
    <w:rsid w:val="00C4417F"/>
    <w:rsid w:val="00C443BD"/>
    <w:rsid w:val="00C44475"/>
    <w:rsid w:val="00C451C5"/>
    <w:rsid w:val="00C4574C"/>
    <w:rsid w:val="00C45EDD"/>
    <w:rsid w:val="00C45FA1"/>
    <w:rsid w:val="00C46121"/>
    <w:rsid w:val="00C47142"/>
    <w:rsid w:val="00C47458"/>
    <w:rsid w:val="00C47738"/>
    <w:rsid w:val="00C47826"/>
    <w:rsid w:val="00C5073C"/>
    <w:rsid w:val="00C50BF5"/>
    <w:rsid w:val="00C50F58"/>
    <w:rsid w:val="00C52822"/>
    <w:rsid w:val="00C53CBA"/>
    <w:rsid w:val="00C55A8E"/>
    <w:rsid w:val="00C55B82"/>
    <w:rsid w:val="00C56347"/>
    <w:rsid w:val="00C611E4"/>
    <w:rsid w:val="00C633BA"/>
    <w:rsid w:val="00C6390D"/>
    <w:rsid w:val="00C64049"/>
    <w:rsid w:val="00C646B5"/>
    <w:rsid w:val="00C651B2"/>
    <w:rsid w:val="00C65588"/>
    <w:rsid w:val="00C655B5"/>
    <w:rsid w:val="00C6623C"/>
    <w:rsid w:val="00C6648D"/>
    <w:rsid w:val="00C6686B"/>
    <w:rsid w:val="00C66B26"/>
    <w:rsid w:val="00C66F85"/>
    <w:rsid w:val="00C673C5"/>
    <w:rsid w:val="00C67634"/>
    <w:rsid w:val="00C705B7"/>
    <w:rsid w:val="00C70CA4"/>
    <w:rsid w:val="00C72E98"/>
    <w:rsid w:val="00C73D60"/>
    <w:rsid w:val="00C73D86"/>
    <w:rsid w:val="00C75062"/>
    <w:rsid w:val="00C754E8"/>
    <w:rsid w:val="00C757B5"/>
    <w:rsid w:val="00C75974"/>
    <w:rsid w:val="00C75C45"/>
    <w:rsid w:val="00C75EC1"/>
    <w:rsid w:val="00C763E9"/>
    <w:rsid w:val="00C76584"/>
    <w:rsid w:val="00C770E2"/>
    <w:rsid w:val="00C777AD"/>
    <w:rsid w:val="00C80D3F"/>
    <w:rsid w:val="00C8155C"/>
    <w:rsid w:val="00C82189"/>
    <w:rsid w:val="00C8227B"/>
    <w:rsid w:val="00C840AC"/>
    <w:rsid w:val="00C8420C"/>
    <w:rsid w:val="00C84599"/>
    <w:rsid w:val="00C8466B"/>
    <w:rsid w:val="00C85596"/>
    <w:rsid w:val="00C8784E"/>
    <w:rsid w:val="00C907FD"/>
    <w:rsid w:val="00C90A14"/>
    <w:rsid w:val="00C9161D"/>
    <w:rsid w:val="00C9215B"/>
    <w:rsid w:val="00C92858"/>
    <w:rsid w:val="00C928F3"/>
    <w:rsid w:val="00C92EEF"/>
    <w:rsid w:val="00C93AF9"/>
    <w:rsid w:val="00C94497"/>
    <w:rsid w:val="00C944E6"/>
    <w:rsid w:val="00C95671"/>
    <w:rsid w:val="00C96C27"/>
    <w:rsid w:val="00C974E5"/>
    <w:rsid w:val="00C97C56"/>
    <w:rsid w:val="00CA0AB1"/>
    <w:rsid w:val="00CA0C1D"/>
    <w:rsid w:val="00CA0FD8"/>
    <w:rsid w:val="00CA2698"/>
    <w:rsid w:val="00CA2910"/>
    <w:rsid w:val="00CA300A"/>
    <w:rsid w:val="00CA312C"/>
    <w:rsid w:val="00CA37A2"/>
    <w:rsid w:val="00CA3DF0"/>
    <w:rsid w:val="00CA56C3"/>
    <w:rsid w:val="00CA61EC"/>
    <w:rsid w:val="00CA658B"/>
    <w:rsid w:val="00CA6C38"/>
    <w:rsid w:val="00CA7519"/>
    <w:rsid w:val="00CA7C00"/>
    <w:rsid w:val="00CA7FEE"/>
    <w:rsid w:val="00CB0736"/>
    <w:rsid w:val="00CB1709"/>
    <w:rsid w:val="00CB1E6D"/>
    <w:rsid w:val="00CB2379"/>
    <w:rsid w:val="00CB29E2"/>
    <w:rsid w:val="00CB2EBD"/>
    <w:rsid w:val="00CB3A54"/>
    <w:rsid w:val="00CB5BBD"/>
    <w:rsid w:val="00CB62A9"/>
    <w:rsid w:val="00CB693D"/>
    <w:rsid w:val="00CB6AA1"/>
    <w:rsid w:val="00CB7FE9"/>
    <w:rsid w:val="00CC072B"/>
    <w:rsid w:val="00CC1A15"/>
    <w:rsid w:val="00CC1AFF"/>
    <w:rsid w:val="00CC213B"/>
    <w:rsid w:val="00CC3D95"/>
    <w:rsid w:val="00CC457B"/>
    <w:rsid w:val="00CC4FEB"/>
    <w:rsid w:val="00CC5BBA"/>
    <w:rsid w:val="00CC7007"/>
    <w:rsid w:val="00CD0D2F"/>
    <w:rsid w:val="00CD1654"/>
    <w:rsid w:val="00CD186A"/>
    <w:rsid w:val="00CD292B"/>
    <w:rsid w:val="00CD29C5"/>
    <w:rsid w:val="00CD2AD7"/>
    <w:rsid w:val="00CD2E99"/>
    <w:rsid w:val="00CD30E5"/>
    <w:rsid w:val="00CD4F7B"/>
    <w:rsid w:val="00CD5462"/>
    <w:rsid w:val="00CD5A8E"/>
    <w:rsid w:val="00CD5DED"/>
    <w:rsid w:val="00CD5DF9"/>
    <w:rsid w:val="00CD6275"/>
    <w:rsid w:val="00CD6390"/>
    <w:rsid w:val="00CD69F3"/>
    <w:rsid w:val="00CD6E20"/>
    <w:rsid w:val="00CD702A"/>
    <w:rsid w:val="00CE02A8"/>
    <w:rsid w:val="00CE06A0"/>
    <w:rsid w:val="00CE092A"/>
    <w:rsid w:val="00CE12FB"/>
    <w:rsid w:val="00CE2663"/>
    <w:rsid w:val="00CE2916"/>
    <w:rsid w:val="00CE34FE"/>
    <w:rsid w:val="00CE35A9"/>
    <w:rsid w:val="00CE4D10"/>
    <w:rsid w:val="00CE533B"/>
    <w:rsid w:val="00CE5D84"/>
    <w:rsid w:val="00CE604B"/>
    <w:rsid w:val="00CE6616"/>
    <w:rsid w:val="00CE737B"/>
    <w:rsid w:val="00CE73D5"/>
    <w:rsid w:val="00CF08E3"/>
    <w:rsid w:val="00CF1217"/>
    <w:rsid w:val="00CF1848"/>
    <w:rsid w:val="00CF1E59"/>
    <w:rsid w:val="00CF33F2"/>
    <w:rsid w:val="00CF3A22"/>
    <w:rsid w:val="00CF3FEB"/>
    <w:rsid w:val="00CF48AF"/>
    <w:rsid w:val="00CF4DAC"/>
    <w:rsid w:val="00CF58D6"/>
    <w:rsid w:val="00CF5A0A"/>
    <w:rsid w:val="00CF5F05"/>
    <w:rsid w:val="00CF6348"/>
    <w:rsid w:val="00CF7A56"/>
    <w:rsid w:val="00CF7B74"/>
    <w:rsid w:val="00D023BB"/>
    <w:rsid w:val="00D0241E"/>
    <w:rsid w:val="00D02CE7"/>
    <w:rsid w:val="00D02EAA"/>
    <w:rsid w:val="00D0307F"/>
    <w:rsid w:val="00D039D9"/>
    <w:rsid w:val="00D03F25"/>
    <w:rsid w:val="00D0570B"/>
    <w:rsid w:val="00D05C35"/>
    <w:rsid w:val="00D06F85"/>
    <w:rsid w:val="00D07432"/>
    <w:rsid w:val="00D07E8D"/>
    <w:rsid w:val="00D100F7"/>
    <w:rsid w:val="00D1134D"/>
    <w:rsid w:val="00D11CD7"/>
    <w:rsid w:val="00D11FE2"/>
    <w:rsid w:val="00D12044"/>
    <w:rsid w:val="00D128DE"/>
    <w:rsid w:val="00D12AA3"/>
    <w:rsid w:val="00D12EAF"/>
    <w:rsid w:val="00D12F65"/>
    <w:rsid w:val="00D13149"/>
    <w:rsid w:val="00D14210"/>
    <w:rsid w:val="00D14E16"/>
    <w:rsid w:val="00D151DF"/>
    <w:rsid w:val="00D1520E"/>
    <w:rsid w:val="00D15297"/>
    <w:rsid w:val="00D15F9D"/>
    <w:rsid w:val="00D17172"/>
    <w:rsid w:val="00D1744E"/>
    <w:rsid w:val="00D1789E"/>
    <w:rsid w:val="00D17E9D"/>
    <w:rsid w:val="00D17F05"/>
    <w:rsid w:val="00D200C5"/>
    <w:rsid w:val="00D21171"/>
    <w:rsid w:val="00D21850"/>
    <w:rsid w:val="00D21E43"/>
    <w:rsid w:val="00D24F4C"/>
    <w:rsid w:val="00D2529B"/>
    <w:rsid w:val="00D27CED"/>
    <w:rsid w:val="00D27F84"/>
    <w:rsid w:val="00D30E5B"/>
    <w:rsid w:val="00D31AC3"/>
    <w:rsid w:val="00D3230D"/>
    <w:rsid w:val="00D329AD"/>
    <w:rsid w:val="00D33EFC"/>
    <w:rsid w:val="00D33FB0"/>
    <w:rsid w:val="00D3437E"/>
    <w:rsid w:val="00D34515"/>
    <w:rsid w:val="00D34E53"/>
    <w:rsid w:val="00D35155"/>
    <w:rsid w:val="00D35643"/>
    <w:rsid w:val="00D36515"/>
    <w:rsid w:val="00D37737"/>
    <w:rsid w:val="00D37C01"/>
    <w:rsid w:val="00D4071D"/>
    <w:rsid w:val="00D40BFF"/>
    <w:rsid w:val="00D40DBC"/>
    <w:rsid w:val="00D41088"/>
    <w:rsid w:val="00D41C08"/>
    <w:rsid w:val="00D41F00"/>
    <w:rsid w:val="00D42260"/>
    <w:rsid w:val="00D42DB5"/>
    <w:rsid w:val="00D43907"/>
    <w:rsid w:val="00D440CB"/>
    <w:rsid w:val="00D4421E"/>
    <w:rsid w:val="00D44328"/>
    <w:rsid w:val="00D443A1"/>
    <w:rsid w:val="00D443C5"/>
    <w:rsid w:val="00D44C20"/>
    <w:rsid w:val="00D44E7E"/>
    <w:rsid w:val="00D44EAB"/>
    <w:rsid w:val="00D464B1"/>
    <w:rsid w:val="00D47166"/>
    <w:rsid w:val="00D47977"/>
    <w:rsid w:val="00D506F5"/>
    <w:rsid w:val="00D51029"/>
    <w:rsid w:val="00D514D4"/>
    <w:rsid w:val="00D51DF4"/>
    <w:rsid w:val="00D51EB5"/>
    <w:rsid w:val="00D523F3"/>
    <w:rsid w:val="00D53994"/>
    <w:rsid w:val="00D53B64"/>
    <w:rsid w:val="00D5478E"/>
    <w:rsid w:val="00D54ACF"/>
    <w:rsid w:val="00D54E29"/>
    <w:rsid w:val="00D56C9A"/>
    <w:rsid w:val="00D56DC3"/>
    <w:rsid w:val="00D57B62"/>
    <w:rsid w:val="00D60197"/>
    <w:rsid w:val="00D60B17"/>
    <w:rsid w:val="00D61B79"/>
    <w:rsid w:val="00D62719"/>
    <w:rsid w:val="00D62B55"/>
    <w:rsid w:val="00D639F0"/>
    <w:rsid w:val="00D63A69"/>
    <w:rsid w:val="00D64523"/>
    <w:rsid w:val="00D66274"/>
    <w:rsid w:val="00D66F43"/>
    <w:rsid w:val="00D676FB"/>
    <w:rsid w:val="00D67730"/>
    <w:rsid w:val="00D67DB4"/>
    <w:rsid w:val="00D70199"/>
    <w:rsid w:val="00D71DAD"/>
    <w:rsid w:val="00D71FA4"/>
    <w:rsid w:val="00D72AD6"/>
    <w:rsid w:val="00D73207"/>
    <w:rsid w:val="00D735C2"/>
    <w:rsid w:val="00D74012"/>
    <w:rsid w:val="00D742E3"/>
    <w:rsid w:val="00D7477D"/>
    <w:rsid w:val="00D75386"/>
    <w:rsid w:val="00D762BC"/>
    <w:rsid w:val="00D765EE"/>
    <w:rsid w:val="00D76605"/>
    <w:rsid w:val="00D76A18"/>
    <w:rsid w:val="00D77560"/>
    <w:rsid w:val="00D77AC1"/>
    <w:rsid w:val="00D77B46"/>
    <w:rsid w:val="00D77B89"/>
    <w:rsid w:val="00D8015F"/>
    <w:rsid w:val="00D806E8"/>
    <w:rsid w:val="00D80849"/>
    <w:rsid w:val="00D8181F"/>
    <w:rsid w:val="00D823DE"/>
    <w:rsid w:val="00D82539"/>
    <w:rsid w:val="00D82E8F"/>
    <w:rsid w:val="00D8487C"/>
    <w:rsid w:val="00D85B09"/>
    <w:rsid w:val="00D86DF8"/>
    <w:rsid w:val="00D86E7A"/>
    <w:rsid w:val="00D87161"/>
    <w:rsid w:val="00D87EA2"/>
    <w:rsid w:val="00D91513"/>
    <w:rsid w:val="00D91756"/>
    <w:rsid w:val="00D92850"/>
    <w:rsid w:val="00D92897"/>
    <w:rsid w:val="00D92A35"/>
    <w:rsid w:val="00D92D2F"/>
    <w:rsid w:val="00D92E19"/>
    <w:rsid w:val="00D92FE6"/>
    <w:rsid w:val="00D93471"/>
    <w:rsid w:val="00D934B1"/>
    <w:rsid w:val="00D93531"/>
    <w:rsid w:val="00D94633"/>
    <w:rsid w:val="00D952A9"/>
    <w:rsid w:val="00D955C3"/>
    <w:rsid w:val="00D962BC"/>
    <w:rsid w:val="00D96B72"/>
    <w:rsid w:val="00D97699"/>
    <w:rsid w:val="00D97964"/>
    <w:rsid w:val="00DA0C54"/>
    <w:rsid w:val="00DA1659"/>
    <w:rsid w:val="00DA1E51"/>
    <w:rsid w:val="00DA235B"/>
    <w:rsid w:val="00DA2529"/>
    <w:rsid w:val="00DA2636"/>
    <w:rsid w:val="00DA2738"/>
    <w:rsid w:val="00DA34E9"/>
    <w:rsid w:val="00DA36D8"/>
    <w:rsid w:val="00DA3B0D"/>
    <w:rsid w:val="00DA4458"/>
    <w:rsid w:val="00DA4879"/>
    <w:rsid w:val="00DA5439"/>
    <w:rsid w:val="00DA56DD"/>
    <w:rsid w:val="00DB094D"/>
    <w:rsid w:val="00DB0C47"/>
    <w:rsid w:val="00DB13F8"/>
    <w:rsid w:val="00DB1C0F"/>
    <w:rsid w:val="00DB1D24"/>
    <w:rsid w:val="00DB29C7"/>
    <w:rsid w:val="00DB315B"/>
    <w:rsid w:val="00DB35C5"/>
    <w:rsid w:val="00DB3952"/>
    <w:rsid w:val="00DB4261"/>
    <w:rsid w:val="00DB42F1"/>
    <w:rsid w:val="00DB4713"/>
    <w:rsid w:val="00DB4ABE"/>
    <w:rsid w:val="00DB4BFE"/>
    <w:rsid w:val="00DB4F45"/>
    <w:rsid w:val="00DB5541"/>
    <w:rsid w:val="00DB5734"/>
    <w:rsid w:val="00DB58AD"/>
    <w:rsid w:val="00DB5BD2"/>
    <w:rsid w:val="00DB62AD"/>
    <w:rsid w:val="00DB6EE2"/>
    <w:rsid w:val="00DB705B"/>
    <w:rsid w:val="00DB7426"/>
    <w:rsid w:val="00DB7D5F"/>
    <w:rsid w:val="00DC073B"/>
    <w:rsid w:val="00DC0B54"/>
    <w:rsid w:val="00DC12D8"/>
    <w:rsid w:val="00DC2AE3"/>
    <w:rsid w:val="00DC2CC8"/>
    <w:rsid w:val="00DC49DD"/>
    <w:rsid w:val="00DC509E"/>
    <w:rsid w:val="00DC513C"/>
    <w:rsid w:val="00DC54A9"/>
    <w:rsid w:val="00DC5883"/>
    <w:rsid w:val="00DC784C"/>
    <w:rsid w:val="00DD0AA1"/>
    <w:rsid w:val="00DD0BBC"/>
    <w:rsid w:val="00DD118C"/>
    <w:rsid w:val="00DD1CF9"/>
    <w:rsid w:val="00DD257F"/>
    <w:rsid w:val="00DD32AF"/>
    <w:rsid w:val="00DD33CC"/>
    <w:rsid w:val="00DD34A7"/>
    <w:rsid w:val="00DD4C94"/>
    <w:rsid w:val="00DD51E1"/>
    <w:rsid w:val="00DD5512"/>
    <w:rsid w:val="00DD5807"/>
    <w:rsid w:val="00DD6D25"/>
    <w:rsid w:val="00DE0123"/>
    <w:rsid w:val="00DE04BF"/>
    <w:rsid w:val="00DE1768"/>
    <w:rsid w:val="00DE1F31"/>
    <w:rsid w:val="00DE2EF9"/>
    <w:rsid w:val="00DE477F"/>
    <w:rsid w:val="00DE4E1B"/>
    <w:rsid w:val="00DE4F53"/>
    <w:rsid w:val="00DE5514"/>
    <w:rsid w:val="00DE6A6A"/>
    <w:rsid w:val="00DE701A"/>
    <w:rsid w:val="00DF0079"/>
    <w:rsid w:val="00DF0536"/>
    <w:rsid w:val="00DF08EA"/>
    <w:rsid w:val="00DF1073"/>
    <w:rsid w:val="00DF1077"/>
    <w:rsid w:val="00DF165C"/>
    <w:rsid w:val="00DF1A5F"/>
    <w:rsid w:val="00DF3EF7"/>
    <w:rsid w:val="00DF4DEF"/>
    <w:rsid w:val="00DF5E9A"/>
    <w:rsid w:val="00DF5FF7"/>
    <w:rsid w:val="00DF6119"/>
    <w:rsid w:val="00DF760B"/>
    <w:rsid w:val="00DF7C61"/>
    <w:rsid w:val="00E00D7E"/>
    <w:rsid w:val="00E00EF0"/>
    <w:rsid w:val="00E01557"/>
    <w:rsid w:val="00E02237"/>
    <w:rsid w:val="00E04223"/>
    <w:rsid w:val="00E04468"/>
    <w:rsid w:val="00E04C22"/>
    <w:rsid w:val="00E053B9"/>
    <w:rsid w:val="00E05B97"/>
    <w:rsid w:val="00E0690C"/>
    <w:rsid w:val="00E06C45"/>
    <w:rsid w:val="00E105B6"/>
    <w:rsid w:val="00E11100"/>
    <w:rsid w:val="00E11260"/>
    <w:rsid w:val="00E11AF9"/>
    <w:rsid w:val="00E12B78"/>
    <w:rsid w:val="00E12C19"/>
    <w:rsid w:val="00E13643"/>
    <w:rsid w:val="00E13655"/>
    <w:rsid w:val="00E13714"/>
    <w:rsid w:val="00E1419F"/>
    <w:rsid w:val="00E155BF"/>
    <w:rsid w:val="00E15698"/>
    <w:rsid w:val="00E1576C"/>
    <w:rsid w:val="00E15CF3"/>
    <w:rsid w:val="00E15EF7"/>
    <w:rsid w:val="00E17703"/>
    <w:rsid w:val="00E17875"/>
    <w:rsid w:val="00E21972"/>
    <w:rsid w:val="00E21C50"/>
    <w:rsid w:val="00E231FB"/>
    <w:rsid w:val="00E23E91"/>
    <w:rsid w:val="00E23F8D"/>
    <w:rsid w:val="00E24916"/>
    <w:rsid w:val="00E24A8A"/>
    <w:rsid w:val="00E24F88"/>
    <w:rsid w:val="00E250F7"/>
    <w:rsid w:val="00E253DB"/>
    <w:rsid w:val="00E25BD2"/>
    <w:rsid w:val="00E25C71"/>
    <w:rsid w:val="00E26A12"/>
    <w:rsid w:val="00E27366"/>
    <w:rsid w:val="00E27936"/>
    <w:rsid w:val="00E30CE6"/>
    <w:rsid w:val="00E30F64"/>
    <w:rsid w:val="00E3177D"/>
    <w:rsid w:val="00E31FF0"/>
    <w:rsid w:val="00E33345"/>
    <w:rsid w:val="00E3362B"/>
    <w:rsid w:val="00E33655"/>
    <w:rsid w:val="00E34E81"/>
    <w:rsid w:val="00E35B80"/>
    <w:rsid w:val="00E3622B"/>
    <w:rsid w:val="00E37614"/>
    <w:rsid w:val="00E37793"/>
    <w:rsid w:val="00E40222"/>
    <w:rsid w:val="00E408BE"/>
    <w:rsid w:val="00E40C56"/>
    <w:rsid w:val="00E41240"/>
    <w:rsid w:val="00E4237E"/>
    <w:rsid w:val="00E42551"/>
    <w:rsid w:val="00E42665"/>
    <w:rsid w:val="00E42B2F"/>
    <w:rsid w:val="00E42FCC"/>
    <w:rsid w:val="00E44E09"/>
    <w:rsid w:val="00E45F25"/>
    <w:rsid w:val="00E46E66"/>
    <w:rsid w:val="00E474A6"/>
    <w:rsid w:val="00E50644"/>
    <w:rsid w:val="00E50824"/>
    <w:rsid w:val="00E50937"/>
    <w:rsid w:val="00E509BA"/>
    <w:rsid w:val="00E5184C"/>
    <w:rsid w:val="00E51A20"/>
    <w:rsid w:val="00E51A9E"/>
    <w:rsid w:val="00E53442"/>
    <w:rsid w:val="00E5396A"/>
    <w:rsid w:val="00E53A2E"/>
    <w:rsid w:val="00E54011"/>
    <w:rsid w:val="00E54F9B"/>
    <w:rsid w:val="00E55119"/>
    <w:rsid w:val="00E55278"/>
    <w:rsid w:val="00E55CAD"/>
    <w:rsid w:val="00E55FF7"/>
    <w:rsid w:val="00E56000"/>
    <w:rsid w:val="00E562E2"/>
    <w:rsid w:val="00E56915"/>
    <w:rsid w:val="00E57609"/>
    <w:rsid w:val="00E57AA8"/>
    <w:rsid w:val="00E6159A"/>
    <w:rsid w:val="00E636B4"/>
    <w:rsid w:val="00E636C4"/>
    <w:rsid w:val="00E660A5"/>
    <w:rsid w:val="00E66235"/>
    <w:rsid w:val="00E663FD"/>
    <w:rsid w:val="00E66828"/>
    <w:rsid w:val="00E66CB3"/>
    <w:rsid w:val="00E677DD"/>
    <w:rsid w:val="00E70247"/>
    <w:rsid w:val="00E7060A"/>
    <w:rsid w:val="00E721B5"/>
    <w:rsid w:val="00E721BD"/>
    <w:rsid w:val="00E7291F"/>
    <w:rsid w:val="00E732A9"/>
    <w:rsid w:val="00E73E14"/>
    <w:rsid w:val="00E73F2C"/>
    <w:rsid w:val="00E745DD"/>
    <w:rsid w:val="00E74EED"/>
    <w:rsid w:val="00E76CBE"/>
    <w:rsid w:val="00E77B59"/>
    <w:rsid w:val="00E8011C"/>
    <w:rsid w:val="00E81663"/>
    <w:rsid w:val="00E82989"/>
    <w:rsid w:val="00E82DA1"/>
    <w:rsid w:val="00E830DC"/>
    <w:rsid w:val="00E83541"/>
    <w:rsid w:val="00E83746"/>
    <w:rsid w:val="00E83C24"/>
    <w:rsid w:val="00E842F3"/>
    <w:rsid w:val="00E85BFD"/>
    <w:rsid w:val="00E8628B"/>
    <w:rsid w:val="00E869CB"/>
    <w:rsid w:val="00E86AB4"/>
    <w:rsid w:val="00E86C5A"/>
    <w:rsid w:val="00E86DA3"/>
    <w:rsid w:val="00E90252"/>
    <w:rsid w:val="00E90CF9"/>
    <w:rsid w:val="00E913E9"/>
    <w:rsid w:val="00E91804"/>
    <w:rsid w:val="00E92EBE"/>
    <w:rsid w:val="00E9318D"/>
    <w:rsid w:val="00E9359A"/>
    <w:rsid w:val="00E940E5"/>
    <w:rsid w:val="00E94E8B"/>
    <w:rsid w:val="00E9590B"/>
    <w:rsid w:val="00E96472"/>
    <w:rsid w:val="00E964DB"/>
    <w:rsid w:val="00E965CE"/>
    <w:rsid w:val="00E969A8"/>
    <w:rsid w:val="00E97813"/>
    <w:rsid w:val="00E97D2A"/>
    <w:rsid w:val="00EA046D"/>
    <w:rsid w:val="00EA087D"/>
    <w:rsid w:val="00EA0E93"/>
    <w:rsid w:val="00EA27C1"/>
    <w:rsid w:val="00EA28A7"/>
    <w:rsid w:val="00EA3341"/>
    <w:rsid w:val="00EA4999"/>
    <w:rsid w:val="00EA4F78"/>
    <w:rsid w:val="00EA5180"/>
    <w:rsid w:val="00EA5213"/>
    <w:rsid w:val="00EA551A"/>
    <w:rsid w:val="00EA670E"/>
    <w:rsid w:val="00EA6C81"/>
    <w:rsid w:val="00EB01D3"/>
    <w:rsid w:val="00EB0247"/>
    <w:rsid w:val="00EB05D8"/>
    <w:rsid w:val="00EB0E7F"/>
    <w:rsid w:val="00EB179D"/>
    <w:rsid w:val="00EB2C4D"/>
    <w:rsid w:val="00EB4B5B"/>
    <w:rsid w:val="00EB51D3"/>
    <w:rsid w:val="00EB60B7"/>
    <w:rsid w:val="00EC06C4"/>
    <w:rsid w:val="00EC0D06"/>
    <w:rsid w:val="00EC10FF"/>
    <w:rsid w:val="00EC20FF"/>
    <w:rsid w:val="00EC2369"/>
    <w:rsid w:val="00EC266A"/>
    <w:rsid w:val="00EC3156"/>
    <w:rsid w:val="00EC366C"/>
    <w:rsid w:val="00EC419A"/>
    <w:rsid w:val="00EC4396"/>
    <w:rsid w:val="00EC44B9"/>
    <w:rsid w:val="00EC4E33"/>
    <w:rsid w:val="00EC5134"/>
    <w:rsid w:val="00EC55E8"/>
    <w:rsid w:val="00EC6295"/>
    <w:rsid w:val="00EC79B5"/>
    <w:rsid w:val="00ED1A29"/>
    <w:rsid w:val="00ED2FE1"/>
    <w:rsid w:val="00ED372C"/>
    <w:rsid w:val="00ED43C0"/>
    <w:rsid w:val="00ED44AE"/>
    <w:rsid w:val="00ED4F77"/>
    <w:rsid w:val="00ED50C3"/>
    <w:rsid w:val="00ED562F"/>
    <w:rsid w:val="00ED5822"/>
    <w:rsid w:val="00ED58B3"/>
    <w:rsid w:val="00EE09A8"/>
    <w:rsid w:val="00EE1002"/>
    <w:rsid w:val="00EE1C24"/>
    <w:rsid w:val="00EE3023"/>
    <w:rsid w:val="00EE30D5"/>
    <w:rsid w:val="00EE3116"/>
    <w:rsid w:val="00EE33BE"/>
    <w:rsid w:val="00EE370F"/>
    <w:rsid w:val="00EE448D"/>
    <w:rsid w:val="00EE4496"/>
    <w:rsid w:val="00EE5647"/>
    <w:rsid w:val="00EE5F41"/>
    <w:rsid w:val="00EE6174"/>
    <w:rsid w:val="00EE62CF"/>
    <w:rsid w:val="00EE67E6"/>
    <w:rsid w:val="00EE7309"/>
    <w:rsid w:val="00EE7B0C"/>
    <w:rsid w:val="00EF0CB3"/>
    <w:rsid w:val="00EF19EC"/>
    <w:rsid w:val="00EF1A75"/>
    <w:rsid w:val="00EF1DCB"/>
    <w:rsid w:val="00EF2299"/>
    <w:rsid w:val="00EF3D85"/>
    <w:rsid w:val="00EF4248"/>
    <w:rsid w:val="00EF4BA6"/>
    <w:rsid w:val="00EF4BBC"/>
    <w:rsid w:val="00EF6A1A"/>
    <w:rsid w:val="00EF739F"/>
    <w:rsid w:val="00EF7577"/>
    <w:rsid w:val="00EF768C"/>
    <w:rsid w:val="00F00EE4"/>
    <w:rsid w:val="00F00FE2"/>
    <w:rsid w:val="00F011EB"/>
    <w:rsid w:val="00F01F90"/>
    <w:rsid w:val="00F0284F"/>
    <w:rsid w:val="00F0327A"/>
    <w:rsid w:val="00F035FB"/>
    <w:rsid w:val="00F037CE"/>
    <w:rsid w:val="00F04907"/>
    <w:rsid w:val="00F04A06"/>
    <w:rsid w:val="00F04A1F"/>
    <w:rsid w:val="00F04B98"/>
    <w:rsid w:val="00F04D48"/>
    <w:rsid w:val="00F05948"/>
    <w:rsid w:val="00F06154"/>
    <w:rsid w:val="00F06C45"/>
    <w:rsid w:val="00F06F62"/>
    <w:rsid w:val="00F074E6"/>
    <w:rsid w:val="00F078CF"/>
    <w:rsid w:val="00F10415"/>
    <w:rsid w:val="00F10467"/>
    <w:rsid w:val="00F10F4D"/>
    <w:rsid w:val="00F117C0"/>
    <w:rsid w:val="00F12897"/>
    <w:rsid w:val="00F12C89"/>
    <w:rsid w:val="00F12F57"/>
    <w:rsid w:val="00F149A1"/>
    <w:rsid w:val="00F149D9"/>
    <w:rsid w:val="00F149EA"/>
    <w:rsid w:val="00F14BB0"/>
    <w:rsid w:val="00F14F8C"/>
    <w:rsid w:val="00F150F0"/>
    <w:rsid w:val="00F15BFC"/>
    <w:rsid w:val="00F15FFD"/>
    <w:rsid w:val="00F16044"/>
    <w:rsid w:val="00F16A89"/>
    <w:rsid w:val="00F16E9D"/>
    <w:rsid w:val="00F202E2"/>
    <w:rsid w:val="00F2084A"/>
    <w:rsid w:val="00F20ACF"/>
    <w:rsid w:val="00F21DF5"/>
    <w:rsid w:val="00F21FEC"/>
    <w:rsid w:val="00F2271A"/>
    <w:rsid w:val="00F22DDF"/>
    <w:rsid w:val="00F23373"/>
    <w:rsid w:val="00F234EF"/>
    <w:rsid w:val="00F23D52"/>
    <w:rsid w:val="00F24717"/>
    <w:rsid w:val="00F2503F"/>
    <w:rsid w:val="00F261FE"/>
    <w:rsid w:val="00F308AF"/>
    <w:rsid w:val="00F30A1E"/>
    <w:rsid w:val="00F312ED"/>
    <w:rsid w:val="00F31874"/>
    <w:rsid w:val="00F31BED"/>
    <w:rsid w:val="00F328B8"/>
    <w:rsid w:val="00F32C15"/>
    <w:rsid w:val="00F339A9"/>
    <w:rsid w:val="00F33A28"/>
    <w:rsid w:val="00F33C6E"/>
    <w:rsid w:val="00F33DDF"/>
    <w:rsid w:val="00F33EF9"/>
    <w:rsid w:val="00F3510E"/>
    <w:rsid w:val="00F35437"/>
    <w:rsid w:val="00F354D2"/>
    <w:rsid w:val="00F35D1E"/>
    <w:rsid w:val="00F36881"/>
    <w:rsid w:val="00F40369"/>
    <w:rsid w:val="00F40783"/>
    <w:rsid w:val="00F4105F"/>
    <w:rsid w:val="00F446A2"/>
    <w:rsid w:val="00F448D1"/>
    <w:rsid w:val="00F44ACE"/>
    <w:rsid w:val="00F45223"/>
    <w:rsid w:val="00F45565"/>
    <w:rsid w:val="00F463E3"/>
    <w:rsid w:val="00F4645E"/>
    <w:rsid w:val="00F466B8"/>
    <w:rsid w:val="00F47BDC"/>
    <w:rsid w:val="00F47BF4"/>
    <w:rsid w:val="00F5001C"/>
    <w:rsid w:val="00F511FE"/>
    <w:rsid w:val="00F51690"/>
    <w:rsid w:val="00F51C83"/>
    <w:rsid w:val="00F53193"/>
    <w:rsid w:val="00F5357E"/>
    <w:rsid w:val="00F53E29"/>
    <w:rsid w:val="00F53FF6"/>
    <w:rsid w:val="00F5486D"/>
    <w:rsid w:val="00F54A7A"/>
    <w:rsid w:val="00F54BCC"/>
    <w:rsid w:val="00F5526B"/>
    <w:rsid w:val="00F555AD"/>
    <w:rsid w:val="00F57E9D"/>
    <w:rsid w:val="00F601EC"/>
    <w:rsid w:val="00F61343"/>
    <w:rsid w:val="00F61ABD"/>
    <w:rsid w:val="00F62857"/>
    <w:rsid w:val="00F63532"/>
    <w:rsid w:val="00F64AFC"/>
    <w:rsid w:val="00F65612"/>
    <w:rsid w:val="00F6586C"/>
    <w:rsid w:val="00F65BEE"/>
    <w:rsid w:val="00F66AF4"/>
    <w:rsid w:val="00F66C62"/>
    <w:rsid w:val="00F6747E"/>
    <w:rsid w:val="00F679DE"/>
    <w:rsid w:val="00F67FF2"/>
    <w:rsid w:val="00F7083A"/>
    <w:rsid w:val="00F727E4"/>
    <w:rsid w:val="00F73120"/>
    <w:rsid w:val="00F7324D"/>
    <w:rsid w:val="00F73793"/>
    <w:rsid w:val="00F741AA"/>
    <w:rsid w:val="00F74776"/>
    <w:rsid w:val="00F754CF"/>
    <w:rsid w:val="00F75949"/>
    <w:rsid w:val="00F75F29"/>
    <w:rsid w:val="00F772DF"/>
    <w:rsid w:val="00F77D58"/>
    <w:rsid w:val="00F80396"/>
    <w:rsid w:val="00F803A6"/>
    <w:rsid w:val="00F80A23"/>
    <w:rsid w:val="00F8172E"/>
    <w:rsid w:val="00F81AE7"/>
    <w:rsid w:val="00F81CC4"/>
    <w:rsid w:val="00F827FA"/>
    <w:rsid w:val="00F84FE5"/>
    <w:rsid w:val="00F85763"/>
    <w:rsid w:val="00F8612B"/>
    <w:rsid w:val="00F865A0"/>
    <w:rsid w:val="00F86890"/>
    <w:rsid w:val="00F86BEB"/>
    <w:rsid w:val="00F87007"/>
    <w:rsid w:val="00F870C9"/>
    <w:rsid w:val="00F90649"/>
    <w:rsid w:val="00F91028"/>
    <w:rsid w:val="00F93285"/>
    <w:rsid w:val="00F94734"/>
    <w:rsid w:val="00F94774"/>
    <w:rsid w:val="00F94D7E"/>
    <w:rsid w:val="00F95291"/>
    <w:rsid w:val="00F95823"/>
    <w:rsid w:val="00F95AE6"/>
    <w:rsid w:val="00F95CC0"/>
    <w:rsid w:val="00F96B55"/>
    <w:rsid w:val="00F975BB"/>
    <w:rsid w:val="00F979E6"/>
    <w:rsid w:val="00F97CD2"/>
    <w:rsid w:val="00F97D1F"/>
    <w:rsid w:val="00FA0052"/>
    <w:rsid w:val="00FA0990"/>
    <w:rsid w:val="00FA1661"/>
    <w:rsid w:val="00FA2016"/>
    <w:rsid w:val="00FA25F0"/>
    <w:rsid w:val="00FA36D6"/>
    <w:rsid w:val="00FA3B4A"/>
    <w:rsid w:val="00FA3CA1"/>
    <w:rsid w:val="00FA3D8E"/>
    <w:rsid w:val="00FA3F77"/>
    <w:rsid w:val="00FA4014"/>
    <w:rsid w:val="00FA5708"/>
    <w:rsid w:val="00FA5F4E"/>
    <w:rsid w:val="00FA663B"/>
    <w:rsid w:val="00FA70EB"/>
    <w:rsid w:val="00FA740E"/>
    <w:rsid w:val="00FA78F1"/>
    <w:rsid w:val="00FB0587"/>
    <w:rsid w:val="00FB0EB5"/>
    <w:rsid w:val="00FB120E"/>
    <w:rsid w:val="00FB1934"/>
    <w:rsid w:val="00FB1D9D"/>
    <w:rsid w:val="00FB2057"/>
    <w:rsid w:val="00FB2CD1"/>
    <w:rsid w:val="00FB45DB"/>
    <w:rsid w:val="00FB474E"/>
    <w:rsid w:val="00FB69A3"/>
    <w:rsid w:val="00FB714B"/>
    <w:rsid w:val="00FB7D33"/>
    <w:rsid w:val="00FB7F29"/>
    <w:rsid w:val="00FC0F6F"/>
    <w:rsid w:val="00FC11C4"/>
    <w:rsid w:val="00FC1559"/>
    <w:rsid w:val="00FC19B1"/>
    <w:rsid w:val="00FC24F6"/>
    <w:rsid w:val="00FC3BA4"/>
    <w:rsid w:val="00FC3E8D"/>
    <w:rsid w:val="00FC4BA7"/>
    <w:rsid w:val="00FC53DB"/>
    <w:rsid w:val="00FD122A"/>
    <w:rsid w:val="00FD1E0A"/>
    <w:rsid w:val="00FD1F92"/>
    <w:rsid w:val="00FD278A"/>
    <w:rsid w:val="00FD422B"/>
    <w:rsid w:val="00FD4A2D"/>
    <w:rsid w:val="00FD4CCD"/>
    <w:rsid w:val="00FD6070"/>
    <w:rsid w:val="00FD62FB"/>
    <w:rsid w:val="00FD70AE"/>
    <w:rsid w:val="00FD755D"/>
    <w:rsid w:val="00FD761E"/>
    <w:rsid w:val="00FE2C99"/>
    <w:rsid w:val="00FE2EAF"/>
    <w:rsid w:val="00FE2ED2"/>
    <w:rsid w:val="00FE3E8C"/>
    <w:rsid w:val="00FE4344"/>
    <w:rsid w:val="00FE4FD2"/>
    <w:rsid w:val="00FE50A2"/>
    <w:rsid w:val="00FE51DB"/>
    <w:rsid w:val="00FE5EA0"/>
    <w:rsid w:val="00FE6672"/>
    <w:rsid w:val="00FE78BD"/>
    <w:rsid w:val="00FE79A5"/>
    <w:rsid w:val="00FF0394"/>
    <w:rsid w:val="00FF0FF6"/>
    <w:rsid w:val="00FF13AC"/>
    <w:rsid w:val="00FF1C51"/>
    <w:rsid w:val="00FF22CD"/>
    <w:rsid w:val="00FF3BFA"/>
    <w:rsid w:val="00FF3F7E"/>
    <w:rsid w:val="00FF4A36"/>
    <w:rsid w:val="00FF5095"/>
    <w:rsid w:val="00FF6442"/>
    <w:rsid w:val="00FF733D"/>
    <w:rsid w:val="00FF79BE"/>
    <w:rsid w:val="00FF7C98"/>
    <w:rsid w:val="012C59D6"/>
    <w:rsid w:val="0179C591"/>
    <w:rsid w:val="017B5397"/>
    <w:rsid w:val="023E6FEA"/>
    <w:rsid w:val="029C71D0"/>
    <w:rsid w:val="02E6AF69"/>
    <w:rsid w:val="0432EDE0"/>
    <w:rsid w:val="045BEAEC"/>
    <w:rsid w:val="04AC7D5C"/>
    <w:rsid w:val="04F5ADC3"/>
    <w:rsid w:val="05096DB8"/>
    <w:rsid w:val="052C53A0"/>
    <w:rsid w:val="05639B8D"/>
    <w:rsid w:val="05789FA2"/>
    <w:rsid w:val="059227D5"/>
    <w:rsid w:val="063A083E"/>
    <w:rsid w:val="064F0C53"/>
    <w:rsid w:val="06865440"/>
    <w:rsid w:val="06CB7E00"/>
    <w:rsid w:val="06CF84A7"/>
    <w:rsid w:val="07062A84"/>
    <w:rsid w:val="077F4137"/>
    <w:rsid w:val="07DF10F3"/>
    <w:rsid w:val="08D1ECC4"/>
    <w:rsid w:val="096E1C30"/>
    <w:rsid w:val="0978669B"/>
    <w:rsid w:val="09A5641D"/>
    <w:rsid w:val="09C7C201"/>
    <w:rsid w:val="09CB3F5D"/>
    <w:rsid w:val="0A4488E1"/>
    <w:rsid w:val="0A64B5EE"/>
    <w:rsid w:val="0A9EE41A"/>
    <w:rsid w:val="0AC0C7BD"/>
    <w:rsid w:val="0AC0FA8E"/>
    <w:rsid w:val="0AD3C6F5"/>
    <w:rsid w:val="0B5E7EA2"/>
    <w:rsid w:val="0B72A8E1"/>
    <w:rsid w:val="0BC86B68"/>
    <w:rsid w:val="0C55A7B2"/>
    <w:rsid w:val="0C9BBE97"/>
    <w:rsid w:val="0CDCA038"/>
    <w:rsid w:val="0CF7FE3C"/>
    <w:rsid w:val="0D803A94"/>
    <w:rsid w:val="0DD3784B"/>
    <w:rsid w:val="0DE2CCF2"/>
    <w:rsid w:val="0E8E629C"/>
    <w:rsid w:val="0F03305B"/>
    <w:rsid w:val="0F0E5D3C"/>
    <w:rsid w:val="0F976AA6"/>
    <w:rsid w:val="0FB59AE1"/>
    <w:rsid w:val="0FCEB293"/>
    <w:rsid w:val="0FEA1097"/>
    <w:rsid w:val="102BA2EF"/>
    <w:rsid w:val="109AD4D9"/>
    <w:rsid w:val="11369506"/>
    <w:rsid w:val="114E5BA2"/>
    <w:rsid w:val="12006F97"/>
    <w:rsid w:val="1216E0A4"/>
    <w:rsid w:val="1224FB24"/>
    <w:rsid w:val="123E05E0"/>
    <w:rsid w:val="129F618A"/>
    <w:rsid w:val="12EBE05D"/>
    <w:rsid w:val="12F83FAC"/>
    <w:rsid w:val="1382605B"/>
    <w:rsid w:val="13BD0CDF"/>
    <w:rsid w:val="13FE9F37"/>
    <w:rsid w:val="140958E1"/>
    <w:rsid w:val="14365663"/>
    <w:rsid w:val="14440565"/>
    <w:rsid w:val="14C79954"/>
    <w:rsid w:val="14C7CC25"/>
    <w:rsid w:val="14D17BA2"/>
    <w:rsid w:val="15170D7F"/>
    <w:rsid w:val="153FE7B4"/>
    <w:rsid w:val="156D8746"/>
    <w:rsid w:val="15E013F5"/>
    <w:rsid w:val="15E32FC5"/>
    <w:rsid w:val="168976CB"/>
    <w:rsid w:val="17339E51"/>
    <w:rsid w:val="178CE0FE"/>
    <w:rsid w:val="17AC2F7E"/>
    <w:rsid w:val="182B2552"/>
    <w:rsid w:val="18D54220"/>
    <w:rsid w:val="18F785F8"/>
    <w:rsid w:val="1966B7E2"/>
    <w:rsid w:val="19721F2F"/>
    <w:rsid w:val="19797442"/>
    <w:rsid w:val="197EB14F"/>
    <w:rsid w:val="1A28FEFC"/>
    <w:rsid w:val="1AB63B46"/>
    <w:rsid w:val="1AFF6BAD"/>
    <w:rsid w:val="1B1BD068"/>
    <w:rsid w:val="1B60C757"/>
    <w:rsid w:val="1B6D8C48"/>
    <w:rsid w:val="1C0C7E3B"/>
    <w:rsid w:val="1C2D94E1"/>
    <w:rsid w:val="1C47CCCF"/>
    <w:rsid w:val="1CB0B05D"/>
    <w:rsid w:val="1CD53BEA"/>
    <w:rsid w:val="1D056B32"/>
    <w:rsid w:val="1D7218F9"/>
    <w:rsid w:val="1D8AC48C"/>
    <w:rsid w:val="1DA5A031"/>
    <w:rsid w:val="1DEBB84D"/>
    <w:rsid w:val="1F2B8E18"/>
    <w:rsid w:val="1F48C7B4"/>
    <w:rsid w:val="200E7FAE"/>
    <w:rsid w:val="20CAB878"/>
    <w:rsid w:val="21133F09"/>
    <w:rsid w:val="21229E98"/>
    <w:rsid w:val="221020C5"/>
    <w:rsid w:val="223384FC"/>
    <w:rsid w:val="224F4098"/>
    <w:rsid w:val="225F659C"/>
    <w:rsid w:val="22E27FA4"/>
    <w:rsid w:val="22E65E22"/>
    <w:rsid w:val="22FE3882"/>
    <w:rsid w:val="232B87E2"/>
    <w:rsid w:val="23588564"/>
    <w:rsid w:val="23E9C855"/>
    <w:rsid w:val="242EF215"/>
    <w:rsid w:val="24D5391B"/>
    <w:rsid w:val="2502369D"/>
    <w:rsid w:val="2524AD46"/>
    <w:rsid w:val="25742B0E"/>
    <w:rsid w:val="25D42A0F"/>
    <w:rsid w:val="25EE87D7"/>
    <w:rsid w:val="2638C570"/>
    <w:rsid w:val="2681ACDB"/>
    <w:rsid w:val="26A492C3"/>
    <w:rsid w:val="2706C34E"/>
    <w:rsid w:val="2729B17B"/>
    <w:rsid w:val="272B4EDB"/>
    <w:rsid w:val="274D1870"/>
    <w:rsid w:val="280AB35C"/>
    <w:rsid w:val="2816BFA1"/>
    <w:rsid w:val="2847C3CA"/>
    <w:rsid w:val="287E69A7"/>
    <w:rsid w:val="28C8A0C5"/>
    <w:rsid w:val="28CAB5A9"/>
    <w:rsid w:val="291A29D4"/>
    <w:rsid w:val="2931F070"/>
    <w:rsid w:val="29CC0AF8"/>
    <w:rsid w:val="29CE1FDC"/>
    <w:rsid w:val="2A0567C9"/>
    <w:rsid w:val="2A1D9407"/>
    <w:rsid w:val="2A8F8878"/>
    <w:rsid w:val="2ABFB7C0"/>
    <w:rsid w:val="2B707C02"/>
    <w:rsid w:val="2BECEDAF"/>
    <w:rsid w:val="2C0FAAEA"/>
    <w:rsid w:val="2C46E8B3"/>
    <w:rsid w:val="2CD2E193"/>
    <w:rsid w:val="2CF77A24"/>
    <w:rsid w:val="2DB1CA1B"/>
    <w:rsid w:val="2E20BF97"/>
    <w:rsid w:val="2F1D61B5"/>
    <w:rsid w:val="2F630CD5"/>
    <w:rsid w:val="2F6E60E8"/>
    <w:rsid w:val="2F8FC44C"/>
    <w:rsid w:val="30667D1B"/>
    <w:rsid w:val="3071CB1B"/>
    <w:rsid w:val="3073DFFF"/>
    <w:rsid w:val="30FF5C53"/>
    <w:rsid w:val="311CE98C"/>
    <w:rsid w:val="31261FE4"/>
    <w:rsid w:val="31AE921F"/>
    <w:rsid w:val="32065D90"/>
    <w:rsid w:val="320C93CA"/>
    <w:rsid w:val="323B2087"/>
    <w:rsid w:val="32465589"/>
    <w:rsid w:val="32642FB9"/>
    <w:rsid w:val="3281D6A7"/>
    <w:rsid w:val="32E980AD"/>
    <w:rsid w:val="332CBFAD"/>
    <w:rsid w:val="33811D8D"/>
    <w:rsid w:val="33B23E5C"/>
    <w:rsid w:val="33CA04F8"/>
    <w:rsid w:val="33ECEAE0"/>
    <w:rsid w:val="342432CD"/>
    <w:rsid w:val="344F1B6B"/>
    <w:rsid w:val="3477FC1A"/>
    <w:rsid w:val="3488AB0D"/>
    <w:rsid w:val="34B01477"/>
    <w:rsid w:val="34FEA625"/>
    <w:rsid w:val="350FA393"/>
    <w:rsid w:val="35354C02"/>
    <w:rsid w:val="353FC93E"/>
    <w:rsid w:val="3546EB80"/>
    <w:rsid w:val="3552859E"/>
    <w:rsid w:val="3577112B"/>
    <w:rsid w:val="35901BE7"/>
    <w:rsid w:val="35FB81C7"/>
    <w:rsid w:val="362E38F9"/>
    <w:rsid w:val="366281F1"/>
    <w:rsid w:val="36B1FFB9"/>
    <w:rsid w:val="37610E3E"/>
    <w:rsid w:val="377ABD68"/>
    <w:rsid w:val="37928404"/>
    <w:rsid w:val="37961B6C"/>
    <w:rsid w:val="37A098A8"/>
    <w:rsid w:val="37DC1EFB"/>
    <w:rsid w:val="392AC890"/>
    <w:rsid w:val="393545CC"/>
    <w:rsid w:val="39F3863F"/>
    <w:rsid w:val="3B049F74"/>
    <w:rsid w:val="3B8F6DA5"/>
    <w:rsid w:val="3BCD5D23"/>
    <w:rsid w:val="3C31A292"/>
    <w:rsid w:val="3C385816"/>
    <w:rsid w:val="3C6D0BFB"/>
    <w:rsid w:val="3CA6FB9A"/>
    <w:rsid w:val="3CB8CDE9"/>
    <w:rsid w:val="3D7B1503"/>
    <w:rsid w:val="3DCEF47C"/>
    <w:rsid w:val="3E202CE7"/>
    <w:rsid w:val="3E6541A9"/>
    <w:rsid w:val="3E763221"/>
    <w:rsid w:val="3F937E10"/>
    <w:rsid w:val="3FC2D9B1"/>
    <w:rsid w:val="3FE22831"/>
    <w:rsid w:val="3FF162E9"/>
    <w:rsid w:val="402751F1"/>
    <w:rsid w:val="40AE4A77"/>
    <w:rsid w:val="4240C643"/>
    <w:rsid w:val="42478BA2"/>
    <w:rsid w:val="4288215B"/>
    <w:rsid w:val="4327134E"/>
    <w:rsid w:val="43BE011A"/>
    <w:rsid w:val="441CCE7F"/>
    <w:rsid w:val="4474B49F"/>
    <w:rsid w:val="461BE830"/>
    <w:rsid w:val="46387429"/>
    <w:rsid w:val="467320AD"/>
    <w:rsid w:val="467D9DE9"/>
    <w:rsid w:val="47DDC5A7"/>
    <w:rsid w:val="48274F22"/>
    <w:rsid w:val="4876C34D"/>
    <w:rsid w:val="48972EAF"/>
    <w:rsid w:val="4918E706"/>
    <w:rsid w:val="49236442"/>
    <w:rsid w:val="499DC1F6"/>
    <w:rsid w:val="49BBFC46"/>
    <w:rsid w:val="49D3C2E2"/>
    <w:rsid w:val="49F6A8CA"/>
    <w:rsid w:val="4A731A77"/>
    <w:rsid w:val="4A923626"/>
    <w:rsid w:val="4AAA2F93"/>
    <w:rsid w:val="4AC36D20"/>
    <w:rsid w:val="4B38ACAC"/>
    <w:rsid w:val="4B3F09EC"/>
    <w:rsid w:val="4B68D5A8"/>
    <w:rsid w:val="4B95D32A"/>
    <w:rsid w:val="4B99D9D1"/>
    <w:rsid w:val="4BD07FAE"/>
    <w:rsid w:val="4C07C79B"/>
    <w:rsid w:val="4C32B039"/>
    <w:rsid w:val="4C54139D"/>
    <w:rsid w:val="4C6C0D0A"/>
    <w:rsid w:val="4C830B92"/>
    <w:rsid w:val="4C84C924"/>
    <w:rsid w:val="4CBBBDA3"/>
    <w:rsid w:val="4D5D2FA7"/>
    <w:rsid w:val="4D6FAA0E"/>
    <w:rsid w:val="4D9FD956"/>
    <w:rsid w:val="4DA68F68"/>
    <w:rsid w:val="4DAA5692"/>
    <w:rsid w:val="4DE19E7F"/>
    <w:rsid w:val="4DF66FC3"/>
    <w:rsid w:val="4E11CDC7"/>
    <w:rsid w:val="4E236D45"/>
    <w:rsid w:val="4E959487"/>
    <w:rsid w:val="4E9A838E"/>
    <w:rsid w:val="4EC29209"/>
    <w:rsid w:val="4F6C0138"/>
    <w:rsid w:val="4F98FEBA"/>
    <w:rsid w:val="4FFD4429"/>
    <w:rsid w:val="500BFEE8"/>
    <w:rsid w:val="501C92A9"/>
    <w:rsid w:val="5049902B"/>
    <w:rsid w:val="508F0184"/>
    <w:rsid w:val="50E6A00B"/>
    <w:rsid w:val="50F41C3C"/>
    <w:rsid w:val="5108036F"/>
    <w:rsid w:val="51123C92"/>
    <w:rsid w:val="5165269C"/>
    <w:rsid w:val="5172D59E"/>
    <w:rsid w:val="517CED38"/>
    <w:rsid w:val="518591FE"/>
    <w:rsid w:val="51BF21A0"/>
    <w:rsid w:val="523B6D59"/>
    <w:rsid w:val="52B80E97"/>
    <w:rsid w:val="52E1DA53"/>
    <w:rsid w:val="5312DE7C"/>
    <w:rsid w:val="5384D2ED"/>
    <w:rsid w:val="53C5F606"/>
    <w:rsid w:val="54BD5588"/>
    <w:rsid w:val="54C96039"/>
    <w:rsid w:val="552DA5A8"/>
    <w:rsid w:val="5532E1A3"/>
    <w:rsid w:val="55456C44"/>
    <w:rsid w:val="56A3044C"/>
    <w:rsid w:val="56CDECEA"/>
    <w:rsid w:val="56D756E1"/>
    <w:rsid w:val="56EF504E"/>
    <w:rsid w:val="578E7512"/>
    <w:rsid w:val="57A13172"/>
    <w:rsid w:val="5881402E"/>
    <w:rsid w:val="58876209"/>
    <w:rsid w:val="5891DF45"/>
    <w:rsid w:val="58A49BA5"/>
    <w:rsid w:val="58B32F81"/>
    <w:rsid w:val="58F624B4"/>
    <w:rsid w:val="58FE96A9"/>
    <w:rsid w:val="59501FB8"/>
    <w:rsid w:val="596BCCBA"/>
    <w:rsid w:val="59900C6B"/>
    <w:rsid w:val="59B497F8"/>
    <w:rsid w:val="59C9693C"/>
    <w:rsid w:val="59F98EE7"/>
    <w:rsid w:val="5A0415C0"/>
    <w:rsid w:val="5A6E7740"/>
    <w:rsid w:val="5A7E7289"/>
    <w:rsid w:val="5AAD84EF"/>
    <w:rsid w:val="5AE83173"/>
    <w:rsid w:val="5B81DCBC"/>
    <w:rsid w:val="5BA8D0A9"/>
    <w:rsid w:val="5D9F974A"/>
    <w:rsid w:val="5DAE1B2D"/>
    <w:rsid w:val="5DDA43CE"/>
    <w:rsid w:val="5DE4C10A"/>
    <w:rsid w:val="5DFCBA77"/>
    <w:rsid w:val="5E1C08F7"/>
    <w:rsid w:val="5E3766FB"/>
    <w:rsid w:val="5EC24FFD"/>
    <w:rsid w:val="5F12E10A"/>
    <w:rsid w:val="5F1F732A"/>
    <w:rsid w:val="5F29385A"/>
    <w:rsid w:val="5FC5BA30"/>
    <w:rsid w:val="5FDD80CC"/>
    <w:rsid w:val="600AB11F"/>
    <w:rsid w:val="600AE3F0"/>
    <w:rsid w:val="60455DA3"/>
    <w:rsid w:val="604DC5FB"/>
    <w:rsid w:val="6076CDEE"/>
    <w:rsid w:val="60C0FF31"/>
    <w:rsid w:val="615196A6"/>
    <w:rsid w:val="618A5A2E"/>
    <w:rsid w:val="61A397BB"/>
    <w:rsid w:val="61B39206"/>
    <w:rsid w:val="6226899A"/>
    <w:rsid w:val="628DC461"/>
    <w:rsid w:val="6327DEE9"/>
    <w:rsid w:val="636CD5D8"/>
    <w:rsid w:val="637967F8"/>
    <w:rsid w:val="63C8E5C0"/>
    <w:rsid w:val="64ADBA82"/>
    <w:rsid w:val="64CF85CC"/>
    <w:rsid w:val="64D6CD2F"/>
    <w:rsid w:val="64F94D75"/>
    <w:rsid w:val="653E4464"/>
    <w:rsid w:val="6575BF22"/>
    <w:rsid w:val="65CD873F"/>
    <w:rsid w:val="65DA3762"/>
    <w:rsid w:val="66043F54"/>
    <w:rsid w:val="660734E4"/>
    <w:rsid w:val="6609EFAB"/>
    <w:rsid w:val="661AFA28"/>
    <w:rsid w:val="66534E15"/>
    <w:rsid w:val="66792955"/>
    <w:rsid w:val="667D80F0"/>
    <w:rsid w:val="66F272D9"/>
    <w:rsid w:val="67B28766"/>
    <w:rsid w:val="67C6CAA6"/>
    <w:rsid w:val="682C8827"/>
    <w:rsid w:val="6871E917"/>
    <w:rsid w:val="6875807F"/>
    <w:rsid w:val="690391AA"/>
    <w:rsid w:val="6946D07B"/>
    <w:rsid w:val="69534243"/>
    <w:rsid w:val="69A5E834"/>
    <w:rsid w:val="69C536B4"/>
    <w:rsid w:val="69CFB3F0"/>
    <w:rsid w:val="6A676060"/>
    <w:rsid w:val="6A73D4E3"/>
    <w:rsid w:val="6A8DF463"/>
    <w:rsid w:val="6AA45878"/>
    <w:rsid w:val="6AB8DD01"/>
    <w:rsid w:val="6AE09A54"/>
    <w:rsid w:val="6B6792DA"/>
    <w:rsid w:val="6C2596DF"/>
    <w:rsid w:val="6C7C9C8B"/>
    <w:rsid w:val="6CA7B7FA"/>
    <w:rsid w:val="6D25D8E9"/>
    <w:rsid w:val="6D2D29C7"/>
    <w:rsid w:val="6DE47EFE"/>
    <w:rsid w:val="6DFC459A"/>
    <w:rsid w:val="6EA2BF71"/>
    <w:rsid w:val="6EAE598F"/>
    <w:rsid w:val="6EC867E0"/>
    <w:rsid w:val="6EEBEFD8"/>
    <w:rsid w:val="6F2295B5"/>
    <w:rsid w:val="6F66097C"/>
    <w:rsid w:val="6F6759D3"/>
    <w:rsid w:val="6F712D89"/>
    <w:rsid w:val="6F948A26"/>
    <w:rsid w:val="6FA629A4"/>
    <w:rsid w:val="6FBE55E2"/>
    <w:rsid w:val="70001057"/>
    <w:rsid w:val="700DD3AA"/>
    <w:rsid w:val="70AC892F"/>
    <w:rsid w:val="70C18D44"/>
    <w:rsid w:val="70C1C015"/>
    <w:rsid w:val="70D69159"/>
    <w:rsid w:val="70DBC3BE"/>
    <w:rsid w:val="70EE57F5"/>
    <w:rsid w:val="70FC6C99"/>
    <w:rsid w:val="7133B486"/>
    <w:rsid w:val="7163E3CE"/>
    <w:rsid w:val="71CB128A"/>
    <w:rsid w:val="71E7AA8E"/>
    <w:rsid w:val="72EB14C1"/>
    <w:rsid w:val="73030E2E"/>
    <w:rsid w:val="7374B357"/>
    <w:rsid w:val="73D652B6"/>
    <w:rsid w:val="7438B612"/>
    <w:rsid w:val="743ACAF6"/>
    <w:rsid w:val="745A1976"/>
    <w:rsid w:val="7467C878"/>
    <w:rsid w:val="74C4EBA5"/>
    <w:rsid w:val="75293114"/>
    <w:rsid w:val="75832C18"/>
    <w:rsid w:val="75F011CE"/>
    <w:rsid w:val="76275E3A"/>
    <w:rsid w:val="762C9B47"/>
    <w:rsid w:val="76FFDFCF"/>
    <w:rsid w:val="771B0B02"/>
    <w:rsid w:val="77C9BA60"/>
    <w:rsid w:val="781B7640"/>
    <w:rsid w:val="7859CB50"/>
    <w:rsid w:val="791EADA2"/>
    <w:rsid w:val="79B3552A"/>
    <w:rsid w:val="79FFA12C"/>
    <w:rsid w:val="7A630515"/>
    <w:rsid w:val="7AABC867"/>
    <w:rsid w:val="7B17D306"/>
    <w:rsid w:val="7BA2D233"/>
    <w:rsid w:val="7BB49A32"/>
    <w:rsid w:val="7BD97810"/>
    <w:rsid w:val="7BF6B1AC"/>
    <w:rsid w:val="7BF75F6E"/>
    <w:rsid w:val="7C402B27"/>
    <w:rsid w:val="7CE79E7D"/>
    <w:rsid w:val="7CFC30C3"/>
    <w:rsid w:val="7D562BC7"/>
    <w:rsid w:val="7DD08890"/>
    <w:rsid w:val="7E71D1B8"/>
    <w:rsid w:val="7E7C0CA3"/>
    <w:rsid w:val="7F09D304"/>
    <w:rsid w:val="7F0D4F94"/>
    <w:rsid w:val="7F2253A9"/>
    <w:rsid w:val="7F5FE975"/>
    <w:rsid w:val="7F94481A"/>
    <w:rsid w:val="7FFCCDD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D510F450-7A2E-4188-BBA5-86CED5CF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fr-CA"/>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fr-CA"/>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fr-CA"/>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CA"/>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fr-CA"/>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fr-CA"/>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fr-CA"/>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fr-CA"/>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fr-CA"/>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fr-CA"/>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fr-CA"/>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fr-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fr-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fr-CA"/>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fr-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fr-CA"/>
    </w:rPr>
  </w:style>
  <w:style w:type="character" w:customStyle="1" w:styleId="Heading7Char">
    <w:name w:val="Heading 7 Char"/>
    <w:basedOn w:val="DefaultParagraphFont"/>
    <w:link w:val="Heading7"/>
    <w:rsid w:val="007E09DA"/>
    <w:rPr>
      <w:rFonts w:ascii="Univers" w:eastAsia="Times New Roman" w:hAnsi="Univers" w:cs="Times New Roman"/>
      <w:b/>
      <w:sz w:val="28"/>
      <w:lang w:val="fr-CA"/>
    </w:rPr>
  </w:style>
  <w:style w:type="character" w:customStyle="1" w:styleId="Heading8Char">
    <w:name w:val="Heading 8 Char"/>
    <w:basedOn w:val="DefaultParagraphFont"/>
    <w:link w:val="Heading8"/>
    <w:rsid w:val="007E09DA"/>
    <w:rPr>
      <w:rFonts w:ascii="Univers" w:eastAsia="Times New Roman" w:hAnsi="Univers" w:cs="Times New Roman"/>
      <w:b/>
      <w:sz w:val="32"/>
      <w:lang w:val="fr-CA"/>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fr-CA"/>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fr-CA"/>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fr-CA"/>
    </w:rPr>
  </w:style>
  <w:style w:type="paragraph" w:styleId="Revisio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action-arrow">
    <w:name w:val="action-arrow"/>
    <w:basedOn w:val="DefaultParagraphFont"/>
    <w:rsid w:val="00471AD9"/>
  </w:style>
  <w:style w:type="paragraph" w:customStyle="1" w:styleId="StylePara1HeadingsCSTimesNewRoman">
    <w:name w:val="Style Para1 + +Headings CS (Times New Roman)"/>
    <w:basedOn w:val="Para1"/>
    <w:rsid w:val="005130DC"/>
    <w:pPr>
      <w:numPr>
        <w:numId w:val="0"/>
      </w:numPr>
      <w:tabs>
        <w:tab w:val="num" w:pos="360"/>
      </w:tabs>
    </w:pPr>
    <w:rPr>
      <w:rFonts w:asciiTheme="majorBidi" w:hAnsiTheme="majorBidi"/>
    </w:rPr>
  </w:style>
  <w:style w:type="character" w:customStyle="1" w:styleId="CBD-ParaCharChar">
    <w:name w:val="CBD-Para Char Char"/>
    <w:link w:val="CBD-Para"/>
    <w:uiPriority w:val="99"/>
    <w:locked/>
    <w:rsid w:val="009D4B27"/>
    <w:rPr>
      <w:rFonts w:ascii="Times New Roman" w:eastAsia="Times New Roman" w:hAnsi="Times New Roman" w:cs="Times New Roman"/>
      <w:sz w:val="22"/>
      <w:szCs w:val="22"/>
      <w:lang w:val="fr-CA"/>
    </w:rPr>
  </w:style>
  <w:style w:type="paragraph" w:customStyle="1" w:styleId="CBD-Para">
    <w:name w:val="CBD-Para"/>
    <w:basedOn w:val="Normal"/>
    <w:link w:val="CBD-ParaCharChar"/>
    <w:uiPriority w:val="99"/>
    <w:rsid w:val="009D4B27"/>
    <w:pPr>
      <w:keepLines/>
      <w:numPr>
        <w:numId w:val="15"/>
      </w:numPr>
      <w:spacing w:before="120" w:after="120"/>
    </w:pPr>
    <w:rPr>
      <w:szCs w:val="22"/>
    </w:rPr>
  </w:style>
  <w:style w:type="paragraph" w:customStyle="1" w:styleId="CBD-Para-a">
    <w:name w:val="CBD-Para-a"/>
    <w:basedOn w:val="CBD-Para"/>
    <w:rsid w:val="009D4B27"/>
    <w:pPr>
      <w:numPr>
        <w:ilvl w:val="1"/>
      </w:numPr>
      <w:tabs>
        <w:tab w:val="clear" w:pos="1080"/>
        <w:tab w:val="num" w:pos="1440"/>
        <w:tab w:val="left" w:pos="1481"/>
      </w:tabs>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97023475">
      <w:bodyDiv w:val="1"/>
      <w:marLeft w:val="0"/>
      <w:marRight w:val="0"/>
      <w:marTop w:val="0"/>
      <w:marBottom w:val="0"/>
      <w:divBdr>
        <w:top w:val="none" w:sz="0" w:space="0" w:color="auto"/>
        <w:left w:val="none" w:sz="0" w:space="0" w:color="auto"/>
        <w:bottom w:val="none" w:sz="0" w:space="0" w:color="auto"/>
        <w:right w:val="none" w:sz="0" w:space="0" w:color="auto"/>
      </w:divBdr>
    </w:div>
    <w:div w:id="250700584">
      <w:bodyDiv w:val="1"/>
      <w:marLeft w:val="0"/>
      <w:marRight w:val="0"/>
      <w:marTop w:val="0"/>
      <w:marBottom w:val="0"/>
      <w:divBdr>
        <w:top w:val="none" w:sz="0" w:space="0" w:color="auto"/>
        <w:left w:val="none" w:sz="0" w:space="0" w:color="auto"/>
        <w:bottom w:val="none" w:sz="0" w:space="0" w:color="auto"/>
        <w:right w:val="none" w:sz="0" w:space="0" w:color="auto"/>
      </w:divBdr>
      <w:divsChild>
        <w:div w:id="30421759">
          <w:marLeft w:val="0"/>
          <w:marRight w:val="150"/>
          <w:marTop w:val="0"/>
          <w:marBottom w:val="0"/>
          <w:divBdr>
            <w:top w:val="none" w:sz="0" w:space="0" w:color="auto"/>
            <w:left w:val="none" w:sz="0" w:space="0" w:color="auto"/>
            <w:bottom w:val="none" w:sz="0" w:space="0" w:color="auto"/>
            <w:right w:val="none" w:sz="0" w:space="0" w:color="auto"/>
          </w:divBdr>
        </w:div>
        <w:div w:id="244730402">
          <w:marLeft w:val="0"/>
          <w:marRight w:val="150"/>
          <w:marTop w:val="0"/>
          <w:marBottom w:val="0"/>
          <w:divBdr>
            <w:top w:val="none" w:sz="0" w:space="0" w:color="auto"/>
            <w:left w:val="none" w:sz="0" w:space="0" w:color="auto"/>
            <w:bottom w:val="none" w:sz="0" w:space="0" w:color="auto"/>
            <w:right w:val="none" w:sz="0" w:space="0" w:color="auto"/>
          </w:divBdr>
        </w:div>
        <w:div w:id="266892943">
          <w:marLeft w:val="0"/>
          <w:marRight w:val="0"/>
          <w:marTop w:val="0"/>
          <w:marBottom w:val="0"/>
          <w:divBdr>
            <w:top w:val="none" w:sz="0" w:space="0" w:color="auto"/>
            <w:left w:val="none" w:sz="0" w:space="0" w:color="auto"/>
            <w:bottom w:val="none" w:sz="0" w:space="0" w:color="auto"/>
            <w:right w:val="none" w:sz="0" w:space="0" w:color="auto"/>
          </w:divBdr>
          <w:divsChild>
            <w:div w:id="887760812">
              <w:marLeft w:val="0"/>
              <w:marRight w:val="0"/>
              <w:marTop w:val="0"/>
              <w:marBottom w:val="0"/>
              <w:divBdr>
                <w:top w:val="none" w:sz="0" w:space="0" w:color="auto"/>
                <w:left w:val="none" w:sz="0" w:space="0" w:color="auto"/>
                <w:bottom w:val="none" w:sz="0" w:space="0" w:color="auto"/>
                <w:right w:val="none" w:sz="0" w:space="0" w:color="auto"/>
              </w:divBdr>
              <w:divsChild>
                <w:div w:id="18081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21986">
          <w:marLeft w:val="0"/>
          <w:marRight w:val="0"/>
          <w:marTop w:val="0"/>
          <w:marBottom w:val="0"/>
          <w:divBdr>
            <w:top w:val="none" w:sz="0" w:space="0" w:color="auto"/>
            <w:left w:val="none" w:sz="0" w:space="0" w:color="auto"/>
            <w:bottom w:val="none" w:sz="0" w:space="0" w:color="auto"/>
            <w:right w:val="none" w:sz="0" w:space="0" w:color="auto"/>
          </w:divBdr>
        </w:div>
        <w:div w:id="868375190">
          <w:marLeft w:val="0"/>
          <w:marRight w:val="0"/>
          <w:marTop w:val="0"/>
          <w:marBottom w:val="0"/>
          <w:divBdr>
            <w:top w:val="none" w:sz="0" w:space="0" w:color="auto"/>
            <w:left w:val="none" w:sz="0" w:space="0" w:color="auto"/>
            <w:bottom w:val="none" w:sz="0" w:space="0" w:color="auto"/>
            <w:right w:val="none" w:sz="0" w:space="0" w:color="auto"/>
          </w:divBdr>
          <w:divsChild>
            <w:div w:id="137843242">
              <w:marLeft w:val="0"/>
              <w:marRight w:val="0"/>
              <w:marTop w:val="0"/>
              <w:marBottom w:val="0"/>
              <w:divBdr>
                <w:top w:val="none" w:sz="0" w:space="0" w:color="auto"/>
                <w:left w:val="none" w:sz="0" w:space="0" w:color="auto"/>
                <w:bottom w:val="none" w:sz="0" w:space="0" w:color="auto"/>
                <w:right w:val="none" w:sz="0" w:space="0" w:color="auto"/>
              </w:divBdr>
              <w:divsChild>
                <w:div w:id="16997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6995">
          <w:marLeft w:val="0"/>
          <w:marRight w:val="0"/>
          <w:marTop w:val="0"/>
          <w:marBottom w:val="0"/>
          <w:divBdr>
            <w:top w:val="none" w:sz="0" w:space="0" w:color="auto"/>
            <w:left w:val="none" w:sz="0" w:space="0" w:color="auto"/>
            <w:bottom w:val="none" w:sz="0" w:space="0" w:color="auto"/>
            <w:right w:val="none" w:sz="0" w:space="0" w:color="auto"/>
          </w:divBdr>
        </w:div>
        <w:div w:id="1198084588">
          <w:marLeft w:val="0"/>
          <w:marRight w:val="0"/>
          <w:marTop w:val="0"/>
          <w:marBottom w:val="0"/>
          <w:divBdr>
            <w:top w:val="none" w:sz="0" w:space="0" w:color="auto"/>
            <w:left w:val="none" w:sz="0" w:space="0" w:color="auto"/>
            <w:bottom w:val="none" w:sz="0" w:space="0" w:color="auto"/>
            <w:right w:val="none" w:sz="0" w:space="0" w:color="auto"/>
          </w:divBdr>
          <w:divsChild>
            <w:div w:id="80807314">
              <w:marLeft w:val="0"/>
              <w:marRight w:val="0"/>
              <w:marTop w:val="0"/>
              <w:marBottom w:val="0"/>
              <w:divBdr>
                <w:top w:val="none" w:sz="0" w:space="0" w:color="auto"/>
                <w:left w:val="none" w:sz="0" w:space="0" w:color="auto"/>
                <w:bottom w:val="none" w:sz="0" w:space="0" w:color="auto"/>
                <w:right w:val="none" w:sz="0" w:space="0" w:color="auto"/>
              </w:divBdr>
              <w:divsChild>
                <w:div w:id="110476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99492">
          <w:marLeft w:val="0"/>
          <w:marRight w:val="150"/>
          <w:marTop w:val="0"/>
          <w:marBottom w:val="0"/>
          <w:divBdr>
            <w:top w:val="none" w:sz="0" w:space="0" w:color="auto"/>
            <w:left w:val="none" w:sz="0" w:space="0" w:color="auto"/>
            <w:bottom w:val="none" w:sz="0" w:space="0" w:color="auto"/>
            <w:right w:val="none" w:sz="0" w:space="0" w:color="auto"/>
          </w:divBdr>
        </w:div>
        <w:div w:id="1398935610">
          <w:marLeft w:val="0"/>
          <w:marRight w:val="0"/>
          <w:marTop w:val="0"/>
          <w:marBottom w:val="0"/>
          <w:divBdr>
            <w:top w:val="none" w:sz="0" w:space="0" w:color="auto"/>
            <w:left w:val="none" w:sz="0" w:space="0" w:color="auto"/>
            <w:bottom w:val="none" w:sz="0" w:space="0" w:color="auto"/>
            <w:right w:val="none" w:sz="0" w:space="0" w:color="auto"/>
          </w:divBdr>
          <w:divsChild>
            <w:div w:id="849683921">
              <w:marLeft w:val="0"/>
              <w:marRight w:val="0"/>
              <w:marTop w:val="0"/>
              <w:marBottom w:val="0"/>
              <w:divBdr>
                <w:top w:val="none" w:sz="0" w:space="0" w:color="auto"/>
                <w:left w:val="none" w:sz="0" w:space="0" w:color="auto"/>
                <w:bottom w:val="none" w:sz="0" w:space="0" w:color="auto"/>
                <w:right w:val="none" w:sz="0" w:space="0" w:color="auto"/>
              </w:divBdr>
              <w:divsChild>
                <w:div w:id="882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46196">
          <w:marLeft w:val="0"/>
          <w:marRight w:val="0"/>
          <w:marTop w:val="0"/>
          <w:marBottom w:val="0"/>
          <w:divBdr>
            <w:top w:val="none" w:sz="0" w:space="0" w:color="auto"/>
            <w:left w:val="none" w:sz="0" w:space="0" w:color="auto"/>
            <w:bottom w:val="none" w:sz="0" w:space="0" w:color="auto"/>
            <w:right w:val="none" w:sz="0" w:space="0" w:color="auto"/>
          </w:divBdr>
          <w:divsChild>
            <w:div w:id="805783072">
              <w:marLeft w:val="0"/>
              <w:marRight w:val="0"/>
              <w:marTop w:val="0"/>
              <w:marBottom w:val="0"/>
              <w:divBdr>
                <w:top w:val="none" w:sz="0" w:space="0" w:color="auto"/>
                <w:left w:val="none" w:sz="0" w:space="0" w:color="auto"/>
                <w:bottom w:val="none" w:sz="0" w:space="0" w:color="auto"/>
                <w:right w:val="none" w:sz="0" w:space="0" w:color="auto"/>
              </w:divBdr>
              <w:divsChild>
                <w:div w:id="203785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25408">
          <w:marLeft w:val="0"/>
          <w:marRight w:val="0"/>
          <w:marTop w:val="0"/>
          <w:marBottom w:val="0"/>
          <w:divBdr>
            <w:top w:val="none" w:sz="0" w:space="0" w:color="auto"/>
            <w:left w:val="none" w:sz="0" w:space="0" w:color="auto"/>
            <w:bottom w:val="none" w:sz="0" w:space="0" w:color="auto"/>
            <w:right w:val="none" w:sz="0" w:space="0" w:color="auto"/>
          </w:divBdr>
          <w:divsChild>
            <w:div w:id="2069455324">
              <w:marLeft w:val="0"/>
              <w:marRight w:val="0"/>
              <w:marTop w:val="0"/>
              <w:marBottom w:val="0"/>
              <w:divBdr>
                <w:top w:val="none" w:sz="0" w:space="0" w:color="auto"/>
                <w:left w:val="none" w:sz="0" w:space="0" w:color="auto"/>
                <w:bottom w:val="none" w:sz="0" w:space="0" w:color="auto"/>
                <w:right w:val="none" w:sz="0" w:space="0" w:color="auto"/>
              </w:divBdr>
              <w:divsChild>
                <w:div w:id="14517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17432">
          <w:marLeft w:val="0"/>
          <w:marRight w:val="0"/>
          <w:marTop w:val="0"/>
          <w:marBottom w:val="0"/>
          <w:divBdr>
            <w:top w:val="none" w:sz="0" w:space="0" w:color="auto"/>
            <w:left w:val="none" w:sz="0" w:space="0" w:color="auto"/>
            <w:bottom w:val="none" w:sz="0" w:space="0" w:color="auto"/>
            <w:right w:val="none" w:sz="0" w:space="0" w:color="auto"/>
          </w:divBdr>
        </w:div>
        <w:div w:id="1828474251">
          <w:marLeft w:val="0"/>
          <w:marRight w:val="150"/>
          <w:marTop w:val="0"/>
          <w:marBottom w:val="0"/>
          <w:divBdr>
            <w:top w:val="none" w:sz="0" w:space="0" w:color="auto"/>
            <w:left w:val="none" w:sz="0" w:space="0" w:color="auto"/>
            <w:bottom w:val="none" w:sz="0" w:space="0" w:color="auto"/>
            <w:right w:val="none" w:sz="0" w:space="0" w:color="auto"/>
          </w:divBdr>
        </w:div>
        <w:div w:id="1873886138">
          <w:marLeft w:val="0"/>
          <w:marRight w:val="0"/>
          <w:marTop w:val="0"/>
          <w:marBottom w:val="0"/>
          <w:divBdr>
            <w:top w:val="none" w:sz="0" w:space="0" w:color="auto"/>
            <w:left w:val="none" w:sz="0" w:space="0" w:color="auto"/>
            <w:bottom w:val="none" w:sz="0" w:space="0" w:color="auto"/>
            <w:right w:val="none" w:sz="0" w:space="0" w:color="auto"/>
          </w:divBdr>
        </w:div>
        <w:div w:id="1875076947">
          <w:marLeft w:val="0"/>
          <w:marRight w:val="0"/>
          <w:marTop w:val="0"/>
          <w:marBottom w:val="0"/>
          <w:divBdr>
            <w:top w:val="none" w:sz="0" w:space="0" w:color="auto"/>
            <w:left w:val="none" w:sz="0" w:space="0" w:color="auto"/>
            <w:bottom w:val="none" w:sz="0" w:space="0" w:color="auto"/>
            <w:right w:val="none" w:sz="0" w:space="0" w:color="auto"/>
          </w:divBdr>
        </w:div>
        <w:div w:id="1882788711">
          <w:marLeft w:val="0"/>
          <w:marRight w:val="150"/>
          <w:marTop w:val="0"/>
          <w:marBottom w:val="0"/>
          <w:divBdr>
            <w:top w:val="none" w:sz="0" w:space="0" w:color="auto"/>
            <w:left w:val="none" w:sz="0" w:space="0" w:color="auto"/>
            <w:bottom w:val="none" w:sz="0" w:space="0" w:color="auto"/>
            <w:right w:val="none" w:sz="0" w:space="0" w:color="auto"/>
          </w:divBdr>
        </w:div>
      </w:divsChild>
    </w:div>
    <w:div w:id="456601697">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4/wg2020-04-rec-01-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93D07"/>
    <w:rsid w:val="001952F1"/>
    <w:rsid w:val="00271723"/>
    <w:rsid w:val="002811B7"/>
    <w:rsid w:val="00282649"/>
    <w:rsid w:val="002E7079"/>
    <w:rsid w:val="003225DA"/>
    <w:rsid w:val="003A030E"/>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87513"/>
    <w:rsid w:val="006D6819"/>
    <w:rsid w:val="0072448C"/>
    <w:rsid w:val="00756E36"/>
    <w:rsid w:val="00810A55"/>
    <w:rsid w:val="00874614"/>
    <w:rsid w:val="00894A80"/>
    <w:rsid w:val="008C6619"/>
    <w:rsid w:val="008D420E"/>
    <w:rsid w:val="008F2D6B"/>
    <w:rsid w:val="008F3D3E"/>
    <w:rsid w:val="0090323A"/>
    <w:rsid w:val="00943997"/>
    <w:rsid w:val="0098642F"/>
    <w:rsid w:val="009A1D33"/>
    <w:rsid w:val="00A01265"/>
    <w:rsid w:val="00A70FC4"/>
    <w:rsid w:val="00A9109C"/>
    <w:rsid w:val="00B06EB7"/>
    <w:rsid w:val="00B83D53"/>
    <w:rsid w:val="00B941B7"/>
    <w:rsid w:val="00BE54DF"/>
    <w:rsid w:val="00C259ED"/>
    <w:rsid w:val="00C6793D"/>
    <w:rsid w:val="00C76B7C"/>
    <w:rsid w:val="00C8104B"/>
    <w:rsid w:val="00C8220E"/>
    <w:rsid w:val="00D31D12"/>
    <w:rsid w:val="00D55806"/>
    <w:rsid w:val="00D869B5"/>
    <w:rsid w:val="00DC3CE5"/>
    <w:rsid w:val="00E86380"/>
    <w:rsid w:val="00EA693C"/>
    <w:rsid w:val="00F163FF"/>
    <w:rsid w:val="00F56FCB"/>
    <w:rsid w:val="00F930B5"/>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B83B56-FE6F-4D78-9D0A-6B65C70F8694}">
  <ds:schemaRefs>
    <ds:schemaRef ds:uri="http://schemas.openxmlformats.org/officeDocument/2006/bibliography"/>
  </ds:schemaRefs>
</ds:datastoreItem>
</file>

<file path=customXml/itemProps3.xml><?xml version="1.0" encoding="utf-8"?>
<ds:datastoreItem xmlns:ds="http://schemas.openxmlformats.org/officeDocument/2006/customXml" ds:itemID="{BA8CCE85-5D93-462F-9607-A96D6DE4E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13</Pages>
  <Words>6695</Words>
  <Characters>38164</Characters>
  <Application>Microsoft Office Word</Application>
  <DocSecurity>0</DocSecurity>
  <Lines>318</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de synthese sur L’EXAMEN DES PROGRAMMES DE COOPÉRATION TECHNIQUE ET SCIENTIFIQUE</vt:lpstr>
      <vt:lpstr>SUMMARY REPORT ON THE REVIEW OF TECHNICAL AND SCIENTIFIC COOPERATION PROGRAMMEs</vt:lpstr>
    </vt:vector>
  </TitlesOfParts>
  <Company>United Nations</Company>
  <LinksUpToDate>false</LinksUpToDate>
  <CharactersWithSpaces>44770</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synthese sur L’EXAMEN DES PROGRAMMES DE COOPÉRATION TECHNIQUE ET SCIENTIFIQUE</dc:title>
  <dc:subject>CBD/COP/15/12</dc:subject>
  <dc:creator>SCBD</dc:creator>
  <cp:keywords>Convention on Biological Diversity, Conference of the Parties, fifteenth meeting, Kunming, China, 11-15 October 2021 and 25 April-8 May 2022</cp:keywords>
  <cp:lastModifiedBy>Xue He Yan</cp:lastModifiedBy>
  <cp:revision>18</cp:revision>
  <cp:lastPrinted>2022-10-11T19:56:00Z</cp:lastPrinted>
  <dcterms:created xsi:type="dcterms:W3CDTF">2022-11-13T18:43:00Z</dcterms:created>
  <dcterms:modified xsi:type="dcterms:W3CDTF">2022-11-21T14:09:00Z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02c1e24d37e9d645fb9a9d33578b998dedee2effa9f526aa274d94b6dc96b15e</vt:lpwstr>
  </property>
</Properties>
</file>