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</w:rPr>
              <w:drawing>
                <wp:inline distT="0" distB="0" distL="0" distR="0" wp14:anchorId="52B8CB13" wp14:editId="165373D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</w:rPr>
              <w:drawing>
                <wp:inline distT="0" distB="0" distL="0" distR="0" wp14:anchorId="1A8FEB14" wp14:editId="1E3A2E4B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</w:rPr>
              <w:drawing>
                <wp:inline distT="0" distB="0" distL="0" distR="0" wp14:anchorId="6946CB67" wp14:editId="5BF62DA5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705B56">
            <w:pPr>
              <w:ind w:left="1147"/>
              <w:rPr>
                <w:rFonts w:cs="Times New Roman"/>
                <w:szCs w:val="22"/>
              </w:rPr>
            </w:pPr>
            <w:r w:rsidRPr="00C9161D">
              <w:rPr>
                <w:rFonts w:cs="Times New Roman"/>
                <w:szCs w:val="22"/>
              </w:rPr>
              <w:t>Distr.</w:t>
            </w:r>
          </w:p>
          <w:p w:rsidR="00C9161D" w:rsidRPr="00C9161D" w:rsidRDefault="00001A65" w:rsidP="00705B56">
            <w:pPr>
              <w:ind w:left="1147"/>
              <w:rPr>
                <w:rFonts w:cs="Times New Roman"/>
                <w:szCs w:val="22"/>
              </w:rPr>
            </w:pPr>
            <w:sdt>
              <w:sdtPr>
                <w:rPr>
                  <w:rFonts w:cs="Times New Roman"/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05372" w:rsidRPr="00105372">
                  <w:rPr>
                    <w:rFonts w:cs="Times New Roman"/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705B56">
            <w:pPr>
              <w:ind w:left="1147"/>
              <w:rPr>
                <w:rFonts w:cs="Times New Roman"/>
                <w:szCs w:val="22"/>
              </w:rPr>
            </w:pPr>
          </w:p>
          <w:p w:rsidR="00C9161D" w:rsidRPr="00C9161D" w:rsidRDefault="00001A65" w:rsidP="00705B56">
            <w:pPr>
              <w:ind w:left="1147"/>
              <w:rPr>
                <w:rFonts w:cs="Times New Roman"/>
                <w:szCs w:val="22"/>
              </w:rPr>
            </w:pPr>
            <w:sdt>
              <w:sdtPr>
                <w:rPr>
                  <w:rFonts w:eastAsia="Times New Roman" w:cs="Times New Roman"/>
                  <w:lang w:val="en-GB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74E5B" w:rsidRPr="00774E5B">
                  <w:rPr>
                    <w:rFonts w:eastAsia="Times New Roman" w:cs="Times New Roman"/>
                    <w:lang w:val="en-GB"/>
                  </w:rPr>
                  <w:t>CBD/CP/MB/WS/2017/1/1</w:t>
                </w:r>
              </w:sdtContent>
            </w:sdt>
          </w:p>
          <w:p w:rsidR="00C9161D" w:rsidRPr="00C9161D" w:rsidRDefault="00001A65" w:rsidP="00705B56">
            <w:pPr>
              <w:ind w:left="1147"/>
              <w:rPr>
                <w:rFonts w:cs="Times New Roman"/>
                <w:szCs w:val="22"/>
              </w:rPr>
            </w:pPr>
            <w:sdt>
              <w:sdtPr>
                <w:rPr>
                  <w:rFonts w:cs="Times New Roman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0-0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4E5B">
                  <w:rPr>
                    <w:rFonts w:cs="Times New Roman"/>
                    <w:szCs w:val="22"/>
                  </w:rPr>
                  <w:t>4 October 2017</w:t>
                </w:r>
              </w:sdtContent>
            </w:sdt>
          </w:p>
          <w:p w:rsidR="00C9161D" w:rsidRPr="00C9161D" w:rsidRDefault="00C9161D" w:rsidP="00705B56">
            <w:pPr>
              <w:ind w:left="1147"/>
              <w:rPr>
                <w:rFonts w:cs="Times New Roman"/>
                <w:szCs w:val="22"/>
              </w:rPr>
            </w:pPr>
          </w:p>
          <w:p w:rsidR="00C9161D" w:rsidRPr="00C9161D" w:rsidRDefault="00C9161D" w:rsidP="00705B56">
            <w:pPr>
              <w:ind w:left="1147"/>
              <w:rPr>
                <w:rFonts w:cs="Times New Roman"/>
                <w:szCs w:val="22"/>
              </w:rPr>
            </w:pPr>
            <w:r w:rsidRPr="00C9161D">
              <w:rPr>
                <w:rFonts w:cs="Times New Roman"/>
                <w:szCs w:val="22"/>
              </w:rPr>
              <w:t>ENGLISH</w:t>
            </w:r>
            <w:r w:rsidR="00774E5B">
              <w:rPr>
                <w:rFonts w:cs="Times New Roman"/>
                <w:szCs w:val="22"/>
              </w:rPr>
              <w:t xml:space="preserve"> ONLY</w:t>
            </w:r>
          </w:p>
          <w:p w:rsidR="00C9161D" w:rsidRDefault="00C9161D"/>
        </w:tc>
      </w:tr>
    </w:tbl>
    <w:p w:rsidR="00774E5B" w:rsidRDefault="00774E5B" w:rsidP="00774E5B">
      <w:pPr>
        <w:ind w:left="142" w:right="3508" w:hanging="142"/>
        <w:rPr>
          <w:szCs w:val="22"/>
        </w:rPr>
      </w:pPr>
      <w:r>
        <w:rPr>
          <w:szCs w:val="22"/>
        </w:rPr>
        <w:t>ASIAN SUBREGIONAL WORKSHOP ON STRENGTHENING CAPACITIES FOR THE INTEGRATED IMPLEMENTATION OF THE CARTAGENA PROTOCOL ON BIOSAFETY, THE NAGOYA-KUALA LUMPUR SUPPLEMENTARY PROTOCOL ON LIABILITY AND REDRESS AND THE CONVENTION ON BIOLOGICAL DIVERSITY</w:t>
      </w:r>
    </w:p>
    <w:p w:rsidR="00774E5B" w:rsidRDefault="00774E5B" w:rsidP="00774E5B">
      <w:pPr>
        <w:pStyle w:val="Cornernotation"/>
        <w:ind w:right="3298" w:hanging="302"/>
        <w:jc w:val="left"/>
        <w:rPr>
          <w:kern w:val="22"/>
        </w:rPr>
      </w:pPr>
      <w:r>
        <w:rPr>
          <w:kern w:val="22"/>
        </w:rPr>
        <w:t>Kuala Lumpur, 6 – 10 November 2017</w:t>
      </w:r>
    </w:p>
    <w:p w:rsidR="00C9161D" w:rsidRPr="00C9161D" w:rsidRDefault="00C9161D" w:rsidP="00C9161D"/>
    <w:p w:rsidR="00C9161D" w:rsidRPr="00105372" w:rsidRDefault="00001A65" w:rsidP="00C9161D">
      <w:pPr>
        <w:jc w:val="center"/>
        <w:rPr>
          <w:b/>
          <w:caps/>
        </w:rPr>
      </w:pPr>
      <w:sdt>
        <w:sdtPr>
          <w:rPr>
            <w:rFonts w:eastAsia="Times New Roman" w:cs="Times New Roman"/>
            <w:b/>
            <w:caps/>
            <w:kern w:val="22"/>
            <w:lang w:val="en-GB" w:eastAsia="x-none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4E5B" w:rsidRPr="00774E5B">
            <w:rPr>
              <w:rFonts w:eastAsia="Times New Roman" w:cs="Times New Roman"/>
              <w:b/>
              <w:caps/>
              <w:kern w:val="22"/>
              <w:lang w:val="en-GB" w:eastAsia="x-none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C9161D" w:rsidRDefault="00C9161D" w:rsidP="00C9161D"/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napToGrid w:val="0"/>
          <w:kern w:val="22"/>
        </w:rPr>
        <w:t xml:space="preserve">Opening of the </w:t>
      </w:r>
      <w:r w:rsidR="00001A65">
        <w:rPr>
          <w:snapToGrid w:val="0"/>
          <w:kern w:val="22"/>
        </w:rPr>
        <w:t>workshop</w:t>
      </w:r>
      <w:r w:rsidR="00705B56">
        <w:rPr>
          <w:snapToGrid w:val="0"/>
          <w:kern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Overview and objectives of the workshop</w:t>
      </w:r>
      <w:r w:rsidR="00705B56">
        <w:rPr>
          <w:szCs w:val="22"/>
        </w:rPr>
        <w:t>.</w:t>
      </w:r>
      <w:bookmarkStart w:id="0" w:name="_GoBack"/>
      <w:bookmarkEnd w:id="0"/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Integrated implementation: mainstreaming biosafety at the national level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Project status overview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E-learning module and toolkit on mainstreaming biosafety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Selecting entry points and opportunities for integrated implementation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Development of a national strategy for biosafety mainstreaming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Evaluation of the e-learning module, toolkit and strategy development tool</w:t>
      </w:r>
      <w:r w:rsidR="00705B56">
        <w:rPr>
          <w:szCs w:val="22"/>
        </w:rPr>
        <w:t>.</w:t>
      </w:r>
    </w:p>
    <w:p w:rsidR="00774E5B" w:rsidRDefault="00705B56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Liability and r</w:t>
      </w:r>
      <w:r w:rsidR="00774E5B">
        <w:rPr>
          <w:szCs w:val="22"/>
        </w:rPr>
        <w:t>edress – basic concepts</w:t>
      </w:r>
      <w:r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Overview of the Nagoya-Kuala Lumpur Supplementary Protocol</w:t>
      </w:r>
      <w:r w:rsidR="000F2A99">
        <w:rPr>
          <w:szCs w:val="22"/>
        </w:rPr>
        <w:t xml:space="preserve"> on Liability and Redress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Signature, ratification, entry into force and implementation of international instruments</w:t>
      </w:r>
      <w:r w:rsidR="00705B56">
        <w:rPr>
          <w:szCs w:val="22"/>
        </w:rPr>
        <w:t>.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Liability and redress at the national level</w:t>
      </w:r>
      <w:r w:rsidR="00705B56">
        <w:rPr>
          <w:szCs w:val="22"/>
        </w:rPr>
        <w:t>.</w:t>
      </w:r>
      <w:r>
        <w:rPr>
          <w:szCs w:val="22"/>
        </w:rPr>
        <w:t xml:space="preserve"> </w:t>
      </w:r>
    </w:p>
    <w:p w:rsidR="00774E5B" w:rsidRDefault="00774E5B" w:rsidP="00774E5B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Case studies on liability and redress</w:t>
      </w:r>
      <w:r w:rsidR="00705B56">
        <w:rPr>
          <w:szCs w:val="22"/>
        </w:rPr>
        <w:t>.</w:t>
      </w:r>
      <w:r>
        <w:rPr>
          <w:szCs w:val="22"/>
        </w:rPr>
        <w:t xml:space="preserve"> </w:t>
      </w:r>
    </w:p>
    <w:p w:rsidR="00C9161D" w:rsidRPr="000F2A99" w:rsidRDefault="00774E5B" w:rsidP="00C9161D">
      <w:pPr>
        <w:pStyle w:val="bodytextnoindent"/>
        <w:numPr>
          <w:ilvl w:val="0"/>
          <w:numId w:val="1"/>
        </w:numPr>
        <w:spacing w:before="120" w:after="120"/>
        <w:ind w:left="0" w:firstLine="0"/>
        <w:jc w:val="left"/>
        <w:rPr>
          <w:snapToGrid w:val="0"/>
          <w:kern w:val="22"/>
        </w:rPr>
      </w:pPr>
      <w:r>
        <w:rPr>
          <w:szCs w:val="22"/>
        </w:rPr>
        <w:t>Closure of the workshop</w:t>
      </w:r>
      <w:r w:rsidR="00705B56">
        <w:rPr>
          <w:szCs w:val="22"/>
        </w:rPr>
        <w:t>.</w:t>
      </w:r>
    </w:p>
    <w:p w:rsidR="00534681" w:rsidRDefault="00C9161D" w:rsidP="000F2A99">
      <w:pPr>
        <w:jc w:val="center"/>
      </w:pPr>
      <w:r w:rsidRPr="00C9161D">
        <w:t>__________</w:t>
      </w:r>
    </w:p>
    <w:p w:rsidR="00B3369F" w:rsidRPr="00C9161D" w:rsidRDefault="00B3369F" w:rsidP="00C9161D"/>
    <w:sectPr w:rsidR="00B3369F" w:rsidRPr="00C9161D" w:rsidSect="00534681">
      <w:headerReference w:type="even" r:id="rId13"/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48" w:rsidRDefault="00CF1848" w:rsidP="00CF1848">
      <w:r>
        <w:separator/>
      </w:r>
    </w:p>
  </w:endnote>
  <w:endnote w:type="continuationSeparator" w:id="0">
    <w:p w:rsidR="00CF1848" w:rsidRDefault="00CF1848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48" w:rsidRDefault="00CF1848" w:rsidP="00CF1848">
      <w:r>
        <w:separator/>
      </w:r>
    </w:p>
  </w:footnote>
  <w:footnote w:type="continuationSeparator" w:id="0">
    <w:p w:rsidR="00CF1848" w:rsidRDefault="00CF1848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1" w:rsidRDefault="00534681" w:rsidP="00534681">
    <w:pPr>
      <w:pStyle w:val="Header"/>
    </w:pPr>
    <w:r>
      <w:t>CBD/xxx</w:t>
    </w:r>
  </w:p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2A99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4544"/>
    <w:multiLevelType w:val="hybridMultilevel"/>
    <w:tmpl w:val="9D44B2C2"/>
    <w:lvl w:ilvl="0" w:tplc="FE4EB7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1A65"/>
    <w:rsid w:val="000F2A99"/>
    <w:rsid w:val="00105372"/>
    <w:rsid w:val="00131E7A"/>
    <w:rsid w:val="00372F74"/>
    <w:rsid w:val="004644C2"/>
    <w:rsid w:val="00534681"/>
    <w:rsid w:val="00705B56"/>
    <w:rsid w:val="00717D88"/>
    <w:rsid w:val="00774E5B"/>
    <w:rsid w:val="00B3369F"/>
    <w:rsid w:val="00C9161D"/>
    <w:rsid w:val="00CF1848"/>
    <w:rsid w:val="00D76A18"/>
    <w:rsid w:val="00E66235"/>
    <w:rsid w:val="00E83C24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D"/>
    <w:rPr>
      <w:rFonts w:ascii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hAnsi="Times New Roman"/>
      <w:sz w:val="22"/>
      <w:lang w:val="en-U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customStyle="1" w:styleId="Cornernotation">
    <w:name w:val="Corner notation"/>
    <w:basedOn w:val="Normal"/>
    <w:rsid w:val="00774E5B"/>
    <w:pPr>
      <w:ind w:left="284" w:right="4398" w:hanging="284"/>
      <w:jc w:val="both"/>
    </w:pPr>
    <w:rPr>
      <w:rFonts w:eastAsia="Times New Roman" w:cs="Times New Roman"/>
      <w:lang w:val="en-GB"/>
    </w:rPr>
  </w:style>
  <w:style w:type="paragraph" w:customStyle="1" w:styleId="bodytextnoindent">
    <w:name w:val="body text (no indent)"/>
    <w:basedOn w:val="Normal"/>
    <w:rsid w:val="00774E5B"/>
    <w:pPr>
      <w:spacing w:before="140" w:after="140"/>
      <w:ind w:left="720" w:hanging="720"/>
      <w:jc w:val="both"/>
    </w:pPr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1D"/>
    <w:rPr>
      <w:rFonts w:ascii="Times New Roman" w:hAnsi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hAnsi="Times New Roman"/>
      <w:sz w:val="22"/>
      <w:lang w:val="en-U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customStyle="1" w:styleId="Cornernotation">
    <w:name w:val="Corner notation"/>
    <w:basedOn w:val="Normal"/>
    <w:rsid w:val="00774E5B"/>
    <w:pPr>
      <w:ind w:left="284" w:right="4398" w:hanging="284"/>
      <w:jc w:val="both"/>
    </w:pPr>
    <w:rPr>
      <w:rFonts w:eastAsia="Times New Roman" w:cs="Times New Roman"/>
      <w:lang w:val="en-GB"/>
    </w:rPr>
  </w:style>
  <w:style w:type="paragraph" w:customStyle="1" w:styleId="bodytextnoindent">
    <w:name w:val="body text (no indent)"/>
    <w:basedOn w:val="Normal"/>
    <w:rsid w:val="00774E5B"/>
    <w:pPr>
      <w:spacing w:before="140" w:after="140"/>
      <w:ind w:left="720" w:hanging="720"/>
      <w:jc w:val="both"/>
    </w:pPr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810A55"/>
    <w:rsid w:val="008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F104A-5264-4854-9637-21F6587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CBD/CP/MB/WS/2017/1/1</dc:subject>
  <dc:creator>SCBD</dc:creator>
  <cp:lastModifiedBy>Veronique Lefebvre</cp:lastModifiedBy>
  <cp:revision>4</cp:revision>
  <cp:lastPrinted>2017-10-10T16:12:00Z</cp:lastPrinted>
  <dcterms:created xsi:type="dcterms:W3CDTF">2017-10-10T15:12:00Z</dcterms:created>
  <dcterms:modified xsi:type="dcterms:W3CDTF">2017-10-10T16:12:00Z</dcterms:modified>
  <cp:contentStatus>GENERAL</cp:contentStatus>
</cp:coreProperties>
</file>