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C54A95" w:rsidTr="00C07151">
        <w:trPr>
          <w:trHeight w:val="709"/>
        </w:trPr>
        <w:tc>
          <w:tcPr>
            <w:tcW w:w="976" w:type="dxa"/>
            <w:tcBorders>
              <w:bottom w:val="single" w:sz="12" w:space="0" w:color="auto"/>
            </w:tcBorders>
          </w:tcPr>
          <w:p w:rsidR="00207A6E" w:rsidRPr="00C54A95" w:rsidRDefault="00207A6E" w:rsidP="00F82F1D">
            <w:pPr>
              <w:suppressLineNumbers/>
              <w:suppressAutoHyphens/>
              <w:kinsoku w:val="0"/>
              <w:overflowPunct w:val="0"/>
              <w:autoSpaceDE w:val="0"/>
              <w:autoSpaceDN w:val="0"/>
              <w:rPr>
                <w:kern w:val="22"/>
                <w:lang w:val="fr-FR"/>
              </w:rPr>
            </w:pPr>
            <w:r w:rsidRPr="00C54A95">
              <w:rPr>
                <w:noProof/>
                <w:kern w:val="22"/>
                <w:lang w:val="en-CA" w:eastAsia="en-CA"/>
              </w:rPr>
              <w:drawing>
                <wp:inline distT="0" distB="0" distL="0" distR="0" wp14:anchorId="3EAF86A1" wp14:editId="6ECCA793">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207A6E" w:rsidRPr="00C54A95" w:rsidRDefault="00207A6E" w:rsidP="00F82F1D">
            <w:pPr>
              <w:suppressLineNumbers/>
              <w:suppressAutoHyphens/>
              <w:kinsoku w:val="0"/>
              <w:overflowPunct w:val="0"/>
              <w:autoSpaceDE w:val="0"/>
              <w:autoSpaceDN w:val="0"/>
              <w:rPr>
                <w:kern w:val="22"/>
                <w:lang w:val="fr-FR"/>
              </w:rPr>
            </w:pPr>
            <w:r w:rsidRPr="00C54A95">
              <w:rPr>
                <w:noProof/>
                <w:kern w:val="22"/>
                <w:lang w:val="en-CA" w:eastAsia="en-CA"/>
              </w:rPr>
              <w:drawing>
                <wp:inline distT="0" distB="0" distL="0" distR="0" wp14:anchorId="3C45B17B" wp14:editId="58B697EB">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207A6E" w:rsidRPr="00C54A95" w:rsidRDefault="00207A6E" w:rsidP="00F82F1D">
            <w:pPr>
              <w:suppressLineNumbers/>
              <w:suppressAutoHyphens/>
              <w:kinsoku w:val="0"/>
              <w:overflowPunct w:val="0"/>
              <w:autoSpaceDE w:val="0"/>
              <w:autoSpaceDN w:val="0"/>
              <w:jc w:val="right"/>
              <w:rPr>
                <w:rFonts w:ascii="Arial" w:hAnsi="Arial" w:cs="Arial"/>
                <w:b/>
                <w:kern w:val="22"/>
                <w:sz w:val="32"/>
                <w:szCs w:val="32"/>
                <w:lang w:val="fr-FR"/>
              </w:rPr>
            </w:pPr>
            <w:r w:rsidRPr="00C54A95">
              <w:rPr>
                <w:rFonts w:ascii="Arial" w:hAnsi="Arial" w:cs="Arial"/>
                <w:b/>
                <w:kern w:val="22"/>
                <w:sz w:val="32"/>
                <w:szCs w:val="32"/>
                <w:lang w:val="fr-FR"/>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C54A95" w:rsidTr="009554D5">
        <w:trPr>
          <w:trHeight w:val="1693"/>
        </w:trPr>
        <w:tc>
          <w:tcPr>
            <w:tcW w:w="6227" w:type="dxa"/>
            <w:tcBorders>
              <w:top w:val="nil"/>
              <w:bottom w:val="single" w:sz="36" w:space="0" w:color="000000"/>
            </w:tcBorders>
          </w:tcPr>
          <w:p w:rsidR="00F16F02" w:rsidRPr="00943418" w:rsidRDefault="00F16F02" w:rsidP="00F82F1D">
            <w:pPr>
              <w:suppressLineNumbers/>
              <w:suppressAutoHyphens/>
              <w:kinsoku w:val="0"/>
              <w:overflowPunct w:val="0"/>
              <w:autoSpaceDE w:val="0"/>
              <w:autoSpaceDN w:val="0"/>
              <w:rPr>
                <w:rFonts w:ascii="Univers" w:hAnsi="Univers"/>
                <w:noProof/>
                <w:kern w:val="22"/>
                <w:sz w:val="16"/>
                <w:szCs w:val="16"/>
                <w:lang w:val="fr-FR" w:eastAsia="fr-FR" w:bidi="bn-BD"/>
              </w:rPr>
            </w:pPr>
          </w:p>
          <w:p w:rsidR="00943418" w:rsidRPr="00C54A95" w:rsidRDefault="00943418" w:rsidP="00F82F1D">
            <w:pPr>
              <w:suppressLineNumbers/>
              <w:suppressAutoHyphens/>
              <w:kinsoku w:val="0"/>
              <w:overflowPunct w:val="0"/>
              <w:autoSpaceDE w:val="0"/>
              <w:autoSpaceDN w:val="0"/>
              <w:rPr>
                <w:kern w:val="22"/>
                <w:lang w:val="fr-FR"/>
              </w:rPr>
            </w:pPr>
            <w:r>
              <w:rPr>
                <w:rFonts w:ascii="Univers" w:hAnsi="Univers"/>
                <w:noProof/>
                <w:kern w:val="22"/>
                <w:sz w:val="32"/>
                <w:lang w:val="en-CA" w:eastAsia="en-CA"/>
              </w:rPr>
              <w:drawing>
                <wp:inline distT="0" distB="0" distL="0" distR="0">
                  <wp:extent cx="2790825" cy="1065530"/>
                  <wp:effectExtent l="0" t="0" r="9525" b="127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0825" cy="1065530"/>
                          </a:xfrm>
                          <a:prstGeom prst="rect">
                            <a:avLst/>
                          </a:prstGeom>
                          <a:noFill/>
                          <a:ln>
                            <a:noFill/>
                          </a:ln>
                        </pic:spPr>
                      </pic:pic>
                    </a:graphicData>
                  </a:graphic>
                </wp:inline>
              </w:drawing>
            </w:r>
          </w:p>
          <w:p w:rsidR="00F16F02" w:rsidRPr="00C54A95" w:rsidRDefault="00F16F02" w:rsidP="00120759">
            <w:pPr>
              <w:suppressLineNumbers/>
              <w:suppressAutoHyphens/>
              <w:kinsoku w:val="0"/>
              <w:overflowPunct w:val="0"/>
              <w:autoSpaceDE w:val="0"/>
              <w:autoSpaceDN w:val="0"/>
              <w:rPr>
                <w:rFonts w:ascii="Univers" w:hAnsi="Univers"/>
                <w:kern w:val="22"/>
                <w:sz w:val="32"/>
                <w:lang w:val="fr-FR"/>
              </w:rPr>
            </w:pPr>
          </w:p>
        </w:tc>
        <w:tc>
          <w:tcPr>
            <w:tcW w:w="1144" w:type="dxa"/>
            <w:tcBorders>
              <w:top w:val="nil"/>
              <w:bottom w:val="single" w:sz="36" w:space="0" w:color="000000"/>
            </w:tcBorders>
          </w:tcPr>
          <w:p w:rsidR="00F16F02" w:rsidRPr="00C54A95" w:rsidRDefault="00F16F02" w:rsidP="00F82F1D">
            <w:pPr>
              <w:pStyle w:val="Header"/>
              <w:suppressLineNumbers/>
              <w:tabs>
                <w:tab w:val="clear" w:pos="4320"/>
                <w:tab w:val="clear" w:pos="8640"/>
              </w:tabs>
              <w:suppressAutoHyphens/>
              <w:kinsoku w:val="0"/>
              <w:overflowPunct w:val="0"/>
              <w:autoSpaceDE w:val="0"/>
              <w:autoSpaceDN w:val="0"/>
              <w:rPr>
                <w:b/>
                <w:kern w:val="22"/>
                <w:sz w:val="32"/>
                <w:szCs w:val="32"/>
                <w:lang w:val="fr-FR"/>
              </w:rPr>
            </w:pPr>
          </w:p>
        </w:tc>
        <w:tc>
          <w:tcPr>
            <w:tcW w:w="2977" w:type="dxa"/>
            <w:tcBorders>
              <w:top w:val="nil"/>
              <w:bottom w:val="single" w:sz="36" w:space="0" w:color="000000"/>
            </w:tcBorders>
          </w:tcPr>
          <w:p w:rsidR="00F16F02" w:rsidRPr="00C54A95" w:rsidRDefault="00F16F02" w:rsidP="00F82F1D">
            <w:pPr>
              <w:suppressLineNumbers/>
              <w:suppressAutoHyphens/>
              <w:kinsoku w:val="0"/>
              <w:overflowPunct w:val="0"/>
              <w:autoSpaceDE w:val="0"/>
              <w:autoSpaceDN w:val="0"/>
              <w:ind w:left="63"/>
              <w:rPr>
                <w:kern w:val="22"/>
                <w:szCs w:val="22"/>
                <w:lang w:val="fr-FR"/>
              </w:rPr>
            </w:pPr>
            <w:proofErr w:type="spellStart"/>
            <w:r w:rsidRPr="00C54A95">
              <w:rPr>
                <w:kern w:val="22"/>
                <w:szCs w:val="22"/>
                <w:lang w:val="fr-FR"/>
              </w:rPr>
              <w:t>Distr</w:t>
            </w:r>
            <w:proofErr w:type="spellEnd"/>
            <w:r w:rsidRPr="00C54A95">
              <w:rPr>
                <w:kern w:val="22"/>
                <w:szCs w:val="22"/>
                <w:lang w:val="fr-FR"/>
              </w:rPr>
              <w:t>.</w:t>
            </w:r>
          </w:p>
          <w:p w:rsidR="00F16F02" w:rsidRPr="00C54A95" w:rsidRDefault="00120759" w:rsidP="00F82F1D">
            <w:pPr>
              <w:suppressLineNumbers/>
              <w:suppressAutoHyphens/>
              <w:kinsoku w:val="0"/>
              <w:overflowPunct w:val="0"/>
              <w:autoSpaceDE w:val="0"/>
              <w:autoSpaceDN w:val="0"/>
              <w:ind w:left="63"/>
              <w:rPr>
                <w:kern w:val="22"/>
                <w:szCs w:val="22"/>
                <w:lang w:val="fr-FR"/>
              </w:rPr>
            </w:pPr>
            <w:r w:rsidRPr="00C54A95">
              <w:rPr>
                <w:kern w:val="22"/>
                <w:szCs w:val="22"/>
                <w:lang w:val="fr-FR"/>
              </w:rPr>
              <w:t>GÉNÉ</w:t>
            </w:r>
            <w:r w:rsidR="00F16F02" w:rsidRPr="00C54A95">
              <w:rPr>
                <w:kern w:val="22"/>
                <w:szCs w:val="22"/>
                <w:lang w:val="fr-FR"/>
              </w:rPr>
              <w:t>RAL</w:t>
            </w:r>
            <w:r w:rsidRPr="00C54A95">
              <w:rPr>
                <w:kern w:val="22"/>
                <w:szCs w:val="22"/>
                <w:lang w:val="fr-FR"/>
              </w:rPr>
              <w:t>E</w:t>
            </w:r>
          </w:p>
          <w:p w:rsidR="00F16F02" w:rsidRPr="00C54A95" w:rsidRDefault="00F16F02" w:rsidP="00F82F1D">
            <w:pPr>
              <w:suppressLineNumbers/>
              <w:suppressAutoHyphens/>
              <w:kinsoku w:val="0"/>
              <w:overflowPunct w:val="0"/>
              <w:autoSpaceDE w:val="0"/>
              <w:autoSpaceDN w:val="0"/>
              <w:ind w:left="63"/>
              <w:rPr>
                <w:kern w:val="22"/>
                <w:szCs w:val="22"/>
                <w:lang w:val="fr-FR"/>
              </w:rPr>
            </w:pPr>
          </w:p>
          <w:sdt>
            <w:sdtPr>
              <w:rPr>
                <w:kern w:val="22"/>
                <w:szCs w:val="22"/>
                <w:lang w:val="fr-FR"/>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rsidR="00F16F02" w:rsidRPr="00C54A95" w:rsidRDefault="00EB00A2" w:rsidP="00F82F1D">
                <w:pPr>
                  <w:suppressLineNumbers/>
                  <w:suppressAutoHyphens/>
                  <w:kinsoku w:val="0"/>
                  <w:overflowPunct w:val="0"/>
                  <w:autoSpaceDE w:val="0"/>
                  <w:autoSpaceDN w:val="0"/>
                  <w:ind w:left="63"/>
                  <w:rPr>
                    <w:kern w:val="22"/>
                    <w:szCs w:val="22"/>
                    <w:lang w:val="fr-FR"/>
                  </w:rPr>
                </w:pPr>
                <w:r w:rsidRPr="00C54A95">
                  <w:rPr>
                    <w:kern w:val="22"/>
                    <w:szCs w:val="22"/>
                    <w:lang w:val="fr-FR"/>
                  </w:rPr>
                  <w:t>CBD/SBI/2/16/Add.1</w:t>
                </w:r>
              </w:p>
            </w:sdtContent>
          </w:sdt>
          <w:p w:rsidR="00F16F02" w:rsidRPr="00C54A95" w:rsidRDefault="009476F5" w:rsidP="00F82F1D">
            <w:pPr>
              <w:suppressLineNumbers/>
              <w:suppressAutoHyphens/>
              <w:kinsoku w:val="0"/>
              <w:overflowPunct w:val="0"/>
              <w:autoSpaceDE w:val="0"/>
              <w:autoSpaceDN w:val="0"/>
              <w:ind w:left="63"/>
              <w:rPr>
                <w:kern w:val="22"/>
                <w:szCs w:val="22"/>
                <w:lang w:val="fr-FR"/>
              </w:rPr>
            </w:pPr>
            <w:r w:rsidRPr="00C54A95">
              <w:rPr>
                <w:kern w:val="22"/>
                <w:szCs w:val="22"/>
                <w:lang w:val="fr-FR"/>
              </w:rPr>
              <w:t>1</w:t>
            </w:r>
            <w:r w:rsidR="00742F79" w:rsidRPr="00C54A95">
              <w:rPr>
                <w:kern w:val="22"/>
                <w:szCs w:val="22"/>
                <w:lang w:val="fr-FR"/>
              </w:rPr>
              <w:t>2</w:t>
            </w:r>
            <w:r w:rsidR="00120759" w:rsidRPr="00C54A95">
              <w:rPr>
                <w:kern w:val="22"/>
                <w:szCs w:val="22"/>
                <w:lang w:val="fr-FR"/>
              </w:rPr>
              <w:t xml:space="preserve"> février </w:t>
            </w:r>
            <w:r w:rsidR="00D15589" w:rsidRPr="00C54A95">
              <w:rPr>
                <w:kern w:val="22"/>
                <w:szCs w:val="22"/>
                <w:lang w:val="fr-FR"/>
              </w:rPr>
              <w:t>2018</w:t>
            </w:r>
          </w:p>
          <w:p w:rsidR="00F16F02" w:rsidRPr="00C54A95" w:rsidRDefault="00F16F02" w:rsidP="00F82F1D">
            <w:pPr>
              <w:suppressLineNumbers/>
              <w:suppressAutoHyphens/>
              <w:kinsoku w:val="0"/>
              <w:overflowPunct w:val="0"/>
              <w:autoSpaceDE w:val="0"/>
              <w:autoSpaceDN w:val="0"/>
              <w:ind w:left="63"/>
              <w:rPr>
                <w:kern w:val="22"/>
                <w:szCs w:val="22"/>
                <w:lang w:val="fr-FR"/>
              </w:rPr>
            </w:pPr>
          </w:p>
          <w:p w:rsidR="00120759" w:rsidRPr="00C54A95" w:rsidRDefault="00120759" w:rsidP="00120759">
            <w:pPr>
              <w:suppressLineNumbers/>
              <w:suppressAutoHyphens/>
              <w:kinsoku w:val="0"/>
              <w:overflowPunct w:val="0"/>
              <w:autoSpaceDE w:val="0"/>
              <w:autoSpaceDN w:val="0"/>
              <w:ind w:left="63"/>
              <w:rPr>
                <w:kern w:val="22"/>
                <w:szCs w:val="22"/>
                <w:lang w:val="fr-FR"/>
              </w:rPr>
            </w:pPr>
            <w:r w:rsidRPr="00C54A95">
              <w:rPr>
                <w:kern w:val="22"/>
                <w:szCs w:val="22"/>
                <w:lang w:val="fr-FR"/>
              </w:rPr>
              <w:t>FRANÇAIS</w:t>
            </w:r>
          </w:p>
          <w:p w:rsidR="0081330C" w:rsidRPr="00943418" w:rsidRDefault="00F16F02" w:rsidP="00943418">
            <w:pPr>
              <w:suppressLineNumbers/>
              <w:suppressAutoHyphens/>
              <w:kinsoku w:val="0"/>
              <w:overflowPunct w:val="0"/>
              <w:autoSpaceDE w:val="0"/>
              <w:autoSpaceDN w:val="0"/>
              <w:ind w:left="63"/>
              <w:rPr>
                <w:kern w:val="22"/>
                <w:szCs w:val="22"/>
                <w:lang w:val="fr-FR"/>
              </w:rPr>
            </w:pPr>
            <w:r w:rsidRPr="00C54A95">
              <w:rPr>
                <w:kern w:val="22"/>
                <w:szCs w:val="22"/>
                <w:lang w:val="fr-FR"/>
              </w:rPr>
              <w:t>ORIGINAL</w:t>
            </w:r>
            <w:r w:rsidR="00120759" w:rsidRPr="00C54A95">
              <w:rPr>
                <w:kern w:val="22"/>
                <w:szCs w:val="22"/>
                <w:lang w:val="fr-FR"/>
              </w:rPr>
              <w:t> : ANGLAIS</w:t>
            </w:r>
          </w:p>
        </w:tc>
      </w:tr>
    </w:tbl>
    <w:bookmarkStart w:id="0" w:name="Meeting"/>
    <w:p w:rsidR="00CA6B87" w:rsidRPr="00C54A95" w:rsidRDefault="00217BA9" w:rsidP="00F82F1D">
      <w:pPr>
        <w:pStyle w:val="meetingname"/>
        <w:suppressLineNumbers/>
        <w:suppressAutoHyphens/>
        <w:kinsoku w:val="0"/>
        <w:overflowPunct w:val="0"/>
        <w:autoSpaceDE w:val="0"/>
        <w:autoSpaceDN w:val="0"/>
        <w:ind w:right="4398"/>
        <w:rPr>
          <w:snapToGrid/>
          <w:kern w:val="22"/>
          <w:szCs w:val="22"/>
          <w:lang w:val="fr-FR"/>
        </w:rPr>
      </w:pPr>
      <w:sdt>
        <w:sdtPr>
          <w:rPr>
            <w:kern w:val="22"/>
            <w:szCs w:val="22"/>
            <w:lang w:val="fr-FR"/>
          </w:rPr>
          <w:alias w:val="Meeting"/>
          <w:tag w:val="Meeting"/>
          <w:id w:val="1412045910"/>
          <w:placeholder>
            <w:docPart w:val="DefaultPlaceholder_1082065158"/>
          </w:placeholder>
          <w:text/>
        </w:sdtPr>
        <w:sdtEndPr/>
        <w:sdtContent>
          <w:r w:rsidR="00534390" w:rsidRPr="00C54A95">
            <w:rPr>
              <w:kern w:val="22"/>
              <w:szCs w:val="22"/>
              <w:lang w:val="fr-FR"/>
            </w:rPr>
            <w:t>ORGANE SUBSIDIAIRE CHARGÉ DE L’APPLICATION</w:t>
          </w:r>
        </w:sdtContent>
      </w:sdt>
      <w:bookmarkEnd w:id="0"/>
    </w:p>
    <w:p w:rsidR="00D51069" w:rsidRPr="00C54A95" w:rsidRDefault="00534390" w:rsidP="00F82F1D">
      <w:pPr>
        <w:suppressLineNumbers/>
        <w:suppressAutoHyphens/>
        <w:kinsoku w:val="0"/>
        <w:overflowPunct w:val="0"/>
        <w:autoSpaceDE w:val="0"/>
        <w:autoSpaceDN w:val="0"/>
        <w:rPr>
          <w:kern w:val="22"/>
          <w:szCs w:val="22"/>
          <w:lang w:val="fr-FR" w:eastAsia="nb-NO"/>
        </w:rPr>
      </w:pPr>
      <w:r w:rsidRPr="00C54A95">
        <w:rPr>
          <w:kern w:val="22"/>
          <w:szCs w:val="22"/>
          <w:lang w:val="fr-FR" w:eastAsia="nb-NO"/>
        </w:rPr>
        <w:t>Deuxième réunion</w:t>
      </w:r>
    </w:p>
    <w:p w:rsidR="00CA6B87" w:rsidRPr="00C54A95" w:rsidRDefault="00534390" w:rsidP="00F82F1D">
      <w:pPr>
        <w:suppressLineNumbers/>
        <w:suppressAutoHyphens/>
        <w:kinsoku w:val="0"/>
        <w:overflowPunct w:val="0"/>
        <w:autoSpaceDE w:val="0"/>
        <w:autoSpaceDN w:val="0"/>
        <w:rPr>
          <w:kern w:val="22"/>
          <w:szCs w:val="22"/>
          <w:lang w:val="fr-FR" w:eastAsia="nb-NO"/>
        </w:rPr>
      </w:pPr>
      <w:r w:rsidRPr="00C54A95">
        <w:rPr>
          <w:kern w:val="22"/>
          <w:szCs w:val="22"/>
          <w:lang w:val="fr-FR" w:eastAsia="nb-NO"/>
        </w:rPr>
        <w:t>Montré</w:t>
      </w:r>
      <w:r w:rsidR="00D51069" w:rsidRPr="00C54A95">
        <w:rPr>
          <w:kern w:val="22"/>
          <w:szCs w:val="22"/>
          <w:lang w:val="fr-FR" w:eastAsia="nb-NO"/>
        </w:rPr>
        <w:t>al</w:t>
      </w:r>
      <w:r w:rsidR="00943418">
        <w:rPr>
          <w:kern w:val="22"/>
          <w:szCs w:val="22"/>
          <w:lang w:val="fr-FR" w:eastAsia="nb-NO"/>
        </w:rPr>
        <w:t xml:space="preserve">, </w:t>
      </w:r>
      <w:r w:rsidR="00D51069" w:rsidRPr="00C54A95">
        <w:rPr>
          <w:kern w:val="22"/>
          <w:szCs w:val="22"/>
          <w:lang w:val="fr-FR" w:eastAsia="nb-NO"/>
        </w:rPr>
        <w:t xml:space="preserve">Canada, </w:t>
      </w:r>
      <w:r w:rsidR="002E0627" w:rsidRPr="00C54A95">
        <w:rPr>
          <w:kern w:val="22"/>
          <w:szCs w:val="22"/>
          <w:lang w:val="fr-FR" w:eastAsia="nb-NO"/>
        </w:rPr>
        <w:t>9-13</w:t>
      </w:r>
      <w:r w:rsidRPr="00C54A95">
        <w:rPr>
          <w:kern w:val="22"/>
          <w:szCs w:val="22"/>
          <w:lang w:val="fr-FR" w:eastAsia="nb-NO"/>
        </w:rPr>
        <w:t xml:space="preserve"> juillet </w:t>
      </w:r>
      <w:r w:rsidR="00D15589" w:rsidRPr="00C54A95">
        <w:rPr>
          <w:kern w:val="22"/>
          <w:szCs w:val="22"/>
          <w:lang w:val="fr-FR" w:eastAsia="nb-NO"/>
        </w:rPr>
        <w:t>2018</w:t>
      </w:r>
    </w:p>
    <w:p w:rsidR="00CA6B87" w:rsidRPr="00C54A95" w:rsidRDefault="00534390" w:rsidP="00F82F1D">
      <w:pPr>
        <w:suppressLineNumbers/>
        <w:suppressAutoHyphens/>
        <w:kinsoku w:val="0"/>
        <w:overflowPunct w:val="0"/>
        <w:autoSpaceDE w:val="0"/>
        <w:autoSpaceDN w:val="0"/>
        <w:rPr>
          <w:kern w:val="22"/>
          <w:szCs w:val="22"/>
          <w:lang w:val="fr-FR" w:eastAsia="nb-NO"/>
        </w:rPr>
      </w:pPr>
      <w:r w:rsidRPr="00C54A95">
        <w:rPr>
          <w:kern w:val="22"/>
          <w:szCs w:val="22"/>
          <w:lang w:val="fr-FR" w:eastAsia="nb-NO"/>
        </w:rPr>
        <w:t>Point </w:t>
      </w:r>
      <w:r w:rsidR="00742F79" w:rsidRPr="00C54A95">
        <w:rPr>
          <w:kern w:val="22"/>
          <w:szCs w:val="22"/>
          <w:lang w:val="fr-FR" w:eastAsia="nb-NO"/>
        </w:rPr>
        <w:t>15</w:t>
      </w:r>
      <w:r w:rsidR="00D51069" w:rsidRPr="00C54A95">
        <w:rPr>
          <w:kern w:val="22"/>
          <w:szCs w:val="22"/>
          <w:lang w:val="fr-FR" w:eastAsia="nb-NO"/>
        </w:rPr>
        <w:t xml:space="preserve"> </w:t>
      </w:r>
      <w:r w:rsidRPr="00C54A95">
        <w:rPr>
          <w:kern w:val="22"/>
          <w:szCs w:val="22"/>
          <w:lang w:val="fr-FR" w:eastAsia="nb-NO"/>
        </w:rPr>
        <w:t>de l’ordre du jour provisoire</w:t>
      </w:r>
      <w:r w:rsidR="00D51069" w:rsidRPr="00C54A95">
        <w:rPr>
          <w:rStyle w:val="FootnoteReference"/>
          <w:kern w:val="22"/>
          <w:sz w:val="22"/>
          <w:szCs w:val="22"/>
          <w:u w:val="none"/>
          <w:lang w:val="fr-FR" w:eastAsia="nb-NO"/>
        </w:rPr>
        <w:footnoteReference w:customMarkFollows="1" w:id="1"/>
        <w:t>*</w:t>
      </w:r>
    </w:p>
    <w:p w:rsidR="00742F79" w:rsidRPr="00C54A95" w:rsidRDefault="00217BA9" w:rsidP="00F82F1D">
      <w:pPr>
        <w:pStyle w:val="Heading1"/>
        <w:suppressLineNumbers/>
        <w:tabs>
          <w:tab w:val="clear" w:pos="720"/>
        </w:tabs>
        <w:suppressAutoHyphens/>
        <w:kinsoku w:val="0"/>
        <w:overflowPunct w:val="0"/>
        <w:autoSpaceDE w:val="0"/>
        <w:autoSpaceDN w:val="0"/>
        <w:rPr>
          <w:caps w:val="0"/>
          <w:kern w:val="22"/>
          <w:szCs w:val="22"/>
          <w:lang w:val="fr-FR"/>
        </w:rPr>
      </w:pPr>
      <w:sdt>
        <w:sdtPr>
          <w:rPr>
            <w:kern w:val="22"/>
            <w:szCs w:val="22"/>
            <w:lang w:val="fr-FR"/>
          </w:rPr>
          <w:alias w:val="Title"/>
          <w:tag w:val=""/>
          <w:id w:val="301582339"/>
          <w:placeholder>
            <w:docPart w:val="8DA05B690E9F4825BB8E1A36EFAAF965"/>
          </w:placeholder>
          <w:dataBinding w:prefixMappings="xmlns:ns0='http://purl.org/dc/elements/1.1/' xmlns:ns1='http://schemas.openxmlformats.org/package/2006/metadata/core-properties' " w:xpath="/ns1:coreProperties[1]/ns0:title[1]" w:storeItemID="{6C3C8BC8-F283-45AE-878A-BAB7291924A1}"/>
          <w:text/>
        </w:sdtPr>
        <w:sdtEndPr/>
        <w:sdtContent>
          <w:r w:rsidR="00E62256" w:rsidRPr="00C54A95">
            <w:rPr>
              <w:kern w:val="22"/>
              <w:szCs w:val="22"/>
              <w:lang w:val="fr-FR"/>
            </w:rPr>
            <w:t>Examen de</w:t>
          </w:r>
          <w:r w:rsidR="00363CA9" w:rsidRPr="00C54A95">
            <w:rPr>
              <w:kern w:val="22"/>
              <w:szCs w:val="22"/>
              <w:lang w:val="fr-FR"/>
            </w:rPr>
            <w:t xml:space="preserve"> l’organisation</w:t>
          </w:r>
          <w:r w:rsidR="00E62256" w:rsidRPr="00C54A95">
            <w:rPr>
              <w:kern w:val="22"/>
              <w:szCs w:val="22"/>
              <w:lang w:val="fr-FR"/>
            </w:rPr>
            <w:t xml:space="preserve"> de rÉunions </w:t>
          </w:r>
          <w:r w:rsidR="00DD01CD" w:rsidRPr="00C54A95">
            <w:rPr>
              <w:kern w:val="22"/>
              <w:szCs w:val="22"/>
              <w:lang w:val="fr-FR"/>
            </w:rPr>
            <w:t>concomitantes</w:t>
          </w:r>
          <w:r w:rsidR="00E62256" w:rsidRPr="00C54A95">
            <w:rPr>
              <w:kern w:val="22"/>
              <w:szCs w:val="22"/>
              <w:lang w:val="fr-FR"/>
            </w:rPr>
            <w:t xml:space="preserve"> À la ConfÉrence des Parties À la Convention et </w:t>
          </w:r>
          <w:r w:rsidR="00943418">
            <w:rPr>
              <w:kern w:val="22"/>
              <w:szCs w:val="22"/>
              <w:lang w:val="fr-FR"/>
            </w:rPr>
            <w:t>AUX</w:t>
          </w:r>
          <w:r w:rsidR="00E62256" w:rsidRPr="00C54A95">
            <w:rPr>
              <w:kern w:val="22"/>
              <w:szCs w:val="22"/>
              <w:lang w:val="fr-FR"/>
            </w:rPr>
            <w:t xml:space="preserve"> RÉUNIONS des Parties aux Protocoles</w:t>
          </w:r>
        </w:sdtContent>
      </w:sdt>
    </w:p>
    <w:p w:rsidR="00742F79" w:rsidRPr="00C54A95" w:rsidRDefault="00742F79" w:rsidP="00F82F1D">
      <w:pPr>
        <w:pStyle w:val="Heading2"/>
        <w:suppressLineNumbers/>
        <w:tabs>
          <w:tab w:val="clear" w:pos="720"/>
        </w:tabs>
        <w:suppressAutoHyphens/>
        <w:kinsoku w:val="0"/>
        <w:overflowPunct w:val="0"/>
        <w:autoSpaceDE w:val="0"/>
        <w:autoSpaceDN w:val="0"/>
        <w:rPr>
          <w:b w:val="0"/>
          <w:i/>
          <w:kern w:val="22"/>
          <w:szCs w:val="22"/>
          <w:lang w:val="fr-FR"/>
        </w:rPr>
      </w:pPr>
      <w:r w:rsidRPr="00C54A95">
        <w:rPr>
          <w:b w:val="0"/>
          <w:i/>
          <w:kern w:val="22"/>
          <w:szCs w:val="22"/>
          <w:lang w:val="fr-FR"/>
        </w:rPr>
        <w:t xml:space="preserve">Note </w:t>
      </w:r>
      <w:r w:rsidR="00E62256" w:rsidRPr="00C54A95">
        <w:rPr>
          <w:b w:val="0"/>
          <w:i/>
          <w:kern w:val="22"/>
          <w:szCs w:val="22"/>
          <w:lang w:val="fr-FR"/>
        </w:rPr>
        <w:t>du Secrétaire exécutif</w:t>
      </w:r>
    </w:p>
    <w:p w:rsidR="00742F79" w:rsidRPr="00C54A95" w:rsidRDefault="00FA2274" w:rsidP="00F82F1D">
      <w:pPr>
        <w:keepNext/>
        <w:numPr>
          <w:ilvl w:val="0"/>
          <w:numId w:val="52"/>
        </w:numPr>
        <w:suppressLineNumbers/>
        <w:suppressAutoHyphens/>
        <w:kinsoku w:val="0"/>
        <w:overflowPunct w:val="0"/>
        <w:autoSpaceDE w:val="0"/>
        <w:autoSpaceDN w:val="0"/>
        <w:spacing w:before="120" w:after="120"/>
        <w:ind w:left="0" w:firstLine="0"/>
        <w:jc w:val="center"/>
        <w:rPr>
          <w:b/>
          <w:bCs/>
          <w:kern w:val="22"/>
          <w:szCs w:val="22"/>
          <w:lang w:val="fr-FR"/>
        </w:rPr>
      </w:pPr>
      <w:r>
        <w:rPr>
          <w:b/>
          <w:bCs/>
          <w:kern w:val="22"/>
          <w:szCs w:val="22"/>
          <w:lang w:val="fr-FR"/>
        </w:rPr>
        <w:t>CONTEXT</w:t>
      </w:r>
      <w:r w:rsidR="00BA0E5A">
        <w:rPr>
          <w:b/>
          <w:bCs/>
          <w:kern w:val="22"/>
          <w:szCs w:val="22"/>
          <w:lang w:val="fr-FR"/>
        </w:rPr>
        <w:t>E</w:t>
      </w:r>
    </w:p>
    <w:p w:rsidR="00742F79" w:rsidRPr="00C54A95" w:rsidRDefault="0010682D" w:rsidP="00F82F1D">
      <w:pPr>
        <w:pStyle w:val="Para1"/>
        <w:suppressLineNumbers/>
        <w:tabs>
          <w:tab w:val="clear" w:pos="360"/>
        </w:tabs>
        <w:suppressAutoHyphens/>
        <w:kinsoku w:val="0"/>
        <w:overflowPunct w:val="0"/>
        <w:autoSpaceDE w:val="0"/>
        <w:autoSpaceDN w:val="0"/>
        <w:rPr>
          <w:snapToGrid/>
          <w:kern w:val="22"/>
          <w:szCs w:val="22"/>
          <w:lang w:val="fr-FR"/>
        </w:rPr>
      </w:pPr>
      <w:r w:rsidRPr="00C54A95">
        <w:rPr>
          <w:kern w:val="22"/>
          <w:szCs w:val="22"/>
          <w:lang w:val="fr-FR"/>
        </w:rPr>
        <w:t xml:space="preserve">En 2016, la treizième réunion de la Conférence des Parties à la Convention sur </w:t>
      </w:r>
      <w:r w:rsidR="00281ECD">
        <w:rPr>
          <w:kern w:val="22"/>
          <w:szCs w:val="22"/>
          <w:lang w:val="fr-FR"/>
        </w:rPr>
        <w:t>la diversité biologique</w:t>
      </w:r>
      <w:r w:rsidR="00433E90">
        <w:rPr>
          <w:kern w:val="22"/>
          <w:szCs w:val="22"/>
          <w:lang w:val="fr-FR"/>
        </w:rPr>
        <w:t xml:space="preserve"> (COP 13)</w:t>
      </w:r>
      <w:r w:rsidRPr="00C54A95">
        <w:rPr>
          <w:kern w:val="22"/>
          <w:szCs w:val="22"/>
          <w:lang w:val="fr-FR"/>
        </w:rPr>
        <w:t>, la huitième réunion de la Conférence des Parties siégeant en tant que réunion des Parties au Protocole de Cartagena sur la prévention des risques biotechnologiques</w:t>
      </w:r>
      <w:r w:rsidR="00154250" w:rsidRPr="00C54A95">
        <w:rPr>
          <w:kern w:val="22"/>
          <w:szCs w:val="22"/>
          <w:lang w:val="fr-FR"/>
        </w:rPr>
        <w:t xml:space="preserve"> </w:t>
      </w:r>
      <w:r w:rsidR="00433E90">
        <w:rPr>
          <w:kern w:val="22"/>
          <w:szCs w:val="22"/>
          <w:lang w:val="fr-FR"/>
        </w:rPr>
        <w:t xml:space="preserve">(CP-COP-MOP 8) </w:t>
      </w:r>
      <w:r w:rsidRPr="00C54A95">
        <w:rPr>
          <w:kern w:val="22"/>
          <w:szCs w:val="22"/>
          <w:lang w:val="fr-FR"/>
        </w:rPr>
        <w:t xml:space="preserve">et la deuxième réunion de la Conférence des Parties siégeant en tant que réunion des Parties au Protocole de Nagoya sur l’accès aux ressources génétiques et le partage juste et équitable des avantages découlant de leur utilisation </w:t>
      </w:r>
      <w:r w:rsidR="00433E90">
        <w:rPr>
          <w:kern w:val="22"/>
          <w:szCs w:val="22"/>
          <w:lang w:val="fr-FR"/>
        </w:rPr>
        <w:t>(NP-COP-MOP 2)</w:t>
      </w:r>
      <w:r w:rsidR="00433E90" w:rsidRPr="00F82F1D">
        <w:rPr>
          <w:rStyle w:val="FootnoteReference"/>
          <w:snapToGrid/>
          <w:kern w:val="22"/>
          <w:sz w:val="22"/>
          <w:szCs w:val="22"/>
          <w:u w:val="none"/>
          <w:vertAlign w:val="superscript"/>
        </w:rPr>
        <w:footnoteReference w:id="2"/>
      </w:r>
      <w:r w:rsidR="00433E90">
        <w:rPr>
          <w:kern w:val="22"/>
          <w:szCs w:val="22"/>
          <w:lang w:val="fr-FR"/>
        </w:rPr>
        <w:t xml:space="preserve"> ont été</w:t>
      </w:r>
      <w:r w:rsidRPr="00C54A95">
        <w:rPr>
          <w:kern w:val="22"/>
          <w:szCs w:val="22"/>
          <w:lang w:val="fr-FR"/>
        </w:rPr>
        <w:t xml:space="preserve"> concomitante</w:t>
      </w:r>
      <w:r w:rsidR="00433E90">
        <w:rPr>
          <w:kern w:val="22"/>
          <w:szCs w:val="22"/>
          <w:lang w:val="fr-FR"/>
        </w:rPr>
        <w:t>s</w:t>
      </w:r>
      <w:r w:rsidRPr="00C54A95">
        <w:rPr>
          <w:kern w:val="22"/>
          <w:szCs w:val="22"/>
          <w:lang w:val="fr-FR"/>
        </w:rPr>
        <w:t xml:space="preserve"> à Cancun (Mexique)</w:t>
      </w:r>
      <w:r w:rsidR="00433E90">
        <w:rPr>
          <w:kern w:val="22"/>
          <w:szCs w:val="22"/>
          <w:lang w:val="fr-FR"/>
        </w:rPr>
        <w:t>. Ces réunions</w:t>
      </w:r>
      <w:r w:rsidR="005B454D">
        <w:rPr>
          <w:kern w:val="22"/>
          <w:szCs w:val="22"/>
          <w:lang w:val="fr-FR"/>
        </w:rPr>
        <w:t>,</w:t>
      </w:r>
      <w:r w:rsidRPr="00C54A95">
        <w:rPr>
          <w:kern w:val="22"/>
          <w:szCs w:val="22"/>
          <w:lang w:val="fr-FR"/>
        </w:rPr>
        <w:t xml:space="preserve"> ains</w:t>
      </w:r>
      <w:r w:rsidR="00433E90">
        <w:rPr>
          <w:kern w:val="22"/>
          <w:szCs w:val="22"/>
          <w:lang w:val="fr-FR"/>
        </w:rPr>
        <w:t>i que la réunion de haut niveau</w:t>
      </w:r>
      <w:r w:rsidR="005B454D">
        <w:rPr>
          <w:kern w:val="22"/>
          <w:szCs w:val="22"/>
          <w:lang w:val="fr-FR"/>
        </w:rPr>
        <w:t>,</w:t>
      </w:r>
      <w:r w:rsidRPr="00C54A95">
        <w:rPr>
          <w:kern w:val="22"/>
          <w:szCs w:val="22"/>
          <w:lang w:val="fr-FR"/>
        </w:rPr>
        <w:t xml:space="preserve"> ont été regroupées sous le nom de « Conférence des Nations Unies sur la biodiversité, Cancun, Mexique, 2016 » à des fins de communication. Dans sa </w:t>
      </w:r>
      <w:hyperlink r:id="rId12" w:history="1">
        <w:r w:rsidRPr="00C54A95">
          <w:rPr>
            <w:rStyle w:val="Hyperlink"/>
            <w:snapToGrid/>
            <w:kern w:val="22"/>
            <w:szCs w:val="22"/>
            <w:lang w:val="fr-FR"/>
          </w:rPr>
          <w:t>dé</w:t>
        </w:r>
        <w:r w:rsidR="00742F79" w:rsidRPr="00C54A95">
          <w:rPr>
            <w:rStyle w:val="Hyperlink"/>
            <w:snapToGrid/>
            <w:kern w:val="22"/>
            <w:szCs w:val="22"/>
            <w:lang w:val="fr-FR"/>
          </w:rPr>
          <w:t>cision XIII/26</w:t>
        </w:r>
      </w:hyperlink>
      <w:r w:rsidR="00742F79" w:rsidRPr="00C54A95">
        <w:rPr>
          <w:snapToGrid/>
          <w:kern w:val="22"/>
          <w:szCs w:val="22"/>
          <w:lang w:val="fr-FR"/>
        </w:rPr>
        <w:t xml:space="preserve">, </w:t>
      </w:r>
      <w:r w:rsidRPr="00C54A95">
        <w:rPr>
          <w:kern w:val="22"/>
          <w:szCs w:val="22"/>
          <w:lang w:val="fr-FR"/>
        </w:rPr>
        <w:t>la Conférence des Parties à la Conventi</w:t>
      </w:r>
      <w:r w:rsidR="00433E90">
        <w:rPr>
          <w:kern w:val="22"/>
          <w:szCs w:val="22"/>
          <w:lang w:val="fr-FR"/>
        </w:rPr>
        <w:t xml:space="preserve">on a adopté plusieurs critères pour l’examen de </w:t>
      </w:r>
      <w:r w:rsidRPr="00C54A95">
        <w:rPr>
          <w:kern w:val="22"/>
          <w:szCs w:val="22"/>
          <w:lang w:val="fr-FR"/>
        </w:rPr>
        <w:t>l’organisation de</w:t>
      </w:r>
      <w:r w:rsidR="00433E90">
        <w:rPr>
          <w:kern w:val="22"/>
          <w:szCs w:val="22"/>
          <w:lang w:val="fr-FR"/>
        </w:rPr>
        <w:t>s</w:t>
      </w:r>
      <w:r w:rsidRPr="00C54A95">
        <w:rPr>
          <w:kern w:val="22"/>
          <w:szCs w:val="22"/>
          <w:lang w:val="fr-FR"/>
        </w:rPr>
        <w:t xml:space="preserve"> réunions concomitantes</w:t>
      </w:r>
      <w:r w:rsidR="00433E90">
        <w:rPr>
          <w:kern w:val="22"/>
          <w:szCs w:val="22"/>
          <w:lang w:val="fr-FR"/>
        </w:rPr>
        <w:t xml:space="preserve">, conduit </w:t>
      </w:r>
      <w:r w:rsidR="00433E90" w:rsidRPr="00C54A95">
        <w:rPr>
          <w:kern w:val="22"/>
          <w:szCs w:val="22"/>
          <w:lang w:val="fr-FR"/>
        </w:rPr>
        <w:t>à ses quatorzième et quinzième réunions</w:t>
      </w:r>
      <w:r w:rsidRPr="00C54A95">
        <w:rPr>
          <w:kern w:val="22"/>
          <w:szCs w:val="22"/>
          <w:lang w:val="fr-FR"/>
        </w:rPr>
        <w:t>, et prié le Secr</w:t>
      </w:r>
      <w:r w:rsidR="00433E90">
        <w:rPr>
          <w:kern w:val="22"/>
          <w:szCs w:val="22"/>
          <w:lang w:val="fr-FR"/>
        </w:rPr>
        <w:t>étaire exécutif d’effectuer une analyse préliminaire,</w:t>
      </w:r>
      <w:r w:rsidR="009F6CBB">
        <w:rPr>
          <w:kern w:val="22"/>
          <w:szCs w:val="22"/>
          <w:lang w:val="fr-FR"/>
        </w:rPr>
        <w:t xml:space="preserve"> en utilisant ces critères</w:t>
      </w:r>
      <w:r w:rsidRPr="00C54A95">
        <w:rPr>
          <w:kern w:val="22"/>
          <w:szCs w:val="22"/>
          <w:lang w:val="fr-FR"/>
        </w:rPr>
        <w:t>, aux fins d’examen par l’Organe subsidiaire chargé de l’application à sa deuxième réunion. Les réunions des Parties aux Protocoles de Cartagena et d</w:t>
      </w:r>
      <w:r w:rsidR="009F6CBB">
        <w:rPr>
          <w:kern w:val="22"/>
          <w:szCs w:val="22"/>
          <w:lang w:val="fr-FR"/>
        </w:rPr>
        <w:t>e Nagoya ont décidé d’utiliser l</w:t>
      </w:r>
      <w:r w:rsidRPr="00C54A95">
        <w:rPr>
          <w:kern w:val="22"/>
          <w:szCs w:val="22"/>
          <w:lang w:val="fr-FR"/>
        </w:rPr>
        <w:t xml:space="preserve">es </w:t>
      </w:r>
      <w:r w:rsidR="009F6CBB">
        <w:rPr>
          <w:kern w:val="22"/>
          <w:szCs w:val="22"/>
          <w:lang w:val="fr-FR"/>
        </w:rPr>
        <w:t xml:space="preserve">mêmes </w:t>
      </w:r>
      <w:r w:rsidRPr="00C54A95">
        <w:rPr>
          <w:kern w:val="22"/>
          <w:szCs w:val="22"/>
          <w:lang w:val="fr-FR"/>
        </w:rPr>
        <w:t xml:space="preserve">critères pour examiner </w:t>
      </w:r>
      <w:r w:rsidR="009F6CBB">
        <w:rPr>
          <w:kern w:val="22"/>
          <w:szCs w:val="22"/>
          <w:lang w:val="fr-FR"/>
        </w:rPr>
        <w:t>leurs</w:t>
      </w:r>
      <w:r w:rsidRPr="00C54A95">
        <w:rPr>
          <w:kern w:val="22"/>
          <w:szCs w:val="22"/>
          <w:lang w:val="fr-FR"/>
        </w:rPr>
        <w:t xml:space="preserve"> réunions dans leurs décisions respectives</w:t>
      </w:r>
      <w:r w:rsidR="00742F79" w:rsidRPr="00C54A95">
        <w:rPr>
          <w:snapToGrid/>
          <w:kern w:val="22"/>
          <w:szCs w:val="22"/>
          <w:lang w:val="fr-FR"/>
        </w:rPr>
        <w:t xml:space="preserve"> </w:t>
      </w:r>
      <w:hyperlink r:id="rId13" w:history="1">
        <w:r w:rsidR="00742F79" w:rsidRPr="00C54A95">
          <w:rPr>
            <w:rStyle w:val="Hyperlink"/>
            <w:snapToGrid/>
            <w:kern w:val="22"/>
            <w:szCs w:val="22"/>
            <w:lang w:val="fr-FR"/>
          </w:rPr>
          <w:t>CP VIII/10</w:t>
        </w:r>
      </w:hyperlink>
      <w:r w:rsidR="00742F79" w:rsidRPr="00C54A95">
        <w:rPr>
          <w:snapToGrid/>
          <w:kern w:val="22"/>
          <w:szCs w:val="22"/>
          <w:lang w:val="fr-FR"/>
        </w:rPr>
        <w:t xml:space="preserve"> </w:t>
      </w:r>
      <w:r w:rsidRPr="00C54A95">
        <w:rPr>
          <w:snapToGrid/>
          <w:kern w:val="22"/>
          <w:szCs w:val="22"/>
          <w:lang w:val="fr-FR"/>
        </w:rPr>
        <w:t>et</w:t>
      </w:r>
      <w:r w:rsidR="00742F79" w:rsidRPr="00C54A95">
        <w:rPr>
          <w:snapToGrid/>
          <w:kern w:val="22"/>
          <w:szCs w:val="22"/>
          <w:lang w:val="fr-FR"/>
        </w:rPr>
        <w:t xml:space="preserve"> </w:t>
      </w:r>
      <w:hyperlink r:id="rId14" w:history="1">
        <w:r w:rsidR="00742F79" w:rsidRPr="00C54A95">
          <w:rPr>
            <w:rStyle w:val="Hyperlink"/>
            <w:snapToGrid/>
            <w:kern w:val="22"/>
            <w:szCs w:val="22"/>
            <w:lang w:val="fr-FR"/>
          </w:rPr>
          <w:t>NP 2/12</w:t>
        </w:r>
      </w:hyperlink>
      <w:r w:rsidR="00742F79" w:rsidRPr="00C54A95">
        <w:rPr>
          <w:snapToGrid/>
          <w:kern w:val="22"/>
          <w:szCs w:val="22"/>
          <w:lang w:val="fr-FR"/>
        </w:rPr>
        <w:t>.</w:t>
      </w:r>
    </w:p>
    <w:p w:rsidR="00742F79" w:rsidRPr="00C54A95" w:rsidRDefault="0010682D" w:rsidP="00F82F1D">
      <w:pPr>
        <w:pStyle w:val="Para1"/>
        <w:suppressLineNumbers/>
        <w:tabs>
          <w:tab w:val="clear" w:pos="360"/>
        </w:tabs>
        <w:suppressAutoHyphens/>
        <w:kinsoku w:val="0"/>
        <w:overflowPunct w:val="0"/>
        <w:autoSpaceDE w:val="0"/>
        <w:autoSpaceDN w:val="0"/>
        <w:rPr>
          <w:snapToGrid/>
          <w:kern w:val="22"/>
          <w:szCs w:val="22"/>
          <w:lang w:val="fr-FR"/>
        </w:rPr>
      </w:pPr>
      <w:r w:rsidRPr="00C54A95">
        <w:rPr>
          <w:rFonts w:eastAsiaTheme="minorHAnsi"/>
          <w:snapToGrid/>
          <w:kern w:val="22"/>
          <w:szCs w:val="22"/>
          <w:lang w:val="fr-FR" w:bidi="bn-BD"/>
        </w:rPr>
        <w:t xml:space="preserve">En réponse </w:t>
      </w:r>
      <w:r w:rsidR="00BE66BC">
        <w:rPr>
          <w:rFonts w:eastAsiaTheme="minorHAnsi"/>
          <w:snapToGrid/>
          <w:kern w:val="22"/>
          <w:szCs w:val="22"/>
          <w:lang w:val="fr-FR" w:bidi="bn-BD"/>
        </w:rPr>
        <w:t>à ces demandes</w:t>
      </w:r>
      <w:r w:rsidRPr="00C54A95">
        <w:rPr>
          <w:rFonts w:eastAsiaTheme="minorHAnsi"/>
          <w:snapToGrid/>
          <w:kern w:val="22"/>
          <w:szCs w:val="22"/>
          <w:lang w:val="fr-FR" w:bidi="bn-BD"/>
        </w:rPr>
        <w:t>, une notification</w:t>
      </w:r>
      <w:r w:rsidR="00742F79" w:rsidRPr="00C54A95">
        <w:rPr>
          <w:snapToGrid/>
          <w:kern w:val="22"/>
          <w:szCs w:val="22"/>
          <w:vertAlign w:val="superscript"/>
          <w:lang w:val="fr-FR"/>
        </w:rPr>
        <w:footnoteReference w:id="3"/>
      </w:r>
      <w:r w:rsidR="00742F79" w:rsidRPr="00C54A95">
        <w:rPr>
          <w:snapToGrid/>
          <w:kern w:val="22"/>
          <w:szCs w:val="22"/>
          <w:vertAlign w:val="superscript"/>
          <w:lang w:val="fr-FR"/>
        </w:rPr>
        <w:t xml:space="preserve"> </w:t>
      </w:r>
      <w:r w:rsidRPr="00C54A95">
        <w:rPr>
          <w:rFonts w:eastAsiaTheme="minorHAnsi"/>
          <w:snapToGrid/>
          <w:kern w:val="22"/>
          <w:szCs w:val="22"/>
          <w:lang w:val="fr-FR" w:bidi="bn-BD"/>
        </w:rPr>
        <w:t xml:space="preserve">a été adressée aux Parties à la Convention et </w:t>
      </w:r>
      <w:r w:rsidR="00BE66BC">
        <w:rPr>
          <w:rFonts w:eastAsiaTheme="minorHAnsi"/>
          <w:snapToGrid/>
          <w:kern w:val="22"/>
          <w:szCs w:val="22"/>
          <w:lang w:val="fr-FR" w:bidi="bn-BD"/>
        </w:rPr>
        <w:t>à ses</w:t>
      </w:r>
      <w:r w:rsidRPr="00C54A95">
        <w:rPr>
          <w:rFonts w:eastAsiaTheme="minorHAnsi"/>
          <w:snapToGrid/>
          <w:kern w:val="22"/>
          <w:szCs w:val="22"/>
          <w:lang w:val="fr-FR" w:bidi="bn-BD"/>
        </w:rPr>
        <w:t xml:space="preserve"> deux Protocoles, afin de les inviter à </w:t>
      </w:r>
      <w:r w:rsidR="00BE66BC">
        <w:rPr>
          <w:rFonts w:eastAsiaTheme="minorHAnsi"/>
          <w:snapToGrid/>
          <w:kern w:val="22"/>
          <w:szCs w:val="22"/>
          <w:lang w:val="fr-FR" w:bidi="bn-BD"/>
        </w:rPr>
        <w:t xml:space="preserve">exprimer leur opinion </w:t>
      </w:r>
      <w:r w:rsidRPr="00C54A95">
        <w:rPr>
          <w:rFonts w:eastAsiaTheme="minorHAnsi"/>
          <w:snapToGrid/>
          <w:kern w:val="22"/>
          <w:szCs w:val="22"/>
          <w:lang w:val="fr-FR" w:bidi="bn-BD"/>
        </w:rPr>
        <w:t xml:space="preserve">sur l’organisation des réunions </w:t>
      </w:r>
      <w:r w:rsidR="001256FB" w:rsidRPr="00C54A95">
        <w:rPr>
          <w:rFonts w:eastAsiaTheme="minorHAnsi"/>
          <w:snapToGrid/>
          <w:kern w:val="22"/>
          <w:szCs w:val="22"/>
          <w:lang w:val="fr-FR" w:bidi="bn-BD"/>
        </w:rPr>
        <w:t>concomitante</w:t>
      </w:r>
      <w:r w:rsidR="001256FB">
        <w:rPr>
          <w:rFonts w:eastAsiaTheme="minorHAnsi"/>
          <w:snapToGrid/>
          <w:kern w:val="22"/>
          <w:szCs w:val="22"/>
          <w:lang w:val="fr-FR" w:bidi="bn-BD"/>
        </w:rPr>
        <w:t>s</w:t>
      </w:r>
      <w:r w:rsidR="001256FB" w:rsidRPr="00C54A95">
        <w:rPr>
          <w:rFonts w:eastAsiaTheme="minorHAnsi"/>
          <w:snapToGrid/>
          <w:kern w:val="22"/>
          <w:szCs w:val="22"/>
          <w:lang w:val="fr-FR" w:bidi="bn-BD"/>
        </w:rPr>
        <w:t xml:space="preserve"> </w:t>
      </w:r>
      <w:r w:rsidRPr="00C54A95">
        <w:rPr>
          <w:rFonts w:eastAsiaTheme="minorHAnsi"/>
          <w:snapToGrid/>
          <w:kern w:val="22"/>
          <w:szCs w:val="22"/>
          <w:lang w:val="fr-FR" w:bidi="bn-BD"/>
        </w:rPr>
        <w:t xml:space="preserve">précédemment mentionnées, en utilisant </w:t>
      </w:r>
      <w:r w:rsidR="003673FF">
        <w:rPr>
          <w:rFonts w:eastAsiaTheme="minorHAnsi"/>
          <w:snapToGrid/>
          <w:kern w:val="22"/>
          <w:szCs w:val="22"/>
          <w:lang w:val="fr-FR" w:bidi="bn-BD"/>
        </w:rPr>
        <w:t xml:space="preserve">un questionnaire centré sur les </w:t>
      </w:r>
      <w:r w:rsidRPr="00C54A95">
        <w:rPr>
          <w:rFonts w:eastAsiaTheme="minorHAnsi"/>
          <w:snapToGrid/>
          <w:kern w:val="22"/>
          <w:szCs w:val="22"/>
          <w:lang w:val="fr-FR" w:bidi="bn-BD"/>
        </w:rPr>
        <w:t>critères énoncés aux décisions XIII/26, CP VIII/10 et NP 2/12. Une enquête a en outre été adressée par voie électronique</w:t>
      </w:r>
      <w:r w:rsidR="00742F79" w:rsidRPr="00C54A95">
        <w:rPr>
          <w:snapToGrid/>
          <w:kern w:val="22"/>
          <w:szCs w:val="22"/>
          <w:vertAlign w:val="superscript"/>
          <w:lang w:val="fr-FR"/>
        </w:rPr>
        <w:footnoteReference w:id="4"/>
      </w:r>
      <w:r w:rsidR="00742F79" w:rsidRPr="00C54A95">
        <w:rPr>
          <w:snapToGrid/>
          <w:kern w:val="22"/>
          <w:szCs w:val="22"/>
          <w:lang w:val="fr-FR"/>
        </w:rPr>
        <w:t xml:space="preserve"> </w:t>
      </w:r>
      <w:r w:rsidRPr="00C54A95">
        <w:rPr>
          <w:rFonts w:eastAsiaTheme="minorHAnsi"/>
          <w:snapToGrid/>
          <w:kern w:val="22"/>
          <w:szCs w:val="22"/>
          <w:lang w:val="fr-FR" w:bidi="bn-BD"/>
        </w:rPr>
        <w:t>aux participan</w:t>
      </w:r>
      <w:r w:rsidR="003673FF">
        <w:rPr>
          <w:rFonts w:eastAsiaTheme="minorHAnsi"/>
          <w:snapToGrid/>
          <w:kern w:val="22"/>
          <w:szCs w:val="22"/>
          <w:lang w:val="fr-FR" w:bidi="bn-BD"/>
        </w:rPr>
        <w:t>ts des réunions concomitantes. S</w:t>
      </w:r>
      <w:r w:rsidRPr="00C54A95">
        <w:rPr>
          <w:rFonts w:eastAsiaTheme="minorHAnsi"/>
          <w:snapToGrid/>
          <w:kern w:val="22"/>
          <w:szCs w:val="22"/>
          <w:lang w:val="fr-FR" w:bidi="bn-BD"/>
        </w:rPr>
        <w:t xml:space="preserve">es destinataires </w:t>
      </w:r>
      <w:r w:rsidR="00E906B6">
        <w:rPr>
          <w:rFonts w:eastAsiaTheme="minorHAnsi"/>
          <w:snapToGrid/>
          <w:kern w:val="22"/>
          <w:szCs w:val="22"/>
          <w:lang w:val="fr-FR" w:bidi="bn-BD"/>
        </w:rPr>
        <w:t>ayant</w:t>
      </w:r>
      <w:r w:rsidRPr="00C54A95">
        <w:rPr>
          <w:rFonts w:eastAsiaTheme="minorHAnsi"/>
          <w:snapToGrid/>
          <w:kern w:val="22"/>
          <w:szCs w:val="22"/>
          <w:lang w:val="fr-FR" w:bidi="bn-BD"/>
        </w:rPr>
        <w:t xml:space="preserve"> répondu </w:t>
      </w:r>
      <w:r w:rsidR="003673FF">
        <w:rPr>
          <w:rFonts w:eastAsiaTheme="minorHAnsi"/>
          <w:snapToGrid/>
          <w:kern w:val="22"/>
          <w:szCs w:val="22"/>
          <w:lang w:val="fr-FR" w:bidi="bn-BD"/>
        </w:rPr>
        <w:t>aux</w:t>
      </w:r>
      <w:r w:rsidRPr="00C54A95">
        <w:rPr>
          <w:rFonts w:eastAsiaTheme="minorHAnsi"/>
          <w:snapToGrid/>
          <w:kern w:val="22"/>
          <w:szCs w:val="22"/>
          <w:lang w:val="fr-FR" w:bidi="bn-BD"/>
        </w:rPr>
        <w:t xml:space="preserve"> questions</w:t>
      </w:r>
      <w:r w:rsidR="003673FF">
        <w:rPr>
          <w:rFonts w:eastAsiaTheme="minorHAnsi"/>
          <w:snapToGrid/>
          <w:kern w:val="22"/>
          <w:szCs w:val="22"/>
          <w:lang w:val="fr-FR" w:bidi="bn-BD"/>
        </w:rPr>
        <w:t xml:space="preserve"> </w:t>
      </w:r>
      <w:r w:rsidR="00E906B6">
        <w:rPr>
          <w:rFonts w:eastAsiaTheme="minorHAnsi"/>
          <w:snapToGrid/>
          <w:kern w:val="22"/>
          <w:szCs w:val="22"/>
          <w:lang w:val="fr-FR" w:bidi="bn-BD"/>
        </w:rPr>
        <w:t>à titre personnel, l</w:t>
      </w:r>
      <w:r w:rsidRPr="00C54A95">
        <w:rPr>
          <w:rFonts w:eastAsiaTheme="minorHAnsi"/>
          <w:snapToGrid/>
          <w:kern w:val="22"/>
          <w:szCs w:val="22"/>
          <w:lang w:val="fr-FR" w:bidi="bn-BD"/>
        </w:rPr>
        <w:t>eurs réponses ne reflètent pas nécessairement le point de vue officiel des Parties ou des organisations qu’ils représentent</w:t>
      </w:r>
      <w:r w:rsidR="00742F79" w:rsidRPr="00C54A95">
        <w:rPr>
          <w:snapToGrid/>
          <w:kern w:val="22"/>
          <w:szCs w:val="22"/>
          <w:lang w:val="fr-FR"/>
        </w:rPr>
        <w:t>.</w:t>
      </w:r>
    </w:p>
    <w:p w:rsidR="00742F79" w:rsidRPr="00C54A95" w:rsidRDefault="0010682D" w:rsidP="00F82F1D">
      <w:pPr>
        <w:pStyle w:val="Para1"/>
        <w:suppressLineNumbers/>
        <w:tabs>
          <w:tab w:val="clear" w:pos="360"/>
        </w:tabs>
        <w:suppressAutoHyphens/>
        <w:kinsoku w:val="0"/>
        <w:overflowPunct w:val="0"/>
        <w:autoSpaceDE w:val="0"/>
        <w:autoSpaceDN w:val="0"/>
        <w:rPr>
          <w:snapToGrid/>
          <w:kern w:val="22"/>
          <w:szCs w:val="22"/>
          <w:lang w:val="fr-FR"/>
        </w:rPr>
      </w:pPr>
      <w:r w:rsidRPr="00C54A95">
        <w:rPr>
          <w:kern w:val="22"/>
          <w:szCs w:val="22"/>
          <w:lang w:val="fr-FR"/>
        </w:rPr>
        <w:t xml:space="preserve">Les sections </w:t>
      </w:r>
      <w:r w:rsidR="008A27C8">
        <w:rPr>
          <w:kern w:val="22"/>
          <w:szCs w:val="22"/>
          <w:lang w:val="fr-FR"/>
        </w:rPr>
        <w:t xml:space="preserve">suivantes </w:t>
      </w:r>
      <w:r w:rsidRPr="00C54A95">
        <w:rPr>
          <w:kern w:val="22"/>
          <w:szCs w:val="22"/>
          <w:lang w:val="fr-FR"/>
        </w:rPr>
        <w:t xml:space="preserve">du présent document résument les principaux résultats du questionnaire et de l’enquête. Des remarques sont également formulées par le Secrétariat sur les aspects logistiques de l’organisation des réunions de la Convention et des Protocoles, </w:t>
      </w:r>
      <w:r w:rsidR="00EA4B4C">
        <w:rPr>
          <w:kern w:val="22"/>
          <w:szCs w:val="22"/>
          <w:lang w:val="fr-FR"/>
        </w:rPr>
        <w:t>à titre informatif, à l’intention d</w:t>
      </w:r>
      <w:r w:rsidRPr="00C54A95">
        <w:rPr>
          <w:kern w:val="22"/>
          <w:szCs w:val="22"/>
          <w:lang w:val="fr-FR"/>
        </w:rPr>
        <w:t xml:space="preserve">es Parties </w:t>
      </w:r>
      <w:r w:rsidR="00EA4B4C">
        <w:rPr>
          <w:kern w:val="22"/>
          <w:szCs w:val="22"/>
          <w:lang w:val="fr-FR"/>
        </w:rPr>
        <w:lastRenderedPageBreak/>
        <w:t>chargées de l’examen de</w:t>
      </w:r>
      <w:r w:rsidRPr="00C54A95">
        <w:rPr>
          <w:kern w:val="22"/>
          <w:szCs w:val="22"/>
          <w:lang w:val="fr-FR"/>
        </w:rPr>
        <w:t xml:space="preserve"> cette question. La note consacre une section à chacun des critères </w:t>
      </w:r>
      <w:r w:rsidR="008A27C8">
        <w:rPr>
          <w:kern w:val="22"/>
          <w:szCs w:val="22"/>
          <w:lang w:val="fr-FR"/>
        </w:rPr>
        <w:t>fixés</w:t>
      </w:r>
      <w:r w:rsidRPr="00C54A95">
        <w:rPr>
          <w:kern w:val="22"/>
          <w:szCs w:val="22"/>
          <w:lang w:val="fr-FR"/>
        </w:rPr>
        <w:t xml:space="preserve"> dans les décisions XIII/26, CP-VIII/10 et NP-2/12, et inclut une section </w:t>
      </w:r>
      <w:r w:rsidR="00E53AAD">
        <w:rPr>
          <w:kern w:val="22"/>
          <w:szCs w:val="22"/>
          <w:lang w:val="fr-FR"/>
        </w:rPr>
        <w:t>de</w:t>
      </w:r>
      <w:r w:rsidRPr="00C54A95">
        <w:rPr>
          <w:kern w:val="22"/>
          <w:szCs w:val="22"/>
          <w:lang w:val="fr-FR"/>
        </w:rPr>
        <w:t xml:space="preserve"> remarques générales et </w:t>
      </w:r>
      <w:r w:rsidR="00E53AAD">
        <w:rPr>
          <w:kern w:val="22"/>
          <w:szCs w:val="22"/>
          <w:lang w:val="fr-FR"/>
        </w:rPr>
        <w:t>de</w:t>
      </w:r>
      <w:r w:rsidRPr="00C54A95">
        <w:rPr>
          <w:kern w:val="22"/>
          <w:szCs w:val="22"/>
          <w:lang w:val="fr-FR"/>
        </w:rPr>
        <w:t xml:space="preserve"> conclusion. Le présent document est </w:t>
      </w:r>
      <w:r w:rsidR="00E53AAD">
        <w:rPr>
          <w:kern w:val="22"/>
          <w:szCs w:val="22"/>
          <w:lang w:val="fr-FR"/>
        </w:rPr>
        <w:t>également</w:t>
      </w:r>
      <w:r w:rsidRPr="00C54A95">
        <w:rPr>
          <w:kern w:val="22"/>
          <w:szCs w:val="22"/>
          <w:lang w:val="fr-FR"/>
        </w:rPr>
        <w:t xml:space="preserve"> complété p</w:t>
      </w:r>
      <w:r w:rsidR="00E53AAD">
        <w:rPr>
          <w:kern w:val="22"/>
          <w:szCs w:val="22"/>
          <w:lang w:val="fr-FR"/>
        </w:rPr>
        <w:t>ar deux documents d’information</w:t>
      </w:r>
      <w:r w:rsidRPr="00C54A95">
        <w:rPr>
          <w:kern w:val="22"/>
          <w:szCs w:val="22"/>
          <w:lang w:val="fr-FR"/>
        </w:rPr>
        <w:t xml:space="preserve"> qui reproduisent l’ensemble des observations </w:t>
      </w:r>
      <w:r w:rsidR="00E53AAD">
        <w:rPr>
          <w:kern w:val="22"/>
          <w:szCs w:val="22"/>
          <w:lang w:val="fr-FR"/>
        </w:rPr>
        <w:t>faites</w:t>
      </w:r>
      <w:r w:rsidRPr="00C54A95">
        <w:rPr>
          <w:kern w:val="22"/>
          <w:szCs w:val="22"/>
          <w:lang w:val="fr-FR"/>
        </w:rPr>
        <w:t xml:space="preserve"> dans les réponses apportées au questionnaire et à l’enquête, et offrent une analyse complémentaire</w:t>
      </w:r>
      <w:r w:rsidR="00742F79" w:rsidRPr="00C54A95">
        <w:rPr>
          <w:snapToGrid/>
          <w:kern w:val="22"/>
          <w:szCs w:val="22"/>
          <w:vertAlign w:val="superscript"/>
          <w:lang w:val="fr-FR"/>
        </w:rPr>
        <w:footnoteReference w:id="5"/>
      </w:r>
      <w:r w:rsidRPr="00C54A95">
        <w:rPr>
          <w:kern w:val="22"/>
          <w:szCs w:val="22"/>
          <w:lang w:val="fr-FR"/>
        </w:rPr>
        <w:t>.</w:t>
      </w:r>
      <w:r w:rsidR="00742F79" w:rsidRPr="00C54A95">
        <w:rPr>
          <w:snapToGrid/>
          <w:kern w:val="22"/>
          <w:szCs w:val="22"/>
          <w:lang w:val="fr-FR"/>
        </w:rPr>
        <w:t xml:space="preserve"> </w:t>
      </w:r>
      <w:r w:rsidRPr="00C54A95">
        <w:rPr>
          <w:kern w:val="22"/>
          <w:szCs w:val="22"/>
          <w:lang w:val="fr-FR"/>
        </w:rPr>
        <w:t xml:space="preserve">Une </w:t>
      </w:r>
      <w:r w:rsidR="00E53AAD">
        <w:rPr>
          <w:kern w:val="22"/>
          <w:szCs w:val="22"/>
          <w:lang w:val="fr-FR"/>
        </w:rPr>
        <w:t xml:space="preserve">précédente </w:t>
      </w:r>
      <w:r w:rsidRPr="00C54A95">
        <w:rPr>
          <w:kern w:val="22"/>
          <w:szCs w:val="22"/>
          <w:lang w:val="fr-FR"/>
        </w:rPr>
        <w:t xml:space="preserve">version de la présente note a été </w:t>
      </w:r>
      <w:r w:rsidR="00E53AAD">
        <w:rPr>
          <w:kern w:val="22"/>
          <w:szCs w:val="22"/>
          <w:lang w:val="fr-FR"/>
        </w:rPr>
        <w:t>évaluée par</w:t>
      </w:r>
      <w:r w:rsidRPr="00C54A95">
        <w:rPr>
          <w:kern w:val="22"/>
          <w:szCs w:val="22"/>
          <w:lang w:val="fr-FR"/>
        </w:rPr>
        <w:t xml:space="preserve"> des pairs</w:t>
      </w:r>
      <w:r w:rsidR="00742F79" w:rsidRPr="00C54A95">
        <w:rPr>
          <w:snapToGrid/>
          <w:kern w:val="22"/>
          <w:szCs w:val="22"/>
          <w:vertAlign w:val="superscript"/>
          <w:lang w:val="fr-FR"/>
        </w:rPr>
        <w:footnoteReference w:id="6"/>
      </w:r>
      <w:r w:rsidRPr="00C54A95">
        <w:rPr>
          <w:kern w:val="22"/>
          <w:szCs w:val="22"/>
          <w:lang w:val="fr-FR"/>
        </w:rPr>
        <w:t>.</w:t>
      </w:r>
    </w:p>
    <w:p w:rsidR="00742F79" w:rsidRPr="00C54A95" w:rsidRDefault="00E53AAD" w:rsidP="00F82F1D">
      <w:pPr>
        <w:numPr>
          <w:ilvl w:val="0"/>
          <w:numId w:val="52"/>
        </w:numPr>
        <w:suppressLineNumbers/>
        <w:suppressAutoHyphens/>
        <w:kinsoku w:val="0"/>
        <w:overflowPunct w:val="0"/>
        <w:autoSpaceDE w:val="0"/>
        <w:autoSpaceDN w:val="0"/>
        <w:spacing w:before="240" w:after="120"/>
        <w:ind w:left="0" w:firstLine="0"/>
        <w:jc w:val="center"/>
        <w:rPr>
          <w:b/>
          <w:bCs/>
          <w:kern w:val="22"/>
          <w:szCs w:val="22"/>
          <w:lang w:val="fr-FR"/>
        </w:rPr>
      </w:pPr>
      <w:r>
        <w:rPr>
          <w:b/>
          <w:bCs/>
          <w:kern w:val="22"/>
          <w:szCs w:val="22"/>
          <w:lang w:val="fr-FR"/>
        </w:rPr>
        <w:t>RÉPONDA</w:t>
      </w:r>
      <w:r w:rsidR="00742F79" w:rsidRPr="00C54A95">
        <w:rPr>
          <w:b/>
          <w:bCs/>
          <w:kern w:val="22"/>
          <w:szCs w:val="22"/>
          <w:lang w:val="fr-FR"/>
        </w:rPr>
        <w:t xml:space="preserve">NTS </w:t>
      </w:r>
      <w:r w:rsidR="008A27C8">
        <w:rPr>
          <w:b/>
          <w:bCs/>
          <w:kern w:val="22"/>
          <w:szCs w:val="22"/>
          <w:lang w:val="fr-FR"/>
        </w:rPr>
        <w:t>AUX</w:t>
      </w:r>
      <w:r>
        <w:rPr>
          <w:b/>
          <w:bCs/>
          <w:kern w:val="22"/>
          <w:szCs w:val="22"/>
          <w:lang w:val="fr-FR"/>
        </w:rPr>
        <w:t xml:space="preserve"> ENQUÊTES</w:t>
      </w:r>
    </w:p>
    <w:p w:rsidR="00742F79" w:rsidRPr="00C54A95" w:rsidRDefault="00154250" w:rsidP="00F82F1D">
      <w:pPr>
        <w:pStyle w:val="Para1"/>
        <w:suppressLineNumbers/>
        <w:tabs>
          <w:tab w:val="clear" w:pos="360"/>
        </w:tabs>
        <w:suppressAutoHyphens/>
        <w:kinsoku w:val="0"/>
        <w:overflowPunct w:val="0"/>
        <w:autoSpaceDE w:val="0"/>
        <w:autoSpaceDN w:val="0"/>
        <w:rPr>
          <w:snapToGrid/>
          <w:kern w:val="22"/>
          <w:szCs w:val="22"/>
          <w:lang w:val="fr-FR"/>
        </w:rPr>
      </w:pPr>
      <w:r w:rsidRPr="00C54A95">
        <w:rPr>
          <w:snapToGrid/>
          <w:kern w:val="22"/>
          <w:szCs w:val="22"/>
          <w:lang w:val="fr-FR"/>
        </w:rPr>
        <w:t xml:space="preserve">La notification </w:t>
      </w:r>
      <w:r w:rsidR="00D70533">
        <w:rPr>
          <w:snapToGrid/>
          <w:kern w:val="22"/>
          <w:szCs w:val="22"/>
          <w:lang w:val="fr-FR"/>
        </w:rPr>
        <w:t>adressée</w:t>
      </w:r>
      <w:r w:rsidRPr="00C54A95">
        <w:rPr>
          <w:snapToGrid/>
          <w:kern w:val="22"/>
          <w:szCs w:val="22"/>
          <w:lang w:val="fr-FR"/>
        </w:rPr>
        <w:t xml:space="preserve"> aux Parties a généré 71 réponses de 64 Parties</w:t>
      </w:r>
      <w:r w:rsidR="00742F79" w:rsidRPr="00C54A95">
        <w:rPr>
          <w:snapToGrid/>
          <w:kern w:val="22"/>
          <w:szCs w:val="22"/>
          <w:vertAlign w:val="superscript"/>
          <w:lang w:val="fr-FR"/>
        </w:rPr>
        <w:footnoteReference w:id="7"/>
      </w:r>
      <w:r w:rsidRPr="00C54A95">
        <w:rPr>
          <w:snapToGrid/>
          <w:kern w:val="22"/>
          <w:szCs w:val="22"/>
          <w:lang w:val="fr-FR"/>
        </w:rPr>
        <w:t>.</w:t>
      </w:r>
      <w:r w:rsidR="00742F79" w:rsidRPr="00C54A95">
        <w:rPr>
          <w:snapToGrid/>
          <w:kern w:val="22"/>
          <w:szCs w:val="22"/>
          <w:lang w:val="fr-FR"/>
        </w:rPr>
        <w:t xml:space="preserve"> </w:t>
      </w:r>
      <w:r w:rsidR="00D70533">
        <w:rPr>
          <w:snapToGrid/>
          <w:kern w:val="22"/>
          <w:szCs w:val="22"/>
          <w:lang w:val="fr-FR"/>
        </w:rPr>
        <w:t xml:space="preserve">Plusieurs </w:t>
      </w:r>
      <w:r w:rsidRPr="00C54A95">
        <w:rPr>
          <w:snapToGrid/>
          <w:kern w:val="22"/>
          <w:szCs w:val="22"/>
          <w:lang w:val="fr-FR"/>
        </w:rPr>
        <w:t xml:space="preserve">Parties ont </w:t>
      </w:r>
      <w:r w:rsidR="00640DC9">
        <w:rPr>
          <w:snapToGrid/>
          <w:kern w:val="22"/>
          <w:szCs w:val="22"/>
          <w:lang w:val="fr-FR"/>
        </w:rPr>
        <w:t>fourni des réponses</w:t>
      </w:r>
      <w:r w:rsidRPr="00C54A95">
        <w:rPr>
          <w:snapToGrid/>
          <w:kern w:val="22"/>
          <w:szCs w:val="22"/>
          <w:lang w:val="fr-FR"/>
        </w:rPr>
        <w:t xml:space="preserve"> </w:t>
      </w:r>
      <w:r w:rsidR="00640DC9">
        <w:rPr>
          <w:snapToGrid/>
          <w:kern w:val="22"/>
          <w:szCs w:val="22"/>
          <w:lang w:val="fr-FR"/>
        </w:rPr>
        <w:t xml:space="preserve">séparées </w:t>
      </w:r>
      <w:r w:rsidRPr="00C54A95">
        <w:rPr>
          <w:snapToGrid/>
          <w:kern w:val="22"/>
          <w:szCs w:val="22"/>
          <w:lang w:val="fr-FR"/>
        </w:rPr>
        <w:t xml:space="preserve">sur la Convention </w:t>
      </w:r>
      <w:r w:rsidR="00840809">
        <w:rPr>
          <w:snapToGrid/>
          <w:kern w:val="22"/>
          <w:szCs w:val="22"/>
          <w:lang w:val="fr-FR"/>
        </w:rPr>
        <w:t>et ses Protocoles</w:t>
      </w:r>
      <w:r w:rsidRPr="00C54A95">
        <w:rPr>
          <w:snapToGrid/>
          <w:kern w:val="22"/>
          <w:szCs w:val="22"/>
          <w:lang w:val="fr-FR"/>
        </w:rPr>
        <w:t xml:space="preserve">. </w:t>
      </w:r>
      <w:r w:rsidR="00E61827">
        <w:rPr>
          <w:snapToGrid/>
          <w:kern w:val="22"/>
          <w:szCs w:val="22"/>
          <w:lang w:val="fr-FR"/>
        </w:rPr>
        <w:t>Les</w:t>
      </w:r>
      <w:r w:rsidRPr="00C54A95">
        <w:rPr>
          <w:snapToGrid/>
          <w:kern w:val="22"/>
          <w:szCs w:val="22"/>
          <w:lang w:val="fr-FR"/>
        </w:rPr>
        <w:t xml:space="preserve"> répondants n’ont pas </w:t>
      </w:r>
      <w:r w:rsidR="00E61827">
        <w:rPr>
          <w:snapToGrid/>
          <w:kern w:val="22"/>
          <w:szCs w:val="22"/>
          <w:lang w:val="fr-FR"/>
        </w:rPr>
        <w:t xml:space="preserve">tous </w:t>
      </w:r>
      <w:r w:rsidRPr="00C54A95">
        <w:rPr>
          <w:snapToGrid/>
          <w:kern w:val="22"/>
          <w:szCs w:val="22"/>
          <w:lang w:val="fr-FR"/>
        </w:rPr>
        <w:t xml:space="preserve">répondu </w:t>
      </w:r>
      <w:r w:rsidR="00E61827">
        <w:rPr>
          <w:snapToGrid/>
          <w:kern w:val="22"/>
          <w:szCs w:val="22"/>
          <w:lang w:val="fr-FR"/>
        </w:rPr>
        <w:t>aux</w:t>
      </w:r>
      <w:r w:rsidRPr="00C54A95">
        <w:rPr>
          <w:snapToGrid/>
          <w:kern w:val="22"/>
          <w:szCs w:val="22"/>
          <w:lang w:val="fr-FR"/>
        </w:rPr>
        <w:t xml:space="preserve"> questions du questionnaire </w:t>
      </w:r>
      <w:r w:rsidR="00E61827">
        <w:rPr>
          <w:snapToGrid/>
          <w:kern w:val="22"/>
          <w:szCs w:val="22"/>
          <w:lang w:val="fr-FR"/>
        </w:rPr>
        <w:t>ni</w:t>
      </w:r>
      <w:r w:rsidRPr="00C54A95">
        <w:rPr>
          <w:snapToGrid/>
          <w:kern w:val="22"/>
          <w:szCs w:val="22"/>
          <w:lang w:val="fr-FR"/>
        </w:rPr>
        <w:t xml:space="preserve"> formulé des observations. </w:t>
      </w:r>
      <w:r w:rsidR="00D6453C">
        <w:rPr>
          <w:snapToGrid/>
          <w:kern w:val="22"/>
          <w:szCs w:val="22"/>
          <w:lang w:val="fr-FR"/>
        </w:rPr>
        <w:t>Quelque 62 </w:t>
      </w:r>
      <w:r w:rsidRPr="00C54A95">
        <w:rPr>
          <w:snapToGrid/>
          <w:kern w:val="22"/>
          <w:szCs w:val="22"/>
          <w:lang w:val="fr-FR"/>
        </w:rPr>
        <w:t xml:space="preserve">réponses apportées à la notification </w:t>
      </w:r>
      <w:r w:rsidR="00D6453C">
        <w:rPr>
          <w:snapToGrid/>
          <w:kern w:val="22"/>
          <w:szCs w:val="22"/>
          <w:lang w:val="fr-FR"/>
        </w:rPr>
        <w:t>ont inclus</w:t>
      </w:r>
      <w:r w:rsidRPr="00C54A95">
        <w:rPr>
          <w:snapToGrid/>
          <w:kern w:val="22"/>
          <w:szCs w:val="22"/>
          <w:lang w:val="fr-FR"/>
        </w:rPr>
        <w:t xml:space="preserve"> des informations </w:t>
      </w:r>
      <w:r w:rsidR="00640DC9">
        <w:rPr>
          <w:snapToGrid/>
          <w:kern w:val="22"/>
          <w:szCs w:val="22"/>
          <w:lang w:val="fr-FR"/>
        </w:rPr>
        <w:t xml:space="preserve">sur la Convention, </w:t>
      </w:r>
      <w:r w:rsidRPr="00C54A95">
        <w:rPr>
          <w:snapToGrid/>
          <w:kern w:val="22"/>
          <w:szCs w:val="22"/>
          <w:lang w:val="fr-FR"/>
        </w:rPr>
        <w:t>55</w:t>
      </w:r>
      <w:r w:rsidR="00640DC9">
        <w:rPr>
          <w:snapToGrid/>
          <w:kern w:val="22"/>
          <w:szCs w:val="22"/>
          <w:lang w:val="fr-FR"/>
        </w:rPr>
        <w:t xml:space="preserve"> </w:t>
      </w:r>
      <w:r w:rsidR="00D6453C">
        <w:rPr>
          <w:snapToGrid/>
          <w:kern w:val="22"/>
          <w:szCs w:val="22"/>
          <w:lang w:val="fr-FR"/>
        </w:rPr>
        <w:t>réponses</w:t>
      </w:r>
      <w:r w:rsidRPr="00C54A95">
        <w:rPr>
          <w:snapToGrid/>
          <w:kern w:val="22"/>
          <w:szCs w:val="22"/>
          <w:lang w:val="fr-FR"/>
        </w:rPr>
        <w:t xml:space="preserve">, des informations </w:t>
      </w:r>
      <w:r w:rsidR="00640DC9">
        <w:rPr>
          <w:snapToGrid/>
          <w:kern w:val="22"/>
          <w:szCs w:val="22"/>
          <w:lang w:val="fr-FR"/>
        </w:rPr>
        <w:t>sur le Protocole de Cartagena,</w:t>
      </w:r>
      <w:r w:rsidRPr="00C54A95">
        <w:rPr>
          <w:snapToGrid/>
          <w:kern w:val="22"/>
          <w:szCs w:val="22"/>
          <w:lang w:val="fr-FR"/>
        </w:rPr>
        <w:t xml:space="preserve"> et 41</w:t>
      </w:r>
      <w:r w:rsidR="00640DC9">
        <w:rPr>
          <w:snapToGrid/>
          <w:kern w:val="22"/>
          <w:szCs w:val="22"/>
          <w:lang w:val="fr-FR"/>
        </w:rPr>
        <w:t> </w:t>
      </w:r>
      <w:r w:rsidR="00D6453C">
        <w:rPr>
          <w:snapToGrid/>
          <w:kern w:val="22"/>
          <w:szCs w:val="22"/>
          <w:lang w:val="fr-FR"/>
        </w:rPr>
        <w:t>réponses</w:t>
      </w:r>
      <w:r w:rsidRPr="00C54A95">
        <w:rPr>
          <w:snapToGrid/>
          <w:kern w:val="22"/>
          <w:szCs w:val="22"/>
          <w:lang w:val="fr-FR"/>
        </w:rPr>
        <w:t xml:space="preserve">, des informations </w:t>
      </w:r>
      <w:r w:rsidR="00640DC9">
        <w:rPr>
          <w:snapToGrid/>
          <w:kern w:val="22"/>
          <w:szCs w:val="22"/>
          <w:lang w:val="fr-FR"/>
        </w:rPr>
        <w:t>sur le</w:t>
      </w:r>
      <w:r w:rsidRPr="00C54A95">
        <w:rPr>
          <w:snapToGrid/>
          <w:kern w:val="22"/>
          <w:szCs w:val="22"/>
          <w:lang w:val="fr-FR"/>
        </w:rPr>
        <w:t xml:space="preserve"> Protocole de Nagoya.</w:t>
      </w:r>
      <w:r w:rsidR="00D85929">
        <w:rPr>
          <w:snapToGrid/>
          <w:kern w:val="22"/>
          <w:szCs w:val="22"/>
          <w:lang w:val="fr-FR"/>
        </w:rPr>
        <w:t xml:space="preserve"> À la date de soumission, l</w:t>
      </w:r>
      <w:r w:rsidRPr="00C54A95">
        <w:rPr>
          <w:snapToGrid/>
          <w:kern w:val="22"/>
          <w:szCs w:val="22"/>
          <w:lang w:val="fr-FR"/>
        </w:rPr>
        <w:t xml:space="preserve">e taux de réponse </w:t>
      </w:r>
      <w:r w:rsidR="00D85929">
        <w:rPr>
          <w:snapToGrid/>
          <w:kern w:val="22"/>
          <w:szCs w:val="22"/>
          <w:lang w:val="fr-FR"/>
        </w:rPr>
        <w:t>était ainsi d’environ 32 % pour les Parties à la Convention</w:t>
      </w:r>
      <w:r w:rsidR="00D6453C">
        <w:rPr>
          <w:snapToGrid/>
          <w:kern w:val="22"/>
          <w:szCs w:val="22"/>
          <w:lang w:val="fr-FR"/>
        </w:rPr>
        <w:t xml:space="preserve">, de 32 % également pour </w:t>
      </w:r>
      <w:r w:rsidRPr="00C54A95">
        <w:rPr>
          <w:snapToGrid/>
          <w:kern w:val="22"/>
          <w:szCs w:val="22"/>
          <w:lang w:val="fr-FR"/>
        </w:rPr>
        <w:t xml:space="preserve">les Parties au Protocole de Cartagena et de 43 % pour les Parties au Protocole de Nagoya. </w:t>
      </w:r>
      <w:r w:rsidR="00335E39">
        <w:rPr>
          <w:snapToGrid/>
          <w:kern w:val="22"/>
          <w:szCs w:val="22"/>
          <w:lang w:val="fr-FR"/>
        </w:rPr>
        <w:t>Du point de vue</w:t>
      </w:r>
      <w:r w:rsidRPr="00C54A95">
        <w:rPr>
          <w:snapToGrid/>
          <w:kern w:val="22"/>
          <w:szCs w:val="22"/>
          <w:lang w:val="fr-FR"/>
        </w:rPr>
        <w:t xml:space="preserve"> régional, 23 réponses ont été reçues de l’Afrique</w:t>
      </w:r>
      <w:r w:rsidR="00335E39">
        <w:rPr>
          <w:snapToGrid/>
          <w:kern w:val="22"/>
          <w:szCs w:val="22"/>
          <w:lang w:val="fr-FR"/>
        </w:rPr>
        <w:t xml:space="preserve">, </w:t>
      </w:r>
      <w:r w:rsidR="00D6453C">
        <w:rPr>
          <w:snapToGrid/>
          <w:kern w:val="22"/>
          <w:szCs w:val="22"/>
          <w:lang w:val="fr-FR"/>
        </w:rPr>
        <w:t>10 </w:t>
      </w:r>
      <w:r w:rsidRPr="00C54A95">
        <w:rPr>
          <w:snapToGrid/>
          <w:kern w:val="22"/>
          <w:szCs w:val="22"/>
          <w:lang w:val="fr-FR"/>
        </w:rPr>
        <w:t>de l’Asie et du Pacifique</w:t>
      </w:r>
      <w:r w:rsidR="00335E39">
        <w:rPr>
          <w:snapToGrid/>
          <w:kern w:val="22"/>
          <w:szCs w:val="22"/>
          <w:lang w:val="fr-FR"/>
        </w:rPr>
        <w:t xml:space="preserve">, </w:t>
      </w:r>
      <w:r w:rsidR="00D6453C">
        <w:rPr>
          <w:snapToGrid/>
          <w:kern w:val="22"/>
          <w:szCs w:val="22"/>
          <w:lang w:val="fr-FR"/>
        </w:rPr>
        <w:t xml:space="preserve">sept </w:t>
      </w:r>
      <w:r w:rsidRPr="00C54A95">
        <w:rPr>
          <w:snapToGrid/>
          <w:kern w:val="22"/>
          <w:szCs w:val="22"/>
          <w:lang w:val="fr-FR"/>
        </w:rPr>
        <w:t>de l’Europe centrale et orientale</w:t>
      </w:r>
      <w:r w:rsidR="00335E39">
        <w:rPr>
          <w:snapToGrid/>
          <w:kern w:val="22"/>
          <w:szCs w:val="22"/>
          <w:lang w:val="fr-FR"/>
        </w:rPr>
        <w:t xml:space="preserve">, </w:t>
      </w:r>
      <w:r w:rsidR="00D6453C">
        <w:rPr>
          <w:snapToGrid/>
          <w:kern w:val="22"/>
          <w:szCs w:val="22"/>
          <w:lang w:val="fr-FR"/>
        </w:rPr>
        <w:t>17 </w:t>
      </w:r>
      <w:r w:rsidRPr="00C54A95">
        <w:rPr>
          <w:snapToGrid/>
          <w:kern w:val="22"/>
          <w:szCs w:val="22"/>
          <w:lang w:val="fr-FR"/>
        </w:rPr>
        <w:t>de l’Amérique latine et des Caraïbes</w:t>
      </w:r>
      <w:r w:rsidR="00335E39">
        <w:rPr>
          <w:snapToGrid/>
          <w:kern w:val="22"/>
          <w:szCs w:val="22"/>
          <w:lang w:val="fr-FR"/>
        </w:rPr>
        <w:t>, e</w:t>
      </w:r>
      <w:r w:rsidR="00D6453C">
        <w:rPr>
          <w:snapToGrid/>
          <w:kern w:val="22"/>
          <w:szCs w:val="22"/>
          <w:lang w:val="fr-FR"/>
        </w:rPr>
        <w:t>t 14 </w:t>
      </w:r>
      <w:r w:rsidRPr="00C54A95">
        <w:rPr>
          <w:snapToGrid/>
          <w:kern w:val="22"/>
          <w:szCs w:val="22"/>
          <w:lang w:val="fr-FR"/>
        </w:rPr>
        <w:t>de l’Europe occidentale et</w:t>
      </w:r>
      <w:r w:rsidR="00335E39">
        <w:rPr>
          <w:snapToGrid/>
          <w:kern w:val="22"/>
          <w:szCs w:val="22"/>
          <w:lang w:val="fr-FR"/>
        </w:rPr>
        <w:t xml:space="preserve"> des autres États. Au total, </w:t>
      </w:r>
      <w:r w:rsidRPr="00C54A95">
        <w:rPr>
          <w:snapToGrid/>
          <w:kern w:val="22"/>
          <w:szCs w:val="22"/>
          <w:lang w:val="fr-FR"/>
        </w:rPr>
        <w:t>53 réponses ont été adressée</w:t>
      </w:r>
      <w:r w:rsidR="00335E39">
        <w:rPr>
          <w:snapToGrid/>
          <w:kern w:val="22"/>
          <w:szCs w:val="22"/>
          <w:lang w:val="fr-FR"/>
        </w:rPr>
        <w:t>s par des pays en développement</w:t>
      </w:r>
      <w:r w:rsidRPr="00C54A95">
        <w:rPr>
          <w:snapToGrid/>
          <w:kern w:val="22"/>
          <w:szCs w:val="22"/>
          <w:lang w:val="fr-FR"/>
        </w:rPr>
        <w:t xml:space="preserve"> et 18, par des pays développés. Les réponses apportées par les Parties au questionnaire sont résumées à l</w:t>
      </w:r>
      <w:r w:rsidR="00335E39">
        <w:rPr>
          <w:snapToGrid/>
          <w:kern w:val="22"/>
          <w:szCs w:val="22"/>
          <w:lang w:val="fr-FR"/>
        </w:rPr>
        <w:t xml:space="preserve">a figure 1 et analysées </w:t>
      </w:r>
      <w:r w:rsidRPr="00C54A95">
        <w:rPr>
          <w:snapToGrid/>
          <w:kern w:val="22"/>
          <w:szCs w:val="22"/>
          <w:lang w:val="fr-FR"/>
        </w:rPr>
        <w:t xml:space="preserve">dans les sections </w:t>
      </w:r>
      <w:r w:rsidR="00D6453C">
        <w:rPr>
          <w:snapToGrid/>
          <w:kern w:val="22"/>
          <w:szCs w:val="22"/>
          <w:lang w:val="fr-FR"/>
        </w:rPr>
        <w:t xml:space="preserve">suivantes </w:t>
      </w:r>
      <w:r w:rsidRPr="00C54A95">
        <w:rPr>
          <w:snapToGrid/>
          <w:kern w:val="22"/>
          <w:szCs w:val="22"/>
          <w:lang w:val="fr-FR"/>
        </w:rPr>
        <w:t>du présent document</w:t>
      </w:r>
      <w:r w:rsidR="00742F79" w:rsidRPr="00C54A95">
        <w:rPr>
          <w:snapToGrid/>
          <w:kern w:val="22"/>
          <w:szCs w:val="22"/>
          <w:lang w:val="fr-FR"/>
        </w:rPr>
        <w:t>.</w:t>
      </w:r>
    </w:p>
    <w:p w:rsidR="00742F79" w:rsidRPr="00C54A95" w:rsidRDefault="00154250" w:rsidP="00F82F1D">
      <w:pPr>
        <w:pStyle w:val="Para1"/>
        <w:suppressLineNumbers/>
        <w:tabs>
          <w:tab w:val="clear" w:pos="360"/>
        </w:tabs>
        <w:suppressAutoHyphens/>
        <w:kinsoku w:val="0"/>
        <w:overflowPunct w:val="0"/>
        <w:autoSpaceDE w:val="0"/>
        <w:autoSpaceDN w:val="0"/>
        <w:rPr>
          <w:snapToGrid/>
          <w:kern w:val="22"/>
          <w:szCs w:val="22"/>
          <w:lang w:val="fr-FR"/>
        </w:rPr>
      </w:pPr>
      <w:r w:rsidRPr="00C54A95">
        <w:rPr>
          <w:kern w:val="22"/>
          <w:szCs w:val="22"/>
          <w:lang w:val="fr-FR"/>
        </w:rPr>
        <w:t>L’enquête a été adressée par voie électronique à 2 810 participants de la treizième réunion de la Conférence des Parties et des hui</w:t>
      </w:r>
      <w:r w:rsidR="00A847CA">
        <w:rPr>
          <w:kern w:val="22"/>
          <w:szCs w:val="22"/>
          <w:lang w:val="fr-FR"/>
        </w:rPr>
        <w:t>tième et deuxième réunions de la</w:t>
      </w:r>
      <w:r w:rsidRPr="00C54A95">
        <w:rPr>
          <w:kern w:val="22"/>
          <w:szCs w:val="22"/>
          <w:lang w:val="fr-FR"/>
        </w:rPr>
        <w:t xml:space="preserve"> Conférence des Parties siégeant en tant que réunion des Parties</w:t>
      </w:r>
      <w:r w:rsidR="00742F79" w:rsidRPr="00C54A95">
        <w:rPr>
          <w:snapToGrid/>
          <w:kern w:val="22"/>
          <w:szCs w:val="22"/>
          <w:vertAlign w:val="superscript"/>
          <w:lang w:val="fr-FR"/>
        </w:rPr>
        <w:footnoteReference w:id="8"/>
      </w:r>
      <w:r w:rsidR="00196C72">
        <w:rPr>
          <w:kern w:val="22"/>
          <w:szCs w:val="22"/>
          <w:lang w:val="fr-FR"/>
        </w:rPr>
        <w:t>, ce qui</w:t>
      </w:r>
      <w:r w:rsidRPr="00C54A95">
        <w:rPr>
          <w:kern w:val="22"/>
          <w:szCs w:val="22"/>
          <w:lang w:val="fr-FR"/>
        </w:rPr>
        <w:t xml:space="preserve"> représent</w:t>
      </w:r>
      <w:r w:rsidR="00196C72">
        <w:rPr>
          <w:kern w:val="22"/>
          <w:szCs w:val="22"/>
          <w:lang w:val="fr-FR"/>
        </w:rPr>
        <w:t>e environ 90 % du total des participants</w:t>
      </w:r>
      <w:r w:rsidRPr="00C54A95">
        <w:rPr>
          <w:kern w:val="22"/>
          <w:szCs w:val="22"/>
          <w:lang w:val="fr-FR"/>
        </w:rPr>
        <w:t xml:space="preserve">. </w:t>
      </w:r>
      <w:r w:rsidR="00196C72">
        <w:rPr>
          <w:kern w:val="22"/>
          <w:szCs w:val="22"/>
          <w:lang w:val="fr-FR"/>
        </w:rPr>
        <w:t>L</w:t>
      </w:r>
      <w:r w:rsidRPr="00C54A95">
        <w:rPr>
          <w:kern w:val="22"/>
          <w:szCs w:val="22"/>
          <w:lang w:val="fr-FR"/>
        </w:rPr>
        <w:t>e</w:t>
      </w:r>
      <w:r w:rsidR="00196C72">
        <w:rPr>
          <w:kern w:val="22"/>
          <w:szCs w:val="22"/>
          <w:lang w:val="fr-FR"/>
        </w:rPr>
        <w:t>s</w:t>
      </w:r>
      <w:r w:rsidRPr="00C54A95">
        <w:rPr>
          <w:kern w:val="22"/>
          <w:szCs w:val="22"/>
          <w:lang w:val="fr-FR"/>
        </w:rPr>
        <w:t xml:space="preserve"> réponses </w:t>
      </w:r>
      <w:r w:rsidR="00196C72">
        <w:rPr>
          <w:kern w:val="22"/>
          <w:szCs w:val="22"/>
          <w:lang w:val="fr-FR"/>
        </w:rPr>
        <w:t>ont été adressées par 749 participants, ce qui porte l</w:t>
      </w:r>
      <w:r w:rsidRPr="00C54A95">
        <w:rPr>
          <w:kern w:val="22"/>
          <w:szCs w:val="22"/>
          <w:lang w:val="fr-FR"/>
        </w:rPr>
        <w:t xml:space="preserve">e taux de réponse </w:t>
      </w:r>
      <w:r w:rsidR="00196C72">
        <w:rPr>
          <w:kern w:val="22"/>
          <w:szCs w:val="22"/>
          <w:lang w:val="fr-FR"/>
        </w:rPr>
        <w:t>d</w:t>
      </w:r>
      <w:r w:rsidRPr="00C54A95">
        <w:rPr>
          <w:kern w:val="22"/>
          <w:szCs w:val="22"/>
          <w:lang w:val="fr-FR"/>
        </w:rPr>
        <w:t>es personnes ayan</w:t>
      </w:r>
      <w:r w:rsidR="00196C72">
        <w:rPr>
          <w:kern w:val="22"/>
          <w:szCs w:val="22"/>
          <w:lang w:val="fr-FR"/>
        </w:rPr>
        <w:t>t reçu l’enquête</w:t>
      </w:r>
      <w:r w:rsidR="00C26004">
        <w:rPr>
          <w:kern w:val="22"/>
          <w:szCs w:val="22"/>
          <w:lang w:val="fr-FR"/>
        </w:rPr>
        <w:t xml:space="preserve"> à environ 27 %</w:t>
      </w:r>
      <w:r w:rsidR="005E3AAC">
        <w:rPr>
          <w:kern w:val="22"/>
          <w:szCs w:val="22"/>
          <w:lang w:val="fr-FR"/>
        </w:rPr>
        <w:t>,</w:t>
      </w:r>
      <w:r w:rsidR="00196C72">
        <w:rPr>
          <w:kern w:val="22"/>
          <w:szCs w:val="22"/>
          <w:lang w:val="fr-FR"/>
        </w:rPr>
        <w:t xml:space="preserve"> et celui d</w:t>
      </w:r>
      <w:r w:rsidRPr="00C54A95">
        <w:rPr>
          <w:kern w:val="22"/>
          <w:szCs w:val="22"/>
          <w:lang w:val="fr-FR"/>
        </w:rPr>
        <w:t>es participants des réunions concomitantes</w:t>
      </w:r>
      <w:r w:rsidR="00C26004">
        <w:rPr>
          <w:kern w:val="22"/>
          <w:szCs w:val="22"/>
          <w:lang w:val="fr-FR"/>
        </w:rPr>
        <w:t xml:space="preserve"> à 24 %</w:t>
      </w:r>
      <w:r w:rsidRPr="00C54A95">
        <w:rPr>
          <w:kern w:val="22"/>
          <w:szCs w:val="22"/>
          <w:lang w:val="fr-FR"/>
        </w:rPr>
        <w:t xml:space="preserve">. Les répondants n’ont pas tous répondu </w:t>
      </w:r>
      <w:r w:rsidR="005E3AAC">
        <w:rPr>
          <w:kern w:val="22"/>
          <w:szCs w:val="22"/>
          <w:lang w:val="fr-FR"/>
        </w:rPr>
        <w:t>aux</w:t>
      </w:r>
      <w:r w:rsidRPr="00C54A95">
        <w:rPr>
          <w:kern w:val="22"/>
          <w:szCs w:val="22"/>
          <w:lang w:val="fr-FR"/>
        </w:rPr>
        <w:t xml:space="preserve"> questions de l’enquête. </w:t>
      </w:r>
      <w:r w:rsidR="00C26004">
        <w:rPr>
          <w:kern w:val="22"/>
          <w:szCs w:val="22"/>
          <w:lang w:val="fr-FR"/>
        </w:rPr>
        <w:t xml:space="preserve">Le nombre des réponses écrites </w:t>
      </w:r>
      <w:r w:rsidRPr="00C54A95">
        <w:rPr>
          <w:kern w:val="22"/>
          <w:szCs w:val="22"/>
          <w:lang w:val="fr-FR"/>
        </w:rPr>
        <w:t>varie</w:t>
      </w:r>
      <w:r w:rsidR="00C26004">
        <w:rPr>
          <w:kern w:val="22"/>
          <w:szCs w:val="22"/>
          <w:lang w:val="fr-FR"/>
        </w:rPr>
        <w:t xml:space="preserve"> fortement parmi les répondants et</w:t>
      </w:r>
      <w:r w:rsidRPr="00C54A95">
        <w:rPr>
          <w:kern w:val="22"/>
          <w:szCs w:val="22"/>
          <w:lang w:val="fr-FR"/>
        </w:rPr>
        <w:t xml:space="preserve"> </w:t>
      </w:r>
      <w:r w:rsidR="00C26004">
        <w:rPr>
          <w:kern w:val="22"/>
          <w:szCs w:val="22"/>
          <w:lang w:val="fr-FR"/>
        </w:rPr>
        <w:t>r</w:t>
      </w:r>
      <w:r w:rsidRPr="00C54A95">
        <w:rPr>
          <w:kern w:val="22"/>
          <w:szCs w:val="22"/>
          <w:lang w:val="fr-FR"/>
        </w:rPr>
        <w:t>est</w:t>
      </w:r>
      <w:r w:rsidR="00C26004">
        <w:rPr>
          <w:kern w:val="22"/>
          <w:szCs w:val="22"/>
          <w:lang w:val="fr-FR"/>
        </w:rPr>
        <w:t>e</w:t>
      </w:r>
      <w:r w:rsidRPr="00C54A95">
        <w:rPr>
          <w:kern w:val="22"/>
          <w:szCs w:val="22"/>
          <w:lang w:val="fr-FR"/>
        </w:rPr>
        <w:t xml:space="preserve"> relativement moins élevé que</w:t>
      </w:r>
      <w:r w:rsidR="00C26004">
        <w:rPr>
          <w:kern w:val="22"/>
          <w:szCs w:val="22"/>
          <w:lang w:val="fr-FR"/>
        </w:rPr>
        <w:t xml:space="preserve"> ce que</w:t>
      </w:r>
      <w:r w:rsidRPr="00C54A95">
        <w:rPr>
          <w:kern w:val="22"/>
          <w:szCs w:val="22"/>
          <w:lang w:val="fr-FR"/>
        </w:rPr>
        <w:t xml:space="preserve"> </w:t>
      </w:r>
      <w:r w:rsidR="00C26004" w:rsidRPr="00C54A95">
        <w:rPr>
          <w:kern w:val="22"/>
          <w:szCs w:val="22"/>
          <w:lang w:val="fr-FR"/>
        </w:rPr>
        <w:t xml:space="preserve">laissent </w:t>
      </w:r>
      <w:r w:rsidR="00C26004">
        <w:rPr>
          <w:kern w:val="22"/>
          <w:szCs w:val="22"/>
          <w:lang w:val="fr-FR"/>
        </w:rPr>
        <w:t xml:space="preserve">imaginer </w:t>
      </w:r>
      <w:r w:rsidRPr="00C54A95">
        <w:rPr>
          <w:kern w:val="22"/>
          <w:szCs w:val="22"/>
          <w:lang w:val="fr-FR"/>
        </w:rPr>
        <w:t>l</w:t>
      </w:r>
      <w:r w:rsidR="00C26004">
        <w:rPr>
          <w:kern w:val="22"/>
          <w:szCs w:val="22"/>
          <w:lang w:val="fr-FR"/>
        </w:rPr>
        <w:t>es résultats quantitatifs</w:t>
      </w:r>
      <w:r w:rsidRPr="00C54A95">
        <w:rPr>
          <w:kern w:val="22"/>
          <w:szCs w:val="22"/>
          <w:lang w:val="fr-FR"/>
        </w:rPr>
        <w:t xml:space="preserve">. Environ 47 % des répondants ont participé aux réunions concomitantes en tant que représentants des Parties, 8 % d’entre eux, en tant que représentants des peuples autochtones et des communautés locales, et 38 %, en tant qu’observateurs. </w:t>
      </w:r>
      <w:r w:rsidR="00C26004">
        <w:rPr>
          <w:kern w:val="22"/>
          <w:szCs w:val="22"/>
          <w:lang w:val="fr-FR"/>
        </w:rPr>
        <w:t>Le</w:t>
      </w:r>
      <w:r w:rsidRPr="00C54A95">
        <w:rPr>
          <w:kern w:val="22"/>
          <w:szCs w:val="22"/>
          <w:lang w:val="fr-FR"/>
        </w:rPr>
        <w:t xml:space="preserve"> </w:t>
      </w:r>
      <w:r w:rsidR="00C26004">
        <w:rPr>
          <w:kern w:val="22"/>
          <w:szCs w:val="22"/>
          <w:lang w:val="fr-FR"/>
        </w:rPr>
        <w:t>reste, soit</w:t>
      </w:r>
      <w:r w:rsidRPr="00C54A95">
        <w:rPr>
          <w:kern w:val="22"/>
          <w:szCs w:val="22"/>
          <w:lang w:val="fr-FR"/>
        </w:rPr>
        <w:t xml:space="preserve"> 6 % des répondants</w:t>
      </w:r>
      <w:r w:rsidR="00C26004">
        <w:rPr>
          <w:kern w:val="22"/>
          <w:szCs w:val="22"/>
          <w:lang w:val="fr-FR"/>
        </w:rPr>
        <w:t>,</w:t>
      </w:r>
      <w:r w:rsidRPr="00C54A95">
        <w:rPr>
          <w:kern w:val="22"/>
          <w:szCs w:val="22"/>
          <w:lang w:val="fr-FR"/>
        </w:rPr>
        <w:t xml:space="preserve"> représentait des gouvernements </w:t>
      </w:r>
      <w:proofErr w:type="gramStart"/>
      <w:r w:rsidRPr="00C54A95">
        <w:rPr>
          <w:kern w:val="22"/>
          <w:szCs w:val="22"/>
          <w:lang w:val="fr-FR"/>
        </w:rPr>
        <w:t>non-Parties</w:t>
      </w:r>
      <w:proofErr w:type="gramEnd"/>
      <w:r w:rsidRPr="00C54A95">
        <w:rPr>
          <w:kern w:val="22"/>
          <w:szCs w:val="22"/>
          <w:lang w:val="fr-FR"/>
        </w:rPr>
        <w:t xml:space="preserve">, notamment des institutions infranationales. À titre comparatif, les Parties ont représenté 48 % des participants aux réunions concomitantes, les peuples autochtones et les communautés locales, 5 %, et les observateurs, 45 %. </w:t>
      </w:r>
      <w:r w:rsidR="00C26004">
        <w:rPr>
          <w:kern w:val="22"/>
          <w:szCs w:val="22"/>
          <w:lang w:val="fr-FR"/>
        </w:rPr>
        <w:t>D’un point de vue</w:t>
      </w:r>
      <w:r w:rsidRPr="00C54A95">
        <w:rPr>
          <w:kern w:val="22"/>
          <w:szCs w:val="22"/>
          <w:lang w:val="fr-FR"/>
        </w:rPr>
        <w:t xml:space="preserve"> régional, 17 % des réponses </w:t>
      </w:r>
      <w:r w:rsidR="002C2D11">
        <w:rPr>
          <w:kern w:val="22"/>
          <w:szCs w:val="22"/>
          <w:lang w:val="fr-FR"/>
        </w:rPr>
        <w:t>proviennent</w:t>
      </w:r>
      <w:r w:rsidR="00952F03">
        <w:rPr>
          <w:kern w:val="22"/>
          <w:szCs w:val="22"/>
          <w:lang w:val="fr-FR"/>
        </w:rPr>
        <w:t xml:space="preserve"> de l’Afrique, 21 %</w:t>
      </w:r>
      <w:r w:rsidRPr="00C54A95">
        <w:rPr>
          <w:kern w:val="22"/>
          <w:szCs w:val="22"/>
          <w:lang w:val="fr-FR"/>
        </w:rPr>
        <w:t xml:space="preserve"> de l’Asie et du Pacifiq</w:t>
      </w:r>
      <w:r w:rsidR="00952F03">
        <w:rPr>
          <w:kern w:val="22"/>
          <w:szCs w:val="22"/>
          <w:lang w:val="fr-FR"/>
        </w:rPr>
        <w:t>ue, 8 %</w:t>
      </w:r>
      <w:r w:rsidRPr="00C54A95">
        <w:rPr>
          <w:kern w:val="22"/>
          <w:szCs w:val="22"/>
          <w:lang w:val="fr-FR"/>
        </w:rPr>
        <w:t xml:space="preserve"> de l’Europe centrale et orientale, 25 % de l’Amérique latine et des Caraïbes, et 30</w:t>
      </w:r>
      <w:r w:rsidR="002C2D11">
        <w:rPr>
          <w:kern w:val="22"/>
          <w:szCs w:val="22"/>
          <w:lang w:val="fr-FR"/>
        </w:rPr>
        <w:t xml:space="preserve"> % de l’Europe occidentale et des </w:t>
      </w:r>
      <w:r w:rsidRPr="00C54A95">
        <w:rPr>
          <w:kern w:val="22"/>
          <w:szCs w:val="22"/>
          <w:lang w:val="fr-FR"/>
        </w:rPr>
        <w:t xml:space="preserve">autres États. Cette répartition est similaire à celle des participants </w:t>
      </w:r>
      <w:r w:rsidR="002C2D11">
        <w:rPr>
          <w:kern w:val="22"/>
          <w:szCs w:val="22"/>
          <w:lang w:val="fr-FR"/>
        </w:rPr>
        <w:t>des</w:t>
      </w:r>
      <w:r w:rsidRPr="00C54A95">
        <w:rPr>
          <w:kern w:val="22"/>
          <w:szCs w:val="22"/>
          <w:lang w:val="fr-FR"/>
        </w:rPr>
        <w:t xml:space="preserve"> réunions concomitantes. Les réponses apportées à l’enqu</w:t>
      </w:r>
      <w:r w:rsidR="002C2D11">
        <w:rPr>
          <w:kern w:val="22"/>
          <w:szCs w:val="22"/>
          <w:lang w:val="fr-FR"/>
        </w:rPr>
        <w:t>ête qui traitent directement des</w:t>
      </w:r>
      <w:r w:rsidRPr="00C54A95">
        <w:rPr>
          <w:kern w:val="22"/>
          <w:szCs w:val="22"/>
          <w:lang w:val="fr-FR"/>
        </w:rPr>
        <w:t xml:space="preserve"> critères </w:t>
      </w:r>
      <w:r w:rsidR="00952F03">
        <w:rPr>
          <w:kern w:val="22"/>
          <w:szCs w:val="22"/>
          <w:lang w:val="fr-FR"/>
        </w:rPr>
        <w:t>fixés</w:t>
      </w:r>
      <w:r w:rsidRPr="00C54A95">
        <w:rPr>
          <w:kern w:val="22"/>
          <w:szCs w:val="22"/>
          <w:lang w:val="fr-FR"/>
        </w:rPr>
        <w:t xml:space="preserve"> </w:t>
      </w:r>
      <w:r w:rsidR="002C2D11">
        <w:rPr>
          <w:kern w:val="22"/>
          <w:szCs w:val="22"/>
          <w:lang w:val="fr-FR"/>
        </w:rPr>
        <w:t>à</w:t>
      </w:r>
      <w:r w:rsidRPr="00C54A95">
        <w:rPr>
          <w:kern w:val="22"/>
          <w:szCs w:val="22"/>
          <w:lang w:val="fr-FR"/>
        </w:rPr>
        <w:t xml:space="preserve"> la décision XIII/26 sont résumées à la figure 2</w:t>
      </w:r>
      <w:r w:rsidR="00742F79" w:rsidRPr="00C54A95">
        <w:rPr>
          <w:snapToGrid/>
          <w:kern w:val="22"/>
          <w:szCs w:val="22"/>
          <w:lang w:val="fr-FR"/>
        </w:rPr>
        <w:t>.</w:t>
      </w:r>
    </w:p>
    <w:p w:rsidR="00742F79" w:rsidRDefault="00742F79" w:rsidP="00F82F1D">
      <w:pPr>
        <w:keepNext/>
        <w:suppressLineNumbers/>
        <w:suppressAutoHyphens/>
        <w:kinsoku w:val="0"/>
        <w:overflowPunct w:val="0"/>
        <w:autoSpaceDE w:val="0"/>
        <w:autoSpaceDN w:val="0"/>
        <w:spacing w:after="120"/>
        <w:jc w:val="left"/>
        <w:rPr>
          <w:b/>
          <w:bCs/>
          <w:kern w:val="22"/>
          <w:szCs w:val="22"/>
          <w:lang w:val="fr-FR"/>
        </w:rPr>
      </w:pPr>
      <w:r w:rsidRPr="00C54A95">
        <w:rPr>
          <w:b/>
          <w:bCs/>
          <w:kern w:val="22"/>
          <w:szCs w:val="22"/>
          <w:lang w:val="fr-FR"/>
        </w:rPr>
        <w:lastRenderedPageBreak/>
        <w:t>Figure</w:t>
      </w:r>
      <w:r w:rsidR="000E2EEA">
        <w:rPr>
          <w:b/>
          <w:bCs/>
          <w:kern w:val="22"/>
          <w:szCs w:val="22"/>
          <w:lang w:val="fr-FR"/>
        </w:rPr>
        <w:t> </w:t>
      </w:r>
      <w:r w:rsidRPr="00C54A95">
        <w:rPr>
          <w:b/>
          <w:bCs/>
          <w:kern w:val="22"/>
          <w:szCs w:val="22"/>
          <w:lang w:val="fr-FR"/>
        </w:rPr>
        <w:t>1</w:t>
      </w:r>
    </w:p>
    <w:p w:rsidR="00176C3B" w:rsidRDefault="00176C3B" w:rsidP="00F82F1D">
      <w:pPr>
        <w:keepNext/>
        <w:suppressLineNumbers/>
        <w:suppressAutoHyphens/>
        <w:kinsoku w:val="0"/>
        <w:overflowPunct w:val="0"/>
        <w:autoSpaceDE w:val="0"/>
        <w:autoSpaceDN w:val="0"/>
        <w:spacing w:after="120"/>
        <w:jc w:val="left"/>
        <w:rPr>
          <w:b/>
          <w:bCs/>
          <w:kern w:val="22"/>
          <w:szCs w:val="22"/>
          <w:lang w:val="fr-FR"/>
        </w:rPr>
      </w:pPr>
      <w:r>
        <w:rPr>
          <w:b/>
          <w:bCs/>
          <w:noProof/>
          <w:kern w:val="22"/>
          <w:szCs w:val="22"/>
          <w:lang w:val="en-CA" w:eastAsia="en-CA"/>
        </w:rPr>
        <w:drawing>
          <wp:inline distT="0" distB="0" distL="0" distR="0" wp14:anchorId="7EC778A3" wp14:editId="456C118E">
            <wp:extent cx="5903538" cy="4230094"/>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4348" cy="4230674"/>
                    </a:xfrm>
                    <a:prstGeom prst="rect">
                      <a:avLst/>
                    </a:prstGeom>
                    <a:noFill/>
                  </pic:spPr>
                </pic:pic>
              </a:graphicData>
            </a:graphic>
          </wp:inline>
        </w:drawing>
      </w:r>
    </w:p>
    <w:p w:rsidR="00176C3B" w:rsidRPr="00C54A95" w:rsidRDefault="00176C3B" w:rsidP="00F82F1D">
      <w:pPr>
        <w:keepNext/>
        <w:suppressLineNumbers/>
        <w:suppressAutoHyphens/>
        <w:kinsoku w:val="0"/>
        <w:overflowPunct w:val="0"/>
        <w:autoSpaceDE w:val="0"/>
        <w:autoSpaceDN w:val="0"/>
        <w:spacing w:after="120"/>
        <w:jc w:val="left"/>
        <w:rPr>
          <w:b/>
          <w:bCs/>
          <w:kern w:val="22"/>
          <w:szCs w:val="22"/>
          <w:lang w:val="fr-FR"/>
        </w:rPr>
      </w:pPr>
    </w:p>
    <w:p w:rsidR="00742F79" w:rsidRPr="00C54A95" w:rsidRDefault="00742F79" w:rsidP="00F82F1D">
      <w:pPr>
        <w:suppressLineNumbers/>
        <w:suppressAutoHyphens/>
        <w:kinsoku w:val="0"/>
        <w:overflowPunct w:val="0"/>
        <w:autoSpaceDE w:val="0"/>
        <w:autoSpaceDN w:val="0"/>
        <w:spacing w:after="200" w:line="276" w:lineRule="auto"/>
        <w:jc w:val="left"/>
        <w:rPr>
          <w:b/>
          <w:bCs/>
          <w:kern w:val="22"/>
          <w:szCs w:val="22"/>
          <w:lang w:val="fr-FR"/>
        </w:rPr>
      </w:pPr>
    </w:p>
    <w:p w:rsidR="00742F79" w:rsidRPr="00C54A95" w:rsidRDefault="00742F79" w:rsidP="00F82F1D">
      <w:pPr>
        <w:suppressLineNumbers/>
        <w:suppressAutoHyphens/>
        <w:kinsoku w:val="0"/>
        <w:overflowPunct w:val="0"/>
        <w:autoSpaceDE w:val="0"/>
        <w:autoSpaceDN w:val="0"/>
        <w:spacing w:after="200" w:line="276" w:lineRule="auto"/>
        <w:jc w:val="left"/>
        <w:rPr>
          <w:b/>
          <w:bCs/>
          <w:kern w:val="22"/>
          <w:szCs w:val="22"/>
          <w:lang w:val="fr-FR"/>
        </w:rPr>
      </w:pPr>
    </w:p>
    <w:p w:rsidR="00742F79" w:rsidRPr="00C54A95" w:rsidRDefault="00742F79" w:rsidP="00F82F1D">
      <w:pPr>
        <w:suppressLineNumbers/>
        <w:suppressAutoHyphens/>
        <w:kinsoku w:val="0"/>
        <w:overflowPunct w:val="0"/>
        <w:autoSpaceDE w:val="0"/>
        <w:autoSpaceDN w:val="0"/>
        <w:spacing w:after="200" w:line="276" w:lineRule="auto"/>
        <w:jc w:val="left"/>
        <w:rPr>
          <w:b/>
          <w:bCs/>
          <w:kern w:val="22"/>
          <w:szCs w:val="22"/>
          <w:lang w:val="fr-FR"/>
        </w:rPr>
      </w:pPr>
    </w:p>
    <w:p w:rsidR="00742F79" w:rsidRPr="00C54A95" w:rsidRDefault="00742F79" w:rsidP="00F82F1D">
      <w:pPr>
        <w:suppressLineNumbers/>
        <w:suppressAutoHyphens/>
        <w:kinsoku w:val="0"/>
        <w:overflowPunct w:val="0"/>
        <w:autoSpaceDE w:val="0"/>
        <w:autoSpaceDN w:val="0"/>
        <w:spacing w:after="200" w:line="276" w:lineRule="auto"/>
        <w:jc w:val="left"/>
        <w:rPr>
          <w:b/>
          <w:bCs/>
          <w:kern w:val="22"/>
          <w:szCs w:val="22"/>
          <w:lang w:val="fr-FR"/>
        </w:rPr>
      </w:pPr>
    </w:p>
    <w:p w:rsidR="00742F79" w:rsidRPr="00C54A95" w:rsidRDefault="00742F79" w:rsidP="00F82F1D">
      <w:pPr>
        <w:suppressLineNumbers/>
        <w:suppressAutoHyphens/>
        <w:kinsoku w:val="0"/>
        <w:overflowPunct w:val="0"/>
        <w:autoSpaceDE w:val="0"/>
        <w:autoSpaceDN w:val="0"/>
        <w:spacing w:after="200" w:line="276" w:lineRule="auto"/>
        <w:jc w:val="left"/>
        <w:rPr>
          <w:b/>
          <w:bCs/>
          <w:kern w:val="22"/>
          <w:szCs w:val="22"/>
          <w:lang w:val="fr-FR"/>
        </w:rPr>
      </w:pPr>
    </w:p>
    <w:p w:rsidR="000C5DD5" w:rsidRPr="00C54A95" w:rsidRDefault="000C5DD5" w:rsidP="00F82F1D">
      <w:pPr>
        <w:suppressLineNumbers/>
        <w:suppressAutoHyphens/>
        <w:kinsoku w:val="0"/>
        <w:overflowPunct w:val="0"/>
        <w:autoSpaceDE w:val="0"/>
        <w:autoSpaceDN w:val="0"/>
        <w:spacing w:after="200" w:line="276" w:lineRule="auto"/>
        <w:jc w:val="left"/>
        <w:rPr>
          <w:b/>
          <w:bCs/>
          <w:kern w:val="22"/>
          <w:szCs w:val="22"/>
          <w:lang w:val="fr-FR"/>
        </w:rPr>
      </w:pPr>
    </w:p>
    <w:p w:rsidR="000C5DD5" w:rsidRPr="00C54A95" w:rsidRDefault="000C5DD5" w:rsidP="00F82F1D">
      <w:pPr>
        <w:suppressLineNumbers/>
        <w:suppressAutoHyphens/>
        <w:kinsoku w:val="0"/>
        <w:overflowPunct w:val="0"/>
        <w:autoSpaceDE w:val="0"/>
        <w:autoSpaceDN w:val="0"/>
        <w:spacing w:after="200" w:line="276" w:lineRule="auto"/>
        <w:jc w:val="left"/>
        <w:rPr>
          <w:b/>
          <w:bCs/>
          <w:kern w:val="22"/>
          <w:szCs w:val="22"/>
          <w:lang w:val="fr-FR"/>
        </w:rPr>
      </w:pPr>
    </w:p>
    <w:p w:rsidR="00742F79" w:rsidRDefault="00742F79" w:rsidP="00F82F1D">
      <w:pPr>
        <w:keepNext/>
        <w:suppressLineNumbers/>
        <w:suppressAutoHyphens/>
        <w:kinsoku w:val="0"/>
        <w:overflowPunct w:val="0"/>
        <w:autoSpaceDE w:val="0"/>
        <w:autoSpaceDN w:val="0"/>
        <w:spacing w:after="120"/>
        <w:jc w:val="left"/>
        <w:rPr>
          <w:b/>
          <w:bCs/>
          <w:kern w:val="22"/>
          <w:szCs w:val="22"/>
          <w:lang w:val="fr-FR"/>
        </w:rPr>
      </w:pPr>
      <w:r w:rsidRPr="00C54A95">
        <w:rPr>
          <w:b/>
          <w:bCs/>
          <w:kern w:val="22"/>
          <w:szCs w:val="22"/>
          <w:lang w:val="fr-FR"/>
        </w:rPr>
        <w:lastRenderedPageBreak/>
        <w:t>Figure</w:t>
      </w:r>
      <w:r w:rsidR="000E2EEA">
        <w:rPr>
          <w:b/>
          <w:bCs/>
          <w:kern w:val="22"/>
          <w:szCs w:val="22"/>
          <w:lang w:val="fr-FR"/>
        </w:rPr>
        <w:t> </w:t>
      </w:r>
      <w:r w:rsidRPr="00C54A95">
        <w:rPr>
          <w:b/>
          <w:bCs/>
          <w:kern w:val="22"/>
          <w:szCs w:val="22"/>
          <w:lang w:val="fr-FR"/>
        </w:rPr>
        <w:t>2</w:t>
      </w:r>
    </w:p>
    <w:p w:rsidR="00742F79" w:rsidRPr="00C54A95" w:rsidRDefault="00176C3B" w:rsidP="00E60E82">
      <w:pPr>
        <w:keepNext/>
        <w:suppressLineNumbers/>
        <w:suppressAutoHyphens/>
        <w:kinsoku w:val="0"/>
        <w:overflowPunct w:val="0"/>
        <w:autoSpaceDE w:val="0"/>
        <w:autoSpaceDN w:val="0"/>
        <w:spacing w:after="120"/>
        <w:jc w:val="left"/>
        <w:rPr>
          <w:b/>
          <w:bCs/>
          <w:kern w:val="22"/>
          <w:szCs w:val="22"/>
          <w:lang w:val="fr-FR"/>
        </w:rPr>
      </w:pPr>
      <w:r>
        <w:rPr>
          <w:b/>
          <w:bCs/>
          <w:noProof/>
          <w:kern w:val="22"/>
          <w:szCs w:val="22"/>
          <w:lang w:val="en-CA" w:eastAsia="en-CA"/>
        </w:rPr>
        <w:drawing>
          <wp:inline distT="0" distB="0" distL="0" distR="0" wp14:anchorId="59DCBCE6" wp14:editId="0447A44B">
            <wp:extent cx="5903641" cy="3236181"/>
            <wp:effectExtent l="0" t="0" r="190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3560" cy="3236137"/>
                    </a:xfrm>
                    <a:prstGeom prst="rect">
                      <a:avLst/>
                    </a:prstGeom>
                    <a:noFill/>
                  </pic:spPr>
                </pic:pic>
              </a:graphicData>
            </a:graphic>
          </wp:inline>
        </w:drawing>
      </w:r>
    </w:p>
    <w:p w:rsidR="00742F79" w:rsidRPr="00C54A95" w:rsidRDefault="00742F79" w:rsidP="00F82F1D">
      <w:pPr>
        <w:numPr>
          <w:ilvl w:val="0"/>
          <w:numId w:val="52"/>
        </w:numPr>
        <w:suppressLineNumbers/>
        <w:suppressAutoHyphens/>
        <w:kinsoku w:val="0"/>
        <w:overflowPunct w:val="0"/>
        <w:autoSpaceDE w:val="0"/>
        <w:autoSpaceDN w:val="0"/>
        <w:spacing w:before="240" w:after="120"/>
        <w:jc w:val="left"/>
        <w:rPr>
          <w:b/>
          <w:bCs/>
          <w:kern w:val="22"/>
          <w:szCs w:val="22"/>
          <w:lang w:val="fr-FR"/>
        </w:rPr>
      </w:pPr>
      <w:r w:rsidRPr="00C54A95">
        <w:rPr>
          <w:b/>
          <w:bCs/>
          <w:kern w:val="22"/>
          <w:szCs w:val="22"/>
          <w:lang w:val="fr-FR"/>
        </w:rPr>
        <w:t xml:space="preserve">PARTICIPATION </w:t>
      </w:r>
      <w:r w:rsidR="00154250" w:rsidRPr="00C54A95">
        <w:rPr>
          <w:b/>
          <w:bCs/>
          <w:kern w:val="22"/>
          <w:szCs w:val="22"/>
          <w:lang w:val="fr-FR"/>
        </w:rPr>
        <w:t>PLEINE ET EFFECTIVE DES REPRÉSENTANT</w:t>
      </w:r>
      <w:r w:rsidRPr="00C54A95">
        <w:rPr>
          <w:b/>
          <w:bCs/>
          <w:kern w:val="22"/>
          <w:szCs w:val="22"/>
          <w:lang w:val="fr-FR"/>
        </w:rPr>
        <w:t xml:space="preserve">S </w:t>
      </w:r>
      <w:r w:rsidR="00154250" w:rsidRPr="00C54A95">
        <w:rPr>
          <w:b/>
          <w:bCs/>
          <w:kern w:val="22"/>
          <w:szCs w:val="22"/>
          <w:lang w:val="fr-FR"/>
        </w:rPr>
        <w:t>DES PAYS EN DÉVELOPPEMENT</w:t>
      </w:r>
      <w:r w:rsidRPr="00C54A95">
        <w:rPr>
          <w:b/>
          <w:bCs/>
          <w:kern w:val="22"/>
          <w:szCs w:val="22"/>
          <w:lang w:val="fr-FR"/>
        </w:rPr>
        <w:t xml:space="preserve"> PARTIES</w:t>
      </w:r>
    </w:p>
    <w:p w:rsidR="00742F79" w:rsidRPr="00C54A95" w:rsidRDefault="00154250" w:rsidP="00F82F1D">
      <w:pPr>
        <w:pStyle w:val="Para1"/>
        <w:suppressLineNumbers/>
        <w:tabs>
          <w:tab w:val="clear" w:pos="360"/>
        </w:tabs>
        <w:suppressAutoHyphens/>
        <w:kinsoku w:val="0"/>
        <w:overflowPunct w:val="0"/>
        <w:autoSpaceDE w:val="0"/>
        <w:autoSpaceDN w:val="0"/>
        <w:rPr>
          <w:snapToGrid/>
          <w:kern w:val="22"/>
          <w:szCs w:val="22"/>
          <w:lang w:val="fr-FR"/>
        </w:rPr>
      </w:pPr>
      <w:r w:rsidRPr="00C54A95">
        <w:rPr>
          <w:snapToGrid/>
          <w:kern w:val="22"/>
          <w:szCs w:val="22"/>
          <w:lang w:val="fr-FR"/>
        </w:rPr>
        <w:t xml:space="preserve">Les informations recueillies par le questionnaire adressé aux Parties </w:t>
      </w:r>
      <w:r w:rsidR="00E43AD0">
        <w:rPr>
          <w:snapToGrid/>
          <w:kern w:val="22"/>
          <w:szCs w:val="22"/>
          <w:lang w:val="fr-FR"/>
        </w:rPr>
        <w:t>dans le cadre de</w:t>
      </w:r>
      <w:r w:rsidRPr="00C54A95">
        <w:rPr>
          <w:snapToGrid/>
          <w:kern w:val="22"/>
          <w:szCs w:val="22"/>
          <w:lang w:val="fr-FR"/>
        </w:rPr>
        <w:t xml:space="preserve"> la </w:t>
      </w:r>
      <w:r w:rsidR="00E43AD0">
        <w:rPr>
          <w:snapToGrid/>
          <w:kern w:val="22"/>
          <w:szCs w:val="22"/>
          <w:lang w:val="fr-FR"/>
        </w:rPr>
        <w:t xml:space="preserve">notification </w:t>
      </w:r>
      <w:r w:rsidRPr="00C54A95">
        <w:rPr>
          <w:snapToGrid/>
          <w:kern w:val="22"/>
          <w:szCs w:val="22"/>
          <w:lang w:val="fr-FR"/>
        </w:rPr>
        <w:t xml:space="preserve">montrent que le critère de la pleine et effective participation des représentants des pays en développement Parties </w:t>
      </w:r>
      <w:r w:rsidR="00E43AD0">
        <w:rPr>
          <w:snapToGrid/>
          <w:kern w:val="22"/>
          <w:szCs w:val="22"/>
          <w:lang w:val="fr-FR"/>
        </w:rPr>
        <w:t xml:space="preserve">à la treizième réunion de la Conférence des Parties </w:t>
      </w:r>
      <w:r w:rsidRPr="00C54A95">
        <w:rPr>
          <w:snapToGrid/>
          <w:kern w:val="22"/>
          <w:szCs w:val="22"/>
          <w:lang w:val="fr-FR"/>
        </w:rPr>
        <w:t xml:space="preserve">a été considéré comme « pleinement respecté » par 43 % des répondants, « partiellement respecté » par 49 % des répondants et « non respecté » par 8 % des répondants. Après ventilation des résultats, ce critère </w:t>
      </w:r>
      <w:r w:rsidR="00EC3C1E">
        <w:rPr>
          <w:snapToGrid/>
          <w:kern w:val="22"/>
          <w:szCs w:val="22"/>
          <w:lang w:val="fr-FR"/>
        </w:rPr>
        <w:t>est</w:t>
      </w:r>
      <w:r w:rsidRPr="00C54A95">
        <w:rPr>
          <w:snapToGrid/>
          <w:kern w:val="22"/>
          <w:szCs w:val="22"/>
          <w:lang w:val="fr-FR"/>
        </w:rPr>
        <w:t xml:space="preserve"> considéré comme « pleinement respecté » par 43 % des répondants issus de pays en développement Parties, « partie</w:t>
      </w:r>
      <w:r w:rsidR="00EC3C1E">
        <w:rPr>
          <w:snapToGrid/>
          <w:kern w:val="22"/>
          <w:szCs w:val="22"/>
          <w:lang w:val="fr-FR"/>
        </w:rPr>
        <w:t xml:space="preserve">llement respecté » par 47 % d’entre eux </w:t>
      </w:r>
      <w:r w:rsidRPr="00C54A95">
        <w:rPr>
          <w:snapToGrid/>
          <w:kern w:val="22"/>
          <w:szCs w:val="22"/>
          <w:lang w:val="fr-FR"/>
        </w:rPr>
        <w:t>e</w:t>
      </w:r>
      <w:r w:rsidR="00EC3C1E">
        <w:rPr>
          <w:snapToGrid/>
          <w:kern w:val="22"/>
          <w:szCs w:val="22"/>
          <w:lang w:val="fr-FR"/>
        </w:rPr>
        <w:t>t « non respecté » par 10 % d’entre eux</w:t>
      </w:r>
      <w:r w:rsidR="00742F79" w:rsidRPr="00C54A95">
        <w:rPr>
          <w:snapToGrid/>
          <w:kern w:val="22"/>
          <w:szCs w:val="22"/>
          <w:lang w:val="fr-FR"/>
        </w:rPr>
        <w:t>.</w:t>
      </w:r>
    </w:p>
    <w:p w:rsidR="00742F79" w:rsidRPr="00C54A95" w:rsidRDefault="00154250" w:rsidP="00F82F1D">
      <w:pPr>
        <w:pStyle w:val="Para1"/>
        <w:suppressLineNumbers/>
        <w:tabs>
          <w:tab w:val="clear" w:pos="360"/>
        </w:tabs>
        <w:suppressAutoHyphens/>
        <w:kinsoku w:val="0"/>
        <w:overflowPunct w:val="0"/>
        <w:autoSpaceDE w:val="0"/>
        <w:autoSpaceDN w:val="0"/>
        <w:rPr>
          <w:snapToGrid/>
          <w:kern w:val="22"/>
          <w:szCs w:val="22"/>
          <w:lang w:val="fr-FR"/>
        </w:rPr>
      </w:pPr>
      <w:r w:rsidRPr="00C54A95">
        <w:rPr>
          <w:snapToGrid/>
          <w:kern w:val="22"/>
          <w:szCs w:val="22"/>
          <w:lang w:val="fr-FR"/>
        </w:rPr>
        <w:t xml:space="preserve">Au </w:t>
      </w:r>
      <w:r w:rsidR="00DA0CE2">
        <w:rPr>
          <w:snapToGrid/>
          <w:kern w:val="22"/>
          <w:szCs w:val="22"/>
          <w:lang w:val="fr-FR"/>
        </w:rPr>
        <w:t>titre</w:t>
      </w:r>
      <w:r w:rsidRPr="00C54A95">
        <w:rPr>
          <w:snapToGrid/>
          <w:kern w:val="22"/>
          <w:szCs w:val="22"/>
          <w:lang w:val="fr-FR"/>
        </w:rPr>
        <w:t xml:space="preserve"> de la participation des pays en développement à la</w:t>
      </w:r>
      <w:r w:rsidR="002225D1">
        <w:rPr>
          <w:snapToGrid/>
          <w:kern w:val="22"/>
          <w:szCs w:val="22"/>
          <w:lang w:val="fr-FR"/>
        </w:rPr>
        <w:t xml:space="preserve"> huitième réunion de la </w:t>
      </w:r>
      <w:r w:rsidR="002225D1" w:rsidRPr="00C54A95">
        <w:rPr>
          <w:kern w:val="22"/>
          <w:szCs w:val="22"/>
          <w:lang w:val="fr-FR"/>
        </w:rPr>
        <w:t>Conférence des Parties siégeant en tant que réunion des Parties au Protocole</w:t>
      </w:r>
      <w:r w:rsidR="002225D1">
        <w:rPr>
          <w:kern w:val="22"/>
          <w:szCs w:val="22"/>
          <w:lang w:val="fr-FR"/>
        </w:rPr>
        <w:t xml:space="preserve"> de Cartagena, </w:t>
      </w:r>
      <w:r w:rsidRPr="00C54A95">
        <w:rPr>
          <w:snapToGrid/>
          <w:kern w:val="22"/>
          <w:szCs w:val="22"/>
          <w:lang w:val="fr-FR"/>
        </w:rPr>
        <w:t xml:space="preserve">le critère a été considéré comme « respecté » par 27 % des répondants, « partiellement respecté » par 62 % </w:t>
      </w:r>
      <w:r w:rsidR="00DA0CE2">
        <w:rPr>
          <w:snapToGrid/>
          <w:kern w:val="22"/>
          <w:szCs w:val="22"/>
          <w:lang w:val="fr-FR"/>
        </w:rPr>
        <w:t>d’entre eux</w:t>
      </w:r>
      <w:r w:rsidRPr="00C54A95">
        <w:rPr>
          <w:snapToGrid/>
          <w:kern w:val="22"/>
          <w:szCs w:val="22"/>
          <w:lang w:val="fr-FR"/>
        </w:rPr>
        <w:t xml:space="preserve"> e</w:t>
      </w:r>
      <w:r w:rsidR="00DA0CE2">
        <w:rPr>
          <w:snapToGrid/>
          <w:kern w:val="22"/>
          <w:szCs w:val="22"/>
          <w:lang w:val="fr-FR"/>
        </w:rPr>
        <w:t>t « non respecté » par 11 % d’entre eux</w:t>
      </w:r>
      <w:r w:rsidRPr="00C54A95">
        <w:rPr>
          <w:snapToGrid/>
          <w:kern w:val="22"/>
          <w:szCs w:val="22"/>
          <w:lang w:val="fr-FR"/>
        </w:rPr>
        <w:t xml:space="preserve">. Après ventilation des résultats, ce critère </w:t>
      </w:r>
      <w:r w:rsidR="00DA0CE2">
        <w:rPr>
          <w:snapToGrid/>
          <w:kern w:val="22"/>
          <w:szCs w:val="22"/>
          <w:lang w:val="fr-FR"/>
        </w:rPr>
        <w:t>est</w:t>
      </w:r>
      <w:r w:rsidRPr="00C54A95">
        <w:rPr>
          <w:snapToGrid/>
          <w:kern w:val="22"/>
          <w:szCs w:val="22"/>
          <w:lang w:val="fr-FR"/>
        </w:rPr>
        <w:t xml:space="preserve"> considéré comme « </w:t>
      </w:r>
      <w:r w:rsidR="00DA0CE2">
        <w:rPr>
          <w:snapToGrid/>
          <w:kern w:val="22"/>
          <w:szCs w:val="22"/>
          <w:lang w:val="fr-FR"/>
        </w:rPr>
        <w:t xml:space="preserve">pleinement </w:t>
      </w:r>
      <w:r w:rsidRPr="00C54A95">
        <w:rPr>
          <w:snapToGrid/>
          <w:kern w:val="22"/>
          <w:szCs w:val="22"/>
          <w:lang w:val="fr-FR"/>
        </w:rPr>
        <w:t>respecté » par 25 % des</w:t>
      </w:r>
      <w:r w:rsidR="00DA0CE2">
        <w:rPr>
          <w:snapToGrid/>
          <w:kern w:val="22"/>
          <w:szCs w:val="22"/>
          <w:lang w:val="fr-FR"/>
        </w:rPr>
        <w:t xml:space="preserve"> répondants issus de</w:t>
      </w:r>
      <w:r w:rsidRPr="00C54A95">
        <w:rPr>
          <w:snapToGrid/>
          <w:kern w:val="22"/>
          <w:szCs w:val="22"/>
          <w:lang w:val="fr-FR"/>
        </w:rPr>
        <w:t xml:space="preserve"> pays en développement Parties, « partie</w:t>
      </w:r>
      <w:r w:rsidR="00DA0CE2">
        <w:rPr>
          <w:snapToGrid/>
          <w:kern w:val="22"/>
          <w:szCs w:val="22"/>
          <w:lang w:val="fr-FR"/>
        </w:rPr>
        <w:t xml:space="preserve">llement respecté » par 60 % d’entre eux </w:t>
      </w:r>
      <w:r w:rsidRPr="00C54A95">
        <w:rPr>
          <w:snapToGrid/>
          <w:kern w:val="22"/>
          <w:szCs w:val="22"/>
          <w:lang w:val="fr-FR"/>
        </w:rPr>
        <w:t xml:space="preserve">et « non respecté » par 15 % </w:t>
      </w:r>
      <w:r w:rsidR="00DA0CE2">
        <w:rPr>
          <w:snapToGrid/>
          <w:kern w:val="22"/>
          <w:szCs w:val="22"/>
          <w:lang w:val="fr-FR"/>
        </w:rPr>
        <w:t>d’entre eux</w:t>
      </w:r>
      <w:r w:rsidR="00742F79" w:rsidRPr="00C54A95">
        <w:rPr>
          <w:snapToGrid/>
          <w:kern w:val="22"/>
          <w:szCs w:val="22"/>
          <w:lang w:val="fr-FR"/>
        </w:rPr>
        <w:t>.</w:t>
      </w:r>
    </w:p>
    <w:p w:rsidR="00742F79" w:rsidRPr="00C54A95" w:rsidRDefault="00154250" w:rsidP="00F82F1D">
      <w:pPr>
        <w:pStyle w:val="Para1"/>
        <w:suppressLineNumbers/>
        <w:tabs>
          <w:tab w:val="clear" w:pos="360"/>
        </w:tabs>
        <w:suppressAutoHyphens/>
        <w:kinsoku w:val="0"/>
        <w:overflowPunct w:val="0"/>
        <w:autoSpaceDE w:val="0"/>
        <w:autoSpaceDN w:val="0"/>
        <w:rPr>
          <w:snapToGrid/>
          <w:kern w:val="22"/>
          <w:szCs w:val="22"/>
          <w:lang w:val="fr-FR"/>
        </w:rPr>
      </w:pPr>
      <w:r w:rsidRPr="00C54A95">
        <w:rPr>
          <w:snapToGrid/>
          <w:kern w:val="22"/>
          <w:szCs w:val="22"/>
          <w:lang w:val="fr-FR"/>
        </w:rPr>
        <w:t xml:space="preserve">Au </w:t>
      </w:r>
      <w:r w:rsidR="000B2EEC">
        <w:rPr>
          <w:snapToGrid/>
          <w:kern w:val="22"/>
          <w:szCs w:val="22"/>
          <w:lang w:val="fr-FR"/>
        </w:rPr>
        <w:t>titre</w:t>
      </w:r>
      <w:r w:rsidRPr="00C54A95">
        <w:rPr>
          <w:snapToGrid/>
          <w:kern w:val="22"/>
          <w:szCs w:val="22"/>
          <w:lang w:val="fr-FR"/>
        </w:rPr>
        <w:t xml:space="preserve"> de la participation des pays à la</w:t>
      </w:r>
      <w:r w:rsidR="002225D1">
        <w:rPr>
          <w:snapToGrid/>
          <w:kern w:val="22"/>
          <w:szCs w:val="22"/>
          <w:lang w:val="fr-FR"/>
        </w:rPr>
        <w:t xml:space="preserve"> deuxième réunion de la </w:t>
      </w:r>
      <w:r w:rsidR="002225D1" w:rsidRPr="00C54A95">
        <w:rPr>
          <w:kern w:val="22"/>
          <w:szCs w:val="22"/>
          <w:lang w:val="fr-FR"/>
        </w:rPr>
        <w:t>Conférence des Parties siégeant en tant que réunion des Parties au Protocole</w:t>
      </w:r>
      <w:r w:rsidR="002225D1">
        <w:rPr>
          <w:kern w:val="22"/>
          <w:szCs w:val="22"/>
          <w:lang w:val="fr-FR"/>
        </w:rPr>
        <w:t xml:space="preserve"> de Nagoya</w:t>
      </w:r>
      <w:r w:rsidRPr="00C54A95">
        <w:rPr>
          <w:snapToGrid/>
          <w:kern w:val="22"/>
          <w:szCs w:val="22"/>
          <w:lang w:val="fr-FR"/>
        </w:rPr>
        <w:t>, le critère a été considéré comme « respecté » par 27 % des répondants, « partie</w:t>
      </w:r>
      <w:r w:rsidR="000B2EEC">
        <w:rPr>
          <w:snapToGrid/>
          <w:kern w:val="22"/>
          <w:szCs w:val="22"/>
          <w:lang w:val="fr-FR"/>
        </w:rPr>
        <w:t xml:space="preserve">llement respecté » par 61 % d’entre eux </w:t>
      </w:r>
      <w:r w:rsidRPr="00C54A95">
        <w:rPr>
          <w:snapToGrid/>
          <w:kern w:val="22"/>
          <w:szCs w:val="22"/>
          <w:lang w:val="fr-FR"/>
        </w:rPr>
        <w:t xml:space="preserve">et « non respecté » par 13 % </w:t>
      </w:r>
      <w:r w:rsidR="000B2EEC">
        <w:rPr>
          <w:snapToGrid/>
          <w:kern w:val="22"/>
          <w:szCs w:val="22"/>
          <w:lang w:val="fr-FR"/>
        </w:rPr>
        <w:t>d’entre eux</w:t>
      </w:r>
      <w:r w:rsidRPr="00C54A95">
        <w:rPr>
          <w:snapToGrid/>
          <w:kern w:val="22"/>
          <w:szCs w:val="22"/>
          <w:lang w:val="fr-FR"/>
        </w:rPr>
        <w:t xml:space="preserve">. Après ventilation des résultats, ce critère </w:t>
      </w:r>
      <w:r w:rsidR="000B2EEC">
        <w:rPr>
          <w:snapToGrid/>
          <w:kern w:val="22"/>
          <w:szCs w:val="22"/>
          <w:lang w:val="fr-FR"/>
        </w:rPr>
        <w:t>est</w:t>
      </w:r>
      <w:r w:rsidRPr="00C54A95">
        <w:rPr>
          <w:snapToGrid/>
          <w:kern w:val="22"/>
          <w:szCs w:val="22"/>
          <w:lang w:val="fr-FR"/>
        </w:rPr>
        <w:t xml:space="preserve"> considéré comme « pleinement respecté » par 23 % des répondants issus de pays en développement Parties, « partiellement respecté » par 60 % </w:t>
      </w:r>
      <w:r w:rsidR="004F31BD">
        <w:rPr>
          <w:snapToGrid/>
          <w:kern w:val="22"/>
          <w:szCs w:val="22"/>
          <w:lang w:val="fr-FR"/>
        </w:rPr>
        <w:t xml:space="preserve">d’entre eux </w:t>
      </w:r>
      <w:r w:rsidRPr="00C54A95">
        <w:rPr>
          <w:snapToGrid/>
          <w:kern w:val="22"/>
          <w:szCs w:val="22"/>
          <w:lang w:val="fr-FR"/>
        </w:rPr>
        <w:t xml:space="preserve">et « non respecté » par 16 % </w:t>
      </w:r>
      <w:r w:rsidR="004F31BD">
        <w:rPr>
          <w:snapToGrid/>
          <w:kern w:val="22"/>
          <w:szCs w:val="22"/>
          <w:lang w:val="fr-FR"/>
        </w:rPr>
        <w:t>d’entre eux</w:t>
      </w:r>
      <w:r w:rsidR="00742F79" w:rsidRPr="00C54A95">
        <w:rPr>
          <w:snapToGrid/>
          <w:kern w:val="22"/>
          <w:szCs w:val="22"/>
          <w:lang w:val="fr-FR"/>
        </w:rPr>
        <w:t>.</w:t>
      </w:r>
    </w:p>
    <w:p w:rsidR="00742F79" w:rsidRPr="00C54A95" w:rsidRDefault="000B13F6" w:rsidP="00F82F1D">
      <w:pPr>
        <w:pStyle w:val="Para1"/>
        <w:suppressLineNumbers/>
        <w:tabs>
          <w:tab w:val="clear" w:pos="360"/>
        </w:tabs>
        <w:suppressAutoHyphens/>
        <w:kinsoku w:val="0"/>
        <w:overflowPunct w:val="0"/>
        <w:autoSpaceDE w:val="0"/>
        <w:autoSpaceDN w:val="0"/>
        <w:rPr>
          <w:snapToGrid/>
          <w:kern w:val="22"/>
          <w:szCs w:val="22"/>
          <w:lang w:val="fr-FR"/>
        </w:rPr>
      </w:pPr>
      <w:r>
        <w:rPr>
          <w:snapToGrid/>
          <w:kern w:val="22"/>
          <w:szCs w:val="22"/>
          <w:lang w:val="fr-FR"/>
        </w:rPr>
        <w:t>Les Parties ont posé u</w:t>
      </w:r>
      <w:r w:rsidR="00154250" w:rsidRPr="00C54A95">
        <w:rPr>
          <w:snapToGrid/>
          <w:kern w:val="22"/>
          <w:szCs w:val="22"/>
          <w:lang w:val="fr-FR"/>
        </w:rPr>
        <w:t xml:space="preserve">ne série de questions dans leurs observations. Plusieurs </w:t>
      </w:r>
      <w:r>
        <w:rPr>
          <w:snapToGrid/>
          <w:kern w:val="22"/>
          <w:szCs w:val="22"/>
          <w:lang w:val="fr-FR"/>
        </w:rPr>
        <w:t>Parties</w:t>
      </w:r>
      <w:r w:rsidR="00154250" w:rsidRPr="00C54A95">
        <w:rPr>
          <w:snapToGrid/>
          <w:kern w:val="22"/>
          <w:szCs w:val="22"/>
          <w:lang w:val="fr-FR"/>
        </w:rPr>
        <w:t xml:space="preserve"> ont </w:t>
      </w:r>
      <w:r>
        <w:rPr>
          <w:snapToGrid/>
          <w:kern w:val="22"/>
          <w:szCs w:val="22"/>
          <w:lang w:val="fr-FR"/>
        </w:rPr>
        <w:t>relevé</w:t>
      </w:r>
      <w:r w:rsidR="00154250" w:rsidRPr="00C54A95">
        <w:rPr>
          <w:snapToGrid/>
          <w:kern w:val="22"/>
          <w:szCs w:val="22"/>
          <w:lang w:val="fr-FR"/>
        </w:rPr>
        <w:t xml:space="preserve"> que</w:t>
      </w:r>
      <w:r w:rsidR="008D3B4F">
        <w:rPr>
          <w:snapToGrid/>
          <w:kern w:val="22"/>
          <w:szCs w:val="22"/>
          <w:lang w:val="fr-FR"/>
        </w:rPr>
        <w:t xml:space="preserve"> les réunions concomitantes avaient empêché des délégations de suivre des débats</w:t>
      </w:r>
      <w:r w:rsidR="00154250" w:rsidRPr="00C54A95">
        <w:rPr>
          <w:snapToGrid/>
          <w:kern w:val="22"/>
          <w:szCs w:val="22"/>
          <w:lang w:val="fr-FR"/>
        </w:rPr>
        <w:t>. Ce</w:t>
      </w:r>
      <w:r w:rsidR="008D3B4F">
        <w:rPr>
          <w:snapToGrid/>
          <w:kern w:val="22"/>
          <w:szCs w:val="22"/>
          <w:lang w:val="fr-FR"/>
        </w:rPr>
        <w:t xml:space="preserve"> problème </w:t>
      </w:r>
      <w:r w:rsidR="00154250" w:rsidRPr="00C54A95">
        <w:rPr>
          <w:snapToGrid/>
          <w:kern w:val="22"/>
          <w:szCs w:val="22"/>
          <w:lang w:val="fr-FR"/>
        </w:rPr>
        <w:t xml:space="preserve">a été jugé </w:t>
      </w:r>
      <w:r w:rsidR="008D3B4F">
        <w:rPr>
          <w:snapToGrid/>
          <w:kern w:val="22"/>
          <w:szCs w:val="22"/>
          <w:lang w:val="fr-FR"/>
        </w:rPr>
        <w:t>« particulièrement grave »</w:t>
      </w:r>
      <w:r w:rsidR="00154250" w:rsidRPr="00C54A95">
        <w:rPr>
          <w:snapToGrid/>
          <w:kern w:val="22"/>
          <w:szCs w:val="22"/>
          <w:lang w:val="fr-FR"/>
        </w:rPr>
        <w:t xml:space="preserve"> pour les délégations de petite taille. En outre, plusieurs Parties ont constaté que les réunions concomitantes nécessitaient d’organiser </w:t>
      </w:r>
      <w:r w:rsidR="00E65308">
        <w:rPr>
          <w:snapToGrid/>
          <w:kern w:val="22"/>
          <w:szCs w:val="22"/>
          <w:lang w:val="fr-FR"/>
        </w:rPr>
        <w:t>de multiples</w:t>
      </w:r>
      <w:r w:rsidR="00154250" w:rsidRPr="00C54A95">
        <w:rPr>
          <w:snapToGrid/>
          <w:kern w:val="22"/>
          <w:szCs w:val="22"/>
          <w:lang w:val="fr-FR"/>
        </w:rPr>
        <w:t xml:space="preserve"> réunions </w:t>
      </w:r>
      <w:r w:rsidR="008D3B4F">
        <w:rPr>
          <w:snapToGrid/>
          <w:kern w:val="22"/>
          <w:szCs w:val="22"/>
          <w:lang w:val="fr-FR"/>
        </w:rPr>
        <w:t>de groupes de contact et d’</w:t>
      </w:r>
      <w:r w:rsidR="00154250" w:rsidRPr="00C54A95">
        <w:rPr>
          <w:snapToGrid/>
          <w:kern w:val="22"/>
          <w:szCs w:val="22"/>
          <w:lang w:val="fr-FR"/>
        </w:rPr>
        <w:t xml:space="preserve">Amis de la présidence. De nombreuses Parties ont également relevé que l’insuffisance du budget </w:t>
      </w:r>
      <w:r w:rsidR="003F2E93">
        <w:rPr>
          <w:snapToGrid/>
          <w:kern w:val="22"/>
          <w:szCs w:val="22"/>
          <w:lang w:val="fr-FR"/>
        </w:rPr>
        <w:t>de</w:t>
      </w:r>
      <w:r w:rsidR="00154250" w:rsidRPr="00C54A95">
        <w:rPr>
          <w:snapToGrid/>
          <w:kern w:val="22"/>
          <w:szCs w:val="22"/>
          <w:lang w:val="fr-FR"/>
        </w:rPr>
        <w:t xml:space="preserve"> l’aide apportée à la par</w:t>
      </w:r>
      <w:r w:rsidR="00863DDF">
        <w:rPr>
          <w:snapToGrid/>
          <w:kern w:val="22"/>
          <w:szCs w:val="22"/>
          <w:lang w:val="fr-FR"/>
        </w:rPr>
        <w:t>ticipation des représentants de</w:t>
      </w:r>
      <w:r w:rsidR="00154250" w:rsidRPr="00C54A95">
        <w:rPr>
          <w:snapToGrid/>
          <w:kern w:val="22"/>
          <w:szCs w:val="22"/>
          <w:lang w:val="fr-FR"/>
        </w:rPr>
        <w:t xml:space="preserve"> pays en développement empêchait la participation pleine et effective des pays en développement Parties</w:t>
      </w:r>
      <w:r w:rsidR="00742F79" w:rsidRPr="00C54A95">
        <w:rPr>
          <w:snapToGrid/>
          <w:kern w:val="22"/>
          <w:szCs w:val="22"/>
          <w:lang w:val="fr-FR"/>
        </w:rPr>
        <w:t>.</w:t>
      </w:r>
    </w:p>
    <w:p w:rsidR="00742F79" w:rsidRPr="00C54A95" w:rsidRDefault="00154250" w:rsidP="00F82F1D">
      <w:pPr>
        <w:pStyle w:val="Para1"/>
        <w:suppressLineNumbers/>
        <w:tabs>
          <w:tab w:val="clear" w:pos="360"/>
        </w:tabs>
        <w:suppressAutoHyphens/>
        <w:kinsoku w:val="0"/>
        <w:overflowPunct w:val="0"/>
        <w:autoSpaceDE w:val="0"/>
        <w:autoSpaceDN w:val="0"/>
        <w:rPr>
          <w:snapToGrid/>
          <w:kern w:val="22"/>
          <w:szCs w:val="22"/>
          <w:lang w:val="fr-FR"/>
        </w:rPr>
      </w:pPr>
      <w:r w:rsidRPr="00C54A95">
        <w:rPr>
          <w:snapToGrid/>
          <w:kern w:val="22"/>
          <w:szCs w:val="22"/>
          <w:lang w:val="fr-FR"/>
        </w:rPr>
        <w:lastRenderedPageBreak/>
        <w:t>Le nombre des pays en déve</w:t>
      </w:r>
      <w:r w:rsidR="00863DDF">
        <w:rPr>
          <w:snapToGrid/>
          <w:kern w:val="22"/>
          <w:szCs w:val="22"/>
          <w:lang w:val="fr-FR"/>
        </w:rPr>
        <w:t xml:space="preserve">loppement Parties ayant bénéficié d’une aide </w:t>
      </w:r>
      <w:r w:rsidRPr="00C54A95">
        <w:rPr>
          <w:snapToGrid/>
          <w:kern w:val="22"/>
          <w:szCs w:val="22"/>
          <w:lang w:val="fr-FR"/>
        </w:rPr>
        <w:t xml:space="preserve">pour participer aux réunions de la </w:t>
      </w:r>
      <w:r w:rsidR="002225D1" w:rsidRPr="00C54A95">
        <w:rPr>
          <w:kern w:val="22"/>
          <w:szCs w:val="22"/>
          <w:lang w:val="fr-FR"/>
        </w:rPr>
        <w:t xml:space="preserve">Conférence des Parties </w:t>
      </w:r>
      <w:r w:rsidR="002225D1">
        <w:rPr>
          <w:kern w:val="22"/>
          <w:szCs w:val="22"/>
          <w:lang w:val="fr-FR"/>
        </w:rPr>
        <w:t xml:space="preserve">et à celles </w:t>
      </w:r>
      <w:r w:rsidR="00A847CA">
        <w:rPr>
          <w:kern w:val="22"/>
          <w:szCs w:val="22"/>
          <w:lang w:val="fr-FR"/>
        </w:rPr>
        <w:t>de la</w:t>
      </w:r>
      <w:r w:rsidR="002225D1">
        <w:rPr>
          <w:kern w:val="22"/>
          <w:szCs w:val="22"/>
          <w:lang w:val="fr-FR"/>
        </w:rPr>
        <w:t xml:space="preserve"> Conférence des Parties </w:t>
      </w:r>
      <w:r w:rsidR="002225D1" w:rsidRPr="00C54A95">
        <w:rPr>
          <w:kern w:val="22"/>
          <w:szCs w:val="22"/>
          <w:lang w:val="fr-FR"/>
        </w:rPr>
        <w:t xml:space="preserve">siégeant en tant que réunion des Parties </w:t>
      </w:r>
      <w:r w:rsidRPr="00C54A95">
        <w:rPr>
          <w:snapToGrid/>
          <w:kern w:val="22"/>
          <w:szCs w:val="22"/>
          <w:lang w:val="fr-FR"/>
        </w:rPr>
        <w:t xml:space="preserve">varie d’une réunion à l’autre. </w:t>
      </w:r>
      <w:r w:rsidR="00863DDF">
        <w:rPr>
          <w:snapToGrid/>
          <w:kern w:val="22"/>
          <w:szCs w:val="22"/>
          <w:lang w:val="fr-FR"/>
        </w:rPr>
        <w:t>Le nombre</w:t>
      </w:r>
      <w:r w:rsidRPr="00C54A95">
        <w:rPr>
          <w:snapToGrid/>
          <w:kern w:val="22"/>
          <w:szCs w:val="22"/>
          <w:lang w:val="fr-FR"/>
        </w:rPr>
        <w:t xml:space="preserve"> des Parties et des participants susceptibles </w:t>
      </w:r>
      <w:r w:rsidR="00D46C41">
        <w:rPr>
          <w:snapToGrid/>
          <w:kern w:val="22"/>
          <w:szCs w:val="22"/>
          <w:lang w:val="fr-FR"/>
        </w:rPr>
        <w:t>d’obtenir une aide dépend du volume de</w:t>
      </w:r>
      <w:r w:rsidRPr="00C54A95">
        <w:rPr>
          <w:snapToGrid/>
          <w:kern w:val="22"/>
          <w:szCs w:val="22"/>
          <w:lang w:val="fr-FR"/>
        </w:rPr>
        <w:t>s contributions reçues par le Secrétariat, du montant de l’indemnité journalière de subsistance applicable et du coût des billets d’avion</w:t>
      </w:r>
      <w:r w:rsidR="0059294E">
        <w:rPr>
          <w:snapToGrid/>
          <w:kern w:val="22"/>
          <w:szCs w:val="22"/>
          <w:lang w:val="fr-FR"/>
        </w:rPr>
        <w:t xml:space="preserve"> achetés</w:t>
      </w:r>
      <w:r w:rsidRPr="00C54A95">
        <w:rPr>
          <w:snapToGrid/>
          <w:kern w:val="22"/>
          <w:szCs w:val="22"/>
          <w:lang w:val="fr-FR"/>
        </w:rPr>
        <w:t xml:space="preserve">. Ces facteurs varient fortement d’une réunion à l’autre, ce qui rend difficile toute comparaison directe entre le nombre des Parties et des participants </w:t>
      </w:r>
      <w:r w:rsidR="00D46C41">
        <w:rPr>
          <w:snapToGrid/>
          <w:kern w:val="22"/>
          <w:szCs w:val="22"/>
          <w:lang w:val="fr-FR"/>
        </w:rPr>
        <w:t>ayant reçu une aide pour</w:t>
      </w:r>
      <w:r w:rsidRPr="00C54A95">
        <w:rPr>
          <w:snapToGrid/>
          <w:kern w:val="22"/>
          <w:szCs w:val="22"/>
          <w:lang w:val="fr-FR"/>
        </w:rPr>
        <w:t xml:space="preserve"> participer aux réunions de la Conférence des Parties à la Convention, et celui des Parties et des participants </w:t>
      </w:r>
      <w:r w:rsidR="00D46C41">
        <w:rPr>
          <w:snapToGrid/>
          <w:kern w:val="22"/>
          <w:szCs w:val="22"/>
          <w:lang w:val="fr-FR"/>
        </w:rPr>
        <w:t>ayant reçu une aide</w:t>
      </w:r>
      <w:r w:rsidR="00D46C41" w:rsidRPr="00C54A95">
        <w:rPr>
          <w:snapToGrid/>
          <w:kern w:val="22"/>
          <w:szCs w:val="22"/>
          <w:lang w:val="fr-FR"/>
        </w:rPr>
        <w:t xml:space="preserve"> </w:t>
      </w:r>
      <w:r w:rsidR="00D46C41">
        <w:rPr>
          <w:snapToGrid/>
          <w:kern w:val="22"/>
          <w:szCs w:val="22"/>
          <w:lang w:val="fr-FR"/>
        </w:rPr>
        <w:t xml:space="preserve">pour </w:t>
      </w:r>
      <w:r w:rsidRPr="00C54A95">
        <w:rPr>
          <w:snapToGrid/>
          <w:kern w:val="22"/>
          <w:szCs w:val="22"/>
          <w:lang w:val="fr-FR"/>
        </w:rPr>
        <w:t xml:space="preserve">participer aux réunions des Protocoles. Les contributions </w:t>
      </w:r>
      <w:r w:rsidR="00C673BA">
        <w:rPr>
          <w:snapToGrid/>
          <w:kern w:val="22"/>
          <w:szCs w:val="22"/>
          <w:lang w:val="fr-FR"/>
        </w:rPr>
        <w:t xml:space="preserve">perçues </w:t>
      </w:r>
      <w:r w:rsidR="00AD7252">
        <w:rPr>
          <w:snapToGrid/>
          <w:kern w:val="22"/>
          <w:szCs w:val="22"/>
          <w:lang w:val="fr-FR"/>
        </w:rPr>
        <w:t>pour</w:t>
      </w:r>
      <w:r w:rsidR="00C673BA">
        <w:rPr>
          <w:snapToGrid/>
          <w:kern w:val="22"/>
          <w:szCs w:val="22"/>
          <w:lang w:val="fr-FR"/>
        </w:rPr>
        <w:t xml:space="preserve"> financer</w:t>
      </w:r>
      <w:r w:rsidRPr="00C54A95">
        <w:rPr>
          <w:snapToGrid/>
          <w:kern w:val="22"/>
          <w:szCs w:val="22"/>
          <w:lang w:val="fr-FR"/>
        </w:rPr>
        <w:t xml:space="preserve"> l’aide </w:t>
      </w:r>
      <w:r w:rsidR="00D46C41">
        <w:rPr>
          <w:snapToGrid/>
          <w:kern w:val="22"/>
          <w:szCs w:val="22"/>
          <w:lang w:val="fr-FR"/>
        </w:rPr>
        <w:t>accordée à</w:t>
      </w:r>
      <w:r w:rsidRPr="00C54A95">
        <w:rPr>
          <w:snapToGrid/>
          <w:kern w:val="22"/>
          <w:szCs w:val="22"/>
          <w:lang w:val="fr-FR"/>
        </w:rPr>
        <w:t xml:space="preserve"> la participation aux réunions ont par exemple varié de 465 370 dollars pour la </w:t>
      </w:r>
      <w:r w:rsidR="002225D1">
        <w:rPr>
          <w:snapToGrid/>
          <w:kern w:val="22"/>
          <w:szCs w:val="22"/>
          <w:lang w:val="fr-FR"/>
        </w:rPr>
        <w:t xml:space="preserve">douzième </w:t>
      </w:r>
      <w:r w:rsidR="00D1708B">
        <w:rPr>
          <w:snapToGrid/>
          <w:kern w:val="22"/>
          <w:szCs w:val="22"/>
          <w:lang w:val="fr-FR"/>
        </w:rPr>
        <w:t xml:space="preserve">réunion de la </w:t>
      </w:r>
      <w:r w:rsidR="002225D1" w:rsidRPr="00C54A95">
        <w:rPr>
          <w:kern w:val="22"/>
          <w:szCs w:val="22"/>
          <w:lang w:val="fr-FR"/>
        </w:rPr>
        <w:t xml:space="preserve">Conférence des Parties </w:t>
      </w:r>
      <w:r w:rsidRPr="00C54A95">
        <w:rPr>
          <w:snapToGrid/>
          <w:kern w:val="22"/>
          <w:szCs w:val="22"/>
          <w:lang w:val="fr-FR"/>
        </w:rPr>
        <w:t>et la</w:t>
      </w:r>
      <w:r w:rsidR="00A37D17">
        <w:rPr>
          <w:snapToGrid/>
          <w:kern w:val="22"/>
          <w:szCs w:val="22"/>
          <w:lang w:val="fr-FR"/>
        </w:rPr>
        <w:t xml:space="preserve"> septième réunion </w:t>
      </w:r>
      <w:r w:rsidR="00A37D17">
        <w:rPr>
          <w:kern w:val="22"/>
          <w:szCs w:val="22"/>
          <w:lang w:val="fr-FR"/>
        </w:rPr>
        <w:t xml:space="preserve">de la Conférence des Parties </w:t>
      </w:r>
      <w:r w:rsidR="00A37D17" w:rsidRPr="00C54A95">
        <w:rPr>
          <w:kern w:val="22"/>
          <w:szCs w:val="22"/>
          <w:lang w:val="fr-FR"/>
        </w:rPr>
        <w:t>siégeant en tant que réunion des Parties au Protocole</w:t>
      </w:r>
      <w:r w:rsidR="00A37D17">
        <w:rPr>
          <w:kern w:val="22"/>
          <w:szCs w:val="22"/>
          <w:lang w:val="fr-FR"/>
        </w:rPr>
        <w:t xml:space="preserve"> de Cartagena</w:t>
      </w:r>
      <w:r w:rsidRPr="00C54A95">
        <w:rPr>
          <w:snapToGrid/>
          <w:kern w:val="22"/>
          <w:szCs w:val="22"/>
          <w:lang w:val="fr-FR"/>
        </w:rPr>
        <w:t xml:space="preserve">, à 1 045 102 dollars pour la </w:t>
      </w:r>
      <w:r w:rsidR="00A37D17">
        <w:rPr>
          <w:snapToGrid/>
          <w:kern w:val="22"/>
          <w:szCs w:val="22"/>
          <w:lang w:val="fr-FR"/>
        </w:rPr>
        <w:t xml:space="preserve">dixième </w:t>
      </w:r>
      <w:r w:rsidR="00346F15">
        <w:rPr>
          <w:snapToGrid/>
          <w:kern w:val="22"/>
          <w:szCs w:val="22"/>
          <w:lang w:val="fr-FR"/>
        </w:rPr>
        <w:t xml:space="preserve">réunion </w:t>
      </w:r>
      <w:r w:rsidR="00346F15">
        <w:rPr>
          <w:kern w:val="22"/>
          <w:szCs w:val="22"/>
          <w:lang w:val="fr-FR"/>
        </w:rPr>
        <w:t xml:space="preserve">de la </w:t>
      </w:r>
      <w:r w:rsidR="00A37D17" w:rsidRPr="00C54A95">
        <w:rPr>
          <w:kern w:val="22"/>
          <w:szCs w:val="22"/>
          <w:lang w:val="fr-FR"/>
        </w:rPr>
        <w:t xml:space="preserve">Conférence des Parties </w:t>
      </w:r>
      <w:r w:rsidRPr="00C54A95">
        <w:rPr>
          <w:snapToGrid/>
          <w:kern w:val="22"/>
          <w:szCs w:val="22"/>
          <w:lang w:val="fr-FR"/>
        </w:rPr>
        <w:t xml:space="preserve">et la </w:t>
      </w:r>
      <w:r w:rsidR="00A37D17">
        <w:rPr>
          <w:snapToGrid/>
          <w:kern w:val="22"/>
          <w:szCs w:val="22"/>
          <w:lang w:val="fr-FR"/>
        </w:rPr>
        <w:t xml:space="preserve">cinquième réunion </w:t>
      </w:r>
      <w:r w:rsidR="00A37D17">
        <w:rPr>
          <w:kern w:val="22"/>
          <w:szCs w:val="22"/>
          <w:lang w:val="fr-FR"/>
        </w:rPr>
        <w:t xml:space="preserve">de la Conférence des Parties </w:t>
      </w:r>
      <w:r w:rsidR="00A37D17" w:rsidRPr="00C54A95">
        <w:rPr>
          <w:kern w:val="22"/>
          <w:szCs w:val="22"/>
          <w:lang w:val="fr-FR"/>
        </w:rPr>
        <w:t>siégeant en tant que réunion des Parties au Protocole</w:t>
      </w:r>
      <w:r w:rsidR="00A37D17">
        <w:rPr>
          <w:kern w:val="22"/>
          <w:szCs w:val="22"/>
          <w:lang w:val="fr-FR"/>
        </w:rPr>
        <w:t xml:space="preserve"> de Cartagena</w:t>
      </w:r>
      <w:r w:rsidRPr="00C54A95">
        <w:rPr>
          <w:snapToGrid/>
          <w:kern w:val="22"/>
          <w:szCs w:val="22"/>
          <w:lang w:val="fr-FR"/>
        </w:rPr>
        <w:t xml:space="preserve">. </w:t>
      </w:r>
      <w:r w:rsidR="00346F15">
        <w:rPr>
          <w:snapToGrid/>
          <w:kern w:val="22"/>
          <w:szCs w:val="22"/>
          <w:lang w:val="fr-FR"/>
        </w:rPr>
        <w:t>Ces contributions</w:t>
      </w:r>
      <w:r w:rsidRPr="00C54A95">
        <w:rPr>
          <w:snapToGrid/>
          <w:kern w:val="22"/>
          <w:szCs w:val="22"/>
          <w:lang w:val="fr-FR"/>
        </w:rPr>
        <w:t xml:space="preserve"> ont </w:t>
      </w:r>
      <w:r w:rsidR="00346F15">
        <w:rPr>
          <w:snapToGrid/>
          <w:kern w:val="22"/>
          <w:szCs w:val="22"/>
          <w:lang w:val="fr-FR"/>
        </w:rPr>
        <w:t>atteint</w:t>
      </w:r>
      <w:r w:rsidRPr="00C54A95">
        <w:rPr>
          <w:snapToGrid/>
          <w:kern w:val="22"/>
          <w:szCs w:val="22"/>
          <w:lang w:val="fr-FR"/>
        </w:rPr>
        <w:t xml:space="preserve"> 672 000 dollars au total pour les réunions concomitantes </w:t>
      </w:r>
      <w:r w:rsidR="00346F15">
        <w:rPr>
          <w:snapToGrid/>
          <w:kern w:val="22"/>
          <w:szCs w:val="22"/>
          <w:lang w:val="fr-FR"/>
        </w:rPr>
        <w:t>tenues</w:t>
      </w:r>
      <w:r w:rsidRPr="00C54A95">
        <w:rPr>
          <w:snapToGrid/>
          <w:kern w:val="22"/>
          <w:szCs w:val="22"/>
          <w:lang w:val="fr-FR"/>
        </w:rPr>
        <w:t xml:space="preserve"> en 2016</w:t>
      </w:r>
      <w:r w:rsidR="00742F79" w:rsidRPr="00C54A95">
        <w:rPr>
          <w:snapToGrid/>
          <w:kern w:val="22"/>
          <w:szCs w:val="22"/>
          <w:lang w:val="fr-FR"/>
        </w:rPr>
        <w:t>.</w:t>
      </w:r>
    </w:p>
    <w:p w:rsidR="00742F79" w:rsidRPr="00C54A95" w:rsidRDefault="00154250" w:rsidP="00F82F1D">
      <w:pPr>
        <w:pStyle w:val="Para1"/>
        <w:suppressLineNumbers/>
        <w:tabs>
          <w:tab w:val="clear" w:pos="360"/>
        </w:tabs>
        <w:suppressAutoHyphens/>
        <w:kinsoku w:val="0"/>
        <w:overflowPunct w:val="0"/>
        <w:autoSpaceDE w:val="0"/>
        <w:autoSpaceDN w:val="0"/>
        <w:rPr>
          <w:snapToGrid/>
          <w:kern w:val="22"/>
          <w:szCs w:val="22"/>
          <w:lang w:val="fr-FR"/>
        </w:rPr>
      </w:pPr>
      <w:r w:rsidRPr="00C54A95">
        <w:rPr>
          <w:snapToGrid/>
          <w:kern w:val="22"/>
          <w:szCs w:val="22"/>
          <w:lang w:val="fr-FR"/>
        </w:rPr>
        <w:t xml:space="preserve">L’approche générale suivie par le Secrétariat pour les réunions </w:t>
      </w:r>
      <w:r w:rsidR="00997931">
        <w:rPr>
          <w:snapToGrid/>
          <w:kern w:val="22"/>
          <w:szCs w:val="22"/>
          <w:lang w:val="fr-FR"/>
        </w:rPr>
        <w:t xml:space="preserve">précédemment </w:t>
      </w:r>
      <w:r w:rsidRPr="00C54A95">
        <w:rPr>
          <w:snapToGrid/>
          <w:kern w:val="22"/>
          <w:szCs w:val="22"/>
          <w:lang w:val="fr-FR"/>
        </w:rPr>
        <w:t>organisées consistait à fournir à chacun des pays remplissant les conditions requises l’équivalent d’un billet d’avion al</w:t>
      </w:r>
      <w:r w:rsidR="00997931">
        <w:rPr>
          <w:snapToGrid/>
          <w:kern w:val="22"/>
          <w:szCs w:val="22"/>
          <w:lang w:val="fr-FR"/>
        </w:rPr>
        <w:t>ler-retour en classe économique</w:t>
      </w:r>
      <w:r w:rsidR="00572936">
        <w:rPr>
          <w:snapToGrid/>
          <w:kern w:val="22"/>
          <w:szCs w:val="22"/>
          <w:lang w:val="fr-FR"/>
        </w:rPr>
        <w:t>,</w:t>
      </w:r>
      <w:r w:rsidRPr="00C54A95">
        <w:rPr>
          <w:snapToGrid/>
          <w:kern w:val="22"/>
          <w:szCs w:val="22"/>
          <w:lang w:val="fr-FR"/>
        </w:rPr>
        <w:t xml:space="preserve"> ainsi que l’équivalent de trois semaines d’indemnité journalière </w:t>
      </w:r>
      <w:r w:rsidR="00572936">
        <w:rPr>
          <w:snapToGrid/>
          <w:kern w:val="22"/>
          <w:szCs w:val="22"/>
          <w:lang w:val="fr-FR"/>
        </w:rPr>
        <w:t xml:space="preserve">de subsistance pour </w:t>
      </w:r>
      <w:r w:rsidR="00997931">
        <w:rPr>
          <w:snapToGrid/>
          <w:kern w:val="22"/>
          <w:szCs w:val="22"/>
          <w:lang w:val="fr-FR"/>
        </w:rPr>
        <w:t>une personne</w:t>
      </w:r>
      <w:r w:rsidRPr="00C54A95">
        <w:rPr>
          <w:snapToGrid/>
          <w:kern w:val="22"/>
          <w:szCs w:val="22"/>
          <w:vertAlign w:val="superscript"/>
          <w:lang w:val="fr-FR"/>
        </w:rPr>
        <w:footnoteReference w:id="9"/>
      </w:r>
      <w:r w:rsidR="00997931">
        <w:rPr>
          <w:snapToGrid/>
          <w:kern w:val="22"/>
          <w:szCs w:val="22"/>
          <w:lang w:val="fr-FR"/>
        </w:rPr>
        <w:t>.</w:t>
      </w:r>
      <w:r w:rsidRPr="00C54A95">
        <w:rPr>
          <w:snapToGrid/>
          <w:kern w:val="22"/>
          <w:szCs w:val="22"/>
          <w:lang w:val="fr-FR"/>
        </w:rPr>
        <w:t xml:space="preserve"> Il appartenait ensuite </w:t>
      </w:r>
      <w:r w:rsidR="00997931">
        <w:rPr>
          <w:snapToGrid/>
          <w:kern w:val="22"/>
          <w:szCs w:val="22"/>
          <w:lang w:val="fr-FR"/>
        </w:rPr>
        <w:t>à la</w:t>
      </w:r>
      <w:r w:rsidRPr="00C54A95">
        <w:rPr>
          <w:snapToGrid/>
          <w:kern w:val="22"/>
          <w:szCs w:val="22"/>
          <w:lang w:val="fr-FR"/>
        </w:rPr>
        <w:t xml:space="preserve"> Partie de décider de la façon dont </w:t>
      </w:r>
      <w:r w:rsidR="00997931">
        <w:rPr>
          <w:snapToGrid/>
          <w:kern w:val="22"/>
          <w:szCs w:val="22"/>
          <w:lang w:val="fr-FR"/>
        </w:rPr>
        <w:t>elle souhaitait utiliser la somme perçue</w:t>
      </w:r>
      <w:r w:rsidRPr="00C54A95">
        <w:rPr>
          <w:snapToGrid/>
          <w:kern w:val="22"/>
          <w:szCs w:val="22"/>
          <w:lang w:val="fr-FR"/>
        </w:rPr>
        <w:t>. Certaines Parties ont par exemple choisi de déléguer un participant</w:t>
      </w:r>
      <w:r w:rsidR="00997931">
        <w:rPr>
          <w:snapToGrid/>
          <w:kern w:val="22"/>
          <w:szCs w:val="22"/>
          <w:lang w:val="fr-FR"/>
        </w:rPr>
        <w:t>,</w:t>
      </w:r>
      <w:r w:rsidRPr="00C54A95">
        <w:rPr>
          <w:snapToGrid/>
          <w:kern w:val="22"/>
          <w:szCs w:val="22"/>
          <w:lang w:val="fr-FR"/>
        </w:rPr>
        <w:t xml:space="preserve"> chargé de couvrir les questions relatives à la Convention et à ses Protocoles, tandis que d’autres Parties ont préféré accorder le </w:t>
      </w:r>
      <w:r w:rsidR="00997931">
        <w:rPr>
          <w:snapToGrid/>
          <w:kern w:val="22"/>
          <w:szCs w:val="22"/>
          <w:lang w:val="fr-FR"/>
        </w:rPr>
        <w:t>billet d’avion à un participant</w:t>
      </w:r>
      <w:r w:rsidRPr="00C54A95">
        <w:rPr>
          <w:snapToGrid/>
          <w:kern w:val="22"/>
          <w:szCs w:val="22"/>
          <w:lang w:val="fr-FR"/>
        </w:rPr>
        <w:t xml:space="preserve"> et l’indemnité journalière de subsistance, à un autre participant. Une approche similaire a été suivie pour les réunions concomitantes </w:t>
      </w:r>
      <w:r w:rsidR="00997931">
        <w:rPr>
          <w:snapToGrid/>
          <w:kern w:val="22"/>
          <w:szCs w:val="22"/>
          <w:lang w:val="fr-FR"/>
        </w:rPr>
        <w:t>tenues</w:t>
      </w:r>
      <w:r w:rsidRPr="00C54A95">
        <w:rPr>
          <w:snapToGrid/>
          <w:kern w:val="22"/>
          <w:szCs w:val="22"/>
          <w:lang w:val="fr-FR"/>
        </w:rPr>
        <w:t xml:space="preserve"> en 2016. Le montant de l’indemnité journalière de subsistance a toutefois été réduit à deux semaines en raison de la durée plus courte des réunions. L’organisation de réunions concomitantes a généralement eu pour effet de réduire d’une semaine l’indemnité journalière de subsistance fournie par le Secréta</w:t>
      </w:r>
      <w:r w:rsidR="00C35954">
        <w:rPr>
          <w:snapToGrid/>
          <w:kern w:val="22"/>
          <w:szCs w:val="22"/>
          <w:lang w:val="fr-FR"/>
        </w:rPr>
        <w:t>riat grâce aux contributions de</w:t>
      </w:r>
      <w:r w:rsidRPr="00C54A95">
        <w:rPr>
          <w:snapToGrid/>
          <w:kern w:val="22"/>
          <w:szCs w:val="22"/>
          <w:lang w:val="fr-FR"/>
        </w:rPr>
        <w:t xml:space="preserve"> donateurs. Cette réduction a toutefois été moins importante pour certaines Parties</w:t>
      </w:r>
      <w:r w:rsidR="00436922">
        <w:rPr>
          <w:snapToGrid/>
          <w:kern w:val="22"/>
          <w:szCs w:val="22"/>
          <w:lang w:val="fr-FR"/>
        </w:rPr>
        <w:t xml:space="preserve"> qui avaient </w:t>
      </w:r>
      <w:r w:rsidR="00436922" w:rsidRPr="00C54A95">
        <w:rPr>
          <w:snapToGrid/>
          <w:kern w:val="22"/>
          <w:szCs w:val="22"/>
          <w:lang w:val="fr-FR"/>
        </w:rPr>
        <w:t xml:space="preserve">préalablement </w:t>
      </w:r>
      <w:r w:rsidR="00436922">
        <w:rPr>
          <w:snapToGrid/>
          <w:kern w:val="22"/>
          <w:szCs w:val="22"/>
          <w:lang w:val="fr-FR"/>
        </w:rPr>
        <w:t xml:space="preserve">perçu </w:t>
      </w:r>
      <w:r w:rsidRPr="00C54A95">
        <w:rPr>
          <w:snapToGrid/>
          <w:kern w:val="22"/>
          <w:szCs w:val="22"/>
          <w:lang w:val="fr-FR"/>
        </w:rPr>
        <w:t xml:space="preserve">une aide </w:t>
      </w:r>
      <w:r w:rsidR="00436922">
        <w:rPr>
          <w:snapToGrid/>
          <w:kern w:val="22"/>
          <w:szCs w:val="22"/>
          <w:lang w:val="fr-FR"/>
        </w:rPr>
        <w:t xml:space="preserve">pour leur participation </w:t>
      </w:r>
      <w:r w:rsidRPr="00C54A95">
        <w:rPr>
          <w:snapToGrid/>
          <w:kern w:val="22"/>
          <w:szCs w:val="22"/>
          <w:lang w:val="fr-FR"/>
        </w:rPr>
        <w:t xml:space="preserve">à la réunion de haut niveau </w:t>
      </w:r>
      <w:r w:rsidR="00436922">
        <w:rPr>
          <w:snapToGrid/>
          <w:kern w:val="22"/>
          <w:szCs w:val="22"/>
          <w:lang w:val="fr-FR"/>
        </w:rPr>
        <w:t>tenue</w:t>
      </w:r>
      <w:r w:rsidRPr="00C54A95">
        <w:rPr>
          <w:snapToGrid/>
          <w:kern w:val="22"/>
          <w:szCs w:val="22"/>
          <w:lang w:val="fr-FR"/>
        </w:rPr>
        <w:t xml:space="preserve"> quelques jours avant </w:t>
      </w:r>
      <w:r w:rsidR="00E06F86">
        <w:rPr>
          <w:snapToGrid/>
          <w:kern w:val="22"/>
          <w:szCs w:val="22"/>
          <w:lang w:val="fr-FR"/>
        </w:rPr>
        <w:t>les réunions concomitantes. Il a</w:t>
      </w:r>
      <w:r w:rsidRPr="00C54A95">
        <w:rPr>
          <w:snapToGrid/>
          <w:kern w:val="22"/>
          <w:szCs w:val="22"/>
          <w:lang w:val="fr-FR"/>
        </w:rPr>
        <w:t xml:space="preserve"> en outre été toujours plus difficile d’obtenir des financements pour </w:t>
      </w:r>
      <w:r w:rsidR="00E06F86">
        <w:rPr>
          <w:snapToGrid/>
          <w:kern w:val="22"/>
          <w:szCs w:val="22"/>
          <w:lang w:val="fr-FR"/>
        </w:rPr>
        <w:t xml:space="preserve">les réunions de </w:t>
      </w:r>
      <w:r w:rsidRPr="00C54A95">
        <w:rPr>
          <w:snapToGrid/>
          <w:kern w:val="22"/>
          <w:szCs w:val="22"/>
          <w:lang w:val="fr-FR"/>
        </w:rPr>
        <w:t xml:space="preserve">la </w:t>
      </w:r>
      <w:r w:rsidR="00D1708B">
        <w:rPr>
          <w:kern w:val="22"/>
          <w:szCs w:val="22"/>
          <w:lang w:val="fr-FR"/>
        </w:rPr>
        <w:t xml:space="preserve">Conférence des Parties </w:t>
      </w:r>
      <w:r w:rsidR="00D1708B" w:rsidRPr="00C54A95">
        <w:rPr>
          <w:kern w:val="22"/>
          <w:szCs w:val="22"/>
          <w:lang w:val="fr-FR"/>
        </w:rPr>
        <w:t xml:space="preserve">siégeant en tant que réunion des Parties </w:t>
      </w:r>
      <w:r w:rsidRPr="00C54A95">
        <w:rPr>
          <w:snapToGrid/>
          <w:kern w:val="22"/>
          <w:szCs w:val="22"/>
          <w:lang w:val="fr-FR"/>
        </w:rPr>
        <w:t>au Protocole de Cartagena que pour les réunions de la Conférence des Parties. L’organisation de réunions c</w:t>
      </w:r>
      <w:r w:rsidR="00E06F86">
        <w:rPr>
          <w:snapToGrid/>
          <w:kern w:val="22"/>
          <w:szCs w:val="22"/>
          <w:lang w:val="fr-FR"/>
        </w:rPr>
        <w:t>oncomitantes a toutefois réduit cet écart</w:t>
      </w:r>
      <w:r w:rsidR="0028638A">
        <w:rPr>
          <w:snapToGrid/>
          <w:kern w:val="22"/>
          <w:szCs w:val="22"/>
          <w:lang w:val="fr-FR"/>
        </w:rPr>
        <w:t>,</w:t>
      </w:r>
      <w:r w:rsidR="00E06F86">
        <w:rPr>
          <w:snapToGrid/>
          <w:kern w:val="22"/>
          <w:szCs w:val="22"/>
          <w:lang w:val="fr-FR"/>
        </w:rPr>
        <w:t xml:space="preserve"> du fait </w:t>
      </w:r>
      <w:r w:rsidRPr="00C54A95">
        <w:rPr>
          <w:snapToGrid/>
          <w:kern w:val="22"/>
          <w:szCs w:val="22"/>
          <w:lang w:val="fr-FR"/>
        </w:rPr>
        <w:t xml:space="preserve">que les financements ciblent </w:t>
      </w:r>
      <w:r w:rsidR="0028638A">
        <w:rPr>
          <w:snapToGrid/>
          <w:kern w:val="22"/>
          <w:szCs w:val="22"/>
          <w:lang w:val="fr-FR"/>
        </w:rPr>
        <w:t>les réunions concomitantes</w:t>
      </w:r>
      <w:r w:rsidR="00E06F86">
        <w:rPr>
          <w:snapToGrid/>
          <w:kern w:val="22"/>
          <w:szCs w:val="22"/>
          <w:lang w:val="fr-FR"/>
        </w:rPr>
        <w:t xml:space="preserve"> et non</w:t>
      </w:r>
      <w:r w:rsidRPr="00C54A95">
        <w:rPr>
          <w:snapToGrid/>
          <w:kern w:val="22"/>
          <w:szCs w:val="22"/>
          <w:lang w:val="fr-FR"/>
        </w:rPr>
        <w:t xml:space="preserve"> une réunion en particulie</w:t>
      </w:r>
      <w:r w:rsidR="00E06F86">
        <w:rPr>
          <w:snapToGrid/>
          <w:kern w:val="22"/>
          <w:szCs w:val="22"/>
          <w:lang w:val="fr-FR"/>
        </w:rPr>
        <w:t>r</w:t>
      </w:r>
      <w:r w:rsidR="00742F79" w:rsidRPr="00C54A95">
        <w:rPr>
          <w:snapToGrid/>
          <w:kern w:val="22"/>
          <w:szCs w:val="22"/>
          <w:lang w:val="fr-FR"/>
        </w:rPr>
        <w:t>.</w:t>
      </w:r>
    </w:p>
    <w:p w:rsidR="00742F79" w:rsidRPr="00C54A95" w:rsidRDefault="00154250" w:rsidP="00F82F1D">
      <w:pPr>
        <w:pStyle w:val="Para1"/>
        <w:suppressLineNumbers/>
        <w:tabs>
          <w:tab w:val="clear" w:pos="360"/>
        </w:tabs>
        <w:suppressAutoHyphens/>
        <w:kinsoku w:val="0"/>
        <w:overflowPunct w:val="0"/>
        <w:autoSpaceDE w:val="0"/>
        <w:autoSpaceDN w:val="0"/>
        <w:rPr>
          <w:snapToGrid/>
          <w:kern w:val="22"/>
          <w:szCs w:val="22"/>
          <w:lang w:val="fr-FR"/>
        </w:rPr>
      </w:pPr>
      <w:r w:rsidRPr="00C54A95">
        <w:rPr>
          <w:snapToGrid/>
          <w:kern w:val="22"/>
          <w:szCs w:val="22"/>
          <w:lang w:val="fr-FR"/>
        </w:rPr>
        <w:t>Le nombre de</w:t>
      </w:r>
      <w:r w:rsidR="008017F3">
        <w:rPr>
          <w:snapToGrid/>
          <w:kern w:val="22"/>
          <w:szCs w:val="22"/>
          <w:lang w:val="fr-FR"/>
        </w:rPr>
        <w:t>s</w:t>
      </w:r>
      <w:r w:rsidRPr="00C54A95">
        <w:rPr>
          <w:snapToGrid/>
          <w:kern w:val="22"/>
          <w:szCs w:val="22"/>
          <w:lang w:val="fr-FR"/>
        </w:rPr>
        <w:t xml:space="preserve"> Parties bénéficiant d’une</w:t>
      </w:r>
      <w:r w:rsidR="0028638A">
        <w:rPr>
          <w:snapToGrid/>
          <w:kern w:val="22"/>
          <w:szCs w:val="22"/>
          <w:lang w:val="fr-FR"/>
        </w:rPr>
        <w:t xml:space="preserve"> aide financière a varié de 74, à la </w:t>
      </w:r>
      <w:r w:rsidR="00D1708B">
        <w:rPr>
          <w:snapToGrid/>
          <w:kern w:val="22"/>
          <w:szCs w:val="22"/>
          <w:lang w:val="fr-FR"/>
        </w:rPr>
        <w:t xml:space="preserve">douzième réunion de la </w:t>
      </w:r>
      <w:r w:rsidR="00D1708B">
        <w:rPr>
          <w:kern w:val="22"/>
          <w:szCs w:val="22"/>
          <w:lang w:val="fr-FR"/>
        </w:rPr>
        <w:t>Conférence des Parties</w:t>
      </w:r>
      <w:r w:rsidR="0028638A">
        <w:rPr>
          <w:kern w:val="22"/>
          <w:szCs w:val="22"/>
          <w:lang w:val="fr-FR"/>
        </w:rPr>
        <w:t>,</w:t>
      </w:r>
      <w:r w:rsidR="0028638A">
        <w:rPr>
          <w:snapToGrid/>
          <w:kern w:val="22"/>
          <w:szCs w:val="22"/>
          <w:lang w:val="fr-FR"/>
        </w:rPr>
        <w:t xml:space="preserve"> à 118, à la </w:t>
      </w:r>
      <w:r w:rsidR="00D1708B">
        <w:rPr>
          <w:snapToGrid/>
          <w:kern w:val="22"/>
          <w:szCs w:val="22"/>
          <w:lang w:val="fr-FR"/>
        </w:rPr>
        <w:t xml:space="preserve">dixième réunion de la </w:t>
      </w:r>
      <w:r w:rsidR="00D1708B" w:rsidRPr="00C54A95">
        <w:rPr>
          <w:kern w:val="22"/>
          <w:szCs w:val="22"/>
          <w:lang w:val="fr-FR"/>
        </w:rPr>
        <w:t>Conférence des Parties</w:t>
      </w:r>
      <w:r w:rsidR="0028638A">
        <w:rPr>
          <w:kern w:val="22"/>
          <w:szCs w:val="22"/>
          <w:lang w:val="fr-FR"/>
        </w:rPr>
        <w:t>, selon une</w:t>
      </w:r>
      <w:r w:rsidR="008017F3">
        <w:rPr>
          <w:snapToGrid/>
          <w:kern w:val="22"/>
          <w:szCs w:val="22"/>
          <w:lang w:val="fr-FR"/>
        </w:rPr>
        <w:t xml:space="preserve"> moyenne de 101. Ce nombre</w:t>
      </w:r>
      <w:r w:rsidRPr="00C54A95">
        <w:rPr>
          <w:snapToGrid/>
          <w:kern w:val="22"/>
          <w:szCs w:val="22"/>
          <w:lang w:val="fr-FR"/>
        </w:rPr>
        <w:t xml:space="preserve"> </w:t>
      </w:r>
      <w:r w:rsidR="00C84425">
        <w:rPr>
          <w:snapToGrid/>
          <w:kern w:val="22"/>
          <w:szCs w:val="22"/>
          <w:lang w:val="fr-FR"/>
        </w:rPr>
        <w:t>a atteint </w:t>
      </w:r>
      <w:r w:rsidRPr="00C54A95">
        <w:rPr>
          <w:snapToGrid/>
          <w:kern w:val="22"/>
          <w:szCs w:val="22"/>
          <w:lang w:val="fr-FR"/>
        </w:rPr>
        <w:t>108 pour les réunions concomitantes tenues en 2016. Le nombre de</w:t>
      </w:r>
      <w:r w:rsidR="00C84425">
        <w:rPr>
          <w:snapToGrid/>
          <w:kern w:val="22"/>
          <w:szCs w:val="22"/>
          <w:lang w:val="fr-FR"/>
        </w:rPr>
        <w:t>s</w:t>
      </w:r>
      <w:r w:rsidRPr="00C54A95">
        <w:rPr>
          <w:snapToGrid/>
          <w:kern w:val="22"/>
          <w:szCs w:val="22"/>
          <w:lang w:val="fr-FR"/>
        </w:rPr>
        <w:t xml:space="preserve"> participants bénéficiant d’une aide financière </w:t>
      </w:r>
      <w:r w:rsidR="00C84425">
        <w:rPr>
          <w:snapToGrid/>
          <w:kern w:val="22"/>
          <w:szCs w:val="22"/>
          <w:lang w:val="fr-FR"/>
        </w:rPr>
        <w:t xml:space="preserve">a </w:t>
      </w:r>
      <w:r w:rsidRPr="00C54A95">
        <w:rPr>
          <w:snapToGrid/>
          <w:kern w:val="22"/>
          <w:szCs w:val="22"/>
          <w:lang w:val="fr-FR"/>
        </w:rPr>
        <w:t xml:space="preserve">également </w:t>
      </w:r>
      <w:r w:rsidR="00C84425">
        <w:rPr>
          <w:snapToGrid/>
          <w:kern w:val="22"/>
          <w:szCs w:val="22"/>
          <w:lang w:val="fr-FR"/>
        </w:rPr>
        <w:t xml:space="preserve">varié </w:t>
      </w:r>
      <w:r w:rsidRPr="00C54A95">
        <w:rPr>
          <w:snapToGrid/>
          <w:kern w:val="22"/>
          <w:szCs w:val="22"/>
          <w:lang w:val="fr-FR"/>
        </w:rPr>
        <w:t>de 77</w:t>
      </w:r>
      <w:r w:rsidR="0028638A">
        <w:rPr>
          <w:snapToGrid/>
          <w:kern w:val="22"/>
          <w:szCs w:val="22"/>
          <w:lang w:val="fr-FR"/>
        </w:rPr>
        <w:t xml:space="preserve">, à la </w:t>
      </w:r>
      <w:r w:rsidR="00D1708B">
        <w:rPr>
          <w:snapToGrid/>
          <w:kern w:val="22"/>
          <w:szCs w:val="22"/>
          <w:lang w:val="fr-FR"/>
        </w:rPr>
        <w:t xml:space="preserve">douzième réunion de la </w:t>
      </w:r>
      <w:r w:rsidR="00D1708B">
        <w:rPr>
          <w:kern w:val="22"/>
          <w:szCs w:val="22"/>
          <w:lang w:val="fr-FR"/>
        </w:rPr>
        <w:t>Conférence des Parties</w:t>
      </w:r>
      <w:r w:rsidR="0028638A">
        <w:rPr>
          <w:kern w:val="22"/>
          <w:szCs w:val="22"/>
          <w:lang w:val="fr-FR"/>
        </w:rPr>
        <w:t>,</w:t>
      </w:r>
      <w:r w:rsidR="0028638A">
        <w:rPr>
          <w:snapToGrid/>
          <w:kern w:val="22"/>
          <w:szCs w:val="22"/>
          <w:lang w:val="fr-FR"/>
        </w:rPr>
        <w:t xml:space="preserve"> à 139, à la </w:t>
      </w:r>
      <w:r w:rsidR="00D1708B">
        <w:rPr>
          <w:snapToGrid/>
          <w:kern w:val="22"/>
          <w:szCs w:val="22"/>
          <w:lang w:val="fr-FR"/>
        </w:rPr>
        <w:t xml:space="preserve">dixième réunion de la </w:t>
      </w:r>
      <w:r w:rsidR="00D1708B">
        <w:rPr>
          <w:kern w:val="22"/>
          <w:szCs w:val="22"/>
          <w:lang w:val="fr-FR"/>
        </w:rPr>
        <w:t>Conférence des Parties</w:t>
      </w:r>
      <w:r w:rsidR="0028638A">
        <w:rPr>
          <w:kern w:val="22"/>
          <w:szCs w:val="22"/>
          <w:lang w:val="fr-FR"/>
        </w:rPr>
        <w:t>, selon une</w:t>
      </w:r>
      <w:r w:rsidR="00C84425">
        <w:rPr>
          <w:snapToGrid/>
          <w:kern w:val="22"/>
          <w:szCs w:val="22"/>
          <w:lang w:val="fr-FR"/>
        </w:rPr>
        <w:t xml:space="preserve"> moyenne de 110. Ce nombre</w:t>
      </w:r>
      <w:r w:rsidRPr="00C54A95">
        <w:rPr>
          <w:snapToGrid/>
          <w:kern w:val="22"/>
          <w:szCs w:val="22"/>
          <w:lang w:val="fr-FR"/>
        </w:rPr>
        <w:t xml:space="preserve"> </w:t>
      </w:r>
      <w:r w:rsidR="00C84425">
        <w:rPr>
          <w:snapToGrid/>
          <w:kern w:val="22"/>
          <w:szCs w:val="22"/>
          <w:lang w:val="fr-FR"/>
        </w:rPr>
        <w:t>a atteint </w:t>
      </w:r>
      <w:r w:rsidRPr="00C54A95">
        <w:rPr>
          <w:snapToGrid/>
          <w:kern w:val="22"/>
          <w:szCs w:val="22"/>
          <w:lang w:val="fr-FR"/>
        </w:rPr>
        <w:t>119 pour les réunions concomitantes tenues en</w:t>
      </w:r>
      <w:r w:rsidR="00C84425">
        <w:rPr>
          <w:snapToGrid/>
          <w:kern w:val="22"/>
          <w:szCs w:val="22"/>
          <w:lang w:val="fr-FR"/>
        </w:rPr>
        <w:t xml:space="preserve"> 2016. Si le nombre des Parties </w:t>
      </w:r>
      <w:r w:rsidR="002B0355">
        <w:rPr>
          <w:snapToGrid/>
          <w:kern w:val="22"/>
          <w:szCs w:val="22"/>
          <w:lang w:val="fr-FR"/>
        </w:rPr>
        <w:t>ayant bénéficié</w:t>
      </w:r>
      <w:r w:rsidR="00D651C1" w:rsidRPr="00C54A95">
        <w:rPr>
          <w:snapToGrid/>
          <w:kern w:val="22"/>
          <w:szCs w:val="22"/>
          <w:lang w:val="fr-FR"/>
        </w:rPr>
        <w:t xml:space="preserve"> d’une aide </w:t>
      </w:r>
      <w:r w:rsidRPr="00C54A95">
        <w:rPr>
          <w:snapToGrid/>
          <w:kern w:val="22"/>
          <w:szCs w:val="22"/>
          <w:lang w:val="fr-FR"/>
        </w:rPr>
        <w:t>pour participer aux réunions concomitantes tenues en 2016</w:t>
      </w:r>
      <w:r w:rsidR="0028638A">
        <w:rPr>
          <w:snapToGrid/>
          <w:kern w:val="22"/>
          <w:szCs w:val="22"/>
          <w:lang w:val="fr-FR"/>
        </w:rPr>
        <w:t>,</w:t>
      </w:r>
      <w:r w:rsidR="002B0355">
        <w:rPr>
          <w:snapToGrid/>
          <w:kern w:val="22"/>
          <w:szCs w:val="22"/>
          <w:lang w:val="fr-FR"/>
        </w:rPr>
        <w:t xml:space="preserve"> et celui des participants ayant bénéficié de cette aide</w:t>
      </w:r>
      <w:r w:rsidR="0028638A">
        <w:rPr>
          <w:snapToGrid/>
          <w:kern w:val="22"/>
          <w:szCs w:val="22"/>
          <w:lang w:val="fr-FR"/>
        </w:rPr>
        <w:t>,</w:t>
      </w:r>
      <w:r w:rsidR="002B0355">
        <w:rPr>
          <w:snapToGrid/>
          <w:kern w:val="22"/>
          <w:szCs w:val="22"/>
          <w:lang w:val="fr-FR"/>
        </w:rPr>
        <w:t xml:space="preserve"> ont tous deux</w:t>
      </w:r>
      <w:r w:rsidRPr="00C54A95">
        <w:rPr>
          <w:snapToGrid/>
          <w:kern w:val="22"/>
          <w:szCs w:val="22"/>
          <w:lang w:val="fr-FR"/>
        </w:rPr>
        <w:t xml:space="preserve"> été</w:t>
      </w:r>
      <w:r w:rsidR="002B0355">
        <w:rPr>
          <w:snapToGrid/>
          <w:kern w:val="22"/>
          <w:szCs w:val="22"/>
          <w:lang w:val="fr-FR"/>
        </w:rPr>
        <w:t xml:space="preserve"> légèrement</w:t>
      </w:r>
      <w:r w:rsidRPr="00C54A95">
        <w:rPr>
          <w:snapToGrid/>
          <w:kern w:val="22"/>
          <w:szCs w:val="22"/>
          <w:lang w:val="fr-FR"/>
        </w:rPr>
        <w:t xml:space="preserve"> </w:t>
      </w:r>
      <w:r w:rsidR="002B0355">
        <w:rPr>
          <w:snapToGrid/>
          <w:kern w:val="22"/>
          <w:szCs w:val="22"/>
          <w:lang w:val="fr-FR"/>
        </w:rPr>
        <w:t>supérieurs</w:t>
      </w:r>
      <w:r w:rsidRPr="00C54A95">
        <w:rPr>
          <w:snapToGrid/>
          <w:kern w:val="22"/>
          <w:szCs w:val="22"/>
          <w:lang w:val="fr-FR"/>
        </w:rPr>
        <w:t xml:space="preserve"> à la moyenne, il </w:t>
      </w:r>
      <w:r w:rsidR="002B0355">
        <w:rPr>
          <w:snapToGrid/>
          <w:kern w:val="22"/>
          <w:szCs w:val="22"/>
          <w:lang w:val="fr-FR"/>
        </w:rPr>
        <w:t>reste</w:t>
      </w:r>
      <w:r w:rsidRPr="00C54A95">
        <w:rPr>
          <w:snapToGrid/>
          <w:kern w:val="22"/>
          <w:szCs w:val="22"/>
          <w:lang w:val="fr-FR"/>
        </w:rPr>
        <w:t xml:space="preserve"> difficile de déterminer s’ils </w:t>
      </w:r>
      <w:r w:rsidR="002B0355">
        <w:rPr>
          <w:snapToGrid/>
          <w:kern w:val="22"/>
          <w:szCs w:val="22"/>
          <w:lang w:val="fr-FR"/>
        </w:rPr>
        <w:t>traduisent</w:t>
      </w:r>
      <w:r w:rsidRPr="00C54A95">
        <w:rPr>
          <w:snapToGrid/>
          <w:kern w:val="22"/>
          <w:szCs w:val="22"/>
          <w:lang w:val="fr-FR"/>
        </w:rPr>
        <w:t xml:space="preserve"> une </w:t>
      </w:r>
      <w:r w:rsidR="002B0355">
        <w:rPr>
          <w:snapToGrid/>
          <w:kern w:val="22"/>
          <w:szCs w:val="22"/>
          <w:lang w:val="fr-FR"/>
        </w:rPr>
        <w:t>amélioration</w:t>
      </w:r>
      <w:r w:rsidR="0028638A">
        <w:rPr>
          <w:snapToGrid/>
          <w:kern w:val="22"/>
          <w:szCs w:val="22"/>
          <w:lang w:val="fr-FR"/>
        </w:rPr>
        <w:t>,</w:t>
      </w:r>
      <w:r w:rsidRPr="00C54A95">
        <w:rPr>
          <w:snapToGrid/>
          <w:kern w:val="22"/>
          <w:szCs w:val="22"/>
          <w:lang w:val="fr-FR"/>
        </w:rPr>
        <w:t xml:space="preserve"> </w:t>
      </w:r>
      <w:r w:rsidR="002B0355">
        <w:rPr>
          <w:snapToGrid/>
          <w:kern w:val="22"/>
          <w:szCs w:val="22"/>
          <w:lang w:val="fr-FR"/>
        </w:rPr>
        <w:t>en raison</w:t>
      </w:r>
      <w:r w:rsidRPr="00C54A95">
        <w:rPr>
          <w:snapToGrid/>
          <w:kern w:val="22"/>
          <w:szCs w:val="22"/>
          <w:lang w:val="fr-FR"/>
        </w:rPr>
        <w:t xml:space="preserve"> des autres variables </w:t>
      </w:r>
      <w:r w:rsidR="002B0355">
        <w:rPr>
          <w:snapToGrid/>
          <w:kern w:val="22"/>
          <w:szCs w:val="22"/>
          <w:lang w:val="fr-FR"/>
        </w:rPr>
        <w:t>énoncées</w:t>
      </w:r>
      <w:r w:rsidRPr="00C54A95">
        <w:rPr>
          <w:snapToGrid/>
          <w:kern w:val="22"/>
          <w:szCs w:val="22"/>
          <w:lang w:val="fr-FR"/>
        </w:rPr>
        <w:t xml:space="preserve"> précédemment (voir figure 3). Il importe en outre de relever que la plupart des participants ayant </w:t>
      </w:r>
      <w:r w:rsidR="002B0355">
        <w:rPr>
          <w:snapToGrid/>
          <w:kern w:val="22"/>
          <w:szCs w:val="22"/>
          <w:lang w:val="fr-FR"/>
        </w:rPr>
        <w:t xml:space="preserve">perçu </w:t>
      </w:r>
      <w:r w:rsidRPr="00C54A95">
        <w:rPr>
          <w:snapToGrid/>
          <w:kern w:val="22"/>
          <w:szCs w:val="22"/>
          <w:lang w:val="fr-FR"/>
        </w:rPr>
        <w:t>un</w:t>
      </w:r>
      <w:r w:rsidR="002B0355">
        <w:rPr>
          <w:snapToGrid/>
          <w:kern w:val="22"/>
          <w:szCs w:val="22"/>
          <w:lang w:val="fr-FR"/>
        </w:rPr>
        <w:t>e aide</w:t>
      </w:r>
      <w:r w:rsidRPr="00C54A95">
        <w:rPr>
          <w:snapToGrid/>
          <w:kern w:val="22"/>
          <w:szCs w:val="22"/>
          <w:lang w:val="fr-FR"/>
        </w:rPr>
        <w:t xml:space="preserve"> et assisté aux réunio</w:t>
      </w:r>
      <w:r w:rsidR="002B0355">
        <w:rPr>
          <w:snapToGrid/>
          <w:kern w:val="22"/>
          <w:szCs w:val="22"/>
          <w:lang w:val="fr-FR"/>
        </w:rPr>
        <w:t>ns de la Conférence des Parties</w:t>
      </w:r>
      <w:r w:rsidRPr="00C54A95">
        <w:rPr>
          <w:snapToGrid/>
          <w:kern w:val="22"/>
          <w:szCs w:val="22"/>
          <w:lang w:val="fr-FR"/>
        </w:rPr>
        <w:t xml:space="preserve"> ont également </w:t>
      </w:r>
      <w:r w:rsidR="0028638A">
        <w:rPr>
          <w:snapToGrid/>
          <w:kern w:val="22"/>
          <w:szCs w:val="22"/>
          <w:lang w:val="fr-FR"/>
        </w:rPr>
        <w:t>été présents</w:t>
      </w:r>
      <w:r w:rsidRPr="00C54A95">
        <w:rPr>
          <w:snapToGrid/>
          <w:kern w:val="22"/>
          <w:szCs w:val="22"/>
          <w:lang w:val="fr-FR"/>
        </w:rPr>
        <w:t xml:space="preserve"> aux réunions des Parties. Cela est particulièrement vrai pour </w:t>
      </w:r>
      <w:r w:rsidR="006C3FE7">
        <w:rPr>
          <w:snapToGrid/>
          <w:kern w:val="22"/>
          <w:szCs w:val="22"/>
          <w:lang w:val="fr-FR"/>
        </w:rPr>
        <w:t>les</w:t>
      </w:r>
      <w:r w:rsidRPr="00C54A95">
        <w:rPr>
          <w:snapToGrid/>
          <w:kern w:val="22"/>
          <w:szCs w:val="22"/>
          <w:lang w:val="fr-FR"/>
        </w:rPr>
        <w:t xml:space="preserve"> réunions concomitantes tenues en 2016 puisqu</w:t>
      </w:r>
      <w:r w:rsidR="006C3FE7">
        <w:rPr>
          <w:snapToGrid/>
          <w:kern w:val="22"/>
          <w:szCs w:val="22"/>
          <w:lang w:val="fr-FR"/>
        </w:rPr>
        <w:t xml:space="preserve">e </w:t>
      </w:r>
      <w:r w:rsidR="00C35877">
        <w:rPr>
          <w:snapToGrid/>
          <w:kern w:val="22"/>
          <w:szCs w:val="22"/>
          <w:lang w:val="fr-FR"/>
        </w:rPr>
        <w:t>les</w:t>
      </w:r>
      <w:r w:rsidR="006C3FE7" w:rsidRPr="00C54A95">
        <w:rPr>
          <w:snapToGrid/>
          <w:kern w:val="22"/>
          <w:szCs w:val="22"/>
          <w:lang w:val="fr-FR"/>
        </w:rPr>
        <w:t xml:space="preserve"> aides</w:t>
      </w:r>
      <w:r w:rsidR="006C3FE7">
        <w:rPr>
          <w:snapToGrid/>
          <w:kern w:val="22"/>
          <w:szCs w:val="22"/>
          <w:lang w:val="fr-FR"/>
        </w:rPr>
        <w:t xml:space="preserve"> </w:t>
      </w:r>
      <w:r w:rsidR="00C35877">
        <w:rPr>
          <w:snapToGrid/>
          <w:kern w:val="22"/>
          <w:szCs w:val="22"/>
          <w:lang w:val="fr-FR"/>
        </w:rPr>
        <w:t>ont été attribuées sans qu’</w:t>
      </w:r>
      <w:r w:rsidRPr="00C54A95">
        <w:rPr>
          <w:snapToGrid/>
          <w:kern w:val="22"/>
          <w:szCs w:val="22"/>
          <w:lang w:val="fr-FR"/>
        </w:rPr>
        <w:t xml:space="preserve">aucune distinction </w:t>
      </w:r>
      <w:r w:rsidR="0028638A">
        <w:rPr>
          <w:snapToGrid/>
          <w:kern w:val="22"/>
          <w:szCs w:val="22"/>
          <w:lang w:val="fr-FR"/>
        </w:rPr>
        <w:t xml:space="preserve">n’ait été </w:t>
      </w:r>
      <w:r w:rsidR="00C35877">
        <w:rPr>
          <w:snapToGrid/>
          <w:kern w:val="22"/>
          <w:szCs w:val="22"/>
          <w:lang w:val="fr-FR"/>
        </w:rPr>
        <w:t>faite e</w:t>
      </w:r>
      <w:r w:rsidRPr="00C54A95">
        <w:rPr>
          <w:snapToGrid/>
          <w:kern w:val="22"/>
          <w:szCs w:val="22"/>
          <w:lang w:val="fr-FR"/>
        </w:rPr>
        <w:t>ntre l</w:t>
      </w:r>
      <w:r w:rsidR="00DB131F">
        <w:rPr>
          <w:snapToGrid/>
          <w:kern w:val="22"/>
          <w:szCs w:val="22"/>
          <w:lang w:val="fr-FR"/>
        </w:rPr>
        <w:t>es participants de</w:t>
      </w:r>
      <w:r w:rsidRPr="00C54A95">
        <w:rPr>
          <w:snapToGrid/>
          <w:kern w:val="22"/>
          <w:szCs w:val="22"/>
          <w:lang w:val="fr-FR"/>
        </w:rPr>
        <w:t xml:space="preserve"> la</w:t>
      </w:r>
      <w:r w:rsidR="00C35877">
        <w:rPr>
          <w:snapToGrid/>
          <w:kern w:val="22"/>
          <w:szCs w:val="22"/>
          <w:lang w:val="fr-FR"/>
        </w:rPr>
        <w:t xml:space="preserve"> réunion de la</w:t>
      </w:r>
      <w:r w:rsidRPr="00C54A95">
        <w:rPr>
          <w:snapToGrid/>
          <w:kern w:val="22"/>
          <w:szCs w:val="22"/>
          <w:lang w:val="fr-FR"/>
        </w:rPr>
        <w:t xml:space="preserve"> </w:t>
      </w:r>
      <w:r w:rsidR="00D1708B">
        <w:rPr>
          <w:snapToGrid/>
          <w:kern w:val="22"/>
          <w:szCs w:val="22"/>
          <w:lang w:val="fr-FR"/>
        </w:rPr>
        <w:t>Conférence des Parties</w:t>
      </w:r>
      <w:r w:rsidRPr="00C54A95">
        <w:rPr>
          <w:snapToGrid/>
          <w:kern w:val="22"/>
          <w:szCs w:val="22"/>
          <w:lang w:val="fr-FR"/>
        </w:rPr>
        <w:t xml:space="preserve"> et </w:t>
      </w:r>
      <w:r w:rsidR="00C35877">
        <w:rPr>
          <w:snapToGrid/>
          <w:kern w:val="22"/>
          <w:szCs w:val="22"/>
          <w:lang w:val="fr-FR"/>
        </w:rPr>
        <w:t>ceux des</w:t>
      </w:r>
      <w:r w:rsidRPr="00C54A95">
        <w:rPr>
          <w:snapToGrid/>
          <w:kern w:val="22"/>
          <w:szCs w:val="22"/>
          <w:lang w:val="fr-FR"/>
        </w:rPr>
        <w:t xml:space="preserve"> </w:t>
      </w:r>
      <w:r w:rsidR="00D1708B">
        <w:rPr>
          <w:snapToGrid/>
          <w:kern w:val="22"/>
          <w:szCs w:val="22"/>
          <w:lang w:val="fr-FR"/>
        </w:rPr>
        <w:t xml:space="preserve">réunions de la </w:t>
      </w:r>
      <w:r w:rsidR="00D1708B" w:rsidRPr="00C54A95">
        <w:rPr>
          <w:kern w:val="22"/>
          <w:szCs w:val="22"/>
          <w:lang w:val="fr-FR"/>
        </w:rPr>
        <w:t>Conférence des Parties siégeant en tant que réunion des Parties</w:t>
      </w:r>
      <w:r w:rsidRPr="00C54A95">
        <w:rPr>
          <w:snapToGrid/>
          <w:kern w:val="22"/>
          <w:szCs w:val="22"/>
          <w:lang w:val="fr-FR"/>
        </w:rPr>
        <w:t xml:space="preserve">. Le choix de la personne </w:t>
      </w:r>
      <w:r w:rsidR="00DB131F">
        <w:rPr>
          <w:snapToGrid/>
          <w:kern w:val="22"/>
          <w:szCs w:val="22"/>
          <w:lang w:val="fr-FR"/>
        </w:rPr>
        <w:t>chargée de</w:t>
      </w:r>
      <w:r w:rsidRPr="00C54A95">
        <w:rPr>
          <w:snapToGrid/>
          <w:kern w:val="22"/>
          <w:szCs w:val="22"/>
          <w:lang w:val="fr-FR"/>
        </w:rPr>
        <w:t xml:space="preserve"> participer aux réunions a été laissé à l’appréciation des Parties concernées</w:t>
      </w:r>
      <w:r w:rsidR="00742F79" w:rsidRPr="00C54A95">
        <w:rPr>
          <w:snapToGrid/>
          <w:kern w:val="22"/>
          <w:szCs w:val="22"/>
          <w:lang w:val="fr-FR"/>
        </w:rPr>
        <w:t>.</w:t>
      </w:r>
    </w:p>
    <w:p w:rsidR="00742F79" w:rsidRPr="00C54A95" w:rsidRDefault="00B6208C" w:rsidP="00F82F1D">
      <w:pPr>
        <w:pStyle w:val="Para1"/>
        <w:suppressLineNumbers/>
        <w:tabs>
          <w:tab w:val="clear" w:pos="360"/>
        </w:tabs>
        <w:suppressAutoHyphens/>
        <w:kinsoku w:val="0"/>
        <w:overflowPunct w:val="0"/>
        <w:autoSpaceDE w:val="0"/>
        <w:autoSpaceDN w:val="0"/>
        <w:rPr>
          <w:snapToGrid/>
          <w:kern w:val="22"/>
          <w:szCs w:val="22"/>
          <w:lang w:val="fr-FR"/>
        </w:rPr>
      </w:pPr>
      <w:r>
        <w:rPr>
          <w:snapToGrid/>
          <w:kern w:val="22"/>
          <w:szCs w:val="22"/>
          <w:lang w:val="fr-FR"/>
        </w:rPr>
        <w:lastRenderedPageBreak/>
        <w:t xml:space="preserve">Entre les sixième et septième réunions </w:t>
      </w:r>
      <w:r w:rsidRPr="00C54A95">
        <w:rPr>
          <w:snapToGrid/>
          <w:kern w:val="22"/>
          <w:szCs w:val="22"/>
          <w:lang w:val="fr-FR"/>
        </w:rPr>
        <w:t xml:space="preserve">de la </w:t>
      </w:r>
      <w:r w:rsidRPr="00C54A95">
        <w:rPr>
          <w:kern w:val="22"/>
          <w:szCs w:val="22"/>
          <w:lang w:val="fr-FR"/>
        </w:rPr>
        <w:t>Conférence des Parties siégeant en tant que réunion des Parties au Protocole de Cartagena</w:t>
      </w:r>
      <w:r>
        <w:rPr>
          <w:kern w:val="22"/>
          <w:szCs w:val="22"/>
          <w:lang w:val="fr-FR"/>
        </w:rPr>
        <w:t>, l</w:t>
      </w:r>
      <w:r w:rsidR="00154250" w:rsidRPr="00C54A95">
        <w:rPr>
          <w:kern w:val="22"/>
          <w:szCs w:val="22"/>
          <w:lang w:val="fr-FR"/>
        </w:rPr>
        <w:t>e nombre des Parties béné</w:t>
      </w:r>
      <w:r w:rsidR="00FD5893">
        <w:rPr>
          <w:kern w:val="22"/>
          <w:szCs w:val="22"/>
          <w:lang w:val="fr-FR"/>
        </w:rPr>
        <w:t>ficiant d’une aide a varié de 81</w:t>
      </w:r>
      <w:r w:rsidR="00154250" w:rsidRPr="00C54A95">
        <w:rPr>
          <w:kern w:val="22"/>
          <w:szCs w:val="22"/>
          <w:lang w:val="fr-FR"/>
        </w:rPr>
        <w:t xml:space="preserve"> </w:t>
      </w:r>
      <w:r w:rsidR="00FD5893">
        <w:rPr>
          <w:kern w:val="22"/>
          <w:szCs w:val="22"/>
          <w:lang w:val="fr-FR"/>
        </w:rPr>
        <w:t>à 65</w:t>
      </w:r>
      <w:r>
        <w:rPr>
          <w:kern w:val="22"/>
          <w:szCs w:val="22"/>
          <w:lang w:val="fr-FR"/>
        </w:rPr>
        <w:t xml:space="preserve">, soit une </w:t>
      </w:r>
      <w:r w:rsidR="00FD5893">
        <w:rPr>
          <w:kern w:val="22"/>
          <w:szCs w:val="22"/>
          <w:lang w:val="fr-FR"/>
        </w:rPr>
        <w:t>moyenne de 74, et l</w:t>
      </w:r>
      <w:r w:rsidR="00154250" w:rsidRPr="00C54A95">
        <w:rPr>
          <w:kern w:val="22"/>
          <w:szCs w:val="22"/>
          <w:lang w:val="fr-FR"/>
        </w:rPr>
        <w:t>e nombre des parti</w:t>
      </w:r>
      <w:r w:rsidR="00FD5893">
        <w:rPr>
          <w:kern w:val="22"/>
          <w:szCs w:val="22"/>
          <w:lang w:val="fr-FR"/>
        </w:rPr>
        <w:t>cipants bénéficiant d’une aide est</w:t>
      </w:r>
      <w:r w:rsidR="00154250" w:rsidRPr="00C54A95">
        <w:rPr>
          <w:kern w:val="22"/>
          <w:szCs w:val="22"/>
          <w:lang w:val="fr-FR"/>
        </w:rPr>
        <w:t xml:space="preserve"> </w:t>
      </w:r>
      <w:r w:rsidR="00FD5893">
        <w:rPr>
          <w:kern w:val="22"/>
          <w:szCs w:val="22"/>
          <w:lang w:val="fr-FR"/>
        </w:rPr>
        <w:t>passé</w:t>
      </w:r>
      <w:r w:rsidR="00154250" w:rsidRPr="00C54A95">
        <w:rPr>
          <w:kern w:val="22"/>
          <w:szCs w:val="22"/>
          <w:lang w:val="fr-FR"/>
        </w:rPr>
        <w:t xml:space="preserve"> de </w:t>
      </w:r>
      <w:r w:rsidR="00FD5893" w:rsidRPr="00C54A95">
        <w:rPr>
          <w:kern w:val="22"/>
          <w:szCs w:val="22"/>
          <w:lang w:val="fr-FR"/>
        </w:rPr>
        <w:t>91 (</w:t>
      </w:r>
      <w:r w:rsidR="00FD5893">
        <w:rPr>
          <w:kern w:val="22"/>
          <w:szCs w:val="22"/>
          <w:lang w:val="fr-FR"/>
        </w:rPr>
        <w:t>sixième réunion) à </w:t>
      </w:r>
      <w:r w:rsidR="00154250" w:rsidRPr="00C54A95">
        <w:rPr>
          <w:kern w:val="22"/>
          <w:szCs w:val="22"/>
          <w:lang w:val="fr-FR"/>
        </w:rPr>
        <w:t>67 (</w:t>
      </w:r>
      <w:r w:rsidR="00D1708B">
        <w:rPr>
          <w:kern w:val="22"/>
          <w:szCs w:val="22"/>
          <w:lang w:val="fr-FR"/>
        </w:rPr>
        <w:t>septième réunion</w:t>
      </w:r>
      <w:r w:rsidR="00FD5893">
        <w:rPr>
          <w:kern w:val="22"/>
          <w:szCs w:val="22"/>
          <w:lang w:val="fr-FR"/>
        </w:rPr>
        <w:t xml:space="preserve">), soit une moyenne </w:t>
      </w:r>
      <w:r w:rsidR="00154250" w:rsidRPr="00C54A95">
        <w:rPr>
          <w:kern w:val="22"/>
          <w:szCs w:val="22"/>
          <w:lang w:val="fr-FR"/>
        </w:rPr>
        <w:t>de 81</w:t>
      </w:r>
      <w:r w:rsidR="00FD5893" w:rsidRPr="00FD5893">
        <w:rPr>
          <w:snapToGrid/>
          <w:kern w:val="22"/>
          <w:szCs w:val="22"/>
          <w:vertAlign w:val="superscript"/>
          <w:lang w:val="fr-FR"/>
        </w:rPr>
        <w:footnoteReference w:id="10"/>
      </w:r>
      <w:r w:rsidR="00154250" w:rsidRPr="00C54A95">
        <w:rPr>
          <w:kern w:val="22"/>
          <w:szCs w:val="22"/>
          <w:lang w:val="fr-FR"/>
        </w:rPr>
        <w:t>.</w:t>
      </w:r>
      <w:r w:rsidR="00FD5893">
        <w:rPr>
          <w:kern w:val="22"/>
          <w:szCs w:val="22"/>
          <w:lang w:val="fr-FR"/>
        </w:rPr>
        <w:t xml:space="preserve"> </w:t>
      </w:r>
      <w:r w:rsidR="00154250" w:rsidRPr="00C54A95">
        <w:rPr>
          <w:snapToGrid/>
          <w:kern w:val="22"/>
          <w:szCs w:val="22"/>
          <w:lang w:val="fr-FR"/>
        </w:rPr>
        <w:t xml:space="preserve">Dans le cas des réunions concomitantes tenues en 2016, les participants </w:t>
      </w:r>
      <w:r w:rsidR="00FD5893" w:rsidRPr="00C54A95">
        <w:rPr>
          <w:snapToGrid/>
          <w:kern w:val="22"/>
          <w:szCs w:val="22"/>
          <w:lang w:val="fr-FR"/>
        </w:rPr>
        <w:t>bénéficiant d’une aide</w:t>
      </w:r>
      <w:r w:rsidR="00483B02">
        <w:rPr>
          <w:snapToGrid/>
          <w:kern w:val="22"/>
          <w:szCs w:val="22"/>
          <w:lang w:val="fr-FR"/>
        </w:rPr>
        <w:t>,</w:t>
      </w:r>
      <w:r w:rsidR="00FD5893" w:rsidRPr="00C54A95">
        <w:rPr>
          <w:snapToGrid/>
          <w:kern w:val="22"/>
          <w:szCs w:val="22"/>
          <w:lang w:val="fr-FR"/>
        </w:rPr>
        <w:t xml:space="preserve"> </w:t>
      </w:r>
      <w:r w:rsidR="00FD5893">
        <w:rPr>
          <w:snapToGrid/>
          <w:kern w:val="22"/>
          <w:szCs w:val="22"/>
          <w:lang w:val="fr-FR"/>
        </w:rPr>
        <w:t xml:space="preserve">et </w:t>
      </w:r>
      <w:r w:rsidR="00154250" w:rsidRPr="00C54A95">
        <w:rPr>
          <w:snapToGrid/>
          <w:kern w:val="22"/>
          <w:szCs w:val="22"/>
          <w:lang w:val="fr-FR"/>
        </w:rPr>
        <w:t xml:space="preserve">inscrits à la </w:t>
      </w:r>
      <w:r w:rsidR="00D1708B">
        <w:rPr>
          <w:kern w:val="22"/>
          <w:szCs w:val="22"/>
          <w:lang w:val="fr-FR"/>
        </w:rPr>
        <w:t xml:space="preserve">huitième réunion de la Conférence des Parties </w:t>
      </w:r>
      <w:r w:rsidR="00D1708B" w:rsidRPr="00C54A95">
        <w:rPr>
          <w:kern w:val="22"/>
          <w:szCs w:val="22"/>
          <w:lang w:val="fr-FR"/>
        </w:rPr>
        <w:t>siégeant en tant que réunion des Parties</w:t>
      </w:r>
      <w:r w:rsidR="00483B02">
        <w:rPr>
          <w:kern w:val="22"/>
          <w:szCs w:val="22"/>
          <w:lang w:val="fr-FR"/>
        </w:rPr>
        <w:t>,</w:t>
      </w:r>
      <w:r w:rsidR="00FD5893">
        <w:rPr>
          <w:snapToGrid/>
          <w:kern w:val="22"/>
          <w:szCs w:val="22"/>
          <w:lang w:val="fr-FR"/>
        </w:rPr>
        <w:t xml:space="preserve"> s’étaient également </w:t>
      </w:r>
      <w:r w:rsidR="00483B02">
        <w:rPr>
          <w:snapToGrid/>
          <w:kern w:val="22"/>
          <w:szCs w:val="22"/>
          <w:lang w:val="fr-FR"/>
        </w:rPr>
        <w:t>enregistrés</w:t>
      </w:r>
      <w:r w:rsidR="00154250" w:rsidRPr="00C54A95">
        <w:rPr>
          <w:snapToGrid/>
          <w:kern w:val="22"/>
          <w:szCs w:val="22"/>
          <w:lang w:val="fr-FR"/>
        </w:rPr>
        <w:t xml:space="preserve"> à la treizième réuni</w:t>
      </w:r>
      <w:r w:rsidR="00FD5893">
        <w:rPr>
          <w:snapToGrid/>
          <w:kern w:val="22"/>
          <w:szCs w:val="22"/>
          <w:lang w:val="fr-FR"/>
        </w:rPr>
        <w:t>on de la Conférence des Parties</w:t>
      </w:r>
      <w:r w:rsidR="00154250" w:rsidRPr="00C54A95">
        <w:rPr>
          <w:snapToGrid/>
          <w:kern w:val="22"/>
          <w:szCs w:val="22"/>
          <w:lang w:val="fr-FR"/>
        </w:rPr>
        <w:t>. Si le nombre total des Parties et des participants bénéficiant d’une aide</w:t>
      </w:r>
      <w:r w:rsidR="00483B02">
        <w:rPr>
          <w:snapToGrid/>
          <w:kern w:val="22"/>
          <w:szCs w:val="22"/>
          <w:lang w:val="fr-FR"/>
        </w:rPr>
        <w:t>,</w:t>
      </w:r>
      <w:r w:rsidR="00FD5893">
        <w:rPr>
          <w:snapToGrid/>
          <w:kern w:val="22"/>
          <w:szCs w:val="22"/>
          <w:lang w:val="fr-FR"/>
        </w:rPr>
        <w:t xml:space="preserve"> </w:t>
      </w:r>
      <w:r w:rsidR="00154250" w:rsidRPr="00C54A95">
        <w:rPr>
          <w:snapToGrid/>
          <w:kern w:val="22"/>
          <w:szCs w:val="22"/>
          <w:lang w:val="fr-FR"/>
        </w:rPr>
        <w:t xml:space="preserve">présents à la </w:t>
      </w:r>
      <w:r w:rsidR="00D1708B">
        <w:rPr>
          <w:kern w:val="22"/>
          <w:szCs w:val="22"/>
          <w:lang w:val="fr-FR"/>
        </w:rPr>
        <w:t xml:space="preserve">huitième réunion de la Conférence des Parties </w:t>
      </w:r>
      <w:r w:rsidR="00D1708B" w:rsidRPr="00C54A95">
        <w:rPr>
          <w:kern w:val="22"/>
          <w:szCs w:val="22"/>
          <w:lang w:val="fr-FR"/>
        </w:rPr>
        <w:t>siégeant en tant que réunion des Parties</w:t>
      </w:r>
      <w:r w:rsidR="00483B02">
        <w:rPr>
          <w:kern w:val="22"/>
          <w:szCs w:val="22"/>
          <w:lang w:val="fr-FR"/>
        </w:rPr>
        <w:t>,</w:t>
      </w:r>
      <w:r w:rsidR="00D1708B">
        <w:rPr>
          <w:kern w:val="22"/>
          <w:szCs w:val="22"/>
          <w:lang w:val="fr-FR"/>
        </w:rPr>
        <w:t xml:space="preserve"> </w:t>
      </w:r>
      <w:r w:rsidR="00FD5893">
        <w:rPr>
          <w:snapToGrid/>
          <w:kern w:val="22"/>
          <w:szCs w:val="22"/>
          <w:lang w:val="fr-FR"/>
        </w:rPr>
        <w:t>a dépassé celui</w:t>
      </w:r>
      <w:r w:rsidR="00154250" w:rsidRPr="00C54A95">
        <w:rPr>
          <w:snapToGrid/>
          <w:kern w:val="22"/>
          <w:szCs w:val="22"/>
          <w:lang w:val="fr-FR"/>
        </w:rPr>
        <w:t xml:space="preserve"> des réunions </w:t>
      </w:r>
      <w:r w:rsidR="00FD5893">
        <w:rPr>
          <w:snapToGrid/>
          <w:kern w:val="22"/>
          <w:szCs w:val="22"/>
          <w:lang w:val="fr-FR"/>
        </w:rPr>
        <w:t xml:space="preserve">précédemment tenues </w:t>
      </w:r>
      <w:r w:rsidR="00154250" w:rsidRPr="00C54A95">
        <w:rPr>
          <w:snapToGrid/>
          <w:kern w:val="22"/>
          <w:szCs w:val="22"/>
          <w:lang w:val="fr-FR"/>
        </w:rPr>
        <w:t xml:space="preserve">de la </w:t>
      </w:r>
      <w:r w:rsidR="00154250" w:rsidRPr="00C54A95">
        <w:rPr>
          <w:kern w:val="22"/>
          <w:szCs w:val="22"/>
          <w:lang w:val="fr-FR"/>
        </w:rPr>
        <w:t xml:space="preserve">Conférence des Parties siégeant en tant que réunion des Parties au Protocole de Cartagena, il </w:t>
      </w:r>
      <w:r w:rsidR="00FD5893">
        <w:rPr>
          <w:kern w:val="22"/>
          <w:szCs w:val="22"/>
          <w:lang w:val="fr-FR"/>
        </w:rPr>
        <w:t>importe</w:t>
      </w:r>
      <w:r w:rsidR="00154250" w:rsidRPr="00C54A95">
        <w:rPr>
          <w:kern w:val="22"/>
          <w:szCs w:val="22"/>
          <w:lang w:val="fr-FR"/>
        </w:rPr>
        <w:t xml:space="preserve"> de </w:t>
      </w:r>
      <w:r w:rsidR="00FD5893">
        <w:rPr>
          <w:kern w:val="22"/>
          <w:szCs w:val="22"/>
          <w:lang w:val="fr-FR"/>
        </w:rPr>
        <w:t>noter</w:t>
      </w:r>
      <w:r w:rsidR="00154250" w:rsidRPr="00C54A95">
        <w:rPr>
          <w:kern w:val="22"/>
          <w:szCs w:val="22"/>
          <w:lang w:val="fr-FR"/>
        </w:rPr>
        <w:t xml:space="preserve"> que le nombre exact des participants exper</w:t>
      </w:r>
      <w:r w:rsidR="00FD5893">
        <w:rPr>
          <w:kern w:val="22"/>
          <w:szCs w:val="22"/>
          <w:lang w:val="fr-FR"/>
        </w:rPr>
        <w:t>ts des questions couvertes par c</w:t>
      </w:r>
      <w:r w:rsidR="00154250" w:rsidRPr="00C54A95">
        <w:rPr>
          <w:kern w:val="22"/>
          <w:szCs w:val="22"/>
          <w:lang w:val="fr-FR"/>
        </w:rPr>
        <w:t xml:space="preserve">e Protocole </w:t>
      </w:r>
      <w:r w:rsidR="00FD5893">
        <w:rPr>
          <w:kern w:val="22"/>
          <w:szCs w:val="22"/>
          <w:lang w:val="fr-FR"/>
        </w:rPr>
        <w:t>reste in</w:t>
      </w:r>
      <w:r w:rsidR="00154250" w:rsidRPr="00C54A95">
        <w:rPr>
          <w:kern w:val="22"/>
          <w:szCs w:val="22"/>
          <w:lang w:val="fr-FR"/>
        </w:rPr>
        <w:t>connu.</w:t>
      </w:r>
      <w:r w:rsidR="00154250" w:rsidRPr="00C54A95">
        <w:rPr>
          <w:snapToGrid/>
          <w:kern w:val="22"/>
          <w:szCs w:val="22"/>
          <w:lang w:val="fr-FR"/>
        </w:rPr>
        <w:t xml:space="preserve"> En outre, si les participants des précédentes réunions de la </w:t>
      </w:r>
      <w:r w:rsidR="00154250" w:rsidRPr="00C54A95">
        <w:rPr>
          <w:kern w:val="22"/>
          <w:szCs w:val="22"/>
          <w:lang w:val="fr-FR"/>
        </w:rPr>
        <w:t>Conférence des Parties siégeant en tant que réunion des Parties au Protocole de Cartag</w:t>
      </w:r>
      <w:r w:rsidR="00483B02">
        <w:rPr>
          <w:kern w:val="22"/>
          <w:szCs w:val="22"/>
          <w:lang w:val="fr-FR"/>
        </w:rPr>
        <w:t>ena n’ont été entretenus que de</w:t>
      </w:r>
      <w:r w:rsidR="00154250" w:rsidRPr="00C54A95">
        <w:rPr>
          <w:kern w:val="22"/>
          <w:szCs w:val="22"/>
          <w:lang w:val="fr-FR"/>
        </w:rPr>
        <w:t xml:space="preserve"> questions relatives </w:t>
      </w:r>
      <w:r w:rsidR="00FD5893">
        <w:rPr>
          <w:kern w:val="22"/>
          <w:szCs w:val="22"/>
          <w:lang w:val="fr-FR"/>
        </w:rPr>
        <w:t>à ce</w:t>
      </w:r>
      <w:r w:rsidR="00154250" w:rsidRPr="00C54A95">
        <w:rPr>
          <w:kern w:val="22"/>
          <w:szCs w:val="22"/>
          <w:lang w:val="fr-FR"/>
        </w:rPr>
        <w:t xml:space="preserve"> Protocole, ils ont dû </w:t>
      </w:r>
      <w:r w:rsidR="00FD5893">
        <w:rPr>
          <w:kern w:val="22"/>
          <w:szCs w:val="22"/>
          <w:lang w:val="fr-FR"/>
        </w:rPr>
        <w:t>examiner</w:t>
      </w:r>
      <w:r w:rsidR="00483B02">
        <w:rPr>
          <w:kern w:val="22"/>
          <w:szCs w:val="22"/>
          <w:lang w:val="fr-FR"/>
        </w:rPr>
        <w:t xml:space="preserve"> d</w:t>
      </w:r>
      <w:r w:rsidR="00154250" w:rsidRPr="00C54A95">
        <w:rPr>
          <w:kern w:val="22"/>
          <w:szCs w:val="22"/>
          <w:lang w:val="fr-FR"/>
        </w:rPr>
        <w:t xml:space="preserve">es questions relatives à la Convention et au Protocole de Nagoya </w:t>
      </w:r>
      <w:r w:rsidR="00483B02">
        <w:rPr>
          <w:kern w:val="22"/>
          <w:szCs w:val="22"/>
          <w:lang w:val="fr-FR"/>
        </w:rPr>
        <w:t>aux</w:t>
      </w:r>
      <w:r w:rsidR="00154250" w:rsidRPr="00C54A95">
        <w:rPr>
          <w:kern w:val="22"/>
          <w:szCs w:val="22"/>
          <w:lang w:val="fr-FR"/>
        </w:rPr>
        <w:t xml:space="preserve"> réunions concomitantes</w:t>
      </w:r>
      <w:r w:rsidR="00742F79" w:rsidRPr="00C54A95">
        <w:rPr>
          <w:snapToGrid/>
          <w:kern w:val="22"/>
          <w:szCs w:val="22"/>
          <w:lang w:val="fr-FR"/>
        </w:rPr>
        <w:t>.</w:t>
      </w:r>
    </w:p>
    <w:p w:rsidR="00742F79" w:rsidRPr="00C54A95" w:rsidRDefault="00154250" w:rsidP="00F82F1D">
      <w:pPr>
        <w:pStyle w:val="Para1"/>
        <w:suppressLineNumbers/>
        <w:tabs>
          <w:tab w:val="clear" w:pos="360"/>
        </w:tabs>
        <w:suppressAutoHyphens/>
        <w:kinsoku w:val="0"/>
        <w:overflowPunct w:val="0"/>
        <w:autoSpaceDE w:val="0"/>
        <w:autoSpaceDN w:val="0"/>
        <w:rPr>
          <w:snapToGrid/>
          <w:kern w:val="22"/>
          <w:szCs w:val="22"/>
          <w:lang w:val="fr-FR"/>
        </w:rPr>
      </w:pPr>
      <w:r w:rsidRPr="00C54A95">
        <w:rPr>
          <w:snapToGrid/>
          <w:kern w:val="22"/>
          <w:szCs w:val="22"/>
          <w:lang w:val="fr-FR"/>
        </w:rPr>
        <w:t xml:space="preserve">Les deux réunions de la </w:t>
      </w:r>
      <w:r w:rsidRPr="00C54A95">
        <w:rPr>
          <w:kern w:val="22"/>
          <w:szCs w:val="22"/>
          <w:lang w:val="fr-FR"/>
        </w:rPr>
        <w:t xml:space="preserve">Conférence des Parties siégeant en tant que réunion des Parties au Protocole de </w:t>
      </w:r>
      <w:r w:rsidRPr="00C54A95">
        <w:rPr>
          <w:snapToGrid/>
          <w:kern w:val="22"/>
          <w:szCs w:val="22"/>
          <w:lang w:val="fr-FR"/>
        </w:rPr>
        <w:t xml:space="preserve">Nagoya ont eu lieu en même temps que les réunions de la Conférence des Parties, ce qui rend impossible toute identification d’une quelconque tendance parmi les </w:t>
      </w:r>
      <w:r w:rsidR="00FD5893">
        <w:rPr>
          <w:snapToGrid/>
          <w:kern w:val="22"/>
          <w:szCs w:val="22"/>
          <w:lang w:val="fr-FR"/>
        </w:rPr>
        <w:t>aides</w:t>
      </w:r>
      <w:r w:rsidRPr="00C54A95">
        <w:rPr>
          <w:snapToGrid/>
          <w:kern w:val="22"/>
          <w:szCs w:val="22"/>
          <w:lang w:val="fr-FR"/>
        </w:rPr>
        <w:t xml:space="preserve"> accordé</w:t>
      </w:r>
      <w:r w:rsidR="00FD5893">
        <w:rPr>
          <w:snapToGrid/>
          <w:kern w:val="22"/>
          <w:szCs w:val="22"/>
          <w:lang w:val="fr-FR"/>
        </w:rPr>
        <w:t>e</w:t>
      </w:r>
      <w:r w:rsidRPr="00C54A95">
        <w:rPr>
          <w:snapToGrid/>
          <w:kern w:val="22"/>
          <w:szCs w:val="22"/>
          <w:lang w:val="fr-FR"/>
        </w:rPr>
        <w:t>s aux Parties et aux participants de ces réunions</w:t>
      </w:r>
      <w:r w:rsidR="00742F79" w:rsidRPr="00C54A95">
        <w:rPr>
          <w:snapToGrid/>
          <w:kern w:val="22"/>
          <w:szCs w:val="22"/>
          <w:vertAlign w:val="superscript"/>
          <w:lang w:val="fr-FR"/>
        </w:rPr>
        <w:footnoteReference w:id="11"/>
      </w:r>
      <w:r w:rsidRPr="00C54A95">
        <w:rPr>
          <w:snapToGrid/>
          <w:kern w:val="22"/>
          <w:szCs w:val="22"/>
          <w:lang w:val="fr-FR"/>
        </w:rPr>
        <w:t>.</w:t>
      </w:r>
    </w:p>
    <w:p w:rsidR="00742F79" w:rsidRDefault="00295987" w:rsidP="00F82F1D">
      <w:pPr>
        <w:keepNext/>
        <w:suppressLineNumbers/>
        <w:suppressAutoHyphens/>
        <w:kinsoku w:val="0"/>
        <w:overflowPunct w:val="0"/>
        <w:autoSpaceDE w:val="0"/>
        <w:autoSpaceDN w:val="0"/>
        <w:spacing w:after="120"/>
        <w:jc w:val="left"/>
        <w:rPr>
          <w:b/>
          <w:bCs/>
          <w:kern w:val="22"/>
          <w:szCs w:val="22"/>
          <w:lang w:val="fr-FR"/>
        </w:rPr>
      </w:pPr>
      <w:r>
        <w:rPr>
          <w:b/>
          <w:bCs/>
          <w:kern w:val="22"/>
          <w:szCs w:val="22"/>
          <w:lang w:val="fr-FR"/>
        </w:rPr>
        <w:t>Figure </w:t>
      </w:r>
      <w:r w:rsidR="00742F79" w:rsidRPr="00C54A95">
        <w:rPr>
          <w:b/>
          <w:bCs/>
          <w:kern w:val="22"/>
          <w:szCs w:val="22"/>
          <w:lang w:val="fr-FR"/>
        </w:rPr>
        <w:t>3</w:t>
      </w:r>
    </w:p>
    <w:p w:rsidR="00742F79" w:rsidRPr="00C54A95" w:rsidRDefault="00176C3B" w:rsidP="00E60E82">
      <w:pPr>
        <w:keepNext/>
        <w:suppressLineNumbers/>
        <w:suppressAutoHyphens/>
        <w:kinsoku w:val="0"/>
        <w:overflowPunct w:val="0"/>
        <w:autoSpaceDE w:val="0"/>
        <w:autoSpaceDN w:val="0"/>
        <w:spacing w:after="120"/>
        <w:jc w:val="left"/>
        <w:rPr>
          <w:b/>
          <w:bCs/>
          <w:kern w:val="22"/>
          <w:szCs w:val="22"/>
          <w:lang w:val="fr-FR"/>
        </w:rPr>
      </w:pPr>
      <w:r>
        <w:rPr>
          <w:b/>
          <w:bCs/>
          <w:noProof/>
          <w:kern w:val="22"/>
          <w:szCs w:val="22"/>
          <w:lang w:val="en-CA" w:eastAsia="en-CA"/>
        </w:rPr>
        <w:drawing>
          <wp:inline distT="0" distB="0" distL="0" distR="0" wp14:anchorId="2D2D0095" wp14:editId="327C2880">
            <wp:extent cx="5949017" cy="257622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4001" cy="2582712"/>
                    </a:xfrm>
                    <a:prstGeom prst="rect">
                      <a:avLst/>
                    </a:prstGeom>
                    <a:noFill/>
                  </pic:spPr>
                </pic:pic>
              </a:graphicData>
            </a:graphic>
          </wp:inline>
        </w:drawing>
      </w:r>
    </w:p>
    <w:p w:rsidR="00742F79" w:rsidRPr="00C54A95" w:rsidRDefault="00154250" w:rsidP="00F82F1D">
      <w:pPr>
        <w:pStyle w:val="Para1"/>
        <w:suppressLineNumbers/>
        <w:tabs>
          <w:tab w:val="clear" w:pos="360"/>
        </w:tabs>
        <w:suppressAutoHyphens/>
        <w:kinsoku w:val="0"/>
        <w:overflowPunct w:val="0"/>
        <w:autoSpaceDE w:val="0"/>
        <w:autoSpaceDN w:val="0"/>
        <w:rPr>
          <w:snapToGrid/>
          <w:kern w:val="22"/>
          <w:szCs w:val="22"/>
          <w:lang w:val="fr-FR"/>
        </w:rPr>
      </w:pPr>
      <w:r w:rsidRPr="00C54A95">
        <w:rPr>
          <w:snapToGrid/>
          <w:kern w:val="22"/>
          <w:szCs w:val="22"/>
          <w:lang w:val="fr-FR"/>
        </w:rPr>
        <w:t>Le nombre des pays en développement Parties participant aux réunions</w:t>
      </w:r>
      <w:r w:rsidR="00B27B2E">
        <w:rPr>
          <w:snapToGrid/>
          <w:kern w:val="22"/>
          <w:szCs w:val="22"/>
          <w:lang w:val="fr-FR"/>
        </w:rPr>
        <w:t xml:space="preserve"> de la Conférence des Parties </w:t>
      </w:r>
      <w:r w:rsidRPr="00C54A95">
        <w:rPr>
          <w:snapToGrid/>
          <w:kern w:val="22"/>
          <w:szCs w:val="22"/>
          <w:lang w:val="fr-FR"/>
        </w:rPr>
        <w:t>vari</w:t>
      </w:r>
      <w:r w:rsidR="00B27B2E">
        <w:rPr>
          <w:snapToGrid/>
          <w:kern w:val="22"/>
          <w:szCs w:val="22"/>
          <w:lang w:val="fr-FR"/>
        </w:rPr>
        <w:t>e</w:t>
      </w:r>
      <w:r w:rsidRPr="00C54A95">
        <w:rPr>
          <w:snapToGrid/>
          <w:kern w:val="22"/>
          <w:szCs w:val="22"/>
          <w:lang w:val="fr-FR"/>
        </w:rPr>
        <w:t xml:space="preserve"> au fil</w:t>
      </w:r>
      <w:r w:rsidR="00B27B2E">
        <w:rPr>
          <w:snapToGrid/>
          <w:kern w:val="22"/>
          <w:szCs w:val="22"/>
          <w:lang w:val="fr-FR"/>
        </w:rPr>
        <w:t xml:space="preserve"> des années</w:t>
      </w:r>
      <w:r w:rsidR="00066FDB">
        <w:rPr>
          <w:snapToGrid/>
          <w:kern w:val="22"/>
          <w:szCs w:val="22"/>
          <w:lang w:val="fr-FR"/>
        </w:rPr>
        <w:t>. Entre les</w:t>
      </w:r>
      <w:r w:rsidR="00D1708B">
        <w:rPr>
          <w:snapToGrid/>
          <w:kern w:val="22"/>
          <w:szCs w:val="22"/>
          <w:lang w:val="fr-FR"/>
        </w:rPr>
        <w:t xml:space="preserve"> </w:t>
      </w:r>
      <w:r w:rsidR="00D1708B">
        <w:rPr>
          <w:kern w:val="22"/>
          <w:szCs w:val="22"/>
          <w:lang w:val="fr-FR"/>
        </w:rPr>
        <w:t xml:space="preserve">septième et </w:t>
      </w:r>
      <w:r w:rsidR="00066FDB">
        <w:rPr>
          <w:kern w:val="22"/>
          <w:szCs w:val="22"/>
          <w:lang w:val="fr-FR"/>
        </w:rPr>
        <w:t>dixième</w:t>
      </w:r>
      <w:r w:rsidR="00D1708B">
        <w:rPr>
          <w:kern w:val="22"/>
          <w:szCs w:val="22"/>
          <w:lang w:val="fr-FR"/>
        </w:rPr>
        <w:t xml:space="preserve"> réunion</w:t>
      </w:r>
      <w:r w:rsidR="00066FDB">
        <w:rPr>
          <w:kern w:val="22"/>
          <w:szCs w:val="22"/>
          <w:lang w:val="fr-FR"/>
        </w:rPr>
        <w:t>s</w:t>
      </w:r>
      <w:r w:rsidR="00D1708B">
        <w:rPr>
          <w:kern w:val="22"/>
          <w:szCs w:val="22"/>
          <w:lang w:val="fr-FR"/>
        </w:rPr>
        <w:t xml:space="preserve"> de la Conférence des Parties</w:t>
      </w:r>
      <w:r w:rsidRPr="00C54A95">
        <w:rPr>
          <w:snapToGrid/>
          <w:kern w:val="22"/>
          <w:szCs w:val="22"/>
          <w:lang w:val="fr-FR"/>
        </w:rPr>
        <w:t>, ce nombre est passé de 117 (85 %</w:t>
      </w:r>
      <w:r w:rsidR="00742F79" w:rsidRPr="00C54A95">
        <w:rPr>
          <w:snapToGrid/>
          <w:kern w:val="22"/>
          <w:szCs w:val="22"/>
          <w:lang w:val="fr-FR"/>
        </w:rPr>
        <w:t>)</w:t>
      </w:r>
      <w:r w:rsidR="00742F79" w:rsidRPr="00C54A95">
        <w:rPr>
          <w:snapToGrid/>
          <w:kern w:val="22"/>
          <w:szCs w:val="22"/>
          <w:vertAlign w:val="superscript"/>
          <w:lang w:val="fr-FR"/>
        </w:rPr>
        <w:footnoteReference w:id="12"/>
      </w:r>
      <w:r w:rsidR="00742F79" w:rsidRPr="00C54A95">
        <w:rPr>
          <w:snapToGrid/>
          <w:kern w:val="22"/>
          <w:szCs w:val="22"/>
          <w:lang w:val="fr-FR"/>
        </w:rPr>
        <w:t xml:space="preserve"> </w:t>
      </w:r>
      <w:r w:rsidR="00066FDB">
        <w:rPr>
          <w:snapToGrid/>
          <w:kern w:val="22"/>
          <w:szCs w:val="22"/>
          <w:lang w:val="fr-FR"/>
        </w:rPr>
        <w:t>à 138 (97 %), ce qui représente une</w:t>
      </w:r>
      <w:r w:rsidRPr="00C54A95">
        <w:rPr>
          <w:snapToGrid/>
          <w:kern w:val="22"/>
          <w:szCs w:val="22"/>
          <w:lang w:val="fr-FR"/>
        </w:rPr>
        <w:t xml:space="preserve"> moyenne</w:t>
      </w:r>
      <w:r w:rsidR="00066FDB">
        <w:rPr>
          <w:snapToGrid/>
          <w:kern w:val="22"/>
          <w:szCs w:val="22"/>
          <w:lang w:val="fr-FR"/>
        </w:rPr>
        <w:t xml:space="preserve"> de 126 Parties. Les</w:t>
      </w:r>
      <w:r w:rsidRPr="00C54A95">
        <w:rPr>
          <w:snapToGrid/>
          <w:kern w:val="22"/>
          <w:szCs w:val="22"/>
          <w:lang w:val="fr-FR"/>
        </w:rPr>
        <w:t xml:space="preserve"> </w:t>
      </w:r>
      <w:r w:rsidR="00066FDB" w:rsidRPr="00C54A95">
        <w:rPr>
          <w:snapToGrid/>
          <w:kern w:val="22"/>
          <w:szCs w:val="22"/>
          <w:lang w:val="fr-FR"/>
        </w:rPr>
        <w:t>réunions concomitantes tenues en 2016</w:t>
      </w:r>
      <w:r w:rsidR="00066FDB">
        <w:rPr>
          <w:snapToGrid/>
          <w:kern w:val="22"/>
          <w:szCs w:val="22"/>
          <w:lang w:val="fr-FR"/>
        </w:rPr>
        <w:t xml:space="preserve"> ont compté</w:t>
      </w:r>
      <w:r w:rsidRPr="00C54A95">
        <w:rPr>
          <w:snapToGrid/>
          <w:kern w:val="22"/>
          <w:szCs w:val="22"/>
          <w:lang w:val="fr-FR"/>
        </w:rPr>
        <w:t xml:space="preserve"> 128 (88 %) </w:t>
      </w:r>
      <w:r w:rsidR="00066FDB">
        <w:rPr>
          <w:snapToGrid/>
          <w:kern w:val="22"/>
          <w:szCs w:val="22"/>
          <w:lang w:val="fr-FR"/>
        </w:rPr>
        <w:t>pays en développement Parties</w:t>
      </w:r>
      <w:r w:rsidRPr="00C54A95">
        <w:rPr>
          <w:snapToGrid/>
          <w:kern w:val="22"/>
          <w:szCs w:val="22"/>
          <w:lang w:val="fr-FR"/>
        </w:rPr>
        <w:t>. Le n</w:t>
      </w:r>
      <w:r w:rsidR="00066FDB">
        <w:rPr>
          <w:snapToGrid/>
          <w:kern w:val="22"/>
          <w:szCs w:val="22"/>
          <w:lang w:val="fr-FR"/>
        </w:rPr>
        <w:t>ombre des participants issus de</w:t>
      </w:r>
      <w:r w:rsidRPr="00C54A95">
        <w:rPr>
          <w:snapToGrid/>
          <w:kern w:val="22"/>
          <w:szCs w:val="22"/>
          <w:lang w:val="fr-FR"/>
        </w:rPr>
        <w:t xml:space="preserve"> pays </w:t>
      </w:r>
      <w:r w:rsidR="00066FDB">
        <w:rPr>
          <w:snapToGrid/>
          <w:kern w:val="22"/>
          <w:szCs w:val="22"/>
          <w:lang w:val="fr-FR"/>
        </w:rPr>
        <w:t xml:space="preserve">en développement Parties varie </w:t>
      </w:r>
      <w:r w:rsidRPr="00C54A95">
        <w:rPr>
          <w:snapToGrid/>
          <w:kern w:val="22"/>
          <w:szCs w:val="22"/>
          <w:lang w:val="fr-FR"/>
        </w:rPr>
        <w:t>également au fil des années. Il a</w:t>
      </w:r>
      <w:r w:rsidR="00066FDB">
        <w:rPr>
          <w:snapToGrid/>
          <w:kern w:val="22"/>
          <w:szCs w:val="22"/>
          <w:lang w:val="fr-FR"/>
        </w:rPr>
        <w:t xml:space="preserve"> été en moyenne de 892 entre les</w:t>
      </w:r>
      <w:r w:rsidR="00D1708B">
        <w:rPr>
          <w:snapToGrid/>
          <w:kern w:val="22"/>
          <w:szCs w:val="22"/>
          <w:lang w:val="fr-FR"/>
        </w:rPr>
        <w:t xml:space="preserve"> </w:t>
      </w:r>
      <w:r w:rsidR="00D1708B">
        <w:rPr>
          <w:kern w:val="22"/>
          <w:szCs w:val="22"/>
          <w:lang w:val="fr-FR"/>
        </w:rPr>
        <w:t>septième et douzième réunion</w:t>
      </w:r>
      <w:r w:rsidR="00066FDB">
        <w:rPr>
          <w:kern w:val="22"/>
          <w:szCs w:val="22"/>
          <w:lang w:val="fr-FR"/>
        </w:rPr>
        <w:t>s</w:t>
      </w:r>
      <w:r w:rsidR="00D1708B">
        <w:rPr>
          <w:kern w:val="22"/>
          <w:szCs w:val="22"/>
          <w:lang w:val="fr-FR"/>
        </w:rPr>
        <w:t xml:space="preserve"> de la Conférence des Parties</w:t>
      </w:r>
      <w:r w:rsidR="00066FDB">
        <w:rPr>
          <w:snapToGrid/>
          <w:kern w:val="22"/>
          <w:szCs w:val="22"/>
          <w:lang w:val="fr-FR"/>
        </w:rPr>
        <w:t xml:space="preserve">, en augmentant </w:t>
      </w:r>
      <w:r w:rsidRPr="00C54A95">
        <w:rPr>
          <w:snapToGrid/>
          <w:kern w:val="22"/>
          <w:szCs w:val="22"/>
          <w:lang w:val="fr-FR"/>
        </w:rPr>
        <w:lastRenderedPageBreak/>
        <w:t xml:space="preserve">de 578 </w:t>
      </w:r>
      <w:r w:rsidR="00066FDB">
        <w:rPr>
          <w:snapToGrid/>
          <w:kern w:val="22"/>
          <w:szCs w:val="22"/>
          <w:lang w:val="fr-FR"/>
        </w:rPr>
        <w:t>à 1 168</w:t>
      </w:r>
      <w:r w:rsidRPr="00C54A95">
        <w:rPr>
          <w:snapToGrid/>
          <w:kern w:val="22"/>
          <w:szCs w:val="22"/>
          <w:lang w:val="fr-FR"/>
        </w:rPr>
        <w:t xml:space="preserve">. Il s’est élevé à 922 aux réunions concomitantes tenues en 2016. </w:t>
      </w:r>
      <w:r w:rsidR="00066FDB">
        <w:rPr>
          <w:snapToGrid/>
          <w:kern w:val="22"/>
          <w:szCs w:val="22"/>
          <w:lang w:val="fr-FR"/>
        </w:rPr>
        <w:t>L</w:t>
      </w:r>
      <w:r w:rsidRPr="00C54A95">
        <w:rPr>
          <w:snapToGrid/>
          <w:kern w:val="22"/>
          <w:szCs w:val="22"/>
          <w:lang w:val="fr-FR"/>
        </w:rPr>
        <w:t xml:space="preserve">’organisation de réunions concomitantes semble </w:t>
      </w:r>
      <w:r w:rsidR="00066FDB">
        <w:rPr>
          <w:snapToGrid/>
          <w:kern w:val="22"/>
          <w:szCs w:val="22"/>
          <w:lang w:val="fr-FR"/>
        </w:rPr>
        <w:t xml:space="preserve">généralement </w:t>
      </w:r>
      <w:r w:rsidRPr="00C54A95">
        <w:rPr>
          <w:snapToGrid/>
          <w:kern w:val="22"/>
          <w:szCs w:val="22"/>
          <w:lang w:val="fr-FR"/>
        </w:rPr>
        <w:t>n’exerc</w:t>
      </w:r>
      <w:r w:rsidR="00E17CFF">
        <w:rPr>
          <w:snapToGrid/>
          <w:kern w:val="22"/>
          <w:szCs w:val="22"/>
          <w:lang w:val="fr-FR"/>
        </w:rPr>
        <w:t>er aucun effet sur le nombre de</w:t>
      </w:r>
      <w:r w:rsidRPr="00C54A95">
        <w:rPr>
          <w:snapToGrid/>
          <w:kern w:val="22"/>
          <w:szCs w:val="22"/>
          <w:lang w:val="fr-FR"/>
        </w:rPr>
        <w:t xml:space="preserve"> pays en développement Parties </w:t>
      </w:r>
      <w:r w:rsidR="00E17CFF">
        <w:rPr>
          <w:snapToGrid/>
          <w:kern w:val="22"/>
          <w:szCs w:val="22"/>
          <w:lang w:val="fr-FR"/>
        </w:rPr>
        <w:t>participants</w:t>
      </w:r>
      <w:r w:rsidRPr="00C54A95">
        <w:rPr>
          <w:snapToGrid/>
          <w:kern w:val="22"/>
          <w:szCs w:val="22"/>
          <w:lang w:val="fr-FR"/>
        </w:rPr>
        <w:t xml:space="preserve"> (voir figure 4</w:t>
      </w:r>
      <w:r w:rsidR="00742F79" w:rsidRPr="00C54A95">
        <w:rPr>
          <w:snapToGrid/>
          <w:kern w:val="22"/>
          <w:szCs w:val="22"/>
          <w:lang w:val="fr-FR"/>
        </w:rPr>
        <w:t>).</w:t>
      </w:r>
    </w:p>
    <w:p w:rsidR="00742F79" w:rsidRPr="00C54A95" w:rsidRDefault="00154250" w:rsidP="00F82F1D">
      <w:pPr>
        <w:pStyle w:val="Para1"/>
        <w:suppressLineNumbers/>
        <w:tabs>
          <w:tab w:val="clear" w:pos="360"/>
        </w:tabs>
        <w:suppressAutoHyphens/>
        <w:kinsoku w:val="0"/>
        <w:overflowPunct w:val="0"/>
        <w:autoSpaceDE w:val="0"/>
        <w:autoSpaceDN w:val="0"/>
        <w:rPr>
          <w:snapToGrid/>
          <w:kern w:val="22"/>
          <w:szCs w:val="22"/>
          <w:lang w:val="fr-FR"/>
        </w:rPr>
      </w:pPr>
      <w:r w:rsidRPr="00C54A95">
        <w:rPr>
          <w:snapToGrid/>
          <w:kern w:val="22"/>
          <w:szCs w:val="22"/>
          <w:lang w:val="fr-FR"/>
        </w:rPr>
        <w:t xml:space="preserve">La participation des pays en développement aux réunions de la </w:t>
      </w:r>
      <w:r w:rsidRPr="00C54A95">
        <w:rPr>
          <w:kern w:val="22"/>
          <w:szCs w:val="22"/>
          <w:lang w:val="fr-FR"/>
        </w:rPr>
        <w:t xml:space="preserve">Conférence des Parties siégeant en tant que réunion des Parties au Protocole de </w:t>
      </w:r>
      <w:r w:rsidRPr="00C54A95">
        <w:rPr>
          <w:snapToGrid/>
          <w:kern w:val="22"/>
          <w:szCs w:val="22"/>
          <w:lang w:val="fr-FR"/>
        </w:rPr>
        <w:t xml:space="preserve">Cartagena </w:t>
      </w:r>
      <w:r w:rsidR="00E17CFF">
        <w:rPr>
          <w:snapToGrid/>
          <w:kern w:val="22"/>
          <w:szCs w:val="22"/>
          <w:lang w:val="fr-FR"/>
        </w:rPr>
        <w:t>varie, elle aussi, au fil des années</w:t>
      </w:r>
      <w:r w:rsidRPr="00C54A95">
        <w:rPr>
          <w:snapToGrid/>
          <w:kern w:val="22"/>
          <w:szCs w:val="22"/>
          <w:lang w:val="fr-FR"/>
        </w:rPr>
        <w:t>. Le nombre de</w:t>
      </w:r>
      <w:r w:rsidR="008A6B10">
        <w:rPr>
          <w:snapToGrid/>
          <w:kern w:val="22"/>
          <w:szCs w:val="22"/>
          <w:lang w:val="fr-FR"/>
        </w:rPr>
        <w:t xml:space="preserve"> ce</w:t>
      </w:r>
      <w:r w:rsidRPr="00C54A95">
        <w:rPr>
          <w:snapToGrid/>
          <w:kern w:val="22"/>
          <w:szCs w:val="22"/>
          <w:lang w:val="fr-FR"/>
        </w:rPr>
        <w:t xml:space="preserve">s pays </w:t>
      </w:r>
      <w:r w:rsidR="00E17CFF">
        <w:rPr>
          <w:snapToGrid/>
          <w:kern w:val="22"/>
          <w:szCs w:val="22"/>
          <w:lang w:val="fr-FR"/>
        </w:rPr>
        <w:t>est passé de</w:t>
      </w:r>
      <w:r w:rsidRPr="00C54A95">
        <w:rPr>
          <w:snapToGrid/>
          <w:kern w:val="22"/>
          <w:szCs w:val="22"/>
          <w:lang w:val="fr-FR"/>
        </w:rPr>
        <w:t xml:space="preserve"> 38 (68 %) à la </w:t>
      </w:r>
      <w:r w:rsidR="00444E45">
        <w:rPr>
          <w:snapToGrid/>
          <w:kern w:val="22"/>
          <w:szCs w:val="22"/>
          <w:lang w:val="fr-FR"/>
        </w:rPr>
        <w:t xml:space="preserve">première réunion </w:t>
      </w:r>
      <w:r w:rsidRPr="00C54A95">
        <w:rPr>
          <w:snapToGrid/>
          <w:kern w:val="22"/>
          <w:szCs w:val="22"/>
          <w:lang w:val="fr-FR"/>
        </w:rPr>
        <w:t xml:space="preserve">à 93 (66 %) à la </w:t>
      </w:r>
      <w:r w:rsidR="00444E45">
        <w:rPr>
          <w:snapToGrid/>
          <w:kern w:val="22"/>
          <w:szCs w:val="22"/>
          <w:lang w:val="fr-FR"/>
        </w:rPr>
        <w:t>sixième réunion</w:t>
      </w:r>
      <w:r w:rsidRPr="00C54A95">
        <w:rPr>
          <w:snapToGrid/>
          <w:kern w:val="22"/>
          <w:szCs w:val="22"/>
          <w:lang w:val="fr-FR"/>
        </w:rPr>
        <w:t>. Le n</w:t>
      </w:r>
      <w:r w:rsidR="00327452">
        <w:rPr>
          <w:snapToGrid/>
          <w:kern w:val="22"/>
          <w:szCs w:val="22"/>
          <w:lang w:val="fr-FR"/>
        </w:rPr>
        <w:t>ombre des participants issus de</w:t>
      </w:r>
      <w:r w:rsidRPr="00C54A95">
        <w:rPr>
          <w:snapToGrid/>
          <w:kern w:val="22"/>
          <w:szCs w:val="22"/>
          <w:lang w:val="fr-FR"/>
        </w:rPr>
        <w:t xml:space="preserve"> pays en développement Parties aux réunions de la </w:t>
      </w:r>
      <w:r w:rsidR="00444E45">
        <w:rPr>
          <w:kern w:val="22"/>
          <w:szCs w:val="22"/>
          <w:lang w:val="fr-FR"/>
        </w:rPr>
        <w:t xml:space="preserve">Conférence des Parties siégeant </w:t>
      </w:r>
      <w:r w:rsidR="00444E45" w:rsidRPr="00C54A95">
        <w:rPr>
          <w:kern w:val="22"/>
          <w:szCs w:val="22"/>
          <w:lang w:val="fr-FR"/>
        </w:rPr>
        <w:t>en tant que réunion des Parties</w:t>
      </w:r>
      <w:r w:rsidR="00444E45">
        <w:rPr>
          <w:kern w:val="22"/>
          <w:szCs w:val="22"/>
          <w:lang w:val="fr-FR"/>
        </w:rPr>
        <w:t xml:space="preserve"> </w:t>
      </w:r>
      <w:r w:rsidRPr="00C54A95">
        <w:rPr>
          <w:snapToGrid/>
          <w:kern w:val="22"/>
          <w:szCs w:val="22"/>
          <w:lang w:val="fr-FR"/>
        </w:rPr>
        <w:t xml:space="preserve">a varié de 123 à la </w:t>
      </w:r>
      <w:r w:rsidR="00327452">
        <w:rPr>
          <w:snapToGrid/>
          <w:kern w:val="22"/>
          <w:szCs w:val="22"/>
          <w:lang w:val="fr-FR"/>
        </w:rPr>
        <w:t>première réunion</w:t>
      </w:r>
      <w:r w:rsidRPr="00C54A95">
        <w:rPr>
          <w:snapToGrid/>
          <w:kern w:val="22"/>
          <w:szCs w:val="22"/>
          <w:lang w:val="fr-FR"/>
        </w:rPr>
        <w:t xml:space="preserve"> à 324 à la </w:t>
      </w:r>
      <w:r w:rsidR="00444E45">
        <w:rPr>
          <w:snapToGrid/>
          <w:kern w:val="22"/>
          <w:szCs w:val="22"/>
          <w:lang w:val="fr-FR"/>
        </w:rPr>
        <w:t>sixième réunion</w:t>
      </w:r>
      <w:r w:rsidRPr="00C54A95">
        <w:rPr>
          <w:snapToGrid/>
          <w:kern w:val="22"/>
          <w:szCs w:val="22"/>
          <w:lang w:val="fr-FR"/>
        </w:rPr>
        <w:t>. La</w:t>
      </w:r>
      <w:r w:rsidR="00444E45">
        <w:rPr>
          <w:snapToGrid/>
          <w:kern w:val="22"/>
          <w:szCs w:val="22"/>
          <w:lang w:val="fr-FR"/>
        </w:rPr>
        <w:t xml:space="preserve"> huitième réunion de la </w:t>
      </w:r>
      <w:r w:rsidR="00444E45">
        <w:rPr>
          <w:kern w:val="22"/>
          <w:szCs w:val="22"/>
          <w:lang w:val="fr-FR"/>
        </w:rPr>
        <w:t xml:space="preserve">Conférence des Parties siégeant </w:t>
      </w:r>
      <w:r w:rsidR="00444E45" w:rsidRPr="00C54A95">
        <w:rPr>
          <w:kern w:val="22"/>
          <w:szCs w:val="22"/>
          <w:lang w:val="fr-FR"/>
        </w:rPr>
        <w:t>en tant que réunion des Parties</w:t>
      </w:r>
      <w:r w:rsidR="00444E45">
        <w:rPr>
          <w:kern w:val="22"/>
          <w:szCs w:val="22"/>
          <w:lang w:val="fr-FR"/>
        </w:rPr>
        <w:t xml:space="preserve"> </w:t>
      </w:r>
      <w:r w:rsidRPr="00C54A95">
        <w:rPr>
          <w:snapToGrid/>
          <w:kern w:val="22"/>
          <w:szCs w:val="22"/>
          <w:lang w:val="fr-FR"/>
        </w:rPr>
        <w:t>a accueilli pour sa part 104 (72 %) Parties et 580 participants. Il apparaît que l’organisat</w:t>
      </w:r>
      <w:r w:rsidR="00327452">
        <w:rPr>
          <w:snapToGrid/>
          <w:kern w:val="22"/>
          <w:szCs w:val="22"/>
          <w:lang w:val="fr-FR"/>
        </w:rPr>
        <w:t xml:space="preserve">ion de réunions concomitantes </w:t>
      </w:r>
      <w:r w:rsidR="000434D4">
        <w:rPr>
          <w:snapToGrid/>
          <w:kern w:val="22"/>
          <w:szCs w:val="22"/>
          <w:lang w:val="fr-FR"/>
        </w:rPr>
        <w:t>permet</w:t>
      </w:r>
      <w:r w:rsidRPr="00C54A95">
        <w:rPr>
          <w:snapToGrid/>
          <w:kern w:val="22"/>
          <w:szCs w:val="22"/>
          <w:lang w:val="fr-FR"/>
        </w:rPr>
        <w:t xml:space="preserve"> à un plus grand nombre de Parties et de représentants de pays en développement de participer aux réunions de la </w:t>
      </w:r>
      <w:r w:rsidR="00444E45">
        <w:rPr>
          <w:kern w:val="22"/>
          <w:szCs w:val="22"/>
          <w:lang w:val="fr-FR"/>
        </w:rPr>
        <w:t xml:space="preserve">Conférence des Parties siégeant </w:t>
      </w:r>
      <w:r w:rsidR="00444E45" w:rsidRPr="00C54A95">
        <w:rPr>
          <w:kern w:val="22"/>
          <w:szCs w:val="22"/>
          <w:lang w:val="fr-FR"/>
        </w:rPr>
        <w:t>en tant que réunion des Parties</w:t>
      </w:r>
      <w:r w:rsidR="00444E45">
        <w:rPr>
          <w:kern w:val="22"/>
          <w:szCs w:val="22"/>
          <w:lang w:val="fr-FR"/>
        </w:rPr>
        <w:t xml:space="preserve"> </w:t>
      </w:r>
      <w:r w:rsidRPr="00C54A95">
        <w:rPr>
          <w:snapToGrid/>
          <w:kern w:val="22"/>
          <w:szCs w:val="22"/>
          <w:lang w:val="fr-FR"/>
        </w:rPr>
        <w:t xml:space="preserve">(voir figure 5). Il importe toutefois de </w:t>
      </w:r>
      <w:r w:rsidR="000434D4">
        <w:rPr>
          <w:snapToGrid/>
          <w:kern w:val="22"/>
          <w:szCs w:val="22"/>
          <w:lang w:val="fr-FR"/>
        </w:rPr>
        <w:t>noter</w:t>
      </w:r>
      <w:r w:rsidRPr="00C54A95">
        <w:rPr>
          <w:snapToGrid/>
          <w:kern w:val="22"/>
          <w:szCs w:val="22"/>
          <w:lang w:val="fr-FR"/>
        </w:rPr>
        <w:t xml:space="preserve"> que ces chiffres ne fournissent aucune information sur le nombre réel de</w:t>
      </w:r>
      <w:r w:rsidR="000434D4">
        <w:rPr>
          <w:snapToGrid/>
          <w:kern w:val="22"/>
          <w:szCs w:val="22"/>
          <w:lang w:val="fr-FR"/>
        </w:rPr>
        <w:t>s</w:t>
      </w:r>
      <w:r w:rsidR="008A6B10">
        <w:rPr>
          <w:snapToGrid/>
          <w:kern w:val="22"/>
          <w:szCs w:val="22"/>
          <w:lang w:val="fr-FR"/>
        </w:rPr>
        <w:t xml:space="preserve"> Parties et</w:t>
      </w:r>
      <w:r w:rsidRPr="00C54A95">
        <w:rPr>
          <w:snapToGrid/>
          <w:kern w:val="22"/>
          <w:szCs w:val="22"/>
          <w:lang w:val="fr-FR"/>
        </w:rPr>
        <w:t xml:space="preserve"> représentan</w:t>
      </w:r>
      <w:r w:rsidR="000434D4">
        <w:rPr>
          <w:snapToGrid/>
          <w:kern w:val="22"/>
          <w:szCs w:val="22"/>
          <w:lang w:val="fr-FR"/>
        </w:rPr>
        <w:t xml:space="preserve">ts de pays en développement ayant </w:t>
      </w:r>
      <w:r w:rsidRPr="00C54A95">
        <w:rPr>
          <w:snapToGrid/>
          <w:kern w:val="22"/>
          <w:szCs w:val="22"/>
          <w:lang w:val="fr-FR"/>
        </w:rPr>
        <w:t xml:space="preserve">suivi les débats </w:t>
      </w:r>
      <w:r w:rsidR="008A6B10">
        <w:rPr>
          <w:snapToGrid/>
          <w:kern w:val="22"/>
          <w:szCs w:val="22"/>
          <w:lang w:val="fr-FR"/>
        </w:rPr>
        <w:t xml:space="preserve">tenus </w:t>
      </w:r>
      <w:r w:rsidR="000434D4">
        <w:rPr>
          <w:snapToGrid/>
          <w:kern w:val="22"/>
          <w:szCs w:val="22"/>
          <w:lang w:val="fr-FR"/>
        </w:rPr>
        <w:t>à</w:t>
      </w:r>
      <w:r w:rsidRPr="00C54A95">
        <w:rPr>
          <w:snapToGrid/>
          <w:kern w:val="22"/>
          <w:szCs w:val="22"/>
          <w:lang w:val="fr-FR"/>
        </w:rPr>
        <w:t xml:space="preserve"> la </w:t>
      </w:r>
      <w:r w:rsidR="00444E45">
        <w:rPr>
          <w:snapToGrid/>
          <w:kern w:val="22"/>
          <w:szCs w:val="22"/>
          <w:lang w:val="fr-FR"/>
        </w:rPr>
        <w:t xml:space="preserve">huitième réunion de la </w:t>
      </w:r>
      <w:r w:rsidR="00444E45">
        <w:rPr>
          <w:kern w:val="22"/>
          <w:szCs w:val="22"/>
          <w:lang w:val="fr-FR"/>
        </w:rPr>
        <w:t xml:space="preserve">Conférence des Parties siégeant </w:t>
      </w:r>
      <w:r w:rsidR="00444E45" w:rsidRPr="00C54A95">
        <w:rPr>
          <w:kern w:val="22"/>
          <w:szCs w:val="22"/>
          <w:lang w:val="fr-FR"/>
        </w:rPr>
        <w:t>en tant que réunion des Parties</w:t>
      </w:r>
      <w:r w:rsidRPr="00C54A95">
        <w:rPr>
          <w:snapToGrid/>
          <w:kern w:val="22"/>
          <w:szCs w:val="22"/>
          <w:lang w:val="fr-FR"/>
        </w:rPr>
        <w:t xml:space="preserve">, ni sur l’efficacité de leur participation. Étant donné que plusieurs pays en développement Parties étaient représentés par des délégations de petite taille, </w:t>
      </w:r>
      <w:r w:rsidR="000434D4">
        <w:rPr>
          <w:snapToGrid/>
          <w:kern w:val="22"/>
          <w:szCs w:val="22"/>
          <w:lang w:val="fr-FR"/>
        </w:rPr>
        <w:t>tenues d’examiner de multiples</w:t>
      </w:r>
      <w:r w:rsidRPr="00C54A95">
        <w:rPr>
          <w:snapToGrid/>
          <w:kern w:val="22"/>
          <w:szCs w:val="22"/>
          <w:lang w:val="fr-FR"/>
        </w:rPr>
        <w:t xml:space="preserve"> questions </w:t>
      </w:r>
      <w:r w:rsidR="000434D4">
        <w:rPr>
          <w:snapToGrid/>
          <w:kern w:val="22"/>
          <w:szCs w:val="22"/>
          <w:lang w:val="fr-FR"/>
        </w:rPr>
        <w:t>à la réunion</w:t>
      </w:r>
      <w:r w:rsidRPr="00C54A95">
        <w:rPr>
          <w:snapToGrid/>
          <w:kern w:val="22"/>
          <w:szCs w:val="22"/>
          <w:lang w:val="fr-FR"/>
        </w:rPr>
        <w:t>, leur cap</w:t>
      </w:r>
      <w:r w:rsidR="000434D4">
        <w:rPr>
          <w:snapToGrid/>
          <w:kern w:val="22"/>
          <w:szCs w:val="22"/>
          <w:lang w:val="fr-FR"/>
        </w:rPr>
        <w:t>acité à participer efficacement,</w:t>
      </w:r>
      <w:r w:rsidRPr="00C54A95">
        <w:rPr>
          <w:snapToGrid/>
          <w:kern w:val="22"/>
          <w:szCs w:val="22"/>
          <w:lang w:val="fr-FR"/>
        </w:rPr>
        <w:t xml:space="preserve"> e</w:t>
      </w:r>
      <w:r w:rsidR="000434D4">
        <w:rPr>
          <w:snapToGrid/>
          <w:kern w:val="22"/>
          <w:szCs w:val="22"/>
          <w:lang w:val="fr-FR"/>
        </w:rPr>
        <w:t>n</w:t>
      </w:r>
      <w:r w:rsidRPr="00C54A95">
        <w:rPr>
          <w:snapToGrid/>
          <w:kern w:val="22"/>
          <w:szCs w:val="22"/>
          <w:lang w:val="fr-FR"/>
        </w:rPr>
        <w:t xml:space="preserve"> </w:t>
      </w:r>
      <w:r w:rsidR="000434D4">
        <w:rPr>
          <w:snapToGrid/>
          <w:kern w:val="22"/>
          <w:szCs w:val="22"/>
          <w:lang w:val="fr-FR"/>
        </w:rPr>
        <w:t>apportant</w:t>
      </w:r>
      <w:r w:rsidRPr="00C54A95">
        <w:rPr>
          <w:snapToGrid/>
          <w:kern w:val="22"/>
          <w:szCs w:val="22"/>
          <w:lang w:val="fr-FR"/>
        </w:rPr>
        <w:t xml:space="preserve"> l’expertise voulue, </w:t>
      </w:r>
      <w:r w:rsidR="000434D4">
        <w:rPr>
          <w:snapToGrid/>
          <w:kern w:val="22"/>
          <w:szCs w:val="22"/>
          <w:lang w:val="fr-FR"/>
        </w:rPr>
        <w:t>a parfois été</w:t>
      </w:r>
      <w:r w:rsidRPr="00C54A95">
        <w:rPr>
          <w:snapToGrid/>
          <w:kern w:val="22"/>
          <w:szCs w:val="22"/>
          <w:lang w:val="fr-FR"/>
        </w:rPr>
        <w:t xml:space="preserve"> limitée</w:t>
      </w:r>
      <w:r w:rsidR="00742F79" w:rsidRPr="00C54A95">
        <w:rPr>
          <w:snapToGrid/>
          <w:kern w:val="22"/>
          <w:szCs w:val="22"/>
          <w:lang w:val="fr-FR"/>
        </w:rPr>
        <w:t>.</w:t>
      </w:r>
    </w:p>
    <w:p w:rsidR="00742F79" w:rsidRPr="00C54A95" w:rsidRDefault="001B019C" w:rsidP="00F82F1D">
      <w:pPr>
        <w:pStyle w:val="Para1"/>
        <w:suppressLineNumbers/>
        <w:tabs>
          <w:tab w:val="clear" w:pos="360"/>
        </w:tabs>
        <w:suppressAutoHyphens/>
        <w:kinsoku w:val="0"/>
        <w:overflowPunct w:val="0"/>
        <w:autoSpaceDE w:val="0"/>
        <w:autoSpaceDN w:val="0"/>
        <w:rPr>
          <w:snapToGrid/>
          <w:kern w:val="22"/>
          <w:szCs w:val="22"/>
          <w:lang w:val="fr-FR"/>
        </w:rPr>
      </w:pPr>
      <w:r>
        <w:rPr>
          <w:kern w:val="22"/>
          <w:szCs w:val="22"/>
          <w:lang w:val="fr-FR"/>
        </w:rPr>
        <w:t xml:space="preserve">La </w:t>
      </w:r>
      <w:r w:rsidRPr="00C54A95">
        <w:rPr>
          <w:kern w:val="22"/>
          <w:szCs w:val="22"/>
          <w:lang w:val="fr-FR"/>
        </w:rPr>
        <w:t xml:space="preserve">Conférence des Parties siégeant en tant que réunion des Parties au Protocole de </w:t>
      </w:r>
      <w:r w:rsidRPr="00C54A95">
        <w:rPr>
          <w:snapToGrid/>
          <w:kern w:val="22"/>
          <w:szCs w:val="22"/>
          <w:lang w:val="fr-FR"/>
        </w:rPr>
        <w:t>Nagoya</w:t>
      </w:r>
      <w:r>
        <w:rPr>
          <w:snapToGrid/>
          <w:kern w:val="22"/>
          <w:szCs w:val="22"/>
          <w:lang w:val="fr-FR"/>
        </w:rPr>
        <w:t xml:space="preserve"> ayant tenu s</w:t>
      </w:r>
      <w:r w:rsidR="00154250" w:rsidRPr="00C54A95">
        <w:rPr>
          <w:snapToGrid/>
          <w:kern w:val="22"/>
          <w:szCs w:val="22"/>
          <w:lang w:val="fr-FR"/>
        </w:rPr>
        <w:t>eule</w:t>
      </w:r>
      <w:r>
        <w:rPr>
          <w:snapToGrid/>
          <w:kern w:val="22"/>
          <w:szCs w:val="22"/>
          <w:lang w:val="fr-FR"/>
        </w:rPr>
        <w:t>ment deux réunions</w:t>
      </w:r>
      <w:r w:rsidR="00154250" w:rsidRPr="00C54A95">
        <w:rPr>
          <w:snapToGrid/>
          <w:kern w:val="22"/>
          <w:szCs w:val="22"/>
          <w:lang w:val="fr-FR"/>
        </w:rPr>
        <w:t xml:space="preserve">, </w:t>
      </w:r>
      <w:r>
        <w:rPr>
          <w:snapToGrid/>
          <w:kern w:val="22"/>
          <w:szCs w:val="22"/>
          <w:lang w:val="fr-FR"/>
        </w:rPr>
        <w:t xml:space="preserve">il est difficile d’identifier </w:t>
      </w:r>
      <w:r w:rsidR="00154250" w:rsidRPr="00C54A95">
        <w:rPr>
          <w:snapToGrid/>
          <w:kern w:val="22"/>
          <w:szCs w:val="22"/>
          <w:lang w:val="fr-FR"/>
        </w:rPr>
        <w:t xml:space="preserve">une tendance à </w:t>
      </w:r>
      <w:r>
        <w:rPr>
          <w:snapToGrid/>
          <w:kern w:val="22"/>
          <w:szCs w:val="22"/>
          <w:lang w:val="fr-FR"/>
        </w:rPr>
        <w:t>son</w:t>
      </w:r>
      <w:r w:rsidR="00154250" w:rsidRPr="00C54A95">
        <w:rPr>
          <w:snapToGrid/>
          <w:kern w:val="22"/>
          <w:szCs w:val="22"/>
          <w:lang w:val="fr-FR"/>
        </w:rPr>
        <w:t xml:space="preserve"> </w:t>
      </w:r>
      <w:r>
        <w:rPr>
          <w:snapToGrid/>
          <w:kern w:val="22"/>
          <w:szCs w:val="22"/>
          <w:lang w:val="fr-FR"/>
        </w:rPr>
        <w:t>sujet</w:t>
      </w:r>
      <w:r w:rsidR="00154250" w:rsidRPr="00C54A95">
        <w:rPr>
          <w:snapToGrid/>
          <w:kern w:val="22"/>
          <w:szCs w:val="22"/>
          <w:lang w:val="fr-FR"/>
        </w:rPr>
        <w:t xml:space="preserve">. De même, le Protocole de Nagoya étant entré en vigueur à la </w:t>
      </w:r>
      <w:r w:rsidR="00444E45">
        <w:rPr>
          <w:snapToGrid/>
          <w:kern w:val="22"/>
          <w:szCs w:val="22"/>
          <w:lang w:val="fr-FR"/>
        </w:rPr>
        <w:t xml:space="preserve">douzième réunion de la </w:t>
      </w:r>
      <w:r w:rsidR="00444E45" w:rsidRPr="00C54A95">
        <w:rPr>
          <w:kern w:val="22"/>
          <w:szCs w:val="22"/>
          <w:lang w:val="fr-FR"/>
        </w:rPr>
        <w:t>Co</w:t>
      </w:r>
      <w:r w:rsidR="00444E45">
        <w:rPr>
          <w:kern w:val="22"/>
          <w:szCs w:val="22"/>
          <w:lang w:val="fr-FR"/>
        </w:rPr>
        <w:t>nférence des Parties</w:t>
      </w:r>
      <w:r w:rsidR="00154250" w:rsidRPr="00C54A95">
        <w:rPr>
          <w:snapToGrid/>
          <w:kern w:val="22"/>
          <w:szCs w:val="22"/>
          <w:lang w:val="fr-FR"/>
        </w:rPr>
        <w:t xml:space="preserve">, </w:t>
      </w:r>
      <w:r w:rsidR="001C49D4">
        <w:rPr>
          <w:snapToGrid/>
          <w:kern w:val="22"/>
          <w:szCs w:val="22"/>
          <w:lang w:val="fr-FR"/>
        </w:rPr>
        <w:t>l’information</w:t>
      </w:r>
      <w:r w:rsidR="00154250" w:rsidRPr="00C54A95">
        <w:rPr>
          <w:snapToGrid/>
          <w:kern w:val="22"/>
          <w:szCs w:val="22"/>
          <w:lang w:val="fr-FR"/>
        </w:rPr>
        <w:t xml:space="preserve"> sur la participation à la première réunion d</w:t>
      </w:r>
      <w:r w:rsidR="001C49D4">
        <w:rPr>
          <w:snapToGrid/>
          <w:kern w:val="22"/>
          <w:szCs w:val="22"/>
          <w:lang w:val="fr-FR"/>
        </w:rPr>
        <w:t>e cette</w:t>
      </w:r>
      <w:r w:rsidR="00154250" w:rsidRPr="00C54A95">
        <w:rPr>
          <w:snapToGrid/>
          <w:kern w:val="22"/>
          <w:szCs w:val="22"/>
          <w:lang w:val="fr-FR"/>
        </w:rPr>
        <w:t xml:space="preserve"> </w:t>
      </w:r>
      <w:r w:rsidR="00154250" w:rsidRPr="00C54A95">
        <w:rPr>
          <w:kern w:val="22"/>
          <w:szCs w:val="22"/>
          <w:lang w:val="fr-FR"/>
        </w:rPr>
        <w:t xml:space="preserve">Conférence des Parties </w:t>
      </w:r>
      <w:r w:rsidR="001C49D4">
        <w:rPr>
          <w:snapToGrid/>
          <w:kern w:val="22"/>
          <w:szCs w:val="22"/>
          <w:lang w:val="fr-FR"/>
        </w:rPr>
        <w:t>est inexistante</w:t>
      </w:r>
      <w:r w:rsidR="00154250" w:rsidRPr="00C54A95">
        <w:rPr>
          <w:snapToGrid/>
          <w:kern w:val="22"/>
          <w:szCs w:val="22"/>
          <w:lang w:val="fr-FR"/>
        </w:rPr>
        <w:t xml:space="preserve">. La </w:t>
      </w:r>
      <w:r w:rsidR="00444E45">
        <w:rPr>
          <w:snapToGrid/>
          <w:kern w:val="22"/>
          <w:szCs w:val="22"/>
          <w:lang w:val="fr-FR"/>
        </w:rPr>
        <w:t xml:space="preserve">deuxième réunion de la </w:t>
      </w:r>
      <w:r w:rsidR="00444E45">
        <w:rPr>
          <w:kern w:val="22"/>
          <w:szCs w:val="22"/>
          <w:lang w:val="fr-FR"/>
        </w:rPr>
        <w:t xml:space="preserve">Conférence des Parties siégeant </w:t>
      </w:r>
      <w:r w:rsidR="00444E45" w:rsidRPr="00C54A95">
        <w:rPr>
          <w:kern w:val="22"/>
          <w:szCs w:val="22"/>
          <w:lang w:val="fr-FR"/>
        </w:rPr>
        <w:t>en tant que réunion des Parties</w:t>
      </w:r>
      <w:r w:rsidR="00154250" w:rsidRPr="00C54A95">
        <w:rPr>
          <w:snapToGrid/>
          <w:kern w:val="22"/>
          <w:szCs w:val="22"/>
          <w:lang w:val="fr-FR"/>
        </w:rPr>
        <w:t xml:space="preserve"> a pour sa part accueilli 53 (76 %) pays en développement Parties représentés par 320 participants. Il est encore trop tôt pour déterminer les tendances de la participation</w:t>
      </w:r>
      <w:r w:rsidR="00742F79" w:rsidRPr="00C54A95">
        <w:rPr>
          <w:snapToGrid/>
          <w:kern w:val="22"/>
          <w:szCs w:val="22"/>
          <w:lang w:val="fr-FR"/>
        </w:rPr>
        <w:t>.</w:t>
      </w:r>
    </w:p>
    <w:p w:rsidR="00742F79" w:rsidRPr="00C54A95" w:rsidRDefault="00154250" w:rsidP="00F82F1D">
      <w:pPr>
        <w:pStyle w:val="Para1"/>
        <w:suppressLineNumbers/>
        <w:tabs>
          <w:tab w:val="clear" w:pos="360"/>
        </w:tabs>
        <w:suppressAutoHyphens/>
        <w:kinsoku w:val="0"/>
        <w:overflowPunct w:val="0"/>
        <w:autoSpaceDE w:val="0"/>
        <w:autoSpaceDN w:val="0"/>
        <w:rPr>
          <w:snapToGrid/>
          <w:kern w:val="22"/>
          <w:szCs w:val="22"/>
          <w:lang w:val="fr-FR"/>
        </w:rPr>
      </w:pPr>
      <w:r w:rsidRPr="00C54A95">
        <w:rPr>
          <w:snapToGrid/>
          <w:kern w:val="22"/>
          <w:szCs w:val="22"/>
          <w:lang w:val="fr-FR"/>
        </w:rPr>
        <w:t xml:space="preserve">Dans l’ensemble, l’organisation de réunions concomitantes semble n’exercer aucun effet sur le niveau de participation des pays en développement Parties à la Conférence des Parties. Si la participation de ces pays à la </w:t>
      </w:r>
      <w:r w:rsidRPr="00C54A95">
        <w:rPr>
          <w:kern w:val="22"/>
          <w:szCs w:val="22"/>
          <w:lang w:val="fr-FR"/>
        </w:rPr>
        <w:t xml:space="preserve">Conférence des Parties siégeant en tant que réunion des Parties au Protocole de </w:t>
      </w:r>
      <w:r w:rsidRPr="00C54A95">
        <w:rPr>
          <w:snapToGrid/>
          <w:kern w:val="22"/>
          <w:szCs w:val="22"/>
          <w:lang w:val="fr-FR"/>
        </w:rPr>
        <w:t xml:space="preserve">Cartagena s’est accrue, il importe de </w:t>
      </w:r>
      <w:r w:rsidR="007E2A7F">
        <w:rPr>
          <w:snapToGrid/>
          <w:kern w:val="22"/>
          <w:szCs w:val="22"/>
          <w:lang w:val="fr-FR"/>
        </w:rPr>
        <w:t>noter que l’information existante ne suffi</w:t>
      </w:r>
      <w:r w:rsidRPr="00C54A95">
        <w:rPr>
          <w:snapToGrid/>
          <w:kern w:val="22"/>
          <w:szCs w:val="22"/>
          <w:lang w:val="fr-FR"/>
        </w:rPr>
        <w:t>t pas à</w:t>
      </w:r>
      <w:r w:rsidR="007E2A7F">
        <w:rPr>
          <w:snapToGrid/>
          <w:kern w:val="22"/>
          <w:szCs w:val="22"/>
          <w:lang w:val="fr-FR"/>
        </w:rPr>
        <w:t xml:space="preserve"> juger de son efficacité. Cette information ne suffi</w:t>
      </w:r>
      <w:r w:rsidRPr="00C54A95">
        <w:rPr>
          <w:snapToGrid/>
          <w:kern w:val="22"/>
          <w:szCs w:val="22"/>
          <w:lang w:val="fr-FR"/>
        </w:rPr>
        <w:t xml:space="preserve">t pas non plus à juger de l’effet exercé sur la </w:t>
      </w:r>
      <w:r w:rsidRPr="00C54A95">
        <w:rPr>
          <w:kern w:val="22"/>
          <w:szCs w:val="22"/>
          <w:lang w:val="fr-FR"/>
        </w:rPr>
        <w:t xml:space="preserve">Conférence des Parties siégeant en tant que réunion des Parties au Protocole de </w:t>
      </w:r>
      <w:r w:rsidRPr="00C54A95">
        <w:rPr>
          <w:snapToGrid/>
          <w:kern w:val="22"/>
          <w:szCs w:val="22"/>
          <w:lang w:val="fr-FR"/>
        </w:rPr>
        <w:t>Nagoya</w:t>
      </w:r>
      <w:r w:rsidR="00742F79" w:rsidRPr="00C54A95">
        <w:rPr>
          <w:snapToGrid/>
          <w:kern w:val="22"/>
          <w:szCs w:val="22"/>
          <w:lang w:val="fr-FR"/>
        </w:rPr>
        <w:t>.</w:t>
      </w:r>
    </w:p>
    <w:p w:rsidR="00742F79" w:rsidRDefault="00742F79" w:rsidP="00F82F1D">
      <w:pPr>
        <w:keepNext/>
        <w:suppressLineNumbers/>
        <w:suppressAutoHyphens/>
        <w:kinsoku w:val="0"/>
        <w:overflowPunct w:val="0"/>
        <w:autoSpaceDE w:val="0"/>
        <w:autoSpaceDN w:val="0"/>
        <w:spacing w:after="120"/>
        <w:jc w:val="left"/>
        <w:rPr>
          <w:b/>
          <w:bCs/>
          <w:kern w:val="22"/>
          <w:szCs w:val="22"/>
          <w:lang w:val="fr-FR"/>
        </w:rPr>
      </w:pPr>
      <w:r w:rsidRPr="00C54A95">
        <w:rPr>
          <w:b/>
          <w:bCs/>
          <w:kern w:val="22"/>
          <w:szCs w:val="22"/>
          <w:lang w:val="fr-FR"/>
        </w:rPr>
        <w:t>Figure 4</w:t>
      </w:r>
    </w:p>
    <w:p w:rsidR="005C1004" w:rsidRPr="00C54A95" w:rsidRDefault="005C1004" w:rsidP="00F82F1D">
      <w:pPr>
        <w:keepNext/>
        <w:suppressLineNumbers/>
        <w:suppressAutoHyphens/>
        <w:kinsoku w:val="0"/>
        <w:overflowPunct w:val="0"/>
        <w:autoSpaceDE w:val="0"/>
        <w:autoSpaceDN w:val="0"/>
        <w:spacing w:after="120"/>
        <w:jc w:val="left"/>
        <w:rPr>
          <w:b/>
          <w:bCs/>
          <w:kern w:val="22"/>
          <w:szCs w:val="22"/>
          <w:lang w:val="fr-FR"/>
        </w:rPr>
      </w:pPr>
      <w:r>
        <w:rPr>
          <w:b/>
          <w:bCs/>
          <w:noProof/>
          <w:kern w:val="22"/>
          <w:szCs w:val="22"/>
          <w:lang w:val="en-CA" w:eastAsia="en-CA"/>
        </w:rPr>
        <w:drawing>
          <wp:inline distT="0" distB="0" distL="0" distR="0" wp14:anchorId="75312983" wp14:editId="7A127734">
            <wp:extent cx="6257676" cy="21946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63867" cy="2196846"/>
                    </a:xfrm>
                    <a:prstGeom prst="rect">
                      <a:avLst/>
                    </a:prstGeom>
                    <a:noFill/>
                  </pic:spPr>
                </pic:pic>
              </a:graphicData>
            </a:graphic>
          </wp:inline>
        </w:drawing>
      </w:r>
    </w:p>
    <w:p w:rsidR="00742F79" w:rsidRPr="00C54A95" w:rsidRDefault="00742F79" w:rsidP="00F82F1D">
      <w:pPr>
        <w:suppressLineNumbers/>
        <w:suppressAutoHyphens/>
        <w:kinsoku w:val="0"/>
        <w:overflowPunct w:val="0"/>
        <w:autoSpaceDE w:val="0"/>
        <w:autoSpaceDN w:val="0"/>
        <w:spacing w:after="200" w:line="276" w:lineRule="auto"/>
        <w:jc w:val="left"/>
        <w:rPr>
          <w:b/>
          <w:bCs/>
          <w:kern w:val="22"/>
          <w:szCs w:val="22"/>
          <w:lang w:val="fr-FR"/>
        </w:rPr>
      </w:pPr>
    </w:p>
    <w:p w:rsidR="00711853" w:rsidRPr="00C54A95" w:rsidRDefault="00711853" w:rsidP="00F82F1D">
      <w:pPr>
        <w:suppressLineNumbers/>
        <w:suppressAutoHyphens/>
        <w:kinsoku w:val="0"/>
        <w:overflowPunct w:val="0"/>
        <w:autoSpaceDE w:val="0"/>
        <w:autoSpaceDN w:val="0"/>
        <w:jc w:val="left"/>
        <w:rPr>
          <w:kern w:val="22"/>
          <w:szCs w:val="22"/>
          <w:lang w:val="fr-FR"/>
        </w:rPr>
      </w:pPr>
    </w:p>
    <w:p w:rsidR="00711853" w:rsidRPr="00C54A95" w:rsidRDefault="00711853" w:rsidP="00F82F1D">
      <w:pPr>
        <w:suppressLineNumbers/>
        <w:suppressAutoHyphens/>
        <w:kinsoku w:val="0"/>
        <w:overflowPunct w:val="0"/>
        <w:autoSpaceDE w:val="0"/>
        <w:autoSpaceDN w:val="0"/>
        <w:jc w:val="left"/>
        <w:rPr>
          <w:kern w:val="22"/>
          <w:szCs w:val="22"/>
          <w:lang w:val="fr-FR"/>
        </w:rPr>
      </w:pPr>
    </w:p>
    <w:p w:rsidR="00711853" w:rsidRPr="00C54A95" w:rsidRDefault="00711853" w:rsidP="00F82F1D">
      <w:pPr>
        <w:suppressLineNumbers/>
        <w:suppressAutoHyphens/>
        <w:kinsoku w:val="0"/>
        <w:overflowPunct w:val="0"/>
        <w:autoSpaceDE w:val="0"/>
        <w:autoSpaceDN w:val="0"/>
        <w:jc w:val="left"/>
        <w:rPr>
          <w:kern w:val="22"/>
          <w:szCs w:val="22"/>
          <w:lang w:val="fr-FR"/>
        </w:rPr>
      </w:pPr>
    </w:p>
    <w:p w:rsidR="00711853" w:rsidRPr="00C54A95" w:rsidRDefault="00711853" w:rsidP="00F82F1D">
      <w:pPr>
        <w:suppressLineNumbers/>
        <w:suppressAutoHyphens/>
        <w:kinsoku w:val="0"/>
        <w:overflowPunct w:val="0"/>
        <w:autoSpaceDE w:val="0"/>
        <w:autoSpaceDN w:val="0"/>
        <w:jc w:val="left"/>
        <w:rPr>
          <w:kern w:val="22"/>
          <w:szCs w:val="22"/>
          <w:lang w:val="fr-FR"/>
        </w:rPr>
      </w:pPr>
    </w:p>
    <w:p w:rsidR="00742F79" w:rsidRDefault="00742F79" w:rsidP="00F82F1D">
      <w:pPr>
        <w:keepNext/>
        <w:suppressLineNumbers/>
        <w:suppressAutoHyphens/>
        <w:kinsoku w:val="0"/>
        <w:overflowPunct w:val="0"/>
        <w:autoSpaceDE w:val="0"/>
        <w:autoSpaceDN w:val="0"/>
        <w:spacing w:after="120"/>
        <w:jc w:val="left"/>
        <w:rPr>
          <w:b/>
          <w:bCs/>
          <w:kern w:val="22"/>
          <w:szCs w:val="22"/>
          <w:lang w:val="fr-FR"/>
        </w:rPr>
      </w:pPr>
      <w:r w:rsidRPr="00C54A95">
        <w:rPr>
          <w:b/>
          <w:bCs/>
          <w:kern w:val="22"/>
          <w:szCs w:val="22"/>
          <w:lang w:val="fr-FR"/>
        </w:rPr>
        <w:t>Figure 5</w:t>
      </w:r>
    </w:p>
    <w:p w:rsidR="00742F79" w:rsidRPr="00C54A95" w:rsidRDefault="005C1004" w:rsidP="00E60E82">
      <w:pPr>
        <w:keepNext/>
        <w:suppressLineNumbers/>
        <w:suppressAutoHyphens/>
        <w:kinsoku w:val="0"/>
        <w:overflowPunct w:val="0"/>
        <w:autoSpaceDE w:val="0"/>
        <w:autoSpaceDN w:val="0"/>
        <w:spacing w:after="120"/>
        <w:jc w:val="left"/>
        <w:rPr>
          <w:b/>
          <w:bCs/>
          <w:kern w:val="22"/>
          <w:szCs w:val="22"/>
          <w:lang w:val="fr-FR"/>
        </w:rPr>
      </w:pPr>
      <w:r>
        <w:rPr>
          <w:b/>
          <w:bCs/>
          <w:noProof/>
          <w:kern w:val="22"/>
          <w:szCs w:val="22"/>
          <w:lang w:val="en-CA" w:eastAsia="en-CA"/>
        </w:rPr>
        <w:drawing>
          <wp:inline distT="0" distB="0" distL="0" distR="0" wp14:anchorId="68AB9B18" wp14:editId="1A69CA54">
            <wp:extent cx="6305384" cy="2495302"/>
            <wp:effectExtent l="0" t="0" r="635"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15091" cy="2499144"/>
                    </a:xfrm>
                    <a:prstGeom prst="rect">
                      <a:avLst/>
                    </a:prstGeom>
                    <a:noFill/>
                  </pic:spPr>
                </pic:pic>
              </a:graphicData>
            </a:graphic>
          </wp:inline>
        </w:drawing>
      </w:r>
    </w:p>
    <w:p w:rsidR="00742F79" w:rsidRPr="00C54A95" w:rsidRDefault="00B352DE" w:rsidP="00F82F1D">
      <w:pPr>
        <w:keepNext/>
        <w:numPr>
          <w:ilvl w:val="0"/>
          <w:numId w:val="52"/>
        </w:numPr>
        <w:suppressLineNumbers/>
        <w:suppressAutoHyphens/>
        <w:kinsoku w:val="0"/>
        <w:overflowPunct w:val="0"/>
        <w:autoSpaceDE w:val="0"/>
        <w:autoSpaceDN w:val="0"/>
        <w:spacing w:before="240" w:after="120"/>
        <w:jc w:val="center"/>
        <w:rPr>
          <w:b/>
          <w:bCs/>
          <w:kern w:val="22"/>
          <w:szCs w:val="22"/>
          <w:lang w:val="fr-FR"/>
        </w:rPr>
      </w:pPr>
      <w:r w:rsidRPr="00C54A95">
        <w:rPr>
          <w:b/>
          <w:bCs/>
          <w:kern w:val="22"/>
          <w:szCs w:val="22"/>
          <w:lang w:val="fr-FR"/>
        </w:rPr>
        <w:t>DÉ</w:t>
      </w:r>
      <w:r w:rsidR="00742F79" w:rsidRPr="00C54A95">
        <w:rPr>
          <w:b/>
          <w:bCs/>
          <w:kern w:val="22"/>
          <w:szCs w:val="22"/>
          <w:lang w:val="fr-FR"/>
        </w:rPr>
        <w:t>VELOP</w:t>
      </w:r>
      <w:r w:rsidRPr="00C54A95">
        <w:rPr>
          <w:b/>
          <w:bCs/>
          <w:kern w:val="22"/>
          <w:szCs w:val="22"/>
          <w:lang w:val="fr-FR"/>
        </w:rPr>
        <w:t>PE</w:t>
      </w:r>
      <w:r w:rsidR="00742F79" w:rsidRPr="00C54A95">
        <w:rPr>
          <w:b/>
          <w:bCs/>
          <w:kern w:val="22"/>
          <w:szCs w:val="22"/>
          <w:lang w:val="fr-FR"/>
        </w:rPr>
        <w:t xml:space="preserve">MENT </w:t>
      </w:r>
      <w:r w:rsidRPr="00C54A95">
        <w:rPr>
          <w:b/>
          <w:bCs/>
          <w:kern w:val="22"/>
          <w:szCs w:val="22"/>
          <w:lang w:val="fr-FR"/>
        </w:rPr>
        <w:t>EFFECTIF DES RÉSULTAT</w:t>
      </w:r>
      <w:r w:rsidR="00742F79" w:rsidRPr="00C54A95">
        <w:rPr>
          <w:b/>
          <w:bCs/>
          <w:kern w:val="22"/>
          <w:szCs w:val="22"/>
          <w:lang w:val="fr-FR"/>
        </w:rPr>
        <w:t>S</w:t>
      </w:r>
    </w:p>
    <w:p w:rsidR="00742F79" w:rsidRPr="00C54A95" w:rsidRDefault="00BA4D43" w:rsidP="00F82F1D">
      <w:pPr>
        <w:pStyle w:val="Para1"/>
        <w:suppressLineNumbers/>
        <w:tabs>
          <w:tab w:val="clear" w:pos="360"/>
        </w:tabs>
        <w:suppressAutoHyphens/>
        <w:kinsoku w:val="0"/>
        <w:overflowPunct w:val="0"/>
        <w:autoSpaceDE w:val="0"/>
        <w:autoSpaceDN w:val="0"/>
        <w:rPr>
          <w:snapToGrid/>
          <w:kern w:val="22"/>
          <w:szCs w:val="22"/>
          <w:lang w:val="fr-FR"/>
        </w:rPr>
      </w:pPr>
      <w:r>
        <w:rPr>
          <w:snapToGrid/>
          <w:kern w:val="22"/>
          <w:szCs w:val="22"/>
          <w:lang w:val="fr-FR"/>
        </w:rPr>
        <w:t xml:space="preserve">Le critère </w:t>
      </w:r>
      <w:r w:rsidR="00B352DE" w:rsidRPr="00C54A95">
        <w:rPr>
          <w:snapToGrid/>
          <w:kern w:val="22"/>
          <w:szCs w:val="22"/>
          <w:lang w:val="fr-FR"/>
        </w:rPr>
        <w:t>du développement effectif des résultats de la</w:t>
      </w:r>
      <w:r w:rsidR="00281ECD">
        <w:rPr>
          <w:snapToGrid/>
          <w:kern w:val="22"/>
          <w:szCs w:val="22"/>
          <w:lang w:val="fr-FR"/>
        </w:rPr>
        <w:t xml:space="preserve"> treizième réunion de la </w:t>
      </w:r>
      <w:r w:rsidR="00281ECD" w:rsidRPr="00C54A95">
        <w:rPr>
          <w:kern w:val="22"/>
          <w:szCs w:val="22"/>
          <w:lang w:val="fr-FR"/>
        </w:rPr>
        <w:t>Co</w:t>
      </w:r>
      <w:r w:rsidR="00281ECD">
        <w:rPr>
          <w:kern w:val="22"/>
          <w:szCs w:val="22"/>
          <w:lang w:val="fr-FR"/>
        </w:rPr>
        <w:t>nférence des Parties</w:t>
      </w:r>
      <w:r>
        <w:rPr>
          <w:snapToGrid/>
          <w:kern w:val="22"/>
          <w:szCs w:val="22"/>
          <w:lang w:val="fr-FR"/>
        </w:rPr>
        <w:t xml:space="preserve"> </w:t>
      </w:r>
      <w:r w:rsidR="00B352DE" w:rsidRPr="00C54A95">
        <w:rPr>
          <w:snapToGrid/>
          <w:kern w:val="22"/>
          <w:szCs w:val="22"/>
          <w:lang w:val="fr-FR"/>
        </w:rPr>
        <w:t xml:space="preserve">a été considéré comme « pleinement respecté » par 49 % des Parties ayant répondu à la notification, « partiellement respecté » par 48 % </w:t>
      </w:r>
      <w:r>
        <w:rPr>
          <w:snapToGrid/>
          <w:kern w:val="22"/>
          <w:szCs w:val="22"/>
          <w:lang w:val="fr-FR"/>
        </w:rPr>
        <w:t>d’entre elles</w:t>
      </w:r>
      <w:r w:rsidR="00B352DE" w:rsidRPr="00C54A95">
        <w:rPr>
          <w:snapToGrid/>
          <w:kern w:val="22"/>
          <w:szCs w:val="22"/>
          <w:lang w:val="fr-FR"/>
        </w:rPr>
        <w:t xml:space="preserve"> et « non respecté » par 3 % </w:t>
      </w:r>
      <w:r>
        <w:rPr>
          <w:snapToGrid/>
          <w:kern w:val="22"/>
          <w:szCs w:val="22"/>
          <w:lang w:val="fr-FR"/>
        </w:rPr>
        <w:t>d’entre elles</w:t>
      </w:r>
      <w:r w:rsidR="00B352DE" w:rsidRPr="00C54A95">
        <w:rPr>
          <w:snapToGrid/>
          <w:kern w:val="22"/>
          <w:szCs w:val="22"/>
          <w:lang w:val="fr-FR"/>
        </w:rPr>
        <w:t xml:space="preserve">. Après ventilation des résultats entre les pays développés et les pays en développement, il apparaît que ce critère a été considéré comme « pleinement respecté » par 50 % des répondants issus de pays en développement Parties, « partiellement respecté » par 46 % </w:t>
      </w:r>
      <w:r>
        <w:rPr>
          <w:snapToGrid/>
          <w:kern w:val="22"/>
          <w:szCs w:val="22"/>
          <w:lang w:val="fr-FR"/>
        </w:rPr>
        <w:t>d’entre eux</w:t>
      </w:r>
      <w:r w:rsidR="00B352DE" w:rsidRPr="00C54A95">
        <w:rPr>
          <w:snapToGrid/>
          <w:kern w:val="22"/>
          <w:szCs w:val="22"/>
          <w:lang w:val="fr-FR"/>
        </w:rPr>
        <w:t xml:space="preserve"> et « non respecté » par 4 % </w:t>
      </w:r>
      <w:r>
        <w:rPr>
          <w:snapToGrid/>
          <w:kern w:val="22"/>
          <w:szCs w:val="22"/>
          <w:lang w:val="fr-FR"/>
        </w:rPr>
        <w:t>d’entre eux</w:t>
      </w:r>
      <w:r w:rsidR="00B352DE" w:rsidRPr="00C54A95">
        <w:rPr>
          <w:snapToGrid/>
          <w:kern w:val="22"/>
          <w:szCs w:val="22"/>
          <w:lang w:val="fr-FR"/>
        </w:rPr>
        <w:t xml:space="preserve">. À titre comparatif, ce critère a été considéré comme « pleinement respecté » par 47 % des répondants issus de pays développés Parties, « partiellement respecté » par 53 % </w:t>
      </w:r>
      <w:r w:rsidR="0075487B">
        <w:rPr>
          <w:snapToGrid/>
          <w:kern w:val="22"/>
          <w:szCs w:val="22"/>
          <w:lang w:val="fr-FR"/>
        </w:rPr>
        <w:t>d’entre eux</w:t>
      </w:r>
      <w:r w:rsidR="0075487B" w:rsidRPr="00C54A95">
        <w:rPr>
          <w:snapToGrid/>
          <w:kern w:val="22"/>
          <w:szCs w:val="22"/>
          <w:lang w:val="fr-FR"/>
        </w:rPr>
        <w:t xml:space="preserve"> </w:t>
      </w:r>
      <w:r w:rsidR="00B352DE" w:rsidRPr="00C54A95">
        <w:rPr>
          <w:snapToGrid/>
          <w:kern w:val="22"/>
          <w:szCs w:val="22"/>
          <w:lang w:val="fr-FR"/>
        </w:rPr>
        <w:t xml:space="preserve">et « non respecté » par aucun </w:t>
      </w:r>
      <w:r w:rsidR="0075487B">
        <w:rPr>
          <w:snapToGrid/>
          <w:kern w:val="22"/>
          <w:szCs w:val="22"/>
          <w:lang w:val="fr-FR"/>
        </w:rPr>
        <w:t>d’entre eux</w:t>
      </w:r>
      <w:r w:rsidR="00742F79" w:rsidRPr="00C54A95">
        <w:rPr>
          <w:snapToGrid/>
          <w:kern w:val="22"/>
          <w:szCs w:val="22"/>
          <w:lang w:val="fr-FR"/>
        </w:rPr>
        <w:t>.</w:t>
      </w:r>
    </w:p>
    <w:p w:rsidR="00742F79" w:rsidRPr="00C54A95" w:rsidRDefault="008566D5" w:rsidP="00F82F1D">
      <w:pPr>
        <w:pStyle w:val="Para1"/>
        <w:suppressLineNumbers/>
        <w:tabs>
          <w:tab w:val="clear" w:pos="360"/>
        </w:tabs>
        <w:suppressAutoHyphens/>
        <w:kinsoku w:val="0"/>
        <w:overflowPunct w:val="0"/>
        <w:autoSpaceDE w:val="0"/>
        <w:autoSpaceDN w:val="0"/>
        <w:rPr>
          <w:snapToGrid/>
          <w:kern w:val="22"/>
          <w:szCs w:val="22"/>
          <w:lang w:val="fr-FR"/>
        </w:rPr>
      </w:pPr>
      <w:r>
        <w:rPr>
          <w:snapToGrid/>
          <w:kern w:val="22"/>
          <w:szCs w:val="22"/>
          <w:lang w:val="fr-FR"/>
        </w:rPr>
        <w:t xml:space="preserve">Au titre de </w:t>
      </w:r>
      <w:r w:rsidRPr="00C54A95">
        <w:rPr>
          <w:kern w:val="22"/>
          <w:szCs w:val="22"/>
          <w:lang w:val="fr-FR"/>
        </w:rPr>
        <w:t>la huitième réunion de la Conférence des Parties siégeant en tant que réunion des Parties au Protocole de Cartagena</w:t>
      </w:r>
      <w:r>
        <w:rPr>
          <w:kern w:val="22"/>
          <w:szCs w:val="22"/>
          <w:lang w:val="fr-FR"/>
        </w:rPr>
        <w:t>, c</w:t>
      </w:r>
      <w:r w:rsidR="00B352DE" w:rsidRPr="00C54A95">
        <w:rPr>
          <w:snapToGrid/>
          <w:kern w:val="22"/>
          <w:szCs w:val="22"/>
          <w:lang w:val="fr-FR"/>
        </w:rPr>
        <w:t xml:space="preserve">e critère a été considéré comme « pleinement respecté » par 27 % des répondants, « partiellement respecté » par 65 % d’entre eux et « non respecté » par 8 % d’entre eux. Après ventilation des résultats entre les pays développés et les pays en développement, il apparaît que ce critère a été considéré comme « pleinement respecté » par 33 % des répondants issus de pays en développement Parties, « partiellement respecté » par 56 % </w:t>
      </w:r>
      <w:r w:rsidRPr="00C54A95">
        <w:rPr>
          <w:snapToGrid/>
          <w:kern w:val="22"/>
          <w:szCs w:val="22"/>
          <w:lang w:val="fr-FR"/>
        </w:rPr>
        <w:t xml:space="preserve">d’entre eux </w:t>
      </w:r>
      <w:r w:rsidR="00B352DE" w:rsidRPr="00C54A95">
        <w:rPr>
          <w:snapToGrid/>
          <w:kern w:val="22"/>
          <w:szCs w:val="22"/>
          <w:lang w:val="fr-FR"/>
        </w:rPr>
        <w:t xml:space="preserve">et « non respecté » par 11 % </w:t>
      </w:r>
      <w:r>
        <w:rPr>
          <w:snapToGrid/>
          <w:kern w:val="22"/>
          <w:szCs w:val="22"/>
          <w:lang w:val="fr-FR"/>
        </w:rPr>
        <w:t>d’entre eux</w:t>
      </w:r>
      <w:r w:rsidR="0040492F">
        <w:rPr>
          <w:snapToGrid/>
          <w:kern w:val="22"/>
          <w:szCs w:val="22"/>
          <w:lang w:val="fr-FR"/>
        </w:rPr>
        <w:t>. À titre comparatif, l</w:t>
      </w:r>
      <w:r w:rsidR="00B352DE" w:rsidRPr="00C54A95">
        <w:rPr>
          <w:snapToGrid/>
          <w:kern w:val="22"/>
          <w:szCs w:val="22"/>
          <w:lang w:val="fr-FR"/>
        </w:rPr>
        <w:t xml:space="preserve">e critère a été considéré comme « pleinement respecté » par 6 % des répondants issus de pays développés Parties et « partiellement respecté » par 94 % </w:t>
      </w:r>
      <w:r>
        <w:rPr>
          <w:snapToGrid/>
          <w:kern w:val="22"/>
          <w:szCs w:val="22"/>
          <w:lang w:val="fr-FR"/>
        </w:rPr>
        <w:t>d’entre eux</w:t>
      </w:r>
      <w:r w:rsidR="00742F79" w:rsidRPr="00C54A95">
        <w:rPr>
          <w:snapToGrid/>
          <w:kern w:val="22"/>
          <w:szCs w:val="22"/>
          <w:lang w:val="fr-FR"/>
        </w:rPr>
        <w:t>.</w:t>
      </w:r>
    </w:p>
    <w:p w:rsidR="00742F79" w:rsidRPr="00C54A95" w:rsidRDefault="00B352DE" w:rsidP="00F82F1D">
      <w:pPr>
        <w:pStyle w:val="Para1"/>
        <w:suppressLineNumbers/>
        <w:tabs>
          <w:tab w:val="clear" w:pos="360"/>
        </w:tabs>
        <w:suppressAutoHyphens/>
        <w:kinsoku w:val="0"/>
        <w:overflowPunct w:val="0"/>
        <w:autoSpaceDE w:val="0"/>
        <w:autoSpaceDN w:val="0"/>
        <w:rPr>
          <w:snapToGrid/>
          <w:kern w:val="22"/>
          <w:szCs w:val="22"/>
          <w:lang w:val="fr-FR"/>
        </w:rPr>
      </w:pPr>
      <w:r w:rsidRPr="00C54A95">
        <w:rPr>
          <w:snapToGrid/>
          <w:kern w:val="22"/>
          <w:szCs w:val="22"/>
          <w:lang w:val="fr-FR"/>
        </w:rPr>
        <w:t xml:space="preserve">Au </w:t>
      </w:r>
      <w:r w:rsidR="008566D5">
        <w:rPr>
          <w:snapToGrid/>
          <w:kern w:val="22"/>
          <w:szCs w:val="22"/>
          <w:lang w:val="fr-FR"/>
        </w:rPr>
        <w:t>titre</w:t>
      </w:r>
      <w:r w:rsidRPr="00C54A95">
        <w:rPr>
          <w:snapToGrid/>
          <w:kern w:val="22"/>
          <w:szCs w:val="22"/>
          <w:lang w:val="fr-FR"/>
        </w:rPr>
        <w:t xml:space="preserve"> de </w:t>
      </w:r>
      <w:r w:rsidRPr="00C54A95">
        <w:rPr>
          <w:kern w:val="22"/>
          <w:szCs w:val="22"/>
          <w:lang w:val="fr-FR"/>
        </w:rPr>
        <w:t>la deuxième réunion de la Conférence des Parties siégeant en tant que réunion des Parties au Protocole de Nagoya</w:t>
      </w:r>
      <w:r w:rsidRPr="00C54A95">
        <w:rPr>
          <w:snapToGrid/>
          <w:kern w:val="22"/>
          <w:szCs w:val="22"/>
          <w:lang w:val="fr-FR"/>
        </w:rPr>
        <w:t xml:space="preserve">, le critère a été considéré comme « pleinement respecté » par 35 % des répondants, « partiellement respecté » par 52 % </w:t>
      </w:r>
      <w:r w:rsidR="0040492F" w:rsidRPr="00C54A95">
        <w:rPr>
          <w:snapToGrid/>
          <w:kern w:val="22"/>
          <w:szCs w:val="22"/>
          <w:lang w:val="fr-FR"/>
        </w:rPr>
        <w:t xml:space="preserve">d’entre eux </w:t>
      </w:r>
      <w:r w:rsidRPr="00C54A95">
        <w:rPr>
          <w:snapToGrid/>
          <w:kern w:val="22"/>
          <w:szCs w:val="22"/>
          <w:lang w:val="fr-FR"/>
        </w:rPr>
        <w:t xml:space="preserve">et « non respecté » par 13 % </w:t>
      </w:r>
      <w:r w:rsidR="0040492F">
        <w:rPr>
          <w:snapToGrid/>
          <w:kern w:val="22"/>
          <w:szCs w:val="22"/>
          <w:lang w:val="fr-FR"/>
        </w:rPr>
        <w:t>d’entre eux</w:t>
      </w:r>
      <w:r w:rsidRPr="00C54A95">
        <w:rPr>
          <w:snapToGrid/>
          <w:kern w:val="22"/>
          <w:szCs w:val="22"/>
          <w:lang w:val="fr-FR"/>
        </w:rPr>
        <w:t xml:space="preserve">. Après ventilation des résultats entre les pays développés et les pays en </w:t>
      </w:r>
      <w:r w:rsidR="0040492F">
        <w:rPr>
          <w:snapToGrid/>
          <w:kern w:val="22"/>
          <w:szCs w:val="22"/>
          <w:lang w:val="fr-FR"/>
        </w:rPr>
        <w:t>développement, il apparaît que l</w:t>
      </w:r>
      <w:r w:rsidRPr="00C54A95">
        <w:rPr>
          <w:snapToGrid/>
          <w:kern w:val="22"/>
          <w:szCs w:val="22"/>
          <w:lang w:val="fr-FR"/>
        </w:rPr>
        <w:t xml:space="preserve">e critère a été considéré comme « pleinement respecté » par 40 % des répondants issus de pays en développement Parties, « partiellement respecté » par 50 % </w:t>
      </w:r>
      <w:r w:rsidR="0040492F" w:rsidRPr="00C54A95">
        <w:rPr>
          <w:snapToGrid/>
          <w:kern w:val="22"/>
          <w:szCs w:val="22"/>
          <w:lang w:val="fr-FR"/>
        </w:rPr>
        <w:t xml:space="preserve">d’entre eux </w:t>
      </w:r>
      <w:r w:rsidRPr="00C54A95">
        <w:rPr>
          <w:snapToGrid/>
          <w:kern w:val="22"/>
          <w:szCs w:val="22"/>
          <w:lang w:val="fr-FR"/>
        </w:rPr>
        <w:t>et « non respecté »</w:t>
      </w:r>
      <w:r w:rsidR="0040492F">
        <w:rPr>
          <w:snapToGrid/>
          <w:kern w:val="22"/>
          <w:szCs w:val="22"/>
          <w:lang w:val="fr-FR"/>
        </w:rPr>
        <w:t xml:space="preserve"> par 10 % d’entre eux</w:t>
      </w:r>
      <w:r w:rsidRPr="00C54A95">
        <w:rPr>
          <w:snapToGrid/>
          <w:kern w:val="22"/>
          <w:szCs w:val="22"/>
          <w:lang w:val="fr-FR"/>
        </w:rPr>
        <w:t>. Parm</w:t>
      </w:r>
      <w:r w:rsidR="0040492F">
        <w:rPr>
          <w:snapToGrid/>
          <w:kern w:val="22"/>
          <w:szCs w:val="22"/>
          <w:lang w:val="fr-FR"/>
        </w:rPr>
        <w:t>i les pays développés Parties, l</w:t>
      </w:r>
      <w:r w:rsidRPr="00C54A95">
        <w:rPr>
          <w:snapToGrid/>
          <w:kern w:val="22"/>
          <w:szCs w:val="22"/>
          <w:lang w:val="fr-FR"/>
        </w:rPr>
        <w:t xml:space="preserve">e critère a été considéré comme « pleinement respecté » par 15 % des répondants, « partiellement respecté » par 61 % </w:t>
      </w:r>
      <w:r w:rsidR="0040492F" w:rsidRPr="00C54A95">
        <w:rPr>
          <w:snapToGrid/>
          <w:kern w:val="22"/>
          <w:szCs w:val="22"/>
          <w:lang w:val="fr-FR"/>
        </w:rPr>
        <w:t xml:space="preserve">d’entre eux </w:t>
      </w:r>
      <w:r w:rsidRPr="00C54A95">
        <w:rPr>
          <w:snapToGrid/>
          <w:kern w:val="22"/>
          <w:szCs w:val="22"/>
          <w:lang w:val="fr-FR"/>
        </w:rPr>
        <w:t>e</w:t>
      </w:r>
      <w:r w:rsidR="0040492F">
        <w:rPr>
          <w:snapToGrid/>
          <w:kern w:val="22"/>
          <w:szCs w:val="22"/>
          <w:lang w:val="fr-FR"/>
        </w:rPr>
        <w:t>t « non respecté » par 23 % d’entre eux</w:t>
      </w:r>
      <w:r w:rsidR="00742F79" w:rsidRPr="00C54A95">
        <w:rPr>
          <w:snapToGrid/>
          <w:kern w:val="22"/>
          <w:szCs w:val="22"/>
          <w:lang w:val="fr-FR"/>
        </w:rPr>
        <w:t>.</w:t>
      </w:r>
    </w:p>
    <w:p w:rsidR="00742F79" w:rsidRPr="00C54A95" w:rsidRDefault="00B352DE" w:rsidP="00F82F1D">
      <w:pPr>
        <w:pStyle w:val="Para1"/>
        <w:suppressLineNumbers/>
        <w:tabs>
          <w:tab w:val="clear" w:pos="360"/>
        </w:tabs>
        <w:suppressAutoHyphens/>
        <w:kinsoku w:val="0"/>
        <w:overflowPunct w:val="0"/>
        <w:autoSpaceDE w:val="0"/>
        <w:autoSpaceDN w:val="0"/>
        <w:rPr>
          <w:snapToGrid/>
          <w:kern w:val="22"/>
          <w:szCs w:val="22"/>
          <w:lang w:val="fr-FR"/>
        </w:rPr>
      </w:pPr>
      <w:r w:rsidRPr="00C54A95">
        <w:rPr>
          <w:snapToGrid/>
          <w:kern w:val="22"/>
          <w:szCs w:val="22"/>
          <w:lang w:val="fr-FR"/>
        </w:rPr>
        <w:t>Il ressort des réponses apportées par les P</w:t>
      </w:r>
      <w:r w:rsidR="0090301D">
        <w:rPr>
          <w:snapToGrid/>
          <w:kern w:val="22"/>
          <w:szCs w:val="22"/>
          <w:lang w:val="fr-FR"/>
        </w:rPr>
        <w:t>arties à la notification que le processus d’organisation d</w:t>
      </w:r>
      <w:r w:rsidRPr="00C54A95">
        <w:rPr>
          <w:snapToGrid/>
          <w:kern w:val="22"/>
          <w:szCs w:val="22"/>
          <w:lang w:val="fr-FR"/>
        </w:rPr>
        <w:t>es réu</w:t>
      </w:r>
      <w:r w:rsidR="0090301D">
        <w:rPr>
          <w:snapToGrid/>
          <w:kern w:val="22"/>
          <w:szCs w:val="22"/>
          <w:lang w:val="fr-FR"/>
        </w:rPr>
        <w:t>nions concomitantes a été perçu</w:t>
      </w:r>
      <w:r w:rsidRPr="00C54A95">
        <w:rPr>
          <w:snapToGrid/>
          <w:kern w:val="22"/>
          <w:szCs w:val="22"/>
          <w:lang w:val="fr-FR"/>
        </w:rPr>
        <w:t xml:space="preserve"> comme plus </w:t>
      </w:r>
      <w:r w:rsidR="0090301D">
        <w:rPr>
          <w:snapToGrid/>
          <w:kern w:val="22"/>
          <w:szCs w:val="22"/>
          <w:lang w:val="fr-FR"/>
        </w:rPr>
        <w:t>efficace</w:t>
      </w:r>
      <w:r w:rsidRPr="00C54A95">
        <w:rPr>
          <w:snapToGrid/>
          <w:kern w:val="22"/>
          <w:szCs w:val="22"/>
          <w:lang w:val="fr-FR"/>
        </w:rPr>
        <w:t xml:space="preserve"> </w:t>
      </w:r>
      <w:r w:rsidR="0090301D">
        <w:rPr>
          <w:snapToGrid/>
          <w:kern w:val="22"/>
          <w:szCs w:val="22"/>
          <w:lang w:val="fr-FR"/>
        </w:rPr>
        <w:t>lors d</w:t>
      </w:r>
      <w:r w:rsidRPr="00C54A95">
        <w:rPr>
          <w:snapToGrid/>
          <w:kern w:val="22"/>
          <w:szCs w:val="22"/>
          <w:lang w:val="fr-FR"/>
        </w:rPr>
        <w:t xml:space="preserve">es réunions tenues au titre de la Convention que </w:t>
      </w:r>
      <w:r w:rsidR="0090301D">
        <w:rPr>
          <w:snapToGrid/>
          <w:kern w:val="22"/>
          <w:szCs w:val="22"/>
          <w:lang w:val="fr-FR"/>
        </w:rPr>
        <w:t>lors des réunions</w:t>
      </w:r>
      <w:r w:rsidRPr="00C54A95">
        <w:rPr>
          <w:snapToGrid/>
          <w:kern w:val="22"/>
          <w:szCs w:val="22"/>
          <w:lang w:val="fr-FR"/>
        </w:rPr>
        <w:t xml:space="preserve"> tenues au titre des Protocoles. Le pourcentage des répondants ayant </w:t>
      </w:r>
      <w:r w:rsidRPr="00C54A95">
        <w:rPr>
          <w:snapToGrid/>
          <w:kern w:val="22"/>
          <w:szCs w:val="22"/>
          <w:lang w:val="fr-FR"/>
        </w:rPr>
        <w:lastRenderedPageBreak/>
        <w:t>considéré que le critère n’avait pas été respecté est tout</w:t>
      </w:r>
      <w:r w:rsidR="00673CE2">
        <w:rPr>
          <w:snapToGrid/>
          <w:kern w:val="22"/>
          <w:szCs w:val="22"/>
          <w:lang w:val="fr-FR"/>
        </w:rPr>
        <w:t>efois relativement faible pour l</w:t>
      </w:r>
      <w:r w:rsidRPr="00C54A95">
        <w:rPr>
          <w:snapToGrid/>
          <w:kern w:val="22"/>
          <w:szCs w:val="22"/>
          <w:lang w:val="fr-FR"/>
        </w:rPr>
        <w:t>es deux types de réunions</w:t>
      </w:r>
      <w:r w:rsidR="00742F79" w:rsidRPr="00C54A95">
        <w:rPr>
          <w:snapToGrid/>
          <w:kern w:val="22"/>
          <w:szCs w:val="22"/>
          <w:lang w:val="fr-FR"/>
        </w:rPr>
        <w:t>.</w:t>
      </w:r>
    </w:p>
    <w:p w:rsidR="00742F79" w:rsidRPr="00C54A95" w:rsidRDefault="00B352DE" w:rsidP="00F82F1D">
      <w:pPr>
        <w:pStyle w:val="Para1"/>
        <w:suppressLineNumbers/>
        <w:tabs>
          <w:tab w:val="clear" w:pos="360"/>
        </w:tabs>
        <w:suppressAutoHyphens/>
        <w:kinsoku w:val="0"/>
        <w:overflowPunct w:val="0"/>
        <w:autoSpaceDE w:val="0"/>
        <w:autoSpaceDN w:val="0"/>
        <w:rPr>
          <w:snapToGrid/>
          <w:kern w:val="22"/>
          <w:szCs w:val="22"/>
          <w:lang w:val="fr-FR"/>
        </w:rPr>
      </w:pPr>
      <w:r w:rsidRPr="00C54A95">
        <w:rPr>
          <w:snapToGrid/>
          <w:kern w:val="22"/>
          <w:szCs w:val="22"/>
          <w:lang w:val="fr-FR"/>
        </w:rPr>
        <w:t xml:space="preserve">Plusieurs Parties ont constaté dans leurs observations que l’utilisation d’une approche intégrée </w:t>
      </w:r>
      <w:r w:rsidR="007B4B96">
        <w:rPr>
          <w:snapToGrid/>
          <w:kern w:val="22"/>
          <w:szCs w:val="22"/>
          <w:lang w:val="fr-FR"/>
        </w:rPr>
        <w:t>dans</w:t>
      </w:r>
      <w:r w:rsidRPr="00C54A95">
        <w:rPr>
          <w:snapToGrid/>
          <w:kern w:val="22"/>
          <w:szCs w:val="22"/>
          <w:lang w:val="fr-FR"/>
        </w:rPr>
        <w:t xml:space="preserve"> l’examen de certains points de l’ordre du jour, tels que ceux relatifs aux mécanismes de financement, </w:t>
      </w:r>
      <w:r w:rsidR="00673CE2">
        <w:rPr>
          <w:snapToGrid/>
          <w:kern w:val="22"/>
          <w:szCs w:val="22"/>
          <w:lang w:val="fr-FR"/>
        </w:rPr>
        <w:t>pouvait créer</w:t>
      </w:r>
      <w:r w:rsidRPr="00C54A95">
        <w:rPr>
          <w:snapToGrid/>
          <w:kern w:val="22"/>
          <w:szCs w:val="22"/>
          <w:lang w:val="fr-FR"/>
        </w:rPr>
        <w:t xml:space="preserve"> une certaine confusion. D’autres Parties ont toutefois estimé que cette </w:t>
      </w:r>
      <w:r w:rsidR="00673CE2">
        <w:rPr>
          <w:snapToGrid/>
          <w:kern w:val="22"/>
          <w:szCs w:val="22"/>
          <w:lang w:val="fr-FR"/>
        </w:rPr>
        <w:t>approche</w:t>
      </w:r>
      <w:r w:rsidRPr="00C54A95">
        <w:rPr>
          <w:snapToGrid/>
          <w:kern w:val="22"/>
          <w:szCs w:val="22"/>
          <w:lang w:val="fr-FR"/>
        </w:rPr>
        <w:t xml:space="preserve"> était bénéfique </w:t>
      </w:r>
      <w:r w:rsidR="00673CE2">
        <w:rPr>
          <w:snapToGrid/>
          <w:kern w:val="22"/>
          <w:szCs w:val="22"/>
          <w:lang w:val="fr-FR"/>
        </w:rPr>
        <w:t>à</w:t>
      </w:r>
      <w:r w:rsidRPr="00C54A95">
        <w:rPr>
          <w:snapToGrid/>
          <w:kern w:val="22"/>
          <w:szCs w:val="22"/>
          <w:lang w:val="fr-FR"/>
        </w:rPr>
        <w:t xml:space="preserve"> l’examen de certaines questions telles que l’information de biologie synthétique et de séquençage numérique. Plusieurs répondants ont constaté que les délais trop courts accordés aux groupes de contact posaient problème, et que l’organisation de</w:t>
      </w:r>
      <w:r w:rsidR="007B4B96">
        <w:rPr>
          <w:snapToGrid/>
          <w:kern w:val="22"/>
          <w:szCs w:val="22"/>
          <w:lang w:val="fr-FR"/>
        </w:rPr>
        <w:t>s</w:t>
      </w:r>
      <w:r w:rsidRPr="00C54A95">
        <w:rPr>
          <w:snapToGrid/>
          <w:kern w:val="22"/>
          <w:szCs w:val="22"/>
          <w:lang w:val="fr-FR"/>
        </w:rPr>
        <w:t xml:space="preserve"> réunions</w:t>
      </w:r>
      <w:r w:rsidR="007B4B96">
        <w:rPr>
          <w:snapToGrid/>
          <w:kern w:val="22"/>
          <w:szCs w:val="22"/>
          <w:lang w:val="fr-FR"/>
        </w:rPr>
        <w:t xml:space="preserve"> concomitantes</w:t>
      </w:r>
      <w:r w:rsidRPr="00C54A95">
        <w:rPr>
          <w:snapToGrid/>
          <w:kern w:val="22"/>
          <w:szCs w:val="22"/>
          <w:lang w:val="fr-FR"/>
        </w:rPr>
        <w:t xml:space="preserve"> relatives à la Convention et aux Protocoles posait le risque </w:t>
      </w:r>
      <w:r w:rsidR="00673CE2">
        <w:rPr>
          <w:snapToGrid/>
          <w:kern w:val="22"/>
          <w:szCs w:val="22"/>
          <w:lang w:val="fr-FR"/>
        </w:rPr>
        <w:t xml:space="preserve">d’une </w:t>
      </w:r>
      <w:r w:rsidRPr="00C54A95">
        <w:rPr>
          <w:snapToGrid/>
          <w:kern w:val="22"/>
          <w:szCs w:val="22"/>
          <w:lang w:val="fr-FR"/>
        </w:rPr>
        <w:t>inégalité de traitement parmi les instruments. Il a été proposé que ce problème soit pris e</w:t>
      </w:r>
      <w:r w:rsidR="00673CE2">
        <w:rPr>
          <w:snapToGrid/>
          <w:kern w:val="22"/>
          <w:szCs w:val="22"/>
          <w:lang w:val="fr-FR"/>
        </w:rPr>
        <w:t xml:space="preserve">n compte à l’avenir, lors de l’établissement </w:t>
      </w:r>
      <w:r w:rsidRPr="00C54A95">
        <w:rPr>
          <w:snapToGrid/>
          <w:kern w:val="22"/>
          <w:szCs w:val="22"/>
          <w:lang w:val="fr-FR"/>
        </w:rPr>
        <w:t>des ordres du jour des réunions relatives à la Convention et aux Protocoles. Plusi</w:t>
      </w:r>
      <w:r w:rsidR="00673CE2">
        <w:rPr>
          <w:snapToGrid/>
          <w:kern w:val="22"/>
          <w:szCs w:val="22"/>
          <w:lang w:val="fr-FR"/>
        </w:rPr>
        <w:t xml:space="preserve">eurs Parties ont également relevé </w:t>
      </w:r>
      <w:r w:rsidRPr="00C54A95">
        <w:rPr>
          <w:snapToGrid/>
          <w:kern w:val="22"/>
          <w:szCs w:val="22"/>
          <w:lang w:val="fr-FR"/>
        </w:rPr>
        <w:t xml:space="preserve">que la participation limitée de certaines </w:t>
      </w:r>
      <w:r w:rsidR="00673CE2">
        <w:rPr>
          <w:snapToGrid/>
          <w:kern w:val="22"/>
          <w:szCs w:val="22"/>
          <w:lang w:val="fr-FR"/>
        </w:rPr>
        <w:t xml:space="preserve">Parties </w:t>
      </w:r>
      <w:r w:rsidRPr="00C54A95">
        <w:rPr>
          <w:snapToGrid/>
          <w:kern w:val="22"/>
          <w:szCs w:val="22"/>
          <w:lang w:val="fr-FR"/>
        </w:rPr>
        <w:t xml:space="preserve">aux réunions concomitantes </w:t>
      </w:r>
      <w:r w:rsidR="00673CE2">
        <w:rPr>
          <w:snapToGrid/>
          <w:kern w:val="22"/>
          <w:szCs w:val="22"/>
          <w:lang w:val="fr-FR"/>
        </w:rPr>
        <w:t>nuisait</w:t>
      </w:r>
      <w:r w:rsidRPr="00C54A95">
        <w:rPr>
          <w:snapToGrid/>
          <w:kern w:val="22"/>
          <w:szCs w:val="22"/>
          <w:lang w:val="fr-FR"/>
        </w:rPr>
        <w:t xml:space="preserve"> au développement effectif des résultats</w:t>
      </w:r>
      <w:r w:rsidR="00742F79" w:rsidRPr="00C54A95">
        <w:rPr>
          <w:snapToGrid/>
          <w:kern w:val="22"/>
          <w:szCs w:val="22"/>
          <w:lang w:val="fr-FR"/>
        </w:rPr>
        <w:t>.</w:t>
      </w:r>
    </w:p>
    <w:p w:rsidR="00742F79" w:rsidRPr="00C54A95" w:rsidRDefault="00B352DE" w:rsidP="00F82F1D">
      <w:pPr>
        <w:pStyle w:val="Para1"/>
        <w:suppressLineNumbers/>
        <w:tabs>
          <w:tab w:val="clear" w:pos="360"/>
        </w:tabs>
        <w:suppressAutoHyphens/>
        <w:kinsoku w:val="0"/>
        <w:overflowPunct w:val="0"/>
        <w:autoSpaceDE w:val="0"/>
        <w:autoSpaceDN w:val="0"/>
        <w:rPr>
          <w:snapToGrid/>
          <w:kern w:val="22"/>
          <w:szCs w:val="22"/>
          <w:lang w:val="fr-FR"/>
        </w:rPr>
      </w:pPr>
      <w:r w:rsidRPr="00C54A95">
        <w:rPr>
          <w:snapToGrid/>
          <w:kern w:val="22"/>
          <w:szCs w:val="22"/>
          <w:lang w:val="fr-FR"/>
        </w:rPr>
        <w:t xml:space="preserve">Les réponses apportées par les participants à l’enquête en ligne </w:t>
      </w:r>
      <w:r w:rsidR="00673CE2">
        <w:rPr>
          <w:snapToGrid/>
          <w:kern w:val="22"/>
          <w:szCs w:val="22"/>
          <w:lang w:val="fr-FR"/>
        </w:rPr>
        <w:t>sont</w:t>
      </w:r>
      <w:r w:rsidRPr="00C54A95">
        <w:rPr>
          <w:snapToGrid/>
          <w:kern w:val="22"/>
          <w:szCs w:val="22"/>
          <w:lang w:val="fr-FR"/>
        </w:rPr>
        <w:t xml:space="preserve"> analogues à cel</w:t>
      </w:r>
      <w:r w:rsidR="007B4B96">
        <w:rPr>
          <w:snapToGrid/>
          <w:kern w:val="22"/>
          <w:szCs w:val="22"/>
          <w:lang w:val="fr-FR"/>
        </w:rPr>
        <w:t>les de la notification. L</w:t>
      </w:r>
      <w:r w:rsidRPr="00C54A95">
        <w:rPr>
          <w:snapToGrid/>
          <w:kern w:val="22"/>
          <w:szCs w:val="22"/>
          <w:lang w:val="fr-FR"/>
        </w:rPr>
        <w:t xml:space="preserve">a grande majorité des répondants a considéré </w:t>
      </w:r>
      <w:r w:rsidR="007B4B96">
        <w:rPr>
          <w:snapToGrid/>
          <w:kern w:val="22"/>
          <w:szCs w:val="22"/>
          <w:lang w:val="fr-FR"/>
        </w:rPr>
        <w:t>dans l’enquête que</w:t>
      </w:r>
      <w:r w:rsidRPr="00C54A95">
        <w:rPr>
          <w:snapToGrid/>
          <w:kern w:val="22"/>
          <w:szCs w:val="22"/>
          <w:lang w:val="fr-FR"/>
        </w:rPr>
        <w:t xml:space="preserve"> l’organisati</w:t>
      </w:r>
      <w:r w:rsidR="00A847CA">
        <w:rPr>
          <w:snapToGrid/>
          <w:kern w:val="22"/>
          <w:szCs w:val="22"/>
          <w:lang w:val="fr-FR"/>
        </w:rPr>
        <w:t>on de</w:t>
      </w:r>
      <w:r w:rsidR="007B4B96">
        <w:rPr>
          <w:snapToGrid/>
          <w:kern w:val="22"/>
          <w:szCs w:val="22"/>
          <w:lang w:val="fr-FR"/>
        </w:rPr>
        <w:t xml:space="preserve">s </w:t>
      </w:r>
      <w:r w:rsidR="00A847CA">
        <w:rPr>
          <w:snapToGrid/>
          <w:kern w:val="22"/>
          <w:szCs w:val="22"/>
          <w:lang w:val="fr-FR"/>
        </w:rPr>
        <w:t xml:space="preserve">réunions </w:t>
      </w:r>
      <w:r w:rsidR="007B4B96">
        <w:rPr>
          <w:snapToGrid/>
          <w:kern w:val="22"/>
          <w:szCs w:val="22"/>
          <w:lang w:val="fr-FR"/>
        </w:rPr>
        <w:t xml:space="preserve">concomitantes </w:t>
      </w:r>
      <w:r w:rsidR="00A847CA">
        <w:rPr>
          <w:snapToGrid/>
          <w:kern w:val="22"/>
          <w:szCs w:val="22"/>
          <w:lang w:val="fr-FR"/>
        </w:rPr>
        <w:t>des Conférences</w:t>
      </w:r>
      <w:r w:rsidRPr="00C54A95">
        <w:rPr>
          <w:snapToGrid/>
          <w:kern w:val="22"/>
          <w:szCs w:val="22"/>
          <w:lang w:val="fr-FR"/>
        </w:rPr>
        <w:t xml:space="preserve"> des Parties à la Convention, au Protocole de Cartagena et au Protocole de Nagoya </w:t>
      </w:r>
      <w:r w:rsidR="007B4B96">
        <w:rPr>
          <w:snapToGrid/>
          <w:kern w:val="22"/>
          <w:szCs w:val="22"/>
          <w:lang w:val="fr-FR"/>
        </w:rPr>
        <w:t>était</w:t>
      </w:r>
      <w:r w:rsidRPr="00C54A95">
        <w:rPr>
          <w:snapToGrid/>
          <w:kern w:val="22"/>
          <w:szCs w:val="22"/>
          <w:lang w:val="fr-FR"/>
        </w:rPr>
        <w:t xml:space="preserve"> effective</w:t>
      </w:r>
      <w:r w:rsidR="00580922">
        <w:rPr>
          <w:snapToGrid/>
          <w:kern w:val="22"/>
          <w:szCs w:val="22"/>
          <w:lang w:val="fr-FR"/>
        </w:rPr>
        <w:t>,</w:t>
      </w:r>
      <w:r w:rsidRPr="00C54A95">
        <w:rPr>
          <w:snapToGrid/>
          <w:kern w:val="22"/>
          <w:szCs w:val="22"/>
          <w:lang w:val="fr-FR"/>
        </w:rPr>
        <w:t xml:space="preserve"> d</w:t>
      </w:r>
      <w:r w:rsidR="007B4B96">
        <w:rPr>
          <w:snapToGrid/>
          <w:kern w:val="22"/>
          <w:szCs w:val="22"/>
          <w:lang w:val="fr-FR"/>
        </w:rPr>
        <w:t>ans la mesure où elle améliorait</w:t>
      </w:r>
      <w:r w:rsidRPr="00C54A95">
        <w:rPr>
          <w:snapToGrid/>
          <w:kern w:val="22"/>
          <w:szCs w:val="22"/>
          <w:lang w:val="fr-FR"/>
        </w:rPr>
        <w:t xml:space="preserve"> l’efficience des </w:t>
      </w:r>
      <w:r w:rsidR="00580922">
        <w:rPr>
          <w:snapToGrid/>
          <w:kern w:val="22"/>
          <w:szCs w:val="22"/>
          <w:lang w:val="fr-FR"/>
        </w:rPr>
        <w:t>processus conduit</w:t>
      </w:r>
      <w:r w:rsidRPr="00C54A95">
        <w:rPr>
          <w:snapToGrid/>
          <w:kern w:val="22"/>
          <w:szCs w:val="22"/>
          <w:lang w:val="fr-FR"/>
        </w:rPr>
        <w:t xml:space="preserve">s </w:t>
      </w:r>
      <w:r w:rsidR="00580922">
        <w:rPr>
          <w:snapToGrid/>
          <w:kern w:val="22"/>
          <w:szCs w:val="22"/>
          <w:lang w:val="fr-FR"/>
        </w:rPr>
        <w:t>au titre des</w:t>
      </w:r>
      <w:r w:rsidRPr="00C54A95">
        <w:rPr>
          <w:snapToGrid/>
          <w:kern w:val="22"/>
          <w:szCs w:val="22"/>
          <w:lang w:val="fr-FR"/>
        </w:rPr>
        <w:t xml:space="preserve"> accords. Ce sont au total 11 % des répondants qui ont été « entièrement d’accord » avec cette affirmation et 50 % d’entre eux, « d’accord ». À l’inverse, 13 % des répondants n’ont pas été d’accord avec cette</w:t>
      </w:r>
      <w:r w:rsidR="00580922">
        <w:rPr>
          <w:snapToGrid/>
          <w:kern w:val="22"/>
          <w:szCs w:val="22"/>
          <w:lang w:val="fr-FR"/>
        </w:rPr>
        <w:t xml:space="preserve"> affirmation et 6 % d’entre eux, « </w:t>
      </w:r>
      <w:r w:rsidRPr="00C54A95">
        <w:rPr>
          <w:snapToGrid/>
          <w:kern w:val="22"/>
          <w:szCs w:val="22"/>
          <w:lang w:val="fr-FR"/>
        </w:rPr>
        <w:t>pas du tout d’accord</w:t>
      </w:r>
      <w:r w:rsidR="00580922">
        <w:rPr>
          <w:snapToGrid/>
          <w:kern w:val="22"/>
          <w:szCs w:val="22"/>
          <w:lang w:val="fr-FR"/>
        </w:rPr>
        <w:t> »</w:t>
      </w:r>
      <w:r w:rsidRPr="00C54A95">
        <w:rPr>
          <w:snapToGrid/>
          <w:kern w:val="22"/>
          <w:szCs w:val="22"/>
          <w:lang w:val="fr-FR"/>
        </w:rPr>
        <w:t>. Le reste, soit 22 % des répondants, n’a pas eu d’avis sur cette question. Les réponses apportées par les Parties ont produit les mêmes résultats (16 % o</w:t>
      </w:r>
      <w:r w:rsidR="00580922">
        <w:rPr>
          <w:snapToGrid/>
          <w:kern w:val="22"/>
          <w:szCs w:val="22"/>
          <w:lang w:val="fr-FR"/>
        </w:rPr>
        <w:t>nt été « entièrement d’accord »</w:t>
      </w:r>
      <w:r w:rsidRPr="00C54A95">
        <w:rPr>
          <w:snapToGrid/>
          <w:kern w:val="22"/>
          <w:szCs w:val="22"/>
          <w:lang w:val="fr-FR"/>
        </w:rPr>
        <w:t>, 49 % « d’accord », 17 % ont eu un avis neutre, 13 % n’ont pas été d’a</w:t>
      </w:r>
      <w:r w:rsidR="007B4B96">
        <w:rPr>
          <w:snapToGrid/>
          <w:kern w:val="22"/>
          <w:szCs w:val="22"/>
          <w:lang w:val="fr-FR"/>
        </w:rPr>
        <w:t>ccord et 6 %, « </w:t>
      </w:r>
      <w:r w:rsidRPr="00C54A95">
        <w:rPr>
          <w:snapToGrid/>
          <w:kern w:val="22"/>
          <w:szCs w:val="22"/>
          <w:lang w:val="fr-FR"/>
        </w:rPr>
        <w:t>pas du tout d’accord</w:t>
      </w:r>
      <w:r w:rsidR="007B4B96">
        <w:rPr>
          <w:snapToGrid/>
          <w:kern w:val="22"/>
          <w:szCs w:val="22"/>
          <w:lang w:val="fr-FR"/>
        </w:rPr>
        <w:t> »</w:t>
      </w:r>
      <w:r w:rsidR="00742F79" w:rsidRPr="00C54A95">
        <w:rPr>
          <w:snapToGrid/>
          <w:kern w:val="22"/>
          <w:szCs w:val="22"/>
          <w:lang w:val="fr-FR"/>
        </w:rPr>
        <w:t>).</w:t>
      </w:r>
    </w:p>
    <w:p w:rsidR="00742F79" w:rsidRPr="00C54A95" w:rsidRDefault="007B4B96" w:rsidP="00F82F1D">
      <w:pPr>
        <w:pStyle w:val="Para1"/>
        <w:suppressLineNumbers/>
        <w:tabs>
          <w:tab w:val="clear" w:pos="360"/>
        </w:tabs>
        <w:suppressAutoHyphens/>
        <w:kinsoku w:val="0"/>
        <w:overflowPunct w:val="0"/>
        <w:autoSpaceDE w:val="0"/>
        <w:autoSpaceDN w:val="0"/>
        <w:rPr>
          <w:snapToGrid/>
          <w:kern w:val="22"/>
          <w:szCs w:val="22"/>
          <w:lang w:val="fr-FR"/>
        </w:rPr>
      </w:pPr>
      <w:r>
        <w:rPr>
          <w:snapToGrid/>
          <w:kern w:val="22"/>
          <w:szCs w:val="22"/>
          <w:lang w:val="fr-FR"/>
        </w:rPr>
        <w:t>L</w:t>
      </w:r>
      <w:r w:rsidR="00B352DE" w:rsidRPr="00C54A95">
        <w:rPr>
          <w:snapToGrid/>
          <w:kern w:val="22"/>
          <w:szCs w:val="22"/>
          <w:lang w:val="fr-FR"/>
        </w:rPr>
        <w:t xml:space="preserve">es répondants ont recensé </w:t>
      </w:r>
      <w:r>
        <w:rPr>
          <w:snapToGrid/>
          <w:kern w:val="22"/>
          <w:szCs w:val="22"/>
          <w:lang w:val="fr-FR"/>
        </w:rPr>
        <w:t xml:space="preserve">dans </w:t>
      </w:r>
      <w:r w:rsidRPr="00C54A95">
        <w:rPr>
          <w:snapToGrid/>
          <w:kern w:val="22"/>
          <w:szCs w:val="22"/>
          <w:lang w:val="fr-FR"/>
        </w:rPr>
        <w:t>l’enquête</w:t>
      </w:r>
      <w:r>
        <w:rPr>
          <w:snapToGrid/>
          <w:kern w:val="22"/>
          <w:szCs w:val="22"/>
          <w:lang w:val="fr-FR"/>
        </w:rPr>
        <w:t xml:space="preserve"> </w:t>
      </w:r>
      <w:r w:rsidR="00B352DE" w:rsidRPr="00C54A95">
        <w:rPr>
          <w:snapToGrid/>
          <w:kern w:val="22"/>
          <w:szCs w:val="22"/>
          <w:lang w:val="fr-FR"/>
        </w:rPr>
        <w:t xml:space="preserve">les avantages et inconvénients de l’organisation de réunions concomitantes </w:t>
      </w:r>
      <w:r w:rsidR="00874AE4">
        <w:rPr>
          <w:snapToGrid/>
          <w:kern w:val="22"/>
          <w:szCs w:val="22"/>
          <w:lang w:val="fr-FR"/>
        </w:rPr>
        <w:t>au titre des</w:t>
      </w:r>
      <w:r w:rsidR="00B352DE" w:rsidRPr="00C54A95">
        <w:rPr>
          <w:snapToGrid/>
          <w:kern w:val="22"/>
          <w:szCs w:val="22"/>
          <w:lang w:val="fr-FR"/>
        </w:rPr>
        <w:t xml:space="preserve"> observations. Les avantages recensés incluaient un meilleur échange de vues et d’informations, des résultats plus cohérents pour les trois accords, le raccourcissement de la durée des </w:t>
      </w:r>
      <w:r w:rsidR="00C41D77">
        <w:rPr>
          <w:snapToGrid/>
          <w:kern w:val="22"/>
          <w:szCs w:val="22"/>
          <w:lang w:val="fr-FR"/>
        </w:rPr>
        <w:t>réunions</w:t>
      </w:r>
      <w:r w:rsidR="00B352DE" w:rsidRPr="00C54A95">
        <w:rPr>
          <w:snapToGrid/>
          <w:kern w:val="22"/>
          <w:szCs w:val="22"/>
          <w:lang w:val="fr-FR"/>
        </w:rPr>
        <w:t xml:space="preserve">, </w:t>
      </w:r>
      <w:r w:rsidR="00874AE4">
        <w:rPr>
          <w:snapToGrid/>
          <w:kern w:val="22"/>
          <w:szCs w:val="22"/>
          <w:lang w:val="fr-FR"/>
        </w:rPr>
        <w:t>la</w:t>
      </w:r>
      <w:r w:rsidR="00B352DE" w:rsidRPr="00C54A95">
        <w:rPr>
          <w:snapToGrid/>
          <w:kern w:val="22"/>
          <w:szCs w:val="22"/>
          <w:lang w:val="fr-FR"/>
        </w:rPr>
        <w:t xml:space="preserve"> plus grande visibilité </w:t>
      </w:r>
      <w:r w:rsidR="00874AE4">
        <w:rPr>
          <w:snapToGrid/>
          <w:kern w:val="22"/>
          <w:szCs w:val="22"/>
          <w:lang w:val="fr-FR"/>
        </w:rPr>
        <w:t>de</w:t>
      </w:r>
      <w:r w:rsidR="00B352DE" w:rsidRPr="00C54A95">
        <w:rPr>
          <w:snapToGrid/>
          <w:kern w:val="22"/>
          <w:szCs w:val="22"/>
          <w:lang w:val="fr-FR"/>
        </w:rPr>
        <w:t xml:space="preserve">s travaux </w:t>
      </w:r>
      <w:r w:rsidR="00C41D77">
        <w:rPr>
          <w:snapToGrid/>
          <w:kern w:val="22"/>
          <w:szCs w:val="22"/>
          <w:lang w:val="fr-FR"/>
        </w:rPr>
        <w:t xml:space="preserve">conduits au titre </w:t>
      </w:r>
      <w:r w:rsidR="00B352DE" w:rsidRPr="00C54A95">
        <w:rPr>
          <w:snapToGrid/>
          <w:kern w:val="22"/>
          <w:szCs w:val="22"/>
          <w:lang w:val="fr-FR"/>
        </w:rPr>
        <w:t xml:space="preserve">des Protocoles </w:t>
      </w:r>
      <w:r w:rsidR="00C41D77">
        <w:rPr>
          <w:snapToGrid/>
          <w:kern w:val="22"/>
          <w:szCs w:val="22"/>
          <w:lang w:val="fr-FR"/>
        </w:rPr>
        <w:t xml:space="preserve">et </w:t>
      </w:r>
      <w:r w:rsidR="00B352DE" w:rsidRPr="00C54A95">
        <w:rPr>
          <w:snapToGrid/>
          <w:kern w:val="22"/>
          <w:szCs w:val="22"/>
          <w:lang w:val="fr-FR"/>
        </w:rPr>
        <w:t>un</w:t>
      </w:r>
      <w:r w:rsidR="00C41D77">
        <w:rPr>
          <w:snapToGrid/>
          <w:kern w:val="22"/>
          <w:szCs w:val="22"/>
          <w:lang w:val="fr-FR"/>
        </w:rPr>
        <w:t xml:space="preserve">e meilleure reconnaissance </w:t>
      </w:r>
      <w:r w:rsidR="00B352DE" w:rsidRPr="00C54A95">
        <w:rPr>
          <w:snapToGrid/>
          <w:kern w:val="22"/>
          <w:szCs w:val="22"/>
          <w:lang w:val="fr-FR"/>
        </w:rPr>
        <w:t>des liens existant entre les trois processus. Les inconvénients recensés inclu</w:t>
      </w:r>
      <w:r w:rsidR="00C41D77">
        <w:rPr>
          <w:snapToGrid/>
          <w:kern w:val="22"/>
          <w:szCs w:val="22"/>
          <w:lang w:val="fr-FR"/>
        </w:rPr>
        <w:t>ai</w:t>
      </w:r>
      <w:r w:rsidR="00B352DE" w:rsidRPr="00C54A95">
        <w:rPr>
          <w:snapToGrid/>
          <w:kern w:val="22"/>
          <w:szCs w:val="22"/>
          <w:lang w:val="fr-FR"/>
        </w:rPr>
        <w:t xml:space="preserve">ent la difficulté de suivre trois réunions différentes, d’assurer une bonne coordination et d’atteindre le nombre </w:t>
      </w:r>
      <w:r w:rsidR="00620F1F" w:rsidRPr="00C54A95">
        <w:rPr>
          <w:snapToGrid/>
          <w:kern w:val="22"/>
          <w:szCs w:val="22"/>
          <w:lang w:val="fr-FR"/>
        </w:rPr>
        <w:t xml:space="preserve">requis </w:t>
      </w:r>
      <w:r w:rsidR="00620F1F">
        <w:rPr>
          <w:snapToGrid/>
          <w:kern w:val="22"/>
          <w:szCs w:val="22"/>
          <w:lang w:val="fr-FR"/>
        </w:rPr>
        <w:t>de</w:t>
      </w:r>
      <w:r w:rsidR="00B352DE" w:rsidRPr="00C54A95">
        <w:rPr>
          <w:snapToGrid/>
          <w:kern w:val="22"/>
          <w:szCs w:val="22"/>
          <w:lang w:val="fr-FR"/>
        </w:rPr>
        <w:t xml:space="preserve"> groupes de contact. Ces aspects ont été </w:t>
      </w:r>
      <w:r w:rsidR="00620F1F">
        <w:rPr>
          <w:snapToGrid/>
          <w:kern w:val="22"/>
          <w:szCs w:val="22"/>
          <w:lang w:val="fr-FR"/>
        </w:rPr>
        <w:t>jugés</w:t>
      </w:r>
      <w:r w:rsidR="00B352DE" w:rsidRPr="00C54A95">
        <w:rPr>
          <w:snapToGrid/>
          <w:kern w:val="22"/>
          <w:szCs w:val="22"/>
          <w:lang w:val="fr-FR"/>
        </w:rPr>
        <w:t xml:space="preserve"> « problématique</w:t>
      </w:r>
      <w:r w:rsidR="00620F1F">
        <w:rPr>
          <w:snapToGrid/>
          <w:kern w:val="22"/>
          <w:szCs w:val="22"/>
          <w:lang w:val="fr-FR"/>
        </w:rPr>
        <w:t>s</w:t>
      </w:r>
      <w:r w:rsidR="00B352DE" w:rsidRPr="00C54A95">
        <w:rPr>
          <w:snapToGrid/>
          <w:kern w:val="22"/>
          <w:szCs w:val="22"/>
          <w:lang w:val="fr-FR"/>
        </w:rPr>
        <w:t> » pour les délégations de petite taille. Les autres difficultés recensées concernent les délais trop courts accordés à l’examen de certaines questions et la nécessité qui est</w:t>
      </w:r>
      <w:r w:rsidR="00620F1F">
        <w:rPr>
          <w:snapToGrid/>
          <w:kern w:val="22"/>
          <w:szCs w:val="22"/>
          <w:lang w:val="fr-FR"/>
        </w:rPr>
        <w:t xml:space="preserve"> faite aux </w:t>
      </w:r>
      <w:r w:rsidR="00620F1F" w:rsidRPr="00C54A95">
        <w:rPr>
          <w:snapToGrid/>
          <w:kern w:val="22"/>
          <w:szCs w:val="22"/>
          <w:lang w:val="fr-FR"/>
        </w:rPr>
        <w:t xml:space="preserve">délégués </w:t>
      </w:r>
      <w:r w:rsidR="00620F1F">
        <w:rPr>
          <w:snapToGrid/>
          <w:kern w:val="22"/>
          <w:szCs w:val="22"/>
          <w:lang w:val="fr-FR"/>
        </w:rPr>
        <w:t>d’attendre que leurs points soient</w:t>
      </w:r>
      <w:r w:rsidR="00B352DE" w:rsidRPr="00C54A95">
        <w:rPr>
          <w:snapToGrid/>
          <w:kern w:val="22"/>
          <w:szCs w:val="22"/>
          <w:lang w:val="fr-FR"/>
        </w:rPr>
        <w:t xml:space="preserve"> traités </w:t>
      </w:r>
      <w:r w:rsidR="00874AE4">
        <w:rPr>
          <w:snapToGrid/>
          <w:kern w:val="22"/>
          <w:szCs w:val="22"/>
          <w:lang w:val="fr-FR"/>
        </w:rPr>
        <w:t>dans le cadre</w:t>
      </w:r>
      <w:r w:rsidR="00B352DE" w:rsidRPr="00C54A95">
        <w:rPr>
          <w:snapToGrid/>
          <w:kern w:val="22"/>
          <w:szCs w:val="22"/>
          <w:lang w:val="fr-FR"/>
        </w:rPr>
        <w:t xml:space="preserve"> des réunions plénières ou des groupes de travail</w:t>
      </w:r>
      <w:r w:rsidR="00742F79" w:rsidRPr="00C54A95">
        <w:rPr>
          <w:snapToGrid/>
          <w:kern w:val="22"/>
          <w:szCs w:val="22"/>
          <w:lang w:val="fr-FR"/>
        </w:rPr>
        <w:t>.</w:t>
      </w:r>
    </w:p>
    <w:p w:rsidR="00742F79" w:rsidRPr="00C54A95" w:rsidRDefault="00B352DE" w:rsidP="00F82F1D">
      <w:pPr>
        <w:pStyle w:val="Para1"/>
        <w:suppressLineNumbers/>
        <w:tabs>
          <w:tab w:val="clear" w:pos="360"/>
        </w:tabs>
        <w:suppressAutoHyphens/>
        <w:kinsoku w:val="0"/>
        <w:overflowPunct w:val="0"/>
        <w:autoSpaceDE w:val="0"/>
        <w:autoSpaceDN w:val="0"/>
        <w:rPr>
          <w:snapToGrid/>
          <w:kern w:val="22"/>
          <w:szCs w:val="22"/>
          <w:lang w:val="fr-FR"/>
        </w:rPr>
      </w:pPr>
      <w:r w:rsidRPr="00C54A95">
        <w:rPr>
          <w:snapToGrid/>
          <w:kern w:val="22"/>
          <w:szCs w:val="22"/>
          <w:lang w:val="fr-FR"/>
        </w:rPr>
        <w:t>Au total, 46 session</w:t>
      </w:r>
      <w:r w:rsidR="00407278">
        <w:rPr>
          <w:snapToGrid/>
          <w:kern w:val="22"/>
          <w:szCs w:val="22"/>
          <w:lang w:val="fr-FR"/>
        </w:rPr>
        <w:t>s ont eu lieu</w:t>
      </w:r>
      <w:r w:rsidRPr="00C54A95">
        <w:rPr>
          <w:snapToGrid/>
          <w:kern w:val="22"/>
          <w:szCs w:val="22"/>
          <w:lang w:val="fr-FR"/>
        </w:rPr>
        <w:t xml:space="preserve"> </w:t>
      </w:r>
      <w:r w:rsidR="00407278">
        <w:rPr>
          <w:snapToGrid/>
          <w:kern w:val="22"/>
          <w:szCs w:val="22"/>
          <w:lang w:val="fr-FR"/>
        </w:rPr>
        <w:t>sous la forme de réunions plénières ou</w:t>
      </w:r>
      <w:r w:rsidRPr="00C54A95">
        <w:rPr>
          <w:snapToGrid/>
          <w:kern w:val="22"/>
          <w:szCs w:val="22"/>
          <w:lang w:val="fr-FR"/>
        </w:rPr>
        <w:t xml:space="preserve"> de groupes de travail</w:t>
      </w:r>
      <w:r w:rsidR="00407278">
        <w:rPr>
          <w:snapToGrid/>
          <w:kern w:val="22"/>
          <w:szCs w:val="22"/>
          <w:lang w:val="fr-FR"/>
        </w:rPr>
        <w:t xml:space="preserve"> aux</w:t>
      </w:r>
      <w:r w:rsidR="00407278" w:rsidRPr="00C54A95">
        <w:rPr>
          <w:snapToGrid/>
          <w:kern w:val="22"/>
          <w:szCs w:val="22"/>
          <w:lang w:val="fr-FR"/>
        </w:rPr>
        <w:t xml:space="preserve"> réunions concomitantes</w:t>
      </w:r>
      <w:r w:rsidRPr="00C54A95">
        <w:rPr>
          <w:snapToGrid/>
          <w:kern w:val="22"/>
          <w:szCs w:val="22"/>
          <w:lang w:val="fr-FR"/>
        </w:rPr>
        <w:t xml:space="preserve"> sur une période de 12 jours</w:t>
      </w:r>
      <w:r w:rsidR="00407278">
        <w:rPr>
          <w:snapToGrid/>
          <w:kern w:val="22"/>
          <w:szCs w:val="22"/>
          <w:lang w:val="fr-FR"/>
        </w:rPr>
        <w:t>, soit une moyenne de</w:t>
      </w:r>
      <w:r w:rsidRPr="00C54A95">
        <w:rPr>
          <w:snapToGrid/>
          <w:kern w:val="22"/>
          <w:szCs w:val="22"/>
          <w:lang w:val="fr-FR"/>
        </w:rPr>
        <w:t xml:space="preserve"> 3</w:t>
      </w:r>
      <w:r w:rsidR="00407278">
        <w:rPr>
          <w:snapToGrid/>
          <w:kern w:val="22"/>
          <w:szCs w:val="22"/>
          <w:lang w:val="fr-FR"/>
        </w:rPr>
        <w:t>,8 sessions de travail par jour</w:t>
      </w:r>
      <w:r w:rsidRPr="00C54A95">
        <w:rPr>
          <w:snapToGrid/>
          <w:kern w:val="22"/>
          <w:szCs w:val="22"/>
          <w:lang w:val="fr-FR"/>
        </w:rPr>
        <w:t xml:space="preserve">. À titre comparatif, 54 sessions de travail avaient eu lieu </w:t>
      </w:r>
      <w:r w:rsidR="00407278">
        <w:rPr>
          <w:snapToGrid/>
          <w:kern w:val="22"/>
          <w:szCs w:val="22"/>
          <w:lang w:val="fr-FR"/>
        </w:rPr>
        <w:t>à</w:t>
      </w:r>
      <w:r w:rsidRPr="00C54A95">
        <w:rPr>
          <w:snapToGrid/>
          <w:kern w:val="22"/>
          <w:szCs w:val="22"/>
          <w:lang w:val="fr-FR"/>
        </w:rPr>
        <w:t xml:space="preserve"> la douzième réunion de la Conférence des Parties, </w:t>
      </w:r>
      <w:r w:rsidR="00407278">
        <w:rPr>
          <w:snapToGrid/>
          <w:kern w:val="22"/>
          <w:szCs w:val="22"/>
          <w:lang w:val="fr-FR"/>
        </w:rPr>
        <w:t>à</w:t>
      </w:r>
      <w:r w:rsidRPr="00C54A95">
        <w:rPr>
          <w:snapToGrid/>
          <w:kern w:val="22"/>
          <w:szCs w:val="22"/>
          <w:lang w:val="fr-FR"/>
        </w:rPr>
        <w:t xml:space="preserve"> la première réunion de la </w:t>
      </w:r>
      <w:r w:rsidRPr="00C54A95">
        <w:rPr>
          <w:kern w:val="22"/>
          <w:szCs w:val="22"/>
          <w:lang w:val="fr-FR"/>
        </w:rPr>
        <w:t xml:space="preserve">Conférence des Parties siégeant en tant que réunion des Parties au Protocole de </w:t>
      </w:r>
      <w:r w:rsidRPr="00C54A95">
        <w:rPr>
          <w:snapToGrid/>
          <w:kern w:val="22"/>
          <w:szCs w:val="22"/>
          <w:lang w:val="fr-FR"/>
        </w:rPr>
        <w:t xml:space="preserve">Nagoya et </w:t>
      </w:r>
      <w:r w:rsidR="00407278">
        <w:rPr>
          <w:snapToGrid/>
          <w:kern w:val="22"/>
          <w:szCs w:val="22"/>
          <w:lang w:val="fr-FR"/>
        </w:rPr>
        <w:t>à</w:t>
      </w:r>
      <w:r w:rsidRPr="00C54A95">
        <w:rPr>
          <w:snapToGrid/>
          <w:kern w:val="22"/>
          <w:szCs w:val="22"/>
          <w:lang w:val="fr-FR"/>
        </w:rPr>
        <w:t xml:space="preserve"> la septième réunion de la </w:t>
      </w:r>
      <w:r w:rsidRPr="00C54A95">
        <w:rPr>
          <w:kern w:val="22"/>
          <w:szCs w:val="22"/>
          <w:lang w:val="fr-FR"/>
        </w:rPr>
        <w:t xml:space="preserve">Conférence des Parties siégeant en tant que réunion des Parties au Protocole de </w:t>
      </w:r>
      <w:r w:rsidRPr="00C54A95">
        <w:rPr>
          <w:snapToGrid/>
          <w:kern w:val="22"/>
          <w:szCs w:val="22"/>
          <w:lang w:val="fr-FR"/>
        </w:rPr>
        <w:t>Cartagen</w:t>
      </w:r>
      <w:r w:rsidR="00407278">
        <w:rPr>
          <w:snapToGrid/>
          <w:kern w:val="22"/>
          <w:szCs w:val="22"/>
          <w:lang w:val="fr-FR"/>
        </w:rPr>
        <w:t>a sur une période de 15 jours, soit une moyenne de 3,6 sessions par jour</w:t>
      </w:r>
      <w:r w:rsidRPr="00C54A95">
        <w:rPr>
          <w:snapToGrid/>
          <w:kern w:val="22"/>
          <w:szCs w:val="22"/>
          <w:lang w:val="fr-FR"/>
        </w:rPr>
        <w:t xml:space="preserve">. Un total de 51 sessions de travail avait eu lieu à la onzième réunion de la Conférence des Parties et à la </w:t>
      </w:r>
      <w:r w:rsidR="00281ECD">
        <w:rPr>
          <w:snapToGrid/>
          <w:kern w:val="22"/>
          <w:szCs w:val="22"/>
          <w:lang w:val="fr-FR"/>
        </w:rPr>
        <w:t xml:space="preserve">sixième réunion de la </w:t>
      </w:r>
      <w:r w:rsidR="00281ECD" w:rsidRPr="00C54A95">
        <w:rPr>
          <w:kern w:val="22"/>
          <w:szCs w:val="22"/>
          <w:lang w:val="fr-FR"/>
        </w:rPr>
        <w:t>Conférence des Parties siégeant en tant que réunion des Parties</w:t>
      </w:r>
      <w:r w:rsidR="00407278">
        <w:rPr>
          <w:snapToGrid/>
          <w:kern w:val="22"/>
          <w:szCs w:val="22"/>
          <w:lang w:val="fr-FR"/>
        </w:rPr>
        <w:t xml:space="preserve"> sur une période de 15 jours, soit une moyenne de</w:t>
      </w:r>
      <w:r w:rsidR="00407278" w:rsidRPr="00C54A95">
        <w:rPr>
          <w:snapToGrid/>
          <w:kern w:val="22"/>
          <w:szCs w:val="22"/>
          <w:lang w:val="fr-FR"/>
        </w:rPr>
        <w:t xml:space="preserve"> </w:t>
      </w:r>
      <w:r w:rsidR="00407278">
        <w:rPr>
          <w:snapToGrid/>
          <w:kern w:val="22"/>
          <w:szCs w:val="22"/>
          <w:lang w:val="fr-FR"/>
        </w:rPr>
        <w:t>3,4 sessions par jour</w:t>
      </w:r>
      <w:r w:rsidRPr="00C54A95">
        <w:rPr>
          <w:snapToGrid/>
          <w:kern w:val="22"/>
          <w:szCs w:val="22"/>
          <w:lang w:val="fr-FR"/>
        </w:rPr>
        <w:t>. De même, 56 sessions de travail avaient eu lieu à la dixième réunion de la Conférence des Parties et à la cinquième ré</w:t>
      </w:r>
      <w:r w:rsidRPr="00C54A95">
        <w:rPr>
          <w:kern w:val="22"/>
          <w:szCs w:val="22"/>
          <w:lang w:val="fr-FR"/>
        </w:rPr>
        <w:t xml:space="preserve">union de la Conférence des Parties siégeant </w:t>
      </w:r>
      <w:r w:rsidR="00407278">
        <w:rPr>
          <w:kern w:val="22"/>
          <w:szCs w:val="22"/>
          <w:lang w:val="fr-FR"/>
        </w:rPr>
        <w:t>en tant que réunion des Parties</w:t>
      </w:r>
      <w:r w:rsidRPr="00C54A95">
        <w:rPr>
          <w:kern w:val="22"/>
          <w:szCs w:val="22"/>
          <w:lang w:val="fr-FR"/>
        </w:rPr>
        <w:t xml:space="preserve"> </w:t>
      </w:r>
      <w:r w:rsidRPr="00C54A95">
        <w:rPr>
          <w:snapToGrid/>
          <w:kern w:val="22"/>
          <w:szCs w:val="22"/>
          <w:lang w:val="fr-FR"/>
        </w:rPr>
        <w:t xml:space="preserve">sur une période de 15 jours, soit </w:t>
      </w:r>
      <w:r w:rsidR="00407278">
        <w:rPr>
          <w:snapToGrid/>
          <w:kern w:val="22"/>
          <w:szCs w:val="22"/>
          <w:lang w:val="fr-FR"/>
        </w:rPr>
        <w:t>une moyenne de</w:t>
      </w:r>
      <w:r w:rsidR="00407278" w:rsidRPr="00C54A95">
        <w:rPr>
          <w:snapToGrid/>
          <w:kern w:val="22"/>
          <w:szCs w:val="22"/>
          <w:lang w:val="fr-FR"/>
        </w:rPr>
        <w:t xml:space="preserve"> </w:t>
      </w:r>
      <w:r w:rsidR="00407278">
        <w:rPr>
          <w:snapToGrid/>
          <w:kern w:val="22"/>
          <w:szCs w:val="22"/>
          <w:lang w:val="fr-FR"/>
        </w:rPr>
        <w:t>3,7 sessions par jour</w:t>
      </w:r>
      <w:r w:rsidRPr="00C54A95">
        <w:rPr>
          <w:snapToGrid/>
          <w:kern w:val="22"/>
          <w:szCs w:val="22"/>
          <w:lang w:val="fr-FR"/>
        </w:rPr>
        <w:t>. Pour la neuvième réunion de la Conférence des Parties et la quatrième ré</w:t>
      </w:r>
      <w:r w:rsidRPr="00C54A95">
        <w:rPr>
          <w:kern w:val="22"/>
          <w:szCs w:val="22"/>
          <w:lang w:val="fr-FR"/>
        </w:rPr>
        <w:t xml:space="preserve">union de la Conférence des Parties siégeant en tant que réunion des Parties, il y avait eu 52 sessions de travail sur une période de 15 jours, </w:t>
      </w:r>
      <w:r w:rsidRPr="00C54A95">
        <w:rPr>
          <w:snapToGrid/>
          <w:kern w:val="22"/>
          <w:szCs w:val="22"/>
          <w:lang w:val="fr-FR"/>
        </w:rPr>
        <w:t xml:space="preserve">soit </w:t>
      </w:r>
      <w:r w:rsidR="00407278">
        <w:rPr>
          <w:snapToGrid/>
          <w:kern w:val="22"/>
          <w:szCs w:val="22"/>
          <w:lang w:val="fr-FR"/>
        </w:rPr>
        <w:t>une moyenne de</w:t>
      </w:r>
      <w:r w:rsidR="00407278" w:rsidRPr="00C54A95">
        <w:rPr>
          <w:snapToGrid/>
          <w:kern w:val="22"/>
          <w:szCs w:val="22"/>
          <w:lang w:val="fr-FR"/>
        </w:rPr>
        <w:t xml:space="preserve"> </w:t>
      </w:r>
      <w:r w:rsidRPr="00C54A95">
        <w:rPr>
          <w:snapToGrid/>
          <w:kern w:val="22"/>
          <w:szCs w:val="22"/>
          <w:lang w:val="fr-FR"/>
        </w:rPr>
        <w:t xml:space="preserve">3,4 sessions par jour (voir tableau 1). La concomitance des réunions a pour effet de réduire </w:t>
      </w:r>
      <w:r w:rsidR="00923036">
        <w:rPr>
          <w:snapToGrid/>
          <w:kern w:val="22"/>
          <w:szCs w:val="22"/>
          <w:lang w:val="fr-FR"/>
        </w:rPr>
        <w:t>la</w:t>
      </w:r>
      <w:r w:rsidRPr="00C54A95">
        <w:rPr>
          <w:snapToGrid/>
          <w:kern w:val="22"/>
          <w:szCs w:val="22"/>
          <w:lang w:val="fr-FR"/>
        </w:rPr>
        <w:t xml:space="preserve"> durée globale</w:t>
      </w:r>
      <w:r w:rsidR="00923036">
        <w:rPr>
          <w:snapToGrid/>
          <w:kern w:val="22"/>
          <w:szCs w:val="22"/>
          <w:lang w:val="fr-FR"/>
        </w:rPr>
        <w:t xml:space="preserve"> des réunions,</w:t>
      </w:r>
      <w:r w:rsidRPr="00C54A95">
        <w:rPr>
          <w:snapToGrid/>
          <w:kern w:val="22"/>
          <w:szCs w:val="22"/>
          <w:lang w:val="fr-FR"/>
        </w:rPr>
        <w:t xml:space="preserve"> ainsi que le nombre des sessions plénières et des sessions des groupes de travail. Les réunions concomitantes tenues en 2016 ont toutefois donné lieu à un nombre moyen </w:t>
      </w:r>
      <w:r w:rsidR="007F69C1" w:rsidRPr="00C54A95">
        <w:rPr>
          <w:snapToGrid/>
          <w:kern w:val="22"/>
          <w:szCs w:val="22"/>
          <w:lang w:val="fr-FR"/>
        </w:rPr>
        <w:t>de sessions de travail quotidiennes</w:t>
      </w:r>
      <w:r w:rsidR="007F69C1">
        <w:rPr>
          <w:snapToGrid/>
          <w:kern w:val="22"/>
          <w:szCs w:val="22"/>
          <w:lang w:val="fr-FR"/>
        </w:rPr>
        <w:t xml:space="preserve"> légèrement plus important</w:t>
      </w:r>
      <w:r w:rsidRPr="00C54A95">
        <w:rPr>
          <w:snapToGrid/>
          <w:kern w:val="22"/>
          <w:szCs w:val="22"/>
          <w:lang w:val="fr-FR"/>
        </w:rPr>
        <w:t xml:space="preserve">. </w:t>
      </w:r>
      <w:r w:rsidR="00923036">
        <w:rPr>
          <w:snapToGrid/>
          <w:kern w:val="22"/>
          <w:szCs w:val="22"/>
          <w:lang w:val="fr-FR"/>
        </w:rPr>
        <w:t>Si l’on tient</w:t>
      </w:r>
      <w:r w:rsidR="00E64249">
        <w:rPr>
          <w:snapToGrid/>
          <w:kern w:val="22"/>
          <w:szCs w:val="22"/>
          <w:lang w:val="fr-FR"/>
        </w:rPr>
        <w:t xml:space="preserve"> compte d</w:t>
      </w:r>
      <w:r w:rsidRPr="00C54A95">
        <w:rPr>
          <w:snapToGrid/>
          <w:kern w:val="22"/>
          <w:szCs w:val="22"/>
          <w:lang w:val="fr-FR"/>
        </w:rPr>
        <w:t xml:space="preserve">es sessions de la réunion </w:t>
      </w:r>
      <w:r w:rsidR="00923036">
        <w:rPr>
          <w:snapToGrid/>
          <w:kern w:val="22"/>
          <w:szCs w:val="22"/>
          <w:lang w:val="fr-FR"/>
        </w:rPr>
        <w:t xml:space="preserve">de haut niveau </w:t>
      </w:r>
      <w:r w:rsidR="00E64249">
        <w:rPr>
          <w:snapToGrid/>
          <w:kern w:val="22"/>
          <w:szCs w:val="22"/>
          <w:lang w:val="fr-FR"/>
        </w:rPr>
        <w:t xml:space="preserve">ayant eu </w:t>
      </w:r>
      <w:r w:rsidRPr="00C54A95">
        <w:rPr>
          <w:snapToGrid/>
          <w:kern w:val="22"/>
          <w:szCs w:val="22"/>
          <w:lang w:val="fr-FR"/>
        </w:rPr>
        <w:t>lieu en marge de</w:t>
      </w:r>
      <w:r w:rsidR="00E64249">
        <w:rPr>
          <w:snapToGrid/>
          <w:kern w:val="22"/>
          <w:szCs w:val="22"/>
          <w:lang w:val="fr-FR"/>
        </w:rPr>
        <w:t>s réunions officielles tenues avant les réunions concomitantes de 2016</w:t>
      </w:r>
      <w:r w:rsidRPr="00C54A95">
        <w:rPr>
          <w:snapToGrid/>
          <w:kern w:val="22"/>
          <w:szCs w:val="22"/>
          <w:lang w:val="fr-FR"/>
        </w:rPr>
        <w:t>, le nombre des ses</w:t>
      </w:r>
      <w:r w:rsidR="00E64249">
        <w:rPr>
          <w:snapToGrid/>
          <w:kern w:val="22"/>
          <w:szCs w:val="22"/>
          <w:lang w:val="fr-FR"/>
        </w:rPr>
        <w:t>sions de travail ne diffère pas</w:t>
      </w:r>
      <w:r w:rsidR="0093215B" w:rsidRPr="00C54A95">
        <w:rPr>
          <w:snapToGrid/>
          <w:kern w:val="22"/>
          <w:szCs w:val="22"/>
          <w:lang w:val="fr-FR"/>
        </w:rPr>
        <w:t>.</w:t>
      </w:r>
    </w:p>
    <w:p w:rsidR="00742F79" w:rsidRPr="00C54A95" w:rsidRDefault="00B352DE" w:rsidP="00F82F1D">
      <w:pPr>
        <w:pStyle w:val="Para1"/>
        <w:suppressLineNumbers/>
        <w:tabs>
          <w:tab w:val="clear" w:pos="360"/>
        </w:tabs>
        <w:suppressAutoHyphens/>
        <w:kinsoku w:val="0"/>
        <w:overflowPunct w:val="0"/>
        <w:autoSpaceDE w:val="0"/>
        <w:autoSpaceDN w:val="0"/>
        <w:rPr>
          <w:snapToGrid/>
          <w:kern w:val="22"/>
          <w:szCs w:val="22"/>
          <w:lang w:val="fr-FR"/>
        </w:rPr>
      </w:pPr>
      <w:r w:rsidRPr="00C54A95">
        <w:rPr>
          <w:snapToGrid/>
          <w:kern w:val="22"/>
          <w:szCs w:val="22"/>
          <w:lang w:val="fr-FR"/>
        </w:rPr>
        <w:lastRenderedPageBreak/>
        <w:t xml:space="preserve">Les réunions des groupes de contact et des Amis de la présidence ont été plus nombreuses lors des réunions concomitantes tenues en 2016 </w:t>
      </w:r>
      <w:r w:rsidR="005F20C3">
        <w:rPr>
          <w:snapToGrid/>
          <w:kern w:val="22"/>
          <w:szCs w:val="22"/>
          <w:lang w:val="fr-FR"/>
        </w:rPr>
        <w:t>qu’aux précédentes</w:t>
      </w:r>
      <w:r w:rsidRPr="00C54A95">
        <w:rPr>
          <w:snapToGrid/>
          <w:kern w:val="22"/>
          <w:szCs w:val="22"/>
          <w:lang w:val="fr-FR"/>
        </w:rPr>
        <w:t xml:space="preserve"> réunions de la Conférence des Parties et de la </w:t>
      </w:r>
      <w:r w:rsidRPr="00C54A95">
        <w:rPr>
          <w:kern w:val="22"/>
          <w:szCs w:val="22"/>
          <w:lang w:val="fr-FR"/>
        </w:rPr>
        <w:t xml:space="preserve">Conférence des Parties siégeant en tant que réunion des Parties, exception faite de la dixième </w:t>
      </w:r>
      <w:r w:rsidRPr="00C54A95">
        <w:rPr>
          <w:snapToGrid/>
          <w:kern w:val="22"/>
          <w:szCs w:val="22"/>
          <w:lang w:val="fr-FR"/>
        </w:rPr>
        <w:t>réunion</w:t>
      </w:r>
      <w:r w:rsidR="005F20C3">
        <w:rPr>
          <w:snapToGrid/>
          <w:kern w:val="22"/>
          <w:szCs w:val="22"/>
          <w:lang w:val="fr-FR"/>
        </w:rPr>
        <w:t xml:space="preserve"> de la Conférence des Parties. Quelque 76 </w:t>
      </w:r>
      <w:r w:rsidRPr="00C54A95">
        <w:rPr>
          <w:snapToGrid/>
          <w:kern w:val="22"/>
          <w:szCs w:val="22"/>
          <w:lang w:val="fr-FR"/>
        </w:rPr>
        <w:t xml:space="preserve">réunions </w:t>
      </w:r>
      <w:r w:rsidR="005F20C3">
        <w:rPr>
          <w:snapToGrid/>
          <w:kern w:val="22"/>
          <w:szCs w:val="22"/>
          <w:lang w:val="fr-FR"/>
        </w:rPr>
        <w:t>de</w:t>
      </w:r>
      <w:r w:rsidRPr="00C54A95">
        <w:rPr>
          <w:snapToGrid/>
          <w:kern w:val="22"/>
          <w:szCs w:val="22"/>
          <w:lang w:val="fr-FR"/>
        </w:rPr>
        <w:t xml:space="preserve"> groupes de contact et </w:t>
      </w:r>
      <w:r w:rsidR="005F20C3">
        <w:rPr>
          <w:snapToGrid/>
          <w:kern w:val="22"/>
          <w:szCs w:val="22"/>
          <w:lang w:val="fr-FR"/>
        </w:rPr>
        <w:t>d’</w:t>
      </w:r>
      <w:r w:rsidRPr="00C54A95">
        <w:rPr>
          <w:snapToGrid/>
          <w:kern w:val="22"/>
          <w:szCs w:val="22"/>
          <w:lang w:val="fr-FR"/>
        </w:rPr>
        <w:t>Amis de la présidence</w:t>
      </w:r>
      <w:r w:rsidR="005F20C3">
        <w:rPr>
          <w:snapToGrid/>
          <w:kern w:val="22"/>
          <w:szCs w:val="22"/>
          <w:lang w:val="fr-FR"/>
        </w:rPr>
        <w:t xml:space="preserve"> </w:t>
      </w:r>
      <w:r w:rsidR="005F20C3" w:rsidRPr="00C54A95">
        <w:rPr>
          <w:snapToGrid/>
          <w:kern w:val="22"/>
          <w:szCs w:val="22"/>
          <w:lang w:val="fr-FR"/>
        </w:rPr>
        <w:t>ont e</w:t>
      </w:r>
      <w:r w:rsidR="005F20C3">
        <w:rPr>
          <w:snapToGrid/>
          <w:kern w:val="22"/>
          <w:szCs w:val="22"/>
          <w:lang w:val="fr-FR"/>
        </w:rPr>
        <w:t>u lieu</w:t>
      </w:r>
      <w:r w:rsidRPr="00C54A95">
        <w:rPr>
          <w:snapToGrid/>
          <w:kern w:val="22"/>
          <w:szCs w:val="22"/>
          <w:lang w:val="fr-FR"/>
        </w:rPr>
        <w:t xml:space="preserve"> aux réunions concomitantes tenues en 2016. </w:t>
      </w:r>
      <w:r w:rsidR="00966489">
        <w:rPr>
          <w:snapToGrid/>
          <w:kern w:val="22"/>
          <w:szCs w:val="22"/>
          <w:lang w:val="fr-FR"/>
        </w:rPr>
        <w:t>On a compté</w:t>
      </w:r>
      <w:r w:rsidRPr="00C54A95">
        <w:rPr>
          <w:snapToGrid/>
          <w:kern w:val="22"/>
          <w:szCs w:val="22"/>
          <w:lang w:val="fr-FR"/>
        </w:rPr>
        <w:t xml:space="preserve"> 36 réunions de ce type </w:t>
      </w:r>
      <w:r w:rsidR="00966489">
        <w:rPr>
          <w:snapToGrid/>
          <w:kern w:val="22"/>
          <w:szCs w:val="22"/>
          <w:lang w:val="fr-FR"/>
        </w:rPr>
        <w:t>à l</w:t>
      </w:r>
      <w:r w:rsidRPr="00C54A95">
        <w:rPr>
          <w:snapToGrid/>
          <w:kern w:val="22"/>
          <w:szCs w:val="22"/>
          <w:lang w:val="fr-FR"/>
        </w:rPr>
        <w:t xml:space="preserve">a douzième réunion de la Conférence des Parties, la septième réunion de la </w:t>
      </w:r>
      <w:r w:rsidRPr="00C54A95">
        <w:rPr>
          <w:kern w:val="22"/>
          <w:szCs w:val="22"/>
          <w:lang w:val="fr-FR"/>
        </w:rPr>
        <w:t xml:space="preserve">Conférence des Parties siégeant en tant que réunion des Parties au Protocole de </w:t>
      </w:r>
      <w:r w:rsidRPr="00C54A95">
        <w:rPr>
          <w:snapToGrid/>
          <w:kern w:val="22"/>
          <w:szCs w:val="22"/>
          <w:lang w:val="fr-FR"/>
        </w:rPr>
        <w:t xml:space="preserve">Cartagena et la première </w:t>
      </w:r>
      <w:r w:rsidRPr="00C54A95">
        <w:rPr>
          <w:kern w:val="22"/>
          <w:szCs w:val="22"/>
          <w:lang w:val="fr-FR"/>
        </w:rPr>
        <w:t xml:space="preserve">Conférence des Parties siégeant en tant que réunion des Parties au Protocole de </w:t>
      </w:r>
      <w:r w:rsidRPr="00C54A95">
        <w:rPr>
          <w:snapToGrid/>
          <w:kern w:val="22"/>
          <w:szCs w:val="22"/>
          <w:lang w:val="fr-FR"/>
        </w:rPr>
        <w:t xml:space="preserve">Nagoya, et 42 réunions de ce type </w:t>
      </w:r>
      <w:r w:rsidR="00966489">
        <w:rPr>
          <w:snapToGrid/>
          <w:kern w:val="22"/>
          <w:szCs w:val="22"/>
          <w:lang w:val="fr-FR"/>
        </w:rPr>
        <w:t>à</w:t>
      </w:r>
      <w:r w:rsidRPr="00C54A95">
        <w:rPr>
          <w:snapToGrid/>
          <w:kern w:val="22"/>
          <w:szCs w:val="22"/>
          <w:lang w:val="fr-FR"/>
        </w:rPr>
        <w:t xml:space="preserve"> la onzième réunion de la Conférence des Parties et la sixième réunion de la </w:t>
      </w:r>
      <w:r w:rsidRPr="00C54A95">
        <w:rPr>
          <w:kern w:val="22"/>
          <w:szCs w:val="22"/>
          <w:lang w:val="fr-FR"/>
        </w:rPr>
        <w:t xml:space="preserve">Conférence des Parties siégeant en </w:t>
      </w:r>
      <w:r w:rsidR="00305406">
        <w:rPr>
          <w:kern w:val="22"/>
          <w:szCs w:val="22"/>
          <w:lang w:val="fr-FR"/>
        </w:rPr>
        <w:t>tant que réunion des Parties. La</w:t>
      </w:r>
      <w:r w:rsidRPr="00C54A95">
        <w:rPr>
          <w:kern w:val="22"/>
          <w:szCs w:val="22"/>
          <w:lang w:val="fr-FR"/>
        </w:rPr>
        <w:t xml:space="preserve"> dixième Conférence des Parties et </w:t>
      </w:r>
      <w:r w:rsidR="00305406">
        <w:rPr>
          <w:kern w:val="22"/>
          <w:szCs w:val="22"/>
          <w:lang w:val="fr-FR"/>
        </w:rPr>
        <w:t xml:space="preserve">la </w:t>
      </w:r>
      <w:r w:rsidRPr="00C54A95">
        <w:rPr>
          <w:kern w:val="22"/>
          <w:szCs w:val="22"/>
          <w:lang w:val="fr-FR"/>
        </w:rPr>
        <w:t>cinquième Conférence des Parties siégeant en tant que réunion des Parties avaient réuni 116 groupes de contact et Amis de la présidence.</w:t>
      </w:r>
      <w:r w:rsidRPr="00C54A95">
        <w:rPr>
          <w:snapToGrid/>
          <w:kern w:val="22"/>
          <w:szCs w:val="22"/>
          <w:lang w:val="fr-FR"/>
        </w:rPr>
        <w:t xml:space="preserve"> Ce nombre élevé est notamment dû </w:t>
      </w:r>
      <w:r w:rsidR="00305406">
        <w:rPr>
          <w:snapToGrid/>
          <w:kern w:val="22"/>
          <w:szCs w:val="22"/>
          <w:lang w:val="fr-FR"/>
        </w:rPr>
        <w:t>à l’inclusion</w:t>
      </w:r>
      <w:r w:rsidR="00B41009">
        <w:rPr>
          <w:snapToGrid/>
          <w:kern w:val="22"/>
          <w:szCs w:val="22"/>
          <w:lang w:val="fr-FR"/>
        </w:rPr>
        <w:t>, dans</w:t>
      </w:r>
      <w:r w:rsidR="00B41009" w:rsidRPr="00C54A95">
        <w:rPr>
          <w:snapToGrid/>
          <w:kern w:val="22"/>
          <w:szCs w:val="22"/>
          <w:lang w:val="fr-FR"/>
        </w:rPr>
        <w:t xml:space="preserve"> les négociations tenues à la </w:t>
      </w:r>
      <w:r w:rsidR="00B41009" w:rsidRPr="00C54A95">
        <w:rPr>
          <w:kern w:val="22"/>
          <w:szCs w:val="22"/>
          <w:lang w:val="fr-FR"/>
        </w:rPr>
        <w:t xml:space="preserve">dixième </w:t>
      </w:r>
      <w:r w:rsidR="00B41009">
        <w:rPr>
          <w:kern w:val="22"/>
          <w:szCs w:val="22"/>
          <w:lang w:val="fr-FR"/>
        </w:rPr>
        <w:t xml:space="preserve">réunion de la </w:t>
      </w:r>
      <w:r w:rsidR="00B41009" w:rsidRPr="00C54A95">
        <w:rPr>
          <w:kern w:val="22"/>
          <w:szCs w:val="22"/>
          <w:lang w:val="fr-FR"/>
        </w:rPr>
        <w:t>Confér</w:t>
      </w:r>
      <w:r w:rsidR="00B41009">
        <w:rPr>
          <w:kern w:val="22"/>
          <w:szCs w:val="22"/>
          <w:lang w:val="fr-FR"/>
        </w:rPr>
        <w:t>ence des Parties,</w:t>
      </w:r>
      <w:r w:rsidRPr="00C54A95">
        <w:rPr>
          <w:snapToGrid/>
          <w:kern w:val="22"/>
          <w:szCs w:val="22"/>
          <w:lang w:val="fr-FR"/>
        </w:rPr>
        <w:t xml:space="preserve"> </w:t>
      </w:r>
      <w:r w:rsidR="00305406">
        <w:rPr>
          <w:snapToGrid/>
          <w:kern w:val="22"/>
          <w:szCs w:val="22"/>
          <w:lang w:val="fr-FR"/>
        </w:rPr>
        <w:t>d’</w:t>
      </w:r>
      <w:r w:rsidR="00305406" w:rsidRPr="00C54A95">
        <w:rPr>
          <w:kern w:val="22"/>
          <w:szCs w:val="22"/>
          <w:lang w:val="fr-FR"/>
        </w:rPr>
        <w:t xml:space="preserve">un volet sur la finalisation et l’adoption du </w:t>
      </w:r>
      <w:r w:rsidR="00305406" w:rsidRPr="00C54A95">
        <w:rPr>
          <w:snapToGrid/>
          <w:kern w:val="22"/>
          <w:szCs w:val="22"/>
          <w:lang w:val="fr-FR"/>
        </w:rPr>
        <w:t>Protocole de Nagoya, du Plan stratégique pour la diversité biologique 2011-2020 et du Plan stratégique pour le Protocole de Nagoya 2011-2020</w:t>
      </w:r>
      <w:r w:rsidR="00305406">
        <w:rPr>
          <w:snapToGrid/>
          <w:kern w:val="22"/>
          <w:szCs w:val="22"/>
          <w:lang w:val="fr-FR"/>
        </w:rPr>
        <w:t xml:space="preserve">, </w:t>
      </w:r>
      <w:r w:rsidR="00B41009">
        <w:rPr>
          <w:snapToGrid/>
          <w:kern w:val="22"/>
          <w:szCs w:val="22"/>
          <w:lang w:val="fr-FR"/>
        </w:rPr>
        <w:t>et d’</w:t>
      </w:r>
      <w:r w:rsidR="00305406" w:rsidRPr="00C54A95">
        <w:rPr>
          <w:snapToGrid/>
          <w:kern w:val="22"/>
          <w:szCs w:val="22"/>
          <w:lang w:val="fr-FR"/>
        </w:rPr>
        <w:t xml:space="preserve">un échange de vues sur la stratégie </w:t>
      </w:r>
      <w:r w:rsidR="00750A51">
        <w:rPr>
          <w:snapToGrid/>
          <w:kern w:val="22"/>
          <w:szCs w:val="22"/>
          <w:lang w:val="fr-FR"/>
        </w:rPr>
        <w:t>en matière de</w:t>
      </w:r>
      <w:r w:rsidR="00305406" w:rsidRPr="00C54A95">
        <w:rPr>
          <w:snapToGrid/>
          <w:kern w:val="22"/>
          <w:szCs w:val="22"/>
          <w:lang w:val="fr-FR"/>
        </w:rPr>
        <w:t xml:space="preserve"> mobilisation des ressources</w:t>
      </w:r>
      <w:r w:rsidR="00742F79" w:rsidRPr="00C54A95">
        <w:rPr>
          <w:snapToGrid/>
          <w:kern w:val="22"/>
          <w:szCs w:val="22"/>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3"/>
        <w:gridCol w:w="1134"/>
        <w:gridCol w:w="1134"/>
        <w:gridCol w:w="1057"/>
        <w:gridCol w:w="1170"/>
        <w:gridCol w:w="1332"/>
      </w:tblGrid>
      <w:tr w:rsidR="00742F79" w:rsidRPr="00217BA9" w:rsidTr="00F82F1D">
        <w:trPr>
          <w:cantSplit/>
          <w:trHeight w:val="291"/>
        </w:trPr>
        <w:tc>
          <w:tcPr>
            <w:tcW w:w="6858" w:type="dxa"/>
            <w:gridSpan w:val="4"/>
            <w:tcBorders>
              <w:top w:val="nil"/>
              <w:left w:val="nil"/>
              <w:right w:val="nil"/>
            </w:tcBorders>
            <w:shd w:val="clear" w:color="auto" w:fill="auto"/>
          </w:tcPr>
          <w:p w:rsidR="00742F79" w:rsidRPr="00C54A95" w:rsidRDefault="00742F79" w:rsidP="00750A51">
            <w:pPr>
              <w:keepNext/>
              <w:keepLines/>
              <w:suppressLineNumbers/>
              <w:suppressAutoHyphens/>
              <w:kinsoku w:val="0"/>
              <w:overflowPunct w:val="0"/>
              <w:autoSpaceDE w:val="0"/>
              <w:autoSpaceDN w:val="0"/>
              <w:jc w:val="left"/>
              <w:rPr>
                <w:b/>
                <w:kern w:val="22"/>
                <w:szCs w:val="22"/>
                <w:lang w:val="fr-FR"/>
              </w:rPr>
            </w:pPr>
            <w:r w:rsidRPr="00C54A95">
              <w:rPr>
                <w:b/>
                <w:kern w:val="22"/>
                <w:szCs w:val="22"/>
                <w:lang w:val="fr-FR"/>
              </w:rPr>
              <w:t>Table</w:t>
            </w:r>
            <w:r w:rsidR="00750A51">
              <w:rPr>
                <w:b/>
                <w:kern w:val="22"/>
                <w:szCs w:val="22"/>
                <w:lang w:val="fr-FR"/>
              </w:rPr>
              <w:t>au </w:t>
            </w:r>
            <w:r w:rsidRPr="00C54A95">
              <w:rPr>
                <w:b/>
                <w:kern w:val="22"/>
                <w:szCs w:val="22"/>
                <w:lang w:val="fr-FR"/>
              </w:rPr>
              <w:t>1</w:t>
            </w:r>
            <w:r w:rsidR="008214DE" w:rsidRPr="00C54A95">
              <w:rPr>
                <w:b/>
                <w:kern w:val="22"/>
                <w:szCs w:val="22"/>
                <w:lang w:val="fr-FR"/>
              </w:rPr>
              <w:t>.</w:t>
            </w:r>
            <w:r w:rsidRPr="00C54A95">
              <w:rPr>
                <w:b/>
                <w:kern w:val="22"/>
                <w:szCs w:val="22"/>
                <w:lang w:val="fr-FR"/>
              </w:rPr>
              <w:t xml:space="preserve"> </w:t>
            </w:r>
            <w:r w:rsidR="00750A51">
              <w:rPr>
                <w:b/>
                <w:kern w:val="22"/>
                <w:szCs w:val="22"/>
                <w:lang w:val="fr-FR"/>
              </w:rPr>
              <w:t>Nombre de sessions pa</w:t>
            </w:r>
            <w:r w:rsidRPr="00C54A95">
              <w:rPr>
                <w:b/>
                <w:kern w:val="22"/>
                <w:szCs w:val="22"/>
                <w:lang w:val="fr-FR"/>
              </w:rPr>
              <w:t xml:space="preserve">r </w:t>
            </w:r>
            <w:r w:rsidR="00750A51">
              <w:rPr>
                <w:b/>
                <w:kern w:val="22"/>
                <w:szCs w:val="22"/>
                <w:lang w:val="fr-FR"/>
              </w:rPr>
              <w:t>réunion</w:t>
            </w:r>
          </w:p>
        </w:tc>
        <w:tc>
          <w:tcPr>
            <w:tcW w:w="1170" w:type="dxa"/>
            <w:tcBorders>
              <w:top w:val="nil"/>
              <w:left w:val="nil"/>
              <w:right w:val="nil"/>
            </w:tcBorders>
            <w:shd w:val="clear" w:color="auto" w:fill="auto"/>
          </w:tcPr>
          <w:p w:rsidR="00742F79" w:rsidRPr="00C54A95" w:rsidRDefault="00742F79" w:rsidP="00F82F1D">
            <w:pPr>
              <w:suppressLineNumbers/>
              <w:suppressAutoHyphens/>
              <w:kinsoku w:val="0"/>
              <w:overflowPunct w:val="0"/>
              <w:autoSpaceDE w:val="0"/>
              <w:autoSpaceDN w:val="0"/>
              <w:jc w:val="left"/>
              <w:rPr>
                <w:b/>
                <w:i/>
                <w:iCs/>
                <w:kern w:val="22"/>
                <w:szCs w:val="22"/>
                <w:lang w:val="fr-FR"/>
              </w:rPr>
            </w:pPr>
          </w:p>
        </w:tc>
        <w:tc>
          <w:tcPr>
            <w:tcW w:w="1332" w:type="dxa"/>
            <w:tcBorders>
              <w:top w:val="nil"/>
              <w:left w:val="nil"/>
              <w:right w:val="nil"/>
            </w:tcBorders>
            <w:shd w:val="clear" w:color="auto" w:fill="auto"/>
          </w:tcPr>
          <w:p w:rsidR="00742F79" w:rsidRPr="00C54A95" w:rsidRDefault="00742F79" w:rsidP="00F82F1D">
            <w:pPr>
              <w:suppressLineNumbers/>
              <w:suppressAutoHyphens/>
              <w:kinsoku w:val="0"/>
              <w:overflowPunct w:val="0"/>
              <w:autoSpaceDE w:val="0"/>
              <w:autoSpaceDN w:val="0"/>
              <w:jc w:val="left"/>
              <w:rPr>
                <w:b/>
                <w:i/>
                <w:iCs/>
                <w:kern w:val="22"/>
                <w:szCs w:val="22"/>
                <w:lang w:val="fr-FR"/>
              </w:rPr>
            </w:pPr>
          </w:p>
        </w:tc>
      </w:tr>
      <w:tr w:rsidR="00742F79" w:rsidRPr="00217BA9" w:rsidTr="00F82F1D">
        <w:trPr>
          <w:cantSplit/>
          <w:trHeight w:val="291"/>
        </w:trPr>
        <w:tc>
          <w:tcPr>
            <w:tcW w:w="3533" w:type="dxa"/>
            <w:shd w:val="clear" w:color="auto" w:fill="auto"/>
          </w:tcPr>
          <w:p w:rsidR="00742F79" w:rsidRPr="00C54A95" w:rsidRDefault="00750A51" w:rsidP="00F82F1D">
            <w:pPr>
              <w:suppressLineNumbers/>
              <w:suppressAutoHyphens/>
              <w:kinsoku w:val="0"/>
              <w:overflowPunct w:val="0"/>
              <w:autoSpaceDE w:val="0"/>
              <w:autoSpaceDN w:val="0"/>
              <w:spacing w:before="40" w:after="40"/>
              <w:jc w:val="center"/>
              <w:rPr>
                <w:i/>
                <w:iCs/>
                <w:kern w:val="22"/>
                <w:szCs w:val="22"/>
                <w:lang w:val="fr-FR"/>
              </w:rPr>
            </w:pPr>
            <w:r>
              <w:rPr>
                <w:i/>
                <w:iCs/>
                <w:kern w:val="22"/>
                <w:szCs w:val="22"/>
                <w:lang w:val="fr-FR"/>
              </w:rPr>
              <w:t>Réunions</w:t>
            </w:r>
          </w:p>
        </w:tc>
        <w:tc>
          <w:tcPr>
            <w:tcW w:w="1134" w:type="dxa"/>
            <w:shd w:val="clear" w:color="auto" w:fill="auto"/>
          </w:tcPr>
          <w:p w:rsidR="00742F79" w:rsidRPr="00B41009" w:rsidRDefault="00750A51" w:rsidP="00750A51">
            <w:pPr>
              <w:suppressLineNumbers/>
              <w:suppressAutoHyphens/>
              <w:kinsoku w:val="0"/>
              <w:overflowPunct w:val="0"/>
              <w:autoSpaceDE w:val="0"/>
              <w:autoSpaceDN w:val="0"/>
              <w:spacing w:before="40" w:after="40"/>
              <w:jc w:val="center"/>
              <w:rPr>
                <w:i/>
                <w:iCs/>
                <w:kern w:val="22"/>
                <w:sz w:val="20"/>
                <w:szCs w:val="20"/>
                <w:lang w:val="fr-FR"/>
              </w:rPr>
            </w:pPr>
            <w:r w:rsidRPr="00B41009">
              <w:rPr>
                <w:i/>
                <w:iCs/>
                <w:kern w:val="22"/>
                <w:sz w:val="20"/>
                <w:szCs w:val="20"/>
                <w:lang w:val="fr-FR"/>
              </w:rPr>
              <w:t>Durée des réunions</w:t>
            </w:r>
            <w:r w:rsidR="00742F79" w:rsidRPr="00B41009">
              <w:rPr>
                <w:i/>
                <w:iCs/>
                <w:kern w:val="22"/>
                <w:sz w:val="20"/>
                <w:szCs w:val="20"/>
                <w:lang w:val="fr-FR"/>
              </w:rPr>
              <w:t xml:space="preserve"> (</w:t>
            </w:r>
            <w:r w:rsidRPr="00B41009">
              <w:rPr>
                <w:i/>
                <w:iCs/>
                <w:kern w:val="22"/>
                <w:sz w:val="20"/>
                <w:szCs w:val="20"/>
                <w:lang w:val="fr-FR"/>
              </w:rPr>
              <w:t>en jours</w:t>
            </w:r>
            <w:r w:rsidR="00742F79" w:rsidRPr="00B41009">
              <w:rPr>
                <w:i/>
                <w:iCs/>
                <w:kern w:val="22"/>
                <w:sz w:val="20"/>
                <w:szCs w:val="20"/>
                <w:lang w:val="fr-FR"/>
              </w:rPr>
              <w:t>)</w:t>
            </w:r>
          </w:p>
        </w:tc>
        <w:tc>
          <w:tcPr>
            <w:tcW w:w="1134" w:type="dxa"/>
            <w:shd w:val="clear" w:color="auto" w:fill="auto"/>
          </w:tcPr>
          <w:p w:rsidR="00742F79" w:rsidRPr="00B41009" w:rsidRDefault="00750A51" w:rsidP="00750A51">
            <w:pPr>
              <w:suppressLineNumbers/>
              <w:suppressAutoHyphens/>
              <w:kinsoku w:val="0"/>
              <w:overflowPunct w:val="0"/>
              <w:autoSpaceDE w:val="0"/>
              <w:autoSpaceDN w:val="0"/>
              <w:spacing w:before="40" w:after="40"/>
              <w:jc w:val="center"/>
              <w:rPr>
                <w:i/>
                <w:iCs/>
                <w:kern w:val="22"/>
                <w:sz w:val="20"/>
                <w:szCs w:val="20"/>
                <w:lang w:val="fr-FR"/>
              </w:rPr>
            </w:pPr>
            <w:r w:rsidRPr="00B41009">
              <w:rPr>
                <w:i/>
                <w:iCs/>
                <w:kern w:val="22"/>
                <w:sz w:val="20"/>
                <w:szCs w:val="20"/>
                <w:lang w:val="fr-FR"/>
              </w:rPr>
              <w:t>Nombre de sessions plénières et de sessions de groupes de travail</w:t>
            </w:r>
            <w:r w:rsidR="00742F79" w:rsidRPr="00B41009">
              <w:rPr>
                <w:rStyle w:val="FootnoteReference"/>
                <w:kern w:val="22"/>
                <w:sz w:val="20"/>
                <w:szCs w:val="20"/>
                <w:u w:val="none"/>
                <w:vertAlign w:val="superscript"/>
                <w:lang w:val="fr-FR"/>
              </w:rPr>
              <w:footnoteReference w:id="13"/>
            </w:r>
          </w:p>
        </w:tc>
        <w:tc>
          <w:tcPr>
            <w:tcW w:w="1057" w:type="dxa"/>
            <w:shd w:val="clear" w:color="auto" w:fill="auto"/>
          </w:tcPr>
          <w:p w:rsidR="00742F79" w:rsidRPr="00B41009" w:rsidRDefault="00750A51" w:rsidP="00750A51">
            <w:pPr>
              <w:suppressLineNumbers/>
              <w:suppressAutoHyphens/>
              <w:kinsoku w:val="0"/>
              <w:overflowPunct w:val="0"/>
              <w:autoSpaceDE w:val="0"/>
              <w:autoSpaceDN w:val="0"/>
              <w:spacing w:before="40" w:after="40"/>
              <w:jc w:val="center"/>
              <w:rPr>
                <w:i/>
                <w:iCs/>
                <w:kern w:val="22"/>
                <w:sz w:val="20"/>
                <w:szCs w:val="20"/>
                <w:lang w:val="fr-FR"/>
              </w:rPr>
            </w:pPr>
            <w:r w:rsidRPr="00B41009">
              <w:rPr>
                <w:i/>
                <w:iCs/>
                <w:kern w:val="22"/>
                <w:sz w:val="20"/>
                <w:szCs w:val="20"/>
                <w:lang w:val="fr-FR"/>
              </w:rPr>
              <w:t>Nombre moyen de</w:t>
            </w:r>
            <w:r w:rsidR="00742F79" w:rsidRPr="00B41009">
              <w:rPr>
                <w:i/>
                <w:iCs/>
                <w:kern w:val="22"/>
                <w:sz w:val="20"/>
                <w:szCs w:val="20"/>
                <w:lang w:val="fr-FR"/>
              </w:rPr>
              <w:t xml:space="preserve"> sessions </w:t>
            </w:r>
            <w:r w:rsidRPr="00B41009">
              <w:rPr>
                <w:i/>
                <w:iCs/>
                <w:kern w:val="22"/>
                <w:sz w:val="20"/>
                <w:szCs w:val="20"/>
                <w:lang w:val="fr-FR"/>
              </w:rPr>
              <w:t>par jour</w:t>
            </w:r>
          </w:p>
        </w:tc>
        <w:tc>
          <w:tcPr>
            <w:tcW w:w="1170" w:type="dxa"/>
            <w:shd w:val="clear" w:color="auto" w:fill="auto"/>
          </w:tcPr>
          <w:p w:rsidR="00742F79" w:rsidRPr="00B41009" w:rsidRDefault="00750A51" w:rsidP="00750A51">
            <w:pPr>
              <w:suppressLineNumbers/>
              <w:suppressAutoHyphens/>
              <w:kinsoku w:val="0"/>
              <w:overflowPunct w:val="0"/>
              <w:autoSpaceDE w:val="0"/>
              <w:autoSpaceDN w:val="0"/>
              <w:spacing w:before="40" w:after="40"/>
              <w:jc w:val="center"/>
              <w:rPr>
                <w:i/>
                <w:iCs/>
                <w:kern w:val="22"/>
                <w:sz w:val="20"/>
                <w:szCs w:val="20"/>
                <w:lang w:val="fr-FR"/>
              </w:rPr>
            </w:pPr>
            <w:r w:rsidRPr="00B41009">
              <w:rPr>
                <w:i/>
                <w:iCs/>
                <w:kern w:val="22"/>
                <w:sz w:val="20"/>
                <w:szCs w:val="20"/>
                <w:lang w:val="fr-FR"/>
              </w:rPr>
              <w:t>Nombre de groupes de</w:t>
            </w:r>
            <w:r w:rsidR="00742F79" w:rsidRPr="00B41009">
              <w:rPr>
                <w:i/>
                <w:iCs/>
                <w:kern w:val="22"/>
                <w:sz w:val="20"/>
                <w:szCs w:val="20"/>
                <w:lang w:val="fr-FR"/>
              </w:rPr>
              <w:t xml:space="preserve"> contact </w:t>
            </w:r>
            <w:r w:rsidRPr="00B41009">
              <w:rPr>
                <w:i/>
                <w:iCs/>
                <w:kern w:val="22"/>
                <w:sz w:val="20"/>
                <w:szCs w:val="20"/>
                <w:lang w:val="fr-FR"/>
              </w:rPr>
              <w:t>et d’Amis de la présidence</w:t>
            </w:r>
          </w:p>
        </w:tc>
        <w:tc>
          <w:tcPr>
            <w:tcW w:w="1332" w:type="dxa"/>
            <w:shd w:val="clear" w:color="auto" w:fill="auto"/>
          </w:tcPr>
          <w:p w:rsidR="00742F79" w:rsidRPr="00B41009" w:rsidRDefault="00750A51" w:rsidP="00F82F1D">
            <w:pPr>
              <w:suppressLineNumbers/>
              <w:suppressAutoHyphens/>
              <w:kinsoku w:val="0"/>
              <w:overflowPunct w:val="0"/>
              <w:autoSpaceDE w:val="0"/>
              <w:autoSpaceDN w:val="0"/>
              <w:spacing w:before="40" w:after="40"/>
              <w:jc w:val="center"/>
              <w:rPr>
                <w:i/>
                <w:iCs/>
                <w:kern w:val="22"/>
                <w:sz w:val="20"/>
                <w:szCs w:val="20"/>
                <w:lang w:val="fr-FR"/>
              </w:rPr>
            </w:pPr>
            <w:r w:rsidRPr="00B41009">
              <w:rPr>
                <w:i/>
                <w:iCs/>
                <w:kern w:val="22"/>
                <w:sz w:val="20"/>
                <w:szCs w:val="20"/>
                <w:lang w:val="fr-FR"/>
              </w:rPr>
              <w:t>Nombre moyen de groupes de contact et d’Amis de la présidence par jour</w:t>
            </w:r>
          </w:p>
        </w:tc>
      </w:tr>
      <w:tr w:rsidR="00742F79" w:rsidRPr="00C54A95" w:rsidTr="00F82F1D">
        <w:trPr>
          <w:cantSplit/>
        </w:trPr>
        <w:tc>
          <w:tcPr>
            <w:tcW w:w="3533" w:type="dxa"/>
            <w:shd w:val="clear" w:color="auto" w:fill="auto"/>
          </w:tcPr>
          <w:p w:rsidR="00742F79" w:rsidRPr="00C54A95" w:rsidRDefault="00742F79" w:rsidP="00F82F1D">
            <w:pPr>
              <w:suppressLineNumbers/>
              <w:suppressAutoHyphens/>
              <w:kinsoku w:val="0"/>
              <w:overflowPunct w:val="0"/>
              <w:autoSpaceDE w:val="0"/>
              <w:autoSpaceDN w:val="0"/>
              <w:spacing w:before="40" w:after="40"/>
              <w:jc w:val="left"/>
              <w:rPr>
                <w:kern w:val="22"/>
                <w:szCs w:val="22"/>
                <w:lang w:val="fr-FR"/>
              </w:rPr>
            </w:pPr>
            <w:r w:rsidRPr="00C54A95">
              <w:rPr>
                <w:kern w:val="22"/>
                <w:szCs w:val="22"/>
                <w:lang w:val="fr-FR"/>
              </w:rPr>
              <w:t>COP 9, COP-MOP 4</w:t>
            </w:r>
          </w:p>
        </w:tc>
        <w:tc>
          <w:tcPr>
            <w:tcW w:w="1134" w:type="dxa"/>
            <w:shd w:val="clear" w:color="auto" w:fill="auto"/>
          </w:tcPr>
          <w:p w:rsidR="00742F79" w:rsidRPr="00C54A95" w:rsidRDefault="00742F79" w:rsidP="00F82F1D">
            <w:pPr>
              <w:suppressLineNumbers/>
              <w:suppressAutoHyphens/>
              <w:kinsoku w:val="0"/>
              <w:overflowPunct w:val="0"/>
              <w:autoSpaceDE w:val="0"/>
              <w:autoSpaceDN w:val="0"/>
              <w:spacing w:before="40" w:after="40"/>
              <w:jc w:val="center"/>
              <w:rPr>
                <w:kern w:val="22"/>
                <w:szCs w:val="22"/>
                <w:lang w:val="fr-FR"/>
              </w:rPr>
            </w:pPr>
            <w:r w:rsidRPr="00C54A95">
              <w:rPr>
                <w:kern w:val="22"/>
                <w:szCs w:val="22"/>
                <w:lang w:val="fr-FR"/>
              </w:rPr>
              <w:t>15</w:t>
            </w:r>
          </w:p>
        </w:tc>
        <w:tc>
          <w:tcPr>
            <w:tcW w:w="1134" w:type="dxa"/>
            <w:shd w:val="clear" w:color="auto" w:fill="auto"/>
          </w:tcPr>
          <w:p w:rsidR="00742F79" w:rsidRPr="00C54A95" w:rsidRDefault="00742F79" w:rsidP="00F82F1D">
            <w:pPr>
              <w:suppressLineNumbers/>
              <w:suppressAutoHyphens/>
              <w:kinsoku w:val="0"/>
              <w:overflowPunct w:val="0"/>
              <w:autoSpaceDE w:val="0"/>
              <w:autoSpaceDN w:val="0"/>
              <w:spacing w:before="40" w:after="40"/>
              <w:jc w:val="center"/>
              <w:rPr>
                <w:kern w:val="22"/>
                <w:szCs w:val="22"/>
                <w:lang w:val="fr-FR"/>
              </w:rPr>
            </w:pPr>
            <w:r w:rsidRPr="00C54A95">
              <w:rPr>
                <w:kern w:val="22"/>
                <w:szCs w:val="22"/>
                <w:lang w:val="fr-FR"/>
              </w:rPr>
              <w:t>52</w:t>
            </w:r>
          </w:p>
        </w:tc>
        <w:tc>
          <w:tcPr>
            <w:tcW w:w="1057" w:type="dxa"/>
            <w:shd w:val="clear" w:color="auto" w:fill="auto"/>
          </w:tcPr>
          <w:p w:rsidR="00742F79" w:rsidRPr="00C54A95" w:rsidRDefault="00B41009" w:rsidP="00F82F1D">
            <w:pPr>
              <w:suppressLineNumbers/>
              <w:suppressAutoHyphens/>
              <w:kinsoku w:val="0"/>
              <w:overflowPunct w:val="0"/>
              <w:autoSpaceDE w:val="0"/>
              <w:autoSpaceDN w:val="0"/>
              <w:spacing w:before="40" w:after="40"/>
              <w:jc w:val="center"/>
              <w:rPr>
                <w:kern w:val="22"/>
                <w:szCs w:val="22"/>
                <w:lang w:val="fr-FR"/>
              </w:rPr>
            </w:pPr>
            <w:r>
              <w:rPr>
                <w:kern w:val="22"/>
                <w:szCs w:val="22"/>
                <w:lang w:val="fr-FR"/>
              </w:rPr>
              <w:t>3,</w:t>
            </w:r>
            <w:r w:rsidR="00742F79" w:rsidRPr="00C54A95">
              <w:rPr>
                <w:kern w:val="22"/>
                <w:szCs w:val="22"/>
                <w:lang w:val="fr-FR"/>
              </w:rPr>
              <w:t>4</w:t>
            </w:r>
          </w:p>
        </w:tc>
        <w:tc>
          <w:tcPr>
            <w:tcW w:w="1170" w:type="dxa"/>
            <w:shd w:val="clear" w:color="auto" w:fill="auto"/>
          </w:tcPr>
          <w:p w:rsidR="00742F79" w:rsidRPr="00C54A95" w:rsidRDefault="00372BC9" w:rsidP="00F82F1D">
            <w:pPr>
              <w:suppressLineNumbers/>
              <w:suppressAutoHyphens/>
              <w:kinsoku w:val="0"/>
              <w:overflowPunct w:val="0"/>
              <w:autoSpaceDE w:val="0"/>
              <w:autoSpaceDN w:val="0"/>
              <w:spacing w:before="40" w:after="40"/>
              <w:jc w:val="center"/>
              <w:rPr>
                <w:kern w:val="22"/>
                <w:szCs w:val="22"/>
                <w:lang w:val="fr-FR"/>
              </w:rPr>
            </w:pPr>
            <w:r>
              <w:rPr>
                <w:kern w:val="22"/>
                <w:szCs w:val="22"/>
                <w:lang w:val="fr-FR"/>
              </w:rPr>
              <w:t>S.O.</w:t>
            </w:r>
          </w:p>
        </w:tc>
        <w:tc>
          <w:tcPr>
            <w:tcW w:w="1332" w:type="dxa"/>
            <w:shd w:val="clear" w:color="auto" w:fill="auto"/>
          </w:tcPr>
          <w:p w:rsidR="00742F79" w:rsidRPr="00C54A95" w:rsidRDefault="00372BC9" w:rsidP="00F82F1D">
            <w:pPr>
              <w:suppressLineNumbers/>
              <w:suppressAutoHyphens/>
              <w:kinsoku w:val="0"/>
              <w:overflowPunct w:val="0"/>
              <w:autoSpaceDE w:val="0"/>
              <w:autoSpaceDN w:val="0"/>
              <w:spacing w:before="40" w:after="40"/>
              <w:jc w:val="center"/>
              <w:rPr>
                <w:kern w:val="22"/>
                <w:szCs w:val="22"/>
                <w:lang w:val="fr-FR"/>
              </w:rPr>
            </w:pPr>
            <w:r>
              <w:rPr>
                <w:kern w:val="22"/>
                <w:szCs w:val="22"/>
                <w:lang w:val="fr-FR"/>
              </w:rPr>
              <w:t>S.O.</w:t>
            </w:r>
          </w:p>
        </w:tc>
      </w:tr>
      <w:tr w:rsidR="00742F79" w:rsidRPr="00C54A95" w:rsidTr="00F82F1D">
        <w:trPr>
          <w:cantSplit/>
        </w:trPr>
        <w:tc>
          <w:tcPr>
            <w:tcW w:w="3533" w:type="dxa"/>
            <w:shd w:val="clear" w:color="auto" w:fill="auto"/>
          </w:tcPr>
          <w:p w:rsidR="00742F79" w:rsidRPr="00C54A95" w:rsidRDefault="00742F79" w:rsidP="00F82F1D">
            <w:pPr>
              <w:suppressLineNumbers/>
              <w:suppressAutoHyphens/>
              <w:kinsoku w:val="0"/>
              <w:overflowPunct w:val="0"/>
              <w:autoSpaceDE w:val="0"/>
              <w:autoSpaceDN w:val="0"/>
              <w:spacing w:before="40" w:after="40"/>
              <w:jc w:val="left"/>
              <w:rPr>
                <w:kern w:val="22"/>
                <w:szCs w:val="22"/>
                <w:lang w:val="fr-FR"/>
              </w:rPr>
            </w:pPr>
            <w:r w:rsidRPr="00C54A95">
              <w:rPr>
                <w:kern w:val="22"/>
                <w:szCs w:val="22"/>
                <w:lang w:val="fr-FR"/>
              </w:rPr>
              <w:t>COP 10, COP-MOP 5</w:t>
            </w:r>
          </w:p>
        </w:tc>
        <w:tc>
          <w:tcPr>
            <w:tcW w:w="1134" w:type="dxa"/>
            <w:shd w:val="clear" w:color="auto" w:fill="auto"/>
          </w:tcPr>
          <w:p w:rsidR="00742F79" w:rsidRPr="00C54A95" w:rsidRDefault="00742F79" w:rsidP="00F82F1D">
            <w:pPr>
              <w:suppressLineNumbers/>
              <w:suppressAutoHyphens/>
              <w:kinsoku w:val="0"/>
              <w:overflowPunct w:val="0"/>
              <w:autoSpaceDE w:val="0"/>
              <w:autoSpaceDN w:val="0"/>
              <w:spacing w:before="40" w:after="40"/>
              <w:jc w:val="center"/>
              <w:rPr>
                <w:kern w:val="22"/>
                <w:szCs w:val="22"/>
                <w:lang w:val="fr-FR"/>
              </w:rPr>
            </w:pPr>
            <w:r w:rsidRPr="00C54A95">
              <w:rPr>
                <w:kern w:val="22"/>
                <w:szCs w:val="22"/>
                <w:lang w:val="fr-FR"/>
              </w:rPr>
              <w:t>15</w:t>
            </w:r>
          </w:p>
        </w:tc>
        <w:tc>
          <w:tcPr>
            <w:tcW w:w="1134" w:type="dxa"/>
            <w:shd w:val="clear" w:color="auto" w:fill="auto"/>
          </w:tcPr>
          <w:p w:rsidR="00742F79" w:rsidRPr="00C54A95" w:rsidRDefault="00742F79" w:rsidP="00F82F1D">
            <w:pPr>
              <w:suppressLineNumbers/>
              <w:suppressAutoHyphens/>
              <w:kinsoku w:val="0"/>
              <w:overflowPunct w:val="0"/>
              <w:autoSpaceDE w:val="0"/>
              <w:autoSpaceDN w:val="0"/>
              <w:spacing w:before="40" w:after="40"/>
              <w:jc w:val="center"/>
              <w:rPr>
                <w:kern w:val="22"/>
                <w:szCs w:val="22"/>
                <w:lang w:val="fr-FR"/>
              </w:rPr>
            </w:pPr>
            <w:r w:rsidRPr="00C54A95">
              <w:rPr>
                <w:kern w:val="22"/>
                <w:szCs w:val="22"/>
                <w:lang w:val="fr-FR"/>
              </w:rPr>
              <w:t>56</w:t>
            </w:r>
          </w:p>
        </w:tc>
        <w:tc>
          <w:tcPr>
            <w:tcW w:w="1057" w:type="dxa"/>
            <w:shd w:val="clear" w:color="auto" w:fill="auto"/>
          </w:tcPr>
          <w:p w:rsidR="00742F79" w:rsidRPr="00C54A95" w:rsidRDefault="00B41009" w:rsidP="00F82F1D">
            <w:pPr>
              <w:suppressLineNumbers/>
              <w:suppressAutoHyphens/>
              <w:kinsoku w:val="0"/>
              <w:overflowPunct w:val="0"/>
              <w:autoSpaceDE w:val="0"/>
              <w:autoSpaceDN w:val="0"/>
              <w:spacing w:before="40" w:after="40"/>
              <w:jc w:val="center"/>
              <w:rPr>
                <w:kern w:val="22"/>
                <w:szCs w:val="22"/>
                <w:lang w:val="fr-FR"/>
              </w:rPr>
            </w:pPr>
            <w:r>
              <w:rPr>
                <w:kern w:val="22"/>
                <w:szCs w:val="22"/>
                <w:lang w:val="fr-FR"/>
              </w:rPr>
              <w:t>3,</w:t>
            </w:r>
            <w:r w:rsidR="00742F79" w:rsidRPr="00C54A95">
              <w:rPr>
                <w:kern w:val="22"/>
                <w:szCs w:val="22"/>
                <w:lang w:val="fr-FR"/>
              </w:rPr>
              <w:t>7</w:t>
            </w:r>
          </w:p>
        </w:tc>
        <w:tc>
          <w:tcPr>
            <w:tcW w:w="1170" w:type="dxa"/>
            <w:shd w:val="clear" w:color="auto" w:fill="auto"/>
          </w:tcPr>
          <w:p w:rsidR="00742F79" w:rsidRPr="00C54A95" w:rsidRDefault="00742F79" w:rsidP="00F82F1D">
            <w:pPr>
              <w:suppressLineNumbers/>
              <w:suppressAutoHyphens/>
              <w:kinsoku w:val="0"/>
              <w:overflowPunct w:val="0"/>
              <w:autoSpaceDE w:val="0"/>
              <w:autoSpaceDN w:val="0"/>
              <w:spacing w:before="40" w:after="40"/>
              <w:jc w:val="center"/>
              <w:rPr>
                <w:kern w:val="22"/>
                <w:szCs w:val="22"/>
                <w:lang w:val="fr-FR"/>
              </w:rPr>
            </w:pPr>
            <w:r w:rsidRPr="00C54A95">
              <w:rPr>
                <w:kern w:val="22"/>
                <w:szCs w:val="22"/>
                <w:lang w:val="fr-FR"/>
              </w:rPr>
              <w:t>116</w:t>
            </w:r>
          </w:p>
        </w:tc>
        <w:tc>
          <w:tcPr>
            <w:tcW w:w="1332" w:type="dxa"/>
            <w:shd w:val="clear" w:color="auto" w:fill="auto"/>
          </w:tcPr>
          <w:p w:rsidR="00742F79" w:rsidRPr="00C54A95" w:rsidRDefault="00B41009" w:rsidP="00F82F1D">
            <w:pPr>
              <w:suppressLineNumbers/>
              <w:suppressAutoHyphens/>
              <w:kinsoku w:val="0"/>
              <w:overflowPunct w:val="0"/>
              <w:autoSpaceDE w:val="0"/>
              <w:autoSpaceDN w:val="0"/>
              <w:spacing w:before="40" w:after="40"/>
              <w:jc w:val="center"/>
              <w:rPr>
                <w:kern w:val="22"/>
                <w:szCs w:val="22"/>
                <w:lang w:val="fr-FR"/>
              </w:rPr>
            </w:pPr>
            <w:r>
              <w:rPr>
                <w:kern w:val="22"/>
                <w:szCs w:val="22"/>
                <w:lang w:val="fr-FR"/>
              </w:rPr>
              <w:t>7,</w:t>
            </w:r>
            <w:r w:rsidR="00742F79" w:rsidRPr="00C54A95">
              <w:rPr>
                <w:kern w:val="22"/>
                <w:szCs w:val="22"/>
                <w:lang w:val="fr-FR"/>
              </w:rPr>
              <w:t>7</w:t>
            </w:r>
          </w:p>
        </w:tc>
      </w:tr>
      <w:tr w:rsidR="00742F79" w:rsidRPr="00C54A95" w:rsidTr="00F82F1D">
        <w:trPr>
          <w:cantSplit/>
        </w:trPr>
        <w:tc>
          <w:tcPr>
            <w:tcW w:w="3533" w:type="dxa"/>
            <w:shd w:val="clear" w:color="auto" w:fill="auto"/>
          </w:tcPr>
          <w:p w:rsidR="00742F79" w:rsidRPr="00C54A95" w:rsidRDefault="00742F79" w:rsidP="00F82F1D">
            <w:pPr>
              <w:suppressLineNumbers/>
              <w:suppressAutoHyphens/>
              <w:kinsoku w:val="0"/>
              <w:overflowPunct w:val="0"/>
              <w:autoSpaceDE w:val="0"/>
              <w:autoSpaceDN w:val="0"/>
              <w:spacing w:before="40" w:after="40"/>
              <w:jc w:val="left"/>
              <w:rPr>
                <w:kern w:val="22"/>
                <w:szCs w:val="22"/>
                <w:lang w:val="fr-FR"/>
              </w:rPr>
            </w:pPr>
            <w:r w:rsidRPr="00C54A95">
              <w:rPr>
                <w:kern w:val="22"/>
                <w:szCs w:val="22"/>
                <w:lang w:val="fr-FR"/>
              </w:rPr>
              <w:t>COP 11, COP-MOP 6</w:t>
            </w:r>
          </w:p>
        </w:tc>
        <w:tc>
          <w:tcPr>
            <w:tcW w:w="1134" w:type="dxa"/>
            <w:shd w:val="clear" w:color="auto" w:fill="auto"/>
          </w:tcPr>
          <w:p w:rsidR="00742F79" w:rsidRPr="00C54A95" w:rsidRDefault="00742F79" w:rsidP="00F82F1D">
            <w:pPr>
              <w:suppressLineNumbers/>
              <w:suppressAutoHyphens/>
              <w:kinsoku w:val="0"/>
              <w:overflowPunct w:val="0"/>
              <w:autoSpaceDE w:val="0"/>
              <w:autoSpaceDN w:val="0"/>
              <w:spacing w:before="40" w:after="40"/>
              <w:jc w:val="center"/>
              <w:rPr>
                <w:kern w:val="22"/>
                <w:szCs w:val="22"/>
                <w:lang w:val="fr-FR"/>
              </w:rPr>
            </w:pPr>
            <w:r w:rsidRPr="00C54A95">
              <w:rPr>
                <w:kern w:val="22"/>
                <w:szCs w:val="22"/>
                <w:lang w:val="fr-FR"/>
              </w:rPr>
              <w:t>15</w:t>
            </w:r>
          </w:p>
        </w:tc>
        <w:tc>
          <w:tcPr>
            <w:tcW w:w="1134" w:type="dxa"/>
            <w:shd w:val="clear" w:color="auto" w:fill="auto"/>
          </w:tcPr>
          <w:p w:rsidR="00742F79" w:rsidRPr="00C54A95" w:rsidRDefault="00742F79" w:rsidP="00F82F1D">
            <w:pPr>
              <w:suppressLineNumbers/>
              <w:suppressAutoHyphens/>
              <w:kinsoku w:val="0"/>
              <w:overflowPunct w:val="0"/>
              <w:autoSpaceDE w:val="0"/>
              <w:autoSpaceDN w:val="0"/>
              <w:spacing w:before="40" w:after="40"/>
              <w:jc w:val="center"/>
              <w:rPr>
                <w:kern w:val="22"/>
                <w:szCs w:val="22"/>
                <w:lang w:val="fr-FR"/>
              </w:rPr>
            </w:pPr>
            <w:r w:rsidRPr="00C54A95">
              <w:rPr>
                <w:kern w:val="22"/>
                <w:szCs w:val="22"/>
                <w:lang w:val="fr-FR"/>
              </w:rPr>
              <w:t>51</w:t>
            </w:r>
          </w:p>
        </w:tc>
        <w:tc>
          <w:tcPr>
            <w:tcW w:w="1057" w:type="dxa"/>
            <w:shd w:val="clear" w:color="auto" w:fill="auto"/>
          </w:tcPr>
          <w:p w:rsidR="00742F79" w:rsidRPr="00C54A95" w:rsidRDefault="00B41009" w:rsidP="00F82F1D">
            <w:pPr>
              <w:suppressLineNumbers/>
              <w:suppressAutoHyphens/>
              <w:kinsoku w:val="0"/>
              <w:overflowPunct w:val="0"/>
              <w:autoSpaceDE w:val="0"/>
              <w:autoSpaceDN w:val="0"/>
              <w:spacing w:before="40" w:after="40"/>
              <w:jc w:val="center"/>
              <w:rPr>
                <w:kern w:val="22"/>
                <w:szCs w:val="22"/>
                <w:lang w:val="fr-FR"/>
              </w:rPr>
            </w:pPr>
            <w:r>
              <w:rPr>
                <w:kern w:val="22"/>
                <w:szCs w:val="22"/>
                <w:lang w:val="fr-FR"/>
              </w:rPr>
              <w:t>3,</w:t>
            </w:r>
            <w:r w:rsidR="00742F79" w:rsidRPr="00C54A95">
              <w:rPr>
                <w:kern w:val="22"/>
                <w:szCs w:val="22"/>
                <w:lang w:val="fr-FR"/>
              </w:rPr>
              <w:t>4</w:t>
            </w:r>
          </w:p>
        </w:tc>
        <w:tc>
          <w:tcPr>
            <w:tcW w:w="1170" w:type="dxa"/>
            <w:shd w:val="clear" w:color="auto" w:fill="auto"/>
          </w:tcPr>
          <w:p w:rsidR="00742F79" w:rsidRPr="00C54A95" w:rsidRDefault="00742F79" w:rsidP="00F82F1D">
            <w:pPr>
              <w:suppressLineNumbers/>
              <w:suppressAutoHyphens/>
              <w:kinsoku w:val="0"/>
              <w:overflowPunct w:val="0"/>
              <w:autoSpaceDE w:val="0"/>
              <w:autoSpaceDN w:val="0"/>
              <w:spacing w:before="40" w:after="40"/>
              <w:jc w:val="center"/>
              <w:rPr>
                <w:kern w:val="22"/>
                <w:szCs w:val="22"/>
                <w:lang w:val="fr-FR"/>
              </w:rPr>
            </w:pPr>
            <w:r w:rsidRPr="00C54A95">
              <w:rPr>
                <w:kern w:val="22"/>
                <w:szCs w:val="22"/>
                <w:lang w:val="fr-FR"/>
              </w:rPr>
              <w:t>42</w:t>
            </w:r>
          </w:p>
        </w:tc>
        <w:tc>
          <w:tcPr>
            <w:tcW w:w="1332" w:type="dxa"/>
            <w:shd w:val="clear" w:color="auto" w:fill="auto"/>
          </w:tcPr>
          <w:p w:rsidR="00742F79" w:rsidRPr="00C54A95" w:rsidRDefault="00B41009" w:rsidP="00F82F1D">
            <w:pPr>
              <w:suppressLineNumbers/>
              <w:suppressAutoHyphens/>
              <w:kinsoku w:val="0"/>
              <w:overflowPunct w:val="0"/>
              <w:autoSpaceDE w:val="0"/>
              <w:autoSpaceDN w:val="0"/>
              <w:spacing w:before="40" w:after="40"/>
              <w:jc w:val="center"/>
              <w:rPr>
                <w:kern w:val="22"/>
                <w:szCs w:val="22"/>
                <w:lang w:val="fr-FR"/>
              </w:rPr>
            </w:pPr>
            <w:r>
              <w:rPr>
                <w:kern w:val="22"/>
                <w:szCs w:val="22"/>
                <w:lang w:val="fr-FR"/>
              </w:rPr>
              <w:t>2,</w:t>
            </w:r>
            <w:r w:rsidR="00742F79" w:rsidRPr="00C54A95">
              <w:rPr>
                <w:kern w:val="22"/>
                <w:szCs w:val="22"/>
                <w:lang w:val="fr-FR"/>
              </w:rPr>
              <w:t>8</w:t>
            </w:r>
          </w:p>
        </w:tc>
      </w:tr>
      <w:tr w:rsidR="00742F79" w:rsidRPr="00C54A95" w:rsidTr="00F82F1D">
        <w:trPr>
          <w:cantSplit/>
          <w:trHeight w:val="102"/>
        </w:trPr>
        <w:tc>
          <w:tcPr>
            <w:tcW w:w="3533" w:type="dxa"/>
            <w:shd w:val="clear" w:color="auto" w:fill="auto"/>
          </w:tcPr>
          <w:p w:rsidR="00742F79" w:rsidRPr="00E60E82" w:rsidRDefault="00742F79" w:rsidP="00F82F1D">
            <w:pPr>
              <w:suppressLineNumbers/>
              <w:suppressAutoHyphens/>
              <w:kinsoku w:val="0"/>
              <w:overflowPunct w:val="0"/>
              <w:autoSpaceDE w:val="0"/>
              <w:autoSpaceDN w:val="0"/>
              <w:spacing w:before="40" w:after="40"/>
              <w:jc w:val="left"/>
              <w:rPr>
                <w:kern w:val="22"/>
                <w:szCs w:val="22"/>
                <w:lang w:val="en-US"/>
              </w:rPr>
            </w:pPr>
            <w:r w:rsidRPr="00E60E82">
              <w:rPr>
                <w:kern w:val="22"/>
                <w:szCs w:val="22"/>
                <w:lang w:val="en-US"/>
              </w:rPr>
              <w:t>COP 12, COP-MOP-7, COP-MOP 1</w:t>
            </w:r>
          </w:p>
        </w:tc>
        <w:tc>
          <w:tcPr>
            <w:tcW w:w="1134" w:type="dxa"/>
            <w:shd w:val="clear" w:color="auto" w:fill="auto"/>
          </w:tcPr>
          <w:p w:rsidR="00742F79" w:rsidRPr="00C54A95" w:rsidRDefault="00742F79" w:rsidP="00F82F1D">
            <w:pPr>
              <w:suppressLineNumbers/>
              <w:suppressAutoHyphens/>
              <w:kinsoku w:val="0"/>
              <w:overflowPunct w:val="0"/>
              <w:autoSpaceDE w:val="0"/>
              <w:autoSpaceDN w:val="0"/>
              <w:spacing w:before="40" w:after="40"/>
              <w:jc w:val="center"/>
              <w:rPr>
                <w:kern w:val="22"/>
                <w:szCs w:val="22"/>
                <w:lang w:val="fr-FR"/>
              </w:rPr>
            </w:pPr>
            <w:r w:rsidRPr="00C54A95">
              <w:rPr>
                <w:kern w:val="22"/>
                <w:szCs w:val="22"/>
                <w:lang w:val="fr-FR"/>
              </w:rPr>
              <w:t>15</w:t>
            </w:r>
          </w:p>
        </w:tc>
        <w:tc>
          <w:tcPr>
            <w:tcW w:w="1134" w:type="dxa"/>
            <w:shd w:val="clear" w:color="auto" w:fill="auto"/>
          </w:tcPr>
          <w:p w:rsidR="00742F79" w:rsidRPr="00C54A95" w:rsidRDefault="00742F79" w:rsidP="00F82F1D">
            <w:pPr>
              <w:suppressLineNumbers/>
              <w:suppressAutoHyphens/>
              <w:kinsoku w:val="0"/>
              <w:overflowPunct w:val="0"/>
              <w:autoSpaceDE w:val="0"/>
              <w:autoSpaceDN w:val="0"/>
              <w:spacing w:before="40" w:after="40"/>
              <w:jc w:val="center"/>
              <w:rPr>
                <w:kern w:val="22"/>
                <w:szCs w:val="22"/>
                <w:lang w:val="fr-FR"/>
              </w:rPr>
            </w:pPr>
            <w:r w:rsidRPr="00C54A95">
              <w:rPr>
                <w:kern w:val="22"/>
                <w:szCs w:val="22"/>
                <w:lang w:val="fr-FR"/>
              </w:rPr>
              <w:t>54</w:t>
            </w:r>
          </w:p>
        </w:tc>
        <w:tc>
          <w:tcPr>
            <w:tcW w:w="1057" w:type="dxa"/>
            <w:shd w:val="clear" w:color="auto" w:fill="auto"/>
          </w:tcPr>
          <w:p w:rsidR="00742F79" w:rsidRPr="00C54A95" w:rsidRDefault="00B41009" w:rsidP="00F82F1D">
            <w:pPr>
              <w:suppressLineNumbers/>
              <w:suppressAutoHyphens/>
              <w:kinsoku w:val="0"/>
              <w:overflowPunct w:val="0"/>
              <w:autoSpaceDE w:val="0"/>
              <w:autoSpaceDN w:val="0"/>
              <w:spacing w:before="40" w:after="40"/>
              <w:jc w:val="center"/>
              <w:rPr>
                <w:kern w:val="22"/>
                <w:szCs w:val="22"/>
                <w:lang w:val="fr-FR"/>
              </w:rPr>
            </w:pPr>
            <w:r>
              <w:rPr>
                <w:kern w:val="22"/>
                <w:szCs w:val="22"/>
                <w:lang w:val="fr-FR"/>
              </w:rPr>
              <w:t>3,</w:t>
            </w:r>
            <w:r w:rsidR="00742F79" w:rsidRPr="00C54A95">
              <w:rPr>
                <w:kern w:val="22"/>
                <w:szCs w:val="22"/>
                <w:lang w:val="fr-FR"/>
              </w:rPr>
              <w:t>6</w:t>
            </w:r>
          </w:p>
        </w:tc>
        <w:tc>
          <w:tcPr>
            <w:tcW w:w="1170" w:type="dxa"/>
            <w:shd w:val="clear" w:color="auto" w:fill="auto"/>
          </w:tcPr>
          <w:p w:rsidR="00742F79" w:rsidRPr="00C54A95" w:rsidRDefault="00742F79" w:rsidP="00F82F1D">
            <w:pPr>
              <w:suppressLineNumbers/>
              <w:suppressAutoHyphens/>
              <w:kinsoku w:val="0"/>
              <w:overflowPunct w:val="0"/>
              <w:autoSpaceDE w:val="0"/>
              <w:autoSpaceDN w:val="0"/>
              <w:spacing w:before="40" w:after="40"/>
              <w:jc w:val="center"/>
              <w:rPr>
                <w:kern w:val="22"/>
                <w:szCs w:val="22"/>
                <w:lang w:val="fr-FR"/>
              </w:rPr>
            </w:pPr>
            <w:r w:rsidRPr="00C54A95">
              <w:rPr>
                <w:kern w:val="22"/>
                <w:szCs w:val="22"/>
                <w:lang w:val="fr-FR"/>
              </w:rPr>
              <w:t>36</w:t>
            </w:r>
          </w:p>
        </w:tc>
        <w:tc>
          <w:tcPr>
            <w:tcW w:w="1332" w:type="dxa"/>
            <w:shd w:val="clear" w:color="auto" w:fill="auto"/>
          </w:tcPr>
          <w:p w:rsidR="00742F79" w:rsidRPr="00C54A95" w:rsidRDefault="00B41009" w:rsidP="00F82F1D">
            <w:pPr>
              <w:suppressLineNumbers/>
              <w:suppressAutoHyphens/>
              <w:kinsoku w:val="0"/>
              <w:overflowPunct w:val="0"/>
              <w:autoSpaceDE w:val="0"/>
              <w:autoSpaceDN w:val="0"/>
              <w:spacing w:before="40" w:after="40"/>
              <w:jc w:val="center"/>
              <w:rPr>
                <w:kern w:val="22"/>
                <w:szCs w:val="22"/>
                <w:lang w:val="fr-FR"/>
              </w:rPr>
            </w:pPr>
            <w:r>
              <w:rPr>
                <w:kern w:val="22"/>
                <w:szCs w:val="22"/>
                <w:lang w:val="fr-FR"/>
              </w:rPr>
              <w:t>2,</w:t>
            </w:r>
            <w:r w:rsidR="00742F79" w:rsidRPr="00C54A95">
              <w:rPr>
                <w:kern w:val="22"/>
                <w:szCs w:val="22"/>
                <w:lang w:val="fr-FR"/>
              </w:rPr>
              <w:t>4</w:t>
            </w:r>
          </w:p>
        </w:tc>
      </w:tr>
      <w:tr w:rsidR="00742F79" w:rsidRPr="00C54A95" w:rsidTr="00F82F1D">
        <w:trPr>
          <w:cantSplit/>
        </w:trPr>
        <w:tc>
          <w:tcPr>
            <w:tcW w:w="3533" w:type="dxa"/>
            <w:shd w:val="clear" w:color="auto" w:fill="auto"/>
          </w:tcPr>
          <w:p w:rsidR="00742F79" w:rsidRPr="00E60E82" w:rsidRDefault="00742F79" w:rsidP="00F82F1D">
            <w:pPr>
              <w:suppressLineNumbers/>
              <w:suppressAutoHyphens/>
              <w:kinsoku w:val="0"/>
              <w:overflowPunct w:val="0"/>
              <w:autoSpaceDE w:val="0"/>
              <w:autoSpaceDN w:val="0"/>
              <w:spacing w:before="40" w:after="40"/>
              <w:jc w:val="left"/>
              <w:rPr>
                <w:kern w:val="22"/>
                <w:szCs w:val="22"/>
                <w:lang w:val="en-US"/>
              </w:rPr>
            </w:pPr>
            <w:r w:rsidRPr="00E60E82">
              <w:rPr>
                <w:kern w:val="22"/>
                <w:szCs w:val="22"/>
                <w:lang w:val="en-US"/>
              </w:rPr>
              <w:t>COP 13, COP-MOP 7, COP-MOP 2</w:t>
            </w:r>
          </w:p>
        </w:tc>
        <w:tc>
          <w:tcPr>
            <w:tcW w:w="1134" w:type="dxa"/>
            <w:shd w:val="clear" w:color="auto" w:fill="auto"/>
          </w:tcPr>
          <w:p w:rsidR="00742F79" w:rsidRPr="00C54A95" w:rsidRDefault="00742F79" w:rsidP="00F82F1D">
            <w:pPr>
              <w:suppressLineNumbers/>
              <w:suppressAutoHyphens/>
              <w:kinsoku w:val="0"/>
              <w:overflowPunct w:val="0"/>
              <w:autoSpaceDE w:val="0"/>
              <w:autoSpaceDN w:val="0"/>
              <w:spacing w:before="40" w:after="40"/>
              <w:jc w:val="center"/>
              <w:rPr>
                <w:kern w:val="22"/>
                <w:szCs w:val="22"/>
                <w:lang w:val="fr-FR"/>
              </w:rPr>
            </w:pPr>
            <w:r w:rsidRPr="00C54A95">
              <w:rPr>
                <w:kern w:val="22"/>
                <w:szCs w:val="22"/>
                <w:lang w:val="fr-FR"/>
              </w:rPr>
              <w:t>12</w:t>
            </w:r>
          </w:p>
        </w:tc>
        <w:tc>
          <w:tcPr>
            <w:tcW w:w="1134" w:type="dxa"/>
            <w:shd w:val="clear" w:color="auto" w:fill="auto"/>
          </w:tcPr>
          <w:p w:rsidR="00742F79" w:rsidRPr="00C54A95" w:rsidRDefault="00742F79" w:rsidP="00F82F1D">
            <w:pPr>
              <w:suppressLineNumbers/>
              <w:suppressAutoHyphens/>
              <w:kinsoku w:val="0"/>
              <w:overflowPunct w:val="0"/>
              <w:autoSpaceDE w:val="0"/>
              <w:autoSpaceDN w:val="0"/>
              <w:spacing w:before="40" w:after="40"/>
              <w:jc w:val="center"/>
              <w:rPr>
                <w:kern w:val="22"/>
                <w:szCs w:val="22"/>
                <w:lang w:val="fr-FR"/>
              </w:rPr>
            </w:pPr>
            <w:r w:rsidRPr="00C54A95">
              <w:rPr>
                <w:kern w:val="22"/>
                <w:szCs w:val="22"/>
                <w:lang w:val="fr-FR"/>
              </w:rPr>
              <w:t>46</w:t>
            </w:r>
          </w:p>
        </w:tc>
        <w:tc>
          <w:tcPr>
            <w:tcW w:w="1057" w:type="dxa"/>
            <w:shd w:val="clear" w:color="auto" w:fill="auto"/>
          </w:tcPr>
          <w:p w:rsidR="00742F79" w:rsidRPr="00C54A95" w:rsidRDefault="00B41009" w:rsidP="00F82F1D">
            <w:pPr>
              <w:suppressLineNumbers/>
              <w:suppressAutoHyphens/>
              <w:kinsoku w:val="0"/>
              <w:overflowPunct w:val="0"/>
              <w:autoSpaceDE w:val="0"/>
              <w:autoSpaceDN w:val="0"/>
              <w:spacing w:before="40" w:after="40"/>
              <w:jc w:val="center"/>
              <w:rPr>
                <w:kern w:val="22"/>
                <w:szCs w:val="22"/>
                <w:lang w:val="fr-FR"/>
              </w:rPr>
            </w:pPr>
            <w:r>
              <w:rPr>
                <w:kern w:val="22"/>
                <w:szCs w:val="22"/>
                <w:lang w:val="fr-FR"/>
              </w:rPr>
              <w:t>3,</w:t>
            </w:r>
            <w:r w:rsidR="00742F79" w:rsidRPr="00C54A95">
              <w:rPr>
                <w:kern w:val="22"/>
                <w:szCs w:val="22"/>
                <w:lang w:val="fr-FR"/>
              </w:rPr>
              <w:t>8</w:t>
            </w:r>
          </w:p>
        </w:tc>
        <w:tc>
          <w:tcPr>
            <w:tcW w:w="1170" w:type="dxa"/>
            <w:shd w:val="clear" w:color="auto" w:fill="auto"/>
          </w:tcPr>
          <w:p w:rsidR="00742F79" w:rsidRPr="00C54A95" w:rsidRDefault="00742F79" w:rsidP="00F82F1D">
            <w:pPr>
              <w:suppressLineNumbers/>
              <w:suppressAutoHyphens/>
              <w:kinsoku w:val="0"/>
              <w:overflowPunct w:val="0"/>
              <w:autoSpaceDE w:val="0"/>
              <w:autoSpaceDN w:val="0"/>
              <w:spacing w:before="40" w:after="40"/>
              <w:jc w:val="center"/>
              <w:rPr>
                <w:kern w:val="22"/>
                <w:szCs w:val="22"/>
                <w:lang w:val="fr-FR"/>
              </w:rPr>
            </w:pPr>
            <w:r w:rsidRPr="00C54A95">
              <w:rPr>
                <w:kern w:val="22"/>
                <w:szCs w:val="22"/>
                <w:lang w:val="fr-FR"/>
              </w:rPr>
              <w:t>76</w:t>
            </w:r>
          </w:p>
        </w:tc>
        <w:tc>
          <w:tcPr>
            <w:tcW w:w="1332" w:type="dxa"/>
            <w:shd w:val="clear" w:color="auto" w:fill="auto"/>
          </w:tcPr>
          <w:p w:rsidR="00742F79" w:rsidRPr="00C54A95" w:rsidRDefault="00B41009" w:rsidP="00F82F1D">
            <w:pPr>
              <w:suppressLineNumbers/>
              <w:suppressAutoHyphens/>
              <w:kinsoku w:val="0"/>
              <w:overflowPunct w:val="0"/>
              <w:autoSpaceDE w:val="0"/>
              <w:autoSpaceDN w:val="0"/>
              <w:spacing w:before="40" w:after="40"/>
              <w:jc w:val="center"/>
              <w:rPr>
                <w:kern w:val="22"/>
                <w:szCs w:val="22"/>
                <w:lang w:val="fr-FR"/>
              </w:rPr>
            </w:pPr>
            <w:r>
              <w:rPr>
                <w:kern w:val="22"/>
                <w:szCs w:val="22"/>
                <w:lang w:val="fr-FR"/>
              </w:rPr>
              <w:t>6,</w:t>
            </w:r>
            <w:r w:rsidR="00742F79" w:rsidRPr="00C54A95">
              <w:rPr>
                <w:kern w:val="22"/>
                <w:szCs w:val="22"/>
                <w:lang w:val="fr-FR"/>
              </w:rPr>
              <w:t>3</w:t>
            </w:r>
          </w:p>
        </w:tc>
      </w:tr>
    </w:tbl>
    <w:p w:rsidR="00742F79" w:rsidRPr="00C54A95" w:rsidRDefault="00742F79" w:rsidP="00F82F1D">
      <w:pPr>
        <w:suppressLineNumbers/>
        <w:suppressAutoHyphens/>
        <w:kinsoku w:val="0"/>
        <w:overflowPunct w:val="0"/>
        <w:autoSpaceDE w:val="0"/>
        <w:autoSpaceDN w:val="0"/>
        <w:spacing w:after="120"/>
        <w:rPr>
          <w:kern w:val="22"/>
          <w:szCs w:val="22"/>
          <w:lang w:val="fr-FR"/>
        </w:rPr>
      </w:pPr>
    </w:p>
    <w:p w:rsidR="00742F79" w:rsidRPr="00C54A95" w:rsidRDefault="005A0FC3" w:rsidP="00F82F1D">
      <w:pPr>
        <w:pStyle w:val="Para1"/>
        <w:suppressLineNumbers/>
        <w:tabs>
          <w:tab w:val="clear" w:pos="360"/>
        </w:tabs>
        <w:suppressAutoHyphens/>
        <w:kinsoku w:val="0"/>
        <w:overflowPunct w:val="0"/>
        <w:autoSpaceDE w:val="0"/>
        <w:autoSpaceDN w:val="0"/>
        <w:rPr>
          <w:snapToGrid/>
          <w:kern w:val="22"/>
          <w:szCs w:val="22"/>
          <w:lang w:val="fr-FR"/>
        </w:rPr>
      </w:pPr>
      <w:r>
        <w:rPr>
          <w:snapToGrid/>
          <w:kern w:val="22"/>
          <w:szCs w:val="22"/>
          <w:lang w:val="fr-FR"/>
        </w:rPr>
        <w:t>En résumé, l’organisation</w:t>
      </w:r>
      <w:r w:rsidR="00B352DE" w:rsidRPr="00C54A95">
        <w:rPr>
          <w:snapToGrid/>
          <w:kern w:val="22"/>
          <w:szCs w:val="22"/>
          <w:lang w:val="fr-FR"/>
        </w:rPr>
        <w:t xml:space="preserve"> </w:t>
      </w:r>
      <w:r>
        <w:rPr>
          <w:snapToGrid/>
          <w:kern w:val="22"/>
          <w:szCs w:val="22"/>
          <w:lang w:val="fr-FR"/>
        </w:rPr>
        <w:t>de</w:t>
      </w:r>
      <w:r w:rsidR="00B352DE" w:rsidRPr="00C54A95">
        <w:rPr>
          <w:snapToGrid/>
          <w:kern w:val="22"/>
          <w:szCs w:val="22"/>
          <w:lang w:val="fr-FR"/>
        </w:rPr>
        <w:t xml:space="preserve"> réunions </w:t>
      </w:r>
      <w:r>
        <w:rPr>
          <w:snapToGrid/>
          <w:kern w:val="22"/>
          <w:szCs w:val="22"/>
          <w:lang w:val="fr-FR"/>
        </w:rPr>
        <w:t xml:space="preserve">concomitantes </w:t>
      </w:r>
      <w:r w:rsidR="00B352DE" w:rsidRPr="00C54A95">
        <w:rPr>
          <w:snapToGrid/>
          <w:kern w:val="22"/>
          <w:szCs w:val="22"/>
          <w:lang w:val="fr-FR"/>
        </w:rPr>
        <w:t xml:space="preserve">a </w:t>
      </w:r>
      <w:r>
        <w:rPr>
          <w:snapToGrid/>
          <w:kern w:val="22"/>
          <w:szCs w:val="22"/>
          <w:lang w:val="fr-FR"/>
        </w:rPr>
        <w:t>pour effet de réduire la</w:t>
      </w:r>
      <w:r w:rsidR="00B352DE" w:rsidRPr="00C54A95">
        <w:rPr>
          <w:snapToGrid/>
          <w:kern w:val="22"/>
          <w:szCs w:val="22"/>
          <w:lang w:val="fr-FR"/>
        </w:rPr>
        <w:t xml:space="preserve"> durée </w:t>
      </w:r>
      <w:r>
        <w:rPr>
          <w:snapToGrid/>
          <w:kern w:val="22"/>
          <w:szCs w:val="22"/>
          <w:lang w:val="fr-FR"/>
        </w:rPr>
        <w:t>des réunions</w:t>
      </w:r>
      <w:r w:rsidR="00B352DE" w:rsidRPr="00C54A95">
        <w:rPr>
          <w:snapToGrid/>
          <w:kern w:val="22"/>
          <w:szCs w:val="22"/>
          <w:lang w:val="fr-FR"/>
        </w:rPr>
        <w:t xml:space="preserve"> </w:t>
      </w:r>
      <w:r w:rsidR="00EA5D70">
        <w:rPr>
          <w:snapToGrid/>
          <w:kern w:val="22"/>
          <w:szCs w:val="22"/>
          <w:lang w:val="fr-FR"/>
        </w:rPr>
        <w:t>et</w:t>
      </w:r>
      <w:r w:rsidR="00B352DE" w:rsidRPr="00C54A95">
        <w:rPr>
          <w:snapToGrid/>
          <w:kern w:val="22"/>
          <w:szCs w:val="22"/>
          <w:lang w:val="fr-FR"/>
        </w:rPr>
        <w:t xml:space="preserve"> le nombre des sessions plénières et des sessions des groupes de travail. Il semble également qu’elle </w:t>
      </w:r>
      <w:r w:rsidR="00721603">
        <w:rPr>
          <w:snapToGrid/>
          <w:kern w:val="22"/>
          <w:szCs w:val="22"/>
          <w:lang w:val="fr-FR"/>
        </w:rPr>
        <w:t>accroisse</w:t>
      </w:r>
      <w:r w:rsidR="00B352DE" w:rsidRPr="00C54A95">
        <w:rPr>
          <w:snapToGrid/>
          <w:kern w:val="22"/>
          <w:szCs w:val="22"/>
          <w:lang w:val="fr-FR"/>
        </w:rPr>
        <w:t xml:space="preserve"> légèrement le nombre moyen de</w:t>
      </w:r>
      <w:r w:rsidR="00EA5D70">
        <w:rPr>
          <w:snapToGrid/>
          <w:kern w:val="22"/>
          <w:szCs w:val="22"/>
          <w:lang w:val="fr-FR"/>
        </w:rPr>
        <w:t xml:space="preserve"> ce</w:t>
      </w:r>
      <w:r w:rsidR="00B352DE" w:rsidRPr="00C54A95">
        <w:rPr>
          <w:snapToGrid/>
          <w:kern w:val="22"/>
          <w:szCs w:val="22"/>
          <w:lang w:val="fr-FR"/>
        </w:rPr>
        <w:t xml:space="preserve">s sessions </w:t>
      </w:r>
      <w:r w:rsidR="00EA5D70">
        <w:rPr>
          <w:snapToGrid/>
          <w:kern w:val="22"/>
          <w:szCs w:val="22"/>
          <w:lang w:val="fr-FR"/>
        </w:rPr>
        <w:t>au</w:t>
      </w:r>
      <w:r w:rsidR="00B352DE" w:rsidRPr="00C54A95">
        <w:rPr>
          <w:snapToGrid/>
          <w:kern w:val="22"/>
          <w:szCs w:val="22"/>
          <w:lang w:val="fr-FR"/>
        </w:rPr>
        <w:t xml:space="preserve"> </w:t>
      </w:r>
      <w:r w:rsidR="00EA5D70">
        <w:rPr>
          <w:snapToGrid/>
          <w:kern w:val="22"/>
          <w:szCs w:val="22"/>
          <w:lang w:val="fr-FR"/>
        </w:rPr>
        <w:t>quotidien</w:t>
      </w:r>
      <w:r w:rsidR="00B352DE" w:rsidRPr="00C54A95">
        <w:rPr>
          <w:snapToGrid/>
          <w:kern w:val="22"/>
          <w:szCs w:val="22"/>
          <w:lang w:val="fr-FR"/>
        </w:rPr>
        <w:t>. Cet accroissement e</w:t>
      </w:r>
      <w:r w:rsidR="004A22C7">
        <w:rPr>
          <w:snapToGrid/>
          <w:kern w:val="22"/>
          <w:szCs w:val="22"/>
          <w:lang w:val="fr-FR"/>
        </w:rPr>
        <w:t>st toutefois insignifiant pour l</w:t>
      </w:r>
      <w:r w:rsidR="00B352DE" w:rsidRPr="00C54A95">
        <w:rPr>
          <w:snapToGrid/>
          <w:kern w:val="22"/>
          <w:szCs w:val="22"/>
          <w:lang w:val="fr-FR"/>
        </w:rPr>
        <w:t xml:space="preserve">es sessions de la réunion de haut niveau (hors treizième </w:t>
      </w:r>
      <w:r w:rsidR="004A22C7">
        <w:rPr>
          <w:snapToGrid/>
          <w:kern w:val="22"/>
          <w:szCs w:val="22"/>
          <w:lang w:val="fr-FR"/>
        </w:rPr>
        <w:t xml:space="preserve">réunion de la </w:t>
      </w:r>
      <w:r w:rsidR="00B352DE" w:rsidRPr="00C54A95">
        <w:rPr>
          <w:kern w:val="22"/>
          <w:szCs w:val="22"/>
          <w:lang w:val="fr-FR"/>
        </w:rPr>
        <w:t>Conférence des Parties).</w:t>
      </w:r>
      <w:r w:rsidR="006776AF">
        <w:rPr>
          <w:snapToGrid/>
          <w:kern w:val="22"/>
          <w:szCs w:val="22"/>
          <w:lang w:val="fr-FR"/>
        </w:rPr>
        <w:t xml:space="preserve"> Il semble en outre que l’organisation</w:t>
      </w:r>
      <w:r w:rsidR="00B352DE" w:rsidRPr="00C54A95">
        <w:rPr>
          <w:snapToGrid/>
          <w:kern w:val="22"/>
          <w:szCs w:val="22"/>
          <w:lang w:val="fr-FR"/>
        </w:rPr>
        <w:t xml:space="preserve"> </w:t>
      </w:r>
      <w:r w:rsidR="006776AF">
        <w:rPr>
          <w:snapToGrid/>
          <w:kern w:val="22"/>
          <w:szCs w:val="22"/>
          <w:lang w:val="fr-FR"/>
        </w:rPr>
        <w:t>de</w:t>
      </w:r>
      <w:r w:rsidR="00B352DE" w:rsidRPr="00C54A95">
        <w:rPr>
          <w:snapToGrid/>
          <w:kern w:val="22"/>
          <w:szCs w:val="22"/>
          <w:lang w:val="fr-FR"/>
        </w:rPr>
        <w:t xml:space="preserve"> réunions </w:t>
      </w:r>
      <w:r w:rsidR="006776AF">
        <w:rPr>
          <w:snapToGrid/>
          <w:kern w:val="22"/>
          <w:szCs w:val="22"/>
          <w:lang w:val="fr-FR"/>
        </w:rPr>
        <w:t xml:space="preserve">concomitantes </w:t>
      </w:r>
      <w:r w:rsidR="00721603">
        <w:rPr>
          <w:snapToGrid/>
          <w:kern w:val="22"/>
          <w:szCs w:val="22"/>
          <w:lang w:val="fr-FR"/>
        </w:rPr>
        <w:t>augmente</w:t>
      </w:r>
      <w:r w:rsidR="00B352DE" w:rsidRPr="00C54A95">
        <w:rPr>
          <w:snapToGrid/>
          <w:kern w:val="22"/>
          <w:szCs w:val="22"/>
          <w:lang w:val="fr-FR"/>
        </w:rPr>
        <w:t xml:space="preserve"> le nombre des réunions des groupes de contact et des Amis de la présidence. Si la durée globale des réunions </w:t>
      </w:r>
      <w:r w:rsidR="00721603">
        <w:rPr>
          <w:snapToGrid/>
          <w:kern w:val="22"/>
          <w:szCs w:val="22"/>
          <w:lang w:val="fr-FR"/>
        </w:rPr>
        <w:t>est</w:t>
      </w:r>
      <w:r w:rsidR="00B352DE" w:rsidRPr="00C54A95">
        <w:rPr>
          <w:snapToGrid/>
          <w:kern w:val="22"/>
          <w:szCs w:val="22"/>
          <w:lang w:val="fr-FR"/>
        </w:rPr>
        <w:t xml:space="preserve"> réduite, </w:t>
      </w:r>
      <w:r w:rsidR="006776AF">
        <w:rPr>
          <w:snapToGrid/>
          <w:kern w:val="22"/>
          <w:szCs w:val="22"/>
          <w:lang w:val="fr-FR"/>
        </w:rPr>
        <w:t xml:space="preserve">elle semble compensée par </w:t>
      </w:r>
      <w:r w:rsidR="00B352DE" w:rsidRPr="00C54A95">
        <w:rPr>
          <w:snapToGrid/>
          <w:kern w:val="22"/>
          <w:szCs w:val="22"/>
          <w:lang w:val="fr-FR"/>
        </w:rPr>
        <w:t>l</w:t>
      </w:r>
      <w:r w:rsidR="006776AF">
        <w:rPr>
          <w:snapToGrid/>
          <w:kern w:val="22"/>
          <w:szCs w:val="22"/>
          <w:lang w:val="fr-FR"/>
        </w:rPr>
        <w:t>’intensité accrue d</w:t>
      </w:r>
      <w:r w:rsidR="00B352DE" w:rsidRPr="00C54A95">
        <w:rPr>
          <w:snapToGrid/>
          <w:kern w:val="22"/>
          <w:szCs w:val="22"/>
          <w:lang w:val="fr-FR"/>
        </w:rPr>
        <w:t>es n</w:t>
      </w:r>
      <w:r w:rsidR="006776AF">
        <w:rPr>
          <w:snapToGrid/>
          <w:kern w:val="22"/>
          <w:szCs w:val="22"/>
          <w:lang w:val="fr-FR"/>
        </w:rPr>
        <w:t>égociations</w:t>
      </w:r>
      <w:r w:rsidR="00E52584">
        <w:rPr>
          <w:snapToGrid/>
          <w:kern w:val="22"/>
          <w:szCs w:val="22"/>
          <w:lang w:val="fr-FR"/>
        </w:rPr>
        <w:t>. Comme le montre toutefois le nombre de</w:t>
      </w:r>
      <w:r w:rsidR="00721603">
        <w:rPr>
          <w:snapToGrid/>
          <w:kern w:val="22"/>
          <w:szCs w:val="22"/>
          <w:lang w:val="fr-FR"/>
        </w:rPr>
        <w:t>s</w:t>
      </w:r>
      <w:r w:rsidR="00E52584">
        <w:rPr>
          <w:snapToGrid/>
          <w:kern w:val="22"/>
          <w:szCs w:val="22"/>
          <w:lang w:val="fr-FR"/>
        </w:rPr>
        <w:t xml:space="preserve"> réunions de groupes de contact et d</w:t>
      </w:r>
      <w:r w:rsidR="00721603">
        <w:rPr>
          <w:snapToGrid/>
          <w:kern w:val="22"/>
          <w:szCs w:val="22"/>
          <w:lang w:val="fr-FR"/>
        </w:rPr>
        <w:t>’</w:t>
      </w:r>
      <w:r w:rsidR="00E52584" w:rsidRPr="00C54A95">
        <w:rPr>
          <w:snapToGrid/>
          <w:kern w:val="22"/>
          <w:szCs w:val="22"/>
          <w:lang w:val="fr-FR"/>
        </w:rPr>
        <w:t xml:space="preserve">Amis de la présidence tenues à la dixième </w:t>
      </w:r>
      <w:r w:rsidR="00E52584">
        <w:rPr>
          <w:snapToGrid/>
          <w:kern w:val="22"/>
          <w:szCs w:val="22"/>
          <w:lang w:val="fr-FR"/>
        </w:rPr>
        <w:t xml:space="preserve">réunion de la </w:t>
      </w:r>
      <w:r w:rsidR="00E52584" w:rsidRPr="00C54A95">
        <w:rPr>
          <w:kern w:val="22"/>
          <w:szCs w:val="22"/>
          <w:lang w:val="fr-FR"/>
        </w:rPr>
        <w:t xml:space="preserve">Conférence des Parties et à la cinquième </w:t>
      </w:r>
      <w:r w:rsidR="00E52584">
        <w:rPr>
          <w:kern w:val="22"/>
          <w:szCs w:val="22"/>
          <w:lang w:val="fr-FR"/>
        </w:rPr>
        <w:t xml:space="preserve">réunion de la </w:t>
      </w:r>
      <w:r w:rsidR="00E52584" w:rsidRPr="00C54A95">
        <w:rPr>
          <w:kern w:val="22"/>
          <w:szCs w:val="22"/>
          <w:lang w:val="fr-FR"/>
        </w:rPr>
        <w:t>Conférence des Parties siégeant en tant que réunion des Parties</w:t>
      </w:r>
      <w:r w:rsidR="00E52584">
        <w:rPr>
          <w:kern w:val="22"/>
          <w:szCs w:val="22"/>
          <w:lang w:val="fr-FR"/>
        </w:rPr>
        <w:t xml:space="preserve">, </w:t>
      </w:r>
      <w:r w:rsidR="00721603">
        <w:rPr>
          <w:kern w:val="22"/>
          <w:szCs w:val="22"/>
          <w:lang w:val="fr-FR"/>
        </w:rPr>
        <w:t>le nombre</w:t>
      </w:r>
      <w:r w:rsidR="00B352DE" w:rsidRPr="00C54A95">
        <w:rPr>
          <w:snapToGrid/>
          <w:kern w:val="22"/>
          <w:szCs w:val="22"/>
          <w:lang w:val="fr-FR"/>
        </w:rPr>
        <w:t xml:space="preserve"> des sess</w:t>
      </w:r>
      <w:r w:rsidR="00E52584">
        <w:rPr>
          <w:snapToGrid/>
          <w:kern w:val="22"/>
          <w:szCs w:val="22"/>
          <w:lang w:val="fr-FR"/>
        </w:rPr>
        <w:t>ions plénières, des sessions de</w:t>
      </w:r>
      <w:r w:rsidR="00B352DE" w:rsidRPr="00C54A95">
        <w:rPr>
          <w:snapToGrid/>
          <w:kern w:val="22"/>
          <w:szCs w:val="22"/>
          <w:lang w:val="fr-FR"/>
        </w:rPr>
        <w:t xml:space="preserve"> groupe</w:t>
      </w:r>
      <w:r w:rsidR="00E52584">
        <w:rPr>
          <w:snapToGrid/>
          <w:kern w:val="22"/>
          <w:szCs w:val="22"/>
          <w:lang w:val="fr-FR"/>
        </w:rPr>
        <w:t>s de travail et des réunions de groupes de contact et d</w:t>
      </w:r>
      <w:r w:rsidR="00721603">
        <w:rPr>
          <w:snapToGrid/>
          <w:kern w:val="22"/>
          <w:szCs w:val="22"/>
          <w:lang w:val="fr-FR"/>
        </w:rPr>
        <w:t>’</w:t>
      </w:r>
      <w:r w:rsidR="00B352DE" w:rsidRPr="00C54A95">
        <w:rPr>
          <w:snapToGrid/>
          <w:kern w:val="22"/>
          <w:szCs w:val="22"/>
          <w:lang w:val="fr-FR"/>
        </w:rPr>
        <w:t xml:space="preserve">Amis de la présidence varie en fonction des questions </w:t>
      </w:r>
      <w:r w:rsidR="00E52584">
        <w:rPr>
          <w:snapToGrid/>
          <w:kern w:val="22"/>
          <w:szCs w:val="22"/>
          <w:lang w:val="fr-FR"/>
        </w:rPr>
        <w:t>qu’elles examinent.</w:t>
      </w:r>
    </w:p>
    <w:p w:rsidR="00742F79" w:rsidRPr="00C54A95" w:rsidRDefault="00B352DE" w:rsidP="00F82F1D">
      <w:pPr>
        <w:keepNext/>
        <w:numPr>
          <w:ilvl w:val="0"/>
          <w:numId w:val="52"/>
        </w:numPr>
        <w:suppressLineNumbers/>
        <w:suppressAutoHyphens/>
        <w:kinsoku w:val="0"/>
        <w:overflowPunct w:val="0"/>
        <w:autoSpaceDE w:val="0"/>
        <w:autoSpaceDN w:val="0"/>
        <w:spacing w:before="240" w:after="120"/>
        <w:jc w:val="left"/>
        <w:rPr>
          <w:b/>
          <w:bCs/>
          <w:kern w:val="22"/>
          <w:szCs w:val="22"/>
          <w:lang w:val="fr-FR"/>
        </w:rPr>
      </w:pPr>
      <w:r w:rsidRPr="00C54A95">
        <w:rPr>
          <w:b/>
          <w:bCs/>
          <w:kern w:val="22"/>
          <w:szCs w:val="22"/>
          <w:lang w:val="fr-FR"/>
        </w:rPr>
        <w:t>INTÉ</w:t>
      </w:r>
      <w:r w:rsidR="00742F79" w:rsidRPr="00C54A95">
        <w:rPr>
          <w:b/>
          <w:bCs/>
          <w:kern w:val="22"/>
          <w:szCs w:val="22"/>
          <w:lang w:val="fr-FR"/>
        </w:rPr>
        <w:t xml:space="preserve">GRATION </w:t>
      </w:r>
      <w:r w:rsidRPr="00C54A95">
        <w:rPr>
          <w:b/>
          <w:bCs/>
          <w:kern w:val="22"/>
          <w:szCs w:val="22"/>
          <w:lang w:val="fr-FR"/>
        </w:rPr>
        <w:t>ACCRUE ENTRE LA</w:t>
      </w:r>
      <w:r w:rsidR="00742F79" w:rsidRPr="00C54A95">
        <w:rPr>
          <w:b/>
          <w:bCs/>
          <w:kern w:val="22"/>
          <w:szCs w:val="22"/>
          <w:lang w:val="fr-FR"/>
        </w:rPr>
        <w:t xml:space="preserve"> CONVENTION </w:t>
      </w:r>
      <w:r w:rsidRPr="00C54A95">
        <w:rPr>
          <w:b/>
          <w:bCs/>
          <w:kern w:val="22"/>
          <w:szCs w:val="22"/>
          <w:lang w:val="fr-FR"/>
        </w:rPr>
        <w:t>ET SES</w:t>
      </w:r>
      <w:r w:rsidR="00742F79" w:rsidRPr="00C54A95">
        <w:rPr>
          <w:b/>
          <w:bCs/>
          <w:kern w:val="22"/>
          <w:szCs w:val="22"/>
          <w:lang w:val="fr-FR"/>
        </w:rPr>
        <w:t xml:space="preserve"> PROTOCOL</w:t>
      </w:r>
      <w:r w:rsidRPr="00C54A95">
        <w:rPr>
          <w:b/>
          <w:bCs/>
          <w:kern w:val="22"/>
          <w:szCs w:val="22"/>
          <w:lang w:val="fr-FR"/>
        </w:rPr>
        <w:t>E</w:t>
      </w:r>
      <w:r w:rsidR="00742F79" w:rsidRPr="00C54A95">
        <w:rPr>
          <w:b/>
          <w:bCs/>
          <w:kern w:val="22"/>
          <w:szCs w:val="22"/>
          <w:lang w:val="fr-FR"/>
        </w:rPr>
        <w:t>S</w:t>
      </w:r>
    </w:p>
    <w:p w:rsidR="00742F79" w:rsidRPr="00C54A95" w:rsidRDefault="00B352DE" w:rsidP="00F82F1D">
      <w:pPr>
        <w:pStyle w:val="Para1"/>
        <w:suppressLineNumbers/>
        <w:tabs>
          <w:tab w:val="clear" w:pos="360"/>
        </w:tabs>
        <w:suppressAutoHyphens/>
        <w:kinsoku w:val="0"/>
        <w:overflowPunct w:val="0"/>
        <w:autoSpaceDE w:val="0"/>
        <w:autoSpaceDN w:val="0"/>
        <w:rPr>
          <w:snapToGrid/>
          <w:kern w:val="22"/>
          <w:szCs w:val="22"/>
          <w:lang w:val="fr-FR"/>
        </w:rPr>
      </w:pPr>
      <w:r w:rsidRPr="00C54A95">
        <w:rPr>
          <w:snapToGrid/>
          <w:kern w:val="22"/>
          <w:szCs w:val="22"/>
          <w:lang w:val="fr-FR"/>
        </w:rPr>
        <w:t xml:space="preserve">Le critère d’une plus grande intégration entre la Convention et ses Protocoles a été considéré comme « pleinement respecté » par 51 % des Parties ayant répondu à la notification, « partiellement respecté » par 46 % d’entre </w:t>
      </w:r>
      <w:r w:rsidR="00E52584">
        <w:rPr>
          <w:snapToGrid/>
          <w:kern w:val="22"/>
          <w:szCs w:val="22"/>
          <w:lang w:val="fr-FR"/>
        </w:rPr>
        <w:t>elles</w:t>
      </w:r>
      <w:r w:rsidRPr="00C54A95">
        <w:rPr>
          <w:snapToGrid/>
          <w:kern w:val="22"/>
          <w:szCs w:val="22"/>
          <w:lang w:val="fr-FR"/>
        </w:rPr>
        <w:t xml:space="preserve"> et « non respecté » par 3 % d’entre </w:t>
      </w:r>
      <w:r w:rsidR="00E52584">
        <w:rPr>
          <w:snapToGrid/>
          <w:kern w:val="22"/>
          <w:szCs w:val="22"/>
          <w:lang w:val="fr-FR"/>
        </w:rPr>
        <w:t>elles</w:t>
      </w:r>
      <w:r w:rsidRPr="00C54A95">
        <w:rPr>
          <w:snapToGrid/>
          <w:kern w:val="22"/>
          <w:szCs w:val="22"/>
          <w:lang w:val="fr-FR"/>
        </w:rPr>
        <w:t xml:space="preserve">. Les réponses des pays en développement </w:t>
      </w:r>
      <w:r w:rsidR="00CB267B" w:rsidRPr="00C54A95">
        <w:rPr>
          <w:snapToGrid/>
          <w:kern w:val="22"/>
          <w:szCs w:val="22"/>
          <w:lang w:val="fr-FR"/>
        </w:rPr>
        <w:t xml:space="preserve">diffèrent peu </w:t>
      </w:r>
      <w:r w:rsidR="00CB267B">
        <w:rPr>
          <w:snapToGrid/>
          <w:kern w:val="22"/>
          <w:szCs w:val="22"/>
          <w:lang w:val="fr-FR"/>
        </w:rPr>
        <w:t>de celles des pays développés</w:t>
      </w:r>
      <w:r w:rsidRPr="00C54A95">
        <w:rPr>
          <w:snapToGrid/>
          <w:kern w:val="22"/>
          <w:szCs w:val="22"/>
          <w:lang w:val="fr-FR"/>
        </w:rPr>
        <w:t xml:space="preserve"> lorsqu’elles sont considérées séparément, une </w:t>
      </w:r>
      <w:r w:rsidRPr="00C54A95">
        <w:rPr>
          <w:snapToGrid/>
          <w:kern w:val="22"/>
          <w:szCs w:val="22"/>
          <w:lang w:val="fr-FR"/>
        </w:rPr>
        <w:lastRenderedPageBreak/>
        <w:t>exception prévalant toutefois pour l</w:t>
      </w:r>
      <w:r w:rsidR="00CB267B">
        <w:rPr>
          <w:snapToGrid/>
          <w:kern w:val="22"/>
          <w:szCs w:val="22"/>
          <w:lang w:val="fr-FR"/>
        </w:rPr>
        <w:t>es pays développés qui n’ont pas considéré</w:t>
      </w:r>
      <w:r w:rsidRPr="00C54A95">
        <w:rPr>
          <w:snapToGrid/>
          <w:kern w:val="22"/>
          <w:szCs w:val="22"/>
          <w:lang w:val="fr-FR"/>
        </w:rPr>
        <w:t xml:space="preserve"> que le critère </w:t>
      </w:r>
      <w:proofErr w:type="gramStart"/>
      <w:r w:rsidR="007C7971">
        <w:rPr>
          <w:snapToGrid/>
          <w:kern w:val="22"/>
          <w:szCs w:val="22"/>
          <w:lang w:val="fr-FR"/>
        </w:rPr>
        <w:t>avait</w:t>
      </w:r>
      <w:proofErr w:type="gramEnd"/>
      <w:r w:rsidRPr="00C54A95">
        <w:rPr>
          <w:snapToGrid/>
          <w:kern w:val="22"/>
          <w:szCs w:val="22"/>
          <w:lang w:val="fr-FR"/>
        </w:rPr>
        <w:t xml:space="preserve"> </w:t>
      </w:r>
      <w:r w:rsidR="00CB267B">
        <w:rPr>
          <w:snapToGrid/>
          <w:kern w:val="22"/>
          <w:szCs w:val="22"/>
          <w:lang w:val="fr-FR"/>
        </w:rPr>
        <w:t xml:space="preserve">été </w:t>
      </w:r>
      <w:r w:rsidR="00DC185F">
        <w:rPr>
          <w:snapToGrid/>
          <w:kern w:val="22"/>
          <w:szCs w:val="22"/>
          <w:lang w:val="fr-FR"/>
        </w:rPr>
        <w:t xml:space="preserve">« non </w:t>
      </w:r>
      <w:r w:rsidR="00CB267B">
        <w:rPr>
          <w:snapToGrid/>
          <w:kern w:val="22"/>
          <w:szCs w:val="22"/>
          <w:lang w:val="fr-FR"/>
        </w:rPr>
        <w:t>respecté</w:t>
      </w:r>
      <w:r w:rsidR="00DC185F">
        <w:rPr>
          <w:snapToGrid/>
          <w:kern w:val="22"/>
          <w:szCs w:val="22"/>
          <w:lang w:val="fr-FR"/>
        </w:rPr>
        <w:t> »</w:t>
      </w:r>
      <w:r w:rsidR="00742F79" w:rsidRPr="00C54A95">
        <w:rPr>
          <w:snapToGrid/>
          <w:kern w:val="22"/>
          <w:szCs w:val="22"/>
          <w:lang w:val="fr-FR"/>
        </w:rPr>
        <w:t>.</w:t>
      </w:r>
    </w:p>
    <w:p w:rsidR="00742F79" w:rsidRPr="00C54A95" w:rsidRDefault="00B352DE" w:rsidP="00F82F1D">
      <w:pPr>
        <w:pStyle w:val="Para1"/>
        <w:suppressLineNumbers/>
        <w:tabs>
          <w:tab w:val="clear" w:pos="360"/>
        </w:tabs>
        <w:suppressAutoHyphens/>
        <w:kinsoku w:val="0"/>
        <w:overflowPunct w:val="0"/>
        <w:autoSpaceDE w:val="0"/>
        <w:autoSpaceDN w:val="0"/>
        <w:rPr>
          <w:snapToGrid/>
          <w:kern w:val="22"/>
          <w:szCs w:val="22"/>
          <w:lang w:val="fr-FR"/>
        </w:rPr>
      </w:pPr>
      <w:r w:rsidRPr="00C54A95">
        <w:rPr>
          <w:snapToGrid/>
          <w:kern w:val="22"/>
          <w:szCs w:val="22"/>
          <w:lang w:val="fr-FR"/>
        </w:rPr>
        <w:t xml:space="preserve">Plusieurs Parties ont </w:t>
      </w:r>
      <w:r w:rsidR="00DC185F">
        <w:rPr>
          <w:snapToGrid/>
          <w:kern w:val="22"/>
          <w:szCs w:val="22"/>
          <w:lang w:val="fr-FR"/>
        </w:rPr>
        <w:t>relevé</w:t>
      </w:r>
      <w:r w:rsidRPr="00C54A95">
        <w:rPr>
          <w:snapToGrid/>
          <w:kern w:val="22"/>
          <w:szCs w:val="22"/>
          <w:lang w:val="fr-FR"/>
        </w:rPr>
        <w:t xml:space="preserve"> dans leurs observations que l’organisation de réunions concomitantes constituait « un bon début » et exerçait « un effet positif ». Quelques Parties ont toutefois </w:t>
      </w:r>
      <w:r w:rsidR="00DC185F">
        <w:rPr>
          <w:snapToGrid/>
          <w:kern w:val="22"/>
          <w:szCs w:val="22"/>
          <w:lang w:val="fr-FR"/>
        </w:rPr>
        <w:t>noté</w:t>
      </w:r>
      <w:r w:rsidRPr="00C54A95">
        <w:rPr>
          <w:snapToGrid/>
          <w:kern w:val="22"/>
          <w:szCs w:val="22"/>
          <w:lang w:val="fr-FR"/>
        </w:rPr>
        <w:t xml:space="preserve"> qu’il était encore trop tôt pour </w:t>
      </w:r>
      <w:r w:rsidR="00DC185F">
        <w:rPr>
          <w:snapToGrid/>
          <w:kern w:val="22"/>
          <w:szCs w:val="22"/>
          <w:lang w:val="fr-FR"/>
        </w:rPr>
        <w:t>juger</w:t>
      </w:r>
      <w:r w:rsidRPr="00C54A95">
        <w:rPr>
          <w:snapToGrid/>
          <w:kern w:val="22"/>
          <w:szCs w:val="22"/>
          <w:lang w:val="fr-FR"/>
        </w:rPr>
        <w:t xml:space="preserve"> ce critère</w:t>
      </w:r>
      <w:r w:rsidR="00DC185F">
        <w:rPr>
          <w:snapToGrid/>
          <w:kern w:val="22"/>
          <w:szCs w:val="22"/>
          <w:lang w:val="fr-FR"/>
        </w:rPr>
        <w:t xml:space="preserve"> sérieusement</w:t>
      </w:r>
      <w:r w:rsidRPr="00C54A95">
        <w:rPr>
          <w:snapToGrid/>
          <w:kern w:val="22"/>
          <w:szCs w:val="22"/>
          <w:lang w:val="fr-FR"/>
        </w:rPr>
        <w:t>. D’autres Parties ont estimé que l’intégration des aspects procéduraux de la Convention et de ses Protocoles avait fait l’objet de progrès plus importants que les questions de fond. Quelques Parties ont constaté que le format des réunions concomitantes améliorait la compréhension des liens existant entre la Convention et ses Protocoles</w:t>
      </w:r>
      <w:r w:rsidR="00742F79" w:rsidRPr="00C54A95">
        <w:rPr>
          <w:snapToGrid/>
          <w:kern w:val="22"/>
          <w:szCs w:val="22"/>
          <w:lang w:val="fr-FR"/>
        </w:rPr>
        <w:t>.</w:t>
      </w:r>
    </w:p>
    <w:p w:rsidR="00742F79" w:rsidRPr="00C54A95" w:rsidRDefault="00B352DE" w:rsidP="00F82F1D">
      <w:pPr>
        <w:pStyle w:val="Para1"/>
        <w:suppressLineNumbers/>
        <w:tabs>
          <w:tab w:val="clear" w:pos="360"/>
        </w:tabs>
        <w:suppressAutoHyphens/>
        <w:kinsoku w:val="0"/>
        <w:overflowPunct w:val="0"/>
        <w:autoSpaceDE w:val="0"/>
        <w:autoSpaceDN w:val="0"/>
        <w:rPr>
          <w:snapToGrid/>
          <w:kern w:val="22"/>
          <w:szCs w:val="22"/>
          <w:lang w:val="fr-FR"/>
        </w:rPr>
      </w:pPr>
      <w:r w:rsidRPr="00C54A95">
        <w:rPr>
          <w:snapToGrid/>
          <w:kern w:val="22"/>
          <w:szCs w:val="22"/>
          <w:lang w:val="fr-FR"/>
        </w:rPr>
        <w:t xml:space="preserve">Les réponses </w:t>
      </w:r>
      <w:r w:rsidR="003C389C">
        <w:rPr>
          <w:snapToGrid/>
          <w:kern w:val="22"/>
          <w:szCs w:val="22"/>
          <w:lang w:val="fr-FR"/>
        </w:rPr>
        <w:t>apportées à</w:t>
      </w:r>
      <w:r w:rsidRPr="00C54A95">
        <w:rPr>
          <w:snapToGrid/>
          <w:kern w:val="22"/>
          <w:szCs w:val="22"/>
          <w:lang w:val="fr-FR"/>
        </w:rPr>
        <w:t xml:space="preserve"> l’enquête en ligne </w:t>
      </w:r>
      <w:r w:rsidR="003C389C">
        <w:rPr>
          <w:snapToGrid/>
          <w:kern w:val="22"/>
          <w:szCs w:val="22"/>
          <w:lang w:val="fr-FR"/>
        </w:rPr>
        <w:t>ont été</w:t>
      </w:r>
      <w:r w:rsidRPr="00C54A95">
        <w:rPr>
          <w:snapToGrid/>
          <w:kern w:val="22"/>
          <w:szCs w:val="22"/>
          <w:lang w:val="fr-FR"/>
        </w:rPr>
        <w:t xml:space="preserve"> analogues à celles du questionnaire distribué aux Parties. La majorité des répondants a considéré que l’organisation de réunions concomitantes avait favorisé l’intégration entre la Convention et les Protocoles. Ce sont au total 17 % des répondants qui ont été « entièrement d’accord » avec cette affirmation et 52 % d’entre eux, « d’accord ». À l’inverse, 7 % des répondants au total n’ont pas été d’accord avec cette</w:t>
      </w:r>
      <w:r w:rsidR="003C389C">
        <w:rPr>
          <w:snapToGrid/>
          <w:kern w:val="22"/>
          <w:szCs w:val="22"/>
          <w:lang w:val="fr-FR"/>
        </w:rPr>
        <w:t xml:space="preserve"> affirmation et 3 % d’entre eux, </w:t>
      </w:r>
      <w:r w:rsidR="005023D7">
        <w:rPr>
          <w:snapToGrid/>
          <w:kern w:val="22"/>
          <w:szCs w:val="22"/>
          <w:lang w:val="fr-FR"/>
        </w:rPr>
        <w:t xml:space="preserve">« pas </w:t>
      </w:r>
      <w:r w:rsidRPr="00C54A95">
        <w:rPr>
          <w:snapToGrid/>
          <w:kern w:val="22"/>
          <w:szCs w:val="22"/>
          <w:lang w:val="fr-FR"/>
        </w:rPr>
        <w:t>du tout d’accord</w:t>
      </w:r>
      <w:r w:rsidR="005023D7">
        <w:rPr>
          <w:snapToGrid/>
          <w:kern w:val="22"/>
          <w:szCs w:val="22"/>
          <w:lang w:val="fr-FR"/>
        </w:rPr>
        <w:t> »</w:t>
      </w:r>
      <w:r w:rsidRPr="00C54A95">
        <w:rPr>
          <w:snapToGrid/>
          <w:kern w:val="22"/>
          <w:szCs w:val="22"/>
          <w:lang w:val="fr-FR"/>
        </w:rPr>
        <w:t>. Le reste, soit 20 % des répondants, n’a pas eu d’avis sur cette question. L’examen des seules réponses des participants représentant des Parties aux réunions concomitantes montre que 22 % d’entre eux ont été « entièrement d’accord » avec cette affirmation et 51 % d’entre eux, « d’accord ». À l’inverse, 7 % de</w:t>
      </w:r>
      <w:r w:rsidR="003C389C">
        <w:rPr>
          <w:snapToGrid/>
          <w:kern w:val="22"/>
          <w:szCs w:val="22"/>
          <w:lang w:val="fr-FR"/>
        </w:rPr>
        <w:t xml:space="preserve"> ce</w:t>
      </w:r>
      <w:r w:rsidRPr="00C54A95">
        <w:rPr>
          <w:snapToGrid/>
          <w:kern w:val="22"/>
          <w:szCs w:val="22"/>
          <w:lang w:val="fr-FR"/>
        </w:rPr>
        <w:t xml:space="preserve">s répondants au total n’ont pas été d’accord avec cette </w:t>
      </w:r>
      <w:r w:rsidR="003C389C">
        <w:rPr>
          <w:snapToGrid/>
          <w:kern w:val="22"/>
          <w:szCs w:val="22"/>
          <w:lang w:val="fr-FR"/>
        </w:rPr>
        <w:t xml:space="preserve">affirmation, et 2 % d’entre eux, </w:t>
      </w:r>
      <w:r w:rsidR="005B75C9">
        <w:rPr>
          <w:snapToGrid/>
          <w:kern w:val="22"/>
          <w:szCs w:val="22"/>
          <w:lang w:val="fr-FR"/>
        </w:rPr>
        <w:t xml:space="preserve">« pas </w:t>
      </w:r>
      <w:r w:rsidRPr="00C54A95">
        <w:rPr>
          <w:snapToGrid/>
          <w:kern w:val="22"/>
          <w:szCs w:val="22"/>
          <w:lang w:val="fr-FR"/>
        </w:rPr>
        <w:t>du tout d’accord</w:t>
      </w:r>
      <w:r w:rsidR="005B75C9">
        <w:rPr>
          <w:snapToGrid/>
          <w:kern w:val="22"/>
          <w:szCs w:val="22"/>
          <w:lang w:val="fr-FR"/>
        </w:rPr>
        <w:t> »</w:t>
      </w:r>
      <w:r w:rsidRPr="00C54A95">
        <w:rPr>
          <w:snapToGrid/>
          <w:kern w:val="22"/>
          <w:szCs w:val="22"/>
          <w:lang w:val="fr-FR"/>
        </w:rPr>
        <w:t>. Le reste, soit 18 % des répondants, n’a pas eu d’avis sur cette question</w:t>
      </w:r>
      <w:r w:rsidR="00742F79" w:rsidRPr="00C54A95">
        <w:rPr>
          <w:snapToGrid/>
          <w:kern w:val="22"/>
          <w:szCs w:val="22"/>
          <w:lang w:val="fr-FR"/>
        </w:rPr>
        <w:t>.</w:t>
      </w:r>
    </w:p>
    <w:p w:rsidR="00742F79" w:rsidRPr="00C54A95" w:rsidRDefault="00B352DE" w:rsidP="00F82F1D">
      <w:pPr>
        <w:pStyle w:val="Para1"/>
        <w:suppressLineNumbers/>
        <w:tabs>
          <w:tab w:val="clear" w:pos="360"/>
        </w:tabs>
        <w:suppressAutoHyphens/>
        <w:kinsoku w:val="0"/>
        <w:overflowPunct w:val="0"/>
        <w:autoSpaceDE w:val="0"/>
        <w:autoSpaceDN w:val="0"/>
        <w:rPr>
          <w:snapToGrid/>
          <w:kern w:val="22"/>
          <w:szCs w:val="22"/>
          <w:lang w:val="fr-FR"/>
        </w:rPr>
      </w:pPr>
      <w:r w:rsidRPr="00C54A95">
        <w:rPr>
          <w:snapToGrid/>
          <w:kern w:val="22"/>
          <w:szCs w:val="22"/>
          <w:lang w:val="fr-FR"/>
        </w:rPr>
        <w:t>Les</w:t>
      </w:r>
      <w:r w:rsidR="00AD36BE">
        <w:rPr>
          <w:snapToGrid/>
          <w:kern w:val="22"/>
          <w:szCs w:val="22"/>
          <w:lang w:val="fr-FR"/>
        </w:rPr>
        <w:t xml:space="preserve"> observations formulées dans </w:t>
      </w:r>
      <w:r w:rsidRPr="00C54A95">
        <w:rPr>
          <w:snapToGrid/>
          <w:kern w:val="22"/>
          <w:szCs w:val="22"/>
          <w:lang w:val="fr-FR"/>
        </w:rPr>
        <w:t>l’enquête en ligne par les participants aux réunions concomitantes ont généralement salué les effets p</w:t>
      </w:r>
      <w:r w:rsidR="00AD36BE">
        <w:rPr>
          <w:snapToGrid/>
          <w:kern w:val="22"/>
          <w:szCs w:val="22"/>
          <w:lang w:val="fr-FR"/>
        </w:rPr>
        <w:t>roduits par l’organisation de</w:t>
      </w:r>
      <w:r w:rsidRPr="00C54A95">
        <w:rPr>
          <w:snapToGrid/>
          <w:kern w:val="22"/>
          <w:szCs w:val="22"/>
          <w:lang w:val="fr-FR"/>
        </w:rPr>
        <w:t>s réunions sur l’intégration entre la Convention et ses Protocoles. Les effets cités incluaient une plus grande sensibilisation au mode opératoire des trois accords et la multiplication des consultations. Plusieurs répondants ont cité les débats relatifs à l’information de biologie synthétique et de séquenç</w:t>
      </w:r>
      <w:r w:rsidR="00AD36BE">
        <w:rPr>
          <w:snapToGrid/>
          <w:kern w:val="22"/>
          <w:szCs w:val="22"/>
          <w:lang w:val="fr-FR"/>
        </w:rPr>
        <w:t>age numérique à titre d’exemple</w:t>
      </w:r>
      <w:r w:rsidRPr="00C54A95">
        <w:rPr>
          <w:snapToGrid/>
          <w:kern w:val="22"/>
          <w:szCs w:val="22"/>
          <w:lang w:val="fr-FR"/>
        </w:rPr>
        <w:t xml:space="preserve"> d</w:t>
      </w:r>
      <w:r w:rsidR="00AD36BE">
        <w:rPr>
          <w:snapToGrid/>
          <w:kern w:val="22"/>
          <w:szCs w:val="22"/>
          <w:lang w:val="fr-FR"/>
        </w:rPr>
        <w:t>’</w:t>
      </w:r>
      <w:r w:rsidRPr="00C54A95">
        <w:rPr>
          <w:snapToGrid/>
          <w:kern w:val="22"/>
          <w:szCs w:val="22"/>
          <w:lang w:val="fr-FR"/>
        </w:rPr>
        <w:t xml:space="preserve">intégration accrue entre les trois instruments. D’autres répondants ont toutefois considéré que </w:t>
      </w:r>
      <w:r w:rsidR="00891E38">
        <w:rPr>
          <w:snapToGrid/>
          <w:kern w:val="22"/>
          <w:szCs w:val="22"/>
          <w:lang w:val="fr-FR"/>
        </w:rPr>
        <w:t>les</w:t>
      </w:r>
      <w:r w:rsidRPr="00C54A95">
        <w:rPr>
          <w:snapToGrid/>
          <w:kern w:val="22"/>
          <w:szCs w:val="22"/>
          <w:lang w:val="fr-FR"/>
        </w:rPr>
        <w:t xml:space="preserve"> réunions concomitantes compliquai</w:t>
      </w:r>
      <w:r w:rsidR="00891E38">
        <w:rPr>
          <w:snapToGrid/>
          <w:kern w:val="22"/>
          <w:szCs w:val="22"/>
          <w:lang w:val="fr-FR"/>
        </w:rPr>
        <w:t>en</w:t>
      </w:r>
      <w:r w:rsidRPr="00C54A95">
        <w:rPr>
          <w:snapToGrid/>
          <w:kern w:val="22"/>
          <w:szCs w:val="22"/>
          <w:lang w:val="fr-FR"/>
        </w:rPr>
        <w:t xml:space="preserve">t les négociations. Quelques répondants ont en outre </w:t>
      </w:r>
      <w:r w:rsidR="00891E38">
        <w:rPr>
          <w:snapToGrid/>
          <w:kern w:val="22"/>
          <w:szCs w:val="22"/>
          <w:lang w:val="fr-FR"/>
        </w:rPr>
        <w:t>relevé qu’</w:t>
      </w:r>
      <w:r w:rsidR="00DF4780">
        <w:rPr>
          <w:snapToGrid/>
          <w:kern w:val="22"/>
          <w:szCs w:val="22"/>
          <w:lang w:val="fr-FR"/>
        </w:rPr>
        <w:t>aux yeux d</w:t>
      </w:r>
      <w:r w:rsidR="00DF4780" w:rsidRPr="00C54A95">
        <w:rPr>
          <w:snapToGrid/>
          <w:kern w:val="22"/>
          <w:szCs w:val="22"/>
          <w:lang w:val="fr-FR"/>
        </w:rPr>
        <w:t>es délégations de petite taille,</w:t>
      </w:r>
      <w:r w:rsidR="00DF4780">
        <w:rPr>
          <w:snapToGrid/>
          <w:kern w:val="22"/>
          <w:szCs w:val="22"/>
          <w:lang w:val="fr-FR"/>
        </w:rPr>
        <w:t xml:space="preserve"> </w:t>
      </w:r>
      <w:r w:rsidR="00891E38">
        <w:rPr>
          <w:snapToGrid/>
          <w:kern w:val="22"/>
          <w:szCs w:val="22"/>
          <w:lang w:val="fr-FR"/>
        </w:rPr>
        <w:t xml:space="preserve">elles </w:t>
      </w:r>
      <w:r w:rsidR="00891E38" w:rsidRPr="00C54A95">
        <w:rPr>
          <w:snapToGrid/>
          <w:kern w:val="22"/>
          <w:szCs w:val="22"/>
          <w:lang w:val="fr-FR"/>
        </w:rPr>
        <w:t>ne facilitai</w:t>
      </w:r>
      <w:r w:rsidR="00891E38">
        <w:rPr>
          <w:snapToGrid/>
          <w:kern w:val="22"/>
          <w:szCs w:val="22"/>
          <w:lang w:val="fr-FR"/>
        </w:rPr>
        <w:t>en</w:t>
      </w:r>
      <w:r w:rsidR="00891E38" w:rsidRPr="00C54A95">
        <w:rPr>
          <w:snapToGrid/>
          <w:kern w:val="22"/>
          <w:szCs w:val="22"/>
          <w:lang w:val="fr-FR"/>
        </w:rPr>
        <w:t>t pas l’int</w:t>
      </w:r>
      <w:r w:rsidR="00891E38">
        <w:rPr>
          <w:snapToGrid/>
          <w:kern w:val="22"/>
          <w:szCs w:val="22"/>
          <w:lang w:val="fr-FR"/>
        </w:rPr>
        <w:t>égration</w:t>
      </w:r>
      <w:r w:rsidR="00DF4780">
        <w:rPr>
          <w:snapToGrid/>
          <w:kern w:val="22"/>
          <w:szCs w:val="22"/>
          <w:lang w:val="fr-FR"/>
        </w:rPr>
        <w:t xml:space="preserve"> et </w:t>
      </w:r>
      <w:r w:rsidRPr="00C54A95">
        <w:rPr>
          <w:snapToGrid/>
          <w:kern w:val="22"/>
          <w:szCs w:val="22"/>
          <w:lang w:val="fr-FR"/>
        </w:rPr>
        <w:t>soulevai</w:t>
      </w:r>
      <w:r w:rsidR="00DF4780">
        <w:rPr>
          <w:snapToGrid/>
          <w:kern w:val="22"/>
          <w:szCs w:val="22"/>
          <w:lang w:val="fr-FR"/>
        </w:rPr>
        <w:t>en</w:t>
      </w:r>
      <w:r w:rsidRPr="00C54A95">
        <w:rPr>
          <w:snapToGrid/>
          <w:kern w:val="22"/>
          <w:szCs w:val="22"/>
          <w:lang w:val="fr-FR"/>
        </w:rPr>
        <w:t xml:space="preserve">t des questions quant aux mandats de la Convention et des Protocoles. </w:t>
      </w:r>
      <w:r w:rsidR="00DF4780">
        <w:rPr>
          <w:snapToGrid/>
          <w:kern w:val="22"/>
          <w:szCs w:val="22"/>
          <w:lang w:val="fr-FR"/>
        </w:rPr>
        <w:t>D’autres</w:t>
      </w:r>
      <w:r w:rsidRPr="00C54A95">
        <w:rPr>
          <w:snapToGrid/>
          <w:kern w:val="22"/>
          <w:szCs w:val="22"/>
          <w:lang w:val="fr-FR"/>
        </w:rPr>
        <w:t xml:space="preserve"> répondants ont estimé que les réunions concomitantes </w:t>
      </w:r>
      <w:r w:rsidR="00DF4780">
        <w:rPr>
          <w:snapToGrid/>
          <w:kern w:val="22"/>
          <w:szCs w:val="22"/>
          <w:lang w:val="fr-FR"/>
        </w:rPr>
        <w:t>suscitaient</w:t>
      </w:r>
      <w:r w:rsidRPr="00C54A95">
        <w:rPr>
          <w:snapToGrid/>
          <w:kern w:val="22"/>
          <w:szCs w:val="22"/>
          <w:lang w:val="fr-FR"/>
        </w:rPr>
        <w:t xml:space="preserve"> des débats parallèles et compliquaient les négociations au lieu de promouvoir l’intégration. Plusieurs répondants ont constaté que les effets </w:t>
      </w:r>
      <w:r w:rsidR="00DF4780">
        <w:rPr>
          <w:snapToGrid/>
          <w:kern w:val="22"/>
          <w:szCs w:val="22"/>
          <w:lang w:val="fr-FR"/>
        </w:rPr>
        <w:t>produits par les</w:t>
      </w:r>
      <w:r w:rsidRPr="00C54A95">
        <w:rPr>
          <w:snapToGrid/>
          <w:kern w:val="22"/>
          <w:szCs w:val="22"/>
          <w:lang w:val="fr-FR"/>
        </w:rPr>
        <w:t xml:space="preserve"> réunions concomitantes sur l’intégration ne pouvaient être jugés sur la base d’une </w:t>
      </w:r>
      <w:r w:rsidR="00DF4780">
        <w:rPr>
          <w:snapToGrid/>
          <w:kern w:val="22"/>
          <w:szCs w:val="22"/>
          <w:lang w:val="fr-FR"/>
        </w:rPr>
        <w:t>seule réunion</w:t>
      </w:r>
      <w:r w:rsidRPr="00C54A95">
        <w:rPr>
          <w:snapToGrid/>
          <w:kern w:val="22"/>
          <w:szCs w:val="22"/>
          <w:lang w:val="fr-FR"/>
        </w:rPr>
        <w:t xml:space="preserve"> et que l’intégration exigeait du temps</w:t>
      </w:r>
      <w:r w:rsidR="00742F79" w:rsidRPr="00C54A95">
        <w:rPr>
          <w:snapToGrid/>
          <w:kern w:val="22"/>
          <w:szCs w:val="22"/>
          <w:lang w:val="fr-FR"/>
        </w:rPr>
        <w:t>.</w:t>
      </w:r>
    </w:p>
    <w:p w:rsidR="00742F79" w:rsidRPr="00C54A95" w:rsidRDefault="00B352DE" w:rsidP="00F82F1D">
      <w:pPr>
        <w:pStyle w:val="Para1"/>
        <w:suppressLineNumbers/>
        <w:tabs>
          <w:tab w:val="clear" w:pos="360"/>
        </w:tabs>
        <w:suppressAutoHyphens/>
        <w:kinsoku w:val="0"/>
        <w:overflowPunct w:val="0"/>
        <w:autoSpaceDE w:val="0"/>
        <w:autoSpaceDN w:val="0"/>
        <w:rPr>
          <w:snapToGrid/>
          <w:kern w:val="22"/>
          <w:szCs w:val="22"/>
          <w:lang w:val="fr-FR"/>
        </w:rPr>
      </w:pPr>
      <w:r w:rsidRPr="00C54A95">
        <w:rPr>
          <w:snapToGrid/>
          <w:kern w:val="22"/>
          <w:szCs w:val="22"/>
          <w:lang w:val="fr-FR"/>
        </w:rPr>
        <w:t xml:space="preserve">La question de l’intégration entre la Convention et ses Protocoles </w:t>
      </w:r>
      <w:r w:rsidR="005B75C9">
        <w:rPr>
          <w:snapToGrid/>
          <w:kern w:val="22"/>
          <w:szCs w:val="22"/>
          <w:lang w:val="fr-FR"/>
        </w:rPr>
        <w:t>lors des</w:t>
      </w:r>
      <w:r w:rsidRPr="00C54A95">
        <w:rPr>
          <w:snapToGrid/>
          <w:kern w:val="22"/>
          <w:szCs w:val="22"/>
          <w:lang w:val="fr-FR"/>
        </w:rPr>
        <w:t xml:space="preserve"> réunions concomitantes a également été examinée par le Comité de conformité au titre du Protocole de Cartagena à sa quatorzième réunion. Les membres du Comité ont constaté que les réunions concomitan</w:t>
      </w:r>
      <w:r w:rsidR="00AC397A">
        <w:rPr>
          <w:snapToGrid/>
          <w:kern w:val="22"/>
          <w:szCs w:val="22"/>
          <w:lang w:val="fr-FR"/>
        </w:rPr>
        <w:t>tes amélioraient la teneur et le niveau d’</w:t>
      </w:r>
      <w:r w:rsidRPr="00C54A95">
        <w:rPr>
          <w:snapToGrid/>
          <w:kern w:val="22"/>
          <w:szCs w:val="22"/>
          <w:lang w:val="fr-FR"/>
        </w:rPr>
        <w:t xml:space="preserve">intégration des débats </w:t>
      </w:r>
      <w:r w:rsidR="00AC397A">
        <w:rPr>
          <w:snapToGrid/>
          <w:kern w:val="22"/>
          <w:szCs w:val="22"/>
          <w:lang w:val="fr-FR"/>
        </w:rPr>
        <w:t>dédiés</w:t>
      </w:r>
      <w:r w:rsidRPr="00C54A95">
        <w:rPr>
          <w:snapToGrid/>
          <w:kern w:val="22"/>
          <w:szCs w:val="22"/>
          <w:lang w:val="fr-FR"/>
        </w:rPr>
        <w:t xml:space="preserve"> aux aspects communs de la Convention et de ses Protocoles, notamment </w:t>
      </w:r>
      <w:r w:rsidR="005B75C9">
        <w:rPr>
          <w:snapToGrid/>
          <w:kern w:val="22"/>
          <w:szCs w:val="22"/>
          <w:lang w:val="fr-FR"/>
        </w:rPr>
        <w:t>les</w:t>
      </w:r>
      <w:r w:rsidRPr="00C54A95">
        <w:rPr>
          <w:snapToGrid/>
          <w:kern w:val="22"/>
          <w:szCs w:val="22"/>
          <w:lang w:val="fr-FR"/>
        </w:rPr>
        <w:t xml:space="preserve"> orientations </w:t>
      </w:r>
      <w:r w:rsidR="00AC397A">
        <w:rPr>
          <w:snapToGrid/>
          <w:kern w:val="22"/>
          <w:szCs w:val="22"/>
          <w:lang w:val="fr-FR"/>
        </w:rPr>
        <w:t>fixées pour le</w:t>
      </w:r>
      <w:r w:rsidRPr="00C54A95">
        <w:rPr>
          <w:snapToGrid/>
          <w:kern w:val="22"/>
          <w:szCs w:val="22"/>
          <w:lang w:val="fr-FR"/>
        </w:rPr>
        <w:t xml:space="preserve"> Fonds pour l’environnement mondial</w:t>
      </w:r>
      <w:r w:rsidR="00742F79" w:rsidRPr="00C54A95">
        <w:rPr>
          <w:snapToGrid/>
          <w:kern w:val="22"/>
          <w:szCs w:val="22"/>
          <w:vertAlign w:val="superscript"/>
          <w:lang w:val="fr-FR"/>
        </w:rPr>
        <w:footnoteReference w:id="14"/>
      </w:r>
      <w:r w:rsidRPr="00C54A95">
        <w:rPr>
          <w:snapToGrid/>
          <w:kern w:val="22"/>
          <w:szCs w:val="22"/>
          <w:lang w:val="fr-FR"/>
        </w:rPr>
        <w:t>.</w:t>
      </w:r>
    </w:p>
    <w:p w:rsidR="00742F79" w:rsidRPr="00C54A95" w:rsidRDefault="00B352DE" w:rsidP="00F82F1D">
      <w:pPr>
        <w:keepNext/>
        <w:numPr>
          <w:ilvl w:val="0"/>
          <w:numId w:val="52"/>
        </w:numPr>
        <w:suppressLineNumbers/>
        <w:suppressAutoHyphens/>
        <w:kinsoku w:val="0"/>
        <w:overflowPunct w:val="0"/>
        <w:autoSpaceDE w:val="0"/>
        <w:autoSpaceDN w:val="0"/>
        <w:spacing w:before="240" w:after="120"/>
        <w:jc w:val="center"/>
        <w:rPr>
          <w:b/>
          <w:bCs/>
          <w:kern w:val="22"/>
          <w:szCs w:val="22"/>
          <w:lang w:val="fr-FR"/>
        </w:rPr>
      </w:pPr>
      <w:r w:rsidRPr="00C54A95">
        <w:rPr>
          <w:b/>
          <w:bCs/>
          <w:kern w:val="22"/>
          <w:szCs w:val="22"/>
          <w:lang w:val="fr-FR"/>
        </w:rPr>
        <w:t>RAPPORT COÛT-EFFICACITÉ</w:t>
      </w:r>
    </w:p>
    <w:p w:rsidR="00742F79" w:rsidRPr="00C54A95" w:rsidRDefault="00B352DE" w:rsidP="00F82F1D">
      <w:pPr>
        <w:pStyle w:val="Para1"/>
        <w:suppressLineNumbers/>
        <w:tabs>
          <w:tab w:val="clear" w:pos="360"/>
        </w:tabs>
        <w:suppressAutoHyphens/>
        <w:kinsoku w:val="0"/>
        <w:overflowPunct w:val="0"/>
        <w:autoSpaceDE w:val="0"/>
        <w:autoSpaceDN w:val="0"/>
        <w:rPr>
          <w:snapToGrid/>
          <w:kern w:val="22"/>
          <w:szCs w:val="22"/>
          <w:lang w:val="fr-FR"/>
        </w:rPr>
      </w:pPr>
      <w:r w:rsidRPr="00C54A95">
        <w:rPr>
          <w:snapToGrid/>
          <w:kern w:val="22"/>
          <w:szCs w:val="22"/>
          <w:lang w:val="fr-FR"/>
        </w:rPr>
        <w:t xml:space="preserve">Le critère du rapport coût-efficacité a été considéré comme « pleinement respecté » par 37 % des Parties ayant répondu à l’enquête, « partiellement respecté » par 49 % d’entre elles et « non respecté » par 14 % d’entre elles. Après ventilation des résultats entre les pays développés et les pays en développement, il apparaît que ce critère a été considéré comme « pleinement respecté » par 45 % des répondants issus de pays en développement Parties, « partiellement respecté » par 45 % </w:t>
      </w:r>
      <w:r w:rsidR="00294410">
        <w:rPr>
          <w:snapToGrid/>
          <w:kern w:val="22"/>
          <w:szCs w:val="22"/>
          <w:lang w:val="fr-FR"/>
        </w:rPr>
        <w:t>d’entre eux</w:t>
      </w:r>
      <w:r w:rsidRPr="00C54A95">
        <w:rPr>
          <w:snapToGrid/>
          <w:kern w:val="22"/>
          <w:szCs w:val="22"/>
          <w:lang w:val="fr-FR"/>
        </w:rPr>
        <w:t xml:space="preserve"> et « non respecté » par 10 % </w:t>
      </w:r>
      <w:r w:rsidR="00294410">
        <w:rPr>
          <w:snapToGrid/>
          <w:kern w:val="22"/>
          <w:szCs w:val="22"/>
          <w:lang w:val="fr-FR"/>
        </w:rPr>
        <w:t>d’entre eux. C</w:t>
      </w:r>
      <w:r w:rsidRPr="00C54A95">
        <w:rPr>
          <w:snapToGrid/>
          <w:kern w:val="22"/>
          <w:szCs w:val="22"/>
          <w:lang w:val="fr-FR"/>
        </w:rPr>
        <w:t xml:space="preserve">e critère a été considéré comme « respecté » par 13 % </w:t>
      </w:r>
      <w:r w:rsidR="00294410">
        <w:rPr>
          <w:snapToGrid/>
          <w:kern w:val="22"/>
          <w:szCs w:val="22"/>
          <w:lang w:val="fr-FR"/>
        </w:rPr>
        <w:t xml:space="preserve">des </w:t>
      </w:r>
      <w:r w:rsidR="00294410" w:rsidRPr="00C54A95">
        <w:rPr>
          <w:snapToGrid/>
          <w:kern w:val="22"/>
          <w:szCs w:val="22"/>
          <w:lang w:val="fr-FR"/>
        </w:rPr>
        <w:t>pays développés Parties</w:t>
      </w:r>
      <w:r w:rsidRPr="00C54A95">
        <w:rPr>
          <w:snapToGrid/>
          <w:kern w:val="22"/>
          <w:szCs w:val="22"/>
          <w:lang w:val="fr-FR"/>
        </w:rPr>
        <w:t xml:space="preserve">, « partiellement respecté » par 62 % </w:t>
      </w:r>
      <w:r w:rsidR="00294410">
        <w:rPr>
          <w:snapToGrid/>
          <w:kern w:val="22"/>
          <w:szCs w:val="22"/>
          <w:lang w:val="fr-FR"/>
        </w:rPr>
        <w:t>d’entre eux</w:t>
      </w:r>
      <w:r w:rsidRPr="00C54A95">
        <w:rPr>
          <w:snapToGrid/>
          <w:kern w:val="22"/>
          <w:szCs w:val="22"/>
          <w:lang w:val="fr-FR"/>
        </w:rPr>
        <w:t xml:space="preserve"> et « non respecté » par 25 % </w:t>
      </w:r>
      <w:r w:rsidR="00294410">
        <w:rPr>
          <w:snapToGrid/>
          <w:kern w:val="22"/>
          <w:szCs w:val="22"/>
          <w:lang w:val="fr-FR"/>
        </w:rPr>
        <w:t>d’entre eux</w:t>
      </w:r>
      <w:r w:rsidR="00742F79" w:rsidRPr="00C54A95">
        <w:rPr>
          <w:snapToGrid/>
          <w:kern w:val="22"/>
          <w:szCs w:val="22"/>
          <w:lang w:val="fr-FR"/>
        </w:rPr>
        <w:t>.</w:t>
      </w:r>
    </w:p>
    <w:p w:rsidR="00742F79" w:rsidRPr="00C54A95" w:rsidRDefault="00B352DE" w:rsidP="00F82F1D">
      <w:pPr>
        <w:pStyle w:val="Para1"/>
        <w:suppressLineNumbers/>
        <w:tabs>
          <w:tab w:val="clear" w:pos="360"/>
        </w:tabs>
        <w:suppressAutoHyphens/>
        <w:kinsoku w:val="0"/>
        <w:overflowPunct w:val="0"/>
        <w:autoSpaceDE w:val="0"/>
        <w:autoSpaceDN w:val="0"/>
        <w:rPr>
          <w:snapToGrid/>
          <w:kern w:val="22"/>
          <w:szCs w:val="22"/>
          <w:lang w:val="fr-FR"/>
        </w:rPr>
      </w:pPr>
      <w:r w:rsidRPr="00C54A95">
        <w:rPr>
          <w:snapToGrid/>
          <w:kern w:val="22"/>
          <w:szCs w:val="22"/>
          <w:lang w:val="fr-FR"/>
        </w:rPr>
        <w:t xml:space="preserve">Au </w:t>
      </w:r>
      <w:r w:rsidR="008C23D0">
        <w:rPr>
          <w:snapToGrid/>
          <w:kern w:val="22"/>
          <w:szCs w:val="22"/>
          <w:lang w:val="fr-FR"/>
        </w:rPr>
        <w:t>titre</w:t>
      </w:r>
      <w:r w:rsidRPr="00C54A95">
        <w:rPr>
          <w:snapToGrid/>
          <w:kern w:val="22"/>
          <w:szCs w:val="22"/>
          <w:lang w:val="fr-FR"/>
        </w:rPr>
        <w:t xml:space="preserve"> du Protocole de Cartagena, ce critère a été considéré comme « pleinement respecté » par 29 % des répondants, « partiellement respecté » par 43 % d’entre eux et « non respecté » par 29 % d’entre </w:t>
      </w:r>
      <w:r w:rsidRPr="00C54A95">
        <w:rPr>
          <w:snapToGrid/>
          <w:kern w:val="22"/>
          <w:szCs w:val="22"/>
          <w:lang w:val="fr-FR"/>
        </w:rPr>
        <w:lastRenderedPageBreak/>
        <w:t>eux. Comparé aux autres critères, celui du rapport coût-efficacité est considéré comme le moins respecté</w:t>
      </w:r>
      <w:r w:rsidR="00F65BDB">
        <w:rPr>
          <w:snapToGrid/>
          <w:kern w:val="22"/>
          <w:szCs w:val="22"/>
          <w:lang w:val="fr-FR"/>
        </w:rPr>
        <w:t xml:space="preserve"> de tous</w:t>
      </w:r>
      <w:r w:rsidRPr="00C54A95">
        <w:rPr>
          <w:snapToGrid/>
          <w:kern w:val="22"/>
          <w:szCs w:val="22"/>
          <w:lang w:val="fr-FR"/>
        </w:rPr>
        <w:t xml:space="preserve">. Après ventilation des résultats entre les pays développés et les pays en développement, il apparaît que ce critère a été considéré comme « respecté » par 33 % des répondants issus de pays en développement Parties, « partiellement respecté » par 48 % </w:t>
      </w:r>
      <w:r w:rsidR="00E377CE">
        <w:rPr>
          <w:snapToGrid/>
          <w:kern w:val="22"/>
          <w:szCs w:val="22"/>
          <w:lang w:val="fr-FR"/>
        </w:rPr>
        <w:t xml:space="preserve">d’entre eux </w:t>
      </w:r>
      <w:r w:rsidRPr="00C54A95">
        <w:rPr>
          <w:snapToGrid/>
          <w:kern w:val="22"/>
          <w:szCs w:val="22"/>
          <w:lang w:val="fr-FR"/>
        </w:rPr>
        <w:t xml:space="preserve">et « non respecté » par 20 % </w:t>
      </w:r>
      <w:r w:rsidR="00E377CE">
        <w:rPr>
          <w:snapToGrid/>
          <w:kern w:val="22"/>
          <w:szCs w:val="22"/>
          <w:lang w:val="fr-FR"/>
        </w:rPr>
        <w:t>d’entre eux. À titre comparatif, le critère</w:t>
      </w:r>
      <w:r w:rsidRPr="00C54A95">
        <w:rPr>
          <w:snapToGrid/>
          <w:kern w:val="22"/>
          <w:szCs w:val="22"/>
          <w:lang w:val="fr-FR"/>
        </w:rPr>
        <w:t xml:space="preserve"> a été considéré comme « pleinement respecté » par 19 % des répondants issus de pays développés Parties, « partiellement respecté » par 25 % </w:t>
      </w:r>
      <w:r w:rsidR="00601C9A">
        <w:rPr>
          <w:snapToGrid/>
          <w:kern w:val="22"/>
          <w:szCs w:val="22"/>
          <w:lang w:val="fr-FR"/>
        </w:rPr>
        <w:t xml:space="preserve">d’entre eux </w:t>
      </w:r>
      <w:r w:rsidRPr="00C54A95">
        <w:rPr>
          <w:snapToGrid/>
          <w:kern w:val="22"/>
          <w:szCs w:val="22"/>
          <w:lang w:val="fr-FR"/>
        </w:rPr>
        <w:t>e</w:t>
      </w:r>
      <w:r w:rsidR="00601C9A">
        <w:rPr>
          <w:snapToGrid/>
          <w:kern w:val="22"/>
          <w:szCs w:val="22"/>
          <w:lang w:val="fr-FR"/>
        </w:rPr>
        <w:t>t « non respecté » par 56 % d’entre eux</w:t>
      </w:r>
      <w:r w:rsidR="00742F79" w:rsidRPr="00C54A95">
        <w:rPr>
          <w:snapToGrid/>
          <w:kern w:val="22"/>
          <w:szCs w:val="22"/>
          <w:lang w:val="fr-FR"/>
        </w:rPr>
        <w:t>.</w:t>
      </w:r>
    </w:p>
    <w:p w:rsidR="00742F79" w:rsidRPr="00C54A95" w:rsidRDefault="00B352DE" w:rsidP="00F82F1D">
      <w:pPr>
        <w:pStyle w:val="Para1"/>
        <w:suppressLineNumbers/>
        <w:tabs>
          <w:tab w:val="clear" w:pos="360"/>
        </w:tabs>
        <w:suppressAutoHyphens/>
        <w:kinsoku w:val="0"/>
        <w:overflowPunct w:val="0"/>
        <w:autoSpaceDE w:val="0"/>
        <w:autoSpaceDN w:val="0"/>
        <w:rPr>
          <w:snapToGrid/>
          <w:kern w:val="22"/>
          <w:szCs w:val="22"/>
          <w:lang w:val="fr-FR"/>
        </w:rPr>
      </w:pPr>
      <w:r w:rsidRPr="00C54A95">
        <w:rPr>
          <w:snapToGrid/>
          <w:kern w:val="22"/>
          <w:szCs w:val="22"/>
          <w:lang w:val="fr-FR"/>
        </w:rPr>
        <w:t xml:space="preserve">Les Parties ont </w:t>
      </w:r>
      <w:r w:rsidR="00E16A03">
        <w:rPr>
          <w:snapToGrid/>
          <w:kern w:val="22"/>
          <w:szCs w:val="22"/>
          <w:lang w:val="fr-FR"/>
        </w:rPr>
        <w:t>constaté</w:t>
      </w:r>
      <w:r w:rsidRPr="00C54A95">
        <w:rPr>
          <w:snapToGrid/>
          <w:kern w:val="22"/>
          <w:szCs w:val="22"/>
          <w:lang w:val="fr-FR"/>
        </w:rPr>
        <w:t xml:space="preserve"> dans leurs observations que si l’organisation de réunions concomitantes permettait de réaliser des économies </w:t>
      </w:r>
      <w:r w:rsidR="00F65BDB">
        <w:rPr>
          <w:snapToGrid/>
          <w:kern w:val="22"/>
          <w:szCs w:val="22"/>
          <w:lang w:val="fr-FR"/>
        </w:rPr>
        <w:t>pour</w:t>
      </w:r>
      <w:r w:rsidR="00E16A03">
        <w:rPr>
          <w:snapToGrid/>
          <w:kern w:val="22"/>
          <w:szCs w:val="22"/>
          <w:lang w:val="fr-FR"/>
        </w:rPr>
        <w:t xml:space="preserve"> certains </w:t>
      </w:r>
      <w:r w:rsidR="00F65BDB">
        <w:rPr>
          <w:snapToGrid/>
          <w:kern w:val="22"/>
          <w:szCs w:val="22"/>
          <w:lang w:val="fr-FR"/>
        </w:rPr>
        <w:t>aspects de</w:t>
      </w:r>
      <w:r w:rsidRPr="00C54A95">
        <w:rPr>
          <w:snapToGrid/>
          <w:kern w:val="22"/>
          <w:szCs w:val="22"/>
          <w:lang w:val="fr-FR"/>
        </w:rPr>
        <w:t xml:space="preserve"> </w:t>
      </w:r>
      <w:r w:rsidR="00F65BDB">
        <w:rPr>
          <w:snapToGrid/>
          <w:kern w:val="22"/>
          <w:szCs w:val="22"/>
          <w:lang w:val="fr-FR"/>
        </w:rPr>
        <w:t>la</w:t>
      </w:r>
      <w:r w:rsidRPr="00C54A95">
        <w:rPr>
          <w:snapToGrid/>
          <w:kern w:val="22"/>
          <w:szCs w:val="22"/>
          <w:lang w:val="fr-FR"/>
        </w:rPr>
        <w:t xml:space="preserve"> participation, </w:t>
      </w:r>
      <w:r w:rsidR="00E16A03">
        <w:rPr>
          <w:snapToGrid/>
          <w:kern w:val="22"/>
          <w:szCs w:val="22"/>
          <w:lang w:val="fr-FR"/>
        </w:rPr>
        <w:t xml:space="preserve">en raison </w:t>
      </w:r>
      <w:r w:rsidRPr="00C54A95">
        <w:rPr>
          <w:snapToGrid/>
          <w:kern w:val="22"/>
          <w:szCs w:val="22"/>
          <w:lang w:val="fr-FR"/>
        </w:rPr>
        <w:t xml:space="preserve">notamment </w:t>
      </w:r>
      <w:r w:rsidR="00E16A03">
        <w:rPr>
          <w:snapToGrid/>
          <w:kern w:val="22"/>
          <w:szCs w:val="22"/>
          <w:lang w:val="fr-FR"/>
        </w:rPr>
        <w:t>de</w:t>
      </w:r>
      <w:r w:rsidRPr="00C54A95">
        <w:rPr>
          <w:snapToGrid/>
          <w:kern w:val="22"/>
          <w:szCs w:val="22"/>
          <w:lang w:val="fr-FR"/>
        </w:rPr>
        <w:t xml:space="preserve"> la réduction de trois à deux semaines de réunions, elle générait également des frais. Ces </w:t>
      </w:r>
      <w:r w:rsidR="00E16A03">
        <w:rPr>
          <w:snapToGrid/>
          <w:kern w:val="22"/>
          <w:szCs w:val="22"/>
          <w:lang w:val="fr-FR"/>
        </w:rPr>
        <w:t>derniers</w:t>
      </w:r>
      <w:r w:rsidRPr="00C54A95">
        <w:rPr>
          <w:snapToGrid/>
          <w:kern w:val="22"/>
          <w:szCs w:val="22"/>
          <w:lang w:val="fr-FR"/>
        </w:rPr>
        <w:t xml:space="preserve"> </w:t>
      </w:r>
      <w:r w:rsidR="00E16A03">
        <w:rPr>
          <w:snapToGrid/>
          <w:kern w:val="22"/>
          <w:szCs w:val="22"/>
          <w:lang w:val="fr-FR"/>
        </w:rPr>
        <w:t>s</w:t>
      </w:r>
      <w:r w:rsidRPr="00C54A95">
        <w:rPr>
          <w:snapToGrid/>
          <w:kern w:val="22"/>
          <w:szCs w:val="22"/>
          <w:lang w:val="fr-FR"/>
        </w:rPr>
        <w:t xml:space="preserve">ont liés à la nécessaire participation des délégués chargés des Protocoles de Cartagena et de Nagoya aux deux semaines de réunions. Il a en outre été </w:t>
      </w:r>
      <w:r w:rsidR="00E16A03">
        <w:rPr>
          <w:snapToGrid/>
          <w:kern w:val="22"/>
          <w:szCs w:val="22"/>
          <w:lang w:val="fr-FR"/>
        </w:rPr>
        <w:t>relevé</w:t>
      </w:r>
      <w:r w:rsidRPr="00C54A95">
        <w:rPr>
          <w:snapToGrid/>
          <w:kern w:val="22"/>
          <w:szCs w:val="22"/>
          <w:lang w:val="fr-FR"/>
        </w:rPr>
        <w:t xml:space="preserve"> que le nombre accru de</w:t>
      </w:r>
      <w:r w:rsidR="00E16A03">
        <w:rPr>
          <w:snapToGrid/>
          <w:kern w:val="22"/>
          <w:szCs w:val="22"/>
          <w:lang w:val="fr-FR"/>
        </w:rPr>
        <w:t>s</w:t>
      </w:r>
      <w:r w:rsidRPr="00C54A95">
        <w:rPr>
          <w:snapToGrid/>
          <w:kern w:val="22"/>
          <w:szCs w:val="22"/>
          <w:lang w:val="fr-FR"/>
        </w:rPr>
        <w:t xml:space="preserve"> sessions parallèles exigeait de chaque délégat</w:t>
      </w:r>
      <w:r w:rsidR="004E2182">
        <w:rPr>
          <w:snapToGrid/>
          <w:kern w:val="22"/>
          <w:szCs w:val="22"/>
          <w:lang w:val="fr-FR"/>
        </w:rPr>
        <w:t>ion qu’elle soit plus nombreuse</w:t>
      </w:r>
      <w:r w:rsidRPr="00C54A95">
        <w:rPr>
          <w:snapToGrid/>
          <w:kern w:val="22"/>
          <w:szCs w:val="22"/>
          <w:lang w:val="fr-FR"/>
        </w:rPr>
        <w:t xml:space="preserve"> </w:t>
      </w:r>
      <w:r w:rsidR="004E2182">
        <w:rPr>
          <w:snapToGrid/>
          <w:kern w:val="22"/>
          <w:szCs w:val="22"/>
          <w:lang w:val="fr-FR"/>
        </w:rPr>
        <w:t xml:space="preserve">pour </w:t>
      </w:r>
      <w:r w:rsidRPr="00C54A95">
        <w:rPr>
          <w:snapToGrid/>
          <w:kern w:val="22"/>
          <w:szCs w:val="22"/>
          <w:lang w:val="fr-FR"/>
        </w:rPr>
        <w:t xml:space="preserve">assurer </w:t>
      </w:r>
      <w:r w:rsidR="004E2182">
        <w:rPr>
          <w:snapToGrid/>
          <w:kern w:val="22"/>
          <w:szCs w:val="22"/>
          <w:lang w:val="fr-FR"/>
        </w:rPr>
        <w:t>une</w:t>
      </w:r>
      <w:r w:rsidRPr="00C54A95">
        <w:rPr>
          <w:snapToGrid/>
          <w:kern w:val="22"/>
          <w:szCs w:val="22"/>
          <w:lang w:val="fr-FR"/>
        </w:rPr>
        <w:t xml:space="preserve"> participation</w:t>
      </w:r>
      <w:r w:rsidR="004E2182">
        <w:rPr>
          <w:snapToGrid/>
          <w:kern w:val="22"/>
          <w:szCs w:val="22"/>
          <w:lang w:val="fr-FR"/>
        </w:rPr>
        <w:t xml:space="preserve"> efficace</w:t>
      </w:r>
      <w:r w:rsidR="00742F79" w:rsidRPr="00C54A95">
        <w:rPr>
          <w:snapToGrid/>
          <w:kern w:val="22"/>
          <w:szCs w:val="22"/>
          <w:lang w:val="fr-FR"/>
        </w:rPr>
        <w:t>.</w:t>
      </w:r>
    </w:p>
    <w:p w:rsidR="00742F79" w:rsidRPr="00C54A95" w:rsidRDefault="00B352DE" w:rsidP="00F82F1D">
      <w:pPr>
        <w:pStyle w:val="Para1"/>
        <w:suppressLineNumbers/>
        <w:tabs>
          <w:tab w:val="clear" w:pos="360"/>
        </w:tabs>
        <w:suppressAutoHyphens/>
        <w:kinsoku w:val="0"/>
        <w:overflowPunct w:val="0"/>
        <w:autoSpaceDE w:val="0"/>
        <w:autoSpaceDN w:val="0"/>
        <w:rPr>
          <w:snapToGrid/>
          <w:kern w:val="22"/>
          <w:szCs w:val="22"/>
          <w:lang w:val="fr-FR"/>
        </w:rPr>
      </w:pPr>
      <w:r w:rsidRPr="00C54A95">
        <w:rPr>
          <w:snapToGrid/>
          <w:kern w:val="22"/>
          <w:szCs w:val="22"/>
          <w:lang w:val="fr-FR"/>
        </w:rPr>
        <w:t>Aux coûts induits par l’aide accordée aux participants s’ajoutent divers frais dus à l’organisation des réunions de la Convention et des Protocoles. Les différences existant parmi les contextes nationaux des pays hôtes rend impossible t</w:t>
      </w:r>
      <w:r w:rsidR="002117B1">
        <w:rPr>
          <w:snapToGrid/>
          <w:kern w:val="22"/>
          <w:szCs w:val="22"/>
          <w:lang w:val="fr-FR"/>
        </w:rPr>
        <w:t>oute comparaison directe d</w:t>
      </w:r>
      <w:r w:rsidRPr="00C54A95">
        <w:rPr>
          <w:snapToGrid/>
          <w:kern w:val="22"/>
          <w:szCs w:val="22"/>
          <w:lang w:val="fr-FR"/>
        </w:rPr>
        <w:t>es coûts. Certains aspects peuvent toutefois être comparés en termes relatifs. Les réunions concomitantes tenues en 2016 ont par exem</w:t>
      </w:r>
      <w:r w:rsidR="00B50381">
        <w:rPr>
          <w:snapToGrid/>
          <w:kern w:val="22"/>
          <w:szCs w:val="22"/>
          <w:lang w:val="fr-FR"/>
        </w:rPr>
        <w:t xml:space="preserve">ple nécessité le même nombre d’agents </w:t>
      </w:r>
      <w:r w:rsidR="002117B1">
        <w:rPr>
          <w:snapToGrid/>
          <w:kern w:val="22"/>
          <w:szCs w:val="22"/>
          <w:lang w:val="fr-FR"/>
        </w:rPr>
        <w:t>de sécurité</w:t>
      </w:r>
      <w:r w:rsidRPr="00C54A95">
        <w:rPr>
          <w:snapToGrid/>
          <w:kern w:val="22"/>
          <w:szCs w:val="22"/>
          <w:lang w:val="fr-FR"/>
        </w:rPr>
        <w:t xml:space="preserve"> </w:t>
      </w:r>
      <w:r w:rsidR="002117B1">
        <w:rPr>
          <w:snapToGrid/>
          <w:kern w:val="22"/>
          <w:szCs w:val="22"/>
          <w:lang w:val="fr-FR"/>
        </w:rPr>
        <w:t>détachés par le</w:t>
      </w:r>
      <w:r w:rsidRPr="00C54A95">
        <w:rPr>
          <w:snapToGrid/>
          <w:kern w:val="22"/>
          <w:szCs w:val="22"/>
          <w:lang w:val="fr-FR"/>
        </w:rPr>
        <w:t xml:space="preserve"> Département de la sûreté et d</w:t>
      </w:r>
      <w:r w:rsidR="002117B1">
        <w:rPr>
          <w:snapToGrid/>
          <w:kern w:val="22"/>
          <w:szCs w:val="22"/>
          <w:lang w:val="fr-FR"/>
        </w:rPr>
        <w:t>e la sécurité des Nations Unies</w:t>
      </w:r>
      <w:r w:rsidRPr="00C54A95">
        <w:rPr>
          <w:snapToGrid/>
          <w:kern w:val="22"/>
          <w:szCs w:val="22"/>
          <w:lang w:val="fr-FR"/>
        </w:rPr>
        <w:t xml:space="preserve"> que les précédentes réunions de </w:t>
      </w:r>
      <w:r w:rsidR="00A847CA">
        <w:rPr>
          <w:snapToGrid/>
          <w:kern w:val="22"/>
          <w:szCs w:val="22"/>
          <w:lang w:val="fr-FR"/>
        </w:rPr>
        <w:t>la Conférence des Parties et de la</w:t>
      </w:r>
      <w:r w:rsidRPr="00C54A95">
        <w:rPr>
          <w:snapToGrid/>
          <w:kern w:val="22"/>
          <w:szCs w:val="22"/>
          <w:lang w:val="fr-FR"/>
        </w:rPr>
        <w:t xml:space="preserve"> </w:t>
      </w:r>
      <w:r w:rsidRPr="00C54A95">
        <w:rPr>
          <w:kern w:val="22"/>
          <w:szCs w:val="22"/>
          <w:lang w:val="fr-FR"/>
        </w:rPr>
        <w:t>Conférence des Parti</w:t>
      </w:r>
      <w:r w:rsidR="00A847CA">
        <w:rPr>
          <w:kern w:val="22"/>
          <w:szCs w:val="22"/>
          <w:lang w:val="fr-FR"/>
        </w:rPr>
        <w:t>es siégeant en tant que réunion</w:t>
      </w:r>
      <w:r w:rsidRPr="00C54A95">
        <w:rPr>
          <w:kern w:val="22"/>
          <w:szCs w:val="22"/>
          <w:lang w:val="fr-FR"/>
        </w:rPr>
        <w:t xml:space="preserve"> des Parties.</w:t>
      </w:r>
      <w:r w:rsidR="002117B1">
        <w:rPr>
          <w:snapToGrid/>
          <w:kern w:val="22"/>
          <w:szCs w:val="22"/>
          <w:lang w:val="fr-FR"/>
        </w:rPr>
        <w:t xml:space="preserve"> La durée de service</w:t>
      </w:r>
      <w:r w:rsidRPr="00C54A95">
        <w:rPr>
          <w:snapToGrid/>
          <w:kern w:val="22"/>
          <w:szCs w:val="22"/>
          <w:lang w:val="fr-FR"/>
        </w:rPr>
        <w:t xml:space="preserve"> </w:t>
      </w:r>
      <w:r w:rsidR="002117B1">
        <w:rPr>
          <w:snapToGrid/>
          <w:kern w:val="22"/>
          <w:szCs w:val="22"/>
          <w:lang w:val="fr-FR"/>
        </w:rPr>
        <w:t xml:space="preserve">de </w:t>
      </w:r>
      <w:r w:rsidR="002117B1" w:rsidRPr="00C54A95">
        <w:rPr>
          <w:snapToGrid/>
          <w:kern w:val="22"/>
          <w:szCs w:val="22"/>
          <w:lang w:val="fr-FR"/>
        </w:rPr>
        <w:t xml:space="preserve">ces </w:t>
      </w:r>
      <w:r w:rsidR="00424400">
        <w:rPr>
          <w:snapToGrid/>
          <w:kern w:val="22"/>
          <w:szCs w:val="22"/>
          <w:lang w:val="fr-FR"/>
        </w:rPr>
        <w:t>agents</w:t>
      </w:r>
      <w:r w:rsidR="002117B1" w:rsidRPr="00C54A95">
        <w:rPr>
          <w:snapToGrid/>
          <w:kern w:val="22"/>
          <w:szCs w:val="22"/>
          <w:lang w:val="fr-FR"/>
        </w:rPr>
        <w:t xml:space="preserve"> </w:t>
      </w:r>
      <w:r w:rsidRPr="00C54A95">
        <w:rPr>
          <w:snapToGrid/>
          <w:kern w:val="22"/>
          <w:szCs w:val="22"/>
          <w:lang w:val="fr-FR"/>
        </w:rPr>
        <w:t xml:space="preserve">a toutefois été </w:t>
      </w:r>
      <w:r w:rsidR="002117B1">
        <w:rPr>
          <w:snapToGrid/>
          <w:kern w:val="22"/>
          <w:szCs w:val="22"/>
          <w:lang w:val="fr-FR"/>
        </w:rPr>
        <w:t>de</w:t>
      </w:r>
      <w:r w:rsidRPr="00C54A95">
        <w:rPr>
          <w:snapToGrid/>
          <w:kern w:val="22"/>
          <w:szCs w:val="22"/>
          <w:lang w:val="fr-FR"/>
        </w:rPr>
        <w:t xml:space="preserve"> 20 jours</w:t>
      </w:r>
      <w:r w:rsidR="002117B1">
        <w:rPr>
          <w:snapToGrid/>
          <w:kern w:val="22"/>
          <w:szCs w:val="22"/>
          <w:lang w:val="fr-FR"/>
        </w:rPr>
        <w:t xml:space="preserve"> seulement</w:t>
      </w:r>
      <w:r w:rsidRPr="00C54A95">
        <w:rPr>
          <w:snapToGrid/>
          <w:kern w:val="22"/>
          <w:szCs w:val="22"/>
          <w:lang w:val="fr-FR"/>
        </w:rPr>
        <w:t xml:space="preserve">, </w:t>
      </w:r>
      <w:r w:rsidR="002117B1">
        <w:rPr>
          <w:snapToGrid/>
          <w:kern w:val="22"/>
          <w:szCs w:val="22"/>
          <w:lang w:val="fr-FR"/>
        </w:rPr>
        <w:t xml:space="preserve">contre 26 et 28 jours pour les </w:t>
      </w:r>
      <w:r w:rsidRPr="00C54A95">
        <w:rPr>
          <w:snapToGrid/>
          <w:kern w:val="22"/>
          <w:szCs w:val="22"/>
          <w:lang w:val="fr-FR"/>
        </w:rPr>
        <w:t>autres réunions</w:t>
      </w:r>
      <w:r w:rsidR="00742F79" w:rsidRPr="00C54A95">
        <w:rPr>
          <w:snapToGrid/>
          <w:kern w:val="22"/>
          <w:szCs w:val="22"/>
          <w:lang w:val="fr-FR"/>
        </w:rPr>
        <w:t>.</w:t>
      </w:r>
    </w:p>
    <w:p w:rsidR="00742F79" w:rsidRPr="00C54A95" w:rsidRDefault="00B352DE" w:rsidP="00F82F1D">
      <w:pPr>
        <w:pStyle w:val="Para1"/>
        <w:suppressLineNumbers/>
        <w:tabs>
          <w:tab w:val="clear" w:pos="360"/>
        </w:tabs>
        <w:suppressAutoHyphens/>
        <w:kinsoku w:val="0"/>
        <w:overflowPunct w:val="0"/>
        <w:autoSpaceDE w:val="0"/>
        <w:autoSpaceDN w:val="0"/>
        <w:rPr>
          <w:snapToGrid/>
          <w:kern w:val="22"/>
          <w:szCs w:val="22"/>
          <w:lang w:val="fr-FR"/>
        </w:rPr>
      </w:pPr>
      <w:r w:rsidRPr="00C54A95">
        <w:rPr>
          <w:snapToGrid/>
          <w:kern w:val="22"/>
          <w:szCs w:val="22"/>
          <w:lang w:val="fr-FR"/>
        </w:rPr>
        <w:t>Les coûts d’int</w:t>
      </w:r>
      <w:r w:rsidR="003E5A9E">
        <w:rPr>
          <w:snapToGrid/>
          <w:kern w:val="22"/>
          <w:szCs w:val="22"/>
          <w:lang w:val="fr-FR"/>
        </w:rPr>
        <w:t>erprétation ont été plus élevés. L</w:t>
      </w:r>
      <w:r w:rsidR="003E5A9E" w:rsidRPr="00C54A95">
        <w:rPr>
          <w:snapToGrid/>
          <w:kern w:val="22"/>
          <w:szCs w:val="22"/>
          <w:lang w:val="fr-FR"/>
        </w:rPr>
        <w:t>es réunions concomitantes tenues en 2016</w:t>
      </w:r>
      <w:r w:rsidR="003E5A9E">
        <w:rPr>
          <w:snapToGrid/>
          <w:kern w:val="22"/>
          <w:szCs w:val="22"/>
          <w:lang w:val="fr-FR"/>
        </w:rPr>
        <w:t xml:space="preserve"> ont en effet exigé plus d’</w:t>
      </w:r>
      <w:r w:rsidRPr="00C54A95">
        <w:rPr>
          <w:snapToGrid/>
          <w:kern w:val="22"/>
          <w:szCs w:val="22"/>
          <w:lang w:val="fr-FR"/>
        </w:rPr>
        <w:t xml:space="preserve">interprètes </w:t>
      </w:r>
      <w:r w:rsidR="003E5A9E">
        <w:rPr>
          <w:snapToGrid/>
          <w:kern w:val="22"/>
          <w:szCs w:val="22"/>
          <w:lang w:val="fr-FR"/>
        </w:rPr>
        <w:t>que</w:t>
      </w:r>
      <w:r w:rsidRPr="00C54A95">
        <w:rPr>
          <w:snapToGrid/>
          <w:kern w:val="22"/>
          <w:szCs w:val="22"/>
          <w:lang w:val="fr-FR"/>
        </w:rPr>
        <w:t xml:space="preserve"> les précédentes réunions de la Conférence des Parties et de</w:t>
      </w:r>
      <w:r w:rsidR="00A847CA">
        <w:rPr>
          <w:snapToGrid/>
          <w:kern w:val="22"/>
          <w:szCs w:val="22"/>
          <w:lang w:val="fr-FR"/>
        </w:rPr>
        <w:t xml:space="preserve"> la</w:t>
      </w:r>
      <w:r w:rsidRPr="00C54A95">
        <w:rPr>
          <w:snapToGrid/>
          <w:kern w:val="22"/>
          <w:szCs w:val="22"/>
          <w:lang w:val="fr-FR"/>
        </w:rPr>
        <w:t xml:space="preserve"> </w:t>
      </w:r>
      <w:r w:rsidRPr="00C54A95">
        <w:rPr>
          <w:kern w:val="22"/>
          <w:szCs w:val="22"/>
          <w:lang w:val="fr-FR"/>
        </w:rPr>
        <w:t>Conf</w:t>
      </w:r>
      <w:r w:rsidR="00A847CA">
        <w:rPr>
          <w:kern w:val="22"/>
          <w:szCs w:val="22"/>
          <w:lang w:val="fr-FR"/>
        </w:rPr>
        <w:t>érence</w:t>
      </w:r>
      <w:r w:rsidRPr="00C54A95">
        <w:rPr>
          <w:kern w:val="22"/>
          <w:szCs w:val="22"/>
          <w:lang w:val="fr-FR"/>
        </w:rPr>
        <w:t xml:space="preserve"> des Parti</w:t>
      </w:r>
      <w:r w:rsidR="00A847CA">
        <w:rPr>
          <w:kern w:val="22"/>
          <w:szCs w:val="22"/>
          <w:lang w:val="fr-FR"/>
        </w:rPr>
        <w:t>es siégeant en tant que réunion</w:t>
      </w:r>
      <w:r w:rsidRPr="00C54A95">
        <w:rPr>
          <w:kern w:val="22"/>
          <w:szCs w:val="22"/>
          <w:lang w:val="fr-FR"/>
        </w:rPr>
        <w:t xml:space="preserve"> des Parties.</w:t>
      </w:r>
      <w:r w:rsidR="003E5A9E">
        <w:rPr>
          <w:snapToGrid/>
          <w:kern w:val="22"/>
          <w:szCs w:val="22"/>
          <w:lang w:val="fr-FR"/>
        </w:rPr>
        <w:t xml:space="preserve"> La durée de travail d</w:t>
      </w:r>
      <w:r w:rsidRPr="00C54A95">
        <w:rPr>
          <w:snapToGrid/>
          <w:kern w:val="22"/>
          <w:szCs w:val="22"/>
          <w:lang w:val="fr-FR"/>
        </w:rPr>
        <w:t>e</w:t>
      </w:r>
      <w:r w:rsidR="003E5A9E">
        <w:rPr>
          <w:snapToGrid/>
          <w:kern w:val="22"/>
          <w:szCs w:val="22"/>
          <w:lang w:val="fr-FR"/>
        </w:rPr>
        <w:t xml:space="preserve"> ce</w:t>
      </w:r>
      <w:r w:rsidRPr="00C54A95">
        <w:rPr>
          <w:snapToGrid/>
          <w:kern w:val="22"/>
          <w:szCs w:val="22"/>
          <w:lang w:val="fr-FR"/>
        </w:rPr>
        <w:t xml:space="preserve">s interprètes </w:t>
      </w:r>
      <w:r w:rsidR="003E5A9E">
        <w:rPr>
          <w:snapToGrid/>
          <w:kern w:val="22"/>
          <w:szCs w:val="22"/>
          <w:lang w:val="fr-FR"/>
        </w:rPr>
        <w:t>a</w:t>
      </w:r>
      <w:r w:rsidRPr="00C54A95">
        <w:rPr>
          <w:snapToGrid/>
          <w:kern w:val="22"/>
          <w:szCs w:val="22"/>
          <w:lang w:val="fr-FR"/>
        </w:rPr>
        <w:t xml:space="preserve"> néanmoins </w:t>
      </w:r>
      <w:r w:rsidR="003E5A9E">
        <w:rPr>
          <w:snapToGrid/>
          <w:kern w:val="22"/>
          <w:szCs w:val="22"/>
          <w:lang w:val="fr-FR"/>
        </w:rPr>
        <w:t>été moins longue</w:t>
      </w:r>
      <w:r w:rsidRPr="00C54A95">
        <w:rPr>
          <w:snapToGrid/>
          <w:kern w:val="22"/>
          <w:szCs w:val="22"/>
          <w:lang w:val="fr-FR"/>
        </w:rPr>
        <w:t>. Les réunions concomitantes ont par exemple nécessité 756 journées-interprètes (54 interprè</w:t>
      </w:r>
      <w:r w:rsidR="00A847CA">
        <w:rPr>
          <w:snapToGrid/>
          <w:kern w:val="22"/>
          <w:szCs w:val="22"/>
          <w:lang w:val="fr-FR"/>
        </w:rPr>
        <w:t>tes pour 14 jours) tandis que les neuvième, dixième et</w:t>
      </w:r>
      <w:r w:rsidRPr="00C54A95">
        <w:rPr>
          <w:snapToGrid/>
          <w:kern w:val="22"/>
          <w:szCs w:val="22"/>
          <w:lang w:val="fr-FR"/>
        </w:rPr>
        <w:t xml:space="preserve"> douzième réunion</w:t>
      </w:r>
      <w:r w:rsidR="00A847CA">
        <w:rPr>
          <w:snapToGrid/>
          <w:kern w:val="22"/>
          <w:szCs w:val="22"/>
          <w:lang w:val="fr-FR"/>
        </w:rPr>
        <w:t>s de la Conférence des Parties et les quatrième, cinquième et</w:t>
      </w:r>
      <w:r w:rsidRPr="00C54A95">
        <w:rPr>
          <w:snapToGrid/>
          <w:kern w:val="22"/>
          <w:szCs w:val="22"/>
          <w:lang w:val="fr-FR"/>
        </w:rPr>
        <w:t xml:space="preserve"> sixième réunion</w:t>
      </w:r>
      <w:r w:rsidR="00A847CA">
        <w:rPr>
          <w:snapToGrid/>
          <w:kern w:val="22"/>
          <w:szCs w:val="22"/>
          <w:lang w:val="fr-FR"/>
        </w:rPr>
        <w:t>s</w:t>
      </w:r>
      <w:r w:rsidRPr="00C54A95">
        <w:rPr>
          <w:snapToGrid/>
          <w:kern w:val="22"/>
          <w:szCs w:val="22"/>
          <w:lang w:val="fr-FR"/>
        </w:rPr>
        <w:t xml:space="preserve"> de la </w:t>
      </w:r>
      <w:r w:rsidRPr="00C54A95">
        <w:rPr>
          <w:kern w:val="22"/>
          <w:szCs w:val="22"/>
          <w:lang w:val="fr-FR"/>
        </w:rPr>
        <w:t>Conférence des Parties siégeant e</w:t>
      </w:r>
      <w:r w:rsidR="00A847CA">
        <w:rPr>
          <w:kern w:val="22"/>
          <w:szCs w:val="22"/>
          <w:lang w:val="fr-FR"/>
        </w:rPr>
        <w:t xml:space="preserve">n tant que réunion des Parties </w:t>
      </w:r>
      <w:r w:rsidRPr="00C54A95">
        <w:rPr>
          <w:kern w:val="22"/>
          <w:szCs w:val="22"/>
          <w:lang w:val="fr-FR"/>
        </w:rPr>
        <w:t>avaient nécessité 836 </w:t>
      </w:r>
      <w:r w:rsidRPr="00C54A95">
        <w:rPr>
          <w:snapToGrid/>
          <w:kern w:val="22"/>
          <w:szCs w:val="22"/>
          <w:lang w:val="fr-FR"/>
        </w:rPr>
        <w:t>journées-interprètes (44 interprètes sur 19 jours), et la huitième réunion de la Conférence des Parties</w:t>
      </w:r>
      <w:r w:rsidRPr="00C54A95">
        <w:rPr>
          <w:kern w:val="22"/>
          <w:szCs w:val="22"/>
          <w:lang w:val="fr-FR"/>
        </w:rPr>
        <w:t xml:space="preserve"> et la troisième </w:t>
      </w:r>
      <w:r w:rsidRPr="00C54A95">
        <w:rPr>
          <w:snapToGrid/>
          <w:kern w:val="22"/>
          <w:szCs w:val="22"/>
          <w:lang w:val="fr-FR"/>
        </w:rPr>
        <w:t xml:space="preserve">réunion de la </w:t>
      </w:r>
      <w:r w:rsidRPr="00C54A95">
        <w:rPr>
          <w:kern w:val="22"/>
          <w:szCs w:val="22"/>
          <w:lang w:val="fr-FR"/>
        </w:rPr>
        <w:t>Conférence des Parties siégeant en tant que réunion des Parties, 722 </w:t>
      </w:r>
      <w:r w:rsidRPr="00C54A95">
        <w:rPr>
          <w:snapToGrid/>
          <w:kern w:val="22"/>
          <w:szCs w:val="22"/>
          <w:lang w:val="fr-FR"/>
        </w:rPr>
        <w:t xml:space="preserve">journées-interprètes (38 interprètes sur 19 jours) (voir tableau 2). Il importe toutefois de </w:t>
      </w:r>
      <w:r w:rsidR="00856B21">
        <w:rPr>
          <w:snapToGrid/>
          <w:kern w:val="22"/>
          <w:szCs w:val="22"/>
          <w:lang w:val="fr-FR"/>
        </w:rPr>
        <w:t>noter</w:t>
      </w:r>
      <w:r w:rsidRPr="00C54A95">
        <w:rPr>
          <w:snapToGrid/>
          <w:kern w:val="22"/>
          <w:szCs w:val="22"/>
          <w:lang w:val="fr-FR"/>
        </w:rPr>
        <w:t xml:space="preserve"> que la durée des contrats d’interprétation varie selon plusieurs facteurs, notamment la d</w:t>
      </w:r>
      <w:r w:rsidR="00856B21">
        <w:rPr>
          <w:snapToGrid/>
          <w:kern w:val="22"/>
          <w:szCs w:val="22"/>
          <w:lang w:val="fr-FR"/>
        </w:rPr>
        <w:t>urée des réunions, le nombre de</w:t>
      </w:r>
      <w:r w:rsidRPr="00C54A95">
        <w:rPr>
          <w:snapToGrid/>
          <w:kern w:val="22"/>
          <w:szCs w:val="22"/>
          <w:lang w:val="fr-FR"/>
        </w:rPr>
        <w:t xml:space="preserve"> week-ends et le pays </w:t>
      </w:r>
      <w:r w:rsidR="003F4111">
        <w:rPr>
          <w:snapToGrid/>
          <w:kern w:val="22"/>
          <w:szCs w:val="22"/>
          <w:lang w:val="fr-FR"/>
        </w:rPr>
        <w:t>de départ</w:t>
      </w:r>
      <w:r w:rsidR="00DA3B51">
        <w:rPr>
          <w:snapToGrid/>
          <w:kern w:val="22"/>
          <w:szCs w:val="22"/>
          <w:lang w:val="fr-FR"/>
        </w:rPr>
        <w:t xml:space="preserve"> du voyage</w:t>
      </w:r>
      <w:r w:rsidR="003F4111">
        <w:rPr>
          <w:snapToGrid/>
          <w:kern w:val="22"/>
          <w:szCs w:val="22"/>
          <w:lang w:val="fr-FR"/>
        </w:rPr>
        <w:t>. Le</w:t>
      </w:r>
      <w:r w:rsidRPr="00C54A95">
        <w:rPr>
          <w:snapToGrid/>
          <w:kern w:val="22"/>
          <w:szCs w:val="22"/>
          <w:lang w:val="fr-FR"/>
        </w:rPr>
        <w:t>s</w:t>
      </w:r>
      <w:r w:rsidR="003F4111">
        <w:rPr>
          <w:snapToGrid/>
          <w:kern w:val="22"/>
          <w:szCs w:val="22"/>
          <w:lang w:val="fr-FR"/>
        </w:rPr>
        <w:t xml:space="preserve"> </w:t>
      </w:r>
      <w:r w:rsidR="003F4111" w:rsidRPr="00C54A95">
        <w:rPr>
          <w:snapToGrid/>
          <w:kern w:val="22"/>
          <w:szCs w:val="22"/>
          <w:lang w:val="fr-FR"/>
        </w:rPr>
        <w:t xml:space="preserve">contrats </w:t>
      </w:r>
      <w:r w:rsidR="003F4111">
        <w:rPr>
          <w:snapToGrid/>
          <w:kern w:val="22"/>
          <w:szCs w:val="22"/>
          <w:lang w:val="fr-FR"/>
        </w:rPr>
        <w:t>d’interprétation</w:t>
      </w:r>
      <w:r w:rsidRPr="00C54A95">
        <w:rPr>
          <w:snapToGrid/>
          <w:kern w:val="22"/>
          <w:szCs w:val="22"/>
          <w:lang w:val="fr-FR"/>
        </w:rPr>
        <w:t xml:space="preserve"> ne </w:t>
      </w:r>
      <w:r w:rsidR="003F4111">
        <w:rPr>
          <w:snapToGrid/>
          <w:kern w:val="22"/>
          <w:szCs w:val="22"/>
          <w:lang w:val="fr-FR"/>
        </w:rPr>
        <w:t>dépendent</w:t>
      </w:r>
      <w:r w:rsidRPr="00C54A95">
        <w:rPr>
          <w:snapToGrid/>
          <w:kern w:val="22"/>
          <w:szCs w:val="22"/>
          <w:lang w:val="fr-FR"/>
        </w:rPr>
        <w:t xml:space="preserve"> donc pas exclusivement </w:t>
      </w:r>
      <w:r w:rsidR="003F4111">
        <w:rPr>
          <w:snapToGrid/>
          <w:kern w:val="22"/>
          <w:szCs w:val="22"/>
          <w:lang w:val="fr-FR"/>
        </w:rPr>
        <w:t>de</w:t>
      </w:r>
      <w:r w:rsidRPr="00C54A95">
        <w:rPr>
          <w:snapToGrid/>
          <w:kern w:val="22"/>
          <w:szCs w:val="22"/>
          <w:lang w:val="fr-FR"/>
        </w:rPr>
        <w:t xml:space="preserve"> la durée des réunions</w:t>
      </w:r>
      <w:r w:rsidR="00742F79" w:rsidRPr="00C54A95">
        <w:rPr>
          <w:snapToGrid/>
          <w:kern w:val="22"/>
          <w:szCs w:val="22"/>
          <w:lang w:val="fr-FR"/>
        </w:rPr>
        <w:t>.</w:t>
      </w:r>
    </w:p>
    <w:p w:rsidR="00217BA9" w:rsidRDefault="00B352DE" w:rsidP="00F82F1D">
      <w:pPr>
        <w:pStyle w:val="Para1"/>
        <w:suppressLineNumbers/>
        <w:tabs>
          <w:tab w:val="clear" w:pos="360"/>
        </w:tabs>
        <w:suppressAutoHyphens/>
        <w:kinsoku w:val="0"/>
        <w:overflowPunct w:val="0"/>
        <w:autoSpaceDE w:val="0"/>
        <w:autoSpaceDN w:val="0"/>
        <w:rPr>
          <w:snapToGrid/>
          <w:kern w:val="22"/>
          <w:szCs w:val="22"/>
          <w:lang w:val="fr-FR"/>
        </w:rPr>
      </w:pPr>
      <w:r w:rsidRPr="00C54A95">
        <w:rPr>
          <w:snapToGrid/>
          <w:kern w:val="22"/>
          <w:szCs w:val="22"/>
          <w:lang w:val="fr-FR"/>
        </w:rPr>
        <w:t xml:space="preserve">Au </w:t>
      </w:r>
      <w:r w:rsidR="003F4111">
        <w:rPr>
          <w:snapToGrid/>
          <w:kern w:val="22"/>
          <w:szCs w:val="22"/>
          <w:lang w:val="fr-FR"/>
        </w:rPr>
        <w:t>titre</w:t>
      </w:r>
      <w:r w:rsidRPr="00C54A95">
        <w:rPr>
          <w:snapToGrid/>
          <w:kern w:val="22"/>
          <w:szCs w:val="22"/>
          <w:lang w:val="fr-FR"/>
        </w:rPr>
        <w:t xml:space="preserve"> des services de traduction documentaire, les réunions concomitantes tenues en 2016 ont nécessité 630 journées-traducteurs au total (45 traducteurs sur 14 jours). La pratique suivie </w:t>
      </w:r>
      <w:r w:rsidR="003F4111">
        <w:rPr>
          <w:snapToGrid/>
          <w:kern w:val="22"/>
          <w:szCs w:val="22"/>
          <w:lang w:val="fr-FR"/>
        </w:rPr>
        <w:t>aux</w:t>
      </w:r>
      <w:r w:rsidRPr="00C54A95">
        <w:rPr>
          <w:snapToGrid/>
          <w:kern w:val="22"/>
          <w:szCs w:val="22"/>
          <w:lang w:val="fr-FR"/>
        </w:rPr>
        <w:t xml:space="preserve"> précédentes réunions de la </w:t>
      </w:r>
      <w:r w:rsidRPr="00C54A95">
        <w:rPr>
          <w:kern w:val="22"/>
          <w:szCs w:val="22"/>
          <w:lang w:val="fr-FR"/>
        </w:rPr>
        <w:t>Conférence des Parties et de</w:t>
      </w:r>
      <w:r w:rsidR="00A847CA">
        <w:rPr>
          <w:kern w:val="22"/>
          <w:szCs w:val="22"/>
          <w:lang w:val="fr-FR"/>
        </w:rPr>
        <w:t xml:space="preserve"> la Conférence</w:t>
      </w:r>
      <w:r w:rsidRPr="00C54A95">
        <w:rPr>
          <w:kern w:val="22"/>
          <w:szCs w:val="22"/>
          <w:lang w:val="fr-FR"/>
        </w:rPr>
        <w:t xml:space="preserve"> des Parties siégeant en tant que réunion des Parties avait </w:t>
      </w:r>
      <w:r w:rsidR="003F4111">
        <w:rPr>
          <w:kern w:val="22"/>
          <w:szCs w:val="22"/>
          <w:lang w:val="fr-FR"/>
        </w:rPr>
        <w:t>nécessité</w:t>
      </w:r>
      <w:r w:rsidRPr="00C54A95">
        <w:rPr>
          <w:kern w:val="22"/>
          <w:szCs w:val="22"/>
          <w:lang w:val="fr-FR"/>
        </w:rPr>
        <w:t xml:space="preserve"> </w:t>
      </w:r>
      <w:r w:rsidRPr="00C54A95">
        <w:rPr>
          <w:snapToGrid/>
          <w:kern w:val="22"/>
          <w:szCs w:val="22"/>
          <w:lang w:val="fr-FR"/>
        </w:rPr>
        <w:t xml:space="preserve">840 journées-traducteurs (40 traducteurs sur 21 jours). L’expérience des réunions concomitantes montre toutefois </w:t>
      </w:r>
      <w:r w:rsidR="003F4111">
        <w:rPr>
          <w:snapToGrid/>
          <w:kern w:val="22"/>
          <w:szCs w:val="22"/>
          <w:lang w:val="fr-FR"/>
        </w:rPr>
        <w:t>qu’elles</w:t>
      </w:r>
      <w:r w:rsidRPr="00C54A95">
        <w:rPr>
          <w:snapToGrid/>
          <w:kern w:val="22"/>
          <w:szCs w:val="22"/>
          <w:lang w:val="fr-FR"/>
        </w:rPr>
        <w:t xml:space="preserve"> pourraient </w:t>
      </w:r>
      <w:r w:rsidR="003F4111">
        <w:rPr>
          <w:snapToGrid/>
          <w:kern w:val="22"/>
          <w:szCs w:val="22"/>
          <w:lang w:val="fr-FR"/>
        </w:rPr>
        <w:t xml:space="preserve">dorénavant </w:t>
      </w:r>
      <w:r w:rsidRPr="00C54A95">
        <w:rPr>
          <w:snapToGrid/>
          <w:kern w:val="22"/>
          <w:szCs w:val="22"/>
          <w:lang w:val="fr-FR"/>
        </w:rPr>
        <w:t>nécessiter un nombre plus important de traducteurs et/ou des contrats d’interprétation plus longs, afin de mieux répondre aux attentes</w:t>
      </w:r>
      <w:r w:rsidR="003F4111">
        <w:rPr>
          <w:snapToGrid/>
          <w:kern w:val="22"/>
          <w:szCs w:val="22"/>
          <w:lang w:val="fr-FR"/>
        </w:rPr>
        <w:t xml:space="preserve"> des réunions</w:t>
      </w:r>
      <w:r w:rsidR="00742F79" w:rsidRPr="00C54A95">
        <w:rPr>
          <w:snapToGrid/>
          <w:kern w:val="22"/>
          <w:szCs w:val="22"/>
          <w:lang w:val="fr-FR"/>
        </w:rPr>
        <w:t>.</w:t>
      </w:r>
    </w:p>
    <w:p w:rsidR="00217BA9" w:rsidRDefault="00217BA9">
      <w:pPr>
        <w:jc w:val="left"/>
        <w:rPr>
          <w:kern w:val="22"/>
          <w:szCs w:val="22"/>
          <w:lang w:val="fr-FR"/>
        </w:rPr>
      </w:pPr>
      <w:r>
        <w:rPr>
          <w:kern w:val="22"/>
          <w:szCs w:val="22"/>
          <w:lang w:val="fr-FR"/>
        </w:rPr>
        <w:br w:type="page"/>
      </w:r>
    </w:p>
    <w:p w:rsidR="00742F79" w:rsidRPr="00C54A95" w:rsidRDefault="00742F79" w:rsidP="00217BA9">
      <w:pPr>
        <w:pStyle w:val="Para1"/>
        <w:numPr>
          <w:ilvl w:val="0"/>
          <w:numId w:val="0"/>
        </w:numPr>
        <w:suppressLineNumbers/>
        <w:suppressAutoHyphens/>
        <w:kinsoku w:val="0"/>
        <w:overflowPunct w:val="0"/>
        <w:autoSpaceDE w:val="0"/>
        <w:autoSpaceDN w:val="0"/>
        <w:rPr>
          <w:snapToGrid/>
          <w:kern w:val="22"/>
          <w:szCs w:val="22"/>
          <w:lang w:val="fr-FR"/>
        </w:rPr>
      </w:pPr>
      <w:bookmarkStart w:id="1" w:name="_GoBack"/>
      <w:bookmarkEnd w:id="1"/>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1397"/>
        <w:gridCol w:w="2004"/>
        <w:gridCol w:w="2107"/>
      </w:tblGrid>
      <w:tr w:rsidR="00742F79" w:rsidRPr="00C54A95" w:rsidTr="00F82F1D">
        <w:trPr>
          <w:cantSplit/>
          <w:trHeight w:val="95"/>
          <w:jc w:val="center"/>
        </w:trPr>
        <w:tc>
          <w:tcPr>
            <w:tcW w:w="9716" w:type="dxa"/>
            <w:gridSpan w:val="4"/>
            <w:tcBorders>
              <w:top w:val="nil"/>
              <w:left w:val="nil"/>
              <w:right w:val="nil"/>
            </w:tcBorders>
            <w:shd w:val="clear" w:color="auto" w:fill="auto"/>
          </w:tcPr>
          <w:p w:rsidR="00742F79" w:rsidRPr="00C54A95" w:rsidRDefault="00742F79" w:rsidP="003F4111">
            <w:pPr>
              <w:suppressLineNumbers/>
              <w:suppressAutoHyphens/>
              <w:kinsoku w:val="0"/>
              <w:overflowPunct w:val="0"/>
              <w:autoSpaceDE w:val="0"/>
              <w:autoSpaceDN w:val="0"/>
              <w:rPr>
                <w:b/>
                <w:kern w:val="22"/>
                <w:szCs w:val="22"/>
                <w:lang w:val="fr-FR"/>
              </w:rPr>
            </w:pPr>
            <w:r w:rsidRPr="00C54A95">
              <w:rPr>
                <w:b/>
                <w:kern w:val="22"/>
                <w:szCs w:val="22"/>
                <w:lang w:val="fr-FR"/>
              </w:rPr>
              <w:t>Table</w:t>
            </w:r>
            <w:r w:rsidR="003F4111">
              <w:rPr>
                <w:b/>
                <w:kern w:val="22"/>
                <w:szCs w:val="22"/>
                <w:lang w:val="fr-FR"/>
              </w:rPr>
              <w:t>au </w:t>
            </w:r>
            <w:r w:rsidRPr="00C54A95">
              <w:rPr>
                <w:b/>
                <w:kern w:val="22"/>
                <w:szCs w:val="22"/>
                <w:lang w:val="fr-FR"/>
              </w:rPr>
              <w:t>2</w:t>
            </w:r>
            <w:r w:rsidR="0054116A" w:rsidRPr="00C54A95">
              <w:rPr>
                <w:b/>
                <w:kern w:val="22"/>
                <w:szCs w:val="22"/>
                <w:lang w:val="fr-FR"/>
              </w:rPr>
              <w:t>.</w:t>
            </w:r>
            <w:r w:rsidRPr="00C54A95">
              <w:rPr>
                <w:b/>
                <w:kern w:val="22"/>
                <w:szCs w:val="22"/>
                <w:lang w:val="fr-FR"/>
              </w:rPr>
              <w:t xml:space="preserve"> </w:t>
            </w:r>
            <w:r w:rsidR="003F4111">
              <w:rPr>
                <w:b/>
                <w:kern w:val="22"/>
                <w:szCs w:val="22"/>
                <w:lang w:val="fr-FR"/>
              </w:rPr>
              <w:t>Besoins en interprétation</w:t>
            </w:r>
          </w:p>
        </w:tc>
      </w:tr>
      <w:tr w:rsidR="003F4111" w:rsidRPr="00C54A95" w:rsidTr="00F82F1D">
        <w:trPr>
          <w:cantSplit/>
          <w:jc w:val="center"/>
        </w:trPr>
        <w:tc>
          <w:tcPr>
            <w:tcW w:w="4208" w:type="dxa"/>
            <w:shd w:val="clear" w:color="auto" w:fill="auto"/>
          </w:tcPr>
          <w:p w:rsidR="00742F79" w:rsidRPr="00C54A95" w:rsidRDefault="003F4111" w:rsidP="00F82F1D">
            <w:pPr>
              <w:suppressLineNumbers/>
              <w:suppressAutoHyphens/>
              <w:kinsoku w:val="0"/>
              <w:overflowPunct w:val="0"/>
              <w:autoSpaceDE w:val="0"/>
              <w:autoSpaceDN w:val="0"/>
              <w:spacing w:before="40" w:after="40"/>
              <w:jc w:val="center"/>
              <w:rPr>
                <w:i/>
                <w:iCs/>
                <w:kern w:val="22"/>
                <w:szCs w:val="22"/>
                <w:lang w:val="fr-FR"/>
              </w:rPr>
            </w:pPr>
            <w:r>
              <w:rPr>
                <w:i/>
                <w:iCs/>
                <w:kern w:val="22"/>
                <w:szCs w:val="22"/>
                <w:lang w:val="fr-FR"/>
              </w:rPr>
              <w:t>Réunions</w:t>
            </w:r>
          </w:p>
        </w:tc>
        <w:tc>
          <w:tcPr>
            <w:tcW w:w="0" w:type="auto"/>
            <w:shd w:val="clear" w:color="auto" w:fill="auto"/>
          </w:tcPr>
          <w:p w:rsidR="00742F79" w:rsidRPr="00424400" w:rsidRDefault="003F4111" w:rsidP="00F82F1D">
            <w:pPr>
              <w:suppressLineNumbers/>
              <w:suppressAutoHyphens/>
              <w:kinsoku w:val="0"/>
              <w:overflowPunct w:val="0"/>
              <w:autoSpaceDE w:val="0"/>
              <w:autoSpaceDN w:val="0"/>
              <w:spacing w:before="40" w:after="40"/>
              <w:jc w:val="center"/>
              <w:rPr>
                <w:i/>
                <w:iCs/>
                <w:kern w:val="22"/>
                <w:sz w:val="20"/>
                <w:szCs w:val="20"/>
                <w:lang w:val="fr-FR"/>
              </w:rPr>
            </w:pPr>
            <w:r w:rsidRPr="00424400">
              <w:rPr>
                <w:i/>
                <w:iCs/>
                <w:kern w:val="22"/>
                <w:sz w:val="20"/>
                <w:szCs w:val="20"/>
                <w:lang w:val="fr-FR"/>
              </w:rPr>
              <w:t>Durée des contrats</w:t>
            </w:r>
          </w:p>
        </w:tc>
        <w:tc>
          <w:tcPr>
            <w:tcW w:w="0" w:type="auto"/>
            <w:shd w:val="clear" w:color="auto" w:fill="auto"/>
          </w:tcPr>
          <w:p w:rsidR="00742F79" w:rsidRPr="00424400" w:rsidRDefault="003F4111" w:rsidP="00F82F1D">
            <w:pPr>
              <w:suppressLineNumbers/>
              <w:suppressAutoHyphens/>
              <w:kinsoku w:val="0"/>
              <w:overflowPunct w:val="0"/>
              <w:autoSpaceDE w:val="0"/>
              <w:autoSpaceDN w:val="0"/>
              <w:spacing w:before="40" w:after="40"/>
              <w:jc w:val="center"/>
              <w:rPr>
                <w:i/>
                <w:iCs/>
                <w:kern w:val="22"/>
                <w:sz w:val="20"/>
                <w:szCs w:val="20"/>
                <w:lang w:val="fr-FR"/>
              </w:rPr>
            </w:pPr>
            <w:r w:rsidRPr="00424400">
              <w:rPr>
                <w:i/>
                <w:iCs/>
                <w:kern w:val="22"/>
                <w:sz w:val="20"/>
                <w:szCs w:val="20"/>
                <w:lang w:val="fr-FR"/>
              </w:rPr>
              <w:t>Nombre d’interprètes requis</w:t>
            </w:r>
          </w:p>
        </w:tc>
        <w:tc>
          <w:tcPr>
            <w:tcW w:w="0" w:type="auto"/>
            <w:shd w:val="clear" w:color="auto" w:fill="auto"/>
          </w:tcPr>
          <w:p w:rsidR="00742F79" w:rsidRPr="00424400" w:rsidRDefault="003F4111" w:rsidP="00F82F1D">
            <w:pPr>
              <w:suppressLineNumbers/>
              <w:suppressAutoHyphens/>
              <w:kinsoku w:val="0"/>
              <w:overflowPunct w:val="0"/>
              <w:autoSpaceDE w:val="0"/>
              <w:autoSpaceDN w:val="0"/>
              <w:spacing w:before="40" w:after="40"/>
              <w:jc w:val="center"/>
              <w:rPr>
                <w:i/>
                <w:iCs/>
                <w:kern w:val="22"/>
                <w:sz w:val="20"/>
                <w:szCs w:val="20"/>
                <w:lang w:val="fr-FR"/>
              </w:rPr>
            </w:pPr>
            <w:r w:rsidRPr="00424400">
              <w:rPr>
                <w:i/>
                <w:iCs/>
                <w:kern w:val="22"/>
                <w:sz w:val="20"/>
                <w:szCs w:val="20"/>
                <w:lang w:val="fr-FR"/>
              </w:rPr>
              <w:t>Nombre de journées-interprètes</w:t>
            </w:r>
          </w:p>
        </w:tc>
      </w:tr>
      <w:tr w:rsidR="003F4111" w:rsidRPr="00C54A95" w:rsidTr="00F82F1D">
        <w:trPr>
          <w:cantSplit/>
          <w:jc w:val="center"/>
        </w:trPr>
        <w:tc>
          <w:tcPr>
            <w:tcW w:w="4208" w:type="dxa"/>
            <w:shd w:val="clear" w:color="auto" w:fill="auto"/>
          </w:tcPr>
          <w:p w:rsidR="00586032" w:rsidRPr="00C54A95" w:rsidRDefault="00586032" w:rsidP="00F82F1D">
            <w:pPr>
              <w:suppressLineNumbers/>
              <w:suppressAutoHyphens/>
              <w:kinsoku w:val="0"/>
              <w:overflowPunct w:val="0"/>
              <w:autoSpaceDE w:val="0"/>
              <w:autoSpaceDN w:val="0"/>
              <w:spacing w:before="40" w:after="40"/>
              <w:jc w:val="left"/>
              <w:rPr>
                <w:kern w:val="22"/>
                <w:szCs w:val="22"/>
                <w:lang w:val="fr-FR"/>
              </w:rPr>
            </w:pPr>
            <w:r w:rsidRPr="00C54A95">
              <w:rPr>
                <w:kern w:val="22"/>
                <w:szCs w:val="22"/>
                <w:lang w:val="fr-FR"/>
              </w:rPr>
              <w:t xml:space="preserve">COP 8, </w:t>
            </w:r>
            <w:r w:rsidR="0052736E" w:rsidRPr="00C54A95">
              <w:rPr>
                <w:kern w:val="22"/>
                <w:szCs w:val="22"/>
                <w:lang w:val="fr-FR"/>
              </w:rPr>
              <w:t>CP-</w:t>
            </w:r>
            <w:r w:rsidRPr="00C54A95">
              <w:rPr>
                <w:kern w:val="22"/>
                <w:szCs w:val="22"/>
                <w:lang w:val="fr-FR"/>
              </w:rPr>
              <w:t>COP-MOP 3</w:t>
            </w:r>
          </w:p>
        </w:tc>
        <w:tc>
          <w:tcPr>
            <w:tcW w:w="0" w:type="auto"/>
            <w:shd w:val="clear" w:color="auto" w:fill="auto"/>
          </w:tcPr>
          <w:p w:rsidR="00586032" w:rsidRPr="00C54A95" w:rsidRDefault="00586032" w:rsidP="00F82F1D">
            <w:pPr>
              <w:suppressLineNumbers/>
              <w:suppressAutoHyphens/>
              <w:kinsoku w:val="0"/>
              <w:overflowPunct w:val="0"/>
              <w:autoSpaceDE w:val="0"/>
              <w:autoSpaceDN w:val="0"/>
              <w:spacing w:before="40" w:after="40"/>
              <w:jc w:val="center"/>
              <w:rPr>
                <w:kern w:val="22"/>
                <w:szCs w:val="22"/>
                <w:lang w:val="fr-FR"/>
              </w:rPr>
            </w:pPr>
            <w:r w:rsidRPr="00C54A95">
              <w:rPr>
                <w:kern w:val="22"/>
                <w:szCs w:val="22"/>
                <w:lang w:val="fr-FR"/>
              </w:rPr>
              <w:t>19</w:t>
            </w:r>
          </w:p>
        </w:tc>
        <w:tc>
          <w:tcPr>
            <w:tcW w:w="0" w:type="auto"/>
            <w:shd w:val="clear" w:color="auto" w:fill="auto"/>
          </w:tcPr>
          <w:p w:rsidR="00586032" w:rsidRPr="00C54A95" w:rsidRDefault="00586032" w:rsidP="00F82F1D">
            <w:pPr>
              <w:suppressLineNumbers/>
              <w:suppressAutoHyphens/>
              <w:kinsoku w:val="0"/>
              <w:overflowPunct w:val="0"/>
              <w:autoSpaceDE w:val="0"/>
              <w:autoSpaceDN w:val="0"/>
              <w:spacing w:before="40" w:after="40"/>
              <w:jc w:val="center"/>
              <w:rPr>
                <w:kern w:val="22"/>
                <w:szCs w:val="22"/>
                <w:lang w:val="fr-FR"/>
              </w:rPr>
            </w:pPr>
            <w:r w:rsidRPr="00C54A95">
              <w:rPr>
                <w:kern w:val="22"/>
                <w:szCs w:val="22"/>
                <w:lang w:val="fr-FR"/>
              </w:rPr>
              <w:t>38</w:t>
            </w:r>
          </w:p>
        </w:tc>
        <w:tc>
          <w:tcPr>
            <w:tcW w:w="0" w:type="auto"/>
            <w:shd w:val="clear" w:color="auto" w:fill="auto"/>
          </w:tcPr>
          <w:p w:rsidR="00586032" w:rsidRPr="00C54A95" w:rsidRDefault="00586032" w:rsidP="00F82F1D">
            <w:pPr>
              <w:suppressLineNumbers/>
              <w:suppressAutoHyphens/>
              <w:kinsoku w:val="0"/>
              <w:overflowPunct w:val="0"/>
              <w:autoSpaceDE w:val="0"/>
              <w:autoSpaceDN w:val="0"/>
              <w:spacing w:before="40" w:after="40"/>
              <w:jc w:val="center"/>
              <w:rPr>
                <w:kern w:val="22"/>
                <w:szCs w:val="22"/>
                <w:lang w:val="fr-FR"/>
              </w:rPr>
            </w:pPr>
            <w:r w:rsidRPr="00C54A95">
              <w:rPr>
                <w:kern w:val="22"/>
                <w:szCs w:val="22"/>
                <w:lang w:val="fr-FR"/>
              </w:rPr>
              <w:t>722</w:t>
            </w:r>
          </w:p>
        </w:tc>
      </w:tr>
      <w:tr w:rsidR="003F4111" w:rsidRPr="00C54A95" w:rsidTr="00F82F1D">
        <w:trPr>
          <w:cantSplit/>
          <w:jc w:val="center"/>
        </w:trPr>
        <w:tc>
          <w:tcPr>
            <w:tcW w:w="4208" w:type="dxa"/>
            <w:shd w:val="clear" w:color="auto" w:fill="auto"/>
          </w:tcPr>
          <w:p w:rsidR="00742F79" w:rsidRPr="00C54A95" w:rsidRDefault="00742F79" w:rsidP="00F82F1D">
            <w:pPr>
              <w:suppressLineNumbers/>
              <w:suppressAutoHyphens/>
              <w:kinsoku w:val="0"/>
              <w:overflowPunct w:val="0"/>
              <w:autoSpaceDE w:val="0"/>
              <w:autoSpaceDN w:val="0"/>
              <w:spacing w:before="40" w:after="40"/>
              <w:jc w:val="left"/>
              <w:rPr>
                <w:kern w:val="22"/>
                <w:szCs w:val="22"/>
                <w:lang w:val="fr-FR"/>
              </w:rPr>
            </w:pPr>
            <w:r w:rsidRPr="00C54A95">
              <w:rPr>
                <w:kern w:val="22"/>
                <w:szCs w:val="22"/>
                <w:lang w:val="fr-FR"/>
              </w:rPr>
              <w:t xml:space="preserve">COP 9, </w:t>
            </w:r>
            <w:r w:rsidR="0052736E" w:rsidRPr="00C54A95">
              <w:rPr>
                <w:kern w:val="22"/>
                <w:szCs w:val="22"/>
                <w:lang w:val="fr-FR"/>
              </w:rPr>
              <w:t>CP-</w:t>
            </w:r>
            <w:r w:rsidRPr="00C54A95">
              <w:rPr>
                <w:kern w:val="22"/>
                <w:szCs w:val="22"/>
                <w:lang w:val="fr-FR"/>
              </w:rPr>
              <w:t>COP-MOP 4</w:t>
            </w:r>
          </w:p>
        </w:tc>
        <w:tc>
          <w:tcPr>
            <w:tcW w:w="0" w:type="auto"/>
            <w:shd w:val="clear" w:color="auto" w:fill="auto"/>
          </w:tcPr>
          <w:p w:rsidR="00742F79" w:rsidRPr="00C54A95" w:rsidRDefault="00742F79" w:rsidP="00F82F1D">
            <w:pPr>
              <w:suppressLineNumbers/>
              <w:suppressAutoHyphens/>
              <w:kinsoku w:val="0"/>
              <w:overflowPunct w:val="0"/>
              <w:autoSpaceDE w:val="0"/>
              <w:autoSpaceDN w:val="0"/>
              <w:spacing w:before="40" w:after="40"/>
              <w:jc w:val="center"/>
              <w:rPr>
                <w:kern w:val="22"/>
                <w:szCs w:val="22"/>
                <w:lang w:val="fr-FR"/>
              </w:rPr>
            </w:pPr>
            <w:r w:rsidRPr="00C54A95">
              <w:rPr>
                <w:kern w:val="22"/>
                <w:szCs w:val="22"/>
                <w:lang w:val="fr-FR"/>
              </w:rPr>
              <w:t>19</w:t>
            </w:r>
          </w:p>
        </w:tc>
        <w:tc>
          <w:tcPr>
            <w:tcW w:w="0" w:type="auto"/>
            <w:shd w:val="clear" w:color="auto" w:fill="auto"/>
          </w:tcPr>
          <w:p w:rsidR="00742F79" w:rsidRPr="00C54A95" w:rsidRDefault="00742F79" w:rsidP="00F82F1D">
            <w:pPr>
              <w:suppressLineNumbers/>
              <w:suppressAutoHyphens/>
              <w:kinsoku w:val="0"/>
              <w:overflowPunct w:val="0"/>
              <w:autoSpaceDE w:val="0"/>
              <w:autoSpaceDN w:val="0"/>
              <w:spacing w:before="40" w:after="40"/>
              <w:jc w:val="center"/>
              <w:rPr>
                <w:kern w:val="22"/>
                <w:szCs w:val="22"/>
                <w:lang w:val="fr-FR"/>
              </w:rPr>
            </w:pPr>
            <w:r w:rsidRPr="00C54A95">
              <w:rPr>
                <w:kern w:val="22"/>
                <w:szCs w:val="22"/>
                <w:lang w:val="fr-FR"/>
              </w:rPr>
              <w:t>44</w:t>
            </w:r>
          </w:p>
        </w:tc>
        <w:tc>
          <w:tcPr>
            <w:tcW w:w="0" w:type="auto"/>
            <w:shd w:val="clear" w:color="auto" w:fill="auto"/>
          </w:tcPr>
          <w:p w:rsidR="00742F79" w:rsidRPr="00C54A95" w:rsidRDefault="00742F79" w:rsidP="00F82F1D">
            <w:pPr>
              <w:suppressLineNumbers/>
              <w:suppressAutoHyphens/>
              <w:kinsoku w:val="0"/>
              <w:overflowPunct w:val="0"/>
              <w:autoSpaceDE w:val="0"/>
              <w:autoSpaceDN w:val="0"/>
              <w:spacing w:before="40" w:after="40"/>
              <w:jc w:val="center"/>
              <w:rPr>
                <w:kern w:val="22"/>
                <w:szCs w:val="22"/>
                <w:lang w:val="fr-FR"/>
              </w:rPr>
            </w:pPr>
            <w:r w:rsidRPr="00C54A95">
              <w:rPr>
                <w:kern w:val="22"/>
                <w:szCs w:val="22"/>
                <w:lang w:val="fr-FR"/>
              </w:rPr>
              <w:t>836</w:t>
            </w:r>
          </w:p>
        </w:tc>
      </w:tr>
      <w:tr w:rsidR="003F4111" w:rsidRPr="00C54A95" w:rsidTr="00F82F1D">
        <w:trPr>
          <w:cantSplit/>
          <w:jc w:val="center"/>
        </w:trPr>
        <w:tc>
          <w:tcPr>
            <w:tcW w:w="4208" w:type="dxa"/>
            <w:shd w:val="clear" w:color="auto" w:fill="auto"/>
          </w:tcPr>
          <w:p w:rsidR="00742F79" w:rsidRPr="00C54A95" w:rsidRDefault="00742F79" w:rsidP="00F82F1D">
            <w:pPr>
              <w:suppressLineNumbers/>
              <w:suppressAutoHyphens/>
              <w:kinsoku w:val="0"/>
              <w:overflowPunct w:val="0"/>
              <w:autoSpaceDE w:val="0"/>
              <w:autoSpaceDN w:val="0"/>
              <w:spacing w:before="40" w:after="40"/>
              <w:jc w:val="left"/>
              <w:rPr>
                <w:kern w:val="22"/>
                <w:szCs w:val="22"/>
                <w:lang w:val="fr-FR"/>
              </w:rPr>
            </w:pPr>
            <w:r w:rsidRPr="00C54A95">
              <w:rPr>
                <w:kern w:val="22"/>
                <w:szCs w:val="22"/>
                <w:lang w:val="fr-FR"/>
              </w:rPr>
              <w:t xml:space="preserve">COP 10, </w:t>
            </w:r>
            <w:r w:rsidR="0052736E" w:rsidRPr="00C54A95">
              <w:rPr>
                <w:kern w:val="22"/>
                <w:szCs w:val="22"/>
                <w:lang w:val="fr-FR"/>
              </w:rPr>
              <w:t>CP-</w:t>
            </w:r>
            <w:r w:rsidRPr="00C54A95">
              <w:rPr>
                <w:kern w:val="22"/>
                <w:szCs w:val="22"/>
                <w:lang w:val="fr-FR"/>
              </w:rPr>
              <w:t>COP-MOP 5</w:t>
            </w:r>
          </w:p>
        </w:tc>
        <w:tc>
          <w:tcPr>
            <w:tcW w:w="0" w:type="auto"/>
            <w:shd w:val="clear" w:color="auto" w:fill="auto"/>
          </w:tcPr>
          <w:p w:rsidR="00742F79" w:rsidRPr="00C54A95" w:rsidRDefault="00E30875" w:rsidP="00F82F1D">
            <w:pPr>
              <w:suppressLineNumbers/>
              <w:suppressAutoHyphens/>
              <w:kinsoku w:val="0"/>
              <w:overflowPunct w:val="0"/>
              <w:autoSpaceDE w:val="0"/>
              <w:autoSpaceDN w:val="0"/>
              <w:spacing w:before="40" w:after="40"/>
              <w:jc w:val="center"/>
              <w:rPr>
                <w:kern w:val="22"/>
                <w:szCs w:val="22"/>
                <w:lang w:val="fr-FR"/>
              </w:rPr>
            </w:pPr>
            <w:r w:rsidRPr="00C54A95">
              <w:rPr>
                <w:kern w:val="22"/>
                <w:szCs w:val="22"/>
                <w:lang w:val="fr-FR"/>
              </w:rPr>
              <w:t>19</w:t>
            </w:r>
          </w:p>
        </w:tc>
        <w:tc>
          <w:tcPr>
            <w:tcW w:w="0" w:type="auto"/>
            <w:shd w:val="clear" w:color="auto" w:fill="auto"/>
          </w:tcPr>
          <w:p w:rsidR="00742F79" w:rsidRPr="00C54A95" w:rsidRDefault="00742F79" w:rsidP="00F82F1D">
            <w:pPr>
              <w:suppressLineNumbers/>
              <w:suppressAutoHyphens/>
              <w:kinsoku w:val="0"/>
              <w:overflowPunct w:val="0"/>
              <w:autoSpaceDE w:val="0"/>
              <w:autoSpaceDN w:val="0"/>
              <w:spacing w:before="40" w:after="40"/>
              <w:jc w:val="center"/>
              <w:rPr>
                <w:kern w:val="22"/>
                <w:szCs w:val="22"/>
                <w:lang w:val="fr-FR"/>
              </w:rPr>
            </w:pPr>
            <w:r w:rsidRPr="00C54A95">
              <w:rPr>
                <w:kern w:val="22"/>
                <w:szCs w:val="22"/>
                <w:lang w:val="fr-FR"/>
              </w:rPr>
              <w:t>44</w:t>
            </w:r>
          </w:p>
        </w:tc>
        <w:tc>
          <w:tcPr>
            <w:tcW w:w="0" w:type="auto"/>
            <w:shd w:val="clear" w:color="auto" w:fill="auto"/>
          </w:tcPr>
          <w:p w:rsidR="00742F79" w:rsidRPr="00C54A95" w:rsidRDefault="00E30875" w:rsidP="00F82F1D">
            <w:pPr>
              <w:suppressLineNumbers/>
              <w:suppressAutoHyphens/>
              <w:kinsoku w:val="0"/>
              <w:overflowPunct w:val="0"/>
              <w:autoSpaceDE w:val="0"/>
              <w:autoSpaceDN w:val="0"/>
              <w:spacing w:before="40" w:after="40"/>
              <w:jc w:val="center"/>
              <w:rPr>
                <w:kern w:val="22"/>
                <w:szCs w:val="22"/>
                <w:lang w:val="fr-FR"/>
              </w:rPr>
            </w:pPr>
            <w:r w:rsidRPr="00C54A95">
              <w:rPr>
                <w:kern w:val="22"/>
                <w:szCs w:val="22"/>
                <w:lang w:val="fr-FR"/>
              </w:rPr>
              <w:t>836</w:t>
            </w:r>
          </w:p>
        </w:tc>
      </w:tr>
      <w:tr w:rsidR="003F4111" w:rsidRPr="00C54A95" w:rsidTr="00F82F1D">
        <w:trPr>
          <w:cantSplit/>
          <w:jc w:val="center"/>
        </w:trPr>
        <w:tc>
          <w:tcPr>
            <w:tcW w:w="4208" w:type="dxa"/>
            <w:shd w:val="clear" w:color="auto" w:fill="auto"/>
          </w:tcPr>
          <w:p w:rsidR="00742F79" w:rsidRPr="00C54A95" w:rsidRDefault="00742F79" w:rsidP="00F82F1D">
            <w:pPr>
              <w:suppressLineNumbers/>
              <w:suppressAutoHyphens/>
              <w:kinsoku w:val="0"/>
              <w:overflowPunct w:val="0"/>
              <w:autoSpaceDE w:val="0"/>
              <w:autoSpaceDN w:val="0"/>
              <w:spacing w:before="40" w:after="40"/>
              <w:jc w:val="left"/>
              <w:rPr>
                <w:kern w:val="22"/>
                <w:szCs w:val="22"/>
                <w:lang w:val="fr-FR"/>
              </w:rPr>
            </w:pPr>
            <w:r w:rsidRPr="00C54A95">
              <w:rPr>
                <w:kern w:val="22"/>
                <w:szCs w:val="22"/>
                <w:lang w:val="fr-FR"/>
              </w:rPr>
              <w:t xml:space="preserve">COP 11, </w:t>
            </w:r>
            <w:r w:rsidR="0052736E" w:rsidRPr="00C54A95">
              <w:rPr>
                <w:kern w:val="22"/>
                <w:szCs w:val="22"/>
                <w:lang w:val="fr-FR"/>
              </w:rPr>
              <w:t>CP-</w:t>
            </w:r>
            <w:r w:rsidRPr="00C54A95">
              <w:rPr>
                <w:kern w:val="22"/>
                <w:szCs w:val="22"/>
                <w:lang w:val="fr-FR"/>
              </w:rPr>
              <w:t>COP-MOP 6</w:t>
            </w:r>
          </w:p>
        </w:tc>
        <w:tc>
          <w:tcPr>
            <w:tcW w:w="0" w:type="auto"/>
            <w:shd w:val="clear" w:color="auto" w:fill="auto"/>
          </w:tcPr>
          <w:p w:rsidR="00742F79" w:rsidRPr="00C54A95" w:rsidRDefault="00742F79" w:rsidP="00F82F1D">
            <w:pPr>
              <w:suppressLineNumbers/>
              <w:suppressAutoHyphens/>
              <w:kinsoku w:val="0"/>
              <w:overflowPunct w:val="0"/>
              <w:autoSpaceDE w:val="0"/>
              <w:autoSpaceDN w:val="0"/>
              <w:spacing w:before="40" w:after="40"/>
              <w:jc w:val="center"/>
              <w:rPr>
                <w:kern w:val="22"/>
                <w:szCs w:val="22"/>
                <w:lang w:val="fr-FR"/>
              </w:rPr>
            </w:pPr>
            <w:r w:rsidRPr="00C54A95">
              <w:rPr>
                <w:kern w:val="22"/>
                <w:szCs w:val="22"/>
                <w:lang w:val="fr-FR"/>
              </w:rPr>
              <w:t>19</w:t>
            </w:r>
          </w:p>
        </w:tc>
        <w:tc>
          <w:tcPr>
            <w:tcW w:w="0" w:type="auto"/>
            <w:shd w:val="clear" w:color="auto" w:fill="auto"/>
          </w:tcPr>
          <w:p w:rsidR="00742F79" w:rsidRPr="00C54A95" w:rsidRDefault="00742F79" w:rsidP="00F82F1D">
            <w:pPr>
              <w:suppressLineNumbers/>
              <w:suppressAutoHyphens/>
              <w:kinsoku w:val="0"/>
              <w:overflowPunct w:val="0"/>
              <w:autoSpaceDE w:val="0"/>
              <w:autoSpaceDN w:val="0"/>
              <w:spacing w:before="40" w:after="40"/>
              <w:jc w:val="center"/>
              <w:rPr>
                <w:kern w:val="22"/>
                <w:szCs w:val="22"/>
                <w:lang w:val="fr-FR"/>
              </w:rPr>
            </w:pPr>
            <w:r w:rsidRPr="00C54A95">
              <w:rPr>
                <w:kern w:val="22"/>
                <w:szCs w:val="22"/>
                <w:lang w:val="fr-FR"/>
              </w:rPr>
              <w:t>42</w:t>
            </w:r>
          </w:p>
        </w:tc>
        <w:tc>
          <w:tcPr>
            <w:tcW w:w="0" w:type="auto"/>
            <w:shd w:val="clear" w:color="auto" w:fill="auto"/>
          </w:tcPr>
          <w:p w:rsidR="00742F79" w:rsidRPr="00C54A95" w:rsidRDefault="00742F79" w:rsidP="00F82F1D">
            <w:pPr>
              <w:suppressLineNumbers/>
              <w:suppressAutoHyphens/>
              <w:kinsoku w:val="0"/>
              <w:overflowPunct w:val="0"/>
              <w:autoSpaceDE w:val="0"/>
              <w:autoSpaceDN w:val="0"/>
              <w:spacing w:before="40" w:after="40"/>
              <w:jc w:val="center"/>
              <w:rPr>
                <w:kern w:val="22"/>
                <w:szCs w:val="22"/>
                <w:lang w:val="fr-FR"/>
              </w:rPr>
            </w:pPr>
            <w:r w:rsidRPr="00C54A95">
              <w:rPr>
                <w:kern w:val="22"/>
                <w:szCs w:val="22"/>
                <w:lang w:val="fr-FR"/>
              </w:rPr>
              <w:t>798</w:t>
            </w:r>
          </w:p>
        </w:tc>
      </w:tr>
      <w:tr w:rsidR="003F4111" w:rsidRPr="00C54A95" w:rsidTr="00F82F1D">
        <w:trPr>
          <w:cantSplit/>
          <w:trHeight w:val="102"/>
          <w:jc w:val="center"/>
        </w:trPr>
        <w:tc>
          <w:tcPr>
            <w:tcW w:w="4208" w:type="dxa"/>
            <w:shd w:val="clear" w:color="auto" w:fill="auto"/>
          </w:tcPr>
          <w:p w:rsidR="00742F79" w:rsidRPr="00E60E82" w:rsidRDefault="00742F79" w:rsidP="00F82F1D">
            <w:pPr>
              <w:suppressLineNumbers/>
              <w:suppressAutoHyphens/>
              <w:kinsoku w:val="0"/>
              <w:overflowPunct w:val="0"/>
              <w:autoSpaceDE w:val="0"/>
              <w:autoSpaceDN w:val="0"/>
              <w:spacing w:before="40" w:after="40"/>
              <w:jc w:val="left"/>
              <w:rPr>
                <w:kern w:val="22"/>
                <w:szCs w:val="22"/>
                <w:lang w:val="en-US"/>
              </w:rPr>
            </w:pPr>
            <w:r w:rsidRPr="00E60E82">
              <w:rPr>
                <w:kern w:val="22"/>
                <w:szCs w:val="22"/>
                <w:lang w:val="en-US"/>
              </w:rPr>
              <w:t xml:space="preserve">COP 12, </w:t>
            </w:r>
            <w:r w:rsidR="0052736E" w:rsidRPr="00E60E82">
              <w:rPr>
                <w:kern w:val="22"/>
                <w:szCs w:val="22"/>
                <w:lang w:val="en-US"/>
              </w:rPr>
              <w:t>CP-</w:t>
            </w:r>
            <w:r w:rsidRPr="00E60E82">
              <w:rPr>
                <w:kern w:val="22"/>
                <w:szCs w:val="22"/>
                <w:lang w:val="en-US"/>
              </w:rPr>
              <w:t xml:space="preserve">COP-MOP7, </w:t>
            </w:r>
            <w:r w:rsidR="0052736E" w:rsidRPr="00E60E82">
              <w:rPr>
                <w:kern w:val="22"/>
                <w:szCs w:val="22"/>
                <w:lang w:val="en-US"/>
              </w:rPr>
              <w:t>NP-</w:t>
            </w:r>
            <w:r w:rsidRPr="00E60E82">
              <w:rPr>
                <w:kern w:val="22"/>
                <w:szCs w:val="22"/>
                <w:lang w:val="en-US"/>
              </w:rPr>
              <w:t>COP-MOP 1</w:t>
            </w:r>
          </w:p>
        </w:tc>
        <w:tc>
          <w:tcPr>
            <w:tcW w:w="0" w:type="auto"/>
            <w:shd w:val="clear" w:color="auto" w:fill="auto"/>
          </w:tcPr>
          <w:p w:rsidR="00742F79" w:rsidRPr="00C54A95" w:rsidRDefault="00742F79" w:rsidP="00F82F1D">
            <w:pPr>
              <w:suppressLineNumbers/>
              <w:suppressAutoHyphens/>
              <w:kinsoku w:val="0"/>
              <w:overflowPunct w:val="0"/>
              <w:autoSpaceDE w:val="0"/>
              <w:autoSpaceDN w:val="0"/>
              <w:spacing w:before="40" w:after="40"/>
              <w:jc w:val="center"/>
              <w:rPr>
                <w:kern w:val="22"/>
                <w:szCs w:val="22"/>
                <w:lang w:val="fr-FR"/>
              </w:rPr>
            </w:pPr>
            <w:r w:rsidRPr="00C54A95">
              <w:rPr>
                <w:kern w:val="22"/>
                <w:szCs w:val="22"/>
                <w:lang w:val="fr-FR"/>
              </w:rPr>
              <w:t>19</w:t>
            </w:r>
          </w:p>
        </w:tc>
        <w:tc>
          <w:tcPr>
            <w:tcW w:w="0" w:type="auto"/>
            <w:shd w:val="clear" w:color="auto" w:fill="auto"/>
          </w:tcPr>
          <w:p w:rsidR="00742F79" w:rsidRPr="00C54A95" w:rsidRDefault="00742F79" w:rsidP="00F82F1D">
            <w:pPr>
              <w:suppressLineNumbers/>
              <w:suppressAutoHyphens/>
              <w:kinsoku w:val="0"/>
              <w:overflowPunct w:val="0"/>
              <w:autoSpaceDE w:val="0"/>
              <w:autoSpaceDN w:val="0"/>
              <w:spacing w:before="40" w:after="40"/>
              <w:jc w:val="center"/>
              <w:rPr>
                <w:kern w:val="22"/>
                <w:szCs w:val="22"/>
                <w:lang w:val="fr-FR"/>
              </w:rPr>
            </w:pPr>
            <w:r w:rsidRPr="00C54A95">
              <w:rPr>
                <w:kern w:val="22"/>
                <w:szCs w:val="22"/>
                <w:lang w:val="fr-FR"/>
              </w:rPr>
              <w:t>44</w:t>
            </w:r>
          </w:p>
        </w:tc>
        <w:tc>
          <w:tcPr>
            <w:tcW w:w="0" w:type="auto"/>
            <w:shd w:val="clear" w:color="auto" w:fill="auto"/>
          </w:tcPr>
          <w:p w:rsidR="00742F79" w:rsidRPr="00C54A95" w:rsidRDefault="00742F79" w:rsidP="00F82F1D">
            <w:pPr>
              <w:suppressLineNumbers/>
              <w:suppressAutoHyphens/>
              <w:kinsoku w:val="0"/>
              <w:overflowPunct w:val="0"/>
              <w:autoSpaceDE w:val="0"/>
              <w:autoSpaceDN w:val="0"/>
              <w:spacing w:before="40" w:after="40"/>
              <w:jc w:val="center"/>
              <w:rPr>
                <w:kern w:val="22"/>
                <w:szCs w:val="22"/>
                <w:lang w:val="fr-FR"/>
              </w:rPr>
            </w:pPr>
            <w:r w:rsidRPr="00C54A95">
              <w:rPr>
                <w:kern w:val="22"/>
                <w:szCs w:val="22"/>
                <w:lang w:val="fr-FR"/>
              </w:rPr>
              <w:t>836</w:t>
            </w:r>
          </w:p>
        </w:tc>
      </w:tr>
      <w:tr w:rsidR="003F4111" w:rsidRPr="00C54A95" w:rsidTr="00F82F1D">
        <w:trPr>
          <w:cantSplit/>
          <w:trHeight w:val="85"/>
          <w:jc w:val="center"/>
        </w:trPr>
        <w:tc>
          <w:tcPr>
            <w:tcW w:w="4208" w:type="dxa"/>
            <w:shd w:val="clear" w:color="auto" w:fill="auto"/>
          </w:tcPr>
          <w:p w:rsidR="00742F79" w:rsidRPr="00E60E82" w:rsidRDefault="00742F79" w:rsidP="00F82F1D">
            <w:pPr>
              <w:suppressLineNumbers/>
              <w:suppressAutoHyphens/>
              <w:kinsoku w:val="0"/>
              <w:overflowPunct w:val="0"/>
              <w:autoSpaceDE w:val="0"/>
              <w:autoSpaceDN w:val="0"/>
              <w:spacing w:before="40" w:after="40"/>
              <w:jc w:val="left"/>
              <w:rPr>
                <w:kern w:val="22"/>
                <w:szCs w:val="22"/>
                <w:lang w:val="en-US"/>
              </w:rPr>
            </w:pPr>
            <w:r w:rsidRPr="00E60E82">
              <w:rPr>
                <w:kern w:val="22"/>
                <w:szCs w:val="22"/>
                <w:lang w:val="en-US"/>
              </w:rPr>
              <w:lastRenderedPageBreak/>
              <w:t xml:space="preserve">COP 13, </w:t>
            </w:r>
            <w:r w:rsidR="0052736E" w:rsidRPr="00E60E82">
              <w:rPr>
                <w:kern w:val="22"/>
                <w:szCs w:val="22"/>
                <w:lang w:val="en-US"/>
              </w:rPr>
              <w:t>CP-</w:t>
            </w:r>
            <w:r w:rsidRPr="00E60E82">
              <w:rPr>
                <w:kern w:val="22"/>
                <w:szCs w:val="22"/>
                <w:lang w:val="en-US"/>
              </w:rPr>
              <w:t xml:space="preserve">COP-MOP 8, </w:t>
            </w:r>
            <w:r w:rsidR="0052736E" w:rsidRPr="00E60E82">
              <w:rPr>
                <w:kern w:val="22"/>
                <w:szCs w:val="22"/>
                <w:lang w:val="en-US"/>
              </w:rPr>
              <w:t>NP-</w:t>
            </w:r>
            <w:r w:rsidRPr="00E60E82">
              <w:rPr>
                <w:kern w:val="22"/>
                <w:szCs w:val="22"/>
                <w:lang w:val="en-US"/>
              </w:rPr>
              <w:t>COP-MOP 2</w:t>
            </w:r>
          </w:p>
        </w:tc>
        <w:tc>
          <w:tcPr>
            <w:tcW w:w="0" w:type="auto"/>
            <w:shd w:val="clear" w:color="auto" w:fill="auto"/>
          </w:tcPr>
          <w:p w:rsidR="00742F79" w:rsidRPr="00C54A95" w:rsidRDefault="00742F79" w:rsidP="00F82F1D">
            <w:pPr>
              <w:suppressLineNumbers/>
              <w:suppressAutoHyphens/>
              <w:kinsoku w:val="0"/>
              <w:overflowPunct w:val="0"/>
              <w:autoSpaceDE w:val="0"/>
              <w:autoSpaceDN w:val="0"/>
              <w:spacing w:before="40" w:after="40"/>
              <w:jc w:val="center"/>
              <w:rPr>
                <w:kern w:val="22"/>
                <w:szCs w:val="22"/>
                <w:lang w:val="fr-FR"/>
              </w:rPr>
            </w:pPr>
            <w:r w:rsidRPr="00C54A95">
              <w:rPr>
                <w:kern w:val="22"/>
                <w:szCs w:val="22"/>
                <w:lang w:val="fr-FR"/>
              </w:rPr>
              <w:t>14</w:t>
            </w:r>
          </w:p>
        </w:tc>
        <w:tc>
          <w:tcPr>
            <w:tcW w:w="0" w:type="auto"/>
            <w:shd w:val="clear" w:color="auto" w:fill="auto"/>
          </w:tcPr>
          <w:p w:rsidR="00742F79" w:rsidRPr="00C54A95" w:rsidRDefault="00742F79" w:rsidP="00F82F1D">
            <w:pPr>
              <w:suppressLineNumbers/>
              <w:suppressAutoHyphens/>
              <w:kinsoku w:val="0"/>
              <w:overflowPunct w:val="0"/>
              <w:autoSpaceDE w:val="0"/>
              <w:autoSpaceDN w:val="0"/>
              <w:spacing w:before="40" w:after="40"/>
              <w:jc w:val="center"/>
              <w:rPr>
                <w:kern w:val="22"/>
                <w:szCs w:val="22"/>
                <w:lang w:val="fr-FR"/>
              </w:rPr>
            </w:pPr>
            <w:r w:rsidRPr="00C54A95">
              <w:rPr>
                <w:kern w:val="22"/>
                <w:szCs w:val="22"/>
                <w:lang w:val="fr-FR"/>
              </w:rPr>
              <w:t>54</w:t>
            </w:r>
          </w:p>
        </w:tc>
        <w:tc>
          <w:tcPr>
            <w:tcW w:w="0" w:type="auto"/>
            <w:shd w:val="clear" w:color="auto" w:fill="auto"/>
          </w:tcPr>
          <w:p w:rsidR="00742F79" w:rsidRPr="00C54A95" w:rsidRDefault="00742F79" w:rsidP="00F82F1D">
            <w:pPr>
              <w:suppressLineNumbers/>
              <w:suppressAutoHyphens/>
              <w:kinsoku w:val="0"/>
              <w:overflowPunct w:val="0"/>
              <w:autoSpaceDE w:val="0"/>
              <w:autoSpaceDN w:val="0"/>
              <w:spacing w:before="40" w:after="40"/>
              <w:jc w:val="center"/>
              <w:rPr>
                <w:kern w:val="22"/>
                <w:szCs w:val="22"/>
                <w:lang w:val="fr-FR"/>
              </w:rPr>
            </w:pPr>
            <w:r w:rsidRPr="00C54A95">
              <w:rPr>
                <w:kern w:val="22"/>
                <w:szCs w:val="22"/>
                <w:lang w:val="fr-FR"/>
              </w:rPr>
              <w:t>756</w:t>
            </w:r>
          </w:p>
        </w:tc>
      </w:tr>
    </w:tbl>
    <w:p w:rsidR="00742F79" w:rsidRPr="00C54A95" w:rsidRDefault="00B352DE" w:rsidP="00F82F1D">
      <w:pPr>
        <w:keepNext/>
        <w:numPr>
          <w:ilvl w:val="0"/>
          <w:numId w:val="52"/>
        </w:numPr>
        <w:suppressLineNumbers/>
        <w:suppressAutoHyphens/>
        <w:kinsoku w:val="0"/>
        <w:overflowPunct w:val="0"/>
        <w:autoSpaceDE w:val="0"/>
        <w:autoSpaceDN w:val="0"/>
        <w:spacing w:before="240" w:after="120"/>
        <w:jc w:val="left"/>
        <w:rPr>
          <w:b/>
          <w:bCs/>
          <w:kern w:val="22"/>
          <w:szCs w:val="22"/>
          <w:lang w:val="fr-FR"/>
        </w:rPr>
      </w:pPr>
      <w:r w:rsidRPr="00C54A95">
        <w:rPr>
          <w:b/>
          <w:bCs/>
          <w:kern w:val="22"/>
          <w:szCs w:val="22"/>
          <w:lang w:val="fr-FR"/>
        </w:rPr>
        <w:t>AMÉLIORATION DES</w:t>
      </w:r>
      <w:r w:rsidR="00742F79" w:rsidRPr="00C54A95">
        <w:rPr>
          <w:b/>
          <w:bCs/>
          <w:kern w:val="22"/>
          <w:szCs w:val="22"/>
          <w:lang w:val="fr-FR"/>
        </w:rPr>
        <w:t xml:space="preserve"> CONSULTATIONS, </w:t>
      </w:r>
      <w:r w:rsidRPr="00C54A95">
        <w:rPr>
          <w:b/>
          <w:bCs/>
          <w:kern w:val="22"/>
          <w:szCs w:val="22"/>
          <w:lang w:val="fr-FR"/>
        </w:rPr>
        <w:t xml:space="preserve">DE LA </w:t>
      </w:r>
      <w:r w:rsidR="00742F79" w:rsidRPr="00C54A95">
        <w:rPr>
          <w:b/>
          <w:bCs/>
          <w:kern w:val="22"/>
          <w:szCs w:val="22"/>
          <w:lang w:val="fr-FR"/>
        </w:rPr>
        <w:t xml:space="preserve">COORDINATION </w:t>
      </w:r>
      <w:r w:rsidRPr="00C54A95">
        <w:rPr>
          <w:b/>
          <w:bCs/>
          <w:kern w:val="22"/>
          <w:szCs w:val="22"/>
          <w:lang w:val="fr-FR"/>
        </w:rPr>
        <w:t>ET DES</w:t>
      </w:r>
      <w:r w:rsidR="00742F79" w:rsidRPr="00C54A95">
        <w:rPr>
          <w:b/>
          <w:bCs/>
          <w:kern w:val="22"/>
          <w:szCs w:val="22"/>
          <w:lang w:val="fr-FR"/>
        </w:rPr>
        <w:t xml:space="preserve"> SYNERGIES </w:t>
      </w:r>
      <w:r w:rsidRPr="00C54A95">
        <w:rPr>
          <w:b/>
          <w:bCs/>
          <w:kern w:val="22"/>
          <w:szCs w:val="22"/>
          <w:lang w:val="fr-FR"/>
        </w:rPr>
        <w:t>ENTRE LES CORRESPONDANTS</w:t>
      </w:r>
      <w:r w:rsidR="00742F79" w:rsidRPr="00C54A95">
        <w:rPr>
          <w:b/>
          <w:bCs/>
          <w:kern w:val="22"/>
          <w:szCs w:val="22"/>
          <w:lang w:val="fr-FR"/>
        </w:rPr>
        <w:t xml:space="preserve"> </w:t>
      </w:r>
      <w:r w:rsidRPr="00C54A95">
        <w:rPr>
          <w:b/>
          <w:bCs/>
          <w:kern w:val="22"/>
          <w:szCs w:val="22"/>
          <w:lang w:val="fr-FR"/>
        </w:rPr>
        <w:t>NATIONAUX</w:t>
      </w:r>
    </w:p>
    <w:p w:rsidR="00742F79" w:rsidRPr="00C54A95" w:rsidRDefault="00B352DE" w:rsidP="00F82F1D">
      <w:pPr>
        <w:pStyle w:val="Para1"/>
        <w:suppressLineNumbers/>
        <w:tabs>
          <w:tab w:val="clear" w:pos="360"/>
        </w:tabs>
        <w:suppressAutoHyphens/>
        <w:kinsoku w:val="0"/>
        <w:overflowPunct w:val="0"/>
        <w:autoSpaceDE w:val="0"/>
        <w:autoSpaceDN w:val="0"/>
        <w:rPr>
          <w:snapToGrid/>
          <w:kern w:val="22"/>
          <w:szCs w:val="22"/>
          <w:lang w:val="fr-FR"/>
        </w:rPr>
      </w:pPr>
      <w:r w:rsidRPr="00C54A95">
        <w:rPr>
          <w:snapToGrid/>
          <w:kern w:val="22"/>
          <w:szCs w:val="22"/>
          <w:lang w:val="fr-FR"/>
        </w:rPr>
        <w:t>Les Parties o</w:t>
      </w:r>
      <w:r w:rsidR="00043D3A">
        <w:rPr>
          <w:snapToGrid/>
          <w:kern w:val="22"/>
          <w:szCs w:val="22"/>
          <w:lang w:val="fr-FR"/>
        </w:rPr>
        <w:t>nt généralement estimé dans le</w:t>
      </w:r>
      <w:r w:rsidRPr="00C54A95">
        <w:rPr>
          <w:snapToGrid/>
          <w:kern w:val="22"/>
          <w:szCs w:val="22"/>
          <w:lang w:val="fr-FR"/>
        </w:rPr>
        <w:t xml:space="preserve">s réponses </w:t>
      </w:r>
      <w:r w:rsidR="00043D3A">
        <w:rPr>
          <w:snapToGrid/>
          <w:kern w:val="22"/>
          <w:szCs w:val="22"/>
          <w:lang w:val="fr-FR"/>
        </w:rPr>
        <w:t xml:space="preserve">apportées </w:t>
      </w:r>
      <w:r w:rsidRPr="00C54A95">
        <w:rPr>
          <w:snapToGrid/>
          <w:kern w:val="22"/>
          <w:szCs w:val="22"/>
          <w:lang w:val="fr-FR"/>
        </w:rPr>
        <w:t xml:space="preserve">à la notification que l’organisation de réunions concomitantes pour la Convention, le Protocole de Cartagena et le Protocole de Nagoya améliorait les consultations, la coordination et les synergies entre les correspondants nationaux. Une majorité de réponses </w:t>
      </w:r>
      <w:r w:rsidR="00814237">
        <w:rPr>
          <w:snapToGrid/>
          <w:kern w:val="22"/>
          <w:szCs w:val="22"/>
          <w:lang w:val="fr-FR"/>
        </w:rPr>
        <w:t>a</w:t>
      </w:r>
      <w:r w:rsidRPr="00C54A95">
        <w:rPr>
          <w:snapToGrid/>
          <w:kern w:val="22"/>
          <w:szCs w:val="22"/>
          <w:lang w:val="fr-FR"/>
        </w:rPr>
        <w:t xml:space="preserve"> jugé que ce critère avait été «</w:t>
      </w:r>
      <w:r w:rsidR="00814237">
        <w:rPr>
          <w:snapToGrid/>
          <w:kern w:val="22"/>
          <w:szCs w:val="22"/>
          <w:lang w:val="fr-FR"/>
        </w:rPr>
        <w:t> pleinement respecté » (58 %). L</w:t>
      </w:r>
      <w:r w:rsidRPr="00C54A95">
        <w:rPr>
          <w:snapToGrid/>
          <w:kern w:val="22"/>
          <w:szCs w:val="22"/>
          <w:lang w:val="fr-FR"/>
        </w:rPr>
        <w:t xml:space="preserve">e critère a en outre été considéré comme « partiellement respecté » par 35 % des répondants et « non respecté » par 8 % d’entre eux. Les réponses des pays en développement </w:t>
      </w:r>
      <w:r w:rsidR="00814237">
        <w:rPr>
          <w:snapToGrid/>
          <w:kern w:val="22"/>
          <w:szCs w:val="22"/>
          <w:lang w:val="fr-FR"/>
        </w:rPr>
        <w:t xml:space="preserve">diffèrent peu de celles des pays développement </w:t>
      </w:r>
      <w:r w:rsidRPr="00C54A95">
        <w:rPr>
          <w:snapToGrid/>
          <w:kern w:val="22"/>
          <w:szCs w:val="22"/>
          <w:lang w:val="fr-FR"/>
        </w:rPr>
        <w:t>lorsqu’elles sont considérées séparément</w:t>
      </w:r>
      <w:r w:rsidR="00742F79" w:rsidRPr="00C54A95">
        <w:rPr>
          <w:snapToGrid/>
          <w:kern w:val="22"/>
          <w:szCs w:val="22"/>
          <w:lang w:val="fr-FR"/>
        </w:rPr>
        <w:t>.</w:t>
      </w:r>
    </w:p>
    <w:p w:rsidR="00742F79" w:rsidRPr="00C54A95" w:rsidRDefault="00814237" w:rsidP="00F82F1D">
      <w:pPr>
        <w:pStyle w:val="Para1"/>
        <w:suppressLineNumbers/>
        <w:tabs>
          <w:tab w:val="clear" w:pos="360"/>
        </w:tabs>
        <w:suppressAutoHyphens/>
        <w:kinsoku w:val="0"/>
        <w:overflowPunct w:val="0"/>
        <w:autoSpaceDE w:val="0"/>
        <w:autoSpaceDN w:val="0"/>
        <w:rPr>
          <w:snapToGrid/>
          <w:kern w:val="22"/>
          <w:szCs w:val="22"/>
          <w:lang w:val="fr-FR"/>
        </w:rPr>
      </w:pPr>
      <w:r>
        <w:rPr>
          <w:snapToGrid/>
          <w:kern w:val="22"/>
          <w:szCs w:val="22"/>
          <w:lang w:val="fr-FR"/>
        </w:rPr>
        <w:t>Plusieurs</w:t>
      </w:r>
      <w:r w:rsidR="00B352DE" w:rsidRPr="00C54A95">
        <w:rPr>
          <w:snapToGrid/>
          <w:kern w:val="22"/>
          <w:szCs w:val="22"/>
          <w:lang w:val="fr-FR"/>
        </w:rPr>
        <w:t xml:space="preserve"> Parties ont constaté dans leurs observations que l’organisation de réunions concomitantes </w:t>
      </w:r>
      <w:r>
        <w:rPr>
          <w:snapToGrid/>
          <w:kern w:val="22"/>
          <w:szCs w:val="22"/>
          <w:lang w:val="fr-FR"/>
        </w:rPr>
        <w:t>facilitait</w:t>
      </w:r>
      <w:r w:rsidR="00B352DE" w:rsidRPr="00C54A95">
        <w:rPr>
          <w:snapToGrid/>
          <w:kern w:val="22"/>
          <w:szCs w:val="22"/>
          <w:lang w:val="fr-FR"/>
        </w:rPr>
        <w:t xml:space="preserve"> la coordination et les consultations. D’autres Parties ont toutefois </w:t>
      </w:r>
      <w:r>
        <w:rPr>
          <w:snapToGrid/>
          <w:kern w:val="22"/>
          <w:szCs w:val="22"/>
          <w:lang w:val="fr-FR"/>
        </w:rPr>
        <w:t>relevé</w:t>
      </w:r>
      <w:r w:rsidR="00B352DE" w:rsidRPr="00C54A95">
        <w:rPr>
          <w:snapToGrid/>
          <w:kern w:val="22"/>
          <w:szCs w:val="22"/>
          <w:lang w:val="fr-FR"/>
        </w:rPr>
        <w:t xml:space="preserve"> qu’</w:t>
      </w:r>
      <w:r>
        <w:rPr>
          <w:snapToGrid/>
          <w:kern w:val="22"/>
          <w:szCs w:val="22"/>
          <w:lang w:val="fr-FR"/>
        </w:rPr>
        <w:t>aucun changement important n’était constaté à</w:t>
      </w:r>
      <w:r w:rsidR="00B352DE" w:rsidRPr="00C54A95">
        <w:rPr>
          <w:snapToGrid/>
          <w:kern w:val="22"/>
          <w:szCs w:val="22"/>
          <w:lang w:val="fr-FR"/>
        </w:rPr>
        <w:t xml:space="preserve"> cet égard. Il a également été </w:t>
      </w:r>
      <w:r>
        <w:rPr>
          <w:snapToGrid/>
          <w:kern w:val="22"/>
          <w:szCs w:val="22"/>
          <w:lang w:val="fr-FR"/>
        </w:rPr>
        <w:t>indiqué</w:t>
      </w:r>
      <w:r w:rsidR="00B352DE" w:rsidRPr="00C54A95">
        <w:rPr>
          <w:snapToGrid/>
          <w:kern w:val="22"/>
          <w:szCs w:val="22"/>
          <w:lang w:val="fr-FR"/>
        </w:rPr>
        <w:t xml:space="preserve"> que les consultations et la coordination étaient limitées par l</w:t>
      </w:r>
      <w:r>
        <w:rPr>
          <w:snapToGrid/>
          <w:kern w:val="22"/>
          <w:szCs w:val="22"/>
          <w:lang w:val="fr-FR"/>
        </w:rPr>
        <w:t>e fait que l</w:t>
      </w:r>
      <w:r w:rsidR="00B352DE" w:rsidRPr="00C54A95">
        <w:rPr>
          <w:snapToGrid/>
          <w:kern w:val="22"/>
          <w:szCs w:val="22"/>
          <w:lang w:val="fr-FR"/>
        </w:rPr>
        <w:t xml:space="preserve">es questions relatives aux deux Protocoles </w:t>
      </w:r>
      <w:r>
        <w:rPr>
          <w:snapToGrid/>
          <w:kern w:val="22"/>
          <w:szCs w:val="22"/>
          <w:lang w:val="fr-FR"/>
        </w:rPr>
        <w:t>étaient</w:t>
      </w:r>
      <w:r w:rsidR="00B352DE" w:rsidRPr="00C54A95">
        <w:rPr>
          <w:snapToGrid/>
          <w:kern w:val="22"/>
          <w:szCs w:val="22"/>
          <w:lang w:val="fr-FR"/>
        </w:rPr>
        <w:t xml:space="preserve"> examinées </w:t>
      </w:r>
      <w:r>
        <w:rPr>
          <w:snapToGrid/>
          <w:kern w:val="22"/>
          <w:szCs w:val="22"/>
          <w:lang w:val="fr-FR"/>
        </w:rPr>
        <w:t xml:space="preserve">par </w:t>
      </w:r>
      <w:r w:rsidR="00B352DE" w:rsidRPr="00C54A95">
        <w:rPr>
          <w:snapToGrid/>
          <w:kern w:val="22"/>
          <w:szCs w:val="22"/>
          <w:lang w:val="fr-FR"/>
        </w:rPr>
        <w:t>un unique groupe de travail. Quelques pays en développeme</w:t>
      </w:r>
      <w:r>
        <w:rPr>
          <w:snapToGrid/>
          <w:kern w:val="22"/>
          <w:szCs w:val="22"/>
          <w:lang w:val="fr-FR"/>
        </w:rPr>
        <w:t>nt Parties ont fait observer qu’un seul participant bénéficiait de l’</w:t>
      </w:r>
      <w:r w:rsidR="00B352DE" w:rsidRPr="00C54A95">
        <w:rPr>
          <w:snapToGrid/>
          <w:kern w:val="22"/>
          <w:szCs w:val="22"/>
          <w:lang w:val="fr-FR"/>
        </w:rPr>
        <w:t xml:space="preserve">aide fournie </w:t>
      </w:r>
      <w:r>
        <w:rPr>
          <w:snapToGrid/>
          <w:kern w:val="22"/>
          <w:szCs w:val="22"/>
          <w:lang w:val="fr-FR"/>
        </w:rPr>
        <w:t>à sa délégation</w:t>
      </w:r>
      <w:r w:rsidR="00B352DE" w:rsidRPr="00C54A95">
        <w:rPr>
          <w:snapToGrid/>
          <w:kern w:val="22"/>
          <w:szCs w:val="22"/>
          <w:lang w:val="fr-FR"/>
        </w:rPr>
        <w:t xml:space="preserve"> pour participer à </w:t>
      </w:r>
      <w:r>
        <w:rPr>
          <w:snapToGrid/>
          <w:kern w:val="22"/>
          <w:szCs w:val="22"/>
          <w:lang w:val="fr-FR"/>
        </w:rPr>
        <w:t>la réunion, ce qui limite la capacité de</w:t>
      </w:r>
      <w:r w:rsidR="00B352DE" w:rsidRPr="00C54A95">
        <w:rPr>
          <w:snapToGrid/>
          <w:kern w:val="22"/>
          <w:szCs w:val="22"/>
          <w:lang w:val="fr-FR"/>
        </w:rPr>
        <w:t xml:space="preserve">s délégations à se coordonner et à </w:t>
      </w:r>
      <w:r>
        <w:rPr>
          <w:snapToGrid/>
          <w:kern w:val="22"/>
          <w:szCs w:val="22"/>
          <w:lang w:val="fr-FR"/>
        </w:rPr>
        <w:t>se consulter</w:t>
      </w:r>
      <w:r w:rsidR="00742F79" w:rsidRPr="00C54A95">
        <w:rPr>
          <w:snapToGrid/>
          <w:kern w:val="22"/>
          <w:szCs w:val="22"/>
          <w:lang w:val="fr-FR"/>
        </w:rPr>
        <w:t>.</w:t>
      </w:r>
    </w:p>
    <w:p w:rsidR="00742F79" w:rsidRPr="00C54A95" w:rsidRDefault="00B352DE" w:rsidP="00F82F1D">
      <w:pPr>
        <w:pStyle w:val="Para1"/>
        <w:suppressLineNumbers/>
        <w:tabs>
          <w:tab w:val="clear" w:pos="360"/>
        </w:tabs>
        <w:suppressAutoHyphens/>
        <w:kinsoku w:val="0"/>
        <w:overflowPunct w:val="0"/>
        <w:autoSpaceDE w:val="0"/>
        <w:autoSpaceDN w:val="0"/>
        <w:rPr>
          <w:snapToGrid/>
          <w:kern w:val="22"/>
          <w:szCs w:val="22"/>
          <w:lang w:val="fr-FR"/>
        </w:rPr>
      </w:pPr>
      <w:r w:rsidRPr="00C54A95">
        <w:rPr>
          <w:snapToGrid/>
          <w:kern w:val="22"/>
          <w:szCs w:val="22"/>
          <w:lang w:val="fr-FR"/>
        </w:rPr>
        <w:t xml:space="preserve">Les réponses apportées à l’enquête par les </w:t>
      </w:r>
      <w:r w:rsidR="00D02EB0">
        <w:rPr>
          <w:snapToGrid/>
          <w:kern w:val="22"/>
          <w:szCs w:val="22"/>
          <w:lang w:val="fr-FR"/>
        </w:rPr>
        <w:t>participants des</w:t>
      </w:r>
      <w:r w:rsidRPr="00C54A95">
        <w:rPr>
          <w:snapToGrid/>
          <w:kern w:val="22"/>
          <w:szCs w:val="22"/>
          <w:lang w:val="fr-FR"/>
        </w:rPr>
        <w:t xml:space="preserve"> réunions concomitantes </w:t>
      </w:r>
      <w:r w:rsidR="00D02EB0">
        <w:rPr>
          <w:snapToGrid/>
          <w:kern w:val="22"/>
          <w:szCs w:val="22"/>
          <w:lang w:val="fr-FR"/>
        </w:rPr>
        <w:t>ont été</w:t>
      </w:r>
      <w:r w:rsidRPr="00C54A95">
        <w:rPr>
          <w:snapToGrid/>
          <w:kern w:val="22"/>
          <w:szCs w:val="22"/>
          <w:lang w:val="fr-FR"/>
        </w:rPr>
        <w:t xml:space="preserve"> analogues à celles </w:t>
      </w:r>
      <w:r w:rsidR="00D02EB0">
        <w:rPr>
          <w:snapToGrid/>
          <w:kern w:val="22"/>
          <w:szCs w:val="22"/>
          <w:lang w:val="fr-FR"/>
        </w:rPr>
        <w:t>que l</w:t>
      </w:r>
      <w:r w:rsidRPr="00C54A95">
        <w:rPr>
          <w:snapToGrid/>
          <w:kern w:val="22"/>
          <w:szCs w:val="22"/>
          <w:lang w:val="fr-FR"/>
        </w:rPr>
        <w:t xml:space="preserve">es Parties </w:t>
      </w:r>
      <w:r w:rsidR="00D02EB0">
        <w:rPr>
          <w:snapToGrid/>
          <w:kern w:val="22"/>
          <w:szCs w:val="22"/>
          <w:lang w:val="fr-FR"/>
        </w:rPr>
        <w:t>ont apportées à</w:t>
      </w:r>
      <w:r w:rsidRPr="00C54A95">
        <w:rPr>
          <w:snapToGrid/>
          <w:kern w:val="22"/>
          <w:szCs w:val="22"/>
          <w:lang w:val="fr-FR"/>
        </w:rPr>
        <w:t xml:space="preserve"> la notification. La majorité des répondants a estimé que l’organisation de réunions concomitantes facilitait les consultations et la coordination entre les délégués. Ce sont au total 16 % des répondants qui ont été « entièrement d’accord » avec cette affirmation et 51 % d’entre eux, « d’accord ». À l’inverse, 9 % des répondants au total n’ont pas été d’</w:t>
      </w:r>
      <w:r w:rsidR="00D02EB0">
        <w:rPr>
          <w:snapToGrid/>
          <w:kern w:val="22"/>
          <w:szCs w:val="22"/>
          <w:lang w:val="fr-FR"/>
        </w:rPr>
        <w:t>accord et 2 % d’entre eux, « </w:t>
      </w:r>
      <w:r w:rsidRPr="00C54A95">
        <w:rPr>
          <w:snapToGrid/>
          <w:kern w:val="22"/>
          <w:szCs w:val="22"/>
          <w:lang w:val="fr-FR"/>
        </w:rPr>
        <w:t>pas du tout d’accord</w:t>
      </w:r>
      <w:r w:rsidR="00D02EB0">
        <w:rPr>
          <w:snapToGrid/>
          <w:kern w:val="22"/>
          <w:szCs w:val="22"/>
          <w:lang w:val="fr-FR"/>
        </w:rPr>
        <w:t> »</w:t>
      </w:r>
      <w:r w:rsidRPr="00C54A95">
        <w:rPr>
          <w:snapToGrid/>
          <w:kern w:val="22"/>
          <w:szCs w:val="22"/>
          <w:lang w:val="fr-FR"/>
        </w:rPr>
        <w:t xml:space="preserve">. Le reste, soit 22 % des répondants, n’a pas eu d’avis sur cette question. Les résultats sont les mêmes pour les réponses des participants </w:t>
      </w:r>
      <w:r w:rsidR="00D02EB0">
        <w:rPr>
          <w:snapToGrid/>
          <w:kern w:val="22"/>
          <w:szCs w:val="22"/>
          <w:lang w:val="fr-FR"/>
        </w:rPr>
        <w:t>représentant</w:t>
      </w:r>
      <w:r w:rsidRPr="00C54A95">
        <w:rPr>
          <w:snapToGrid/>
          <w:kern w:val="22"/>
          <w:szCs w:val="22"/>
          <w:lang w:val="fr-FR"/>
        </w:rPr>
        <w:t xml:space="preserve"> des Parties aux réunions concomitantes. Ce sont au total 20 % des répondants qui ont été « entièrement d’accord » avec cette affirmation et 51 % d’entre eux, « d’accord</w:t>
      </w:r>
      <w:r w:rsidR="00043D3A">
        <w:rPr>
          <w:snapToGrid/>
          <w:kern w:val="22"/>
          <w:szCs w:val="22"/>
          <w:lang w:val="fr-FR"/>
        </w:rPr>
        <w:t> »</w:t>
      </w:r>
      <w:r w:rsidRPr="00C54A95">
        <w:rPr>
          <w:snapToGrid/>
          <w:kern w:val="22"/>
          <w:szCs w:val="22"/>
          <w:lang w:val="fr-FR"/>
        </w:rPr>
        <w:t xml:space="preserve">. À l’inverse, 8 % des répondants au total n’ont pas été d’accord avec cette </w:t>
      </w:r>
      <w:r w:rsidR="00043D3A">
        <w:rPr>
          <w:snapToGrid/>
          <w:kern w:val="22"/>
          <w:szCs w:val="22"/>
          <w:lang w:val="fr-FR"/>
        </w:rPr>
        <w:t>affirmation</w:t>
      </w:r>
      <w:r w:rsidR="00D02EB0">
        <w:rPr>
          <w:snapToGrid/>
          <w:kern w:val="22"/>
          <w:szCs w:val="22"/>
          <w:lang w:val="fr-FR"/>
        </w:rPr>
        <w:t xml:space="preserve"> et 2 % d’entre eux, « </w:t>
      </w:r>
      <w:r w:rsidRPr="00C54A95">
        <w:rPr>
          <w:snapToGrid/>
          <w:kern w:val="22"/>
          <w:szCs w:val="22"/>
          <w:lang w:val="fr-FR"/>
        </w:rPr>
        <w:t>pas du tout d’accord</w:t>
      </w:r>
      <w:r w:rsidR="00D02EB0">
        <w:rPr>
          <w:snapToGrid/>
          <w:kern w:val="22"/>
          <w:szCs w:val="22"/>
          <w:lang w:val="fr-FR"/>
        </w:rPr>
        <w:t> »</w:t>
      </w:r>
      <w:r w:rsidRPr="00C54A95">
        <w:rPr>
          <w:snapToGrid/>
          <w:kern w:val="22"/>
          <w:szCs w:val="22"/>
          <w:lang w:val="fr-FR"/>
        </w:rPr>
        <w:t>. Le reste, soit 18 % des répondants, n’a pas eu d’avis sur cette question</w:t>
      </w:r>
      <w:r w:rsidR="00742F79" w:rsidRPr="00C54A95">
        <w:rPr>
          <w:snapToGrid/>
          <w:kern w:val="22"/>
          <w:szCs w:val="22"/>
          <w:lang w:val="fr-FR"/>
        </w:rPr>
        <w:t>.</w:t>
      </w:r>
    </w:p>
    <w:p w:rsidR="00742F79" w:rsidRPr="00C54A95" w:rsidRDefault="00B352DE" w:rsidP="00F82F1D">
      <w:pPr>
        <w:pStyle w:val="Para1"/>
        <w:suppressLineNumbers/>
        <w:tabs>
          <w:tab w:val="clear" w:pos="360"/>
        </w:tabs>
        <w:suppressAutoHyphens/>
        <w:kinsoku w:val="0"/>
        <w:overflowPunct w:val="0"/>
        <w:autoSpaceDE w:val="0"/>
        <w:autoSpaceDN w:val="0"/>
        <w:rPr>
          <w:snapToGrid/>
          <w:kern w:val="22"/>
          <w:szCs w:val="22"/>
          <w:lang w:val="fr-FR"/>
        </w:rPr>
      </w:pPr>
      <w:r w:rsidRPr="00C54A95">
        <w:rPr>
          <w:snapToGrid/>
          <w:kern w:val="22"/>
          <w:szCs w:val="22"/>
          <w:lang w:val="fr-FR"/>
        </w:rPr>
        <w:t xml:space="preserve">Plusieurs répondants ont </w:t>
      </w:r>
      <w:r w:rsidR="00D02EB0">
        <w:rPr>
          <w:snapToGrid/>
          <w:kern w:val="22"/>
          <w:szCs w:val="22"/>
          <w:lang w:val="fr-FR"/>
        </w:rPr>
        <w:t>relevé</w:t>
      </w:r>
      <w:r w:rsidRPr="00C54A95">
        <w:rPr>
          <w:snapToGrid/>
          <w:kern w:val="22"/>
          <w:szCs w:val="22"/>
          <w:lang w:val="fr-FR"/>
        </w:rPr>
        <w:t xml:space="preserve"> dans leurs observations que les réunions concomitantes offraient des possibilités de réseautage. D’autres répond</w:t>
      </w:r>
      <w:r w:rsidR="00D02EB0">
        <w:rPr>
          <w:snapToGrid/>
          <w:kern w:val="22"/>
          <w:szCs w:val="22"/>
          <w:lang w:val="fr-FR"/>
        </w:rPr>
        <w:t>ants ont toutefois indiqué que ces réunions, ainsi que</w:t>
      </w:r>
      <w:r w:rsidRPr="00C54A95">
        <w:rPr>
          <w:snapToGrid/>
          <w:kern w:val="22"/>
          <w:szCs w:val="22"/>
          <w:lang w:val="fr-FR"/>
        </w:rPr>
        <w:t xml:space="preserve"> l’ordre du jour chargé</w:t>
      </w:r>
      <w:r w:rsidR="00D02EB0">
        <w:rPr>
          <w:snapToGrid/>
          <w:kern w:val="22"/>
          <w:szCs w:val="22"/>
          <w:lang w:val="fr-FR"/>
        </w:rPr>
        <w:t>,</w:t>
      </w:r>
      <w:r w:rsidRPr="00C54A95">
        <w:rPr>
          <w:snapToGrid/>
          <w:kern w:val="22"/>
          <w:szCs w:val="22"/>
          <w:lang w:val="fr-FR"/>
        </w:rPr>
        <w:t xml:space="preserve"> limitaient le temps imparti à la coordination et aux consultations. Il a été </w:t>
      </w:r>
      <w:r w:rsidR="00D02EB0">
        <w:rPr>
          <w:snapToGrid/>
          <w:kern w:val="22"/>
          <w:szCs w:val="22"/>
          <w:lang w:val="fr-FR"/>
        </w:rPr>
        <w:t>noté</w:t>
      </w:r>
      <w:r w:rsidRPr="00C54A95">
        <w:rPr>
          <w:snapToGrid/>
          <w:kern w:val="22"/>
          <w:szCs w:val="22"/>
          <w:lang w:val="fr-FR"/>
        </w:rPr>
        <w:t xml:space="preserve"> que cela était particulièrement vrai pour les délégations de petite taille</w:t>
      </w:r>
      <w:r w:rsidR="00742F79" w:rsidRPr="00C54A95">
        <w:rPr>
          <w:snapToGrid/>
          <w:kern w:val="22"/>
          <w:szCs w:val="22"/>
          <w:lang w:val="fr-FR"/>
        </w:rPr>
        <w:t>.</w:t>
      </w:r>
    </w:p>
    <w:p w:rsidR="00742F79" w:rsidRPr="00C54A95" w:rsidRDefault="00B352DE" w:rsidP="00F82F1D">
      <w:pPr>
        <w:keepNext/>
        <w:numPr>
          <w:ilvl w:val="0"/>
          <w:numId w:val="52"/>
        </w:numPr>
        <w:suppressLineNumbers/>
        <w:suppressAutoHyphens/>
        <w:kinsoku w:val="0"/>
        <w:overflowPunct w:val="0"/>
        <w:autoSpaceDE w:val="0"/>
        <w:autoSpaceDN w:val="0"/>
        <w:spacing w:before="240" w:after="120"/>
        <w:ind w:left="0" w:firstLine="0"/>
        <w:jc w:val="center"/>
        <w:rPr>
          <w:b/>
          <w:bCs/>
          <w:kern w:val="22"/>
          <w:szCs w:val="22"/>
          <w:lang w:val="fr-FR"/>
        </w:rPr>
      </w:pPr>
      <w:r w:rsidRPr="00C54A95">
        <w:rPr>
          <w:b/>
          <w:bCs/>
          <w:kern w:val="22"/>
          <w:szCs w:val="22"/>
          <w:lang w:val="fr-FR"/>
        </w:rPr>
        <w:t>QUESTIONS DIVERSES</w:t>
      </w:r>
    </w:p>
    <w:p w:rsidR="00742F79" w:rsidRPr="00C54A95" w:rsidRDefault="00032AC1" w:rsidP="00F82F1D">
      <w:pPr>
        <w:pStyle w:val="Para1"/>
        <w:suppressLineNumbers/>
        <w:tabs>
          <w:tab w:val="clear" w:pos="360"/>
        </w:tabs>
        <w:suppressAutoHyphens/>
        <w:kinsoku w:val="0"/>
        <w:overflowPunct w:val="0"/>
        <w:autoSpaceDE w:val="0"/>
        <w:autoSpaceDN w:val="0"/>
        <w:rPr>
          <w:snapToGrid/>
          <w:kern w:val="22"/>
          <w:szCs w:val="22"/>
          <w:lang w:val="fr-FR"/>
        </w:rPr>
      </w:pPr>
      <w:r w:rsidRPr="00C54A95">
        <w:rPr>
          <w:snapToGrid/>
          <w:kern w:val="22"/>
          <w:szCs w:val="22"/>
          <w:lang w:val="fr-FR"/>
        </w:rPr>
        <w:t xml:space="preserve">Les Parties ont soulevé plusieurs questions dans les réponses qu’elles ont apportées à la notification. Plusieurs répondants ont </w:t>
      </w:r>
      <w:r w:rsidR="0093343B">
        <w:rPr>
          <w:snapToGrid/>
          <w:kern w:val="22"/>
          <w:szCs w:val="22"/>
          <w:lang w:val="fr-FR"/>
        </w:rPr>
        <w:t>relevé</w:t>
      </w:r>
      <w:r w:rsidRPr="00C54A95">
        <w:rPr>
          <w:snapToGrid/>
          <w:kern w:val="22"/>
          <w:szCs w:val="22"/>
          <w:lang w:val="fr-FR"/>
        </w:rPr>
        <w:t xml:space="preserve"> que l’organisation de réunions concomitantes était </w:t>
      </w:r>
      <w:r w:rsidR="00D517C7">
        <w:rPr>
          <w:snapToGrid/>
          <w:kern w:val="22"/>
          <w:szCs w:val="22"/>
          <w:lang w:val="fr-FR"/>
        </w:rPr>
        <w:t>« </w:t>
      </w:r>
      <w:r w:rsidRPr="00C54A95">
        <w:rPr>
          <w:snapToGrid/>
          <w:kern w:val="22"/>
          <w:szCs w:val="22"/>
          <w:lang w:val="fr-FR"/>
        </w:rPr>
        <w:t>une bonne idée en soi</w:t>
      </w:r>
      <w:r w:rsidR="00D517C7">
        <w:rPr>
          <w:snapToGrid/>
          <w:kern w:val="22"/>
          <w:szCs w:val="22"/>
          <w:lang w:val="fr-FR"/>
        </w:rPr>
        <w:t> »</w:t>
      </w:r>
      <w:r w:rsidRPr="00C54A95">
        <w:rPr>
          <w:snapToGrid/>
          <w:kern w:val="22"/>
          <w:szCs w:val="22"/>
          <w:lang w:val="fr-FR"/>
        </w:rPr>
        <w:t xml:space="preserve"> </w:t>
      </w:r>
      <w:r w:rsidR="00D517C7">
        <w:rPr>
          <w:snapToGrid/>
          <w:kern w:val="22"/>
          <w:szCs w:val="22"/>
          <w:lang w:val="fr-FR"/>
        </w:rPr>
        <w:t>même s’</w:t>
      </w:r>
      <w:r w:rsidRPr="00C54A95">
        <w:rPr>
          <w:snapToGrid/>
          <w:kern w:val="22"/>
          <w:szCs w:val="22"/>
          <w:lang w:val="fr-FR"/>
        </w:rPr>
        <w:t xml:space="preserve">il convenait de résoudre certaines questions afin d’assurer l’efficacité des processus. Les questions recensées ont inclus la nécessité de garantir une juste représentation des pays en développement, la structuration des ordres du jour des trois réunions, afin qu’ils soient aussi simples que possible, et </w:t>
      </w:r>
      <w:r w:rsidR="00D517C7">
        <w:rPr>
          <w:snapToGrid/>
          <w:kern w:val="22"/>
          <w:szCs w:val="22"/>
          <w:lang w:val="fr-FR"/>
        </w:rPr>
        <w:t>la limitation du nombre</w:t>
      </w:r>
      <w:r w:rsidRPr="00C54A95">
        <w:rPr>
          <w:snapToGrid/>
          <w:kern w:val="22"/>
          <w:szCs w:val="22"/>
          <w:lang w:val="fr-FR"/>
        </w:rPr>
        <w:t xml:space="preserve"> de</w:t>
      </w:r>
      <w:r w:rsidR="00D517C7">
        <w:rPr>
          <w:snapToGrid/>
          <w:kern w:val="22"/>
          <w:szCs w:val="22"/>
          <w:lang w:val="fr-FR"/>
        </w:rPr>
        <w:t>s</w:t>
      </w:r>
      <w:r w:rsidRPr="00C54A95">
        <w:rPr>
          <w:snapToGrid/>
          <w:kern w:val="22"/>
          <w:szCs w:val="22"/>
          <w:lang w:val="fr-FR"/>
        </w:rPr>
        <w:t xml:space="preserve"> réunions </w:t>
      </w:r>
      <w:r w:rsidR="00D517C7">
        <w:rPr>
          <w:snapToGrid/>
          <w:kern w:val="22"/>
          <w:szCs w:val="22"/>
          <w:lang w:val="fr-FR"/>
        </w:rPr>
        <w:t>de groupes de contact et d</w:t>
      </w:r>
      <w:r w:rsidR="00043D3A">
        <w:rPr>
          <w:snapToGrid/>
          <w:kern w:val="22"/>
          <w:szCs w:val="22"/>
          <w:lang w:val="fr-FR"/>
        </w:rPr>
        <w:t>’</w:t>
      </w:r>
      <w:r w:rsidRPr="00C54A95">
        <w:rPr>
          <w:snapToGrid/>
          <w:kern w:val="22"/>
          <w:szCs w:val="22"/>
          <w:lang w:val="fr-FR"/>
        </w:rPr>
        <w:t xml:space="preserve">Amis de la présidence. Il a également été </w:t>
      </w:r>
      <w:r w:rsidR="00E67C66">
        <w:rPr>
          <w:snapToGrid/>
          <w:kern w:val="22"/>
          <w:szCs w:val="22"/>
          <w:lang w:val="fr-FR"/>
        </w:rPr>
        <w:t xml:space="preserve">noté que des </w:t>
      </w:r>
      <w:r w:rsidRPr="00C54A95">
        <w:rPr>
          <w:snapToGrid/>
          <w:kern w:val="22"/>
          <w:szCs w:val="22"/>
          <w:lang w:val="fr-FR"/>
        </w:rPr>
        <w:t xml:space="preserve">délais </w:t>
      </w:r>
      <w:r w:rsidR="00E67C66">
        <w:rPr>
          <w:snapToGrid/>
          <w:kern w:val="22"/>
          <w:szCs w:val="22"/>
          <w:lang w:val="fr-FR"/>
        </w:rPr>
        <w:t xml:space="preserve">suffisants devaient être </w:t>
      </w:r>
      <w:r w:rsidRPr="00C54A95">
        <w:rPr>
          <w:snapToGrid/>
          <w:kern w:val="22"/>
          <w:szCs w:val="22"/>
          <w:lang w:val="fr-FR"/>
        </w:rPr>
        <w:t xml:space="preserve">accordés aux </w:t>
      </w:r>
      <w:r w:rsidR="00E67C66">
        <w:rPr>
          <w:snapToGrid/>
          <w:kern w:val="22"/>
          <w:szCs w:val="22"/>
          <w:lang w:val="fr-FR"/>
        </w:rPr>
        <w:t>trois instruments</w:t>
      </w:r>
      <w:r w:rsidRPr="00C54A95">
        <w:rPr>
          <w:snapToGrid/>
          <w:kern w:val="22"/>
          <w:szCs w:val="22"/>
          <w:lang w:val="fr-FR"/>
        </w:rPr>
        <w:t xml:space="preserve">. Certaines Parties ont proposé que les débats conduits au titre des Protocoles soient uniquement tenus </w:t>
      </w:r>
      <w:r w:rsidR="00E67C66">
        <w:rPr>
          <w:snapToGrid/>
          <w:kern w:val="22"/>
          <w:szCs w:val="22"/>
          <w:lang w:val="fr-FR"/>
        </w:rPr>
        <w:t>à</w:t>
      </w:r>
      <w:r w:rsidRPr="00C54A95">
        <w:rPr>
          <w:snapToGrid/>
          <w:kern w:val="22"/>
          <w:szCs w:val="22"/>
          <w:lang w:val="fr-FR"/>
        </w:rPr>
        <w:t xml:space="preserve"> la première semaine </w:t>
      </w:r>
      <w:r w:rsidR="00E67C66">
        <w:rPr>
          <w:snapToGrid/>
          <w:kern w:val="22"/>
          <w:szCs w:val="22"/>
          <w:lang w:val="fr-FR"/>
        </w:rPr>
        <w:t>des réunions concomitantes</w:t>
      </w:r>
      <w:r w:rsidRPr="00C54A95">
        <w:rPr>
          <w:snapToGrid/>
          <w:kern w:val="22"/>
          <w:szCs w:val="22"/>
          <w:lang w:val="fr-FR"/>
        </w:rPr>
        <w:t xml:space="preserve">. Plusieurs Parties ont également </w:t>
      </w:r>
      <w:r w:rsidR="0077304A">
        <w:rPr>
          <w:snapToGrid/>
          <w:kern w:val="22"/>
          <w:szCs w:val="22"/>
          <w:lang w:val="fr-FR"/>
        </w:rPr>
        <w:t>désapprouvé</w:t>
      </w:r>
      <w:r w:rsidRPr="00C54A95">
        <w:rPr>
          <w:snapToGrid/>
          <w:kern w:val="22"/>
          <w:szCs w:val="22"/>
          <w:lang w:val="fr-FR"/>
        </w:rPr>
        <w:t xml:space="preserve"> la date de la réunion de haut niveau, e</w:t>
      </w:r>
      <w:r w:rsidR="0077304A">
        <w:rPr>
          <w:snapToGrid/>
          <w:kern w:val="22"/>
          <w:szCs w:val="22"/>
          <w:lang w:val="fr-FR"/>
        </w:rPr>
        <w:t>t posé la question de savoir si elle</w:t>
      </w:r>
      <w:r w:rsidRPr="00C54A95">
        <w:rPr>
          <w:snapToGrid/>
          <w:kern w:val="22"/>
          <w:szCs w:val="22"/>
          <w:lang w:val="fr-FR"/>
        </w:rPr>
        <w:t xml:space="preserve"> ne serait pas plus efficace en amont</w:t>
      </w:r>
      <w:r w:rsidR="00742F79" w:rsidRPr="00C54A95">
        <w:rPr>
          <w:snapToGrid/>
          <w:kern w:val="22"/>
          <w:szCs w:val="22"/>
          <w:vertAlign w:val="superscript"/>
          <w:lang w:val="fr-FR"/>
        </w:rPr>
        <w:footnoteReference w:id="15"/>
      </w:r>
      <w:r w:rsidR="00742F79" w:rsidRPr="00C54A95">
        <w:rPr>
          <w:snapToGrid/>
          <w:kern w:val="22"/>
          <w:szCs w:val="22"/>
          <w:vertAlign w:val="superscript"/>
          <w:lang w:val="fr-FR"/>
        </w:rPr>
        <w:t xml:space="preserve"> </w:t>
      </w:r>
      <w:r w:rsidRPr="00C54A95">
        <w:rPr>
          <w:snapToGrid/>
          <w:kern w:val="22"/>
          <w:szCs w:val="22"/>
          <w:lang w:val="fr-FR"/>
        </w:rPr>
        <w:t>ou en aval</w:t>
      </w:r>
      <w:r w:rsidR="00742F79" w:rsidRPr="00C54A95">
        <w:rPr>
          <w:snapToGrid/>
          <w:kern w:val="22"/>
          <w:szCs w:val="22"/>
          <w:vertAlign w:val="superscript"/>
          <w:lang w:val="fr-FR"/>
        </w:rPr>
        <w:footnoteReference w:id="16"/>
      </w:r>
      <w:r w:rsidR="00742F79" w:rsidRPr="00C54A95">
        <w:rPr>
          <w:snapToGrid/>
          <w:kern w:val="22"/>
          <w:szCs w:val="22"/>
          <w:vertAlign w:val="superscript"/>
          <w:lang w:val="fr-FR"/>
        </w:rPr>
        <w:t xml:space="preserve"> </w:t>
      </w:r>
      <w:r w:rsidRPr="00C54A95">
        <w:rPr>
          <w:snapToGrid/>
          <w:kern w:val="22"/>
          <w:szCs w:val="22"/>
          <w:lang w:val="fr-FR"/>
        </w:rPr>
        <w:t>des réunions concomitantes</w:t>
      </w:r>
      <w:r w:rsidR="00742F79" w:rsidRPr="00C54A95">
        <w:rPr>
          <w:snapToGrid/>
          <w:kern w:val="22"/>
          <w:szCs w:val="22"/>
          <w:lang w:val="fr-FR"/>
        </w:rPr>
        <w:t>.</w:t>
      </w:r>
    </w:p>
    <w:p w:rsidR="000E00FF" w:rsidRPr="00C54A95" w:rsidRDefault="00032AC1" w:rsidP="00F82F1D">
      <w:pPr>
        <w:pStyle w:val="Para1"/>
        <w:suppressLineNumbers/>
        <w:tabs>
          <w:tab w:val="clear" w:pos="360"/>
        </w:tabs>
        <w:suppressAutoHyphens/>
        <w:kinsoku w:val="0"/>
        <w:overflowPunct w:val="0"/>
        <w:autoSpaceDE w:val="0"/>
        <w:autoSpaceDN w:val="0"/>
        <w:rPr>
          <w:snapToGrid/>
          <w:kern w:val="22"/>
          <w:szCs w:val="22"/>
          <w:lang w:val="fr-FR"/>
        </w:rPr>
      </w:pPr>
      <w:r w:rsidRPr="00C54A95">
        <w:rPr>
          <w:snapToGrid/>
          <w:kern w:val="22"/>
          <w:szCs w:val="22"/>
          <w:lang w:val="fr-FR"/>
        </w:rPr>
        <w:lastRenderedPageBreak/>
        <w:t xml:space="preserve">La réunion de haut niveau a également été </w:t>
      </w:r>
      <w:r w:rsidR="00A36430">
        <w:rPr>
          <w:snapToGrid/>
          <w:kern w:val="22"/>
          <w:szCs w:val="22"/>
          <w:lang w:val="fr-FR"/>
        </w:rPr>
        <w:t>abordée</w:t>
      </w:r>
      <w:r w:rsidRPr="00C54A95">
        <w:rPr>
          <w:snapToGrid/>
          <w:kern w:val="22"/>
          <w:szCs w:val="22"/>
          <w:lang w:val="fr-FR"/>
        </w:rPr>
        <w:t xml:space="preserve"> dans l’enquête adressée par voie électronique aux participants des réunions concomitantes. Il a ainsi été estimé</w:t>
      </w:r>
      <w:r w:rsidR="00A36430">
        <w:rPr>
          <w:snapToGrid/>
          <w:kern w:val="22"/>
          <w:szCs w:val="22"/>
          <w:lang w:val="fr-FR"/>
        </w:rPr>
        <w:t xml:space="preserve"> que</w:t>
      </w:r>
      <w:r w:rsidRPr="00C54A95">
        <w:rPr>
          <w:snapToGrid/>
          <w:kern w:val="22"/>
          <w:szCs w:val="22"/>
          <w:lang w:val="fr-FR"/>
        </w:rPr>
        <w:t xml:space="preserve"> la participation de plus</w:t>
      </w:r>
      <w:r w:rsidR="00A36430">
        <w:rPr>
          <w:snapToGrid/>
          <w:kern w:val="22"/>
          <w:szCs w:val="22"/>
          <w:lang w:val="fr-FR"/>
        </w:rPr>
        <w:t>ieurs secteurs et ministres à cette</w:t>
      </w:r>
      <w:r w:rsidRPr="00C54A95">
        <w:rPr>
          <w:snapToGrid/>
          <w:kern w:val="22"/>
          <w:szCs w:val="22"/>
          <w:lang w:val="fr-FR"/>
        </w:rPr>
        <w:t xml:space="preserve"> réunion avait </w:t>
      </w:r>
      <w:r w:rsidR="00A36430">
        <w:rPr>
          <w:snapToGrid/>
          <w:kern w:val="22"/>
          <w:szCs w:val="22"/>
          <w:lang w:val="fr-FR"/>
        </w:rPr>
        <w:t>accru</w:t>
      </w:r>
      <w:r w:rsidRPr="00C54A95">
        <w:rPr>
          <w:snapToGrid/>
          <w:kern w:val="22"/>
          <w:szCs w:val="22"/>
          <w:lang w:val="fr-FR"/>
        </w:rPr>
        <w:t xml:space="preserve"> l’attention portée à l’intégration </w:t>
      </w:r>
      <w:r w:rsidR="00A36430">
        <w:rPr>
          <w:snapToGrid/>
          <w:kern w:val="22"/>
          <w:szCs w:val="22"/>
          <w:lang w:val="fr-FR"/>
        </w:rPr>
        <w:t>et promu le</w:t>
      </w:r>
      <w:r w:rsidRPr="00C54A95">
        <w:rPr>
          <w:snapToGrid/>
          <w:kern w:val="22"/>
          <w:szCs w:val="22"/>
          <w:lang w:val="fr-FR"/>
        </w:rPr>
        <w:t xml:space="preserve"> dialogue. Plusieurs répondants ont toutefois </w:t>
      </w:r>
      <w:r w:rsidR="00A36430">
        <w:rPr>
          <w:snapToGrid/>
          <w:kern w:val="22"/>
          <w:szCs w:val="22"/>
          <w:lang w:val="fr-FR"/>
        </w:rPr>
        <w:t>relevé</w:t>
      </w:r>
      <w:r w:rsidRPr="00C54A95">
        <w:rPr>
          <w:snapToGrid/>
          <w:kern w:val="22"/>
          <w:szCs w:val="22"/>
          <w:lang w:val="fr-FR"/>
        </w:rPr>
        <w:t xml:space="preserve"> qu’il aurait été plus efficace d’accroître</w:t>
      </w:r>
      <w:r w:rsidR="00A36430">
        <w:rPr>
          <w:snapToGrid/>
          <w:kern w:val="22"/>
          <w:szCs w:val="22"/>
          <w:lang w:val="fr-FR"/>
        </w:rPr>
        <w:t xml:space="preserve"> les possibilités de débats</w:t>
      </w:r>
      <w:r w:rsidRPr="00C54A95">
        <w:rPr>
          <w:snapToGrid/>
          <w:kern w:val="22"/>
          <w:szCs w:val="22"/>
          <w:lang w:val="fr-FR"/>
        </w:rPr>
        <w:t>. Au</w:t>
      </w:r>
      <w:r w:rsidR="00A36430">
        <w:rPr>
          <w:snapToGrid/>
          <w:kern w:val="22"/>
          <w:szCs w:val="22"/>
          <w:lang w:val="fr-FR"/>
        </w:rPr>
        <w:t xml:space="preserve"> sujet de la date de la réunion</w:t>
      </w:r>
      <w:r w:rsidRPr="00C54A95">
        <w:rPr>
          <w:snapToGrid/>
          <w:kern w:val="22"/>
          <w:szCs w:val="22"/>
          <w:lang w:val="fr-FR"/>
        </w:rPr>
        <w:t xml:space="preserve">, les répondants ont généralement estimé qu’il était efficace qu’elle </w:t>
      </w:r>
      <w:r w:rsidR="00A36430">
        <w:rPr>
          <w:snapToGrid/>
          <w:kern w:val="22"/>
          <w:szCs w:val="22"/>
          <w:lang w:val="fr-FR"/>
        </w:rPr>
        <w:t>précède l’inauguration officielle des réunions</w:t>
      </w:r>
      <w:r w:rsidR="009C1A97">
        <w:rPr>
          <w:snapToGrid/>
          <w:kern w:val="22"/>
          <w:szCs w:val="22"/>
          <w:lang w:val="fr-FR"/>
        </w:rPr>
        <w:t xml:space="preserve"> concomitantes</w:t>
      </w:r>
      <w:r w:rsidRPr="00C54A95">
        <w:rPr>
          <w:snapToGrid/>
          <w:kern w:val="22"/>
          <w:szCs w:val="22"/>
          <w:lang w:val="fr-FR"/>
        </w:rPr>
        <w:t xml:space="preserve">. Quelques répondants ont néanmoins </w:t>
      </w:r>
      <w:r w:rsidR="00A36430">
        <w:rPr>
          <w:snapToGrid/>
          <w:kern w:val="22"/>
          <w:szCs w:val="22"/>
          <w:lang w:val="fr-FR"/>
        </w:rPr>
        <w:t>constaté que cette</w:t>
      </w:r>
      <w:r w:rsidRPr="00C54A95">
        <w:rPr>
          <w:snapToGrid/>
          <w:kern w:val="22"/>
          <w:szCs w:val="22"/>
          <w:lang w:val="fr-FR"/>
        </w:rPr>
        <w:t xml:space="preserve"> date avait posé </w:t>
      </w:r>
      <w:r w:rsidR="00A36430">
        <w:rPr>
          <w:snapToGrid/>
          <w:kern w:val="22"/>
          <w:szCs w:val="22"/>
          <w:lang w:val="fr-FR"/>
        </w:rPr>
        <w:t>des</w:t>
      </w:r>
      <w:r w:rsidRPr="00C54A95">
        <w:rPr>
          <w:snapToGrid/>
          <w:kern w:val="22"/>
          <w:szCs w:val="22"/>
          <w:lang w:val="fr-FR"/>
        </w:rPr>
        <w:t xml:space="preserve"> difficultés, étant donné que plusieurs participant</w:t>
      </w:r>
      <w:r w:rsidR="009C1A97">
        <w:rPr>
          <w:snapToGrid/>
          <w:kern w:val="22"/>
          <w:szCs w:val="22"/>
          <w:lang w:val="fr-FR"/>
        </w:rPr>
        <w:t>s de</w:t>
      </w:r>
      <w:r w:rsidRPr="00C54A95">
        <w:rPr>
          <w:snapToGrid/>
          <w:kern w:val="22"/>
          <w:szCs w:val="22"/>
          <w:lang w:val="fr-FR"/>
        </w:rPr>
        <w:t xml:space="preserve"> la réunion </w:t>
      </w:r>
      <w:r w:rsidR="009C1A97">
        <w:rPr>
          <w:snapToGrid/>
          <w:kern w:val="22"/>
          <w:szCs w:val="22"/>
          <w:lang w:val="fr-FR"/>
        </w:rPr>
        <w:t>avaient été dans l’impossibilité</w:t>
      </w:r>
      <w:r w:rsidRPr="00C54A95">
        <w:rPr>
          <w:snapToGrid/>
          <w:kern w:val="22"/>
          <w:szCs w:val="22"/>
          <w:lang w:val="fr-FR"/>
        </w:rPr>
        <w:t xml:space="preserve"> </w:t>
      </w:r>
      <w:r w:rsidR="009C1A97">
        <w:rPr>
          <w:snapToGrid/>
          <w:kern w:val="22"/>
          <w:szCs w:val="22"/>
          <w:lang w:val="fr-FR"/>
        </w:rPr>
        <w:t>de</w:t>
      </w:r>
      <w:r w:rsidRPr="00C54A95">
        <w:rPr>
          <w:snapToGrid/>
          <w:kern w:val="22"/>
          <w:szCs w:val="22"/>
          <w:lang w:val="fr-FR"/>
        </w:rPr>
        <w:t xml:space="preserve"> régler les points litigieux apparus aux dernières heures des réunions concomitantes. Si la majorité des répondants ont indiqué que les réunions de haut niveau devraient continuer </w:t>
      </w:r>
      <w:r w:rsidR="009C1A97">
        <w:rPr>
          <w:snapToGrid/>
          <w:kern w:val="22"/>
          <w:szCs w:val="22"/>
          <w:lang w:val="fr-FR"/>
        </w:rPr>
        <w:t>de précéder l’inauguration officielle des réunions concomitantes</w:t>
      </w:r>
      <w:r w:rsidRPr="00C54A95">
        <w:rPr>
          <w:snapToGrid/>
          <w:kern w:val="22"/>
          <w:szCs w:val="22"/>
          <w:lang w:val="fr-FR"/>
        </w:rPr>
        <w:t xml:space="preserve">, les raisons invoquées </w:t>
      </w:r>
      <w:r w:rsidR="009C1A97">
        <w:rPr>
          <w:snapToGrid/>
          <w:kern w:val="22"/>
          <w:szCs w:val="22"/>
          <w:lang w:val="fr-FR"/>
        </w:rPr>
        <w:t>ont divergé</w:t>
      </w:r>
      <w:r w:rsidRPr="00C54A95">
        <w:rPr>
          <w:snapToGrid/>
          <w:kern w:val="22"/>
          <w:szCs w:val="22"/>
          <w:lang w:val="fr-FR"/>
        </w:rPr>
        <w:t xml:space="preserve">. Plusieurs répondants ont en outre </w:t>
      </w:r>
      <w:r w:rsidR="00D77273">
        <w:rPr>
          <w:snapToGrid/>
          <w:kern w:val="22"/>
          <w:szCs w:val="22"/>
          <w:lang w:val="fr-FR"/>
        </w:rPr>
        <w:t>estimé</w:t>
      </w:r>
      <w:r w:rsidRPr="00C54A95">
        <w:rPr>
          <w:snapToGrid/>
          <w:kern w:val="22"/>
          <w:szCs w:val="22"/>
          <w:lang w:val="fr-FR"/>
        </w:rPr>
        <w:t xml:space="preserve"> que la date de la réunion de haut niveau devrait </w:t>
      </w:r>
      <w:r w:rsidR="00D77273">
        <w:rPr>
          <w:snapToGrid/>
          <w:kern w:val="22"/>
          <w:szCs w:val="22"/>
          <w:lang w:val="fr-FR"/>
        </w:rPr>
        <w:t>tenir compte</w:t>
      </w:r>
      <w:r w:rsidRPr="00C54A95">
        <w:rPr>
          <w:snapToGrid/>
          <w:kern w:val="22"/>
          <w:szCs w:val="22"/>
          <w:lang w:val="fr-FR"/>
        </w:rPr>
        <w:t xml:space="preserve"> de</w:t>
      </w:r>
      <w:r w:rsidR="00D77273">
        <w:rPr>
          <w:snapToGrid/>
          <w:kern w:val="22"/>
          <w:szCs w:val="22"/>
          <w:lang w:val="fr-FR"/>
        </w:rPr>
        <w:t xml:space="preserve"> ses objectifs et de son ordre du jour</w:t>
      </w:r>
      <w:r w:rsidR="00742F79" w:rsidRPr="00C54A95">
        <w:rPr>
          <w:snapToGrid/>
          <w:kern w:val="22"/>
          <w:szCs w:val="22"/>
          <w:lang w:val="fr-FR"/>
        </w:rPr>
        <w:t>.</w:t>
      </w:r>
    </w:p>
    <w:p w:rsidR="00E30875" w:rsidRPr="00C54A95" w:rsidRDefault="00032AC1" w:rsidP="00F82F1D">
      <w:pPr>
        <w:keepNext/>
        <w:numPr>
          <w:ilvl w:val="0"/>
          <w:numId w:val="52"/>
        </w:numPr>
        <w:suppressLineNumbers/>
        <w:suppressAutoHyphens/>
        <w:kinsoku w:val="0"/>
        <w:overflowPunct w:val="0"/>
        <w:autoSpaceDE w:val="0"/>
        <w:autoSpaceDN w:val="0"/>
        <w:spacing w:before="240" w:after="120"/>
        <w:ind w:left="0" w:firstLine="0"/>
        <w:jc w:val="center"/>
        <w:rPr>
          <w:kern w:val="22"/>
          <w:szCs w:val="22"/>
          <w:lang w:val="fr-FR"/>
        </w:rPr>
      </w:pPr>
      <w:r w:rsidRPr="00C54A95">
        <w:rPr>
          <w:b/>
          <w:bCs/>
          <w:kern w:val="22"/>
          <w:szCs w:val="22"/>
          <w:lang w:val="fr-FR"/>
        </w:rPr>
        <w:t>RÉSUMÉ</w:t>
      </w:r>
    </w:p>
    <w:p w:rsidR="00B24047" w:rsidRPr="00C54A95" w:rsidRDefault="00032AC1" w:rsidP="00F82F1D">
      <w:pPr>
        <w:pStyle w:val="Para1"/>
        <w:suppressLineNumbers/>
        <w:tabs>
          <w:tab w:val="clear" w:pos="360"/>
        </w:tabs>
        <w:suppressAutoHyphens/>
        <w:kinsoku w:val="0"/>
        <w:overflowPunct w:val="0"/>
        <w:autoSpaceDE w:val="0"/>
        <w:autoSpaceDN w:val="0"/>
        <w:rPr>
          <w:snapToGrid/>
          <w:kern w:val="22"/>
          <w:szCs w:val="22"/>
          <w:lang w:val="fr-FR"/>
        </w:rPr>
      </w:pPr>
      <w:r w:rsidRPr="00C54A95">
        <w:rPr>
          <w:snapToGrid/>
          <w:kern w:val="22"/>
          <w:szCs w:val="22"/>
          <w:lang w:val="fr-FR"/>
        </w:rPr>
        <w:t>L’examen de l’expérience acquise dans l’organisation de réunions concomitantes pour la Conférence des Parties à la Convention et les Parties aux Protocoles amène plusieurs observations </w:t>
      </w:r>
      <w:r w:rsidR="00B24047" w:rsidRPr="00C54A95">
        <w:rPr>
          <w:snapToGrid/>
          <w:kern w:val="22"/>
          <w:szCs w:val="22"/>
          <w:lang w:val="fr-FR"/>
        </w:rPr>
        <w:t>:</w:t>
      </w:r>
    </w:p>
    <w:p w:rsidR="00814DD8" w:rsidRPr="00C54A95" w:rsidRDefault="00032AC1" w:rsidP="00F82F1D">
      <w:pPr>
        <w:pStyle w:val="Para1"/>
        <w:numPr>
          <w:ilvl w:val="1"/>
          <w:numId w:val="6"/>
        </w:numPr>
        <w:suppressLineNumbers/>
        <w:suppressAutoHyphens/>
        <w:kinsoku w:val="0"/>
        <w:overflowPunct w:val="0"/>
        <w:autoSpaceDE w:val="0"/>
        <w:autoSpaceDN w:val="0"/>
        <w:rPr>
          <w:snapToGrid/>
          <w:kern w:val="22"/>
          <w:szCs w:val="22"/>
          <w:lang w:val="fr-FR"/>
        </w:rPr>
      </w:pPr>
      <w:r w:rsidRPr="00C54A95">
        <w:rPr>
          <w:snapToGrid/>
          <w:kern w:val="22"/>
          <w:szCs w:val="22"/>
          <w:lang w:val="fr-FR"/>
        </w:rPr>
        <w:t xml:space="preserve">Les Parties ayant estimé que presque tous les critères </w:t>
      </w:r>
      <w:r w:rsidR="00852497">
        <w:rPr>
          <w:snapToGrid/>
          <w:kern w:val="22"/>
          <w:szCs w:val="22"/>
          <w:lang w:val="fr-FR"/>
        </w:rPr>
        <w:t>fixés</w:t>
      </w:r>
      <w:r w:rsidRPr="00C54A95">
        <w:rPr>
          <w:snapToGrid/>
          <w:kern w:val="22"/>
          <w:szCs w:val="22"/>
          <w:lang w:val="fr-FR"/>
        </w:rPr>
        <w:t xml:space="preserve"> dans les décisions XIII/26, CP VIII/10 et NP 2/12 avaient été respectés ont été plus nombreuses </w:t>
      </w:r>
      <w:r w:rsidR="00B24F6A">
        <w:rPr>
          <w:snapToGrid/>
          <w:kern w:val="22"/>
          <w:szCs w:val="22"/>
          <w:lang w:val="fr-FR"/>
        </w:rPr>
        <w:t xml:space="preserve">que </w:t>
      </w:r>
      <w:r w:rsidRPr="00C54A95">
        <w:rPr>
          <w:snapToGrid/>
          <w:kern w:val="22"/>
          <w:szCs w:val="22"/>
          <w:lang w:val="fr-FR"/>
        </w:rPr>
        <w:t xml:space="preserve">celles </w:t>
      </w:r>
      <w:r w:rsidR="00B24F6A">
        <w:rPr>
          <w:snapToGrid/>
          <w:kern w:val="22"/>
          <w:szCs w:val="22"/>
          <w:lang w:val="fr-FR"/>
        </w:rPr>
        <w:t>ayant</w:t>
      </w:r>
      <w:r w:rsidRPr="00C54A95">
        <w:rPr>
          <w:snapToGrid/>
          <w:kern w:val="22"/>
          <w:szCs w:val="22"/>
          <w:lang w:val="fr-FR"/>
        </w:rPr>
        <w:t xml:space="preserve"> estimé qu’ils ne l’avaient pas été (voir figure 1). La plupart des Parties ont toutefois considéré que la </w:t>
      </w:r>
      <w:r w:rsidR="00B24F6A">
        <w:rPr>
          <w:snapToGrid/>
          <w:kern w:val="22"/>
          <w:szCs w:val="22"/>
          <w:lang w:val="fr-FR"/>
        </w:rPr>
        <w:t>majorité</w:t>
      </w:r>
      <w:r w:rsidRPr="00C54A95">
        <w:rPr>
          <w:snapToGrid/>
          <w:kern w:val="22"/>
          <w:szCs w:val="22"/>
          <w:lang w:val="fr-FR"/>
        </w:rPr>
        <w:t xml:space="preserve"> des critères avaient été « partiellement respectés ». Si de nombreuses Parties ont jugé que l’expérience de l’organisation de réunions concomitantes était généralement positive, il est indéniable que des efforts restent à faire</w:t>
      </w:r>
      <w:r w:rsidR="00B24F6A">
        <w:rPr>
          <w:snapToGrid/>
          <w:kern w:val="22"/>
          <w:szCs w:val="22"/>
          <w:lang w:val="fr-FR"/>
        </w:rPr>
        <w:t xml:space="preserve"> pour accroître l’efficacité des réunions et </w:t>
      </w:r>
      <w:r w:rsidRPr="00C54A95">
        <w:rPr>
          <w:snapToGrid/>
          <w:kern w:val="22"/>
          <w:szCs w:val="22"/>
          <w:lang w:val="fr-FR"/>
        </w:rPr>
        <w:t xml:space="preserve">assurer </w:t>
      </w:r>
      <w:r w:rsidR="00B24F6A">
        <w:rPr>
          <w:snapToGrid/>
          <w:kern w:val="22"/>
          <w:szCs w:val="22"/>
          <w:lang w:val="fr-FR"/>
        </w:rPr>
        <w:t>le plein respect des critères</w:t>
      </w:r>
      <w:r w:rsidRPr="00C54A95">
        <w:rPr>
          <w:snapToGrid/>
          <w:kern w:val="22"/>
          <w:szCs w:val="22"/>
          <w:lang w:val="fr-FR"/>
        </w:rPr>
        <w:t> ;</w:t>
      </w:r>
    </w:p>
    <w:p w:rsidR="00814DD8" w:rsidRPr="00C54A95" w:rsidRDefault="00032AC1" w:rsidP="00F82F1D">
      <w:pPr>
        <w:pStyle w:val="Para1"/>
        <w:numPr>
          <w:ilvl w:val="1"/>
          <w:numId w:val="6"/>
        </w:numPr>
        <w:suppressLineNumbers/>
        <w:suppressAutoHyphens/>
        <w:kinsoku w:val="0"/>
        <w:overflowPunct w:val="0"/>
        <w:autoSpaceDE w:val="0"/>
        <w:autoSpaceDN w:val="0"/>
        <w:rPr>
          <w:snapToGrid/>
          <w:kern w:val="22"/>
          <w:szCs w:val="22"/>
          <w:lang w:val="fr-FR"/>
        </w:rPr>
      </w:pPr>
      <w:r w:rsidRPr="00C54A95">
        <w:rPr>
          <w:snapToGrid/>
          <w:kern w:val="22"/>
          <w:szCs w:val="22"/>
          <w:lang w:val="fr-FR"/>
        </w:rPr>
        <w:t>L’examen a montré que les aspects les plus réussis de l’expérience sont les suivants </w:t>
      </w:r>
      <w:r w:rsidR="00814DD8" w:rsidRPr="00C54A95">
        <w:rPr>
          <w:snapToGrid/>
          <w:kern w:val="22"/>
          <w:szCs w:val="22"/>
          <w:lang w:val="fr-FR"/>
        </w:rPr>
        <w:t>:</w:t>
      </w:r>
    </w:p>
    <w:p w:rsidR="00814DD8" w:rsidRPr="00C54A95" w:rsidRDefault="00032AC1" w:rsidP="00B24F6A">
      <w:pPr>
        <w:pStyle w:val="Para3"/>
        <w:rPr>
          <w:lang w:val="fr-FR"/>
        </w:rPr>
      </w:pPr>
      <w:r w:rsidRPr="00C54A95">
        <w:rPr>
          <w:lang w:val="fr-FR"/>
        </w:rPr>
        <w:t>Le développement effectif des résultats de la Conférence des Parties </w:t>
      </w:r>
      <w:r w:rsidR="00814DD8" w:rsidRPr="00C54A95">
        <w:rPr>
          <w:lang w:val="fr-FR"/>
        </w:rPr>
        <w:t>;</w:t>
      </w:r>
    </w:p>
    <w:p w:rsidR="00814DD8" w:rsidRPr="00C54A95" w:rsidRDefault="00B24F6A" w:rsidP="00F82F1D">
      <w:pPr>
        <w:pStyle w:val="Para3"/>
        <w:suppressLineNumbers/>
        <w:suppressAutoHyphens/>
        <w:kinsoku w:val="0"/>
        <w:overflowPunct w:val="0"/>
        <w:autoSpaceDE w:val="0"/>
        <w:autoSpaceDN w:val="0"/>
        <w:rPr>
          <w:kern w:val="22"/>
          <w:szCs w:val="22"/>
          <w:lang w:val="fr-FR"/>
        </w:rPr>
      </w:pPr>
      <w:r>
        <w:rPr>
          <w:kern w:val="22"/>
          <w:szCs w:val="22"/>
          <w:lang w:val="fr-FR"/>
        </w:rPr>
        <w:t>L’</w:t>
      </w:r>
      <w:r w:rsidR="00032AC1" w:rsidRPr="00C54A95">
        <w:rPr>
          <w:kern w:val="22"/>
          <w:szCs w:val="22"/>
          <w:lang w:val="fr-FR"/>
        </w:rPr>
        <w:t xml:space="preserve">intégration </w:t>
      </w:r>
      <w:r>
        <w:rPr>
          <w:kern w:val="22"/>
          <w:szCs w:val="22"/>
          <w:lang w:val="fr-FR"/>
        </w:rPr>
        <w:t xml:space="preserve">accrue </w:t>
      </w:r>
      <w:r w:rsidR="00032AC1" w:rsidRPr="00C54A95">
        <w:rPr>
          <w:kern w:val="22"/>
          <w:szCs w:val="22"/>
          <w:lang w:val="fr-FR"/>
        </w:rPr>
        <w:t>entre la Convention et les Protocoles </w:t>
      </w:r>
      <w:r w:rsidR="00814DD8" w:rsidRPr="00C54A95">
        <w:rPr>
          <w:kern w:val="22"/>
          <w:szCs w:val="22"/>
          <w:lang w:val="fr-FR"/>
        </w:rPr>
        <w:t>;</w:t>
      </w:r>
    </w:p>
    <w:p w:rsidR="00814DD8" w:rsidRPr="00C54A95" w:rsidRDefault="00032AC1" w:rsidP="00F82F1D">
      <w:pPr>
        <w:pStyle w:val="Para3"/>
        <w:suppressLineNumbers/>
        <w:suppressAutoHyphens/>
        <w:kinsoku w:val="0"/>
        <w:overflowPunct w:val="0"/>
        <w:autoSpaceDE w:val="0"/>
        <w:autoSpaceDN w:val="0"/>
        <w:rPr>
          <w:kern w:val="22"/>
          <w:szCs w:val="22"/>
          <w:lang w:val="fr-FR"/>
        </w:rPr>
      </w:pPr>
      <w:r w:rsidRPr="00C54A95">
        <w:rPr>
          <w:kern w:val="22"/>
          <w:szCs w:val="22"/>
          <w:lang w:val="fr-FR"/>
        </w:rPr>
        <w:t>L’amélioration des consultations, de la coordination et des synergies entre les correspondants nationaux</w:t>
      </w:r>
      <w:r w:rsidR="00B33F81" w:rsidRPr="00C54A95">
        <w:rPr>
          <w:kern w:val="22"/>
          <w:szCs w:val="22"/>
          <w:lang w:val="fr-FR"/>
        </w:rPr>
        <w:t>.</w:t>
      </w:r>
    </w:p>
    <w:p w:rsidR="00814DD8" w:rsidRPr="00C54A95" w:rsidRDefault="00032AC1" w:rsidP="00F82F1D">
      <w:pPr>
        <w:pStyle w:val="Para3"/>
        <w:numPr>
          <w:ilvl w:val="0"/>
          <w:numId w:val="0"/>
        </w:numPr>
        <w:suppressLineNumbers/>
        <w:suppressAutoHyphens/>
        <w:kinsoku w:val="0"/>
        <w:overflowPunct w:val="0"/>
        <w:autoSpaceDE w:val="0"/>
        <w:autoSpaceDN w:val="0"/>
        <w:rPr>
          <w:kern w:val="22"/>
          <w:szCs w:val="22"/>
          <w:lang w:val="fr-FR"/>
        </w:rPr>
      </w:pPr>
      <w:r w:rsidRPr="00C54A95">
        <w:rPr>
          <w:kern w:val="22"/>
          <w:szCs w:val="22"/>
          <w:lang w:val="fr-FR"/>
        </w:rPr>
        <w:t xml:space="preserve">Près de la moitié des Parties </w:t>
      </w:r>
      <w:r w:rsidR="00B24F6A">
        <w:rPr>
          <w:kern w:val="22"/>
          <w:szCs w:val="22"/>
          <w:lang w:val="fr-FR"/>
        </w:rPr>
        <w:t>a</w:t>
      </w:r>
      <w:r w:rsidRPr="00C54A95">
        <w:rPr>
          <w:kern w:val="22"/>
          <w:szCs w:val="22"/>
          <w:lang w:val="fr-FR"/>
        </w:rPr>
        <w:t xml:space="preserve"> estimé que ces critères avaient été </w:t>
      </w:r>
      <w:r w:rsidR="00B24F6A">
        <w:rPr>
          <w:kern w:val="22"/>
          <w:szCs w:val="22"/>
          <w:lang w:val="fr-FR"/>
        </w:rPr>
        <w:t>« </w:t>
      </w:r>
      <w:r w:rsidRPr="00C54A95">
        <w:rPr>
          <w:kern w:val="22"/>
          <w:szCs w:val="22"/>
          <w:lang w:val="fr-FR"/>
        </w:rPr>
        <w:t>pleinement respectés</w:t>
      </w:r>
      <w:r w:rsidR="00B24F6A">
        <w:rPr>
          <w:kern w:val="22"/>
          <w:szCs w:val="22"/>
          <w:lang w:val="fr-FR"/>
        </w:rPr>
        <w:t> »</w:t>
      </w:r>
      <w:r w:rsidRPr="00C54A95">
        <w:rPr>
          <w:kern w:val="22"/>
          <w:szCs w:val="22"/>
          <w:lang w:val="fr-FR"/>
        </w:rPr>
        <w:t xml:space="preserve"> et la </w:t>
      </w:r>
      <w:r w:rsidR="00B24F6A">
        <w:rPr>
          <w:kern w:val="22"/>
          <w:szCs w:val="22"/>
          <w:lang w:val="fr-FR"/>
        </w:rPr>
        <w:t>quasi-totalité</w:t>
      </w:r>
      <w:r w:rsidRPr="00C54A95">
        <w:rPr>
          <w:kern w:val="22"/>
          <w:szCs w:val="22"/>
          <w:lang w:val="fr-FR"/>
        </w:rPr>
        <w:t xml:space="preserve"> des autres Parties, </w:t>
      </w:r>
      <w:r w:rsidR="00252695">
        <w:rPr>
          <w:kern w:val="22"/>
          <w:szCs w:val="22"/>
          <w:lang w:val="fr-FR"/>
        </w:rPr>
        <w:t xml:space="preserve">qu’ils avaient été </w:t>
      </w:r>
      <w:r w:rsidR="00B24F6A">
        <w:rPr>
          <w:kern w:val="22"/>
          <w:szCs w:val="22"/>
          <w:lang w:val="fr-FR"/>
        </w:rPr>
        <w:t>« </w:t>
      </w:r>
      <w:r w:rsidRPr="00C54A95">
        <w:rPr>
          <w:kern w:val="22"/>
          <w:szCs w:val="22"/>
          <w:lang w:val="fr-FR"/>
        </w:rPr>
        <w:t>partiellement respectés</w:t>
      </w:r>
      <w:r w:rsidR="00B24F6A">
        <w:rPr>
          <w:kern w:val="22"/>
          <w:szCs w:val="22"/>
          <w:lang w:val="fr-FR"/>
        </w:rPr>
        <w:t> »</w:t>
      </w:r>
      <w:r w:rsidRPr="00C54A95">
        <w:rPr>
          <w:kern w:val="22"/>
          <w:szCs w:val="22"/>
          <w:lang w:val="fr-FR"/>
        </w:rPr>
        <w:t> </w:t>
      </w:r>
      <w:r w:rsidR="008F02B5" w:rsidRPr="00C54A95">
        <w:rPr>
          <w:kern w:val="22"/>
          <w:szCs w:val="22"/>
          <w:lang w:val="fr-FR"/>
        </w:rPr>
        <w:t>;</w:t>
      </w:r>
    </w:p>
    <w:p w:rsidR="00B24047" w:rsidRPr="00C54A95" w:rsidRDefault="00032AC1" w:rsidP="00F82F1D">
      <w:pPr>
        <w:pStyle w:val="Para1"/>
        <w:numPr>
          <w:ilvl w:val="1"/>
          <w:numId w:val="6"/>
        </w:numPr>
        <w:suppressLineNumbers/>
        <w:suppressAutoHyphens/>
        <w:kinsoku w:val="0"/>
        <w:overflowPunct w:val="0"/>
        <w:autoSpaceDE w:val="0"/>
        <w:autoSpaceDN w:val="0"/>
        <w:rPr>
          <w:snapToGrid/>
          <w:kern w:val="22"/>
          <w:szCs w:val="22"/>
          <w:lang w:val="fr-FR"/>
        </w:rPr>
      </w:pPr>
      <w:r w:rsidRPr="00C54A95">
        <w:rPr>
          <w:snapToGrid/>
          <w:kern w:val="22"/>
          <w:szCs w:val="22"/>
          <w:lang w:val="fr-FR"/>
        </w:rPr>
        <w:t xml:space="preserve">L’examen </w:t>
      </w:r>
      <w:r w:rsidR="00814391">
        <w:rPr>
          <w:snapToGrid/>
          <w:kern w:val="22"/>
          <w:szCs w:val="22"/>
          <w:lang w:val="fr-FR"/>
        </w:rPr>
        <w:t>a montré que l</w:t>
      </w:r>
      <w:r w:rsidRPr="00C54A95">
        <w:rPr>
          <w:snapToGrid/>
          <w:kern w:val="22"/>
          <w:szCs w:val="22"/>
          <w:lang w:val="fr-FR"/>
        </w:rPr>
        <w:t>es aspects les moins réussis</w:t>
      </w:r>
      <w:r w:rsidR="00814391">
        <w:rPr>
          <w:snapToGrid/>
          <w:kern w:val="22"/>
          <w:szCs w:val="22"/>
          <w:lang w:val="fr-FR"/>
        </w:rPr>
        <w:t xml:space="preserve"> incluent</w:t>
      </w:r>
      <w:r w:rsidRPr="00C54A95">
        <w:rPr>
          <w:snapToGrid/>
          <w:kern w:val="22"/>
          <w:szCs w:val="22"/>
          <w:lang w:val="fr-FR"/>
        </w:rPr>
        <w:t xml:space="preserve"> le rapport coût-efficacité des réunions tenues </w:t>
      </w:r>
      <w:r w:rsidR="00814391">
        <w:rPr>
          <w:snapToGrid/>
          <w:kern w:val="22"/>
          <w:szCs w:val="22"/>
          <w:lang w:val="fr-FR"/>
        </w:rPr>
        <w:t>au titre</w:t>
      </w:r>
      <w:r w:rsidR="005F339A">
        <w:rPr>
          <w:snapToGrid/>
          <w:kern w:val="22"/>
          <w:szCs w:val="22"/>
          <w:lang w:val="fr-FR"/>
        </w:rPr>
        <w:t xml:space="preserve"> du Protocole de Cartagena (</w:t>
      </w:r>
      <w:r w:rsidRPr="00C54A95">
        <w:rPr>
          <w:snapToGrid/>
          <w:kern w:val="22"/>
          <w:szCs w:val="22"/>
          <w:lang w:val="fr-FR"/>
        </w:rPr>
        <w:t xml:space="preserve">les Parties ayant </w:t>
      </w:r>
      <w:r w:rsidR="005F339A">
        <w:rPr>
          <w:snapToGrid/>
          <w:kern w:val="22"/>
          <w:szCs w:val="22"/>
          <w:lang w:val="fr-FR"/>
        </w:rPr>
        <w:t>considéré que ce critère</w:t>
      </w:r>
      <w:r w:rsidRPr="00C54A95">
        <w:rPr>
          <w:snapToGrid/>
          <w:kern w:val="22"/>
          <w:szCs w:val="22"/>
          <w:lang w:val="fr-FR"/>
        </w:rPr>
        <w:t xml:space="preserve"> était respecté ont été presqu’aussi nombreuses que celles ayant considéré qu’il ne l’était pas</w:t>
      </w:r>
      <w:r w:rsidR="005F339A">
        <w:rPr>
          <w:snapToGrid/>
          <w:kern w:val="22"/>
          <w:szCs w:val="22"/>
          <w:lang w:val="fr-FR"/>
        </w:rPr>
        <w:t>)</w:t>
      </w:r>
      <w:r w:rsidRPr="00C54A95">
        <w:rPr>
          <w:snapToGrid/>
          <w:kern w:val="22"/>
          <w:szCs w:val="22"/>
          <w:lang w:val="fr-FR"/>
        </w:rPr>
        <w:t xml:space="preserve">. Les solutions fournies par les Parties </w:t>
      </w:r>
      <w:r w:rsidR="005F339A">
        <w:rPr>
          <w:snapToGrid/>
          <w:kern w:val="22"/>
          <w:szCs w:val="22"/>
          <w:lang w:val="fr-FR"/>
        </w:rPr>
        <w:t xml:space="preserve">pour </w:t>
      </w:r>
      <w:r w:rsidRPr="00C54A95">
        <w:rPr>
          <w:snapToGrid/>
          <w:kern w:val="22"/>
          <w:szCs w:val="22"/>
          <w:lang w:val="fr-FR"/>
        </w:rPr>
        <w:t>améliorer l’organisation de</w:t>
      </w:r>
      <w:r w:rsidR="005F339A">
        <w:rPr>
          <w:snapToGrid/>
          <w:kern w:val="22"/>
          <w:szCs w:val="22"/>
          <w:lang w:val="fr-FR"/>
        </w:rPr>
        <w:t>s</w:t>
      </w:r>
      <w:r w:rsidRPr="00C54A95">
        <w:rPr>
          <w:snapToGrid/>
          <w:kern w:val="22"/>
          <w:szCs w:val="22"/>
          <w:lang w:val="fr-FR"/>
        </w:rPr>
        <w:t xml:space="preserve"> réunions concomitantes </w:t>
      </w:r>
      <w:r w:rsidR="005F339A">
        <w:rPr>
          <w:snapToGrid/>
          <w:kern w:val="22"/>
          <w:szCs w:val="22"/>
          <w:lang w:val="fr-FR"/>
        </w:rPr>
        <w:t>concernent</w:t>
      </w:r>
      <w:r w:rsidRPr="00C54A95">
        <w:rPr>
          <w:snapToGrid/>
          <w:kern w:val="22"/>
          <w:szCs w:val="22"/>
          <w:lang w:val="fr-FR"/>
        </w:rPr>
        <w:t xml:space="preserve"> i) la nécessité de garantir une juste représentation des pays en développement, ii)</w:t>
      </w:r>
      <w:r w:rsidR="005F339A">
        <w:rPr>
          <w:snapToGrid/>
          <w:kern w:val="22"/>
          <w:szCs w:val="22"/>
          <w:lang w:val="fr-FR"/>
        </w:rPr>
        <w:t xml:space="preserve"> l’impérieux allongement du temps accordé </w:t>
      </w:r>
      <w:r w:rsidR="005F339A" w:rsidRPr="00C54A95">
        <w:rPr>
          <w:snapToGrid/>
          <w:kern w:val="22"/>
          <w:szCs w:val="22"/>
          <w:lang w:val="fr-FR"/>
        </w:rPr>
        <w:t>aux trois instruments</w:t>
      </w:r>
      <w:r w:rsidR="005F339A">
        <w:rPr>
          <w:snapToGrid/>
          <w:kern w:val="22"/>
          <w:szCs w:val="22"/>
          <w:lang w:val="fr-FR"/>
        </w:rPr>
        <w:t xml:space="preserve"> </w:t>
      </w:r>
      <w:r w:rsidR="00852497">
        <w:rPr>
          <w:snapToGrid/>
          <w:kern w:val="22"/>
          <w:szCs w:val="22"/>
          <w:lang w:val="fr-FR"/>
        </w:rPr>
        <w:t>lors d</w:t>
      </w:r>
      <w:r w:rsidR="005F339A">
        <w:rPr>
          <w:snapToGrid/>
          <w:kern w:val="22"/>
          <w:szCs w:val="22"/>
          <w:lang w:val="fr-FR"/>
        </w:rPr>
        <w:t xml:space="preserve">es </w:t>
      </w:r>
      <w:r w:rsidRPr="00C54A95">
        <w:rPr>
          <w:snapToGrid/>
          <w:kern w:val="22"/>
          <w:szCs w:val="22"/>
          <w:lang w:val="fr-FR"/>
        </w:rPr>
        <w:t>se</w:t>
      </w:r>
      <w:r w:rsidR="005F339A">
        <w:rPr>
          <w:snapToGrid/>
          <w:kern w:val="22"/>
          <w:szCs w:val="22"/>
          <w:lang w:val="fr-FR"/>
        </w:rPr>
        <w:t>ssions de négociation</w:t>
      </w:r>
      <w:r w:rsidRPr="00C54A95">
        <w:rPr>
          <w:snapToGrid/>
          <w:kern w:val="22"/>
          <w:szCs w:val="22"/>
          <w:lang w:val="fr-FR"/>
        </w:rPr>
        <w:t xml:space="preserve">, iii) la simplification des ordres du jour des réunions, afin qu’ils rendent les groupes de contact moins nécessaires et iv) la </w:t>
      </w:r>
      <w:r w:rsidR="00F4094A">
        <w:rPr>
          <w:snapToGrid/>
          <w:kern w:val="22"/>
          <w:szCs w:val="22"/>
          <w:lang w:val="fr-FR"/>
        </w:rPr>
        <w:t xml:space="preserve">nécessaire </w:t>
      </w:r>
      <w:r w:rsidRPr="00C54A95">
        <w:rPr>
          <w:snapToGrid/>
          <w:kern w:val="22"/>
          <w:szCs w:val="22"/>
          <w:lang w:val="fr-FR"/>
        </w:rPr>
        <w:t>recherche des moyens permettant de limiter la</w:t>
      </w:r>
      <w:r w:rsidR="00F4094A">
        <w:rPr>
          <w:snapToGrid/>
          <w:kern w:val="22"/>
          <w:szCs w:val="22"/>
          <w:lang w:val="fr-FR"/>
        </w:rPr>
        <w:t xml:space="preserve"> durée de</w:t>
      </w:r>
      <w:r w:rsidRPr="00C54A95">
        <w:rPr>
          <w:snapToGrid/>
          <w:kern w:val="22"/>
          <w:szCs w:val="22"/>
          <w:lang w:val="fr-FR"/>
        </w:rPr>
        <w:t xml:space="preserve"> présence obligatoire des délégués chargés des Protocoles aux réunions concomitantes </w:t>
      </w:r>
      <w:r w:rsidR="00B33F81" w:rsidRPr="00C54A95">
        <w:rPr>
          <w:snapToGrid/>
          <w:kern w:val="22"/>
          <w:szCs w:val="22"/>
          <w:lang w:val="fr-FR"/>
        </w:rPr>
        <w:t>;</w:t>
      </w:r>
    </w:p>
    <w:p w:rsidR="00B24047" w:rsidRPr="00C54A95" w:rsidRDefault="00032AC1" w:rsidP="00F82F1D">
      <w:pPr>
        <w:pStyle w:val="Para1"/>
        <w:numPr>
          <w:ilvl w:val="1"/>
          <w:numId w:val="6"/>
        </w:numPr>
        <w:suppressLineNumbers/>
        <w:suppressAutoHyphens/>
        <w:kinsoku w:val="0"/>
        <w:overflowPunct w:val="0"/>
        <w:autoSpaceDE w:val="0"/>
        <w:autoSpaceDN w:val="0"/>
        <w:rPr>
          <w:snapToGrid/>
          <w:kern w:val="22"/>
          <w:szCs w:val="22"/>
          <w:lang w:val="fr-FR"/>
        </w:rPr>
      </w:pPr>
      <w:r w:rsidRPr="00C54A95">
        <w:rPr>
          <w:snapToGrid/>
          <w:kern w:val="22"/>
          <w:szCs w:val="22"/>
          <w:lang w:val="fr-FR"/>
        </w:rPr>
        <w:t xml:space="preserve">Les réponses apportées à titre personnel à l’enquête en ligne par les </w:t>
      </w:r>
      <w:r w:rsidR="00F4094A">
        <w:rPr>
          <w:snapToGrid/>
          <w:kern w:val="22"/>
          <w:szCs w:val="22"/>
          <w:lang w:val="fr-FR"/>
        </w:rPr>
        <w:t xml:space="preserve">participants des </w:t>
      </w:r>
      <w:r w:rsidRPr="00C54A95">
        <w:rPr>
          <w:snapToGrid/>
          <w:kern w:val="22"/>
          <w:szCs w:val="22"/>
          <w:lang w:val="fr-FR"/>
        </w:rPr>
        <w:t xml:space="preserve">réunions concomitantes sont analogues à celles du questionnaire adressé aux Parties. Dans l’ensemble, les réponses apportées à l’enquête reconnaissent l’efficacité et le bon rapport coût-efficacité de l’organisation des réunions concomitantes de la Convention sur la </w:t>
      </w:r>
      <w:r w:rsidRPr="00C54A95">
        <w:rPr>
          <w:kern w:val="22"/>
          <w:szCs w:val="22"/>
          <w:lang w:val="fr-FR"/>
        </w:rPr>
        <w:t xml:space="preserve">diversité biologique, du Protocole de </w:t>
      </w:r>
      <w:r w:rsidRPr="00C54A95">
        <w:rPr>
          <w:snapToGrid/>
          <w:kern w:val="22"/>
          <w:szCs w:val="22"/>
          <w:lang w:val="fr-FR"/>
        </w:rPr>
        <w:t xml:space="preserve">Cartagena et du Protocole de Nagoya. Les répondants ont également estimé dans l’ensemble que cette organisation améliorait l’intégration et facilitait les consultations. Plusieurs répondants ont toutefois relevé qu’il n’en avait pas toujours été ainsi, en particulier pour les délégations de petite taille, et qu’une organisation réussie </w:t>
      </w:r>
      <w:r w:rsidR="00F4094A">
        <w:rPr>
          <w:snapToGrid/>
          <w:kern w:val="22"/>
          <w:szCs w:val="22"/>
          <w:lang w:val="fr-FR"/>
        </w:rPr>
        <w:t xml:space="preserve">nécessitait une juste représentation des </w:t>
      </w:r>
      <w:r w:rsidRPr="00C54A95">
        <w:rPr>
          <w:snapToGrid/>
          <w:kern w:val="22"/>
          <w:szCs w:val="22"/>
          <w:lang w:val="fr-FR"/>
        </w:rPr>
        <w:t>Parties</w:t>
      </w:r>
      <w:r w:rsidR="00B24047" w:rsidRPr="00C54A95">
        <w:rPr>
          <w:snapToGrid/>
          <w:kern w:val="22"/>
          <w:szCs w:val="22"/>
          <w:lang w:val="fr-FR"/>
        </w:rPr>
        <w:t>.</w:t>
      </w:r>
    </w:p>
    <w:p w:rsidR="00A73277" w:rsidRPr="00C54A95" w:rsidRDefault="00032AC1" w:rsidP="00F82F1D">
      <w:pPr>
        <w:pStyle w:val="Para1"/>
        <w:suppressLineNumbers/>
        <w:tabs>
          <w:tab w:val="clear" w:pos="360"/>
        </w:tabs>
        <w:suppressAutoHyphens/>
        <w:kinsoku w:val="0"/>
        <w:overflowPunct w:val="0"/>
        <w:autoSpaceDE w:val="0"/>
        <w:autoSpaceDN w:val="0"/>
        <w:rPr>
          <w:snapToGrid/>
          <w:kern w:val="22"/>
          <w:szCs w:val="22"/>
          <w:lang w:val="fr-FR"/>
        </w:rPr>
      </w:pPr>
      <w:r w:rsidRPr="00C54A95">
        <w:rPr>
          <w:snapToGrid/>
          <w:kern w:val="22"/>
          <w:szCs w:val="22"/>
          <w:lang w:val="fr-FR"/>
        </w:rPr>
        <w:t xml:space="preserve">Il est prévu, conformément à la décision XIII/26, que le présent examen de l’expérience de l’organisation de réunions concomitantes soit complété et approfondi </w:t>
      </w:r>
      <w:r w:rsidR="00F4094A">
        <w:rPr>
          <w:snapToGrid/>
          <w:kern w:val="22"/>
          <w:szCs w:val="22"/>
          <w:lang w:val="fr-FR"/>
        </w:rPr>
        <w:t>par l’examen de</w:t>
      </w:r>
      <w:r w:rsidRPr="00C54A95">
        <w:rPr>
          <w:snapToGrid/>
          <w:kern w:val="22"/>
          <w:szCs w:val="22"/>
          <w:lang w:val="fr-FR"/>
        </w:rPr>
        <w:t xml:space="preserve"> l’organisation de</w:t>
      </w:r>
      <w:r w:rsidR="00F4094A">
        <w:rPr>
          <w:snapToGrid/>
          <w:kern w:val="22"/>
          <w:szCs w:val="22"/>
          <w:lang w:val="fr-FR"/>
        </w:rPr>
        <w:t>s</w:t>
      </w:r>
      <w:r w:rsidRPr="00C54A95">
        <w:rPr>
          <w:snapToGrid/>
          <w:kern w:val="22"/>
          <w:szCs w:val="22"/>
          <w:lang w:val="fr-FR"/>
        </w:rPr>
        <w:t xml:space="preserve"> réunions concomitantes prévues à Charm El-Sheikh (Égypte) du 10 au 22 novembre 2018</w:t>
      </w:r>
      <w:r w:rsidR="009A0C44" w:rsidRPr="00C54A95">
        <w:rPr>
          <w:snapToGrid/>
          <w:kern w:val="22"/>
          <w:szCs w:val="22"/>
          <w:lang w:val="fr-FR"/>
        </w:rPr>
        <w:t>.</w:t>
      </w:r>
    </w:p>
    <w:p w:rsidR="009A0C44" w:rsidRPr="00C54A95" w:rsidRDefault="009A0C44" w:rsidP="00F82F1D">
      <w:pPr>
        <w:pStyle w:val="Para1"/>
        <w:numPr>
          <w:ilvl w:val="0"/>
          <w:numId w:val="0"/>
        </w:numPr>
        <w:suppressLineNumbers/>
        <w:suppressAutoHyphens/>
        <w:kinsoku w:val="0"/>
        <w:overflowPunct w:val="0"/>
        <w:autoSpaceDE w:val="0"/>
        <w:autoSpaceDN w:val="0"/>
        <w:rPr>
          <w:snapToGrid/>
          <w:kern w:val="22"/>
          <w:szCs w:val="22"/>
          <w:lang w:val="fr-FR"/>
        </w:rPr>
      </w:pPr>
    </w:p>
    <w:p w:rsidR="00D15589" w:rsidRPr="00C54A95" w:rsidRDefault="00742F79" w:rsidP="00F82F1D">
      <w:pPr>
        <w:pStyle w:val="Heading1"/>
        <w:suppressLineNumbers/>
        <w:suppressAutoHyphens/>
        <w:kinsoku w:val="0"/>
        <w:overflowPunct w:val="0"/>
        <w:autoSpaceDE w:val="0"/>
        <w:autoSpaceDN w:val="0"/>
        <w:spacing w:before="0" w:after="0"/>
        <w:rPr>
          <w:b w:val="0"/>
          <w:bCs/>
          <w:kern w:val="22"/>
          <w:szCs w:val="22"/>
          <w:lang w:val="fr-FR"/>
        </w:rPr>
      </w:pPr>
      <w:r w:rsidRPr="00C54A95">
        <w:rPr>
          <w:b w:val="0"/>
          <w:bCs/>
          <w:kern w:val="22"/>
          <w:szCs w:val="22"/>
          <w:lang w:val="fr-FR"/>
        </w:rPr>
        <w:t>__________</w:t>
      </w:r>
    </w:p>
    <w:p w:rsidR="00736BC2" w:rsidRPr="00C54A95" w:rsidRDefault="00736BC2" w:rsidP="00F82F1D">
      <w:pPr>
        <w:suppressLineNumbers/>
        <w:suppressAutoHyphens/>
        <w:kinsoku w:val="0"/>
        <w:overflowPunct w:val="0"/>
        <w:autoSpaceDE w:val="0"/>
        <w:autoSpaceDN w:val="0"/>
        <w:jc w:val="center"/>
        <w:rPr>
          <w:kern w:val="22"/>
          <w:szCs w:val="22"/>
          <w:lang w:val="fr-FR"/>
        </w:rPr>
      </w:pPr>
    </w:p>
    <w:sectPr w:rsidR="00736BC2" w:rsidRPr="00C54A95" w:rsidSect="00CA1572">
      <w:headerReference w:type="even" r:id="rId20"/>
      <w:headerReference w:type="default" r:id="rId21"/>
      <w:pgSz w:w="12240" w:h="15840" w:code="1"/>
      <w:pgMar w:top="567" w:right="1440" w:bottom="1134" w:left="1440" w:header="454"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FE46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FE46A2" w16cid:durableId="1E2BEB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81C" w:rsidRDefault="00C6581C">
      <w:r>
        <w:separator/>
      </w:r>
    </w:p>
  </w:endnote>
  <w:endnote w:type="continuationSeparator" w:id="0">
    <w:p w:rsidR="00C6581C" w:rsidRDefault="00C6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yriadPro-Regular">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ngsana New">
    <w:panose1 w:val="02020603050405020304"/>
    <w:charset w:val="DE"/>
    <w:family w:val="roman"/>
    <w:notTrueType/>
    <w:pitch w:val="variable"/>
    <w:sig w:usb0="01000001" w:usb1="00000000" w:usb2="00000000" w:usb3="00000000" w:csb0="00010000"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Minion Pro">
    <w:altName w:val="Cambria"/>
    <w:panose1 w:val="00000000000000000000"/>
    <w:charset w:val="00"/>
    <w:family w:val="roman"/>
    <w:notTrueType/>
    <w:pitch w:val="default"/>
    <w:sig w:usb0="00000003" w:usb1="08070000" w:usb2="00000010" w:usb3="00000000" w:csb0="00020001" w:csb1="00000000"/>
  </w:font>
  <w:font w:name="Myriad Roman">
    <w:altName w:val="Myriad 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81C" w:rsidRDefault="00C6581C">
      <w:r>
        <w:separator/>
      </w:r>
    </w:p>
  </w:footnote>
  <w:footnote w:type="continuationSeparator" w:id="0">
    <w:p w:rsidR="00C6581C" w:rsidRDefault="00C6581C">
      <w:r>
        <w:continuationSeparator/>
      </w:r>
    </w:p>
  </w:footnote>
  <w:footnote w:id="1">
    <w:p w:rsidR="00E64249" w:rsidRPr="00FD5388" w:rsidRDefault="00E64249" w:rsidP="00F82F1D">
      <w:pPr>
        <w:pStyle w:val="FootnoteText"/>
        <w:keepLines w:val="0"/>
        <w:kinsoku w:val="0"/>
        <w:overflowPunct w:val="0"/>
        <w:autoSpaceDE w:val="0"/>
        <w:autoSpaceDN w:val="0"/>
        <w:ind w:firstLine="0"/>
        <w:jc w:val="left"/>
        <w:rPr>
          <w:kern w:val="18"/>
          <w:szCs w:val="18"/>
          <w:lang w:val="fr-FR"/>
        </w:rPr>
      </w:pPr>
      <w:r w:rsidRPr="00FD5388">
        <w:rPr>
          <w:rStyle w:val="FootnoteReference"/>
          <w:kern w:val="18"/>
          <w:szCs w:val="18"/>
          <w:u w:val="none"/>
          <w:lang w:val="fr-FR"/>
        </w:rPr>
        <w:t>*</w:t>
      </w:r>
      <w:r w:rsidRPr="00FD5388">
        <w:rPr>
          <w:kern w:val="18"/>
          <w:szCs w:val="18"/>
          <w:lang w:val="fr-FR"/>
        </w:rPr>
        <w:t xml:space="preserve"> </w:t>
      </w:r>
      <w:r w:rsidR="00217BA9">
        <w:fldChar w:fldCharType="begin"/>
      </w:r>
      <w:r w:rsidR="00217BA9" w:rsidRPr="00217BA9">
        <w:rPr>
          <w:lang w:val="fr-FR"/>
        </w:rPr>
        <w:instrText xml:space="preserve"> HYPERLINK "https://www.cbd.int/doc/c/6ce5/878e/5ffa49887c20c19961fe040a/sbi-02-01-en.pdf" </w:instrText>
      </w:r>
      <w:r w:rsidR="00217BA9">
        <w:fldChar w:fldCharType="separate"/>
      </w:r>
      <w:r w:rsidRPr="00FD5388">
        <w:rPr>
          <w:rStyle w:val="Hyperlink"/>
          <w:kern w:val="18"/>
          <w:szCs w:val="18"/>
          <w:lang w:val="fr-FR"/>
        </w:rPr>
        <w:t>CBD/SBI/2/1</w:t>
      </w:r>
      <w:r w:rsidR="00217BA9">
        <w:rPr>
          <w:rStyle w:val="Hyperlink"/>
          <w:kern w:val="18"/>
          <w:szCs w:val="18"/>
          <w:lang w:val="fr-FR"/>
        </w:rPr>
        <w:fldChar w:fldCharType="end"/>
      </w:r>
      <w:r w:rsidRPr="00FD5388">
        <w:rPr>
          <w:kern w:val="18"/>
          <w:szCs w:val="18"/>
          <w:lang w:val="fr-FR"/>
        </w:rPr>
        <w:t>.</w:t>
      </w:r>
    </w:p>
  </w:footnote>
  <w:footnote w:id="2">
    <w:p w:rsidR="00E64249" w:rsidRPr="00FD5388" w:rsidRDefault="00E64249" w:rsidP="00433E90">
      <w:pPr>
        <w:pStyle w:val="FootnoteText"/>
        <w:keepLines w:val="0"/>
        <w:kinsoku w:val="0"/>
        <w:overflowPunct w:val="0"/>
        <w:autoSpaceDE w:val="0"/>
        <w:autoSpaceDN w:val="0"/>
        <w:ind w:firstLine="0"/>
        <w:jc w:val="left"/>
        <w:rPr>
          <w:kern w:val="18"/>
          <w:szCs w:val="18"/>
          <w:lang w:val="fr-FR"/>
        </w:rPr>
      </w:pPr>
      <w:r w:rsidRPr="00FD5388">
        <w:rPr>
          <w:rStyle w:val="FootnoteReference"/>
          <w:kern w:val="18"/>
          <w:szCs w:val="18"/>
          <w:u w:val="none"/>
          <w:vertAlign w:val="superscript"/>
          <w:lang w:val="fr-FR"/>
        </w:rPr>
        <w:footnoteRef/>
      </w:r>
      <w:r w:rsidRPr="00FD5388">
        <w:rPr>
          <w:kern w:val="18"/>
          <w:szCs w:val="18"/>
          <w:lang w:val="fr-FR"/>
        </w:rPr>
        <w:t xml:space="preserve"> </w:t>
      </w:r>
      <w:r w:rsidR="00FD5388">
        <w:rPr>
          <w:kern w:val="18"/>
          <w:szCs w:val="18"/>
          <w:lang w:val="fr-FR"/>
        </w:rPr>
        <w:t xml:space="preserve">Pour faciliter les références, ces réunions sont regroupées sous le nom de « réunions concomitantes » dans le présent </w:t>
      </w:r>
      <w:r w:rsidRPr="00FD5388">
        <w:rPr>
          <w:kern w:val="18"/>
          <w:szCs w:val="18"/>
          <w:lang w:val="fr-FR"/>
        </w:rPr>
        <w:t>document.</w:t>
      </w:r>
    </w:p>
  </w:footnote>
  <w:footnote w:id="3">
    <w:p w:rsidR="00E64249" w:rsidRPr="00FD5388" w:rsidRDefault="00E64249" w:rsidP="00F82F1D">
      <w:pPr>
        <w:pStyle w:val="FootnoteText"/>
        <w:keepLines w:val="0"/>
        <w:kinsoku w:val="0"/>
        <w:overflowPunct w:val="0"/>
        <w:autoSpaceDE w:val="0"/>
        <w:autoSpaceDN w:val="0"/>
        <w:ind w:firstLine="0"/>
        <w:jc w:val="left"/>
        <w:rPr>
          <w:kern w:val="18"/>
          <w:szCs w:val="18"/>
          <w:lang w:val="fr-FR"/>
        </w:rPr>
      </w:pPr>
      <w:r w:rsidRPr="00FD5388">
        <w:rPr>
          <w:rStyle w:val="FootnoteReference"/>
          <w:kern w:val="18"/>
          <w:szCs w:val="18"/>
          <w:u w:val="none"/>
          <w:vertAlign w:val="superscript"/>
          <w:lang w:val="fr-FR"/>
        </w:rPr>
        <w:footnoteRef/>
      </w:r>
      <w:r w:rsidRPr="00FD5388">
        <w:rPr>
          <w:kern w:val="18"/>
          <w:szCs w:val="18"/>
          <w:lang w:val="fr-FR"/>
        </w:rPr>
        <w:t xml:space="preserve"> </w:t>
      </w:r>
      <w:r w:rsidR="00FD5388">
        <w:rPr>
          <w:kern w:val="18"/>
          <w:szCs w:val="18"/>
          <w:lang w:val="fr-FR"/>
        </w:rPr>
        <w:t>La</w:t>
      </w:r>
      <w:r w:rsidRPr="00FD5388">
        <w:rPr>
          <w:kern w:val="18"/>
          <w:szCs w:val="18"/>
          <w:lang w:val="fr-FR"/>
        </w:rPr>
        <w:t xml:space="preserve"> notification </w:t>
      </w:r>
      <w:r w:rsidR="00FD5388">
        <w:rPr>
          <w:kern w:val="18"/>
          <w:szCs w:val="18"/>
          <w:lang w:val="fr-FR"/>
        </w:rPr>
        <w:t xml:space="preserve">a été adressée le 22 février </w:t>
      </w:r>
      <w:r w:rsidRPr="00FD5388">
        <w:rPr>
          <w:kern w:val="18"/>
          <w:szCs w:val="18"/>
          <w:lang w:val="fr-FR"/>
        </w:rPr>
        <w:t>2017</w:t>
      </w:r>
      <w:r w:rsidR="00FD5388">
        <w:rPr>
          <w:kern w:val="18"/>
          <w:szCs w:val="18"/>
          <w:lang w:val="fr-FR"/>
        </w:rPr>
        <w:t xml:space="preserve"> et la date-limite de réception des observations, fixée au 24 mars </w:t>
      </w:r>
      <w:r w:rsidRPr="00FD5388">
        <w:rPr>
          <w:kern w:val="18"/>
          <w:szCs w:val="18"/>
          <w:lang w:val="fr-FR"/>
        </w:rPr>
        <w:t xml:space="preserve">2017. </w:t>
      </w:r>
      <w:r w:rsidR="00FD5388">
        <w:rPr>
          <w:kern w:val="18"/>
          <w:szCs w:val="18"/>
          <w:lang w:val="fr-FR"/>
        </w:rPr>
        <w:t>Cette date-limite a été ultérieurement prorogée au 10 avril 2017</w:t>
      </w:r>
      <w:r w:rsidRPr="00FD5388">
        <w:rPr>
          <w:kern w:val="18"/>
          <w:szCs w:val="18"/>
          <w:lang w:val="fr-FR"/>
        </w:rPr>
        <w:t>.</w:t>
      </w:r>
    </w:p>
  </w:footnote>
  <w:footnote w:id="4">
    <w:p w:rsidR="00E64249" w:rsidRPr="00FD5388" w:rsidRDefault="00E64249" w:rsidP="00F82F1D">
      <w:pPr>
        <w:pStyle w:val="FootnoteText"/>
        <w:keepLines w:val="0"/>
        <w:kinsoku w:val="0"/>
        <w:overflowPunct w:val="0"/>
        <w:autoSpaceDE w:val="0"/>
        <w:autoSpaceDN w:val="0"/>
        <w:ind w:firstLine="0"/>
        <w:jc w:val="left"/>
        <w:rPr>
          <w:kern w:val="18"/>
          <w:szCs w:val="18"/>
          <w:lang w:val="fr-FR"/>
        </w:rPr>
      </w:pPr>
      <w:r w:rsidRPr="00FD5388">
        <w:rPr>
          <w:rStyle w:val="FootnoteReference"/>
          <w:kern w:val="18"/>
          <w:szCs w:val="18"/>
          <w:u w:val="none"/>
          <w:vertAlign w:val="superscript"/>
          <w:lang w:val="fr-FR"/>
        </w:rPr>
        <w:footnoteRef/>
      </w:r>
      <w:r w:rsidRPr="00FD5388">
        <w:rPr>
          <w:kern w:val="18"/>
          <w:szCs w:val="18"/>
          <w:lang w:val="fr-FR"/>
        </w:rPr>
        <w:t xml:space="preserve"> </w:t>
      </w:r>
      <w:r w:rsidR="00FD5388">
        <w:rPr>
          <w:kern w:val="18"/>
          <w:szCs w:val="18"/>
          <w:lang w:val="fr-FR"/>
        </w:rPr>
        <w:t>Cette enquête a été adressée le</w:t>
      </w:r>
      <w:r w:rsidRPr="00FD5388">
        <w:rPr>
          <w:kern w:val="18"/>
          <w:szCs w:val="18"/>
          <w:lang w:val="fr-FR"/>
        </w:rPr>
        <w:t xml:space="preserve"> </w:t>
      </w:r>
      <w:r w:rsidR="00FD5388">
        <w:rPr>
          <w:kern w:val="18"/>
          <w:szCs w:val="18"/>
          <w:lang w:val="fr-FR"/>
        </w:rPr>
        <w:t xml:space="preserve">22 février </w:t>
      </w:r>
      <w:r w:rsidRPr="00FD5388">
        <w:rPr>
          <w:kern w:val="18"/>
          <w:szCs w:val="18"/>
          <w:lang w:val="fr-FR"/>
        </w:rPr>
        <w:t>2017</w:t>
      </w:r>
      <w:r w:rsidR="00FD5388">
        <w:rPr>
          <w:kern w:val="18"/>
          <w:szCs w:val="18"/>
          <w:lang w:val="fr-FR"/>
        </w:rPr>
        <w:t xml:space="preserve"> et la date-limite de réception des réponses, fixée au 10 mars </w:t>
      </w:r>
      <w:r w:rsidRPr="00FD5388">
        <w:rPr>
          <w:kern w:val="18"/>
          <w:szCs w:val="18"/>
          <w:lang w:val="fr-FR"/>
        </w:rPr>
        <w:t xml:space="preserve">2017. </w:t>
      </w:r>
      <w:r w:rsidR="00FD5388">
        <w:rPr>
          <w:kern w:val="18"/>
          <w:szCs w:val="18"/>
          <w:lang w:val="fr-FR"/>
        </w:rPr>
        <w:t xml:space="preserve">Un rappel </w:t>
      </w:r>
      <w:r w:rsidR="008A27C8">
        <w:rPr>
          <w:kern w:val="18"/>
          <w:szCs w:val="18"/>
          <w:lang w:val="fr-FR"/>
        </w:rPr>
        <w:t>demandant</w:t>
      </w:r>
      <w:r w:rsidR="00FD5388">
        <w:rPr>
          <w:kern w:val="18"/>
          <w:szCs w:val="18"/>
          <w:lang w:val="fr-FR"/>
        </w:rPr>
        <w:t xml:space="preserve"> l’envoi des réponses a été adressé</w:t>
      </w:r>
      <w:r w:rsidRPr="00FD5388">
        <w:rPr>
          <w:kern w:val="18"/>
          <w:szCs w:val="18"/>
          <w:lang w:val="fr-FR"/>
        </w:rPr>
        <w:t xml:space="preserve"> </w:t>
      </w:r>
      <w:r w:rsidR="00FD5388">
        <w:rPr>
          <w:kern w:val="18"/>
          <w:szCs w:val="18"/>
          <w:lang w:val="fr-FR"/>
        </w:rPr>
        <w:t>les 3 et 9 mars</w:t>
      </w:r>
      <w:r w:rsidRPr="00FD5388">
        <w:rPr>
          <w:kern w:val="18"/>
          <w:szCs w:val="18"/>
          <w:lang w:val="fr-FR"/>
        </w:rPr>
        <w:t xml:space="preserve"> 2017.</w:t>
      </w:r>
    </w:p>
  </w:footnote>
  <w:footnote w:id="5">
    <w:p w:rsidR="00E64249" w:rsidRPr="00FD5388" w:rsidRDefault="00E64249" w:rsidP="00F82F1D">
      <w:pPr>
        <w:pStyle w:val="FootnoteText"/>
        <w:keepLines w:val="0"/>
        <w:kinsoku w:val="0"/>
        <w:overflowPunct w:val="0"/>
        <w:autoSpaceDE w:val="0"/>
        <w:autoSpaceDN w:val="0"/>
        <w:ind w:firstLine="0"/>
        <w:jc w:val="left"/>
        <w:rPr>
          <w:rFonts w:asciiTheme="majorBidi" w:hAnsiTheme="majorBidi" w:cstheme="majorBidi"/>
          <w:kern w:val="18"/>
          <w:szCs w:val="18"/>
          <w:lang w:val="fr-FR"/>
        </w:rPr>
      </w:pPr>
      <w:r w:rsidRPr="00FD5388">
        <w:rPr>
          <w:rStyle w:val="FootnoteReference"/>
          <w:rFonts w:asciiTheme="majorBidi" w:hAnsiTheme="majorBidi" w:cstheme="majorBidi"/>
          <w:kern w:val="18"/>
          <w:szCs w:val="18"/>
          <w:u w:val="none"/>
          <w:vertAlign w:val="superscript"/>
          <w:lang w:val="fr-FR"/>
        </w:rPr>
        <w:footnoteRef/>
      </w:r>
      <w:r w:rsidRPr="00FD5388">
        <w:rPr>
          <w:rFonts w:asciiTheme="majorBidi" w:hAnsiTheme="majorBidi" w:cstheme="majorBidi"/>
          <w:kern w:val="18"/>
          <w:szCs w:val="18"/>
          <w:lang w:val="fr-FR"/>
        </w:rPr>
        <w:t xml:space="preserve"> UNEP/CBD/SBI/2/INF/1 </w:t>
      </w:r>
      <w:r w:rsidR="00FD5388" w:rsidRPr="00FD5388">
        <w:rPr>
          <w:rFonts w:asciiTheme="majorBidi" w:hAnsiTheme="majorBidi" w:cstheme="majorBidi"/>
          <w:kern w:val="18"/>
          <w:szCs w:val="18"/>
          <w:lang w:val="fr-FR"/>
        </w:rPr>
        <w:t>et</w:t>
      </w:r>
      <w:r w:rsidRPr="00FD5388">
        <w:rPr>
          <w:rFonts w:asciiTheme="majorBidi" w:hAnsiTheme="majorBidi" w:cstheme="majorBidi"/>
          <w:kern w:val="18"/>
          <w:szCs w:val="18"/>
          <w:lang w:val="fr-FR"/>
        </w:rPr>
        <w:t xml:space="preserve"> UNEP/CBD/SBI/2/INF/2.</w:t>
      </w:r>
    </w:p>
  </w:footnote>
  <w:footnote w:id="6">
    <w:p w:rsidR="00E64249" w:rsidRPr="00FD5388" w:rsidRDefault="00E64249" w:rsidP="00F82F1D">
      <w:pPr>
        <w:pStyle w:val="FootnoteText"/>
        <w:keepLines w:val="0"/>
        <w:kinsoku w:val="0"/>
        <w:overflowPunct w:val="0"/>
        <w:autoSpaceDE w:val="0"/>
        <w:autoSpaceDN w:val="0"/>
        <w:ind w:firstLine="0"/>
        <w:jc w:val="left"/>
        <w:rPr>
          <w:rFonts w:asciiTheme="majorBidi" w:hAnsiTheme="majorBidi" w:cstheme="majorBidi"/>
          <w:kern w:val="18"/>
          <w:szCs w:val="18"/>
          <w:lang w:val="fr-FR"/>
        </w:rPr>
      </w:pPr>
      <w:r w:rsidRPr="00FD5388">
        <w:rPr>
          <w:rStyle w:val="FootnoteReference"/>
          <w:rFonts w:asciiTheme="majorBidi" w:hAnsiTheme="majorBidi" w:cstheme="majorBidi"/>
          <w:kern w:val="18"/>
          <w:szCs w:val="18"/>
          <w:u w:val="none"/>
          <w:vertAlign w:val="superscript"/>
          <w:lang w:val="fr-FR"/>
        </w:rPr>
        <w:footnoteRef/>
      </w:r>
      <w:r w:rsidR="00643D67">
        <w:rPr>
          <w:rFonts w:asciiTheme="majorBidi" w:hAnsiTheme="majorBidi" w:cstheme="majorBidi"/>
          <w:kern w:val="18"/>
          <w:szCs w:val="18"/>
          <w:lang w:val="fr-FR"/>
        </w:rPr>
        <w:t xml:space="preserve"> Des observations ont été reçues de la Belgique, de </w:t>
      </w:r>
      <w:r w:rsidRPr="00FD5388">
        <w:rPr>
          <w:rFonts w:asciiTheme="majorBidi" w:hAnsiTheme="majorBidi" w:cstheme="majorBidi"/>
          <w:kern w:val="18"/>
          <w:szCs w:val="18"/>
          <w:lang w:val="fr-FR"/>
        </w:rPr>
        <w:t xml:space="preserve">Madagascar, </w:t>
      </w:r>
      <w:r w:rsidR="00643D67">
        <w:rPr>
          <w:rFonts w:asciiTheme="majorBidi" w:hAnsiTheme="majorBidi" w:cstheme="majorBidi"/>
          <w:kern w:val="18"/>
          <w:szCs w:val="18"/>
          <w:lang w:val="fr-FR"/>
        </w:rPr>
        <w:t>du Mexique et de la République islamique d’Iran, ainsi que des organisations « </w:t>
      </w:r>
      <w:r w:rsidRPr="00FD5388">
        <w:rPr>
          <w:rFonts w:asciiTheme="majorBidi" w:hAnsiTheme="majorBidi" w:cstheme="majorBidi"/>
          <w:kern w:val="18"/>
          <w:szCs w:val="18"/>
          <w:lang w:val="fr-FR"/>
        </w:rPr>
        <w:t xml:space="preserve">Andes </w:t>
      </w:r>
      <w:proofErr w:type="spellStart"/>
      <w:r w:rsidRPr="00FD5388">
        <w:rPr>
          <w:rFonts w:asciiTheme="majorBidi" w:hAnsiTheme="majorBidi" w:cstheme="majorBidi"/>
          <w:kern w:val="18"/>
          <w:szCs w:val="18"/>
          <w:lang w:val="fr-FR"/>
        </w:rPr>
        <w:t>Chinchasuyu</w:t>
      </w:r>
      <w:proofErr w:type="spellEnd"/>
      <w:r w:rsidR="00643D67">
        <w:rPr>
          <w:rFonts w:asciiTheme="majorBidi" w:hAnsiTheme="majorBidi" w:cstheme="majorBidi"/>
          <w:kern w:val="18"/>
          <w:szCs w:val="18"/>
          <w:lang w:val="fr-FR"/>
        </w:rPr>
        <w:t> » (Équateur) et « Réseau des femmes autochtones sur la biodiversité » (Amérique latine et Caraïbes)</w:t>
      </w:r>
      <w:r w:rsidRPr="00FD5388">
        <w:rPr>
          <w:rFonts w:asciiTheme="majorBidi" w:hAnsiTheme="majorBidi" w:cstheme="majorBidi"/>
          <w:kern w:val="18"/>
          <w:szCs w:val="18"/>
          <w:lang w:val="fr-FR"/>
        </w:rPr>
        <w:t>.</w:t>
      </w:r>
    </w:p>
  </w:footnote>
  <w:footnote w:id="7">
    <w:p w:rsidR="00E64249" w:rsidRPr="00FD5388" w:rsidRDefault="00E64249" w:rsidP="00F82F1D">
      <w:pPr>
        <w:pStyle w:val="FootnoteText"/>
        <w:keepLines w:val="0"/>
        <w:kinsoku w:val="0"/>
        <w:overflowPunct w:val="0"/>
        <w:autoSpaceDE w:val="0"/>
        <w:autoSpaceDN w:val="0"/>
        <w:ind w:firstLine="0"/>
        <w:jc w:val="left"/>
        <w:rPr>
          <w:kern w:val="18"/>
          <w:szCs w:val="18"/>
          <w:lang w:val="fr-FR"/>
        </w:rPr>
      </w:pPr>
      <w:r w:rsidRPr="00FD5388">
        <w:rPr>
          <w:rStyle w:val="FootnoteReference"/>
          <w:rFonts w:asciiTheme="majorBidi" w:hAnsiTheme="majorBidi" w:cstheme="majorBidi"/>
          <w:kern w:val="18"/>
          <w:szCs w:val="18"/>
          <w:u w:val="none"/>
          <w:vertAlign w:val="superscript"/>
          <w:lang w:val="fr-FR"/>
        </w:rPr>
        <w:footnoteRef/>
      </w:r>
      <w:r w:rsidR="00E47530">
        <w:rPr>
          <w:rFonts w:asciiTheme="majorBidi" w:hAnsiTheme="majorBidi" w:cstheme="majorBidi"/>
          <w:kern w:val="18"/>
          <w:szCs w:val="18"/>
          <w:lang w:val="fr-FR"/>
        </w:rPr>
        <w:t>Afrique du Sud</w:t>
      </w:r>
      <w:r w:rsidR="00E47530" w:rsidRPr="00FD5388">
        <w:rPr>
          <w:rFonts w:asciiTheme="majorBidi" w:hAnsiTheme="majorBidi" w:cstheme="majorBidi"/>
          <w:kern w:val="18"/>
          <w:szCs w:val="18"/>
          <w:lang w:val="fr-FR"/>
        </w:rPr>
        <w:t xml:space="preserve">, </w:t>
      </w:r>
      <w:r w:rsidR="00643D67">
        <w:rPr>
          <w:rFonts w:asciiTheme="majorBidi" w:hAnsiTheme="majorBidi" w:cstheme="majorBidi"/>
          <w:kern w:val="18"/>
          <w:szCs w:val="18"/>
          <w:lang w:val="fr-FR"/>
        </w:rPr>
        <w:t>Algé</w:t>
      </w:r>
      <w:r w:rsidRPr="00FD5388">
        <w:rPr>
          <w:rFonts w:asciiTheme="majorBidi" w:hAnsiTheme="majorBidi" w:cstheme="majorBidi"/>
          <w:kern w:val="18"/>
          <w:szCs w:val="18"/>
          <w:lang w:val="fr-FR"/>
        </w:rPr>
        <w:t>ri</w:t>
      </w:r>
      <w:r w:rsidR="00643D67">
        <w:rPr>
          <w:rFonts w:asciiTheme="majorBidi" w:hAnsiTheme="majorBidi" w:cstheme="majorBidi"/>
          <w:kern w:val="18"/>
          <w:szCs w:val="18"/>
          <w:lang w:val="fr-FR"/>
        </w:rPr>
        <w:t xml:space="preserve">e, </w:t>
      </w:r>
      <w:r w:rsidR="00E939D6">
        <w:rPr>
          <w:rFonts w:asciiTheme="majorBidi" w:hAnsiTheme="majorBidi" w:cstheme="majorBidi"/>
          <w:kern w:val="18"/>
          <w:szCs w:val="18"/>
          <w:lang w:val="fr-FR"/>
        </w:rPr>
        <w:t xml:space="preserve">Allemagne, </w:t>
      </w:r>
      <w:r w:rsidR="00643D67">
        <w:rPr>
          <w:rFonts w:asciiTheme="majorBidi" w:hAnsiTheme="majorBidi" w:cstheme="majorBidi"/>
          <w:kern w:val="18"/>
          <w:szCs w:val="18"/>
          <w:lang w:val="fr-FR"/>
        </w:rPr>
        <w:t>Antigua-et-Barbuda, Argentine</w:t>
      </w:r>
      <w:r w:rsidRPr="00FD5388">
        <w:rPr>
          <w:rFonts w:asciiTheme="majorBidi" w:hAnsiTheme="majorBidi" w:cstheme="majorBidi"/>
          <w:kern w:val="18"/>
          <w:szCs w:val="18"/>
          <w:lang w:val="fr-FR"/>
        </w:rPr>
        <w:t xml:space="preserve">, </w:t>
      </w:r>
      <w:r w:rsidR="00643D67">
        <w:rPr>
          <w:rFonts w:asciiTheme="majorBidi" w:hAnsiTheme="majorBidi" w:cstheme="majorBidi"/>
          <w:kern w:val="18"/>
          <w:szCs w:val="18"/>
          <w:lang w:val="fr-FR"/>
        </w:rPr>
        <w:t>Autriche, Belarus, Belgique, Bé</w:t>
      </w:r>
      <w:r w:rsidRPr="00FD5388">
        <w:rPr>
          <w:rFonts w:asciiTheme="majorBidi" w:hAnsiTheme="majorBidi" w:cstheme="majorBidi"/>
          <w:kern w:val="18"/>
          <w:szCs w:val="18"/>
          <w:lang w:val="fr-FR"/>
        </w:rPr>
        <w:t>nin, Bolivi</w:t>
      </w:r>
      <w:r w:rsidR="00643D67">
        <w:rPr>
          <w:rFonts w:asciiTheme="majorBidi" w:hAnsiTheme="majorBidi" w:cstheme="majorBidi"/>
          <w:kern w:val="18"/>
          <w:szCs w:val="18"/>
          <w:lang w:val="fr-FR"/>
        </w:rPr>
        <w:t>e, Bosnie-</w:t>
      </w:r>
      <w:r w:rsidRPr="00FD5388">
        <w:rPr>
          <w:rFonts w:asciiTheme="majorBidi" w:hAnsiTheme="majorBidi" w:cstheme="majorBidi"/>
          <w:kern w:val="18"/>
          <w:szCs w:val="18"/>
          <w:lang w:val="fr-FR"/>
        </w:rPr>
        <w:t>Herz</w:t>
      </w:r>
      <w:r w:rsidR="00643D67">
        <w:rPr>
          <w:rFonts w:asciiTheme="majorBidi" w:hAnsiTheme="majorBidi" w:cstheme="majorBidi"/>
          <w:kern w:val="18"/>
          <w:szCs w:val="18"/>
          <w:lang w:val="fr-FR"/>
        </w:rPr>
        <w:t>égovine</w:t>
      </w:r>
      <w:r w:rsidRPr="00FD5388">
        <w:rPr>
          <w:rFonts w:asciiTheme="majorBidi" w:hAnsiTheme="majorBidi" w:cstheme="majorBidi"/>
          <w:kern w:val="18"/>
          <w:szCs w:val="18"/>
          <w:lang w:val="fr-FR"/>
        </w:rPr>
        <w:t>, Bulgari</w:t>
      </w:r>
      <w:r w:rsidR="00643D67">
        <w:rPr>
          <w:rFonts w:asciiTheme="majorBidi" w:hAnsiTheme="majorBidi" w:cstheme="majorBidi"/>
          <w:kern w:val="18"/>
          <w:szCs w:val="18"/>
          <w:lang w:val="fr-FR"/>
        </w:rPr>
        <w:t>e</w:t>
      </w:r>
      <w:r w:rsidRPr="00FD5388">
        <w:rPr>
          <w:rFonts w:asciiTheme="majorBidi" w:hAnsiTheme="majorBidi" w:cstheme="majorBidi"/>
          <w:kern w:val="18"/>
          <w:szCs w:val="18"/>
          <w:lang w:val="fr-FR"/>
        </w:rPr>
        <w:t>, Bu</w:t>
      </w:r>
      <w:r w:rsidR="00643D67">
        <w:rPr>
          <w:rFonts w:asciiTheme="majorBidi" w:hAnsiTheme="majorBidi" w:cstheme="majorBidi"/>
          <w:kern w:val="18"/>
          <w:szCs w:val="18"/>
          <w:lang w:val="fr-FR"/>
        </w:rPr>
        <w:t>rundi, Cabo Verde, Canada, Chine, Colombie</w:t>
      </w:r>
      <w:r w:rsidRPr="00FD5388">
        <w:rPr>
          <w:rFonts w:asciiTheme="majorBidi" w:hAnsiTheme="majorBidi" w:cstheme="majorBidi"/>
          <w:kern w:val="18"/>
          <w:szCs w:val="18"/>
          <w:lang w:val="fr-FR"/>
        </w:rPr>
        <w:t xml:space="preserve">, Costa Rica, Côte d’Ivoire, Cuba, </w:t>
      </w:r>
      <w:r w:rsidR="00643D67">
        <w:rPr>
          <w:rFonts w:asciiTheme="majorBidi" w:hAnsiTheme="majorBidi" w:cstheme="majorBidi"/>
          <w:kern w:val="18"/>
          <w:szCs w:val="18"/>
          <w:lang w:val="fr-FR"/>
        </w:rPr>
        <w:t>Da</w:t>
      </w:r>
      <w:r w:rsidRPr="00FD5388">
        <w:rPr>
          <w:rFonts w:asciiTheme="majorBidi" w:hAnsiTheme="majorBidi" w:cstheme="majorBidi"/>
          <w:kern w:val="18"/>
          <w:szCs w:val="18"/>
          <w:lang w:val="fr-FR"/>
        </w:rPr>
        <w:t>n</w:t>
      </w:r>
      <w:r w:rsidR="00643D67">
        <w:rPr>
          <w:rFonts w:asciiTheme="majorBidi" w:hAnsiTheme="majorBidi" w:cstheme="majorBidi"/>
          <w:kern w:val="18"/>
          <w:szCs w:val="18"/>
          <w:lang w:val="fr-FR"/>
        </w:rPr>
        <w:t>e</w:t>
      </w:r>
      <w:r w:rsidRPr="00FD5388">
        <w:rPr>
          <w:rFonts w:asciiTheme="majorBidi" w:hAnsiTheme="majorBidi" w:cstheme="majorBidi"/>
          <w:kern w:val="18"/>
          <w:szCs w:val="18"/>
          <w:lang w:val="fr-FR"/>
        </w:rPr>
        <w:t xml:space="preserve">mark, </w:t>
      </w:r>
      <w:r w:rsidR="00643D67">
        <w:rPr>
          <w:rFonts w:asciiTheme="majorBidi" w:hAnsiTheme="majorBidi" w:cstheme="majorBidi"/>
          <w:kern w:val="18"/>
          <w:szCs w:val="18"/>
          <w:lang w:val="fr-FR"/>
        </w:rPr>
        <w:t>Équateur</w:t>
      </w:r>
      <w:r w:rsidRPr="00FD5388">
        <w:rPr>
          <w:rFonts w:asciiTheme="majorBidi" w:hAnsiTheme="majorBidi" w:cstheme="majorBidi"/>
          <w:kern w:val="18"/>
          <w:szCs w:val="18"/>
          <w:lang w:val="fr-FR"/>
        </w:rPr>
        <w:t xml:space="preserve">, </w:t>
      </w:r>
      <w:r w:rsidR="00E47530">
        <w:rPr>
          <w:rFonts w:asciiTheme="majorBidi" w:hAnsiTheme="majorBidi" w:cstheme="majorBidi"/>
          <w:kern w:val="18"/>
          <w:szCs w:val="18"/>
          <w:lang w:val="fr-FR"/>
        </w:rPr>
        <w:t>Espagne</w:t>
      </w:r>
      <w:r w:rsidR="00E47530" w:rsidRPr="00FD5388">
        <w:rPr>
          <w:rFonts w:asciiTheme="majorBidi" w:hAnsiTheme="majorBidi" w:cstheme="majorBidi"/>
          <w:kern w:val="18"/>
          <w:szCs w:val="18"/>
          <w:lang w:val="fr-FR"/>
        </w:rPr>
        <w:t xml:space="preserve">, </w:t>
      </w:r>
      <w:r w:rsidR="00E939D6" w:rsidRPr="00FD5388">
        <w:rPr>
          <w:rFonts w:asciiTheme="majorBidi" w:hAnsiTheme="majorBidi" w:cstheme="majorBidi"/>
          <w:kern w:val="18"/>
          <w:szCs w:val="18"/>
          <w:lang w:val="fr-FR"/>
        </w:rPr>
        <w:t>Finland</w:t>
      </w:r>
      <w:r w:rsidR="00E939D6">
        <w:rPr>
          <w:rFonts w:asciiTheme="majorBidi" w:hAnsiTheme="majorBidi" w:cstheme="majorBidi"/>
          <w:kern w:val="18"/>
          <w:szCs w:val="18"/>
          <w:lang w:val="fr-FR"/>
        </w:rPr>
        <w:t>e</w:t>
      </w:r>
      <w:r w:rsidR="00E939D6" w:rsidRPr="00FD5388">
        <w:rPr>
          <w:rFonts w:asciiTheme="majorBidi" w:hAnsiTheme="majorBidi" w:cstheme="majorBidi"/>
          <w:kern w:val="18"/>
          <w:szCs w:val="18"/>
          <w:lang w:val="fr-FR"/>
        </w:rPr>
        <w:t>,</w:t>
      </w:r>
      <w:r w:rsidR="00E939D6">
        <w:rPr>
          <w:rFonts w:asciiTheme="majorBidi" w:hAnsiTheme="majorBidi" w:cstheme="majorBidi"/>
          <w:kern w:val="18"/>
          <w:szCs w:val="18"/>
          <w:lang w:val="fr-FR"/>
        </w:rPr>
        <w:t xml:space="preserve"> Ghana, Grenade, </w:t>
      </w:r>
      <w:r w:rsidR="00643D67">
        <w:rPr>
          <w:rFonts w:asciiTheme="majorBidi" w:hAnsiTheme="majorBidi" w:cstheme="majorBidi"/>
          <w:kern w:val="18"/>
          <w:szCs w:val="18"/>
          <w:lang w:val="fr-FR"/>
        </w:rPr>
        <w:t>Guatemala, Guinée</w:t>
      </w:r>
      <w:r w:rsidR="00E939D6">
        <w:rPr>
          <w:rFonts w:asciiTheme="majorBidi" w:hAnsiTheme="majorBidi" w:cstheme="majorBidi"/>
          <w:kern w:val="18"/>
          <w:szCs w:val="18"/>
          <w:lang w:val="fr-FR"/>
        </w:rPr>
        <w:t>-Bissau, Guinée équatoriale</w:t>
      </w:r>
      <w:r w:rsidR="00E939D6" w:rsidRPr="00FD5388">
        <w:rPr>
          <w:rFonts w:asciiTheme="majorBidi" w:hAnsiTheme="majorBidi" w:cstheme="majorBidi"/>
          <w:kern w:val="18"/>
          <w:szCs w:val="18"/>
          <w:lang w:val="fr-FR"/>
        </w:rPr>
        <w:t>,</w:t>
      </w:r>
      <w:r w:rsidR="00E939D6">
        <w:rPr>
          <w:rFonts w:asciiTheme="majorBidi" w:hAnsiTheme="majorBidi" w:cstheme="majorBidi"/>
          <w:kern w:val="18"/>
          <w:szCs w:val="18"/>
          <w:lang w:val="fr-FR"/>
        </w:rPr>
        <w:t xml:space="preserve"> </w:t>
      </w:r>
      <w:r w:rsidRPr="00FD5388">
        <w:rPr>
          <w:rFonts w:asciiTheme="majorBidi" w:hAnsiTheme="majorBidi" w:cstheme="majorBidi"/>
          <w:kern w:val="18"/>
          <w:szCs w:val="18"/>
          <w:lang w:val="fr-FR"/>
        </w:rPr>
        <w:t xml:space="preserve">Honduras, </w:t>
      </w:r>
      <w:r w:rsidR="00643D67">
        <w:rPr>
          <w:rFonts w:asciiTheme="majorBidi" w:hAnsiTheme="majorBidi" w:cstheme="majorBidi"/>
          <w:kern w:val="18"/>
          <w:szCs w:val="18"/>
          <w:lang w:val="fr-FR"/>
        </w:rPr>
        <w:t>Inde</w:t>
      </w:r>
      <w:r w:rsidRPr="00FD5388">
        <w:rPr>
          <w:rFonts w:asciiTheme="majorBidi" w:hAnsiTheme="majorBidi" w:cstheme="majorBidi"/>
          <w:kern w:val="18"/>
          <w:szCs w:val="18"/>
          <w:lang w:val="fr-FR"/>
        </w:rPr>
        <w:t>, Iran (</w:t>
      </w:r>
      <w:r w:rsidR="00643D67">
        <w:rPr>
          <w:rFonts w:asciiTheme="majorBidi" w:hAnsiTheme="majorBidi" w:cstheme="majorBidi"/>
          <w:kern w:val="18"/>
          <w:szCs w:val="18"/>
          <w:lang w:val="fr-FR"/>
        </w:rPr>
        <w:t xml:space="preserve">République islamique d’), Jamaïque, Koweït, Madagascar, Malaisie, Mali, </w:t>
      </w:r>
      <w:r w:rsidR="00E939D6">
        <w:rPr>
          <w:rFonts w:asciiTheme="majorBidi" w:hAnsiTheme="majorBidi" w:cstheme="majorBidi"/>
          <w:kern w:val="18"/>
          <w:szCs w:val="18"/>
          <w:lang w:val="fr-FR"/>
        </w:rPr>
        <w:t xml:space="preserve">Maroc, </w:t>
      </w:r>
      <w:r w:rsidR="00643D67">
        <w:rPr>
          <w:rFonts w:asciiTheme="majorBidi" w:hAnsiTheme="majorBidi" w:cstheme="majorBidi"/>
          <w:kern w:val="18"/>
          <w:szCs w:val="18"/>
          <w:lang w:val="fr-FR"/>
        </w:rPr>
        <w:t>Mexique</w:t>
      </w:r>
      <w:r w:rsidRPr="00FD5388">
        <w:rPr>
          <w:rFonts w:asciiTheme="majorBidi" w:hAnsiTheme="majorBidi" w:cstheme="majorBidi"/>
          <w:kern w:val="18"/>
          <w:szCs w:val="18"/>
          <w:lang w:val="fr-FR"/>
        </w:rPr>
        <w:t xml:space="preserve">, </w:t>
      </w:r>
      <w:r w:rsidR="00643D67">
        <w:rPr>
          <w:rFonts w:asciiTheme="majorBidi" w:hAnsiTheme="majorBidi" w:cstheme="majorBidi"/>
          <w:kern w:val="18"/>
          <w:szCs w:val="18"/>
          <w:lang w:val="fr-FR"/>
        </w:rPr>
        <w:t>Mozambique, Né</w:t>
      </w:r>
      <w:r w:rsidRPr="00FD5388">
        <w:rPr>
          <w:rFonts w:asciiTheme="majorBidi" w:hAnsiTheme="majorBidi" w:cstheme="majorBidi"/>
          <w:kern w:val="18"/>
          <w:szCs w:val="18"/>
          <w:lang w:val="fr-FR"/>
        </w:rPr>
        <w:t xml:space="preserve">pal, Niger, </w:t>
      </w:r>
      <w:r w:rsidR="00643D67">
        <w:rPr>
          <w:rFonts w:asciiTheme="majorBidi" w:hAnsiTheme="majorBidi" w:cstheme="majorBidi"/>
          <w:kern w:val="18"/>
          <w:szCs w:val="18"/>
          <w:lang w:val="fr-FR"/>
        </w:rPr>
        <w:t>Norvège</w:t>
      </w:r>
      <w:r w:rsidRPr="00FD5388">
        <w:rPr>
          <w:rFonts w:asciiTheme="majorBidi" w:hAnsiTheme="majorBidi" w:cstheme="majorBidi"/>
          <w:kern w:val="18"/>
          <w:szCs w:val="18"/>
          <w:lang w:val="fr-FR"/>
        </w:rPr>
        <w:t xml:space="preserve">, </w:t>
      </w:r>
      <w:r w:rsidR="00E47530">
        <w:rPr>
          <w:rFonts w:asciiTheme="majorBidi" w:hAnsiTheme="majorBidi" w:cstheme="majorBidi"/>
          <w:kern w:val="18"/>
          <w:szCs w:val="18"/>
          <w:lang w:val="fr-FR"/>
        </w:rPr>
        <w:t xml:space="preserve">Ouganda, </w:t>
      </w:r>
      <w:r w:rsidRPr="00FD5388">
        <w:rPr>
          <w:rFonts w:asciiTheme="majorBidi" w:hAnsiTheme="majorBidi" w:cstheme="majorBidi"/>
          <w:kern w:val="18"/>
          <w:szCs w:val="18"/>
          <w:lang w:val="fr-FR"/>
        </w:rPr>
        <w:t>Pakistan,</w:t>
      </w:r>
      <w:r w:rsidR="00643D67">
        <w:rPr>
          <w:rFonts w:asciiTheme="majorBidi" w:hAnsiTheme="majorBidi" w:cstheme="majorBidi"/>
          <w:kern w:val="18"/>
          <w:szCs w:val="18"/>
          <w:lang w:val="fr-FR"/>
        </w:rPr>
        <w:t xml:space="preserve"> </w:t>
      </w:r>
      <w:r w:rsidR="00E939D6">
        <w:rPr>
          <w:rFonts w:asciiTheme="majorBidi" w:hAnsiTheme="majorBidi" w:cstheme="majorBidi"/>
          <w:kern w:val="18"/>
          <w:szCs w:val="18"/>
          <w:lang w:val="fr-FR"/>
        </w:rPr>
        <w:t>Pays-Bas</w:t>
      </w:r>
      <w:r w:rsidR="00E939D6" w:rsidRPr="00FD5388">
        <w:rPr>
          <w:rFonts w:asciiTheme="majorBidi" w:hAnsiTheme="majorBidi" w:cstheme="majorBidi"/>
          <w:kern w:val="18"/>
          <w:szCs w:val="18"/>
          <w:lang w:val="fr-FR"/>
        </w:rPr>
        <w:t xml:space="preserve">, </w:t>
      </w:r>
      <w:r w:rsidR="00643D67">
        <w:rPr>
          <w:rFonts w:asciiTheme="majorBidi" w:hAnsiTheme="majorBidi" w:cstheme="majorBidi"/>
          <w:kern w:val="18"/>
          <w:szCs w:val="18"/>
          <w:lang w:val="fr-FR"/>
        </w:rPr>
        <w:t>Pé</w:t>
      </w:r>
      <w:r w:rsidRPr="00FD5388">
        <w:rPr>
          <w:rFonts w:asciiTheme="majorBidi" w:hAnsiTheme="majorBidi" w:cstheme="majorBidi"/>
          <w:kern w:val="18"/>
          <w:szCs w:val="18"/>
          <w:lang w:val="fr-FR"/>
        </w:rPr>
        <w:t>r</w:t>
      </w:r>
      <w:r w:rsidR="00643D67">
        <w:rPr>
          <w:rFonts w:asciiTheme="majorBidi" w:hAnsiTheme="majorBidi" w:cstheme="majorBidi"/>
          <w:kern w:val="18"/>
          <w:szCs w:val="18"/>
          <w:lang w:val="fr-FR"/>
        </w:rPr>
        <w:t>ou, Philippines, République de Corée</w:t>
      </w:r>
      <w:r w:rsidRPr="00FD5388">
        <w:rPr>
          <w:rFonts w:asciiTheme="majorBidi" w:hAnsiTheme="majorBidi" w:cstheme="majorBidi"/>
          <w:kern w:val="18"/>
          <w:szCs w:val="18"/>
          <w:lang w:val="fr-FR"/>
        </w:rPr>
        <w:t xml:space="preserve">, </w:t>
      </w:r>
      <w:r w:rsidR="00E939D6">
        <w:rPr>
          <w:rFonts w:asciiTheme="majorBidi" w:hAnsiTheme="majorBidi" w:cstheme="majorBidi"/>
          <w:kern w:val="18"/>
          <w:szCs w:val="18"/>
          <w:lang w:val="fr-FR"/>
        </w:rPr>
        <w:t xml:space="preserve">République démocratique du Congo, République tchèque, </w:t>
      </w:r>
      <w:r w:rsidR="00E47530" w:rsidRPr="00FD5388">
        <w:rPr>
          <w:rFonts w:asciiTheme="majorBidi" w:hAnsiTheme="majorBidi" w:cstheme="majorBidi"/>
          <w:kern w:val="18"/>
          <w:szCs w:val="18"/>
          <w:lang w:val="fr-FR"/>
        </w:rPr>
        <w:t>Saint</w:t>
      </w:r>
      <w:r w:rsidR="00E47530">
        <w:rPr>
          <w:rFonts w:asciiTheme="majorBidi" w:hAnsiTheme="majorBidi" w:cstheme="majorBidi"/>
          <w:kern w:val="18"/>
          <w:szCs w:val="18"/>
          <w:lang w:val="fr-FR"/>
        </w:rPr>
        <w:t>-Kitts-et-</w:t>
      </w:r>
      <w:r w:rsidR="00E47530" w:rsidRPr="00FD5388">
        <w:rPr>
          <w:rFonts w:asciiTheme="majorBidi" w:hAnsiTheme="majorBidi" w:cstheme="majorBidi"/>
          <w:kern w:val="18"/>
          <w:szCs w:val="18"/>
          <w:lang w:val="fr-FR"/>
        </w:rPr>
        <w:t xml:space="preserve">Nevis, </w:t>
      </w:r>
      <w:r w:rsidRPr="00FD5388">
        <w:rPr>
          <w:rFonts w:asciiTheme="majorBidi" w:hAnsiTheme="majorBidi" w:cstheme="majorBidi"/>
          <w:kern w:val="18"/>
          <w:szCs w:val="18"/>
          <w:lang w:val="fr-FR"/>
        </w:rPr>
        <w:t>Sao Tom</w:t>
      </w:r>
      <w:r w:rsidR="00643D67">
        <w:rPr>
          <w:rFonts w:asciiTheme="majorBidi" w:hAnsiTheme="majorBidi" w:cstheme="majorBidi"/>
          <w:kern w:val="18"/>
          <w:szCs w:val="18"/>
          <w:lang w:val="fr-FR"/>
        </w:rPr>
        <w:t>é-et-P</w:t>
      </w:r>
      <w:r w:rsidRPr="00FD5388">
        <w:rPr>
          <w:rFonts w:asciiTheme="majorBidi" w:hAnsiTheme="majorBidi" w:cstheme="majorBidi"/>
          <w:kern w:val="18"/>
          <w:szCs w:val="18"/>
          <w:lang w:val="fr-FR"/>
        </w:rPr>
        <w:t>rincipe</w:t>
      </w:r>
      <w:r w:rsidR="00643D67">
        <w:rPr>
          <w:rFonts w:asciiTheme="majorBidi" w:hAnsiTheme="majorBidi" w:cstheme="majorBidi"/>
          <w:kern w:val="18"/>
          <w:szCs w:val="18"/>
          <w:lang w:val="fr-FR"/>
        </w:rPr>
        <w:t>, Sénégal, Seychelles, Slovaquie, Slové</w:t>
      </w:r>
      <w:r w:rsidRPr="00FD5388">
        <w:rPr>
          <w:rFonts w:asciiTheme="majorBidi" w:hAnsiTheme="majorBidi" w:cstheme="majorBidi"/>
          <w:kern w:val="18"/>
          <w:szCs w:val="18"/>
          <w:lang w:val="fr-FR"/>
        </w:rPr>
        <w:t>ni</w:t>
      </w:r>
      <w:r w:rsidR="00643D67">
        <w:rPr>
          <w:rFonts w:asciiTheme="majorBidi" w:hAnsiTheme="majorBidi" w:cstheme="majorBidi"/>
          <w:kern w:val="18"/>
          <w:szCs w:val="18"/>
          <w:lang w:val="fr-FR"/>
        </w:rPr>
        <w:t>e</w:t>
      </w:r>
      <w:r w:rsidRPr="00FD5388">
        <w:rPr>
          <w:rFonts w:asciiTheme="majorBidi" w:hAnsiTheme="majorBidi" w:cstheme="majorBidi"/>
          <w:kern w:val="18"/>
          <w:szCs w:val="18"/>
          <w:lang w:val="fr-FR"/>
        </w:rPr>
        <w:t>, S</w:t>
      </w:r>
      <w:r w:rsidR="00643D67">
        <w:rPr>
          <w:rFonts w:asciiTheme="majorBidi" w:hAnsiTheme="majorBidi" w:cstheme="majorBidi"/>
          <w:kern w:val="18"/>
          <w:szCs w:val="18"/>
          <w:lang w:val="fr-FR"/>
        </w:rPr>
        <w:t>o</w:t>
      </w:r>
      <w:r w:rsidRPr="00FD5388">
        <w:rPr>
          <w:rFonts w:asciiTheme="majorBidi" w:hAnsiTheme="majorBidi" w:cstheme="majorBidi"/>
          <w:kern w:val="18"/>
          <w:szCs w:val="18"/>
          <w:lang w:val="fr-FR"/>
        </w:rPr>
        <w:t xml:space="preserve">udan, </w:t>
      </w:r>
      <w:r w:rsidR="00643D67">
        <w:rPr>
          <w:rFonts w:asciiTheme="majorBidi" w:hAnsiTheme="majorBidi" w:cstheme="majorBidi"/>
          <w:kern w:val="18"/>
          <w:szCs w:val="18"/>
          <w:lang w:val="fr-FR"/>
        </w:rPr>
        <w:t xml:space="preserve">Suisse, Tunisie, Ukraine, </w:t>
      </w:r>
      <w:r w:rsidR="00E939D6" w:rsidRPr="00FD5388">
        <w:rPr>
          <w:rFonts w:asciiTheme="majorBidi" w:hAnsiTheme="majorBidi" w:cstheme="majorBidi"/>
          <w:kern w:val="18"/>
          <w:szCs w:val="18"/>
          <w:lang w:val="fr-FR"/>
        </w:rPr>
        <w:t>Union</w:t>
      </w:r>
      <w:r w:rsidR="00E939D6">
        <w:rPr>
          <w:rFonts w:asciiTheme="majorBidi" w:hAnsiTheme="majorBidi" w:cstheme="majorBidi"/>
          <w:kern w:val="18"/>
          <w:szCs w:val="18"/>
          <w:lang w:val="fr-FR"/>
        </w:rPr>
        <w:t xml:space="preserve"> européenne</w:t>
      </w:r>
      <w:r w:rsidR="00E939D6" w:rsidRPr="00FD5388">
        <w:rPr>
          <w:rFonts w:asciiTheme="majorBidi" w:hAnsiTheme="majorBidi" w:cstheme="majorBidi"/>
          <w:kern w:val="18"/>
          <w:szCs w:val="18"/>
          <w:lang w:val="fr-FR"/>
        </w:rPr>
        <w:t xml:space="preserve">, </w:t>
      </w:r>
      <w:r w:rsidR="00643D67">
        <w:rPr>
          <w:rFonts w:asciiTheme="majorBidi" w:hAnsiTheme="majorBidi" w:cstheme="majorBidi"/>
          <w:kern w:val="18"/>
          <w:szCs w:val="18"/>
          <w:lang w:val="fr-FR"/>
        </w:rPr>
        <w:t>Yémen et</w:t>
      </w:r>
      <w:r w:rsidRPr="00FD5388">
        <w:rPr>
          <w:rFonts w:asciiTheme="majorBidi" w:hAnsiTheme="majorBidi" w:cstheme="majorBidi"/>
          <w:kern w:val="18"/>
          <w:szCs w:val="18"/>
          <w:lang w:val="fr-FR"/>
        </w:rPr>
        <w:t xml:space="preserve"> Zimbabwe. </w:t>
      </w:r>
      <w:r w:rsidR="00643D67">
        <w:rPr>
          <w:rFonts w:asciiTheme="majorBidi" w:hAnsiTheme="majorBidi" w:cstheme="majorBidi"/>
          <w:kern w:val="18"/>
          <w:szCs w:val="18"/>
          <w:lang w:val="fr-FR"/>
        </w:rPr>
        <w:t>En outre</w:t>
      </w:r>
      <w:r w:rsidRPr="00FD5388">
        <w:rPr>
          <w:rFonts w:asciiTheme="majorBidi" w:hAnsiTheme="majorBidi" w:cstheme="majorBidi"/>
          <w:kern w:val="18"/>
          <w:szCs w:val="18"/>
          <w:lang w:val="fr-FR"/>
        </w:rPr>
        <w:t xml:space="preserve">, </w:t>
      </w:r>
      <w:r w:rsidR="00643D67">
        <w:rPr>
          <w:rFonts w:asciiTheme="majorBidi" w:hAnsiTheme="majorBidi" w:cstheme="majorBidi"/>
          <w:kern w:val="18"/>
          <w:szCs w:val="18"/>
          <w:lang w:val="fr-FR"/>
        </w:rPr>
        <w:t>une Partie (Irak</w:t>
      </w:r>
      <w:r w:rsidRPr="00FD5388">
        <w:rPr>
          <w:rFonts w:asciiTheme="majorBidi" w:hAnsiTheme="majorBidi" w:cstheme="majorBidi"/>
          <w:kern w:val="18"/>
          <w:szCs w:val="18"/>
          <w:lang w:val="fr-FR"/>
        </w:rPr>
        <w:t xml:space="preserve">) </w:t>
      </w:r>
      <w:r w:rsidR="00643D67">
        <w:rPr>
          <w:rFonts w:asciiTheme="majorBidi" w:hAnsiTheme="majorBidi" w:cstheme="majorBidi"/>
          <w:kern w:val="18"/>
          <w:szCs w:val="18"/>
          <w:lang w:val="fr-FR"/>
        </w:rPr>
        <w:t>a indiqué qu’elle ne pouvait répondre à la</w:t>
      </w:r>
      <w:r w:rsidRPr="00FD5388">
        <w:rPr>
          <w:rFonts w:asciiTheme="majorBidi" w:hAnsiTheme="majorBidi" w:cstheme="majorBidi"/>
          <w:kern w:val="18"/>
          <w:szCs w:val="18"/>
          <w:lang w:val="fr-FR"/>
        </w:rPr>
        <w:t xml:space="preserve"> notification </w:t>
      </w:r>
      <w:r w:rsidR="00643D67">
        <w:rPr>
          <w:rFonts w:asciiTheme="majorBidi" w:hAnsiTheme="majorBidi" w:cstheme="majorBidi"/>
          <w:kern w:val="18"/>
          <w:szCs w:val="18"/>
          <w:lang w:val="fr-FR"/>
        </w:rPr>
        <w:t>du fait qu’elle ne pouvait participer aux réunions concomitantes pour des raisons de visas</w:t>
      </w:r>
      <w:r w:rsidRPr="00FD5388">
        <w:rPr>
          <w:rFonts w:asciiTheme="majorBidi" w:hAnsiTheme="majorBidi" w:cstheme="majorBidi"/>
          <w:kern w:val="18"/>
          <w:szCs w:val="18"/>
          <w:lang w:val="fr-FR"/>
        </w:rPr>
        <w:t>.</w:t>
      </w:r>
    </w:p>
  </w:footnote>
  <w:footnote w:id="8">
    <w:p w:rsidR="00E64249" w:rsidRPr="00FD5388" w:rsidRDefault="00E64249" w:rsidP="00F82F1D">
      <w:pPr>
        <w:pStyle w:val="FootnoteText"/>
        <w:keepLines w:val="0"/>
        <w:kinsoku w:val="0"/>
        <w:overflowPunct w:val="0"/>
        <w:autoSpaceDE w:val="0"/>
        <w:autoSpaceDN w:val="0"/>
        <w:ind w:firstLine="0"/>
        <w:jc w:val="left"/>
        <w:rPr>
          <w:rFonts w:asciiTheme="majorBidi" w:hAnsiTheme="majorBidi" w:cstheme="majorBidi"/>
          <w:kern w:val="18"/>
          <w:szCs w:val="18"/>
          <w:lang w:val="fr-FR"/>
        </w:rPr>
      </w:pPr>
      <w:r w:rsidRPr="00FD5388">
        <w:rPr>
          <w:rStyle w:val="FootnoteReference"/>
          <w:rFonts w:asciiTheme="majorBidi" w:hAnsiTheme="majorBidi" w:cstheme="majorBidi"/>
          <w:kern w:val="18"/>
          <w:szCs w:val="18"/>
          <w:u w:val="none"/>
          <w:vertAlign w:val="superscript"/>
          <w:lang w:val="fr-FR"/>
        </w:rPr>
        <w:footnoteRef/>
      </w:r>
      <w:r w:rsidR="00643D67">
        <w:rPr>
          <w:rFonts w:asciiTheme="majorBidi" w:hAnsiTheme="majorBidi" w:cstheme="majorBidi"/>
          <w:kern w:val="18"/>
          <w:szCs w:val="18"/>
          <w:lang w:val="fr-FR"/>
        </w:rPr>
        <w:t xml:space="preserve"> Les adresses électroniques </w:t>
      </w:r>
      <w:r w:rsidR="00E939D6">
        <w:rPr>
          <w:rFonts w:asciiTheme="majorBidi" w:hAnsiTheme="majorBidi" w:cstheme="majorBidi"/>
          <w:kern w:val="18"/>
          <w:szCs w:val="18"/>
          <w:lang w:val="fr-FR"/>
        </w:rPr>
        <w:t>figuraient sur la liste d’inscription des participants à la Conférence des Nations Unies sur la biodiversité. Certains participants ayant omis d’inscrire leur adresse électronique et/ou de s’inscrire en utilisant une adresse institutionnelle générique, il a été impossible de les contacter. L’enquête n’a pas non plus été adressée au personnel chargé du service des réunions, aux agents de sécurité des Nations Unies, aux interprètes, au personnel local, aux volontaires, ni aux personnes ayant exclusivement assisté à une réunion tenue en marge de la Conférence</w:t>
      </w:r>
      <w:r w:rsidRPr="00FD5388">
        <w:rPr>
          <w:rFonts w:asciiTheme="majorBidi" w:hAnsiTheme="majorBidi" w:cstheme="majorBidi"/>
          <w:kern w:val="18"/>
          <w:szCs w:val="18"/>
          <w:lang w:val="fr-FR"/>
        </w:rPr>
        <w:t>.</w:t>
      </w:r>
    </w:p>
  </w:footnote>
  <w:footnote w:id="9">
    <w:p w:rsidR="00E64249" w:rsidRPr="00E47530" w:rsidRDefault="00E64249" w:rsidP="00154250">
      <w:pPr>
        <w:pStyle w:val="FootnoteText"/>
        <w:keepLines w:val="0"/>
        <w:kinsoku w:val="0"/>
        <w:overflowPunct w:val="0"/>
        <w:autoSpaceDE w:val="0"/>
        <w:autoSpaceDN w:val="0"/>
        <w:ind w:firstLine="0"/>
        <w:jc w:val="left"/>
        <w:rPr>
          <w:kern w:val="18"/>
          <w:szCs w:val="18"/>
          <w:lang w:val="fr-FR"/>
        </w:rPr>
      </w:pPr>
      <w:r w:rsidRPr="00E47530">
        <w:rPr>
          <w:rStyle w:val="FootnoteReference"/>
          <w:kern w:val="18"/>
          <w:szCs w:val="18"/>
          <w:u w:val="none"/>
          <w:vertAlign w:val="superscript"/>
          <w:lang w:val="fr-FR"/>
        </w:rPr>
        <w:footnoteRef/>
      </w:r>
      <w:r w:rsidRPr="00E47530">
        <w:rPr>
          <w:kern w:val="18"/>
          <w:szCs w:val="18"/>
          <w:lang w:val="fr-FR"/>
        </w:rPr>
        <w:t xml:space="preserve"> </w:t>
      </w:r>
      <w:r w:rsidR="00E47530">
        <w:rPr>
          <w:kern w:val="18"/>
          <w:szCs w:val="18"/>
          <w:lang w:val="fr-FR"/>
        </w:rPr>
        <w:t>Dans certains cas</w:t>
      </w:r>
      <w:r w:rsidRPr="00E47530">
        <w:rPr>
          <w:kern w:val="18"/>
          <w:szCs w:val="18"/>
          <w:lang w:val="fr-FR"/>
        </w:rPr>
        <w:t>,</w:t>
      </w:r>
      <w:r w:rsidR="00E47530">
        <w:rPr>
          <w:kern w:val="18"/>
          <w:szCs w:val="18"/>
          <w:lang w:val="fr-FR"/>
        </w:rPr>
        <w:t xml:space="preserve"> toutefois, par exemple lorsqu’un participant d’un pays en développement siégeait au Bureau de la Conférence des Parties</w:t>
      </w:r>
      <w:r w:rsidRPr="00E47530">
        <w:rPr>
          <w:kern w:val="18"/>
          <w:szCs w:val="18"/>
          <w:lang w:val="fr-FR"/>
        </w:rPr>
        <w:t xml:space="preserve">, </w:t>
      </w:r>
      <w:r w:rsidR="00E47530">
        <w:rPr>
          <w:kern w:val="18"/>
          <w:szCs w:val="18"/>
          <w:lang w:val="fr-FR"/>
        </w:rPr>
        <w:t>l’aide a concerné plusieurs</w:t>
      </w:r>
      <w:r w:rsidRPr="00E47530">
        <w:rPr>
          <w:kern w:val="18"/>
          <w:szCs w:val="18"/>
          <w:lang w:val="fr-FR"/>
        </w:rPr>
        <w:t xml:space="preserve"> participants </w:t>
      </w:r>
      <w:r w:rsidR="00E47530">
        <w:rPr>
          <w:kern w:val="18"/>
          <w:szCs w:val="18"/>
          <w:lang w:val="fr-FR"/>
        </w:rPr>
        <w:t>d’une même Partie</w:t>
      </w:r>
      <w:r w:rsidRPr="00E47530">
        <w:rPr>
          <w:kern w:val="18"/>
          <w:szCs w:val="18"/>
          <w:lang w:val="fr-FR"/>
        </w:rPr>
        <w:t>.</w:t>
      </w:r>
    </w:p>
  </w:footnote>
  <w:footnote w:id="10">
    <w:p w:rsidR="00E64249" w:rsidRPr="00E47530" w:rsidRDefault="00E64249" w:rsidP="00FD5893">
      <w:pPr>
        <w:pStyle w:val="FootnoteText"/>
        <w:keepLines w:val="0"/>
        <w:kinsoku w:val="0"/>
        <w:overflowPunct w:val="0"/>
        <w:autoSpaceDE w:val="0"/>
        <w:autoSpaceDN w:val="0"/>
        <w:ind w:firstLine="0"/>
        <w:jc w:val="left"/>
        <w:rPr>
          <w:kern w:val="18"/>
          <w:szCs w:val="18"/>
          <w:lang w:val="fr-FR"/>
        </w:rPr>
      </w:pPr>
      <w:r w:rsidRPr="00E47530">
        <w:rPr>
          <w:rStyle w:val="FootnoteReference"/>
          <w:kern w:val="18"/>
          <w:szCs w:val="18"/>
          <w:u w:val="none"/>
          <w:vertAlign w:val="superscript"/>
          <w:lang w:val="fr-FR"/>
        </w:rPr>
        <w:footnoteRef/>
      </w:r>
      <w:r w:rsidR="00E47530">
        <w:rPr>
          <w:kern w:val="18"/>
          <w:szCs w:val="18"/>
          <w:lang w:val="fr-FR"/>
        </w:rPr>
        <w:t xml:space="preserve"> Veuillez noter que le nombre de Parties remplissant les conditions pour recevoir une aide financière s’est accru au fil des années. La cinquième réunion de la Conférence des Parties siégeant en tant que réunion des Parties a compté 135 Par</w:t>
      </w:r>
      <w:r w:rsidR="00483B02">
        <w:rPr>
          <w:kern w:val="18"/>
          <w:szCs w:val="18"/>
          <w:lang w:val="fr-FR"/>
        </w:rPr>
        <w:t>ties remplissant les conditions</w:t>
      </w:r>
      <w:r w:rsidR="00E47530">
        <w:rPr>
          <w:kern w:val="18"/>
          <w:szCs w:val="18"/>
          <w:lang w:val="fr-FR"/>
        </w:rPr>
        <w:t>, la sixième réunion, 141, la septième réunion, 143, et la huitième réunion, 145</w:t>
      </w:r>
      <w:r w:rsidRPr="00E47530">
        <w:rPr>
          <w:kern w:val="18"/>
          <w:szCs w:val="18"/>
          <w:lang w:val="fr-FR"/>
        </w:rPr>
        <w:t>.</w:t>
      </w:r>
    </w:p>
  </w:footnote>
  <w:footnote w:id="11">
    <w:p w:rsidR="00E64249" w:rsidRPr="00E47530" w:rsidRDefault="00E64249" w:rsidP="00F82F1D">
      <w:pPr>
        <w:pStyle w:val="FootnoteText"/>
        <w:keepLines w:val="0"/>
        <w:kinsoku w:val="0"/>
        <w:overflowPunct w:val="0"/>
        <w:autoSpaceDE w:val="0"/>
        <w:autoSpaceDN w:val="0"/>
        <w:ind w:firstLine="0"/>
        <w:jc w:val="left"/>
        <w:rPr>
          <w:kern w:val="18"/>
          <w:szCs w:val="18"/>
          <w:lang w:val="fr-FR"/>
        </w:rPr>
      </w:pPr>
      <w:r w:rsidRPr="00E47530">
        <w:rPr>
          <w:rStyle w:val="FootnoteReference"/>
          <w:kern w:val="18"/>
          <w:szCs w:val="18"/>
          <w:u w:val="none"/>
          <w:vertAlign w:val="superscript"/>
          <w:lang w:val="fr-FR"/>
        </w:rPr>
        <w:footnoteRef/>
      </w:r>
      <w:r w:rsidR="00E47530">
        <w:rPr>
          <w:kern w:val="18"/>
          <w:szCs w:val="18"/>
          <w:lang w:val="fr-FR"/>
        </w:rPr>
        <w:t xml:space="preserve"> La question de l’aide fournie aux pays en développement Parties, afin qu’ils participent aux réunions de la Conférence des Parties et à celles des deux Protocoles, sera approfondie à la deuxième réunion de l’Organe subsidiaire chargé de l’application, au titre du point 17 de l’ordre du jour (Fonds d’affectation spéciale pour faciliter la participation des Parties au processus de la Convention : allocation de ressources et possibilités de faire participer le secteur privé). Une documentation relative à ce point de l’ordre du jour apportera des informations complémentaires sur cette question</w:t>
      </w:r>
      <w:r w:rsidRPr="00E47530">
        <w:rPr>
          <w:kern w:val="18"/>
          <w:szCs w:val="18"/>
          <w:lang w:val="fr-FR"/>
        </w:rPr>
        <w:t>.</w:t>
      </w:r>
    </w:p>
  </w:footnote>
  <w:footnote w:id="12">
    <w:p w:rsidR="00E64249" w:rsidRPr="00E47530" w:rsidRDefault="00E64249" w:rsidP="00F82F1D">
      <w:pPr>
        <w:pStyle w:val="FootnoteText"/>
        <w:keepLines w:val="0"/>
        <w:kinsoku w:val="0"/>
        <w:overflowPunct w:val="0"/>
        <w:autoSpaceDE w:val="0"/>
        <w:autoSpaceDN w:val="0"/>
        <w:ind w:firstLine="0"/>
        <w:jc w:val="left"/>
        <w:rPr>
          <w:kern w:val="18"/>
          <w:szCs w:val="18"/>
          <w:lang w:val="fr-FR"/>
        </w:rPr>
      </w:pPr>
      <w:r w:rsidRPr="00E47530">
        <w:rPr>
          <w:rStyle w:val="FootnoteReference"/>
          <w:kern w:val="18"/>
          <w:szCs w:val="18"/>
          <w:u w:val="none"/>
          <w:vertAlign w:val="superscript"/>
          <w:lang w:val="fr-FR"/>
        </w:rPr>
        <w:footnoteRef/>
      </w:r>
      <w:r w:rsidR="00E47530">
        <w:rPr>
          <w:kern w:val="18"/>
          <w:szCs w:val="18"/>
          <w:lang w:val="fr-FR"/>
        </w:rPr>
        <w:t xml:space="preserve"> Les pourcentages indiquent la part des pays en développement Parties qui participent à la réunion. Ces chiffres</w:t>
      </w:r>
      <w:r w:rsidR="000E3A1D">
        <w:rPr>
          <w:kern w:val="18"/>
          <w:szCs w:val="18"/>
          <w:lang w:val="fr-FR"/>
        </w:rPr>
        <w:t xml:space="preserve"> sont fondés sur le nombre de pays en développement Parties présents à la réunion</w:t>
      </w:r>
      <w:r w:rsidRPr="00E47530">
        <w:rPr>
          <w:kern w:val="18"/>
          <w:szCs w:val="18"/>
          <w:lang w:val="fr-FR"/>
        </w:rPr>
        <w:t>.</w:t>
      </w:r>
    </w:p>
  </w:footnote>
  <w:footnote w:id="13">
    <w:p w:rsidR="00E64249" w:rsidRPr="000E3A1D" w:rsidRDefault="00E64249" w:rsidP="00F82F1D">
      <w:pPr>
        <w:pStyle w:val="FootnoteText"/>
        <w:keepLines w:val="0"/>
        <w:kinsoku w:val="0"/>
        <w:overflowPunct w:val="0"/>
        <w:autoSpaceDE w:val="0"/>
        <w:autoSpaceDN w:val="0"/>
        <w:ind w:firstLine="0"/>
        <w:jc w:val="left"/>
        <w:rPr>
          <w:kern w:val="18"/>
          <w:szCs w:val="18"/>
          <w:lang w:val="fr-FR"/>
        </w:rPr>
      </w:pPr>
      <w:r w:rsidRPr="000E3A1D">
        <w:rPr>
          <w:rStyle w:val="FootnoteReference"/>
          <w:kern w:val="18"/>
          <w:szCs w:val="18"/>
          <w:u w:val="none"/>
          <w:vertAlign w:val="superscript"/>
          <w:lang w:val="fr-FR"/>
        </w:rPr>
        <w:footnoteRef/>
      </w:r>
      <w:r w:rsidR="002C52BD">
        <w:rPr>
          <w:kern w:val="18"/>
          <w:szCs w:val="18"/>
          <w:lang w:val="fr-FR"/>
        </w:rPr>
        <w:t xml:space="preserve"> Le nombre de sessions n’inclut pas les sessions tenues dans le cadre de la réunion de haut niveau qui comportait quatre sessions à chacune de ses réunions. Lors des réunions concomitantes tenues en 2016, la réunion de haut niveau a eu lieu juste avant l’inauguration officielle de ces réunions, contrairement aux années précédentes où elle avait lieu en marge des réunions</w:t>
      </w:r>
      <w:r w:rsidRPr="000E3A1D">
        <w:rPr>
          <w:kern w:val="18"/>
          <w:szCs w:val="18"/>
          <w:lang w:val="fr-FR"/>
        </w:rPr>
        <w:t>.</w:t>
      </w:r>
    </w:p>
  </w:footnote>
  <w:footnote w:id="14">
    <w:p w:rsidR="00E64249" w:rsidRPr="002C52BD" w:rsidRDefault="00E64249" w:rsidP="00F82F1D">
      <w:pPr>
        <w:pStyle w:val="FootnoteText"/>
        <w:keepLines w:val="0"/>
        <w:kinsoku w:val="0"/>
        <w:overflowPunct w:val="0"/>
        <w:autoSpaceDE w:val="0"/>
        <w:autoSpaceDN w:val="0"/>
        <w:ind w:firstLine="0"/>
        <w:jc w:val="left"/>
        <w:rPr>
          <w:kern w:val="18"/>
          <w:szCs w:val="18"/>
          <w:lang w:val="fr-FR"/>
        </w:rPr>
      </w:pPr>
      <w:r w:rsidRPr="002C52BD">
        <w:rPr>
          <w:rStyle w:val="FootnoteReference"/>
          <w:kern w:val="18"/>
          <w:szCs w:val="18"/>
          <w:u w:val="none"/>
          <w:vertAlign w:val="superscript"/>
          <w:lang w:val="fr-FR"/>
        </w:rPr>
        <w:footnoteRef/>
      </w:r>
      <w:r w:rsidRPr="002C52BD">
        <w:rPr>
          <w:kern w:val="18"/>
          <w:szCs w:val="18"/>
          <w:lang w:val="fr-FR"/>
        </w:rPr>
        <w:t xml:space="preserve"> </w:t>
      </w:r>
      <w:r w:rsidR="002C52BD" w:rsidRPr="002C52BD">
        <w:rPr>
          <w:kern w:val="18"/>
          <w:szCs w:val="18"/>
          <w:lang w:val="fr-FR"/>
        </w:rPr>
        <w:t>Pour de plus amples</w:t>
      </w:r>
      <w:r w:rsidRPr="002C52BD">
        <w:rPr>
          <w:kern w:val="18"/>
          <w:szCs w:val="18"/>
          <w:lang w:val="fr-FR"/>
        </w:rPr>
        <w:t xml:space="preserve"> information</w:t>
      </w:r>
      <w:r w:rsidR="002C52BD" w:rsidRPr="002C52BD">
        <w:rPr>
          <w:kern w:val="18"/>
          <w:szCs w:val="18"/>
          <w:lang w:val="fr-FR"/>
        </w:rPr>
        <w:t>s</w:t>
      </w:r>
      <w:r w:rsidRPr="002C52BD">
        <w:rPr>
          <w:kern w:val="18"/>
          <w:szCs w:val="18"/>
          <w:lang w:val="fr-FR"/>
        </w:rPr>
        <w:t xml:space="preserve">, </w:t>
      </w:r>
      <w:r w:rsidR="002C52BD" w:rsidRPr="002C52BD">
        <w:rPr>
          <w:kern w:val="18"/>
          <w:szCs w:val="18"/>
          <w:lang w:val="fr-FR"/>
        </w:rPr>
        <w:t>voir</w:t>
      </w:r>
      <w:r w:rsidRPr="002C52BD">
        <w:rPr>
          <w:kern w:val="18"/>
          <w:szCs w:val="18"/>
          <w:lang w:val="fr-FR"/>
        </w:rPr>
        <w:t xml:space="preserve"> </w:t>
      </w:r>
      <w:r w:rsidR="00217BA9">
        <w:fldChar w:fldCharType="begin"/>
      </w:r>
      <w:r w:rsidR="00217BA9" w:rsidRPr="00217BA9">
        <w:rPr>
          <w:lang w:val="fr-FR"/>
        </w:rPr>
        <w:instrText xml:space="preserve"> HYPERLINK "https://www.cbd.int/doc/meetings/bs/cpcc-14/official/cpcc-14-05-en.pdf" </w:instrText>
      </w:r>
      <w:r w:rsidR="00217BA9">
        <w:fldChar w:fldCharType="separate"/>
      </w:r>
      <w:r w:rsidRPr="002C52BD">
        <w:rPr>
          <w:rStyle w:val="Hyperlink"/>
          <w:kern w:val="18"/>
          <w:szCs w:val="18"/>
          <w:lang w:val="fr-FR"/>
        </w:rPr>
        <w:t>CBD/CP/CC/14/5</w:t>
      </w:r>
      <w:r w:rsidR="00217BA9">
        <w:rPr>
          <w:rStyle w:val="Hyperlink"/>
          <w:kern w:val="18"/>
          <w:szCs w:val="18"/>
          <w:lang w:val="fr-FR"/>
        </w:rPr>
        <w:fldChar w:fldCharType="end"/>
      </w:r>
      <w:r w:rsidRPr="002C52BD">
        <w:rPr>
          <w:kern w:val="18"/>
          <w:szCs w:val="18"/>
          <w:lang w:val="fr-FR"/>
        </w:rPr>
        <w:t>.</w:t>
      </w:r>
    </w:p>
    <w:p w:rsidR="00E64249" w:rsidRPr="00E60E82" w:rsidRDefault="00E64249" w:rsidP="00F82F1D">
      <w:pPr>
        <w:pStyle w:val="FootnoteText"/>
        <w:keepLines w:val="0"/>
        <w:kinsoku w:val="0"/>
        <w:overflowPunct w:val="0"/>
        <w:autoSpaceDE w:val="0"/>
        <w:autoSpaceDN w:val="0"/>
        <w:ind w:firstLine="0"/>
        <w:jc w:val="left"/>
        <w:rPr>
          <w:kern w:val="18"/>
          <w:szCs w:val="18"/>
          <w:lang w:val="fr-BE"/>
        </w:rPr>
      </w:pPr>
    </w:p>
  </w:footnote>
  <w:footnote w:id="15">
    <w:p w:rsidR="00E64249" w:rsidRPr="002C52BD" w:rsidRDefault="00E64249" w:rsidP="00F82F1D">
      <w:pPr>
        <w:pStyle w:val="FootnoteText"/>
        <w:keepLines w:val="0"/>
        <w:kinsoku w:val="0"/>
        <w:overflowPunct w:val="0"/>
        <w:autoSpaceDE w:val="0"/>
        <w:autoSpaceDN w:val="0"/>
        <w:ind w:firstLine="0"/>
        <w:jc w:val="left"/>
        <w:rPr>
          <w:kern w:val="18"/>
          <w:szCs w:val="18"/>
          <w:lang w:val="fr-FR"/>
        </w:rPr>
      </w:pPr>
      <w:r w:rsidRPr="002C52BD">
        <w:rPr>
          <w:rStyle w:val="FootnoteReference"/>
          <w:kern w:val="18"/>
          <w:szCs w:val="18"/>
          <w:u w:val="none"/>
          <w:vertAlign w:val="superscript"/>
          <w:lang w:val="fr-FR"/>
        </w:rPr>
        <w:footnoteRef/>
      </w:r>
      <w:r w:rsidR="002C52BD">
        <w:rPr>
          <w:kern w:val="18"/>
          <w:szCs w:val="18"/>
          <w:lang w:val="fr-FR"/>
        </w:rPr>
        <w:t xml:space="preserve"> Soit après que les réunions concomitantes ont été officiellement ouvertes et dans </w:t>
      </w:r>
      <w:r w:rsidR="00043D3A">
        <w:rPr>
          <w:kern w:val="18"/>
          <w:szCs w:val="18"/>
          <w:lang w:val="fr-FR"/>
        </w:rPr>
        <w:t>un délai de</w:t>
      </w:r>
      <w:r w:rsidR="002C52BD">
        <w:rPr>
          <w:kern w:val="18"/>
          <w:szCs w:val="18"/>
          <w:lang w:val="fr-FR"/>
        </w:rPr>
        <w:t xml:space="preserve"> deux semaines</w:t>
      </w:r>
      <w:r w:rsidRPr="002C52BD">
        <w:rPr>
          <w:kern w:val="18"/>
          <w:szCs w:val="18"/>
          <w:lang w:val="fr-FR"/>
        </w:rPr>
        <w:t>.</w:t>
      </w:r>
    </w:p>
  </w:footnote>
  <w:footnote w:id="16">
    <w:p w:rsidR="00E64249" w:rsidRPr="002C52BD" w:rsidRDefault="00E64249" w:rsidP="00F82F1D">
      <w:pPr>
        <w:pStyle w:val="FootnoteText"/>
        <w:keepLines w:val="0"/>
        <w:kinsoku w:val="0"/>
        <w:overflowPunct w:val="0"/>
        <w:autoSpaceDE w:val="0"/>
        <w:autoSpaceDN w:val="0"/>
        <w:ind w:firstLine="0"/>
        <w:jc w:val="left"/>
        <w:rPr>
          <w:kern w:val="18"/>
          <w:szCs w:val="18"/>
          <w:lang w:val="fr-FR"/>
        </w:rPr>
      </w:pPr>
      <w:r w:rsidRPr="002C52BD">
        <w:rPr>
          <w:rStyle w:val="FootnoteReference"/>
          <w:kern w:val="18"/>
          <w:szCs w:val="18"/>
          <w:u w:val="none"/>
          <w:vertAlign w:val="superscript"/>
          <w:lang w:val="fr-FR"/>
        </w:rPr>
        <w:footnoteRef/>
      </w:r>
      <w:r w:rsidR="002C52BD">
        <w:rPr>
          <w:kern w:val="18"/>
          <w:szCs w:val="18"/>
          <w:lang w:val="fr-FR"/>
        </w:rPr>
        <w:t xml:space="preserve"> Soit quelques jours avant la clôture des réunions concomitantes</w:t>
      </w:r>
      <w:r w:rsidRPr="002C52BD">
        <w:rPr>
          <w:kern w:val="18"/>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rsidR="00E64249" w:rsidRDefault="00E64249" w:rsidP="005440A6">
        <w:pPr>
          <w:pStyle w:val="Header"/>
          <w:tabs>
            <w:tab w:val="clear" w:pos="4320"/>
            <w:tab w:val="clear" w:pos="8640"/>
          </w:tabs>
          <w:jc w:val="left"/>
          <w:rPr>
            <w:noProof/>
            <w:kern w:val="22"/>
          </w:rPr>
        </w:pPr>
        <w:r>
          <w:rPr>
            <w:noProof/>
            <w:kern w:val="22"/>
            <w:lang w:val="en-US"/>
          </w:rPr>
          <w:t>CBD/SBI/2/16/Add.1</w:t>
        </w:r>
      </w:p>
    </w:sdtContent>
  </w:sdt>
  <w:p w:rsidR="00E64249" w:rsidRPr="002E0DC7" w:rsidRDefault="002E0DC7" w:rsidP="005440A6">
    <w:pPr>
      <w:pStyle w:val="Header"/>
      <w:tabs>
        <w:tab w:val="clear" w:pos="4320"/>
        <w:tab w:val="clear" w:pos="8640"/>
      </w:tabs>
      <w:jc w:val="left"/>
      <w:rPr>
        <w:noProof/>
        <w:kern w:val="22"/>
        <w:lang w:val="fr-FR"/>
      </w:rPr>
    </w:pPr>
    <w:r w:rsidRPr="002E0DC7">
      <w:rPr>
        <w:noProof/>
        <w:kern w:val="22"/>
        <w:lang w:val="fr-FR"/>
      </w:rPr>
      <w:t>Page</w:t>
    </w:r>
    <w:r w:rsidR="00F81612">
      <w:rPr>
        <w:noProof/>
        <w:kern w:val="22"/>
        <w:lang w:val="fr-FR"/>
      </w:rPr>
      <w:t> </w:t>
    </w:r>
    <w:r w:rsidR="00E64249" w:rsidRPr="002E0DC7">
      <w:rPr>
        <w:noProof/>
        <w:kern w:val="22"/>
        <w:lang w:val="fr-FR"/>
      </w:rPr>
      <w:fldChar w:fldCharType="begin"/>
    </w:r>
    <w:r w:rsidR="00E64249" w:rsidRPr="002E0DC7">
      <w:rPr>
        <w:noProof/>
        <w:kern w:val="22"/>
        <w:lang w:val="fr-FR"/>
      </w:rPr>
      <w:instrText xml:space="preserve"> PAGE   \* MERGEFORMAT </w:instrText>
    </w:r>
    <w:r w:rsidR="00E64249" w:rsidRPr="002E0DC7">
      <w:rPr>
        <w:noProof/>
        <w:kern w:val="22"/>
        <w:lang w:val="fr-FR"/>
      </w:rPr>
      <w:fldChar w:fldCharType="separate"/>
    </w:r>
    <w:r w:rsidR="00217BA9">
      <w:rPr>
        <w:noProof/>
        <w:kern w:val="22"/>
        <w:lang w:val="fr-FR"/>
      </w:rPr>
      <w:t>14</w:t>
    </w:r>
    <w:r w:rsidR="00E64249" w:rsidRPr="002E0DC7">
      <w:rPr>
        <w:noProof/>
        <w:kern w:val="22"/>
        <w:lang w:val="fr-FR"/>
      </w:rPr>
      <w:fldChar w:fldCharType="end"/>
    </w:r>
  </w:p>
  <w:p w:rsidR="00E64249" w:rsidRPr="005440A6" w:rsidRDefault="00E64249"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rsidR="00E64249" w:rsidRPr="005440A6" w:rsidRDefault="00E64249" w:rsidP="00BE45DE">
        <w:pPr>
          <w:pStyle w:val="Header"/>
          <w:tabs>
            <w:tab w:val="clear" w:pos="4320"/>
            <w:tab w:val="clear" w:pos="8640"/>
          </w:tabs>
          <w:jc w:val="right"/>
          <w:rPr>
            <w:noProof/>
            <w:kern w:val="22"/>
          </w:rPr>
        </w:pPr>
        <w:r>
          <w:rPr>
            <w:noProof/>
            <w:kern w:val="22"/>
            <w:lang w:val="en-US"/>
          </w:rPr>
          <w:t>CBD/SBI/2/16/Add.1</w:t>
        </w:r>
      </w:p>
    </w:sdtContent>
  </w:sdt>
  <w:p w:rsidR="00E64249" w:rsidRPr="002E0DC7" w:rsidRDefault="002E0DC7" w:rsidP="005440A6">
    <w:pPr>
      <w:pStyle w:val="Header"/>
      <w:tabs>
        <w:tab w:val="clear" w:pos="4320"/>
        <w:tab w:val="clear" w:pos="8640"/>
      </w:tabs>
      <w:jc w:val="right"/>
      <w:rPr>
        <w:noProof/>
        <w:kern w:val="22"/>
        <w:lang w:val="fr-FR"/>
      </w:rPr>
    </w:pPr>
    <w:r w:rsidRPr="002E0DC7">
      <w:rPr>
        <w:noProof/>
        <w:kern w:val="22"/>
        <w:lang w:val="fr-FR"/>
      </w:rPr>
      <w:t>Page</w:t>
    </w:r>
    <w:r>
      <w:rPr>
        <w:noProof/>
        <w:kern w:val="22"/>
        <w:lang w:val="fr-FR"/>
      </w:rPr>
      <w:t> </w:t>
    </w:r>
    <w:r w:rsidR="00E64249" w:rsidRPr="002E0DC7">
      <w:rPr>
        <w:noProof/>
        <w:kern w:val="22"/>
        <w:lang w:val="fr-FR"/>
      </w:rPr>
      <w:fldChar w:fldCharType="begin"/>
    </w:r>
    <w:r w:rsidR="00E64249" w:rsidRPr="002E0DC7">
      <w:rPr>
        <w:noProof/>
        <w:kern w:val="22"/>
        <w:lang w:val="fr-FR"/>
      </w:rPr>
      <w:instrText xml:space="preserve"> PAGE   \* MERGEFORMAT </w:instrText>
    </w:r>
    <w:r w:rsidR="00E64249" w:rsidRPr="002E0DC7">
      <w:rPr>
        <w:noProof/>
        <w:kern w:val="22"/>
        <w:lang w:val="fr-FR"/>
      </w:rPr>
      <w:fldChar w:fldCharType="separate"/>
    </w:r>
    <w:r w:rsidR="00217BA9">
      <w:rPr>
        <w:noProof/>
        <w:kern w:val="22"/>
        <w:lang w:val="fr-FR"/>
      </w:rPr>
      <w:t>13</w:t>
    </w:r>
    <w:r w:rsidR="00E64249" w:rsidRPr="002E0DC7">
      <w:rPr>
        <w:noProof/>
        <w:kern w:val="22"/>
        <w:lang w:val="fr-FR"/>
      </w:rPr>
      <w:fldChar w:fldCharType="end"/>
    </w:r>
  </w:p>
  <w:p w:rsidR="00E64249" w:rsidRPr="005440A6" w:rsidRDefault="00E64249"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2.25pt;height:408pt;visibility:visible" o:bullet="t">
        <v:imagedata r:id="rId1" o:title=""/>
      </v:shape>
    </w:pict>
  </w:numPicBullet>
  <w:abstractNum w:abstractNumId="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5D905A0"/>
    <w:multiLevelType w:val="hybridMultilevel"/>
    <w:tmpl w:val="0124161C"/>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31830"/>
    <w:multiLevelType w:val="hybridMultilevel"/>
    <w:tmpl w:val="4B544638"/>
    <w:lvl w:ilvl="0" w:tplc="7172A5D2">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951BC4"/>
    <w:multiLevelType w:val="hybridMultilevel"/>
    <w:tmpl w:val="06D8EC96"/>
    <w:lvl w:ilvl="0" w:tplc="F014E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597B44"/>
    <w:multiLevelType w:val="hybridMultilevel"/>
    <w:tmpl w:val="4574CB1A"/>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087461"/>
    <w:multiLevelType w:val="hybridMultilevel"/>
    <w:tmpl w:val="D610AFD0"/>
    <w:lvl w:ilvl="0" w:tplc="FF90E1A0">
      <w:start w:val="1"/>
      <w:numFmt w:val="decimal"/>
      <w:lvlText w:val="%1."/>
      <w:lvlJc w:val="left"/>
      <w:pPr>
        <w:ind w:left="927" w:hanging="360"/>
      </w:pPr>
      <w:rPr>
        <w:b w:val="0"/>
        <w:i w:val="0"/>
      </w:rPr>
    </w:lvl>
    <w:lvl w:ilvl="1" w:tplc="C8E693A0">
      <w:start w:val="1"/>
      <w:numFmt w:val="decimal"/>
      <w:lvlText w:val="%2."/>
      <w:lvlJc w:val="left"/>
      <w:pPr>
        <w:ind w:left="2007" w:hanging="360"/>
      </w:pPr>
      <w:rPr>
        <w:rFonts w:hint="default"/>
      </w:r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0">
    <w:nsid w:val="181939AA"/>
    <w:multiLevelType w:val="hybridMultilevel"/>
    <w:tmpl w:val="6B342B64"/>
    <w:lvl w:ilvl="0" w:tplc="DAFC9F64">
      <w:start w:val="1"/>
      <w:numFmt w:val="upperRoman"/>
      <w:lvlText w:val="%1."/>
      <w:lvlJc w:val="left"/>
      <w:pPr>
        <w:ind w:left="1080" w:hanging="720"/>
      </w:pPr>
      <w:rPr>
        <w:rFonts w:hint="default"/>
      </w:rPr>
    </w:lvl>
    <w:lvl w:ilvl="1" w:tplc="EA4CEFE8">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0E53F4"/>
    <w:multiLevelType w:val="hybridMultilevel"/>
    <w:tmpl w:val="F894F22C"/>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244C84"/>
    <w:multiLevelType w:val="hybridMultilevel"/>
    <w:tmpl w:val="747C1C40"/>
    <w:lvl w:ilvl="0" w:tplc="7172A5D2">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E12E32"/>
    <w:multiLevelType w:val="hybridMultilevel"/>
    <w:tmpl w:val="804EA122"/>
    <w:lvl w:ilvl="0" w:tplc="1522369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8">
    <w:nsid w:val="28395553"/>
    <w:multiLevelType w:val="hybridMultilevel"/>
    <w:tmpl w:val="1AA0C088"/>
    <w:lvl w:ilvl="0" w:tplc="FFFFFFFF">
      <w:start w:val="1"/>
      <w:numFmt w:val="lowerLetter"/>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DF36CD9"/>
    <w:multiLevelType w:val="hybridMultilevel"/>
    <w:tmpl w:val="CC36E6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802A16"/>
    <w:multiLevelType w:val="hybridMultilevel"/>
    <w:tmpl w:val="97D69A30"/>
    <w:lvl w:ilvl="0" w:tplc="FFFFFFFF">
      <w:start w:val="1"/>
      <w:numFmt w:val="lowerLetter"/>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nsid w:val="31F77C41"/>
    <w:multiLevelType w:val="hybridMultilevel"/>
    <w:tmpl w:val="1C58DCB8"/>
    <w:lvl w:ilvl="0" w:tplc="FFFFFFFF">
      <w:start w:val="1"/>
      <w:numFmt w:val="lowerLetter"/>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EA45CB"/>
    <w:multiLevelType w:val="hybridMultilevel"/>
    <w:tmpl w:val="76865B5E"/>
    <w:lvl w:ilvl="0" w:tplc="908A9B5E">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A552C1"/>
    <w:multiLevelType w:val="hybridMultilevel"/>
    <w:tmpl w:val="D9E60276"/>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CE43C91"/>
    <w:multiLevelType w:val="singleLevel"/>
    <w:tmpl w:val="7174E9C0"/>
    <w:lvl w:ilvl="0">
      <w:start w:val="1"/>
      <w:numFmt w:val="decimal"/>
      <w:lvlText w:val="%1."/>
      <w:lvlJc w:val="left"/>
      <w:pPr>
        <w:tabs>
          <w:tab w:val="num" w:pos="360"/>
        </w:tabs>
        <w:ind w:left="0" w:firstLine="0"/>
      </w:pPr>
    </w:lvl>
  </w:abstractNum>
  <w:abstractNum w:abstractNumId="30">
    <w:nsid w:val="3F4F7CB3"/>
    <w:multiLevelType w:val="hybridMultilevel"/>
    <w:tmpl w:val="70E6880C"/>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DC2203"/>
    <w:multiLevelType w:val="hybridMultilevel"/>
    <w:tmpl w:val="E8B60F34"/>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1B154E"/>
    <w:multiLevelType w:val="hybridMultilevel"/>
    <w:tmpl w:val="FCAE28CA"/>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45FB0146"/>
    <w:multiLevelType w:val="hybridMultilevel"/>
    <w:tmpl w:val="27DC9B4E"/>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6">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48676D86"/>
    <w:multiLevelType w:val="hybridMultilevel"/>
    <w:tmpl w:val="3A7874E6"/>
    <w:lvl w:ilvl="0" w:tplc="2244E5B2">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4C4C367F"/>
    <w:multiLevelType w:val="hybridMultilevel"/>
    <w:tmpl w:val="839C910E"/>
    <w:lvl w:ilvl="0" w:tplc="52A6345C">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E0442B4"/>
    <w:multiLevelType w:val="multilevel"/>
    <w:tmpl w:val="AED24B42"/>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lef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4E863D99"/>
    <w:multiLevelType w:val="hybridMultilevel"/>
    <w:tmpl w:val="9ADA10DA"/>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FDD1C51"/>
    <w:multiLevelType w:val="hybridMultilevel"/>
    <w:tmpl w:val="1AA0C088"/>
    <w:lvl w:ilvl="0" w:tplc="FFFFFFFF">
      <w:start w:val="1"/>
      <w:numFmt w:val="lowerLetter"/>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56D9157B"/>
    <w:multiLevelType w:val="hybridMultilevel"/>
    <w:tmpl w:val="7E7825AA"/>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48">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17762E8"/>
    <w:multiLevelType w:val="hybridMultilevel"/>
    <w:tmpl w:val="4E7C7446"/>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0C41FB"/>
    <w:multiLevelType w:val="hybridMultilevel"/>
    <w:tmpl w:val="ECE8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40679CD"/>
    <w:multiLevelType w:val="hybridMultilevel"/>
    <w:tmpl w:val="8D464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3">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A0E5FCE"/>
    <w:multiLevelType w:val="hybridMultilevel"/>
    <w:tmpl w:val="3A4E2604"/>
    <w:lvl w:ilvl="0" w:tplc="FFFFFFFF">
      <w:start w:val="1"/>
      <w:numFmt w:val="lowerLetter"/>
      <w:lvlText w:val="(%1)"/>
      <w:lvlJc w:val="left"/>
      <w:pPr>
        <w:ind w:left="720" w:hanging="360"/>
      </w:pPr>
      <w:rPr>
        <w:rFonts w:eastAsia="MS Mincho"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D8556A7"/>
    <w:multiLevelType w:val="hybridMultilevel"/>
    <w:tmpl w:val="0BCC0192"/>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48B56B3"/>
    <w:multiLevelType w:val="hybridMultilevel"/>
    <w:tmpl w:val="BE1A7142"/>
    <w:lvl w:ilvl="0" w:tplc="877C2EDA">
      <w:start w:val="1"/>
      <w:numFmt w:val="bullet"/>
      <w:lvlText w:val="-"/>
      <w:lvlJc w:val="left"/>
      <w:pPr>
        <w:ind w:left="720" w:hanging="360"/>
      </w:pPr>
      <w:rPr>
        <w:rFonts w:ascii="MyriadPro-Regular" w:eastAsia="Times New Roman" w:hAnsi="MyriadPro-Regular"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8150C8A"/>
    <w:multiLevelType w:val="hybridMultilevel"/>
    <w:tmpl w:val="1C58DCB8"/>
    <w:lvl w:ilvl="0" w:tplc="FFFFFFFF">
      <w:start w:val="1"/>
      <w:numFmt w:val="lowerLetter"/>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C203AFF"/>
    <w:multiLevelType w:val="hybridMultilevel"/>
    <w:tmpl w:val="AB0C5EDA"/>
    <w:lvl w:ilvl="0" w:tplc="3D30E916">
      <w:start w:val="1"/>
      <w:numFmt w:val="lowerLetter"/>
      <w:lvlText w:val="(%1)"/>
      <w:lvlJc w:val="left"/>
      <w:pPr>
        <w:ind w:left="720" w:hanging="360"/>
      </w:pPr>
      <w:rPr>
        <w:rFonts w:eastAsia="MS Mincho"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C7E45FF"/>
    <w:multiLevelType w:val="hybridMultilevel"/>
    <w:tmpl w:val="893C3212"/>
    <w:lvl w:ilvl="0" w:tplc="7172A5D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E3920B4"/>
    <w:multiLevelType w:val="hybridMultilevel"/>
    <w:tmpl w:val="8610A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E6E17B4"/>
    <w:multiLevelType w:val="hybridMultilevel"/>
    <w:tmpl w:val="32D47CF6"/>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3"/>
  </w:num>
  <w:num w:numId="3">
    <w:abstractNumId w:val="19"/>
  </w:num>
  <w:num w:numId="4">
    <w:abstractNumId w:val="56"/>
  </w:num>
  <w:num w:numId="5">
    <w:abstractNumId w:val="24"/>
  </w:num>
  <w:num w:numId="6">
    <w:abstractNumId w:val="40"/>
  </w:num>
  <w:num w:numId="7">
    <w:abstractNumId w:val="33"/>
  </w:num>
  <w:num w:numId="8">
    <w:abstractNumId w:val="28"/>
  </w:num>
  <w:num w:numId="9">
    <w:abstractNumId w:val="40"/>
  </w:num>
  <w:num w:numId="10">
    <w:abstractNumId w:val="38"/>
  </w:num>
  <w:num w:numId="11">
    <w:abstractNumId w:val="29"/>
  </w:num>
  <w:num w:numId="12">
    <w:abstractNumId w:val="15"/>
  </w:num>
  <w:num w:numId="13">
    <w:abstractNumId w:val="36"/>
  </w:num>
  <w:num w:numId="14">
    <w:abstractNumId w:val="1"/>
  </w:num>
  <w:num w:numId="15">
    <w:abstractNumId w:val="63"/>
  </w:num>
  <w:num w:numId="16">
    <w:abstractNumId w:val="45"/>
  </w:num>
  <w:num w:numId="17">
    <w:abstractNumId w:val="13"/>
  </w:num>
  <w:num w:numId="18">
    <w:abstractNumId w:val="40"/>
    <w:lvlOverride w:ilvl="0">
      <w:startOverride w:val="1"/>
    </w:lvlOverride>
    <w:lvlOverride w:ilvl="1">
      <w:startOverride w:val="1"/>
    </w:lvlOverride>
    <w:lvlOverride w:ilvl="2">
      <w:startOverride w:val="2"/>
    </w:lvlOverride>
  </w:num>
  <w:num w:numId="19">
    <w:abstractNumId w:val="40"/>
    <w:lvlOverride w:ilvl="0">
      <w:startOverride w:val="1"/>
    </w:lvlOverride>
    <w:lvlOverride w:ilvl="1">
      <w:startOverride w:val="1"/>
    </w:lvlOverride>
    <w:lvlOverride w:ilvl="2">
      <w:startOverride w:val="3"/>
    </w:lvlOverride>
  </w:num>
  <w:num w:numId="20">
    <w:abstractNumId w:val="11"/>
  </w:num>
  <w:num w:numId="21">
    <w:abstractNumId w:val="46"/>
  </w:num>
  <w:num w:numId="22">
    <w:abstractNumId w:val="43"/>
  </w:num>
  <w:num w:numId="23">
    <w:abstractNumId w:val="17"/>
  </w:num>
  <w:num w:numId="24">
    <w:abstractNumId w:val="48"/>
  </w:num>
  <w:num w:numId="25">
    <w:abstractNumId w:val="53"/>
  </w:num>
  <w:num w:numId="26">
    <w:abstractNumId w:val="35"/>
  </w:num>
  <w:num w:numId="27">
    <w:abstractNumId w:val="40"/>
  </w:num>
  <w:num w:numId="28">
    <w:abstractNumId w:val="40"/>
  </w:num>
  <w:num w:numId="29">
    <w:abstractNumId w:val="40"/>
  </w:num>
  <w:num w:numId="30">
    <w:abstractNumId w:val="40"/>
  </w:num>
  <w:num w:numId="31">
    <w:abstractNumId w:val="2"/>
  </w:num>
  <w:num w:numId="32">
    <w:abstractNumId w:val="7"/>
  </w:num>
  <w:num w:numId="33">
    <w:abstractNumId w:val="8"/>
  </w:num>
  <w:num w:numId="34">
    <w:abstractNumId w:val="0"/>
  </w:num>
  <w:num w:numId="35">
    <w:abstractNumId w:val="47"/>
  </w:num>
  <w:num w:numId="36">
    <w:abstractNumId w:val="52"/>
  </w:num>
  <w:num w:numId="37">
    <w:abstractNumId w:val="10"/>
  </w:num>
  <w:num w:numId="38">
    <w:abstractNumId w:val="16"/>
  </w:num>
  <w:num w:numId="39">
    <w:abstractNumId w:val="26"/>
  </w:num>
  <w:num w:numId="40">
    <w:abstractNumId w:val="57"/>
  </w:num>
  <w:num w:numId="41">
    <w:abstractNumId w:val="9"/>
  </w:num>
  <w:num w:numId="42">
    <w:abstractNumId w:val="50"/>
  </w:num>
  <w:num w:numId="43">
    <w:abstractNumId w:val="42"/>
  </w:num>
  <w:num w:numId="44">
    <w:abstractNumId w:val="18"/>
  </w:num>
  <w:num w:numId="45">
    <w:abstractNumId w:val="22"/>
  </w:num>
  <w:num w:numId="46">
    <w:abstractNumId w:val="25"/>
  </w:num>
  <w:num w:numId="47">
    <w:abstractNumId w:val="59"/>
  </w:num>
  <w:num w:numId="48">
    <w:abstractNumId w:val="58"/>
  </w:num>
  <w:num w:numId="49">
    <w:abstractNumId w:val="51"/>
  </w:num>
  <w:num w:numId="50">
    <w:abstractNumId w:val="61"/>
  </w:num>
  <w:num w:numId="51">
    <w:abstractNumId w:val="54"/>
  </w:num>
  <w:num w:numId="52">
    <w:abstractNumId w:val="39"/>
  </w:num>
  <w:num w:numId="53">
    <w:abstractNumId w:val="37"/>
  </w:num>
  <w:num w:numId="54">
    <w:abstractNumId w:val="5"/>
  </w:num>
  <w:num w:numId="55">
    <w:abstractNumId w:val="14"/>
  </w:num>
  <w:num w:numId="56">
    <w:abstractNumId w:val="4"/>
  </w:num>
  <w:num w:numId="57">
    <w:abstractNumId w:val="55"/>
  </w:num>
  <w:num w:numId="58">
    <w:abstractNumId w:val="27"/>
  </w:num>
  <w:num w:numId="59">
    <w:abstractNumId w:val="32"/>
  </w:num>
  <w:num w:numId="60">
    <w:abstractNumId w:val="41"/>
  </w:num>
  <w:num w:numId="61">
    <w:abstractNumId w:val="31"/>
  </w:num>
  <w:num w:numId="62">
    <w:abstractNumId w:val="6"/>
  </w:num>
  <w:num w:numId="63">
    <w:abstractNumId w:val="44"/>
  </w:num>
  <w:num w:numId="64">
    <w:abstractNumId w:val="12"/>
  </w:num>
  <w:num w:numId="65">
    <w:abstractNumId w:val="3"/>
  </w:num>
  <w:num w:numId="66">
    <w:abstractNumId w:val="49"/>
  </w:num>
  <w:num w:numId="67">
    <w:abstractNumId w:val="30"/>
  </w:num>
  <w:num w:numId="68">
    <w:abstractNumId w:val="34"/>
  </w:num>
  <w:num w:numId="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num>
  <w:num w:numId="7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num>
  <w:num w:numId="73">
    <w:abstractNumId w:val="40"/>
  </w:num>
  <w:num w:numId="74">
    <w:abstractNumId w:val="40"/>
  </w:num>
  <w:num w:numId="75">
    <w:abstractNumId w:val="40"/>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09"/>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1AD4"/>
    <w:rsid w:val="000219AC"/>
    <w:rsid w:val="00031D24"/>
    <w:rsid w:val="00032AC1"/>
    <w:rsid w:val="00037873"/>
    <w:rsid w:val="00037C3A"/>
    <w:rsid w:val="000434D4"/>
    <w:rsid w:val="00043D3A"/>
    <w:rsid w:val="00046709"/>
    <w:rsid w:val="0005014C"/>
    <w:rsid w:val="000504F8"/>
    <w:rsid w:val="00051FC1"/>
    <w:rsid w:val="00052C8E"/>
    <w:rsid w:val="00054381"/>
    <w:rsid w:val="00056186"/>
    <w:rsid w:val="0006272E"/>
    <w:rsid w:val="00066FDB"/>
    <w:rsid w:val="000711E1"/>
    <w:rsid w:val="00073708"/>
    <w:rsid w:val="00083F3E"/>
    <w:rsid w:val="00086F16"/>
    <w:rsid w:val="00090F6C"/>
    <w:rsid w:val="0009483D"/>
    <w:rsid w:val="00095F7F"/>
    <w:rsid w:val="000B0F98"/>
    <w:rsid w:val="000B13F6"/>
    <w:rsid w:val="000B2EEC"/>
    <w:rsid w:val="000C2923"/>
    <w:rsid w:val="000C4880"/>
    <w:rsid w:val="000C5DD5"/>
    <w:rsid w:val="000D4D95"/>
    <w:rsid w:val="000D6D35"/>
    <w:rsid w:val="000E00FF"/>
    <w:rsid w:val="000E2EEA"/>
    <w:rsid w:val="000E3A1D"/>
    <w:rsid w:val="000E554E"/>
    <w:rsid w:val="000E637D"/>
    <w:rsid w:val="000E7E6A"/>
    <w:rsid w:val="000F5C05"/>
    <w:rsid w:val="000F63AB"/>
    <w:rsid w:val="0010682D"/>
    <w:rsid w:val="001071F5"/>
    <w:rsid w:val="00120759"/>
    <w:rsid w:val="0012214B"/>
    <w:rsid w:val="001256FB"/>
    <w:rsid w:val="00131F48"/>
    <w:rsid w:val="00132F87"/>
    <w:rsid w:val="001371BD"/>
    <w:rsid w:val="0014680D"/>
    <w:rsid w:val="00151073"/>
    <w:rsid w:val="00151105"/>
    <w:rsid w:val="001524E6"/>
    <w:rsid w:val="00154250"/>
    <w:rsid w:val="001562E0"/>
    <w:rsid w:val="0016083D"/>
    <w:rsid w:val="001624B0"/>
    <w:rsid w:val="0016303B"/>
    <w:rsid w:val="00166030"/>
    <w:rsid w:val="00166367"/>
    <w:rsid w:val="00166D82"/>
    <w:rsid w:val="00167082"/>
    <w:rsid w:val="00176C3B"/>
    <w:rsid w:val="00192E06"/>
    <w:rsid w:val="00196C72"/>
    <w:rsid w:val="001A5072"/>
    <w:rsid w:val="001A600B"/>
    <w:rsid w:val="001B019C"/>
    <w:rsid w:val="001C49D4"/>
    <w:rsid w:val="001D68F7"/>
    <w:rsid w:val="001F5A46"/>
    <w:rsid w:val="001F6379"/>
    <w:rsid w:val="00200350"/>
    <w:rsid w:val="00204415"/>
    <w:rsid w:val="00207A6E"/>
    <w:rsid w:val="002115FF"/>
    <w:rsid w:val="002117B1"/>
    <w:rsid w:val="00213680"/>
    <w:rsid w:val="00217BA9"/>
    <w:rsid w:val="002225D1"/>
    <w:rsid w:val="00224B92"/>
    <w:rsid w:val="00224FB9"/>
    <w:rsid w:val="002273F3"/>
    <w:rsid w:val="002357E1"/>
    <w:rsid w:val="00242E55"/>
    <w:rsid w:val="00252695"/>
    <w:rsid w:val="00252897"/>
    <w:rsid w:val="00256E2C"/>
    <w:rsid w:val="00267207"/>
    <w:rsid w:val="00281ECD"/>
    <w:rsid w:val="002834C7"/>
    <w:rsid w:val="0028638A"/>
    <w:rsid w:val="00287FD9"/>
    <w:rsid w:val="00294410"/>
    <w:rsid w:val="00295987"/>
    <w:rsid w:val="002A55F8"/>
    <w:rsid w:val="002B0355"/>
    <w:rsid w:val="002B0942"/>
    <w:rsid w:val="002B3D57"/>
    <w:rsid w:val="002B5BFA"/>
    <w:rsid w:val="002C2D11"/>
    <w:rsid w:val="002C4240"/>
    <w:rsid w:val="002C4BDB"/>
    <w:rsid w:val="002C52BD"/>
    <w:rsid w:val="002D089F"/>
    <w:rsid w:val="002D5647"/>
    <w:rsid w:val="002E0627"/>
    <w:rsid w:val="002E0DC7"/>
    <w:rsid w:val="002E3D89"/>
    <w:rsid w:val="0030342C"/>
    <w:rsid w:val="00305406"/>
    <w:rsid w:val="0031155A"/>
    <w:rsid w:val="003210FF"/>
    <w:rsid w:val="00325DE3"/>
    <w:rsid w:val="003263DC"/>
    <w:rsid w:val="0032702A"/>
    <w:rsid w:val="00327452"/>
    <w:rsid w:val="0033431F"/>
    <w:rsid w:val="003348C1"/>
    <w:rsid w:val="00335E39"/>
    <w:rsid w:val="00336766"/>
    <w:rsid w:val="00346F15"/>
    <w:rsid w:val="003538B5"/>
    <w:rsid w:val="00353EA7"/>
    <w:rsid w:val="00363CA9"/>
    <w:rsid w:val="003673FF"/>
    <w:rsid w:val="00372BC9"/>
    <w:rsid w:val="003732C8"/>
    <w:rsid w:val="003772DB"/>
    <w:rsid w:val="00381DF0"/>
    <w:rsid w:val="00395296"/>
    <w:rsid w:val="003973CB"/>
    <w:rsid w:val="003B10B9"/>
    <w:rsid w:val="003C113F"/>
    <w:rsid w:val="003C389C"/>
    <w:rsid w:val="003E2DAE"/>
    <w:rsid w:val="003E4C6D"/>
    <w:rsid w:val="003E5A9E"/>
    <w:rsid w:val="003F2E93"/>
    <w:rsid w:val="003F4111"/>
    <w:rsid w:val="003F426B"/>
    <w:rsid w:val="003F6E44"/>
    <w:rsid w:val="0040492F"/>
    <w:rsid w:val="00406BC6"/>
    <w:rsid w:val="00407278"/>
    <w:rsid w:val="00410201"/>
    <w:rsid w:val="0041369F"/>
    <w:rsid w:val="00413D21"/>
    <w:rsid w:val="004150E1"/>
    <w:rsid w:val="0041557D"/>
    <w:rsid w:val="00424400"/>
    <w:rsid w:val="0043279F"/>
    <w:rsid w:val="00433E90"/>
    <w:rsid w:val="00436922"/>
    <w:rsid w:val="0044424E"/>
    <w:rsid w:val="00444E45"/>
    <w:rsid w:val="00444F43"/>
    <w:rsid w:val="00450BE3"/>
    <w:rsid w:val="00457515"/>
    <w:rsid w:val="00461921"/>
    <w:rsid w:val="00483B02"/>
    <w:rsid w:val="004A22C7"/>
    <w:rsid w:val="004A427F"/>
    <w:rsid w:val="004A5ED2"/>
    <w:rsid w:val="004B4965"/>
    <w:rsid w:val="004B597A"/>
    <w:rsid w:val="004E2182"/>
    <w:rsid w:val="004E6759"/>
    <w:rsid w:val="004F1331"/>
    <w:rsid w:val="004F151E"/>
    <w:rsid w:val="004F31BD"/>
    <w:rsid w:val="004F4306"/>
    <w:rsid w:val="00500530"/>
    <w:rsid w:val="005023D7"/>
    <w:rsid w:val="005032C9"/>
    <w:rsid w:val="00512FF5"/>
    <w:rsid w:val="0051472C"/>
    <w:rsid w:val="00516C26"/>
    <w:rsid w:val="005232AA"/>
    <w:rsid w:val="0052736E"/>
    <w:rsid w:val="00530E68"/>
    <w:rsid w:val="005325C1"/>
    <w:rsid w:val="00533D1F"/>
    <w:rsid w:val="00534390"/>
    <w:rsid w:val="0054116A"/>
    <w:rsid w:val="005440A6"/>
    <w:rsid w:val="00561702"/>
    <w:rsid w:val="00567130"/>
    <w:rsid w:val="00572006"/>
    <w:rsid w:val="00572936"/>
    <w:rsid w:val="005806FB"/>
    <w:rsid w:val="00580922"/>
    <w:rsid w:val="00581526"/>
    <w:rsid w:val="00585237"/>
    <w:rsid w:val="005858D5"/>
    <w:rsid w:val="00586032"/>
    <w:rsid w:val="0059294E"/>
    <w:rsid w:val="005935D7"/>
    <w:rsid w:val="005955D2"/>
    <w:rsid w:val="005A0FC3"/>
    <w:rsid w:val="005A4284"/>
    <w:rsid w:val="005B454D"/>
    <w:rsid w:val="005B75C9"/>
    <w:rsid w:val="005B7AE9"/>
    <w:rsid w:val="005C0B37"/>
    <w:rsid w:val="005C1004"/>
    <w:rsid w:val="005C496D"/>
    <w:rsid w:val="005C4BAA"/>
    <w:rsid w:val="005C4ECB"/>
    <w:rsid w:val="005D139C"/>
    <w:rsid w:val="005D354A"/>
    <w:rsid w:val="005D5769"/>
    <w:rsid w:val="005D7ED0"/>
    <w:rsid w:val="005E3AAC"/>
    <w:rsid w:val="005E5DAD"/>
    <w:rsid w:val="005F0420"/>
    <w:rsid w:val="005F20C3"/>
    <w:rsid w:val="005F339A"/>
    <w:rsid w:val="005F4C74"/>
    <w:rsid w:val="00601C9A"/>
    <w:rsid w:val="00611585"/>
    <w:rsid w:val="00620F1F"/>
    <w:rsid w:val="006260D5"/>
    <w:rsid w:val="00630CCB"/>
    <w:rsid w:val="006315AD"/>
    <w:rsid w:val="0064005C"/>
    <w:rsid w:val="00640DC9"/>
    <w:rsid w:val="00642C86"/>
    <w:rsid w:val="00643D67"/>
    <w:rsid w:val="00646BEF"/>
    <w:rsid w:val="00647B09"/>
    <w:rsid w:val="006507F2"/>
    <w:rsid w:val="006628B4"/>
    <w:rsid w:val="00663EAF"/>
    <w:rsid w:val="00670EA7"/>
    <w:rsid w:val="006737BC"/>
    <w:rsid w:val="00673CE2"/>
    <w:rsid w:val="006758A1"/>
    <w:rsid w:val="00675AAC"/>
    <w:rsid w:val="006776AF"/>
    <w:rsid w:val="00690847"/>
    <w:rsid w:val="00693D88"/>
    <w:rsid w:val="006A149B"/>
    <w:rsid w:val="006A21F1"/>
    <w:rsid w:val="006A4358"/>
    <w:rsid w:val="006A449E"/>
    <w:rsid w:val="006B074E"/>
    <w:rsid w:val="006B0C79"/>
    <w:rsid w:val="006B2BD5"/>
    <w:rsid w:val="006C3FE7"/>
    <w:rsid w:val="006C607F"/>
    <w:rsid w:val="006D0E3D"/>
    <w:rsid w:val="006F0138"/>
    <w:rsid w:val="006F0310"/>
    <w:rsid w:val="006F284C"/>
    <w:rsid w:val="006F63B3"/>
    <w:rsid w:val="006F7227"/>
    <w:rsid w:val="00702366"/>
    <w:rsid w:val="00711195"/>
    <w:rsid w:val="00711853"/>
    <w:rsid w:val="007163BC"/>
    <w:rsid w:val="00721603"/>
    <w:rsid w:val="00730AE3"/>
    <w:rsid w:val="00736BC2"/>
    <w:rsid w:val="00742729"/>
    <w:rsid w:val="00742F79"/>
    <w:rsid w:val="007478C4"/>
    <w:rsid w:val="007504F2"/>
    <w:rsid w:val="00750A51"/>
    <w:rsid w:val="0075164B"/>
    <w:rsid w:val="00751F2D"/>
    <w:rsid w:val="00754119"/>
    <w:rsid w:val="0075487B"/>
    <w:rsid w:val="00771B99"/>
    <w:rsid w:val="0077304A"/>
    <w:rsid w:val="007817F1"/>
    <w:rsid w:val="00782032"/>
    <w:rsid w:val="00783FC1"/>
    <w:rsid w:val="00786408"/>
    <w:rsid w:val="0079325E"/>
    <w:rsid w:val="007B1587"/>
    <w:rsid w:val="007B4B96"/>
    <w:rsid w:val="007C3BE6"/>
    <w:rsid w:val="007C5285"/>
    <w:rsid w:val="007C5753"/>
    <w:rsid w:val="007C633B"/>
    <w:rsid w:val="007C7971"/>
    <w:rsid w:val="007C7FB7"/>
    <w:rsid w:val="007D0C62"/>
    <w:rsid w:val="007D1AD6"/>
    <w:rsid w:val="007D3182"/>
    <w:rsid w:val="007D5686"/>
    <w:rsid w:val="007E2A7F"/>
    <w:rsid w:val="007F23ED"/>
    <w:rsid w:val="007F30B3"/>
    <w:rsid w:val="007F49E3"/>
    <w:rsid w:val="007F69C1"/>
    <w:rsid w:val="008017F3"/>
    <w:rsid w:val="0080589A"/>
    <w:rsid w:val="00811CB2"/>
    <w:rsid w:val="0081330C"/>
    <w:rsid w:val="00814237"/>
    <w:rsid w:val="00814391"/>
    <w:rsid w:val="00814DD8"/>
    <w:rsid w:val="008214DE"/>
    <w:rsid w:val="008252AE"/>
    <w:rsid w:val="00825524"/>
    <w:rsid w:val="008272A4"/>
    <w:rsid w:val="0083211E"/>
    <w:rsid w:val="008368B5"/>
    <w:rsid w:val="00840809"/>
    <w:rsid w:val="00843E39"/>
    <w:rsid w:val="00843FF1"/>
    <w:rsid w:val="00852497"/>
    <w:rsid w:val="008566D5"/>
    <w:rsid w:val="00856B21"/>
    <w:rsid w:val="00862BB7"/>
    <w:rsid w:val="00863DDF"/>
    <w:rsid w:val="00867173"/>
    <w:rsid w:val="00870D40"/>
    <w:rsid w:val="00874AE4"/>
    <w:rsid w:val="008806F3"/>
    <w:rsid w:val="00885D83"/>
    <w:rsid w:val="00891E38"/>
    <w:rsid w:val="008964AA"/>
    <w:rsid w:val="008A1DE7"/>
    <w:rsid w:val="008A27C8"/>
    <w:rsid w:val="008A5DE8"/>
    <w:rsid w:val="008A6B10"/>
    <w:rsid w:val="008C013C"/>
    <w:rsid w:val="008C1E35"/>
    <w:rsid w:val="008C23D0"/>
    <w:rsid w:val="008C3552"/>
    <w:rsid w:val="008D3B4F"/>
    <w:rsid w:val="008D5AA2"/>
    <w:rsid w:val="008E5F84"/>
    <w:rsid w:val="008E6B7B"/>
    <w:rsid w:val="008E7500"/>
    <w:rsid w:val="008F02B5"/>
    <w:rsid w:val="008F5E9C"/>
    <w:rsid w:val="0090301D"/>
    <w:rsid w:val="0090382F"/>
    <w:rsid w:val="009067F8"/>
    <w:rsid w:val="00912580"/>
    <w:rsid w:val="0092041B"/>
    <w:rsid w:val="00922EAD"/>
    <w:rsid w:val="00923036"/>
    <w:rsid w:val="0092794B"/>
    <w:rsid w:val="00931360"/>
    <w:rsid w:val="0093215B"/>
    <w:rsid w:val="0093343B"/>
    <w:rsid w:val="009422BE"/>
    <w:rsid w:val="00943418"/>
    <w:rsid w:val="009476F5"/>
    <w:rsid w:val="0095229F"/>
    <w:rsid w:val="009526B0"/>
    <w:rsid w:val="00952F03"/>
    <w:rsid w:val="00953856"/>
    <w:rsid w:val="009554D5"/>
    <w:rsid w:val="00961124"/>
    <w:rsid w:val="00961FD1"/>
    <w:rsid w:val="0096244F"/>
    <w:rsid w:val="00966489"/>
    <w:rsid w:val="00971D51"/>
    <w:rsid w:val="00981BD6"/>
    <w:rsid w:val="00997931"/>
    <w:rsid w:val="009A0C44"/>
    <w:rsid w:val="009A1533"/>
    <w:rsid w:val="009B2E90"/>
    <w:rsid w:val="009B5E1D"/>
    <w:rsid w:val="009C1A97"/>
    <w:rsid w:val="009D2F92"/>
    <w:rsid w:val="009D68DB"/>
    <w:rsid w:val="009E2B79"/>
    <w:rsid w:val="009E6978"/>
    <w:rsid w:val="009F0844"/>
    <w:rsid w:val="009F1F76"/>
    <w:rsid w:val="009F5BB8"/>
    <w:rsid w:val="009F6CBB"/>
    <w:rsid w:val="00A02BA1"/>
    <w:rsid w:val="00A02EB2"/>
    <w:rsid w:val="00A10051"/>
    <w:rsid w:val="00A11E09"/>
    <w:rsid w:val="00A20F36"/>
    <w:rsid w:val="00A216C9"/>
    <w:rsid w:val="00A24045"/>
    <w:rsid w:val="00A24C55"/>
    <w:rsid w:val="00A30DAD"/>
    <w:rsid w:val="00A311E7"/>
    <w:rsid w:val="00A36430"/>
    <w:rsid w:val="00A37D17"/>
    <w:rsid w:val="00A70495"/>
    <w:rsid w:val="00A73277"/>
    <w:rsid w:val="00A847CA"/>
    <w:rsid w:val="00A9121D"/>
    <w:rsid w:val="00A9327C"/>
    <w:rsid w:val="00AA014E"/>
    <w:rsid w:val="00AA4771"/>
    <w:rsid w:val="00AA590F"/>
    <w:rsid w:val="00AC1E69"/>
    <w:rsid w:val="00AC397A"/>
    <w:rsid w:val="00AD36BE"/>
    <w:rsid w:val="00AD51B4"/>
    <w:rsid w:val="00AD7252"/>
    <w:rsid w:val="00AF21C9"/>
    <w:rsid w:val="00AF4683"/>
    <w:rsid w:val="00B0174D"/>
    <w:rsid w:val="00B2190A"/>
    <w:rsid w:val="00B24047"/>
    <w:rsid w:val="00B24085"/>
    <w:rsid w:val="00B24F6A"/>
    <w:rsid w:val="00B271A0"/>
    <w:rsid w:val="00B27B2E"/>
    <w:rsid w:val="00B3299A"/>
    <w:rsid w:val="00B33F81"/>
    <w:rsid w:val="00B352DE"/>
    <w:rsid w:val="00B41009"/>
    <w:rsid w:val="00B41DC0"/>
    <w:rsid w:val="00B4723A"/>
    <w:rsid w:val="00B50381"/>
    <w:rsid w:val="00B5204C"/>
    <w:rsid w:val="00B54B3D"/>
    <w:rsid w:val="00B56B11"/>
    <w:rsid w:val="00B6064C"/>
    <w:rsid w:val="00B61494"/>
    <w:rsid w:val="00B6208C"/>
    <w:rsid w:val="00B63314"/>
    <w:rsid w:val="00B64008"/>
    <w:rsid w:val="00B82F04"/>
    <w:rsid w:val="00B85F9B"/>
    <w:rsid w:val="00BA0E5A"/>
    <w:rsid w:val="00BA1498"/>
    <w:rsid w:val="00BA3233"/>
    <w:rsid w:val="00BA4D43"/>
    <w:rsid w:val="00BB6B68"/>
    <w:rsid w:val="00BC292B"/>
    <w:rsid w:val="00BE0B3D"/>
    <w:rsid w:val="00BE37A4"/>
    <w:rsid w:val="00BE45DE"/>
    <w:rsid w:val="00BE66BC"/>
    <w:rsid w:val="00BF1482"/>
    <w:rsid w:val="00BF3B66"/>
    <w:rsid w:val="00C05456"/>
    <w:rsid w:val="00C07151"/>
    <w:rsid w:val="00C076A9"/>
    <w:rsid w:val="00C13021"/>
    <w:rsid w:val="00C15BBB"/>
    <w:rsid w:val="00C26004"/>
    <w:rsid w:val="00C31FC0"/>
    <w:rsid w:val="00C34C69"/>
    <w:rsid w:val="00C35877"/>
    <w:rsid w:val="00C35954"/>
    <w:rsid w:val="00C37FF1"/>
    <w:rsid w:val="00C41D77"/>
    <w:rsid w:val="00C43196"/>
    <w:rsid w:val="00C44B0B"/>
    <w:rsid w:val="00C507CD"/>
    <w:rsid w:val="00C51A98"/>
    <w:rsid w:val="00C5459D"/>
    <w:rsid w:val="00C54A95"/>
    <w:rsid w:val="00C57C7C"/>
    <w:rsid w:val="00C6581C"/>
    <w:rsid w:val="00C672D4"/>
    <w:rsid w:val="00C673BA"/>
    <w:rsid w:val="00C753AD"/>
    <w:rsid w:val="00C77A42"/>
    <w:rsid w:val="00C84425"/>
    <w:rsid w:val="00C85EA4"/>
    <w:rsid w:val="00C87FD6"/>
    <w:rsid w:val="00C912FE"/>
    <w:rsid w:val="00C9605F"/>
    <w:rsid w:val="00CA1572"/>
    <w:rsid w:val="00CA19CB"/>
    <w:rsid w:val="00CA5E13"/>
    <w:rsid w:val="00CA6B87"/>
    <w:rsid w:val="00CB0C3B"/>
    <w:rsid w:val="00CB267B"/>
    <w:rsid w:val="00CB6192"/>
    <w:rsid w:val="00CC06E4"/>
    <w:rsid w:val="00CC1474"/>
    <w:rsid w:val="00CC2031"/>
    <w:rsid w:val="00CC366C"/>
    <w:rsid w:val="00CC395D"/>
    <w:rsid w:val="00CC5F7A"/>
    <w:rsid w:val="00CC7630"/>
    <w:rsid w:val="00CD3BA0"/>
    <w:rsid w:val="00CD5810"/>
    <w:rsid w:val="00CD73BD"/>
    <w:rsid w:val="00CE51C3"/>
    <w:rsid w:val="00CF4F69"/>
    <w:rsid w:val="00CF5255"/>
    <w:rsid w:val="00CF5A23"/>
    <w:rsid w:val="00D02EB0"/>
    <w:rsid w:val="00D15589"/>
    <w:rsid w:val="00D1708B"/>
    <w:rsid w:val="00D17BC3"/>
    <w:rsid w:val="00D22675"/>
    <w:rsid w:val="00D22AE8"/>
    <w:rsid w:val="00D33779"/>
    <w:rsid w:val="00D35E72"/>
    <w:rsid w:val="00D432AD"/>
    <w:rsid w:val="00D46C41"/>
    <w:rsid w:val="00D51069"/>
    <w:rsid w:val="00D517C7"/>
    <w:rsid w:val="00D6453C"/>
    <w:rsid w:val="00D64EE0"/>
    <w:rsid w:val="00D651C1"/>
    <w:rsid w:val="00D65A12"/>
    <w:rsid w:val="00D70533"/>
    <w:rsid w:val="00D74253"/>
    <w:rsid w:val="00D77273"/>
    <w:rsid w:val="00D77A7E"/>
    <w:rsid w:val="00D803E2"/>
    <w:rsid w:val="00D80585"/>
    <w:rsid w:val="00D80AD1"/>
    <w:rsid w:val="00D85929"/>
    <w:rsid w:val="00D86C2C"/>
    <w:rsid w:val="00D943C8"/>
    <w:rsid w:val="00D9537D"/>
    <w:rsid w:val="00DA0CE2"/>
    <w:rsid w:val="00DA3B51"/>
    <w:rsid w:val="00DA5EA8"/>
    <w:rsid w:val="00DB131F"/>
    <w:rsid w:val="00DB79A7"/>
    <w:rsid w:val="00DC185F"/>
    <w:rsid w:val="00DC3D2E"/>
    <w:rsid w:val="00DD01CD"/>
    <w:rsid w:val="00DD52CC"/>
    <w:rsid w:val="00DE24CC"/>
    <w:rsid w:val="00DE308B"/>
    <w:rsid w:val="00DF3234"/>
    <w:rsid w:val="00DF4780"/>
    <w:rsid w:val="00E04147"/>
    <w:rsid w:val="00E06F86"/>
    <w:rsid w:val="00E142EF"/>
    <w:rsid w:val="00E16A03"/>
    <w:rsid w:val="00E17CFF"/>
    <w:rsid w:val="00E21EC5"/>
    <w:rsid w:val="00E30875"/>
    <w:rsid w:val="00E3149A"/>
    <w:rsid w:val="00E370BD"/>
    <w:rsid w:val="00E377CE"/>
    <w:rsid w:val="00E37A7A"/>
    <w:rsid w:val="00E43AD0"/>
    <w:rsid w:val="00E47530"/>
    <w:rsid w:val="00E47630"/>
    <w:rsid w:val="00E47BED"/>
    <w:rsid w:val="00E52584"/>
    <w:rsid w:val="00E53AAD"/>
    <w:rsid w:val="00E55B3B"/>
    <w:rsid w:val="00E55E91"/>
    <w:rsid w:val="00E605D7"/>
    <w:rsid w:val="00E60E82"/>
    <w:rsid w:val="00E61827"/>
    <w:rsid w:val="00E62256"/>
    <w:rsid w:val="00E64249"/>
    <w:rsid w:val="00E65308"/>
    <w:rsid w:val="00E67C66"/>
    <w:rsid w:val="00E906B6"/>
    <w:rsid w:val="00E939D6"/>
    <w:rsid w:val="00EA12D7"/>
    <w:rsid w:val="00EA3A52"/>
    <w:rsid w:val="00EA4B4C"/>
    <w:rsid w:val="00EA5D70"/>
    <w:rsid w:val="00EA7525"/>
    <w:rsid w:val="00EB00A2"/>
    <w:rsid w:val="00EC0891"/>
    <w:rsid w:val="00EC3C1E"/>
    <w:rsid w:val="00ED559A"/>
    <w:rsid w:val="00EE51DB"/>
    <w:rsid w:val="00EE5517"/>
    <w:rsid w:val="00EE600D"/>
    <w:rsid w:val="00EF1E3E"/>
    <w:rsid w:val="00F0038E"/>
    <w:rsid w:val="00F12260"/>
    <w:rsid w:val="00F12357"/>
    <w:rsid w:val="00F13DC0"/>
    <w:rsid w:val="00F14485"/>
    <w:rsid w:val="00F16F02"/>
    <w:rsid w:val="00F25B7A"/>
    <w:rsid w:val="00F25D2F"/>
    <w:rsid w:val="00F26A60"/>
    <w:rsid w:val="00F32123"/>
    <w:rsid w:val="00F4094A"/>
    <w:rsid w:val="00F465B6"/>
    <w:rsid w:val="00F55878"/>
    <w:rsid w:val="00F57625"/>
    <w:rsid w:val="00F60384"/>
    <w:rsid w:val="00F61688"/>
    <w:rsid w:val="00F64CB9"/>
    <w:rsid w:val="00F65BDB"/>
    <w:rsid w:val="00F67181"/>
    <w:rsid w:val="00F67995"/>
    <w:rsid w:val="00F70F1C"/>
    <w:rsid w:val="00F75EE8"/>
    <w:rsid w:val="00F77628"/>
    <w:rsid w:val="00F81612"/>
    <w:rsid w:val="00F820C2"/>
    <w:rsid w:val="00F82F1D"/>
    <w:rsid w:val="00F838DD"/>
    <w:rsid w:val="00F952E8"/>
    <w:rsid w:val="00FA2274"/>
    <w:rsid w:val="00FA4EC6"/>
    <w:rsid w:val="00FB1895"/>
    <w:rsid w:val="00FB2F55"/>
    <w:rsid w:val="00FB3B70"/>
    <w:rsid w:val="00FC045D"/>
    <w:rsid w:val="00FC6159"/>
    <w:rsid w:val="00FD061C"/>
    <w:rsid w:val="00FD5388"/>
    <w:rsid w:val="00FD5893"/>
    <w:rsid w:val="00FE0AB4"/>
    <w:rsid w:val="00FE10B7"/>
    <w:rsid w:val="00FE444C"/>
    <w:rsid w:val="00FE66A4"/>
    <w:rsid w:val="00FF3DFC"/>
    <w:rsid w:val="00FF5C5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4B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uiPriority w:val="9"/>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F13DC0"/>
    <w:pPr>
      <w:numPr>
        <w:numId w:val="6"/>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rPr>
      <w:sz w:val="16"/>
    </w:rPr>
  </w:style>
  <w:style w:type="paragraph" w:styleId="CommentText">
    <w:name w:val="annotation text"/>
    <w:basedOn w:val="Normal"/>
    <w:link w:val="CommentTextChar"/>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semiHidden/>
    <w:unhideWhenUsed/>
    <w:rsid w:val="00406BC6"/>
    <w:rPr>
      <w:rFonts w:ascii="Tahoma" w:hAnsi="Tahoma" w:cs="Tahoma"/>
      <w:sz w:val="16"/>
      <w:szCs w:val="16"/>
    </w:rPr>
  </w:style>
  <w:style w:type="character" w:customStyle="1" w:styleId="BalloonTextChar">
    <w:name w:val="Balloon Text Char"/>
    <w:link w:val="BalloonText"/>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nhideWhenUsed/>
    <w:rsid w:val="00D9537D"/>
    <w:pPr>
      <w:spacing w:after="0" w:line="240" w:lineRule="auto"/>
    </w:pPr>
    <w:rPr>
      <w:b/>
      <w:bCs/>
      <w:sz w:val="20"/>
      <w:szCs w:val="20"/>
    </w:rPr>
  </w:style>
  <w:style w:type="character" w:customStyle="1" w:styleId="CommentTextChar">
    <w:name w:val="Comment Text Char"/>
    <w:link w:val="CommentText"/>
    <w:rsid w:val="00D9537D"/>
    <w:rPr>
      <w:sz w:val="22"/>
      <w:szCs w:val="24"/>
      <w:lang w:val="en-GB"/>
    </w:rPr>
  </w:style>
  <w:style w:type="character" w:customStyle="1" w:styleId="CommentSubjectChar">
    <w:name w:val="Comment Subject Char"/>
    <w:link w:val="CommentSubject"/>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autoRedefine/>
    <w:rsid w:val="00742F79"/>
    <w:rPr>
      <w:rFonts w:ascii="Lucida Sans Unicode" w:hAnsi="Lucida Sans Unicode" w:cs="Angsana New"/>
      <w:noProof/>
      <w:color w:val="0000FF"/>
      <w:lang w:val="en-US"/>
    </w:rPr>
  </w:style>
  <w:style w:type="paragraph" w:customStyle="1" w:styleId="bodytextnoindent">
    <w:name w:val="body text (no indent)"/>
    <w:basedOn w:val="Normal"/>
    <w:rsid w:val="00742F79"/>
    <w:pPr>
      <w:widowControl w:val="0"/>
      <w:overflowPunct w:val="0"/>
      <w:autoSpaceDE w:val="0"/>
      <w:autoSpaceDN w:val="0"/>
      <w:adjustRightInd w:val="0"/>
      <w:spacing w:before="120" w:after="120"/>
      <w:textAlignment w:val="baseline"/>
    </w:pPr>
    <w:rPr>
      <w:rFonts w:cs="Angsana New"/>
      <w:szCs w:val="20"/>
      <w:lang w:eastAsia="de-DE"/>
    </w:rPr>
  </w:style>
  <w:style w:type="paragraph" w:styleId="BodyText2">
    <w:name w:val="Body Text 2"/>
    <w:basedOn w:val="Normal"/>
    <w:link w:val="BodyText2Char"/>
    <w:rsid w:val="00742F79"/>
    <w:rPr>
      <w:rFonts w:cs="Angsana New"/>
      <w:i/>
      <w:iCs/>
    </w:rPr>
  </w:style>
  <w:style w:type="character" w:customStyle="1" w:styleId="BodyText2Char">
    <w:name w:val="Body Text 2 Char"/>
    <w:basedOn w:val="DefaultParagraphFont"/>
    <w:link w:val="BodyText2"/>
    <w:rsid w:val="00742F79"/>
    <w:rPr>
      <w:rFonts w:cs="Angsana New"/>
      <w:i/>
      <w:iCs/>
      <w:sz w:val="22"/>
      <w:szCs w:val="24"/>
      <w:lang w:val="en-GB"/>
    </w:rPr>
  </w:style>
  <w:style w:type="paragraph" w:styleId="BodyText3">
    <w:name w:val="Body Text 3"/>
    <w:basedOn w:val="Normal"/>
    <w:link w:val="BodyText3Char"/>
    <w:rsid w:val="00742F79"/>
    <w:pPr>
      <w:jc w:val="center"/>
    </w:pPr>
    <w:rPr>
      <w:rFonts w:cs="Angsana New"/>
      <w:sz w:val="28"/>
    </w:rPr>
  </w:style>
  <w:style w:type="character" w:customStyle="1" w:styleId="BodyText3Char">
    <w:name w:val="Body Text 3 Char"/>
    <w:basedOn w:val="DefaultParagraphFont"/>
    <w:link w:val="BodyText3"/>
    <w:rsid w:val="00742F79"/>
    <w:rPr>
      <w:rFonts w:cs="Angsana New"/>
      <w:sz w:val="28"/>
      <w:szCs w:val="24"/>
      <w:lang w:val="en-GB"/>
    </w:rPr>
  </w:style>
  <w:style w:type="character" w:customStyle="1" w:styleId="BodyTextChar">
    <w:name w:val="Body Text Char"/>
    <w:rsid w:val="00742F79"/>
    <w:rPr>
      <w:iCs/>
      <w:sz w:val="22"/>
      <w:szCs w:val="24"/>
      <w:lang w:val="en-GB" w:eastAsia="en-US" w:bidi="ar-SA"/>
    </w:rPr>
  </w:style>
  <w:style w:type="paragraph" w:styleId="BodyTextIndent2">
    <w:name w:val="Body Text Indent 2"/>
    <w:basedOn w:val="Normal"/>
    <w:link w:val="BodyTextIndent2Char"/>
    <w:rsid w:val="00742F79"/>
    <w:pPr>
      <w:ind w:firstLine="720"/>
    </w:pPr>
    <w:rPr>
      <w:rFonts w:cs="Angsana New"/>
    </w:rPr>
  </w:style>
  <w:style w:type="character" w:customStyle="1" w:styleId="BodyTextIndent2Char">
    <w:name w:val="Body Text Indent 2 Char"/>
    <w:basedOn w:val="DefaultParagraphFont"/>
    <w:link w:val="BodyTextIndent2"/>
    <w:rsid w:val="00742F79"/>
    <w:rPr>
      <w:rFonts w:cs="Angsana New"/>
      <w:sz w:val="22"/>
      <w:szCs w:val="24"/>
      <w:lang w:val="en-GB"/>
    </w:rPr>
  </w:style>
  <w:style w:type="paragraph" w:customStyle="1" w:styleId="Bodytextitalic">
    <w:name w:val="Body text italic"/>
    <w:basedOn w:val="BodyText"/>
    <w:rsid w:val="00742F79"/>
    <w:rPr>
      <w:rFonts w:cs="Angsana New"/>
      <w:i/>
      <w:iCs w:val="0"/>
    </w:rPr>
  </w:style>
  <w:style w:type="paragraph" w:customStyle="1" w:styleId="boxbody">
    <w:name w:val="boxbody"/>
    <w:basedOn w:val="Normal"/>
    <w:rsid w:val="00742F79"/>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742F79"/>
    <w:pPr>
      <w:tabs>
        <w:tab w:val="clear" w:pos="720"/>
        <w:tab w:val="left" w:pos="900"/>
      </w:tabs>
    </w:pPr>
    <w:rPr>
      <w:rFonts w:eastAsia="Batang"/>
      <w:b w:val="0"/>
      <w:bCs w:val="0"/>
      <w:szCs w:val="20"/>
    </w:rPr>
  </w:style>
  <w:style w:type="paragraph" w:customStyle="1" w:styleId="Heading2noletter">
    <w:name w:val="Heading 2 (no letter)"/>
    <w:basedOn w:val="Heading2"/>
    <w:rsid w:val="00742F79"/>
    <w:pPr>
      <w:tabs>
        <w:tab w:val="clear" w:pos="720"/>
      </w:tabs>
    </w:pPr>
  </w:style>
  <w:style w:type="character" w:customStyle="1" w:styleId="Heading2CharChar">
    <w:name w:val="Heading 2 Char Char"/>
    <w:rsid w:val="00742F79"/>
    <w:rPr>
      <w:rFonts w:ascii="Arial" w:hAnsi="Arial" w:cs="Arial"/>
      <w:b/>
      <w:bCs/>
      <w:i/>
      <w:iCs/>
      <w:noProof w:val="0"/>
      <w:sz w:val="28"/>
      <w:szCs w:val="28"/>
      <w:lang w:val="en-US" w:eastAsia="en-US" w:bidi="ar-SA"/>
    </w:rPr>
  </w:style>
  <w:style w:type="paragraph" w:customStyle="1" w:styleId="Heading-plain0">
    <w:name w:val="Heading-plain"/>
    <w:basedOn w:val="Normal"/>
    <w:rsid w:val="00742F79"/>
    <w:pPr>
      <w:spacing w:before="120" w:after="120"/>
      <w:jc w:val="center"/>
      <w:outlineLvl w:val="0"/>
    </w:pPr>
    <w:rPr>
      <w:rFonts w:cs="Angsana New"/>
      <w:i/>
      <w:szCs w:val="20"/>
    </w:rPr>
  </w:style>
  <w:style w:type="paragraph" w:customStyle="1" w:styleId="Heading-plainbold">
    <w:name w:val="Heading-plain bold"/>
    <w:basedOn w:val="BodyText"/>
    <w:rsid w:val="00742F79"/>
    <w:pPr>
      <w:ind w:firstLine="0"/>
      <w:jc w:val="center"/>
    </w:pPr>
    <w:rPr>
      <w:rFonts w:cs="Angsana New"/>
      <w:b/>
      <w:bCs/>
      <w:i/>
      <w:iCs w:val="0"/>
    </w:rPr>
  </w:style>
  <w:style w:type="paragraph" w:customStyle="1" w:styleId="Heading-plainitalic">
    <w:name w:val="Heading-plain italic"/>
    <w:basedOn w:val="Heading-plainbold"/>
    <w:rsid w:val="00742F79"/>
    <w:rPr>
      <w:b w:val="0"/>
      <w:bCs w:val="0"/>
    </w:rPr>
  </w:style>
  <w:style w:type="paragraph" w:styleId="NormalWeb">
    <w:name w:val="Normal (Web)"/>
    <w:basedOn w:val="Normal"/>
    <w:uiPriority w:val="99"/>
    <w:rsid w:val="00742F79"/>
    <w:pPr>
      <w:spacing w:before="100" w:beforeAutospacing="1" w:after="100" w:afterAutospacing="1"/>
      <w:jc w:val="left"/>
    </w:pPr>
    <w:rPr>
      <w:rFonts w:ascii="Verdana" w:hAnsi="Verdana" w:cs="Angsana New"/>
      <w:color w:val="000000"/>
      <w:sz w:val="18"/>
      <w:szCs w:val="18"/>
      <w:lang w:val="en-US"/>
    </w:rPr>
  </w:style>
  <w:style w:type="paragraph" w:customStyle="1" w:styleId="Para10">
    <w:name w:val="Para 1"/>
    <w:basedOn w:val="BodyText"/>
    <w:rsid w:val="00742F79"/>
    <w:pPr>
      <w:ind w:firstLine="0"/>
    </w:pPr>
    <w:rPr>
      <w:rFonts w:eastAsia="MS Mincho" w:cs="Angsana New"/>
      <w:bCs/>
      <w:iCs w:val="0"/>
      <w:szCs w:val="22"/>
    </w:rPr>
  </w:style>
  <w:style w:type="character" w:customStyle="1" w:styleId="Para1Char">
    <w:name w:val="Para 1 Char"/>
    <w:rsid w:val="00742F79"/>
    <w:rPr>
      <w:rFonts w:eastAsia="MS Mincho"/>
      <w:bCs/>
      <w:iCs/>
      <w:sz w:val="22"/>
      <w:szCs w:val="22"/>
      <w:lang w:val="en-GB" w:eastAsia="en-US" w:bidi="ar-SA"/>
    </w:rPr>
  </w:style>
  <w:style w:type="character" w:customStyle="1" w:styleId="FootnoteCharacters">
    <w:name w:val="Footnote Characters"/>
    <w:rsid w:val="00742F79"/>
    <w:rPr>
      <w:position w:val="0"/>
      <w:sz w:val="18"/>
      <w:u w:val="single"/>
      <w:vertAlign w:val="baseline"/>
    </w:rPr>
  </w:style>
  <w:style w:type="paragraph" w:customStyle="1" w:styleId="Paraofficial">
    <w:name w:val="Para official"/>
    <w:basedOn w:val="Normal"/>
    <w:rsid w:val="00742F79"/>
    <w:pPr>
      <w:framePr w:hSpace="187" w:vSpace="187" w:wrap="notBeside" w:vAnchor="text" w:hAnchor="text" w:y="1"/>
      <w:numPr>
        <w:numId w:val="36"/>
      </w:numPr>
      <w:spacing w:before="240" w:after="240"/>
      <w:jc w:val="left"/>
    </w:pPr>
    <w:rPr>
      <w:rFonts w:cs="Angsana New"/>
      <w:szCs w:val="20"/>
    </w:rPr>
  </w:style>
  <w:style w:type="paragraph" w:customStyle="1" w:styleId="Para1Char0">
    <w:name w:val="Para1 Char"/>
    <w:basedOn w:val="Normal"/>
    <w:rsid w:val="00742F79"/>
    <w:pPr>
      <w:tabs>
        <w:tab w:val="num" w:pos="720"/>
      </w:tabs>
      <w:spacing w:before="120" w:after="120"/>
      <w:ind w:left="360"/>
    </w:pPr>
    <w:rPr>
      <w:rFonts w:cs="Angsana New"/>
      <w:snapToGrid w:val="0"/>
      <w:szCs w:val="18"/>
    </w:rPr>
  </w:style>
  <w:style w:type="paragraph" w:customStyle="1" w:styleId="Para1-Annex">
    <w:name w:val="Para1-Annex"/>
    <w:basedOn w:val="Normal"/>
    <w:rsid w:val="00742F79"/>
    <w:pPr>
      <w:tabs>
        <w:tab w:val="num" w:pos="360"/>
      </w:tabs>
      <w:spacing w:after="120"/>
    </w:pPr>
    <w:rPr>
      <w:szCs w:val="22"/>
      <w:lang w:val="en-US"/>
    </w:rPr>
  </w:style>
  <w:style w:type="paragraph" w:customStyle="1" w:styleId="para20">
    <w:name w:val="para2"/>
    <w:basedOn w:val="para2a"/>
    <w:rsid w:val="00742F79"/>
  </w:style>
  <w:style w:type="paragraph" w:customStyle="1" w:styleId="Para40">
    <w:name w:val="Para4"/>
    <w:basedOn w:val="Para3"/>
    <w:rsid w:val="00742F79"/>
    <w:pPr>
      <w:numPr>
        <w:ilvl w:val="0"/>
        <w:numId w:val="0"/>
      </w:numPr>
      <w:tabs>
        <w:tab w:val="clear" w:pos="1980"/>
        <w:tab w:val="left" w:pos="2552"/>
        <w:tab w:val="num" w:pos="3540"/>
      </w:tabs>
      <w:ind w:left="2552" w:hanging="567"/>
    </w:pPr>
    <w:rPr>
      <w:rFonts w:cs="Angsana New"/>
      <w:lang w:val="en-US"/>
    </w:rPr>
  </w:style>
  <w:style w:type="paragraph" w:customStyle="1" w:styleId="Paranum">
    <w:name w:val="Paranum"/>
    <w:basedOn w:val="Normal"/>
    <w:rsid w:val="00742F79"/>
    <w:pPr>
      <w:tabs>
        <w:tab w:val="num" w:pos="360"/>
      </w:tabs>
      <w:spacing w:after="120" w:line="240" w:lineRule="exact"/>
    </w:pPr>
    <w:rPr>
      <w:rFonts w:cs="Angsana New"/>
      <w:szCs w:val="20"/>
      <w:lang w:val="en-US"/>
    </w:rPr>
  </w:style>
  <w:style w:type="character" w:styleId="Strong">
    <w:name w:val="Strong"/>
    <w:qFormat/>
    <w:rsid w:val="00742F79"/>
    <w:rPr>
      <w:b/>
      <w:bCs/>
    </w:rPr>
  </w:style>
  <w:style w:type="paragraph" w:customStyle="1" w:styleId="StyleBodyTextTimesNewRoman11ptCharChar">
    <w:name w:val="Style Body Text + Times New Roman 11 pt Char Char"/>
    <w:basedOn w:val="BodyText"/>
    <w:rsid w:val="00742F79"/>
    <w:rPr>
      <w:rFonts w:cs="Angsana New"/>
      <w:iCs w:val="0"/>
      <w:snapToGrid w:val="0"/>
      <w:color w:val="000000"/>
      <w:szCs w:val="22"/>
      <w:lang w:val="en-US"/>
    </w:rPr>
  </w:style>
  <w:style w:type="character" w:customStyle="1" w:styleId="StyleBodyTextTimesNewRoman11ptCharCharChar">
    <w:name w:val="Style Body Text + Times New Roman 11 pt Char Char Char"/>
    <w:rsid w:val="00742F79"/>
    <w:rPr>
      <w:rFonts w:cs="Angsana New"/>
      <w:iCs/>
      <w:snapToGrid w:val="0"/>
      <w:color w:val="000000"/>
      <w:sz w:val="22"/>
      <w:szCs w:val="22"/>
      <w:lang w:val="en-US" w:eastAsia="en-US" w:bidi="ar-SA"/>
    </w:rPr>
  </w:style>
  <w:style w:type="paragraph" w:customStyle="1" w:styleId="StylePara1Firstline127cm">
    <w:name w:val="Style Para1 + First line:  1.27 cm"/>
    <w:basedOn w:val="Normal"/>
    <w:rsid w:val="00742F79"/>
    <w:pPr>
      <w:tabs>
        <w:tab w:val="num" w:pos="360"/>
      </w:tabs>
      <w:spacing w:after="120"/>
    </w:pPr>
    <w:rPr>
      <w:rFonts w:cs="Angsana New"/>
      <w:snapToGrid w:val="0"/>
      <w:szCs w:val="20"/>
    </w:rPr>
  </w:style>
  <w:style w:type="paragraph" w:customStyle="1" w:styleId="StylePara1Italic">
    <w:name w:val="Style Para1 + Italic"/>
    <w:basedOn w:val="Normal"/>
    <w:rsid w:val="00742F79"/>
    <w:pPr>
      <w:spacing w:before="120" w:after="120"/>
    </w:pPr>
    <w:rPr>
      <w:i/>
      <w:iCs/>
      <w:snapToGrid w:val="0"/>
      <w:szCs w:val="18"/>
    </w:rPr>
  </w:style>
  <w:style w:type="paragraph" w:styleId="Title">
    <w:name w:val="Title"/>
    <w:basedOn w:val="Normal"/>
    <w:link w:val="TitleChar"/>
    <w:qFormat/>
    <w:rsid w:val="00742F79"/>
    <w:pPr>
      <w:jc w:val="center"/>
    </w:pPr>
    <w:rPr>
      <w:rFonts w:cs="Angsana New"/>
      <w:i/>
      <w:iCs/>
    </w:rPr>
  </w:style>
  <w:style w:type="character" w:customStyle="1" w:styleId="TitleChar">
    <w:name w:val="Title Char"/>
    <w:basedOn w:val="DefaultParagraphFont"/>
    <w:link w:val="Title"/>
    <w:rsid w:val="00742F79"/>
    <w:rPr>
      <w:rFonts w:cs="Angsana New"/>
      <w:i/>
      <w:iCs/>
      <w:sz w:val="22"/>
      <w:szCs w:val="24"/>
      <w:lang w:val="en-GB"/>
    </w:rPr>
  </w:style>
  <w:style w:type="paragraph" w:customStyle="1" w:styleId="para2a">
    <w:name w:val="para 2 (a)"/>
    <w:basedOn w:val="Normal"/>
    <w:qFormat/>
    <w:rsid w:val="00742F79"/>
    <w:pPr>
      <w:spacing w:after="120"/>
      <w:ind w:firstLine="763"/>
    </w:pPr>
    <w:rPr>
      <w:rFonts w:eastAsia="MS Mincho" w:cs="Angsana New"/>
      <w:snapToGrid w:val="0"/>
      <w:szCs w:val="18"/>
    </w:rPr>
  </w:style>
  <w:style w:type="paragraph" w:customStyle="1" w:styleId="Default">
    <w:name w:val="Default"/>
    <w:rsid w:val="00742F79"/>
    <w:pPr>
      <w:autoSpaceDE w:val="0"/>
      <w:autoSpaceDN w:val="0"/>
      <w:adjustRightInd w:val="0"/>
    </w:pPr>
    <w:rPr>
      <w:color w:val="000000"/>
      <w:sz w:val="24"/>
      <w:szCs w:val="24"/>
      <w:lang w:val="en-US"/>
    </w:rPr>
  </w:style>
  <w:style w:type="paragraph" w:customStyle="1" w:styleId="Pa6">
    <w:name w:val="Pa6"/>
    <w:basedOn w:val="Default"/>
    <w:next w:val="Default"/>
    <w:uiPriority w:val="99"/>
    <w:rsid w:val="00742F79"/>
    <w:pPr>
      <w:spacing w:line="201" w:lineRule="atLeast"/>
    </w:pPr>
    <w:rPr>
      <w:rFonts w:ascii="Minion Pro" w:hAnsi="Minion Pro"/>
      <w:color w:val="auto"/>
    </w:rPr>
  </w:style>
  <w:style w:type="character" w:customStyle="1" w:styleId="A6">
    <w:name w:val="A6"/>
    <w:uiPriority w:val="99"/>
    <w:rsid w:val="00742F79"/>
    <w:rPr>
      <w:rFonts w:cs="Minion Pro"/>
      <w:color w:val="000000"/>
      <w:sz w:val="12"/>
      <w:szCs w:val="12"/>
    </w:rPr>
  </w:style>
  <w:style w:type="paragraph" w:customStyle="1" w:styleId="Pa45">
    <w:name w:val="Pa45"/>
    <w:basedOn w:val="Default"/>
    <w:next w:val="Default"/>
    <w:uiPriority w:val="99"/>
    <w:rsid w:val="00742F79"/>
    <w:pPr>
      <w:spacing w:line="191" w:lineRule="atLeast"/>
    </w:pPr>
    <w:rPr>
      <w:rFonts w:ascii="Myriad Roman" w:hAnsi="Myriad Roman"/>
      <w:color w:val="auto"/>
    </w:rPr>
  </w:style>
  <w:style w:type="character" w:customStyle="1" w:styleId="A13">
    <w:name w:val="A13"/>
    <w:uiPriority w:val="99"/>
    <w:rsid w:val="00742F79"/>
    <w:rPr>
      <w:rFonts w:cs="Myriad Roman"/>
      <w:color w:val="000000"/>
      <w:sz w:val="18"/>
      <w:szCs w:val="18"/>
    </w:rPr>
  </w:style>
  <w:style w:type="paragraph" w:customStyle="1" w:styleId="MediumGrid1-Accent21">
    <w:name w:val="Medium Grid 1 - Accent 21"/>
    <w:basedOn w:val="Normal"/>
    <w:rsid w:val="00742F79"/>
    <w:pPr>
      <w:ind w:left="720"/>
      <w:contextualSpacing/>
      <w:jc w:val="left"/>
    </w:pPr>
    <w:rPr>
      <w:rFonts w:ascii="Cambria" w:eastAsia="MS ??" w:hAnsi="Cambria"/>
      <w:sz w:val="24"/>
      <w:lang w:val="en-US" w:eastAsia="ja-JP"/>
    </w:rPr>
  </w:style>
  <w:style w:type="character" w:styleId="Emphasis">
    <w:name w:val="Emphasis"/>
    <w:uiPriority w:val="20"/>
    <w:qFormat/>
    <w:rsid w:val="00742F79"/>
    <w:rPr>
      <w:b/>
      <w:bCs/>
      <w:i w:val="0"/>
      <w:iCs w:val="0"/>
    </w:rPr>
  </w:style>
  <w:style w:type="character" w:customStyle="1" w:styleId="Heading1Char">
    <w:name w:val="Heading 1 Char"/>
    <w:link w:val="Heading1"/>
    <w:uiPriority w:val="9"/>
    <w:rsid w:val="00742F79"/>
    <w:rPr>
      <w:b/>
      <w:caps/>
      <w:sz w:val="22"/>
      <w:szCs w:val="24"/>
      <w:lang w:val="en-GB"/>
    </w:rPr>
  </w:style>
  <w:style w:type="paragraph" w:customStyle="1" w:styleId="ta-response-item-content">
    <w:name w:val="ta-response-item-content"/>
    <w:basedOn w:val="Normal"/>
    <w:rsid w:val="00742F79"/>
    <w:pPr>
      <w:spacing w:before="100" w:beforeAutospacing="1" w:after="100" w:afterAutospacing="1"/>
      <w:jc w:val="left"/>
    </w:pPr>
    <w:rPr>
      <w:sz w:val="24"/>
      <w:lang w:val="en-US"/>
    </w:rPr>
  </w:style>
  <w:style w:type="character" w:customStyle="1" w:styleId="HeaderChar">
    <w:name w:val="Header Char"/>
    <w:link w:val="Header"/>
    <w:rsid w:val="00742F79"/>
    <w:rPr>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uiPriority w:val="9"/>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F13DC0"/>
    <w:pPr>
      <w:numPr>
        <w:numId w:val="6"/>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rPr>
      <w:sz w:val="16"/>
    </w:rPr>
  </w:style>
  <w:style w:type="paragraph" w:styleId="CommentText">
    <w:name w:val="annotation text"/>
    <w:basedOn w:val="Normal"/>
    <w:link w:val="CommentTextChar"/>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semiHidden/>
    <w:unhideWhenUsed/>
    <w:rsid w:val="00406BC6"/>
    <w:rPr>
      <w:rFonts w:ascii="Tahoma" w:hAnsi="Tahoma" w:cs="Tahoma"/>
      <w:sz w:val="16"/>
      <w:szCs w:val="16"/>
    </w:rPr>
  </w:style>
  <w:style w:type="character" w:customStyle="1" w:styleId="BalloonTextChar">
    <w:name w:val="Balloon Text Char"/>
    <w:link w:val="BalloonText"/>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nhideWhenUsed/>
    <w:rsid w:val="00D9537D"/>
    <w:pPr>
      <w:spacing w:after="0" w:line="240" w:lineRule="auto"/>
    </w:pPr>
    <w:rPr>
      <w:b/>
      <w:bCs/>
      <w:sz w:val="20"/>
      <w:szCs w:val="20"/>
    </w:rPr>
  </w:style>
  <w:style w:type="character" w:customStyle="1" w:styleId="CommentTextChar">
    <w:name w:val="Comment Text Char"/>
    <w:link w:val="CommentText"/>
    <w:rsid w:val="00D9537D"/>
    <w:rPr>
      <w:sz w:val="22"/>
      <w:szCs w:val="24"/>
      <w:lang w:val="en-GB"/>
    </w:rPr>
  </w:style>
  <w:style w:type="character" w:customStyle="1" w:styleId="CommentSubjectChar">
    <w:name w:val="Comment Subject Char"/>
    <w:link w:val="CommentSubject"/>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autoRedefine/>
    <w:rsid w:val="00742F79"/>
    <w:rPr>
      <w:rFonts w:ascii="Lucida Sans Unicode" w:hAnsi="Lucida Sans Unicode" w:cs="Angsana New"/>
      <w:noProof/>
      <w:color w:val="0000FF"/>
      <w:lang w:val="en-US"/>
    </w:rPr>
  </w:style>
  <w:style w:type="paragraph" w:customStyle="1" w:styleId="bodytextnoindent">
    <w:name w:val="body text (no indent)"/>
    <w:basedOn w:val="Normal"/>
    <w:rsid w:val="00742F79"/>
    <w:pPr>
      <w:widowControl w:val="0"/>
      <w:overflowPunct w:val="0"/>
      <w:autoSpaceDE w:val="0"/>
      <w:autoSpaceDN w:val="0"/>
      <w:adjustRightInd w:val="0"/>
      <w:spacing w:before="120" w:after="120"/>
      <w:textAlignment w:val="baseline"/>
    </w:pPr>
    <w:rPr>
      <w:rFonts w:cs="Angsana New"/>
      <w:szCs w:val="20"/>
      <w:lang w:eastAsia="de-DE"/>
    </w:rPr>
  </w:style>
  <w:style w:type="paragraph" w:styleId="BodyText2">
    <w:name w:val="Body Text 2"/>
    <w:basedOn w:val="Normal"/>
    <w:link w:val="BodyText2Char"/>
    <w:rsid w:val="00742F79"/>
    <w:rPr>
      <w:rFonts w:cs="Angsana New"/>
      <w:i/>
      <w:iCs/>
    </w:rPr>
  </w:style>
  <w:style w:type="character" w:customStyle="1" w:styleId="BodyText2Char">
    <w:name w:val="Body Text 2 Char"/>
    <w:basedOn w:val="DefaultParagraphFont"/>
    <w:link w:val="BodyText2"/>
    <w:rsid w:val="00742F79"/>
    <w:rPr>
      <w:rFonts w:cs="Angsana New"/>
      <w:i/>
      <w:iCs/>
      <w:sz w:val="22"/>
      <w:szCs w:val="24"/>
      <w:lang w:val="en-GB"/>
    </w:rPr>
  </w:style>
  <w:style w:type="paragraph" w:styleId="BodyText3">
    <w:name w:val="Body Text 3"/>
    <w:basedOn w:val="Normal"/>
    <w:link w:val="BodyText3Char"/>
    <w:rsid w:val="00742F79"/>
    <w:pPr>
      <w:jc w:val="center"/>
    </w:pPr>
    <w:rPr>
      <w:rFonts w:cs="Angsana New"/>
      <w:sz w:val="28"/>
    </w:rPr>
  </w:style>
  <w:style w:type="character" w:customStyle="1" w:styleId="BodyText3Char">
    <w:name w:val="Body Text 3 Char"/>
    <w:basedOn w:val="DefaultParagraphFont"/>
    <w:link w:val="BodyText3"/>
    <w:rsid w:val="00742F79"/>
    <w:rPr>
      <w:rFonts w:cs="Angsana New"/>
      <w:sz w:val="28"/>
      <w:szCs w:val="24"/>
      <w:lang w:val="en-GB"/>
    </w:rPr>
  </w:style>
  <w:style w:type="character" w:customStyle="1" w:styleId="BodyTextChar">
    <w:name w:val="Body Text Char"/>
    <w:rsid w:val="00742F79"/>
    <w:rPr>
      <w:iCs/>
      <w:sz w:val="22"/>
      <w:szCs w:val="24"/>
      <w:lang w:val="en-GB" w:eastAsia="en-US" w:bidi="ar-SA"/>
    </w:rPr>
  </w:style>
  <w:style w:type="paragraph" w:styleId="BodyTextIndent2">
    <w:name w:val="Body Text Indent 2"/>
    <w:basedOn w:val="Normal"/>
    <w:link w:val="BodyTextIndent2Char"/>
    <w:rsid w:val="00742F79"/>
    <w:pPr>
      <w:ind w:firstLine="720"/>
    </w:pPr>
    <w:rPr>
      <w:rFonts w:cs="Angsana New"/>
    </w:rPr>
  </w:style>
  <w:style w:type="character" w:customStyle="1" w:styleId="BodyTextIndent2Char">
    <w:name w:val="Body Text Indent 2 Char"/>
    <w:basedOn w:val="DefaultParagraphFont"/>
    <w:link w:val="BodyTextIndent2"/>
    <w:rsid w:val="00742F79"/>
    <w:rPr>
      <w:rFonts w:cs="Angsana New"/>
      <w:sz w:val="22"/>
      <w:szCs w:val="24"/>
      <w:lang w:val="en-GB"/>
    </w:rPr>
  </w:style>
  <w:style w:type="paragraph" w:customStyle="1" w:styleId="Bodytextitalic">
    <w:name w:val="Body text italic"/>
    <w:basedOn w:val="BodyText"/>
    <w:rsid w:val="00742F79"/>
    <w:rPr>
      <w:rFonts w:cs="Angsana New"/>
      <w:i/>
      <w:iCs w:val="0"/>
    </w:rPr>
  </w:style>
  <w:style w:type="paragraph" w:customStyle="1" w:styleId="boxbody">
    <w:name w:val="boxbody"/>
    <w:basedOn w:val="Normal"/>
    <w:rsid w:val="00742F79"/>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742F79"/>
    <w:pPr>
      <w:tabs>
        <w:tab w:val="clear" w:pos="720"/>
        <w:tab w:val="left" w:pos="900"/>
      </w:tabs>
    </w:pPr>
    <w:rPr>
      <w:rFonts w:eastAsia="Batang"/>
      <w:b w:val="0"/>
      <w:bCs w:val="0"/>
      <w:szCs w:val="20"/>
    </w:rPr>
  </w:style>
  <w:style w:type="paragraph" w:customStyle="1" w:styleId="Heading2noletter">
    <w:name w:val="Heading 2 (no letter)"/>
    <w:basedOn w:val="Heading2"/>
    <w:rsid w:val="00742F79"/>
    <w:pPr>
      <w:tabs>
        <w:tab w:val="clear" w:pos="720"/>
      </w:tabs>
    </w:pPr>
  </w:style>
  <w:style w:type="character" w:customStyle="1" w:styleId="Heading2CharChar">
    <w:name w:val="Heading 2 Char Char"/>
    <w:rsid w:val="00742F79"/>
    <w:rPr>
      <w:rFonts w:ascii="Arial" w:hAnsi="Arial" w:cs="Arial"/>
      <w:b/>
      <w:bCs/>
      <w:i/>
      <w:iCs/>
      <w:noProof w:val="0"/>
      <w:sz w:val="28"/>
      <w:szCs w:val="28"/>
      <w:lang w:val="en-US" w:eastAsia="en-US" w:bidi="ar-SA"/>
    </w:rPr>
  </w:style>
  <w:style w:type="paragraph" w:customStyle="1" w:styleId="Heading-plain0">
    <w:name w:val="Heading-plain"/>
    <w:basedOn w:val="Normal"/>
    <w:rsid w:val="00742F79"/>
    <w:pPr>
      <w:spacing w:before="120" w:after="120"/>
      <w:jc w:val="center"/>
      <w:outlineLvl w:val="0"/>
    </w:pPr>
    <w:rPr>
      <w:rFonts w:cs="Angsana New"/>
      <w:i/>
      <w:szCs w:val="20"/>
    </w:rPr>
  </w:style>
  <w:style w:type="paragraph" w:customStyle="1" w:styleId="Heading-plainbold">
    <w:name w:val="Heading-plain bold"/>
    <w:basedOn w:val="BodyText"/>
    <w:rsid w:val="00742F79"/>
    <w:pPr>
      <w:ind w:firstLine="0"/>
      <w:jc w:val="center"/>
    </w:pPr>
    <w:rPr>
      <w:rFonts w:cs="Angsana New"/>
      <w:b/>
      <w:bCs/>
      <w:i/>
      <w:iCs w:val="0"/>
    </w:rPr>
  </w:style>
  <w:style w:type="paragraph" w:customStyle="1" w:styleId="Heading-plainitalic">
    <w:name w:val="Heading-plain italic"/>
    <w:basedOn w:val="Heading-plainbold"/>
    <w:rsid w:val="00742F79"/>
    <w:rPr>
      <w:b w:val="0"/>
      <w:bCs w:val="0"/>
    </w:rPr>
  </w:style>
  <w:style w:type="paragraph" w:styleId="NormalWeb">
    <w:name w:val="Normal (Web)"/>
    <w:basedOn w:val="Normal"/>
    <w:uiPriority w:val="99"/>
    <w:rsid w:val="00742F79"/>
    <w:pPr>
      <w:spacing w:before="100" w:beforeAutospacing="1" w:after="100" w:afterAutospacing="1"/>
      <w:jc w:val="left"/>
    </w:pPr>
    <w:rPr>
      <w:rFonts w:ascii="Verdana" w:hAnsi="Verdana" w:cs="Angsana New"/>
      <w:color w:val="000000"/>
      <w:sz w:val="18"/>
      <w:szCs w:val="18"/>
      <w:lang w:val="en-US"/>
    </w:rPr>
  </w:style>
  <w:style w:type="paragraph" w:customStyle="1" w:styleId="Para10">
    <w:name w:val="Para 1"/>
    <w:basedOn w:val="BodyText"/>
    <w:rsid w:val="00742F79"/>
    <w:pPr>
      <w:ind w:firstLine="0"/>
    </w:pPr>
    <w:rPr>
      <w:rFonts w:eastAsia="MS Mincho" w:cs="Angsana New"/>
      <w:bCs/>
      <w:iCs w:val="0"/>
      <w:szCs w:val="22"/>
    </w:rPr>
  </w:style>
  <w:style w:type="character" w:customStyle="1" w:styleId="Para1Char">
    <w:name w:val="Para 1 Char"/>
    <w:rsid w:val="00742F79"/>
    <w:rPr>
      <w:rFonts w:eastAsia="MS Mincho"/>
      <w:bCs/>
      <w:iCs/>
      <w:sz w:val="22"/>
      <w:szCs w:val="22"/>
      <w:lang w:val="en-GB" w:eastAsia="en-US" w:bidi="ar-SA"/>
    </w:rPr>
  </w:style>
  <w:style w:type="character" w:customStyle="1" w:styleId="FootnoteCharacters">
    <w:name w:val="Footnote Characters"/>
    <w:rsid w:val="00742F79"/>
    <w:rPr>
      <w:position w:val="0"/>
      <w:sz w:val="18"/>
      <w:u w:val="single"/>
      <w:vertAlign w:val="baseline"/>
    </w:rPr>
  </w:style>
  <w:style w:type="paragraph" w:customStyle="1" w:styleId="Paraofficial">
    <w:name w:val="Para official"/>
    <w:basedOn w:val="Normal"/>
    <w:rsid w:val="00742F79"/>
    <w:pPr>
      <w:framePr w:hSpace="187" w:vSpace="187" w:wrap="notBeside" w:vAnchor="text" w:hAnchor="text" w:y="1"/>
      <w:numPr>
        <w:numId w:val="36"/>
      </w:numPr>
      <w:spacing w:before="240" w:after="240"/>
      <w:jc w:val="left"/>
    </w:pPr>
    <w:rPr>
      <w:rFonts w:cs="Angsana New"/>
      <w:szCs w:val="20"/>
    </w:rPr>
  </w:style>
  <w:style w:type="paragraph" w:customStyle="1" w:styleId="Para1Char0">
    <w:name w:val="Para1 Char"/>
    <w:basedOn w:val="Normal"/>
    <w:rsid w:val="00742F79"/>
    <w:pPr>
      <w:tabs>
        <w:tab w:val="num" w:pos="720"/>
      </w:tabs>
      <w:spacing w:before="120" w:after="120"/>
      <w:ind w:left="360"/>
    </w:pPr>
    <w:rPr>
      <w:rFonts w:cs="Angsana New"/>
      <w:snapToGrid w:val="0"/>
      <w:szCs w:val="18"/>
    </w:rPr>
  </w:style>
  <w:style w:type="paragraph" w:customStyle="1" w:styleId="Para1-Annex">
    <w:name w:val="Para1-Annex"/>
    <w:basedOn w:val="Normal"/>
    <w:rsid w:val="00742F79"/>
    <w:pPr>
      <w:tabs>
        <w:tab w:val="num" w:pos="360"/>
      </w:tabs>
      <w:spacing w:after="120"/>
    </w:pPr>
    <w:rPr>
      <w:szCs w:val="22"/>
      <w:lang w:val="en-US"/>
    </w:rPr>
  </w:style>
  <w:style w:type="paragraph" w:customStyle="1" w:styleId="para20">
    <w:name w:val="para2"/>
    <w:basedOn w:val="para2a"/>
    <w:rsid w:val="00742F79"/>
  </w:style>
  <w:style w:type="paragraph" w:customStyle="1" w:styleId="Para40">
    <w:name w:val="Para4"/>
    <w:basedOn w:val="Para3"/>
    <w:rsid w:val="00742F79"/>
    <w:pPr>
      <w:numPr>
        <w:ilvl w:val="0"/>
        <w:numId w:val="0"/>
      </w:numPr>
      <w:tabs>
        <w:tab w:val="clear" w:pos="1980"/>
        <w:tab w:val="left" w:pos="2552"/>
        <w:tab w:val="num" w:pos="3540"/>
      </w:tabs>
      <w:ind w:left="2552" w:hanging="567"/>
    </w:pPr>
    <w:rPr>
      <w:rFonts w:cs="Angsana New"/>
      <w:lang w:val="en-US"/>
    </w:rPr>
  </w:style>
  <w:style w:type="paragraph" w:customStyle="1" w:styleId="Paranum">
    <w:name w:val="Paranum"/>
    <w:basedOn w:val="Normal"/>
    <w:rsid w:val="00742F79"/>
    <w:pPr>
      <w:tabs>
        <w:tab w:val="num" w:pos="360"/>
      </w:tabs>
      <w:spacing w:after="120" w:line="240" w:lineRule="exact"/>
    </w:pPr>
    <w:rPr>
      <w:rFonts w:cs="Angsana New"/>
      <w:szCs w:val="20"/>
      <w:lang w:val="en-US"/>
    </w:rPr>
  </w:style>
  <w:style w:type="character" w:styleId="Strong">
    <w:name w:val="Strong"/>
    <w:qFormat/>
    <w:rsid w:val="00742F79"/>
    <w:rPr>
      <w:b/>
      <w:bCs/>
    </w:rPr>
  </w:style>
  <w:style w:type="paragraph" w:customStyle="1" w:styleId="StyleBodyTextTimesNewRoman11ptCharChar">
    <w:name w:val="Style Body Text + Times New Roman 11 pt Char Char"/>
    <w:basedOn w:val="BodyText"/>
    <w:rsid w:val="00742F79"/>
    <w:rPr>
      <w:rFonts w:cs="Angsana New"/>
      <w:iCs w:val="0"/>
      <w:snapToGrid w:val="0"/>
      <w:color w:val="000000"/>
      <w:szCs w:val="22"/>
      <w:lang w:val="en-US"/>
    </w:rPr>
  </w:style>
  <w:style w:type="character" w:customStyle="1" w:styleId="StyleBodyTextTimesNewRoman11ptCharCharChar">
    <w:name w:val="Style Body Text + Times New Roman 11 pt Char Char Char"/>
    <w:rsid w:val="00742F79"/>
    <w:rPr>
      <w:rFonts w:cs="Angsana New"/>
      <w:iCs/>
      <w:snapToGrid w:val="0"/>
      <w:color w:val="000000"/>
      <w:sz w:val="22"/>
      <w:szCs w:val="22"/>
      <w:lang w:val="en-US" w:eastAsia="en-US" w:bidi="ar-SA"/>
    </w:rPr>
  </w:style>
  <w:style w:type="paragraph" w:customStyle="1" w:styleId="StylePara1Firstline127cm">
    <w:name w:val="Style Para1 + First line:  1.27 cm"/>
    <w:basedOn w:val="Normal"/>
    <w:rsid w:val="00742F79"/>
    <w:pPr>
      <w:tabs>
        <w:tab w:val="num" w:pos="360"/>
      </w:tabs>
      <w:spacing w:after="120"/>
    </w:pPr>
    <w:rPr>
      <w:rFonts w:cs="Angsana New"/>
      <w:snapToGrid w:val="0"/>
      <w:szCs w:val="20"/>
    </w:rPr>
  </w:style>
  <w:style w:type="paragraph" w:customStyle="1" w:styleId="StylePara1Italic">
    <w:name w:val="Style Para1 + Italic"/>
    <w:basedOn w:val="Normal"/>
    <w:rsid w:val="00742F79"/>
    <w:pPr>
      <w:spacing w:before="120" w:after="120"/>
    </w:pPr>
    <w:rPr>
      <w:i/>
      <w:iCs/>
      <w:snapToGrid w:val="0"/>
      <w:szCs w:val="18"/>
    </w:rPr>
  </w:style>
  <w:style w:type="paragraph" w:styleId="Title">
    <w:name w:val="Title"/>
    <w:basedOn w:val="Normal"/>
    <w:link w:val="TitleChar"/>
    <w:qFormat/>
    <w:rsid w:val="00742F79"/>
    <w:pPr>
      <w:jc w:val="center"/>
    </w:pPr>
    <w:rPr>
      <w:rFonts w:cs="Angsana New"/>
      <w:i/>
      <w:iCs/>
    </w:rPr>
  </w:style>
  <w:style w:type="character" w:customStyle="1" w:styleId="TitleChar">
    <w:name w:val="Title Char"/>
    <w:basedOn w:val="DefaultParagraphFont"/>
    <w:link w:val="Title"/>
    <w:rsid w:val="00742F79"/>
    <w:rPr>
      <w:rFonts w:cs="Angsana New"/>
      <w:i/>
      <w:iCs/>
      <w:sz w:val="22"/>
      <w:szCs w:val="24"/>
      <w:lang w:val="en-GB"/>
    </w:rPr>
  </w:style>
  <w:style w:type="paragraph" w:customStyle="1" w:styleId="para2a">
    <w:name w:val="para 2 (a)"/>
    <w:basedOn w:val="Normal"/>
    <w:qFormat/>
    <w:rsid w:val="00742F79"/>
    <w:pPr>
      <w:spacing w:after="120"/>
      <w:ind w:firstLine="763"/>
    </w:pPr>
    <w:rPr>
      <w:rFonts w:eastAsia="MS Mincho" w:cs="Angsana New"/>
      <w:snapToGrid w:val="0"/>
      <w:szCs w:val="18"/>
    </w:rPr>
  </w:style>
  <w:style w:type="paragraph" w:customStyle="1" w:styleId="Default">
    <w:name w:val="Default"/>
    <w:rsid w:val="00742F79"/>
    <w:pPr>
      <w:autoSpaceDE w:val="0"/>
      <w:autoSpaceDN w:val="0"/>
      <w:adjustRightInd w:val="0"/>
    </w:pPr>
    <w:rPr>
      <w:color w:val="000000"/>
      <w:sz w:val="24"/>
      <w:szCs w:val="24"/>
      <w:lang w:val="en-US"/>
    </w:rPr>
  </w:style>
  <w:style w:type="paragraph" w:customStyle="1" w:styleId="Pa6">
    <w:name w:val="Pa6"/>
    <w:basedOn w:val="Default"/>
    <w:next w:val="Default"/>
    <w:uiPriority w:val="99"/>
    <w:rsid w:val="00742F79"/>
    <w:pPr>
      <w:spacing w:line="201" w:lineRule="atLeast"/>
    </w:pPr>
    <w:rPr>
      <w:rFonts w:ascii="Minion Pro" w:hAnsi="Minion Pro"/>
      <w:color w:val="auto"/>
    </w:rPr>
  </w:style>
  <w:style w:type="character" w:customStyle="1" w:styleId="A6">
    <w:name w:val="A6"/>
    <w:uiPriority w:val="99"/>
    <w:rsid w:val="00742F79"/>
    <w:rPr>
      <w:rFonts w:cs="Minion Pro"/>
      <w:color w:val="000000"/>
      <w:sz w:val="12"/>
      <w:szCs w:val="12"/>
    </w:rPr>
  </w:style>
  <w:style w:type="paragraph" w:customStyle="1" w:styleId="Pa45">
    <w:name w:val="Pa45"/>
    <w:basedOn w:val="Default"/>
    <w:next w:val="Default"/>
    <w:uiPriority w:val="99"/>
    <w:rsid w:val="00742F79"/>
    <w:pPr>
      <w:spacing w:line="191" w:lineRule="atLeast"/>
    </w:pPr>
    <w:rPr>
      <w:rFonts w:ascii="Myriad Roman" w:hAnsi="Myriad Roman"/>
      <w:color w:val="auto"/>
    </w:rPr>
  </w:style>
  <w:style w:type="character" w:customStyle="1" w:styleId="A13">
    <w:name w:val="A13"/>
    <w:uiPriority w:val="99"/>
    <w:rsid w:val="00742F79"/>
    <w:rPr>
      <w:rFonts w:cs="Myriad Roman"/>
      <w:color w:val="000000"/>
      <w:sz w:val="18"/>
      <w:szCs w:val="18"/>
    </w:rPr>
  </w:style>
  <w:style w:type="paragraph" w:customStyle="1" w:styleId="MediumGrid1-Accent21">
    <w:name w:val="Medium Grid 1 - Accent 21"/>
    <w:basedOn w:val="Normal"/>
    <w:rsid w:val="00742F79"/>
    <w:pPr>
      <w:ind w:left="720"/>
      <w:contextualSpacing/>
      <w:jc w:val="left"/>
    </w:pPr>
    <w:rPr>
      <w:rFonts w:ascii="Cambria" w:eastAsia="MS ??" w:hAnsi="Cambria"/>
      <w:sz w:val="24"/>
      <w:lang w:val="en-US" w:eastAsia="ja-JP"/>
    </w:rPr>
  </w:style>
  <w:style w:type="character" w:styleId="Emphasis">
    <w:name w:val="Emphasis"/>
    <w:uiPriority w:val="20"/>
    <w:qFormat/>
    <w:rsid w:val="00742F79"/>
    <w:rPr>
      <w:b/>
      <w:bCs/>
      <w:i w:val="0"/>
      <w:iCs w:val="0"/>
    </w:rPr>
  </w:style>
  <w:style w:type="character" w:customStyle="1" w:styleId="Heading1Char">
    <w:name w:val="Heading 1 Char"/>
    <w:link w:val="Heading1"/>
    <w:uiPriority w:val="9"/>
    <w:rsid w:val="00742F79"/>
    <w:rPr>
      <w:b/>
      <w:caps/>
      <w:sz w:val="22"/>
      <w:szCs w:val="24"/>
      <w:lang w:val="en-GB"/>
    </w:rPr>
  </w:style>
  <w:style w:type="paragraph" w:customStyle="1" w:styleId="ta-response-item-content">
    <w:name w:val="ta-response-item-content"/>
    <w:basedOn w:val="Normal"/>
    <w:rsid w:val="00742F79"/>
    <w:pPr>
      <w:spacing w:before="100" w:beforeAutospacing="1" w:after="100" w:afterAutospacing="1"/>
      <w:jc w:val="left"/>
    </w:pPr>
    <w:rPr>
      <w:sz w:val="24"/>
      <w:lang w:val="en-US"/>
    </w:rPr>
  </w:style>
  <w:style w:type="character" w:customStyle="1" w:styleId="HeaderChar">
    <w:name w:val="Header Char"/>
    <w:link w:val="Header"/>
    <w:rsid w:val="00742F79"/>
    <w:rPr>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mop-08/mop-08-dec-10-fr.pdf"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cbd.int/doc/decisions/cop-13/cop-13-dec-26-fr.pdf"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glossaryDocument" Target="glossary/document.xml"/><Relationship Id="rId28" Type="http://schemas.microsoft.com/office/2011/relationships/people" Target="people.xml"/><Relationship Id="rId10" Type="http://schemas.openxmlformats.org/officeDocument/2006/relationships/image" Target="media/image3.emf"/><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s://www.cbd.int/doc/decisions/np-mop-02/np-mop-02-dec-12-fr.pdf" TargetMode="External"/><Relationship Id="rId22" Type="http://schemas.openxmlformats.org/officeDocument/2006/relationships/fontTable" Target="fontTable.xml"/><Relationship Id="rId27"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
      <w:docPartPr>
        <w:name w:val="8DA05B690E9F4825BB8E1A36EFAAF965"/>
        <w:category>
          <w:name w:val="General"/>
          <w:gallery w:val="placeholder"/>
        </w:category>
        <w:types>
          <w:type w:val="bbPlcHdr"/>
        </w:types>
        <w:behaviors>
          <w:behavior w:val="content"/>
        </w:behaviors>
        <w:guid w:val="{0DAD62DC-5ED6-4E38-B401-A69E09046BF5}"/>
      </w:docPartPr>
      <w:docPartBody>
        <w:p w:rsidR="00111804" w:rsidRDefault="0068730F" w:rsidP="0068730F">
          <w:pPr>
            <w:pStyle w:val="8DA05B690E9F4825BB8E1A36EFAAF965"/>
          </w:pPr>
          <w:r w:rsidRPr="00B903A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yriadPro-Regular">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ngsana New">
    <w:panose1 w:val="02020603050405020304"/>
    <w:charset w:val="DE"/>
    <w:family w:val="roman"/>
    <w:notTrueType/>
    <w:pitch w:val="variable"/>
    <w:sig w:usb0="01000001" w:usb1="00000000" w:usb2="00000000" w:usb3="00000000" w:csb0="00010000"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Minion Pro">
    <w:altName w:val="Cambria"/>
    <w:panose1 w:val="00000000000000000000"/>
    <w:charset w:val="00"/>
    <w:family w:val="roman"/>
    <w:notTrueType/>
    <w:pitch w:val="default"/>
    <w:sig w:usb0="00000003" w:usb1="08070000" w:usb2="00000010" w:usb3="00000000" w:csb0="00020001" w:csb1="00000000"/>
  </w:font>
  <w:font w:name="Myriad Roman">
    <w:altName w:val="Myriad 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01710"/>
    <w:rsid w:val="00015BC6"/>
    <w:rsid w:val="00111804"/>
    <w:rsid w:val="001B29AF"/>
    <w:rsid w:val="002641CC"/>
    <w:rsid w:val="0037757D"/>
    <w:rsid w:val="004A67FB"/>
    <w:rsid w:val="004A69EC"/>
    <w:rsid w:val="005741F9"/>
    <w:rsid w:val="00635CE0"/>
    <w:rsid w:val="0068730F"/>
    <w:rsid w:val="007E501A"/>
    <w:rsid w:val="0083264A"/>
    <w:rsid w:val="00965FFF"/>
    <w:rsid w:val="00977C27"/>
    <w:rsid w:val="009C587D"/>
    <w:rsid w:val="00A27574"/>
    <w:rsid w:val="00A548D2"/>
    <w:rsid w:val="00B36C7B"/>
    <w:rsid w:val="00B84642"/>
    <w:rsid w:val="00B859D6"/>
    <w:rsid w:val="00BB2CFE"/>
    <w:rsid w:val="00CB56F9"/>
    <w:rsid w:val="00D5481D"/>
    <w:rsid w:val="00EC17B5"/>
    <w:rsid w:val="00F42E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8730F"/>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8E9ECE4427FD49679750D3B634D5B255">
    <w:name w:val="8E9ECE4427FD49679750D3B634D5B255"/>
    <w:rsid w:val="0068730F"/>
  </w:style>
  <w:style w:type="paragraph" w:customStyle="1" w:styleId="0009B2C2ABA140B1BD64CD9FA9C5CC37">
    <w:name w:val="0009B2C2ABA140B1BD64CD9FA9C5CC37"/>
    <w:rsid w:val="0068730F"/>
  </w:style>
  <w:style w:type="paragraph" w:customStyle="1" w:styleId="8DA05B690E9F4825BB8E1A36EFAAF965">
    <w:name w:val="8DA05B690E9F4825BB8E1A36EFAAF965"/>
    <w:rsid w:val="006873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8730F"/>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8E9ECE4427FD49679750D3B634D5B255">
    <w:name w:val="8E9ECE4427FD49679750D3B634D5B255"/>
    <w:rsid w:val="0068730F"/>
  </w:style>
  <w:style w:type="paragraph" w:customStyle="1" w:styleId="0009B2C2ABA140B1BD64CD9FA9C5CC37">
    <w:name w:val="0009B2C2ABA140B1BD64CD9FA9C5CC37"/>
    <w:rsid w:val="0068730F"/>
  </w:style>
  <w:style w:type="paragraph" w:customStyle="1" w:styleId="8DA05B690E9F4825BB8E1A36EFAAF965">
    <w:name w:val="8DA05B690E9F4825BB8E1A36EFAAF965"/>
    <w:rsid w:val="006873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384C-C2E5-47C1-A2BD-E389351EB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TotalTime>
  <Pages>15</Pages>
  <Words>7099</Words>
  <Characters>40467</Characters>
  <Application>Microsoft Office Word</Application>
  <DocSecurity>0</DocSecurity>
  <Lines>337</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Examen de l’organisation de rÉunions concomitantes À la ConfÉrence des Parties À la Convention et AUX RÉUNIONS des Parties aux Protocoles</vt:lpstr>
      <vt:lpstr>Examen de l’organisation de rÉunions concomitantes À la ConfÉrence des Parties À la Convention et AUX RÉUNIONS des Parties aux Protocoles</vt:lpstr>
    </vt:vector>
  </TitlesOfParts>
  <Company>Biodiversity</Company>
  <LinksUpToDate>false</LinksUpToDate>
  <CharactersWithSpaces>47472</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 l’organisation de rÉunions concomitantes À la ConfÉrence des Parties À la Convention et AUX RÉUNIONS des Parties aux Protocoles</dc:title>
  <dc:subject>CBD/SBI/2/16/Add.1</dc:subject>
  <dc:creator>SCBD</dc:creator>
  <cp:lastModifiedBy>Tatiana Zavarzina</cp:lastModifiedBy>
  <cp:revision>4</cp:revision>
  <cp:lastPrinted>2018-02-09T21:52:00Z</cp:lastPrinted>
  <dcterms:created xsi:type="dcterms:W3CDTF">2018-03-02T20:18:00Z</dcterms:created>
  <dcterms:modified xsi:type="dcterms:W3CDTF">2018-03-02T20:25:00Z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ORGANE SUBSIDIAIRE CHARGÉ DE L'APPLICATION</vt:lpwstr>
  </property>
</Properties>
</file>