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3372D4" w:rsidRPr="009A33BA" w14:paraId="0851B98B" w14:textId="77777777" w:rsidTr="00E97CF5">
        <w:trPr>
          <w:trHeight w:val="709"/>
        </w:trPr>
        <w:tc>
          <w:tcPr>
            <w:tcW w:w="976" w:type="dxa"/>
            <w:tcBorders>
              <w:bottom w:val="single" w:sz="12" w:space="0" w:color="auto"/>
            </w:tcBorders>
            <w:shd w:val="clear" w:color="auto" w:fill="auto"/>
          </w:tcPr>
          <w:p w14:paraId="753DDB7C" w14:textId="77777777" w:rsidR="0054620D" w:rsidRPr="009A33BA" w:rsidRDefault="002D09F1" w:rsidP="00E97CF5">
            <w:pPr>
              <w:suppressLineNumbers/>
              <w:suppressAutoHyphens/>
              <w:kinsoku w:val="0"/>
              <w:overflowPunct w:val="0"/>
              <w:autoSpaceDE w:val="0"/>
              <w:autoSpaceDN w:val="0"/>
              <w:rPr>
                <w:kern w:val="22"/>
                <w:lang w:val="es-ES_tradnl"/>
              </w:rPr>
            </w:pPr>
            <w:bookmarkStart w:id="0" w:name="_Hlk505247837"/>
            <w:bookmarkStart w:id="1" w:name="_Hlk515825442"/>
            <w:r w:rsidRPr="009A33BA">
              <w:rPr>
                <w:noProof/>
                <w:kern w:val="22"/>
                <w:lang w:val="es-ES_tradnl" w:eastAsia="en-GB"/>
              </w:rPr>
              <w:drawing>
                <wp:inline distT="0" distB="0" distL="0" distR="0" wp14:anchorId="42574E64" wp14:editId="2A673888">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611A2945" w14:textId="77777777" w:rsidR="0054620D" w:rsidRPr="009A33BA" w:rsidRDefault="002D09F1" w:rsidP="00E97CF5">
            <w:pPr>
              <w:suppressLineNumbers/>
              <w:suppressAutoHyphens/>
              <w:kinsoku w:val="0"/>
              <w:overflowPunct w:val="0"/>
              <w:autoSpaceDE w:val="0"/>
              <w:autoSpaceDN w:val="0"/>
              <w:rPr>
                <w:kern w:val="22"/>
                <w:lang w:val="es-ES_tradnl"/>
              </w:rPr>
            </w:pPr>
            <w:r w:rsidRPr="009A33BA">
              <w:rPr>
                <w:noProof/>
                <w:kern w:val="22"/>
                <w:lang w:val="es-ES_tradnl" w:eastAsia="en-GB"/>
              </w:rPr>
              <w:drawing>
                <wp:inline distT="0" distB="0" distL="0" distR="0" wp14:anchorId="54F089F4" wp14:editId="2AE93999">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43AE1468" w14:textId="77777777" w:rsidR="0054620D" w:rsidRPr="009A33BA" w:rsidRDefault="0054620D" w:rsidP="00E97CF5">
            <w:pPr>
              <w:suppressLineNumbers/>
              <w:suppressAutoHyphens/>
              <w:kinsoku w:val="0"/>
              <w:overflowPunct w:val="0"/>
              <w:autoSpaceDE w:val="0"/>
              <w:autoSpaceDN w:val="0"/>
              <w:jc w:val="right"/>
              <w:rPr>
                <w:rFonts w:ascii="Arial" w:hAnsi="Arial" w:cs="Arial"/>
                <w:b/>
                <w:kern w:val="22"/>
                <w:sz w:val="32"/>
                <w:szCs w:val="32"/>
                <w:lang w:val="es-ES_tradnl"/>
              </w:rPr>
            </w:pPr>
            <w:r w:rsidRPr="009A33BA">
              <w:rPr>
                <w:rFonts w:ascii="Arial" w:hAnsi="Arial" w:cs="Arial"/>
                <w:b/>
                <w:kern w:val="22"/>
                <w:sz w:val="32"/>
                <w:szCs w:val="32"/>
                <w:lang w:val="es-ES_tradnl"/>
              </w:rPr>
              <w:t>CBD</w:t>
            </w:r>
          </w:p>
        </w:tc>
      </w:tr>
      <w:bookmarkEnd w:id="0"/>
      <w:tr w:rsidR="003372D4" w:rsidRPr="009A33BA" w14:paraId="34824A90" w14:textId="77777777" w:rsidTr="00E97CF5">
        <w:tc>
          <w:tcPr>
            <w:tcW w:w="6117" w:type="dxa"/>
            <w:gridSpan w:val="2"/>
            <w:tcBorders>
              <w:top w:val="single" w:sz="12" w:space="0" w:color="auto"/>
              <w:bottom w:val="single" w:sz="36" w:space="0" w:color="auto"/>
            </w:tcBorders>
            <w:shd w:val="clear" w:color="auto" w:fill="auto"/>
            <w:vAlign w:val="center"/>
          </w:tcPr>
          <w:p w14:paraId="4247C238" w14:textId="394FB461" w:rsidR="0054620D" w:rsidRPr="009A33BA" w:rsidRDefault="00362664" w:rsidP="00E97CF5">
            <w:pPr>
              <w:suppressLineNumbers/>
              <w:suppressAutoHyphens/>
              <w:kinsoku w:val="0"/>
              <w:overflowPunct w:val="0"/>
              <w:autoSpaceDE w:val="0"/>
              <w:autoSpaceDN w:val="0"/>
              <w:rPr>
                <w:kern w:val="22"/>
                <w:lang w:val="es-ES_tradnl"/>
              </w:rPr>
            </w:pPr>
            <w:r w:rsidRPr="009A33BA">
              <w:rPr>
                <w:noProof/>
                <w:lang w:val="es-ES_tradnl" w:eastAsia="es-UY"/>
              </w:rPr>
              <w:drawing>
                <wp:inline distT="0" distB="0" distL="0" distR="0" wp14:anchorId="41C7D251" wp14:editId="29DC488A">
                  <wp:extent cx="2924175" cy="1076325"/>
                  <wp:effectExtent l="19050" t="0" r="9525"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1" cstate="print"/>
                          <a:srcRect/>
                          <a:stretch>
                            <a:fillRect/>
                          </a:stretch>
                        </pic:blipFill>
                        <pic:spPr bwMode="auto">
                          <a:xfrm>
                            <a:off x="0" y="0"/>
                            <a:ext cx="2924175"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14:paraId="55F2A513" w14:textId="77777777" w:rsidR="0054620D" w:rsidRPr="009A33BA" w:rsidRDefault="0054620D" w:rsidP="00E97CF5">
            <w:pPr>
              <w:suppressLineNumbers/>
              <w:suppressAutoHyphens/>
              <w:kinsoku w:val="0"/>
              <w:overflowPunct w:val="0"/>
              <w:autoSpaceDE w:val="0"/>
              <w:autoSpaceDN w:val="0"/>
              <w:ind w:left="1215"/>
              <w:rPr>
                <w:kern w:val="22"/>
                <w:lang w:val="es-ES_tradnl"/>
              </w:rPr>
            </w:pPr>
            <w:r w:rsidRPr="009A33BA">
              <w:rPr>
                <w:kern w:val="22"/>
                <w:lang w:val="es-ES_tradnl"/>
              </w:rPr>
              <w:t>Distr.</w:t>
            </w:r>
          </w:p>
          <w:p w14:paraId="58B3B5B9" w14:textId="77777777" w:rsidR="0054620D" w:rsidRPr="009A33BA" w:rsidRDefault="003447DC" w:rsidP="00E97CF5">
            <w:pPr>
              <w:suppressLineNumbers/>
              <w:suppressAutoHyphens/>
              <w:kinsoku w:val="0"/>
              <w:overflowPunct w:val="0"/>
              <w:autoSpaceDE w:val="0"/>
              <w:autoSpaceDN w:val="0"/>
              <w:ind w:left="1215"/>
              <w:rPr>
                <w:kern w:val="22"/>
                <w:lang w:val="es-ES_tradnl"/>
              </w:rPr>
            </w:pPr>
            <w:r w:rsidRPr="009A33BA">
              <w:rPr>
                <w:caps/>
                <w:kern w:val="22"/>
                <w:lang w:val="es-ES_tradnl"/>
              </w:rPr>
              <w:t>General</w:t>
            </w:r>
          </w:p>
          <w:p w14:paraId="014F62A9" w14:textId="77777777" w:rsidR="0054620D" w:rsidRPr="009A33BA" w:rsidRDefault="0054620D" w:rsidP="00E97CF5">
            <w:pPr>
              <w:suppressLineNumbers/>
              <w:suppressAutoHyphens/>
              <w:kinsoku w:val="0"/>
              <w:overflowPunct w:val="0"/>
              <w:autoSpaceDE w:val="0"/>
              <w:autoSpaceDN w:val="0"/>
              <w:ind w:left="1215"/>
              <w:rPr>
                <w:kern w:val="22"/>
                <w:lang w:val="es-ES_tradnl"/>
              </w:rPr>
            </w:pPr>
          </w:p>
          <w:sdt>
            <w:sdtPr>
              <w:rPr>
                <w:bCs/>
                <w:kern w:val="22"/>
                <w:lang w:val="es-ES_tradnl"/>
              </w:rPr>
              <w:alias w:val="Subject"/>
              <w:tag w:val=""/>
              <w:id w:val="710456905"/>
              <w:placeholder>
                <w:docPart w:val="9E124DB2BDEA4AEB88992E5E653FD9E2"/>
              </w:placeholder>
              <w:dataBinding w:prefixMappings="xmlns:ns0='http://purl.org/dc/elements/1.1/' xmlns:ns1='http://schemas.openxmlformats.org/package/2006/metadata/core-properties' " w:xpath="/ns1:coreProperties[1]/ns0:subject[1]" w:storeItemID="{6C3C8BC8-F283-45AE-878A-BAB7291924A1}"/>
              <w:text/>
            </w:sdtPr>
            <w:sdtEndPr/>
            <w:sdtContent>
              <w:p w14:paraId="5D88A8D0" w14:textId="77777777" w:rsidR="0054620D" w:rsidRPr="009A33BA" w:rsidRDefault="003447DC" w:rsidP="00E97CF5">
                <w:pPr>
                  <w:suppressLineNumbers/>
                  <w:suppressAutoHyphens/>
                  <w:kinsoku w:val="0"/>
                  <w:overflowPunct w:val="0"/>
                  <w:autoSpaceDE w:val="0"/>
                  <w:autoSpaceDN w:val="0"/>
                  <w:ind w:left="1215"/>
                  <w:rPr>
                    <w:kern w:val="22"/>
                    <w:lang w:val="es-ES_tradnl"/>
                  </w:rPr>
                </w:pPr>
                <w:r w:rsidRPr="009A33BA">
                  <w:rPr>
                    <w:bCs/>
                    <w:kern w:val="22"/>
                    <w:lang w:val="es-ES_tradnl"/>
                  </w:rPr>
                  <w:t>CBD/SBI/2/</w:t>
                </w:r>
                <w:r w:rsidR="002D09F1" w:rsidRPr="009A33BA">
                  <w:rPr>
                    <w:bCs/>
                    <w:kern w:val="22"/>
                    <w:lang w:val="es-ES_tradnl"/>
                  </w:rPr>
                  <w:t>21</w:t>
                </w:r>
              </w:p>
            </w:sdtContent>
          </w:sdt>
          <w:p w14:paraId="5EC10EFA" w14:textId="112863E8" w:rsidR="0054620D" w:rsidRPr="009A33BA" w:rsidRDefault="003447DC" w:rsidP="00E97CF5">
            <w:pPr>
              <w:suppressLineNumbers/>
              <w:suppressAutoHyphens/>
              <w:kinsoku w:val="0"/>
              <w:overflowPunct w:val="0"/>
              <w:autoSpaceDE w:val="0"/>
              <w:autoSpaceDN w:val="0"/>
              <w:ind w:left="1215"/>
              <w:rPr>
                <w:kern w:val="22"/>
                <w:lang w:val="es-ES_tradnl"/>
              </w:rPr>
            </w:pPr>
            <w:r w:rsidRPr="009A33BA">
              <w:rPr>
                <w:kern w:val="22"/>
                <w:lang w:val="es-ES_tradnl"/>
              </w:rPr>
              <w:t>1</w:t>
            </w:r>
            <w:r w:rsidR="001D3BF9" w:rsidRPr="009A33BA">
              <w:rPr>
                <w:kern w:val="22"/>
                <w:lang w:val="es-ES_tradnl"/>
              </w:rPr>
              <w:t>7</w:t>
            </w:r>
            <w:r w:rsidRPr="009A33BA">
              <w:rPr>
                <w:kern w:val="22"/>
                <w:lang w:val="es-ES_tradnl"/>
              </w:rPr>
              <w:t xml:space="preserve"> </w:t>
            </w:r>
            <w:r w:rsidR="00590939" w:rsidRPr="009A33BA">
              <w:rPr>
                <w:kern w:val="22"/>
                <w:lang w:val="es-ES_tradnl"/>
              </w:rPr>
              <w:t xml:space="preserve">de mayo de </w:t>
            </w:r>
            <w:r w:rsidRPr="009A33BA">
              <w:rPr>
                <w:kern w:val="22"/>
                <w:lang w:val="es-ES_tradnl"/>
              </w:rPr>
              <w:t>2018</w:t>
            </w:r>
          </w:p>
          <w:p w14:paraId="2F6862D7" w14:textId="77777777" w:rsidR="0054620D" w:rsidRPr="009A33BA" w:rsidRDefault="0054620D" w:rsidP="00E97CF5">
            <w:pPr>
              <w:suppressLineNumbers/>
              <w:suppressAutoHyphens/>
              <w:kinsoku w:val="0"/>
              <w:overflowPunct w:val="0"/>
              <w:autoSpaceDE w:val="0"/>
              <w:autoSpaceDN w:val="0"/>
              <w:ind w:left="1215"/>
              <w:rPr>
                <w:kern w:val="22"/>
                <w:lang w:val="es-ES_tradnl"/>
              </w:rPr>
            </w:pPr>
          </w:p>
          <w:p w14:paraId="1A58E9F9" w14:textId="77777777" w:rsidR="000D31BC" w:rsidRPr="009A33BA" w:rsidRDefault="000D31BC" w:rsidP="00E97CF5">
            <w:pPr>
              <w:suppressLineNumbers/>
              <w:suppressAutoHyphens/>
              <w:kinsoku w:val="0"/>
              <w:overflowPunct w:val="0"/>
              <w:autoSpaceDE w:val="0"/>
              <w:autoSpaceDN w:val="0"/>
              <w:ind w:left="1215"/>
              <w:rPr>
                <w:kern w:val="22"/>
                <w:lang w:val="es-ES_tradnl"/>
              </w:rPr>
            </w:pPr>
            <w:r w:rsidRPr="009A33BA">
              <w:rPr>
                <w:kern w:val="22"/>
                <w:lang w:val="es-ES_tradnl"/>
              </w:rPr>
              <w:t xml:space="preserve">ESPAÑOL </w:t>
            </w:r>
          </w:p>
          <w:p w14:paraId="52A499A9" w14:textId="3197F27D" w:rsidR="0054620D" w:rsidRPr="009A33BA" w:rsidRDefault="0054620D" w:rsidP="00E97CF5">
            <w:pPr>
              <w:suppressLineNumbers/>
              <w:suppressAutoHyphens/>
              <w:kinsoku w:val="0"/>
              <w:overflowPunct w:val="0"/>
              <w:autoSpaceDE w:val="0"/>
              <w:autoSpaceDN w:val="0"/>
              <w:ind w:left="1215"/>
              <w:rPr>
                <w:kern w:val="22"/>
                <w:lang w:val="es-ES_tradnl"/>
              </w:rPr>
            </w:pPr>
            <w:r w:rsidRPr="009A33BA">
              <w:rPr>
                <w:kern w:val="22"/>
                <w:lang w:val="es-ES_tradnl"/>
              </w:rPr>
              <w:t xml:space="preserve">ORIGINAL: </w:t>
            </w:r>
            <w:r w:rsidR="000D31BC" w:rsidRPr="009A33BA">
              <w:rPr>
                <w:kern w:val="22"/>
                <w:lang w:val="es-ES_tradnl"/>
              </w:rPr>
              <w:t>INGLÉS</w:t>
            </w:r>
          </w:p>
          <w:p w14:paraId="0FA7D425" w14:textId="77777777" w:rsidR="0054620D" w:rsidRPr="009A33BA" w:rsidRDefault="0054620D" w:rsidP="00E97CF5">
            <w:pPr>
              <w:suppressLineNumbers/>
              <w:suppressAutoHyphens/>
              <w:kinsoku w:val="0"/>
              <w:overflowPunct w:val="0"/>
              <w:autoSpaceDE w:val="0"/>
              <w:autoSpaceDN w:val="0"/>
              <w:rPr>
                <w:kern w:val="22"/>
                <w:lang w:val="es-ES_tradnl"/>
              </w:rPr>
            </w:pPr>
          </w:p>
        </w:tc>
      </w:tr>
    </w:tbl>
    <w:p w14:paraId="66E755FB" w14:textId="6EF8F194" w:rsidR="000D31BC" w:rsidRPr="009A33BA" w:rsidRDefault="000D31BC" w:rsidP="000D31BC">
      <w:pPr>
        <w:pStyle w:val="meetingname"/>
        <w:ind w:left="220" w:right="4398" w:hanging="220"/>
        <w:jc w:val="left"/>
        <w:rPr>
          <w:kern w:val="22"/>
          <w:lang w:val="es-ES_tradnl"/>
        </w:rPr>
      </w:pPr>
      <w:bookmarkStart w:id="2" w:name="Meeting"/>
      <w:r w:rsidRPr="009A33BA">
        <w:rPr>
          <w:noProof/>
          <w:kern w:val="22"/>
          <w:lang w:val="es-ES_tradnl"/>
        </w:rPr>
        <w:t>ÓRGANO SUBSIDIARIO SOBRE LA APLICACIÓN</w:t>
      </w:r>
      <w:bookmarkEnd w:id="2"/>
    </w:p>
    <w:p w14:paraId="53DA7B3D" w14:textId="77777777" w:rsidR="000D31BC" w:rsidRPr="009A33BA" w:rsidRDefault="000D31BC" w:rsidP="000D31BC">
      <w:pPr>
        <w:rPr>
          <w:kern w:val="22"/>
          <w:lang w:val="es-ES_tradnl"/>
        </w:rPr>
      </w:pPr>
      <w:r w:rsidRPr="009A33BA">
        <w:rPr>
          <w:noProof/>
          <w:kern w:val="22"/>
          <w:lang w:val="es-ES_tradnl"/>
        </w:rPr>
        <w:t>Segunda reunión</w:t>
      </w:r>
    </w:p>
    <w:p w14:paraId="7FB6B311" w14:textId="77777777" w:rsidR="000D31BC" w:rsidRPr="009A33BA" w:rsidRDefault="000D31BC" w:rsidP="000D31BC">
      <w:pPr>
        <w:rPr>
          <w:kern w:val="22"/>
          <w:lang w:val="es-ES_tradnl"/>
        </w:rPr>
      </w:pPr>
      <w:r w:rsidRPr="009A33BA">
        <w:rPr>
          <w:noProof/>
          <w:kern w:val="22"/>
          <w:lang w:val="es-ES_tradnl"/>
        </w:rPr>
        <w:t>Montreal, Canadá, 9 a 13 de julio de 2018</w:t>
      </w:r>
    </w:p>
    <w:p w14:paraId="668F4D30" w14:textId="4233595F" w:rsidR="0054620D" w:rsidRPr="009A33BA" w:rsidRDefault="000D31BC" w:rsidP="000D31BC">
      <w:pPr>
        <w:pStyle w:val="Header"/>
        <w:suppressLineNumbers/>
        <w:tabs>
          <w:tab w:val="clear" w:pos="4320"/>
          <w:tab w:val="clear" w:pos="8640"/>
        </w:tabs>
        <w:suppressAutoHyphens/>
        <w:rPr>
          <w:kern w:val="22"/>
          <w:lang w:val="es-ES_tradnl"/>
        </w:rPr>
      </w:pPr>
      <w:r w:rsidRPr="009A33BA">
        <w:rPr>
          <w:noProof/>
          <w:kern w:val="22"/>
          <w:lang w:val="es-ES_tradnl"/>
        </w:rPr>
        <w:t>Tema 14 del programa provisional</w:t>
      </w:r>
      <w:r w:rsidR="003447DC" w:rsidRPr="009A33BA">
        <w:rPr>
          <w:rStyle w:val="FootnoteReference"/>
          <w:kern w:val="22"/>
          <w:szCs w:val="22"/>
          <w:lang w:val="es-ES_tradnl"/>
        </w:rPr>
        <w:footnoteReference w:customMarkFollows="1" w:id="1"/>
        <w:t>*</w:t>
      </w:r>
    </w:p>
    <w:p w14:paraId="22912506" w14:textId="14056DD0" w:rsidR="00120AD8" w:rsidRPr="009A33BA" w:rsidRDefault="000135F6" w:rsidP="002D09F1">
      <w:pPr>
        <w:spacing w:before="120" w:after="120"/>
        <w:jc w:val="center"/>
        <w:rPr>
          <w:b/>
          <w:kern w:val="22"/>
          <w:lang w:val="es-ES_tradnl"/>
        </w:rPr>
      </w:pPr>
      <w:sdt>
        <w:sdtPr>
          <w:rPr>
            <w:b/>
            <w:kern w:val="22"/>
            <w:lang w:val="es-ES_tradnl"/>
          </w:rPr>
          <w:alias w:val="Title"/>
          <w:tag w:val=""/>
          <w:id w:val="-286121954"/>
          <w:placeholder>
            <w:docPart w:val="219C7DDD53774072867A28D67F29FE6B"/>
          </w:placeholder>
          <w:dataBinding w:prefixMappings="xmlns:ns0='http://purl.org/dc/elements/1.1/' xmlns:ns1='http://schemas.openxmlformats.org/package/2006/metadata/core-properties' " w:xpath="/ns1:coreProperties[1]/ns0:title[1]" w:storeItemID="{6C3C8BC8-F283-45AE-878A-BAB7291924A1}"/>
          <w:text/>
        </w:sdtPr>
        <w:sdtEndPr/>
        <w:sdtContent>
          <w:r w:rsidR="00007C83" w:rsidRPr="009A33BA">
            <w:rPr>
              <w:b/>
              <w:kern w:val="22"/>
              <w:lang w:val="es-ES_tradnl"/>
            </w:rPr>
            <w:t>LA INTEGRACIÓN DEL ARTÍCULO 8 J) Y DISPOSICIONES RELACIONADAS CON LOS PUEBLOS INDÍGENAS Y LAS COMUNIDADES LOCALES EN LA LABOR DEL CONVENIO Y SUS PROTOCOLOS</w:t>
          </w:r>
        </w:sdtContent>
      </w:sdt>
    </w:p>
    <w:p w14:paraId="354610F3" w14:textId="0F70C113" w:rsidR="00B3036B" w:rsidRPr="009A33BA" w:rsidRDefault="00CC1CC5" w:rsidP="00026A71">
      <w:pPr>
        <w:spacing w:before="120" w:after="120"/>
        <w:jc w:val="center"/>
        <w:rPr>
          <w:b/>
          <w:kern w:val="22"/>
          <w:lang w:val="es-ES_tradnl"/>
        </w:rPr>
      </w:pPr>
      <w:r w:rsidRPr="009A33BA">
        <w:rPr>
          <w:b/>
          <w:kern w:val="22"/>
          <w:lang w:val="es-ES_tradnl"/>
        </w:rPr>
        <w:t>INTRODUCCIÓN</w:t>
      </w:r>
    </w:p>
    <w:p w14:paraId="5C0515D7" w14:textId="1716BC52" w:rsidR="009F2F5A" w:rsidRPr="009A33BA" w:rsidRDefault="00007C83" w:rsidP="00FB38DC">
      <w:pPr>
        <w:pStyle w:val="Para1"/>
        <w:rPr>
          <w:rFonts w:eastAsia="MS Mincho"/>
          <w:kern w:val="22"/>
          <w:lang w:val="es-ES_tradnl"/>
        </w:rPr>
      </w:pPr>
      <w:r w:rsidRPr="009A33BA">
        <w:rPr>
          <w:rFonts w:eastAsia="MS Mincho"/>
          <w:kern w:val="22"/>
          <w:lang w:val="es-ES_tradnl"/>
        </w:rPr>
        <w:t xml:space="preserve">El </w:t>
      </w:r>
      <w:r w:rsidRPr="009A33BA">
        <w:rPr>
          <w:rFonts w:eastAsia="Batang"/>
          <w:kern w:val="22"/>
          <w:szCs w:val="22"/>
          <w:lang w:val="es-ES_tradnl" w:eastAsia="ko-KR"/>
        </w:rPr>
        <w:t>Grupo de Trabajo especial de composición abierta entre períodos de sesiones sobre el artículo 8 j) y disposiciones conexas</w:t>
      </w:r>
      <w:r w:rsidR="004317B6" w:rsidRPr="009A33BA">
        <w:rPr>
          <w:rFonts w:eastAsia="MS Mincho"/>
          <w:kern w:val="22"/>
          <w:lang w:val="es-ES_tradnl"/>
        </w:rPr>
        <w:t xml:space="preserve">, </w:t>
      </w:r>
      <w:r w:rsidRPr="009A33BA">
        <w:rPr>
          <w:rFonts w:eastAsia="MS Mincho"/>
          <w:kern w:val="22"/>
          <w:lang w:val="es-ES_tradnl"/>
        </w:rPr>
        <w:t>en su décima reunión, examinó</w:t>
      </w:r>
      <w:bookmarkStart w:id="3" w:name="_Hlk507164696"/>
      <w:r w:rsidR="002E4AF5" w:rsidRPr="009A33BA">
        <w:rPr>
          <w:rFonts w:eastAsia="MS Mincho"/>
          <w:kern w:val="22"/>
          <w:lang w:val="es-ES_tradnl"/>
        </w:rPr>
        <w:t xml:space="preserve"> </w:t>
      </w:r>
      <w:r w:rsidRPr="009A33BA">
        <w:rPr>
          <w:bCs/>
          <w:kern w:val="22"/>
          <w:lang w:val="es-ES_tradnl"/>
        </w:rPr>
        <w:t>formas e instrumentos para lograr la plena integración del artículo 8 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w:t>
      </w:r>
      <w:bookmarkEnd w:id="3"/>
      <w:r w:rsidR="00B7318A" w:rsidRPr="009A33BA">
        <w:rPr>
          <w:rFonts w:eastAsia="MS Mincho"/>
          <w:kern w:val="22"/>
          <w:lang w:val="es-ES_tradnl"/>
        </w:rPr>
        <w:t>,</w:t>
      </w:r>
      <w:r w:rsidR="002E4AF5" w:rsidRPr="009A33BA">
        <w:rPr>
          <w:rFonts w:eastAsia="MS Mincho"/>
          <w:kern w:val="22"/>
          <w:lang w:val="es-ES_tradnl"/>
        </w:rPr>
        <w:t xml:space="preserve"> </w:t>
      </w:r>
      <w:r w:rsidRPr="009A33BA">
        <w:rPr>
          <w:rFonts w:eastAsia="MS Mincho"/>
          <w:kern w:val="22"/>
          <w:lang w:val="es-ES_tradnl"/>
        </w:rPr>
        <w:t>sobre la base de una nota</w:t>
      </w:r>
      <w:r w:rsidR="002E4AF5" w:rsidRPr="009A33BA">
        <w:rPr>
          <w:rStyle w:val="FootnoteReference"/>
          <w:rFonts w:eastAsia="MS Mincho"/>
          <w:kern w:val="22"/>
          <w:lang w:val="es-ES_tradnl"/>
        </w:rPr>
        <w:footnoteReference w:id="2"/>
      </w:r>
      <w:r w:rsidR="002E4AF5" w:rsidRPr="009A33BA">
        <w:rPr>
          <w:rFonts w:eastAsia="MS Mincho"/>
          <w:kern w:val="22"/>
          <w:lang w:val="es-ES_tradnl"/>
        </w:rPr>
        <w:t xml:space="preserve"> </w:t>
      </w:r>
      <w:r w:rsidR="00286416" w:rsidRPr="009A33BA">
        <w:rPr>
          <w:rFonts w:eastAsia="MS Mincho"/>
          <w:kern w:val="22"/>
          <w:lang w:val="es-ES_tradnl"/>
        </w:rPr>
        <w:t>de</w:t>
      </w:r>
      <w:r w:rsidRPr="009A33BA">
        <w:rPr>
          <w:rFonts w:eastAsia="MS Mincho"/>
          <w:kern w:val="22"/>
          <w:lang w:val="es-ES_tradnl"/>
        </w:rPr>
        <w:t xml:space="preserve"> </w:t>
      </w:r>
      <w:r w:rsidR="009522CB" w:rsidRPr="009A33BA">
        <w:rPr>
          <w:rFonts w:eastAsia="MS Mincho"/>
          <w:kern w:val="22"/>
          <w:lang w:val="es-ES_tradnl"/>
        </w:rPr>
        <w:t>la Secretaria Ejecutiva</w:t>
      </w:r>
      <w:r w:rsidRPr="009A33BA">
        <w:rPr>
          <w:rFonts w:eastAsia="MS Mincho"/>
          <w:kern w:val="22"/>
          <w:lang w:val="es-ES_tradnl"/>
        </w:rPr>
        <w:t xml:space="preserve"> y documentos presentados por Partes, otros Gobiernos y representantes de pueblos indígenas y comunidades locales</w:t>
      </w:r>
      <w:r w:rsidR="002E4AF5" w:rsidRPr="009A33BA">
        <w:rPr>
          <w:rStyle w:val="FootnoteReference"/>
          <w:kern w:val="22"/>
          <w:lang w:val="es-ES_tradnl"/>
        </w:rPr>
        <w:footnoteReference w:id="3"/>
      </w:r>
      <w:r w:rsidR="002E4AF5" w:rsidRPr="009A33BA">
        <w:rPr>
          <w:kern w:val="22"/>
          <w:lang w:val="es-ES_tradnl"/>
        </w:rPr>
        <w:t xml:space="preserve"> </w:t>
      </w:r>
      <w:r w:rsidRPr="009A33BA">
        <w:rPr>
          <w:kern w:val="22"/>
          <w:lang w:val="es-ES_tradnl"/>
        </w:rPr>
        <w:t xml:space="preserve">con arreglo a la decisión </w:t>
      </w:r>
      <w:hyperlink r:id="rId12" w:history="1">
        <w:r w:rsidR="002E4AF5" w:rsidRPr="009A33BA">
          <w:rPr>
            <w:rStyle w:val="Hyperlink"/>
            <w:rFonts w:eastAsia="MS Mincho"/>
            <w:kern w:val="22"/>
            <w:sz w:val="22"/>
            <w:szCs w:val="22"/>
            <w:lang w:val="es-ES_tradnl"/>
          </w:rPr>
          <w:t>XIII</w:t>
        </w:r>
        <w:r w:rsidR="002E4AF5" w:rsidRPr="009A33BA" w:rsidDel="00D027F2">
          <w:rPr>
            <w:rStyle w:val="Hyperlink"/>
            <w:rFonts w:eastAsia="MS Mincho"/>
            <w:kern w:val="22"/>
            <w:sz w:val="22"/>
            <w:szCs w:val="22"/>
            <w:lang w:val="es-ES_tradnl"/>
          </w:rPr>
          <w:t>I</w:t>
        </w:r>
        <w:r w:rsidR="002E4AF5" w:rsidRPr="009A33BA">
          <w:rPr>
            <w:rStyle w:val="Hyperlink"/>
            <w:rFonts w:eastAsia="MS Mincho"/>
            <w:kern w:val="22"/>
            <w:sz w:val="22"/>
            <w:szCs w:val="22"/>
            <w:lang w:val="es-ES_tradnl"/>
          </w:rPr>
          <w:t>/26</w:t>
        </w:r>
      </w:hyperlink>
      <w:r w:rsidR="002E4AF5" w:rsidRPr="009A33BA">
        <w:rPr>
          <w:rFonts w:eastAsia="MS Mincho"/>
          <w:kern w:val="22"/>
          <w:lang w:val="es-ES_tradnl"/>
        </w:rPr>
        <w:t xml:space="preserve">. </w:t>
      </w:r>
    </w:p>
    <w:p w14:paraId="4A23B198" w14:textId="0C85ACE8" w:rsidR="00CB1C48" w:rsidRPr="009A33BA" w:rsidRDefault="00B8449A" w:rsidP="00FB38DC">
      <w:pPr>
        <w:pStyle w:val="Para1"/>
        <w:rPr>
          <w:kern w:val="22"/>
          <w:lang w:val="es-ES_tradnl"/>
        </w:rPr>
      </w:pPr>
      <w:r w:rsidRPr="009A33BA">
        <w:rPr>
          <w:rFonts w:eastAsia="MS Mincho"/>
          <w:kern w:val="22"/>
          <w:lang w:val="es-ES_tradnl"/>
        </w:rPr>
        <w:t xml:space="preserve">El presente documento se ha </w:t>
      </w:r>
      <w:r w:rsidR="00286416" w:rsidRPr="009A33BA">
        <w:rPr>
          <w:rFonts w:eastAsia="MS Mincho"/>
          <w:kern w:val="22"/>
          <w:lang w:val="es-ES_tradnl"/>
        </w:rPr>
        <w:t xml:space="preserve">publicado </w:t>
      </w:r>
      <w:r w:rsidR="00007C83" w:rsidRPr="009A33BA">
        <w:rPr>
          <w:rFonts w:eastAsia="MS Mincho"/>
          <w:kern w:val="22"/>
          <w:lang w:val="es-ES_tradnl"/>
        </w:rPr>
        <w:t xml:space="preserve">en respuesta a la recomendación </w:t>
      </w:r>
      <w:hyperlink r:id="rId13" w:history="1">
        <w:r w:rsidR="002E4AF5" w:rsidRPr="009A33BA">
          <w:rPr>
            <w:rStyle w:val="Hyperlink"/>
            <w:rFonts w:eastAsia="MS Mincho"/>
            <w:kern w:val="22"/>
            <w:sz w:val="22"/>
            <w:szCs w:val="22"/>
            <w:lang w:val="es-ES_tradnl"/>
          </w:rPr>
          <w:t>10/3</w:t>
        </w:r>
      </w:hyperlink>
      <w:r w:rsidR="002E4AF5" w:rsidRPr="009A33BA">
        <w:rPr>
          <w:rFonts w:eastAsia="MS Mincho"/>
          <w:kern w:val="22"/>
          <w:lang w:val="es-ES_tradnl"/>
        </w:rPr>
        <w:t xml:space="preserve"> </w:t>
      </w:r>
      <w:r w:rsidR="00007C83" w:rsidRPr="009A33BA">
        <w:rPr>
          <w:rFonts w:eastAsia="MS Mincho"/>
          <w:kern w:val="22"/>
          <w:lang w:val="es-ES_tradnl"/>
        </w:rPr>
        <w:t xml:space="preserve">de la décima reunión del </w:t>
      </w:r>
      <w:r w:rsidR="00007C83" w:rsidRPr="009A33BA">
        <w:rPr>
          <w:rFonts w:eastAsia="Batang"/>
          <w:kern w:val="22"/>
          <w:szCs w:val="22"/>
          <w:lang w:val="es-ES_tradnl" w:eastAsia="ko-KR"/>
        </w:rPr>
        <w:t>Grupo de Trabajo sobre el artículo 8 j) y disposiciones conexas</w:t>
      </w:r>
      <w:r w:rsidR="009F2F5A" w:rsidRPr="009A33BA">
        <w:rPr>
          <w:rFonts w:eastAsia="MS Mincho"/>
          <w:kern w:val="22"/>
          <w:lang w:val="es-ES_tradnl"/>
        </w:rPr>
        <w:t>,</w:t>
      </w:r>
      <w:r w:rsidR="00813044" w:rsidRPr="009A33BA">
        <w:rPr>
          <w:rFonts w:eastAsia="MS Mincho"/>
          <w:kern w:val="22"/>
          <w:lang w:val="es-ES_tradnl"/>
        </w:rPr>
        <w:t xml:space="preserve"> </w:t>
      </w:r>
      <w:r w:rsidR="00007C83" w:rsidRPr="009A33BA">
        <w:rPr>
          <w:rFonts w:eastAsia="MS Mincho"/>
          <w:kern w:val="22"/>
          <w:lang w:val="es-ES_tradnl"/>
        </w:rPr>
        <w:t xml:space="preserve">para asistir al </w:t>
      </w:r>
      <w:r w:rsidR="00007C83" w:rsidRPr="009A33BA">
        <w:rPr>
          <w:kern w:val="22"/>
          <w:lang w:val="es-ES_tradnl"/>
        </w:rPr>
        <w:t>Órgano Subsidiario sobre la Aplicación</w:t>
      </w:r>
      <w:r w:rsidR="00D027F2" w:rsidRPr="009A33BA">
        <w:rPr>
          <w:kern w:val="22"/>
          <w:lang w:val="es-ES_tradnl"/>
        </w:rPr>
        <w:t xml:space="preserve"> </w:t>
      </w:r>
      <w:r w:rsidR="00007C83" w:rsidRPr="009A33BA">
        <w:rPr>
          <w:kern w:val="22"/>
          <w:lang w:val="es-ES_tradnl"/>
        </w:rPr>
        <w:t>en su segunda reuni</w:t>
      </w:r>
      <w:r w:rsidR="00053F89" w:rsidRPr="009A33BA">
        <w:rPr>
          <w:kern w:val="22"/>
          <w:lang w:val="es-ES_tradnl"/>
        </w:rPr>
        <w:t>ón, a seguir considerando un proceso para complet</w:t>
      </w:r>
      <w:r w:rsidR="0034182E" w:rsidRPr="009A33BA">
        <w:rPr>
          <w:kern w:val="22"/>
          <w:lang w:val="es-ES_tradnl"/>
        </w:rPr>
        <w:t>a</w:t>
      </w:r>
      <w:r w:rsidR="00053F89" w:rsidRPr="009A33BA">
        <w:rPr>
          <w:kern w:val="22"/>
          <w:lang w:val="es-ES_tradnl"/>
        </w:rPr>
        <w:t>r el actual programa de trabajo sobre el artículo 8 j) y disposiciones conexas a más tardar la 15ª reun</w:t>
      </w:r>
      <w:r w:rsidR="0034182E" w:rsidRPr="009A33BA">
        <w:rPr>
          <w:kern w:val="22"/>
          <w:lang w:val="es-ES_tradnl"/>
        </w:rPr>
        <w:t>i</w:t>
      </w:r>
      <w:r w:rsidR="00053F89" w:rsidRPr="009A33BA">
        <w:rPr>
          <w:kern w:val="22"/>
          <w:lang w:val="es-ES_tradnl"/>
        </w:rPr>
        <w:t xml:space="preserve">ón de la Conferencia de las Partes </w:t>
      </w:r>
      <w:r w:rsidR="0034182E" w:rsidRPr="009A33BA">
        <w:rPr>
          <w:kern w:val="22"/>
          <w:lang w:val="es-ES_tradnl"/>
        </w:rPr>
        <w:t>y a considerar la elaboración de un programa de trabajo plenamente integrado sobre el artículo</w:t>
      </w:r>
      <w:r w:rsidR="002371C3" w:rsidRPr="009A33BA">
        <w:rPr>
          <w:kern w:val="22"/>
          <w:lang w:val="es-ES_tradnl"/>
        </w:rPr>
        <w:t xml:space="preserve"> </w:t>
      </w:r>
      <w:r w:rsidR="0034182E" w:rsidRPr="009A33BA">
        <w:rPr>
          <w:kern w:val="22"/>
          <w:lang w:val="es-ES_tradnl"/>
        </w:rPr>
        <w:t>8 j) y disposiciones conexas</w:t>
      </w:r>
      <w:r w:rsidR="00D027F2" w:rsidRPr="009A33BA">
        <w:rPr>
          <w:kern w:val="22"/>
          <w:lang w:val="es-ES_tradnl"/>
        </w:rPr>
        <w:t xml:space="preserve"> </w:t>
      </w:r>
      <w:r w:rsidR="0034182E" w:rsidRPr="009A33BA">
        <w:rPr>
          <w:kern w:val="22"/>
          <w:lang w:val="es-ES_tradnl"/>
        </w:rPr>
        <w:t xml:space="preserve">en un </w:t>
      </w:r>
      <w:r w:rsidR="00C075F7" w:rsidRPr="009A33BA">
        <w:rPr>
          <w:kern w:val="22"/>
          <w:lang w:val="es-ES_tradnl"/>
        </w:rPr>
        <w:t>marco de</w:t>
      </w:r>
      <w:r w:rsidR="0034182E" w:rsidRPr="009A33BA">
        <w:rPr>
          <w:kern w:val="22"/>
          <w:lang w:val="es-ES_tradnl"/>
        </w:rPr>
        <w:t xml:space="preserve"> la diversidad biológica posterior a </w:t>
      </w:r>
      <w:r w:rsidR="00D027F2" w:rsidRPr="009A33BA">
        <w:rPr>
          <w:kern w:val="22"/>
          <w:lang w:val="es-ES_tradnl"/>
        </w:rPr>
        <w:t xml:space="preserve">2020, </w:t>
      </w:r>
      <w:r w:rsidR="0034182E" w:rsidRPr="009A33BA">
        <w:rPr>
          <w:kern w:val="22"/>
          <w:lang w:val="es-ES_tradnl"/>
        </w:rPr>
        <w:t xml:space="preserve">a fin de preparar un proyecto de decisión para someterlo a la consideración de la decimocuarta reunión de la </w:t>
      </w:r>
      <w:r w:rsidR="00053F89" w:rsidRPr="009A33BA">
        <w:rPr>
          <w:kern w:val="22"/>
          <w:lang w:val="es-ES_tradnl"/>
        </w:rPr>
        <w:t>Conferencia de las Partes</w:t>
      </w:r>
      <w:r w:rsidR="00CB1C48" w:rsidRPr="009A33BA">
        <w:rPr>
          <w:kern w:val="22"/>
          <w:lang w:val="es-ES_tradnl"/>
        </w:rPr>
        <w:t>.</w:t>
      </w:r>
    </w:p>
    <w:p w14:paraId="566101EA" w14:textId="285CE94D" w:rsidR="00EB158B" w:rsidRPr="009A33BA" w:rsidRDefault="0034182E" w:rsidP="00FB38DC">
      <w:pPr>
        <w:pStyle w:val="Para1"/>
        <w:rPr>
          <w:rFonts w:eastAsia="Calibri"/>
          <w:kern w:val="22"/>
          <w:lang w:val="es-ES_tradnl"/>
        </w:rPr>
      </w:pPr>
      <w:r w:rsidRPr="009A33BA">
        <w:rPr>
          <w:kern w:val="22"/>
          <w:lang w:val="es-ES_tradnl"/>
        </w:rPr>
        <w:t xml:space="preserve">Con objeto de asistir al Órgano Subsidiario en su examen de dichas cuestiones en </w:t>
      </w:r>
      <w:r w:rsidR="00053F89" w:rsidRPr="009A33BA">
        <w:rPr>
          <w:kern w:val="22"/>
          <w:lang w:val="es-ES_tradnl"/>
        </w:rPr>
        <w:t>su segunda reunión</w:t>
      </w:r>
      <w:r w:rsidR="00D027F2" w:rsidRPr="009A33BA">
        <w:rPr>
          <w:kern w:val="22"/>
          <w:lang w:val="es-ES_tradnl"/>
        </w:rPr>
        <w:t xml:space="preserve">, </w:t>
      </w:r>
      <w:r w:rsidRPr="009A33BA">
        <w:rPr>
          <w:kern w:val="22"/>
          <w:lang w:val="es-ES_tradnl"/>
        </w:rPr>
        <w:t>el Grupo de Trabajo</w:t>
      </w:r>
      <w:r w:rsidR="00752AEA" w:rsidRPr="009A33BA">
        <w:rPr>
          <w:kern w:val="22"/>
          <w:lang w:val="es-ES_tradnl"/>
        </w:rPr>
        <w:t>,</w:t>
      </w:r>
      <w:r w:rsidR="00D027F2" w:rsidRPr="009A33BA">
        <w:rPr>
          <w:kern w:val="22"/>
          <w:lang w:val="es-ES_tradnl"/>
        </w:rPr>
        <w:t xml:space="preserve"> </w:t>
      </w:r>
      <w:r w:rsidRPr="009A33BA">
        <w:rPr>
          <w:kern w:val="22"/>
          <w:lang w:val="es-ES_tradnl"/>
        </w:rPr>
        <w:t xml:space="preserve">en la recomendación </w:t>
      </w:r>
      <w:r w:rsidR="00D027F2" w:rsidRPr="009A33BA">
        <w:rPr>
          <w:kern w:val="22"/>
          <w:lang w:val="es-ES_tradnl"/>
        </w:rPr>
        <w:t>10/3</w:t>
      </w:r>
      <w:r w:rsidR="00752AEA" w:rsidRPr="009A33BA">
        <w:rPr>
          <w:kern w:val="22"/>
          <w:lang w:val="es-ES_tradnl"/>
        </w:rPr>
        <w:t>,</w:t>
      </w:r>
      <w:r w:rsidR="002E4AF5" w:rsidRPr="009A33BA">
        <w:rPr>
          <w:kern w:val="22"/>
          <w:lang w:val="es-ES_tradnl"/>
        </w:rPr>
        <w:t xml:space="preserve"> </w:t>
      </w:r>
      <w:r w:rsidRPr="009A33BA">
        <w:rPr>
          <w:kern w:val="22"/>
          <w:lang w:val="es-ES_tradnl"/>
        </w:rPr>
        <w:t>también pid</w:t>
      </w:r>
      <w:r w:rsidR="00286416" w:rsidRPr="009A33BA">
        <w:rPr>
          <w:kern w:val="22"/>
          <w:lang w:val="es-ES_tradnl"/>
        </w:rPr>
        <w:t>ió</w:t>
      </w:r>
      <w:r w:rsidRPr="009A33BA">
        <w:rPr>
          <w:kern w:val="22"/>
          <w:lang w:val="es-ES_tradnl"/>
        </w:rPr>
        <w:t xml:space="preserve"> a</w:t>
      </w:r>
      <w:r w:rsidR="004246BA" w:rsidRPr="009A33BA">
        <w:rPr>
          <w:kern w:val="22"/>
          <w:lang w:val="es-ES_tradnl"/>
        </w:rPr>
        <w:t xml:space="preserve"> la </w:t>
      </w:r>
      <w:r w:rsidRPr="009A33BA">
        <w:rPr>
          <w:kern w:val="22"/>
          <w:lang w:val="es-ES_tradnl"/>
        </w:rPr>
        <w:t>Secretari</w:t>
      </w:r>
      <w:r w:rsidR="004246BA" w:rsidRPr="009A33BA">
        <w:rPr>
          <w:kern w:val="22"/>
          <w:lang w:val="es-ES_tradnl"/>
        </w:rPr>
        <w:t>a</w:t>
      </w:r>
      <w:r w:rsidRPr="009A33BA">
        <w:rPr>
          <w:kern w:val="22"/>
          <w:lang w:val="es-ES_tradnl"/>
        </w:rPr>
        <w:t xml:space="preserve"> Ejecutiv</w:t>
      </w:r>
      <w:r w:rsidR="004246BA" w:rsidRPr="009A33BA">
        <w:rPr>
          <w:kern w:val="22"/>
          <w:lang w:val="es-ES_tradnl"/>
        </w:rPr>
        <w:t>a</w:t>
      </w:r>
      <w:r w:rsidR="00EB158B" w:rsidRPr="009A33BA">
        <w:rPr>
          <w:kern w:val="22"/>
          <w:lang w:val="es-ES_tradnl"/>
        </w:rPr>
        <w:t xml:space="preserve"> </w:t>
      </w:r>
      <w:r w:rsidRPr="009A33BA">
        <w:rPr>
          <w:kern w:val="22"/>
          <w:lang w:val="es-ES_tradnl"/>
        </w:rPr>
        <w:t>que p</w:t>
      </w:r>
      <w:r w:rsidR="009B18E1">
        <w:rPr>
          <w:kern w:val="22"/>
          <w:lang w:val="es-ES_tradnl"/>
        </w:rPr>
        <w:t xml:space="preserve">usiera </w:t>
      </w:r>
      <w:r w:rsidR="004246BA" w:rsidRPr="009A33BA">
        <w:rPr>
          <w:kern w:val="22"/>
          <w:szCs w:val="22"/>
          <w:lang w:val="es-ES_tradnl"/>
        </w:rPr>
        <w:t>a disposición del Órgano Subsidiario sobre la Aplicación en su segunda reunión</w:t>
      </w:r>
      <w:r w:rsidR="00EB158B" w:rsidRPr="009A33BA">
        <w:rPr>
          <w:kern w:val="22"/>
          <w:lang w:val="es-ES_tradnl"/>
        </w:rPr>
        <w:t>:</w:t>
      </w:r>
    </w:p>
    <w:p w14:paraId="629344D9" w14:textId="56820772" w:rsidR="00EB158B" w:rsidRPr="009A33BA" w:rsidRDefault="0034182E" w:rsidP="00026A71">
      <w:pPr>
        <w:pStyle w:val="ListParagraph"/>
        <w:numPr>
          <w:ilvl w:val="0"/>
          <w:numId w:val="7"/>
        </w:numPr>
        <w:spacing w:before="120" w:after="120"/>
        <w:ind w:left="0" w:firstLine="720"/>
        <w:rPr>
          <w:kern w:val="22"/>
          <w:lang w:val="es-ES_tradnl"/>
        </w:rPr>
      </w:pPr>
      <w:r w:rsidRPr="009A33BA">
        <w:rPr>
          <w:kern w:val="22"/>
          <w:lang w:val="es-ES_tradnl"/>
        </w:rPr>
        <w:t xml:space="preserve">Un </w:t>
      </w:r>
      <w:r w:rsidR="004246BA" w:rsidRPr="009A33BA">
        <w:rPr>
          <w:kern w:val="22"/>
          <w:szCs w:val="22"/>
          <w:lang w:val="es-ES_tradnl"/>
        </w:rPr>
        <w:t>análisis preliminar de los arreglos institucionales existentes y los que pudieran concertarse en el futuro preparado por el Grupo de Trabajo especial de composición abierta entre períodos de sesiones sobre el artículo 8 j) y disposiciones conexas, incluidas las repercusiones financieras y de gobernanza que pudieran tener</w:t>
      </w:r>
      <w:r w:rsidR="00EB158B" w:rsidRPr="009A33BA">
        <w:rPr>
          <w:kern w:val="22"/>
          <w:lang w:val="es-ES_tradnl"/>
        </w:rPr>
        <w:t>;</w:t>
      </w:r>
    </w:p>
    <w:p w14:paraId="46C526AD" w14:textId="20928AC6" w:rsidR="00B568F5" w:rsidRPr="009A33BA" w:rsidRDefault="004246BA" w:rsidP="00026A71">
      <w:pPr>
        <w:pStyle w:val="ListParagraph"/>
        <w:numPr>
          <w:ilvl w:val="0"/>
          <w:numId w:val="7"/>
        </w:numPr>
        <w:spacing w:before="120" w:after="120"/>
        <w:ind w:left="0" w:firstLine="720"/>
        <w:rPr>
          <w:kern w:val="22"/>
          <w:lang w:val="es-ES_tradnl"/>
        </w:rPr>
      </w:pPr>
      <w:r w:rsidRPr="009A33BA">
        <w:rPr>
          <w:kern w:val="22"/>
          <w:szCs w:val="22"/>
          <w:lang w:val="es-ES_tradnl"/>
        </w:rPr>
        <w:lastRenderedPageBreak/>
        <w:t>experiencias y lecciones aprendidas de otras organizaciones intergubernamentales y convenciones relacionadas;</w:t>
      </w:r>
      <w:r w:rsidR="00B568F5" w:rsidRPr="009A33BA">
        <w:rPr>
          <w:kern w:val="22"/>
          <w:lang w:val="es-ES_tradnl"/>
        </w:rPr>
        <w:t xml:space="preserve"> </w:t>
      </w:r>
    </w:p>
    <w:p w14:paraId="14699FA1" w14:textId="47034E1F" w:rsidR="00293BED" w:rsidRPr="009A33BA" w:rsidRDefault="00A84469" w:rsidP="00FB38DC">
      <w:pPr>
        <w:pStyle w:val="Para1"/>
        <w:rPr>
          <w:kern w:val="22"/>
          <w:lang w:val="es-ES_tradnl"/>
        </w:rPr>
      </w:pPr>
      <w:r w:rsidRPr="009A33BA">
        <w:rPr>
          <w:rFonts w:eastAsia="MS Mincho"/>
          <w:kern w:val="22"/>
          <w:lang w:val="es-ES_tradnl"/>
        </w:rPr>
        <w:t xml:space="preserve">El presente documento responde a estas dos solicitudes en las secciones </w:t>
      </w:r>
      <w:r w:rsidR="002E4AF5" w:rsidRPr="009A33BA">
        <w:rPr>
          <w:rFonts w:eastAsia="MS Mincho"/>
          <w:kern w:val="22"/>
          <w:lang w:val="es-ES_tradnl"/>
        </w:rPr>
        <w:t xml:space="preserve">I </w:t>
      </w:r>
      <w:r w:rsidRPr="009A33BA">
        <w:rPr>
          <w:rFonts w:eastAsia="MS Mincho"/>
          <w:kern w:val="22"/>
          <w:lang w:val="es-ES_tradnl"/>
        </w:rPr>
        <w:t xml:space="preserve">y </w:t>
      </w:r>
      <w:r w:rsidR="002E4AF5" w:rsidRPr="009A33BA">
        <w:rPr>
          <w:rFonts w:eastAsia="MS Mincho"/>
          <w:kern w:val="22"/>
          <w:lang w:val="es-ES_tradnl"/>
        </w:rPr>
        <w:t xml:space="preserve">II </w:t>
      </w:r>
      <w:r w:rsidRPr="009A33BA">
        <w:rPr>
          <w:rFonts w:eastAsia="MS Mincho"/>
          <w:kern w:val="22"/>
          <w:lang w:val="es-ES_tradnl"/>
        </w:rPr>
        <w:t>respectivamente</w:t>
      </w:r>
      <w:r w:rsidR="002E4AF5" w:rsidRPr="009A33BA">
        <w:rPr>
          <w:rFonts w:eastAsia="MS Mincho"/>
          <w:kern w:val="22"/>
          <w:lang w:val="es-ES_tradnl"/>
        </w:rPr>
        <w:t xml:space="preserve">. </w:t>
      </w:r>
      <w:r w:rsidRPr="009A33BA">
        <w:rPr>
          <w:rFonts w:eastAsia="MS Mincho"/>
          <w:kern w:val="22"/>
          <w:lang w:val="es-ES_tradnl"/>
        </w:rPr>
        <w:t xml:space="preserve">La sección </w:t>
      </w:r>
      <w:r w:rsidR="002E4AF5" w:rsidRPr="009A33BA">
        <w:rPr>
          <w:rFonts w:eastAsia="MS Mincho"/>
          <w:kern w:val="22"/>
          <w:lang w:val="es-ES_tradnl"/>
        </w:rPr>
        <w:t>III reproduce</w:t>
      </w:r>
      <w:r w:rsidRPr="009A33BA">
        <w:rPr>
          <w:rFonts w:eastAsia="MS Mincho"/>
          <w:kern w:val="22"/>
          <w:lang w:val="es-ES_tradnl"/>
        </w:rPr>
        <w:t xml:space="preserve"> la recomendación </w:t>
      </w:r>
      <w:r w:rsidR="002E4AF5" w:rsidRPr="009A33BA">
        <w:rPr>
          <w:rFonts w:eastAsia="MS Mincho"/>
          <w:kern w:val="22"/>
          <w:lang w:val="es-ES_tradnl"/>
        </w:rPr>
        <w:t>10/3</w:t>
      </w:r>
      <w:r w:rsidR="00366F2B" w:rsidRPr="009A33BA">
        <w:rPr>
          <w:rFonts w:eastAsia="MS Mincho"/>
          <w:kern w:val="22"/>
          <w:lang w:val="es-ES_tradnl"/>
        </w:rPr>
        <w:t xml:space="preserve"> </w:t>
      </w:r>
      <w:r w:rsidR="0034182E" w:rsidRPr="009A33BA">
        <w:rPr>
          <w:rFonts w:eastAsia="MS Mincho"/>
          <w:kern w:val="22"/>
          <w:lang w:val="es-ES_tradnl"/>
        </w:rPr>
        <w:t>del Grupo de Trabajo</w:t>
      </w:r>
      <w:r w:rsidR="002E4AF5" w:rsidRPr="009A33BA">
        <w:rPr>
          <w:rFonts w:eastAsia="MS Mincho"/>
          <w:kern w:val="22"/>
          <w:lang w:val="es-ES_tradnl"/>
        </w:rPr>
        <w:t xml:space="preserve">. </w:t>
      </w:r>
      <w:r w:rsidRPr="009A33BA">
        <w:rPr>
          <w:rFonts w:eastAsia="MS Mincho"/>
          <w:kern w:val="22"/>
          <w:lang w:val="es-ES_tradnl"/>
        </w:rPr>
        <w:t>Además, se incluye una hoja de ruta en el anexo I para asistir a las Partes</w:t>
      </w:r>
      <w:r w:rsidR="008D24AC">
        <w:rPr>
          <w:rFonts w:eastAsia="MS Mincho"/>
          <w:kern w:val="22"/>
          <w:lang w:val="es-ES_tradnl"/>
        </w:rPr>
        <w:t xml:space="preserve"> en la que se esboza </w:t>
      </w:r>
      <w:r w:rsidRPr="009A33BA">
        <w:rPr>
          <w:rFonts w:eastAsia="MS Mincho"/>
          <w:kern w:val="22"/>
          <w:lang w:val="es-ES_tradnl"/>
        </w:rPr>
        <w:t>el proceso</w:t>
      </w:r>
      <w:r w:rsidR="001842D1" w:rsidRPr="009A33BA">
        <w:rPr>
          <w:rFonts w:eastAsia="MS Mincho"/>
          <w:kern w:val="22"/>
          <w:vertAlign w:val="superscript"/>
          <w:lang w:val="es-ES_tradnl"/>
        </w:rPr>
        <w:footnoteReference w:id="4"/>
      </w:r>
      <w:r w:rsidR="00813044" w:rsidRPr="009A33BA">
        <w:rPr>
          <w:rFonts w:eastAsia="MS Mincho"/>
          <w:kern w:val="22"/>
          <w:lang w:val="es-ES_tradnl"/>
        </w:rPr>
        <w:t xml:space="preserve"> </w:t>
      </w:r>
      <w:r w:rsidRPr="009A33BA">
        <w:rPr>
          <w:rFonts w:eastAsia="MS Mincho"/>
          <w:kern w:val="22"/>
          <w:lang w:val="es-ES_tradnl"/>
        </w:rPr>
        <w:t>previo a la decimoquinta reunión de la</w:t>
      </w:r>
      <w:r w:rsidR="00752AEA" w:rsidRPr="009A33BA">
        <w:rPr>
          <w:rFonts w:eastAsia="MS Mincho"/>
          <w:kern w:val="22"/>
          <w:lang w:val="es-ES_tradnl"/>
        </w:rPr>
        <w:t xml:space="preserve"> </w:t>
      </w:r>
      <w:r w:rsidR="00053F89" w:rsidRPr="009A33BA">
        <w:rPr>
          <w:rFonts w:eastAsia="MS Mincho"/>
          <w:kern w:val="22"/>
          <w:lang w:val="es-ES_tradnl"/>
        </w:rPr>
        <w:t>Conferencia de las Partes</w:t>
      </w:r>
      <w:r w:rsidR="008D24AC">
        <w:rPr>
          <w:rFonts w:eastAsia="MS Mincho"/>
          <w:kern w:val="22"/>
          <w:lang w:val="es-ES_tradnl"/>
        </w:rPr>
        <w:t xml:space="preserve">, en la que </w:t>
      </w:r>
      <w:r w:rsidRPr="009A33BA">
        <w:rPr>
          <w:rFonts w:eastAsia="MS Mincho"/>
          <w:kern w:val="22"/>
          <w:lang w:val="es-ES_tradnl"/>
        </w:rPr>
        <w:t xml:space="preserve">se prevé </w:t>
      </w:r>
      <w:r w:rsidR="008D24AC">
        <w:rPr>
          <w:rFonts w:eastAsia="MS Mincho"/>
          <w:kern w:val="22"/>
          <w:lang w:val="es-ES_tradnl"/>
        </w:rPr>
        <w:t xml:space="preserve">se adopte </w:t>
      </w:r>
      <w:r w:rsidRPr="009A33BA">
        <w:rPr>
          <w:rFonts w:eastAsia="MS Mincho"/>
          <w:kern w:val="22"/>
          <w:lang w:val="es-ES_tradnl"/>
        </w:rPr>
        <w:t xml:space="preserve">una decisión sobre </w:t>
      </w:r>
      <w:r w:rsidRPr="009A33BA">
        <w:rPr>
          <w:rFonts w:eastAsia="MS Mincho"/>
          <w:bCs/>
          <w:kern w:val="22"/>
          <w:lang w:val="es-ES_tradnl"/>
        </w:rPr>
        <w:t xml:space="preserve">formas e instrumentos para lograr la plena integración </w:t>
      </w:r>
      <w:r w:rsidR="008D24AC">
        <w:rPr>
          <w:rFonts w:eastAsia="MS Mincho"/>
          <w:bCs/>
          <w:kern w:val="22"/>
          <w:lang w:val="es-ES_tradnl"/>
        </w:rPr>
        <w:t xml:space="preserve">de </w:t>
      </w:r>
      <w:r w:rsidRPr="009A33BA">
        <w:rPr>
          <w:rFonts w:eastAsia="MS Mincho"/>
          <w:bCs/>
          <w:kern w:val="22"/>
          <w:lang w:val="es-ES_tradnl"/>
        </w:rPr>
        <w:t xml:space="preserve">los pueblos indígenas y las comunidades locales en el </w:t>
      </w:r>
      <w:r w:rsidR="00C075F7" w:rsidRPr="009A33BA">
        <w:rPr>
          <w:rFonts w:eastAsia="MS Mincho"/>
          <w:bCs/>
          <w:kern w:val="22"/>
          <w:lang w:val="es-ES_tradnl"/>
        </w:rPr>
        <w:t>marco de</w:t>
      </w:r>
      <w:r w:rsidRPr="009A33BA">
        <w:rPr>
          <w:rFonts w:eastAsia="MS Mincho"/>
          <w:bCs/>
          <w:kern w:val="22"/>
          <w:lang w:val="es-ES_tradnl"/>
        </w:rPr>
        <w:t xml:space="preserve"> la diversidad biológica posterior a 2020</w:t>
      </w:r>
      <w:r w:rsidR="00B568F5" w:rsidRPr="009A33BA">
        <w:rPr>
          <w:rFonts w:eastAsia="MS Mincho"/>
          <w:kern w:val="22"/>
          <w:lang w:val="es-ES_tradnl"/>
        </w:rPr>
        <w:t>.</w:t>
      </w:r>
      <w:r w:rsidR="00813044" w:rsidRPr="009A33BA">
        <w:rPr>
          <w:kern w:val="22"/>
          <w:lang w:val="es-ES_tradnl"/>
        </w:rPr>
        <w:t xml:space="preserve"> </w:t>
      </w:r>
    </w:p>
    <w:p w14:paraId="331DA2BB" w14:textId="7DE1A373" w:rsidR="00FF6C5F" w:rsidRPr="009A33BA" w:rsidRDefault="00293BED" w:rsidP="00FB38DC">
      <w:pPr>
        <w:pStyle w:val="Heading1"/>
        <w:rPr>
          <w:snapToGrid w:val="0"/>
          <w:kern w:val="22"/>
          <w:lang w:val="es-ES_tradnl"/>
        </w:rPr>
      </w:pPr>
      <w:r w:rsidRPr="009A33BA">
        <w:rPr>
          <w:rFonts w:eastAsia="Batang"/>
          <w:snapToGrid w:val="0"/>
          <w:kern w:val="22"/>
          <w:lang w:val="es-ES_tradnl" w:eastAsia="ko-KR"/>
        </w:rPr>
        <w:t>I.</w:t>
      </w:r>
      <w:r w:rsidRPr="009A33BA">
        <w:rPr>
          <w:rFonts w:eastAsia="Batang"/>
          <w:snapToGrid w:val="0"/>
          <w:kern w:val="22"/>
          <w:lang w:val="es-ES_tradnl" w:eastAsia="ko-KR"/>
        </w:rPr>
        <w:tab/>
      </w:r>
      <w:r w:rsidR="00FF6C5F" w:rsidRPr="009A33BA">
        <w:rPr>
          <w:rFonts w:eastAsia="Batang"/>
          <w:snapToGrid w:val="0"/>
          <w:kern w:val="22"/>
          <w:lang w:val="es-ES_tradnl" w:eastAsia="ko-KR"/>
        </w:rPr>
        <w:t>POS</w:t>
      </w:r>
      <w:r w:rsidR="00A84469" w:rsidRPr="009A33BA">
        <w:rPr>
          <w:rFonts w:eastAsia="Batang"/>
          <w:snapToGrid w:val="0"/>
          <w:kern w:val="22"/>
          <w:lang w:val="es-ES_tradnl" w:eastAsia="ko-KR"/>
        </w:rPr>
        <w:t>IBLES ARREGLOS INSTITUCIONALES</w:t>
      </w:r>
    </w:p>
    <w:p w14:paraId="12F89F1A" w14:textId="52B6357E" w:rsidR="00FF6C5F" w:rsidRPr="009A33BA" w:rsidRDefault="00170863" w:rsidP="00FB38DC">
      <w:pPr>
        <w:pStyle w:val="Para1"/>
        <w:rPr>
          <w:kern w:val="22"/>
          <w:lang w:val="es-ES_tradnl"/>
        </w:rPr>
      </w:pPr>
      <w:r w:rsidRPr="009A33BA">
        <w:rPr>
          <w:kern w:val="22"/>
          <w:lang w:val="es-ES_tradnl"/>
        </w:rPr>
        <w:t xml:space="preserve">En respuesta a la recomendación </w:t>
      </w:r>
      <w:r w:rsidR="00255400" w:rsidRPr="009A33BA">
        <w:rPr>
          <w:kern w:val="22"/>
          <w:lang w:val="es-ES_tradnl"/>
        </w:rPr>
        <w:t>10/3</w:t>
      </w:r>
      <w:r w:rsidR="00752AEA" w:rsidRPr="009A33BA">
        <w:rPr>
          <w:kern w:val="22"/>
          <w:lang w:val="es-ES_tradnl"/>
        </w:rPr>
        <w:t>,</w:t>
      </w:r>
      <w:r w:rsidR="00255400" w:rsidRPr="009A33BA">
        <w:rPr>
          <w:kern w:val="22"/>
          <w:lang w:val="es-ES_tradnl"/>
        </w:rPr>
        <w:t xml:space="preserve"> </w:t>
      </w:r>
      <w:r w:rsidRPr="009A33BA">
        <w:rPr>
          <w:kern w:val="22"/>
          <w:lang w:val="es-ES_tradnl"/>
        </w:rPr>
        <w:t xml:space="preserve">párrafo </w:t>
      </w:r>
      <w:r w:rsidR="00255400" w:rsidRPr="009A33BA">
        <w:rPr>
          <w:kern w:val="22"/>
          <w:lang w:val="es-ES_tradnl"/>
        </w:rPr>
        <w:t>1</w:t>
      </w:r>
      <w:r w:rsidRPr="009A33BA">
        <w:rPr>
          <w:kern w:val="22"/>
          <w:lang w:val="es-ES_tradnl"/>
        </w:rPr>
        <w:t> </w:t>
      </w:r>
      <w:r w:rsidR="00255400" w:rsidRPr="009A33BA">
        <w:rPr>
          <w:kern w:val="22"/>
          <w:lang w:val="es-ES_tradnl"/>
        </w:rPr>
        <w:t xml:space="preserve">a), </w:t>
      </w:r>
      <w:r w:rsidRPr="009A33BA">
        <w:rPr>
          <w:kern w:val="22"/>
          <w:lang w:val="es-ES_tradnl"/>
        </w:rPr>
        <w:t xml:space="preserve">la presente sección contiene un análisis preliminar de los </w:t>
      </w:r>
      <w:r w:rsidR="008D24AC" w:rsidRPr="009A33BA">
        <w:rPr>
          <w:kern w:val="22"/>
          <w:lang w:val="es-ES_tradnl"/>
        </w:rPr>
        <w:t xml:space="preserve">arreglos institucionales </w:t>
      </w:r>
      <w:r w:rsidR="00E139FA" w:rsidRPr="009A33BA">
        <w:rPr>
          <w:kern w:val="22"/>
          <w:lang w:val="es-ES_tradnl"/>
        </w:rPr>
        <w:t xml:space="preserve">existentes y </w:t>
      </w:r>
      <w:r w:rsidR="008D24AC">
        <w:rPr>
          <w:kern w:val="22"/>
          <w:lang w:val="es-ES_tradnl"/>
        </w:rPr>
        <w:t xml:space="preserve">posibles </w:t>
      </w:r>
      <w:r w:rsidR="00E139FA" w:rsidRPr="009A33BA">
        <w:rPr>
          <w:kern w:val="22"/>
          <w:lang w:val="es-ES_tradnl"/>
        </w:rPr>
        <w:t xml:space="preserve">para lograr la plena integración del artículo </w:t>
      </w:r>
      <w:r w:rsidR="00255400" w:rsidRPr="009A33BA">
        <w:rPr>
          <w:bCs/>
          <w:kern w:val="22"/>
          <w:lang w:val="es-ES_tradnl"/>
        </w:rPr>
        <w:t>8</w:t>
      </w:r>
      <w:r w:rsidR="00E139FA" w:rsidRPr="009A33BA">
        <w:rPr>
          <w:bCs/>
          <w:kern w:val="22"/>
          <w:lang w:val="es-ES_tradnl"/>
        </w:rPr>
        <w:t> </w:t>
      </w:r>
      <w:r w:rsidR="00255400" w:rsidRPr="009A33BA">
        <w:rPr>
          <w:bCs/>
          <w:kern w:val="22"/>
          <w:lang w:val="es-ES_tradnl"/>
        </w:rPr>
        <w:t xml:space="preserve">j) </w:t>
      </w:r>
      <w:r w:rsidR="00E139FA" w:rsidRPr="009A33BA">
        <w:rPr>
          <w:bCs/>
          <w:kern w:val="22"/>
          <w:lang w:val="es-ES_tradnl"/>
        </w:rPr>
        <w:t xml:space="preserve">y disposiciones relacionadas con los </w:t>
      </w:r>
      <w:r w:rsidR="00053F89" w:rsidRPr="009A33BA">
        <w:rPr>
          <w:bCs/>
          <w:kern w:val="22"/>
          <w:lang w:val="es-ES_tradnl"/>
        </w:rPr>
        <w:t>pueblos indígenas y comunidades locales</w:t>
      </w:r>
      <w:r w:rsidR="00255400" w:rsidRPr="009A33BA">
        <w:rPr>
          <w:bCs/>
          <w:kern w:val="22"/>
          <w:lang w:val="es-ES_tradnl"/>
        </w:rPr>
        <w:t xml:space="preserve"> </w:t>
      </w:r>
      <w:r w:rsidR="00E139FA" w:rsidRPr="009A33BA">
        <w:rPr>
          <w:bCs/>
          <w:kern w:val="22"/>
          <w:lang w:val="es-ES_tradnl"/>
        </w:rPr>
        <w:t>en la labor del Convenio y sus Protocolos</w:t>
      </w:r>
      <w:r w:rsidR="00255400" w:rsidRPr="009A33BA">
        <w:rPr>
          <w:kern w:val="22"/>
          <w:lang w:val="es-ES_tradnl"/>
        </w:rPr>
        <w:t xml:space="preserve">. </w:t>
      </w:r>
      <w:r w:rsidR="00E139FA" w:rsidRPr="009A33BA">
        <w:rPr>
          <w:kern w:val="22"/>
          <w:lang w:val="es-ES_tradnl"/>
        </w:rPr>
        <w:t xml:space="preserve">De esta forma, el análisis considera tres </w:t>
      </w:r>
      <w:r w:rsidR="002F541B" w:rsidRPr="009A33BA">
        <w:rPr>
          <w:kern w:val="22"/>
          <w:lang w:val="es-ES_tradnl"/>
        </w:rPr>
        <w:t xml:space="preserve">(3) </w:t>
      </w:r>
      <w:r w:rsidR="00C31CAD" w:rsidRPr="009A33BA">
        <w:rPr>
          <w:kern w:val="22"/>
          <w:lang w:val="es-ES_tradnl"/>
        </w:rPr>
        <w:t xml:space="preserve">posibles </w:t>
      </w:r>
      <w:r w:rsidR="00E139FA" w:rsidRPr="009A33BA">
        <w:rPr>
          <w:kern w:val="22"/>
          <w:lang w:val="es-ES_tradnl"/>
        </w:rPr>
        <w:t>escenarios</w:t>
      </w:r>
      <w:r w:rsidR="00255400" w:rsidRPr="009A33BA">
        <w:rPr>
          <w:kern w:val="22"/>
          <w:lang w:val="es-ES_tradnl"/>
        </w:rPr>
        <w:t xml:space="preserve">, </w:t>
      </w:r>
      <w:bookmarkStart w:id="4" w:name="_Hlk507577590"/>
      <w:r w:rsidR="00E139FA" w:rsidRPr="009A33BA">
        <w:rPr>
          <w:kern w:val="22"/>
          <w:lang w:val="es-ES_tradnl"/>
        </w:rPr>
        <w:t>un modelo totalmente integrado</w:t>
      </w:r>
      <w:r w:rsidR="00255400" w:rsidRPr="009A33BA">
        <w:rPr>
          <w:kern w:val="22"/>
          <w:lang w:val="es-ES_tradnl"/>
        </w:rPr>
        <w:t>,</w:t>
      </w:r>
      <w:r w:rsidR="00E139FA" w:rsidRPr="009A33BA">
        <w:rPr>
          <w:kern w:val="22"/>
          <w:lang w:val="es-ES_tradnl"/>
        </w:rPr>
        <w:t xml:space="preserve"> un organismo consultivo permanente de expertos independiente</w:t>
      </w:r>
      <w:r w:rsidR="008D24AC">
        <w:rPr>
          <w:kern w:val="22"/>
          <w:lang w:val="es-ES_tradnl"/>
        </w:rPr>
        <w:t xml:space="preserve">, o </w:t>
      </w:r>
      <w:r w:rsidR="00E139FA" w:rsidRPr="009A33BA">
        <w:rPr>
          <w:kern w:val="22"/>
          <w:lang w:val="es-ES_tradnl"/>
        </w:rPr>
        <w:t xml:space="preserve">la continuación del </w:t>
      </w:r>
      <w:r w:rsidR="0034182E" w:rsidRPr="009A33BA">
        <w:rPr>
          <w:kern w:val="22"/>
          <w:lang w:val="es-ES_tradnl"/>
        </w:rPr>
        <w:t>Grupo de Trabajo</w:t>
      </w:r>
      <w:r w:rsidR="00255400" w:rsidRPr="009A33BA">
        <w:rPr>
          <w:kern w:val="22"/>
          <w:lang w:val="es-ES_tradnl"/>
        </w:rPr>
        <w:t xml:space="preserve"> </w:t>
      </w:r>
      <w:r w:rsidR="00E139FA" w:rsidRPr="009A33BA">
        <w:rPr>
          <w:kern w:val="22"/>
          <w:lang w:val="es-ES_tradnl"/>
        </w:rPr>
        <w:t xml:space="preserve">sobre el </w:t>
      </w:r>
      <w:r w:rsidR="0034182E" w:rsidRPr="009A33BA">
        <w:rPr>
          <w:kern w:val="22"/>
          <w:lang w:val="es-ES_tradnl"/>
        </w:rPr>
        <w:t>artículo 8 j) y disposiciones conexas</w:t>
      </w:r>
      <w:r w:rsidR="009C3890" w:rsidRPr="009A33BA">
        <w:rPr>
          <w:kern w:val="22"/>
          <w:lang w:val="es-ES_tradnl"/>
        </w:rPr>
        <w:t xml:space="preserve"> </w:t>
      </w:r>
      <w:r w:rsidR="00255400" w:rsidRPr="009A33BA">
        <w:rPr>
          <w:kern w:val="22"/>
          <w:lang w:val="es-ES_tradnl"/>
        </w:rPr>
        <w:t>(</w:t>
      </w:r>
      <w:r w:rsidR="00E139FA" w:rsidRPr="009A33BA">
        <w:rPr>
          <w:kern w:val="22"/>
          <w:lang w:val="es-ES_tradnl"/>
        </w:rPr>
        <w:t>arreglos existentes</w:t>
      </w:r>
      <w:r w:rsidR="00255400" w:rsidRPr="009A33BA">
        <w:rPr>
          <w:kern w:val="22"/>
          <w:lang w:val="es-ES_tradnl"/>
        </w:rPr>
        <w:t xml:space="preserve">) </w:t>
      </w:r>
      <w:r w:rsidR="00E139FA" w:rsidRPr="009A33BA">
        <w:rPr>
          <w:kern w:val="22"/>
          <w:lang w:val="es-ES_tradnl"/>
        </w:rPr>
        <w:t>con un mandato y programa de trabajo revisado</w:t>
      </w:r>
      <w:bookmarkEnd w:id="4"/>
      <w:r w:rsidR="00255400" w:rsidRPr="009A33BA">
        <w:rPr>
          <w:rStyle w:val="FootnoteReference"/>
          <w:kern w:val="22"/>
          <w:lang w:val="es-ES_tradnl"/>
        </w:rPr>
        <w:footnoteReference w:id="5"/>
      </w:r>
      <w:r w:rsidR="00E139FA" w:rsidRPr="009A33BA">
        <w:rPr>
          <w:kern w:val="22"/>
          <w:lang w:val="es-ES_tradnl"/>
        </w:rPr>
        <w:t>.</w:t>
      </w:r>
      <w:r w:rsidR="002371C3" w:rsidRPr="009A33BA">
        <w:rPr>
          <w:kern w:val="22"/>
          <w:lang w:val="es-ES_tradnl"/>
        </w:rPr>
        <w:t xml:space="preserve"> </w:t>
      </w:r>
      <w:r w:rsidR="00E139FA" w:rsidRPr="009A33BA">
        <w:rPr>
          <w:kern w:val="22"/>
          <w:lang w:val="es-ES_tradnl"/>
        </w:rPr>
        <w:t xml:space="preserve">Puede que </w:t>
      </w:r>
      <w:r w:rsidR="008D24AC">
        <w:rPr>
          <w:kern w:val="22"/>
          <w:lang w:val="es-ES_tradnl"/>
        </w:rPr>
        <w:t xml:space="preserve">dichas </w:t>
      </w:r>
      <w:r w:rsidR="00E139FA" w:rsidRPr="009A33BA">
        <w:rPr>
          <w:kern w:val="22"/>
          <w:lang w:val="es-ES_tradnl"/>
        </w:rPr>
        <w:t>opciones no sean mutuamente excluyentes</w:t>
      </w:r>
      <w:r w:rsidR="001765C2" w:rsidRPr="009A33BA">
        <w:rPr>
          <w:kern w:val="22"/>
          <w:lang w:val="es-ES_tradnl"/>
        </w:rPr>
        <w:t>.</w:t>
      </w:r>
    </w:p>
    <w:p w14:paraId="66FC60A4" w14:textId="5D9770FD" w:rsidR="009C3890" w:rsidRPr="009A33BA" w:rsidRDefault="00E139FA" w:rsidP="00FB38DC">
      <w:pPr>
        <w:pStyle w:val="Para1"/>
        <w:rPr>
          <w:rFonts w:eastAsia="Malgun Gothic"/>
          <w:kern w:val="22"/>
          <w:lang w:val="es-ES_tradnl" w:eastAsia="ko-KR"/>
        </w:rPr>
      </w:pPr>
      <w:r w:rsidRPr="009A33BA">
        <w:rPr>
          <w:kern w:val="22"/>
          <w:lang w:val="es-ES_tradnl"/>
        </w:rPr>
        <w:t xml:space="preserve">Como se indica en la recomendación </w:t>
      </w:r>
      <w:r w:rsidR="009C3890" w:rsidRPr="009A33BA">
        <w:rPr>
          <w:kern w:val="22"/>
          <w:lang w:val="es-ES_tradnl"/>
        </w:rPr>
        <w:t xml:space="preserve">10/3, </w:t>
      </w:r>
      <w:r w:rsidR="0034182E" w:rsidRPr="009A33BA">
        <w:rPr>
          <w:kern w:val="22"/>
          <w:lang w:val="es-ES_tradnl"/>
        </w:rPr>
        <w:t xml:space="preserve">el </w:t>
      </w:r>
      <w:r w:rsidRPr="009A33BA">
        <w:rPr>
          <w:kern w:val="22"/>
          <w:lang w:val="es-ES_tradnl"/>
        </w:rPr>
        <w:t>Grupo de Trabajo sobre el artículo</w:t>
      </w:r>
      <w:r w:rsidR="0034182E" w:rsidRPr="009A33BA">
        <w:rPr>
          <w:kern w:val="22"/>
          <w:lang w:val="es-ES_tradnl"/>
        </w:rPr>
        <w:t xml:space="preserve"> 8 j) y disposiciones conexas</w:t>
      </w:r>
      <w:r w:rsidR="00CF62EA" w:rsidRPr="009A33BA">
        <w:rPr>
          <w:kern w:val="22"/>
          <w:lang w:val="es-ES_tradnl"/>
        </w:rPr>
        <w:t xml:space="preserve"> </w:t>
      </w:r>
      <w:r w:rsidRPr="009A33BA">
        <w:rPr>
          <w:kern w:val="22"/>
          <w:lang w:val="es-ES_tradnl"/>
        </w:rPr>
        <w:t xml:space="preserve">debería examinar </w:t>
      </w:r>
      <w:r w:rsidR="008D24AC">
        <w:rPr>
          <w:kern w:val="22"/>
          <w:lang w:val="es-ES_tradnl"/>
        </w:rPr>
        <w:t xml:space="preserve">dichos </w:t>
      </w:r>
      <w:r w:rsidRPr="009A33BA">
        <w:rPr>
          <w:kern w:val="22"/>
          <w:lang w:val="es-ES_tradnl"/>
        </w:rPr>
        <w:t xml:space="preserve">escenarios </w:t>
      </w:r>
      <w:r w:rsidR="008D24AC">
        <w:rPr>
          <w:kern w:val="22"/>
          <w:lang w:val="es-ES_tradnl"/>
        </w:rPr>
        <w:t xml:space="preserve">habida cuenta de </w:t>
      </w:r>
      <w:r w:rsidRPr="009A33BA">
        <w:rPr>
          <w:kern w:val="22"/>
          <w:lang w:val="es-ES_tradnl"/>
        </w:rPr>
        <w:t xml:space="preserve">la necesidad de elaborar un programa de trabajo plenamente integrado sobre el artículo </w:t>
      </w:r>
      <w:r w:rsidR="0034182E" w:rsidRPr="009A33BA">
        <w:rPr>
          <w:kern w:val="22"/>
          <w:lang w:val="es-ES_tradnl"/>
        </w:rPr>
        <w:t>8 j) y disposiciones conexas</w:t>
      </w:r>
      <w:r w:rsidR="009C3890" w:rsidRPr="009A33BA">
        <w:rPr>
          <w:kern w:val="22"/>
          <w:lang w:val="es-ES_tradnl"/>
        </w:rPr>
        <w:t xml:space="preserve"> </w:t>
      </w:r>
      <w:r w:rsidR="00A84469" w:rsidRPr="009A33BA">
        <w:rPr>
          <w:kern w:val="22"/>
          <w:lang w:val="es-ES_tradnl"/>
        </w:rPr>
        <w:t xml:space="preserve">en el </w:t>
      </w:r>
      <w:r w:rsidR="00C075F7" w:rsidRPr="009A33BA">
        <w:rPr>
          <w:kern w:val="22"/>
          <w:lang w:val="es-ES_tradnl"/>
        </w:rPr>
        <w:t>marco de</w:t>
      </w:r>
      <w:r w:rsidR="00A84469" w:rsidRPr="009A33BA">
        <w:rPr>
          <w:kern w:val="22"/>
          <w:lang w:val="es-ES_tradnl"/>
        </w:rPr>
        <w:t xml:space="preserve"> la diversidad biológica posterior a 2020</w:t>
      </w:r>
      <w:r w:rsidR="00C73CC7" w:rsidRPr="009A33BA">
        <w:rPr>
          <w:kern w:val="22"/>
          <w:lang w:val="es-ES_tradnl"/>
        </w:rPr>
        <w:t>,</w:t>
      </w:r>
      <w:r w:rsidR="009C3890" w:rsidRPr="009A33BA">
        <w:rPr>
          <w:kern w:val="22"/>
          <w:lang w:val="es-ES_tradnl"/>
        </w:rPr>
        <w:t xml:space="preserve"> </w:t>
      </w:r>
      <w:r w:rsidRPr="009A33BA">
        <w:rPr>
          <w:kern w:val="22"/>
          <w:lang w:val="es-ES_tradnl"/>
        </w:rPr>
        <w:t>tomando como base los logros realizados hasta la fecha</w:t>
      </w:r>
      <w:r w:rsidR="009C3890" w:rsidRPr="009A33BA">
        <w:rPr>
          <w:kern w:val="22"/>
          <w:lang w:val="es-ES_tradnl"/>
        </w:rPr>
        <w:t xml:space="preserve">, </w:t>
      </w:r>
      <w:r w:rsidRPr="009A33BA">
        <w:rPr>
          <w:kern w:val="22"/>
          <w:lang w:val="es-ES_tradnl"/>
        </w:rPr>
        <w:t xml:space="preserve">teniendo en cuenta también la Agenda de </w:t>
      </w:r>
      <w:r w:rsidR="009C3890" w:rsidRPr="009A33BA">
        <w:rPr>
          <w:kern w:val="22"/>
          <w:lang w:val="es-ES_tradnl"/>
        </w:rPr>
        <w:t xml:space="preserve">2030 </w:t>
      </w:r>
      <w:r w:rsidRPr="009A33BA">
        <w:rPr>
          <w:kern w:val="22"/>
          <w:lang w:val="es-ES_tradnl"/>
        </w:rPr>
        <w:t>para el Desarrollo Sostenible, los Objetivos de Desarrollo Sostenible y el Acuerdo de París</w:t>
      </w:r>
      <w:r w:rsidR="00C73CC7" w:rsidRPr="009A33BA">
        <w:rPr>
          <w:rStyle w:val="FootnoteReference"/>
          <w:kern w:val="22"/>
          <w:lang w:val="es-ES_tradnl"/>
        </w:rPr>
        <w:footnoteReference w:id="6"/>
      </w:r>
      <w:r w:rsidRPr="009A33BA">
        <w:rPr>
          <w:kern w:val="22"/>
          <w:lang w:val="es-ES_tradnl"/>
        </w:rPr>
        <w:t>, así como las deficiencias identificadas</w:t>
      </w:r>
      <w:r w:rsidR="009C3890" w:rsidRPr="009A33BA">
        <w:rPr>
          <w:kern w:val="22"/>
          <w:lang w:val="es-ES_tradnl"/>
        </w:rPr>
        <w:t>.</w:t>
      </w:r>
      <w:r w:rsidR="002371C3" w:rsidRPr="009A33BA">
        <w:rPr>
          <w:kern w:val="22"/>
          <w:lang w:val="es-ES_tradnl"/>
        </w:rPr>
        <w:t xml:space="preserve"> </w:t>
      </w:r>
      <w:r w:rsidRPr="009A33BA">
        <w:rPr>
          <w:kern w:val="22"/>
          <w:lang w:val="es-ES_tradnl"/>
        </w:rPr>
        <w:t xml:space="preserve">Los logros conseguidos hasta la fecha se documentan y están disponibles en la sección </w:t>
      </w:r>
      <w:r w:rsidR="009C3890" w:rsidRPr="009A33BA">
        <w:rPr>
          <w:kern w:val="22"/>
          <w:lang w:val="es-ES_tradnl"/>
        </w:rPr>
        <w:t xml:space="preserve">I </w:t>
      </w:r>
      <w:r w:rsidRPr="009A33BA">
        <w:rPr>
          <w:kern w:val="22"/>
          <w:lang w:val="es-ES_tradnl"/>
        </w:rPr>
        <w:t xml:space="preserve">de </w:t>
      </w:r>
      <w:r w:rsidR="009C3890" w:rsidRPr="009A33BA">
        <w:rPr>
          <w:rFonts w:eastAsia="Malgun Gothic"/>
          <w:kern w:val="22"/>
          <w:lang w:val="es-ES_tradnl" w:eastAsia="ko-KR"/>
        </w:rPr>
        <w:t>CBD/WG8J/10/8</w:t>
      </w:r>
      <w:r w:rsidR="009C3890" w:rsidRPr="009A33BA">
        <w:rPr>
          <w:rStyle w:val="FootnoteReference"/>
          <w:kern w:val="22"/>
          <w:lang w:val="es-ES_tradnl"/>
        </w:rPr>
        <w:footnoteReference w:id="7"/>
      </w:r>
      <w:r w:rsidR="00C31CAD" w:rsidRPr="009A33BA">
        <w:rPr>
          <w:rFonts w:eastAsia="Malgun Gothic"/>
          <w:kern w:val="22"/>
          <w:lang w:val="es-ES_tradnl" w:eastAsia="ko-KR"/>
        </w:rPr>
        <w:t>.</w:t>
      </w:r>
    </w:p>
    <w:p w14:paraId="7B145641" w14:textId="3B1B7EBA" w:rsidR="00211433" w:rsidRPr="009A33BA" w:rsidRDefault="00E139FA" w:rsidP="00FB38DC">
      <w:pPr>
        <w:pStyle w:val="Para1"/>
        <w:rPr>
          <w:kern w:val="22"/>
          <w:lang w:val="es-ES_tradnl"/>
        </w:rPr>
      </w:pPr>
      <w:r w:rsidRPr="009A33BA">
        <w:rPr>
          <w:kern w:val="22"/>
          <w:lang w:val="es-ES_tradnl"/>
        </w:rPr>
        <w:t xml:space="preserve">Como </w:t>
      </w:r>
      <w:r w:rsidR="00CC1CC5" w:rsidRPr="009A33BA">
        <w:rPr>
          <w:kern w:val="22"/>
          <w:lang w:val="es-ES_tradnl"/>
        </w:rPr>
        <w:t xml:space="preserve">los </w:t>
      </w:r>
      <w:r w:rsidRPr="009A33BA">
        <w:rPr>
          <w:kern w:val="22"/>
          <w:lang w:val="es-ES_tradnl"/>
        </w:rPr>
        <w:t xml:space="preserve">posibles elementos de trabajo pueden afectar a los arreglos institucionales, </w:t>
      </w:r>
      <w:r w:rsidR="009522CB" w:rsidRPr="009A33BA">
        <w:rPr>
          <w:kern w:val="22"/>
          <w:lang w:val="es-ES_tradnl"/>
        </w:rPr>
        <w:t>las deliberaciones sobre el contenido de un nuevo programa de trabajo y los arreglos institucionales</w:t>
      </w:r>
      <w:r w:rsidR="00097D3A">
        <w:rPr>
          <w:kern w:val="22"/>
          <w:lang w:val="es-ES_tradnl"/>
        </w:rPr>
        <w:t>,</w:t>
      </w:r>
      <w:r w:rsidR="009522CB" w:rsidRPr="009A33BA">
        <w:rPr>
          <w:kern w:val="22"/>
          <w:lang w:val="es-ES_tradnl"/>
        </w:rPr>
        <w:t xml:space="preserve"> relativos al artículo </w:t>
      </w:r>
      <w:r w:rsidR="00CF62EA" w:rsidRPr="009A33BA">
        <w:rPr>
          <w:kern w:val="22"/>
          <w:lang w:val="es-ES_tradnl"/>
        </w:rPr>
        <w:t>8</w:t>
      </w:r>
      <w:r w:rsidR="009522CB" w:rsidRPr="009A33BA">
        <w:rPr>
          <w:kern w:val="22"/>
          <w:lang w:val="es-ES_tradnl"/>
        </w:rPr>
        <w:t xml:space="preserve"> </w:t>
      </w:r>
      <w:r w:rsidR="00CF62EA" w:rsidRPr="009A33BA">
        <w:rPr>
          <w:kern w:val="22"/>
          <w:lang w:val="es-ES_tradnl"/>
        </w:rPr>
        <w:t xml:space="preserve">j) </w:t>
      </w:r>
      <w:r w:rsidR="00097D3A">
        <w:rPr>
          <w:kern w:val="22"/>
          <w:lang w:val="es-ES_tradnl"/>
        </w:rPr>
        <w:t xml:space="preserve">y los </w:t>
      </w:r>
      <w:r w:rsidR="00053F89" w:rsidRPr="009A33BA">
        <w:rPr>
          <w:kern w:val="22"/>
          <w:lang w:val="es-ES_tradnl"/>
        </w:rPr>
        <w:t xml:space="preserve">pueblos indígenas y </w:t>
      </w:r>
      <w:r w:rsidR="00097D3A">
        <w:rPr>
          <w:kern w:val="22"/>
          <w:lang w:val="es-ES_tradnl"/>
        </w:rPr>
        <w:t xml:space="preserve">las </w:t>
      </w:r>
      <w:r w:rsidR="00053F89" w:rsidRPr="009A33BA">
        <w:rPr>
          <w:kern w:val="22"/>
          <w:lang w:val="es-ES_tradnl"/>
        </w:rPr>
        <w:t>comunidades locales</w:t>
      </w:r>
      <w:r w:rsidR="00097D3A">
        <w:rPr>
          <w:kern w:val="22"/>
          <w:lang w:val="es-ES_tradnl"/>
        </w:rPr>
        <w:t>,</w:t>
      </w:r>
      <w:r w:rsidR="00BD537C" w:rsidRPr="009A33BA">
        <w:rPr>
          <w:kern w:val="22"/>
          <w:lang w:val="es-ES_tradnl"/>
        </w:rPr>
        <w:t xml:space="preserve"> </w:t>
      </w:r>
      <w:r w:rsidR="009522CB" w:rsidRPr="009A33BA">
        <w:rPr>
          <w:kern w:val="22"/>
          <w:lang w:val="es-ES_tradnl"/>
        </w:rPr>
        <w:t xml:space="preserve">tendrán que avanzar en paralelo, y en consonancia con la elaboración del </w:t>
      </w:r>
      <w:r w:rsidR="00C075F7" w:rsidRPr="009A33BA">
        <w:rPr>
          <w:kern w:val="22"/>
          <w:lang w:val="es-ES_tradnl"/>
        </w:rPr>
        <w:t>marco de</w:t>
      </w:r>
      <w:r w:rsidR="009522CB" w:rsidRPr="009A33BA">
        <w:rPr>
          <w:kern w:val="22"/>
          <w:lang w:val="es-ES_tradnl"/>
        </w:rPr>
        <w:t xml:space="preserve"> la diversidad biológica posterior a 2020</w:t>
      </w:r>
      <w:r w:rsidR="00BD537C" w:rsidRPr="009A33BA">
        <w:rPr>
          <w:kern w:val="22"/>
          <w:lang w:val="es-ES_tradnl"/>
        </w:rPr>
        <w:t xml:space="preserve">, </w:t>
      </w:r>
      <w:r w:rsidR="009522CB" w:rsidRPr="009A33BA">
        <w:rPr>
          <w:kern w:val="22"/>
          <w:lang w:val="es-ES_tradnl"/>
        </w:rPr>
        <w:t xml:space="preserve">con miras a la </w:t>
      </w:r>
      <w:r w:rsidR="00097D3A">
        <w:rPr>
          <w:kern w:val="22"/>
          <w:lang w:val="es-ES_tradnl"/>
        </w:rPr>
        <w:t xml:space="preserve">adopción de una </w:t>
      </w:r>
      <w:r w:rsidR="009522CB" w:rsidRPr="009A33BA">
        <w:rPr>
          <w:kern w:val="22"/>
          <w:lang w:val="es-ES_tradnl"/>
        </w:rPr>
        <w:t xml:space="preserve">decisión final </w:t>
      </w:r>
      <w:r w:rsidR="00097D3A">
        <w:rPr>
          <w:kern w:val="22"/>
          <w:lang w:val="es-ES_tradnl"/>
        </w:rPr>
        <w:t xml:space="preserve">por parte </w:t>
      </w:r>
      <w:r w:rsidR="009522CB" w:rsidRPr="009A33BA">
        <w:rPr>
          <w:kern w:val="22"/>
          <w:lang w:val="es-ES_tradnl"/>
        </w:rPr>
        <w:t xml:space="preserve">de la </w:t>
      </w:r>
      <w:r w:rsidR="00097D3A">
        <w:rPr>
          <w:kern w:val="22"/>
          <w:lang w:val="es-ES_tradnl"/>
        </w:rPr>
        <w:t xml:space="preserve">15ª </w:t>
      </w:r>
      <w:r w:rsidR="00A84469" w:rsidRPr="009A33BA">
        <w:rPr>
          <w:kern w:val="22"/>
          <w:lang w:val="es-ES_tradnl"/>
        </w:rPr>
        <w:t>reunión de la</w:t>
      </w:r>
      <w:r w:rsidR="00CF62EA" w:rsidRPr="009A33BA">
        <w:rPr>
          <w:kern w:val="22"/>
          <w:lang w:val="es-ES_tradnl"/>
        </w:rPr>
        <w:t xml:space="preserve"> </w:t>
      </w:r>
      <w:r w:rsidR="00053F89" w:rsidRPr="009A33BA">
        <w:rPr>
          <w:kern w:val="22"/>
          <w:lang w:val="es-ES_tradnl"/>
        </w:rPr>
        <w:t>Conferencia de las Partes</w:t>
      </w:r>
      <w:r w:rsidR="00CF62EA" w:rsidRPr="009A33BA">
        <w:rPr>
          <w:kern w:val="22"/>
          <w:lang w:val="es-ES_tradnl"/>
        </w:rPr>
        <w:t>.</w:t>
      </w:r>
      <w:r w:rsidR="002371C3" w:rsidRPr="009A33BA">
        <w:rPr>
          <w:kern w:val="22"/>
          <w:lang w:val="es-ES_tradnl"/>
        </w:rPr>
        <w:t xml:space="preserve"> </w:t>
      </w:r>
    </w:p>
    <w:p w14:paraId="563E0448" w14:textId="7C2373B5" w:rsidR="00CF62EA" w:rsidRPr="009A33BA" w:rsidRDefault="009522CB" w:rsidP="00FB38DC">
      <w:pPr>
        <w:pStyle w:val="Para1"/>
        <w:rPr>
          <w:kern w:val="22"/>
          <w:lang w:val="es-ES_tradnl"/>
        </w:rPr>
      </w:pPr>
      <w:r w:rsidRPr="009A33BA">
        <w:rPr>
          <w:kern w:val="22"/>
          <w:lang w:val="es-ES_tradnl"/>
        </w:rPr>
        <w:t xml:space="preserve">Para </w:t>
      </w:r>
      <w:r w:rsidR="00C31CAD" w:rsidRPr="009A33BA">
        <w:rPr>
          <w:kern w:val="22"/>
          <w:lang w:val="es-ES_tradnl"/>
        </w:rPr>
        <w:t xml:space="preserve">hacer </w:t>
      </w:r>
      <w:r w:rsidRPr="009A33BA">
        <w:rPr>
          <w:kern w:val="22"/>
          <w:lang w:val="es-ES_tradnl"/>
        </w:rPr>
        <w:t>avanzar los posibles elementos de trabajo, se pidió a la Secretaria Ejecutiva en la recomendación</w:t>
      </w:r>
      <w:r w:rsidR="00CF62EA" w:rsidRPr="009A33BA">
        <w:rPr>
          <w:kern w:val="22"/>
          <w:lang w:val="es-ES_tradnl"/>
        </w:rPr>
        <w:t xml:space="preserve"> 10/3 </w:t>
      </w:r>
      <w:r w:rsidRPr="009A33BA">
        <w:rPr>
          <w:kern w:val="22"/>
          <w:lang w:val="es-ES_tradnl"/>
        </w:rPr>
        <w:t>que preparase un d</w:t>
      </w:r>
      <w:r w:rsidR="00053F89" w:rsidRPr="009A33BA">
        <w:rPr>
          <w:kern w:val="22"/>
          <w:lang w:val="es-ES_tradnl"/>
        </w:rPr>
        <w:t>ocumento oficial</w:t>
      </w:r>
      <w:r w:rsidR="00CF62EA" w:rsidRPr="009A33BA">
        <w:rPr>
          <w:kern w:val="22"/>
          <w:lang w:val="es-ES_tradnl"/>
        </w:rPr>
        <w:t xml:space="preserve"> </w:t>
      </w:r>
      <w:r w:rsidRPr="009A33BA">
        <w:rPr>
          <w:kern w:val="22"/>
          <w:lang w:val="es-ES_tradnl"/>
        </w:rPr>
        <w:t xml:space="preserve">sobre </w:t>
      </w:r>
      <w:r w:rsidRPr="009A33BA">
        <w:rPr>
          <w:rFonts w:eastAsia="Batang"/>
          <w:kern w:val="22"/>
          <w:szCs w:val="22"/>
          <w:lang w:val="es-ES_tradnl" w:eastAsia="ko-KR"/>
        </w:rPr>
        <w:t xml:space="preserve">posibles elementos para un futuro programa de trabajo </w:t>
      </w:r>
      <w:r w:rsidRPr="009A33BA">
        <w:rPr>
          <w:kern w:val="22"/>
          <w:lang w:val="es-ES_tradnl"/>
        </w:rPr>
        <w:t xml:space="preserve">relativo al </w:t>
      </w:r>
      <w:r w:rsidR="0034182E" w:rsidRPr="009A33BA">
        <w:rPr>
          <w:kern w:val="22"/>
          <w:lang w:val="es-ES_tradnl"/>
        </w:rPr>
        <w:t>artículo 8 j) y disposiciones conexas</w:t>
      </w:r>
      <w:r w:rsidR="00CF62EA" w:rsidRPr="009A33BA">
        <w:rPr>
          <w:kern w:val="22"/>
          <w:lang w:val="es-ES_tradnl"/>
        </w:rPr>
        <w:t xml:space="preserve"> </w:t>
      </w:r>
      <w:r w:rsidRPr="009A33BA">
        <w:rPr>
          <w:kern w:val="22"/>
          <w:lang w:val="es-ES_tradnl"/>
        </w:rPr>
        <w:t xml:space="preserve">en el </w:t>
      </w:r>
      <w:r w:rsidR="00C075F7" w:rsidRPr="009A33BA">
        <w:rPr>
          <w:kern w:val="22"/>
          <w:lang w:val="es-ES_tradnl"/>
        </w:rPr>
        <w:t>marco de</w:t>
      </w:r>
      <w:r w:rsidRPr="009A33BA">
        <w:rPr>
          <w:kern w:val="22"/>
          <w:lang w:val="es-ES_tradnl"/>
        </w:rPr>
        <w:t xml:space="preserve"> la diversidad biológica posterior a 2020</w:t>
      </w:r>
      <w:r w:rsidR="002F541B" w:rsidRPr="009A33BA">
        <w:rPr>
          <w:kern w:val="22"/>
          <w:lang w:val="es-ES_tradnl"/>
        </w:rPr>
        <w:t>,</w:t>
      </w:r>
      <w:r w:rsidR="00CF62EA" w:rsidRPr="009A33BA">
        <w:rPr>
          <w:kern w:val="22"/>
          <w:lang w:val="es-ES_tradnl"/>
        </w:rPr>
        <w:t xml:space="preserve"> </w:t>
      </w:r>
      <w:r w:rsidRPr="009A33BA">
        <w:rPr>
          <w:rFonts w:eastAsia="Batang"/>
          <w:kern w:val="22"/>
          <w:szCs w:val="22"/>
          <w:lang w:val="es-ES_tradnl" w:eastAsia="ko-KR"/>
        </w:rPr>
        <w:t xml:space="preserve">así como posibles arreglos institucionales y sus </w:t>
      </w:r>
      <w:r w:rsidRPr="009A33BA">
        <w:rPr>
          <w:rFonts w:eastAsia="Batang"/>
          <w:i/>
          <w:kern w:val="22"/>
          <w:szCs w:val="22"/>
          <w:lang w:val="es-ES_tradnl" w:eastAsia="ko-KR"/>
        </w:rPr>
        <w:t>modus operandi</w:t>
      </w:r>
      <w:r w:rsidRPr="009A33BA">
        <w:rPr>
          <w:kern w:val="22"/>
          <w:lang w:val="es-ES_tradnl"/>
        </w:rPr>
        <w:t xml:space="preserve"> </w:t>
      </w:r>
      <w:r w:rsidR="00F52F28" w:rsidRPr="009A33BA">
        <w:rPr>
          <w:kern w:val="22"/>
          <w:lang w:val="es-ES_tradnl"/>
        </w:rPr>
        <w:t xml:space="preserve">para someterlos a la consideración de la decimocuarta reunión de la </w:t>
      </w:r>
      <w:r w:rsidR="00053F89" w:rsidRPr="009A33BA">
        <w:rPr>
          <w:kern w:val="22"/>
          <w:lang w:val="es-ES_tradnl"/>
        </w:rPr>
        <w:t>Conferencia de las Partes</w:t>
      </w:r>
      <w:r w:rsidR="00CF62EA" w:rsidRPr="009A33BA">
        <w:rPr>
          <w:kern w:val="22"/>
          <w:lang w:val="es-ES_tradnl"/>
        </w:rPr>
        <w:t>.</w:t>
      </w:r>
      <w:r w:rsidR="002371C3" w:rsidRPr="009A33BA">
        <w:rPr>
          <w:kern w:val="22"/>
          <w:lang w:val="es-ES_tradnl"/>
        </w:rPr>
        <w:t xml:space="preserve"> </w:t>
      </w:r>
      <w:r w:rsidR="00F52F28" w:rsidRPr="009A33BA">
        <w:rPr>
          <w:kern w:val="22"/>
          <w:lang w:val="es-ES_tradnl"/>
        </w:rPr>
        <w:t xml:space="preserve">El 8 de mayo de 2018, la Secretaria Ejecutiva emitió una notificación mediante la cual pide </w:t>
      </w:r>
      <w:r w:rsidR="00097D3A">
        <w:rPr>
          <w:kern w:val="22"/>
          <w:lang w:val="es-ES_tradnl"/>
        </w:rPr>
        <w:t xml:space="preserve">información y </w:t>
      </w:r>
      <w:r w:rsidR="00F52F28" w:rsidRPr="009A33BA">
        <w:rPr>
          <w:kern w:val="22"/>
          <w:lang w:val="es-ES_tradnl"/>
        </w:rPr>
        <w:t>opiniones</w:t>
      </w:r>
      <w:r w:rsidR="00211433" w:rsidRPr="009A33BA">
        <w:rPr>
          <w:rStyle w:val="FootnoteReference"/>
          <w:kern w:val="22"/>
          <w:lang w:val="es-ES_tradnl"/>
        </w:rPr>
        <w:footnoteReference w:id="8"/>
      </w:r>
      <w:r w:rsidR="00F52F28" w:rsidRPr="009A33BA">
        <w:rPr>
          <w:kern w:val="22"/>
          <w:lang w:val="es-ES_tradnl"/>
        </w:rPr>
        <w:t>.</w:t>
      </w:r>
      <w:r w:rsidR="00CF62EA" w:rsidRPr="009A33BA">
        <w:rPr>
          <w:kern w:val="22"/>
          <w:lang w:val="es-ES_tradnl"/>
        </w:rPr>
        <w:t xml:space="preserve"> </w:t>
      </w:r>
      <w:r w:rsidR="00F52F28" w:rsidRPr="009A33BA">
        <w:rPr>
          <w:kern w:val="22"/>
          <w:lang w:val="es-ES_tradnl"/>
        </w:rPr>
        <w:t>La</w:t>
      </w:r>
      <w:r w:rsidR="00097D3A">
        <w:rPr>
          <w:kern w:val="22"/>
          <w:lang w:val="es-ES_tradnl"/>
        </w:rPr>
        <w:t xml:space="preserve"> información y las </w:t>
      </w:r>
      <w:r w:rsidR="00F52F28" w:rsidRPr="009A33BA">
        <w:rPr>
          <w:kern w:val="22"/>
          <w:lang w:val="es-ES_tradnl"/>
        </w:rPr>
        <w:t xml:space="preserve">opiniones </w:t>
      </w:r>
      <w:r w:rsidR="00097D3A">
        <w:rPr>
          <w:kern w:val="22"/>
          <w:lang w:val="es-ES_tradnl"/>
        </w:rPr>
        <w:t xml:space="preserve">que se reciban </w:t>
      </w:r>
      <w:r w:rsidR="00F52F28" w:rsidRPr="009A33BA">
        <w:rPr>
          <w:kern w:val="22"/>
          <w:lang w:val="es-ES_tradnl"/>
        </w:rPr>
        <w:t xml:space="preserve">se recopilarán y </w:t>
      </w:r>
      <w:r w:rsidR="00097D3A">
        <w:rPr>
          <w:kern w:val="22"/>
          <w:lang w:val="es-ES_tradnl"/>
        </w:rPr>
        <w:t xml:space="preserve">se </w:t>
      </w:r>
      <w:r w:rsidR="00F52F28" w:rsidRPr="009A33BA">
        <w:rPr>
          <w:kern w:val="22"/>
          <w:lang w:val="es-ES_tradnl"/>
        </w:rPr>
        <w:t>po</w:t>
      </w:r>
      <w:r w:rsidR="00097D3A">
        <w:rPr>
          <w:kern w:val="22"/>
          <w:lang w:val="es-ES_tradnl"/>
        </w:rPr>
        <w:t>n</w:t>
      </w:r>
      <w:r w:rsidR="00F52F28" w:rsidRPr="009A33BA">
        <w:rPr>
          <w:kern w:val="22"/>
          <w:lang w:val="es-ES_tradnl"/>
        </w:rPr>
        <w:t>drán a disposici</w:t>
      </w:r>
      <w:r w:rsidR="00097D3A">
        <w:rPr>
          <w:kern w:val="22"/>
          <w:lang w:val="es-ES_tradnl"/>
        </w:rPr>
        <w:t xml:space="preserve">ón de </w:t>
      </w:r>
      <w:r w:rsidR="00F52F28" w:rsidRPr="009A33BA">
        <w:rPr>
          <w:kern w:val="22"/>
          <w:lang w:val="es-ES_tradnl"/>
        </w:rPr>
        <w:t xml:space="preserve">la </w:t>
      </w:r>
      <w:r w:rsidR="00053F89" w:rsidRPr="009A33BA">
        <w:rPr>
          <w:kern w:val="22"/>
          <w:lang w:val="es-ES_tradnl"/>
        </w:rPr>
        <w:t>Conferencia de las Partes en su decimocuarta reunión</w:t>
      </w:r>
      <w:r w:rsidR="00CF62EA" w:rsidRPr="009A33BA">
        <w:rPr>
          <w:kern w:val="22"/>
          <w:lang w:val="es-ES_tradnl"/>
        </w:rPr>
        <w:t>.</w:t>
      </w:r>
    </w:p>
    <w:p w14:paraId="243723FC" w14:textId="4E772086" w:rsidR="00F52AE8" w:rsidRPr="009A33BA" w:rsidRDefault="00C31CAD" w:rsidP="00FB38DC">
      <w:pPr>
        <w:pStyle w:val="Para1"/>
        <w:rPr>
          <w:kern w:val="22"/>
          <w:lang w:val="es-ES_tradnl"/>
        </w:rPr>
      </w:pPr>
      <w:r w:rsidRPr="009A33BA">
        <w:rPr>
          <w:kern w:val="22"/>
          <w:lang w:val="es-ES_tradnl"/>
        </w:rPr>
        <w:t>El proceso para examin</w:t>
      </w:r>
      <w:r w:rsidR="008D37A1" w:rsidRPr="009A33BA">
        <w:rPr>
          <w:kern w:val="22"/>
          <w:lang w:val="es-ES_tradnl"/>
        </w:rPr>
        <w:t>a</w:t>
      </w:r>
      <w:r w:rsidRPr="009A33BA">
        <w:rPr>
          <w:kern w:val="22"/>
          <w:lang w:val="es-ES_tradnl"/>
        </w:rPr>
        <w:t xml:space="preserve">r los posibles elementos de trabajo para el </w:t>
      </w:r>
      <w:r w:rsidR="0034182E" w:rsidRPr="009A33BA">
        <w:rPr>
          <w:kern w:val="22"/>
          <w:lang w:val="es-ES_tradnl"/>
        </w:rPr>
        <w:t>artículo 8 j) y disposiciones conexas</w:t>
      </w:r>
      <w:r w:rsidR="00427FF6" w:rsidRPr="009A33BA">
        <w:rPr>
          <w:kern w:val="22"/>
          <w:lang w:val="es-ES_tradnl"/>
        </w:rPr>
        <w:t xml:space="preserve"> </w:t>
      </w:r>
      <w:r w:rsidRPr="009A33BA">
        <w:rPr>
          <w:kern w:val="22"/>
          <w:lang w:val="es-ES_tradnl"/>
        </w:rPr>
        <w:t xml:space="preserve">en el </w:t>
      </w:r>
      <w:r w:rsidR="00C075F7" w:rsidRPr="009A33BA">
        <w:rPr>
          <w:kern w:val="22"/>
          <w:lang w:val="es-ES_tradnl"/>
        </w:rPr>
        <w:t>marco de</w:t>
      </w:r>
      <w:r w:rsidR="009522CB" w:rsidRPr="009A33BA">
        <w:rPr>
          <w:kern w:val="22"/>
          <w:lang w:val="es-ES_tradnl"/>
        </w:rPr>
        <w:t xml:space="preserve"> la diversidad biológica posterior a 2020</w:t>
      </w:r>
      <w:r w:rsidR="00F52AE8" w:rsidRPr="009A33BA">
        <w:rPr>
          <w:kern w:val="22"/>
          <w:lang w:val="es-ES_tradnl"/>
        </w:rPr>
        <w:t xml:space="preserve"> </w:t>
      </w:r>
      <w:r w:rsidRPr="009A33BA">
        <w:rPr>
          <w:kern w:val="22"/>
          <w:lang w:val="es-ES_tradnl"/>
        </w:rPr>
        <w:t xml:space="preserve">y futuros arreglos institucionales debería </w:t>
      </w:r>
      <w:r w:rsidRPr="009A33BA">
        <w:rPr>
          <w:kern w:val="22"/>
          <w:lang w:val="es-ES_tradnl"/>
        </w:rPr>
        <w:lastRenderedPageBreak/>
        <w:t xml:space="preserve">guiarse por los principios generales del programa de trabajo sobre el </w:t>
      </w:r>
      <w:r w:rsidR="0034182E" w:rsidRPr="009A33BA">
        <w:rPr>
          <w:kern w:val="22"/>
          <w:lang w:val="es-ES_tradnl"/>
        </w:rPr>
        <w:t>artículo 8 j) y disposiciones conexas</w:t>
      </w:r>
      <w:r w:rsidR="00F52AE8" w:rsidRPr="009A33BA">
        <w:rPr>
          <w:kern w:val="22"/>
          <w:lang w:val="es-ES_tradnl"/>
        </w:rPr>
        <w:t xml:space="preserve">, </w:t>
      </w:r>
      <w:r w:rsidRPr="009A33BA">
        <w:rPr>
          <w:kern w:val="22"/>
          <w:lang w:val="es-ES_tradnl"/>
        </w:rPr>
        <w:t xml:space="preserve">que sigan siendo pertinentes e </w:t>
      </w:r>
      <w:r w:rsidR="00097D3A">
        <w:rPr>
          <w:kern w:val="22"/>
          <w:lang w:val="es-ES_tradnl"/>
        </w:rPr>
        <w:t>incluir</w:t>
      </w:r>
      <w:r w:rsidR="00F52AE8" w:rsidRPr="009A33BA">
        <w:rPr>
          <w:kern w:val="22"/>
          <w:lang w:val="es-ES_tradnl"/>
        </w:rPr>
        <w:t>:</w:t>
      </w:r>
    </w:p>
    <w:p w14:paraId="726C4E9D" w14:textId="033D45E2" w:rsidR="00F52AE8" w:rsidRPr="009A33BA" w:rsidRDefault="00C31CAD" w:rsidP="00FB38DC">
      <w:pPr>
        <w:pStyle w:val="ListParagraph"/>
        <w:numPr>
          <w:ilvl w:val="0"/>
          <w:numId w:val="14"/>
        </w:numPr>
        <w:shd w:val="clear" w:color="auto" w:fill="FFFFFF"/>
        <w:spacing w:after="120"/>
        <w:ind w:left="0" w:firstLine="709"/>
        <w:contextualSpacing w:val="0"/>
        <w:rPr>
          <w:kern w:val="22"/>
          <w:lang w:val="es-ES_tradnl"/>
        </w:rPr>
      </w:pPr>
      <w:r w:rsidRPr="009A33BA">
        <w:rPr>
          <w:kern w:val="22"/>
          <w:lang w:val="es-ES_tradnl"/>
        </w:rPr>
        <w:t>Participación plena y efectiva de las comunidades indígenas y locales en todas las etapas de la identificación y aplicación de los elementos del programa de trabajo. Participación plena y efectiva de las mujeres de las comunidades indígenas y locales en todas las actividades del programa de trabajo</w:t>
      </w:r>
      <w:r w:rsidR="00C700C8" w:rsidRPr="009A33BA">
        <w:rPr>
          <w:kern w:val="22"/>
          <w:lang w:val="es-ES_tradnl"/>
        </w:rPr>
        <w:t>;</w:t>
      </w:r>
    </w:p>
    <w:p w14:paraId="4010D598" w14:textId="3D72D270" w:rsidR="00F52AE8" w:rsidRPr="009A33BA" w:rsidRDefault="00C31CAD" w:rsidP="00FB38DC">
      <w:pPr>
        <w:pStyle w:val="ListParagraph"/>
        <w:numPr>
          <w:ilvl w:val="0"/>
          <w:numId w:val="14"/>
        </w:numPr>
        <w:shd w:val="clear" w:color="auto" w:fill="FFFFFF"/>
        <w:spacing w:after="120"/>
        <w:ind w:left="0" w:firstLine="709"/>
        <w:contextualSpacing w:val="0"/>
        <w:rPr>
          <w:kern w:val="22"/>
          <w:lang w:val="es-ES_tradnl"/>
        </w:rPr>
      </w:pPr>
      <w:r w:rsidRPr="009A33BA">
        <w:rPr>
          <w:kern w:val="22"/>
          <w:lang w:val="es-ES_tradnl"/>
        </w:rPr>
        <w:t>El conocimiento tradicional se debe valorar siempre y cuando se le dé el mismo respeto y se considere tan útil y necesario como otros tipos de conocimientos</w:t>
      </w:r>
      <w:r w:rsidR="00C700C8" w:rsidRPr="009A33BA">
        <w:rPr>
          <w:kern w:val="22"/>
          <w:lang w:val="es-ES_tradnl"/>
        </w:rPr>
        <w:t>;</w:t>
      </w:r>
      <w:r w:rsidR="00F52AE8" w:rsidRPr="009A33BA">
        <w:rPr>
          <w:kern w:val="22"/>
          <w:lang w:val="es-ES_tradnl"/>
        </w:rPr>
        <w:t xml:space="preserve"> </w:t>
      </w:r>
    </w:p>
    <w:p w14:paraId="60DF0C19" w14:textId="0FC61004" w:rsidR="00F52AE8" w:rsidRPr="009A33BA" w:rsidRDefault="00C31CAD" w:rsidP="00FB38DC">
      <w:pPr>
        <w:pStyle w:val="ListParagraph"/>
        <w:numPr>
          <w:ilvl w:val="0"/>
          <w:numId w:val="14"/>
        </w:numPr>
        <w:shd w:val="clear" w:color="auto" w:fill="FFFFFF"/>
        <w:spacing w:after="120"/>
        <w:ind w:left="0" w:firstLine="709"/>
        <w:contextualSpacing w:val="0"/>
        <w:rPr>
          <w:kern w:val="22"/>
          <w:lang w:val="es-ES_tradnl"/>
        </w:rPr>
      </w:pPr>
      <w:r w:rsidRPr="009A33BA">
        <w:rPr>
          <w:kern w:val="22"/>
          <w:lang w:val="es-ES_tradnl"/>
        </w:rPr>
        <w:t>Un criterio integral acorde a los valores espirituales y culturales y a las prácticas habituales de las comunidades indígenas y locales, y a su derecho de controlar su conocimiento tradicional, sus innovaciones y prácticas</w:t>
      </w:r>
      <w:r w:rsidR="00603387" w:rsidRPr="009A33BA">
        <w:rPr>
          <w:kern w:val="22"/>
          <w:lang w:val="es-ES_tradnl"/>
        </w:rPr>
        <w:t>;</w:t>
      </w:r>
    </w:p>
    <w:p w14:paraId="67DFF9CA" w14:textId="1885BDC6" w:rsidR="00427FF6" w:rsidRPr="009A33BA" w:rsidRDefault="00C31CAD" w:rsidP="00FB38DC">
      <w:pPr>
        <w:pStyle w:val="ListParagraph"/>
        <w:numPr>
          <w:ilvl w:val="0"/>
          <w:numId w:val="14"/>
        </w:numPr>
        <w:shd w:val="clear" w:color="auto" w:fill="FFFFFF"/>
        <w:spacing w:after="120"/>
        <w:ind w:left="0" w:firstLine="709"/>
        <w:contextualSpacing w:val="0"/>
        <w:rPr>
          <w:kern w:val="22"/>
          <w:lang w:val="es-ES_tradnl"/>
        </w:rPr>
      </w:pPr>
      <w:r w:rsidRPr="009A33BA">
        <w:rPr>
          <w:kern w:val="22"/>
          <w:lang w:val="es-ES_tradnl"/>
        </w:rPr>
        <w:t>El enfoque por ecosistemas es una estrategia para la gestión integrada de la tierra, el agua y los recursos vivos que promueve la conservación y el uso sostenible de la diversidad biológica en forma equitativa</w:t>
      </w:r>
      <w:r w:rsidR="00603387" w:rsidRPr="009A33BA">
        <w:rPr>
          <w:kern w:val="22"/>
          <w:lang w:val="es-ES_tradnl"/>
        </w:rPr>
        <w:t>;</w:t>
      </w:r>
    </w:p>
    <w:p w14:paraId="21F98B40" w14:textId="5F82ADF7" w:rsidR="001E3AD1" w:rsidRPr="001E3AD1" w:rsidRDefault="001E3AD1" w:rsidP="001E3AD1">
      <w:pPr>
        <w:pStyle w:val="ListParagraph"/>
        <w:numPr>
          <w:ilvl w:val="0"/>
          <w:numId w:val="14"/>
        </w:numPr>
        <w:ind w:left="0" w:firstLine="709"/>
        <w:rPr>
          <w:kern w:val="22"/>
          <w:lang w:val="es-ES"/>
        </w:rPr>
      </w:pPr>
      <w:r w:rsidRPr="001E3AD1">
        <w:rPr>
          <w:kern w:val="22"/>
          <w:lang w:val="es-ES"/>
        </w:rPr>
        <w:t>El acceso a los conocimientos tradicionales, las innovaciones y las prácticas de las comunidades indígenas y locales deberá estar sujeto al consentimiento fundamentado previo o aprobación fundamentada previa de los titulares de esos conocimientos, innovaciones y prácticas.</w:t>
      </w:r>
      <w:bookmarkStart w:id="5" w:name="IITASKSOFTHEFIRSTPHASEOFTHEPROGRAMMEOFWO"/>
      <w:bookmarkEnd w:id="5"/>
    </w:p>
    <w:p w14:paraId="1472F911" w14:textId="7E617CD6" w:rsidR="00BD537C" w:rsidRPr="009A33BA" w:rsidRDefault="00C67351" w:rsidP="00FB38DC">
      <w:pPr>
        <w:pStyle w:val="Para1"/>
        <w:rPr>
          <w:kern w:val="22"/>
          <w:lang w:val="es-ES_tradnl"/>
        </w:rPr>
      </w:pPr>
      <w:r w:rsidRPr="009A33BA">
        <w:rPr>
          <w:kern w:val="22"/>
          <w:lang w:val="es-ES_tradnl"/>
        </w:rPr>
        <w:t>En el cuadro siguiente se consideran tres posibles escenarios</w:t>
      </w:r>
      <w:r w:rsidR="00BD537C" w:rsidRPr="009A33BA">
        <w:rPr>
          <w:kern w:val="22"/>
          <w:lang w:val="es-ES_tradnl"/>
        </w:rPr>
        <w:t>,</w:t>
      </w:r>
      <w:r w:rsidR="005F53BF" w:rsidRPr="009A33BA">
        <w:rPr>
          <w:kern w:val="22"/>
          <w:lang w:val="es-ES_tradnl"/>
        </w:rPr>
        <w:t xml:space="preserve"> </w:t>
      </w:r>
      <w:r w:rsidRPr="009A33BA">
        <w:rPr>
          <w:kern w:val="22"/>
          <w:lang w:val="es-ES_tradnl"/>
        </w:rPr>
        <w:t>un modelo totalmente integrado</w:t>
      </w:r>
      <w:r w:rsidR="00427FF6" w:rsidRPr="009A33BA">
        <w:rPr>
          <w:kern w:val="22"/>
          <w:lang w:val="es-ES_tradnl"/>
        </w:rPr>
        <w:t xml:space="preserve">, </w:t>
      </w:r>
      <w:r w:rsidRPr="009A33BA">
        <w:rPr>
          <w:kern w:val="22"/>
          <w:lang w:val="es-ES_tradnl"/>
        </w:rPr>
        <w:t>un organismo consultivo permanente de expertos independiente</w:t>
      </w:r>
      <w:r w:rsidR="00286AE2">
        <w:rPr>
          <w:kern w:val="22"/>
          <w:lang w:val="es-ES_tradnl"/>
        </w:rPr>
        <w:t xml:space="preserve">, o </w:t>
      </w:r>
      <w:r w:rsidRPr="009A33BA">
        <w:rPr>
          <w:kern w:val="22"/>
          <w:lang w:val="es-ES_tradnl"/>
        </w:rPr>
        <w:t xml:space="preserve">la continuación del Grupo de Trabajo sobre el artículo 8 j) y disposiciones conexas (arreglos existentes) con un mandato y </w:t>
      </w:r>
      <w:r w:rsidR="00286AE2">
        <w:rPr>
          <w:kern w:val="22"/>
          <w:lang w:val="es-ES_tradnl"/>
        </w:rPr>
        <w:t xml:space="preserve">un </w:t>
      </w:r>
      <w:r w:rsidRPr="009A33BA">
        <w:rPr>
          <w:kern w:val="22"/>
          <w:lang w:val="es-ES_tradnl"/>
        </w:rPr>
        <w:t>programa de trabajo revisado</w:t>
      </w:r>
      <w:r w:rsidR="00427FF6" w:rsidRPr="009A33BA">
        <w:rPr>
          <w:kern w:val="22"/>
          <w:lang w:val="es-ES_tradnl"/>
        </w:rPr>
        <w:t>.</w:t>
      </w:r>
    </w:p>
    <w:p w14:paraId="1AF3246A" w14:textId="00D2800A" w:rsidR="00DB1223" w:rsidRPr="009A33BA" w:rsidRDefault="00494B91" w:rsidP="006E2F1A">
      <w:pPr>
        <w:pStyle w:val="Para1"/>
        <w:numPr>
          <w:ilvl w:val="0"/>
          <w:numId w:val="0"/>
        </w:numPr>
        <w:jc w:val="left"/>
        <w:rPr>
          <w:rFonts w:eastAsia="Batang"/>
          <w:b/>
          <w:bCs/>
          <w:kern w:val="22"/>
          <w:lang w:val="es-ES_tradnl" w:eastAsia="ko-KR"/>
        </w:rPr>
      </w:pPr>
      <w:r w:rsidRPr="009A33BA">
        <w:rPr>
          <w:rFonts w:eastAsia="Batang"/>
          <w:b/>
          <w:bCs/>
          <w:kern w:val="22"/>
          <w:lang w:val="es-ES_tradnl" w:eastAsia="ko-KR"/>
        </w:rPr>
        <w:t>Posibles arreglos institucionales</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40"/>
        <w:gridCol w:w="3150"/>
      </w:tblGrid>
      <w:tr w:rsidR="003372D4" w:rsidRPr="00F80FBA" w14:paraId="1073AF99" w14:textId="77777777" w:rsidTr="00E97CF5">
        <w:trPr>
          <w:trHeight w:val="530"/>
        </w:trPr>
        <w:tc>
          <w:tcPr>
            <w:tcW w:w="3600" w:type="dxa"/>
            <w:shd w:val="clear" w:color="auto" w:fill="F2F2F2"/>
          </w:tcPr>
          <w:p w14:paraId="45EE0068" w14:textId="0E99561D" w:rsidR="00206943" w:rsidRPr="009A33BA" w:rsidRDefault="00C67351" w:rsidP="00FB38DC">
            <w:pPr>
              <w:spacing w:before="120" w:after="120"/>
              <w:jc w:val="left"/>
              <w:rPr>
                <w:rFonts w:eastAsia="Batang"/>
                <w:b/>
                <w:bCs/>
                <w:snapToGrid w:val="0"/>
                <w:kern w:val="22"/>
                <w:lang w:val="es-ES_tradnl" w:eastAsia="ko-KR"/>
              </w:rPr>
            </w:pPr>
            <w:bookmarkStart w:id="6" w:name="_Hlk507166879"/>
            <w:bookmarkStart w:id="7" w:name="_Hlk507165642"/>
            <w:r w:rsidRPr="009A33BA">
              <w:rPr>
                <w:rFonts w:eastAsia="Batang"/>
                <w:b/>
                <w:bCs/>
                <w:snapToGrid w:val="0"/>
                <w:kern w:val="22"/>
                <w:lang w:val="es-ES_tradnl" w:eastAsia="ko-KR"/>
              </w:rPr>
              <w:t>Opción</w:t>
            </w:r>
            <w:r w:rsidR="00206943" w:rsidRPr="009A33BA">
              <w:rPr>
                <w:rFonts w:eastAsia="Batang"/>
                <w:b/>
                <w:bCs/>
                <w:snapToGrid w:val="0"/>
                <w:kern w:val="22"/>
                <w:lang w:val="es-ES_tradnl" w:eastAsia="ko-KR"/>
              </w:rPr>
              <w:t xml:space="preserve"> A- </w:t>
            </w:r>
            <w:r w:rsidRPr="009A33BA">
              <w:rPr>
                <w:rFonts w:eastAsia="Batang"/>
                <w:b/>
                <w:bCs/>
                <w:snapToGrid w:val="0"/>
                <w:kern w:val="22"/>
                <w:lang w:val="es-ES_tradnl" w:eastAsia="ko-KR"/>
              </w:rPr>
              <w:t xml:space="preserve">El programa de trabajo sobre el </w:t>
            </w:r>
            <w:r w:rsidR="0034182E" w:rsidRPr="009A33BA">
              <w:rPr>
                <w:rFonts w:eastAsia="Batang"/>
                <w:b/>
                <w:bCs/>
                <w:snapToGrid w:val="0"/>
                <w:kern w:val="22"/>
                <w:lang w:val="es-ES_tradnl" w:eastAsia="ko-KR"/>
              </w:rPr>
              <w:t>artículo 8 j) y disposiciones conexas</w:t>
            </w:r>
            <w:r w:rsidR="0063429B" w:rsidRPr="009A33BA">
              <w:rPr>
                <w:rFonts w:eastAsia="Batang"/>
                <w:b/>
                <w:bCs/>
                <w:snapToGrid w:val="0"/>
                <w:kern w:val="22"/>
                <w:lang w:val="es-ES_tradnl" w:eastAsia="ko-KR"/>
              </w:rPr>
              <w:t xml:space="preserve"> </w:t>
            </w:r>
            <w:r w:rsidRPr="009A33BA">
              <w:rPr>
                <w:rFonts w:eastAsia="Batang"/>
                <w:b/>
                <w:bCs/>
                <w:snapToGrid w:val="0"/>
                <w:kern w:val="22"/>
                <w:lang w:val="es-ES_tradnl" w:eastAsia="ko-KR"/>
              </w:rPr>
              <w:t>se integra totalmente en los Órganos Subsidiarios</w:t>
            </w:r>
          </w:p>
        </w:tc>
        <w:tc>
          <w:tcPr>
            <w:tcW w:w="3240" w:type="dxa"/>
            <w:shd w:val="clear" w:color="auto" w:fill="F2F2F2"/>
          </w:tcPr>
          <w:p w14:paraId="56927D68" w14:textId="453C7431" w:rsidR="00206943" w:rsidRPr="009A33BA" w:rsidRDefault="00C67351" w:rsidP="00FB38DC">
            <w:pPr>
              <w:keepNext/>
              <w:spacing w:before="120" w:after="120"/>
              <w:jc w:val="left"/>
              <w:rPr>
                <w:b/>
                <w:kern w:val="22"/>
                <w:lang w:val="es-ES_tradnl"/>
              </w:rPr>
            </w:pPr>
            <w:r w:rsidRPr="009A33BA">
              <w:rPr>
                <w:rFonts w:eastAsia="Batang"/>
                <w:b/>
                <w:bCs/>
                <w:snapToGrid w:val="0"/>
                <w:kern w:val="22"/>
                <w:lang w:val="es-ES_tradnl" w:eastAsia="ko-KR"/>
              </w:rPr>
              <w:t>Opción</w:t>
            </w:r>
            <w:r w:rsidR="00206943" w:rsidRPr="009A33BA">
              <w:rPr>
                <w:rFonts w:eastAsia="Batang"/>
                <w:b/>
                <w:bCs/>
                <w:snapToGrid w:val="0"/>
                <w:kern w:val="22"/>
                <w:lang w:val="es-ES_tradnl" w:eastAsia="ko-KR"/>
              </w:rPr>
              <w:t xml:space="preserve"> B -</w:t>
            </w:r>
            <w:r w:rsidR="00DB1223" w:rsidRPr="009A33BA">
              <w:rPr>
                <w:rFonts w:eastAsia="Batang"/>
                <w:b/>
                <w:bCs/>
                <w:snapToGrid w:val="0"/>
                <w:kern w:val="22"/>
                <w:lang w:val="es-ES_tradnl" w:eastAsia="ko-KR"/>
              </w:rPr>
              <w:t xml:space="preserve">El Grupo de Trabajo se convierte en un órgano subsidiario </w:t>
            </w:r>
            <w:r w:rsidR="003D30B5">
              <w:rPr>
                <w:rFonts w:eastAsia="Batang"/>
                <w:b/>
                <w:bCs/>
                <w:snapToGrid w:val="0"/>
                <w:kern w:val="22"/>
                <w:lang w:val="es-ES_tradnl" w:eastAsia="ko-KR"/>
              </w:rPr>
              <w:t>consultivo</w:t>
            </w:r>
            <w:r w:rsidR="00DB1223" w:rsidRPr="009A33BA">
              <w:rPr>
                <w:rFonts w:eastAsia="Batang"/>
                <w:b/>
                <w:bCs/>
                <w:snapToGrid w:val="0"/>
                <w:kern w:val="22"/>
                <w:lang w:val="es-ES_tradnl" w:eastAsia="ko-KR"/>
              </w:rPr>
              <w:t xml:space="preserve"> </w:t>
            </w:r>
            <w:r w:rsidR="003D30B5" w:rsidRPr="009A33BA">
              <w:rPr>
                <w:rFonts w:eastAsia="Batang"/>
                <w:b/>
                <w:bCs/>
                <w:snapToGrid w:val="0"/>
                <w:kern w:val="22"/>
                <w:lang w:val="es-ES_tradnl" w:eastAsia="ko-KR"/>
              </w:rPr>
              <w:t xml:space="preserve">permanente </w:t>
            </w:r>
            <w:r w:rsidR="00DB1223" w:rsidRPr="009A33BA">
              <w:rPr>
                <w:rFonts w:eastAsia="Batang"/>
                <w:b/>
                <w:bCs/>
                <w:snapToGrid w:val="0"/>
                <w:kern w:val="22"/>
                <w:lang w:val="es-ES_tradnl" w:eastAsia="ko-KR"/>
              </w:rPr>
              <w:t>especializado o de expertos a la COP y sus Protocolos</w:t>
            </w:r>
          </w:p>
        </w:tc>
        <w:tc>
          <w:tcPr>
            <w:tcW w:w="3150" w:type="dxa"/>
            <w:shd w:val="clear" w:color="auto" w:fill="F2F2F2"/>
          </w:tcPr>
          <w:p w14:paraId="4CE1E0A3" w14:textId="446775F1" w:rsidR="00206943" w:rsidRPr="009A33BA" w:rsidRDefault="00C67351" w:rsidP="00FB38DC">
            <w:pPr>
              <w:keepNext/>
              <w:spacing w:before="120" w:after="120"/>
              <w:jc w:val="left"/>
              <w:rPr>
                <w:rFonts w:eastAsia="Batang"/>
                <w:b/>
                <w:bCs/>
                <w:snapToGrid w:val="0"/>
                <w:kern w:val="22"/>
                <w:lang w:val="es-ES_tradnl" w:eastAsia="ko-KR"/>
              </w:rPr>
            </w:pPr>
            <w:r w:rsidRPr="009A33BA">
              <w:rPr>
                <w:rFonts w:eastAsia="Batang"/>
                <w:b/>
                <w:bCs/>
                <w:snapToGrid w:val="0"/>
                <w:kern w:val="22"/>
                <w:lang w:val="es-ES_tradnl" w:eastAsia="ko-KR"/>
              </w:rPr>
              <w:t>Opción</w:t>
            </w:r>
            <w:r w:rsidR="00206943" w:rsidRPr="009A33BA">
              <w:rPr>
                <w:rFonts w:eastAsia="Batang"/>
                <w:b/>
                <w:bCs/>
                <w:snapToGrid w:val="0"/>
                <w:kern w:val="22"/>
                <w:lang w:val="es-ES_tradnl" w:eastAsia="ko-KR"/>
              </w:rPr>
              <w:t xml:space="preserve"> C – </w:t>
            </w:r>
            <w:r w:rsidR="00DB1223" w:rsidRPr="009A33BA">
              <w:rPr>
                <w:rFonts w:eastAsia="Batang"/>
                <w:b/>
                <w:bCs/>
                <w:snapToGrid w:val="0"/>
                <w:kern w:val="22"/>
                <w:lang w:val="es-ES_tradnl" w:eastAsia="ko-KR"/>
              </w:rPr>
              <w:t xml:space="preserve">El Grupo de Trabajo sigue con un mandato revisado para el </w:t>
            </w:r>
            <w:r w:rsidR="00C075F7" w:rsidRPr="009A33BA">
              <w:rPr>
                <w:rFonts w:eastAsia="Batang"/>
                <w:b/>
                <w:bCs/>
                <w:snapToGrid w:val="0"/>
                <w:kern w:val="22"/>
                <w:lang w:val="es-ES_tradnl" w:eastAsia="ko-KR"/>
              </w:rPr>
              <w:t>marco de</w:t>
            </w:r>
            <w:r w:rsidR="00DB1223" w:rsidRPr="009A33BA">
              <w:rPr>
                <w:rFonts w:eastAsia="Batang"/>
                <w:b/>
                <w:bCs/>
                <w:snapToGrid w:val="0"/>
                <w:kern w:val="22"/>
                <w:lang w:val="es-ES_tradnl" w:eastAsia="ko-KR"/>
              </w:rPr>
              <w:t xml:space="preserve"> la diversidad biológica posterior a 2020</w:t>
            </w:r>
          </w:p>
        </w:tc>
      </w:tr>
      <w:tr w:rsidR="003372D4" w:rsidRPr="00F80FBA" w14:paraId="6F691D01" w14:textId="77777777" w:rsidTr="00E97CF5">
        <w:trPr>
          <w:trHeight w:val="4490"/>
        </w:trPr>
        <w:tc>
          <w:tcPr>
            <w:tcW w:w="3600" w:type="dxa"/>
            <w:shd w:val="clear" w:color="auto" w:fill="F2F2F2"/>
          </w:tcPr>
          <w:p w14:paraId="41244704" w14:textId="6935BA47" w:rsidR="00314B9F" w:rsidRPr="009A33BA" w:rsidRDefault="00DB1223" w:rsidP="00FB38DC">
            <w:pPr>
              <w:spacing w:before="120" w:after="120"/>
              <w:jc w:val="left"/>
              <w:rPr>
                <w:i/>
                <w:snapToGrid w:val="0"/>
                <w:kern w:val="22"/>
                <w:lang w:val="es-ES_tradnl"/>
              </w:rPr>
            </w:pPr>
            <w:bookmarkStart w:id="8" w:name="_Hlk516479715"/>
            <w:bookmarkEnd w:id="6"/>
            <w:bookmarkEnd w:id="7"/>
            <w:r w:rsidRPr="009A33BA">
              <w:rPr>
                <w:i/>
                <w:snapToGrid w:val="0"/>
                <w:kern w:val="22"/>
                <w:lang w:val="es-ES_tradnl"/>
              </w:rPr>
              <w:t xml:space="preserve">Método </w:t>
            </w:r>
          </w:p>
          <w:p w14:paraId="58286BF7" w14:textId="246060D9" w:rsidR="00DB1223" w:rsidRPr="009A33BA" w:rsidRDefault="00DB1223" w:rsidP="00681D45">
            <w:pPr>
              <w:pStyle w:val="Para1"/>
              <w:numPr>
                <w:ilvl w:val="0"/>
                <w:numId w:val="0"/>
              </w:numPr>
              <w:rPr>
                <w:kern w:val="22"/>
                <w:lang w:val="es-ES_tradnl"/>
              </w:rPr>
            </w:pPr>
            <w:r w:rsidRPr="009A33BA">
              <w:rPr>
                <w:lang w:val="es-ES_tradnl"/>
              </w:rPr>
              <w:t>Integrar e incorporar los trabajos futuros sobre cuestiones pertinentes a los pueblos indígenas y las comunidades locales en el marco de los trabajos del Órgano Subsidiario de Asesoramiento Científico, Técnico y Tecnológico y del Órgano Subsidiario sobre la Aplicación del Convenio</w:t>
            </w:r>
            <w:r w:rsidR="00950B75">
              <w:rPr>
                <w:lang w:val="es-ES_tradnl"/>
              </w:rPr>
              <w:t>,</w:t>
            </w:r>
            <w:r w:rsidRPr="009A33BA">
              <w:rPr>
                <w:lang w:val="es-ES_tradnl"/>
              </w:rPr>
              <w:t xml:space="preserve"> de forma que los temas del programa provisional en materias pertinentes a los pueblos indígenas y</w:t>
            </w:r>
            <w:r w:rsidRPr="009A33BA">
              <w:rPr>
                <w:spacing w:val="13"/>
                <w:lang w:val="es-ES_tradnl"/>
              </w:rPr>
              <w:t xml:space="preserve"> </w:t>
            </w:r>
            <w:r w:rsidRPr="009A33BA">
              <w:rPr>
                <w:lang w:val="es-ES_tradnl"/>
              </w:rPr>
              <w:t>a</w:t>
            </w:r>
            <w:r w:rsidRPr="009A33BA">
              <w:rPr>
                <w:spacing w:val="12"/>
                <w:lang w:val="es-ES_tradnl"/>
              </w:rPr>
              <w:t xml:space="preserve"> </w:t>
            </w:r>
            <w:r w:rsidRPr="009A33BA">
              <w:rPr>
                <w:lang w:val="es-ES_tradnl"/>
              </w:rPr>
              <w:t>las</w:t>
            </w:r>
            <w:r w:rsidRPr="009A33BA">
              <w:rPr>
                <w:spacing w:val="11"/>
                <w:lang w:val="es-ES_tradnl"/>
              </w:rPr>
              <w:t xml:space="preserve"> </w:t>
            </w:r>
            <w:r w:rsidRPr="009A33BA">
              <w:rPr>
                <w:lang w:val="es-ES_tradnl"/>
              </w:rPr>
              <w:t>comunidades</w:t>
            </w:r>
            <w:r w:rsidRPr="009A33BA">
              <w:rPr>
                <w:spacing w:val="11"/>
                <w:lang w:val="es-ES_tradnl"/>
              </w:rPr>
              <w:t xml:space="preserve"> </w:t>
            </w:r>
            <w:r w:rsidRPr="009A33BA">
              <w:rPr>
                <w:lang w:val="es-ES_tradnl"/>
              </w:rPr>
              <w:t>locales</w:t>
            </w:r>
            <w:r w:rsidRPr="009A33BA">
              <w:rPr>
                <w:spacing w:val="12"/>
                <w:lang w:val="es-ES_tradnl"/>
              </w:rPr>
              <w:t xml:space="preserve"> </w:t>
            </w:r>
            <w:r w:rsidRPr="009A33BA">
              <w:rPr>
                <w:lang w:val="es-ES_tradnl"/>
              </w:rPr>
              <w:t>se</w:t>
            </w:r>
            <w:r w:rsidRPr="009A33BA">
              <w:rPr>
                <w:spacing w:val="12"/>
                <w:lang w:val="es-ES_tradnl"/>
              </w:rPr>
              <w:t xml:space="preserve"> </w:t>
            </w:r>
            <w:r w:rsidRPr="009A33BA">
              <w:rPr>
                <w:lang w:val="es-ES_tradnl"/>
              </w:rPr>
              <w:t>traten</w:t>
            </w:r>
            <w:r w:rsidRPr="009A33BA">
              <w:rPr>
                <w:spacing w:val="13"/>
                <w:lang w:val="es-ES_tradnl"/>
              </w:rPr>
              <w:t xml:space="preserve"> </w:t>
            </w:r>
            <w:r w:rsidRPr="009A33BA">
              <w:rPr>
                <w:lang w:val="es-ES_tradnl"/>
              </w:rPr>
              <w:t>en</w:t>
            </w:r>
            <w:r w:rsidRPr="009A33BA">
              <w:rPr>
                <w:spacing w:val="13"/>
                <w:lang w:val="es-ES_tradnl"/>
              </w:rPr>
              <w:t xml:space="preserve"> </w:t>
            </w:r>
            <w:r w:rsidRPr="009A33BA">
              <w:rPr>
                <w:lang w:val="es-ES_tradnl"/>
              </w:rPr>
              <w:t>el</w:t>
            </w:r>
            <w:r w:rsidRPr="009A33BA">
              <w:rPr>
                <w:spacing w:val="13"/>
                <w:lang w:val="es-ES_tradnl"/>
              </w:rPr>
              <w:t xml:space="preserve"> </w:t>
            </w:r>
            <w:r w:rsidRPr="009A33BA">
              <w:rPr>
                <w:lang w:val="es-ES_tradnl"/>
              </w:rPr>
              <w:t>marco</w:t>
            </w:r>
            <w:r w:rsidRPr="009A33BA">
              <w:rPr>
                <w:spacing w:val="12"/>
                <w:lang w:val="es-ES_tradnl"/>
              </w:rPr>
              <w:t xml:space="preserve"> </w:t>
            </w:r>
            <w:r w:rsidRPr="009A33BA">
              <w:rPr>
                <w:lang w:val="es-ES_tradnl"/>
              </w:rPr>
              <w:t>de</w:t>
            </w:r>
            <w:r w:rsidRPr="009A33BA">
              <w:rPr>
                <w:spacing w:val="16"/>
                <w:lang w:val="es-ES_tradnl"/>
              </w:rPr>
              <w:t xml:space="preserve"> </w:t>
            </w:r>
            <w:r w:rsidRPr="009A33BA">
              <w:rPr>
                <w:lang w:val="es-ES_tradnl"/>
              </w:rPr>
              <w:t>la</w:t>
            </w:r>
            <w:r w:rsidRPr="009A33BA">
              <w:rPr>
                <w:spacing w:val="12"/>
                <w:lang w:val="es-ES_tradnl"/>
              </w:rPr>
              <w:t xml:space="preserve"> </w:t>
            </w:r>
            <w:r w:rsidRPr="009A33BA">
              <w:rPr>
                <w:lang w:val="es-ES_tradnl"/>
              </w:rPr>
              <w:t>entidad</w:t>
            </w:r>
            <w:r w:rsidRPr="009A33BA">
              <w:rPr>
                <w:spacing w:val="12"/>
                <w:lang w:val="es-ES_tradnl"/>
              </w:rPr>
              <w:t xml:space="preserve"> </w:t>
            </w:r>
            <w:r w:rsidRPr="009A33BA">
              <w:rPr>
                <w:lang w:val="es-ES_tradnl"/>
              </w:rPr>
              <w:t>subsidiaria</w:t>
            </w:r>
            <w:r w:rsidRPr="009A33BA">
              <w:rPr>
                <w:spacing w:val="11"/>
                <w:lang w:val="es-ES_tradnl"/>
              </w:rPr>
              <w:t xml:space="preserve"> </w:t>
            </w:r>
            <w:r w:rsidRPr="009A33BA">
              <w:rPr>
                <w:lang w:val="es-ES_tradnl"/>
              </w:rPr>
              <w:t>apropiada</w:t>
            </w:r>
            <w:r w:rsidRPr="009A33BA">
              <w:rPr>
                <w:spacing w:val="12"/>
                <w:lang w:val="es-ES_tradnl"/>
              </w:rPr>
              <w:t xml:space="preserve"> </w:t>
            </w:r>
            <w:r w:rsidRPr="009A33BA">
              <w:rPr>
                <w:lang w:val="es-ES_tradnl"/>
              </w:rPr>
              <w:t>antes</w:t>
            </w:r>
            <w:r w:rsidRPr="009A33BA">
              <w:rPr>
                <w:spacing w:val="13"/>
                <w:lang w:val="es-ES_tradnl"/>
              </w:rPr>
              <w:t xml:space="preserve"> </w:t>
            </w:r>
            <w:r w:rsidRPr="009A33BA">
              <w:rPr>
                <w:lang w:val="es-ES_tradnl"/>
              </w:rPr>
              <w:t>de</w:t>
            </w:r>
            <w:r w:rsidRPr="009A33BA">
              <w:rPr>
                <w:spacing w:val="12"/>
                <w:lang w:val="es-ES_tradnl"/>
              </w:rPr>
              <w:t xml:space="preserve"> </w:t>
            </w:r>
            <w:r w:rsidRPr="009A33BA">
              <w:rPr>
                <w:lang w:val="es-ES_tradnl"/>
              </w:rPr>
              <w:t>que</w:t>
            </w:r>
            <w:r w:rsidRPr="009A33BA">
              <w:rPr>
                <w:spacing w:val="12"/>
                <w:lang w:val="es-ES_tradnl"/>
              </w:rPr>
              <w:t xml:space="preserve"> </w:t>
            </w:r>
            <w:r w:rsidRPr="009A33BA">
              <w:rPr>
                <w:lang w:val="es-ES_tradnl"/>
              </w:rPr>
              <w:t>pase</w:t>
            </w:r>
            <w:r w:rsidRPr="009A33BA">
              <w:rPr>
                <w:spacing w:val="12"/>
                <w:lang w:val="es-ES_tradnl"/>
              </w:rPr>
              <w:t xml:space="preserve"> </w:t>
            </w:r>
            <w:r w:rsidRPr="009A33BA">
              <w:rPr>
                <w:lang w:val="es-ES_tradnl"/>
              </w:rPr>
              <w:t xml:space="preserve">a ser tenida en cuenta por parte de la Conferencia de las Partes o de la Conferencia de las Partes que actúan </w:t>
            </w:r>
            <w:r w:rsidRPr="009A33BA">
              <w:rPr>
                <w:lang w:val="es-ES_tradnl"/>
              </w:rPr>
              <w:lastRenderedPageBreak/>
              <w:t>como reuniones de las Partes en los Protocolos</w:t>
            </w:r>
            <w:r w:rsidR="00950B75">
              <w:rPr>
                <w:lang w:val="es-ES_tradnl"/>
              </w:rPr>
              <w:t>.</w:t>
            </w:r>
          </w:p>
          <w:p w14:paraId="537825FD" w14:textId="0D4FED8A" w:rsidR="00314B9F" w:rsidRPr="009A33BA" w:rsidRDefault="00DE24E3" w:rsidP="00FB38DC">
            <w:pPr>
              <w:spacing w:before="120" w:after="120"/>
              <w:jc w:val="left"/>
              <w:rPr>
                <w:snapToGrid w:val="0"/>
                <w:kern w:val="22"/>
                <w:lang w:val="es-ES_tradnl"/>
              </w:rPr>
            </w:pPr>
            <w:r w:rsidRPr="009A33BA">
              <w:rPr>
                <w:snapToGrid w:val="0"/>
                <w:kern w:val="22"/>
                <w:lang w:val="es-ES_tradnl"/>
              </w:rPr>
              <w:t xml:space="preserve">Volver a revisar el mandato de los órganos subsidiarios para incluir </w:t>
            </w:r>
            <w:r w:rsidR="0043550C" w:rsidRPr="009A33BA">
              <w:rPr>
                <w:snapToGrid w:val="0"/>
                <w:kern w:val="22"/>
                <w:lang w:val="es-ES_tradnl"/>
              </w:rPr>
              <w:t xml:space="preserve">el examen </w:t>
            </w:r>
            <w:r w:rsidRPr="009A33BA">
              <w:rPr>
                <w:snapToGrid w:val="0"/>
                <w:kern w:val="22"/>
                <w:lang w:val="es-ES_tradnl"/>
              </w:rPr>
              <w:t xml:space="preserve">de elementos y </w:t>
            </w:r>
            <w:r w:rsidR="00950B75">
              <w:rPr>
                <w:snapToGrid w:val="0"/>
                <w:kern w:val="22"/>
                <w:lang w:val="es-ES_tradnl"/>
              </w:rPr>
              <w:t xml:space="preserve">las </w:t>
            </w:r>
            <w:r w:rsidRPr="009A33BA">
              <w:rPr>
                <w:snapToGrid w:val="0"/>
                <w:kern w:val="22"/>
                <w:lang w:val="es-ES_tradnl"/>
              </w:rPr>
              <w:t xml:space="preserve">tareas de un programa de trabajo plenamente integrado importante para los PICL en el </w:t>
            </w:r>
            <w:r w:rsidR="00C075F7" w:rsidRPr="009A33BA">
              <w:rPr>
                <w:snapToGrid w:val="0"/>
                <w:kern w:val="22"/>
                <w:lang w:val="es-ES_tradnl"/>
              </w:rPr>
              <w:t>marco de</w:t>
            </w:r>
            <w:r w:rsidR="009522CB" w:rsidRPr="009A33BA">
              <w:rPr>
                <w:snapToGrid w:val="0"/>
                <w:kern w:val="22"/>
                <w:lang w:val="es-ES_tradnl"/>
              </w:rPr>
              <w:t xml:space="preserve"> la diversidad biológica posterior a 2020</w:t>
            </w:r>
            <w:r w:rsidR="00206943" w:rsidRPr="009A33BA">
              <w:rPr>
                <w:snapToGrid w:val="0"/>
                <w:kern w:val="22"/>
                <w:lang w:val="es-ES_tradnl"/>
              </w:rPr>
              <w:t>.</w:t>
            </w:r>
          </w:p>
          <w:p w14:paraId="3602B88F" w14:textId="69797529" w:rsidR="00681D45" w:rsidRPr="009A33BA" w:rsidRDefault="00681D45" w:rsidP="00681D45">
            <w:pPr>
              <w:spacing w:before="120" w:after="120"/>
              <w:jc w:val="left"/>
              <w:rPr>
                <w:snapToGrid w:val="0"/>
                <w:kern w:val="22"/>
                <w:lang w:val="es-ES_tradnl"/>
              </w:rPr>
            </w:pPr>
            <w:r w:rsidRPr="009A33BA">
              <w:rPr>
                <w:snapToGrid w:val="0"/>
                <w:kern w:val="22"/>
                <w:lang w:val="es-ES_tradnl"/>
              </w:rPr>
              <w:t>Al abordar cuestiones que atañen directamente a los pueblos indígenas y las comunidades locales</w:t>
            </w:r>
            <w:r w:rsidR="005C30C4" w:rsidRPr="009A33BA">
              <w:rPr>
                <w:rStyle w:val="FootnoteReference"/>
                <w:snapToGrid w:val="0"/>
                <w:spacing w:val="-2"/>
                <w:kern w:val="22"/>
                <w:lang w:val="es-ES_tradnl"/>
              </w:rPr>
              <w:footnoteReference w:id="9"/>
            </w:r>
            <w:r w:rsidRPr="009A33BA">
              <w:rPr>
                <w:snapToGrid w:val="0"/>
                <w:kern w:val="22"/>
                <w:lang w:val="es-ES_tradnl"/>
              </w:rPr>
              <w:t xml:space="preserve"> en el marco de las entidades subsidiarias, se aplicarán los mecanismos de participación mejorados que utiliza el Grupo de Trabajo especial de composición abierta sobre el artículo 8 j) y disposiciones conexas con miras a la participación de los representantes de los pueblos indígenas y las comunidades locales, según proceda, a fin de asegurar su eficaz participación e integrarlos plenamente en la</w:t>
            </w:r>
            <w:r w:rsidR="00950B75">
              <w:rPr>
                <w:snapToGrid w:val="0"/>
                <w:kern w:val="22"/>
                <w:lang w:val="es-ES_tradnl"/>
              </w:rPr>
              <w:t xml:space="preserve"> labor </w:t>
            </w:r>
            <w:r w:rsidRPr="009A33BA">
              <w:rPr>
                <w:snapToGrid w:val="0"/>
                <w:kern w:val="22"/>
                <w:lang w:val="es-ES_tradnl"/>
              </w:rPr>
              <w:t>del Convenio.</w:t>
            </w:r>
          </w:p>
          <w:p w14:paraId="5E29B04C" w14:textId="40F8ADB7" w:rsidR="00563452" w:rsidRPr="009A33BA" w:rsidRDefault="001C1342" w:rsidP="00FB38DC">
            <w:pPr>
              <w:spacing w:before="120" w:after="120"/>
              <w:jc w:val="left"/>
              <w:rPr>
                <w:snapToGrid w:val="0"/>
                <w:kern w:val="22"/>
                <w:lang w:val="es-ES_tradnl"/>
              </w:rPr>
            </w:pPr>
            <w:r w:rsidRPr="009A33BA">
              <w:rPr>
                <w:snapToGrid w:val="0"/>
                <w:kern w:val="22"/>
                <w:lang w:val="es-ES_tradnl"/>
              </w:rPr>
              <w:t xml:space="preserve">Será necesario que la </w:t>
            </w:r>
            <w:r w:rsidR="00053F89" w:rsidRPr="009A33BA">
              <w:rPr>
                <w:snapToGrid w:val="0"/>
                <w:kern w:val="22"/>
                <w:lang w:val="es-ES_tradnl"/>
              </w:rPr>
              <w:t>Conferencia de las Partes</w:t>
            </w:r>
            <w:r w:rsidR="00563452" w:rsidRPr="009A33BA">
              <w:rPr>
                <w:snapToGrid w:val="0"/>
                <w:kern w:val="22"/>
                <w:lang w:val="es-ES_tradnl"/>
              </w:rPr>
              <w:t xml:space="preserve"> </w:t>
            </w:r>
            <w:r w:rsidR="009C4F56" w:rsidRPr="009A33BA">
              <w:rPr>
                <w:snapToGrid w:val="0"/>
                <w:kern w:val="22"/>
                <w:lang w:val="es-ES_tradnl"/>
              </w:rPr>
              <w:t xml:space="preserve">que actúa como reunión de las Partes en los Protocolos </w:t>
            </w:r>
            <w:r w:rsidR="00950B75">
              <w:rPr>
                <w:snapToGrid w:val="0"/>
                <w:kern w:val="22"/>
                <w:lang w:val="es-ES_tradnl"/>
              </w:rPr>
              <w:t xml:space="preserve">examine </w:t>
            </w:r>
            <w:r w:rsidR="009C4F56" w:rsidRPr="009A33BA">
              <w:rPr>
                <w:snapToGrid w:val="0"/>
                <w:kern w:val="22"/>
                <w:lang w:val="es-ES_tradnl"/>
              </w:rPr>
              <w:t>la integración de los PICL de forma independiente para la COP del CDB</w:t>
            </w:r>
            <w:r w:rsidR="00563452" w:rsidRPr="009A33BA">
              <w:rPr>
                <w:snapToGrid w:val="0"/>
                <w:kern w:val="22"/>
                <w:lang w:val="es-ES_tradnl"/>
              </w:rPr>
              <w:t xml:space="preserve">, </w:t>
            </w:r>
            <w:r w:rsidR="009C4F56" w:rsidRPr="009A33BA">
              <w:rPr>
                <w:snapToGrid w:val="0"/>
                <w:kern w:val="22"/>
                <w:lang w:val="es-ES_tradnl"/>
              </w:rPr>
              <w:t>y en el marco de sus distintas estructuras de gobernanza</w:t>
            </w:r>
            <w:r w:rsidR="00563452" w:rsidRPr="009A33BA">
              <w:rPr>
                <w:snapToGrid w:val="0"/>
                <w:kern w:val="22"/>
                <w:lang w:val="es-ES_tradnl"/>
              </w:rPr>
              <w:t>.</w:t>
            </w:r>
          </w:p>
        </w:tc>
        <w:tc>
          <w:tcPr>
            <w:tcW w:w="3240" w:type="dxa"/>
            <w:shd w:val="clear" w:color="auto" w:fill="F2F2F2"/>
          </w:tcPr>
          <w:p w14:paraId="005D4A3A" w14:textId="1B8A910D" w:rsidR="00314B9F" w:rsidRPr="009A33BA" w:rsidRDefault="00DB1223" w:rsidP="00FB38DC">
            <w:pPr>
              <w:spacing w:before="120" w:after="120"/>
              <w:jc w:val="left"/>
              <w:rPr>
                <w:i/>
                <w:snapToGrid w:val="0"/>
                <w:kern w:val="22"/>
                <w:lang w:val="es-ES_tradnl"/>
              </w:rPr>
            </w:pPr>
            <w:r w:rsidRPr="009A33BA">
              <w:rPr>
                <w:i/>
                <w:snapToGrid w:val="0"/>
                <w:kern w:val="22"/>
                <w:lang w:val="es-ES_tradnl"/>
              </w:rPr>
              <w:lastRenderedPageBreak/>
              <w:t xml:space="preserve">Método </w:t>
            </w:r>
          </w:p>
          <w:p w14:paraId="5ED18F78" w14:textId="4EEEDF90" w:rsidR="00950B75" w:rsidRPr="00950B75" w:rsidRDefault="00950B75" w:rsidP="00950B75">
            <w:pPr>
              <w:suppressLineNumbers/>
              <w:suppressAutoHyphens/>
              <w:kinsoku w:val="0"/>
              <w:overflowPunct w:val="0"/>
              <w:autoSpaceDE w:val="0"/>
              <w:autoSpaceDN w:val="0"/>
              <w:adjustRightInd w:val="0"/>
              <w:snapToGrid w:val="0"/>
              <w:jc w:val="left"/>
              <w:rPr>
                <w:snapToGrid w:val="0"/>
                <w:spacing w:val="-2"/>
                <w:kern w:val="22"/>
                <w:lang w:val="es-ES"/>
              </w:rPr>
            </w:pPr>
            <w:r w:rsidRPr="009A33BA">
              <w:rPr>
                <w:snapToGrid w:val="0"/>
                <w:kern w:val="22"/>
                <w:lang w:val="es-ES_tradnl"/>
              </w:rPr>
              <w:t>Establecer un órgano subsidiario asesor permanente o de expertos “</w:t>
            </w:r>
            <w:bookmarkStart w:id="9" w:name="_Hlk516479153"/>
            <w:r w:rsidRPr="009A33BA">
              <w:rPr>
                <w:i/>
                <w:snapToGrid w:val="0"/>
                <w:kern w:val="22"/>
                <w:lang w:val="es-ES_tradnl"/>
              </w:rPr>
              <w:t>Foro alternativo de</w:t>
            </w:r>
            <w:bookmarkEnd w:id="9"/>
            <w:r>
              <w:rPr>
                <w:i/>
                <w:snapToGrid w:val="0"/>
                <w:kern w:val="22"/>
                <w:lang w:val="es-ES_tradnl"/>
              </w:rPr>
              <w:t xml:space="preserve"> </w:t>
            </w:r>
            <w:r w:rsidRPr="009A33BA">
              <w:rPr>
                <w:i/>
                <w:snapToGrid w:val="0"/>
                <w:kern w:val="22"/>
                <w:lang w:val="es-ES_tradnl"/>
              </w:rPr>
              <w:lastRenderedPageBreak/>
              <w:t>conocimientos</w:t>
            </w:r>
            <w:r w:rsidRPr="009A33BA">
              <w:rPr>
                <w:snapToGrid w:val="0"/>
                <w:kern w:val="22"/>
                <w:lang w:val="es-ES_tradnl"/>
              </w:rPr>
              <w:t>”</w:t>
            </w:r>
            <w:r w:rsidRPr="009A33BA">
              <w:rPr>
                <w:rStyle w:val="FootnoteReference"/>
                <w:snapToGrid w:val="0"/>
                <w:spacing w:val="-2"/>
                <w:kern w:val="22"/>
                <w:lang w:val="es-ES_tradnl"/>
              </w:rPr>
              <w:t xml:space="preserve"> </w:t>
            </w:r>
            <w:r w:rsidRPr="009A33BA">
              <w:rPr>
                <w:rStyle w:val="FootnoteReference"/>
                <w:snapToGrid w:val="0"/>
                <w:spacing w:val="-2"/>
                <w:kern w:val="22"/>
                <w:lang w:val="es-ES_tradnl"/>
              </w:rPr>
              <w:footnoteReference w:id="10"/>
            </w:r>
            <w:r w:rsidRPr="009A33BA">
              <w:rPr>
                <w:snapToGrid w:val="0"/>
                <w:kern w:val="22"/>
                <w:lang w:val="es-ES_tradnl"/>
              </w:rPr>
              <w:t xml:space="preserve"> sobre el artículo 8 j) y disposiciones conexas, </w:t>
            </w:r>
            <w:r w:rsidRPr="009A33BA">
              <w:rPr>
                <w:lang w:val="es-ES_tradnl"/>
              </w:rPr>
              <w:t>con el mandato de asesorar a la Conferencia de las Partes</w:t>
            </w:r>
            <w:r w:rsidRPr="009A33BA">
              <w:rPr>
                <w:snapToGrid w:val="0"/>
                <w:kern w:val="22"/>
                <w:lang w:val="es-ES_tradnl"/>
              </w:rPr>
              <w:t xml:space="preserve">, otras entidades subsidiarias y, sujeto a su aprobación, a la Conferencia de las Partes que actúa como reunión de las Partes en sus respectivos Protocolos, </w:t>
            </w:r>
            <w:r w:rsidRPr="009A33BA">
              <w:rPr>
                <w:lang w:val="es-ES_tradnl"/>
              </w:rPr>
              <w:t>sobre cuestiones que son pertinentes a los pueblos indígenas y las comunidades locales y estén en el ámbito del Convenio</w:t>
            </w:r>
            <w:r>
              <w:rPr>
                <w:lang w:val="es-ES_tradnl"/>
              </w:rPr>
              <w:t>.</w:t>
            </w:r>
          </w:p>
          <w:p w14:paraId="0CF9EB94" w14:textId="70391FA0" w:rsidR="00206943" w:rsidRPr="00950B75" w:rsidRDefault="00206943" w:rsidP="00950B75">
            <w:pPr>
              <w:jc w:val="left"/>
              <w:rPr>
                <w:snapToGrid w:val="0"/>
                <w:kern w:val="22"/>
                <w:lang w:val="es-ES"/>
              </w:rPr>
            </w:pPr>
          </w:p>
        </w:tc>
        <w:tc>
          <w:tcPr>
            <w:tcW w:w="3150" w:type="dxa"/>
            <w:shd w:val="clear" w:color="auto" w:fill="F2F2F2"/>
          </w:tcPr>
          <w:p w14:paraId="6ACF40FD" w14:textId="636F8097" w:rsidR="00314B9F" w:rsidRPr="009A33BA" w:rsidRDefault="00DB1223" w:rsidP="00FB38DC">
            <w:pPr>
              <w:spacing w:before="120" w:after="120"/>
              <w:jc w:val="left"/>
              <w:rPr>
                <w:i/>
                <w:snapToGrid w:val="0"/>
                <w:kern w:val="22"/>
                <w:lang w:val="es-ES_tradnl"/>
              </w:rPr>
            </w:pPr>
            <w:r w:rsidRPr="009A33BA">
              <w:rPr>
                <w:i/>
                <w:snapToGrid w:val="0"/>
                <w:kern w:val="22"/>
                <w:lang w:val="es-ES_tradnl"/>
              </w:rPr>
              <w:lastRenderedPageBreak/>
              <w:t xml:space="preserve">Método </w:t>
            </w:r>
          </w:p>
          <w:p w14:paraId="2BFD1AE7" w14:textId="0840397F" w:rsidR="00637EE9" w:rsidRPr="009A33BA" w:rsidRDefault="009C4F56" w:rsidP="00FB38DC">
            <w:pPr>
              <w:jc w:val="left"/>
              <w:rPr>
                <w:kern w:val="22"/>
                <w:lang w:val="es-ES_tradnl"/>
              </w:rPr>
            </w:pPr>
            <w:r w:rsidRPr="009A33BA">
              <w:rPr>
                <w:snapToGrid w:val="0"/>
                <w:kern w:val="22"/>
                <w:lang w:val="es-ES_tradnl"/>
              </w:rPr>
              <w:t>Revis</w:t>
            </w:r>
            <w:r w:rsidR="0043550C" w:rsidRPr="009A33BA">
              <w:rPr>
                <w:snapToGrid w:val="0"/>
                <w:kern w:val="22"/>
                <w:lang w:val="es-ES_tradnl"/>
              </w:rPr>
              <w:t xml:space="preserve">ar </w:t>
            </w:r>
            <w:r w:rsidRPr="009A33BA">
              <w:rPr>
                <w:snapToGrid w:val="0"/>
                <w:kern w:val="22"/>
                <w:lang w:val="es-ES_tradnl"/>
              </w:rPr>
              <w:t xml:space="preserve">el mandato actual del Grupo de trabajo especial de composición abierta entre sesiones sobre el </w:t>
            </w:r>
            <w:r w:rsidR="009522CB" w:rsidRPr="009A33BA">
              <w:rPr>
                <w:snapToGrid w:val="0"/>
                <w:kern w:val="22"/>
                <w:lang w:val="es-ES_tradnl"/>
              </w:rPr>
              <w:t>artículo 8 j)</w:t>
            </w:r>
            <w:r w:rsidR="00206943" w:rsidRPr="009A33BA">
              <w:rPr>
                <w:snapToGrid w:val="0"/>
                <w:kern w:val="22"/>
                <w:lang w:val="es-ES_tradnl"/>
              </w:rPr>
              <w:t xml:space="preserve"> </w:t>
            </w:r>
            <w:r w:rsidRPr="009A33BA">
              <w:rPr>
                <w:snapToGrid w:val="0"/>
                <w:kern w:val="22"/>
                <w:lang w:val="es-ES_tradnl"/>
              </w:rPr>
              <w:t xml:space="preserve">y disposiciones conexas y el programa de trabajo sobre el </w:t>
            </w:r>
            <w:r w:rsidR="0034182E" w:rsidRPr="009A33BA">
              <w:rPr>
                <w:snapToGrid w:val="0"/>
                <w:kern w:val="22"/>
                <w:lang w:val="es-ES_tradnl"/>
              </w:rPr>
              <w:t>artículo 8 j) y disposiciones conexas</w:t>
            </w:r>
            <w:r w:rsidR="009C3890" w:rsidRPr="009A33BA">
              <w:rPr>
                <w:kern w:val="22"/>
                <w:lang w:val="es-ES_tradnl"/>
              </w:rPr>
              <w:t xml:space="preserve"> </w:t>
            </w:r>
            <w:r w:rsidRPr="009A33BA">
              <w:rPr>
                <w:kern w:val="22"/>
                <w:lang w:val="es-ES_tradnl"/>
              </w:rPr>
              <w:t xml:space="preserve">en el </w:t>
            </w:r>
            <w:r w:rsidR="00C075F7" w:rsidRPr="009A33BA">
              <w:rPr>
                <w:kern w:val="22"/>
                <w:lang w:val="es-ES_tradnl"/>
              </w:rPr>
              <w:t>marco de</w:t>
            </w:r>
            <w:r w:rsidRPr="009A33BA">
              <w:rPr>
                <w:kern w:val="22"/>
                <w:lang w:val="es-ES_tradnl"/>
              </w:rPr>
              <w:t xml:space="preserve"> la diversidad biológica posterior a 2020</w:t>
            </w:r>
            <w:r w:rsidR="00BD537C" w:rsidRPr="009A33BA">
              <w:rPr>
                <w:kern w:val="22"/>
                <w:lang w:val="es-ES_tradnl"/>
              </w:rPr>
              <w:t xml:space="preserve">, </w:t>
            </w:r>
            <w:r w:rsidR="00DE24E3" w:rsidRPr="009A33BA">
              <w:rPr>
                <w:lang w:val="es-ES_tradnl"/>
              </w:rPr>
              <w:t>basándose en los logros alcanzados hasta la fecha, teniendo también en cuenta la Agenda de 2010 para el Desarrollo Sostenible</w:t>
            </w:r>
            <w:r w:rsidR="009C3890" w:rsidRPr="009A33BA">
              <w:rPr>
                <w:kern w:val="22"/>
                <w:lang w:val="es-ES_tradnl"/>
              </w:rPr>
              <w:t xml:space="preserve">, </w:t>
            </w:r>
            <w:r w:rsidR="00DE24E3" w:rsidRPr="009A33BA">
              <w:rPr>
                <w:kern w:val="22"/>
                <w:lang w:val="es-ES_tradnl"/>
              </w:rPr>
              <w:t>los Objetivos de Desarrollo Sostenible y el Acuerdo de París</w:t>
            </w:r>
            <w:r w:rsidR="009C3890" w:rsidRPr="009A33BA">
              <w:rPr>
                <w:kern w:val="22"/>
                <w:lang w:val="es-ES_tradnl"/>
              </w:rPr>
              <w:t xml:space="preserve">, </w:t>
            </w:r>
            <w:r w:rsidR="00950B75">
              <w:rPr>
                <w:kern w:val="22"/>
                <w:lang w:val="es-ES_tradnl"/>
              </w:rPr>
              <w:t xml:space="preserve">así como </w:t>
            </w:r>
            <w:r w:rsidR="00DE24E3" w:rsidRPr="009A33BA">
              <w:rPr>
                <w:kern w:val="22"/>
                <w:lang w:val="es-ES_tradnl"/>
              </w:rPr>
              <w:t>las deficiencias determinadas</w:t>
            </w:r>
            <w:r w:rsidR="00CF62EA" w:rsidRPr="009A33BA">
              <w:rPr>
                <w:kern w:val="22"/>
                <w:lang w:val="es-ES_tradnl"/>
              </w:rPr>
              <w:t>.</w:t>
            </w:r>
          </w:p>
          <w:p w14:paraId="27FDE676" w14:textId="77777777" w:rsidR="00CF62EA" w:rsidRPr="009A33BA" w:rsidRDefault="00CF62EA" w:rsidP="00FB38DC">
            <w:pPr>
              <w:jc w:val="left"/>
              <w:rPr>
                <w:snapToGrid w:val="0"/>
                <w:kern w:val="22"/>
                <w:lang w:val="es-ES_tradnl"/>
              </w:rPr>
            </w:pPr>
          </w:p>
          <w:p w14:paraId="527F0ED7" w14:textId="4DA73590" w:rsidR="00206943" w:rsidRPr="009A33BA" w:rsidRDefault="0043550C" w:rsidP="00FB38DC">
            <w:pPr>
              <w:jc w:val="left"/>
              <w:rPr>
                <w:snapToGrid w:val="0"/>
                <w:kern w:val="22"/>
                <w:lang w:val="es-ES_tradnl"/>
              </w:rPr>
            </w:pPr>
            <w:r w:rsidRPr="009A33BA">
              <w:rPr>
                <w:snapToGrid w:val="0"/>
                <w:kern w:val="22"/>
                <w:lang w:val="es-ES_tradnl"/>
              </w:rPr>
              <w:lastRenderedPageBreak/>
              <w:t>La propuesta es similar a la propuesta para un Órgano Permanente</w:t>
            </w:r>
            <w:r w:rsidR="00637EE9" w:rsidRPr="009A33BA">
              <w:rPr>
                <w:snapToGrid w:val="0"/>
                <w:kern w:val="22"/>
                <w:lang w:val="es-ES_tradnl"/>
              </w:rPr>
              <w:t xml:space="preserve">, </w:t>
            </w:r>
            <w:r w:rsidRPr="009A33BA">
              <w:rPr>
                <w:snapToGrid w:val="0"/>
                <w:kern w:val="22"/>
                <w:lang w:val="es-ES_tradnl"/>
              </w:rPr>
              <w:t xml:space="preserve">ya que el mandato del </w:t>
            </w:r>
            <w:r w:rsidR="0034182E" w:rsidRPr="009A33BA">
              <w:rPr>
                <w:snapToGrid w:val="0"/>
                <w:kern w:val="22"/>
                <w:lang w:val="es-ES_tradnl"/>
              </w:rPr>
              <w:t>Grupo de Trabajo</w:t>
            </w:r>
            <w:r w:rsidR="00637EE9" w:rsidRPr="009A33BA">
              <w:rPr>
                <w:snapToGrid w:val="0"/>
                <w:kern w:val="22"/>
                <w:lang w:val="es-ES_tradnl"/>
              </w:rPr>
              <w:t xml:space="preserve"> </w:t>
            </w:r>
            <w:r w:rsidRPr="009A33BA">
              <w:rPr>
                <w:snapToGrid w:val="0"/>
                <w:kern w:val="22"/>
                <w:lang w:val="es-ES_tradnl"/>
              </w:rPr>
              <w:t>podría revisarse para asesorar, según proceda, directamente a la</w:t>
            </w:r>
            <w:r w:rsidR="00637EE9" w:rsidRPr="009A33BA">
              <w:rPr>
                <w:snapToGrid w:val="0"/>
                <w:kern w:val="22"/>
                <w:lang w:val="es-ES_tradnl"/>
              </w:rPr>
              <w:t xml:space="preserve"> </w:t>
            </w:r>
            <w:r w:rsidR="00053F89" w:rsidRPr="009A33BA">
              <w:rPr>
                <w:snapToGrid w:val="0"/>
                <w:kern w:val="22"/>
                <w:lang w:val="es-ES_tradnl"/>
              </w:rPr>
              <w:t>Conferencia de las Partes</w:t>
            </w:r>
            <w:r w:rsidR="00637EE9" w:rsidRPr="009A33BA">
              <w:rPr>
                <w:snapToGrid w:val="0"/>
                <w:kern w:val="22"/>
                <w:lang w:val="es-ES_tradnl"/>
              </w:rPr>
              <w:t xml:space="preserve">, </w:t>
            </w:r>
            <w:r w:rsidRPr="009A33BA">
              <w:rPr>
                <w:snapToGrid w:val="0"/>
                <w:kern w:val="22"/>
                <w:lang w:val="es-ES_tradnl"/>
              </w:rPr>
              <w:t>otros órganos subsidiarios y, sujeto a su aprobación</w:t>
            </w:r>
            <w:r w:rsidR="00637EE9" w:rsidRPr="009A33BA">
              <w:rPr>
                <w:snapToGrid w:val="0"/>
                <w:kern w:val="22"/>
                <w:lang w:val="es-ES_tradnl"/>
              </w:rPr>
              <w:t xml:space="preserve">, </w:t>
            </w:r>
            <w:r w:rsidRPr="009A33BA">
              <w:rPr>
                <w:snapToGrid w:val="0"/>
                <w:kern w:val="22"/>
                <w:lang w:val="es-ES_tradnl"/>
              </w:rPr>
              <w:t xml:space="preserve">la </w:t>
            </w:r>
            <w:r w:rsidR="00053F89" w:rsidRPr="009A33BA">
              <w:rPr>
                <w:snapToGrid w:val="0"/>
                <w:kern w:val="22"/>
                <w:lang w:val="es-ES_tradnl"/>
              </w:rPr>
              <w:t>Conferencia de las Partes</w:t>
            </w:r>
            <w:r w:rsidR="00637EE9" w:rsidRPr="009A33BA">
              <w:rPr>
                <w:snapToGrid w:val="0"/>
                <w:kern w:val="22"/>
                <w:lang w:val="es-ES_tradnl"/>
              </w:rPr>
              <w:t xml:space="preserve"> </w:t>
            </w:r>
            <w:r w:rsidRPr="009A33BA">
              <w:rPr>
                <w:snapToGrid w:val="0"/>
                <w:kern w:val="22"/>
                <w:lang w:val="es-ES_tradnl"/>
              </w:rPr>
              <w:t>que actúa como la reunión de las Partes en sus respectivos Protocolos</w:t>
            </w:r>
            <w:r w:rsidR="00637EE9" w:rsidRPr="009A33BA">
              <w:rPr>
                <w:snapToGrid w:val="0"/>
                <w:kern w:val="22"/>
                <w:lang w:val="es-ES_tradnl"/>
              </w:rPr>
              <w:t xml:space="preserve">, </w:t>
            </w:r>
            <w:r w:rsidRPr="009A33BA">
              <w:rPr>
                <w:lang w:val="es-ES_tradnl"/>
              </w:rPr>
              <w:t>sobre cuestiones que son pertinentes a los pueblos indígenas y las comunidades locales y estén en el ámbito del Convenio y sus Protocolos</w:t>
            </w:r>
            <w:r w:rsidR="00637EE9" w:rsidRPr="009A33BA">
              <w:rPr>
                <w:snapToGrid w:val="0"/>
                <w:kern w:val="22"/>
                <w:lang w:val="es-ES_tradnl"/>
              </w:rPr>
              <w:t>.</w:t>
            </w:r>
          </w:p>
        </w:tc>
      </w:tr>
      <w:tr w:rsidR="00206943" w:rsidRPr="00F80FBA" w14:paraId="3E302288" w14:textId="77777777" w:rsidTr="00E97CF5">
        <w:trPr>
          <w:trHeight w:val="1565"/>
        </w:trPr>
        <w:tc>
          <w:tcPr>
            <w:tcW w:w="3600" w:type="dxa"/>
            <w:shd w:val="clear" w:color="auto" w:fill="auto"/>
          </w:tcPr>
          <w:p w14:paraId="2E8A9378" w14:textId="24C188C0" w:rsidR="00206943" w:rsidRPr="009A33BA" w:rsidRDefault="0043550C" w:rsidP="00E97CF5">
            <w:pPr>
              <w:ind w:firstLine="89"/>
              <w:rPr>
                <w:kern w:val="22"/>
                <w:lang w:val="es-ES_tradnl"/>
              </w:rPr>
            </w:pPr>
            <w:r w:rsidRPr="009A33BA">
              <w:rPr>
                <w:kern w:val="22"/>
                <w:lang w:val="es-ES_tradnl"/>
              </w:rPr>
              <w:lastRenderedPageBreak/>
              <w:t>Sin costos adicionales</w:t>
            </w:r>
            <w:r w:rsidR="002B4C5E" w:rsidRPr="009A33BA">
              <w:rPr>
                <w:rStyle w:val="FootnoteReference"/>
                <w:snapToGrid w:val="0"/>
                <w:spacing w:val="-2"/>
                <w:kern w:val="22"/>
                <w:lang w:val="es-ES_tradnl"/>
              </w:rPr>
              <w:footnoteReference w:id="11"/>
            </w:r>
          </w:p>
          <w:p w14:paraId="15482FD9" w14:textId="77777777" w:rsidR="00206943" w:rsidRPr="009A33BA" w:rsidRDefault="00206943" w:rsidP="00E97CF5">
            <w:pPr>
              <w:rPr>
                <w:kern w:val="22"/>
                <w:lang w:val="es-ES_tradnl"/>
              </w:rPr>
            </w:pPr>
          </w:p>
          <w:p w14:paraId="0D6055BA" w14:textId="0949DE63" w:rsidR="00206943" w:rsidRPr="009A33BA" w:rsidRDefault="0043550C" w:rsidP="00E97CF5">
            <w:pPr>
              <w:rPr>
                <w:kern w:val="22"/>
                <w:lang w:val="es-ES_tradnl"/>
              </w:rPr>
            </w:pPr>
            <w:r w:rsidRPr="009A33BA">
              <w:rPr>
                <w:kern w:val="22"/>
                <w:lang w:val="es-ES_tradnl"/>
              </w:rPr>
              <w:t xml:space="preserve">El presupuesto se mantendría similar o igual al de las reuniones anteriores del Grupo de </w:t>
            </w:r>
            <w:r w:rsidR="00760361" w:rsidRPr="009A33BA">
              <w:rPr>
                <w:kern w:val="22"/>
                <w:lang w:val="es-ES_tradnl"/>
              </w:rPr>
              <w:t>Trabajo</w:t>
            </w:r>
            <w:r w:rsidR="00206943" w:rsidRPr="009A33BA">
              <w:rPr>
                <w:kern w:val="22"/>
                <w:lang w:val="es-ES_tradnl"/>
              </w:rPr>
              <w:t xml:space="preserve">. </w:t>
            </w:r>
          </w:p>
          <w:p w14:paraId="43C57565" w14:textId="77777777" w:rsidR="00206943" w:rsidRPr="009A33BA" w:rsidRDefault="00206943" w:rsidP="00E97CF5">
            <w:pPr>
              <w:rPr>
                <w:kern w:val="22"/>
                <w:lang w:val="es-ES_tradnl"/>
              </w:rPr>
            </w:pPr>
          </w:p>
          <w:p w14:paraId="09357FB5" w14:textId="0161D48B" w:rsidR="00206943" w:rsidRPr="009A33BA" w:rsidRDefault="002F541B" w:rsidP="00FB38DC">
            <w:pPr>
              <w:jc w:val="left"/>
              <w:rPr>
                <w:kern w:val="22"/>
                <w:lang w:val="es-ES_tradnl"/>
              </w:rPr>
            </w:pPr>
            <w:r w:rsidRPr="009A33BA">
              <w:rPr>
                <w:kern w:val="22"/>
                <w:lang w:val="es-ES_tradnl"/>
              </w:rPr>
              <w:t>*</w:t>
            </w:r>
            <w:r w:rsidR="0043550C" w:rsidRPr="009A33BA">
              <w:rPr>
                <w:kern w:val="22"/>
                <w:lang w:val="es-ES_tradnl"/>
              </w:rPr>
              <w:t>Los recursos</w:t>
            </w:r>
            <w:r w:rsidRPr="009A33BA">
              <w:rPr>
                <w:kern w:val="22"/>
                <w:lang w:val="es-ES_tradnl"/>
              </w:rPr>
              <w:t>/</w:t>
            </w:r>
            <w:r w:rsidR="0043550C" w:rsidRPr="009A33BA">
              <w:rPr>
                <w:kern w:val="22"/>
                <w:lang w:val="es-ES_tradnl"/>
              </w:rPr>
              <w:t xml:space="preserve">fondos previamente identificados para el </w:t>
            </w:r>
            <w:r w:rsidR="0034182E" w:rsidRPr="009A33BA">
              <w:rPr>
                <w:kern w:val="22"/>
                <w:lang w:val="es-ES_tradnl"/>
              </w:rPr>
              <w:t>Grupo de Trabajo</w:t>
            </w:r>
            <w:r w:rsidR="00206943" w:rsidRPr="009A33BA">
              <w:rPr>
                <w:kern w:val="22"/>
                <w:lang w:val="es-ES_tradnl"/>
              </w:rPr>
              <w:t xml:space="preserve"> </w:t>
            </w:r>
            <w:r w:rsidR="0043550C" w:rsidRPr="009A33BA">
              <w:rPr>
                <w:kern w:val="22"/>
                <w:lang w:val="es-ES_tradnl"/>
              </w:rPr>
              <w:t xml:space="preserve">deberían transferirse a las otras entidades subsidiarias para conceder más tiempo para otros temas del programa </w:t>
            </w:r>
            <w:r w:rsidR="00314B9F" w:rsidRPr="009A33BA">
              <w:rPr>
                <w:kern w:val="22"/>
                <w:lang w:val="es-ES_tradnl"/>
              </w:rPr>
              <w:t>(</w:t>
            </w:r>
            <w:r w:rsidR="0043550C" w:rsidRPr="009A33BA">
              <w:rPr>
                <w:kern w:val="22"/>
                <w:lang w:val="es-ES_tradnl"/>
              </w:rPr>
              <w:t>relacionados con un nuevo programa de trabajo integrado</w:t>
            </w:r>
            <w:r w:rsidR="00314B9F" w:rsidRPr="009A33BA">
              <w:rPr>
                <w:kern w:val="22"/>
                <w:lang w:val="es-ES_tradnl"/>
              </w:rPr>
              <w:t>)</w:t>
            </w:r>
            <w:r w:rsidR="00205BEE" w:rsidRPr="009A33BA">
              <w:rPr>
                <w:kern w:val="22"/>
                <w:lang w:val="es-ES_tradnl"/>
              </w:rPr>
              <w:t xml:space="preserve">, </w:t>
            </w:r>
            <w:r w:rsidR="00205BEE" w:rsidRPr="009A33BA">
              <w:rPr>
                <w:kern w:val="22"/>
                <w:lang w:val="es-ES_tradnl"/>
              </w:rPr>
              <w:lastRenderedPageBreak/>
              <w:t>así como otras intervenciones, dado que más PICL participan en dichas entidades</w:t>
            </w:r>
            <w:r w:rsidR="00206943" w:rsidRPr="009A33BA">
              <w:rPr>
                <w:kern w:val="22"/>
                <w:lang w:val="es-ES_tradnl"/>
              </w:rPr>
              <w:t>.</w:t>
            </w:r>
          </w:p>
          <w:p w14:paraId="6470F853" w14:textId="77777777" w:rsidR="002F541B" w:rsidRPr="009A33BA" w:rsidRDefault="002F541B" w:rsidP="00E97CF5">
            <w:pPr>
              <w:rPr>
                <w:kern w:val="22"/>
                <w:lang w:val="es-ES_tradnl"/>
              </w:rPr>
            </w:pPr>
          </w:p>
          <w:p w14:paraId="5CF3837C" w14:textId="73EC8EC1" w:rsidR="00206943" w:rsidRPr="009A33BA" w:rsidRDefault="00205BEE" w:rsidP="00E97CF5">
            <w:pPr>
              <w:rPr>
                <w:kern w:val="22"/>
                <w:lang w:val="es-ES_tradnl"/>
              </w:rPr>
            </w:pPr>
            <w:r w:rsidRPr="009A33BA">
              <w:rPr>
                <w:kern w:val="22"/>
                <w:lang w:val="es-ES_tradnl"/>
              </w:rPr>
              <w:t>Tal vez sean necesarios recursos adicionales al Fondo Voluntario para aumentar la participación de los PICL</w:t>
            </w:r>
            <w:r w:rsidR="00206943" w:rsidRPr="009A33BA">
              <w:rPr>
                <w:kern w:val="22"/>
                <w:lang w:val="es-ES_tradnl"/>
              </w:rPr>
              <w:t xml:space="preserve">. </w:t>
            </w:r>
          </w:p>
          <w:p w14:paraId="05080524" w14:textId="77777777" w:rsidR="002F541B" w:rsidRPr="009A33BA" w:rsidRDefault="002F541B" w:rsidP="00E97CF5">
            <w:pPr>
              <w:rPr>
                <w:kern w:val="22"/>
                <w:lang w:val="es-ES_tradnl"/>
              </w:rPr>
            </w:pPr>
          </w:p>
          <w:p w14:paraId="48F8156B" w14:textId="633A6A46" w:rsidR="00205BEE" w:rsidRPr="009A33BA" w:rsidRDefault="00205BEE" w:rsidP="00205BEE">
            <w:pPr>
              <w:jc w:val="left"/>
              <w:rPr>
                <w:kern w:val="22"/>
                <w:lang w:val="es-ES_tradnl"/>
              </w:rPr>
            </w:pPr>
            <w:r w:rsidRPr="009A33BA">
              <w:rPr>
                <w:kern w:val="22"/>
                <w:lang w:val="es-ES_tradnl"/>
              </w:rPr>
              <w:t xml:space="preserve">Véase el anexo II que como modelo incluye información presupuestaria conexa para </w:t>
            </w:r>
            <w:r w:rsidR="003B01EF">
              <w:rPr>
                <w:kern w:val="22"/>
                <w:lang w:val="es-ES_tradnl"/>
              </w:rPr>
              <w:t>la 10ª y 11ª reunión del Grupo de Trabajo sobre el artículo 8 j)</w:t>
            </w:r>
            <w:r w:rsidRPr="009A33BA">
              <w:rPr>
                <w:kern w:val="22"/>
                <w:lang w:val="es-ES_tradnl"/>
              </w:rPr>
              <w:t>, derivada de la decisión XIII/32.</w:t>
            </w:r>
          </w:p>
          <w:p w14:paraId="1FB9E86F" w14:textId="705A72C6" w:rsidR="001F74A0" w:rsidRPr="009A33BA" w:rsidRDefault="001F74A0" w:rsidP="00E97CF5">
            <w:pPr>
              <w:rPr>
                <w:kern w:val="22"/>
                <w:lang w:val="es-ES_tradnl"/>
              </w:rPr>
            </w:pPr>
          </w:p>
        </w:tc>
        <w:tc>
          <w:tcPr>
            <w:tcW w:w="3240" w:type="dxa"/>
            <w:shd w:val="clear" w:color="auto" w:fill="auto"/>
          </w:tcPr>
          <w:p w14:paraId="3A16A033" w14:textId="0AB05DFC" w:rsidR="00206943" w:rsidRPr="009A33BA" w:rsidRDefault="0043550C" w:rsidP="00E97CF5">
            <w:pPr>
              <w:ind w:firstLine="89"/>
              <w:rPr>
                <w:kern w:val="22"/>
                <w:lang w:val="es-ES_tradnl"/>
              </w:rPr>
            </w:pPr>
            <w:r w:rsidRPr="009A33BA">
              <w:rPr>
                <w:kern w:val="22"/>
                <w:lang w:val="es-ES_tradnl"/>
              </w:rPr>
              <w:lastRenderedPageBreak/>
              <w:t>Sin costos adicionales</w:t>
            </w:r>
          </w:p>
          <w:p w14:paraId="110C8F02" w14:textId="77777777" w:rsidR="00206943" w:rsidRPr="009A33BA" w:rsidRDefault="00206943" w:rsidP="00E97CF5">
            <w:pPr>
              <w:ind w:firstLine="89"/>
              <w:rPr>
                <w:kern w:val="22"/>
                <w:lang w:val="es-ES_tradnl"/>
              </w:rPr>
            </w:pPr>
          </w:p>
          <w:p w14:paraId="3D3405BD" w14:textId="030E948F" w:rsidR="0043550C" w:rsidRPr="009A33BA" w:rsidRDefault="0043550C" w:rsidP="0043550C">
            <w:pPr>
              <w:rPr>
                <w:kern w:val="22"/>
                <w:lang w:val="es-ES_tradnl"/>
              </w:rPr>
            </w:pPr>
            <w:r w:rsidRPr="009A33BA">
              <w:rPr>
                <w:kern w:val="22"/>
                <w:lang w:val="es-ES_tradnl"/>
              </w:rPr>
              <w:t xml:space="preserve">El presupuesto se mantendría similar o igual al de las reuniones anteriores del Grupo de </w:t>
            </w:r>
            <w:r w:rsidR="00760361" w:rsidRPr="009A33BA">
              <w:rPr>
                <w:kern w:val="22"/>
                <w:lang w:val="es-ES_tradnl"/>
              </w:rPr>
              <w:t>Trabajo</w:t>
            </w:r>
            <w:r w:rsidRPr="009A33BA">
              <w:rPr>
                <w:kern w:val="22"/>
                <w:lang w:val="es-ES_tradnl"/>
              </w:rPr>
              <w:t xml:space="preserve">. </w:t>
            </w:r>
          </w:p>
          <w:p w14:paraId="29D70855" w14:textId="08CD0B38" w:rsidR="00206943" w:rsidRPr="009A33BA" w:rsidRDefault="00206943" w:rsidP="00E97CF5">
            <w:pPr>
              <w:rPr>
                <w:kern w:val="22"/>
                <w:lang w:val="es-ES_tradnl"/>
              </w:rPr>
            </w:pPr>
          </w:p>
          <w:p w14:paraId="39677F18" w14:textId="77777777" w:rsidR="00314B9F" w:rsidRPr="009A33BA" w:rsidRDefault="00314B9F" w:rsidP="00E97CF5">
            <w:pPr>
              <w:rPr>
                <w:kern w:val="22"/>
                <w:lang w:val="es-ES_tradnl"/>
              </w:rPr>
            </w:pPr>
          </w:p>
          <w:p w14:paraId="528389DE" w14:textId="7FE32940" w:rsidR="00314B9F" w:rsidRPr="009A33BA" w:rsidRDefault="0043550C" w:rsidP="00E97CF5">
            <w:pPr>
              <w:rPr>
                <w:kern w:val="22"/>
                <w:lang w:val="es-ES_tradnl"/>
              </w:rPr>
            </w:pPr>
            <w:r w:rsidRPr="009A33BA">
              <w:rPr>
                <w:kern w:val="22"/>
                <w:lang w:val="es-ES_tradnl"/>
              </w:rPr>
              <w:t xml:space="preserve">Véase el anexo </w:t>
            </w:r>
            <w:r w:rsidR="002D4BEE" w:rsidRPr="009A33BA">
              <w:rPr>
                <w:kern w:val="22"/>
                <w:lang w:val="es-ES_tradnl"/>
              </w:rPr>
              <w:t>I</w:t>
            </w:r>
            <w:r w:rsidR="0016086B" w:rsidRPr="009A33BA">
              <w:rPr>
                <w:kern w:val="22"/>
                <w:lang w:val="es-ES_tradnl"/>
              </w:rPr>
              <w:t>I</w:t>
            </w:r>
            <w:r w:rsidR="002371C3" w:rsidRPr="009A33BA">
              <w:rPr>
                <w:kern w:val="22"/>
                <w:lang w:val="es-ES_tradnl"/>
              </w:rPr>
              <w:t>,</w:t>
            </w:r>
            <w:r w:rsidR="00314B9F" w:rsidRPr="009A33BA">
              <w:rPr>
                <w:kern w:val="22"/>
                <w:lang w:val="es-ES_tradnl"/>
              </w:rPr>
              <w:t xml:space="preserve"> </w:t>
            </w:r>
            <w:r w:rsidRPr="009A33BA">
              <w:rPr>
                <w:kern w:val="22"/>
                <w:lang w:val="es-ES_tradnl"/>
              </w:rPr>
              <w:t xml:space="preserve">que como modelo incluye información presupuestaria </w:t>
            </w:r>
            <w:r w:rsidR="00205BEE" w:rsidRPr="009A33BA">
              <w:rPr>
                <w:kern w:val="22"/>
                <w:lang w:val="es-ES_tradnl"/>
              </w:rPr>
              <w:t xml:space="preserve">conexa para </w:t>
            </w:r>
            <w:r w:rsidR="003B01EF">
              <w:rPr>
                <w:kern w:val="22"/>
                <w:lang w:val="es-ES_tradnl"/>
              </w:rPr>
              <w:t>la 10ª y 11ª reunión del Grupo de Trabajo sobre el artículo 8 j)</w:t>
            </w:r>
            <w:r w:rsidR="00314B9F" w:rsidRPr="009A33BA">
              <w:rPr>
                <w:kern w:val="22"/>
                <w:lang w:val="es-ES_tradnl"/>
              </w:rPr>
              <w:t xml:space="preserve">, </w:t>
            </w:r>
            <w:r w:rsidR="00205BEE" w:rsidRPr="009A33BA">
              <w:rPr>
                <w:kern w:val="22"/>
                <w:lang w:val="es-ES_tradnl"/>
              </w:rPr>
              <w:t xml:space="preserve">derivada de la decisión </w:t>
            </w:r>
            <w:r w:rsidR="00314B9F" w:rsidRPr="009A33BA">
              <w:rPr>
                <w:kern w:val="22"/>
                <w:lang w:val="es-ES_tradnl"/>
              </w:rPr>
              <w:t>XIII/32.</w:t>
            </w:r>
          </w:p>
          <w:p w14:paraId="1B4CF4CC" w14:textId="77777777" w:rsidR="00206943" w:rsidRPr="009A33BA" w:rsidRDefault="00206943" w:rsidP="00E97CF5">
            <w:pPr>
              <w:rPr>
                <w:kern w:val="22"/>
                <w:lang w:val="es-ES_tradnl"/>
              </w:rPr>
            </w:pPr>
          </w:p>
          <w:p w14:paraId="72580634" w14:textId="77777777" w:rsidR="00206943" w:rsidRPr="009A33BA" w:rsidRDefault="00206943" w:rsidP="00E97CF5">
            <w:pPr>
              <w:rPr>
                <w:b/>
                <w:kern w:val="22"/>
                <w:lang w:val="es-ES_tradnl"/>
              </w:rPr>
            </w:pPr>
          </w:p>
        </w:tc>
        <w:tc>
          <w:tcPr>
            <w:tcW w:w="3150" w:type="dxa"/>
            <w:shd w:val="clear" w:color="auto" w:fill="auto"/>
          </w:tcPr>
          <w:p w14:paraId="35F2FFC3" w14:textId="33B5BD65" w:rsidR="00206943" w:rsidRPr="009A33BA" w:rsidRDefault="0043550C" w:rsidP="00E97CF5">
            <w:pPr>
              <w:rPr>
                <w:kern w:val="22"/>
                <w:lang w:val="es-ES_tradnl"/>
              </w:rPr>
            </w:pPr>
            <w:r w:rsidRPr="009A33BA">
              <w:rPr>
                <w:kern w:val="22"/>
                <w:lang w:val="es-ES_tradnl"/>
              </w:rPr>
              <w:lastRenderedPageBreak/>
              <w:t>Sin costos adicionales</w:t>
            </w:r>
            <w:r w:rsidR="00206943" w:rsidRPr="009A33BA">
              <w:rPr>
                <w:kern w:val="22"/>
                <w:lang w:val="es-ES_tradnl"/>
              </w:rPr>
              <w:t xml:space="preserve"> </w:t>
            </w:r>
          </w:p>
          <w:p w14:paraId="464AB3E1" w14:textId="77777777" w:rsidR="00206943" w:rsidRPr="009A33BA" w:rsidRDefault="00206943" w:rsidP="00E97CF5">
            <w:pPr>
              <w:rPr>
                <w:kern w:val="22"/>
                <w:lang w:val="es-ES_tradnl"/>
              </w:rPr>
            </w:pPr>
          </w:p>
          <w:p w14:paraId="428B32B0" w14:textId="1DB4D18D" w:rsidR="0043550C" w:rsidRPr="009A33BA" w:rsidRDefault="0043550C" w:rsidP="0043550C">
            <w:pPr>
              <w:rPr>
                <w:kern w:val="22"/>
                <w:lang w:val="es-ES_tradnl"/>
              </w:rPr>
            </w:pPr>
            <w:r w:rsidRPr="009A33BA">
              <w:rPr>
                <w:kern w:val="22"/>
                <w:lang w:val="es-ES_tradnl"/>
              </w:rPr>
              <w:t xml:space="preserve">El presupuesto se mantendría similar o igual al de las reuniones anteriores del Grupo de </w:t>
            </w:r>
            <w:r w:rsidR="00760361" w:rsidRPr="009A33BA">
              <w:rPr>
                <w:kern w:val="22"/>
                <w:lang w:val="es-ES_tradnl"/>
              </w:rPr>
              <w:t>Trabajo</w:t>
            </w:r>
            <w:r w:rsidRPr="009A33BA">
              <w:rPr>
                <w:kern w:val="22"/>
                <w:lang w:val="es-ES_tradnl"/>
              </w:rPr>
              <w:t xml:space="preserve">. </w:t>
            </w:r>
          </w:p>
          <w:p w14:paraId="4AD6BB1D" w14:textId="77777777" w:rsidR="00314B9F" w:rsidRPr="009A33BA" w:rsidRDefault="00314B9F" w:rsidP="00FB38DC">
            <w:pPr>
              <w:jc w:val="left"/>
              <w:rPr>
                <w:kern w:val="22"/>
                <w:lang w:val="es-ES_tradnl"/>
              </w:rPr>
            </w:pPr>
          </w:p>
          <w:p w14:paraId="2AD53322" w14:textId="1D8921EC" w:rsidR="00314B9F" w:rsidRPr="009A33BA" w:rsidRDefault="00205BEE" w:rsidP="00FB38DC">
            <w:pPr>
              <w:jc w:val="left"/>
              <w:rPr>
                <w:kern w:val="22"/>
                <w:lang w:val="es-ES_tradnl"/>
              </w:rPr>
            </w:pPr>
            <w:r w:rsidRPr="009A33BA">
              <w:rPr>
                <w:kern w:val="22"/>
                <w:lang w:val="es-ES_tradnl"/>
              </w:rPr>
              <w:t>Véase el anexo II</w:t>
            </w:r>
            <w:r w:rsidR="002371C3" w:rsidRPr="009A33BA">
              <w:rPr>
                <w:kern w:val="22"/>
                <w:lang w:val="es-ES_tradnl"/>
              </w:rPr>
              <w:t>,</w:t>
            </w:r>
            <w:r w:rsidRPr="009A33BA">
              <w:rPr>
                <w:kern w:val="22"/>
                <w:lang w:val="es-ES_tradnl"/>
              </w:rPr>
              <w:t xml:space="preserve"> que como modelo incluye información presupuestaria conexa</w:t>
            </w:r>
            <w:r w:rsidR="003B01EF" w:rsidRPr="009A33BA">
              <w:rPr>
                <w:kern w:val="22"/>
                <w:lang w:val="es-ES_tradnl"/>
              </w:rPr>
              <w:t xml:space="preserve"> para </w:t>
            </w:r>
            <w:r w:rsidR="003B01EF">
              <w:rPr>
                <w:kern w:val="22"/>
                <w:lang w:val="es-ES_tradnl"/>
              </w:rPr>
              <w:t>la 10ª y 11ª reunión del Grupo de Trabajo sobre el artículo 8 j)</w:t>
            </w:r>
            <w:r w:rsidR="003B01EF" w:rsidRPr="009A33BA">
              <w:rPr>
                <w:kern w:val="22"/>
                <w:lang w:val="es-ES_tradnl"/>
              </w:rPr>
              <w:t>,</w:t>
            </w:r>
            <w:r w:rsidR="003B01EF">
              <w:rPr>
                <w:kern w:val="22"/>
                <w:lang w:val="es-ES_tradnl"/>
              </w:rPr>
              <w:t xml:space="preserve"> </w:t>
            </w:r>
            <w:r w:rsidRPr="009A33BA">
              <w:rPr>
                <w:kern w:val="22"/>
                <w:lang w:val="es-ES_tradnl"/>
              </w:rPr>
              <w:t>derivada de la decisión XIII/32.</w:t>
            </w:r>
          </w:p>
          <w:p w14:paraId="501772E5" w14:textId="77777777" w:rsidR="00206943" w:rsidRPr="009A33BA" w:rsidRDefault="00206943" w:rsidP="00FB38DC">
            <w:pPr>
              <w:jc w:val="left"/>
              <w:rPr>
                <w:kern w:val="22"/>
                <w:lang w:val="es-ES_tradnl"/>
              </w:rPr>
            </w:pPr>
          </w:p>
          <w:p w14:paraId="2E9FA956" w14:textId="77777777" w:rsidR="00206943" w:rsidRPr="009A33BA" w:rsidRDefault="00206943" w:rsidP="00E97CF5">
            <w:pPr>
              <w:rPr>
                <w:kern w:val="22"/>
                <w:lang w:val="es-ES_tradnl"/>
              </w:rPr>
            </w:pPr>
          </w:p>
        </w:tc>
      </w:tr>
      <w:tr w:rsidR="00206943" w:rsidRPr="00F80FBA" w14:paraId="4872EED0" w14:textId="77777777" w:rsidTr="00E97CF5">
        <w:tc>
          <w:tcPr>
            <w:tcW w:w="3600" w:type="dxa"/>
            <w:shd w:val="clear" w:color="auto" w:fill="auto"/>
          </w:tcPr>
          <w:p w14:paraId="57A99086" w14:textId="6D19E14E" w:rsidR="00206943" w:rsidRPr="009A33BA" w:rsidRDefault="000D1102" w:rsidP="00FB38DC">
            <w:pPr>
              <w:ind w:firstLine="89"/>
              <w:jc w:val="left"/>
              <w:rPr>
                <w:i/>
                <w:kern w:val="22"/>
                <w:lang w:val="es-ES_tradnl"/>
              </w:rPr>
            </w:pPr>
            <w:r w:rsidRPr="009A33BA">
              <w:rPr>
                <w:i/>
                <w:kern w:val="22"/>
                <w:lang w:val="es-ES_tradnl"/>
              </w:rPr>
              <w:lastRenderedPageBreak/>
              <w:t>Repercusiones</w:t>
            </w:r>
            <w:r w:rsidR="00FF6C5F" w:rsidRPr="009A33BA">
              <w:rPr>
                <w:i/>
                <w:kern w:val="22"/>
                <w:lang w:val="es-ES_tradnl"/>
              </w:rPr>
              <w:t xml:space="preserve"> </w:t>
            </w:r>
          </w:p>
          <w:p w14:paraId="1F1A4BB5" w14:textId="77777777" w:rsidR="00FF6C5F" w:rsidRPr="009A33BA" w:rsidRDefault="00FF6C5F" w:rsidP="00FB38DC">
            <w:pPr>
              <w:jc w:val="left"/>
              <w:rPr>
                <w:kern w:val="22"/>
                <w:lang w:val="es-ES_tradnl"/>
              </w:rPr>
            </w:pPr>
          </w:p>
          <w:p w14:paraId="4ED72F3A" w14:textId="51CFAF60" w:rsidR="00206943" w:rsidRPr="009A33BA" w:rsidRDefault="009118A3" w:rsidP="00FB38DC">
            <w:pPr>
              <w:jc w:val="left"/>
              <w:rPr>
                <w:kern w:val="22"/>
                <w:lang w:val="es-ES_tradnl"/>
              </w:rPr>
            </w:pPr>
            <w:r w:rsidRPr="009A33BA">
              <w:rPr>
                <w:kern w:val="22"/>
                <w:lang w:val="es-ES_tradnl"/>
              </w:rPr>
              <w:t xml:space="preserve">Si la </w:t>
            </w:r>
            <w:r w:rsidR="00206943" w:rsidRPr="009A33BA">
              <w:rPr>
                <w:kern w:val="22"/>
                <w:lang w:val="es-ES_tradnl"/>
              </w:rPr>
              <w:t xml:space="preserve">COP </w:t>
            </w:r>
            <w:r w:rsidRPr="009A33BA">
              <w:rPr>
                <w:kern w:val="22"/>
                <w:lang w:val="es-ES_tradnl"/>
              </w:rPr>
              <w:t>conviene en que las prácticas de participación efectiva para los PI</w:t>
            </w:r>
            <w:r w:rsidR="00B63C00" w:rsidRPr="009A33BA">
              <w:rPr>
                <w:kern w:val="22"/>
                <w:lang w:val="es-ES_tradnl"/>
              </w:rPr>
              <w:t>CL</w:t>
            </w:r>
            <w:r w:rsidRPr="009A33BA">
              <w:rPr>
                <w:kern w:val="22"/>
                <w:lang w:val="es-ES_tradnl"/>
              </w:rPr>
              <w:t xml:space="preserve"> que realiza el Grupo de Trabajo pueden efectuarse a discreción del </w:t>
            </w:r>
            <w:r w:rsidR="00323A56" w:rsidRPr="009A33BA">
              <w:rPr>
                <w:kern w:val="22"/>
                <w:lang w:val="es-ES_tradnl"/>
              </w:rPr>
              <w:t>presidente</w:t>
            </w:r>
            <w:r w:rsidRPr="009A33BA">
              <w:rPr>
                <w:kern w:val="22"/>
                <w:lang w:val="es-ES_tradnl"/>
              </w:rPr>
              <w:t xml:space="preserve"> en otr</w:t>
            </w:r>
            <w:r w:rsidR="003B01EF">
              <w:rPr>
                <w:kern w:val="22"/>
                <w:lang w:val="es-ES_tradnl"/>
              </w:rPr>
              <w:t>as entidades del</w:t>
            </w:r>
            <w:r w:rsidRPr="009A33BA">
              <w:rPr>
                <w:kern w:val="22"/>
                <w:lang w:val="es-ES_tradnl"/>
              </w:rPr>
              <w:t xml:space="preserve"> Convenio y de los Protocolos, la participación efectiva de los PI</w:t>
            </w:r>
            <w:r w:rsidR="00B63C00" w:rsidRPr="009A33BA">
              <w:rPr>
                <w:kern w:val="22"/>
                <w:lang w:val="es-ES_tradnl"/>
              </w:rPr>
              <w:t>CL</w:t>
            </w:r>
            <w:r w:rsidRPr="009A33BA">
              <w:rPr>
                <w:kern w:val="22"/>
                <w:lang w:val="es-ES_tradnl"/>
              </w:rPr>
              <w:t xml:space="preserve"> puede continuar y ampliarse a todos las entidades subsidiarias del Convenio y sus Protocolos</w:t>
            </w:r>
            <w:r w:rsidR="00206943" w:rsidRPr="009A33BA">
              <w:rPr>
                <w:kern w:val="22"/>
                <w:lang w:val="es-ES_tradnl"/>
              </w:rPr>
              <w:t>.</w:t>
            </w:r>
          </w:p>
          <w:p w14:paraId="303BA10F" w14:textId="77777777" w:rsidR="00992F7A" w:rsidRPr="009A33BA" w:rsidRDefault="00992F7A" w:rsidP="00FB38DC">
            <w:pPr>
              <w:jc w:val="left"/>
              <w:rPr>
                <w:kern w:val="22"/>
                <w:lang w:val="es-ES_tradnl"/>
              </w:rPr>
            </w:pPr>
          </w:p>
          <w:p w14:paraId="7A9E7FE2" w14:textId="7E74C703" w:rsidR="00206943" w:rsidRPr="009A33BA" w:rsidRDefault="00B63C00" w:rsidP="00FB38DC">
            <w:pPr>
              <w:jc w:val="left"/>
              <w:rPr>
                <w:kern w:val="22"/>
                <w:lang w:val="es-ES_tradnl"/>
              </w:rPr>
            </w:pPr>
            <w:r w:rsidRPr="009A33BA">
              <w:rPr>
                <w:kern w:val="22"/>
                <w:lang w:val="es-ES_tradnl"/>
              </w:rPr>
              <w:t xml:space="preserve">No obstante, </w:t>
            </w:r>
            <w:r w:rsidR="003B01EF">
              <w:rPr>
                <w:kern w:val="22"/>
                <w:lang w:val="es-ES_tradnl"/>
              </w:rPr>
              <w:t>en caso de acordarse lo anterior</w:t>
            </w:r>
            <w:r w:rsidRPr="009A33BA">
              <w:rPr>
                <w:kern w:val="22"/>
                <w:lang w:val="es-ES_tradnl"/>
              </w:rPr>
              <w:t>, será necesario garantizar que los president</w:t>
            </w:r>
            <w:r w:rsidR="00635B6B" w:rsidRPr="009A33BA">
              <w:rPr>
                <w:kern w:val="22"/>
                <w:lang w:val="es-ES_tradnl"/>
              </w:rPr>
              <w:t>e</w:t>
            </w:r>
            <w:r w:rsidRPr="009A33BA">
              <w:rPr>
                <w:kern w:val="22"/>
                <w:lang w:val="es-ES_tradnl"/>
              </w:rPr>
              <w:t xml:space="preserve">s </w:t>
            </w:r>
            <w:r w:rsidR="001F69BE" w:rsidRPr="009A33BA">
              <w:rPr>
                <w:kern w:val="22"/>
                <w:lang w:val="es-ES_tradnl"/>
              </w:rPr>
              <w:t>pueden fomentar la capacidad y cuent</w:t>
            </w:r>
            <w:r w:rsidR="003B01EF">
              <w:rPr>
                <w:kern w:val="22"/>
                <w:lang w:val="es-ES_tradnl"/>
              </w:rPr>
              <w:t>e</w:t>
            </w:r>
            <w:r w:rsidR="001F69BE" w:rsidRPr="009A33BA">
              <w:rPr>
                <w:kern w:val="22"/>
                <w:lang w:val="es-ES_tradnl"/>
              </w:rPr>
              <w:t xml:space="preserve">n con el </w:t>
            </w:r>
            <w:r w:rsidRPr="009A33BA">
              <w:rPr>
                <w:kern w:val="22"/>
                <w:lang w:val="es-ES_tradnl"/>
              </w:rPr>
              <w:t xml:space="preserve">apoyo para poner en marcha dichas prácticas y </w:t>
            </w:r>
            <w:r w:rsidR="003B01EF">
              <w:rPr>
                <w:kern w:val="22"/>
                <w:lang w:val="es-ES_tradnl"/>
              </w:rPr>
              <w:t>supervisarlas</w:t>
            </w:r>
            <w:r w:rsidRPr="009A33BA">
              <w:rPr>
                <w:kern w:val="22"/>
                <w:lang w:val="es-ES_tradnl"/>
              </w:rPr>
              <w:t xml:space="preserve"> </w:t>
            </w:r>
            <w:r w:rsidR="00206943" w:rsidRPr="009A33BA">
              <w:rPr>
                <w:kern w:val="22"/>
                <w:lang w:val="es-ES_tradnl"/>
              </w:rPr>
              <w:t>(</w:t>
            </w:r>
            <w:r w:rsidRPr="009A33BA">
              <w:rPr>
                <w:kern w:val="22"/>
                <w:lang w:val="es-ES_tradnl"/>
              </w:rPr>
              <w:t>por ejemplo, los indicadores podrían incluir el número de intervenciones realizadas por los PICL en los temas del programa pertinentes</w:t>
            </w:r>
            <w:r w:rsidR="00206943" w:rsidRPr="009A33BA">
              <w:rPr>
                <w:kern w:val="22"/>
                <w:lang w:val="es-ES_tradnl"/>
              </w:rPr>
              <w:t>)</w:t>
            </w:r>
            <w:r w:rsidR="00FF6C5F" w:rsidRPr="009A33BA">
              <w:rPr>
                <w:kern w:val="22"/>
                <w:lang w:val="es-ES_tradnl"/>
              </w:rPr>
              <w:t xml:space="preserve"> </w:t>
            </w:r>
            <w:r w:rsidRPr="009A33BA">
              <w:rPr>
                <w:kern w:val="22"/>
                <w:lang w:val="es-ES_tradnl"/>
              </w:rPr>
              <w:t>para asegurar resultados satisfactorios</w:t>
            </w:r>
            <w:r w:rsidR="00206943" w:rsidRPr="009A33BA">
              <w:rPr>
                <w:kern w:val="22"/>
                <w:lang w:val="es-ES_tradnl"/>
              </w:rPr>
              <w:t xml:space="preserve">. </w:t>
            </w:r>
          </w:p>
          <w:p w14:paraId="2D9CED39" w14:textId="77777777" w:rsidR="00206943" w:rsidRPr="009A33BA" w:rsidRDefault="00206943" w:rsidP="00FB38DC">
            <w:pPr>
              <w:jc w:val="left"/>
              <w:rPr>
                <w:kern w:val="22"/>
                <w:lang w:val="es-ES_tradnl"/>
              </w:rPr>
            </w:pPr>
          </w:p>
          <w:p w14:paraId="784581BD" w14:textId="726EAEA7" w:rsidR="00206943" w:rsidRPr="009A33BA" w:rsidRDefault="00635B6B" w:rsidP="00635B6B">
            <w:pPr>
              <w:jc w:val="left"/>
              <w:rPr>
                <w:kern w:val="22"/>
                <w:lang w:val="es-ES_tradnl"/>
              </w:rPr>
            </w:pPr>
            <w:r w:rsidRPr="009A33BA">
              <w:rPr>
                <w:kern w:val="22"/>
                <w:lang w:val="es-ES_tradnl"/>
              </w:rPr>
              <w:t xml:space="preserve">Además, las cuestiones que interesan directamente a los PICL podrían estar determinadas por el Foro Indígena Internacional sobre la Diversidad Biológica </w:t>
            </w:r>
            <w:r w:rsidR="00FF6C5F" w:rsidRPr="009A33BA">
              <w:rPr>
                <w:kern w:val="22"/>
                <w:lang w:val="es-ES_tradnl"/>
              </w:rPr>
              <w:t>(</w:t>
            </w:r>
            <w:r w:rsidRPr="009A33BA">
              <w:rPr>
                <w:kern w:val="22"/>
                <w:lang w:val="es-ES_tradnl"/>
              </w:rPr>
              <w:t>FIIDB</w:t>
            </w:r>
            <w:r w:rsidR="00FF6C5F" w:rsidRPr="009A33BA">
              <w:rPr>
                <w:kern w:val="22"/>
                <w:lang w:val="es-ES_tradnl"/>
              </w:rPr>
              <w:t>)</w:t>
            </w:r>
            <w:r w:rsidR="00206943" w:rsidRPr="009A33BA">
              <w:rPr>
                <w:kern w:val="22"/>
                <w:lang w:val="es-ES_tradnl"/>
              </w:rPr>
              <w:t xml:space="preserve"> </w:t>
            </w:r>
            <w:r w:rsidRPr="009A33BA">
              <w:rPr>
                <w:kern w:val="22"/>
                <w:lang w:val="es-ES_tradnl"/>
              </w:rPr>
              <w:t>en consulta con la Mesa de dicha reunión</w:t>
            </w:r>
            <w:r w:rsidR="00206943" w:rsidRPr="009A33BA">
              <w:rPr>
                <w:kern w:val="22"/>
                <w:lang w:val="es-ES_tradnl"/>
              </w:rPr>
              <w:t xml:space="preserve">. </w:t>
            </w:r>
          </w:p>
          <w:p w14:paraId="1D8F2E4B" w14:textId="77777777" w:rsidR="00206943" w:rsidRPr="009A33BA" w:rsidRDefault="00206943" w:rsidP="00FB38DC">
            <w:pPr>
              <w:ind w:firstLine="89"/>
              <w:jc w:val="left"/>
              <w:rPr>
                <w:b/>
                <w:kern w:val="22"/>
                <w:lang w:val="es-ES_tradnl"/>
              </w:rPr>
            </w:pPr>
          </w:p>
        </w:tc>
        <w:tc>
          <w:tcPr>
            <w:tcW w:w="3240" w:type="dxa"/>
            <w:shd w:val="clear" w:color="auto" w:fill="auto"/>
          </w:tcPr>
          <w:p w14:paraId="18EFA5D3" w14:textId="6B815FA4" w:rsidR="00FF6C5F" w:rsidRPr="009A33BA" w:rsidRDefault="000D1102" w:rsidP="00FB38DC">
            <w:pPr>
              <w:ind w:firstLine="89"/>
              <w:jc w:val="left"/>
              <w:rPr>
                <w:i/>
                <w:kern w:val="22"/>
                <w:lang w:val="es-ES_tradnl"/>
              </w:rPr>
            </w:pPr>
            <w:r w:rsidRPr="009A33BA">
              <w:rPr>
                <w:i/>
                <w:kern w:val="22"/>
                <w:lang w:val="es-ES_tradnl"/>
              </w:rPr>
              <w:t>Repercusiones</w:t>
            </w:r>
          </w:p>
          <w:p w14:paraId="3CB95A6E" w14:textId="77777777" w:rsidR="00FF6C5F" w:rsidRPr="009A33BA" w:rsidRDefault="00FF6C5F" w:rsidP="00FB38DC">
            <w:pPr>
              <w:jc w:val="left"/>
              <w:rPr>
                <w:kern w:val="22"/>
                <w:lang w:val="es-ES_tradnl"/>
              </w:rPr>
            </w:pPr>
          </w:p>
          <w:p w14:paraId="2DCF1271" w14:textId="11ECF3F2" w:rsidR="00206943" w:rsidRPr="009A33BA" w:rsidRDefault="00FC121A" w:rsidP="00FB38DC">
            <w:pPr>
              <w:jc w:val="left"/>
              <w:rPr>
                <w:kern w:val="22"/>
                <w:lang w:val="es-ES_tradnl"/>
              </w:rPr>
            </w:pPr>
            <w:r>
              <w:rPr>
                <w:kern w:val="22"/>
                <w:lang w:val="es-ES_tradnl"/>
              </w:rPr>
              <w:t xml:space="preserve">Los siguientes mecanismos de participación mejorados </w:t>
            </w:r>
            <w:r w:rsidR="00447A2D" w:rsidRPr="009A33BA">
              <w:rPr>
                <w:kern w:val="22"/>
                <w:lang w:val="es-ES_tradnl"/>
              </w:rPr>
              <w:t xml:space="preserve">de que disponen los PICL en virtud del </w:t>
            </w:r>
            <w:r w:rsidR="003B01EF">
              <w:rPr>
                <w:kern w:val="22"/>
                <w:lang w:val="es-ES_tradnl"/>
              </w:rPr>
              <w:t xml:space="preserve">Grupo de Trabajo sobre el artículo </w:t>
            </w:r>
            <w:r w:rsidR="00206943" w:rsidRPr="009A33BA">
              <w:rPr>
                <w:bCs/>
                <w:kern w:val="22"/>
                <w:lang w:val="es-ES_tradnl"/>
              </w:rPr>
              <w:t>8</w:t>
            </w:r>
            <w:r w:rsidR="003B01EF">
              <w:rPr>
                <w:bCs/>
                <w:kern w:val="22"/>
                <w:lang w:val="es-ES_tradnl"/>
              </w:rPr>
              <w:t> </w:t>
            </w:r>
            <w:r w:rsidR="00206943" w:rsidRPr="009A33BA">
              <w:rPr>
                <w:bCs/>
                <w:kern w:val="22"/>
                <w:lang w:val="es-ES_tradnl"/>
              </w:rPr>
              <w:t>j)</w:t>
            </w:r>
            <w:r w:rsidR="00206943" w:rsidRPr="009A33BA">
              <w:rPr>
                <w:kern w:val="22"/>
                <w:lang w:val="es-ES_tradnl"/>
              </w:rPr>
              <w:t xml:space="preserve"> </w:t>
            </w:r>
            <w:r w:rsidR="00447A2D" w:rsidRPr="009A33BA">
              <w:rPr>
                <w:kern w:val="22"/>
                <w:lang w:val="es-ES_tradnl"/>
              </w:rPr>
              <w:t>se ampliarán al Órgano Permanente</w:t>
            </w:r>
            <w:r w:rsidR="00206943" w:rsidRPr="009A33BA">
              <w:rPr>
                <w:kern w:val="22"/>
                <w:lang w:val="es-ES_tradnl"/>
              </w:rPr>
              <w:t>.</w:t>
            </w:r>
            <w:r w:rsidR="002371C3" w:rsidRPr="009A33BA">
              <w:rPr>
                <w:kern w:val="22"/>
                <w:lang w:val="es-ES_tradnl"/>
              </w:rPr>
              <w:t xml:space="preserve"> </w:t>
            </w:r>
            <w:r w:rsidR="00447A2D" w:rsidRPr="009A33BA">
              <w:rPr>
                <w:kern w:val="22"/>
                <w:lang w:val="es-ES_tradnl"/>
              </w:rPr>
              <w:t>Dichas prácticas incluyen</w:t>
            </w:r>
            <w:r w:rsidR="00206943" w:rsidRPr="009A33BA">
              <w:rPr>
                <w:kern w:val="22"/>
                <w:lang w:val="es-ES_tradnl"/>
              </w:rPr>
              <w:t>:</w:t>
            </w:r>
          </w:p>
          <w:p w14:paraId="7C0342C7" w14:textId="73BC1360" w:rsidR="00206943" w:rsidRPr="009A33BA" w:rsidRDefault="00447A2D" w:rsidP="00FB38DC">
            <w:pPr>
              <w:numPr>
                <w:ilvl w:val="0"/>
                <w:numId w:val="3"/>
              </w:numPr>
              <w:jc w:val="left"/>
              <w:rPr>
                <w:kern w:val="22"/>
                <w:lang w:val="es-ES_tradnl"/>
              </w:rPr>
            </w:pPr>
            <w:r w:rsidRPr="009A33BA">
              <w:rPr>
                <w:kern w:val="22"/>
                <w:lang w:val="es-ES_tradnl"/>
              </w:rPr>
              <w:t>la presentación de candidatura de un copresidente indígena para asistir al presidente de la reunión</w:t>
            </w:r>
            <w:r w:rsidR="00206943" w:rsidRPr="009A33BA">
              <w:rPr>
                <w:kern w:val="22"/>
                <w:lang w:val="es-ES_tradnl"/>
              </w:rPr>
              <w:t>,</w:t>
            </w:r>
          </w:p>
          <w:p w14:paraId="2425C24F" w14:textId="2366D4F1" w:rsidR="00206943" w:rsidRPr="009A33BA" w:rsidRDefault="00447A2D" w:rsidP="00FB38DC">
            <w:pPr>
              <w:numPr>
                <w:ilvl w:val="0"/>
                <w:numId w:val="3"/>
              </w:numPr>
              <w:jc w:val="left"/>
              <w:rPr>
                <w:kern w:val="22"/>
                <w:lang w:val="es-ES_tradnl"/>
              </w:rPr>
            </w:pPr>
            <w:r w:rsidRPr="009A33BA">
              <w:rPr>
                <w:kern w:val="22"/>
                <w:lang w:val="es-ES_tradnl"/>
              </w:rPr>
              <w:t xml:space="preserve">el nombramiento de siete representantes de los </w:t>
            </w:r>
            <w:r w:rsidR="00053F89" w:rsidRPr="009A33BA">
              <w:rPr>
                <w:kern w:val="22"/>
                <w:lang w:val="es-ES_tradnl"/>
              </w:rPr>
              <w:t>pueblos indígenas y comunidades locales</w:t>
            </w:r>
            <w:r w:rsidR="00206943" w:rsidRPr="009A33BA">
              <w:rPr>
                <w:kern w:val="22"/>
                <w:lang w:val="es-ES_tradnl"/>
              </w:rPr>
              <w:t xml:space="preserve">, </w:t>
            </w:r>
            <w:r w:rsidRPr="009A33BA">
              <w:rPr>
                <w:kern w:val="22"/>
                <w:lang w:val="es-ES_tradnl"/>
              </w:rPr>
              <w:t xml:space="preserve">como Mesa de los PICL para trabajar como amigos de la Mesa del Gobierno </w:t>
            </w:r>
            <w:r w:rsidR="00206943" w:rsidRPr="009A33BA">
              <w:rPr>
                <w:bCs/>
                <w:kern w:val="22"/>
                <w:lang w:val="es-ES_tradnl"/>
              </w:rPr>
              <w:t>(</w:t>
            </w:r>
            <w:r w:rsidRPr="009A33BA">
              <w:rPr>
                <w:bCs/>
                <w:kern w:val="22"/>
                <w:lang w:val="es-ES_tradnl"/>
              </w:rPr>
              <w:t>de la reunión</w:t>
            </w:r>
            <w:r w:rsidR="00206943" w:rsidRPr="009A33BA">
              <w:rPr>
                <w:bCs/>
                <w:kern w:val="22"/>
                <w:lang w:val="es-ES_tradnl"/>
              </w:rPr>
              <w:t>)</w:t>
            </w:r>
            <w:r w:rsidR="00206943" w:rsidRPr="009A33BA">
              <w:rPr>
                <w:kern w:val="22"/>
                <w:lang w:val="es-ES_tradnl"/>
              </w:rPr>
              <w:t xml:space="preserve">, </w:t>
            </w:r>
          </w:p>
          <w:p w14:paraId="579C0778" w14:textId="0C4A92B4" w:rsidR="00206943" w:rsidRPr="009A33BA" w:rsidRDefault="00206943" w:rsidP="00FB38DC">
            <w:pPr>
              <w:numPr>
                <w:ilvl w:val="0"/>
                <w:numId w:val="3"/>
              </w:numPr>
              <w:jc w:val="left"/>
              <w:rPr>
                <w:kern w:val="22"/>
                <w:lang w:val="es-ES_tradnl"/>
              </w:rPr>
            </w:pPr>
            <w:r w:rsidRPr="009A33BA">
              <w:rPr>
                <w:bCs/>
                <w:noProof/>
                <w:kern w:val="22"/>
                <w:lang w:val="es-ES_tradnl"/>
              </w:rPr>
              <w:t>Co</w:t>
            </w:r>
            <w:r w:rsidR="00447A2D" w:rsidRPr="009A33BA">
              <w:rPr>
                <w:bCs/>
                <w:noProof/>
                <w:kern w:val="22"/>
                <w:lang w:val="es-ES_tradnl"/>
              </w:rPr>
              <w:t>presidentes para grupos de contacto y otros arreglos</w:t>
            </w:r>
            <w:r w:rsidRPr="009A33BA">
              <w:rPr>
                <w:kern w:val="22"/>
                <w:lang w:val="es-ES_tradnl"/>
              </w:rPr>
              <w:t xml:space="preserve">; </w:t>
            </w:r>
          </w:p>
          <w:p w14:paraId="17D77E55" w14:textId="2519643E" w:rsidR="00206943" w:rsidRPr="009A33BA" w:rsidRDefault="00447A2D" w:rsidP="00FB38DC">
            <w:pPr>
              <w:numPr>
                <w:ilvl w:val="0"/>
                <w:numId w:val="3"/>
              </w:numPr>
              <w:jc w:val="left"/>
              <w:rPr>
                <w:kern w:val="22"/>
                <w:lang w:val="es-ES_tradnl"/>
              </w:rPr>
            </w:pPr>
            <w:r w:rsidRPr="009A33BA">
              <w:rPr>
                <w:kern w:val="22"/>
                <w:lang w:val="es-ES_tradnl"/>
              </w:rPr>
              <w:t>Mejores oportunidades para realizar intervenciones en todos los puntos del programa</w:t>
            </w:r>
            <w:r w:rsidR="00206943" w:rsidRPr="009A33BA">
              <w:rPr>
                <w:bCs/>
                <w:kern w:val="22"/>
                <w:lang w:val="es-ES_tradnl"/>
              </w:rPr>
              <w:t>.</w:t>
            </w:r>
          </w:p>
          <w:p w14:paraId="41164065" w14:textId="77777777" w:rsidR="00206943" w:rsidRPr="009A33BA" w:rsidRDefault="00206943" w:rsidP="00FB38DC">
            <w:pPr>
              <w:ind w:left="360"/>
              <w:jc w:val="left"/>
              <w:rPr>
                <w:kern w:val="22"/>
                <w:lang w:val="es-ES_tradnl"/>
              </w:rPr>
            </w:pPr>
          </w:p>
          <w:p w14:paraId="0DB14167" w14:textId="77777777" w:rsidR="00206943" w:rsidRPr="009A33BA" w:rsidRDefault="00206943" w:rsidP="00FB38DC">
            <w:pPr>
              <w:ind w:left="360"/>
              <w:jc w:val="left"/>
              <w:rPr>
                <w:kern w:val="22"/>
                <w:lang w:val="es-ES_tradnl"/>
              </w:rPr>
            </w:pPr>
          </w:p>
        </w:tc>
        <w:tc>
          <w:tcPr>
            <w:tcW w:w="3150" w:type="dxa"/>
            <w:shd w:val="clear" w:color="auto" w:fill="auto"/>
          </w:tcPr>
          <w:p w14:paraId="6426D6AC" w14:textId="00360FB5" w:rsidR="00FF6C5F" w:rsidRPr="009A33BA" w:rsidRDefault="000D1102" w:rsidP="00FB38DC">
            <w:pPr>
              <w:jc w:val="left"/>
              <w:rPr>
                <w:i/>
                <w:kern w:val="22"/>
                <w:lang w:val="es-ES_tradnl"/>
              </w:rPr>
            </w:pPr>
            <w:r w:rsidRPr="009A33BA">
              <w:rPr>
                <w:i/>
                <w:kern w:val="22"/>
                <w:lang w:val="es-ES_tradnl"/>
              </w:rPr>
              <w:t>Repercusiones</w:t>
            </w:r>
          </w:p>
          <w:p w14:paraId="41065E8C" w14:textId="77777777" w:rsidR="00FF6C5F" w:rsidRPr="009A33BA" w:rsidRDefault="00FF6C5F" w:rsidP="00FB38DC">
            <w:pPr>
              <w:jc w:val="left"/>
              <w:rPr>
                <w:kern w:val="22"/>
                <w:lang w:val="es-ES_tradnl"/>
              </w:rPr>
            </w:pPr>
          </w:p>
          <w:p w14:paraId="2C660770" w14:textId="2CAF0D40" w:rsidR="00206943" w:rsidRPr="009A33BA" w:rsidRDefault="00447A2D" w:rsidP="00FB38DC">
            <w:pPr>
              <w:jc w:val="left"/>
              <w:rPr>
                <w:kern w:val="22"/>
                <w:lang w:val="es-ES_tradnl"/>
              </w:rPr>
            </w:pPr>
            <w:r w:rsidRPr="009A33BA">
              <w:rPr>
                <w:kern w:val="22"/>
                <w:lang w:val="es-ES_tradnl"/>
              </w:rPr>
              <w:t xml:space="preserve">Continuarán los mecanismos de participación mejorados de que disponen los PICL en virtud del </w:t>
            </w:r>
            <w:r w:rsidR="00FC121A">
              <w:rPr>
                <w:kern w:val="22"/>
                <w:lang w:val="es-ES_tradnl"/>
              </w:rPr>
              <w:t xml:space="preserve">Grupo de Trabajo sobre el artículo </w:t>
            </w:r>
            <w:r w:rsidR="00FC121A" w:rsidRPr="009A33BA">
              <w:rPr>
                <w:bCs/>
                <w:kern w:val="22"/>
                <w:lang w:val="es-ES_tradnl"/>
              </w:rPr>
              <w:t>8</w:t>
            </w:r>
            <w:r w:rsidR="00FC121A">
              <w:rPr>
                <w:bCs/>
                <w:kern w:val="22"/>
                <w:lang w:val="es-ES_tradnl"/>
              </w:rPr>
              <w:t> </w:t>
            </w:r>
            <w:r w:rsidR="00FC121A" w:rsidRPr="009A33BA">
              <w:rPr>
                <w:bCs/>
                <w:kern w:val="22"/>
                <w:lang w:val="es-ES_tradnl"/>
              </w:rPr>
              <w:t>j)</w:t>
            </w:r>
            <w:r w:rsidR="00FC121A">
              <w:rPr>
                <w:bCs/>
                <w:kern w:val="22"/>
                <w:lang w:val="es-ES_tradnl"/>
              </w:rPr>
              <w:t>.</w:t>
            </w:r>
            <w:r w:rsidR="00206943" w:rsidRPr="009A33BA">
              <w:rPr>
                <w:kern w:val="22"/>
                <w:lang w:val="es-ES_tradnl"/>
              </w:rPr>
              <w:t xml:space="preserve"> </w:t>
            </w:r>
            <w:r w:rsidR="00145A46" w:rsidRPr="009A33BA">
              <w:rPr>
                <w:kern w:val="22"/>
                <w:lang w:val="es-ES_tradnl"/>
              </w:rPr>
              <w:t>Dichas prácticas incluyen</w:t>
            </w:r>
            <w:r w:rsidR="00206943" w:rsidRPr="009A33BA">
              <w:rPr>
                <w:kern w:val="22"/>
                <w:lang w:val="es-ES_tradnl"/>
              </w:rPr>
              <w:t>:</w:t>
            </w:r>
          </w:p>
          <w:p w14:paraId="6849FCE4" w14:textId="79779DB4" w:rsidR="00145A46" w:rsidRPr="009A33BA" w:rsidRDefault="00145A46" w:rsidP="00145A46">
            <w:pPr>
              <w:numPr>
                <w:ilvl w:val="0"/>
                <w:numId w:val="3"/>
              </w:numPr>
              <w:jc w:val="left"/>
              <w:rPr>
                <w:kern w:val="22"/>
                <w:lang w:val="es-ES_tradnl"/>
              </w:rPr>
            </w:pPr>
            <w:r w:rsidRPr="009A33BA">
              <w:rPr>
                <w:kern w:val="22"/>
                <w:lang w:val="es-ES_tradnl"/>
              </w:rPr>
              <w:t>la presentación de candidatura de un copresidente indígena para asistir al presidente de la reunión,</w:t>
            </w:r>
          </w:p>
          <w:p w14:paraId="5A5B7961" w14:textId="7A2C306C" w:rsidR="00145A46" w:rsidRPr="009A33BA" w:rsidRDefault="00145A46" w:rsidP="00145A46">
            <w:pPr>
              <w:numPr>
                <w:ilvl w:val="0"/>
                <w:numId w:val="3"/>
              </w:numPr>
              <w:jc w:val="left"/>
              <w:rPr>
                <w:kern w:val="22"/>
                <w:lang w:val="es-ES_tradnl"/>
              </w:rPr>
            </w:pPr>
            <w:r w:rsidRPr="009A33BA">
              <w:rPr>
                <w:kern w:val="22"/>
                <w:lang w:val="es-ES_tradnl"/>
              </w:rPr>
              <w:t xml:space="preserve">el nombramiento de siete representantes de los pueblos indígenas y comunidades locales, como Mesa de los PICL para trabajar como amigos de la Mesa del Gobierno </w:t>
            </w:r>
            <w:r w:rsidRPr="009A33BA">
              <w:rPr>
                <w:bCs/>
                <w:kern w:val="22"/>
                <w:lang w:val="es-ES_tradnl"/>
              </w:rPr>
              <w:t>(de la reunión)</w:t>
            </w:r>
            <w:r w:rsidRPr="009A33BA">
              <w:rPr>
                <w:kern w:val="22"/>
                <w:lang w:val="es-ES_tradnl"/>
              </w:rPr>
              <w:t xml:space="preserve">, </w:t>
            </w:r>
          </w:p>
          <w:p w14:paraId="163D3B92" w14:textId="471B0035" w:rsidR="00206943" w:rsidRPr="009A33BA" w:rsidRDefault="00145A46" w:rsidP="00FB38DC">
            <w:pPr>
              <w:numPr>
                <w:ilvl w:val="0"/>
                <w:numId w:val="3"/>
              </w:numPr>
              <w:jc w:val="left"/>
              <w:rPr>
                <w:kern w:val="22"/>
                <w:lang w:val="es-ES_tradnl"/>
              </w:rPr>
            </w:pPr>
            <w:r w:rsidRPr="009A33BA">
              <w:rPr>
                <w:bCs/>
                <w:noProof/>
                <w:kern w:val="22"/>
                <w:lang w:val="es-ES_tradnl"/>
              </w:rPr>
              <w:t>Copresidentes para grupos de contacto y otros arreglos</w:t>
            </w:r>
            <w:r w:rsidR="00206943" w:rsidRPr="009A33BA">
              <w:rPr>
                <w:kern w:val="22"/>
                <w:lang w:val="es-ES_tradnl"/>
              </w:rPr>
              <w:t xml:space="preserve">; </w:t>
            </w:r>
          </w:p>
          <w:p w14:paraId="46230490" w14:textId="1DFC484F" w:rsidR="00206943" w:rsidRPr="009A33BA" w:rsidRDefault="00145A46" w:rsidP="00145A46">
            <w:pPr>
              <w:numPr>
                <w:ilvl w:val="0"/>
                <w:numId w:val="3"/>
              </w:numPr>
              <w:jc w:val="left"/>
              <w:rPr>
                <w:kern w:val="22"/>
                <w:lang w:val="es-ES_tradnl"/>
              </w:rPr>
            </w:pPr>
            <w:r w:rsidRPr="009A33BA">
              <w:rPr>
                <w:kern w:val="22"/>
                <w:lang w:val="es-ES_tradnl"/>
              </w:rPr>
              <w:t>Mejores oportunidades para realizar intervenciones en todos los puntos del programa</w:t>
            </w:r>
            <w:r w:rsidRPr="009A33BA">
              <w:rPr>
                <w:bCs/>
                <w:kern w:val="22"/>
                <w:lang w:val="es-ES_tradnl"/>
              </w:rPr>
              <w:t>.</w:t>
            </w:r>
          </w:p>
        </w:tc>
      </w:tr>
      <w:tr w:rsidR="00206943" w:rsidRPr="00F80FBA" w14:paraId="66BF72CD" w14:textId="77777777" w:rsidTr="00E97CF5">
        <w:tc>
          <w:tcPr>
            <w:tcW w:w="3600" w:type="dxa"/>
            <w:shd w:val="clear" w:color="auto" w:fill="auto"/>
          </w:tcPr>
          <w:p w14:paraId="7C408DFB" w14:textId="023E944E" w:rsidR="00FF6C5F" w:rsidRPr="009A33BA" w:rsidRDefault="000D1102" w:rsidP="00FB38DC">
            <w:pPr>
              <w:jc w:val="left"/>
              <w:rPr>
                <w:i/>
                <w:kern w:val="22"/>
                <w:lang w:val="es-ES_tradnl"/>
              </w:rPr>
            </w:pPr>
            <w:r w:rsidRPr="009A33BA">
              <w:rPr>
                <w:i/>
                <w:kern w:val="22"/>
                <w:lang w:val="es-ES_tradnl"/>
              </w:rPr>
              <w:t>Posibles beneficios</w:t>
            </w:r>
            <w:r w:rsidR="00FF6C5F" w:rsidRPr="009A33BA">
              <w:rPr>
                <w:i/>
                <w:kern w:val="22"/>
                <w:lang w:val="es-ES_tradnl"/>
              </w:rPr>
              <w:t xml:space="preserve"> </w:t>
            </w:r>
          </w:p>
          <w:p w14:paraId="5393D004" w14:textId="77777777" w:rsidR="00FF6C5F" w:rsidRPr="009A33BA" w:rsidRDefault="00FF6C5F" w:rsidP="00FB38DC">
            <w:pPr>
              <w:jc w:val="left"/>
              <w:rPr>
                <w:kern w:val="22"/>
                <w:lang w:val="es-ES_tradnl"/>
              </w:rPr>
            </w:pPr>
          </w:p>
          <w:p w14:paraId="68A010C7" w14:textId="1B2F201A" w:rsidR="00206943" w:rsidRPr="009A33BA" w:rsidRDefault="00B63C00" w:rsidP="00FB38DC">
            <w:pPr>
              <w:jc w:val="left"/>
              <w:rPr>
                <w:kern w:val="22"/>
                <w:lang w:val="es-ES_tradnl"/>
              </w:rPr>
            </w:pPr>
            <w:r w:rsidRPr="009A33BA">
              <w:rPr>
                <w:kern w:val="22"/>
                <w:lang w:val="es-ES_tradnl"/>
              </w:rPr>
              <w:t>Un</w:t>
            </w:r>
            <w:r w:rsidR="00145A46" w:rsidRPr="009A33BA">
              <w:rPr>
                <w:kern w:val="22"/>
                <w:lang w:val="es-ES_tradnl"/>
              </w:rPr>
              <w:t>a</w:t>
            </w:r>
            <w:r w:rsidRPr="009A33BA">
              <w:rPr>
                <w:kern w:val="22"/>
                <w:lang w:val="es-ES_tradnl"/>
              </w:rPr>
              <w:t xml:space="preserve"> mayor participación de los PICL con arreglo al Convenio y su labor, </w:t>
            </w:r>
            <w:r w:rsidRPr="009A33BA">
              <w:rPr>
                <w:kern w:val="22"/>
                <w:lang w:val="es-ES_tradnl"/>
              </w:rPr>
              <w:lastRenderedPageBreak/>
              <w:t>incluida la contribución de los PICL a los objetivos del Convenio</w:t>
            </w:r>
            <w:r w:rsidR="00206943" w:rsidRPr="009A33BA">
              <w:rPr>
                <w:kern w:val="22"/>
                <w:lang w:val="es-ES_tradnl"/>
              </w:rPr>
              <w:t>.</w:t>
            </w:r>
          </w:p>
          <w:p w14:paraId="5FB08EA3" w14:textId="77777777" w:rsidR="00737FC3" w:rsidRPr="009A33BA" w:rsidRDefault="00737FC3" w:rsidP="00FB38DC">
            <w:pPr>
              <w:jc w:val="left"/>
              <w:rPr>
                <w:kern w:val="22"/>
                <w:lang w:val="es-ES_tradnl"/>
              </w:rPr>
            </w:pPr>
          </w:p>
          <w:p w14:paraId="135CF615" w14:textId="6B712E12" w:rsidR="007153AC" w:rsidRPr="009A33BA" w:rsidRDefault="00342CBB" w:rsidP="00FB38DC">
            <w:pPr>
              <w:jc w:val="left"/>
              <w:rPr>
                <w:kern w:val="22"/>
                <w:lang w:val="es-ES_tradnl"/>
              </w:rPr>
            </w:pPr>
            <w:r w:rsidRPr="009A33BA">
              <w:rPr>
                <w:kern w:val="22"/>
                <w:lang w:val="es-ES_tradnl"/>
              </w:rPr>
              <w:t xml:space="preserve">Un </w:t>
            </w:r>
            <w:r w:rsidR="00C9118D" w:rsidRPr="009A33BA">
              <w:rPr>
                <w:kern w:val="22"/>
                <w:lang w:val="es-ES_tradnl"/>
              </w:rPr>
              <w:t xml:space="preserve">reencuentro entre </w:t>
            </w:r>
            <w:r w:rsidRPr="009A33BA">
              <w:rPr>
                <w:kern w:val="22"/>
                <w:lang w:val="es-ES_tradnl"/>
              </w:rPr>
              <w:t>la diversidad biológica y cultural</w:t>
            </w:r>
            <w:r w:rsidR="007153AC" w:rsidRPr="009A33BA">
              <w:rPr>
                <w:kern w:val="22"/>
                <w:lang w:val="es-ES_tradnl"/>
              </w:rPr>
              <w:t xml:space="preserve">, </w:t>
            </w:r>
            <w:r w:rsidRPr="009A33BA">
              <w:rPr>
                <w:kern w:val="22"/>
                <w:lang w:val="es-ES_tradnl"/>
              </w:rPr>
              <w:t xml:space="preserve">acercando más la Naturaleza y la Cultura para la Visión </w:t>
            </w:r>
            <w:r w:rsidR="00DA65E1" w:rsidRPr="009A33BA">
              <w:rPr>
                <w:kern w:val="22"/>
                <w:lang w:val="es-ES_tradnl"/>
              </w:rPr>
              <w:t xml:space="preserve">para </w:t>
            </w:r>
            <w:r w:rsidRPr="009A33BA">
              <w:rPr>
                <w:kern w:val="22"/>
                <w:lang w:val="es-ES_tradnl"/>
              </w:rPr>
              <w:t xml:space="preserve">2050 del Convenio </w:t>
            </w:r>
            <w:r w:rsidR="007153AC" w:rsidRPr="009A33BA">
              <w:rPr>
                <w:kern w:val="22"/>
                <w:lang w:val="es-ES_tradnl"/>
              </w:rPr>
              <w:t>“</w:t>
            </w:r>
            <w:r w:rsidRPr="009A33BA">
              <w:rPr>
                <w:kern w:val="22"/>
                <w:lang w:val="es-ES_tradnl"/>
              </w:rPr>
              <w:t>Vivir en armonía con la naturaleza</w:t>
            </w:r>
            <w:r w:rsidR="007153AC" w:rsidRPr="009A33BA">
              <w:rPr>
                <w:kern w:val="22"/>
                <w:lang w:val="es-ES_tradnl"/>
              </w:rPr>
              <w:t>”.</w:t>
            </w:r>
          </w:p>
          <w:p w14:paraId="7059488F" w14:textId="77777777" w:rsidR="00737FC3" w:rsidRPr="009A33BA" w:rsidRDefault="00737FC3" w:rsidP="00FB38DC">
            <w:pPr>
              <w:jc w:val="left"/>
              <w:rPr>
                <w:kern w:val="22"/>
                <w:lang w:val="es-ES_tradnl"/>
              </w:rPr>
            </w:pPr>
          </w:p>
          <w:p w14:paraId="2C419A59" w14:textId="5AADA26B" w:rsidR="00206943" w:rsidRPr="009A33BA" w:rsidRDefault="00DA65E1" w:rsidP="00FB38DC">
            <w:pPr>
              <w:jc w:val="left"/>
              <w:rPr>
                <w:kern w:val="22"/>
                <w:lang w:val="es-ES_tradnl"/>
              </w:rPr>
            </w:pPr>
            <w:r w:rsidRPr="009A33BA">
              <w:rPr>
                <w:kern w:val="22"/>
                <w:lang w:val="es-ES_tradnl"/>
              </w:rPr>
              <w:t>Se adoptan mejores decisiones, más fundamentadas e integradas</w:t>
            </w:r>
            <w:r w:rsidR="00206943" w:rsidRPr="009A33BA">
              <w:rPr>
                <w:kern w:val="22"/>
                <w:lang w:val="es-ES_tradnl"/>
              </w:rPr>
              <w:t xml:space="preserve">. </w:t>
            </w:r>
          </w:p>
          <w:p w14:paraId="6BCB20AC" w14:textId="77777777" w:rsidR="00737FC3" w:rsidRPr="009A33BA" w:rsidRDefault="00737FC3" w:rsidP="00FB38DC">
            <w:pPr>
              <w:jc w:val="left"/>
              <w:rPr>
                <w:kern w:val="22"/>
                <w:lang w:val="es-ES_tradnl"/>
              </w:rPr>
            </w:pPr>
          </w:p>
          <w:p w14:paraId="6AB1463E" w14:textId="47A266A1" w:rsidR="00206943" w:rsidRPr="009A33BA" w:rsidRDefault="00DA65E1" w:rsidP="00FB38DC">
            <w:pPr>
              <w:jc w:val="left"/>
              <w:rPr>
                <w:kern w:val="22"/>
                <w:lang w:val="es-ES_tradnl"/>
              </w:rPr>
            </w:pPr>
            <w:r w:rsidRPr="009A33BA">
              <w:rPr>
                <w:kern w:val="22"/>
                <w:lang w:val="es-ES_tradnl"/>
              </w:rPr>
              <w:t>Una mayor coherencia entre las decisiones y la futura labor</w:t>
            </w:r>
            <w:r w:rsidR="00206943" w:rsidRPr="009A33BA">
              <w:rPr>
                <w:kern w:val="22"/>
                <w:lang w:val="es-ES_tradnl"/>
              </w:rPr>
              <w:t>.</w:t>
            </w:r>
          </w:p>
          <w:p w14:paraId="2DE097C2" w14:textId="77777777" w:rsidR="00737FC3" w:rsidRPr="009A33BA" w:rsidRDefault="00737FC3" w:rsidP="00FB38DC">
            <w:pPr>
              <w:jc w:val="left"/>
              <w:rPr>
                <w:kern w:val="22"/>
                <w:lang w:val="es-ES_tradnl"/>
              </w:rPr>
            </w:pPr>
          </w:p>
          <w:p w14:paraId="1C2AC226" w14:textId="4F0B38F4" w:rsidR="00206943" w:rsidRPr="009A33BA" w:rsidRDefault="00DA65E1" w:rsidP="00FB38DC">
            <w:pPr>
              <w:jc w:val="left"/>
              <w:rPr>
                <w:kern w:val="22"/>
                <w:lang w:val="es-ES_tradnl"/>
              </w:rPr>
            </w:pPr>
            <w:r w:rsidRPr="009A33BA">
              <w:rPr>
                <w:kern w:val="22"/>
                <w:lang w:val="es-ES_tradnl"/>
              </w:rPr>
              <w:t xml:space="preserve">Los conocimientos tradicionales se consideran en forma más amplia en todas las esferas de trabajo y proceso con arreglo al Convenio </w:t>
            </w:r>
            <w:r w:rsidR="00206943" w:rsidRPr="009A33BA">
              <w:rPr>
                <w:kern w:val="22"/>
                <w:lang w:val="es-ES_tradnl"/>
              </w:rPr>
              <w:t>(</w:t>
            </w:r>
            <w:r w:rsidRPr="009A33BA">
              <w:rPr>
                <w:kern w:val="22"/>
                <w:lang w:val="es-ES_tradnl"/>
              </w:rPr>
              <w:t>tales como restauración, especies invasoras</w:t>
            </w:r>
            <w:r w:rsidR="00206943" w:rsidRPr="009A33BA">
              <w:rPr>
                <w:kern w:val="22"/>
                <w:lang w:val="es-ES_tradnl"/>
              </w:rPr>
              <w:t xml:space="preserve">), </w:t>
            </w:r>
            <w:r w:rsidRPr="009A33BA">
              <w:rPr>
                <w:kern w:val="22"/>
                <w:lang w:val="es-ES_tradnl"/>
              </w:rPr>
              <w:t>procesos de alcance mundial, como ODS y medidas relativas al clima</w:t>
            </w:r>
            <w:r w:rsidR="00206943" w:rsidRPr="009A33BA">
              <w:rPr>
                <w:kern w:val="22"/>
                <w:lang w:val="es-ES_tradnl"/>
              </w:rPr>
              <w:t>.</w:t>
            </w:r>
          </w:p>
          <w:p w14:paraId="2F66E906" w14:textId="77777777" w:rsidR="00737FC3" w:rsidRPr="009A33BA" w:rsidRDefault="00737FC3" w:rsidP="00FB38DC">
            <w:pPr>
              <w:jc w:val="left"/>
              <w:rPr>
                <w:kern w:val="22"/>
                <w:lang w:val="es-ES_tradnl"/>
              </w:rPr>
            </w:pPr>
          </w:p>
          <w:p w14:paraId="1A064E05" w14:textId="0F6F7D68" w:rsidR="007153AC" w:rsidRPr="009A33BA" w:rsidRDefault="005505CE" w:rsidP="00FB38DC">
            <w:pPr>
              <w:jc w:val="left"/>
              <w:rPr>
                <w:kern w:val="22"/>
                <w:lang w:val="es-ES_tradnl"/>
              </w:rPr>
            </w:pPr>
            <w:r w:rsidRPr="009A33BA">
              <w:rPr>
                <w:kern w:val="22"/>
                <w:lang w:val="es-ES_tradnl"/>
              </w:rPr>
              <w:t xml:space="preserve">Los temas del programa de trabajo sobre el </w:t>
            </w:r>
            <w:r w:rsidR="009522CB" w:rsidRPr="009A33BA">
              <w:rPr>
                <w:kern w:val="22"/>
                <w:lang w:val="es-ES_tradnl"/>
              </w:rPr>
              <w:t>artículo 8 j)</w:t>
            </w:r>
            <w:r w:rsidR="00947D5E" w:rsidRPr="009A33BA">
              <w:rPr>
                <w:kern w:val="22"/>
                <w:lang w:val="es-ES_tradnl"/>
              </w:rPr>
              <w:t xml:space="preserve"> </w:t>
            </w:r>
            <w:r w:rsidRPr="009A33BA">
              <w:rPr>
                <w:kern w:val="22"/>
                <w:lang w:val="es-ES_tradnl"/>
              </w:rPr>
              <w:t xml:space="preserve">podrían agruparse con cuestiones conexas y examinarse en conjunto, tales como la </w:t>
            </w:r>
            <w:r w:rsidRPr="009A33BA">
              <w:rPr>
                <w:kern w:val="22"/>
                <w:szCs w:val="22"/>
                <w:lang w:val="es-ES_tradnl"/>
              </w:rPr>
              <w:t>utilización consuetudinaria sostenible de la diversidad biológica</w:t>
            </w:r>
            <w:r w:rsidRPr="009A33BA">
              <w:rPr>
                <w:kern w:val="22"/>
                <w:lang w:val="es-ES_tradnl"/>
              </w:rPr>
              <w:t xml:space="preserve"> y </w:t>
            </w:r>
            <w:r w:rsidR="00FA768E" w:rsidRPr="009A33BA">
              <w:rPr>
                <w:kern w:val="22"/>
                <w:lang w:val="es-ES_tradnl"/>
              </w:rPr>
              <w:t>la Gestión sostenible de la fauna y flora silvestres, incluida las cuestiones relativas a la carne de animales silvestres</w:t>
            </w:r>
            <w:r w:rsidR="007153AC" w:rsidRPr="009A33BA">
              <w:rPr>
                <w:kern w:val="22"/>
                <w:lang w:val="es-ES_tradnl"/>
              </w:rPr>
              <w:t>.</w:t>
            </w:r>
          </w:p>
          <w:p w14:paraId="7EEBCA30" w14:textId="77777777" w:rsidR="00737FC3" w:rsidRPr="009A33BA" w:rsidRDefault="00737FC3" w:rsidP="00FB38DC">
            <w:pPr>
              <w:jc w:val="left"/>
              <w:rPr>
                <w:kern w:val="22"/>
                <w:lang w:val="es-ES_tradnl"/>
              </w:rPr>
            </w:pPr>
          </w:p>
          <w:p w14:paraId="36B8925E" w14:textId="0B12F544" w:rsidR="007153AC" w:rsidRPr="009A33BA" w:rsidRDefault="00AA06D0" w:rsidP="00FB38DC">
            <w:pPr>
              <w:jc w:val="left"/>
              <w:rPr>
                <w:kern w:val="22"/>
                <w:lang w:val="es-ES_tradnl"/>
              </w:rPr>
            </w:pPr>
            <w:r w:rsidRPr="009A33BA">
              <w:rPr>
                <w:kern w:val="22"/>
                <w:lang w:val="es-ES_tradnl"/>
              </w:rPr>
              <w:t>Teniendo presente los logros de las últimas décadas, incluido el fomento del acceso y la participación en los beneficios y la protección de los conocimientos tradicionales</w:t>
            </w:r>
            <w:r w:rsidR="007153AC" w:rsidRPr="009A33BA">
              <w:rPr>
                <w:kern w:val="22"/>
                <w:lang w:val="es-ES_tradnl"/>
              </w:rPr>
              <w:t xml:space="preserve">, </w:t>
            </w:r>
            <w:r w:rsidRPr="009A33BA">
              <w:rPr>
                <w:kern w:val="22"/>
                <w:lang w:val="es-ES_tradnl"/>
              </w:rPr>
              <w:t>un programa de trabajo totalmente integrado podría</w:t>
            </w:r>
            <w:r w:rsidR="00FC121A">
              <w:rPr>
                <w:kern w:val="22"/>
                <w:lang w:val="es-ES_tradnl"/>
              </w:rPr>
              <w:t xml:space="preserve"> orientarse hacia </w:t>
            </w:r>
            <w:r w:rsidRPr="009A33BA">
              <w:rPr>
                <w:kern w:val="22"/>
                <w:lang w:val="es-ES_tradnl"/>
              </w:rPr>
              <w:t xml:space="preserve">la aplicación de las metas del Convenio y estudiar incentivos para volver a introducir y fortalecer la aplicación de los conocimientos tradicionales </w:t>
            </w:r>
            <w:r w:rsidR="00FC121A">
              <w:rPr>
                <w:kern w:val="22"/>
                <w:lang w:val="es-ES_tradnl"/>
              </w:rPr>
              <w:t xml:space="preserve">en </w:t>
            </w:r>
            <w:r w:rsidRPr="009A33BA">
              <w:rPr>
                <w:kern w:val="22"/>
                <w:lang w:val="es-ES_tradnl"/>
              </w:rPr>
              <w:t xml:space="preserve">el marco de la diversidad biológica posterior a </w:t>
            </w:r>
            <w:r w:rsidR="00594B91" w:rsidRPr="009A33BA">
              <w:rPr>
                <w:kern w:val="22"/>
                <w:lang w:val="es-ES_tradnl"/>
              </w:rPr>
              <w:t>2020</w:t>
            </w:r>
            <w:r w:rsidR="00737FC3" w:rsidRPr="009A33BA">
              <w:rPr>
                <w:kern w:val="22"/>
                <w:lang w:val="es-ES_tradnl"/>
              </w:rPr>
              <w:t>.</w:t>
            </w:r>
          </w:p>
          <w:p w14:paraId="61D3EE99" w14:textId="77777777" w:rsidR="00206943" w:rsidRPr="009A33BA" w:rsidRDefault="00206943" w:rsidP="00FB38DC">
            <w:pPr>
              <w:ind w:firstLine="89"/>
              <w:jc w:val="left"/>
              <w:rPr>
                <w:b/>
                <w:kern w:val="22"/>
                <w:lang w:val="es-ES_tradnl"/>
              </w:rPr>
            </w:pPr>
          </w:p>
        </w:tc>
        <w:tc>
          <w:tcPr>
            <w:tcW w:w="3240" w:type="dxa"/>
            <w:shd w:val="clear" w:color="auto" w:fill="auto"/>
          </w:tcPr>
          <w:p w14:paraId="51A7E838" w14:textId="77777777" w:rsidR="000D1102" w:rsidRPr="009A33BA" w:rsidRDefault="000D1102" w:rsidP="000D1102">
            <w:pPr>
              <w:jc w:val="left"/>
              <w:rPr>
                <w:i/>
                <w:kern w:val="22"/>
                <w:lang w:val="es-ES_tradnl"/>
              </w:rPr>
            </w:pPr>
            <w:r w:rsidRPr="009A33BA">
              <w:rPr>
                <w:i/>
                <w:kern w:val="22"/>
                <w:lang w:val="es-ES_tradnl"/>
              </w:rPr>
              <w:lastRenderedPageBreak/>
              <w:t xml:space="preserve">Posibles beneficios </w:t>
            </w:r>
          </w:p>
          <w:p w14:paraId="1FC7BE24" w14:textId="77777777" w:rsidR="00FF6C5F" w:rsidRPr="009A33BA" w:rsidRDefault="00FF6C5F" w:rsidP="00FB38DC">
            <w:pPr>
              <w:jc w:val="left"/>
              <w:rPr>
                <w:kern w:val="22"/>
                <w:lang w:val="es-ES_tradnl"/>
              </w:rPr>
            </w:pPr>
          </w:p>
          <w:p w14:paraId="4CD626B8" w14:textId="0957730B" w:rsidR="00206943" w:rsidRPr="009A33BA" w:rsidRDefault="00342CBB" w:rsidP="00FB38DC">
            <w:pPr>
              <w:jc w:val="left"/>
              <w:rPr>
                <w:kern w:val="22"/>
                <w:lang w:val="es-ES_tradnl"/>
              </w:rPr>
            </w:pPr>
            <w:r w:rsidRPr="009A33BA">
              <w:rPr>
                <w:kern w:val="22"/>
                <w:lang w:val="es-ES_tradnl"/>
              </w:rPr>
              <w:t xml:space="preserve">La participación de los </w:t>
            </w:r>
            <w:r w:rsidR="00053F89" w:rsidRPr="009A33BA">
              <w:rPr>
                <w:kern w:val="22"/>
                <w:lang w:val="es-ES_tradnl"/>
              </w:rPr>
              <w:t>pueblos indígenas y comunidades locales</w:t>
            </w:r>
            <w:r w:rsidR="00206943" w:rsidRPr="009A33BA">
              <w:rPr>
                <w:kern w:val="22"/>
                <w:lang w:val="es-ES_tradnl"/>
              </w:rPr>
              <w:t xml:space="preserve"> </w:t>
            </w:r>
            <w:r w:rsidRPr="009A33BA">
              <w:rPr>
                <w:kern w:val="22"/>
                <w:lang w:val="es-ES_tradnl"/>
              </w:rPr>
              <w:t xml:space="preserve">en las reuniones celebradas con </w:t>
            </w:r>
            <w:r w:rsidRPr="009A33BA">
              <w:rPr>
                <w:kern w:val="22"/>
                <w:lang w:val="es-ES_tradnl"/>
              </w:rPr>
              <w:lastRenderedPageBreak/>
              <w:t xml:space="preserve">arreglo al Convenio, en particular en el </w:t>
            </w:r>
            <w:r w:rsidR="0034182E" w:rsidRPr="009A33BA">
              <w:rPr>
                <w:kern w:val="22"/>
                <w:lang w:val="es-ES_tradnl"/>
              </w:rPr>
              <w:t>Grupo de Trabajo</w:t>
            </w:r>
            <w:r w:rsidR="00206943" w:rsidRPr="009A33BA">
              <w:rPr>
                <w:kern w:val="22"/>
                <w:lang w:val="es-ES_tradnl"/>
              </w:rPr>
              <w:t xml:space="preserve"> </w:t>
            </w:r>
            <w:r w:rsidRPr="009A33BA">
              <w:rPr>
                <w:kern w:val="22"/>
                <w:lang w:val="es-ES_tradnl"/>
              </w:rPr>
              <w:t xml:space="preserve">sobre el </w:t>
            </w:r>
            <w:r w:rsidR="009522CB" w:rsidRPr="009A33BA">
              <w:rPr>
                <w:kern w:val="22"/>
                <w:lang w:val="es-ES_tradnl"/>
              </w:rPr>
              <w:t>artículo 8 j)</w:t>
            </w:r>
            <w:r w:rsidR="00206943" w:rsidRPr="009A33BA">
              <w:rPr>
                <w:kern w:val="22"/>
                <w:lang w:val="es-ES_tradnl"/>
              </w:rPr>
              <w:t xml:space="preserve"> h</w:t>
            </w:r>
            <w:r w:rsidRPr="009A33BA">
              <w:rPr>
                <w:kern w:val="22"/>
                <w:lang w:val="es-ES_tradnl"/>
              </w:rPr>
              <w:t>a contribuido considerablemente a la adopción de decisiones; las directrices de las Partes para la aplicación del Convenio se centrarán en cuestiones relacionadas con los conocimientos tradicionales</w:t>
            </w:r>
            <w:r w:rsidR="00206943" w:rsidRPr="009A33BA">
              <w:rPr>
                <w:kern w:val="22"/>
                <w:lang w:val="es-ES_tradnl"/>
              </w:rPr>
              <w:t>.</w:t>
            </w:r>
          </w:p>
          <w:p w14:paraId="4E985129" w14:textId="77777777" w:rsidR="00737FC3" w:rsidRPr="009A33BA" w:rsidRDefault="00737FC3" w:rsidP="00FB38DC">
            <w:pPr>
              <w:jc w:val="left"/>
              <w:rPr>
                <w:kern w:val="22"/>
                <w:lang w:val="es-ES_tradnl"/>
              </w:rPr>
            </w:pPr>
          </w:p>
          <w:p w14:paraId="446E7673" w14:textId="128D0283" w:rsidR="00206943" w:rsidRPr="009A33BA" w:rsidRDefault="00145A46" w:rsidP="00FB38DC">
            <w:pPr>
              <w:jc w:val="left"/>
              <w:rPr>
                <w:kern w:val="22"/>
                <w:lang w:val="es-ES_tradnl"/>
              </w:rPr>
            </w:pPr>
            <w:r w:rsidRPr="009A33BA">
              <w:rPr>
                <w:kern w:val="22"/>
                <w:lang w:val="es-ES_tradnl"/>
              </w:rPr>
              <w:t xml:space="preserve">El Grupo de Trabajo ofrece el espacio para debates profundos sobre las cuestiones relativas a los PICL y el diálogo entre </w:t>
            </w:r>
            <w:r w:rsidR="00053F89" w:rsidRPr="009A33BA">
              <w:rPr>
                <w:kern w:val="22"/>
                <w:lang w:val="es-ES_tradnl"/>
              </w:rPr>
              <w:t>pueblos indígenas y comunidades locales</w:t>
            </w:r>
            <w:r w:rsidR="00737FC3" w:rsidRPr="009A33BA">
              <w:rPr>
                <w:kern w:val="22"/>
                <w:lang w:val="es-ES_tradnl"/>
              </w:rPr>
              <w:t xml:space="preserve"> </w:t>
            </w:r>
            <w:r w:rsidRPr="009A33BA">
              <w:rPr>
                <w:kern w:val="22"/>
                <w:lang w:val="es-ES_tradnl"/>
              </w:rPr>
              <w:t>y los representantes de gobiernos</w:t>
            </w:r>
            <w:r w:rsidR="00206943" w:rsidRPr="009A33BA">
              <w:rPr>
                <w:kern w:val="22"/>
                <w:lang w:val="es-ES_tradnl"/>
              </w:rPr>
              <w:t>.</w:t>
            </w:r>
          </w:p>
          <w:p w14:paraId="5CC2EA79" w14:textId="77777777" w:rsidR="00737FC3" w:rsidRPr="009A33BA" w:rsidRDefault="00737FC3" w:rsidP="00FB38DC">
            <w:pPr>
              <w:jc w:val="left"/>
              <w:rPr>
                <w:kern w:val="22"/>
                <w:lang w:val="es-ES_tradnl"/>
              </w:rPr>
            </w:pPr>
          </w:p>
          <w:p w14:paraId="3CAA15D9" w14:textId="3B9467FC" w:rsidR="00BD537C" w:rsidRPr="009A33BA" w:rsidRDefault="00145A46" w:rsidP="00FB38DC">
            <w:pPr>
              <w:jc w:val="left"/>
              <w:rPr>
                <w:kern w:val="22"/>
                <w:lang w:val="es-ES_tradnl"/>
              </w:rPr>
            </w:pPr>
            <w:r w:rsidRPr="009A33BA">
              <w:rPr>
                <w:kern w:val="22"/>
                <w:lang w:val="es-ES_tradnl"/>
              </w:rPr>
              <w:t xml:space="preserve">Como entidad asesora permanente o </w:t>
            </w:r>
            <w:r w:rsidRPr="009A33BA">
              <w:rPr>
                <w:i/>
                <w:kern w:val="22"/>
                <w:lang w:val="es-ES_tradnl"/>
              </w:rPr>
              <w:t>Foro Alternativo de Conocimientos</w:t>
            </w:r>
            <w:r w:rsidR="00BD537C" w:rsidRPr="009A33BA">
              <w:rPr>
                <w:kern w:val="22"/>
                <w:lang w:val="es-ES_tradnl"/>
              </w:rPr>
              <w:t xml:space="preserve">, </w:t>
            </w:r>
            <w:r w:rsidRPr="009A33BA">
              <w:rPr>
                <w:kern w:val="22"/>
                <w:lang w:val="es-ES_tradnl"/>
              </w:rPr>
              <w:t>el antiguo Grupo de Trabajo podría</w:t>
            </w:r>
            <w:r w:rsidR="00FC121A">
              <w:rPr>
                <w:kern w:val="22"/>
                <w:lang w:val="es-ES_tradnl"/>
              </w:rPr>
              <w:t xml:space="preserve"> orientarse hacia </w:t>
            </w:r>
            <w:r w:rsidRPr="009A33BA">
              <w:rPr>
                <w:kern w:val="22"/>
                <w:lang w:val="es-ES_tradnl"/>
              </w:rPr>
              <w:t>la aplicación de los conocimientos tradicionales a las metas del Convenio</w:t>
            </w:r>
            <w:r w:rsidR="00BD537C" w:rsidRPr="009A33BA">
              <w:rPr>
                <w:kern w:val="22"/>
                <w:lang w:val="es-ES_tradnl"/>
              </w:rPr>
              <w:t xml:space="preserve">. </w:t>
            </w:r>
            <w:r w:rsidRPr="009A33BA">
              <w:rPr>
                <w:kern w:val="22"/>
                <w:lang w:val="es-ES_tradnl"/>
              </w:rPr>
              <w:t xml:space="preserve">Como tal, complementaría el OSACTT, foro </w:t>
            </w:r>
            <w:r w:rsidR="00246D79" w:rsidRPr="009A33BA">
              <w:rPr>
                <w:kern w:val="22"/>
                <w:lang w:val="es-ES_tradnl"/>
              </w:rPr>
              <w:t xml:space="preserve">científico para aportar al Convenio la mejor base de conocimientos posible para lograr futuras metas y la Visión para </w:t>
            </w:r>
            <w:r w:rsidR="00BD537C" w:rsidRPr="009A33BA">
              <w:rPr>
                <w:kern w:val="22"/>
                <w:lang w:val="es-ES_tradnl"/>
              </w:rPr>
              <w:t xml:space="preserve">2050 </w:t>
            </w:r>
            <w:r w:rsidR="00246D79" w:rsidRPr="009A33BA">
              <w:rPr>
                <w:kern w:val="22"/>
                <w:lang w:val="es-ES_tradnl"/>
              </w:rPr>
              <w:t xml:space="preserve">de </w:t>
            </w:r>
            <w:r w:rsidR="00BD537C" w:rsidRPr="009A33BA">
              <w:rPr>
                <w:kern w:val="22"/>
                <w:lang w:val="es-ES_tradnl"/>
              </w:rPr>
              <w:t>“</w:t>
            </w:r>
            <w:r w:rsidR="00024650" w:rsidRPr="009A33BA">
              <w:rPr>
                <w:kern w:val="22"/>
                <w:lang w:val="es-ES_tradnl"/>
              </w:rPr>
              <w:t>Vivi</w:t>
            </w:r>
            <w:r w:rsidR="00246D79" w:rsidRPr="009A33BA">
              <w:rPr>
                <w:kern w:val="22"/>
                <w:lang w:val="es-ES_tradnl"/>
              </w:rPr>
              <w:t xml:space="preserve">r </w:t>
            </w:r>
            <w:r w:rsidR="00024650" w:rsidRPr="009A33BA">
              <w:rPr>
                <w:kern w:val="22"/>
                <w:lang w:val="es-ES_tradnl"/>
              </w:rPr>
              <w:t>en armonía con la naturaleza</w:t>
            </w:r>
            <w:r w:rsidR="00BD537C" w:rsidRPr="009A33BA">
              <w:rPr>
                <w:kern w:val="22"/>
                <w:lang w:val="es-ES_tradnl"/>
              </w:rPr>
              <w:t>”.</w:t>
            </w:r>
          </w:p>
          <w:p w14:paraId="64150344" w14:textId="77777777" w:rsidR="00737FC3" w:rsidRPr="009A33BA" w:rsidRDefault="00737FC3" w:rsidP="00FB38DC">
            <w:pPr>
              <w:jc w:val="left"/>
              <w:rPr>
                <w:kern w:val="22"/>
                <w:lang w:val="es-ES_tradnl"/>
              </w:rPr>
            </w:pPr>
          </w:p>
          <w:p w14:paraId="152B34F4" w14:textId="65AD90DC" w:rsidR="00206943" w:rsidRPr="009A33BA" w:rsidRDefault="00246D79" w:rsidP="00FB38DC">
            <w:pPr>
              <w:jc w:val="left"/>
              <w:rPr>
                <w:kern w:val="22"/>
                <w:lang w:val="es-ES_tradnl"/>
              </w:rPr>
            </w:pPr>
            <w:r w:rsidRPr="009A33BA">
              <w:rPr>
                <w:kern w:val="22"/>
                <w:lang w:val="es-ES_tradnl"/>
              </w:rPr>
              <w:t>Un órgano especializado permanente podría contribuir directamente a otras entidades subsidiarias y los Protocolos en relación con cuestiones específicas</w:t>
            </w:r>
            <w:r w:rsidR="00206943" w:rsidRPr="009A33BA">
              <w:rPr>
                <w:kern w:val="22"/>
                <w:lang w:val="es-ES_tradnl"/>
              </w:rPr>
              <w:t>.</w:t>
            </w:r>
          </w:p>
          <w:p w14:paraId="359B21AC" w14:textId="77777777" w:rsidR="00737FC3" w:rsidRPr="009A33BA" w:rsidRDefault="00737FC3" w:rsidP="00FB38DC">
            <w:pPr>
              <w:jc w:val="left"/>
              <w:rPr>
                <w:kern w:val="22"/>
                <w:lang w:val="es-ES_tradnl"/>
              </w:rPr>
            </w:pPr>
          </w:p>
          <w:p w14:paraId="1B67A3B2" w14:textId="250B9C27" w:rsidR="00737FC3" w:rsidRPr="009A33BA" w:rsidRDefault="00246D79" w:rsidP="00FB38DC">
            <w:pPr>
              <w:jc w:val="left"/>
              <w:rPr>
                <w:kern w:val="22"/>
                <w:lang w:val="es-ES_tradnl"/>
              </w:rPr>
            </w:pPr>
            <w:r w:rsidRPr="009A33BA">
              <w:rPr>
                <w:kern w:val="22"/>
                <w:lang w:val="es-ES_tradnl"/>
              </w:rPr>
              <w:t xml:space="preserve">Esto no debería excluir la participación efectiva de </w:t>
            </w:r>
            <w:r w:rsidR="00053F89" w:rsidRPr="009A33BA">
              <w:rPr>
                <w:kern w:val="22"/>
                <w:lang w:val="es-ES_tradnl"/>
              </w:rPr>
              <w:t>pueblos indígenas y comunidades locales</w:t>
            </w:r>
            <w:r w:rsidR="00983A5C" w:rsidRPr="009A33BA">
              <w:rPr>
                <w:kern w:val="22"/>
                <w:lang w:val="es-ES_tradnl"/>
              </w:rPr>
              <w:t xml:space="preserve"> </w:t>
            </w:r>
            <w:r w:rsidRPr="009A33BA">
              <w:rPr>
                <w:kern w:val="22"/>
                <w:lang w:val="es-ES_tradnl"/>
              </w:rPr>
              <w:t>en la amplia labor del Convenio, y sus Protocolos, en particular en sus arreglos institucionales</w:t>
            </w:r>
            <w:r w:rsidR="00737FC3" w:rsidRPr="009A33BA">
              <w:rPr>
                <w:kern w:val="22"/>
                <w:lang w:val="es-ES_tradnl"/>
              </w:rPr>
              <w:t>.</w:t>
            </w:r>
          </w:p>
          <w:p w14:paraId="71FF9FD4" w14:textId="77777777" w:rsidR="00737FC3" w:rsidRPr="009A33BA" w:rsidRDefault="00737FC3" w:rsidP="00FB38DC">
            <w:pPr>
              <w:jc w:val="left"/>
              <w:rPr>
                <w:kern w:val="22"/>
                <w:lang w:val="es-ES_tradnl"/>
              </w:rPr>
            </w:pPr>
          </w:p>
          <w:p w14:paraId="76A382BF" w14:textId="486B2269" w:rsidR="00206943" w:rsidRPr="009A33BA" w:rsidRDefault="00246D79" w:rsidP="00FB38DC">
            <w:pPr>
              <w:jc w:val="left"/>
              <w:rPr>
                <w:kern w:val="22"/>
                <w:lang w:val="es-ES_tradnl"/>
              </w:rPr>
            </w:pPr>
            <w:r w:rsidRPr="009A33BA">
              <w:rPr>
                <w:kern w:val="22"/>
                <w:lang w:val="es-ES_tradnl"/>
              </w:rPr>
              <w:t>La tendencia actual en otros órganos de las Naciones Unidas es establecer órganos específicos para abordar cuestiones pertinentes a los pueblos indígenas</w:t>
            </w:r>
            <w:r w:rsidR="00737FC3" w:rsidRPr="009A33BA">
              <w:rPr>
                <w:kern w:val="22"/>
                <w:lang w:val="es-ES_tradnl"/>
              </w:rPr>
              <w:t xml:space="preserve">, </w:t>
            </w:r>
            <w:r w:rsidRPr="009A33BA">
              <w:rPr>
                <w:kern w:val="22"/>
                <w:lang w:val="es-ES_tradnl"/>
              </w:rPr>
              <w:t xml:space="preserve">tales como los </w:t>
            </w:r>
            <w:r w:rsidRPr="009A33BA">
              <w:rPr>
                <w:kern w:val="22"/>
                <w:lang w:val="es-ES_tradnl"/>
              </w:rPr>
              <w:lastRenderedPageBreak/>
              <w:t xml:space="preserve">derechos colectivos </w:t>
            </w:r>
            <w:r w:rsidR="00206943" w:rsidRPr="009A33BA">
              <w:rPr>
                <w:kern w:val="22"/>
                <w:lang w:val="es-ES_tradnl"/>
              </w:rPr>
              <w:t>(</w:t>
            </w:r>
            <w:r w:rsidRPr="009A33BA">
              <w:rPr>
                <w:kern w:val="22"/>
                <w:lang w:val="es-ES_tradnl"/>
              </w:rPr>
              <w:t xml:space="preserve">véase la sección </w:t>
            </w:r>
            <w:r w:rsidR="00992F7A" w:rsidRPr="009A33BA">
              <w:rPr>
                <w:kern w:val="22"/>
                <w:lang w:val="es-ES_tradnl"/>
              </w:rPr>
              <w:t>2</w:t>
            </w:r>
            <w:r w:rsidR="00206943" w:rsidRPr="009A33BA">
              <w:rPr>
                <w:kern w:val="22"/>
                <w:lang w:val="es-ES_tradnl"/>
              </w:rPr>
              <w:t>).</w:t>
            </w:r>
            <w:r w:rsidRPr="009A33BA">
              <w:rPr>
                <w:kern w:val="22"/>
                <w:lang w:val="es-ES_tradnl"/>
              </w:rPr>
              <w:t xml:space="preserve"> Al mismo tiempo, muchas organizaciones están fomentando la participación de los </w:t>
            </w:r>
            <w:r w:rsidR="00053F89" w:rsidRPr="009A33BA">
              <w:rPr>
                <w:kern w:val="22"/>
                <w:lang w:val="es-ES_tradnl"/>
              </w:rPr>
              <w:t xml:space="preserve">pueblos indígenas y </w:t>
            </w:r>
            <w:r w:rsidRPr="009A33BA">
              <w:rPr>
                <w:kern w:val="22"/>
                <w:lang w:val="es-ES_tradnl"/>
              </w:rPr>
              <w:t xml:space="preserve">las </w:t>
            </w:r>
            <w:r w:rsidR="00053F89" w:rsidRPr="009A33BA">
              <w:rPr>
                <w:kern w:val="22"/>
                <w:lang w:val="es-ES_tradnl"/>
              </w:rPr>
              <w:t>comunidades locales</w:t>
            </w:r>
            <w:r w:rsidR="00737FC3" w:rsidRPr="009A33BA">
              <w:rPr>
                <w:kern w:val="22"/>
                <w:lang w:val="es-ES_tradnl"/>
              </w:rPr>
              <w:t xml:space="preserve"> </w:t>
            </w:r>
            <w:r w:rsidRPr="009A33BA">
              <w:rPr>
                <w:kern w:val="22"/>
                <w:lang w:val="es-ES_tradnl"/>
              </w:rPr>
              <w:t>en toda su labor y arreglos institucionales</w:t>
            </w:r>
            <w:r w:rsidR="00737FC3" w:rsidRPr="009A33BA">
              <w:rPr>
                <w:kern w:val="22"/>
                <w:lang w:val="es-ES_tradnl"/>
              </w:rPr>
              <w:t xml:space="preserve">, </w:t>
            </w:r>
            <w:r w:rsidRPr="009A33BA">
              <w:rPr>
                <w:kern w:val="22"/>
                <w:lang w:val="es-ES_tradnl"/>
              </w:rPr>
              <w:t xml:space="preserve">para explorar a fondo el valor añadido de su </w:t>
            </w:r>
            <w:r w:rsidR="00FC121A">
              <w:rPr>
                <w:kern w:val="22"/>
                <w:lang w:val="es-ES_tradnl"/>
              </w:rPr>
              <w:t xml:space="preserve">compromiso en abordar </w:t>
            </w:r>
            <w:r w:rsidRPr="009A33BA">
              <w:rPr>
                <w:kern w:val="22"/>
                <w:lang w:val="es-ES_tradnl"/>
              </w:rPr>
              <w:t>asuntos de alcance mundial, tal como el desarrollo sostenible y el cambio climático</w:t>
            </w:r>
            <w:r w:rsidR="00737FC3" w:rsidRPr="009A33BA">
              <w:rPr>
                <w:kern w:val="22"/>
                <w:lang w:val="es-ES_tradnl"/>
              </w:rPr>
              <w:t xml:space="preserve">. </w:t>
            </w:r>
          </w:p>
        </w:tc>
        <w:tc>
          <w:tcPr>
            <w:tcW w:w="3150" w:type="dxa"/>
            <w:shd w:val="clear" w:color="auto" w:fill="auto"/>
          </w:tcPr>
          <w:p w14:paraId="31849EC3" w14:textId="77777777" w:rsidR="000D1102" w:rsidRPr="009A33BA" w:rsidRDefault="000D1102" w:rsidP="000D1102">
            <w:pPr>
              <w:jc w:val="left"/>
              <w:rPr>
                <w:i/>
                <w:kern w:val="22"/>
                <w:lang w:val="es-ES_tradnl"/>
              </w:rPr>
            </w:pPr>
            <w:r w:rsidRPr="009A33BA">
              <w:rPr>
                <w:i/>
                <w:kern w:val="22"/>
                <w:lang w:val="es-ES_tradnl"/>
              </w:rPr>
              <w:lastRenderedPageBreak/>
              <w:t xml:space="preserve">Posibles beneficios </w:t>
            </w:r>
          </w:p>
          <w:p w14:paraId="7F8566A3" w14:textId="77777777" w:rsidR="00FF6C5F" w:rsidRPr="009A33BA" w:rsidRDefault="00FF6C5F" w:rsidP="00FB38DC">
            <w:pPr>
              <w:jc w:val="left"/>
              <w:rPr>
                <w:kern w:val="22"/>
                <w:lang w:val="es-ES_tradnl"/>
              </w:rPr>
            </w:pPr>
          </w:p>
          <w:p w14:paraId="3BBF799F" w14:textId="470291E5" w:rsidR="00206943" w:rsidRPr="009A33BA" w:rsidRDefault="000D1102" w:rsidP="00FB38DC">
            <w:pPr>
              <w:jc w:val="left"/>
              <w:rPr>
                <w:kern w:val="22"/>
                <w:lang w:val="es-ES_tradnl"/>
              </w:rPr>
            </w:pPr>
            <w:r w:rsidRPr="009A33BA">
              <w:rPr>
                <w:kern w:val="22"/>
                <w:lang w:val="es-ES_tradnl"/>
              </w:rPr>
              <w:t xml:space="preserve">El Grupo de Trabajo sobre el </w:t>
            </w:r>
            <w:r w:rsidR="009522CB" w:rsidRPr="009A33BA">
              <w:rPr>
                <w:kern w:val="22"/>
                <w:lang w:val="es-ES_tradnl"/>
              </w:rPr>
              <w:t>artículo 8 j)</w:t>
            </w:r>
            <w:r w:rsidR="00206943" w:rsidRPr="009A33BA">
              <w:rPr>
                <w:kern w:val="22"/>
                <w:lang w:val="es-ES_tradnl"/>
              </w:rPr>
              <w:t xml:space="preserve"> </w:t>
            </w:r>
            <w:r w:rsidRPr="009A33BA">
              <w:rPr>
                <w:kern w:val="22"/>
                <w:lang w:val="es-ES_tradnl"/>
              </w:rPr>
              <w:t xml:space="preserve">se considera </w:t>
            </w:r>
            <w:r w:rsidR="00342CBB" w:rsidRPr="009A33BA">
              <w:rPr>
                <w:kern w:val="22"/>
                <w:lang w:val="es-ES_tradnl"/>
              </w:rPr>
              <w:t xml:space="preserve">una </w:t>
            </w:r>
            <w:r w:rsidR="00145A46" w:rsidRPr="009A33BA">
              <w:rPr>
                <w:kern w:val="22"/>
                <w:lang w:val="es-ES_tradnl"/>
              </w:rPr>
              <w:t>b</w:t>
            </w:r>
            <w:r w:rsidR="00342CBB" w:rsidRPr="009A33BA">
              <w:rPr>
                <w:kern w:val="22"/>
                <w:lang w:val="es-ES_tradnl"/>
              </w:rPr>
              <w:t xml:space="preserve">uena práctica dentro del sistema </w:t>
            </w:r>
            <w:r w:rsidR="00342CBB" w:rsidRPr="009A33BA">
              <w:rPr>
                <w:kern w:val="22"/>
                <w:lang w:val="es-ES_tradnl"/>
              </w:rPr>
              <w:lastRenderedPageBreak/>
              <w:t>internacional en lo que respecta a la participación efectiva de los PICL</w:t>
            </w:r>
            <w:r w:rsidR="00206943" w:rsidRPr="009A33BA">
              <w:rPr>
                <w:kern w:val="22"/>
                <w:lang w:val="es-ES_tradnl"/>
              </w:rPr>
              <w:t>.</w:t>
            </w:r>
          </w:p>
          <w:p w14:paraId="3BA98CB9" w14:textId="77777777" w:rsidR="00206943" w:rsidRPr="009A33BA" w:rsidRDefault="00206943" w:rsidP="00FB38DC">
            <w:pPr>
              <w:jc w:val="left"/>
              <w:rPr>
                <w:kern w:val="22"/>
                <w:lang w:val="es-ES_tradnl"/>
              </w:rPr>
            </w:pPr>
          </w:p>
          <w:p w14:paraId="72886561" w14:textId="727C9779" w:rsidR="00206943" w:rsidRPr="009A33BA" w:rsidRDefault="0090235B" w:rsidP="00FB38DC">
            <w:pPr>
              <w:jc w:val="left"/>
              <w:rPr>
                <w:kern w:val="22"/>
                <w:lang w:val="es-ES_tradnl"/>
              </w:rPr>
            </w:pPr>
            <w:r w:rsidRPr="009A33BA">
              <w:rPr>
                <w:kern w:val="22"/>
                <w:lang w:val="es-ES_tradnl"/>
              </w:rPr>
              <w:t>Hasta la fecha, el Grupo de Trabajo ha producido notables resultados, incluida un</w:t>
            </w:r>
            <w:r w:rsidR="00FC121A">
              <w:rPr>
                <w:kern w:val="22"/>
                <w:lang w:val="es-ES_tradnl"/>
              </w:rPr>
              <w:t xml:space="preserve"> paquete </w:t>
            </w:r>
            <w:r w:rsidRPr="009A33BA">
              <w:rPr>
                <w:kern w:val="22"/>
                <w:lang w:val="es-ES_tradnl"/>
              </w:rPr>
              <w:t>de principio</w:t>
            </w:r>
            <w:r w:rsidR="00FC121A">
              <w:rPr>
                <w:kern w:val="22"/>
                <w:lang w:val="es-ES_tradnl"/>
              </w:rPr>
              <w:t>s</w:t>
            </w:r>
            <w:r w:rsidRPr="009A33BA">
              <w:rPr>
                <w:kern w:val="22"/>
                <w:lang w:val="es-ES_tradnl"/>
              </w:rPr>
              <w:t xml:space="preserve"> y directrices para asistir a las Partes con obligaciones relativas a los conocimientos tradicionales y la </w:t>
            </w:r>
            <w:r w:rsidRPr="009A33BA">
              <w:rPr>
                <w:kern w:val="22"/>
                <w:szCs w:val="22"/>
                <w:lang w:val="es-ES_tradnl"/>
              </w:rPr>
              <w:t>utilización consuetudinaria sostenible</w:t>
            </w:r>
            <w:r w:rsidR="00206943" w:rsidRPr="009A33BA">
              <w:rPr>
                <w:kern w:val="22"/>
                <w:lang w:val="es-ES_tradnl"/>
              </w:rPr>
              <w:t xml:space="preserve">. </w:t>
            </w:r>
          </w:p>
          <w:p w14:paraId="75A621B6" w14:textId="77777777" w:rsidR="00206943" w:rsidRPr="009A33BA" w:rsidRDefault="00206943" w:rsidP="00FB38DC">
            <w:pPr>
              <w:jc w:val="left"/>
              <w:rPr>
                <w:kern w:val="22"/>
                <w:lang w:val="es-ES_tradnl"/>
              </w:rPr>
            </w:pPr>
          </w:p>
          <w:p w14:paraId="01683D7B" w14:textId="57B866FE" w:rsidR="00206943" w:rsidRPr="009A33BA" w:rsidRDefault="0090235B" w:rsidP="00FB38DC">
            <w:pPr>
              <w:jc w:val="left"/>
              <w:rPr>
                <w:kern w:val="22"/>
                <w:lang w:val="es-ES_tradnl"/>
              </w:rPr>
            </w:pPr>
            <w:r w:rsidRPr="009A33BA">
              <w:rPr>
                <w:kern w:val="22"/>
                <w:lang w:val="es-ES_tradnl"/>
              </w:rPr>
              <w:t xml:space="preserve">Como tal se podría mantener el modelo actual; sin embargo, las Partes tal vez deseen evaluar la posibilidad de formalizar su función </w:t>
            </w:r>
            <w:r w:rsidR="00B6154D">
              <w:rPr>
                <w:kern w:val="22"/>
                <w:lang w:val="es-ES_tradnl"/>
              </w:rPr>
              <w:t xml:space="preserve">asesorando en </w:t>
            </w:r>
            <w:r w:rsidRPr="009A33BA">
              <w:rPr>
                <w:kern w:val="22"/>
                <w:lang w:val="es-ES_tradnl"/>
              </w:rPr>
              <w:t xml:space="preserve">cuestiones dentro de su mandato a las entidades subsidiarias y a la </w:t>
            </w:r>
            <w:r w:rsidR="00053F89" w:rsidRPr="009A33BA">
              <w:rPr>
                <w:kern w:val="22"/>
                <w:lang w:val="es-ES_tradnl"/>
              </w:rPr>
              <w:t>Conferencia de las Partes</w:t>
            </w:r>
            <w:r w:rsidR="00FF6C5F" w:rsidRPr="009A33BA">
              <w:rPr>
                <w:kern w:val="22"/>
                <w:lang w:val="es-ES_tradnl"/>
              </w:rPr>
              <w:t>.</w:t>
            </w:r>
          </w:p>
          <w:p w14:paraId="170B3CA0" w14:textId="77777777" w:rsidR="00206943" w:rsidRPr="009A33BA" w:rsidRDefault="00206943" w:rsidP="00FB38DC">
            <w:pPr>
              <w:jc w:val="left"/>
              <w:rPr>
                <w:kern w:val="22"/>
                <w:lang w:val="es-ES_tradnl"/>
              </w:rPr>
            </w:pPr>
          </w:p>
          <w:p w14:paraId="25218EA9" w14:textId="7EE82405" w:rsidR="00206943" w:rsidRPr="009A33BA" w:rsidRDefault="00206943" w:rsidP="00FB38DC">
            <w:pPr>
              <w:jc w:val="left"/>
              <w:rPr>
                <w:kern w:val="22"/>
                <w:lang w:val="es-ES_tradnl"/>
              </w:rPr>
            </w:pPr>
            <w:r w:rsidRPr="009A33BA">
              <w:rPr>
                <w:kern w:val="22"/>
                <w:lang w:val="es-ES_tradnl"/>
              </w:rPr>
              <w:t>Ad</w:t>
            </w:r>
            <w:r w:rsidR="0090235B" w:rsidRPr="009A33BA">
              <w:rPr>
                <w:kern w:val="22"/>
                <w:lang w:val="es-ES_tradnl"/>
              </w:rPr>
              <w:t>emás, será preciso que las</w:t>
            </w:r>
            <w:r w:rsidRPr="009A33BA">
              <w:rPr>
                <w:kern w:val="22"/>
                <w:lang w:val="es-ES_tradnl"/>
              </w:rPr>
              <w:t xml:space="preserve"> </w:t>
            </w:r>
            <w:r w:rsidR="0090235B" w:rsidRPr="009A33BA">
              <w:rPr>
                <w:kern w:val="22"/>
                <w:lang w:val="es-ES_tradnl"/>
              </w:rPr>
              <w:t xml:space="preserve">conferencias y reuniones de las Partes </w:t>
            </w:r>
            <w:r w:rsidR="001431C4" w:rsidRPr="009A33BA">
              <w:rPr>
                <w:kern w:val="22"/>
                <w:lang w:val="es-ES_tradnl"/>
              </w:rPr>
              <w:t xml:space="preserve">(COP/MOP) </w:t>
            </w:r>
            <w:r w:rsidR="0090235B" w:rsidRPr="009A33BA">
              <w:rPr>
                <w:kern w:val="22"/>
                <w:lang w:val="es-ES_tradnl"/>
              </w:rPr>
              <w:t xml:space="preserve">para los Protocolos analizaran si el </w:t>
            </w:r>
            <w:r w:rsidR="0034182E" w:rsidRPr="009A33BA">
              <w:rPr>
                <w:kern w:val="22"/>
                <w:lang w:val="es-ES_tradnl"/>
              </w:rPr>
              <w:t>Grupo de Trabajo</w:t>
            </w:r>
            <w:r w:rsidRPr="009A33BA">
              <w:rPr>
                <w:kern w:val="22"/>
                <w:lang w:val="es-ES_tradnl"/>
              </w:rPr>
              <w:t xml:space="preserve"> </w:t>
            </w:r>
            <w:r w:rsidR="0090235B" w:rsidRPr="009A33BA">
              <w:rPr>
                <w:kern w:val="22"/>
                <w:lang w:val="es-ES_tradnl"/>
              </w:rPr>
              <w:t xml:space="preserve">podría asesorar directamente a las </w:t>
            </w:r>
            <w:r w:rsidR="001431C4" w:rsidRPr="009A33BA">
              <w:rPr>
                <w:kern w:val="22"/>
                <w:lang w:val="es-ES_tradnl"/>
              </w:rPr>
              <w:t>COP/MOP</w:t>
            </w:r>
            <w:r w:rsidRPr="009A33BA">
              <w:rPr>
                <w:kern w:val="22"/>
                <w:lang w:val="es-ES_tradnl"/>
              </w:rPr>
              <w:t>.</w:t>
            </w:r>
          </w:p>
          <w:p w14:paraId="136AA1C8" w14:textId="77777777" w:rsidR="00737FC3" w:rsidRPr="009A33BA" w:rsidRDefault="00737FC3" w:rsidP="00FB38DC">
            <w:pPr>
              <w:jc w:val="left"/>
              <w:rPr>
                <w:kern w:val="22"/>
                <w:lang w:val="es-ES_tradnl"/>
              </w:rPr>
            </w:pPr>
          </w:p>
          <w:p w14:paraId="7CCD3036" w14:textId="59E7E3EB" w:rsidR="00737FC3" w:rsidRPr="009A33BA" w:rsidRDefault="001431C4" w:rsidP="00FB38DC">
            <w:pPr>
              <w:jc w:val="left"/>
              <w:rPr>
                <w:kern w:val="22"/>
                <w:lang w:val="es-ES_tradnl"/>
              </w:rPr>
            </w:pPr>
            <w:r w:rsidRPr="009A33BA">
              <w:rPr>
                <w:kern w:val="22"/>
                <w:lang w:val="es-ES_tradnl"/>
              </w:rPr>
              <w:t>Los Grupos de Trabajo en el contexto de las Naciones Unidas son estructuras provisionales; sin embargo, no hay plazo fijo para su continuación</w:t>
            </w:r>
            <w:r w:rsidR="00737FC3" w:rsidRPr="009A33BA">
              <w:rPr>
                <w:kern w:val="22"/>
                <w:lang w:val="es-ES_tradnl"/>
              </w:rPr>
              <w:t xml:space="preserve">. </w:t>
            </w:r>
          </w:p>
        </w:tc>
      </w:tr>
      <w:bookmarkEnd w:id="8"/>
    </w:tbl>
    <w:p w14:paraId="59A40959" w14:textId="77777777" w:rsidR="00211433" w:rsidRPr="009A33BA" w:rsidRDefault="00211433" w:rsidP="004D7F16">
      <w:pPr>
        <w:pStyle w:val="ListParagraph"/>
        <w:spacing w:before="120" w:after="120"/>
        <w:ind w:left="1440"/>
        <w:jc w:val="center"/>
        <w:rPr>
          <w:b/>
          <w:kern w:val="22"/>
          <w:lang w:val="es-ES_tradnl"/>
        </w:rPr>
      </w:pPr>
    </w:p>
    <w:p w14:paraId="0507843C" w14:textId="02BF53C8" w:rsidR="003360F0" w:rsidRPr="009A33BA" w:rsidRDefault="00947D5E" w:rsidP="00FB38DC">
      <w:pPr>
        <w:pStyle w:val="Heading1longmultiline"/>
        <w:ind w:left="1701" w:hanging="992"/>
        <w:rPr>
          <w:kern w:val="22"/>
          <w:lang w:val="es-ES_tradnl"/>
        </w:rPr>
      </w:pPr>
      <w:r w:rsidRPr="009A33BA">
        <w:rPr>
          <w:kern w:val="22"/>
          <w:lang w:val="es-ES_tradnl"/>
        </w:rPr>
        <w:t>II.</w:t>
      </w:r>
      <w:r w:rsidRPr="009A33BA">
        <w:rPr>
          <w:kern w:val="22"/>
          <w:lang w:val="es-ES_tradnl"/>
        </w:rPr>
        <w:tab/>
      </w:r>
      <w:r w:rsidR="00FF6C5F" w:rsidRPr="009A33BA">
        <w:rPr>
          <w:kern w:val="22"/>
          <w:lang w:val="es-ES_tradnl"/>
        </w:rPr>
        <w:t>EXPERIENC</w:t>
      </w:r>
      <w:r w:rsidR="001F69BE" w:rsidRPr="009A33BA">
        <w:rPr>
          <w:kern w:val="22"/>
          <w:lang w:val="es-ES_tradnl"/>
        </w:rPr>
        <w:t xml:space="preserve">ias y lecciones aprendidas de otras organizaciones intergubernamentales y convenios </w:t>
      </w:r>
      <w:r w:rsidR="00E60396" w:rsidRPr="009A33BA">
        <w:rPr>
          <w:kern w:val="22"/>
          <w:lang w:val="es-ES_tradnl"/>
        </w:rPr>
        <w:t xml:space="preserve">conexos </w:t>
      </w:r>
    </w:p>
    <w:p w14:paraId="0C68B0AA" w14:textId="21215031" w:rsidR="00FE681D" w:rsidRPr="009A33BA" w:rsidRDefault="00E60396" w:rsidP="00FB38DC">
      <w:pPr>
        <w:pStyle w:val="Para1"/>
        <w:rPr>
          <w:kern w:val="22"/>
          <w:lang w:val="es-ES_tradnl"/>
        </w:rPr>
      </w:pPr>
      <w:r w:rsidRPr="009A33BA">
        <w:rPr>
          <w:bCs/>
          <w:color w:val="332116"/>
          <w:kern w:val="22"/>
          <w:lang w:val="es-ES_tradnl"/>
        </w:rPr>
        <w:t xml:space="preserve">En la recomendación </w:t>
      </w:r>
      <w:r w:rsidR="00FE681D" w:rsidRPr="009A33BA">
        <w:rPr>
          <w:bCs/>
          <w:color w:val="332116"/>
          <w:kern w:val="22"/>
          <w:lang w:val="es-ES_tradnl"/>
        </w:rPr>
        <w:t xml:space="preserve">10/3 </w:t>
      </w:r>
      <w:r w:rsidR="0034182E" w:rsidRPr="009A33BA">
        <w:rPr>
          <w:bCs/>
          <w:color w:val="332116"/>
          <w:kern w:val="22"/>
          <w:lang w:val="es-ES_tradnl"/>
        </w:rPr>
        <w:t xml:space="preserve">del </w:t>
      </w:r>
      <w:r w:rsidR="00E139FA" w:rsidRPr="009A33BA">
        <w:rPr>
          <w:bCs/>
          <w:color w:val="332116"/>
          <w:kern w:val="22"/>
          <w:lang w:val="es-ES_tradnl"/>
        </w:rPr>
        <w:t>Grupo de Trabajo sobre el artículo</w:t>
      </w:r>
      <w:r w:rsidR="0034182E" w:rsidRPr="009A33BA">
        <w:rPr>
          <w:bCs/>
          <w:color w:val="332116"/>
          <w:kern w:val="22"/>
          <w:lang w:val="es-ES_tradnl"/>
        </w:rPr>
        <w:t xml:space="preserve"> 8 j) y disposiciones conexas</w:t>
      </w:r>
      <w:r w:rsidR="00FE681D" w:rsidRPr="009A33BA">
        <w:rPr>
          <w:bCs/>
          <w:color w:val="332116"/>
          <w:kern w:val="22"/>
          <w:lang w:val="es-ES_tradnl"/>
        </w:rPr>
        <w:t>,</w:t>
      </w:r>
      <w:r w:rsidRPr="009A33BA">
        <w:rPr>
          <w:bCs/>
          <w:color w:val="332116"/>
          <w:kern w:val="22"/>
          <w:lang w:val="es-ES_tradnl"/>
        </w:rPr>
        <w:t xml:space="preserve"> se pidió a la Secretaría que aprovechara las experiencias </w:t>
      </w:r>
      <w:r w:rsidRPr="009A33BA">
        <w:rPr>
          <w:kern w:val="22"/>
          <w:szCs w:val="22"/>
          <w:lang w:val="es-ES_tradnl"/>
        </w:rPr>
        <w:t xml:space="preserve">y lecciones aprendidas de otras organizaciones intergubernamentales y convenciones conexas en lo que respecta a la participación efectiva de los </w:t>
      </w:r>
      <w:r w:rsidR="00053F89" w:rsidRPr="009A33BA">
        <w:rPr>
          <w:bCs/>
          <w:kern w:val="22"/>
          <w:lang w:val="es-ES_tradnl"/>
        </w:rPr>
        <w:t xml:space="preserve">pueblos indígenas y </w:t>
      </w:r>
      <w:r w:rsidRPr="009A33BA">
        <w:rPr>
          <w:bCs/>
          <w:kern w:val="22"/>
          <w:lang w:val="es-ES_tradnl"/>
        </w:rPr>
        <w:t xml:space="preserve">las </w:t>
      </w:r>
      <w:r w:rsidR="00053F89" w:rsidRPr="009A33BA">
        <w:rPr>
          <w:bCs/>
          <w:kern w:val="22"/>
          <w:lang w:val="es-ES_tradnl"/>
        </w:rPr>
        <w:t>comunidades locales</w:t>
      </w:r>
      <w:r w:rsidR="00FE681D" w:rsidRPr="009A33BA">
        <w:rPr>
          <w:bCs/>
          <w:kern w:val="22"/>
          <w:lang w:val="es-ES_tradnl"/>
        </w:rPr>
        <w:t>.</w:t>
      </w:r>
      <w:r w:rsidR="00FE681D" w:rsidRPr="009A33BA">
        <w:rPr>
          <w:kern w:val="22"/>
          <w:lang w:val="es-ES_tradnl"/>
        </w:rPr>
        <w:t xml:space="preserve"> </w:t>
      </w:r>
    </w:p>
    <w:p w14:paraId="274E2C72" w14:textId="6853FA54" w:rsidR="004E5A79" w:rsidRPr="009A33BA" w:rsidRDefault="00E60396" w:rsidP="00FB38DC">
      <w:pPr>
        <w:pStyle w:val="Para1"/>
        <w:rPr>
          <w:bCs/>
          <w:color w:val="332116"/>
          <w:kern w:val="22"/>
          <w:lang w:val="es-ES_tradnl"/>
        </w:rPr>
      </w:pPr>
      <w:r w:rsidRPr="009A33BA">
        <w:rPr>
          <w:kern w:val="22"/>
          <w:lang w:val="es-ES_tradnl"/>
        </w:rPr>
        <w:t>En consecuencia, la Secretaría ha analizado la información facilitada por 21 organismos internacionales</w:t>
      </w:r>
      <w:r w:rsidR="00FE681D" w:rsidRPr="009A33BA">
        <w:rPr>
          <w:rStyle w:val="FootnoteReference"/>
          <w:kern w:val="22"/>
          <w:lang w:val="es-ES_tradnl"/>
        </w:rPr>
        <w:footnoteReference w:id="12"/>
      </w:r>
      <w:r w:rsidR="00FE681D" w:rsidRPr="009A33BA">
        <w:rPr>
          <w:kern w:val="22"/>
          <w:lang w:val="es-ES_tradnl"/>
        </w:rPr>
        <w:t xml:space="preserve"> </w:t>
      </w:r>
      <w:r w:rsidRPr="009A33BA">
        <w:rPr>
          <w:kern w:val="22"/>
          <w:lang w:val="es-ES_tradnl"/>
        </w:rPr>
        <w:t>sobre la cuestión relativa al fomento de la participación de los pueblos indígenas en los procesos de las Naciones Unidas</w:t>
      </w:r>
      <w:r w:rsidR="00731C0A" w:rsidRPr="009A33BA">
        <w:rPr>
          <w:bCs/>
          <w:color w:val="332116"/>
          <w:kern w:val="22"/>
          <w:lang w:val="es-ES_tradnl"/>
        </w:rPr>
        <w:t>.</w:t>
      </w:r>
    </w:p>
    <w:p w14:paraId="7D0BDE36" w14:textId="2B005D25" w:rsidR="009A251F" w:rsidRPr="009A33BA" w:rsidRDefault="00EA5BD8" w:rsidP="00FB38DC">
      <w:pPr>
        <w:pStyle w:val="Para1"/>
        <w:rPr>
          <w:b/>
          <w:i/>
          <w:kern w:val="22"/>
          <w:lang w:val="es-ES_tradnl"/>
        </w:rPr>
      </w:pPr>
      <w:r w:rsidRPr="009A33BA">
        <w:rPr>
          <w:rFonts w:eastAsia="MS Mincho"/>
          <w:kern w:val="22"/>
          <w:lang w:val="es-ES_tradnl"/>
        </w:rPr>
        <w:t>Tras analizar la información disponible, se facilitan dos ejemplos en esta sección</w:t>
      </w:r>
      <w:r w:rsidR="00FE681D" w:rsidRPr="009A33BA">
        <w:rPr>
          <w:kern w:val="22"/>
          <w:lang w:val="es-ES_tradnl"/>
        </w:rPr>
        <w:t xml:space="preserve">. </w:t>
      </w:r>
      <w:r w:rsidRPr="009A33BA">
        <w:rPr>
          <w:kern w:val="22"/>
          <w:lang w:val="es-ES_tradnl"/>
        </w:rPr>
        <w:t>El primer ejemplo comprende los organismos internacionales que trabajan directamente con los pueblos indígenas y/o las comunidades locales</w:t>
      </w:r>
      <w:r w:rsidR="00FE681D" w:rsidRPr="009A33BA">
        <w:rPr>
          <w:kern w:val="22"/>
          <w:lang w:val="es-ES_tradnl"/>
        </w:rPr>
        <w:t xml:space="preserve"> </w:t>
      </w:r>
      <w:r w:rsidR="009A251F" w:rsidRPr="009A33BA">
        <w:rPr>
          <w:kern w:val="22"/>
          <w:lang w:val="es-ES_tradnl"/>
        </w:rPr>
        <w:t>(</w:t>
      </w:r>
      <w:r w:rsidRPr="009A33BA">
        <w:rPr>
          <w:kern w:val="22"/>
          <w:lang w:val="es-ES_tradnl"/>
        </w:rPr>
        <w:t>Mecanismos específicos a las cuestiones indígenas</w:t>
      </w:r>
      <w:r w:rsidR="009A251F" w:rsidRPr="009A33BA">
        <w:rPr>
          <w:kern w:val="22"/>
          <w:lang w:val="es-ES_tradnl"/>
        </w:rPr>
        <w:t>)</w:t>
      </w:r>
      <w:r w:rsidR="00FE681D" w:rsidRPr="009A33BA">
        <w:rPr>
          <w:kern w:val="22"/>
          <w:lang w:val="es-ES_tradnl"/>
        </w:rPr>
        <w:t xml:space="preserve">, </w:t>
      </w:r>
      <w:r w:rsidRPr="009A33BA">
        <w:rPr>
          <w:kern w:val="22"/>
          <w:lang w:val="es-ES_tradnl"/>
        </w:rPr>
        <w:t xml:space="preserve">y el segundo ejemplo comprende los </w:t>
      </w:r>
      <w:r w:rsidR="00286416" w:rsidRPr="009A33BA">
        <w:rPr>
          <w:kern w:val="22"/>
          <w:lang w:val="es-ES_tradnl"/>
        </w:rPr>
        <w:t>m</w:t>
      </w:r>
      <w:r w:rsidR="009A251F" w:rsidRPr="009A33BA">
        <w:rPr>
          <w:kern w:val="22"/>
          <w:lang w:val="es-ES_tradnl"/>
        </w:rPr>
        <w:t>ec</w:t>
      </w:r>
      <w:r w:rsidRPr="009A33BA">
        <w:rPr>
          <w:kern w:val="22"/>
          <w:lang w:val="es-ES_tradnl"/>
        </w:rPr>
        <w:t>anismos que no son específicos a los pueblos indígenas o las comunidades locales, pero que trabajan en cuestiones directamente relacionadas con ellos</w:t>
      </w:r>
      <w:r w:rsidR="00D239F9" w:rsidRPr="009A33BA">
        <w:rPr>
          <w:kern w:val="22"/>
          <w:lang w:val="es-ES_tradnl"/>
        </w:rPr>
        <w:t xml:space="preserve">. </w:t>
      </w:r>
    </w:p>
    <w:p w14:paraId="4B58C4CA" w14:textId="76B93C3C" w:rsidR="000C0CBF" w:rsidRPr="009A33BA" w:rsidRDefault="00E146D8" w:rsidP="00FB38DC">
      <w:pPr>
        <w:pStyle w:val="Heading2"/>
        <w:numPr>
          <w:ilvl w:val="0"/>
          <w:numId w:val="19"/>
        </w:numPr>
        <w:rPr>
          <w:kern w:val="22"/>
          <w:lang w:val="es-ES_tradnl"/>
        </w:rPr>
      </w:pPr>
      <w:r w:rsidRPr="009A33BA">
        <w:rPr>
          <w:kern w:val="22"/>
          <w:lang w:val="es-ES_tradnl"/>
        </w:rPr>
        <w:t xml:space="preserve">Mecanismos específicos a </w:t>
      </w:r>
      <w:r w:rsidR="00EA5BD8" w:rsidRPr="009A33BA">
        <w:rPr>
          <w:kern w:val="22"/>
          <w:lang w:val="es-ES_tradnl"/>
        </w:rPr>
        <w:t xml:space="preserve">las </w:t>
      </w:r>
      <w:r w:rsidRPr="009A33BA">
        <w:rPr>
          <w:kern w:val="22"/>
          <w:lang w:val="es-ES_tradnl"/>
        </w:rPr>
        <w:t>cuestiones indígenas</w:t>
      </w:r>
    </w:p>
    <w:p w14:paraId="278246EF" w14:textId="4D7AE5AB" w:rsidR="000C0CBF" w:rsidRPr="009A33BA" w:rsidRDefault="00E146D8" w:rsidP="00FB38DC">
      <w:pPr>
        <w:spacing w:before="120" w:after="120"/>
        <w:rPr>
          <w:i/>
          <w:kern w:val="22"/>
          <w:lang w:val="es-ES_tradnl"/>
        </w:rPr>
      </w:pPr>
      <w:r w:rsidRPr="009A33BA">
        <w:rPr>
          <w:i/>
          <w:kern w:val="22"/>
          <w:lang w:val="es-ES_tradnl"/>
        </w:rPr>
        <w:t>Foro Permanente para las Cuestiones Indígenas de las Naciones Unidas</w:t>
      </w:r>
      <w:r w:rsidR="000C0CBF" w:rsidRPr="009A33BA">
        <w:rPr>
          <w:i/>
          <w:kern w:val="22"/>
          <w:lang w:val="es-ES_tradnl"/>
        </w:rPr>
        <w:t xml:space="preserve"> (UNPFII)</w:t>
      </w:r>
    </w:p>
    <w:p w14:paraId="085FD61F" w14:textId="58540D3E" w:rsidR="004445F0" w:rsidRPr="009A33BA" w:rsidRDefault="004445F0" w:rsidP="00860023">
      <w:pPr>
        <w:pStyle w:val="Para1"/>
        <w:rPr>
          <w:kern w:val="22"/>
          <w:shd w:val="clear" w:color="auto" w:fill="FFFFFF"/>
          <w:lang w:val="es-ES_tradnl"/>
        </w:rPr>
      </w:pPr>
      <w:r w:rsidRPr="009A33BA">
        <w:rPr>
          <w:kern w:val="22"/>
          <w:szCs w:val="22"/>
          <w:lang w:val="es-ES_tradnl"/>
        </w:rPr>
        <w:t>El</w:t>
      </w:r>
      <w:r w:rsidR="00860023" w:rsidRPr="009A33BA">
        <w:rPr>
          <w:kern w:val="22"/>
          <w:szCs w:val="22"/>
          <w:lang w:val="es-ES_tradnl"/>
        </w:rPr>
        <w:t xml:space="preserve"> UNPFII, creado el 28 de julio de 2000 mediante la resolución 2000/22 del </w:t>
      </w:r>
      <w:bookmarkStart w:id="10" w:name="_Hlk516475489"/>
      <w:r w:rsidR="00860023" w:rsidRPr="009A33BA">
        <w:rPr>
          <w:kern w:val="22"/>
          <w:szCs w:val="22"/>
          <w:lang w:val="es-ES_tradnl"/>
        </w:rPr>
        <w:t xml:space="preserve">Consejo Económico y Social </w:t>
      </w:r>
      <w:bookmarkEnd w:id="10"/>
      <w:r w:rsidR="00860023" w:rsidRPr="009A33BA">
        <w:rPr>
          <w:kern w:val="22"/>
          <w:szCs w:val="22"/>
          <w:lang w:val="es-ES_tradnl"/>
        </w:rPr>
        <w:t xml:space="preserve">de las Naciones Unidas, </w:t>
      </w:r>
      <w:r w:rsidRPr="009A33BA">
        <w:rPr>
          <w:kern w:val="22"/>
          <w:szCs w:val="22"/>
          <w:lang w:val="es-ES_tradnl"/>
        </w:rPr>
        <w:t xml:space="preserve">es un órgano consultivo </w:t>
      </w:r>
      <w:r w:rsidR="00860023" w:rsidRPr="009A33BA">
        <w:rPr>
          <w:kern w:val="22"/>
          <w:szCs w:val="22"/>
          <w:lang w:val="es-ES_tradnl"/>
        </w:rPr>
        <w:t xml:space="preserve">permanente </w:t>
      </w:r>
      <w:r w:rsidRPr="009A33BA">
        <w:rPr>
          <w:kern w:val="22"/>
          <w:szCs w:val="22"/>
          <w:lang w:val="es-ES_tradnl"/>
        </w:rPr>
        <w:t xml:space="preserve">de alto nivel </w:t>
      </w:r>
      <w:r w:rsidR="00860023" w:rsidRPr="009A33BA">
        <w:rPr>
          <w:kern w:val="22"/>
          <w:szCs w:val="22"/>
          <w:lang w:val="es-ES_tradnl"/>
        </w:rPr>
        <w:t>de</w:t>
      </w:r>
      <w:r w:rsidR="00286416" w:rsidRPr="009A33BA">
        <w:rPr>
          <w:kern w:val="22"/>
          <w:szCs w:val="22"/>
          <w:lang w:val="es-ES_tradnl"/>
        </w:rPr>
        <w:t xml:space="preserve">l </w:t>
      </w:r>
      <w:r w:rsidR="00860023" w:rsidRPr="009A33BA">
        <w:rPr>
          <w:kern w:val="22"/>
          <w:szCs w:val="22"/>
          <w:lang w:val="es-ES_tradnl"/>
        </w:rPr>
        <w:t xml:space="preserve">Consejo. El Foro tiene el </w:t>
      </w:r>
      <w:r w:rsidRPr="009A33BA">
        <w:rPr>
          <w:kern w:val="22"/>
          <w:szCs w:val="22"/>
          <w:lang w:val="es-ES_tradnl"/>
        </w:rPr>
        <w:t>mandato de abordar las cuestiones indígenas relacionadas con el desarrollo económico y social, la cultura, el medio ambiente, la educación, la salud y los derechos humanos</w:t>
      </w:r>
      <w:r w:rsidR="00B6154D">
        <w:rPr>
          <w:kern w:val="22"/>
          <w:szCs w:val="22"/>
          <w:lang w:val="es-ES_tradnl"/>
        </w:rPr>
        <w:t>.</w:t>
      </w:r>
    </w:p>
    <w:p w14:paraId="22042390" w14:textId="2B8CDDBD" w:rsidR="00BA28D1" w:rsidRPr="009A33BA" w:rsidRDefault="00860023" w:rsidP="00FB38DC">
      <w:pPr>
        <w:pStyle w:val="Para1"/>
        <w:rPr>
          <w:kern w:val="22"/>
          <w:szCs w:val="22"/>
          <w:lang w:val="es-ES_tradnl"/>
        </w:rPr>
      </w:pPr>
      <w:r w:rsidRPr="009A33BA">
        <w:rPr>
          <w:kern w:val="22"/>
          <w:szCs w:val="22"/>
          <w:shd w:val="clear" w:color="auto" w:fill="FFFFFF"/>
          <w:lang w:val="es-ES_tradnl"/>
        </w:rPr>
        <w:t>El Foro Permanente consta de 16 miembros</w:t>
      </w:r>
      <w:r w:rsidR="00BA28D1" w:rsidRPr="009A33BA">
        <w:rPr>
          <w:kern w:val="22"/>
          <w:szCs w:val="22"/>
          <w:lang w:val="es-ES_tradnl"/>
        </w:rPr>
        <w:t xml:space="preserve">: </w:t>
      </w:r>
      <w:r w:rsidRPr="009A33BA">
        <w:rPr>
          <w:kern w:val="22"/>
          <w:szCs w:val="22"/>
          <w:lang w:val="es-ES_tradnl"/>
        </w:rPr>
        <w:t>“Ocho miembros de las cuales han de ser propuesto</w:t>
      </w:r>
      <w:r w:rsidR="00B6154D">
        <w:rPr>
          <w:kern w:val="22"/>
          <w:szCs w:val="22"/>
          <w:lang w:val="es-ES_tradnl"/>
        </w:rPr>
        <w:t>s</w:t>
      </w:r>
      <w:r w:rsidRPr="009A33BA">
        <w:rPr>
          <w:kern w:val="22"/>
          <w:szCs w:val="22"/>
          <w:lang w:val="es-ES_tradnl"/>
        </w:rPr>
        <w:t xml:space="preserve"> por los gobiernos y elegidos por el Consejo y los otros ocho han de ser nombrados por el </w:t>
      </w:r>
      <w:proofErr w:type="gramStart"/>
      <w:r w:rsidRPr="009A33BA">
        <w:rPr>
          <w:kern w:val="22"/>
          <w:szCs w:val="22"/>
          <w:lang w:val="es-ES_tradnl"/>
        </w:rPr>
        <w:t>Presidente</w:t>
      </w:r>
      <w:proofErr w:type="gramEnd"/>
      <w:r w:rsidRPr="009A33BA">
        <w:rPr>
          <w:kern w:val="22"/>
          <w:szCs w:val="22"/>
          <w:lang w:val="es-ES_tradnl"/>
        </w:rPr>
        <w:t xml:space="preserve"> del Consejo, previa consulta of</w:t>
      </w:r>
      <w:r w:rsidR="009118A3" w:rsidRPr="009A33BA">
        <w:rPr>
          <w:kern w:val="22"/>
          <w:szCs w:val="22"/>
          <w:lang w:val="es-ES_tradnl"/>
        </w:rPr>
        <w:t>i</w:t>
      </w:r>
      <w:r w:rsidRPr="009A33BA">
        <w:rPr>
          <w:kern w:val="22"/>
          <w:szCs w:val="22"/>
          <w:lang w:val="es-ES_tradnl"/>
        </w:rPr>
        <w:t>cial con la Mesa y con los grupos regional</w:t>
      </w:r>
      <w:r w:rsidR="009118A3" w:rsidRPr="009A33BA">
        <w:rPr>
          <w:kern w:val="22"/>
          <w:szCs w:val="22"/>
          <w:lang w:val="es-ES_tradnl"/>
        </w:rPr>
        <w:t>e</w:t>
      </w:r>
      <w:r w:rsidRPr="009A33BA">
        <w:rPr>
          <w:kern w:val="22"/>
          <w:szCs w:val="22"/>
          <w:lang w:val="es-ES_tradnl"/>
        </w:rPr>
        <w:t>s por intermedio de sus coordinadores, sobre la base de consultas amplias con las organiza</w:t>
      </w:r>
      <w:r w:rsidR="009118A3" w:rsidRPr="009A33BA">
        <w:rPr>
          <w:kern w:val="22"/>
          <w:szCs w:val="22"/>
          <w:lang w:val="es-ES_tradnl"/>
        </w:rPr>
        <w:t>ciones indígenas, teniendo en cuenta la diversidad y la distribución geográfica de las poblaciones indígenas del mundo</w:t>
      </w:r>
      <w:r w:rsidR="00737FC3" w:rsidRPr="009A33BA">
        <w:rPr>
          <w:rStyle w:val="FootnoteReference"/>
          <w:kern w:val="22"/>
          <w:szCs w:val="22"/>
          <w:lang w:val="es-ES_tradnl"/>
        </w:rPr>
        <w:footnoteReference w:id="13"/>
      </w:r>
      <w:r w:rsidR="009118A3" w:rsidRPr="009A33BA">
        <w:rPr>
          <w:kern w:val="22"/>
          <w:szCs w:val="22"/>
          <w:lang w:val="es-ES_tradnl"/>
        </w:rPr>
        <w:t>”.</w:t>
      </w:r>
    </w:p>
    <w:p w14:paraId="13D50276" w14:textId="7C8BD625" w:rsidR="000C0CBF" w:rsidRPr="009A33BA" w:rsidRDefault="009118A3" w:rsidP="00FB38DC">
      <w:pPr>
        <w:pStyle w:val="Para1"/>
        <w:rPr>
          <w:kern w:val="22"/>
          <w:shd w:val="clear" w:color="auto" w:fill="FFFFFF"/>
          <w:lang w:val="es-ES_tradnl"/>
        </w:rPr>
      </w:pPr>
      <w:r w:rsidRPr="009A33BA">
        <w:rPr>
          <w:rFonts w:eastAsia="MS Mincho"/>
          <w:kern w:val="22"/>
          <w:lang w:val="es-ES_tradnl"/>
        </w:rPr>
        <w:t>Más específicamente, el Foro Permanente</w:t>
      </w:r>
      <w:r w:rsidR="000C0CBF" w:rsidRPr="009A33BA">
        <w:rPr>
          <w:kern w:val="22"/>
          <w:shd w:val="clear" w:color="auto" w:fill="FFFFFF"/>
          <w:lang w:val="es-ES_tradnl"/>
        </w:rPr>
        <w:t>:</w:t>
      </w:r>
    </w:p>
    <w:p w14:paraId="0D934069" w14:textId="6D7E240C" w:rsidR="009118A3" w:rsidRPr="009A33BA" w:rsidRDefault="009118A3" w:rsidP="009118A3">
      <w:pPr>
        <w:numPr>
          <w:ilvl w:val="0"/>
          <w:numId w:val="20"/>
        </w:numPr>
        <w:spacing w:before="120" w:after="120"/>
        <w:ind w:left="0" w:firstLine="704"/>
        <w:rPr>
          <w:kern w:val="22"/>
          <w:shd w:val="clear" w:color="auto" w:fill="FFFFFF"/>
          <w:lang w:val="es-ES_tradnl"/>
        </w:rPr>
      </w:pPr>
      <w:r w:rsidRPr="009A33BA">
        <w:rPr>
          <w:kern w:val="22"/>
          <w:shd w:val="clear" w:color="auto" w:fill="FFFFFF"/>
          <w:lang w:val="es-ES_tradnl"/>
        </w:rPr>
        <w:lastRenderedPageBreak/>
        <w:t>Presta asesoramiento especializado y formulará recomendaciones sobre las cuestiones indígenas al Consejo, así como a los programas, fondos y organismos de las Naciones Unidas, por conducto del Consejo</w:t>
      </w:r>
      <w:r w:rsidR="00644A1D" w:rsidRPr="009A33BA">
        <w:rPr>
          <w:kern w:val="22"/>
          <w:shd w:val="clear" w:color="auto" w:fill="FFFFFF"/>
          <w:lang w:val="es-ES_tradnl"/>
        </w:rPr>
        <w:t xml:space="preserve"> </w:t>
      </w:r>
      <w:r w:rsidR="00644A1D" w:rsidRPr="009A33BA">
        <w:rPr>
          <w:kern w:val="22"/>
          <w:szCs w:val="22"/>
          <w:lang w:val="es-ES_tradnl"/>
        </w:rPr>
        <w:t>Económico y Social</w:t>
      </w:r>
      <w:r w:rsidRPr="009A33BA">
        <w:rPr>
          <w:kern w:val="22"/>
          <w:shd w:val="clear" w:color="auto" w:fill="FFFFFF"/>
          <w:lang w:val="es-ES_tradnl"/>
        </w:rPr>
        <w:t>;</w:t>
      </w:r>
    </w:p>
    <w:p w14:paraId="69A2CFAB" w14:textId="7EC2ADD2" w:rsidR="009118A3" w:rsidRPr="009A33BA" w:rsidRDefault="009118A3" w:rsidP="009118A3">
      <w:pPr>
        <w:numPr>
          <w:ilvl w:val="0"/>
          <w:numId w:val="20"/>
        </w:numPr>
        <w:spacing w:before="120" w:after="120"/>
        <w:ind w:left="0" w:firstLine="704"/>
        <w:rPr>
          <w:kern w:val="22"/>
          <w:shd w:val="clear" w:color="auto" w:fill="FFFFFF"/>
          <w:lang w:val="es-ES_tradnl"/>
        </w:rPr>
      </w:pPr>
      <w:r w:rsidRPr="009A33BA">
        <w:rPr>
          <w:kern w:val="22"/>
          <w:shd w:val="clear" w:color="auto" w:fill="FFFFFF"/>
          <w:lang w:val="es-ES_tradnl"/>
        </w:rPr>
        <w:t>Difunde las actividades relacionadas con las cuestiones indígenas y promoverá su integración y coordinación dentro del sistema de las Naciones Unidas;</w:t>
      </w:r>
    </w:p>
    <w:p w14:paraId="3A7D5FA2" w14:textId="6B71FB4A" w:rsidR="009A251F" w:rsidRPr="009A33BA" w:rsidRDefault="009118A3" w:rsidP="00FB38DC">
      <w:pPr>
        <w:numPr>
          <w:ilvl w:val="0"/>
          <w:numId w:val="20"/>
        </w:numPr>
        <w:spacing w:before="120" w:after="120"/>
        <w:ind w:left="0" w:firstLine="704"/>
        <w:rPr>
          <w:kern w:val="22"/>
          <w:shd w:val="clear" w:color="auto" w:fill="FFFFFF"/>
          <w:lang w:val="es-ES_tradnl"/>
        </w:rPr>
      </w:pPr>
      <w:r w:rsidRPr="009A33BA">
        <w:rPr>
          <w:kern w:val="22"/>
          <w:shd w:val="clear" w:color="auto" w:fill="FFFFFF"/>
          <w:lang w:val="es-ES_tradnl"/>
        </w:rPr>
        <w:t>Prepara y difunde información sobre las cuestiones indígenas</w:t>
      </w:r>
      <w:r w:rsidR="009A251F" w:rsidRPr="009A33BA">
        <w:rPr>
          <w:kern w:val="22"/>
          <w:shd w:val="clear" w:color="auto" w:fill="FFFFFF"/>
          <w:lang w:val="es-ES_tradnl"/>
        </w:rPr>
        <w:t>;</w:t>
      </w:r>
    </w:p>
    <w:p w14:paraId="76CA906E" w14:textId="00EB8B97" w:rsidR="000C0CBF" w:rsidRPr="009A33BA" w:rsidRDefault="009118A3" w:rsidP="00FB38DC">
      <w:pPr>
        <w:numPr>
          <w:ilvl w:val="0"/>
          <w:numId w:val="20"/>
        </w:numPr>
        <w:spacing w:before="120" w:after="120"/>
        <w:ind w:left="0" w:firstLine="704"/>
        <w:rPr>
          <w:kern w:val="22"/>
          <w:shd w:val="clear" w:color="auto" w:fill="FFFFFF"/>
          <w:lang w:val="es-ES_tradnl"/>
        </w:rPr>
      </w:pPr>
      <w:r w:rsidRPr="009A33BA">
        <w:rPr>
          <w:kern w:val="22"/>
          <w:shd w:val="clear" w:color="auto" w:fill="FFFFFF"/>
          <w:lang w:val="es-ES_tradnl"/>
        </w:rPr>
        <w:t>El Foro Permanente se reúne una vez al año en períodos de sesiones de dos semanas</w:t>
      </w:r>
      <w:r w:rsidR="000C0CBF" w:rsidRPr="009A33BA">
        <w:rPr>
          <w:kern w:val="22"/>
          <w:shd w:val="clear" w:color="auto" w:fill="FFFFFF"/>
          <w:lang w:val="es-ES_tradnl"/>
        </w:rPr>
        <w:t>.</w:t>
      </w:r>
    </w:p>
    <w:p w14:paraId="5413D035" w14:textId="1D02C76F" w:rsidR="00BA28D1" w:rsidRPr="009A33BA" w:rsidRDefault="00637EE9" w:rsidP="00FB38DC">
      <w:pPr>
        <w:pStyle w:val="Para1"/>
        <w:rPr>
          <w:kern w:val="22"/>
          <w:shd w:val="clear" w:color="auto" w:fill="FFFFFF"/>
          <w:lang w:val="es-ES_tradnl"/>
        </w:rPr>
      </w:pPr>
      <w:r w:rsidRPr="009A33BA">
        <w:rPr>
          <w:kern w:val="22"/>
          <w:shd w:val="clear" w:color="auto" w:fill="FFFFFF"/>
          <w:lang w:val="es-ES_tradnl"/>
        </w:rPr>
        <w:t>A</w:t>
      </w:r>
      <w:r w:rsidR="00EA5BD8" w:rsidRPr="009A33BA">
        <w:rPr>
          <w:kern w:val="22"/>
          <w:shd w:val="clear" w:color="auto" w:fill="FFFFFF"/>
          <w:lang w:val="es-ES_tradnl"/>
        </w:rPr>
        <w:t xml:space="preserve">demás de los 16 expertos independientes, hasta un máximo de 1.200 </w:t>
      </w:r>
      <w:r w:rsidR="00BD44CC" w:rsidRPr="009A33BA">
        <w:rPr>
          <w:kern w:val="22"/>
          <w:shd w:val="clear" w:color="auto" w:fill="FFFFFF"/>
          <w:lang w:val="es-ES_tradnl"/>
        </w:rPr>
        <w:t xml:space="preserve">representantes de pueblos indígenas y más de 20 organizaciones internacionales, junto con representantes de gobiernos participan en el período de sesiones anual del </w:t>
      </w:r>
      <w:r w:rsidR="00BA28D1" w:rsidRPr="009A33BA">
        <w:rPr>
          <w:kern w:val="22"/>
          <w:shd w:val="clear" w:color="auto" w:fill="FFFFFF"/>
          <w:lang w:val="es-ES_tradnl"/>
        </w:rPr>
        <w:t>UNPFII</w:t>
      </w:r>
      <w:r w:rsidR="00EF1261" w:rsidRPr="009A33BA">
        <w:rPr>
          <w:kern w:val="22"/>
          <w:shd w:val="clear" w:color="auto" w:fill="FFFFFF"/>
          <w:lang w:val="es-ES_tradnl"/>
        </w:rPr>
        <w:t>,</w:t>
      </w:r>
      <w:r w:rsidR="00BA28D1" w:rsidRPr="009A33BA">
        <w:rPr>
          <w:kern w:val="22"/>
          <w:shd w:val="clear" w:color="auto" w:fill="FFFFFF"/>
          <w:lang w:val="es-ES_tradnl"/>
        </w:rPr>
        <w:t xml:space="preserve"> </w:t>
      </w:r>
      <w:r w:rsidR="00BD44CC" w:rsidRPr="009A33BA">
        <w:rPr>
          <w:kern w:val="22"/>
          <w:shd w:val="clear" w:color="auto" w:fill="FFFFFF"/>
          <w:lang w:val="es-ES_tradnl"/>
        </w:rPr>
        <w:t>que se celebra cada año en abril en la Sede las Naciones Unidas en Nueva York</w:t>
      </w:r>
      <w:r w:rsidR="003C321B" w:rsidRPr="009A33BA">
        <w:rPr>
          <w:kern w:val="22"/>
          <w:shd w:val="clear" w:color="auto" w:fill="FFFFFF"/>
          <w:lang w:val="es-ES_tradnl"/>
        </w:rPr>
        <w:t>.</w:t>
      </w:r>
      <w:r w:rsidR="002371C3" w:rsidRPr="009A33BA">
        <w:rPr>
          <w:kern w:val="22"/>
          <w:shd w:val="clear" w:color="auto" w:fill="FFFFFF"/>
          <w:lang w:val="es-ES_tradnl"/>
        </w:rPr>
        <w:t xml:space="preserve"> </w:t>
      </w:r>
      <w:r w:rsidR="00BD44CC" w:rsidRPr="009A33BA">
        <w:rPr>
          <w:kern w:val="22"/>
          <w:shd w:val="clear" w:color="auto" w:fill="FFFFFF"/>
          <w:lang w:val="es-ES_tradnl"/>
        </w:rPr>
        <w:t xml:space="preserve">El Foro Permanente remite su informe anual, que contiene recomendaciones para los programas, fondos y organismos de las Naciones Unidas y Gobiernos, </w:t>
      </w:r>
      <w:r w:rsidR="00B6154D">
        <w:rPr>
          <w:kern w:val="22"/>
          <w:shd w:val="clear" w:color="auto" w:fill="FFFFFF"/>
          <w:lang w:val="es-ES_tradnl"/>
        </w:rPr>
        <w:t>e</w:t>
      </w:r>
      <w:r w:rsidR="00644A1D" w:rsidRPr="009A33BA">
        <w:rPr>
          <w:kern w:val="22"/>
          <w:shd w:val="clear" w:color="auto" w:fill="FFFFFF"/>
          <w:lang w:val="es-ES_tradnl"/>
        </w:rPr>
        <w:t xml:space="preserve">l Consejo </w:t>
      </w:r>
      <w:r w:rsidR="00644A1D" w:rsidRPr="009A33BA">
        <w:rPr>
          <w:kern w:val="22"/>
          <w:szCs w:val="22"/>
          <w:lang w:val="es-ES_tradnl"/>
        </w:rPr>
        <w:t>Económico y Social</w:t>
      </w:r>
      <w:r w:rsidR="004D7F16" w:rsidRPr="009A33BA">
        <w:rPr>
          <w:kern w:val="22"/>
          <w:shd w:val="clear" w:color="auto" w:fill="FFFFFF"/>
          <w:lang w:val="es-ES_tradnl"/>
        </w:rPr>
        <w:t xml:space="preserve">, </w:t>
      </w:r>
      <w:r w:rsidR="00BD44CC" w:rsidRPr="009A33BA">
        <w:rPr>
          <w:kern w:val="22"/>
          <w:shd w:val="clear" w:color="auto" w:fill="FFFFFF"/>
          <w:lang w:val="es-ES_tradnl"/>
        </w:rPr>
        <w:t>que examina el informe en julio de cada año</w:t>
      </w:r>
      <w:r w:rsidR="00F858F5" w:rsidRPr="009A33BA">
        <w:rPr>
          <w:kern w:val="22"/>
          <w:shd w:val="clear" w:color="auto" w:fill="FFFFFF"/>
          <w:lang w:val="es-ES_tradnl"/>
        </w:rPr>
        <w:t>.</w:t>
      </w:r>
    </w:p>
    <w:p w14:paraId="17277206" w14:textId="442F6301" w:rsidR="00B91DBE" w:rsidRPr="009A33BA" w:rsidRDefault="00635B6B" w:rsidP="00FB38DC">
      <w:pPr>
        <w:spacing w:before="120" w:after="120"/>
        <w:rPr>
          <w:kern w:val="22"/>
          <w:shd w:val="clear" w:color="auto" w:fill="FFFFFF"/>
          <w:lang w:val="es-ES_tradnl"/>
        </w:rPr>
      </w:pPr>
      <w:r w:rsidRPr="009A33BA">
        <w:rPr>
          <w:i/>
          <w:kern w:val="22"/>
          <w:shd w:val="clear" w:color="auto" w:fill="FFFFFF"/>
          <w:lang w:val="es-ES_tradnl"/>
        </w:rPr>
        <w:t xml:space="preserve">El Mecanismo de Expertos sobre los Derechos de los Pueblos Indígenas </w:t>
      </w:r>
      <w:r w:rsidR="000C0CBF" w:rsidRPr="009A33BA">
        <w:rPr>
          <w:i/>
          <w:kern w:val="22"/>
          <w:shd w:val="clear" w:color="auto" w:fill="FFFFFF"/>
          <w:lang w:val="es-ES_tradnl"/>
        </w:rPr>
        <w:t>(EMRIP)</w:t>
      </w:r>
      <w:r w:rsidR="000C0CBF" w:rsidRPr="009A33BA">
        <w:rPr>
          <w:rStyle w:val="FootnoteReference"/>
          <w:i/>
          <w:kern w:val="22"/>
          <w:shd w:val="clear" w:color="auto" w:fill="FFFFFF"/>
          <w:lang w:val="es-ES_tradnl"/>
        </w:rPr>
        <w:footnoteReference w:id="14"/>
      </w:r>
      <w:r w:rsidR="000C0CBF" w:rsidRPr="009A33BA">
        <w:rPr>
          <w:kern w:val="22"/>
          <w:shd w:val="clear" w:color="auto" w:fill="FFFFFF"/>
          <w:lang w:val="es-ES_tradnl"/>
        </w:rPr>
        <w:t xml:space="preserve"> </w:t>
      </w:r>
    </w:p>
    <w:p w14:paraId="5F4E11D1" w14:textId="38587BAF" w:rsidR="00F858F5" w:rsidRPr="009A33BA" w:rsidRDefault="00E74303" w:rsidP="00FB38DC">
      <w:pPr>
        <w:pStyle w:val="Para1"/>
        <w:rPr>
          <w:kern w:val="22"/>
          <w:lang w:val="es-ES_tradnl"/>
        </w:rPr>
      </w:pPr>
      <w:r w:rsidRPr="009A33BA">
        <w:rPr>
          <w:kern w:val="22"/>
          <w:shd w:val="clear" w:color="auto" w:fill="FFFFFF"/>
          <w:lang w:val="es-ES_tradnl"/>
        </w:rPr>
        <w:t xml:space="preserve">El </w:t>
      </w:r>
      <w:r w:rsidR="00B91DBE" w:rsidRPr="009A33BA">
        <w:rPr>
          <w:kern w:val="22"/>
          <w:shd w:val="clear" w:color="auto" w:fill="FFFFFF"/>
          <w:lang w:val="es-ES_tradnl"/>
        </w:rPr>
        <w:t>EMRIP</w:t>
      </w:r>
      <w:r w:rsidRPr="009A33BA">
        <w:rPr>
          <w:kern w:val="22"/>
          <w:shd w:val="clear" w:color="auto" w:fill="FFFFFF"/>
          <w:lang w:val="es-ES_tradnl"/>
        </w:rPr>
        <w:t xml:space="preserve">, </w:t>
      </w:r>
      <w:r w:rsidR="00B6154D">
        <w:rPr>
          <w:kern w:val="22"/>
          <w:shd w:val="clear" w:color="auto" w:fill="FFFFFF"/>
          <w:lang w:val="es-ES_tradnl"/>
        </w:rPr>
        <w:t xml:space="preserve">creado en 2007 </w:t>
      </w:r>
      <w:r w:rsidRPr="009A33BA">
        <w:rPr>
          <w:kern w:val="22"/>
          <w:shd w:val="clear" w:color="auto" w:fill="FFFFFF"/>
          <w:lang w:val="es-ES_tradnl"/>
        </w:rPr>
        <w:t xml:space="preserve">con arreglo a la resolución </w:t>
      </w:r>
      <w:r w:rsidR="00AC4E19" w:rsidRPr="009A33BA">
        <w:rPr>
          <w:kern w:val="22"/>
          <w:shd w:val="clear" w:color="auto" w:fill="FFFFFF"/>
          <w:lang w:val="es-ES_tradnl"/>
        </w:rPr>
        <w:t xml:space="preserve">6/36 </w:t>
      </w:r>
      <w:r w:rsidRPr="009A33BA">
        <w:rPr>
          <w:kern w:val="22"/>
          <w:shd w:val="clear" w:color="auto" w:fill="FFFFFF"/>
          <w:lang w:val="es-ES_tradnl"/>
        </w:rPr>
        <w:t>como órgano subsidiario del Consejo de Derechos Humanos, es el principal órgano de derechos humanos de las Naciones Unidas que se ocupa de los derechos de los pueblos indígenas</w:t>
      </w:r>
      <w:r w:rsidR="00AC4E19" w:rsidRPr="009A33BA">
        <w:rPr>
          <w:kern w:val="22"/>
          <w:shd w:val="clear" w:color="auto" w:fill="FFFFFF"/>
          <w:lang w:val="es-ES_tradnl"/>
        </w:rPr>
        <w:t xml:space="preserve">. </w:t>
      </w:r>
      <w:r w:rsidRPr="009A33BA">
        <w:rPr>
          <w:kern w:val="22"/>
          <w:shd w:val="clear" w:color="auto" w:fill="FFFFFF"/>
          <w:lang w:val="es-ES_tradnl"/>
        </w:rPr>
        <w:t>El Mecanis</w:t>
      </w:r>
      <w:r w:rsidR="00FB477F" w:rsidRPr="009A33BA">
        <w:rPr>
          <w:kern w:val="22"/>
          <w:shd w:val="clear" w:color="auto" w:fill="FFFFFF"/>
          <w:lang w:val="es-ES_tradnl"/>
        </w:rPr>
        <w:t>mo de Expertos proporciona conocimientos especializados y asesoramiento sobre los derechos de los pueblos indígenas que se establecen en la Declaración de las Naciones Unidas sobre los Derechos de los Pueblos Indígenas</w:t>
      </w:r>
      <w:r w:rsidR="000C0CBF" w:rsidRPr="009A33BA">
        <w:rPr>
          <w:kern w:val="22"/>
          <w:shd w:val="clear" w:color="auto" w:fill="FFFFFF"/>
          <w:lang w:val="es-ES_tradnl"/>
        </w:rPr>
        <w:t xml:space="preserve">, </w:t>
      </w:r>
      <w:r w:rsidR="00FB477F" w:rsidRPr="009A33BA">
        <w:rPr>
          <w:kern w:val="22"/>
          <w:shd w:val="clear" w:color="auto" w:fill="FFFFFF"/>
          <w:lang w:val="es-ES_tradnl"/>
        </w:rPr>
        <w:t>y asiste a los Estados Miembros, previa petición, a lograr los fines de la Declaración mediante el fomento, la protección y cumplimiento de los derechos de los pueblos indígenas</w:t>
      </w:r>
      <w:r w:rsidR="00F858F5" w:rsidRPr="009A33BA">
        <w:rPr>
          <w:kern w:val="22"/>
          <w:lang w:val="es-ES_tradnl"/>
        </w:rPr>
        <w:t>.</w:t>
      </w:r>
    </w:p>
    <w:p w14:paraId="510E5D43" w14:textId="60861C8E" w:rsidR="00F858F5" w:rsidRPr="009A33BA" w:rsidRDefault="0080767E" w:rsidP="00FB38DC">
      <w:pPr>
        <w:pStyle w:val="Para1"/>
        <w:rPr>
          <w:color w:val="444444"/>
          <w:kern w:val="22"/>
          <w:lang w:val="es-ES_tradnl"/>
        </w:rPr>
      </w:pPr>
      <w:r w:rsidRPr="009A33BA">
        <w:rPr>
          <w:rFonts w:eastAsia="MS Mincho"/>
          <w:kern w:val="22"/>
          <w:lang w:val="es-ES_tradnl"/>
        </w:rPr>
        <w:t>El Mecanismo de Expertos está compuesto por siete expertos independientes en derechos de los pueblos indígenas</w:t>
      </w:r>
      <w:r w:rsidR="00F858F5" w:rsidRPr="009A33BA">
        <w:rPr>
          <w:kern w:val="22"/>
          <w:lang w:val="es-ES_tradnl"/>
        </w:rPr>
        <w:t xml:space="preserve">. </w:t>
      </w:r>
      <w:r w:rsidRPr="009A33BA">
        <w:rPr>
          <w:kern w:val="22"/>
          <w:lang w:val="es-ES_tradnl"/>
        </w:rPr>
        <w:t>Los expertos son nombrados por el Consejo de Derechos Humanos, el cual presta la debida atención a la competencia y experiencia reconocida sobre los derechos de los pueblos indígenas, los expertos de origen indígena, así como el equilibrio de género</w:t>
      </w:r>
      <w:r w:rsidR="00F858F5" w:rsidRPr="009A33BA">
        <w:rPr>
          <w:kern w:val="22"/>
          <w:lang w:val="es-ES_tradnl"/>
        </w:rPr>
        <w:t xml:space="preserve">. </w:t>
      </w:r>
      <w:r w:rsidRPr="009A33BA">
        <w:rPr>
          <w:kern w:val="22"/>
          <w:lang w:val="es-ES_tradnl"/>
        </w:rPr>
        <w:t>Se puede encontrar más información sobre los miembros en</w:t>
      </w:r>
      <w:r w:rsidR="00F858F5" w:rsidRPr="009A33BA">
        <w:rPr>
          <w:kern w:val="22"/>
          <w:lang w:val="es-ES_tradnl"/>
        </w:rPr>
        <w:t>:</w:t>
      </w:r>
      <w:r w:rsidR="00F858F5" w:rsidRPr="00B6154D">
        <w:rPr>
          <w:color w:val="444444"/>
          <w:kern w:val="22"/>
          <w:szCs w:val="22"/>
          <w:lang w:val="es-ES_tradnl"/>
        </w:rPr>
        <w:t xml:space="preserve"> </w:t>
      </w:r>
      <w:hyperlink r:id="rId14" w:history="1">
        <w:r w:rsidR="00F858F5" w:rsidRPr="00B6154D">
          <w:rPr>
            <w:rStyle w:val="Hyperlink"/>
            <w:kern w:val="22"/>
            <w:sz w:val="22"/>
            <w:szCs w:val="22"/>
            <w:lang w:val="es-ES_tradnl"/>
          </w:rPr>
          <w:t>http://www.ohchr.org/EN/Issues/IPeoples/EMRIP/Pages/Membership.aspx</w:t>
        </w:r>
      </w:hyperlink>
      <w:r w:rsidR="00F858F5" w:rsidRPr="00B6154D">
        <w:rPr>
          <w:color w:val="444444"/>
          <w:kern w:val="22"/>
          <w:szCs w:val="22"/>
          <w:lang w:val="es-ES_tradnl"/>
        </w:rPr>
        <w:t xml:space="preserve"> </w:t>
      </w:r>
    </w:p>
    <w:p w14:paraId="2F1CA11E" w14:textId="012AE8AA" w:rsidR="00F858F5" w:rsidRPr="009A33BA" w:rsidRDefault="0080767E" w:rsidP="00FB38DC">
      <w:pPr>
        <w:pStyle w:val="Para1"/>
        <w:rPr>
          <w:kern w:val="22"/>
          <w:shd w:val="clear" w:color="auto" w:fill="FFFFFF"/>
          <w:lang w:val="es-ES_tradnl"/>
        </w:rPr>
      </w:pPr>
      <w:r w:rsidRPr="009A33BA">
        <w:rPr>
          <w:kern w:val="22"/>
          <w:lang w:val="es-ES_tradnl"/>
        </w:rPr>
        <w:t>El Mecanismo de Expertos celebra un período anual de sesiones</w:t>
      </w:r>
      <w:r w:rsidR="00F858F5" w:rsidRPr="009A33BA">
        <w:rPr>
          <w:kern w:val="22"/>
          <w:lang w:val="es-ES_tradnl"/>
        </w:rPr>
        <w:t xml:space="preserve">, </w:t>
      </w:r>
      <w:r w:rsidRPr="009A33BA">
        <w:rPr>
          <w:kern w:val="22"/>
          <w:lang w:val="es-ES_tradnl"/>
        </w:rPr>
        <w:t xml:space="preserve">por lo general en el </w:t>
      </w:r>
      <w:r w:rsidR="00F858F5" w:rsidRPr="009A33BA">
        <w:rPr>
          <w:kern w:val="22"/>
          <w:lang w:val="es-ES_tradnl"/>
        </w:rPr>
        <w:t xml:space="preserve">Palais des Nations, </w:t>
      </w:r>
      <w:r w:rsidRPr="009A33BA">
        <w:rPr>
          <w:kern w:val="22"/>
          <w:lang w:val="es-ES_tradnl"/>
        </w:rPr>
        <w:t xml:space="preserve">en </w:t>
      </w:r>
      <w:r w:rsidR="00323A56" w:rsidRPr="009A33BA">
        <w:rPr>
          <w:kern w:val="22"/>
          <w:lang w:val="es-ES_tradnl"/>
        </w:rPr>
        <w:t>Ginebra</w:t>
      </w:r>
      <w:r w:rsidRPr="009A33BA">
        <w:rPr>
          <w:kern w:val="22"/>
          <w:lang w:val="es-ES_tradnl"/>
        </w:rPr>
        <w:t>, en julio de cada año</w:t>
      </w:r>
      <w:r w:rsidR="00F858F5" w:rsidRPr="009A33BA">
        <w:rPr>
          <w:kern w:val="22"/>
          <w:lang w:val="es-ES_tradnl"/>
        </w:rPr>
        <w:t xml:space="preserve">, </w:t>
      </w:r>
      <w:r w:rsidRPr="009A33BA">
        <w:rPr>
          <w:kern w:val="22"/>
          <w:lang w:val="es-ES_tradnl"/>
        </w:rPr>
        <w:t>en el cual participan representantes de los Estados, pueblos indígenas, organizaciones de pueblos indígenas, la sociedad civil, organizaciones intergubernamentales y el mundo académico</w:t>
      </w:r>
      <w:r w:rsidR="00F858F5" w:rsidRPr="009A33BA">
        <w:rPr>
          <w:kern w:val="22"/>
          <w:lang w:val="es-ES_tradnl"/>
        </w:rPr>
        <w:t>.</w:t>
      </w:r>
    </w:p>
    <w:p w14:paraId="785DC433" w14:textId="44E9A293" w:rsidR="00AC4E19" w:rsidRPr="009A33BA" w:rsidRDefault="00FC3C4B" w:rsidP="00FB38DC">
      <w:pPr>
        <w:spacing w:before="120" w:after="120"/>
        <w:rPr>
          <w:kern w:val="22"/>
          <w:lang w:val="es-ES_tradnl"/>
        </w:rPr>
      </w:pPr>
      <w:r w:rsidRPr="009A33BA">
        <w:rPr>
          <w:i/>
          <w:kern w:val="22"/>
          <w:lang w:val="es-ES_tradnl"/>
        </w:rPr>
        <w:t>Relator Especial sobre el Derecho de los pueblos indígenas</w:t>
      </w:r>
      <w:r w:rsidR="00AC4E19" w:rsidRPr="009A33BA">
        <w:rPr>
          <w:i/>
          <w:kern w:val="22"/>
          <w:lang w:val="es-ES_tradnl"/>
        </w:rPr>
        <w:t xml:space="preserve"> (SRIP)</w:t>
      </w:r>
    </w:p>
    <w:p w14:paraId="403CE398" w14:textId="4D572390" w:rsidR="000C0CBF" w:rsidRPr="009A33BA" w:rsidRDefault="00FC3C4B" w:rsidP="00FB38DC">
      <w:pPr>
        <w:pStyle w:val="Para1"/>
        <w:rPr>
          <w:kern w:val="22"/>
          <w:shd w:val="clear" w:color="auto" w:fill="FFFFFF"/>
          <w:lang w:val="es-ES_tradnl"/>
        </w:rPr>
      </w:pPr>
      <w:r w:rsidRPr="009A33BA">
        <w:rPr>
          <w:rFonts w:eastAsia="MS Mincho"/>
          <w:kern w:val="22"/>
          <w:lang w:val="es-ES_tradnl"/>
        </w:rPr>
        <w:t xml:space="preserve">El Relator Especial sobre el Derecho </w:t>
      </w:r>
      <w:r w:rsidR="002B7434" w:rsidRPr="009A33BA">
        <w:rPr>
          <w:rFonts w:eastAsia="MS Mincho"/>
          <w:kern w:val="22"/>
          <w:lang w:val="es-ES_tradnl"/>
        </w:rPr>
        <w:t xml:space="preserve">de los pueblos indígenas (SRIP, por sus siglas en inglés) se creó en </w:t>
      </w:r>
      <w:r w:rsidR="000C0CBF" w:rsidRPr="009A33BA">
        <w:rPr>
          <w:kern w:val="22"/>
          <w:lang w:val="es-ES_tradnl"/>
        </w:rPr>
        <w:t>2001</w:t>
      </w:r>
      <w:r w:rsidR="00AC4E19" w:rsidRPr="009A33BA">
        <w:rPr>
          <w:kern w:val="22"/>
          <w:lang w:val="es-ES_tradnl"/>
        </w:rPr>
        <w:t>.</w:t>
      </w:r>
      <w:r w:rsidR="000C0CBF" w:rsidRPr="009A33BA">
        <w:rPr>
          <w:kern w:val="22"/>
          <w:shd w:val="clear" w:color="auto" w:fill="FFFFFF"/>
          <w:lang w:val="es-ES_tradnl"/>
        </w:rPr>
        <w:t xml:space="preserve"> </w:t>
      </w:r>
      <w:r w:rsidR="002B7434" w:rsidRPr="009A33BA">
        <w:rPr>
          <w:kern w:val="22"/>
          <w:shd w:val="clear" w:color="auto" w:fill="FFFFFF"/>
          <w:lang w:val="es-ES_tradnl"/>
        </w:rPr>
        <w:t>En 2001, la Comisión de Derechos Humanos decidió nombrar un Relator Especial sobre los derechos indígenas, en el marco del sistema de Procedimientos Especiales temáticos</w:t>
      </w:r>
      <w:r w:rsidR="000C0CBF" w:rsidRPr="009A33BA">
        <w:rPr>
          <w:kern w:val="22"/>
          <w:shd w:val="clear" w:color="auto" w:fill="FFFFFF"/>
          <w:lang w:val="es-ES_tradnl"/>
        </w:rPr>
        <w:t xml:space="preserve">. </w:t>
      </w:r>
      <w:r w:rsidR="002B7434" w:rsidRPr="009A33BA">
        <w:rPr>
          <w:kern w:val="22"/>
          <w:shd w:val="clear" w:color="auto" w:fill="FFFFFF"/>
          <w:lang w:val="es-ES_tradnl"/>
        </w:rPr>
        <w:t>En 2004, la Comisión de Derechos Humanos renovó el mandato del Relator Especial</w:t>
      </w:r>
      <w:r w:rsidR="000C0CBF" w:rsidRPr="009A33BA">
        <w:rPr>
          <w:kern w:val="22"/>
          <w:shd w:val="clear" w:color="auto" w:fill="FFFFFF"/>
          <w:lang w:val="es-ES_tradnl"/>
        </w:rPr>
        <w:t xml:space="preserve">, </w:t>
      </w:r>
      <w:r w:rsidR="002B7434" w:rsidRPr="009A33BA">
        <w:rPr>
          <w:kern w:val="22"/>
          <w:shd w:val="clear" w:color="auto" w:fill="FFFFFF"/>
          <w:lang w:val="es-ES_tradnl"/>
        </w:rPr>
        <w:t>y en 2007 lo hizo el Consejo de Derechos Humanos</w:t>
      </w:r>
      <w:r w:rsidR="000C0CBF" w:rsidRPr="009A33BA">
        <w:rPr>
          <w:kern w:val="22"/>
          <w:shd w:val="clear" w:color="auto" w:fill="FFFFFF"/>
          <w:lang w:val="es-ES_tradnl"/>
        </w:rPr>
        <w:t xml:space="preserve">. </w:t>
      </w:r>
      <w:r w:rsidR="004D625C" w:rsidRPr="009A33BA">
        <w:rPr>
          <w:kern w:val="22"/>
          <w:shd w:val="clear" w:color="auto" w:fill="FFFFFF"/>
          <w:lang w:val="es-ES_tradnl"/>
        </w:rPr>
        <w:t>La resolución 33/12 del Consejo de Derechos Humanos solicita al Relator Especial</w:t>
      </w:r>
      <w:r w:rsidR="000C0CBF" w:rsidRPr="009A33BA">
        <w:rPr>
          <w:rStyle w:val="FootnoteReference"/>
          <w:kern w:val="22"/>
          <w:shd w:val="clear" w:color="auto" w:fill="FFFFFF"/>
          <w:lang w:val="es-ES_tradnl"/>
        </w:rPr>
        <w:footnoteReference w:id="15"/>
      </w:r>
      <w:r w:rsidR="004D625C" w:rsidRPr="009A33BA">
        <w:rPr>
          <w:kern w:val="22"/>
          <w:shd w:val="clear" w:color="auto" w:fill="FFFFFF"/>
          <w:lang w:val="es-ES_tradnl"/>
        </w:rPr>
        <w:t xml:space="preserve"> que</w:t>
      </w:r>
      <w:r w:rsidR="000C0CBF" w:rsidRPr="009A33BA">
        <w:rPr>
          <w:kern w:val="22"/>
          <w:shd w:val="clear" w:color="auto" w:fill="FFFFFF"/>
          <w:lang w:val="es-ES_tradnl"/>
        </w:rPr>
        <w:t>:</w:t>
      </w:r>
    </w:p>
    <w:p w14:paraId="074EAAFD" w14:textId="05195997" w:rsidR="004D625C" w:rsidRPr="009A33BA" w:rsidRDefault="000C0CBF" w:rsidP="007D475A">
      <w:pPr>
        <w:spacing w:before="120" w:after="120"/>
        <w:ind w:firstLine="851"/>
        <w:rPr>
          <w:kern w:val="22"/>
          <w:shd w:val="clear" w:color="auto" w:fill="FFFFFF"/>
          <w:lang w:val="es-ES_tradnl"/>
        </w:rPr>
      </w:pPr>
      <w:r w:rsidRPr="009A33BA">
        <w:rPr>
          <w:kern w:val="22"/>
          <w:shd w:val="clear" w:color="auto" w:fill="FFFFFF"/>
          <w:lang w:val="es-ES_tradnl"/>
        </w:rPr>
        <w:t xml:space="preserve">a) </w:t>
      </w:r>
      <w:r w:rsidR="00EF1261" w:rsidRPr="009A33BA">
        <w:rPr>
          <w:kern w:val="22"/>
          <w:shd w:val="clear" w:color="auto" w:fill="FFFFFF"/>
          <w:lang w:val="es-ES_tradnl"/>
        </w:rPr>
        <w:tab/>
      </w:r>
      <w:r w:rsidR="007D475A" w:rsidRPr="009A33BA">
        <w:rPr>
          <w:kern w:val="22"/>
          <w:shd w:val="clear" w:color="auto" w:fill="FFFFFF"/>
          <w:lang w:val="es-ES_tradnl"/>
        </w:rPr>
        <w:t>Examine modos y medios de superar los obstáculos existentes para la plena y efectiva protección de los derechos de los pueblos indígenas, de conformidad con su mandato, y de determinar, intercambiar y promover las mejores prácticas;</w:t>
      </w:r>
    </w:p>
    <w:p w14:paraId="0EA64F00" w14:textId="77777777" w:rsidR="007D475A" w:rsidRDefault="007D475A" w:rsidP="007D475A">
      <w:pPr>
        <w:spacing w:before="120" w:after="120"/>
        <w:ind w:firstLine="851"/>
        <w:rPr>
          <w:kern w:val="22"/>
          <w:shd w:val="clear" w:color="auto" w:fill="FFFFFF"/>
          <w:lang w:val="es-ES_tradnl"/>
        </w:rPr>
      </w:pPr>
      <w:r>
        <w:rPr>
          <w:kern w:val="22"/>
          <w:shd w:val="clear" w:color="auto" w:fill="FFFFFF"/>
          <w:lang w:val="es-ES_tradnl"/>
        </w:rPr>
        <w:t>b</w:t>
      </w:r>
      <w:r w:rsidR="000C0CBF" w:rsidRPr="009A33BA">
        <w:rPr>
          <w:kern w:val="22"/>
          <w:shd w:val="clear" w:color="auto" w:fill="FFFFFF"/>
          <w:lang w:val="es-ES_tradnl"/>
        </w:rPr>
        <w:t xml:space="preserve">) </w:t>
      </w:r>
      <w:r w:rsidR="00EF1261" w:rsidRPr="009A33BA">
        <w:rPr>
          <w:kern w:val="22"/>
          <w:shd w:val="clear" w:color="auto" w:fill="FFFFFF"/>
          <w:lang w:val="es-ES_tradnl"/>
        </w:rPr>
        <w:tab/>
      </w:r>
      <w:r w:rsidRPr="009A33BA">
        <w:rPr>
          <w:lang w:val="es-ES_tradnl" w:eastAsia="en-GB"/>
        </w:rPr>
        <w:t>Formule recomendaciones y propuestas sobre las medidas y actividades adecuadas para evitar y reparar las violaciones y las vulneraciones de los derechos de los pueblos indígenas;</w:t>
      </w:r>
    </w:p>
    <w:p w14:paraId="388EA36A" w14:textId="618A3AD5" w:rsidR="007D475A" w:rsidRPr="009A33BA" w:rsidRDefault="007D475A" w:rsidP="007D475A">
      <w:pPr>
        <w:spacing w:before="120" w:after="120"/>
        <w:ind w:firstLine="851"/>
        <w:rPr>
          <w:kern w:val="22"/>
          <w:shd w:val="clear" w:color="auto" w:fill="FFFFFF"/>
          <w:lang w:val="es-ES_tradnl"/>
        </w:rPr>
      </w:pPr>
      <w:r>
        <w:rPr>
          <w:lang w:val="es-ES_tradnl" w:eastAsia="en-GB"/>
        </w:rPr>
        <w:lastRenderedPageBreak/>
        <w:t xml:space="preserve">c) </w:t>
      </w:r>
      <w:r>
        <w:rPr>
          <w:lang w:val="es-ES_tradnl" w:eastAsia="en-GB"/>
        </w:rPr>
        <w:tab/>
      </w:r>
      <w:r w:rsidRPr="009A33BA">
        <w:rPr>
          <w:lang w:val="es-ES_tradnl" w:eastAsia="en-GB"/>
        </w:rPr>
        <w:t>Reúna, solicite, reciba e intercambie información y comunicaciones de todas las fuentes que corresponda, incluidos los Gobiernos, los pueblos indígenas y sus comunidades y organizaciones, sobre las denuncias de violaciones y vulneraciones de los derechos de los pueblos indígenas;</w:t>
      </w:r>
    </w:p>
    <w:p w14:paraId="21CC0EA2" w14:textId="1B3BDE1F" w:rsidR="004D625C" w:rsidRPr="009A33BA" w:rsidRDefault="004D625C" w:rsidP="004D625C">
      <w:pPr>
        <w:spacing w:before="120" w:after="120"/>
        <w:ind w:firstLine="851"/>
        <w:rPr>
          <w:kern w:val="22"/>
          <w:shd w:val="clear" w:color="auto" w:fill="FFFFFF"/>
          <w:lang w:val="es-ES_tradnl"/>
        </w:rPr>
      </w:pPr>
      <w:r w:rsidRPr="009A33BA">
        <w:rPr>
          <w:lang w:val="es-ES_tradnl" w:eastAsia="en-GB"/>
        </w:rPr>
        <w:t>d) Trabaje en estrecha cooperación y coordinación con otros procedimientos especiales y los órganos subsidiarios del Consejo de Derechos Humanos, en particular con el Mecanismo de Expertos sobre los Derechos de los Pueblos Indígenas, los órganos pertinentes de las Naciones Unidas, los órganos de tratados y las organizaciones regionales de derechos humanos.</w:t>
      </w:r>
    </w:p>
    <w:p w14:paraId="2D6CBE58" w14:textId="6AC55ADD" w:rsidR="00AC4E19" w:rsidRPr="009A33BA" w:rsidRDefault="002B7434" w:rsidP="00FB38DC">
      <w:pPr>
        <w:spacing w:before="120" w:after="120"/>
        <w:rPr>
          <w:kern w:val="22"/>
          <w:lang w:val="es-ES_tradnl"/>
        </w:rPr>
      </w:pPr>
      <w:r w:rsidRPr="009A33BA">
        <w:rPr>
          <w:i/>
          <w:kern w:val="22"/>
          <w:lang w:val="es-ES_tradnl"/>
        </w:rPr>
        <w:t>Fondo Voluntario de las Naciones Unidas para los Pueblos Indígenas</w:t>
      </w:r>
      <w:r w:rsidR="00AC4E19" w:rsidRPr="009A33BA">
        <w:rPr>
          <w:rStyle w:val="FootnoteReference"/>
          <w:i/>
          <w:kern w:val="22"/>
          <w:lang w:val="es-ES_tradnl"/>
        </w:rPr>
        <w:footnoteReference w:id="16"/>
      </w:r>
    </w:p>
    <w:p w14:paraId="3FCF119B" w14:textId="2F6E6693" w:rsidR="00AC4E19" w:rsidRPr="009A33BA" w:rsidRDefault="002B7434" w:rsidP="00FB38DC">
      <w:pPr>
        <w:pStyle w:val="Para1"/>
        <w:rPr>
          <w:kern w:val="22"/>
          <w:lang w:val="es-ES_tradnl"/>
        </w:rPr>
      </w:pPr>
      <w:r w:rsidRPr="009A33BA">
        <w:rPr>
          <w:kern w:val="22"/>
          <w:lang w:val="es-ES_tradnl"/>
        </w:rPr>
        <w:t xml:space="preserve">El Fondo Voluntario de las Naciones Unidas para los Pueblos Indígenas se creó de conformidad con la resolución </w:t>
      </w:r>
      <w:r w:rsidR="00AC4E19" w:rsidRPr="009A33BA">
        <w:rPr>
          <w:kern w:val="22"/>
          <w:lang w:val="es-ES_tradnl"/>
        </w:rPr>
        <w:t xml:space="preserve">40/131 </w:t>
      </w:r>
      <w:r w:rsidRPr="009A33BA">
        <w:rPr>
          <w:kern w:val="22"/>
          <w:lang w:val="es-ES_tradnl"/>
        </w:rPr>
        <w:t xml:space="preserve">del 13 de diciembre de </w:t>
      </w:r>
      <w:r w:rsidR="00AC4E19" w:rsidRPr="009A33BA">
        <w:rPr>
          <w:kern w:val="22"/>
          <w:lang w:val="es-ES_tradnl"/>
        </w:rPr>
        <w:t xml:space="preserve">1985, </w:t>
      </w:r>
      <w:r w:rsidRPr="009A33BA">
        <w:rPr>
          <w:kern w:val="22"/>
          <w:lang w:val="es-ES_tradnl"/>
        </w:rPr>
        <w:t>con la finalidad de asistir a los representantes de comunidades y organizaciones indígenas a participar en las deliberaciones del Grupo de Trabajo sobre Poblaciones Indígenas</w:t>
      </w:r>
      <w:r w:rsidR="00DD784F" w:rsidRPr="009A33BA">
        <w:rPr>
          <w:kern w:val="22"/>
          <w:lang w:val="es-ES_tradnl"/>
        </w:rPr>
        <w:t>.</w:t>
      </w:r>
      <w:r w:rsidR="00AC4E19" w:rsidRPr="009A33BA">
        <w:rPr>
          <w:kern w:val="22"/>
          <w:lang w:val="es-ES_tradnl"/>
        </w:rPr>
        <w:t> </w:t>
      </w:r>
    </w:p>
    <w:p w14:paraId="05E346C5" w14:textId="2114ECC9" w:rsidR="00637EE9" w:rsidRPr="009A33BA" w:rsidRDefault="00DD784F" w:rsidP="00FB38DC">
      <w:pPr>
        <w:pStyle w:val="Para1"/>
        <w:rPr>
          <w:kern w:val="22"/>
          <w:lang w:val="es-ES_tradnl"/>
        </w:rPr>
      </w:pPr>
      <w:r w:rsidRPr="009A33BA">
        <w:rPr>
          <w:rFonts w:eastAsia="MS Mincho"/>
          <w:kern w:val="22"/>
          <w:lang w:val="es-ES_tradnl"/>
        </w:rPr>
        <w:t>Con el paso de los años, se ha modificado y ampliado el mandato del fondo voluntario para comprender a las principales reuniones de las Naciones Unidas relacionadas con los derechos de los pueblos indígenas</w:t>
      </w:r>
      <w:r w:rsidR="00AC4E19" w:rsidRPr="009A33BA">
        <w:rPr>
          <w:kern w:val="22"/>
          <w:lang w:val="es-ES_tradnl"/>
        </w:rPr>
        <w:t xml:space="preserve">, </w:t>
      </w:r>
      <w:r w:rsidRPr="009A33BA">
        <w:rPr>
          <w:kern w:val="22"/>
          <w:lang w:val="es-ES_tradnl"/>
        </w:rPr>
        <w:t xml:space="preserve">incluidas las sesiones del </w:t>
      </w:r>
      <w:r w:rsidR="00AC4E19" w:rsidRPr="009A33BA">
        <w:rPr>
          <w:i/>
          <w:kern w:val="22"/>
          <w:lang w:val="es-ES_tradnl"/>
        </w:rPr>
        <w:t xml:space="preserve">EMRIP, </w:t>
      </w:r>
      <w:r w:rsidRPr="009A33BA">
        <w:rPr>
          <w:i/>
          <w:kern w:val="22"/>
          <w:lang w:val="es-ES_tradnl"/>
        </w:rPr>
        <w:t xml:space="preserve">el Consejo de Derechos Humanos </w:t>
      </w:r>
      <w:r w:rsidRPr="009A33BA">
        <w:rPr>
          <w:kern w:val="22"/>
          <w:lang w:val="es-ES_tradnl"/>
        </w:rPr>
        <w:t>y el</w:t>
      </w:r>
      <w:r w:rsidRPr="009A33BA">
        <w:rPr>
          <w:i/>
          <w:kern w:val="22"/>
          <w:lang w:val="es-ES_tradnl"/>
        </w:rPr>
        <w:t xml:space="preserve"> </w:t>
      </w:r>
      <w:r w:rsidR="00AC4E19" w:rsidRPr="009A33BA">
        <w:rPr>
          <w:i/>
          <w:kern w:val="22"/>
          <w:lang w:val="es-ES_tradnl"/>
        </w:rPr>
        <w:t xml:space="preserve">UNPFII, </w:t>
      </w:r>
      <w:r w:rsidRPr="009A33BA">
        <w:rPr>
          <w:i/>
          <w:kern w:val="22"/>
          <w:lang w:val="es-ES_tradnl"/>
        </w:rPr>
        <w:t>los períodos de sesiones de los órganos de tratados de derechos humanos, los períodos de sesiones del Consejo de Derechos Humanos y los períodos de sesiones del Examen Periódico Universal</w:t>
      </w:r>
      <w:r w:rsidR="003C45C8" w:rsidRPr="009A33BA">
        <w:rPr>
          <w:rStyle w:val="FootnoteReference"/>
          <w:kern w:val="22"/>
          <w:lang w:val="es-ES_tradnl"/>
        </w:rPr>
        <w:footnoteReference w:id="17"/>
      </w:r>
      <w:bookmarkStart w:id="12" w:name="_Hlk507498921"/>
      <w:r w:rsidRPr="009A33BA">
        <w:rPr>
          <w:i/>
          <w:kern w:val="22"/>
          <w:lang w:val="es-ES_tradnl"/>
        </w:rPr>
        <w:t>.</w:t>
      </w:r>
    </w:p>
    <w:p w14:paraId="7B1EB6C6" w14:textId="1C26A203" w:rsidR="000C0CBF" w:rsidRPr="009A33BA" w:rsidRDefault="00CC4B39" w:rsidP="00FB38DC">
      <w:pPr>
        <w:pStyle w:val="Heading2"/>
        <w:rPr>
          <w:kern w:val="22"/>
          <w:lang w:val="es-ES_tradnl"/>
        </w:rPr>
      </w:pPr>
      <w:r w:rsidRPr="009A33BA">
        <w:rPr>
          <w:kern w:val="22"/>
          <w:lang w:val="es-ES_tradnl"/>
        </w:rPr>
        <w:t>B.</w:t>
      </w:r>
      <w:r w:rsidRPr="009A33BA">
        <w:rPr>
          <w:kern w:val="22"/>
          <w:lang w:val="es-ES_tradnl"/>
        </w:rPr>
        <w:tab/>
      </w:r>
      <w:r w:rsidR="000C0CBF" w:rsidRPr="009A33BA">
        <w:rPr>
          <w:kern w:val="22"/>
          <w:lang w:val="es-ES_tradnl"/>
        </w:rPr>
        <w:t>Mec</w:t>
      </w:r>
      <w:r w:rsidR="00447A2D" w:rsidRPr="009A33BA">
        <w:rPr>
          <w:kern w:val="22"/>
          <w:lang w:val="es-ES_tradnl"/>
        </w:rPr>
        <w:t>anismos que no son específicos a los pueblos indígenas y comunidades locales</w:t>
      </w:r>
    </w:p>
    <w:bookmarkEnd w:id="12"/>
    <w:p w14:paraId="6456C782" w14:textId="70C58913" w:rsidR="000F6953" w:rsidRPr="009A33BA" w:rsidRDefault="00DD784F" w:rsidP="00FB38DC">
      <w:pPr>
        <w:pStyle w:val="Para1"/>
        <w:rPr>
          <w:kern w:val="22"/>
          <w:szCs w:val="22"/>
          <w:lang w:val="es-ES_tradnl"/>
        </w:rPr>
      </w:pPr>
      <w:r w:rsidRPr="009A33BA">
        <w:rPr>
          <w:kern w:val="22"/>
          <w:szCs w:val="22"/>
          <w:lang w:val="es-ES_tradnl"/>
        </w:rPr>
        <w:t xml:space="preserve">Las siguientes organizaciones no son específicas a los </w:t>
      </w:r>
      <w:r w:rsidR="00053F89" w:rsidRPr="009A33BA">
        <w:rPr>
          <w:kern w:val="22"/>
          <w:szCs w:val="22"/>
          <w:lang w:val="es-ES_tradnl"/>
        </w:rPr>
        <w:t>pueblos indígenas y comunidades locales</w:t>
      </w:r>
      <w:r w:rsidRPr="009A33BA">
        <w:rPr>
          <w:kern w:val="22"/>
          <w:szCs w:val="22"/>
          <w:lang w:val="es-ES_tradnl"/>
        </w:rPr>
        <w:t xml:space="preserve">; sin embargo, su mandato comprende esferas de trabajo </w:t>
      </w:r>
      <w:r w:rsidR="00F12983" w:rsidRPr="009A33BA">
        <w:rPr>
          <w:kern w:val="22"/>
          <w:szCs w:val="22"/>
          <w:lang w:val="es-ES_tradnl"/>
        </w:rPr>
        <w:t xml:space="preserve">de particular importancias para los </w:t>
      </w:r>
      <w:r w:rsidR="00053F89" w:rsidRPr="009A33BA">
        <w:rPr>
          <w:kern w:val="22"/>
          <w:szCs w:val="22"/>
          <w:lang w:val="es-ES_tradnl"/>
        </w:rPr>
        <w:t xml:space="preserve">pueblos indígenas y </w:t>
      </w:r>
      <w:r w:rsidR="00F12983" w:rsidRPr="009A33BA">
        <w:rPr>
          <w:kern w:val="22"/>
          <w:szCs w:val="22"/>
          <w:lang w:val="es-ES_tradnl"/>
        </w:rPr>
        <w:t xml:space="preserve">las </w:t>
      </w:r>
      <w:r w:rsidR="00053F89" w:rsidRPr="009A33BA">
        <w:rPr>
          <w:kern w:val="22"/>
          <w:szCs w:val="22"/>
          <w:lang w:val="es-ES_tradnl"/>
        </w:rPr>
        <w:t>comunidades locales</w:t>
      </w:r>
      <w:r w:rsidR="00780BC2" w:rsidRPr="009A33BA">
        <w:rPr>
          <w:kern w:val="22"/>
          <w:szCs w:val="22"/>
          <w:lang w:val="es-ES_tradnl"/>
        </w:rPr>
        <w:t>.</w:t>
      </w:r>
    </w:p>
    <w:p w14:paraId="7030B08C" w14:textId="5CA9BDFB" w:rsidR="00F858F5" w:rsidRPr="009A33BA" w:rsidRDefault="00447A2D" w:rsidP="00FB38DC">
      <w:pPr>
        <w:pStyle w:val="Default"/>
        <w:spacing w:before="120" w:after="120"/>
        <w:rPr>
          <w:i/>
          <w:kern w:val="22"/>
          <w:sz w:val="22"/>
          <w:szCs w:val="22"/>
          <w:lang w:val="es-ES_tradnl"/>
        </w:rPr>
      </w:pPr>
      <w:r w:rsidRPr="009A33BA">
        <w:rPr>
          <w:i/>
          <w:kern w:val="22"/>
          <w:sz w:val="22"/>
          <w:szCs w:val="22"/>
          <w:lang w:val="es-ES_tradnl"/>
        </w:rPr>
        <w:t xml:space="preserve">El Convenio sobre la Diversidad Biológica </w:t>
      </w:r>
    </w:p>
    <w:p w14:paraId="16F1E166" w14:textId="2CCBF0D1" w:rsidR="00F858F5" w:rsidRPr="009A33BA" w:rsidRDefault="00F12983" w:rsidP="00FB38DC">
      <w:pPr>
        <w:pStyle w:val="Para1"/>
        <w:rPr>
          <w:kern w:val="22"/>
          <w:szCs w:val="22"/>
          <w:lang w:val="es-ES_tradnl"/>
        </w:rPr>
      </w:pPr>
      <w:r w:rsidRPr="009A33BA">
        <w:rPr>
          <w:kern w:val="22"/>
          <w:szCs w:val="22"/>
          <w:lang w:val="es-ES_tradnl"/>
        </w:rPr>
        <w:t>El Convenio sobre la Diversidad Biológica y su Secretaría trabajan en los elementos fundamentales de la Declaración de las Naciones Unidas sobre los Derechos de los Pueblos Indígenas</w:t>
      </w:r>
      <w:r w:rsidR="00DA071C" w:rsidRPr="009A33BA">
        <w:rPr>
          <w:kern w:val="22"/>
          <w:szCs w:val="22"/>
          <w:lang w:val="es-ES_tradnl"/>
        </w:rPr>
        <w:t xml:space="preserve">, </w:t>
      </w:r>
      <w:r w:rsidRPr="009A33BA">
        <w:rPr>
          <w:kern w:val="22"/>
          <w:szCs w:val="22"/>
          <w:lang w:val="es-ES_tradnl"/>
        </w:rPr>
        <w:t>los cuales son conocimientos tradicionales, la utilización consuetudinaria sostenible de la diversidad biológica y la participación efectiva de los pueblos indígenas en la labor del Convenio, en diversos niveles, incluido el nivel local, nacional, regional e internacional</w:t>
      </w:r>
      <w:r w:rsidR="00DA071C" w:rsidRPr="009A33BA">
        <w:rPr>
          <w:kern w:val="22"/>
          <w:szCs w:val="22"/>
          <w:lang w:val="es-ES_tradnl"/>
        </w:rPr>
        <w:t>.</w:t>
      </w:r>
    </w:p>
    <w:p w14:paraId="5860C751" w14:textId="3377F5BB" w:rsidR="00761258" w:rsidRPr="009A33BA" w:rsidRDefault="00F12983" w:rsidP="00FB38DC">
      <w:pPr>
        <w:pStyle w:val="Para1"/>
        <w:tabs>
          <w:tab w:val="num" w:pos="360"/>
        </w:tabs>
        <w:rPr>
          <w:kern w:val="22"/>
          <w:szCs w:val="22"/>
          <w:lang w:val="es-ES_tradnl"/>
        </w:rPr>
      </w:pPr>
      <w:r w:rsidRPr="009A33BA">
        <w:rPr>
          <w:kern w:val="22"/>
          <w:szCs w:val="22"/>
          <w:lang w:val="es-ES_tradnl"/>
        </w:rPr>
        <w:t xml:space="preserve">Un principio fundamental del programa de trabajo sobre el </w:t>
      </w:r>
      <w:r w:rsidR="009522CB" w:rsidRPr="009A33BA">
        <w:rPr>
          <w:kern w:val="22"/>
          <w:szCs w:val="22"/>
          <w:lang w:val="es-ES_tradnl"/>
        </w:rPr>
        <w:t>artículo 8 j)</w:t>
      </w:r>
      <w:r w:rsidR="00761258" w:rsidRPr="009A33BA">
        <w:rPr>
          <w:kern w:val="22"/>
          <w:szCs w:val="22"/>
          <w:lang w:val="es-ES_tradnl"/>
        </w:rPr>
        <w:t xml:space="preserve"> </w:t>
      </w:r>
      <w:r w:rsidRPr="009A33BA">
        <w:rPr>
          <w:kern w:val="22"/>
          <w:szCs w:val="22"/>
          <w:lang w:val="es-ES_tradnl"/>
        </w:rPr>
        <w:t xml:space="preserve">ha sido la participación de los </w:t>
      </w:r>
      <w:r w:rsidR="00053F89" w:rsidRPr="009A33BA">
        <w:rPr>
          <w:kern w:val="22"/>
          <w:szCs w:val="22"/>
          <w:lang w:val="es-ES_tradnl"/>
        </w:rPr>
        <w:t xml:space="preserve">pueblos indígenas y </w:t>
      </w:r>
      <w:r w:rsidRPr="009A33BA">
        <w:rPr>
          <w:kern w:val="22"/>
          <w:szCs w:val="22"/>
          <w:lang w:val="es-ES_tradnl"/>
        </w:rPr>
        <w:t xml:space="preserve">las </w:t>
      </w:r>
      <w:r w:rsidR="00053F89" w:rsidRPr="009A33BA">
        <w:rPr>
          <w:kern w:val="22"/>
          <w:szCs w:val="22"/>
          <w:lang w:val="es-ES_tradnl"/>
        </w:rPr>
        <w:t>comunidades locales</w:t>
      </w:r>
      <w:r w:rsidR="00761258" w:rsidRPr="009A33BA">
        <w:rPr>
          <w:kern w:val="22"/>
          <w:szCs w:val="22"/>
          <w:lang w:val="es-ES_tradnl"/>
        </w:rPr>
        <w:t xml:space="preserve"> </w:t>
      </w:r>
      <w:r w:rsidRPr="009A33BA">
        <w:rPr>
          <w:kern w:val="22"/>
          <w:szCs w:val="22"/>
          <w:lang w:val="es-ES_tradnl"/>
        </w:rPr>
        <w:t>en su labor</w:t>
      </w:r>
      <w:r w:rsidR="00761258" w:rsidRPr="009A33BA">
        <w:rPr>
          <w:kern w:val="22"/>
          <w:szCs w:val="22"/>
          <w:lang w:val="es-ES_tradnl"/>
        </w:rPr>
        <w:t>.</w:t>
      </w:r>
      <w:r w:rsidR="002371C3" w:rsidRPr="009A33BA">
        <w:rPr>
          <w:kern w:val="22"/>
          <w:szCs w:val="22"/>
          <w:lang w:val="es-ES_tradnl"/>
        </w:rPr>
        <w:t xml:space="preserve"> </w:t>
      </w:r>
      <w:r w:rsidRPr="009A33BA">
        <w:rPr>
          <w:kern w:val="22"/>
          <w:szCs w:val="22"/>
          <w:lang w:val="es-ES_tradnl"/>
        </w:rPr>
        <w:t>Sobre esta base, el éxito del</w:t>
      </w:r>
      <w:r w:rsidR="0034182E" w:rsidRPr="009A33BA">
        <w:rPr>
          <w:kern w:val="22"/>
          <w:szCs w:val="22"/>
          <w:lang w:val="es-ES_tradnl"/>
        </w:rPr>
        <w:t xml:space="preserve"> Grupo de Trabajo</w:t>
      </w:r>
      <w:r w:rsidR="00761258" w:rsidRPr="009A33BA">
        <w:rPr>
          <w:kern w:val="22"/>
          <w:szCs w:val="22"/>
          <w:lang w:val="es-ES_tradnl"/>
        </w:rPr>
        <w:t xml:space="preserve"> </w:t>
      </w:r>
      <w:r w:rsidRPr="009A33BA">
        <w:rPr>
          <w:kern w:val="22"/>
          <w:szCs w:val="22"/>
          <w:lang w:val="es-ES_tradnl"/>
        </w:rPr>
        <w:t xml:space="preserve">sobre el </w:t>
      </w:r>
      <w:r w:rsidR="009522CB" w:rsidRPr="009A33BA">
        <w:rPr>
          <w:kern w:val="22"/>
          <w:szCs w:val="22"/>
          <w:lang w:val="es-ES_tradnl"/>
        </w:rPr>
        <w:t>artículo 8 j)</w:t>
      </w:r>
      <w:r w:rsidR="00761258" w:rsidRPr="009A33BA">
        <w:rPr>
          <w:kern w:val="22"/>
          <w:szCs w:val="22"/>
          <w:lang w:val="es-ES_tradnl"/>
        </w:rPr>
        <w:t xml:space="preserve"> </w:t>
      </w:r>
      <w:r w:rsidRPr="009A33BA">
        <w:rPr>
          <w:kern w:val="22"/>
          <w:szCs w:val="22"/>
          <w:lang w:val="es-ES_tradnl"/>
        </w:rPr>
        <w:t>radica en las prácticas adoptadas para garantizar la participación efectiva de los PIC</w:t>
      </w:r>
      <w:r w:rsidR="007D475A">
        <w:rPr>
          <w:kern w:val="22"/>
          <w:szCs w:val="22"/>
          <w:lang w:val="es-ES_tradnl"/>
        </w:rPr>
        <w:t>L</w:t>
      </w:r>
      <w:r w:rsidRPr="009A33BA">
        <w:rPr>
          <w:kern w:val="22"/>
          <w:szCs w:val="22"/>
          <w:lang w:val="es-ES_tradnl"/>
        </w:rPr>
        <w:t xml:space="preserve"> e</w:t>
      </w:r>
      <w:r w:rsidR="0081667D" w:rsidRPr="009A33BA">
        <w:rPr>
          <w:kern w:val="22"/>
          <w:szCs w:val="22"/>
          <w:lang w:val="es-ES_tradnl"/>
        </w:rPr>
        <w:t>n</w:t>
      </w:r>
      <w:r w:rsidRPr="009A33BA">
        <w:rPr>
          <w:kern w:val="22"/>
          <w:szCs w:val="22"/>
          <w:lang w:val="es-ES_tradnl"/>
        </w:rPr>
        <w:t xml:space="preserve"> su labor</w:t>
      </w:r>
      <w:r w:rsidR="00637EE9" w:rsidRPr="009A33BA">
        <w:rPr>
          <w:kern w:val="22"/>
          <w:szCs w:val="22"/>
          <w:lang w:val="es-ES_tradnl"/>
        </w:rPr>
        <w:t>.</w:t>
      </w:r>
      <w:r w:rsidR="002371C3" w:rsidRPr="009A33BA">
        <w:rPr>
          <w:kern w:val="22"/>
          <w:szCs w:val="22"/>
          <w:lang w:val="es-ES_tradnl"/>
        </w:rPr>
        <w:t xml:space="preserve"> </w:t>
      </w:r>
      <w:r w:rsidR="00217FBD" w:rsidRPr="009A33BA">
        <w:rPr>
          <w:kern w:val="22"/>
          <w:szCs w:val="22"/>
          <w:lang w:val="es-ES_tradnl"/>
        </w:rPr>
        <w:t xml:space="preserve">Entre las prácticas de participación mejoradas del </w:t>
      </w:r>
      <w:r w:rsidR="0034182E" w:rsidRPr="009A33BA">
        <w:rPr>
          <w:kern w:val="22"/>
          <w:szCs w:val="22"/>
          <w:lang w:val="es-ES_tradnl"/>
        </w:rPr>
        <w:t>Grupo de Trabajo</w:t>
      </w:r>
      <w:r w:rsidR="00761258" w:rsidRPr="009A33BA">
        <w:rPr>
          <w:kern w:val="22"/>
          <w:szCs w:val="22"/>
          <w:lang w:val="es-ES_tradnl"/>
        </w:rPr>
        <w:t xml:space="preserve"> </w:t>
      </w:r>
      <w:r w:rsidR="00217FBD" w:rsidRPr="009A33BA">
        <w:rPr>
          <w:kern w:val="22"/>
          <w:szCs w:val="22"/>
          <w:lang w:val="es-ES_tradnl"/>
        </w:rPr>
        <w:t>se encuentran medidas del siguiente tenor</w:t>
      </w:r>
      <w:r w:rsidR="00761258" w:rsidRPr="009A33BA">
        <w:rPr>
          <w:kern w:val="22"/>
          <w:szCs w:val="22"/>
          <w:lang w:val="es-ES_tradnl"/>
        </w:rPr>
        <w:t xml:space="preserve">: </w:t>
      </w:r>
      <w:r w:rsidR="00217FBD" w:rsidRPr="009A33BA">
        <w:rPr>
          <w:kern w:val="22"/>
          <w:szCs w:val="22"/>
          <w:lang w:val="es-ES_tradnl"/>
        </w:rPr>
        <w:t>la</w:t>
      </w:r>
      <w:r w:rsidR="00682EA7" w:rsidRPr="009A33BA">
        <w:rPr>
          <w:lang w:val="es-ES_tradnl"/>
        </w:rPr>
        <w:t xml:space="preserve"> presentación de la candidatura de un copresidente indígena para asistir al presidente de </w:t>
      </w:r>
      <w:r w:rsidR="00682EA7" w:rsidRPr="009A33BA">
        <w:rPr>
          <w:lang w:val="es-ES_tradnl"/>
        </w:rPr>
        <w:lastRenderedPageBreak/>
        <w:t>la reunión</w:t>
      </w:r>
      <w:r w:rsidR="00761258" w:rsidRPr="009A33BA">
        <w:rPr>
          <w:snapToGrid/>
          <w:kern w:val="22"/>
          <w:szCs w:val="22"/>
          <w:lang w:val="es-ES_tradnl"/>
        </w:rPr>
        <w:t xml:space="preserve">, </w:t>
      </w:r>
      <w:r w:rsidR="00682EA7" w:rsidRPr="009A33BA">
        <w:rPr>
          <w:snapToGrid/>
          <w:kern w:val="22"/>
          <w:szCs w:val="22"/>
          <w:lang w:val="es-ES_tradnl"/>
        </w:rPr>
        <w:t>así como una Mesa para pueblos indígenas y comunidades locales</w:t>
      </w:r>
      <w:r w:rsidR="00761258" w:rsidRPr="009A33BA">
        <w:rPr>
          <w:snapToGrid/>
          <w:kern w:val="22"/>
          <w:szCs w:val="22"/>
          <w:lang w:val="es-ES_tradnl"/>
        </w:rPr>
        <w:t xml:space="preserve">, </w:t>
      </w:r>
      <w:r w:rsidR="00682EA7" w:rsidRPr="009A33BA">
        <w:rPr>
          <w:snapToGrid/>
          <w:kern w:val="22"/>
          <w:szCs w:val="22"/>
          <w:lang w:val="es-ES_tradnl"/>
        </w:rPr>
        <w:t>y copresidentes par subgrupos de trabajo y grupos de contacto y mejores oportunidades para realizar intervenciones en todos los puntos del programa</w:t>
      </w:r>
      <w:r w:rsidR="00761258" w:rsidRPr="009A33BA">
        <w:rPr>
          <w:snapToGrid/>
          <w:kern w:val="22"/>
          <w:szCs w:val="22"/>
          <w:lang w:val="es-ES_tradnl"/>
        </w:rPr>
        <w:t xml:space="preserve">. </w:t>
      </w:r>
      <w:r w:rsidR="00682EA7" w:rsidRPr="009A33BA">
        <w:rPr>
          <w:snapToGrid/>
          <w:kern w:val="22"/>
          <w:szCs w:val="22"/>
          <w:lang w:val="es-ES_tradnl"/>
        </w:rPr>
        <w:t>Además, para contribuir en mayor medida a la participación efectiva de los PICL en la labor del Convenio</w:t>
      </w:r>
      <w:r w:rsidR="00666329" w:rsidRPr="009A33BA">
        <w:rPr>
          <w:kern w:val="22"/>
          <w:szCs w:val="22"/>
          <w:lang w:val="es-ES_tradnl"/>
        </w:rPr>
        <w:t>,</w:t>
      </w:r>
      <w:r w:rsidR="00761258" w:rsidRPr="009A33BA">
        <w:rPr>
          <w:kern w:val="22"/>
          <w:szCs w:val="22"/>
          <w:lang w:val="es-ES_tradnl"/>
        </w:rPr>
        <w:t xml:space="preserve"> </w:t>
      </w:r>
      <w:r w:rsidR="00682EA7" w:rsidRPr="009A33BA">
        <w:rPr>
          <w:kern w:val="22"/>
          <w:szCs w:val="22"/>
          <w:lang w:val="es-ES_tradnl"/>
        </w:rPr>
        <w:t>la Secretaría ha creado páginas web y herramientas basadas en Internet específicas</w:t>
      </w:r>
      <w:r w:rsidR="00761258" w:rsidRPr="009A33BA">
        <w:rPr>
          <w:kern w:val="22"/>
          <w:szCs w:val="22"/>
          <w:lang w:val="es-ES_tradnl"/>
        </w:rPr>
        <w:t xml:space="preserve">, </w:t>
      </w:r>
      <w:r w:rsidR="00682EA7" w:rsidRPr="009A33BA">
        <w:rPr>
          <w:kern w:val="22"/>
          <w:szCs w:val="22"/>
          <w:lang w:val="es-ES_tradnl"/>
        </w:rPr>
        <w:t>incluid</w:t>
      </w:r>
      <w:r w:rsidR="00D65B58" w:rsidRPr="009A33BA">
        <w:rPr>
          <w:kern w:val="22"/>
          <w:szCs w:val="22"/>
          <w:lang w:val="es-ES_tradnl"/>
        </w:rPr>
        <w:t>o el Portal de información sobre conocimientos tradicionales</w:t>
      </w:r>
      <w:r w:rsidR="00761258" w:rsidRPr="009A33BA">
        <w:rPr>
          <w:kern w:val="22"/>
          <w:szCs w:val="22"/>
          <w:lang w:val="es-ES_tradnl"/>
        </w:rPr>
        <w:t xml:space="preserve">, </w:t>
      </w:r>
      <w:r w:rsidR="00D65B58" w:rsidRPr="009A33BA">
        <w:rPr>
          <w:kern w:val="22"/>
          <w:szCs w:val="22"/>
          <w:lang w:val="es-ES_tradnl"/>
        </w:rPr>
        <w:t>facilita actividades regulares de fomento de capacidad</w:t>
      </w:r>
      <w:r w:rsidR="007D475A">
        <w:rPr>
          <w:kern w:val="22"/>
          <w:szCs w:val="22"/>
          <w:lang w:val="es-ES_tradnl"/>
        </w:rPr>
        <w:t xml:space="preserve"> </w:t>
      </w:r>
      <w:r w:rsidR="00D65B58" w:rsidRPr="009A33BA">
        <w:rPr>
          <w:kern w:val="22"/>
          <w:szCs w:val="22"/>
          <w:lang w:val="es-ES_tradnl"/>
        </w:rPr>
        <w:t xml:space="preserve">y gestiona un mecanismo voluntario de financiación para la participación de </w:t>
      </w:r>
      <w:r w:rsidR="007D475A">
        <w:rPr>
          <w:kern w:val="22"/>
          <w:szCs w:val="22"/>
          <w:lang w:val="es-ES_tradnl"/>
        </w:rPr>
        <w:t xml:space="preserve">los </w:t>
      </w:r>
      <w:r w:rsidR="00D65B58" w:rsidRPr="009A33BA">
        <w:rPr>
          <w:kern w:val="22"/>
          <w:szCs w:val="22"/>
          <w:lang w:val="es-ES_tradnl"/>
        </w:rPr>
        <w:t>PICL en reuniones que se celebran con arreglo al Convenio</w:t>
      </w:r>
      <w:r w:rsidR="00761258" w:rsidRPr="009A33BA">
        <w:rPr>
          <w:kern w:val="22"/>
          <w:szCs w:val="22"/>
          <w:vertAlign w:val="superscript"/>
          <w:lang w:val="es-ES_tradnl"/>
        </w:rPr>
        <w:footnoteRef/>
      </w:r>
      <w:r w:rsidR="00D65B58" w:rsidRPr="009A33BA">
        <w:rPr>
          <w:kern w:val="22"/>
          <w:szCs w:val="22"/>
          <w:lang w:val="es-ES_tradnl"/>
        </w:rPr>
        <w:t xml:space="preserve">. El Convenio sigue siendo el único acuerdo multilateral sobre el medio ambiente que ha creado un fondo voluntario para fomentar la participación de </w:t>
      </w:r>
      <w:r w:rsidR="007D475A">
        <w:rPr>
          <w:kern w:val="22"/>
          <w:szCs w:val="22"/>
          <w:lang w:val="es-ES_tradnl"/>
        </w:rPr>
        <w:t xml:space="preserve">los </w:t>
      </w:r>
      <w:r w:rsidR="00D65B58" w:rsidRPr="009A33BA">
        <w:rPr>
          <w:kern w:val="22"/>
          <w:szCs w:val="22"/>
          <w:lang w:val="es-ES_tradnl"/>
        </w:rPr>
        <w:t>PICL en sus reuniones</w:t>
      </w:r>
      <w:r w:rsidR="00761258" w:rsidRPr="009A33BA">
        <w:rPr>
          <w:kern w:val="22"/>
          <w:szCs w:val="22"/>
          <w:lang w:val="es-ES_tradnl"/>
        </w:rPr>
        <w:t>.</w:t>
      </w:r>
    </w:p>
    <w:p w14:paraId="13CB5049" w14:textId="0013943C" w:rsidR="003C321B" w:rsidRPr="009A33BA" w:rsidRDefault="00D65B58" w:rsidP="00FB38DC">
      <w:pPr>
        <w:pStyle w:val="Para1"/>
        <w:tabs>
          <w:tab w:val="num" w:pos="360"/>
        </w:tabs>
        <w:rPr>
          <w:kern w:val="22"/>
          <w:szCs w:val="22"/>
          <w:lang w:val="es-ES_tradnl"/>
        </w:rPr>
      </w:pPr>
      <w:r w:rsidRPr="009A33BA">
        <w:rPr>
          <w:rFonts w:eastAsia="MS Mincho"/>
          <w:kern w:val="22"/>
          <w:lang w:val="es-ES_tradnl"/>
        </w:rPr>
        <w:t xml:space="preserve">Si bien el </w:t>
      </w:r>
      <w:r w:rsidR="0034182E" w:rsidRPr="009A33BA">
        <w:rPr>
          <w:kern w:val="22"/>
          <w:szCs w:val="22"/>
          <w:lang w:val="es-ES_tradnl"/>
        </w:rPr>
        <w:t>Grupo de Trabajo</w:t>
      </w:r>
      <w:r w:rsidR="003C321B" w:rsidRPr="009A33BA">
        <w:rPr>
          <w:kern w:val="22"/>
          <w:szCs w:val="22"/>
          <w:lang w:val="es-ES_tradnl"/>
        </w:rPr>
        <w:t xml:space="preserve"> </w:t>
      </w:r>
      <w:r w:rsidRPr="009A33BA">
        <w:rPr>
          <w:kern w:val="22"/>
          <w:szCs w:val="22"/>
          <w:lang w:val="es-ES_tradnl"/>
        </w:rPr>
        <w:t xml:space="preserve">sobre el </w:t>
      </w:r>
      <w:r w:rsidR="009522CB" w:rsidRPr="009A33BA">
        <w:rPr>
          <w:kern w:val="22"/>
          <w:szCs w:val="22"/>
          <w:lang w:val="es-ES_tradnl"/>
        </w:rPr>
        <w:t>artículo 8 j)</w:t>
      </w:r>
      <w:r w:rsidR="003C321B" w:rsidRPr="009A33BA">
        <w:rPr>
          <w:kern w:val="22"/>
          <w:szCs w:val="22"/>
          <w:lang w:val="es-ES_tradnl"/>
        </w:rPr>
        <w:t xml:space="preserve"> </w:t>
      </w:r>
      <w:r w:rsidRPr="009A33BA">
        <w:rPr>
          <w:kern w:val="22"/>
          <w:szCs w:val="22"/>
          <w:lang w:val="es-ES_tradnl"/>
        </w:rPr>
        <w:t>ha sido un punto esencial para los PICL con arreglo al Convenio, también participa y contribuye a todas las demás reuniones y talleres que se celebran en virtud del Convenio, incluida la</w:t>
      </w:r>
      <w:r w:rsidR="003C321B" w:rsidRPr="009A33BA">
        <w:rPr>
          <w:kern w:val="22"/>
          <w:szCs w:val="22"/>
          <w:lang w:val="es-ES_tradnl"/>
        </w:rPr>
        <w:t xml:space="preserve"> </w:t>
      </w:r>
      <w:r w:rsidR="00053F89" w:rsidRPr="009A33BA">
        <w:rPr>
          <w:kern w:val="22"/>
          <w:szCs w:val="22"/>
          <w:lang w:val="es-ES_tradnl"/>
        </w:rPr>
        <w:t>Conferencia de las Partes</w:t>
      </w:r>
      <w:r w:rsidR="003C321B" w:rsidRPr="009A33BA">
        <w:rPr>
          <w:kern w:val="22"/>
          <w:szCs w:val="22"/>
          <w:lang w:val="es-ES_tradnl"/>
        </w:rPr>
        <w:t>.</w:t>
      </w:r>
    </w:p>
    <w:p w14:paraId="79D3BC89" w14:textId="093AD72A" w:rsidR="005366F4" w:rsidRPr="009A33BA" w:rsidRDefault="002B5118" w:rsidP="00FB38DC">
      <w:pPr>
        <w:pStyle w:val="Default"/>
        <w:spacing w:before="120" w:after="120"/>
        <w:rPr>
          <w:i/>
          <w:kern w:val="22"/>
          <w:sz w:val="22"/>
          <w:szCs w:val="22"/>
          <w:lang w:val="es-ES_tradnl"/>
        </w:rPr>
      </w:pPr>
      <w:r w:rsidRPr="009A33BA">
        <w:rPr>
          <w:i/>
          <w:kern w:val="22"/>
          <w:sz w:val="22"/>
          <w:szCs w:val="22"/>
          <w:lang w:val="es-ES_tradnl"/>
        </w:rPr>
        <w:t xml:space="preserve">Convención Marco de las Naciones Unidas sobre el Cambio Climático en </w:t>
      </w:r>
      <w:r w:rsidR="003C45C8" w:rsidRPr="009A33BA">
        <w:rPr>
          <w:i/>
          <w:kern w:val="22"/>
          <w:sz w:val="22"/>
          <w:szCs w:val="22"/>
          <w:lang w:val="es-ES_tradnl"/>
        </w:rPr>
        <w:t xml:space="preserve">2017 </w:t>
      </w:r>
      <w:r w:rsidR="00B4409A" w:rsidRPr="009A33BA">
        <w:rPr>
          <w:i/>
          <w:kern w:val="22"/>
          <w:sz w:val="22"/>
          <w:szCs w:val="22"/>
          <w:lang w:val="es-ES_tradnl"/>
        </w:rPr>
        <w:t xml:space="preserve">ha creado una </w:t>
      </w:r>
      <w:r w:rsidR="0064799B" w:rsidRPr="009A33BA">
        <w:rPr>
          <w:i/>
          <w:kern w:val="22"/>
          <w:sz w:val="22"/>
          <w:szCs w:val="22"/>
          <w:lang w:val="es-ES_tradnl"/>
        </w:rPr>
        <w:t>“</w:t>
      </w:r>
      <w:r w:rsidR="00B4409A" w:rsidRPr="009A33BA">
        <w:rPr>
          <w:i/>
          <w:kern w:val="22"/>
          <w:sz w:val="22"/>
          <w:szCs w:val="22"/>
          <w:lang w:val="es-ES_tradnl"/>
        </w:rPr>
        <w:t xml:space="preserve">plataforma </w:t>
      </w:r>
      <w:r w:rsidR="0064799B" w:rsidRPr="009A33BA">
        <w:rPr>
          <w:i/>
          <w:kern w:val="22"/>
          <w:sz w:val="22"/>
          <w:szCs w:val="22"/>
          <w:lang w:val="es-ES_tradnl"/>
        </w:rPr>
        <w:t xml:space="preserve">para </w:t>
      </w:r>
      <w:r w:rsidR="00504595" w:rsidRPr="009A33BA">
        <w:rPr>
          <w:i/>
          <w:kern w:val="22"/>
          <w:sz w:val="22"/>
          <w:szCs w:val="22"/>
          <w:lang w:val="es-ES_tradnl"/>
        </w:rPr>
        <w:t xml:space="preserve">las </w:t>
      </w:r>
      <w:r w:rsidR="00B4409A" w:rsidRPr="009A33BA">
        <w:rPr>
          <w:i/>
          <w:kern w:val="22"/>
          <w:sz w:val="22"/>
          <w:szCs w:val="22"/>
          <w:lang w:val="es-ES_tradnl"/>
        </w:rPr>
        <w:t xml:space="preserve">comunidades locales y </w:t>
      </w:r>
      <w:r w:rsidR="0064799B" w:rsidRPr="009A33BA">
        <w:rPr>
          <w:i/>
          <w:kern w:val="22"/>
          <w:sz w:val="22"/>
          <w:szCs w:val="22"/>
          <w:lang w:val="es-ES_tradnl"/>
        </w:rPr>
        <w:t xml:space="preserve">los </w:t>
      </w:r>
      <w:r w:rsidR="00B4409A" w:rsidRPr="009A33BA">
        <w:rPr>
          <w:i/>
          <w:kern w:val="22"/>
          <w:sz w:val="22"/>
          <w:szCs w:val="22"/>
          <w:lang w:val="es-ES_tradnl"/>
        </w:rPr>
        <w:t>pueblos indígenas</w:t>
      </w:r>
      <w:r w:rsidR="005366F4" w:rsidRPr="009A33BA">
        <w:rPr>
          <w:i/>
          <w:kern w:val="22"/>
          <w:sz w:val="22"/>
          <w:szCs w:val="22"/>
          <w:lang w:val="es-ES_tradnl"/>
        </w:rPr>
        <w:t>”</w:t>
      </w:r>
      <w:r w:rsidR="005366F4" w:rsidRPr="009A33BA">
        <w:rPr>
          <w:rStyle w:val="FootnoteReference"/>
          <w:i/>
          <w:kern w:val="22"/>
          <w:szCs w:val="22"/>
          <w:lang w:val="es-ES_tradnl"/>
        </w:rPr>
        <w:footnoteReference w:id="18"/>
      </w:r>
    </w:p>
    <w:p w14:paraId="40B51125" w14:textId="7E7E455F" w:rsidR="00504595" w:rsidRPr="009A33BA" w:rsidRDefault="00B4409A" w:rsidP="00504595">
      <w:pPr>
        <w:pStyle w:val="Para1"/>
        <w:rPr>
          <w:kern w:val="22"/>
          <w:szCs w:val="22"/>
          <w:lang w:val="es-ES_tradnl"/>
        </w:rPr>
      </w:pPr>
      <w:r w:rsidRPr="009A33BA">
        <w:rPr>
          <w:rFonts w:eastAsia="MS Mincho"/>
          <w:kern w:val="22"/>
          <w:lang w:val="es-ES_tradnl"/>
        </w:rPr>
        <w:t>Los PICL han trabajado a lo largo del tiempo para mejorar la participación en los procesos de</w:t>
      </w:r>
      <w:r w:rsidR="007D475A">
        <w:rPr>
          <w:rFonts w:eastAsia="MS Mincho"/>
          <w:kern w:val="22"/>
          <w:lang w:val="es-ES_tradnl"/>
        </w:rPr>
        <w:t xml:space="preserve"> la</w:t>
      </w:r>
      <w:r w:rsidRPr="009A33BA">
        <w:rPr>
          <w:rFonts w:eastAsia="MS Mincho"/>
          <w:kern w:val="22"/>
          <w:lang w:val="es-ES_tradnl"/>
        </w:rPr>
        <w:t xml:space="preserve"> </w:t>
      </w:r>
      <w:r w:rsidRPr="009A33BA">
        <w:rPr>
          <w:kern w:val="22"/>
          <w:szCs w:val="22"/>
          <w:lang w:val="es-ES_tradnl"/>
        </w:rPr>
        <w:t>CMNUCC</w:t>
      </w:r>
      <w:r w:rsidR="003C321B" w:rsidRPr="009A33BA">
        <w:rPr>
          <w:kern w:val="22"/>
          <w:szCs w:val="22"/>
          <w:lang w:val="es-ES_tradnl"/>
        </w:rPr>
        <w:t xml:space="preserve">. </w:t>
      </w:r>
      <w:r w:rsidRPr="009A33BA">
        <w:rPr>
          <w:kern w:val="22"/>
          <w:szCs w:val="22"/>
          <w:lang w:val="es-ES_tradnl"/>
        </w:rPr>
        <w:t xml:space="preserve">Recientemente, esto ha dado a lugar a una decisión </w:t>
      </w:r>
      <w:r w:rsidR="00F7641D" w:rsidRPr="009A33BA">
        <w:rPr>
          <w:kern w:val="22"/>
          <w:szCs w:val="22"/>
          <w:lang w:val="es-ES_tradnl"/>
        </w:rPr>
        <w:t xml:space="preserve">del órgano rector para crear una plataforma </w:t>
      </w:r>
      <w:r w:rsidR="00504595" w:rsidRPr="009A33BA">
        <w:rPr>
          <w:kern w:val="22"/>
          <w:szCs w:val="22"/>
          <w:lang w:val="es-ES_tradnl"/>
        </w:rPr>
        <w:t xml:space="preserve">para las </w:t>
      </w:r>
      <w:r w:rsidR="00F7641D" w:rsidRPr="009A33BA">
        <w:rPr>
          <w:i/>
          <w:kern w:val="22"/>
          <w:szCs w:val="22"/>
          <w:lang w:val="es-ES_tradnl"/>
        </w:rPr>
        <w:t xml:space="preserve">“comunidades locales y </w:t>
      </w:r>
      <w:r w:rsidR="0064799B" w:rsidRPr="009A33BA">
        <w:rPr>
          <w:i/>
          <w:kern w:val="22"/>
          <w:szCs w:val="22"/>
          <w:lang w:val="es-ES_tradnl"/>
        </w:rPr>
        <w:t xml:space="preserve">los </w:t>
      </w:r>
      <w:r w:rsidR="00F7641D" w:rsidRPr="009A33BA">
        <w:rPr>
          <w:i/>
          <w:kern w:val="22"/>
          <w:szCs w:val="22"/>
          <w:lang w:val="es-ES_tradnl"/>
        </w:rPr>
        <w:t>pueblos indígenas”</w:t>
      </w:r>
      <w:r w:rsidR="003C321B" w:rsidRPr="009A33BA">
        <w:rPr>
          <w:kern w:val="22"/>
          <w:szCs w:val="22"/>
          <w:lang w:val="es-ES_tradnl"/>
        </w:rPr>
        <w:t xml:space="preserve">. </w:t>
      </w:r>
      <w:bookmarkStart w:id="13" w:name="_GoBack"/>
      <w:r w:rsidR="00504595" w:rsidRPr="009A33BA">
        <w:rPr>
          <w:kern w:val="22"/>
          <w:szCs w:val="22"/>
          <w:lang w:val="es-ES_tradnl"/>
        </w:rPr>
        <w:t xml:space="preserve">La plataforma </w:t>
      </w:r>
      <w:r w:rsidR="007D475A">
        <w:rPr>
          <w:kern w:val="22"/>
          <w:szCs w:val="22"/>
          <w:lang w:val="es-ES_tradnl"/>
        </w:rPr>
        <w:t xml:space="preserve">de la </w:t>
      </w:r>
      <w:r w:rsidR="007D475A" w:rsidRPr="009A33BA">
        <w:rPr>
          <w:kern w:val="22"/>
          <w:szCs w:val="22"/>
          <w:lang w:val="es-ES_tradnl"/>
        </w:rPr>
        <w:t xml:space="preserve">CMNUCC </w:t>
      </w:r>
      <w:r w:rsidR="007D475A">
        <w:rPr>
          <w:kern w:val="22"/>
          <w:szCs w:val="22"/>
          <w:lang w:val="es-ES_tradnl"/>
        </w:rPr>
        <w:t>para</w:t>
      </w:r>
      <w:r w:rsidR="00F80FBA">
        <w:rPr>
          <w:kern w:val="22"/>
          <w:szCs w:val="22"/>
          <w:lang w:val="es-ES_tradnl"/>
        </w:rPr>
        <w:t xml:space="preserve"> </w:t>
      </w:r>
      <w:r w:rsidR="00504595" w:rsidRPr="009A33BA">
        <w:rPr>
          <w:kern w:val="22"/>
          <w:szCs w:val="22"/>
          <w:lang w:val="es-ES_tradnl"/>
        </w:rPr>
        <w:t>las comunidades locales y pueblos indígenas tiene por finalidad</w:t>
      </w:r>
      <w:r w:rsidR="00780BC2" w:rsidRPr="009A33BA">
        <w:rPr>
          <w:kern w:val="22"/>
          <w:szCs w:val="22"/>
          <w:lang w:val="es-ES_tradnl"/>
        </w:rPr>
        <w:t>:</w:t>
      </w:r>
      <w:r w:rsidR="005366F4" w:rsidRPr="009A33BA">
        <w:rPr>
          <w:kern w:val="22"/>
          <w:szCs w:val="22"/>
          <w:lang w:val="es-ES_tradnl"/>
        </w:rPr>
        <w:t xml:space="preserve"> </w:t>
      </w:r>
      <w:r w:rsidR="00504595" w:rsidRPr="009A33BA">
        <w:rPr>
          <w:lang w:val="es-ES_tradnl"/>
        </w:rPr>
        <w:t xml:space="preserve">reforzar los conocimientos, las tecnologías, las prácticas y los esfuerzos de las comunidades locales y los pueblos indígenas </w:t>
      </w:r>
      <w:bookmarkEnd w:id="13"/>
      <w:r w:rsidR="00504595" w:rsidRPr="009A33BA">
        <w:rPr>
          <w:lang w:val="es-ES_tradnl"/>
        </w:rPr>
        <w:t>para hacer frente al cambio climático y darle respuesta</w:t>
      </w:r>
      <w:r w:rsidR="00132119" w:rsidRPr="009A33BA">
        <w:rPr>
          <w:kern w:val="22"/>
          <w:szCs w:val="22"/>
          <w:lang w:val="es-ES_tradnl"/>
        </w:rPr>
        <w:t>;</w:t>
      </w:r>
      <w:r w:rsidR="005366F4" w:rsidRPr="009A33BA">
        <w:rPr>
          <w:kern w:val="22"/>
          <w:szCs w:val="22"/>
          <w:lang w:val="es-ES_tradnl"/>
        </w:rPr>
        <w:t xml:space="preserve"> </w:t>
      </w:r>
      <w:r w:rsidR="00504595" w:rsidRPr="009A33BA">
        <w:rPr>
          <w:lang w:val="es-ES_tradnl"/>
        </w:rPr>
        <w:t xml:space="preserve">facilitar el intercambio de experiencias y la difusión de mejores prácticas y lecciones aprendidas sobre la mitigación y la adaptación de manera holística e integrada y fomentar la participación de las comunidades locales y los pueblos indígenas en el proceso de la </w:t>
      </w:r>
      <w:r w:rsidR="00BE4F43" w:rsidRPr="009A33BA">
        <w:rPr>
          <w:lang w:val="es-ES_tradnl"/>
        </w:rPr>
        <w:t>CMNUCC</w:t>
      </w:r>
      <w:r w:rsidR="005366F4" w:rsidRPr="009A33BA">
        <w:rPr>
          <w:kern w:val="22"/>
          <w:szCs w:val="22"/>
          <w:lang w:val="es-ES_tradnl"/>
        </w:rPr>
        <w:t>;</w:t>
      </w:r>
    </w:p>
    <w:p w14:paraId="2A8C4AA0" w14:textId="7D2F7FE7" w:rsidR="005366F4" w:rsidRPr="009A33BA" w:rsidRDefault="00BE4F43" w:rsidP="00FB38DC">
      <w:pPr>
        <w:pStyle w:val="Para1"/>
        <w:rPr>
          <w:rFonts w:eastAsia="Calibri"/>
          <w:kern w:val="22"/>
          <w:szCs w:val="22"/>
          <w:lang w:val="es-ES_tradnl"/>
        </w:rPr>
      </w:pPr>
      <w:r w:rsidRPr="009A33BA">
        <w:rPr>
          <w:rFonts w:eastAsia="MS Mincho"/>
          <w:kern w:val="22"/>
          <w:lang w:val="es-ES_tradnl"/>
        </w:rPr>
        <w:t xml:space="preserve">El </w:t>
      </w:r>
      <w:r w:rsidRPr="009A33BA">
        <w:rPr>
          <w:lang w:val="es-ES_tradnl"/>
        </w:rPr>
        <w:t>Órgano Subsidiario de Asesoramiento Científico y Tecnológico</w:t>
      </w:r>
      <w:r w:rsidRPr="009A33BA">
        <w:rPr>
          <w:rFonts w:eastAsia="MS Mincho"/>
          <w:kern w:val="22"/>
          <w:lang w:val="es-ES_tradnl"/>
        </w:rPr>
        <w:t xml:space="preserve"> de la CMNUCC examinará en su 48ª</w:t>
      </w:r>
      <w:r w:rsidR="005366F4" w:rsidRPr="009A33BA">
        <w:rPr>
          <w:rFonts w:eastAsia="Calibri"/>
          <w:kern w:val="22"/>
          <w:szCs w:val="22"/>
          <w:lang w:val="es-ES_tradnl"/>
        </w:rPr>
        <w:t xml:space="preserve"> </w:t>
      </w:r>
      <w:r w:rsidRPr="009A33BA">
        <w:rPr>
          <w:rFonts w:eastAsia="Calibri"/>
          <w:kern w:val="22"/>
          <w:szCs w:val="22"/>
          <w:lang w:val="es-ES_tradnl"/>
        </w:rPr>
        <w:t xml:space="preserve">período de sesiones </w:t>
      </w:r>
      <w:r w:rsidR="005366F4" w:rsidRPr="009A33BA">
        <w:rPr>
          <w:rFonts w:eastAsia="Calibri"/>
          <w:kern w:val="22"/>
          <w:szCs w:val="22"/>
          <w:lang w:val="es-ES_tradnl"/>
        </w:rPr>
        <w:t>(</w:t>
      </w:r>
      <w:r w:rsidRPr="009A33BA">
        <w:rPr>
          <w:rFonts w:eastAsia="Calibri"/>
          <w:kern w:val="22"/>
          <w:szCs w:val="22"/>
          <w:lang w:val="es-ES_tradnl"/>
        </w:rPr>
        <w:t>abril a mayo de</w:t>
      </w:r>
      <w:r w:rsidR="005366F4" w:rsidRPr="009A33BA">
        <w:rPr>
          <w:rFonts w:eastAsia="Calibri"/>
          <w:kern w:val="22"/>
          <w:szCs w:val="22"/>
          <w:lang w:val="es-ES_tradnl"/>
        </w:rPr>
        <w:t xml:space="preserve"> 2018) </w:t>
      </w:r>
      <w:r w:rsidR="007B3619" w:rsidRPr="009A33BA">
        <w:rPr>
          <w:lang w:val="es-ES_tradnl"/>
        </w:rPr>
        <w:t>la continuación de la puesta en funcionamiento de la plataforma</w:t>
      </w:r>
      <w:r w:rsidR="005366F4" w:rsidRPr="009A33BA">
        <w:rPr>
          <w:rFonts w:eastAsia="Calibri"/>
          <w:kern w:val="22"/>
          <w:szCs w:val="22"/>
          <w:lang w:val="es-ES_tradnl"/>
        </w:rPr>
        <w:t xml:space="preserve">, </w:t>
      </w:r>
      <w:r w:rsidR="007B3619" w:rsidRPr="009A33BA">
        <w:rPr>
          <w:lang w:val="es-ES_tradnl"/>
        </w:rPr>
        <w:t xml:space="preserve">en particular la creación de un grupo de trabajo de facilitación, que no sería un órgano de negociación en el marco de la Convención, y las modalidades para la elaboración de un plan de trabajo para el pleno cumplimiento de las funciones de la plataforma, con una representación equilibrada de las comunidades locales y los pueblos indígenas y las Partes, y a concluir sus consideraciones formulando recomendaciones a la Conferencia de las Partes en su 24º período de sesiones </w:t>
      </w:r>
      <w:r w:rsidR="005366F4" w:rsidRPr="009A33BA">
        <w:rPr>
          <w:rFonts w:eastAsia="Calibri"/>
          <w:kern w:val="22"/>
          <w:szCs w:val="22"/>
          <w:lang w:val="es-ES_tradnl"/>
        </w:rPr>
        <w:t>(</w:t>
      </w:r>
      <w:r w:rsidR="007B3619" w:rsidRPr="009A33BA">
        <w:rPr>
          <w:rFonts w:eastAsia="Calibri"/>
          <w:kern w:val="22"/>
          <w:szCs w:val="22"/>
          <w:lang w:val="es-ES_tradnl"/>
        </w:rPr>
        <w:t xml:space="preserve">diciembre de </w:t>
      </w:r>
      <w:r w:rsidR="005366F4" w:rsidRPr="009A33BA">
        <w:rPr>
          <w:rFonts w:eastAsia="Calibri"/>
          <w:kern w:val="22"/>
          <w:szCs w:val="22"/>
          <w:lang w:val="es-ES_tradnl"/>
        </w:rPr>
        <w:t>2018)</w:t>
      </w:r>
      <w:r w:rsidR="007B3619" w:rsidRPr="009A33BA">
        <w:rPr>
          <w:rFonts w:eastAsia="Calibri"/>
          <w:kern w:val="22"/>
          <w:szCs w:val="22"/>
          <w:lang w:val="es-ES_tradnl"/>
        </w:rPr>
        <w:t>;</w:t>
      </w:r>
    </w:p>
    <w:p w14:paraId="6317AEB2" w14:textId="0AD89A4F" w:rsidR="005366F4" w:rsidRPr="009A33BA" w:rsidRDefault="007B3619" w:rsidP="007B3619">
      <w:pPr>
        <w:jc w:val="left"/>
        <w:rPr>
          <w:i/>
          <w:color w:val="000000"/>
          <w:kern w:val="22"/>
          <w:lang w:val="es-ES_tradnl"/>
        </w:rPr>
      </w:pPr>
      <w:bookmarkStart w:id="14" w:name="_Hlk507421972"/>
      <w:r w:rsidRPr="009A33BA">
        <w:rPr>
          <w:i/>
          <w:color w:val="000000"/>
          <w:kern w:val="22"/>
          <w:lang w:val="es-ES_tradnl"/>
        </w:rPr>
        <w:t>Órgano Rector del Tratado sobre los Recursos Fitogenéticos para la Alimentación y la Agricultura</w:t>
      </w:r>
      <w:bookmarkEnd w:id="14"/>
      <w:r w:rsidR="005366F4" w:rsidRPr="009A33BA">
        <w:rPr>
          <w:vertAlign w:val="superscript"/>
          <w:lang w:val="es-ES_tradnl"/>
        </w:rPr>
        <w:footnoteReference w:id="19"/>
      </w:r>
    </w:p>
    <w:p w14:paraId="1E95C2F3" w14:textId="3717D49B" w:rsidR="005366F4" w:rsidRPr="009A33BA" w:rsidRDefault="006F5C63" w:rsidP="00FB38DC">
      <w:pPr>
        <w:pStyle w:val="Para1"/>
        <w:rPr>
          <w:color w:val="000000"/>
          <w:kern w:val="22"/>
          <w:lang w:val="es-ES_tradnl"/>
        </w:rPr>
      </w:pPr>
      <w:r w:rsidRPr="009A33BA">
        <w:rPr>
          <w:color w:val="000000"/>
          <w:kern w:val="22"/>
          <w:lang w:val="es-ES_tradnl"/>
        </w:rPr>
        <w:t xml:space="preserve">El 17º período de sesiones del Órgano Rector del </w:t>
      </w:r>
      <w:r w:rsidR="003C321B" w:rsidRPr="009A33BA">
        <w:rPr>
          <w:color w:val="000000"/>
          <w:kern w:val="22"/>
          <w:lang w:val="es-ES_tradnl"/>
        </w:rPr>
        <w:t>ITPGR</w:t>
      </w:r>
      <w:r w:rsidRPr="009A33BA">
        <w:rPr>
          <w:color w:val="000000"/>
          <w:kern w:val="22"/>
          <w:lang w:val="es-ES_tradnl"/>
        </w:rPr>
        <w:t>F</w:t>
      </w:r>
      <w:r w:rsidR="003C321B" w:rsidRPr="009A33BA">
        <w:rPr>
          <w:color w:val="000000"/>
          <w:kern w:val="22"/>
          <w:lang w:val="es-ES_tradnl"/>
        </w:rPr>
        <w:t xml:space="preserve">A </w:t>
      </w:r>
      <w:r w:rsidRPr="009A33BA">
        <w:rPr>
          <w:color w:val="000000"/>
          <w:kern w:val="22"/>
          <w:lang w:val="es-ES_tradnl"/>
        </w:rPr>
        <w:t xml:space="preserve">decidió </w:t>
      </w:r>
      <w:r w:rsidR="00F50396">
        <w:rPr>
          <w:color w:val="000000"/>
          <w:kern w:val="22"/>
          <w:lang w:val="es-ES_tradnl"/>
        </w:rPr>
        <w:t>centrarse</w:t>
      </w:r>
      <w:r w:rsidRPr="009A33BA">
        <w:rPr>
          <w:color w:val="000000"/>
          <w:kern w:val="22"/>
          <w:lang w:val="es-ES_tradnl"/>
        </w:rPr>
        <w:t>, entre otras cosas, en la aplicación del artículo 9 sobre los derechos de los agricultores, que incluye la consideración de los conocimientos tradicionales pertinentes para los recursos fitogenéticos para la alimentación y la agricultura</w:t>
      </w:r>
      <w:r w:rsidR="00780BC2" w:rsidRPr="009A33BA">
        <w:rPr>
          <w:rStyle w:val="FootnoteReference"/>
          <w:color w:val="000000"/>
          <w:kern w:val="22"/>
          <w:lang w:val="es-ES_tradnl"/>
        </w:rPr>
        <w:footnoteReference w:id="20"/>
      </w:r>
      <w:r w:rsidRPr="009A33BA">
        <w:rPr>
          <w:color w:val="000000"/>
          <w:kern w:val="22"/>
          <w:lang w:val="es-ES_tradnl"/>
        </w:rPr>
        <w:t>.</w:t>
      </w:r>
    </w:p>
    <w:p w14:paraId="7264A769" w14:textId="109025F1" w:rsidR="00780BC2" w:rsidRPr="009A33BA" w:rsidRDefault="006F5C63" w:rsidP="00FB38DC">
      <w:pPr>
        <w:pStyle w:val="Para1"/>
        <w:rPr>
          <w:kern w:val="22"/>
          <w:lang w:val="es-ES_tradnl"/>
        </w:rPr>
      </w:pPr>
      <w:r w:rsidRPr="009A33BA">
        <w:rPr>
          <w:color w:val="000000"/>
          <w:kern w:val="22"/>
          <w:lang w:val="es-ES_tradnl"/>
        </w:rPr>
        <w:t xml:space="preserve">Para abordar este asunto, el Órgano Rector decidió en la resolución </w:t>
      </w:r>
      <w:r w:rsidR="00780BC2" w:rsidRPr="009A33BA">
        <w:rPr>
          <w:kern w:val="22"/>
          <w:lang w:val="es-ES_tradnl"/>
        </w:rPr>
        <w:t xml:space="preserve">5/2015 </w:t>
      </w:r>
      <w:r w:rsidRPr="009A33BA">
        <w:rPr>
          <w:kern w:val="22"/>
          <w:lang w:val="es-ES_tradnl"/>
        </w:rPr>
        <w:t>crear un Grupo especial de expertos técnicos sobre los derechos de los agricultores</w:t>
      </w:r>
      <w:r w:rsidR="005366F4" w:rsidRPr="009A33BA">
        <w:rPr>
          <w:kern w:val="22"/>
          <w:lang w:val="es-ES_tradnl"/>
        </w:rPr>
        <w:t>.</w:t>
      </w:r>
    </w:p>
    <w:p w14:paraId="1A775DC2" w14:textId="4B6065D3" w:rsidR="005366F4" w:rsidRPr="009A33BA" w:rsidRDefault="004A1C30" w:rsidP="00FB38DC">
      <w:pPr>
        <w:pStyle w:val="Para1"/>
        <w:rPr>
          <w:kern w:val="22"/>
          <w:lang w:val="es-ES_tradnl"/>
        </w:rPr>
      </w:pPr>
      <w:r w:rsidRPr="009A33BA">
        <w:rPr>
          <w:rFonts w:eastAsia="MS Mincho"/>
          <w:kern w:val="22"/>
          <w:lang w:val="es-ES_tradnl"/>
        </w:rPr>
        <w:t>El Grupo especial de expertos sobre los derechos de los agricultores tiene el mandato siguiente</w:t>
      </w:r>
      <w:r w:rsidR="005366F4" w:rsidRPr="009A33BA">
        <w:rPr>
          <w:kern w:val="22"/>
          <w:lang w:val="es-ES_tradnl"/>
        </w:rPr>
        <w:t>:</w:t>
      </w:r>
    </w:p>
    <w:p w14:paraId="7A708A48" w14:textId="52B76EF7" w:rsidR="004A1C30" w:rsidRPr="009A33BA" w:rsidRDefault="00DA3CD9" w:rsidP="004A1C30">
      <w:pPr>
        <w:pStyle w:val="ListParagraph"/>
        <w:numPr>
          <w:ilvl w:val="0"/>
          <w:numId w:val="5"/>
        </w:numPr>
        <w:spacing w:before="120"/>
        <w:ind w:left="0" w:firstLine="709"/>
        <w:contextualSpacing w:val="0"/>
        <w:rPr>
          <w:kern w:val="22"/>
          <w:lang w:val="es-ES_tradnl"/>
        </w:rPr>
      </w:pPr>
      <w:r w:rsidRPr="009A33BA">
        <w:rPr>
          <w:lang w:val="es-ES_tradnl"/>
        </w:rPr>
        <w:t>E</w:t>
      </w:r>
      <w:r w:rsidR="004A1C30" w:rsidRPr="009A33BA">
        <w:rPr>
          <w:lang w:val="es-ES_tradnl"/>
        </w:rPr>
        <w:t>laborar un inventario de las medidas que se podrían adoptar, las mejores prácticas y las enseñanzas extraídas con respecto a la realización de los Derechos del Agricultor establecidos en el artículo 9 del Tratado Internacional;</w:t>
      </w:r>
    </w:p>
    <w:p w14:paraId="69EC2F7F" w14:textId="279BB61D" w:rsidR="004A1C30" w:rsidRPr="009A33BA" w:rsidRDefault="00DA3CD9" w:rsidP="004A1C30">
      <w:pPr>
        <w:pStyle w:val="ListParagraph"/>
        <w:numPr>
          <w:ilvl w:val="0"/>
          <w:numId w:val="5"/>
        </w:numPr>
        <w:spacing w:before="120"/>
        <w:ind w:left="0" w:firstLine="709"/>
        <w:contextualSpacing w:val="0"/>
        <w:rPr>
          <w:kern w:val="22"/>
          <w:lang w:val="es-ES_tradnl"/>
        </w:rPr>
      </w:pPr>
      <w:r w:rsidRPr="009A33BA">
        <w:rPr>
          <w:lang w:val="es-ES_tradnl"/>
        </w:rPr>
        <w:t>S</w:t>
      </w:r>
      <w:r w:rsidR="004A1C30" w:rsidRPr="009A33BA">
        <w:rPr>
          <w:lang w:val="es-ES_tradnl"/>
        </w:rPr>
        <w:t>obre la base del inventario, formular distintas opciones para incentivar, guiar y promover la realización de los Derechos del Agricultor establecidos en el artículo 9 del Tratado Internacional.</w:t>
      </w:r>
    </w:p>
    <w:p w14:paraId="09EA194F" w14:textId="48AE9378" w:rsidR="004A1C30" w:rsidRPr="009A33BA" w:rsidRDefault="00DA3CD9" w:rsidP="004A1C30">
      <w:pPr>
        <w:pStyle w:val="ListParagraph"/>
        <w:numPr>
          <w:ilvl w:val="0"/>
          <w:numId w:val="5"/>
        </w:numPr>
        <w:spacing w:before="120"/>
        <w:ind w:left="0" w:firstLine="709"/>
        <w:contextualSpacing w:val="0"/>
        <w:rPr>
          <w:kern w:val="22"/>
          <w:lang w:val="es-ES_tradnl"/>
        </w:rPr>
      </w:pPr>
      <w:r w:rsidRPr="009A33BA">
        <w:rPr>
          <w:kern w:val="22"/>
          <w:lang w:val="es-ES_tradnl"/>
        </w:rPr>
        <w:lastRenderedPageBreak/>
        <w:t>E</w:t>
      </w:r>
      <w:r w:rsidR="004A1C30" w:rsidRPr="009A33BA">
        <w:rPr>
          <w:lang w:val="es-ES_tradnl"/>
        </w:rPr>
        <w:t>l Grupo Especial de Expertos Técnicos podrá tomar en consideración las actas de la Consulta mundial sobre los Derechos del agricultor celebrada en Bali (Indonesia) en 2016, así como otras consultas pertinentes;</w:t>
      </w:r>
    </w:p>
    <w:p w14:paraId="0AC4FB8E" w14:textId="2A28A1A0" w:rsidR="004A1C30" w:rsidRPr="009A33BA" w:rsidRDefault="004A1C30" w:rsidP="004A1C30">
      <w:pPr>
        <w:pStyle w:val="ListParagraph"/>
        <w:numPr>
          <w:ilvl w:val="0"/>
          <w:numId w:val="5"/>
        </w:numPr>
        <w:spacing w:before="120"/>
        <w:ind w:left="0" w:firstLine="709"/>
        <w:contextualSpacing w:val="0"/>
        <w:rPr>
          <w:kern w:val="22"/>
          <w:lang w:val="es-ES_tradnl"/>
        </w:rPr>
      </w:pPr>
      <w:r w:rsidRPr="009A33BA">
        <w:rPr>
          <w:lang w:val="es-ES_tradnl"/>
        </w:rPr>
        <w:t>El Grupo Especial de Expertos Técnicos estará compuesto por hasta cinco miembros designados por cada región de la FAO, hasta tres representantes de organizaciones de agricultores, y hasta tres representantes de otras partes interesadas, incluido el sector de las semillas, designados por la Mesa;</w:t>
      </w:r>
    </w:p>
    <w:p w14:paraId="65C78B32" w14:textId="1189ED1C" w:rsidR="004A1C30" w:rsidRPr="009A33BA" w:rsidRDefault="004A1C30" w:rsidP="004A1C30">
      <w:pPr>
        <w:pStyle w:val="ListParagraph"/>
        <w:numPr>
          <w:ilvl w:val="0"/>
          <w:numId w:val="5"/>
        </w:numPr>
        <w:spacing w:before="120"/>
        <w:ind w:left="0" w:firstLine="709"/>
        <w:contextualSpacing w:val="0"/>
        <w:rPr>
          <w:kern w:val="22"/>
          <w:lang w:val="es-ES_tradnl"/>
        </w:rPr>
      </w:pPr>
      <w:r w:rsidRPr="009A33BA">
        <w:rPr>
          <w:lang w:val="es-ES_tradnl"/>
        </w:rPr>
        <w:t>El Grupo Especial de Expertos Técnicos podrá celebrar hasta dos reuniones en el bienio 2018-2019, con sujeción a la disponibilidad de recursos financieros;</w:t>
      </w:r>
    </w:p>
    <w:p w14:paraId="1596A95F" w14:textId="77777777" w:rsidR="00132119" w:rsidRPr="009A33BA" w:rsidRDefault="00132119" w:rsidP="00605005">
      <w:pPr>
        <w:pStyle w:val="ListParagraph"/>
        <w:ind w:left="900"/>
        <w:rPr>
          <w:kern w:val="22"/>
          <w:lang w:val="es-ES_tradnl"/>
        </w:rPr>
      </w:pPr>
    </w:p>
    <w:p w14:paraId="4FEC67A5" w14:textId="235B7B1E" w:rsidR="00132119" w:rsidRPr="009A33BA" w:rsidRDefault="00BA0BEC" w:rsidP="00605005">
      <w:pPr>
        <w:rPr>
          <w:b/>
          <w:kern w:val="22"/>
          <w:lang w:val="es-ES_tradnl"/>
        </w:rPr>
      </w:pPr>
      <w:r w:rsidRPr="009A33BA">
        <w:rPr>
          <w:i/>
          <w:noProof/>
          <w:kern w:val="22"/>
          <w:lang w:val="es-ES_tradnl"/>
        </w:rPr>
        <w:t xml:space="preserve"> Organización Mundial de la Propiedad Intelectual </w:t>
      </w:r>
      <w:r w:rsidR="005366F4" w:rsidRPr="009A33BA">
        <w:rPr>
          <w:i/>
          <w:kern w:val="22"/>
          <w:lang w:val="es-ES_tradnl"/>
        </w:rPr>
        <w:t>(</w:t>
      </w:r>
      <w:r w:rsidR="004A1C30" w:rsidRPr="009A33BA">
        <w:rPr>
          <w:i/>
          <w:kern w:val="22"/>
          <w:lang w:val="es-ES_tradnl"/>
        </w:rPr>
        <w:t>OMPI</w:t>
      </w:r>
      <w:r w:rsidR="005366F4" w:rsidRPr="009A33BA">
        <w:rPr>
          <w:i/>
          <w:kern w:val="22"/>
          <w:lang w:val="es-ES_tradnl"/>
        </w:rPr>
        <w:t>)</w:t>
      </w:r>
      <w:r w:rsidR="005366F4" w:rsidRPr="009A33BA">
        <w:rPr>
          <w:b/>
          <w:kern w:val="22"/>
          <w:lang w:val="es-ES_tradnl"/>
        </w:rPr>
        <w:t xml:space="preserve"> </w:t>
      </w:r>
    </w:p>
    <w:p w14:paraId="3B50FF61" w14:textId="31E2D92F" w:rsidR="00790722" w:rsidRPr="009A33BA" w:rsidRDefault="00F50396" w:rsidP="00FB38DC">
      <w:pPr>
        <w:pStyle w:val="Para1"/>
        <w:rPr>
          <w:kern w:val="22"/>
          <w:lang w:val="es-ES_tradnl"/>
        </w:rPr>
      </w:pPr>
      <w:r>
        <w:rPr>
          <w:rFonts w:eastAsia="MS Mincho"/>
          <w:kern w:val="22"/>
          <w:lang w:val="es-ES_tradnl"/>
        </w:rPr>
        <w:t>En 2001 l</w:t>
      </w:r>
      <w:r w:rsidR="00BA0BEC" w:rsidRPr="009A33BA">
        <w:rPr>
          <w:rFonts w:eastAsia="MS Mincho"/>
          <w:kern w:val="22"/>
          <w:lang w:val="es-ES_tradnl"/>
        </w:rPr>
        <w:t xml:space="preserve">a OMPI </w:t>
      </w:r>
      <w:proofErr w:type="spellStart"/>
      <w:r>
        <w:rPr>
          <w:rFonts w:eastAsia="MS Mincho"/>
          <w:kern w:val="22"/>
          <w:lang w:val="es-ES_tradnl"/>
        </w:rPr>
        <w:t>cre</w:t>
      </w:r>
      <w:proofErr w:type="spellEnd"/>
      <w:r>
        <w:rPr>
          <w:rFonts w:eastAsia="MS Mincho"/>
          <w:kern w:val="22"/>
          <w:lang w:val="es-ES"/>
        </w:rPr>
        <w:t xml:space="preserve">ó </w:t>
      </w:r>
      <w:r w:rsidR="00BA0BEC" w:rsidRPr="009A33BA">
        <w:rPr>
          <w:kern w:val="22"/>
          <w:lang w:val="es-ES_tradnl"/>
        </w:rPr>
        <w:t>un Comité Intergubernamental sobre Propiedad Intelectual y Recursos Genéticos, Conocimientos Tradicionales y Folclore (CIG), que está negociando el (los) instrumento(s) jurídico</w:t>
      </w:r>
      <w:r>
        <w:rPr>
          <w:kern w:val="22"/>
          <w:lang w:val="es-ES_tradnl"/>
        </w:rPr>
        <w:t>(</w:t>
      </w:r>
      <w:r w:rsidR="00BA0BEC" w:rsidRPr="009A33BA">
        <w:rPr>
          <w:kern w:val="22"/>
          <w:lang w:val="es-ES_tradnl"/>
        </w:rPr>
        <w:t>s</w:t>
      </w:r>
      <w:r>
        <w:rPr>
          <w:kern w:val="22"/>
          <w:lang w:val="es-ES_tradnl"/>
        </w:rPr>
        <w:t>)</w:t>
      </w:r>
      <w:r w:rsidR="00BA0BEC" w:rsidRPr="009A33BA">
        <w:rPr>
          <w:kern w:val="22"/>
          <w:lang w:val="es-ES_tradnl"/>
        </w:rPr>
        <w:t xml:space="preserve"> sobre la propiedad intelectual y conocimientos tradicionales</w:t>
      </w:r>
      <w:r w:rsidR="005366F4" w:rsidRPr="009A33BA">
        <w:rPr>
          <w:kern w:val="22"/>
          <w:lang w:val="es-ES_tradnl"/>
        </w:rPr>
        <w:t xml:space="preserve">, </w:t>
      </w:r>
      <w:r w:rsidR="00BA0BEC" w:rsidRPr="009A33BA">
        <w:rPr>
          <w:kern w:val="22"/>
          <w:lang w:val="es-ES_tradnl"/>
        </w:rPr>
        <w:t>expresiones culturales tradicionales y recursos genéticos</w:t>
      </w:r>
      <w:r w:rsidR="005366F4" w:rsidRPr="009A33BA">
        <w:rPr>
          <w:kern w:val="22"/>
          <w:lang w:val="es-ES_tradnl"/>
        </w:rPr>
        <w:t>.</w:t>
      </w:r>
      <w:r w:rsidR="00F873D9" w:rsidRPr="009A33BA">
        <w:rPr>
          <w:kern w:val="22"/>
          <w:lang w:val="es-ES_tradnl"/>
        </w:rPr>
        <w:t xml:space="preserve"> </w:t>
      </w:r>
      <w:r w:rsidR="00BA0BEC" w:rsidRPr="009A33BA">
        <w:rPr>
          <w:kern w:val="22"/>
          <w:lang w:val="es-ES_tradnl"/>
        </w:rPr>
        <w:t>Los PICL participan en calidad de observadores en el CIG</w:t>
      </w:r>
      <w:r w:rsidR="00F873D9" w:rsidRPr="009A33BA">
        <w:rPr>
          <w:kern w:val="22"/>
          <w:lang w:val="es-ES_tradnl"/>
        </w:rPr>
        <w:t xml:space="preserve">. </w:t>
      </w:r>
      <w:r w:rsidR="00BA0BEC" w:rsidRPr="009A33BA">
        <w:rPr>
          <w:kern w:val="22"/>
          <w:lang w:val="es-ES_tradnl"/>
        </w:rPr>
        <w:t>Los PICL participan también como expertos en panel</w:t>
      </w:r>
      <w:r w:rsidR="00DA3CD9" w:rsidRPr="009A33BA">
        <w:rPr>
          <w:kern w:val="22"/>
          <w:lang w:val="es-ES_tradnl"/>
        </w:rPr>
        <w:t>e</w:t>
      </w:r>
      <w:r w:rsidR="00BA0BEC" w:rsidRPr="009A33BA">
        <w:rPr>
          <w:kern w:val="22"/>
          <w:lang w:val="es-ES_tradnl"/>
        </w:rPr>
        <w:t xml:space="preserve">s introductorios </w:t>
      </w:r>
      <w:r w:rsidR="00DA3CD9" w:rsidRPr="009A33BA">
        <w:rPr>
          <w:kern w:val="22"/>
          <w:lang w:val="es-ES_tradnl"/>
        </w:rPr>
        <w:t>sobre diversas cuestiones que examina el CIG</w:t>
      </w:r>
      <w:r w:rsidR="00F873D9" w:rsidRPr="009A33BA">
        <w:rPr>
          <w:kern w:val="22"/>
          <w:lang w:val="es-ES_tradnl"/>
        </w:rPr>
        <w:t>.</w:t>
      </w:r>
    </w:p>
    <w:p w14:paraId="2D620F4C" w14:textId="66B2BC75" w:rsidR="008B31AB" w:rsidRPr="009A33BA" w:rsidRDefault="00DA3CD9" w:rsidP="00FB38DC">
      <w:pPr>
        <w:pStyle w:val="Para1"/>
        <w:rPr>
          <w:kern w:val="22"/>
          <w:lang w:val="es-ES_tradnl"/>
        </w:rPr>
      </w:pPr>
      <w:r w:rsidRPr="009A33BA">
        <w:rPr>
          <w:rFonts w:eastAsia="MS Mincho"/>
          <w:kern w:val="22"/>
          <w:lang w:val="es-ES_tradnl"/>
        </w:rPr>
        <w:t>La OMPI ha establecido un fondo voluntario para facilitar la participación de representante</w:t>
      </w:r>
      <w:r w:rsidR="00F50396">
        <w:rPr>
          <w:rFonts w:eastAsia="MS Mincho"/>
          <w:kern w:val="22"/>
          <w:lang w:val="es-ES_tradnl"/>
        </w:rPr>
        <w:t>s</w:t>
      </w:r>
      <w:r w:rsidRPr="009A33BA">
        <w:rPr>
          <w:rFonts w:eastAsia="MS Mincho"/>
          <w:kern w:val="22"/>
          <w:lang w:val="es-ES_tradnl"/>
        </w:rPr>
        <w:t xml:space="preserve"> de los </w:t>
      </w:r>
      <w:r w:rsidR="00053F89" w:rsidRPr="009A33BA">
        <w:rPr>
          <w:kern w:val="22"/>
          <w:lang w:val="es-ES_tradnl"/>
        </w:rPr>
        <w:t xml:space="preserve">pueblos indígenas y </w:t>
      </w:r>
      <w:r w:rsidRPr="009A33BA">
        <w:rPr>
          <w:kern w:val="22"/>
          <w:lang w:val="es-ES_tradnl"/>
        </w:rPr>
        <w:t xml:space="preserve">las </w:t>
      </w:r>
      <w:r w:rsidR="00053F89" w:rsidRPr="009A33BA">
        <w:rPr>
          <w:kern w:val="22"/>
          <w:lang w:val="es-ES_tradnl"/>
        </w:rPr>
        <w:t>comunidades locales</w:t>
      </w:r>
      <w:r w:rsidR="00FE681D" w:rsidRPr="009A33BA">
        <w:rPr>
          <w:kern w:val="22"/>
          <w:lang w:val="es-ES_tradnl"/>
        </w:rPr>
        <w:t xml:space="preserve"> </w:t>
      </w:r>
      <w:r w:rsidRPr="009A33BA">
        <w:rPr>
          <w:kern w:val="22"/>
          <w:lang w:val="es-ES_tradnl"/>
        </w:rPr>
        <w:t>en calidad de observadores en el CIG</w:t>
      </w:r>
      <w:r w:rsidR="00EF6247" w:rsidRPr="009A33BA">
        <w:rPr>
          <w:rStyle w:val="FootnoteReference"/>
          <w:kern w:val="22"/>
          <w:lang w:val="es-ES_tradnl"/>
        </w:rPr>
        <w:footnoteReference w:id="21"/>
      </w:r>
      <w:r w:rsidRPr="009A33BA">
        <w:rPr>
          <w:kern w:val="22"/>
          <w:lang w:val="es-ES_tradnl"/>
        </w:rPr>
        <w:t>.</w:t>
      </w:r>
    </w:p>
    <w:p w14:paraId="25F18F08" w14:textId="23655857" w:rsidR="004D7F16" w:rsidRPr="009A33BA" w:rsidRDefault="00DA3CD9" w:rsidP="00605005">
      <w:pPr>
        <w:rPr>
          <w:i/>
          <w:kern w:val="22"/>
          <w:lang w:val="es-ES_tradnl"/>
        </w:rPr>
      </w:pPr>
      <w:r w:rsidRPr="009A33BA">
        <w:rPr>
          <w:i/>
          <w:kern w:val="22"/>
          <w:lang w:val="es-ES_tradnl"/>
        </w:rPr>
        <w:t>En conclusión</w:t>
      </w:r>
    </w:p>
    <w:p w14:paraId="3F08F721" w14:textId="591C35F4" w:rsidR="002D4BEE" w:rsidRPr="009A33BA" w:rsidRDefault="008E492A" w:rsidP="00FB38DC">
      <w:pPr>
        <w:pStyle w:val="Para1"/>
        <w:rPr>
          <w:b/>
          <w:kern w:val="22"/>
          <w:lang w:val="es-ES_tradnl"/>
        </w:rPr>
      </w:pPr>
      <w:r w:rsidRPr="009A33BA">
        <w:rPr>
          <w:kern w:val="22"/>
          <w:lang w:val="es-ES_tradnl"/>
        </w:rPr>
        <w:t xml:space="preserve">En conclusión, en las dos últimas décadas se ha manifestado una tendencia dentro del sistema internacional hacia la creación de organismos especializados para examinar cuestiones a menudo únicas a los </w:t>
      </w:r>
      <w:r w:rsidR="00053F89" w:rsidRPr="009A33BA">
        <w:rPr>
          <w:kern w:val="22"/>
          <w:lang w:val="es-ES_tradnl"/>
        </w:rPr>
        <w:t xml:space="preserve">pueblos indígenas y </w:t>
      </w:r>
      <w:r w:rsidRPr="009A33BA">
        <w:rPr>
          <w:kern w:val="22"/>
          <w:lang w:val="es-ES_tradnl"/>
        </w:rPr>
        <w:t xml:space="preserve">las </w:t>
      </w:r>
      <w:r w:rsidR="00053F89" w:rsidRPr="009A33BA">
        <w:rPr>
          <w:kern w:val="22"/>
          <w:lang w:val="es-ES_tradnl"/>
        </w:rPr>
        <w:t>comunidades locales</w:t>
      </w:r>
      <w:r w:rsidR="00790722" w:rsidRPr="009A33BA">
        <w:rPr>
          <w:kern w:val="22"/>
          <w:lang w:val="es-ES_tradnl"/>
        </w:rPr>
        <w:t xml:space="preserve">, </w:t>
      </w:r>
      <w:r w:rsidRPr="009A33BA">
        <w:rPr>
          <w:kern w:val="22"/>
          <w:lang w:val="es-ES_tradnl"/>
        </w:rPr>
        <w:t xml:space="preserve">tales como los </w:t>
      </w:r>
      <w:r w:rsidR="00790722" w:rsidRPr="009A33BA">
        <w:rPr>
          <w:kern w:val="22"/>
          <w:lang w:val="es-ES_tradnl"/>
        </w:rPr>
        <w:t>“</w:t>
      </w:r>
      <w:r w:rsidRPr="009A33BA">
        <w:rPr>
          <w:kern w:val="22"/>
          <w:lang w:val="es-ES_tradnl"/>
        </w:rPr>
        <w:t>derechos colectivos</w:t>
      </w:r>
      <w:r w:rsidR="00790722" w:rsidRPr="009A33BA">
        <w:rPr>
          <w:kern w:val="22"/>
          <w:lang w:val="es-ES_tradnl"/>
        </w:rPr>
        <w:t xml:space="preserve">”. </w:t>
      </w:r>
      <w:r w:rsidRPr="009A33BA">
        <w:rPr>
          <w:kern w:val="22"/>
          <w:lang w:val="es-ES_tradnl"/>
        </w:rPr>
        <w:t xml:space="preserve">Al mismo tiempo, el muestreo anterior y la recopilación adjunta </w:t>
      </w:r>
      <w:r w:rsidR="00790722" w:rsidRPr="009A33BA">
        <w:rPr>
          <w:kern w:val="22"/>
          <w:lang w:val="es-ES_tradnl"/>
        </w:rPr>
        <w:t>(CBD/SBI/INF/</w:t>
      </w:r>
      <w:r w:rsidR="00D95D90" w:rsidRPr="009A33BA">
        <w:rPr>
          <w:kern w:val="22"/>
          <w:lang w:val="es-ES_tradnl"/>
        </w:rPr>
        <w:t>2</w:t>
      </w:r>
      <w:r w:rsidR="00FF61FB" w:rsidRPr="009A33BA">
        <w:rPr>
          <w:kern w:val="22"/>
          <w:lang w:val="es-ES_tradnl"/>
        </w:rPr>
        <w:t>3</w:t>
      </w:r>
      <w:r w:rsidR="00790722" w:rsidRPr="009A33BA">
        <w:rPr>
          <w:kern w:val="22"/>
          <w:lang w:val="es-ES_tradnl"/>
        </w:rPr>
        <w:t xml:space="preserve">) </w:t>
      </w:r>
      <w:r w:rsidRPr="009A33BA">
        <w:rPr>
          <w:kern w:val="22"/>
          <w:lang w:val="es-ES_tradnl"/>
        </w:rPr>
        <w:t xml:space="preserve">también demuestran que los organismos internacionales están realizando grandes esfuerzos por mejorar la participación de los PICL </w:t>
      </w:r>
      <w:r w:rsidR="00F50396">
        <w:rPr>
          <w:kern w:val="22"/>
          <w:lang w:val="es-ES_tradnl"/>
        </w:rPr>
        <w:t xml:space="preserve">en </w:t>
      </w:r>
      <w:r w:rsidRPr="009A33BA">
        <w:rPr>
          <w:kern w:val="22"/>
          <w:lang w:val="es-ES_tradnl"/>
        </w:rPr>
        <w:t>asuntos de</w:t>
      </w:r>
      <w:r w:rsidR="00F50396">
        <w:rPr>
          <w:kern w:val="22"/>
          <w:lang w:val="es-ES_tradnl"/>
        </w:rPr>
        <w:t xml:space="preserve"> su interés en </w:t>
      </w:r>
      <w:r w:rsidRPr="009A33BA">
        <w:rPr>
          <w:kern w:val="22"/>
          <w:lang w:val="es-ES_tradnl"/>
        </w:rPr>
        <w:t xml:space="preserve">todo el sistema internacional, </w:t>
      </w:r>
      <w:r w:rsidR="00F50396">
        <w:rPr>
          <w:kern w:val="22"/>
          <w:lang w:val="es-ES_tradnl"/>
        </w:rPr>
        <w:t xml:space="preserve">en particular fomentando </w:t>
      </w:r>
      <w:r w:rsidRPr="009A33BA">
        <w:rPr>
          <w:kern w:val="22"/>
          <w:lang w:val="es-ES_tradnl"/>
        </w:rPr>
        <w:t>la participación efectiva en una gama amplia de órganos rectores</w:t>
      </w:r>
      <w:r w:rsidR="002D4BEE" w:rsidRPr="009A33BA">
        <w:rPr>
          <w:kern w:val="22"/>
          <w:lang w:val="es-ES_tradnl"/>
        </w:rPr>
        <w:t xml:space="preserve">, </w:t>
      </w:r>
      <w:r w:rsidRPr="009A33BA">
        <w:rPr>
          <w:kern w:val="22"/>
          <w:lang w:val="es-ES_tradnl"/>
        </w:rPr>
        <w:t>entidades subsidiarias y programas y proyectos</w:t>
      </w:r>
      <w:r w:rsidR="002D4BEE" w:rsidRPr="009A33BA">
        <w:rPr>
          <w:kern w:val="22"/>
          <w:lang w:val="es-ES_tradnl"/>
        </w:rPr>
        <w:t xml:space="preserve">. </w:t>
      </w:r>
      <w:r w:rsidR="00DC0E41" w:rsidRPr="009A33BA">
        <w:rPr>
          <w:kern w:val="22"/>
          <w:lang w:val="es-ES_tradnl"/>
        </w:rPr>
        <w:t xml:space="preserve">Al estimular la participación amplia y efectiva de los PICL en todo el sistema de las Naciones Unidas también ofrece oportunidades a los PICL para contribuir a las conversaciones a escala mundial </w:t>
      </w:r>
      <w:r w:rsidR="00F50396">
        <w:rPr>
          <w:kern w:val="22"/>
          <w:lang w:val="es-ES_tradnl"/>
        </w:rPr>
        <w:t xml:space="preserve">y </w:t>
      </w:r>
      <w:r w:rsidR="00DC0E41" w:rsidRPr="009A33BA">
        <w:rPr>
          <w:kern w:val="22"/>
          <w:lang w:val="es-ES_tradnl"/>
        </w:rPr>
        <w:t>encontrar soluciones a algunos de los problemas más graves e inmediatos que afronta la humanidad, incluido el cambio climático y la necesidad de encontrar una vía sostenible al desarrollo</w:t>
      </w:r>
      <w:r w:rsidR="00F873D9" w:rsidRPr="009A33BA">
        <w:rPr>
          <w:kern w:val="22"/>
          <w:lang w:val="es-ES_tradnl"/>
        </w:rPr>
        <w:t>.</w:t>
      </w:r>
    </w:p>
    <w:p w14:paraId="55FD82EE" w14:textId="662C6DBD" w:rsidR="00E54DAF" w:rsidRPr="009A33BA" w:rsidRDefault="004D7F16" w:rsidP="00FB38DC">
      <w:pPr>
        <w:pStyle w:val="Heading1"/>
        <w:rPr>
          <w:kern w:val="22"/>
          <w:lang w:val="es-ES_tradnl"/>
        </w:rPr>
      </w:pPr>
      <w:r w:rsidRPr="009A33BA">
        <w:rPr>
          <w:kern w:val="22"/>
          <w:lang w:val="es-ES_tradnl"/>
        </w:rPr>
        <w:t>II</w:t>
      </w:r>
      <w:r w:rsidR="007B5AD2" w:rsidRPr="009A33BA">
        <w:rPr>
          <w:kern w:val="22"/>
          <w:lang w:val="es-ES_tradnl"/>
        </w:rPr>
        <w:t>I</w:t>
      </w:r>
      <w:r w:rsidR="00CC4B39" w:rsidRPr="009A33BA">
        <w:rPr>
          <w:kern w:val="22"/>
          <w:lang w:val="es-ES_tradnl"/>
        </w:rPr>
        <w:t>.</w:t>
      </w:r>
      <w:r w:rsidR="00CC4B39" w:rsidRPr="009A33BA">
        <w:rPr>
          <w:kern w:val="22"/>
          <w:lang w:val="es-ES_tradnl"/>
        </w:rPr>
        <w:tab/>
      </w:r>
      <w:r w:rsidR="000632C8" w:rsidRPr="009A33BA">
        <w:rPr>
          <w:kern w:val="22"/>
          <w:lang w:val="es-ES_tradnl"/>
        </w:rPr>
        <w:t>RECOMENDACIONES QUE SE SUGIEREN</w:t>
      </w:r>
    </w:p>
    <w:p w14:paraId="7994CB69" w14:textId="2175B14A" w:rsidR="002D4BEE" w:rsidRPr="009A33BA" w:rsidRDefault="000632C8" w:rsidP="00FB38DC">
      <w:pPr>
        <w:pStyle w:val="Para1"/>
        <w:rPr>
          <w:rFonts w:eastAsia="MS Mincho"/>
          <w:kern w:val="22"/>
          <w:lang w:val="es-ES_tradnl"/>
        </w:rPr>
      </w:pPr>
      <w:r w:rsidRPr="009A33BA">
        <w:rPr>
          <w:rFonts w:eastAsia="MS Mincho"/>
          <w:kern w:val="22"/>
          <w:lang w:val="es-ES_tradnl"/>
        </w:rPr>
        <w:t xml:space="preserve">Se invita al </w:t>
      </w:r>
      <w:r w:rsidR="0034182E" w:rsidRPr="009A33BA">
        <w:rPr>
          <w:rFonts w:eastAsia="MS Mincho"/>
          <w:kern w:val="22"/>
          <w:lang w:val="es-ES_tradnl"/>
        </w:rPr>
        <w:t>Órgano Subsidiario</w:t>
      </w:r>
      <w:r w:rsidR="00007C83" w:rsidRPr="009A33BA">
        <w:rPr>
          <w:rFonts w:eastAsia="MS Mincho"/>
          <w:kern w:val="22"/>
          <w:lang w:val="es-ES_tradnl"/>
        </w:rPr>
        <w:t xml:space="preserve"> sobre la Aplicación</w:t>
      </w:r>
      <w:r w:rsidRPr="009A33BA">
        <w:rPr>
          <w:rFonts w:eastAsia="MS Mincho"/>
          <w:kern w:val="22"/>
          <w:lang w:val="es-ES_tradnl"/>
        </w:rPr>
        <w:t>,</w:t>
      </w:r>
      <w:r w:rsidR="002D4BEE" w:rsidRPr="009A33BA">
        <w:rPr>
          <w:rFonts w:eastAsia="MS Mincho"/>
          <w:kern w:val="22"/>
          <w:lang w:val="es-ES_tradnl"/>
        </w:rPr>
        <w:t xml:space="preserve"> </w:t>
      </w:r>
      <w:r w:rsidR="00053F89" w:rsidRPr="009A33BA">
        <w:rPr>
          <w:rFonts w:eastAsia="MS Mincho"/>
          <w:kern w:val="22"/>
          <w:lang w:val="es-ES_tradnl"/>
        </w:rPr>
        <w:t>en su segunda reunión</w:t>
      </w:r>
      <w:r w:rsidRPr="009A33BA">
        <w:rPr>
          <w:rFonts w:eastAsia="MS Mincho"/>
          <w:kern w:val="22"/>
          <w:lang w:val="es-ES_tradnl"/>
        </w:rPr>
        <w:t xml:space="preserve">, a considerar el siguiente proyecto de decisión para la </w:t>
      </w:r>
      <w:r w:rsidR="00053F89" w:rsidRPr="009A33BA">
        <w:rPr>
          <w:rFonts w:eastAsia="MS Mincho"/>
          <w:kern w:val="22"/>
          <w:lang w:val="es-ES_tradnl"/>
        </w:rPr>
        <w:t>Conferencia de las Partes en su decimocuarta reunión</w:t>
      </w:r>
      <w:r w:rsidR="002E4AF5" w:rsidRPr="009A33BA">
        <w:rPr>
          <w:rFonts w:eastAsia="MS Mincho"/>
          <w:kern w:val="22"/>
          <w:lang w:val="es-ES_tradnl"/>
        </w:rPr>
        <w:t xml:space="preserve">, </w:t>
      </w:r>
      <w:r w:rsidRPr="009A33BA">
        <w:rPr>
          <w:rFonts w:eastAsia="MS Mincho"/>
          <w:kern w:val="22"/>
          <w:lang w:val="es-ES_tradnl"/>
        </w:rPr>
        <w:t xml:space="preserve">preparado por el Grupo de Trabajo especial de composición abierta sobre el </w:t>
      </w:r>
      <w:r w:rsidR="009522CB" w:rsidRPr="009A33BA">
        <w:rPr>
          <w:rFonts w:eastAsia="MS Mincho"/>
          <w:kern w:val="22"/>
          <w:lang w:val="es-ES_tradnl"/>
        </w:rPr>
        <w:t>artículo 8 j)</w:t>
      </w:r>
      <w:r w:rsidR="00CC4B39" w:rsidRPr="009A33BA">
        <w:rPr>
          <w:rFonts w:eastAsia="MS Mincho"/>
          <w:kern w:val="22"/>
          <w:lang w:val="es-ES_tradnl"/>
        </w:rPr>
        <w:t xml:space="preserve"> </w:t>
      </w:r>
      <w:r w:rsidRPr="009A33BA">
        <w:rPr>
          <w:rFonts w:eastAsia="MS Mincho"/>
          <w:kern w:val="22"/>
          <w:lang w:val="es-ES_tradnl"/>
        </w:rPr>
        <w:t xml:space="preserve">y disposiciones conexas en su recomendación </w:t>
      </w:r>
      <w:r w:rsidR="002E4AF5" w:rsidRPr="009A33BA">
        <w:rPr>
          <w:rFonts w:eastAsia="MS Mincho"/>
          <w:kern w:val="22"/>
          <w:lang w:val="es-ES_tradnl"/>
        </w:rPr>
        <w:t xml:space="preserve">10/3. </w:t>
      </w:r>
      <w:r w:rsidRPr="009A33BA">
        <w:rPr>
          <w:rFonts w:eastAsia="MS Mincho"/>
          <w:kern w:val="22"/>
          <w:lang w:val="es-ES_tradnl"/>
        </w:rPr>
        <w:t xml:space="preserve">Teniendo en cuenta las deliberaciones de la décima reunión del </w:t>
      </w:r>
      <w:r w:rsidR="0034182E" w:rsidRPr="009A33BA">
        <w:rPr>
          <w:rFonts w:eastAsia="MS Mincho"/>
          <w:kern w:val="22"/>
          <w:lang w:val="es-ES_tradnl"/>
        </w:rPr>
        <w:t>Grupo de Trabajo</w:t>
      </w:r>
      <w:r w:rsidR="002E4AF5" w:rsidRPr="009A33BA">
        <w:rPr>
          <w:rFonts w:eastAsia="MS Mincho"/>
          <w:kern w:val="22"/>
          <w:lang w:val="es-ES_tradnl"/>
        </w:rPr>
        <w:t xml:space="preserve">, </w:t>
      </w:r>
      <w:r w:rsidRPr="009A33BA">
        <w:rPr>
          <w:rFonts w:eastAsia="MS Mincho"/>
          <w:kern w:val="22"/>
          <w:lang w:val="es-ES_tradnl"/>
        </w:rPr>
        <w:t>el</w:t>
      </w:r>
      <w:r w:rsidR="002E4AF5" w:rsidRPr="009A33BA">
        <w:rPr>
          <w:rFonts w:eastAsia="MS Mincho"/>
          <w:kern w:val="22"/>
          <w:lang w:val="es-ES_tradnl"/>
        </w:rPr>
        <w:t xml:space="preserve"> </w:t>
      </w:r>
      <w:r w:rsidR="0034182E" w:rsidRPr="009A33BA">
        <w:rPr>
          <w:rFonts w:eastAsia="MS Mincho"/>
          <w:kern w:val="22"/>
          <w:lang w:val="es-ES_tradnl"/>
        </w:rPr>
        <w:t>Órgano Subsidiario</w:t>
      </w:r>
      <w:r w:rsidR="00007C83" w:rsidRPr="009A33BA">
        <w:rPr>
          <w:rFonts w:eastAsia="MS Mincho"/>
          <w:kern w:val="22"/>
          <w:lang w:val="es-ES_tradnl"/>
        </w:rPr>
        <w:t xml:space="preserve"> sobre la Aplicación</w:t>
      </w:r>
      <w:r w:rsidR="001C54E3" w:rsidRPr="009A33BA">
        <w:rPr>
          <w:rFonts w:eastAsia="MS Mincho"/>
          <w:kern w:val="22"/>
          <w:lang w:val="es-ES_tradnl"/>
        </w:rPr>
        <w:t xml:space="preserve"> </w:t>
      </w:r>
      <w:r w:rsidRPr="009A33BA">
        <w:rPr>
          <w:rFonts w:eastAsia="MS Mincho"/>
          <w:kern w:val="22"/>
          <w:lang w:val="es-ES_tradnl"/>
        </w:rPr>
        <w:t>tal vez desee centrar sus debates en el párrafo dispositivo 9 de la recomendación</w:t>
      </w:r>
      <w:r w:rsidR="009C777F" w:rsidRPr="009A33BA">
        <w:rPr>
          <w:rFonts w:eastAsia="MS Mincho"/>
          <w:kern w:val="22"/>
          <w:lang w:val="es-ES_tradnl"/>
        </w:rPr>
        <w:t>.</w:t>
      </w:r>
    </w:p>
    <w:p w14:paraId="28266322" w14:textId="77777777" w:rsidR="00362664" w:rsidRPr="009A33BA" w:rsidRDefault="00362664" w:rsidP="00362664">
      <w:pPr>
        <w:keepNext/>
        <w:spacing w:before="120" w:after="120"/>
        <w:ind w:firstLine="567"/>
        <w:rPr>
          <w:i/>
          <w:iCs/>
          <w:kern w:val="22"/>
          <w:szCs w:val="22"/>
          <w:lang w:val="es-ES_tradnl"/>
        </w:rPr>
      </w:pPr>
      <w:r w:rsidRPr="009A33BA">
        <w:rPr>
          <w:i/>
          <w:iCs/>
          <w:kern w:val="22"/>
          <w:szCs w:val="22"/>
          <w:lang w:val="es-ES_tradnl"/>
        </w:rPr>
        <w:t>La Conferencia de las Partes,</w:t>
      </w:r>
    </w:p>
    <w:p w14:paraId="63B5DEA0" w14:textId="4DC8A591" w:rsidR="00362664" w:rsidRPr="009A33BA" w:rsidRDefault="00362664" w:rsidP="00362664">
      <w:pPr>
        <w:spacing w:before="120" w:after="120"/>
        <w:ind w:firstLine="567"/>
        <w:rPr>
          <w:b/>
          <w:iCs/>
          <w:kern w:val="22"/>
          <w:szCs w:val="22"/>
          <w:lang w:val="es-ES_tradnl"/>
        </w:rPr>
      </w:pPr>
      <w:r w:rsidRPr="009A33BA">
        <w:rPr>
          <w:i/>
          <w:kern w:val="22"/>
          <w:szCs w:val="22"/>
          <w:lang w:val="es-ES_tradnl"/>
        </w:rPr>
        <w:t>Recordando</w:t>
      </w:r>
      <w:r w:rsidRPr="009A33BA">
        <w:rPr>
          <w:iCs/>
          <w:kern w:val="22"/>
          <w:szCs w:val="22"/>
          <w:lang w:val="es-ES_tradnl"/>
        </w:rPr>
        <w:t xml:space="preserve"> la</w:t>
      </w:r>
      <w:r w:rsidR="002371C3" w:rsidRPr="009A33BA">
        <w:rPr>
          <w:iCs/>
          <w:kern w:val="22"/>
          <w:szCs w:val="22"/>
          <w:lang w:val="es-ES_tradnl"/>
        </w:rPr>
        <w:t xml:space="preserve"> </w:t>
      </w:r>
      <w:hyperlink r:id="rId15" w:history="1">
        <w:r w:rsidRPr="009A33BA">
          <w:rPr>
            <w:rStyle w:val="Hyperlink"/>
            <w:kern w:val="22"/>
            <w:sz w:val="22"/>
            <w:szCs w:val="22"/>
            <w:lang w:val="es-ES_tradnl"/>
          </w:rPr>
          <w:t>decisión V/16</w:t>
        </w:r>
      </w:hyperlink>
      <w:r w:rsidRPr="009A33BA">
        <w:rPr>
          <w:iCs/>
          <w:kern w:val="22"/>
          <w:szCs w:val="22"/>
          <w:lang w:val="es-ES_tradnl"/>
        </w:rPr>
        <w:t xml:space="preserve">, en la que se estableció el programa de trabajo sobre el artículo 8 j) y disposiciones conexas, y la </w:t>
      </w:r>
      <w:hyperlink r:id="rId16" w:history="1">
        <w:r w:rsidRPr="009A33BA">
          <w:rPr>
            <w:rStyle w:val="Hyperlink"/>
            <w:kern w:val="22"/>
            <w:sz w:val="22"/>
            <w:szCs w:val="22"/>
            <w:lang w:val="es-ES_tradnl"/>
          </w:rPr>
          <w:t>decisión X/43</w:t>
        </w:r>
      </w:hyperlink>
      <w:r w:rsidRPr="009A33BA">
        <w:rPr>
          <w:iCs/>
          <w:kern w:val="22"/>
          <w:szCs w:val="22"/>
          <w:vertAlign w:val="superscript"/>
          <w:lang w:val="es-ES_tradnl"/>
        </w:rPr>
        <w:footnoteReference w:id="22"/>
      </w:r>
      <w:r w:rsidRPr="009A33BA">
        <w:rPr>
          <w:iCs/>
          <w:kern w:val="22"/>
          <w:szCs w:val="22"/>
          <w:lang w:val="es-ES_tradnl"/>
        </w:rPr>
        <w:t>, en la que se modificó el programa de trabajo plurianual para 2010</w:t>
      </w:r>
      <w:r w:rsidRPr="009A33BA">
        <w:rPr>
          <w:iCs/>
          <w:kern w:val="22"/>
          <w:szCs w:val="22"/>
          <w:lang w:val="es-ES_tradnl"/>
        </w:rPr>
        <w:noBreakHyphen/>
        <w:t>2020,</w:t>
      </w:r>
    </w:p>
    <w:p w14:paraId="532A80B5" w14:textId="77777777" w:rsidR="00362664" w:rsidRPr="009A33BA" w:rsidRDefault="00362664" w:rsidP="00362664">
      <w:pPr>
        <w:spacing w:before="120" w:after="120"/>
        <w:ind w:firstLine="567"/>
        <w:rPr>
          <w:kern w:val="22"/>
          <w:szCs w:val="22"/>
          <w:lang w:val="es-ES_tradnl"/>
        </w:rPr>
      </w:pPr>
      <w:r w:rsidRPr="009A33BA">
        <w:rPr>
          <w:i/>
          <w:kern w:val="22"/>
          <w:szCs w:val="22"/>
          <w:lang w:val="es-ES_tradnl"/>
        </w:rPr>
        <w:lastRenderedPageBreak/>
        <w:t>Señalando</w:t>
      </w:r>
      <w:r w:rsidRPr="009A33BA">
        <w:rPr>
          <w:kern w:val="22"/>
          <w:szCs w:val="22"/>
          <w:lang w:val="es-ES_tradnl"/>
        </w:rPr>
        <w:t xml:space="preserve"> que las tareas </w:t>
      </w:r>
      <w:r w:rsidRPr="009A33BA">
        <w:rPr>
          <w:rFonts w:eastAsia="Batang"/>
          <w:kern w:val="22"/>
          <w:szCs w:val="22"/>
          <w:lang w:val="es-ES_tradnl" w:eastAsia="ko-KR"/>
        </w:rPr>
        <w:t>6, 11, 13, 14 y 17 del programa de trabajo plurianual, que se habían pospuesto, se abordaron a través de la finalización de otras tareas en el marco del programa de trabajo sobre el artículo 8 j) y disposiciones conexas,</w:t>
      </w:r>
    </w:p>
    <w:p w14:paraId="20987EC4" w14:textId="77777777" w:rsidR="00362664" w:rsidRPr="009A33BA" w:rsidRDefault="00362664" w:rsidP="00362664">
      <w:pPr>
        <w:spacing w:before="120" w:after="120"/>
        <w:ind w:firstLine="567"/>
        <w:rPr>
          <w:rFonts w:eastAsia="Batang"/>
          <w:kern w:val="22"/>
          <w:szCs w:val="22"/>
          <w:lang w:val="es-ES_tradnl" w:eastAsia="ko-KR"/>
        </w:rPr>
      </w:pPr>
      <w:r w:rsidRPr="009A33BA">
        <w:rPr>
          <w:i/>
          <w:caps/>
          <w:kern w:val="22"/>
          <w:szCs w:val="22"/>
          <w:lang w:val="es-ES_tradnl"/>
        </w:rPr>
        <w:t>R</w:t>
      </w:r>
      <w:r w:rsidRPr="009A33BA">
        <w:rPr>
          <w:rFonts w:eastAsia="Batang"/>
          <w:i/>
          <w:kern w:val="22"/>
          <w:szCs w:val="22"/>
          <w:lang w:val="es-ES_tradnl" w:eastAsia="ko-KR"/>
        </w:rPr>
        <w:t>econociendo</w:t>
      </w:r>
      <w:r w:rsidRPr="009A33BA">
        <w:rPr>
          <w:rFonts w:eastAsia="Batang"/>
          <w:kern w:val="22"/>
          <w:szCs w:val="22"/>
          <w:lang w:val="es-ES_tradnl" w:eastAsia="ko-KR"/>
        </w:rPr>
        <w:t xml:space="preserve"> la necesidad de un programa de trabajo más holístico, orientado al futuro e integrado, teniendo en cuenta los avances recientes, incluidos la Agenda 2030 para el Desarrollo Sostenible, los Objetivos de Desarrollo Sostenible</w:t>
      </w:r>
      <w:bookmarkStart w:id="15" w:name="_Ref501148281"/>
      <w:r w:rsidRPr="009A33BA">
        <w:rPr>
          <w:rStyle w:val="FootnoteReference"/>
          <w:rFonts w:eastAsia="Batang"/>
          <w:kern w:val="22"/>
          <w:szCs w:val="22"/>
          <w:lang w:val="es-ES_tradnl" w:eastAsia="ko-KR"/>
        </w:rPr>
        <w:footnoteReference w:id="23"/>
      </w:r>
      <w:bookmarkEnd w:id="15"/>
      <w:r w:rsidRPr="009A33BA">
        <w:rPr>
          <w:rFonts w:eastAsia="Batang"/>
          <w:kern w:val="22"/>
          <w:szCs w:val="22"/>
          <w:lang w:val="es-ES_tradnl" w:eastAsia="ko-KR"/>
        </w:rPr>
        <w:t xml:space="preserve"> y el Acuerdo de París</w:t>
      </w:r>
      <w:r w:rsidRPr="009A33BA">
        <w:rPr>
          <w:rStyle w:val="FootnoteReference"/>
          <w:rFonts w:eastAsia="Batang"/>
          <w:kern w:val="22"/>
          <w:szCs w:val="22"/>
          <w:lang w:val="es-ES_tradnl" w:eastAsia="ko-KR"/>
        </w:rPr>
        <w:footnoteReference w:id="24"/>
      </w:r>
      <w:r w:rsidRPr="009A33BA">
        <w:rPr>
          <w:rFonts w:eastAsia="Batang"/>
          <w:kern w:val="22"/>
          <w:szCs w:val="22"/>
          <w:lang w:val="es-ES_tradnl" w:eastAsia="ko-KR"/>
        </w:rPr>
        <w:t>, así como el futuro marco de la diversidad biológica posterior a 2020,</w:t>
      </w:r>
    </w:p>
    <w:p w14:paraId="1543E4F8" w14:textId="77777777" w:rsidR="00362664" w:rsidRPr="009A33BA" w:rsidRDefault="00362664" w:rsidP="00362664">
      <w:pPr>
        <w:autoSpaceDE w:val="0"/>
        <w:autoSpaceDN w:val="0"/>
        <w:spacing w:before="120" w:after="120"/>
        <w:ind w:firstLine="567"/>
        <w:rPr>
          <w:iCs/>
          <w:kern w:val="22"/>
          <w:szCs w:val="22"/>
          <w:lang w:val="es-ES_tradnl" w:eastAsia="en-GB"/>
        </w:rPr>
      </w:pPr>
      <w:r w:rsidRPr="009A33BA">
        <w:rPr>
          <w:rFonts w:eastAsia="Batang"/>
          <w:i/>
          <w:kern w:val="22"/>
          <w:szCs w:val="22"/>
          <w:lang w:val="es-ES_tradnl" w:eastAsia="ko-KR"/>
        </w:rPr>
        <w:t>Teniendo en cuenta</w:t>
      </w:r>
      <w:r w:rsidRPr="009A33BA">
        <w:rPr>
          <w:rFonts w:eastAsia="Batang"/>
          <w:kern w:val="22"/>
          <w:szCs w:val="22"/>
          <w:lang w:val="es-ES_tradnl" w:eastAsia="ko-KR"/>
        </w:rPr>
        <w:t xml:space="preserve"> los resultados de la </w:t>
      </w:r>
      <w:r w:rsidRPr="009A33BA">
        <w:rPr>
          <w:kern w:val="22"/>
          <w:szCs w:val="22"/>
          <w:lang w:val="es-ES_tradnl"/>
        </w:rPr>
        <w:t>Cumbre Múuch’tambal sobre Experiencia Indígena: Conocimiento Tradicional, Diversidad Biológica y Cultural</w:t>
      </w:r>
      <w:r w:rsidRPr="009A33BA">
        <w:rPr>
          <w:iCs/>
          <w:kern w:val="22"/>
          <w:szCs w:val="22"/>
          <w:lang w:val="es-ES_tradnl" w:eastAsia="en-GB"/>
        </w:rPr>
        <w:t xml:space="preserve"> – Integrando las contribuciones de los conocimientos tradicionales, innovaciones y prácticas en los sectores agrícola, pesquero, forestal y turismo para la conservación y utilización sostenible de la biodiversidad para el buen vivir</w:t>
      </w:r>
      <w:r w:rsidRPr="009A33BA">
        <w:rPr>
          <w:rStyle w:val="FootnoteReference"/>
          <w:kern w:val="22"/>
          <w:szCs w:val="22"/>
          <w:lang w:val="es-ES_tradnl"/>
        </w:rPr>
        <w:footnoteReference w:id="25"/>
      </w:r>
      <w:r w:rsidRPr="009A33BA">
        <w:rPr>
          <w:iCs/>
          <w:kern w:val="22"/>
          <w:szCs w:val="22"/>
          <w:lang w:val="es-ES_tradnl" w:eastAsia="en-GB"/>
        </w:rPr>
        <w:t>,</w:t>
      </w:r>
    </w:p>
    <w:p w14:paraId="68B3C7AC" w14:textId="77777777" w:rsidR="00362664" w:rsidRPr="009A33BA" w:rsidRDefault="00362664" w:rsidP="00362664">
      <w:pPr>
        <w:autoSpaceDE w:val="0"/>
        <w:autoSpaceDN w:val="0"/>
        <w:spacing w:before="120" w:after="120"/>
        <w:ind w:firstLine="567"/>
        <w:rPr>
          <w:rFonts w:eastAsia="Batang"/>
          <w:kern w:val="22"/>
          <w:szCs w:val="22"/>
          <w:lang w:val="es-ES_tradnl" w:eastAsia="ko-KR"/>
        </w:rPr>
      </w:pPr>
      <w:r w:rsidRPr="009A33BA">
        <w:rPr>
          <w:rFonts w:eastAsia="Batang"/>
          <w:i/>
          <w:kern w:val="22"/>
          <w:szCs w:val="22"/>
          <w:lang w:val="es-ES_tradnl" w:eastAsia="ko-KR"/>
        </w:rPr>
        <w:t xml:space="preserve">Basándose </w:t>
      </w:r>
      <w:r w:rsidRPr="009A33BA">
        <w:rPr>
          <w:rFonts w:eastAsia="Batang"/>
          <w:kern w:val="22"/>
          <w:szCs w:val="22"/>
          <w:lang w:val="es-ES_tradnl" w:eastAsia="ko-KR"/>
        </w:rPr>
        <w:t>en el informe integrado sobre la situación y las tendencias relativas a los conocimientos tradicionales y en las directrices y otras herramientas y normas ya elaboradas por el Grupo de Trabajo especial de composición abierta entre períodos de sesiones sobre el artículo 8 j) y disposiciones conexas, entre otras:</w:t>
      </w:r>
    </w:p>
    <w:p w14:paraId="53FFF98F" w14:textId="77777777" w:rsidR="00362664" w:rsidRPr="009A33BA" w:rsidRDefault="00362664" w:rsidP="00362664">
      <w:pPr>
        <w:spacing w:before="120" w:after="120"/>
        <w:ind w:firstLine="567"/>
        <w:rPr>
          <w:kern w:val="22"/>
          <w:szCs w:val="22"/>
          <w:lang w:val="es-ES_tradnl"/>
        </w:rPr>
      </w:pPr>
      <w:r w:rsidRPr="009A33BA">
        <w:rPr>
          <w:rFonts w:eastAsia="Batang"/>
          <w:kern w:val="22"/>
          <w:szCs w:val="22"/>
          <w:lang w:val="es-ES_tradnl" w:eastAsia="ko-KR"/>
        </w:rPr>
        <w:t xml:space="preserve"> a)</w:t>
      </w:r>
      <w:r w:rsidRPr="009A33BA">
        <w:rPr>
          <w:rFonts w:eastAsia="Batang"/>
          <w:kern w:val="22"/>
          <w:szCs w:val="22"/>
          <w:lang w:val="es-ES_tradnl" w:eastAsia="ko-KR"/>
        </w:rPr>
        <w:tab/>
        <w:t xml:space="preserve">las Directrices </w:t>
      </w:r>
      <w:r w:rsidRPr="009A33BA">
        <w:rPr>
          <w:kern w:val="22"/>
          <w:szCs w:val="22"/>
          <w:lang w:val="es-ES_tradnl"/>
        </w:rPr>
        <w:t xml:space="preserve">Akwé: Kon </w:t>
      </w:r>
      <w:r w:rsidRPr="009A33BA">
        <w:rPr>
          <w:rFonts w:eastAsia="Batang"/>
          <w:kern w:val="22"/>
          <w:szCs w:val="22"/>
          <w:lang w:val="es-ES_tradnl" w:eastAsia="ko-KR"/>
        </w:rPr>
        <w:t xml:space="preserve">voluntarias </w:t>
      </w:r>
      <w:r w:rsidRPr="009A33BA">
        <w:rPr>
          <w:kern w:val="22"/>
          <w:szCs w:val="22"/>
          <w:lang w:val="es-ES_tradnl"/>
        </w:rPr>
        <w:t>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9A33BA">
        <w:rPr>
          <w:rStyle w:val="FootnoteReference"/>
          <w:kern w:val="22"/>
          <w:szCs w:val="22"/>
          <w:lang w:val="es-ES_tradnl"/>
        </w:rPr>
        <w:footnoteReference w:id="26"/>
      </w:r>
      <w:r w:rsidRPr="009A33BA">
        <w:rPr>
          <w:kern w:val="22"/>
          <w:szCs w:val="22"/>
          <w:lang w:val="es-ES_tradnl"/>
        </w:rPr>
        <w:t>;</w:t>
      </w:r>
    </w:p>
    <w:p w14:paraId="1E15C841"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 xml:space="preserve"> b)</w:t>
      </w:r>
      <w:r w:rsidRPr="009A33BA">
        <w:rPr>
          <w:b/>
          <w:kern w:val="22"/>
          <w:szCs w:val="22"/>
          <w:lang w:val="es-ES_tradnl"/>
        </w:rPr>
        <w:tab/>
      </w:r>
      <w:r w:rsidRPr="009A33BA">
        <w:rPr>
          <w:kern w:val="22"/>
          <w:szCs w:val="22"/>
          <w:lang w:val="es-ES_tradnl"/>
        </w:rPr>
        <w:t>el Código de conducta ética Tkarihwaié:ri para asegurar el respeto al patrimonio cultural e intelectual de las comunidades indígenas y locales</w:t>
      </w:r>
      <w:r w:rsidRPr="009A33BA">
        <w:rPr>
          <w:rStyle w:val="FootnoteReference"/>
          <w:kern w:val="22"/>
          <w:szCs w:val="22"/>
          <w:lang w:val="es-ES_tradnl"/>
        </w:rPr>
        <w:footnoteReference w:id="27"/>
      </w:r>
      <w:r w:rsidRPr="009A33BA">
        <w:rPr>
          <w:kern w:val="22"/>
          <w:szCs w:val="22"/>
          <w:lang w:val="es-ES_tradnl"/>
        </w:rPr>
        <w:t>;</w:t>
      </w:r>
    </w:p>
    <w:p w14:paraId="44B02F45"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 xml:space="preserve"> c)</w:t>
      </w:r>
      <w:r w:rsidRPr="009A33BA">
        <w:rPr>
          <w:kern w:val="22"/>
          <w:szCs w:val="22"/>
          <w:lang w:val="es-ES_tradnl"/>
        </w:rPr>
        <w:tab/>
        <w:t>las Directrices voluntarias Mo’otz kuxtal</w:t>
      </w:r>
      <w:r w:rsidRPr="009A33BA">
        <w:rPr>
          <w:caps/>
          <w:kern w:val="22"/>
          <w:szCs w:val="22"/>
          <w:vertAlign w:val="superscript"/>
          <w:lang w:val="es-ES_tradnl"/>
        </w:rPr>
        <w:footnoteReference w:id="28"/>
      </w:r>
      <w:r w:rsidRPr="009A33BA">
        <w:rPr>
          <w:caps/>
          <w:kern w:val="22"/>
          <w:szCs w:val="22"/>
          <w:lang w:val="es-ES_tradnl"/>
        </w:rPr>
        <w:t xml:space="preserve"> </w:t>
      </w:r>
      <w:r w:rsidRPr="009A33BA">
        <w:rPr>
          <w:kern w:val="22"/>
          <w:szCs w:val="22"/>
          <w:lang w:val="es-ES_tradnl"/>
        </w:rPr>
        <w:t>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9A33BA">
        <w:rPr>
          <w:caps/>
          <w:kern w:val="22"/>
          <w:szCs w:val="22"/>
          <w:vertAlign w:val="superscript"/>
          <w:lang w:val="es-ES_tradnl"/>
        </w:rPr>
        <w:footnoteReference w:id="29"/>
      </w:r>
      <w:r w:rsidRPr="009A33BA">
        <w:rPr>
          <w:kern w:val="22"/>
          <w:szCs w:val="22"/>
          <w:lang w:val="es-ES_tradnl"/>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r w:rsidRPr="009A33BA">
        <w:rPr>
          <w:rStyle w:val="FootnoteReference"/>
          <w:kern w:val="22"/>
          <w:szCs w:val="22"/>
          <w:lang w:val="es-ES_tradnl"/>
        </w:rPr>
        <w:footnoteReference w:id="30"/>
      </w:r>
      <w:r w:rsidRPr="009A33BA">
        <w:rPr>
          <w:kern w:val="22"/>
          <w:szCs w:val="22"/>
          <w:lang w:val="es-ES_tradnl"/>
        </w:rPr>
        <w:t>;</w:t>
      </w:r>
    </w:p>
    <w:p w14:paraId="361232BF"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[d)</w:t>
      </w:r>
      <w:r w:rsidRPr="009A33BA">
        <w:rPr>
          <w:kern w:val="22"/>
          <w:szCs w:val="22"/>
          <w:lang w:val="es-ES_tradnl"/>
        </w:rPr>
        <w:tab/>
        <w:t xml:space="preserve">las Directrices voluntarias </w:t>
      </w:r>
      <w:r w:rsidRPr="009A33BA">
        <w:rPr>
          <w:noProof/>
          <w:kern w:val="22"/>
          <w:szCs w:val="22"/>
          <w:lang w:val="es-ES_tradnl"/>
        </w:rPr>
        <w:t>Rutzolijirisaxik</w:t>
      </w:r>
      <w:r w:rsidRPr="009A33BA">
        <w:rPr>
          <w:kern w:val="22"/>
          <w:szCs w:val="22"/>
          <w:lang w:val="es-ES_tradnl"/>
        </w:rPr>
        <w:t xml:space="preserve"> para la repatriación de conocimientos tradicionales de los pueblos indígenas y las comunidades locales pertinentes para la conservación y la utilización sostenible de la diversidad biológica</w:t>
      </w:r>
      <w:r w:rsidRPr="009A33BA">
        <w:rPr>
          <w:kern w:val="22"/>
          <w:szCs w:val="22"/>
          <w:vertAlign w:val="superscript"/>
          <w:lang w:val="es-ES_tradnl"/>
        </w:rPr>
        <w:footnoteReference w:id="31"/>
      </w:r>
      <w:r w:rsidRPr="009A33BA">
        <w:rPr>
          <w:kern w:val="22"/>
          <w:szCs w:val="22"/>
          <w:lang w:val="es-ES_tradnl"/>
        </w:rPr>
        <w:t>;]</w:t>
      </w:r>
    </w:p>
    <w:p w14:paraId="7331AA91"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lastRenderedPageBreak/>
        <w:t xml:space="preserve"> e)</w:t>
      </w:r>
      <w:r w:rsidRPr="009A33BA">
        <w:rPr>
          <w:kern w:val="22"/>
          <w:szCs w:val="22"/>
          <w:lang w:val="es-ES_tradnl"/>
        </w:rPr>
        <w:tab/>
        <w:t>el Plan de acción mundial sobre utilización consuetudinaria sostenible de la diversidad biológica</w:t>
      </w:r>
      <w:r w:rsidRPr="009A33BA">
        <w:rPr>
          <w:rStyle w:val="FootnoteReference"/>
          <w:kern w:val="22"/>
          <w:szCs w:val="22"/>
          <w:lang w:val="es-ES_tradnl"/>
        </w:rPr>
        <w:footnoteReference w:id="32"/>
      </w:r>
      <w:r w:rsidRPr="009A33BA">
        <w:rPr>
          <w:kern w:val="22"/>
          <w:szCs w:val="22"/>
          <w:lang w:val="es-ES_tradnl"/>
        </w:rPr>
        <w:t>;</w:t>
      </w:r>
    </w:p>
    <w:p w14:paraId="53696D11" w14:textId="77777777" w:rsidR="00362664" w:rsidRPr="009A33BA" w:rsidRDefault="00362664" w:rsidP="00362664">
      <w:pPr>
        <w:spacing w:before="120" w:after="120"/>
        <w:ind w:firstLine="567"/>
        <w:rPr>
          <w:iCs/>
          <w:kern w:val="22"/>
          <w:szCs w:val="22"/>
          <w:lang w:val="es-ES_tradnl"/>
        </w:rPr>
      </w:pPr>
      <w:r w:rsidRPr="009A33BA">
        <w:rPr>
          <w:i/>
          <w:iCs/>
          <w:kern w:val="22"/>
          <w:szCs w:val="22"/>
          <w:lang w:val="es-ES_tradnl"/>
        </w:rPr>
        <w:t xml:space="preserve">Teniendo en cuenta </w:t>
      </w:r>
      <w:r w:rsidRPr="009A33BA">
        <w:rPr>
          <w:iCs/>
          <w:kern w:val="22"/>
          <w:szCs w:val="22"/>
          <w:lang w:val="es-ES_tradnl"/>
        </w:rPr>
        <w:t>el programa de trabajo conjunto de la Secretaría del Convenio sobre la Diversidad Biológica y la Organización de las Naciones Unidas para la Educación, la Ciencia y la Cultura sobre las interrelaciones entre la diversidad biológica y la diversidad cultural</w:t>
      </w:r>
      <w:r w:rsidRPr="009A33BA">
        <w:rPr>
          <w:rStyle w:val="FootnoteReference"/>
          <w:kern w:val="22"/>
          <w:szCs w:val="22"/>
          <w:lang w:val="es-ES_tradnl"/>
        </w:rPr>
        <w:footnoteReference w:id="33"/>
      </w:r>
      <w:r w:rsidRPr="009A33BA">
        <w:rPr>
          <w:iCs/>
          <w:kern w:val="22"/>
          <w:szCs w:val="22"/>
          <w:lang w:val="es-ES_tradnl"/>
        </w:rPr>
        <w:t>,</w:t>
      </w:r>
    </w:p>
    <w:p w14:paraId="0E8A10B4" w14:textId="77777777" w:rsidR="00362664" w:rsidRPr="009A33BA" w:rsidRDefault="00362664" w:rsidP="00362664">
      <w:pPr>
        <w:spacing w:before="120" w:after="120"/>
        <w:ind w:firstLine="567"/>
        <w:rPr>
          <w:rFonts w:eastAsia="Batang"/>
          <w:kern w:val="22"/>
          <w:szCs w:val="22"/>
          <w:lang w:val="es-ES_tradnl" w:eastAsia="ko-KR"/>
        </w:rPr>
      </w:pPr>
      <w:r w:rsidRPr="009A33BA">
        <w:rPr>
          <w:i/>
          <w:iCs/>
          <w:kern w:val="22"/>
          <w:szCs w:val="22"/>
          <w:lang w:val="es-ES_tradnl"/>
        </w:rPr>
        <w:t>[Acogiendo con satisfacción</w:t>
      </w:r>
      <w:r w:rsidRPr="009A33BA">
        <w:rPr>
          <w:iCs/>
          <w:kern w:val="22"/>
          <w:szCs w:val="22"/>
          <w:lang w:val="es-ES_tradnl"/>
        </w:rPr>
        <w:t xml:space="preserve"> la conclusión de la labor de la tarea 15 con la adopción de las Directrices voluntarias </w:t>
      </w:r>
      <w:r w:rsidRPr="009A33BA">
        <w:rPr>
          <w:noProof/>
          <w:kern w:val="22"/>
          <w:szCs w:val="22"/>
          <w:lang w:val="es-ES_tradnl"/>
        </w:rPr>
        <w:t>Rutzolijirisaxik</w:t>
      </w:r>
      <w:r w:rsidRPr="009A33BA">
        <w:rPr>
          <w:kern w:val="22"/>
          <w:szCs w:val="22"/>
          <w:lang w:val="es-ES_tradnl"/>
        </w:rPr>
        <w:t xml:space="preserve"> para la repatriación de conocimientos tradicionales de los pueblos indígenas y las comunidades locales pertinentes para la conservación y la utilización sostenible de la diversidad biológica</w:t>
      </w:r>
      <w:r w:rsidRPr="009A33BA">
        <w:rPr>
          <w:rStyle w:val="FootnoteReference"/>
          <w:kern w:val="22"/>
          <w:szCs w:val="22"/>
          <w:lang w:val="es-ES_tradnl"/>
        </w:rPr>
        <w:footnoteReference w:id="34"/>
      </w:r>
      <w:r w:rsidRPr="009A33BA">
        <w:rPr>
          <w:kern w:val="22"/>
          <w:szCs w:val="22"/>
          <w:lang w:val="es-ES_tradnl"/>
        </w:rPr>
        <w:t>,]</w:t>
      </w:r>
    </w:p>
    <w:p w14:paraId="61AF6F9A" w14:textId="77777777" w:rsidR="00362664" w:rsidRPr="009A33BA" w:rsidRDefault="00362664" w:rsidP="00362664">
      <w:pPr>
        <w:spacing w:before="120" w:after="120"/>
        <w:ind w:firstLine="567"/>
        <w:rPr>
          <w:kern w:val="22"/>
          <w:szCs w:val="22"/>
          <w:lang w:val="es-ES_tradnl"/>
        </w:rPr>
      </w:pPr>
      <w:r w:rsidRPr="009A33BA">
        <w:rPr>
          <w:i/>
          <w:kern w:val="22"/>
          <w:szCs w:val="22"/>
          <w:lang w:val="es-ES_tradnl"/>
        </w:rPr>
        <w:t xml:space="preserve">Observando </w:t>
      </w:r>
      <w:r w:rsidRPr="009A33BA">
        <w:rPr>
          <w:kern w:val="22"/>
          <w:szCs w:val="22"/>
          <w:lang w:val="es-ES_tradnl"/>
        </w:rPr>
        <w:t>que las tareas 1, 2, 4, así como la aplicación de las antedichas directrices y normas adoptadas por la Conferencia de las Partes, representan responsabilidades actuales de las Partes,</w:t>
      </w:r>
    </w:p>
    <w:p w14:paraId="22595937" w14:textId="77777777" w:rsidR="00362664" w:rsidRPr="009A33BA" w:rsidRDefault="00362664" w:rsidP="00362664">
      <w:pPr>
        <w:spacing w:before="120" w:after="120"/>
        <w:ind w:firstLine="567"/>
        <w:rPr>
          <w:kern w:val="22"/>
          <w:szCs w:val="22"/>
          <w:lang w:val="es-ES_tradnl"/>
        </w:rPr>
      </w:pPr>
      <w:r w:rsidRPr="009A33BA">
        <w:rPr>
          <w:rFonts w:eastAsia="Batang"/>
          <w:i/>
          <w:kern w:val="22"/>
          <w:szCs w:val="22"/>
          <w:lang w:val="es-ES_tradnl" w:eastAsia="ko-KR"/>
        </w:rPr>
        <w:t>Subrayando</w:t>
      </w:r>
      <w:r w:rsidRPr="009A33BA">
        <w:rPr>
          <w:rFonts w:eastAsia="Batang"/>
          <w:kern w:val="22"/>
          <w:szCs w:val="22"/>
          <w:lang w:val="es-ES_tradnl" w:eastAsia="ko-KR"/>
        </w:rPr>
        <w:t xml:space="preserve"> la necesidad de que las directrices y normas relacionadas con el artículo 8 j) y disposiciones conexas se apliquen efectivamente nivel nacional para avanzar hacia el logro de la Meta 18 de Aichi para la Diversidad Biológica del Plan Estratégico para la Diversidad Biológica 2011-2020,</w:t>
      </w:r>
    </w:p>
    <w:p w14:paraId="58C04688" w14:textId="77777777" w:rsidR="00362664" w:rsidRPr="009A33BA" w:rsidRDefault="00362664" w:rsidP="00362664">
      <w:pPr>
        <w:spacing w:before="120" w:after="120"/>
        <w:ind w:firstLine="567"/>
        <w:rPr>
          <w:kern w:val="22"/>
          <w:szCs w:val="22"/>
          <w:lang w:val="es-ES_tradnl"/>
        </w:rPr>
      </w:pPr>
      <w:r w:rsidRPr="009A33BA">
        <w:rPr>
          <w:rFonts w:eastAsia="Batang"/>
          <w:kern w:val="22"/>
          <w:szCs w:val="22"/>
          <w:lang w:val="es-ES_tradnl" w:eastAsia="ko-KR"/>
        </w:rPr>
        <w:t>1.</w:t>
      </w:r>
      <w:r w:rsidRPr="009A33BA">
        <w:rPr>
          <w:rFonts w:eastAsia="Batang"/>
          <w:i/>
          <w:kern w:val="22"/>
          <w:szCs w:val="22"/>
          <w:lang w:val="es-ES_tradnl" w:eastAsia="ko-KR"/>
        </w:rPr>
        <w:tab/>
        <w:t xml:space="preserve">Decide </w:t>
      </w:r>
      <w:r w:rsidRPr="009A33BA">
        <w:rPr>
          <w:kern w:val="22"/>
          <w:szCs w:val="22"/>
          <w:lang w:val="es-ES_tradnl"/>
        </w:rPr>
        <w:t>dar por concluido el programa de trabajo actual sobre el artículo 8 j) y disposiciones conexas a más tardar en la 15ª reunión de la Conferencia de las Partes;</w:t>
      </w:r>
    </w:p>
    <w:p w14:paraId="635EA80B"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2.</w:t>
      </w:r>
      <w:r w:rsidRPr="009A33BA">
        <w:rPr>
          <w:kern w:val="22"/>
          <w:szCs w:val="22"/>
          <w:lang w:val="es-ES_tradnl"/>
        </w:rPr>
        <w:tab/>
      </w:r>
      <w:r w:rsidRPr="009A33BA">
        <w:rPr>
          <w:i/>
          <w:kern w:val="22"/>
          <w:szCs w:val="22"/>
          <w:lang w:val="es-ES_tradnl"/>
        </w:rPr>
        <w:t>Decide asimismo</w:t>
      </w:r>
      <w:r w:rsidRPr="009A33BA">
        <w:rPr>
          <w:kern w:val="22"/>
          <w:szCs w:val="22"/>
          <w:lang w:val="es-ES_tradnl"/>
        </w:rPr>
        <w:t xml:space="preserve"> considerar la posibilidad de elaborar un programa de trabajo plenamente integrado sobre el artículo 8 j) y disposiciones conexas dentro del marco de la diversidad biológica posterior a 2020 sobre la base de los logros alcanzados hasta la fecha, teniendo también en cuenta la Agenda 2030 para el Desarrollo Sostenible</w:t>
      </w:r>
      <w:r w:rsidRPr="009A33BA">
        <w:rPr>
          <w:lang w:val="es-ES_tradnl"/>
        </w:rPr>
        <w:fldChar w:fldCharType="begin"/>
      </w:r>
      <w:r w:rsidRPr="009A33BA">
        <w:rPr>
          <w:lang w:val="es-ES_tradnl"/>
        </w:rPr>
        <w:instrText xml:space="preserve"> NOTEREF _Ref501148281 \h  \* MERGEFORMAT </w:instrText>
      </w:r>
      <w:r w:rsidRPr="009A33BA">
        <w:rPr>
          <w:lang w:val="es-ES_tradnl"/>
        </w:rPr>
      </w:r>
      <w:r w:rsidRPr="009A33BA">
        <w:rPr>
          <w:lang w:val="es-ES_tradnl"/>
        </w:rPr>
        <w:fldChar w:fldCharType="separate"/>
      </w:r>
      <w:r w:rsidRPr="009A33BA">
        <w:rPr>
          <w:lang w:val="es-ES_tradnl"/>
        </w:rPr>
        <w:t>2</w:t>
      </w:r>
      <w:r w:rsidRPr="009A33BA">
        <w:rPr>
          <w:lang w:val="es-ES_tradnl"/>
        </w:rPr>
        <w:fldChar w:fldCharType="end"/>
      </w:r>
      <w:r w:rsidRPr="009A33BA">
        <w:rPr>
          <w:lang w:val="es-ES_tradnl"/>
        </w:rPr>
        <w:t>,</w:t>
      </w:r>
      <w:r w:rsidRPr="009A33BA">
        <w:rPr>
          <w:kern w:val="22"/>
          <w:szCs w:val="22"/>
          <w:lang w:val="es-ES_tradnl"/>
        </w:rPr>
        <w:t xml:space="preserve"> los Objetivos de Desarrollo Sostenible y el Acuerdo de París, así como las carencias que se hayan detectado;</w:t>
      </w:r>
    </w:p>
    <w:p w14:paraId="4161A9A1" w14:textId="77777777" w:rsidR="00362664" w:rsidRPr="009A33BA" w:rsidRDefault="00362664" w:rsidP="00362664">
      <w:pPr>
        <w:spacing w:before="120" w:after="120"/>
        <w:ind w:firstLine="567"/>
        <w:rPr>
          <w:rFonts w:eastAsia="Batang"/>
          <w:kern w:val="22"/>
          <w:szCs w:val="22"/>
          <w:lang w:val="es-ES_tradnl" w:eastAsia="ko-KR"/>
        </w:rPr>
      </w:pPr>
      <w:r w:rsidRPr="009A33BA">
        <w:rPr>
          <w:kern w:val="22"/>
          <w:szCs w:val="22"/>
          <w:lang w:val="es-ES_tradnl"/>
        </w:rPr>
        <w:t>3.</w:t>
      </w:r>
      <w:r w:rsidRPr="009A33BA">
        <w:rPr>
          <w:kern w:val="22"/>
          <w:szCs w:val="22"/>
          <w:lang w:val="es-ES_tradnl"/>
        </w:rPr>
        <w:tab/>
      </w:r>
      <w:r w:rsidRPr="009A33BA">
        <w:rPr>
          <w:i/>
          <w:kern w:val="22"/>
          <w:szCs w:val="22"/>
          <w:lang w:val="es-ES_tradnl"/>
        </w:rPr>
        <w:t>Invita</w:t>
      </w:r>
      <w:r w:rsidRPr="009A33BA">
        <w:rPr>
          <w:kern w:val="22"/>
          <w:szCs w:val="22"/>
          <w:lang w:val="es-ES_tradnl"/>
        </w:rPr>
        <w:t xml:space="preserve"> a las Partes a recabar experiencias en la aplicación de las directrices y normas relacionadas con el artículo 8 j) y disposiciones conexas a nivel nacional y, a la luz de esas experiencias, considerar la necesidad de seguir trabajando sobre estas cuestiones en la elaboración de un programa de trabajo plenamente integrado;</w:t>
      </w:r>
    </w:p>
    <w:p w14:paraId="5AB55416" w14:textId="77777777" w:rsidR="00362664" w:rsidRPr="009A33BA" w:rsidRDefault="00362664" w:rsidP="00362664">
      <w:pPr>
        <w:spacing w:before="120" w:after="120"/>
        <w:ind w:firstLine="567"/>
        <w:rPr>
          <w:rFonts w:eastAsia="Batang"/>
          <w:kern w:val="22"/>
          <w:szCs w:val="22"/>
          <w:lang w:val="es-ES_tradnl" w:eastAsia="ko-KR"/>
        </w:rPr>
      </w:pPr>
      <w:r w:rsidRPr="009A33BA">
        <w:rPr>
          <w:iCs/>
          <w:kern w:val="22"/>
          <w:szCs w:val="22"/>
          <w:lang w:val="es-ES_tradnl"/>
        </w:rPr>
        <w:t>4.</w:t>
      </w:r>
      <w:r w:rsidRPr="009A33BA">
        <w:rPr>
          <w:i/>
          <w:iCs/>
          <w:kern w:val="22"/>
          <w:szCs w:val="22"/>
          <w:lang w:val="es-ES_tradnl"/>
        </w:rPr>
        <w:tab/>
        <w:t xml:space="preserve">Alienta </w:t>
      </w:r>
      <w:r w:rsidRPr="009A33BA">
        <w:rPr>
          <w:kern w:val="22"/>
          <w:szCs w:val="22"/>
          <w:lang w:val="es-ES_tradnl"/>
        </w:rPr>
        <w:t>a las Partes a colaborar con los pueblos indígenas y las comunidades locales en la aplicación del Convenio, entre otras cosas, reconociendo, apoyando y valorando sus acciones colectivas, incluidos sus esfuerzos por proteger y conservar sus territorios y zonas, para los objetivos del Convenio, y a incluirlos plenamente en la preparación de los informes nacionales, la revisión y aplicación de las estrategias y planes de acción nacionales en materia de biodiversidad y el proceso para la elaboración del marco de la diversidad biológica posterior a 2020 para el Convenio;</w:t>
      </w:r>
    </w:p>
    <w:p w14:paraId="7967BE95"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5</w:t>
      </w:r>
      <w:r w:rsidRPr="009A33BA">
        <w:rPr>
          <w:i/>
          <w:kern w:val="22"/>
          <w:szCs w:val="22"/>
          <w:lang w:val="es-ES_tradnl"/>
        </w:rPr>
        <w:t>.</w:t>
      </w:r>
      <w:r w:rsidRPr="009A33BA">
        <w:rPr>
          <w:i/>
          <w:kern w:val="22"/>
          <w:szCs w:val="22"/>
          <w:lang w:val="es-ES_tradnl"/>
        </w:rPr>
        <w:tab/>
        <w:t>Invita</w:t>
      </w:r>
      <w:r w:rsidRPr="009A33BA">
        <w:rPr>
          <w:rFonts w:eastAsia="Batang"/>
          <w:kern w:val="22"/>
          <w:szCs w:val="22"/>
          <w:lang w:val="es-ES_tradnl" w:eastAsia="ko-KR"/>
        </w:rPr>
        <w:t xml:space="preserve"> a las Partes y a otros Gobiernos a informar sobre la aplicación del programa de trabajo sobre el artículo </w:t>
      </w:r>
      <w:r w:rsidRPr="009A33BA">
        <w:rPr>
          <w:kern w:val="22"/>
          <w:szCs w:val="22"/>
          <w:lang w:val="es-ES_tradnl"/>
        </w:rPr>
        <w:t>8 j) y disposiciones conexas, en particular, las tareas 1, 2 y 4, y la ejecución del Plan de acción sobre utilización consuetudinaria sostenible, así como la aplicación de las diversas directrices y normas elaboradas bajo los auspicios del Grupo de Trabajo especial de composición abierta entre períodos de sesiones sobre el artículo 8 j) y disposiciones conexas y adoptadas por la Conferencia de las Partes, a través de los informes nacionales o el mecanismo de facilitación, a fin de determinar los progresos alcanzados y brindar insumos para la elaboración del marco de la diversidad biológica posterior a 2020;</w:t>
      </w:r>
    </w:p>
    <w:p w14:paraId="1C075E3B"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6.</w:t>
      </w:r>
      <w:r w:rsidRPr="009A33BA">
        <w:rPr>
          <w:i/>
          <w:kern w:val="22"/>
          <w:szCs w:val="22"/>
          <w:lang w:val="es-ES_tradnl"/>
        </w:rPr>
        <w:tab/>
        <w:t>Pide</w:t>
      </w:r>
      <w:r w:rsidRPr="009A33BA">
        <w:rPr>
          <w:kern w:val="22"/>
          <w:szCs w:val="22"/>
          <w:lang w:val="es-ES_tradnl"/>
        </w:rPr>
        <w:t xml:space="preserve"> a la Secretaria Ejecutiva que facilite un foro en línea invitando a las Partes, otros Gobiernos, pueblos indígenas y comunidades locales, otras organizaciones pertinentes y partes interesadas </w:t>
      </w:r>
      <w:r w:rsidRPr="009A33BA">
        <w:rPr>
          <w:kern w:val="22"/>
          <w:szCs w:val="22"/>
          <w:lang w:val="es-ES_tradnl"/>
        </w:rPr>
        <w:lastRenderedPageBreak/>
        <w:t>a participar en un intercambio inicial de opiniones e información, según proceda, sobre los posibles elementos de un programa de trabajo sobre el artículo 8 j) y disposiciones conexas como parte del marco de la diversidad biológica posterior a 2020, así como sobre posibles arreglos institucionales, lecciones aprendidas y ventajas y desventajas de los arreglos actuales;</w:t>
      </w:r>
    </w:p>
    <w:p w14:paraId="61B6B9E6"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7.</w:t>
      </w:r>
      <w:r w:rsidRPr="009A33BA">
        <w:rPr>
          <w:kern w:val="22"/>
          <w:szCs w:val="22"/>
          <w:lang w:val="es-ES_tradnl"/>
        </w:rPr>
        <w:tab/>
      </w:r>
      <w:r w:rsidRPr="009A33BA">
        <w:rPr>
          <w:i/>
          <w:iCs/>
          <w:kern w:val="22"/>
          <w:szCs w:val="22"/>
          <w:lang w:val="es-ES_tradnl"/>
        </w:rPr>
        <w:t>Pide asimismo</w:t>
      </w:r>
      <w:r w:rsidRPr="009A33BA">
        <w:rPr>
          <w:kern w:val="22"/>
          <w:szCs w:val="22"/>
          <w:lang w:val="es-ES_tradnl"/>
        </w:rPr>
        <w:t xml:space="preserve"> a la Secretaria Ejecutiva que prepare un resumen del intercambio de opiniones realizado en el foro en línea y lo ponga a disposición del Grupo de Trabajo especial de composición abierta entre períodos de sesiones sobre el artículo </w:t>
      </w:r>
      <w:r w:rsidRPr="009A33BA">
        <w:rPr>
          <w:rFonts w:eastAsia="Batang"/>
          <w:kern w:val="22"/>
          <w:szCs w:val="22"/>
          <w:lang w:val="es-ES_tradnl" w:eastAsia="ko-KR"/>
        </w:rPr>
        <w:t>8 j) y disposiciones conexas en su 11ª reunión</w:t>
      </w:r>
      <w:r w:rsidRPr="009A33BA">
        <w:rPr>
          <w:kern w:val="22"/>
          <w:szCs w:val="22"/>
          <w:lang w:val="es-ES_tradnl"/>
        </w:rPr>
        <w:t>;</w:t>
      </w:r>
    </w:p>
    <w:p w14:paraId="3A069CCC"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8</w:t>
      </w:r>
      <w:r w:rsidRPr="009A33BA">
        <w:rPr>
          <w:rFonts w:eastAsia="Batang"/>
          <w:i/>
          <w:kern w:val="22"/>
          <w:szCs w:val="22"/>
          <w:lang w:val="es-ES_tradnl" w:eastAsia="ko-KR"/>
        </w:rPr>
        <w:t>.</w:t>
      </w:r>
      <w:r w:rsidRPr="009A33BA">
        <w:rPr>
          <w:rFonts w:eastAsia="Batang"/>
          <w:i/>
          <w:kern w:val="22"/>
          <w:szCs w:val="22"/>
          <w:lang w:val="es-ES_tradnl" w:eastAsia="ko-KR"/>
        </w:rPr>
        <w:tab/>
        <w:t>I</w:t>
      </w:r>
      <w:r w:rsidRPr="009A33BA">
        <w:rPr>
          <w:rStyle w:val="Emphasis"/>
          <w:kern w:val="22"/>
          <w:szCs w:val="22"/>
          <w:lang w:val="es-ES_tradnl"/>
        </w:rPr>
        <w:t>nvita</w:t>
      </w:r>
      <w:r w:rsidRPr="009A33BA">
        <w:rPr>
          <w:kern w:val="22"/>
          <w:szCs w:val="22"/>
          <w:lang w:val="es-ES_tradnl"/>
        </w:rPr>
        <w:t xml:space="preserve"> a las Partes, Gobiernos, pueblos indígenas y comunidades locales, organizaciones internacionales pertinentes, en particular otras convenciones relacionadas con la diversidad biológica, y partes interesadas, a enviar a la Secretaria Ejecutiva sus opiniones sobre posibles elementos para un programa de trabajo plenamente integrado como parte del marco de la diversidad biológica posterior a </w:t>
      </w:r>
      <w:r w:rsidRPr="009A33BA">
        <w:rPr>
          <w:rFonts w:eastAsia="Batang"/>
          <w:kern w:val="22"/>
          <w:szCs w:val="22"/>
          <w:lang w:val="es-ES_tradnl" w:eastAsia="ko-KR"/>
        </w:rPr>
        <w:t>2020;</w:t>
      </w:r>
    </w:p>
    <w:p w14:paraId="2ABA1BB2"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[9.</w:t>
      </w:r>
      <w:r w:rsidRPr="009A33BA">
        <w:rPr>
          <w:rFonts w:eastAsia="Batang"/>
          <w:kern w:val="22"/>
          <w:szCs w:val="22"/>
          <w:lang w:val="es-ES_tradnl" w:eastAsia="ko-KR"/>
        </w:rPr>
        <w:tab/>
      </w:r>
      <w:r w:rsidRPr="009A33BA">
        <w:rPr>
          <w:rFonts w:eastAsia="Batang"/>
          <w:i/>
          <w:iCs/>
          <w:kern w:val="22"/>
          <w:szCs w:val="22"/>
          <w:lang w:val="es-ES_tradnl" w:eastAsia="ko-KR"/>
        </w:rPr>
        <w:t>I</w:t>
      </w:r>
      <w:r w:rsidRPr="009A33BA">
        <w:rPr>
          <w:rStyle w:val="Emphasis"/>
          <w:kern w:val="22"/>
          <w:szCs w:val="22"/>
          <w:lang w:val="es-ES_tradnl"/>
        </w:rPr>
        <w:t>nvita</w:t>
      </w:r>
      <w:r w:rsidRPr="009A33BA">
        <w:rPr>
          <w:kern w:val="22"/>
          <w:szCs w:val="22"/>
          <w:lang w:val="es-ES_tradnl"/>
        </w:rPr>
        <w:t xml:space="preserve"> a las Partes, Gobiernos y pueblos indígenas y comunidades locales a que envíen a la Secretaria Ejecutiva sus opiniones sobre posibles arreglos institucionales y sus </w:t>
      </w:r>
      <w:r w:rsidRPr="009A33BA">
        <w:rPr>
          <w:rFonts w:eastAsia="Batang"/>
          <w:i/>
          <w:kern w:val="22"/>
          <w:szCs w:val="22"/>
          <w:lang w:val="es-ES_tradnl" w:eastAsia="ko-KR"/>
        </w:rPr>
        <w:t>modus operandi</w:t>
      </w:r>
      <w:r w:rsidRPr="009A33BA">
        <w:rPr>
          <w:rFonts w:eastAsia="Batang"/>
          <w:kern w:val="22"/>
          <w:szCs w:val="22"/>
          <w:lang w:val="es-ES_tradnl" w:eastAsia="ko-KR"/>
        </w:rPr>
        <w:t xml:space="preserve"> para la aplicación del artículo 8 j) y disposiciones conexas, tales como, pero sin limitación:</w:t>
      </w:r>
    </w:p>
    <w:p w14:paraId="40C5507C"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 xml:space="preserve"> a)</w:t>
      </w:r>
      <w:r w:rsidRPr="009A33BA">
        <w:rPr>
          <w:rFonts w:eastAsia="Batang"/>
          <w:kern w:val="22"/>
          <w:szCs w:val="22"/>
          <w:lang w:val="es-ES_tradnl" w:eastAsia="ko-KR"/>
        </w:rPr>
        <w:tab/>
        <w:t>establecer un órgano subsidiario sobre el artículo 8 j) y disposiciones conexas con el mandato de brindar asesoramiento a la Conferencia de las Partes, otros órganos subsidiarios y, sujeto a su aprobación, la Conferencia de las Partes que actúa como reunión de las Partes en los respectivos Protocolos, sobre cuestiones que sean pertinentes para los pueblos indígenas y las comunidades locales y que estén comprendidas en el ámbito del Convenio;</w:t>
      </w:r>
    </w:p>
    <w:p w14:paraId="6CAD7033"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 xml:space="preserve"> b)</w:t>
      </w:r>
      <w:r w:rsidRPr="009A33BA">
        <w:rPr>
          <w:rFonts w:eastAsia="Batang"/>
          <w:kern w:val="22"/>
          <w:szCs w:val="22"/>
          <w:lang w:val="es-ES_tradnl" w:eastAsia="ko-KR"/>
        </w:rPr>
        <w:tab/>
        <w:t>mantener en funcionamiento al Grupo de Trabajo especial de composición abierta entre períodos de sesiones sobre el artículo 8 j) y disposiciones conexas con un mandato actualizado;</w:t>
      </w:r>
    </w:p>
    <w:p w14:paraId="54B6357C"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 xml:space="preserve"> c)</w:t>
      </w:r>
      <w:r w:rsidRPr="009A33BA">
        <w:rPr>
          <w:rFonts w:eastAsia="Batang"/>
          <w:kern w:val="22"/>
          <w:szCs w:val="22"/>
          <w:lang w:val="es-ES_tradnl" w:eastAsia="ko-KR"/>
        </w:rPr>
        <w:tab/>
        <w:t>aplicar los mecanismos de participación mejorados que utiliza el Grupo de Trabajo especial de composición abierta entre períodos de sesiones sobre el artículo 8 j) y disposiciones conexas para la participación de los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p>
    <w:p w14:paraId="6D2EB1AF" w14:textId="77777777" w:rsidR="00362664" w:rsidRPr="009A33BA" w:rsidRDefault="00362664" w:rsidP="00362664">
      <w:pPr>
        <w:spacing w:before="120" w:after="120"/>
        <w:ind w:firstLine="567"/>
        <w:rPr>
          <w:kern w:val="22"/>
          <w:szCs w:val="22"/>
          <w:lang w:val="es-ES_tradnl"/>
        </w:rPr>
      </w:pPr>
      <w:r w:rsidRPr="009A33BA">
        <w:rPr>
          <w:rFonts w:eastAsia="Batang"/>
          <w:kern w:val="22"/>
          <w:szCs w:val="22"/>
          <w:lang w:val="es-ES_tradnl" w:eastAsia="ko-KR"/>
        </w:rPr>
        <w:t>10.</w:t>
      </w:r>
      <w:r w:rsidRPr="009A33BA">
        <w:rPr>
          <w:rFonts w:eastAsia="Batang"/>
          <w:i/>
          <w:kern w:val="22"/>
          <w:szCs w:val="22"/>
          <w:lang w:val="es-ES_tradnl" w:eastAsia="ko-KR"/>
        </w:rPr>
        <w:tab/>
        <w:t>Pide</w:t>
      </w:r>
      <w:r w:rsidRPr="009A33BA">
        <w:rPr>
          <w:rFonts w:eastAsia="Batang"/>
          <w:kern w:val="22"/>
          <w:szCs w:val="22"/>
          <w:lang w:val="es-ES_tradnl" w:eastAsia="ko-KR"/>
        </w:rPr>
        <w:t xml:space="preserve"> a la Secretaria Ejecutiva que recopile y analice la información recibida con miras a proponer posibles elementos para un programa de trabajo plenamente integrado como parte del marco de la diversidad biológica posterior a 2020, así como posibles arreglos institucionales y sus </w:t>
      </w:r>
      <w:r w:rsidRPr="009A33BA">
        <w:rPr>
          <w:rFonts w:eastAsia="Batang"/>
          <w:i/>
          <w:kern w:val="22"/>
          <w:szCs w:val="22"/>
          <w:lang w:val="es-ES_tradnl" w:eastAsia="ko-KR"/>
        </w:rPr>
        <w:t>modus operandi</w:t>
      </w:r>
      <w:r w:rsidRPr="009A33BA">
        <w:rPr>
          <w:rFonts w:eastAsia="Batang"/>
          <w:kern w:val="22"/>
          <w:szCs w:val="22"/>
          <w:lang w:val="es-ES_tradnl" w:eastAsia="ko-KR"/>
        </w:rPr>
        <w:t xml:space="preserve"> para someterlos a la consideración del Grupo de Trabajo especial de composición abierta entre períodos de sesiones sobre el artículo </w:t>
      </w:r>
      <w:r w:rsidRPr="009A33BA">
        <w:rPr>
          <w:kern w:val="22"/>
          <w:szCs w:val="22"/>
          <w:lang w:val="es-ES_tradnl"/>
        </w:rPr>
        <w:t>8 j) y disposiciones conexas en su 11ª reunión;</w:t>
      </w:r>
    </w:p>
    <w:p w14:paraId="33636609" w14:textId="77777777" w:rsidR="00362664" w:rsidRPr="009A33BA" w:rsidRDefault="00362664" w:rsidP="00362664">
      <w:pPr>
        <w:spacing w:before="120" w:after="120"/>
        <w:ind w:firstLine="567"/>
        <w:rPr>
          <w:rFonts w:eastAsia="Batang"/>
          <w:kern w:val="22"/>
          <w:szCs w:val="22"/>
          <w:lang w:val="es-ES_tradnl" w:eastAsia="ko-KR"/>
        </w:rPr>
      </w:pPr>
      <w:r w:rsidRPr="009A33BA">
        <w:rPr>
          <w:rFonts w:eastAsia="Batang"/>
          <w:kern w:val="22"/>
          <w:szCs w:val="22"/>
          <w:lang w:val="es-ES_tradnl" w:eastAsia="ko-KR"/>
        </w:rPr>
        <w:t>11.</w:t>
      </w:r>
      <w:r w:rsidRPr="009A33BA">
        <w:rPr>
          <w:rFonts w:eastAsia="Batang"/>
          <w:i/>
          <w:kern w:val="22"/>
          <w:szCs w:val="22"/>
          <w:lang w:val="es-ES_tradnl" w:eastAsia="ko-KR"/>
        </w:rPr>
        <w:tab/>
        <w:t>Pide</w:t>
      </w:r>
      <w:r w:rsidRPr="009A33BA">
        <w:rPr>
          <w:rFonts w:eastAsia="Batang"/>
          <w:kern w:val="22"/>
          <w:szCs w:val="22"/>
          <w:lang w:val="es-ES_tradnl" w:eastAsia="ko-KR"/>
        </w:rPr>
        <w:t xml:space="preserve"> al Grupo de Trabajo especial de composición abierta entre períodos de sesiones sobre el artículo 8 j) y disposiciones conexas que en su 11ª reunión formule propuestas para la posible labor futura, incluidas propuestas para una segunda fase de trabajo del Plan de acción sobre utilización consuetudinaria sostenible, así como arreglos institucionales y sus </w:t>
      </w:r>
      <w:r w:rsidRPr="009A33BA">
        <w:rPr>
          <w:rFonts w:eastAsia="Batang"/>
          <w:i/>
          <w:kern w:val="22"/>
          <w:szCs w:val="22"/>
          <w:lang w:val="es-ES_tradnl" w:eastAsia="ko-KR"/>
        </w:rPr>
        <w:t>modus operandi</w:t>
      </w:r>
      <w:r w:rsidRPr="009A33BA">
        <w:rPr>
          <w:rFonts w:eastAsia="Batang"/>
          <w:kern w:val="22"/>
          <w:szCs w:val="22"/>
          <w:lang w:val="es-ES_tradnl" w:eastAsia="ko-KR"/>
        </w:rPr>
        <w:t xml:space="preserve"> para someterlos a consideración del Órgano Subsidiario sobre la Aplicación en su tercera reunión con el fin de brindar insumos para la elaboración de un programa de trabajo plenamente integrado como parte del marco de la diversidad biológica posterior a 2020 que tenga en cuenta los avances en otros foros y organizaciones internacionales pertinentes;</w:t>
      </w:r>
    </w:p>
    <w:p w14:paraId="074E2AA2" w14:textId="77777777" w:rsidR="00362664" w:rsidRPr="009A33BA" w:rsidRDefault="00362664" w:rsidP="00362664">
      <w:pPr>
        <w:spacing w:before="120" w:after="120"/>
        <w:ind w:firstLine="567"/>
        <w:rPr>
          <w:kern w:val="22"/>
          <w:szCs w:val="22"/>
          <w:lang w:val="es-ES_tradnl"/>
        </w:rPr>
      </w:pPr>
      <w:r w:rsidRPr="009A33BA">
        <w:rPr>
          <w:kern w:val="22"/>
          <w:szCs w:val="22"/>
          <w:lang w:val="es-ES_tradnl"/>
        </w:rPr>
        <w:t>12</w:t>
      </w:r>
      <w:r w:rsidRPr="009A33BA">
        <w:rPr>
          <w:i/>
          <w:kern w:val="22"/>
          <w:szCs w:val="22"/>
          <w:lang w:val="es-ES_tradnl"/>
        </w:rPr>
        <w:t>.</w:t>
      </w:r>
      <w:r w:rsidRPr="009A33BA">
        <w:rPr>
          <w:i/>
          <w:kern w:val="22"/>
          <w:szCs w:val="22"/>
          <w:lang w:val="es-ES_tradnl"/>
        </w:rPr>
        <w:tab/>
        <w:t>Pide</w:t>
      </w:r>
      <w:r w:rsidRPr="009A33BA">
        <w:rPr>
          <w:kern w:val="22"/>
          <w:szCs w:val="22"/>
          <w:lang w:val="es-ES_tradnl"/>
        </w:rPr>
        <w:t xml:space="preserve"> a la Secretaria Ejecutiva que, sujeto a la disponibilidad de recursos, amplíe la asistencia adecuada que permita a los representantes de los pueblos indígenas y las comunidades locales participar efectivamente en las deliberaciones y procesos más amplios en el marco del Convenio, incluido mediante consultas regionales, que determinarán el marco de la diversidad biológica posterior a 2020, con el fin de facilitar la integración de todo futuro trabajo sobre el artículo 8 j) y disposiciones conexas en la labor del Convenio.</w:t>
      </w:r>
    </w:p>
    <w:p w14:paraId="4742E525" w14:textId="5F221D30" w:rsidR="002D4BEE" w:rsidRPr="009A33BA" w:rsidRDefault="002D4BEE" w:rsidP="002D4BEE">
      <w:pPr>
        <w:rPr>
          <w:kern w:val="22"/>
          <w:lang w:val="es-ES_tradnl"/>
        </w:rPr>
      </w:pPr>
    </w:p>
    <w:p w14:paraId="3AC695ED" w14:textId="6F72769E" w:rsidR="003D7AED" w:rsidRPr="009A33BA" w:rsidRDefault="003D7AED" w:rsidP="002D4BEE">
      <w:pPr>
        <w:rPr>
          <w:kern w:val="22"/>
          <w:lang w:val="es-ES_tradnl"/>
        </w:rPr>
      </w:pPr>
    </w:p>
    <w:p w14:paraId="153D7D38" w14:textId="72F97D85" w:rsidR="003D7AED" w:rsidRPr="009A33BA" w:rsidRDefault="003D7AED" w:rsidP="002D4BEE">
      <w:pPr>
        <w:rPr>
          <w:kern w:val="22"/>
          <w:lang w:val="es-ES_tradnl"/>
        </w:rPr>
      </w:pPr>
    </w:p>
    <w:p w14:paraId="68514FA6" w14:textId="77777777" w:rsidR="003D7AED" w:rsidRPr="009A33BA" w:rsidRDefault="003D7AED" w:rsidP="002D4BEE">
      <w:pPr>
        <w:rPr>
          <w:kern w:val="22"/>
          <w:lang w:val="es-ES_tradnl"/>
        </w:rPr>
      </w:pPr>
    </w:p>
    <w:p w14:paraId="6C5D87BE" w14:textId="66BD8DC3" w:rsidR="00293BED" w:rsidRPr="009A33BA" w:rsidRDefault="00293BED" w:rsidP="003B35C7">
      <w:pPr>
        <w:jc w:val="center"/>
        <w:rPr>
          <w:i/>
          <w:kern w:val="22"/>
          <w:lang w:val="es-ES_tradnl"/>
        </w:rPr>
      </w:pPr>
      <w:r w:rsidRPr="009A33BA">
        <w:rPr>
          <w:i/>
          <w:kern w:val="22"/>
          <w:lang w:val="es-ES_tradnl"/>
        </w:rPr>
        <w:t>Anex</w:t>
      </w:r>
      <w:r w:rsidR="00490384" w:rsidRPr="009A33BA">
        <w:rPr>
          <w:i/>
          <w:kern w:val="22"/>
          <w:lang w:val="es-ES_tradnl"/>
        </w:rPr>
        <w:t>o</w:t>
      </w:r>
      <w:r w:rsidRPr="009A33BA">
        <w:rPr>
          <w:i/>
          <w:kern w:val="22"/>
          <w:lang w:val="es-ES_tradnl"/>
        </w:rPr>
        <w:t xml:space="preserve"> I</w:t>
      </w:r>
    </w:p>
    <w:p w14:paraId="5B2D72EA" w14:textId="65D8DF25" w:rsidR="00293BED" w:rsidRPr="009A33BA" w:rsidRDefault="00490384" w:rsidP="00293BED">
      <w:pPr>
        <w:pStyle w:val="Para1"/>
        <w:numPr>
          <w:ilvl w:val="0"/>
          <w:numId w:val="0"/>
        </w:numPr>
        <w:jc w:val="center"/>
        <w:rPr>
          <w:i/>
          <w:kern w:val="22"/>
          <w:szCs w:val="22"/>
          <w:lang w:val="es-ES_tradnl"/>
        </w:rPr>
      </w:pPr>
      <w:r w:rsidRPr="009A33BA">
        <w:rPr>
          <w:b/>
          <w:kern w:val="22"/>
          <w:lang w:val="es-ES_tradnl"/>
        </w:rPr>
        <w:t>HOJA DE RUTA</w:t>
      </w:r>
    </w:p>
    <w:p w14:paraId="416DF563" w14:textId="18E311A9" w:rsidR="000632C8" w:rsidRPr="009A33BA" w:rsidRDefault="000632C8" w:rsidP="003D7AED">
      <w:pPr>
        <w:pStyle w:val="Para1"/>
        <w:numPr>
          <w:ilvl w:val="0"/>
          <w:numId w:val="0"/>
        </w:numPr>
        <w:ind w:firstLine="720"/>
        <w:rPr>
          <w:rFonts w:eastAsia="MS Mincho"/>
          <w:kern w:val="22"/>
          <w:lang w:val="es-ES_tradnl"/>
        </w:rPr>
      </w:pPr>
      <w:r w:rsidRPr="009A33BA">
        <w:rPr>
          <w:kern w:val="22"/>
          <w:lang w:val="es-ES_tradnl"/>
        </w:rPr>
        <w:t xml:space="preserve">Tomando como base las peticiones formuladas en la décima reunión del Grupo de Trabajo especial de composición abierta sobre entre sesiones sobre el artículo </w:t>
      </w:r>
      <w:r w:rsidR="00293BED" w:rsidRPr="009A33BA">
        <w:rPr>
          <w:kern w:val="22"/>
          <w:lang w:val="es-ES_tradnl"/>
        </w:rPr>
        <w:t>8</w:t>
      </w:r>
      <w:r w:rsidRPr="009A33BA">
        <w:rPr>
          <w:kern w:val="22"/>
          <w:lang w:val="es-ES_tradnl"/>
        </w:rPr>
        <w:t> </w:t>
      </w:r>
      <w:r w:rsidR="00293BED" w:rsidRPr="009A33BA">
        <w:rPr>
          <w:kern w:val="22"/>
          <w:lang w:val="es-ES_tradnl"/>
        </w:rPr>
        <w:t xml:space="preserve">j) </w:t>
      </w:r>
      <w:r w:rsidRPr="009A33BA">
        <w:rPr>
          <w:kern w:val="22"/>
          <w:lang w:val="es-ES_tradnl"/>
        </w:rPr>
        <w:t xml:space="preserve">en la recomendación </w:t>
      </w:r>
      <w:r w:rsidR="00293BED" w:rsidRPr="009A33BA">
        <w:rPr>
          <w:kern w:val="22"/>
          <w:lang w:val="es-ES_tradnl"/>
        </w:rPr>
        <w:t xml:space="preserve">10/3, </w:t>
      </w:r>
      <w:r w:rsidRPr="009A33BA">
        <w:rPr>
          <w:kern w:val="22"/>
          <w:lang w:val="es-ES_tradnl"/>
        </w:rPr>
        <w:t>la Secretaría Ejecutiva ha establ</w:t>
      </w:r>
      <w:r w:rsidR="000D1102" w:rsidRPr="009A33BA">
        <w:rPr>
          <w:kern w:val="22"/>
          <w:lang w:val="es-ES_tradnl"/>
        </w:rPr>
        <w:t>e</w:t>
      </w:r>
      <w:r w:rsidRPr="009A33BA">
        <w:rPr>
          <w:kern w:val="22"/>
          <w:lang w:val="es-ES_tradnl"/>
        </w:rPr>
        <w:t xml:space="preserve">cido la siguiente hoja de ruta </w:t>
      </w:r>
      <w:r w:rsidR="00644A1D" w:rsidRPr="009A33BA">
        <w:rPr>
          <w:kern w:val="22"/>
          <w:lang w:val="es-ES_tradnl"/>
        </w:rPr>
        <w:t xml:space="preserve">para que las </w:t>
      </w:r>
      <w:r w:rsidRPr="009A33BA">
        <w:rPr>
          <w:kern w:val="22"/>
          <w:lang w:val="es-ES_tradnl"/>
        </w:rPr>
        <w:t xml:space="preserve">Partes, con la participación </w:t>
      </w:r>
      <w:r w:rsidR="000D1102" w:rsidRPr="009A33BA">
        <w:rPr>
          <w:kern w:val="22"/>
          <w:lang w:val="es-ES_tradnl"/>
        </w:rPr>
        <w:t xml:space="preserve">efectiva de </w:t>
      </w:r>
      <w:r w:rsidR="00053F89" w:rsidRPr="009A33BA">
        <w:rPr>
          <w:kern w:val="22"/>
          <w:lang w:val="es-ES_tradnl"/>
        </w:rPr>
        <w:t>pueblos indígenas y comunidades locales</w:t>
      </w:r>
      <w:r w:rsidR="00293BED" w:rsidRPr="009A33BA">
        <w:rPr>
          <w:kern w:val="22"/>
          <w:lang w:val="es-ES_tradnl"/>
        </w:rPr>
        <w:t xml:space="preserve">, </w:t>
      </w:r>
      <w:r w:rsidR="000D1102" w:rsidRPr="009A33BA">
        <w:rPr>
          <w:kern w:val="22"/>
          <w:lang w:val="es-ES_tradnl"/>
        </w:rPr>
        <w:t>para que tengan toda las información necesaria ante ellos</w:t>
      </w:r>
      <w:r w:rsidR="00293BED" w:rsidRPr="009A33BA">
        <w:rPr>
          <w:kern w:val="22"/>
          <w:lang w:val="es-ES_tradnl"/>
        </w:rPr>
        <w:t xml:space="preserve">, </w:t>
      </w:r>
      <w:r w:rsidR="000D1102" w:rsidRPr="009A33BA">
        <w:rPr>
          <w:kern w:val="22"/>
          <w:lang w:val="es-ES_tradnl"/>
        </w:rPr>
        <w:t xml:space="preserve">adopten una decisión fundamentada sobre </w:t>
      </w:r>
      <w:r w:rsidR="000D1102" w:rsidRPr="009A33BA">
        <w:rPr>
          <w:bCs/>
          <w:kern w:val="22"/>
          <w:lang w:val="es-ES_tradnl"/>
        </w:rPr>
        <w:t>formas e instrumentos para lograr la plena integración del artículo 8 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w:t>
      </w:r>
      <w:r w:rsidR="00293BED" w:rsidRPr="009A33BA">
        <w:rPr>
          <w:bCs/>
          <w:kern w:val="22"/>
          <w:lang w:val="es-ES_tradnl"/>
        </w:rPr>
        <w:t xml:space="preserve">, </w:t>
      </w:r>
      <w:r w:rsidR="000D1102" w:rsidRPr="009A33BA">
        <w:rPr>
          <w:bCs/>
          <w:kern w:val="22"/>
          <w:lang w:val="es-ES_tradnl"/>
        </w:rPr>
        <w:t xml:space="preserve">antes de la </w:t>
      </w:r>
      <w:r w:rsidR="00A84469" w:rsidRPr="009A33BA">
        <w:rPr>
          <w:bCs/>
          <w:kern w:val="22"/>
          <w:lang w:val="es-ES_tradnl"/>
        </w:rPr>
        <w:t>decimoquinta reunión de la</w:t>
      </w:r>
      <w:r w:rsidR="00293BED" w:rsidRPr="009A33BA">
        <w:rPr>
          <w:bCs/>
          <w:kern w:val="22"/>
          <w:lang w:val="es-ES_tradnl"/>
        </w:rPr>
        <w:t xml:space="preserve"> </w:t>
      </w:r>
      <w:r w:rsidR="00053F89" w:rsidRPr="009A33BA">
        <w:rPr>
          <w:bCs/>
          <w:kern w:val="22"/>
          <w:lang w:val="es-ES_tradnl"/>
        </w:rPr>
        <w:t>Conferencia de las Partes</w:t>
      </w:r>
      <w:r w:rsidR="00293BED" w:rsidRPr="009A33BA">
        <w:rPr>
          <w:kern w:val="22"/>
          <w:lang w:val="es-ES_tradnl"/>
        </w:rPr>
        <w:t xml:space="preserve">. </w:t>
      </w:r>
    </w:p>
    <w:p w14:paraId="799E749D" w14:textId="255B8B88" w:rsidR="00293BED" w:rsidRPr="009A33BA" w:rsidRDefault="00293BED" w:rsidP="00FB38DC">
      <w:pPr>
        <w:spacing w:after="120"/>
        <w:rPr>
          <w:kern w:val="22"/>
          <w:lang w:val="es-ES_tradn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59"/>
      </w:tblGrid>
      <w:tr w:rsidR="003372D4" w:rsidRPr="00F80FBA" w14:paraId="79D4018D" w14:textId="77777777" w:rsidTr="00FB38DC">
        <w:tc>
          <w:tcPr>
            <w:tcW w:w="4881" w:type="dxa"/>
            <w:shd w:val="clear" w:color="auto" w:fill="auto"/>
          </w:tcPr>
          <w:p w14:paraId="4EECA3AB" w14:textId="7D92D655" w:rsidR="00293BED" w:rsidRPr="009A33BA" w:rsidRDefault="00053F89" w:rsidP="00FB38DC">
            <w:pPr>
              <w:spacing w:before="120" w:after="120"/>
              <w:rPr>
                <w:b/>
                <w:kern w:val="22"/>
                <w:lang w:val="es-ES_tradnl"/>
              </w:rPr>
            </w:pPr>
            <w:r w:rsidRPr="009A33BA">
              <w:rPr>
                <w:b/>
                <w:kern w:val="22"/>
                <w:lang w:val="es-ES_tradnl"/>
              </w:rPr>
              <w:t xml:space="preserve">Foro y documentación </w:t>
            </w:r>
          </w:p>
        </w:tc>
        <w:tc>
          <w:tcPr>
            <w:tcW w:w="4759" w:type="dxa"/>
            <w:shd w:val="clear" w:color="auto" w:fill="auto"/>
          </w:tcPr>
          <w:p w14:paraId="674FC20B" w14:textId="60D7BFCC" w:rsidR="00293BED" w:rsidRPr="009A33BA" w:rsidRDefault="0077437C" w:rsidP="00E97CF5">
            <w:pPr>
              <w:spacing w:before="120" w:after="120"/>
              <w:rPr>
                <w:b/>
                <w:kern w:val="22"/>
                <w:lang w:val="es-ES_tradnl"/>
              </w:rPr>
            </w:pPr>
            <w:r w:rsidRPr="009A33BA">
              <w:rPr>
                <w:b/>
                <w:kern w:val="22"/>
                <w:lang w:val="es-ES_tradnl"/>
              </w:rPr>
              <w:t>Texto pertinente de la r</w:t>
            </w:r>
            <w:r w:rsidR="00293BED" w:rsidRPr="009A33BA">
              <w:rPr>
                <w:b/>
                <w:kern w:val="22"/>
                <w:lang w:val="es-ES_tradnl"/>
              </w:rPr>
              <w:t>ecom</w:t>
            </w:r>
            <w:r w:rsidR="00053F89" w:rsidRPr="009A33BA">
              <w:rPr>
                <w:b/>
                <w:kern w:val="22"/>
                <w:lang w:val="es-ES_tradnl"/>
              </w:rPr>
              <w:t>endación</w:t>
            </w:r>
            <w:r w:rsidR="00293BED" w:rsidRPr="009A33BA">
              <w:rPr>
                <w:b/>
                <w:kern w:val="22"/>
                <w:lang w:val="es-ES_tradnl"/>
              </w:rPr>
              <w:t xml:space="preserve"> 10/3</w:t>
            </w:r>
            <w:r w:rsidRPr="009A33BA">
              <w:rPr>
                <w:b/>
                <w:kern w:val="22"/>
                <w:lang w:val="es-ES_tradnl"/>
              </w:rPr>
              <w:t xml:space="preserve"> del Grupo de Trabajo sobre el artículo 8 j)</w:t>
            </w:r>
          </w:p>
        </w:tc>
      </w:tr>
      <w:tr w:rsidR="003372D4" w:rsidRPr="00F80FBA" w14:paraId="0121FF34" w14:textId="77777777" w:rsidTr="00FB38DC">
        <w:tc>
          <w:tcPr>
            <w:tcW w:w="4881" w:type="dxa"/>
            <w:shd w:val="clear" w:color="auto" w:fill="auto"/>
          </w:tcPr>
          <w:p w14:paraId="30F44F2A" w14:textId="77777777" w:rsidR="0077437C" w:rsidRPr="009A33BA" w:rsidRDefault="0077437C" w:rsidP="00FB38DC">
            <w:pPr>
              <w:jc w:val="left"/>
              <w:rPr>
                <w:b/>
                <w:kern w:val="22"/>
                <w:lang w:val="es-ES_tradnl"/>
              </w:rPr>
            </w:pPr>
            <w:r w:rsidRPr="009A33BA">
              <w:rPr>
                <w:b/>
                <w:kern w:val="22"/>
                <w:lang w:val="es-ES_tradnl"/>
              </w:rPr>
              <w:t>Órgano Subsidiario sobre la Aplicación</w:t>
            </w:r>
          </w:p>
          <w:p w14:paraId="554C6B18" w14:textId="3790954C" w:rsidR="00293BED" w:rsidRPr="009A33BA" w:rsidRDefault="0077437C" w:rsidP="00FB38DC">
            <w:pPr>
              <w:jc w:val="left"/>
              <w:rPr>
                <w:b/>
                <w:kern w:val="22"/>
                <w:lang w:val="es-ES_tradnl"/>
              </w:rPr>
            </w:pPr>
            <w:r w:rsidRPr="009A33BA">
              <w:rPr>
                <w:b/>
                <w:kern w:val="22"/>
                <w:lang w:val="es-ES_tradnl"/>
              </w:rPr>
              <w:t xml:space="preserve">Segunda reunión </w:t>
            </w:r>
          </w:p>
          <w:p w14:paraId="6FB54EB5" w14:textId="1AF81235" w:rsidR="00293BED" w:rsidRPr="009A33BA" w:rsidRDefault="00293BED" w:rsidP="00FB38DC">
            <w:pPr>
              <w:jc w:val="left"/>
              <w:rPr>
                <w:b/>
                <w:kern w:val="22"/>
                <w:lang w:val="es-ES_tradnl"/>
              </w:rPr>
            </w:pPr>
            <w:r w:rsidRPr="009A33BA">
              <w:rPr>
                <w:b/>
                <w:kern w:val="22"/>
                <w:lang w:val="es-ES_tradnl"/>
              </w:rPr>
              <w:t>Ju</w:t>
            </w:r>
            <w:r w:rsidR="00053F89" w:rsidRPr="009A33BA">
              <w:rPr>
                <w:b/>
                <w:kern w:val="22"/>
                <w:lang w:val="es-ES_tradnl"/>
              </w:rPr>
              <w:t xml:space="preserve">lio de </w:t>
            </w:r>
            <w:r w:rsidRPr="009A33BA">
              <w:rPr>
                <w:b/>
                <w:kern w:val="22"/>
                <w:lang w:val="es-ES_tradnl"/>
              </w:rPr>
              <w:t>201</w:t>
            </w:r>
            <w:r w:rsidR="00740FA0" w:rsidRPr="009A33BA">
              <w:rPr>
                <w:b/>
                <w:kern w:val="22"/>
                <w:lang w:val="es-ES_tradnl"/>
              </w:rPr>
              <w:t>8</w:t>
            </w:r>
          </w:p>
          <w:p w14:paraId="1999718A" w14:textId="727823CB" w:rsidR="00293BED" w:rsidRPr="009A33BA" w:rsidRDefault="00053F89" w:rsidP="00FB38DC">
            <w:pPr>
              <w:spacing w:before="120" w:after="120"/>
              <w:jc w:val="left"/>
              <w:rPr>
                <w:kern w:val="22"/>
                <w:u w:val="single"/>
                <w:lang w:val="es-ES_tradnl"/>
              </w:rPr>
            </w:pPr>
            <w:r w:rsidRPr="009A33BA">
              <w:rPr>
                <w:kern w:val="22"/>
                <w:u w:val="single"/>
                <w:lang w:val="es-ES_tradnl"/>
              </w:rPr>
              <w:t>Documento oficial</w:t>
            </w:r>
          </w:p>
          <w:p w14:paraId="2CAC756C" w14:textId="434E9DF8" w:rsidR="00293BED" w:rsidRPr="009A33BA" w:rsidRDefault="004445F0" w:rsidP="00FB38DC">
            <w:pPr>
              <w:spacing w:before="120" w:after="120"/>
              <w:jc w:val="left"/>
              <w:rPr>
                <w:kern w:val="22"/>
                <w:lang w:val="es-ES_tradnl"/>
              </w:rPr>
            </w:pPr>
            <w:r w:rsidRPr="009A33BA">
              <w:rPr>
                <w:kern w:val="22"/>
                <w:lang w:val="es-ES_tradnl"/>
              </w:rPr>
              <w:t xml:space="preserve">La integración del artículo </w:t>
            </w:r>
            <w:r w:rsidR="00293BED" w:rsidRPr="009A33BA">
              <w:rPr>
                <w:kern w:val="22"/>
                <w:lang w:val="es-ES_tradnl"/>
              </w:rPr>
              <w:t>8</w:t>
            </w:r>
            <w:r w:rsidRPr="009A33BA">
              <w:rPr>
                <w:kern w:val="22"/>
                <w:lang w:val="es-ES_tradnl"/>
              </w:rPr>
              <w:t xml:space="preserve"> j</w:t>
            </w:r>
            <w:r w:rsidR="00293BED" w:rsidRPr="009A33BA">
              <w:rPr>
                <w:kern w:val="22"/>
                <w:lang w:val="es-ES_tradnl"/>
              </w:rPr>
              <w:t xml:space="preserve">) </w:t>
            </w:r>
            <w:r w:rsidRPr="009A33BA">
              <w:rPr>
                <w:kern w:val="22"/>
                <w:lang w:val="es-ES_tradnl"/>
              </w:rPr>
              <w:t>y disposiciones relacionadas con los</w:t>
            </w:r>
            <w:r w:rsidR="0077437C" w:rsidRPr="009A33BA">
              <w:rPr>
                <w:kern w:val="22"/>
                <w:lang w:val="es-ES_tradnl"/>
              </w:rPr>
              <w:t xml:space="preserve"> pueblos indígenas y las comunidades locales en</w:t>
            </w:r>
            <w:r w:rsidRPr="009A33BA">
              <w:rPr>
                <w:kern w:val="22"/>
                <w:lang w:val="es-ES_tradnl"/>
              </w:rPr>
              <w:t xml:space="preserve"> la labor del Convenio y sus Protocolos </w:t>
            </w:r>
            <w:r w:rsidR="00293BED" w:rsidRPr="009A33BA">
              <w:rPr>
                <w:kern w:val="22"/>
                <w:lang w:val="es-ES_tradnl"/>
              </w:rPr>
              <w:t>(</w:t>
            </w:r>
            <w:r w:rsidRPr="009A33BA">
              <w:rPr>
                <w:kern w:val="22"/>
                <w:szCs w:val="22"/>
                <w:lang w:val="es-ES_tradnl"/>
              </w:rPr>
              <w:t>un análisis preliminar de los arreglos institucionales existentes y los que pudieran concertarse en el futuro y las experiencias y lecciones aprendidas de otras organizaciones y convenciones intergubernamentales conexas</w:t>
            </w:r>
            <w:r w:rsidR="00293BED" w:rsidRPr="009A33BA">
              <w:rPr>
                <w:kern w:val="22"/>
                <w:lang w:val="es-ES_tradnl"/>
              </w:rPr>
              <w:t>) CBD/SBI/2/</w:t>
            </w:r>
            <w:r w:rsidR="009C777F" w:rsidRPr="009A33BA">
              <w:rPr>
                <w:kern w:val="22"/>
                <w:lang w:val="es-ES_tradnl"/>
              </w:rPr>
              <w:t>21</w:t>
            </w:r>
          </w:p>
        </w:tc>
        <w:tc>
          <w:tcPr>
            <w:tcW w:w="4759" w:type="dxa"/>
            <w:shd w:val="clear" w:color="auto" w:fill="auto"/>
          </w:tcPr>
          <w:p w14:paraId="739270BB" w14:textId="418E7613" w:rsidR="00E17817" w:rsidRPr="009A33BA" w:rsidRDefault="00293BED" w:rsidP="00E17817">
            <w:pPr>
              <w:spacing w:before="120" w:after="120"/>
              <w:jc w:val="left"/>
              <w:rPr>
                <w:kern w:val="22"/>
                <w:szCs w:val="22"/>
                <w:lang w:val="es-ES_tradnl"/>
              </w:rPr>
            </w:pPr>
            <w:r w:rsidRPr="009A33BA">
              <w:rPr>
                <w:kern w:val="22"/>
                <w:lang w:val="es-ES_tradnl"/>
              </w:rPr>
              <w:t xml:space="preserve">1. </w:t>
            </w:r>
            <w:r w:rsidR="00E17817" w:rsidRPr="009A33BA">
              <w:rPr>
                <w:i/>
                <w:kern w:val="22"/>
                <w:szCs w:val="22"/>
                <w:lang w:val="es-ES_tradnl"/>
              </w:rPr>
              <w:t>Pide</w:t>
            </w:r>
            <w:r w:rsidR="00E17817" w:rsidRPr="009A33BA">
              <w:rPr>
                <w:kern w:val="22"/>
                <w:szCs w:val="22"/>
                <w:lang w:val="es-ES_tradnl"/>
              </w:rPr>
              <w:t xml:space="preserve"> a la Secretaria Ejecutiva que ponga a disposición del Órgano Subsidiario sobre la Aplicación en su segunda reunión:</w:t>
            </w:r>
          </w:p>
          <w:p w14:paraId="7502A957" w14:textId="6A44B0A1" w:rsidR="00293BED" w:rsidRPr="009A33BA" w:rsidRDefault="00293BED" w:rsidP="00FB38DC">
            <w:pPr>
              <w:spacing w:before="120" w:after="120"/>
              <w:jc w:val="left"/>
              <w:rPr>
                <w:kern w:val="22"/>
                <w:lang w:val="es-ES_tradnl"/>
              </w:rPr>
            </w:pPr>
            <w:r w:rsidRPr="009A33BA">
              <w:rPr>
                <w:kern w:val="22"/>
                <w:lang w:val="es-ES_tradnl"/>
              </w:rPr>
              <w:t>a)</w:t>
            </w:r>
            <w:r w:rsidR="002371C3" w:rsidRPr="009A33BA">
              <w:rPr>
                <w:kern w:val="22"/>
                <w:lang w:val="es-ES_tradnl"/>
              </w:rPr>
              <w:t xml:space="preserve"> </w:t>
            </w:r>
            <w:r w:rsidR="00E17817" w:rsidRPr="009A33BA">
              <w:rPr>
                <w:kern w:val="22"/>
                <w:szCs w:val="22"/>
                <w:lang w:val="es-ES_tradnl"/>
              </w:rPr>
              <w:t>un análisis preliminar de los arreglos institucionales existentes y los que pudieran concertarse en el futuro preparado por el Grupo de Trabajo especial de composición abierta entre períodos de sesiones sobre el artículo 8 j) y disposiciones conexas, incluidas las repercusiones financieras y de gobernanza que pudieran tener</w:t>
            </w:r>
            <w:r w:rsidRPr="009A33BA">
              <w:rPr>
                <w:kern w:val="22"/>
                <w:lang w:val="es-ES_tradnl"/>
              </w:rPr>
              <w:t>;</w:t>
            </w:r>
          </w:p>
          <w:p w14:paraId="47E5FE6C" w14:textId="7064F919" w:rsidR="00B43615" w:rsidRPr="009A33BA" w:rsidRDefault="00293BED" w:rsidP="00FB38DC">
            <w:pPr>
              <w:spacing w:before="120" w:after="120"/>
              <w:jc w:val="left"/>
              <w:rPr>
                <w:kern w:val="22"/>
                <w:lang w:val="es-ES_tradnl"/>
              </w:rPr>
            </w:pPr>
            <w:r w:rsidRPr="009A33BA">
              <w:rPr>
                <w:kern w:val="22"/>
                <w:lang w:val="es-ES_tradnl"/>
              </w:rPr>
              <w:t xml:space="preserve">b) </w:t>
            </w:r>
            <w:r w:rsidR="00B43615" w:rsidRPr="009A33BA">
              <w:rPr>
                <w:kern w:val="22"/>
                <w:szCs w:val="22"/>
                <w:lang w:val="es-ES_tradnl"/>
              </w:rPr>
              <w:t>experiencias y lecciones aprendidas de otras organizaciones intergubernamentales y convenciones relacionadas;</w:t>
            </w:r>
          </w:p>
          <w:p w14:paraId="39D37AFD" w14:textId="3CFE291F" w:rsidR="00293BED" w:rsidRPr="009A33BA" w:rsidRDefault="00293BED" w:rsidP="00FB38DC">
            <w:pPr>
              <w:spacing w:before="120" w:after="120"/>
              <w:jc w:val="left"/>
              <w:rPr>
                <w:kern w:val="22"/>
                <w:lang w:val="es-ES_tradnl"/>
              </w:rPr>
            </w:pPr>
            <w:r w:rsidRPr="009A33BA">
              <w:rPr>
                <w:rFonts w:eastAsia="MS Mincho"/>
                <w:kern w:val="22"/>
                <w:lang w:val="es-ES_tradnl"/>
              </w:rPr>
              <w:t>4.</w:t>
            </w:r>
            <w:r w:rsidR="00200A98" w:rsidRPr="009A33BA">
              <w:rPr>
                <w:rFonts w:eastAsia="MS Mincho"/>
                <w:kern w:val="22"/>
                <w:lang w:val="es-ES_tradnl"/>
              </w:rPr>
              <w:t xml:space="preserve"> </w:t>
            </w:r>
            <w:r w:rsidR="00B43615" w:rsidRPr="009A33BA">
              <w:rPr>
                <w:rFonts w:eastAsia="MS Mincho"/>
                <w:i/>
                <w:kern w:val="22"/>
                <w:szCs w:val="22"/>
                <w:lang w:val="es-ES_tradnl"/>
              </w:rPr>
              <w:t>Invita</w:t>
            </w:r>
            <w:r w:rsidR="00B43615" w:rsidRPr="009A33BA">
              <w:rPr>
                <w:rFonts w:eastAsia="MS Mincho"/>
                <w:kern w:val="22"/>
                <w:szCs w:val="22"/>
                <w:lang w:val="es-ES_tradnl"/>
              </w:rPr>
              <w:t xml:space="preserve"> al Órgano Subsidiario sobre la Aplicación a que, en su segunda reunión, considere los siguientes elementos de un proyecto de decisión para la Conferencia de las Partes en su 14ª reunión</w:t>
            </w:r>
            <w:r w:rsidR="0077437C" w:rsidRPr="009A33BA">
              <w:rPr>
                <w:rStyle w:val="FootnoteReference"/>
                <w:rFonts w:eastAsia="MS Mincho"/>
                <w:snapToGrid w:val="0"/>
                <w:kern w:val="22"/>
                <w:lang w:val="es-ES_tradnl"/>
              </w:rPr>
              <w:footnoteReference w:id="35"/>
            </w:r>
            <w:r w:rsidR="00B43615" w:rsidRPr="009A33BA">
              <w:rPr>
                <w:rFonts w:eastAsia="MS Mincho"/>
                <w:kern w:val="22"/>
                <w:szCs w:val="22"/>
                <w:lang w:val="es-ES_tradnl"/>
              </w:rPr>
              <w:t>;</w:t>
            </w:r>
          </w:p>
        </w:tc>
      </w:tr>
      <w:tr w:rsidR="003372D4" w:rsidRPr="00F80FBA" w14:paraId="533368D4" w14:textId="77777777" w:rsidTr="00FB38DC">
        <w:tc>
          <w:tcPr>
            <w:tcW w:w="4881" w:type="dxa"/>
            <w:shd w:val="clear" w:color="auto" w:fill="auto"/>
          </w:tcPr>
          <w:p w14:paraId="1CFF0200" w14:textId="77777777" w:rsidR="0077437C" w:rsidRPr="009A33BA" w:rsidRDefault="00293BED" w:rsidP="00E97CF5">
            <w:pPr>
              <w:rPr>
                <w:b/>
                <w:kern w:val="22"/>
                <w:lang w:val="es-ES_tradnl"/>
              </w:rPr>
            </w:pPr>
            <w:r w:rsidRPr="009A33BA">
              <w:rPr>
                <w:b/>
                <w:kern w:val="22"/>
                <w:lang w:val="es-ES_tradnl"/>
              </w:rPr>
              <w:t>C</w:t>
            </w:r>
            <w:r w:rsidR="0077437C" w:rsidRPr="009A33BA">
              <w:rPr>
                <w:b/>
                <w:kern w:val="22"/>
                <w:lang w:val="es-ES_tradnl"/>
              </w:rPr>
              <w:t xml:space="preserve">onferencia de las Partes </w:t>
            </w:r>
          </w:p>
          <w:p w14:paraId="1048165B" w14:textId="08B0E673" w:rsidR="00293BED" w:rsidRPr="009A33BA" w:rsidRDefault="0077437C" w:rsidP="00E97CF5">
            <w:pPr>
              <w:rPr>
                <w:b/>
                <w:kern w:val="22"/>
                <w:lang w:val="es-ES_tradnl"/>
              </w:rPr>
            </w:pPr>
            <w:r w:rsidRPr="009A33BA">
              <w:rPr>
                <w:b/>
                <w:kern w:val="22"/>
                <w:lang w:val="es-ES_tradnl"/>
              </w:rPr>
              <w:t>Decimocuarta reunión</w:t>
            </w:r>
          </w:p>
          <w:p w14:paraId="388E57D5" w14:textId="6F3AFE09" w:rsidR="00293BED" w:rsidRPr="009A33BA" w:rsidRDefault="00293BED" w:rsidP="00E97CF5">
            <w:pPr>
              <w:rPr>
                <w:b/>
                <w:kern w:val="22"/>
                <w:lang w:val="es-ES_tradnl"/>
              </w:rPr>
            </w:pPr>
            <w:r w:rsidRPr="009A33BA">
              <w:rPr>
                <w:b/>
                <w:kern w:val="22"/>
                <w:lang w:val="es-ES_tradnl"/>
              </w:rPr>
              <w:t>Nov</w:t>
            </w:r>
            <w:r w:rsidR="00053F89" w:rsidRPr="009A33BA">
              <w:rPr>
                <w:b/>
                <w:kern w:val="22"/>
                <w:lang w:val="es-ES_tradnl"/>
              </w:rPr>
              <w:t>iembre de</w:t>
            </w:r>
            <w:r w:rsidRPr="009A33BA">
              <w:rPr>
                <w:b/>
                <w:kern w:val="22"/>
                <w:lang w:val="es-ES_tradnl"/>
              </w:rPr>
              <w:t xml:space="preserve"> 2018</w:t>
            </w:r>
          </w:p>
          <w:p w14:paraId="47CC6341" w14:textId="333EC779" w:rsidR="00293BED" w:rsidRPr="009A33BA" w:rsidRDefault="00053F89" w:rsidP="00FB38DC">
            <w:pPr>
              <w:spacing w:before="120" w:after="120"/>
              <w:rPr>
                <w:kern w:val="22"/>
                <w:u w:val="single"/>
                <w:lang w:val="es-ES_tradnl"/>
              </w:rPr>
            </w:pPr>
            <w:r w:rsidRPr="009A33BA">
              <w:rPr>
                <w:kern w:val="22"/>
                <w:u w:val="single"/>
                <w:lang w:val="es-ES_tradnl"/>
              </w:rPr>
              <w:t>Documento oficial</w:t>
            </w:r>
          </w:p>
          <w:p w14:paraId="070880BF" w14:textId="0D25FB50" w:rsidR="00293BED" w:rsidRPr="009A33BA" w:rsidRDefault="00B76764" w:rsidP="00FB38DC">
            <w:pPr>
              <w:spacing w:before="120" w:after="120"/>
              <w:rPr>
                <w:kern w:val="22"/>
                <w:lang w:val="es-ES_tradnl"/>
              </w:rPr>
            </w:pPr>
            <w:r w:rsidRPr="009A33BA">
              <w:rPr>
                <w:rFonts w:eastAsia="MS Mincho"/>
                <w:kern w:val="22"/>
                <w:szCs w:val="22"/>
                <w:lang w:val="es-ES_tradnl"/>
              </w:rPr>
              <w:t xml:space="preserve">Posibles elementos para un programa de trabajo futuro sobre el artículo </w:t>
            </w:r>
            <w:r w:rsidRPr="009A33BA">
              <w:rPr>
                <w:kern w:val="22"/>
                <w:szCs w:val="22"/>
                <w:lang w:val="es-ES_tradnl"/>
              </w:rPr>
              <w:t xml:space="preserve">8 j) y disposiciones conexas como parte del marco de la diversidad biológica </w:t>
            </w:r>
            <w:r w:rsidRPr="009A33BA">
              <w:rPr>
                <w:kern w:val="22"/>
                <w:szCs w:val="22"/>
                <w:lang w:val="es-ES_tradnl"/>
              </w:rPr>
              <w:lastRenderedPageBreak/>
              <w:t xml:space="preserve">posterior a 2020, así como posibles arreglos institucionales y sus </w:t>
            </w:r>
            <w:r w:rsidRPr="009A33BA">
              <w:rPr>
                <w:i/>
                <w:kern w:val="22"/>
                <w:szCs w:val="22"/>
                <w:lang w:val="es-ES_tradnl"/>
              </w:rPr>
              <w:t>modus operandi</w:t>
            </w:r>
          </w:p>
          <w:p w14:paraId="6C3FC17A" w14:textId="30D5B627" w:rsidR="00293BED" w:rsidRPr="009A33BA" w:rsidRDefault="00053F89" w:rsidP="00FB38DC">
            <w:pPr>
              <w:spacing w:before="120" w:after="120"/>
              <w:rPr>
                <w:kern w:val="22"/>
                <w:u w:val="single"/>
                <w:lang w:val="es-ES_tradnl"/>
              </w:rPr>
            </w:pPr>
            <w:r w:rsidRPr="009A33BA">
              <w:rPr>
                <w:kern w:val="22"/>
                <w:u w:val="single"/>
                <w:lang w:val="es-ES_tradnl"/>
              </w:rPr>
              <w:t>Documento de información</w:t>
            </w:r>
          </w:p>
          <w:p w14:paraId="64EE57F5" w14:textId="21C7BC4A" w:rsidR="00293BED" w:rsidRPr="009A33BA" w:rsidRDefault="00B76764" w:rsidP="00FB38DC">
            <w:pPr>
              <w:spacing w:before="120" w:after="120"/>
              <w:rPr>
                <w:kern w:val="22"/>
                <w:lang w:val="es-ES_tradnl"/>
              </w:rPr>
            </w:pPr>
            <w:r w:rsidRPr="009A33BA">
              <w:rPr>
                <w:kern w:val="22"/>
                <w:lang w:val="es-ES_tradnl"/>
              </w:rPr>
              <w:t>Recopilación de opiniones e información recibida.</w:t>
            </w:r>
          </w:p>
          <w:p w14:paraId="26B14EE9" w14:textId="1C06AA06" w:rsidR="00293BED" w:rsidRPr="009A33BA" w:rsidRDefault="00053F89" w:rsidP="00FB38DC">
            <w:pPr>
              <w:spacing w:before="120" w:after="120"/>
              <w:rPr>
                <w:kern w:val="22"/>
                <w:u w:val="single"/>
                <w:lang w:val="es-ES_tradnl"/>
              </w:rPr>
            </w:pPr>
            <w:r w:rsidRPr="009A33BA">
              <w:rPr>
                <w:kern w:val="22"/>
                <w:u w:val="single"/>
                <w:lang w:val="es-ES_tradnl"/>
              </w:rPr>
              <w:t>Notificación</w:t>
            </w:r>
          </w:p>
          <w:p w14:paraId="7B2D129D" w14:textId="454650FC" w:rsidR="00293BED" w:rsidRPr="009A33BA" w:rsidRDefault="00B76764" w:rsidP="00FB38DC">
            <w:pPr>
              <w:spacing w:before="120" w:after="120"/>
              <w:jc w:val="left"/>
              <w:rPr>
                <w:kern w:val="22"/>
                <w:lang w:val="es-ES_tradnl"/>
              </w:rPr>
            </w:pPr>
            <w:r w:rsidRPr="009A33BA">
              <w:rPr>
                <w:rFonts w:eastAsia="MS Mincho"/>
                <w:i/>
                <w:kern w:val="22"/>
                <w:szCs w:val="22"/>
                <w:lang w:val="es-ES_tradnl"/>
              </w:rPr>
              <w:t>Invita</w:t>
            </w:r>
            <w:r w:rsidRPr="009A33BA">
              <w:rPr>
                <w:rFonts w:eastAsia="MS Mincho"/>
                <w:kern w:val="22"/>
                <w:szCs w:val="22"/>
                <w:lang w:val="es-ES_tradnl"/>
              </w:rPr>
              <w:t xml:space="preserve"> a las Partes, Gobiernos, pueblos indígenas y comunidades locales a presentar a la Secretaria Ejecutiva sus opiniones sobre posibles elementos para un programa de trabajo futuro sobre el artículo </w:t>
            </w:r>
            <w:r w:rsidRPr="009A33BA">
              <w:rPr>
                <w:kern w:val="22"/>
                <w:szCs w:val="22"/>
                <w:lang w:val="es-ES_tradnl"/>
              </w:rPr>
              <w:t xml:space="preserve">8 j) y disposiciones conexas como parte del marco de la diversidad biológica posterior a 2020, así como posibles arreglos institucionales y sus </w:t>
            </w:r>
            <w:r w:rsidRPr="009A33BA">
              <w:rPr>
                <w:i/>
                <w:kern w:val="22"/>
                <w:szCs w:val="22"/>
                <w:lang w:val="es-ES_tradnl"/>
              </w:rPr>
              <w:t>modus operandi</w:t>
            </w:r>
            <w:r w:rsidRPr="009A33BA">
              <w:rPr>
                <w:i/>
                <w:kern w:val="22"/>
                <w:lang w:val="es-ES_tradnl"/>
              </w:rPr>
              <w:t>.</w:t>
            </w:r>
          </w:p>
          <w:p w14:paraId="0B30064D" w14:textId="271C8BE9" w:rsidR="00293BED" w:rsidRPr="009A33BA" w:rsidRDefault="00293BED" w:rsidP="00E97CF5">
            <w:pPr>
              <w:rPr>
                <w:kern w:val="22"/>
                <w:lang w:val="es-ES_tradnl"/>
              </w:rPr>
            </w:pPr>
            <w:r w:rsidRPr="009A33BA">
              <w:rPr>
                <w:kern w:val="22"/>
                <w:lang w:val="es-ES_tradnl"/>
              </w:rPr>
              <w:t>*</w:t>
            </w:r>
            <w:r w:rsidR="00053F89" w:rsidRPr="009A33BA">
              <w:rPr>
                <w:kern w:val="22"/>
                <w:lang w:val="es-ES_tradnl"/>
              </w:rPr>
              <w:t>Notificación</w:t>
            </w:r>
            <w:r w:rsidRPr="009A33BA">
              <w:rPr>
                <w:kern w:val="22"/>
                <w:lang w:val="es-ES_tradnl"/>
              </w:rPr>
              <w:t xml:space="preserve"> </w:t>
            </w:r>
            <w:r w:rsidR="00B76764" w:rsidRPr="009A33BA">
              <w:rPr>
                <w:kern w:val="22"/>
                <w:lang w:val="es-ES_tradnl"/>
              </w:rPr>
              <w:t xml:space="preserve">publicada en mayo de </w:t>
            </w:r>
            <w:r w:rsidRPr="009A33BA">
              <w:rPr>
                <w:kern w:val="22"/>
                <w:lang w:val="es-ES_tradnl"/>
              </w:rPr>
              <w:t>2018.</w:t>
            </w:r>
          </w:p>
        </w:tc>
        <w:tc>
          <w:tcPr>
            <w:tcW w:w="4759" w:type="dxa"/>
            <w:shd w:val="clear" w:color="auto" w:fill="auto"/>
          </w:tcPr>
          <w:p w14:paraId="4C6E75CA" w14:textId="51B460A2" w:rsidR="00293BED" w:rsidRPr="009A33BA" w:rsidRDefault="00293BED" w:rsidP="00FB38DC">
            <w:pPr>
              <w:spacing w:before="120" w:after="120"/>
              <w:jc w:val="left"/>
              <w:rPr>
                <w:kern w:val="22"/>
                <w:lang w:val="es-ES_tradnl"/>
              </w:rPr>
            </w:pPr>
            <w:r w:rsidRPr="009A33BA">
              <w:rPr>
                <w:rFonts w:eastAsia="MS Mincho"/>
                <w:kern w:val="22"/>
                <w:lang w:val="es-ES_tradnl"/>
              </w:rPr>
              <w:lastRenderedPageBreak/>
              <w:t>2.</w:t>
            </w:r>
            <w:r w:rsidR="00B43615" w:rsidRPr="009A33BA">
              <w:rPr>
                <w:rFonts w:eastAsia="MS Mincho"/>
                <w:i/>
                <w:kern w:val="22"/>
                <w:szCs w:val="22"/>
                <w:lang w:val="es-ES_tradnl"/>
              </w:rPr>
              <w:t xml:space="preserve"> Invita</w:t>
            </w:r>
            <w:r w:rsidR="00B43615" w:rsidRPr="009A33BA">
              <w:rPr>
                <w:rFonts w:eastAsia="MS Mincho"/>
                <w:kern w:val="22"/>
                <w:szCs w:val="22"/>
                <w:lang w:val="es-ES_tradnl"/>
              </w:rPr>
              <w:t xml:space="preserve"> a las Partes, Gobiernos, pueblos indígenas y comunidades locales y organizaciones internacionales pertinentes a presentar a la Secretaria Ejecutiva sus opiniones sobre posibles elementos para un programa de trabajo futuro sobre el artículo </w:t>
            </w:r>
            <w:r w:rsidR="00B43615" w:rsidRPr="009A33BA">
              <w:rPr>
                <w:kern w:val="22"/>
                <w:szCs w:val="22"/>
                <w:lang w:val="es-ES_tradnl"/>
              </w:rPr>
              <w:t xml:space="preserve">8 j) y disposiciones conexas como parte del marco de la diversidad biológica posterior </w:t>
            </w:r>
            <w:r w:rsidR="00B43615" w:rsidRPr="009A33BA">
              <w:rPr>
                <w:kern w:val="22"/>
                <w:szCs w:val="22"/>
                <w:lang w:val="es-ES_tradnl"/>
              </w:rPr>
              <w:lastRenderedPageBreak/>
              <w:t xml:space="preserve">a 2020, así como posibles arreglos institucionales y sus </w:t>
            </w:r>
            <w:r w:rsidR="00B43615" w:rsidRPr="009A33BA">
              <w:rPr>
                <w:i/>
                <w:kern w:val="22"/>
                <w:szCs w:val="22"/>
                <w:lang w:val="es-ES_tradnl"/>
              </w:rPr>
              <w:t>modus operandi</w:t>
            </w:r>
            <w:r w:rsidR="00B43615" w:rsidRPr="009A33BA">
              <w:rPr>
                <w:kern w:val="22"/>
                <w:szCs w:val="22"/>
                <w:lang w:val="es-ES_tradnl"/>
              </w:rPr>
              <w:t>;</w:t>
            </w:r>
          </w:p>
          <w:p w14:paraId="399CE614" w14:textId="0CEBF5F6" w:rsidR="00293BED" w:rsidRPr="009A33BA" w:rsidRDefault="00293BED" w:rsidP="00B43615">
            <w:pPr>
              <w:spacing w:before="120" w:after="120"/>
              <w:ind w:firstLine="13"/>
              <w:rPr>
                <w:rFonts w:eastAsia="MS Mincho"/>
                <w:kern w:val="22"/>
                <w:lang w:val="es-ES_tradnl"/>
              </w:rPr>
            </w:pPr>
            <w:r w:rsidRPr="009A33BA">
              <w:rPr>
                <w:kern w:val="22"/>
                <w:lang w:val="es-ES_tradnl"/>
              </w:rPr>
              <w:t>3.</w:t>
            </w:r>
            <w:r w:rsidR="00200A98" w:rsidRPr="009A33BA">
              <w:rPr>
                <w:kern w:val="22"/>
                <w:lang w:val="es-ES_tradnl"/>
              </w:rPr>
              <w:t xml:space="preserve"> </w:t>
            </w:r>
            <w:r w:rsidR="00B43615" w:rsidRPr="009A33BA">
              <w:rPr>
                <w:i/>
                <w:kern w:val="22"/>
                <w:szCs w:val="22"/>
                <w:lang w:val="es-ES_tradnl"/>
              </w:rPr>
              <w:t>Pide</w:t>
            </w:r>
            <w:r w:rsidR="00B43615" w:rsidRPr="009A33BA">
              <w:rPr>
                <w:kern w:val="22"/>
                <w:szCs w:val="22"/>
                <w:lang w:val="es-ES_tradnl"/>
              </w:rPr>
              <w:t xml:space="preserve"> a la Secretaria Ejecutiva que ponga a disposición del Órgano Subsidiario sobre la Aplicación en su segunda reunión;</w:t>
            </w:r>
          </w:p>
        </w:tc>
      </w:tr>
      <w:tr w:rsidR="003372D4" w:rsidRPr="00F80FBA" w14:paraId="3CC1BE7B" w14:textId="77777777" w:rsidTr="00FB38DC">
        <w:tc>
          <w:tcPr>
            <w:tcW w:w="4881" w:type="dxa"/>
            <w:shd w:val="clear" w:color="auto" w:fill="auto"/>
          </w:tcPr>
          <w:p w14:paraId="679C3239" w14:textId="77777777" w:rsidR="0077437C" w:rsidRPr="009A33BA" w:rsidRDefault="0077437C" w:rsidP="00E97CF5">
            <w:pPr>
              <w:rPr>
                <w:b/>
                <w:kern w:val="22"/>
                <w:lang w:val="es-ES_tradnl"/>
              </w:rPr>
            </w:pPr>
            <w:r w:rsidRPr="009A33BA">
              <w:rPr>
                <w:b/>
                <w:kern w:val="22"/>
                <w:lang w:val="es-ES_tradnl"/>
              </w:rPr>
              <w:lastRenderedPageBreak/>
              <w:t>Grupo de Trabajo sobre el artículo 8 j)</w:t>
            </w:r>
          </w:p>
          <w:p w14:paraId="0E99A65F" w14:textId="77777777" w:rsidR="0077437C" w:rsidRPr="009A33BA" w:rsidRDefault="0077437C" w:rsidP="00E97CF5">
            <w:pPr>
              <w:rPr>
                <w:b/>
                <w:kern w:val="22"/>
                <w:lang w:val="es-ES_tradnl"/>
              </w:rPr>
            </w:pPr>
            <w:r w:rsidRPr="009A33BA">
              <w:rPr>
                <w:b/>
                <w:kern w:val="22"/>
                <w:lang w:val="es-ES_tradnl"/>
              </w:rPr>
              <w:t>Undécima reunión</w:t>
            </w:r>
          </w:p>
          <w:p w14:paraId="78C7F38E" w14:textId="5AF54660" w:rsidR="00293BED" w:rsidRPr="009A33BA" w:rsidRDefault="00293BED" w:rsidP="00E97CF5">
            <w:pPr>
              <w:rPr>
                <w:b/>
                <w:kern w:val="22"/>
                <w:lang w:val="es-ES_tradnl"/>
              </w:rPr>
            </w:pPr>
            <w:r w:rsidRPr="009A33BA">
              <w:rPr>
                <w:b/>
                <w:kern w:val="22"/>
                <w:lang w:val="es-ES_tradnl"/>
              </w:rPr>
              <w:t>Nov</w:t>
            </w:r>
            <w:r w:rsidR="00053F89" w:rsidRPr="009A33BA">
              <w:rPr>
                <w:b/>
                <w:kern w:val="22"/>
                <w:lang w:val="es-ES_tradnl"/>
              </w:rPr>
              <w:t xml:space="preserve">iembre de </w:t>
            </w:r>
            <w:r w:rsidRPr="009A33BA">
              <w:rPr>
                <w:b/>
                <w:kern w:val="22"/>
                <w:lang w:val="es-ES_tradnl"/>
              </w:rPr>
              <w:t>2019 (</w:t>
            </w:r>
            <w:r w:rsidR="00053F89" w:rsidRPr="009A33BA">
              <w:rPr>
                <w:b/>
                <w:kern w:val="22"/>
                <w:lang w:val="es-ES_tradnl"/>
              </w:rPr>
              <w:t>se confirmará</w:t>
            </w:r>
            <w:r w:rsidRPr="009A33BA">
              <w:rPr>
                <w:b/>
                <w:kern w:val="22"/>
                <w:lang w:val="es-ES_tradnl"/>
              </w:rPr>
              <w:t>)</w:t>
            </w:r>
          </w:p>
          <w:p w14:paraId="29D78BCB" w14:textId="1CFDB09F" w:rsidR="00293BED" w:rsidRPr="009A33BA" w:rsidRDefault="00053F89" w:rsidP="00FB38DC">
            <w:pPr>
              <w:spacing w:before="120" w:after="120"/>
              <w:rPr>
                <w:kern w:val="22"/>
                <w:u w:val="single"/>
                <w:lang w:val="es-ES_tradnl"/>
              </w:rPr>
            </w:pPr>
            <w:r w:rsidRPr="009A33BA">
              <w:rPr>
                <w:kern w:val="22"/>
                <w:u w:val="single"/>
                <w:lang w:val="es-ES_tradnl"/>
              </w:rPr>
              <w:t>Documento oficial</w:t>
            </w:r>
          </w:p>
          <w:p w14:paraId="20BEECEA" w14:textId="461FD762" w:rsidR="00B76764" w:rsidRPr="009A33BA" w:rsidRDefault="00B76764" w:rsidP="00FB38DC">
            <w:pPr>
              <w:spacing w:before="120" w:after="120"/>
              <w:jc w:val="left"/>
              <w:rPr>
                <w:kern w:val="22"/>
                <w:u w:val="single"/>
                <w:lang w:val="es-ES_tradnl"/>
              </w:rPr>
            </w:pPr>
            <w:r w:rsidRPr="009A33BA">
              <w:rPr>
                <w:rFonts w:eastAsia="Batang"/>
                <w:kern w:val="22"/>
                <w:szCs w:val="22"/>
                <w:lang w:val="es-ES_tradnl" w:eastAsia="ko-KR"/>
              </w:rPr>
              <w:t xml:space="preserve">Propuestas para la posible labor futura, incluidas propuestas para una segunda fase de trabajo del Plan de acción sobre utilización consuetudinaria sostenible, así como arreglos institucionales y sus </w:t>
            </w:r>
            <w:r w:rsidRPr="009A33BA">
              <w:rPr>
                <w:rFonts w:eastAsia="Batang"/>
                <w:i/>
                <w:kern w:val="22"/>
                <w:szCs w:val="22"/>
                <w:lang w:val="es-ES_tradnl" w:eastAsia="ko-KR"/>
              </w:rPr>
              <w:t>modus operandi.</w:t>
            </w:r>
          </w:p>
          <w:p w14:paraId="14371FB9" w14:textId="0669FEA1" w:rsidR="00293BED" w:rsidRPr="009A33BA" w:rsidRDefault="00053F89" w:rsidP="00FB38DC">
            <w:pPr>
              <w:spacing w:before="120" w:after="120"/>
              <w:jc w:val="left"/>
              <w:rPr>
                <w:kern w:val="22"/>
                <w:u w:val="single"/>
                <w:lang w:val="es-ES_tradnl"/>
              </w:rPr>
            </w:pPr>
            <w:r w:rsidRPr="009A33BA">
              <w:rPr>
                <w:kern w:val="22"/>
                <w:u w:val="single"/>
                <w:lang w:val="es-ES_tradnl"/>
              </w:rPr>
              <w:t>Documento</w:t>
            </w:r>
            <w:r w:rsidR="00760361" w:rsidRPr="009A33BA">
              <w:rPr>
                <w:kern w:val="22"/>
                <w:u w:val="single"/>
                <w:lang w:val="es-ES_tradnl"/>
              </w:rPr>
              <w:t>s</w:t>
            </w:r>
            <w:r w:rsidRPr="009A33BA">
              <w:rPr>
                <w:kern w:val="22"/>
                <w:u w:val="single"/>
                <w:lang w:val="es-ES_tradnl"/>
              </w:rPr>
              <w:t xml:space="preserve"> de información</w:t>
            </w:r>
          </w:p>
          <w:p w14:paraId="21C8B754" w14:textId="48578A93" w:rsidR="00293BED" w:rsidRPr="009A33BA" w:rsidRDefault="00B76764" w:rsidP="00FB38DC">
            <w:pPr>
              <w:spacing w:before="120" w:after="120"/>
              <w:jc w:val="left"/>
              <w:rPr>
                <w:kern w:val="22"/>
                <w:lang w:val="es-ES_tradnl"/>
              </w:rPr>
            </w:pPr>
            <w:r w:rsidRPr="009A33BA">
              <w:rPr>
                <w:kern w:val="22"/>
                <w:lang w:val="es-ES_tradnl"/>
              </w:rPr>
              <w:t xml:space="preserve">Un </w:t>
            </w:r>
            <w:r w:rsidRPr="009A33BA">
              <w:rPr>
                <w:kern w:val="22"/>
                <w:szCs w:val="22"/>
                <w:lang w:val="es-ES_tradnl"/>
              </w:rPr>
              <w:t>resumen de</w:t>
            </w:r>
            <w:r w:rsidR="0077437C" w:rsidRPr="009A33BA">
              <w:rPr>
                <w:kern w:val="22"/>
                <w:szCs w:val="22"/>
                <w:lang w:val="es-ES_tradnl"/>
              </w:rPr>
              <w:t xml:space="preserve"> las deliberaciones</w:t>
            </w:r>
            <w:r w:rsidRPr="009A33BA">
              <w:rPr>
                <w:kern w:val="22"/>
                <w:szCs w:val="22"/>
                <w:lang w:val="es-ES_tradnl"/>
              </w:rPr>
              <w:t xml:space="preserve"> </w:t>
            </w:r>
            <w:r w:rsidR="0077437C" w:rsidRPr="009A33BA">
              <w:rPr>
                <w:kern w:val="22"/>
                <w:szCs w:val="22"/>
                <w:lang w:val="es-ES_tradnl"/>
              </w:rPr>
              <w:t xml:space="preserve">realizadas en el foro en línea sobre el </w:t>
            </w:r>
            <w:r w:rsidRPr="009A33BA">
              <w:rPr>
                <w:kern w:val="22"/>
                <w:szCs w:val="22"/>
                <w:lang w:val="es-ES_tradnl"/>
              </w:rPr>
              <w:t xml:space="preserve">intercambio de </w:t>
            </w:r>
            <w:r w:rsidR="00490384" w:rsidRPr="009A33BA">
              <w:rPr>
                <w:kern w:val="22"/>
                <w:szCs w:val="22"/>
                <w:lang w:val="es-ES_tradnl"/>
              </w:rPr>
              <w:t>opiniones e información</w:t>
            </w:r>
            <w:r w:rsidR="00293BED" w:rsidRPr="009A33BA">
              <w:rPr>
                <w:kern w:val="22"/>
                <w:lang w:val="es-ES_tradnl"/>
              </w:rPr>
              <w:t xml:space="preserve">, </w:t>
            </w:r>
            <w:r w:rsidR="00490384" w:rsidRPr="009A33BA">
              <w:rPr>
                <w:kern w:val="22"/>
                <w:lang w:val="es-ES_tradnl"/>
              </w:rPr>
              <w:t xml:space="preserve">según proceda, </w:t>
            </w:r>
            <w:r w:rsidR="00490384" w:rsidRPr="009A33BA">
              <w:rPr>
                <w:kern w:val="22"/>
                <w:szCs w:val="22"/>
                <w:lang w:val="es-ES_tradnl"/>
              </w:rPr>
              <w:t xml:space="preserve">sobre posibles elementos para un programa de trabajo relativo al artículo 8 j) y disposiciones conexas como parte del marco de la diversidad biológica posterior a </w:t>
            </w:r>
            <w:r w:rsidR="00490384" w:rsidRPr="009A33BA">
              <w:rPr>
                <w:rFonts w:eastAsia="Batang"/>
                <w:kern w:val="22"/>
                <w:szCs w:val="22"/>
                <w:lang w:val="es-ES_tradnl" w:eastAsia="ko-KR"/>
              </w:rPr>
              <w:t>2020</w:t>
            </w:r>
            <w:r w:rsidR="00293BED" w:rsidRPr="009A33BA">
              <w:rPr>
                <w:kern w:val="22"/>
                <w:lang w:val="es-ES_tradnl"/>
              </w:rPr>
              <w:t xml:space="preserve">, </w:t>
            </w:r>
            <w:r w:rsidR="00490384" w:rsidRPr="009A33BA">
              <w:rPr>
                <w:kern w:val="22"/>
                <w:lang w:val="es-ES_tradnl"/>
              </w:rPr>
              <w:t>así como posibles arreglos institucionales, lecciones aprendidas y ventajas y desventajas de los arreglos actuales</w:t>
            </w:r>
            <w:r w:rsidR="003B35C7" w:rsidRPr="009A33BA">
              <w:rPr>
                <w:kern w:val="22"/>
                <w:lang w:val="es-ES_tradnl"/>
              </w:rPr>
              <w:t>.</w:t>
            </w:r>
            <w:r w:rsidR="00490384" w:rsidRPr="009A33BA">
              <w:rPr>
                <w:kern w:val="22"/>
                <w:lang w:val="es-ES_tradnl"/>
              </w:rPr>
              <w:t xml:space="preserve"> </w:t>
            </w:r>
          </w:p>
          <w:p w14:paraId="2C2DD10E" w14:textId="64D6C302" w:rsidR="00293BED" w:rsidRPr="009A33BA" w:rsidRDefault="00B76764" w:rsidP="00FB38DC">
            <w:pPr>
              <w:spacing w:before="120" w:after="120"/>
              <w:jc w:val="left"/>
              <w:rPr>
                <w:kern w:val="22"/>
                <w:lang w:val="es-ES_tradnl"/>
              </w:rPr>
            </w:pPr>
            <w:r w:rsidRPr="009A33BA">
              <w:rPr>
                <w:kern w:val="22"/>
                <w:lang w:val="es-ES_tradnl"/>
              </w:rPr>
              <w:t>Recopilación de opiniones e información recibida, e informe del foro en línea</w:t>
            </w:r>
            <w:r w:rsidR="00293BED" w:rsidRPr="009A33BA">
              <w:rPr>
                <w:kern w:val="22"/>
                <w:lang w:val="es-ES_tradnl"/>
              </w:rPr>
              <w:t>.</w:t>
            </w:r>
          </w:p>
          <w:p w14:paraId="74B9E11F" w14:textId="6EE33690" w:rsidR="00293BED" w:rsidRPr="009A33BA" w:rsidRDefault="00053F89" w:rsidP="00FB38DC">
            <w:pPr>
              <w:spacing w:before="120" w:after="120"/>
              <w:jc w:val="left"/>
              <w:rPr>
                <w:kern w:val="22"/>
                <w:u w:val="single"/>
                <w:lang w:val="es-ES_tradnl"/>
              </w:rPr>
            </w:pPr>
            <w:r w:rsidRPr="009A33BA">
              <w:rPr>
                <w:kern w:val="22"/>
                <w:u w:val="single"/>
                <w:lang w:val="es-ES_tradnl"/>
              </w:rPr>
              <w:t>Notificación</w:t>
            </w:r>
          </w:p>
          <w:p w14:paraId="19FE56B4" w14:textId="05AC5E54" w:rsidR="00293BED" w:rsidRPr="009A33BA" w:rsidRDefault="00053F89" w:rsidP="00FB38DC">
            <w:pPr>
              <w:spacing w:before="120" w:after="120"/>
              <w:jc w:val="left"/>
              <w:rPr>
                <w:kern w:val="22"/>
                <w:lang w:val="es-ES_tradnl"/>
              </w:rPr>
            </w:pPr>
            <w:r w:rsidRPr="009A33BA">
              <w:rPr>
                <w:rFonts w:eastAsia="Batang"/>
                <w:i/>
                <w:iCs/>
                <w:kern w:val="22"/>
                <w:lang w:val="es-ES_tradnl" w:eastAsia="ko-KR"/>
              </w:rPr>
              <w:t xml:space="preserve">Invita </w:t>
            </w:r>
            <w:r w:rsidRPr="009A33BA">
              <w:rPr>
                <w:rFonts w:eastAsia="Batang"/>
                <w:iCs/>
                <w:kern w:val="22"/>
                <w:lang w:val="es-ES_tradnl" w:eastAsia="ko-KR"/>
              </w:rPr>
              <w:t xml:space="preserve">a las Partes, Gobiernos, </w:t>
            </w:r>
            <w:r w:rsidRPr="009A33BA">
              <w:rPr>
                <w:kern w:val="22"/>
                <w:lang w:val="es-ES_tradnl"/>
              </w:rPr>
              <w:t>pueblos indígenas y comunidades locales</w:t>
            </w:r>
            <w:r w:rsidR="00490384" w:rsidRPr="009A33BA">
              <w:rPr>
                <w:kern w:val="22"/>
                <w:lang w:val="es-ES_tradnl"/>
              </w:rPr>
              <w:t xml:space="preserve"> a enviar a la </w:t>
            </w:r>
            <w:r w:rsidR="009522CB" w:rsidRPr="009A33BA">
              <w:rPr>
                <w:kern w:val="22"/>
                <w:lang w:val="es-ES_tradnl"/>
              </w:rPr>
              <w:t>Secretaria Ejecutiva</w:t>
            </w:r>
            <w:r w:rsidR="00293BED" w:rsidRPr="009A33BA">
              <w:rPr>
                <w:kern w:val="22"/>
                <w:lang w:val="es-ES_tradnl"/>
              </w:rPr>
              <w:t xml:space="preserve"> </w:t>
            </w:r>
            <w:r w:rsidR="00490384" w:rsidRPr="009A33BA">
              <w:rPr>
                <w:kern w:val="22"/>
                <w:lang w:val="es-ES_tradnl"/>
              </w:rPr>
              <w:t>sus opiniones sobre lo siguiente</w:t>
            </w:r>
            <w:r w:rsidR="00293BED" w:rsidRPr="009A33BA">
              <w:rPr>
                <w:kern w:val="22"/>
                <w:lang w:val="es-ES_tradnl"/>
              </w:rPr>
              <w:t>:</w:t>
            </w:r>
          </w:p>
          <w:p w14:paraId="4D50F55B" w14:textId="3914CF36" w:rsidR="00293BED" w:rsidRPr="009A33BA" w:rsidRDefault="00293BED" w:rsidP="00FB38DC">
            <w:pPr>
              <w:spacing w:before="120" w:after="120"/>
              <w:jc w:val="left"/>
              <w:rPr>
                <w:rFonts w:eastAsia="Batang"/>
                <w:kern w:val="22"/>
                <w:lang w:val="es-ES_tradnl" w:eastAsia="ko-KR"/>
              </w:rPr>
            </w:pPr>
            <w:r w:rsidRPr="009A33BA">
              <w:rPr>
                <w:kern w:val="22"/>
                <w:lang w:val="es-ES_tradnl"/>
              </w:rPr>
              <w:t xml:space="preserve">i) </w:t>
            </w:r>
            <w:r w:rsidR="00490384" w:rsidRPr="009A33BA">
              <w:rPr>
                <w:kern w:val="22"/>
                <w:szCs w:val="22"/>
                <w:lang w:val="es-ES_tradnl"/>
              </w:rPr>
              <w:t xml:space="preserve">Posibles elementos de un programa de trabajo plenamente integrado como parte del marco de la diversidad biológica posterior a </w:t>
            </w:r>
            <w:r w:rsidR="00490384" w:rsidRPr="009A33BA">
              <w:rPr>
                <w:rFonts w:eastAsia="Batang"/>
                <w:kern w:val="22"/>
                <w:szCs w:val="22"/>
                <w:lang w:val="es-ES_tradnl" w:eastAsia="ko-KR"/>
              </w:rPr>
              <w:t>2020</w:t>
            </w:r>
            <w:r w:rsidR="00471F27" w:rsidRPr="009A33BA">
              <w:rPr>
                <w:rFonts w:eastAsia="Batang"/>
                <w:kern w:val="22"/>
                <w:lang w:val="es-ES_tradnl" w:eastAsia="ko-KR"/>
              </w:rPr>
              <w:t>;</w:t>
            </w:r>
          </w:p>
          <w:p w14:paraId="35E18637" w14:textId="225532C5" w:rsidR="00293BED" w:rsidRPr="009A33BA" w:rsidRDefault="00490384" w:rsidP="00FB38DC">
            <w:pPr>
              <w:spacing w:before="120" w:after="120"/>
              <w:jc w:val="left"/>
              <w:rPr>
                <w:rFonts w:eastAsia="Batang"/>
                <w:kern w:val="22"/>
                <w:lang w:val="es-ES_tradnl" w:eastAsia="ko-KR"/>
              </w:rPr>
            </w:pPr>
            <w:r w:rsidRPr="009A33BA">
              <w:rPr>
                <w:kern w:val="22"/>
                <w:lang w:val="es-ES_tradnl"/>
              </w:rPr>
              <w:t xml:space="preserve"> </w:t>
            </w:r>
            <w:r w:rsidR="00293BED" w:rsidRPr="009A33BA">
              <w:rPr>
                <w:kern w:val="22"/>
                <w:lang w:val="es-ES_tradnl"/>
              </w:rPr>
              <w:t>ii) P</w:t>
            </w:r>
            <w:r w:rsidRPr="009A33BA">
              <w:rPr>
                <w:kern w:val="22"/>
                <w:lang w:val="es-ES_tradnl"/>
              </w:rPr>
              <w:t xml:space="preserve">osibles arreglos institucionales y sus </w:t>
            </w:r>
            <w:r w:rsidRPr="009A33BA">
              <w:rPr>
                <w:i/>
                <w:kern w:val="22"/>
                <w:lang w:val="es-ES_tradnl"/>
              </w:rPr>
              <w:t>modus operandi</w:t>
            </w:r>
            <w:r w:rsidRPr="009A33BA">
              <w:rPr>
                <w:kern w:val="22"/>
                <w:lang w:val="es-ES_tradnl"/>
              </w:rPr>
              <w:t xml:space="preserve"> </w:t>
            </w:r>
            <w:r w:rsidRPr="009A33BA">
              <w:rPr>
                <w:rFonts w:eastAsia="Batang"/>
                <w:kern w:val="22"/>
                <w:lang w:val="es-ES_tradnl" w:eastAsia="ko-KR"/>
              </w:rPr>
              <w:t xml:space="preserve">para la aplicación del </w:t>
            </w:r>
            <w:r w:rsidR="0034182E" w:rsidRPr="009A33BA">
              <w:rPr>
                <w:rFonts w:eastAsia="Batang"/>
                <w:kern w:val="22"/>
                <w:lang w:val="es-ES_tradnl" w:eastAsia="ko-KR"/>
              </w:rPr>
              <w:t>artículo 8 j) y disposiciones conexas</w:t>
            </w:r>
            <w:r w:rsidR="00471F27" w:rsidRPr="009A33BA">
              <w:rPr>
                <w:rFonts w:eastAsia="Batang"/>
                <w:kern w:val="22"/>
                <w:lang w:val="es-ES_tradnl" w:eastAsia="ko-KR"/>
              </w:rPr>
              <w:t>.</w:t>
            </w:r>
          </w:p>
          <w:p w14:paraId="27E6C3E0" w14:textId="79D1E67E" w:rsidR="00293BED" w:rsidRPr="009A33BA" w:rsidRDefault="00293BED" w:rsidP="00FB38DC">
            <w:pPr>
              <w:spacing w:before="120" w:after="120"/>
              <w:rPr>
                <w:kern w:val="22"/>
                <w:lang w:val="es-ES_tradnl"/>
              </w:rPr>
            </w:pPr>
            <w:r w:rsidRPr="009A33BA">
              <w:rPr>
                <w:kern w:val="22"/>
                <w:lang w:val="es-ES_tradnl"/>
              </w:rPr>
              <w:lastRenderedPageBreak/>
              <w:t>*</w:t>
            </w:r>
            <w:r w:rsidR="00053F89" w:rsidRPr="009A33BA">
              <w:rPr>
                <w:kern w:val="22"/>
                <w:lang w:val="es-ES_tradnl"/>
              </w:rPr>
              <w:t>Notificación</w:t>
            </w:r>
            <w:r w:rsidRPr="009A33BA">
              <w:rPr>
                <w:kern w:val="22"/>
                <w:lang w:val="es-ES_tradnl"/>
              </w:rPr>
              <w:t xml:space="preserve"> </w:t>
            </w:r>
            <w:r w:rsidR="00760361" w:rsidRPr="009A33BA">
              <w:rPr>
                <w:kern w:val="22"/>
                <w:lang w:val="es-ES_tradnl"/>
              </w:rPr>
              <w:t xml:space="preserve">publicada en enero de </w:t>
            </w:r>
            <w:r w:rsidRPr="009A33BA">
              <w:rPr>
                <w:kern w:val="22"/>
                <w:lang w:val="es-ES_tradnl"/>
              </w:rPr>
              <w:t>2019.</w:t>
            </w:r>
          </w:p>
          <w:p w14:paraId="5AF51E52" w14:textId="77777777" w:rsidR="00293BED" w:rsidRPr="009A33BA" w:rsidRDefault="00293BED" w:rsidP="00E97CF5">
            <w:pPr>
              <w:rPr>
                <w:kern w:val="22"/>
                <w:lang w:val="es-ES_tradnl"/>
              </w:rPr>
            </w:pPr>
          </w:p>
        </w:tc>
        <w:tc>
          <w:tcPr>
            <w:tcW w:w="4759" w:type="dxa"/>
            <w:shd w:val="clear" w:color="auto" w:fill="auto"/>
          </w:tcPr>
          <w:p w14:paraId="0899279A" w14:textId="36BEFF64" w:rsidR="00293BED" w:rsidRPr="009A33BA" w:rsidRDefault="00B43615" w:rsidP="00FB38DC">
            <w:pPr>
              <w:spacing w:before="120" w:after="120"/>
              <w:jc w:val="left"/>
              <w:rPr>
                <w:i/>
                <w:kern w:val="22"/>
                <w:lang w:val="es-ES_tradnl"/>
              </w:rPr>
            </w:pPr>
            <w:r w:rsidRPr="009A33BA">
              <w:rPr>
                <w:kern w:val="22"/>
                <w:lang w:val="es-ES_tradnl"/>
              </w:rPr>
              <w:lastRenderedPageBreak/>
              <w:t xml:space="preserve">Proyecto de decisión que consta en la recomendación </w:t>
            </w:r>
            <w:r w:rsidR="007B5AD2" w:rsidRPr="009A33BA">
              <w:rPr>
                <w:kern w:val="22"/>
                <w:lang w:val="es-ES_tradnl"/>
              </w:rPr>
              <w:t>WG8</w:t>
            </w:r>
            <w:r w:rsidR="003B35C7" w:rsidRPr="009A33BA">
              <w:rPr>
                <w:kern w:val="22"/>
                <w:lang w:val="es-ES_tradnl"/>
              </w:rPr>
              <w:t>J</w:t>
            </w:r>
            <w:r w:rsidR="00471F27" w:rsidRPr="009A33BA">
              <w:rPr>
                <w:kern w:val="22"/>
                <w:lang w:val="es-ES_tradnl"/>
              </w:rPr>
              <w:t>-</w:t>
            </w:r>
            <w:r w:rsidR="00293BED" w:rsidRPr="009A33BA">
              <w:rPr>
                <w:kern w:val="22"/>
                <w:lang w:val="es-ES_tradnl"/>
              </w:rPr>
              <w:t>10/</w:t>
            </w:r>
            <w:r w:rsidR="009F227C" w:rsidRPr="009A33BA">
              <w:rPr>
                <w:kern w:val="22"/>
                <w:lang w:val="es-ES_tradnl"/>
              </w:rPr>
              <w:t>3</w:t>
            </w:r>
          </w:p>
          <w:p w14:paraId="52BACFD5" w14:textId="51175453" w:rsidR="00B43615" w:rsidRPr="009A33BA" w:rsidRDefault="00293BED" w:rsidP="00B43615">
            <w:pPr>
              <w:spacing w:before="120" w:after="120"/>
              <w:jc w:val="left"/>
              <w:rPr>
                <w:kern w:val="22"/>
                <w:lang w:val="es-ES_tradnl"/>
              </w:rPr>
            </w:pPr>
            <w:r w:rsidRPr="009A33BA">
              <w:rPr>
                <w:i/>
                <w:kern w:val="22"/>
                <w:lang w:val="es-ES_tradnl"/>
              </w:rPr>
              <w:t xml:space="preserve">6. </w:t>
            </w:r>
            <w:r w:rsidR="00B43615" w:rsidRPr="009A33BA">
              <w:rPr>
                <w:i/>
                <w:kern w:val="22"/>
                <w:szCs w:val="22"/>
                <w:lang w:val="es-ES_tradnl"/>
              </w:rPr>
              <w:t>Pide</w:t>
            </w:r>
            <w:r w:rsidR="00B43615" w:rsidRPr="009A33BA">
              <w:rPr>
                <w:kern w:val="22"/>
                <w:szCs w:val="22"/>
                <w:lang w:val="es-ES_tradnl"/>
              </w:rPr>
              <w:t xml:space="preserve"> a la Secretaria Ejecutiva que facilite un foro en línea invitando a las Partes, otros Gobiernos, pueblos indígenas y comunidades locales, otras organizaciones pertinentes y partes interesadas a participar en un intercambio inicial de opiniones e información, según proceda, sobre los posibles elementos de un programa de trabajo sobre el artículo 8 j) y disposiciones conexas como parte del marco de la diversidad biológica posterior a 2020, así como sobre posibles arreglos institucionales, lecciones aprendidas y ventajas y desventajas de los arreglos actuales;</w:t>
            </w:r>
          </w:p>
          <w:p w14:paraId="24799F18" w14:textId="754F8103" w:rsidR="00B43615" w:rsidRPr="009A33BA" w:rsidRDefault="00293BED" w:rsidP="00FB38DC">
            <w:pPr>
              <w:spacing w:before="120" w:after="120"/>
              <w:jc w:val="left"/>
              <w:rPr>
                <w:kern w:val="22"/>
                <w:lang w:val="es-ES_tradnl"/>
              </w:rPr>
            </w:pPr>
            <w:r w:rsidRPr="009A33BA">
              <w:rPr>
                <w:kern w:val="22"/>
                <w:lang w:val="es-ES_tradnl"/>
              </w:rPr>
              <w:t xml:space="preserve">7. </w:t>
            </w:r>
            <w:r w:rsidR="00B43615" w:rsidRPr="009A33BA">
              <w:rPr>
                <w:i/>
                <w:iCs/>
                <w:kern w:val="22"/>
                <w:szCs w:val="22"/>
                <w:lang w:val="es-ES_tradnl"/>
              </w:rPr>
              <w:t>Pide asimismo</w:t>
            </w:r>
            <w:r w:rsidR="00B43615" w:rsidRPr="009A33BA">
              <w:rPr>
                <w:kern w:val="22"/>
                <w:szCs w:val="22"/>
                <w:lang w:val="es-ES_tradnl"/>
              </w:rPr>
              <w:t xml:space="preserve"> a la Secretaria Ejecutiva que prepare un resumen del intercambio de opiniones realizado en el foro en línea y lo ponga a disposición del Grupo de Trabajo especial de composición abierta entre períodos de sesiones sobre el artículo </w:t>
            </w:r>
            <w:r w:rsidR="00B43615" w:rsidRPr="009A33BA">
              <w:rPr>
                <w:rFonts w:eastAsia="Batang"/>
                <w:kern w:val="22"/>
                <w:szCs w:val="22"/>
                <w:lang w:val="es-ES_tradnl" w:eastAsia="ko-KR"/>
              </w:rPr>
              <w:t>8 j) y disposiciones conexas en su 11ª reunión</w:t>
            </w:r>
            <w:r w:rsidR="00B43615" w:rsidRPr="009A33BA">
              <w:rPr>
                <w:kern w:val="22"/>
                <w:szCs w:val="22"/>
                <w:lang w:val="es-ES_tradnl"/>
              </w:rPr>
              <w:t>;</w:t>
            </w:r>
          </w:p>
          <w:p w14:paraId="33A084ED" w14:textId="54F9FCD6" w:rsidR="00293BED" w:rsidRPr="009A33BA" w:rsidRDefault="00293BED" w:rsidP="00FB38DC">
            <w:pPr>
              <w:spacing w:before="120" w:after="120"/>
              <w:jc w:val="left"/>
              <w:rPr>
                <w:rFonts w:eastAsia="Batang"/>
                <w:kern w:val="22"/>
                <w:lang w:val="es-ES_tradnl" w:eastAsia="ko-KR"/>
              </w:rPr>
            </w:pPr>
            <w:r w:rsidRPr="009A33BA">
              <w:rPr>
                <w:rFonts w:eastAsia="Batang"/>
                <w:kern w:val="22"/>
                <w:lang w:val="es-ES_tradnl" w:eastAsia="ko-KR"/>
              </w:rPr>
              <w:t>8</w:t>
            </w:r>
            <w:r w:rsidRPr="009A33BA">
              <w:rPr>
                <w:rFonts w:eastAsia="Batang"/>
                <w:i/>
                <w:kern w:val="22"/>
                <w:lang w:val="es-ES_tradnl" w:eastAsia="ko-KR"/>
              </w:rPr>
              <w:t xml:space="preserve">. </w:t>
            </w:r>
            <w:r w:rsidR="00B43615" w:rsidRPr="009A33BA">
              <w:rPr>
                <w:rFonts w:eastAsia="Batang"/>
                <w:i/>
                <w:kern w:val="22"/>
                <w:szCs w:val="22"/>
                <w:lang w:val="es-ES_tradnl" w:eastAsia="ko-KR"/>
              </w:rPr>
              <w:t>I</w:t>
            </w:r>
            <w:r w:rsidR="00B43615" w:rsidRPr="009A33BA">
              <w:rPr>
                <w:rStyle w:val="Emphasis"/>
                <w:kern w:val="22"/>
                <w:szCs w:val="22"/>
                <w:lang w:val="es-ES_tradnl"/>
              </w:rPr>
              <w:t>nvita</w:t>
            </w:r>
            <w:r w:rsidR="00B43615" w:rsidRPr="009A33BA">
              <w:rPr>
                <w:kern w:val="22"/>
                <w:szCs w:val="22"/>
                <w:lang w:val="es-ES_tradnl"/>
              </w:rPr>
              <w:t xml:space="preserve"> a las Partes, Gobiernos, pueblos indígenas y comunidades locales, organizaciones internacionales pertinentes, en particular otras convenciones relacionadas con la diversidad biológica, y partes interesadas, a enviar a la Secretaria Ejecutiva sus opiniones sobre posibles elementos para un programa de trabajo plenamente integrado como parte del marco de la diversidad biológica posterior a </w:t>
            </w:r>
            <w:r w:rsidR="00B43615" w:rsidRPr="009A33BA">
              <w:rPr>
                <w:rFonts w:eastAsia="Batang"/>
                <w:kern w:val="22"/>
                <w:szCs w:val="22"/>
                <w:lang w:val="es-ES_tradnl" w:eastAsia="ko-KR"/>
              </w:rPr>
              <w:t>2020;</w:t>
            </w:r>
          </w:p>
          <w:p w14:paraId="5A52A610" w14:textId="79D37460" w:rsidR="00B43615" w:rsidRPr="009A33BA" w:rsidRDefault="00293BED" w:rsidP="00FB38DC">
            <w:pPr>
              <w:shd w:val="clear" w:color="auto" w:fill="D9D9D9"/>
              <w:spacing w:before="120" w:after="120"/>
              <w:jc w:val="left"/>
              <w:rPr>
                <w:rFonts w:eastAsia="Batang"/>
                <w:kern w:val="22"/>
                <w:lang w:val="es-ES_tradnl" w:eastAsia="ko-KR"/>
              </w:rPr>
            </w:pPr>
            <w:r w:rsidRPr="009A33BA">
              <w:rPr>
                <w:rFonts w:eastAsia="Batang"/>
                <w:kern w:val="22"/>
                <w:lang w:val="es-ES_tradnl" w:eastAsia="ko-KR"/>
              </w:rPr>
              <w:t xml:space="preserve">[9. </w:t>
            </w:r>
            <w:r w:rsidR="00B43615" w:rsidRPr="009A33BA">
              <w:rPr>
                <w:rFonts w:eastAsia="Batang"/>
                <w:i/>
                <w:iCs/>
                <w:kern w:val="22"/>
                <w:szCs w:val="22"/>
                <w:lang w:val="es-ES_tradnl" w:eastAsia="ko-KR"/>
              </w:rPr>
              <w:t>I</w:t>
            </w:r>
            <w:r w:rsidR="00B43615" w:rsidRPr="009A33BA">
              <w:rPr>
                <w:rStyle w:val="Emphasis"/>
                <w:kern w:val="22"/>
                <w:szCs w:val="22"/>
                <w:lang w:val="es-ES_tradnl"/>
              </w:rPr>
              <w:t>nvita</w:t>
            </w:r>
            <w:r w:rsidR="00B43615" w:rsidRPr="009A33BA">
              <w:rPr>
                <w:kern w:val="22"/>
                <w:szCs w:val="22"/>
                <w:lang w:val="es-ES_tradnl"/>
              </w:rPr>
              <w:t xml:space="preserve"> a las Partes, Gobiernos y pueblos indígenas y comunidades locales a que envíen a la Secretaria Ejecutiva sus opiniones sobre posibles </w:t>
            </w:r>
            <w:r w:rsidR="00B43615" w:rsidRPr="009A33BA">
              <w:rPr>
                <w:kern w:val="22"/>
                <w:szCs w:val="22"/>
                <w:lang w:val="es-ES_tradnl"/>
              </w:rPr>
              <w:lastRenderedPageBreak/>
              <w:t xml:space="preserve">arreglos institucionales y sus </w:t>
            </w:r>
            <w:r w:rsidR="00B43615" w:rsidRPr="009A33BA">
              <w:rPr>
                <w:rFonts w:eastAsia="Batang"/>
                <w:i/>
                <w:kern w:val="22"/>
                <w:szCs w:val="22"/>
                <w:lang w:val="es-ES_tradnl" w:eastAsia="ko-KR"/>
              </w:rPr>
              <w:t>modus operandi</w:t>
            </w:r>
            <w:r w:rsidR="00B43615" w:rsidRPr="009A33BA">
              <w:rPr>
                <w:rFonts w:eastAsia="Batang"/>
                <w:kern w:val="22"/>
                <w:szCs w:val="22"/>
                <w:lang w:val="es-ES_tradnl" w:eastAsia="ko-KR"/>
              </w:rPr>
              <w:t xml:space="preserve"> para la aplicación del artículo 8 j) y disposiciones conexas, tales como, pero sin limitación:</w:t>
            </w:r>
          </w:p>
          <w:p w14:paraId="716C262E" w14:textId="4ACF00C3" w:rsidR="00B43615" w:rsidRPr="009A33BA" w:rsidRDefault="00293BED" w:rsidP="00B43615">
            <w:pPr>
              <w:shd w:val="clear" w:color="auto" w:fill="D9D9D9"/>
              <w:tabs>
                <w:tab w:val="left" w:pos="825"/>
              </w:tabs>
              <w:spacing w:before="120" w:after="120"/>
              <w:jc w:val="left"/>
              <w:rPr>
                <w:rFonts w:eastAsia="Batang"/>
                <w:kern w:val="22"/>
                <w:lang w:val="es-ES_tradnl" w:eastAsia="ko-KR"/>
              </w:rPr>
            </w:pPr>
            <w:r w:rsidRPr="009A33BA">
              <w:rPr>
                <w:rFonts w:eastAsia="Batang"/>
                <w:kern w:val="22"/>
                <w:lang w:val="es-ES_tradnl" w:eastAsia="ko-KR"/>
              </w:rPr>
              <w:t>a)</w:t>
            </w:r>
            <w:r w:rsidR="002371C3" w:rsidRPr="009A33BA">
              <w:rPr>
                <w:rFonts w:eastAsia="Batang"/>
                <w:kern w:val="22"/>
                <w:lang w:val="es-ES_tradnl" w:eastAsia="ko-KR"/>
              </w:rPr>
              <w:t xml:space="preserve">    </w:t>
            </w:r>
            <w:r w:rsidR="00B43615" w:rsidRPr="009A33BA">
              <w:rPr>
                <w:rFonts w:eastAsia="Batang"/>
                <w:kern w:val="22"/>
                <w:lang w:val="es-ES_tradnl" w:eastAsia="ko-KR"/>
              </w:rPr>
              <w:t xml:space="preserve">  </w:t>
            </w:r>
            <w:r w:rsidR="002371C3" w:rsidRPr="009A33BA">
              <w:rPr>
                <w:rFonts w:eastAsia="Batang"/>
                <w:kern w:val="22"/>
                <w:lang w:val="es-ES_tradnl" w:eastAsia="ko-KR"/>
              </w:rPr>
              <w:t xml:space="preserve">    </w:t>
            </w:r>
            <w:r w:rsidR="00B43615" w:rsidRPr="009A33BA">
              <w:rPr>
                <w:rFonts w:eastAsia="Batang"/>
                <w:kern w:val="22"/>
                <w:szCs w:val="22"/>
                <w:lang w:val="es-ES_tradnl" w:eastAsia="ko-KR"/>
              </w:rPr>
              <w:t>establecer un órgano subsidiario sobre el artículo 8 j) y disposiciones conexas con el mandato de brindar asesoramiento a la Conferencia de las Partes, otros órganos subsidiarios y, sujeto a su aprobación, la Conferencia de las Partes que actúa como reunión de las Partes en los respectivos Protocolos, sobre cuestiones que sean pertinentes para los pueblos indígenas y las comunidades locales y que estén comprendidas en el ámbito del Convenio;</w:t>
            </w:r>
          </w:p>
          <w:p w14:paraId="10C4C422" w14:textId="2921EC8D" w:rsidR="00B43615" w:rsidRPr="009A33BA" w:rsidRDefault="00293BED" w:rsidP="00B43615">
            <w:pPr>
              <w:shd w:val="clear" w:color="auto" w:fill="D9D9D9"/>
              <w:tabs>
                <w:tab w:val="left" w:pos="825"/>
              </w:tabs>
              <w:spacing w:before="120" w:after="120"/>
              <w:jc w:val="left"/>
              <w:rPr>
                <w:rFonts w:eastAsia="Batang"/>
                <w:kern w:val="22"/>
                <w:lang w:val="es-ES_tradnl" w:eastAsia="ko-KR"/>
              </w:rPr>
            </w:pPr>
            <w:r w:rsidRPr="009A33BA">
              <w:rPr>
                <w:rFonts w:eastAsia="Batang"/>
                <w:kern w:val="22"/>
                <w:lang w:val="es-ES_tradnl" w:eastAsia="ko-KR"/>
              </w:rPr>
              <w:t>b)</w:t>
            </w:r>
            <w:r w:rsidRPr="009A33BA">
              <w:rPr>
                <w:rFonts w:eastAsia="Batang"/>
                <w:kern w:val="22"/>
                <w:lang w:val="es-ES_tradnl" w:eastAsia="ko-KR"/>
              </w:rPr>
              <w:tab/>
            </w:r>
            <w:r w:rsidR="00B43615" w:rsidRPr="009A33BA">
              <w:rPr>
                <w:rFonts w:eastAsia="Batang"/>
                <w:kern w:val="22"/>
                <w:szCs w:val="22"/>
                <w:lang w:val="es-ES_tradnl" w:eastAsia="ko-KR"/>
              </w:rPr>
              <w:t>mantener en funcionamiento al Grupo de Trabajo especial de composición abierta entre períodos de sesiones sobre el artículo 8 j) y disposiciones conexas con un mandato actualizado;</w:t>
            </w:r>
          </w:p>
          <w:p w14:paraId="3115AF39" w14:textId="4114956D" w:rsidR="00293BED" w:rsidRPr="009A33BA" w:rsidRDefault="00293BED" w:rsidP="00FB38DC">
            <w:pPr>
              <w:shd w:val="clear" w:color="auto" w:fill="D9D9D9"/>
              <w:spacing w:before="120" w:after="120"/>
              <w:jc w:val="left"/>
              <w:rPr>
                <w:rFonts w:eastAsia="Batang"/>
                <w:kern w:val="22"/>
                <w:lang w:val="es-ES_tradnl" w:eastAsia="ko-KR"/>
              </w:rPr>
            </w:pPr>
            <w:r w:rsidRPr="009A33BA">
              <w:rPr>
                <w:rFonts w:eastAsia="Batang"/>
                <w:kern w:val="22"/>
                <w:lang w:val="es-ES_tradnl" w:eastAsia="ko-KR"/>
              </w:rPr>
              <w:t>c)</w:t>
            </w:r>
            <w:r w:rsidRPr="009A33BA">
              <w:rPr>
                <w:rFonts w:eastAsia="Batang"/>
                <w:kern w:val="22"/>
                <w:lang w:val="es-ES_tradnl" w:eastAsia="ko-KR"/>
              </w:rPr>
              <w:tab/>
            </w:r>
            <w:r w:rsidR="00760361" w:rsidRPr="009A33BA">
              <w:rPr>
                <w:rFonts w:eastAsia="Batang"/>
                <w:kern w:val="22"/>
                <w:szCs w:val="22"/>
                <w:lang w:val="es-ES_tradnl" w:eastAsia="ko-KR"/>
              </w:rPr>
              <w:t>aplicar los mecanismos de participación mejorados que utiliza el Grupo de Trabajo especial de composición abierta entre períodos de sesiones sobre el artículo 8 j) y disposiciones conexas para la participación de los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p>
          <w:p w14:paraId="27EFFCCB" w14:textId="4535D9EA" w:rsidR="00760361" w:rsidRPr="009A33BA" w:rsidRDefault="00293BED" w:rsidP="00760361">
            <w:pPr>
              <w:spacing w:before="120" w:after="120"/>
              <w:jc w:val="left"/>
              <w:rPr>
                <w:kern w:val="22"/>
                <w:lang w:val="es-ES_tradnl"/>
              </w:rPr>
            </w:pPr>
            <w:r w:rsidRPr="009A33BA">
              <w:rPr>
                <w:rFonts w:eastAsia="Batang"/>
                <w:kern w:val="22"/>
                <w:lang w:val="es-ES_tradnl" w:eastAsia="ko-KR"/>
              </w:rPr>
              <w:t>10.</w:t>
            </w:r>
            <w:r w:rsidRPr="009A33BA">
              <w:rPr>
                <w:rFonts w:eastAsia="Batang"/>
                <w:i/>
                <w:kern w:val="22"/>
                <w:lang w:val="es-ES_tradnl" w:eastAsia="ko-KR"/>
              </w:rPr>
              <w:tab/>
            </w:r>
            <w:r w:rsidR="00760361" w:rsidRPr="009A33BA">
              <w:rPr>
                <w:rFonts w:eastAsia="Batang"/>
                <w:i/>
                <w:kern w:val="22"/>
                <w:szCs w:val="22"/>
                <w:lang w:val="es-ES_tradnl" w:eastAsia="ko-KR"/>
              </w:rPr>
              <w:t>Pide</w:t>
            </w:r>
            <w:r w:rsidR="00760361" w:rsidRPr="009A33BA">
              <w:rPr>
                <w:rFonts w:eastAsia="Batang"/>
                <w:kern w:val="22"/>
                <w:szCs w:val="22"/>
                <w:lang w:val="es-ES_tradnl" w:eastAsia="ko-KR"/>
              </w:rPr>
              <w:t xml:space="preserve"> a la Secretaria Ejecutiva que recopile y analice la información recibida con miras a proponer posibles elementos para un programa de trabajo plenamente integrado como parte del marco de la diversidad biológica posterior a 2020, así como posibles arreglos institucionales y sus </w:t>
            </w:r>
            <w:r w:rsidR="00760361" w:rsidRPr="009A33BA">
              <w:rPr>
                <w:rFonts w:eastAsia="Batang"/>
                <w:i/>
                <w:kern w:val="22"/>
                <w:szCs w:val="22"/>
                <w:lang w:val="es-ES_tradnl" w:eastAsia="ko-KR"/>
              </w:rPr>
              <w:t>modus operandi</w:t>
            </w:r>
            <w:r w:rsidR="00760361" w:rsidRPr="009A33BA">
              <w:rPr>
                <w:rFonts w:eastAsia="Batang"/>
                <w:kern w:val="22"/>
                <w:szCs w:val="22"/>
                <w:lang w:val="es-ES_tradnl" w:eastAsia="ko-KR"/>
              </w:rPr>
              <w:t xml:space="preserve"> para someterlos a la consideración del Grupo de Trabajo especial de composición abierta entre períodos de sesiones sobre el artículo </w:t>
            </w:r>
            <w:r w:rsidR="00760361" w:rsidRPr="009A33BA">
              <w:rPr>
                <w:kern w:val="22"/>
                <w:szCs w:val="22"/>
                <w:lang w:val="es-ES_tradnl"/>
              </w:rPr>
              <w:t>8 j) y disposiciones conexas en su 11ª reunión;</w:t>
            </w:r>
          </w:p>
        </w:tc>
      </w:tr>
      <w:tr w:rsidR="003372D4" w:rsidRPr="00F80FBA" w14:paraId="3B5953A9" w14:textId="77777777" w:rsidTr="00FB38DC">
        <w:tc>
          <w:tcPr>
            <w:tcW w:w="4881" w:type="dxa"/>
            <w:shd w:val="clear" w:color="auto" w:fill="auto"/>
          </w:tcPr>
          <w:p w14:paraId="1554A20C" w14:textId="77777777" w:rsidR="00F64BDE" w:rsidRPr="009A33BA" w:rsidRDefault="00F64BDE" w:rsidP="00F64BDE">
            <w:pPr>
              <w:jc w:val="left"/>
              <w:rPr>
                <w:b/>
                <w:kern w:val="22"/>
                <w:lang w:val="es-ES_tradnl"/>
              </w:rPr>
            </w:pPr>
            <w:r w:rsidRPr="009A33BA">
              <w:rPr>
                <w:b/>
                <w:kern w:val="22"/>
                <w:lang w:val="es-ES_tradnl"/>
              </w:rPr>
              <w:lastRenderedPageBreak/>
              <w:t>Órgano Subsidiario sobre la Aplicación</w:t>
            </w:r>
          </w:p>
          <w:p w14:paraId="6AD95EEE" w14:textId="6DDD572A" w:rsidR="00F64BDE" w:rsidRPr="009A33BA" w:rsidRDefault="00F64BDE" w:rsidP="00F64BDE">
            <w:pPr>
              <w:jc w:val="left"/>
              <w:rPr>
                <w:b/>
                <w:kern w:val="22"/>
                <w:lang w:val="es-ES_tradnl"/>
              </w:rPr>
            </w:pPr>
            <w:r w:rsidRPr="009A33BA">
              <w:rPr>
                <w:b/>
                <w:kern w:val="22"/>
                <w:lang w:val="es-ES_tradnl"/>
              </w:rPr>
              <w:t xml:space="preserve">Tercera reunión </w:t>
            </w:r>
          </w:p>
          <w:p w14:paraId="16845F88" w14:textId="0E759516" w:rsidR="00293BED" w:rsidRPr="009A33BA" w:rsidRDefault="007B5AD2" w:rsidP="00FB38DC">
            <w:pPr>
              <w:spacing w:before="120" w:after="120"/>
              <w:jc w:val="left"/>
              <w:rPr>
                <w:b/>
                <w:kern w:val="22"/>
                <w:lang w:val="es-ES_tradnl"/>
              </w:rPr>
            </w:pPr>
            <w:r w:rsidRPr="009A33BA">
              <w:rPr>
                <w:b/>
                <w:kern w:val="22"/>
                <w:lang w:val="es-ES_tradnl"/>
              </w:rPr>
              <w:t>May</w:t>
            </w:r>
            <w:r w:rsidR="0034182E" w:rsidRPr="009A33BA">
              <w:rPr>
                <w:b/>
                <w:kern w:val="22"/>
                <w:lang w:val="es-ES_tradnl"/>
              </w:rPr>
              <w:t>o</w:t>
            </w:r>
            <w:r w:rsidRPr="009A33BA">
              <w:rPr>
                <w:b/>
                <w:kern w:val="22"/>
                <w:lang w:val="es-ES_tradnl"/>
              </w:rPr>
              <w:t>/</w:t>
            </w:r>
            <w:r w:rsidR="0034182E" w:rsidRPr="009A33BA">
              <w:rPr>
                <w:b/>
                <w:kern w:val="22"/>
                <w:lang w:val="es-ES_tradnl"/>
              </w:rPr>
              <w:t xml:space="preserve">junio de </w:t>
            </w:r>
            <w:r w:rsidR="00293BED" w:rsidRPr="009A33BA">
              <w:rPr>
                <w:b/>
                <w:kern w:val="22"/>
                <w:lang w:val="es-ES_tradnl"/>
              </w:rPr>
              <w:t>20</w:t>
            </w:r>
            <w:r w:rsidR="00740FA0" w:rsidRPr="009A33BA">
              <w:rPr>
                <w:b/>
                <w:kern w:val="22"/>
                <w:lang w:val="es-ES_tradnl"/>
              </w:rPr>
              <w:t>20</w:t>
            </w:r>
            <w:r w:rsidR="00293BED" w:rsidRPr="009A33BA">
              <w:rPr>
                <w:b/>
                <w:kern w:val="22"/>
                <w:lang w:val="es-ES_tradnl"/>
              </w:rPr>
              <w:t xml:space="preserve"> (</w:t>
            </w:r>
            <w:r w:rsidR="00053F89" w:rsidRPr="009A33BA">
              <w:rPr>
                <w:b/>
                <w:kern w:val="22"/>
                <w:lang w:val="es-ES_tradnl"/>
              </w:rPr>
              <w:t>se confirmará</w:t>
            </w:r>
            <w:r w:rsidR="00293BED" w:rsidRPr="009A33BA">
              <w:rPr>
                <w:b/>
                <w:kern w:val="22"/>
                <w:lang w:val="es-ES_tradnl"/>
              </w:rPr>
              <w:t>)</w:t>
            </w:r>
          </w:p>
          <w:p w14:paraId="6F519FF9" w14:textId="36D8658B" w:rsidR="00C075F7" w:rsidRPr="009A33BA" w:rsidRDefault="00760361" w:rsidP="00C075F7">
            <w:pPr>
              <w:spacing w:before="120" w:after="120"/>
              <w:jc w:val="left"/>
              <w:rPr>
                <w:kern w:val="22"/>
                <w:lang w:val="es-ES_tradnl"/>
              </w:rPr>
            </w:pPr>
            <w:r w:rsidRPr="009A33BA">
              <w:rPr>
                <w:rFonts w:eastAsia="Batang"/>
                <w:kern w:val="22"/>
                <w:lang w:val="es-ES_tradnl" w:eastAsia="ko-KR"/>
              </w:rPr>
              <w:t xml:space="preserve">Se invita al </w:t>
            </w:r>
            <w:r w:rsidR="0034182E" w:rsidRPr="009A33BA">
              <w:rPr>
                <w:rFonts w:eastAsia="Batang"/>
                <w:kern w:val="22"/>
                <w:lang w:val="es-ES_tradnl" w:eastAsia="ko-KR"/>
              </w:rPr>
              <w:t>Órgano Subsidiario</w:t>
            </w:r>
            <w:r w:rsidR="00007C83" w:rsidRPr="009A33BA">
              <w:rPr>
                <w:rFonts w:eastAsia="Batang"/>
                <w:kern w:val="22"/>
                <w:lang w:val="es-ES_tradnl" w:eastAsia="ko-KR"/>
              </w:rPr>
              <w:t xml:space="preserve"> sobre la Aplicación</w:t>
            </w:r>
            <w:r w:rsidR="00293BED" w:rsidRPr="009A33BA">
              <w:rPr>
                <w:rFonts w:eastAsia="Batang"/>
                <w:kern w:val="22"/>
                <w:lang w:val="es-ES_tradnl" w:eastAsia="ko-KR"/>
              </w:rPr>
              <w:t xml:space="preserve"> </w:t>
            </w:r>
            <w:r w:rsidRPr="009A33BA">
              <w:rPr>
                <w:rFonts w:eastAsia="Batang"/>
                <w:kern w:val="22"/>
                <w:lang w:val="es-ES_tradnl" w:eastAsia="ko-KR"/>
              </w:rPr>
              <w:t xml:space="preserve">en su tercera reunión a examinar la recomendación del Grupo de </w:t>
            </w:r>
            <w:r w:rsidR="00C075F7" w:rsidRPr="009A33BA">
              <w:rPr>
                <w:rFonts w:eastAsia="Batang"/>
                <w:kern w:val="22"/>
                <w:lang w:val="es-ES_tradnl" w:eastAsia="ko-KR"/>
              </w:rPr>
              <w:t xml:space="preserve">Trabajo </w:t>
            </w:r>
            <w:r w:rsidRPr="009A33BA">
              <w:rPr>
                <w:rFonts w:eastAsia="Batang"/>
                <w:kern w:val="22"/>
                <w:lang w:val="es-ES_tradnl" w:eastAsia="ko-KR"/>
              </w:rPr>
              <w:t xml:space="preserve">especial de composición abierta sobre el </w:t>
            </w:r>
            <w:r w:rsidR="009522CB" w:rsidRPr="009A33BA">
              <w:rPr>
                <w:rFonts w:eastAsia="Batang"/>
                <w:kern w:val="22"/>
                <w:lang w:val="es-ES_tradnl" w:eastAsia="ko-KR"/>
              </w:rPr>
              <w:t>artículo 8 j)</w:t>
            </w:r>
            <w:r w:rsidR="00293BED" w:rsidRPr="009A33BA">
              <w:rPr>
                <w:rFonts w:eastAsia="Batang"/>
                <w:kern w:val="22"/>
                <w:lang w:val="es-ES_tradnl" w:eastAsia="ko-KR"/>
              </w:rPr>
              <w:t xml:space="preserve"> </w:t>
            </w:r>
            <w:r w:rsidRPr="009A33BA">
              <w:rPr>
                <w:rFonts w:eastAsia="Batang"/>
                <w:kern w:val="22"/>
                <w:lang w:val="es-ES_tradnl" w:eastAsia="ko-KR"/>
              </w:rPr>
              <w:t>y disposiciones conexas en su undécima reunión</w:t>
            </w:r>
            <w:r w:rsidR="00293BED" w:rsidRPr="009A33BA">
              <w:rPr>
                <w:rFonts w:eastAsia="Batang"/>
                <w:kern w:val="22"/>
                <w:lang w:val="es-ES_tradnl" w:eastAsia="ko-KR"/>
              </w:rPr>
              <w:t xml:space="preserve">, </w:t>
            </w:r>
            <w:r w:rsidR="00C075F7" w:rsidRPr="009A33BA">
              <w:rPr>
                <w:rFonts w:eastAsia="Batang"/>
                <w:kern w:val="22"/>
                <w:lang w:val="es-ES_tradnl" w:eastAsia="ko-KR"/>
              </w:rPr>
              <w:t xml:space="preserve">sobre </w:t>
            </w:r>
            <w:r w:rsidR="00C075F7" w:rsidRPr="009A33BA">
              <w:rPr>
                <w:rFonts w:eastAsia="Batang"/>
                <w:kern w:val="22"/>
                <w:szCs w:val="22"/>
                <w:lang w:val="es-ES_tradnl" w:eastAsia="ko-KR"/>
              </w:rPr>
              <w:t xml:space="preserve">propuestas para una segunda fase de trabajo del Plan de acción sobre utilización consuetudinaria sostenible, así como arreglos institucionales y sus </w:t>
            </w:r>
            <w:r w:rsidR="00C075F7" w:rsidRPr="009A33BA">
              <w:rPr>
                <w:rFonts w:eastAsia="Batang"/>
                <w:i/>
                <w:kern w:val="22"/>
                <w:szCs w:val="22"/>
                <w:lang w:val="es-ES_tradnl" w:eastAsia="ko-KR"/>
              </w:rPr>
              <w:t>modus operandi</w:t>
            </w:r>
            <w:r w:rsidR="00C075F7" w:rsidRPr="009A33BA">
              <w:rPr>
                <w:rFonts w:eastAsia="Batang"/>
                <w:kern w:val="22"/>
                <w:szCs w:val="22"/>
                <w:lang w:val="es-ES_tradnl" w:eastAsia="ko-KR"/>
              </w:rPr>
              <w:t xml:space="preserve"> para la </w:t>
            </w:r>
            <w:r w:rsidR="00C075F7" w:rsidRPr="009A33BA">
              <w:rPr>
                <w:rFonts w:eastAsia="Batang"/>
                <w:kern w:val="22"/>
                <w:szCs w:val="22"/>
                <w:lang w:val="es-ES_tradnl" w:eastAsia="ko-KR"/>
              </w:rPr>
              <w:lastRenderedPageBreak/>
              <w:t>elaboración de un programa de trabajo plenamente integrado como parte del marco de la diversidad biológica posterior a 2020 que tenga en cuenta los avances en otros foros y organizaciones internacionales pertinentes</w:t>
            </w:r>
            <w:r w:rsidR="00C075F7" w:rsidRPr="009A33BA">
              <w:rPr>
                <w:rFonts w:eastAsia="Batang"/>
                <w:snapToGrid w:val="0"/>
                <w:kern w:val="22"/>
                <w:lang w:val="es-ES_tradnl" w:eastAsia="ko-KR"/>
              </w:rPr>
              <w:t>.</w:t>
            </w:r>
          </w:p>
        </w:tc>
        <w:tc>
          <w:tcPr>
            <w:tcW w:w="4759" w:type="dxa"/>
            <w:shd w:val="clear" w:color="auto" w:fill="auto"/>
          </w:tcPr>
          <w:p w14:paraId="169012F1" w14:textId="04972B4E" w:rsidR="00760361" w:rsidRPr="009A33BA" w:rsidRDefault="00293BED" w:rsidP="00760361">
            <w:pPr>
              <w:spacing w:before="120" w:after="120"/>
              <w:jc w:val="left"/>
              <w:rPr>
                <w:rFonts w:eastAsia="Batang"/>
                <w:kern w:val="22"/>
                <w:lang w:val="es-ES_tradnl" w:eastAsia="ko-KR"/>
              </w:rPr>
            </w:pPr>
            <w:r w:rsidRPr="009A33BA">
              <w:rPr>
                <w:rFonts w:eastAsia="Batang"/>
                <w:kern w:val="22"/>
                <w:lang w:val="es-ES_tradnl" w:eastAsia="ko-KR"/>
              </w:rPr>
              <w:lastRenderedPageBreak/>
              <w:t>11.</w:t>
            </w:r>
            <w:r w:rsidRPr="009A33BA">
              <w:rPr>
                <w:rFonts w:eastAsia="Batang"/>
                <w:i/>
                <w:kern w:val="22"/>
                <w:lang w:val="es-ES_tradnl" w:eastAsia="ko-KR"/>
              </w:rPr>
              <w:tab/>
            </w:r>
            <w:r w:rsidR="00760361" w:rsidRPr="009A33BA">
              <w:rPr>
                <w:rFonts w:eastAsia="Batang"/>
                <w:i/>
                <w:kern w:val="22"/>
                <w:szCs w:val="22"/>
                <w:lang w:val="es-ES_tradnl" w:eastAsia="ko-KR"/>
              </w:rPr>
              <w:t>Pide</w:t>
            </w:r>
            <w:r w:rsidR="00760361" w:rsidRPr="009A33BA">
              <w:rPr>
                <w:rFonts w:eastAsia="Batang"/>
                <w:kern w:val="22"/>
                <w:szCs w:val="22"/>
                <w:lang w:val="es-ES_tradnl" w:eastAsia="ko-KR"/>
              </w:rPr>
              <w:t xml:space="preserve"> al Grupo de Trabajo especial de composición abierta entre períodos de sesiones sobre el artículo 8 j) y disposiciones conexas que en su 11ª reunión formule propuestas para la posible labor futura, incluidas propuestas para una segunda fase de trabajo del Plan de acción sobre utilización consuetudinaria sostenible, así como arreglos institucionales y sus </w:t>
            </w:r>
            <w:r w:rsidR="00760361" w:rsidRPr="009A33BA">
              <w:rPr>
                <w:rFonts w:eastAsia="Batang"/>
                <w:i/>
                <w:kern w:val="22"/>
                <w:szCs w:val="22"/>
                <w:lang w:val="es-ES_tradnl" w:eastAsia="ko-KR"/>
              </w:rPr>
              <w:t>modus operandi</w:t>
            </w:r>
            <w:r w:rsidR="00760361" w:rsidRPr="009A33BA">
              <w:rPr>
                <w:rFonts w:eastAsia="Batang"/>
                <w:kern w:val="22"/>
                <w:szCs w:val="22"/>
                <w:lang w:val="es-ES_tradnl" w:eastAsia="ko-KR"/>
              </w:rPr>
              <w:t xml:space="preserve"> para someterlos a consideración del Órgano Subsidiario sobre la Aplicación en su tercera reunión con el fin de brindar insumos para la elaboración de un programa de trabajo plenamente integrado como </w:t>
            </w:r>
            <w:r w:rsidR="00760361" w:rsidRPr="009A33BA">
              <w:rPr>
                <w:rFonts w:eastAsia="Batang"/>
                <w:kern w:val="22"/>
                <w:szCs w:val="22"/>
                <w:lang w:val="es-ES_tradnl" w:eastAsia="ko-KR"/>
              </w:rPr>
              <w:lastRenderedPageBreak/>
              <w:t>parte del marco de la diversidad biológica posterior a 2020 que tenga en cuenta los avances en otros foros y organizaciones internacionales pertinentes;</w:t>
            </w:r>
          </w:p>
          <w:p w14:paraId="2972FCCF" w14:textId="6DF56032" w:rsidR="00760361" w:rsidRPr="009A33BA" w:rsidRDefault="00760361" w:rsidP="00FB38DC">
            <w:pPr>
              <w:spacing w:before="120" w:after="120"/>
              <w:jc w:val="left"/>
              <w:rPr>
                <w:kern w:val="22"/>
                <w:lang w:val="es-ES_tradnl"/>
              </w:rPr>
            </w:pPr>
          </w:p>
        </w:tc>
      </w:tr>
      <w:tr w:rsidR="003372D4" w:rsidRPr="00F80FBA" w14:paraId="76304457" w14:textId="77777777" w:rsidTr="00FB38DC">
        <w:tc>
          <w:tcPr>
            <w:tcW w:w="4881" w:type="dxa"/>
            <w:shd w:val="clear" w:color="auto" w:fill="auto"/>
          </w:tcPr>
          <w:p w14:paraId="5D32813F" w14:textId="77777777" w:rsidR="00D27FBC" w:rsidRPr="009A33BA" w:rsidRDefault="00D27FBC" w:rsidP="00D27FBC">
            <w:pPr>
              <w:rPr>
                <w:b/>
                <w:kern w:val="22"/>
                <w:lang w:val="es-ES_tradnl"/>
              </w:rPr>
            </w:pPr>
            <w:r w:rsidRPr="009A33BA">
              <w:rPr>
                <w:b/>
                <w:kern w:val="22"/>
                <w:lang w:val="es-ES_tradnl"/>
              </w:rPr>
              <w:lastRenderedPageBreak/>
              <w:t xml:space="preserve">Conferencia de las Partes </w:t>
            </w:r>
          </w:p>
          <w:p w14:paraId="75953D9A" w14:textId="62BD7064" w:rsidR="00D27FBC" w:rsidRPr="009A33BA" w:rsidRDefault="00D27FBC" w:rsidP="00D27FBC">
            <w:pPr>
              <w:rPr>
                <w:b/>
                <w:kern w:val="22"/>
                <w:lang w:val="es-ES_tradnl"/>
              </w:rPr>
            </w:pPr>
            <w:r w:rsidRPr="009A33BA">
              <w:rPr>
                <w:b/>
                <w:kern w:val="22"/>
                <w:lang w:val="es-ES_tradnl"/>
              </w:rPr>
              <w:t>Decimoquinta reunión</w:t>
            </w:r>
          </w:p>
          <w:p w14:paraId="1BB4EBD7" w14:textId="2B649DC2" w:rsidR="00293BED" w:rsidRPr="009A33BA" w:rsidRDefault="007B5AD2" w:rsidP="00FB38DC">
            <w:pPr>
              <w:jc w:val="left"/>
              <w:rPr>
                <w:b/>
                <w:kern w:val="22"/>
                <w:lang w:val="es-ES_tradnl"/>
              </w:rPr>
            </w:pPr>
            <w:r w:rsidRPr="009A33BA">
              <w:rPr>
                <w:b/>
                <w:kern w:val="22"/>
                <w:lang w:val="es-ES_tradnl"/>
              </w:rPr>
              <w:t>Oct</w:t>
            </w:r>
            <w:r w:rsidR="0034182E" w:rsidRPr="009A33BA">
              <w:rPr>
                <w:b/>
                <w:kern w:val="22"/>
                <w:lang w:val="es-ES_tradnl"/>
              </w:rPr>
              <w:t xml:space="preserve">ubre de </w:t>
            </w:r>
            <w:r w:rsidR="00293BED" w:rsidRPr="009A33BA">
              <w:rPr>
                <w:b/>
                <w:kern w:val="22"/>
                <w:lang w:val="es-ES_tradnl"/>
              </w:rPr>
              <w:t>2020 (</w:t>
            </w:r>
            <w:r w:rsidR="00053F89" w:rsidRPr="009A33BA">
              <w:rPr>
                <w:b/>
                <w:kern w:val="22"/>
                <w:lang w:val="es-ES_tradnl"/>
              </w:rPr>
              <w:t>se confirmará</w:t>
            </w:r>
            <w:r w:rsidR="00293BED" w:rsidRPr="009A33BA">
              <w:rPr>
                <w:b/>
                <w:kern w:val="22"/>
                <w:lang w:val="es-ES_tradnl"/>
              </w:rPr>
              <w:t>)</w:t>
            </w:r>
          </w:p>
          <w:p w14:paraId="06C8639C" w14:textId="32BFE3A2" w:rsidR="00293BED" w:rsidRPr="009A33BA" w:rsidRDefault="00C075F7" w:rsidP="00D27FBC">
            <w:pPr>
              <w:spacing w:before="120" w:after="120"/>
              <w:jc w:val="left"/>
              <w:rPr>
                <w:rFonts w:eastAsia="Batang"/>
                <w:kern w:val="22"/>
                <w:lang w:val="es-ES_tradnl" w:eastAsia="ko-KR"/>
              </w:rPr>
            </w:pPr>
            <w:r w:rsidRPr="009A33BA">
              <w:rPr>
                <w:rFonts w:eastAsia="Batang"/>
                <w:kern w:val="22"/>
                <w:lang w:val="es-ES_tradnl" w:eastAsia="ko-KR"/>
              </w:rPr>
              <w:t xml:space="preserve">Se invita a la Conferencia de las Partes en su decimoquinta reunión a examinar la recomendación del </w:t>
            </w:r>
            <w:r w:rsidR="00D27FBC" w:rsidRPr="009A33BA">
              <w:rPr>
                <w:rFonts w:eastAsia="Batang"/>
                <w:kern w:val="22"/>
                <w:lang w:val="es-ES_tradnl" w:eastAsia="ko-KR"/>
              </w:rPr>
              <w:t>Órgano Subsidiario sobre la Aplicación</w:t>
            </w:r>
            <w:r w:rsidRPr="009A33BA">
              <w:rPr>
                <w:rFonts w:eastAsia="Batang"/>
                <w:kern w:val="22"/>
                <w:lang w:val="es-ES_tradnl" w:eastAsia="ko-KR"/>
              </w:rPr>
              <w:t xml:space="preserve">, sobre </w:t>
            </w:r>
            <w:r w:rsidRPr="009A33BA">
              <w:rPr>
                <w:rFonts w:eastAsia="Batang"/>
                <w:kern w:val="22"/>
                <w:szCs w:val="22"/>
                <w:lang w:val="es-ES_tradnl" w:eastAsia="ko-KR"/>
              </w:rPr>
              <w:t xml:space="preserve">propuestas para una segunda fase de trabajo del Plan de acción sobre utilización consuetudinaria sostenible, así como arreglos institucionales y sus </w:t>
            </w:r>
            <w:r w:rsidRPr="009A33BA">
              <w:rPr>
                <w:rFonts w:eastAsia="Batang"/>
                <w:i/>
                <w:kern w:val="22"/>
                <w:szCs w:val="22"/>
                <w:lang w:val="es-ES_tradnl" w:eastAsia="ko-KR"/>
              </w:rPr>
              <w:t>modus operandi</w:t>
            </w:r>
            <w:r w:rsidRPr="009A33BA">
              <w:rPr>
                <w:rFonts w:eastAsia="Batang"/>
                <w:kern w:val="22"/>
                <w:szCs w:val="22"/>
                <w:lang w:val="es-ES_tradnl" w:eastAsia="ko-KR"/>
              </w:rPr>
              <w:t xml:space="preserve"> para la elaboración de un programa de trabajo plenamente integrado sobre el artículo 8 j)</w:t>
            </w:r>
            <w:r w:rsidR="004445F0" w:rsidRPr="009A33BA">
              <w:rPr>
                <w:rFonts w:eastAsia="Batang"/>
                <w:kern w:val="22"/>
                <w:szCs w:val="22"/>
                <w:lang w:val="es-ES_tradnl" w:eastAsia="ko-KR"/>
              </w:rPr>
              <w:t xml:space="preserve"> y disposiciones conexas, </w:t>
            </w:r>
            <w:r w:rsidRPr="009A33BA">
              <w:rPr>
                <w:rFonts w:eastAsia="Batang"/>
                <w:kern w:val="22"/>
                <w:szCs w:val="22"/>
                <w:lang w:val="es-ES_tradnl" w:eastAsia="ko-KR"/>
              </w:rPr>
              <w:t>como parte del marco de la diversidad biológica posterior a 2020</w:t>
            </w:r>
            <w:r w:rsidR="00293BED" w:rsidRPr="009A33BA">
              <w:rPr>
                <w:rFonts w:eastAsia="Batang"/>
                <w:kern w:val="22"/>
                <w:lang w:val="es-ES_tradnl" w:eastAsia="ko-KR"/>
              </w:rPr>
              <w:t>.</w:t>
            </w:r>
          </w:p>
        </w:tc>
        <w:tc>
          <w:tcPr>
            <w:tcW w:w="4759" w:type="dxa"/>
            <w:shd w:val="clear" w:color="auto" w:fill="auto"/>
          </w:tcPr>
          <w:p w14:paraId="50A21C9B" w14:textId="77777777" w:rsidR="00293BED" w:rsidRPr="009A33BA" w:rsidRDefault="00293BED" w:rsidP="00FB38DC">
            <w:pPr>
              <w:jc w:val="left"/>
              <w:rPr>
                <w:kern w:val="22"/>
                <w:lang w:val="es-ES_tradnl"/>
              </w:rPr>
            </w:pPr>
          </w:p>
        </w:tc>
      </w:tr>
    </w:tbl>
    <w:p w14:paraId="34BABC3C" w14:textId="77777777" w:rsidR="00293BED" w:rsidRPr="009A33BA" w:rsidRDefault="00293BED" w:rsidP="00FB38DC">
      <w:pPr>
        <w:rPr>
          <w:b/>
          <w:kern w:val="22"/>
          <w:lang w:val="es-ES_tradnl"/>
        </w:rPr>
      </w:pPr>
    </w:p>
    <w:p w14:paraId="7AD422BC" w14:textId="77777777" w:rsidR="00293BED" w:rsidRPr="009A33BA" w:rsidRDefault="00293BED">
      <w:pPr>
        <w:rPr>
          <w:b/>
          <w:kern w:val="22"/>
          <w:lang w:val="es-ES_tradnl"/>
        </w:rPr>
      </w:pPr>
      <w:r w:rsidRPr="009A33BA">
        <w:rPr>
          <w:b/>
          <w:kern w:val="22"/>
          <w:lang w:val="es-ES_tradnl"/>
        </w:rPr>
        <w:br w:type="page"/>
      </w:r>
    </w:p>
    <w:p w14:paraId="37457771" w14:textId="37753E13" w:rsidR="004E5A79" w:rsidRPr="009A33BA" w:rsidRDefault="002D4BEE" w:rsidP="004E5A79">
      <w:pPr>
        <w:jc w:val="center"/>
        <w:rPr>
          <w:i/>
          <w:kern w:val="22"/>
          <w:lang w:val="es-ES_tradnl"/>
        </w:rPr>
      </w:pPr>
      <w:r w:rsidRPr="009A33BA">
        <w:rPr>
          <w:i/>
          <w:kern w:val="22"/>
          <w:lang w:val="es-ES_tradnl"/>
        </w:rPr>
        <w:lastRenderedPageBreak/>
        <w:t>An</w:t>
      </w:r>
      <w:r w:rsidR="001C7AF2" w:rsidRPr="009A33BA">
        <w:rPr>
          <w:i/>
          <w:kern w:val="22"/>
          <w:lang w:val="es-ES_tradnl"/>
        </w:rPr>
        <w:t>e</w:t>
      </w:r>
      <w:r w:rsidRPr="009A33BA">
        <w:rPr>
          <w:i/>
          <w:kern w:val="22"/>
          <w:lang w:val="es-ES_tradnl"/>
        </w:rPr>
        <w:t>x</w:t>
      </w:r>
      <w:r w:rsidR="001C7AF2" w:rsidRPr="009A33BA">
        <w:rPr>
          <w:i/>
          <w:kern w:val="22"/>
          <w:lang w:val="es-ES_tradnl"/>
        </w:rPr>
        <w:t>o</w:t>
      </w:r>
      <w:r w:rsidRPr="009A33BA">
        <w:rPr>
          <w:i/>
          <w:kern w:val="22"/>
          <w:lang w:val="es-ES_tradnl"/>
        </w:rPr>
        <w:t xml:space="preserve"> I</w:t>
      </w:r>
      <w:r w:rsidR="00293BED" w:rsidRPr="009A33BA">
        <w:rPr>
          <w:i/>
          <w:kern w:val="22"/>
          <w:lang w:val="es-ES_tradnl"/>
        </w:rPr>
        <w:t>I</w:t>
      </w:r>
    </w:p>
    <w:p w14:paraId="7F03E850" w14:textId="0623CF5E" w:rsidR="00524AD6" w:rsidRPr="009A33BA" w:rsidRDefault="004E5A79" w:rsidP="00FB38DC">
      <w:pPr>
        <w:pStyle w:val="Heading1"/>
        <w:rPr>
          <w:kern w:val="22"/>
          <w:lang w:val="es-ES_tradnl"/>
        </w:rPr>
      </w:pPr>
      <w:r w:rsidRPr="009A33BA">
        <w:rPr>
          <w:kern w:val="22"/>
          <w:lang w:val="es-ES_tradnl"/>
        </w:rPr>
        <w:t>Decisi</w:t>
      </w:r>
      <w:r w:rsidR="001C7AF2" w:rsidRPr="009A33BA">
        <w:rPr>
          <w:kern w:val="22"/>
          <w:lang w:val="es-ES_tradnl"/>
        </w:rPr>
        <w:t>ón</w:t>
      </w:r>
      <w:r w:rsidRPr="009A33BA">
        <w:rPr>
          <w:kern w:val="22"/>
          <w:lang w:val="es-ES_tradnl"/>
        </w:rPr>
        <w:t xml:space="preserve"> XIII/32 </w:t>
      </w:r>
      <w:r w:rsidR="008B1C1A" w:rsidRPr="009A33BA">
        <w:rPr>
          <w:kern w:val="22"/>
          <w:lang w:val="es-ES_tradnl"/>
        </w:rPr>
        <w:t xml:space="preserve">sobre Administración del Convenio y el presupuesto para los Fondos Fiduciarios del Convenio </w:t>
      </w:r>
    </w:p>
    <w:p w14:paraId="53F44317" w14:textId="77777777" w:rsidR="00B20C92" w:rsidRPr="009A33BA" w:rsidRDefault="00B20C92" w:rsidP="00B20C92">
      <w:pPr>
        <w:rPr>
          <w:kern w:val="22"/>
          <w:lang w:val="es-ES_tradnl"/>
        </w:rPr>
      </w:pPr>
    </w:p>
    <w:p w14:paraId="5CBEB746" w14:textId="3580EFFA" w:rsidR="00B20C92" w:rsidRPr="009A33BA" w:rsidRDefault="008B1C1A" w:rsidP="00CA5002">
      <w:pPr>
        <w:pStyle w:val="Default"/>
        <w:keepNext/>
        <w:spacing w:after="120"/>
        <w:ind w:left="1276" w:hanging="1276"/>
        <w:rPr>
          <w:kern w:val="22"/>
          <w:sz w:val="22"/>
          <w:szCs w:val="22"/>
          <w:lang w:val="es-ES_tradnl"/>
        </w:rPr>
      </w:pPr>
      <w:r w:rsidRPr="009A33BA">
        <w:rPr>
          <w:b/>
          <w:bCs/>
          <w:kern w:val="22"/>
          <w:sz w:val="22"/>
          <w:szCs w:val="22"/>
          <w:lang w:val="es-ES_tradnl"/>
        </w:rPr>
        <w:t xml:space="preserve">Cuadro </w:t>
      </w:r>
      <w:r w:rsidR="00B20C92" w:rsidRPr="009A33BA">
        <w:rPr>
          <w:b/>
          <w:bCs/>
          <w:kern w:val="22"/>
          <w:sz w:val="22"/>
          <w:szCs w:val="22"/>
          <w:lang w:val="es-ES_tradnl"/>
        </w:rPr>
        <w:t>1b.</w:t>
      </w:r>
      <w:r w:rsidR="00CA5002" w:rsidRPr="009A33BA">
        <w:rPr>
          <w:b/>
          <w:bCs/>
          <w:kern w:val="22"/>
          <w:sz w:val="22"/>
          <w:szCs w:val="22"/>
          <w:lang w:val="es-ES_tradnl"/>
        </w:rPr>
        <w:tab/>
      </w:r>
      <w:r w:rsidRPr="009A33BA">
        <w:rPr>
          <w:b/>
          <w:bCs/>
          <w:kern w:val="22"/>
          <w:sz w:val="22"/>
          <w:szCs w:val="22"/>
          <w:lang w:val="es-ES_tradnl"/>
        </w:rPr>
        <w:t>Presupuesto bienal integrado de los Fondos Fiduciarios para el Convenio sobre la Diversidad Biológica 2017-2018 (por objeto de gastos)</w:t>
      </w:r>
    </w:p>
    <w:tbl>
      <w:tblPr>
        <w:tblW w:w="9382" w:type="dxa"/>
        <w:jc w:val="center"/>
        <w:tblBorders>
          <w:top w:val="nil"/>
          <w:left w:val="nil"/>
          <w:bottom w:val="nil"/>
          <w:right w:val="nil"/>
        </w:tblBorders>
        <w:tblLayout w:type="fixed"/>
        <w:tblLook w:val="0000" w:firstRow="0" w:lastRow="0" w:firstColumn="0" w:lastColumn="0" w:noHBand="0" w:noVBand="0"/>
      </w:tblPr>
      <w:tblGrid>
        <w:gridCol w:w="601"/>
        <w:gridCol w:w="4360"/>
        <w:gridCol w:w="1350"/>
        <w:gridCol w:w="1530"/>
        <w:gridCol w:w="1485"/>
        <w:gridCol w:w="28"/>
        <w:gridCol w:w="28"/>
      </w:tblGrid>
      <w:tr w:rsidR="00B20C92" w:rsidRPr="00F80FBA" w14:paraId="22BBCD39" w14:textId="77777777" w:rsidTr="009F5CC3">
        <w:trPr>
          <w:gridAfter w:val="2"/>
          <w:wAfter w:w="56" w:type="dxa"/>
          <w:cantSplit/>
          <w:jc w:val="center"/>
        </w:trPr>
        <w:tc>
          <w:tcPr>
            <w:tcW w:w="4961" w:type="dxa"/>
            <w:gridSpan w:val="2"/>
            <w:tcBorders>
              <w:bottom w:val="single" w:sz="8" w:space="0" w:color="000000"/>
            </w:tcBorders>
          </w:tcPr>
          <w:p w14:paraId="1B89E42E" w14:textId="53D70982" w:rsidR="00B20C92" w:rsidRPr="009A33BA" w:rsidRDefault="008B1C1A" w:rsidP="009F5CC3">
            <w:pPr>
              <w:pStyle w:val="Default"/>
              <w:jc w:val="center"/>
              <w:rPr>
                <w:i/>
                <w:iCs/>
                <w:kern w:val="22"/>
                <w:sz w:val="22"/>
                <w:szCs w:val="22"/>
                <w:lang w:val="es-ES_tradnl"/>
              </w:rPr>
            </w:pPr>
            <w:r w:rsidRPr="009A33BA">
              <w:rPr>
                <w:i/>
                <w:iCs/>
                <w:kern w:val="22"/>
                <w:sz w:val="22"/>
                <w:szCs w:val="22"/>
                <w:lang w:val="es-ES_tradnl"/>
              </w:rPr>
              <w:t>Gastos</w:t>
            </w:r>
          </w:p>
        </w:tc>
        <w:tc>
          <w:tcPr>
            <w:tcW w:w="1350" w:type="dxa"/>
            <w:tcBorders>
              <w:bottom w:val="single" w:sz="8" w:space="0" w:color="000000"/>
            </w:tcBorders>
          </w:tcPr>
          <w:p w14:paraId="140373D5" w14:textId="4373F1DF"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2017 (</w:t>
            </w:r>
            <w:r w:rsidR="00286DD1" w:rsidRPr="009A33BA">
              <w:rPr>
                <w:i/>
                <w:iCs/>
                <w:kern w:val="22"/>
                <w:sz w:val="22"/>
                <w:szCs w:val="22"/>
                <w:lang w:val="es-ES_tradnl"/>
              </w:rPr>
              <w:t xml:space="preserve">Miles </w:t>
            </w:r>
            <w:r w:rsidR="008B1C1A" w:rsidRPr="009A33BA">
              <w:rPr>
                <w:i/>
                <w:iCs/>
                <w:kern w:val="22"/>
                <w:sz w:val="22"/>
                <w:szCs w:val="22"/>
                <w:lang w:val="es-ES_tradnl"/>
              </w:rPr>
              <w:t>de dólares EE. UU.)</w:t>
            </w:r>
            <w:r w:rsidRPr="009A33BA">
              <w:rPr>
                <w:i/>
                <w:iCs/>
                <w:kern w:val="22"/>
                <w:sz w:val="22"/>
                <w:szCs w:val="22"/>
                <w:lang w:val="es-ES_tradnl"/>
              </w:rPr>
              <w:t xml:space="preserve"> </w:t>
            </w:r>
          </w:p>
        </w:tc>
        <w:tc>
          <w:tcPr>
            <w:tcW w:w="1530" w:type="dxa"/>
            <w:tcBorders>
              <w:bottom w:val="single" w:sz="8" w:space="0" w:color="000000"/>
            </w:tcBorders>
          </w:tcPr>
          <w:p w14:paraId="637F71EB" w14:textId="55528871"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2018 (</w:t>
            </w:r>
            <w:r w:rsidR="00286DD1" w:rsidRPr="009A33BA">
              <w:rPr>
                <w:i/>
                <w:iCs/>
                <w:kern w:val="22"/>
                <w:sz w:val="22"/>
                <w:szCs w:val="22"/>
                <w:lang w:val="es-ES_tradnl"/>
              </w:rPr>
              <w:t xml:space="preserve">Miles </w:t>
            </w:r>
            <w:r w:rsidR="008B1C1A" w:rsidRPr="009A33BA">
              <w:rPr>
                <w:i/>
                <w:iCs/>
                <w:kern w:val="22"/>
                <w:sz w:val="22"/>
                <w:szCs w:val="22"/>
                <w:lang w:val="es-ES_tradnl"/>
              </w:rPr>
              <w:t>de dólares EE. UU.</w:t>
            </w:r>
            <w:r w:rsidRPr="009A33BA">
              <w:rPr>
                <w:i/>
                <w:iCs/>
                <w:kern w:val="22"/>
                <w:sz w:val="22"/>
                <w:szCs w:val="22"/>
                <w:lang w:val="es-ES_tradnl"/>
              </w:rPr>
              <w:t xml:space="preserve">) </w:t>
            </w:r>
          </w:p>
        </w:tc>
        <w:tc>
          <w:tcPr>
            <w:tcW w:w="1485" w:type="dxa"/>
            <w:tcBorders>
              <w:bottom w:val="single" w:sz="8" w:space="0" w:color="000000"/>
            </w:tcBorders>
          </w:tcPr>
          <w:p w14:paraId="2B421F69" w14:textId="0062D981"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TOTAL (</w:t>
            </w:r>
            <w:r w:rsidR="00286DD1" w:rsidRPr="009A33BA">
              <w:rPr>
                <w:i/>
                <w:iCs/>
                <w:kern w:val="22"/>
                <w:sz w:val="22"/>
                <w:szCs w:val="22"/>
                <w:lang w:val="es-ES_tradnl"/>
              </w:rPr>
              <w:t xml:space="preserve">Miles </w:t>
            </w:r>
            <w:r w:rsidR="008B1C1A" w:rsidRPr="009A33BA">
              <w:rPr>
                <w:i/>
                <w:iCs/>
                <w:kern w:val="22"/>
                <w:sz w:val="22"/>
                <w:szCs w:val="22"/>
                <w:lang w:val="es-ES_tradnl"/>
              </w:rPr>
              <w:t>de dólares EE. UU.</w:t>
            </w:r>
            <w:r w:rsidRPr="009A33BA">
              <w:rPr>
                <w:i/>
                <w:iCs/>
                <w:kern w:val="22"/>
                <w:sz w:val="22"/>
                <w:szCs w:val="22"/>
                <w:lang w:val="es-ES_tradnl"/>
              </w:rPr>
              <w:t xml:space="preserve">) </w:t>
            </w:r>
          </w:p>
        </w:tc>
      </w:tr>
      <w:tr w:rsidR="00B20C92" w:rsidRPr="009A33BA" w14:paraId="2DF08A7F" w14:textId="77777777" w:rsidTr="009F5CC3">
        <w:trPr>
          <w:gridAfter w:val="1"/>
          <w:wAfter w:w="28" w:type="dxa"/>
          <w:cantSplit/>
          <w:jc w:val="center"/>
        </w:trPr>
        <w:tc>
          <w:tcPr>
            <w:tcW w:w="601" w:type="dxa"/>
            <w:tcBorders>
              <w:top w:val="single" w:sz="8" w:space="0" w:color="000000"/>
              <w:left w:val="nil"/>
              <w:bottom w:val="nil"/>
            </w:tcBorders>
          </w:tcPr>
          <w:p w14:paraId="19BCC187" w14:textId="77777777" w:rsidR="00B20C92" w:rsidRPr="009A33BA" w:rsidRDefault="00B20C92" w:rsidP="009F5CC3">
            <w:pPr>
              <w:pStyle w:val="Default"/>
              <w:rPr>
                <w:kern w:val="22"/>
                <w:sz w:val="22"/>
                <w:szCs w:val="22"/>
                <w:lang w:val="es-ES_tradnl"/>
              </w:rPr>
            </w:pPr>
            <w:r w:rsidRPr="009A33BA">
              <w:rPr>
                <w:kern w:val="22"/>
                <w:sz w:val="22"/>
                <w:szCs w:val="22"/>
                <w:lang w:val="es-ES_tradnl"/>
              </w:rPr>
              <w:t>A.</w:t>
            </w:r>
          </w:p>
        </w:tc>
        <w:tc>
          <w:tcPr>
            <w:tcW w:w="4360" w:type="dxa"/>
            <w:tcBorders>
              <w:top w:val="single" w:sz="8" w:space="0" w:color="000000"/>
              <w:bottom w:val="nil"/>
            </w:tcBorders>
          </w:tcPr>
          <w:p w14:paraId="795905E5" w14:textId="732ED839" w:rsidR="00B20C92" w:rsidRPr="009A33BA" w:rsidRDefault="008B1C1A" w:rsidP="009F5CC3">
            <w:pPr>
              <w:pStyle w:val="Default"/>
              <w:rPr>
                <w:kern w:val="22"/>
                <w:sz w:val="22"/>
                <w:szCs w:val="22"/>
                <w:lang w:val="es-ES_tradnl"/>
              </w:rPr>
            </w:pPr>
            <w:r w:rsidRPr="009A33BA">
              <w:rPr>
                <w:kern w:val="22"/>
                <w:sz w:val="22"/>
                <w:szCs w:val="22"/>
                <w:lang w:val="es-ES_tradnl"/>
              </w:rPr>
              <w:t>Gastos de personal</w:t>
            </w:r>
          </w:p>
        </w:tc>
        <w:tc>
          <w:tcPr>
            <w:tcW w:w="1350" w:type="dxa"/>
            <w:tcBorders>
              <w:top w:val="single" w:sz="8" w:space="0" w:color="000000"/>
              <w:bottom w:val="nil"/>
            </w:tcBorders>
          </w:tcPr>
          <w:p w14:paraId="674428B0" w14:textId="7D33C1BC" w:rsidR="00B20C92" w:rsidRPr="009A33BA" w:rsidRDefault="00B20C92" w:rsidP="009F5CC3">
            <w:pPr>
              <w:pStyle w:val="Default"/>
              <w:jc w:val="right"/>
              <w:rPr>
                <w:kern w:val="22"/>
                <w:sz w:val="22"/>
                <w:szCs w:val="22"/>
                <w:lang w:val="es-ES_tradnl"/>
              </w:rPr>
            </w:pPr>
            <w:r w:rsidRPr="009A33BA">
              <w:rPr>
                <w:kern w:val="22"/>
                <w:sz w:val="22"/>
                <w:szCs w:val="22"/>
                <w:lang w:val="es-ES_tradnl"/>
              </w:rPr>
              <w:t>11</w:t>
            </w:r>
            <w:r w:rsidR="008B1C1A" w:rsidRPr="009A33BA">
              <w:rPr>
                <w:kern w:val="22"/>
                <w:sz w:val="22"/>
                <w:szCs w:val="22"/>
                <w:lang w:val="es-ES_tradnl"/>
              </w:rPr>
              <w:t> </w:t>
            </w:r>
            <w:r w:rsidRPr="009A33BA">
              <w:rPr>
                <w:kern w:val="22"/>
                <w:sz w:val="22"/>
                <w:szCs w:val="22"/>
                <w:lang w:val="es-ES_tradnl"/>
              </w:rPr>
              <w:t>329</w:t>
            </w:r>
            <w:r w:rsidR="008B1C1A" w:rsidRPr="009A33BA">
              <w:rPr>
                <w:kern w:val="22"/>
                <w:sz w:val="22"/>
                <w:szCs w:val="22"/>
                <w:lang w:val="es-ES_tradnl"/>
              </w:rPr>
              <w:t>,</w:t>
            </w:r>
            <w:r w:rsidRPr="009A33BA">
              <w:rPr>
                <w:kern w:val="22"/>
                <w:sz w:val="22"/>
                <w:szCs w:val="22"/>
                <w:lang w:val="es-ES_tradnl"/>
              </w:rPr>
              <w:t>4</w:t>
            </w:r>
          </w:p>
        </w:tc>
        <w:tc>
          <w:tcPr>
            <w:tcW w:w="1530" w:type="dxa"/>
            <w:tcBorders>
              <w:top w:val="single" w:sz="8" w:space="0" w:color="000000"/>
              <w:bottom w:val="nil"/>
            </w:tcBorders>
          </w:tcPr>
          <w:p w14:paraId="3CD9C393" w14:textId="17F8E275" w:rsidR="00B20C92" w:rsidRPr="009A33BA" w:rsidRDefault="00B20C92" w:rsidP="009F5CC3">
            <w:pPr>
              <w:pStyle w:val="Default"/>
              <w:jc w:val="right"/>
              <w:rPr>
                <w:kern w:val="22"/>
                <w:sz w:val="22"/>
                <w:szCs w:val="22"/>
                <w:lang w:val="es-ES_tradnl"/>
              </w:rPr>
            </w:pPr>
            <w:r w:rsidRPr="009A33BA">
              <w:rPr>
                <w:kern w:val="22"/>
                <w:sz w:val="22"/>
                <w:szCs w:val="22"/>
                <w:lang w:val="es-ES_tradnl"/>
              </w:rPr>
              <w:t>11</w:t>
            </w:r>
            <w:r w:rsidR="008B1C1A" w:rsidRPr="009A33BA">
              <w:rPr>
                <w:kern w:val="22"/>
                <w:sz w:val="22"/>
                <w:szCs w:val="22"/>
                <w:lang w:val="es-ES_tradnl"/>
              </w:rPr>
              <w:t> </w:t>
            </w:r>
            <w:r w:rsidRPr="009A33BA">
              <w:rPr>
                <w:kern w:val="22"/>
                <w:sz w:val="22"/>
                <w:szCs w:val="22"/>
                <w:lang w:val="es-ES_tradnl"/>
              </w:rPr>
              <w:t>586</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single" w:sz="8" w:space="0" w:color="000000"/>
              <w:bottom w:val="nil"/>
            </w:tcBorders>
          </w:tcPr>
          <w:p w14:paraId="0930BDDD" w14:textId="25693F5C" w:rsidR="00B20C92" w:rsidRPr="009A33BA" w:rsidRDefault="00B20C92" w:rsidP="009F5CC3">
            <w:pPr>
              <w:pStyle w:val="Default"/>
              <w:jc w:val="right"/>
              <w:rPr>
                <w:kern w:val="22"/>
                <w:sz w:val="22"/>
                <w:szCs w:val="22"/>
                <w:lang w:val="es-ES_tradnl"/>
              </w:rPr>
            </w:pPr>
            <w:r w:rsidRPr="009A33BA">
              <w:rPr>
                <w:kern w:val="22"/>
                <w:sz w:val="22"/>
                <w:szCs w:val="22"/>
                <w:lang w:val="es-ES_tradnl"/>
              </w:rPr>
              <w:t>22</w:t>
            </w:r>
            <w:r w:rsidR="008B1C1A" w:rsidRPr="009A33BA">
              <w:rPr>
                <w:kern w:val="22"/>
                <w:sz w:val="22"/>
                <w:szCs w:val="22"/>
                <w:lang w:val="es-ES_tradnl"/>
              </w:rPr>
              <w:t> </w:t>
            </w:r>
            <w:r w:rsidRPr="009A33BA">
              <w:rPr>
                <w:kern w:val="22"/>
                <w:sz w:val="22"/>
                <w:szCs w:val="22"/>
                <w:lang w:val="es-ES_tradnl"/>
              </w:rPr>
              <w:t>915</w:t>
            </w:r>
            <w:r w:rsidR="008B1C1A" w:rsidRPr="009A33BA">
              <w:rPr>
                <w:kern w:val="22"/>
                <w:sz w:val="22"/>
                <w:szCs w:val="22"/>
                <w:lang w:val="es-ES_tradnl"/>
              </w:rPr>
              <w:t>,</w:t>
            </w:r>
            <w:r w:rsidRPr="009A33BA">
              <w:rPr>
                <w:kern w:val="22"/>
                <w:sz w:val="22"/>
                <w:szCs w:val="22"/>
                <w:lang w:val="es-ES_tradnl"/>
              </w:rPr>
              <w:t>4</w:t>
            </w:r>
          </w:p>
        </w:tc>
      </w:tr>
      <w:tr w:rsidR="00B20C92" w:rsidRPr="009A33BA" w14:paraId="31AE65EE" w14:textId="77777777" w:rsidTr="009F5CC3">
        <w:trPr>
          <w:gridAfter w:val="1"/>
          <w:wAfter w:w="28" w:type="dxa"/>
          <w:cantSplit/>
          <w:jc w:val="center"/>
        </w:trPr>
        <w:tc>
          <w:tcPr>
            <w:tcW w:w="601" w:type="dxa"/>
            <w:tcBorders>
              <w:top w:val="nil"/>
              <w:left w:val="nil"/>
              <w:bottom w:val="nil"/>
            </w:tcBorders>
          </w:tcPr>
          <w:p w14:paraId="7FFE015A" w14:textId="77777777" w:rsidR="00B20C92" w:rsidRPr="009A33BA" w:rsidRDefault="00B20C92" w:rsidP="009F5CC3">
            <w:pPr>
              <w:pStyle w:val="Default"/>
              <w:rPr>
                <w:kern w:val="22"/>
                <w:sz w:val="22"/>
                <w:szCs w:val="22"/>
                <w:lang w:val="es-ES_tradnl"/>
              </w:rPr>
            </w:pPr>
            <w:r w:rsidRPr="009A33BA">
              <w:rPr>
                <w:kern w:val="22"/>
                <w:sz w:val="22"/>
                <w:szCs w:val="22"/>
                <w:lang w:val="es-ES_tradnl"/>
              </w:rPr>
              <w:t>B.</w:t>
            </w:r>
          </w:p>
        </w:tc>
        <w:tc>
          <w:tcPr>
            <w:tcW w:w="4360" w:type="dxa"/>
            <w:tcBorders>
              <w:top w:val="nil"/>
              <w:bottom w:val="nil"/>
            </w:tcBorders>
          </w:tcPr>
          <w:p w14:paraId="4E86C405" w14:textId="6DBFBFCC" w:rsidR="00B20C92" w:rsidRPr="009A33BA" w:rsidRDefault="008B1C1A" w:rsidP="009F5CC3">
            <w:pPr>
              <w:pStyle w:val="Default"/>
              <w:rPr>
                <w:kern w:val="22"/>
                <w:sz w:val="22"/>
                <w:szCs w:val="22"/>
                <w:lang w:val="es-ES_tradnl"/>
              </w:rPr>
            </w:pPr>
            <w:r w:rsidRPr="009A33BA">
              <w:rPr>
                <w:kern w:val="22"/>
                <w:sz w:val="22"/>
                <w:szCs w:val="22"/>
                <w:lang w:val="es-ES_tradnl"/>
              </w:rPr>
              <w:t xml:space="preserve">Reuniones de la Mesa </w:t>
            </w:r>
          </w:p>
        </w:tc>
        <w:tc>
          <w:tcPr>
            <w:tcW w:w="1350" w:type="dxa"/>
            <w:tcBorders>
              <w:top w:val="nil"/>
              <w:bottom w:val="nil"/>
            </w:tcBorders>
          </w:tcPr>
          <w:p w14:paraId="231AC411" w14:textId="7A697D89" w:rsidR="00B20C92" w:rsidRPr="009A33BA" w:rsidRDefault="00B20C92" w:rsidP="009F5CC3">
            <w:pPr>
              <w:pStyle w:val="Default"/>
              <w:jc w:val="right"/>
              <w:rPr>
                <w:kern w:val="22"/>
                <w:sz w:val="22"/>
                <w:szCs w:val="22"/>
                <w:lang w:val="es-ES_tradnl"/>
              </w:rPr>
            </w:pPr>
            <w:r w:rsidRPr="009A33BA">
              <w:rPr>
                <w:kern w:val="22"/>
                <w:sz w:val="22"/>
                <w:szCs w:val="22"/>
                <w:lang w:val="es-ES_tradnl"/>
              </w:rPr>
              <w:t>150</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54E08841" w14:textId="32B9E471" w:rsidR="00B20C92" w:rsidRPr="009A33BA" w:rsidRDefault="00B20C92" w:rsidP="009F5CC3">
            <w:pPr>
              <w:pStyle w:val="Default"/>
              <w:jc w:val="right"/>
              <w:rPr>
                <w:kern w:val="22"/>
                <w:sz w:val="22"/>
                <w:szCs w:val="22"/>
                <w:lang w:val="es-ES_tradnl"/>
              </w:rPr>
            </w:pPr>
            <w:r w:rsidRPr="009A33BA">
              <w:rPr>
                <w:kern w:val="22"/>
                <w:sz w:val="22"/>
                <w:szCs w:val="22"/>
                <w:lang w:val="es-ES_tradnl"/>
              </w:rPr>
              <w:t>215</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44D81BC6" w14:textId="0D26D1F2" w:rsidR="00B20C92" w:rsidRPr="009A33BA" w:rsidRDefault="00B20C92" w:rsidP="009F5CC3">
            <w:pPr>
              <w:pStyle w:val="Default"/>
              <w:jc w:val="right"/>
              <w:rPr>
                <w:kern w:val="22"/>
                <w:sz w:val="22"/>
                <w:szCs w:val="22"/>
                <w:lang w:val="es-ES_tradnl"/>
              </w:rPr>
            </w:pPr>
            <w:r w:rsidRPr="009A33BA">
              <w:rPr>
                <w:kern w:val="22"/>
                <w:sz w:val="22"/>
                <w:szCs w:val="22"/>
                <w:lang w:val="es-ES_tradnl"/>
              </w:rPr>
              <w:t>365</w:t>
            </w:r>
            <w:r w:rsidR="008B1C1A" w:rsidRPr="009A33BA">
              <w:rPr>
                <w:kern w:val="22"/>
                <w:sz w:val="22"/>
                <w:szCs w:val="22"/>
                <w:lang w:val="es-ES_tradnl"/>
              </w:rPr>
              <w:t>,</w:t>
            </w:r>
            <w:r w:rsidRPr="009A33BA">
              <w:rPr>
                <w:kern w:val="22"/>
                <w:sz w:val="22"/>
                <w:szCs w:val="22"/>
                <w:lang w:val="es-ES_tradnl"/>
              </w:rPr>
              <w:t>0</w:t>
            </w:r>
          </w:p>
        </w:tc>
      </w:tr>
      <w:tr w:rsidR="00B20C92" w:rsidRPr="009A33BA" w14:paraId="4AA242DB" w14:textId="77777777" w:rsidTr="009F5CC3">
        <w:trPr>
          <w:gridAfter w:val="1"/>
          <w:wAfter w:w="28" w:type="dxa"/>
          <w:cantSplit/>
          <w:jc w:val="center"/>
        </w:trPr>
        <w:tc>
          <w:tcPr>
            <w:tcW w:w="601" w:type="dxa"/>
            <w:tcBorders>
              <w:top w:val="nil"/>
              <w:left w:val="nil"/>
              <w:bottom w:val="nil"/>
            </w:tcBorders>
          </w:tcPr>
          <w:p w14:paraId="0A891DA0" w14:textId="77777777" w:rsidR="00B20C92" w:rsidRPr="009A33BA" w:rsidRDefault="00B20C92" w:rsidP="009F5CC3">
            <w:pPr>
              <w:pStyle w:val="Default"/>
              <w:rPr>
                <w:kern w:val="22"/>
                <w:sz w:val="22"/>
                <w:szCs w:val="22"/>
                <w:lang w:val="es-ES_tradnl"/>
              </w:rPr>
            </w:pPr>
            <w:r w:rsidRPr="009A33BA">
              <w:rPr>
                <w:kern w:val="22"/>
                <w:sz w:val="22"/>
                <w:szCs w:val="22"/>
                <w:lang w:val="es-ES_tradnl"/>
              </w:rPr>
              <w:t>C.</w:t>
            </w:r>
          </w:p>
        </w:tc>
        <w:tc>
          <w:tcPr>
            <w:tcW w:w="4360" w:type="dxa"/>
            <w:tcBorders>
              <w:top w:val="nil"/>
              <w:bottom w:val="nil"/>
            </w:tcBorders>
          </w:tcPr>
          <w:p w14:paraId="49424583" w14:textId="6CEBEF92" w:rsidR="00B20C92" w:rsidRPr="009A33BA" w:rsidRDefault="008B1C1A" w:rsidP="009F5CC3">
            <w:pPr>
              <w:pStyle w:val="Default"/>
              <w:rPr>
                <w:kern w:val="22"/>
                <w:sz w:val="22"/>
                <w:szCs w:val="22"/>
                <w:lang w:val="es-ES_tradnl"/>
              </w:rPr>
            </w:pPr>
            <w:r w:rsidRPr="009A33BA">
              <w:rPr>
                <w:kern w:val="22"/>
                <w:sz w:val="22"/>
                <w:szCs w:val="22"/>
                <w:lang w:val="es-ES_tradnl"/>
              </w:rPr>
              <w:t>Viajes en comisión de servicio</w:t>
            </w:r>
          </w:p>
        </w:tc>
        <w:tc>
          <w:tcPr>
            <w:tcW w:w="1350" w:type="dxa"/>
            <w:tcBorders>
              <w:top w:val="nil"/>
              <w:bottom w:val="nil"/>
            </w:tcBorders>
          </w:tcPr>
          <w:p w14:paraId="0E7189E2" w14:textId="2A5C8D41" w:rsidR="00B20C92" w:rsidRPr="009A33BA" w:rsidRDefault="00B20C92" w:rsidP="009F5CC3">
            <w:pPr>
              <w:pStyle w:val="Default"/>
              <w:jc w:val="right"/>
              <w:rPr>
                <w:kern w:val="22"/>
                <w:sz w:val="22"/>
                <w:szCs w:val="22"/>
                <w:lang w:val="es-ES_tradnl"/>
              </w:rPr>
            </w:pPr>
            <w:r w:rsidRPr="009A33BA">
              <w:rPr>
                <w:kern w:val="22"/>
                <w:sz w:val="22"/>
                <w:szCs w:val="22"/>
                <w:lang w:val="es-ES_tradnl"/>
              </w:rPr>
              <w:t>450</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34C36E08" w14:textId="12AC8FEA" w:rsidR="00B20C92" w:rsidRPr="009A33BA" w:rsidRDefault="00B20C92" w:rsidP="009F5CC3">
            <w:pPr>
              <w:pStyle w:val="Default"/>
              <w:jc w:val="right"/>
              <w:rPr>
                <w:kern w:val="22"/>
                <w:sz w:val="22"/>
                <w:szCs w:val="22"/>
                <w:lang w:val="es-ES_tradnl"/>
              </w:rPr>
            </w:pPr>
            <w:r w:rsidRPr="009A33BA">
              <w:rPr>
                <w:kern w:val="22"/>
                <w:sz w:val="22"/>
                <w:szCs w:val="22"/>
                <w:lang w:val="es-ES_tradnl"/>
              </w:rPr>
              <w:t>400</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4860F4F5" w14:textId="563018B9" w:rsidR="00B20C92" w:rsidRPr="009A33BA" w:rsidRDefault="00B20C92" w:rsidP="009F5CC3">
            <w:pPr>
              <w:pStyle w:val="Default"/>
              <w:jc w:val="right"/>
              <w:rPr>
                <w:kern w:val="22"/>
                <w:sz w:val="22"/>
                <w:szCs w:val="22"/>
                <w:lang w:val="es-ES_tradnl"/>
              </w:rPr>
            </w:pPr>
            <w:r w:rsidRPr="009A33BA">
              <w:rPr>
                <w:kern w:val="22"/>
                <w:sz w:val="22"/>
                <w:szCs w:val="22"/>
                <w:lang w:val="es-ES_tradnl"/>
              </w:rPr>
              <w:t>850</w:t>
            </w:r>
            <w:r w:rsidR="008B1C1A" w:rsidRPr="009A33BA">
              <w:rPr>
                <w:kern w:val="22"/>
                <w:sz w:val="22"/>
                <w:szCs w:val="22"/>
                <w:lang w:val="es-ES_tradnl"/>
              </w:rPr>
              <w:t>,</w:t>
            </w:r>
            <w:r w:rsidRPr="009A33BA">
              <w:rPr>
                <w:kern w:val="22"/>
                <w:sz w:val="22"/>
                <w:szCs w:val="22"/>
                <w:lang w:val="es-ES_tradnl"/>
              </w:rPr>
              <w:t>0</w:t>
            </w:r>
          </w:p>
        </w:tc>
      </w:tr>
      <w:tr w:rsidR="00B20C92" w:rsidRPr="009A33BA" w14:paraId="3CFA0E4C" w14:textId="77777777" w:rsidTr="009F5CC3">
        <w:trPr>
          <w:gridAfter w:val="1"/>
          <w:wAfter w:w="28" w:type="dxa"/>
          <w:cantSplit/>
          <w:jc w:val="center"/>
        </w:trPr>
        <w:tc>
          <w:tcPr>
            <w:tcW w:w="601" w:type="dxa"/>
            <w:tcBorders>
              <w:top w:val="nil"/>
              <w:left w:val="nil"/>
              <w:bottom w:val="nil"/>
            </w:tcBorders>
          </w:tcPr>
          <w:p w14:paraId="4DEB9BF5" w14:textId="77777777" w:rsidR="00B20C92" w:rsidRPr="009A33BA" w:rsidRDefault="00B20C92" w:rsidP="009F5CC3">
            <w:pPr>
              <w:pStyle w:val="Default"/>
              <w:rPr>
                <w:kern w:val="22"/>
                <w:sz w:val="22"/>
                <w:szCs w:val="22"/>
                <w:lang w:val="es-ES_tradnl"/>
              </w:rPr>
            </w:pPr>
            <w:r w:rsidRPr="009A33BA">
              <w:rPr>
                <w:kern w:val="22"/>
                <w:sz w:val="22"/>
                <w:szCs w:val="22"/>
                <w:lang w:val="es-ES_tradnl"/>
              </w:rPr>
              <w:t>D.</w:t>
            </w:r>
          </w:p>
        </w:tc>
        <w:tc>
          <w:tcPr>
            <w:tcW w:w="4360" w:type="dxa"/>
            <w:tcBorders>
              <w:top w:val="nil"/>
              <w:bottom w:val="nil"/>
            </w:tcBorders>
          </w:tcPr>
          <w:p w14:paraId="62CADC05" w14:textId="5A92F013" w:rsidR="00B20C92" w:rsidRPr="009A33BA" w:rsidRDefault="00B20C92" w:rsidP="009F5CC3">
            <w:pPr>
              <w:pStyle w:val="Default"/>
              <w:rPr>
                <w:kern w:val="22"/>
                <w:sz w:val="22"/>
                <w:szCs w:val="22"/>
                <w:lang w:val="es-ES_tradnl"/>
              </w:rPr>
            </w:pPr>
            <w:r w:rsidRPr="009A33BA">
              <w:rPr>
                <w:kern w:val="22"/>
                <w:sz w:val="22"/>
                <w:szCs w:val="22"/>
                <w:lang w:val="es-ES_tradnl"/>
              </w:rPr>
              <w:t>Consult</w:t>
            </w:r>
            <w:r w:rsidR="008B1C1A" w:rsidRPr="009A33BA">
              <w:rPr>
                <w:kern w:val="22"/>
                <w:sz w:val="22"/>
                <w:szCs w:val="22"/>
                <w:lang w:val="es-ES_tradnl"/>
              </w:rPr>
              <w:t>ores</w:t>
            </w:r>
            <w:r w:rsidRPr="009A33BA">
              <w:rPr>
                <w:kern w:val="22"/>
                <w:sz w:val="22"/>
                <w:szCs w:val="22"/>
                <w:lang w:val="es-ES_tradnl"/>
              </w:rPr>
              <w:t>/subco</w:t>
            </w:r>
            <w:r w:rsidR="008B1C1A" w:rsidRPr="009A33BA">
              <w:rPr>
                <w:kern w:val="22"/>
                <w:sz w:val="22"/>
                <w:szCs w:val="22"/>
                <w:lang w:val="es-ES_tradnl"/>
              </w:rPr>
              <w:t>ntratos</w:t>
            </w:r>
          </w:p>
        </w:tc>
        <w:tc>
          <w:tcPr>
            <w:tcW w:w="1350" w:type="dxa"/>
            <w:tcBorders>
              <w:top w:val="nil"/>
              <w:bottom w:val="nil"/>
            </w:tcBorders>
          </w:tcPr>
          <w:p w14:paraId="1B6799BD" w14:textId="13BA0CC4" w:rsidR="00B20C92" w:rsidRPr="009A33BA" w:rsidRDefault="00B20C92" w:rsidP="009F5CC3">
            <w:pPr>
              <w:pStyle w:val="Default"/>
              <w:jc w:val="right"/>
              <w:rPr>
                <w:kern w:val="22"/>
                <w:sz w:val="22"/>
                <w:szCs w:val="22"/>
                <w:lang w:val="es-ES_tradnl"/>
              </w:rPr>
            </w:pPr>
            <w:r w:rsidRPr="009A33BA">
              <w:rPr>
                <w:kern w:val="22"/>
                <w:sz w:val="22"/>
                <w:szCs w:val="22"/>
                <w:lang w:val="es-ES_tradnl"/>
              </w:rPr>
              <w:t>75</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7081AD0B" w14:textId="05E8056B" w:rsidR="00B20C92" w:rsidRPr="009A33BA" w:rsidRDefault="00B20C92" w:rsidP="009F5CC3">
            <w:pPr>
              <w:pStyle w:val="Default"/>
              <w:jc w:val="right"/>
              <w:rPr>
                <w:kern w:val="22"/>
                <w:sz w:val="22"/>
                <w:szCs w:val="22"/>
                <w:lang w:val="es-ES_tradnl"/>
              </w:rPr>
            </w:pPr>
            <w:r w:rsidRPr="009A33BA">
              <w:rPr>
                <w:kern w:val="22"/>
                <w:sz w:val="22"/>
                <w:szCs w:val="22"/>
                <w:lang w:val="es-ES_tradnl"/>
              </w:rPr>
              <w:t>75</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39D8607A" w14:textId="633556A8" w:rsidR="00B20C92" w:rsidRPr="009A33BA" w:rsidRDefault="00B20C92" w:rsidP="009F5CC3">
            <w:pPr>
              <w:pStyle w:val="Default"/>
              <w:jc w:val="right"/>
              <w:rPr>
                <w:kern w:val="22"/>
                <w:sz w:val="22"/>
                <w:szCs w:val="22"/>
                <w:lang w:val="es-ES_tradnl"/>
              </w:rPr>
            </w:pPr>
            <w:r w:rsidRPr="009A33BA">
              <w:rPr>
                <w:kern w:val="22"/>
                <w:sz w:val="22"/>
                <w:szCs w:val="22"/>
                <w:lang w:val="es-ES_tradnl"/>
              </w:rPr>
              <w:t>150</w:t>
            </w:r>
            <w:r w:rsidR="008B1C1A" w:rsidRPr="009A33BA">
              <w:rPr>
                <w:kern w:val="22"/>
                <w:sz w:val="22"/>
                <w:szCs w:val="22"/>
                <w:lang w:val="es-ES_tradnl"/>
              </w:rPr>
              <w:t>,</w:t>
            </w:r>
            <w:r w:rsidRPr="009A33BA">
              <w:rPr>
                <w:kern w:val="22"/>
                <w:sz w:val="22"/>
                <w:szCs w:val="22"/>
                <w:lang w:val="es-ES_tradnl"/>
              </w:rPr>
              <w:t>0</w:t>
            </w:r>
          </w:p>
        </w:tc>
      </w:tr>
      <w:tr w:rsidR="00B20C92" w:rsidRPr="00F50396" w14:paraId="4CF9FB0D" w14:textId="77777777" w:rsidTr="009F5CC3">
        <w:trPr>
          <w:gridAfter w:val="1"/>
          <w:wAfter w:w="28" w:type="dxa"/>
          <w:cantSplit/>
          <w:jc w:val="center"/>
        </w:trPr>
        <w:tc>
          <w:tcPr>
            <w:tcW w:w="601" w:type="dxa"/>
            <w:tcBorders>
              <w:top w:val="nil"/>
              <w:left w:val="nil"/>
              <w:bottom w:val="nil"/>
            </w:tcBorders>
          </w:tcPr>
          <w:p w14:paraId="60035B9D" w14:textId="77777777" w:rsidR="00B20C92" w:rsidRPr="00F50396" w:rsidRDefault="00B20C92" w:rsidP="009F5CC3">
            <w:pPr>
              <w:pStyle w:val="Default"/>
              <w:rPr>
                <w:kern w:val="22"/>
                <w:sz w:val="22"/>
                <w:szCs w:val="22"/>
                <w:lang w:val="es-ES_tradnl"/>
              </w:rPr>
            </w:pPr>
            <w:r w:rsidRPr="00F50396">
              <w:rPr>
                <w:kern w:val="22"/>
                <w:sz w:val="22"/>
                <w:szCs w:val="22"/>
                <w:lang w:val="es-ES_tradnl"/>
              </w:rPr>
              <w:t>E.</w:t>
            </w:r>
          </w:p>
        </w:tc>
        <w:tc>
          <w:tcPr>
            <w:tcW w:w="4360" w:type="dxa"/>
            <w:tcBorders>
              <w:top w:val="nil"/>
              <w:bottom w:val="nil"/>
            </w:tcBorders>
          </w:tcPr>
          <w:p w14:paraId="7BDE8659" w14:textId="4992A120" w:rsidR="00B20C92" w:rsidRPr="00F50396" w:rsidRDefault="008B1C1A" w:rsidP="009F5CC3">
            <w:pPr>
              <w:pStyle w:val="Default"/>
              <w:rPr>
                <w:kern w:val="22"/>
                <w:sz w:val="22"/>
                <w:szCs w:val="22"/>
                <w:lang w:val="es-ES_tradnl"/>
              </w:rPr>
            </w:pPr>
            <w:r w:rsidRPr="00F50396">
              <w:rPr>
                <w:kern w:val="22"/>
                <w:sz w:val="22"/>
                <w:szCs w:val="22"/>
                <w:lang w:val="es-ES_tradnl"/>
              </w:rPr>
              <w:t>Reuniones</w:t>
            </w:r>
            <w:r w:rsidR="00B20C92" w:rsidRPr="00F50396">
              <w:rPr>
                <w:kern w:val="22"/>
                <w:sz w:val="22"/>
                <w:szCs w:val="22"/>
                <w:vertAlign w:val="superscript"/>
                <w:lang w:val="es-ES_tradnl"/>
              </w:rPr>
              <w:t>1/ 2/ 3/</w:t>
            </w:r>
          </w:p>
        </w:tc>
        <w:tc>
          <w:tcPr>
            <w:tcW w:w="1350" w:type="dxa"/>
            <w:tcBorders>
              <w:top w:val="nil"/>
              <w:bottom w:val="nil"/>
            </w:tcBorders>
          </w:tcPr>
          <w:p w14:paraId="22D50F40" w14:textId="0E859690" w:rsidR="00B20C92" w:rsidRPr="00F50396" w:rsidRDefault="00B20C92" w:rsidP="009F5CC3">
            <w:pPr>
              <w:pStyle w:val="Default"/>
              <w:jc w:val="right"/>
              <w:rPr>
                <w:kern w:val="22"/>
                <w:sz w:val="22"/>
                <w:szCs w:val="22"/>
                <w:lang w:val="es-ES_tradnl"/>
              </w:rPr>
            </w:pPr>
            <w:r w:rsidRPr="00F50396">
              <w:rPr>
                <w:kern w:val="22"/>
                <w:sz w:val="22"/>
                <w:szCs w:val="22"/>
                <w:lang w:val="es-ES_tradnl"/>
              </w:rPr>
              <w:t>1</w:t>
            </w:r>
            <w:r w:rsidR="008B1C1A" w:rsidRPr="00F50396">
              <w:rPr>
                <w:kern w:val="22"/>
                <w:sz w:val="22"/>
                <w:szCs w:val="22"/>
                <w:lang w:val="es-ES_tradnl"/>
              </w:rPr>
              <w:t> </w:t>
            </w:r>
            <w:r w:rsidRPr="00F50396">
              <w:rPr>
                <w:kern w:val="22"/>
                <w:sz w:val="22"/>
                <w:szCs w:val="22"/>
                <w:lang w:val="es-ES_tradnl"/>
              </w:rPr>
              <w:t>416</w:t>
            </w:r>
            <w:r w:rsidR="008B1C1A" w:rsidRPr="00F50396">
              <w:rPr>
                <w:kern w:val="22"/>
                <w:sz w:val="22"/>
                <w:szCs w:val="22"/>
                <w:lang w:val="es-ES_tradnl"/>
              </w:rPr>
              <w:t>,</w:t>
            </w:r>
            <w:r w:rsidRPr="00F50396">
              <w:rPr>
                <w:kern w:val="22"/>
                <w:sz w:val="22"/>
                <w:szCs w:val="22"/>
                <w:lang w:val="es-ES_tradnl"/>
              </w:rPr>
              <w:t>8</w:t>
            </w:r>
          </w:p>
        </w:tc>
        <w:tc>
          <w:tcPr>
            <w:tcW w:w="1530" w:type="dxa"/>
            <w:tcBorders>
              <w:top w:val="nil"/>
              <w:bottom w:val="nil"/>
            </w:tcBorders>
          </w:tcPr>
          <w:p w14:paraId="62B6DB19" w14:textId="7F7314E9" w:rsidR="00B20C92" w:rsidRPr="00F50396" w:rsidRDefault="00B20C92" w:rsidP="009F5CC3">
            <w:pPr>
              <w:pStyle w:val="Default"/>
              <w:jc w:val="right"/>
              <w:rPr>
                <w:kern w:val="22"/>
                <w:sz w:val="22"/>
                <w:szCs w:val="22"/>
                <w:lang w:val="es-ES_tradnl"/>
              </w:rPr>
            </w:pPr>
            <w:r w:rsidRPr="00F50396">
              <w:rPr>
                <w:kern w:val="22"/>
                <w:sz w:val="22"/>
                <w:szCs w:val="22"/>
                <w:lang w:val="es-ES_tradnl"/>
              </w:rPr>
              <w:t>2</w:t>
            </w:r>
            <w:r w:rsidR="008B1C1A" w:rsidRPr="00F50396">
              <w:rPr>
                <w:kern w:val="22"/>
                <w:sz w:val="22"/>
                <w:szCs w:val="22"/>
                <w:lang w:val="es-ES_tradnl"/>
              </w:rPr>
              <w:t> </w:t>
            </w:r>
            <w:r w:rsidRPr="00F50396">
              <w:rPr>
                <w:kern w:val="22"/>
                <w:sz w:val="22"/>
                <w:szCs w:val="22"/>
                <w:lang w:val="es-ES_tradnl"/>
              </w:rPr>
              <w:t>016</w:t>
            </w:r>
            <w:r w:rsidR="008B1C1A" w:rsidRPr="00F50396">
              <w:rPr>
                <w:kern w:val="22"/>
                <w:sz w:val="22"/>
                <w:szCs w:val="22"/>
                <w:lang w:val="es-ES_tradnl"/>
              </w:rPr>
              <w:t>,</w:t>
            </w:r>
            <w:r w:rsidRPr="00F50396">
              <w:rPr>
                <w:kern w:val="22"/>
                <w:sz w:val="22"/>
                <w:szCs w:val="22"/>
                <w:lang w:val="es-ES_tradnl"/>
              </w:rPr>
              <w:t>8</w:t>
            </w:r>
          </w:p>
        </w:tc>
        <w:tc>
          <w:tcPr>
            <w:tcW w:w="1513" w:type="dxa"/>
            <w:gridSpan w:val="2"/>
            <w:tcBorders>
              <w:top w:val="nil"/>
              <w:bottom w:val="nil"/>
            </w:tcBorders>
          </w:tcPr>
          <w:p w14:paraId="1C00278D" w14:textId="0BF446A2" w:rsidR="00B20C92" w:rsidRPr="00F50396" w:rsidRDefault="00B20C92" w:rsidP="009F5CC3">
            <w:pPr>
              <w:pStyle w:val="Default"/>
              <w:jc w:val="right"/>
              <w:rPr>
                <w:kern w:val="22"/>
                <w:sz w:val="22"/>
                <w:szCs w:val="22"/>
                <w:lang w:val="es-ES_tradnl"/>
              </w:rPr>
            </w:pPr>
            <w:r w:rsidRPr="00F50396">
              <w:rPr>
                <w:kern w:val="22"/>
                <w:sz w:val="22"/>
                <w:szCs w:val="22"/>
                <w:lang w:val="es-ES_tradnl"/>
              </w:rPr>
              <w:t>3</w:t>
            </w:r>
            <w:r w:rsidR="008B1C1A" w:rsidRPr="00F50396">
              <w:rPr>
                <w:kern w:val="22"/>
                <w:sz w:val="22"/>
                <w:szCs w:val="22"/>
                <w:lang w:val="es-ES_tradnl"/>
              </w:rPr>
              <w:t> </w:t>
            </w:r>
            <w:r w:rsidRPr="00F50396">
              <w:rPr>
                <w:kern w:val="22"/>
                <w:sz w:val="22"/>
                <w:szCs w:val="22"/>
                <w:lang w:val="es-ES_tradnl"/>
              </w:rPr>
              <w:t>433</w:t>
            </w:r>
            <w:r w:rsidR="008B1C1A" w:rsidRPr="00F50396">
              <w:rPr>
                <w:kern w:val="22"/>
                <w:sz w:val="22"/>
                <w:szCs w:val="22"/>
                <w:lang w:val="es-ES_tradnl"/>
              </w:rPr>
              <w:t>,</w:t>
            </w:r>
            <w:r w:rsidRPr="00F50396">
              <w:rPr>
                <w:kern w:val="22"/>
                <w:sz w:val="22"/>
                <w:szCs w:val="22"/>
                <w:lang w:val="es-ES_tradnl"/>
              </w:rPr>
              <w:t>6</w:t>
            </w:r>
          </w:p>
        </w:tc>
      </w:tr>
      <w:tr w:rsidR="00B20C92" w:rsidRPr="00F50396" w14:paraId="7CF9C704" w14:textId="77777777" w:rsidTr="009F5CC3">
        <w:trPr>
          <w:gridAfter w:val="1"/>
          <w:wAfter w:w="28" w:type="dxa"/>
          <w:cantSplit/>
          <w:jc w:val="center"/>
        </w:trPr>
        <w:tc>
          <w:tcPr>
            <w:tcW w:w="601" w:type="dxa"/>
            <w:tcBorders>
              <w:top w:val="nil"/>
              <w:left w:val="nil"/>
              <w:bottom w:val="nil"/>
            </w:tcBorders>
          </w:tcPr>
          <w:p w14:paraId="2D210FB8" w14:textId="77777777" w:rsidR="00B20C92" w:rsidRPr="00F50396" w:rsidRDefault="00B20C92" w:rsidP="009F5CC3">
            <w:pPr>
              <w:pStyle w:val="Default"/>
              <w:rPr>
                <w:kern w:val="22"/>
                <w:sz w:val="22"/>
                <w:szCs w:val="22"/>
                <w:lang w:val="es-ES_tradnl"/>
              </w:rPr>
            </w:pPr>
            <w:r w:rsidRPr="00F50396">
              <w:rPr>
                <w:kern w:val="22"/>
                <w:sz w:val="22"/>
                <w:szCs w:val="22"/>
                <w:lang w:val="es-ES_tradnl"/>
              </w:rPr>
              <w:t>F.</w:t>
            </w:r>
          </w:p>
        </w:tc>
        <w:tc>
          <w:tcPr>
            <w:tcW w:w="4360" w:type="dxa"/>
            <w:tcBorders>
              <w:top w:val="nil"/>
              <w:bottom w:val="nil"/>
            </w:tcBorders>
          </w:tcPr>
          <w:p w14:paraId="6864D232" w14:textId="2BCCD24A" w:rsidR="00B20C92" w:rsidRPr="00F50396" w:rsidRDefault="008B1C1A" w:rsidP="009F5CC3">
            <w:pPr>
              <w:pStyle w:val="Default"/>
              <w:rPr>
                <w:kern w:val="22"/>
                <w:sz w:val="22"/>
                <w:szCs w:val="22"/>
                <w:lang w:val="es-ES_tradnl"/>
              </w:rPr>
            </w:pPr>
            <w:r w:rsidRPr="00F50396">
              <w:rPr>
                <w:kern w:val="22"/>
                <w:sz w:val="22"/>
                <w:szCs w:val="22"/>
                <w:lang w:val="es-ES_tradnl"/>
              </w:rPr>
              <w:t>Materiales de sensibilización del público</w:t>
            </w:r>
          </w:p>
        </w:tc>
        <w:tc>
          <w:tcPr>
            <w:tcW w:w="1350" w:type="dxa"/>
            <w:tcBorders>
              <w:top w:val="nil"/>
              <w:bottom w:val="nil"/>
            </w:tcBorders>
          </w:tcPr>
          <w:p w14:paraId="7EE0A585" w14:textId="6A7060ED" w:rsidR="00B20C92" w:rsidRPr="00F50396" w:rsidRDefault="00B20C92" w:rsidP="009F5CC3">
            <w:pPr>
              <w:pStyle w:val="Default"/>
              <w:jc w:val="right"/>
              <w:rPr>
                <w:kern w:val="22"/>
                <w:sz w:val="22"/>
                <w:szCs w:val="22"/>
                <w:lang w:val="es-ES_tradnl"/>
              </w:rPr>
            </w:pPr>
            <w:r w:rsidRPr="00F50396">
              <w:rPr>
                <w:kern w:val="22"/>
                <w:sz w:val="22"/>
                <w:szCs w:val="22"/>
                <w:lang w:val="es-ES_tradnl"/>
              </w:rPr>
              <w:t>50</w:t>
            </w:r>
            <w:r w:rsidR="008B1C1A" w:rsidRPr="00F50396">
              <w:rPr>
                <w:kern w:val="22"/>
                <w:sz w:val="22"/>
                <w:szCs w:val="22"/>
                <w:lang w:val="es-ES_tradnl"/>
              </w:rPr>
              <w:t>,</w:t>
            </w:r>
            <w:r w:rsidRPr="00F50396">
              <w:rPr>
                <w:kern w:val="22"/>
                <w:sz w:val="22"/>
                <w:szCs w:val="22"/>
                <w:lang w:val="es-ES_tradnl"/>
              </w:rPr>
              <w:t>0</w:t>
            </w:r>
          </w:p>
        </w:tc>
        <w:tc>
          <w:tcPr>
            <w:tcW w:w="1530" w:type="dxa"/>
            <w:tcBorders>
              <w:top w:val="nil"/>
              <w:bottom w:val="nil"/>
            </w:tcBorders>
          </w:tcPr>
          <w:p w14:paraId="0B3AEBF6" w14:textId="5477DD2B" w:rsidR="00B20C92" w:rsidRPr="00F50396" w:rsidRDefault="00B20C92" w:rsidP="009F5CC3">
            <w:pPr>
              <w:pStyle w:val="Default"/>
              <w:jc w:val="right"/>
              <w:rPr>
                <w:kern w:val="22"/>
                <w:sz w:val="22"/>
                <w:szCs w:val="22"/>
                <w:lang w:val="es-ES_tradnl"/>
              </w:rPr>
            </w:pPr>
            <w:r w:rsidRPr="00F50396">
              <w:rPr>
                <w:kern w:val="22"/>
                <w:sz w:val="22"/>
                <w:szCs w:val="22"/>
                <w:lang w:val="es-ES_tradnl"/>
              </w:rPr>
              <w:t>50</w:t>
            </w:r>
            <w:r w:rsidR="008B1C1A" w:rsidRPr="00F50396">
              <w:rPr>
                <w:kern w:val="22"/>
                <w:sz w:val="22"/>
                <w:szCs w:val="22"/>
                <w:lang w:val="es-ES_tradnl"/>
              </w:rPr>
              <w:t>,</w:t>
            </w:r>
            <w:r w:rsidRPr="00F50396">
              <w:rPr>
                <w:kern w:val="22"/>
                <w:sz w:val="22"/>
                <w:szCs w:val="22"/>
                <w:lang w:val="es-ES_tradnl"/>
              </w:rPr>
              <w:t>0</w:t>
            </w:r>
          </w:p>
        </w:tc>
        <w:tc>
          <w:tcPr>
            <w:tcW w:w="1513" w:type="dxa"/>
            <w:gridSpan w:val="2"/>
            <w:tcBorders>
              <w:top w:val="nil"/>
              <w:bottom w:val="nil"/>
            </w:tcBorders>
          </w:tcPr>
          <w:p w14:paraId="6E7AED98" w14:textId="0068D17A" w:rsidR="00B20C92" w:rsidRPr="00F50396" w:rsidRDefault="00B20C92" w:rsidP="009F5CC3">
            <w:pPr>
              <w:pStyle w:val="Default"/>
              <w:jc w:val="right"/>
              <w:rPr>
                <w:kern w:val="22"/>
                <w:sz w:val="22"/>
                <w:szCs w:val="22"/>
                <w:lang w:val="es-ES_tradnl"/>
              </w:rPr>
            </w:pPr>
            <w:r w:rsidRPr="00F50396">
              <w:rPr>
                <w:kern w:val="22"/>
                <w:sz w:val="22"/>
                <w:szCs w:val="22"/>
                <w:lang w:val="es-ES_tradnl"/>
              </w:rPr>
              <w:t>100</w:t>
            </w:r>
            <w:r w:rsidR="008B1C1A" w:rsidRPr="00F50396">
              <w:rPr>
                <w:kern w:val="22"/>
                <w:sz w:val="22"/>
                <w:szCs w:val="22"/>
                <w:lang w:val="es-ES_tradnl"/>
              </w:rPr>
              <w:t>,</w:t>
            </w:r>
            <w:r w:rsidRPr="00F50396">
              <w:rPr>
                <w:kern w:val="22"/>
                <w:sz w:val="22"/>
                <w:szCs w:val="22"/>
                <w:lang w:val="es-ES_tradnl"/>
              </w:rPr>
              <w:t>0</w:t>
            </w:r>
          </w:p>
        </w:tc>
      </w:tr>
      <w:tr w:rsidR="00B20C92" w:rsidRPr="009A33BA" w14:paraId="7560E994" w14:textId="77777777" w:rsidTr="009F5CC3">
        <w:trPr>
          <w:gridAfter w:val="1"/>
          <w:wAfter w:w="28" w:type="dxa"/>
          <w:cantSplit/>
          <w:jc w:val="center"/>
        </w:trPr>
        <w:tc>
          <w:tcPr>
            <w:tcW w:w="601" w:type="dxa"/>
            <w:tcBorders>
              <w:top w:val="nil"/>
              <w:left w:val="nil"/>
              <w:bottom w:val="nil"/>
            </w:tcBorders>
          </w:tcPr>
          <w:p w14:paraId="1554ECC0" w14:textId="77777777" w:rsidR="00B20C92" w:rsidRPr="009A33BA" w:rsidRDefault="00B20C92" w:rsidP="009F5CC3">
            <w:pPr>
              <w:pStyle w:val="Default"/>
              <w:rPr>
                <w:kern w:val="22"/>
                <w:sz w:val="22"/>
                <w:szCs w:val="22"/>
                <w:lang w:val="es-ES_tradnl"/>
              </w:rPr>
            </w:pPr>
            <w:r w:rsidRPr="009A33BA">
              <w:rPr>
                <w:kern w:val="22"/>
                <w:sz w:val="22"/>
                <w:szCs w:val="22"/>
                <w:lang w:val="es-ES_tradnl"/>
              </w:rPr>
              <w:t>G.</w:t>
            </w:r>
          </w:p>
        </w:tc>
        <w:tc>
          <w:tcPr>
            <w:tcW w:w="4360" w:type="dxa"/>
            <w:tcBorders>
              <w:top w:val="nil"/>
              <w:bottom w:val="nil"/>
            </w:tcBorders>
          </w:tcPr>
          <w:p w14:paraId="760B44CF" w14:textId="081CE3A7" w:rsidR="00B20C92" w:rsidRPr="009A33BA" w:rsidRDefault="008B1C1A" w:rsidP="009F5CC3">
            <w:pPr>
              <w:pStyle w:val="Default"/>
              <w:rPr>
                <w:kern w:val="22"/>
                <w:sz w:val="22"/>
                <w:szCs w:val="22"/>
                <w:lang w:val="es-ES_tradnl"/>
              </w:rPr>
            </w:pPr>
            <w:r w:rsidRPr="009A33BA">
              <w:rPr>
                <w:kern w:val="22"/>
                <w:sz w:val="22"/>
                <w:szCs w:val="22"/>
                <w:lang w:val="es-ES_tradnl"/>
              </w:rPr>
              <w:t>Personal temporario</w:t>
            </w:r>
            <w:r w:rsidR="00B20C92" w:rsidRPr="009A33BA">
              <w:rPr>
                <w:kern w:val="22"/>
                <w:sz w:val="22"/>
                <w:szCs w:val="22"/>
                <w:lang w:val="es-ES_tradnl"/>
              </w:rPr>
              <w:t>/</w:t>
            </w:r>
            <w:r w:rsidRPr="009A33BA">
              <w:rPr>
                <w:kern w:val="22"/>
                <w:sz w:val="22"/>
                <w:szCs w:val="22"/>
                <w:lang w:val="es-ES_tradnl"/>
              </w:rPr>
              <w:t>horas extraordinarias</w:t>
            </w:r>
          </w:p>
        </w:tc>
        <w:tc>
          <w:tcPr>
            <w:tcW w:w="1350" w:type="dxa"/>
            <w:tcBorders>
              <w:top w:val="nil"/>
              <w:bottom w:val="nil"/>
            </w:tcBorders>
          </w:tcPr>
          <w:p w14:paraId="295BA8D8" w14:textId="30BAFDA2" w:rsidR="00B20C92" w:rsidRPr="009A33BA" w:rsidRDefault="00B20C92" w:rsidP="009F5CC3">
            <w:pPr>
              <w:pStyle w:val="Default"/>
              <w:jc w:val="right"/>
              <w:rPr>
                <w:kern w:val="22"/>
                <w:sz w:val="22"/>
                <w:szCs w:val="22"/>
                <w:lang w:val="es-ES_tradnl"/>
              </w:rPr>
            </w:pPr>
            <w:r w:rsidRPr="009A33BA">
              <w:rPr>
                <w:kern w:val="22"/>
                <w:sz w:val="22"/>
                <w:szCs w:val="22"/>
                <w:lang w:val="es-ES_tradnl"/>
              </w:rPr>
              <w:t>100</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3C6932D2" w14:textId="0851D2C7" w:rsidR="00B20C92" w:rsidRPr="009A33BA" w:rsidRDefault="00B20C92" w:rsidP="009F5CC3">
            <w:pPr>
              <w:pStyle w:val="Default"/>
              <w:jc w:val="right"/>
              <w:rPr>
                <w:kern w:val="22"/>
                <w:sz w:val="22"/>
                <w:szCs w:val="22"/>
                <w:lang w:val="es-ES_tradnl"/>
              </w:rPr>
            </w:pPr>
            <w:r w:rsidRPr="009A33BA">
              <w:rPr>
                <w:kern w:val="22"/>
                <w:sz w:val="22"/>
                <w:szCs w:val="22"/>
                <w:lang w:val="es-ES_tradnl"/>
              </w:rPr>
              <w:t>100</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2ACF7FA7" w14:textId="65C55FB4" w:rsidR="00B20C92" w:rsidRPr="009A33BA" w:rsidRDefault="00B20C92" w:rsidP="009F5CC3">
            <w:pPr>
              <w:pStyle w:val="Default"/>
              <w:jc w:val="right"/>
              <w:rPr>
                <w:kern w:val="22"/>
                <w:sz w:val="22"/>
                <w:szCs w:val="22"/>
                <w:lang w:val="es-ES_tradnl"/>
              </w:rPr>
            </w:pPr>
            <w:r w:rsidRPr="009A33BA">
              <w:rPr>
                <w:kern w:val="22"/>
                <w:sz w:val="22"/>
                <w:szCs w:val="22"/>
                <w:lang w:val="es-ES_tradnl"/>
              </w:rPr>
              <w:t>200</w:t>
            </w:r>
            <w:r w:rsidR="008B1C1A" w:rsidRPr="009A33BA">
              <w:rPr>
                <w:kern w:val="22"/>
                <w:sz w:val="22"/>
                <w:szCs w:val="22"/>
                <w:lang w:val="es-ES_tradnl"/>
              </w:rPr>
              <w:t>,</w:t>
            </w:r>
            <w:r w:rsidRPr="009A33BA">
              <w:rPr>
                <w:kern w:val="22"/>
                <w:sz w:val="22"/>
                <w:szCs w:val="22"/>
                <w:lang w:val="es-ES_tradnl"/>
              </w:rPr>
              <w:t>0</w:t>
            </w:r>
          </w:p>
        </w:tc>
      </w:tr>
      <w:tr w:rsidR="00B20C92" w:rsidRPr="009A33BA" w14:paraId="05A72A60" w14:textId="77777777" w:rsidTr="009F5CC3">
        <w:trPr>
          <w:gridAfter w:val="1"/>
          <w:wAfter w:w="28" w:type="dxa"/>
          <w:cantSplit/>
          <w:jc w:val="center"/>
        </w:trPr>
        <w:tc>
          <w:tcPr>
            <w:tcW w:w="601" w:type="dxa"/>
            <w:tcBorders>
              <w:top w:val="nil"/>
              <w:left w:val="nil"/>
              <w:bottom w:val="nil"/>
            </w:tcBorders>
          </w:tcPr>
          <w:p w14:paraId="21EDD0A6" w14:textId="77777777" w:rsidR="00B20C92" w:rsidRPr="009A33BA" w:rsidRDefault="00B20C92" w:rsidP="009F5CC3">
            <w:pPr>
              <w:pStyle w:val="Default"/>
              <w:rPr>
                <w:kern w:val="22"/>
                <w:sz w:val="22"/>
                <w:szCs w:val="22"/>
                <w:lang w:val="es-ES_tradnl"/>
              </w:rPr>
            </w:pPr>
            <w:r w:rsidRPr="009A33BA">
              <w:rPr>
                <w:kern w:val="22"/>
                <w:sz w:val="22"/>
                <w:szCs w:val="22"/>
                <w:lang w:val="es-ES_tradnl"/>
              </w:rPr>
              <w:t>H.</w:t>
            </w:r>
          </w:p>
        </w:tc>
        <w:tc>
          <w:tcPr>
            <w:tcW w:w="4360" w:type="dxa"/>
            <w:tcBorders>
              <w:top w:val="nil"/>
              <w:bottom w:val="nil"/>
            </w:tcBorders>
          </w:tcPr>
          <w:p w14:paraId="3B6A29C6" w14:textId="17C8903D" w:rsidR="00B20C92" w:rsidRPr="009A33BA" w:rsidRDefault="008B1C1A" w:rsidP="009F5CC3">
            <w:pPr>
              <w:pStyle w:val="Default"/>
              <w:rPr>
                <w:kern w:val="22"/>
                <w:sz w:val="22"/>
                <w:szCs w:val="22"/>
                <w:lang w:val="es-ES_tradnl"/>
              </w:rPr>
            </w:pPr>
            <w:r w:rsidRPr="009A33BA">
              <w:rPr>
                <w:kern w:val="22"/>
                <w:sz w:val="22"/>
                <w:szCs w:val="22"/>
                <w:lang w:val="es-ES_tradnl"/>
              </w:rPr>
              <w:t>Alquiler y costos relacionados</w:t>
            </w:r>
          </w:p>
        </w:tc>
        <w:tc>
          <w:tcPr>
            <w:tcW w:w="1350" w:type="dxa"/>
            <w:tcBorders>
              <w:top w:val="nil"/>
              <w:bottom w:val="nil"/>
            </w:tcBorders>
          </w:tcPr>
          <w:p w14:paraId="72D176FB" w14:textId="66B130C9" w:rsidR="00B20C92" w:rsidRPr="009A33BA" w:rsidRDefault="00B20C92" w:rsidP="009F5CC3">
            <w:pPr>
              <w:pStyle w:val="Default"/>
              <w:jc w:val="right"/>
              <w:rPr>
                <w:kern w:val="22"/>
                <w:sz w:val="22"/>
                <w:szCs w:val="22"/>
                <w:lang w:val="es-ES_tradnl"/>
              </w:rPr>
            </w:pPr>
            <w:r w:rsidRPr="009A33BA">
              <w:rPr>
                <w:kern w:val="22"/>
                <w:sz w:val="22"/>
                <w:szCs w:val="22"/>
                <w:lang w:val="es-ES_tradnl"/>
              </w:rPr>
              <w:t>1</w:t>
            </w:r>
            <w:r w:rsidR="008B1C1A" w:rsidRPr="009A33BA">
              <w:rPr>
                <w:kern w:val="22"/>
                <w:sz w:val="22"/>
                <w:szCs w:val="22"/>
                <w:lang w:val="es-ES_tradnl"/>
              </w:rPr>
              <w:t> </w:t>
            </w:r>
            <w:r w:rsidRPr="009A33BA">
              <w:rPr>
                <w:kern w:val="22"/>
                <w:sz w:val="22"/>
                <w:szCs w:val="22"/>
                <w:lang w:val="es-ES_tradnl"/>
              </w:rPr>
              <w:t>239</w:t>
            </w:r>
            <w:r w:rsidR="008B1C1A" w:rsidRPr="009A33BA">
              <w:rPr>
                <w:kern w:val="22"/>
                <w:sz w:val="22"/>
                <w:szCs w:val="22"/>
                <w:lang w:val="es-ES_tradnl"/>
              </w:rPr>
              <w:t>,</w:t>
            </w:r>
            <w:r w:rsidRPr="009A33BA">
              <w:rPr>
                <w:kern w:val="22"/>
                <w:sz w:val="22"/>
                <w:szCs w:val="22"/>
                <w:lang w:val="es-ES_tradnl"/>
              </w:rPr>
              <w:t>7</w:t>
            </w:r>
          </w:p>
        </w:tc>
        <w:tc>
          <w:tcPr>
            <w:tcW w:w="1530" w:type="dxa"/>
            <w:tcBorders>
              <w:top w:val="nil"/>
              <w:bottom w:val="nil"/>
            </w:tcBorders>
          </w:tcPr>
          <w:p w14:paraId="68CE6428" w14:textId="212A97EB" w:rsidR="00B20C92" w:rsidRPr="009A33BA" w:rsidRDefault="00B20C92" w:rsidP="009F5CC3">
            <w:pPr>
              <w:pStyle w:val="Default"/>
              <w:jc w:val="right"/>
              <w:rPr>
                <w:kern w:val="22"/>
                <w:sz w:val="22"/>
                <w:szCs w:val="22"/>
                <w:lang w:val="es-ES_tradnl"/>
              </w:rPr>
            </w:pPr>
            <w:r w:rsidRPr="009A33BA">
              <w:rPr>
                <w:kern w:val="22"/>
                <w:sz w:val="22"/>
                <w:szCs w:val="22"/>
                <w:lang w:val="es-ES_tradnl"/>
              </w:rPr>
              <w:t>1</w:t>
            </w:r>
            <w:r w:rsidR="008B1C1A" w:rsidRPr="009A33BA">
              <w:rPr>
                <w:kern w:val="22"/>
                <w:sz w:val="22"/>
                <w:szCs w:val="22"/>
                <w:lang w:val="es-ES_tradnl"/>
              </w:rPr>
              <w:t> </w:t>
            </w:r>
            <w:r w:rsidRPr="009A33BA">
              <w:rPr>
                <w:kern w:val="22"/>
                <w:sz w:val="22"/>
                <w:szCs w:val="22"/>
                <w:lang w:val="es-ES_tradnl"/>
              </w:rPr>
              <w:t>257</w:t>
            </w:r>
            <w:r w:rsidR="008B1C1A" w:rsidRPr="009A33BA">
              <w:rPr>
                <w:kern w:val="22"/>
                <w:sz w:val="22"/>
                <w:szCs w:val="22"/>
                <w:lang w:val="es-ES_tradnl"/>
              </w:rPr>
              <w:t>,</w:t>
            </w:r>
            <w:r w:rsidRPr="009A33BA">
              <w:rPr>
                <w:kern w:val="22"/>
                <w:sz w:val="22"/>
                <w:szCs w:val="22"/>
                <w:lang w:val="es-ES_tradnl"/>
              </w:rPr>
              <w:t>6</w:t>
            </w:r>
          </w:p>
        </w:tc>
        <w:tc>
          <w:tcPr>
            <w:tcW w:w="1513" w:type="dxa"/>
            <w:gridSpan w:val="2"/>
            <w:tcBorders>
              <w:top w:val="nil"/>
              <w:bottom w:val="nil"/>
            </w:tcBorders>
          </w:tcPr>
          <w:p w14:paraId="50E53ECD" w14:textId="3DAFE255" w:rsidR="00B20C92" w:rsidRPr="009A33BA" w:rsidRDefault="00B20C92" w:rsidP="009F5CC3">
            <w:pPr>
              <w:pStyle w:val="Default"/>
              <w:jc w:val="right"/>
              <w:rPr>
                <w:kern w:val="22"/>
                <w:sz w:val="22"/>
                <w:szCs w:val="22"/>
                <w:lang w:val="es-ES_tradnl"/>
              </w:rPr>
            </w:pPr>
            <w:r w:rsidRPr="009A33BA">
              <w:rPr>
                <w:kern w:val="22"/>
                <w:sz w:val="22"/>
                <w:szCs w:val="22"/>
                <w:lang w:val="es-ES_tradnl"/>
              </w:rPr>
              <w:t>2</w:t>
            </w:r>
            <w:r w:rsidR="008B1C1A" w:rsidRPr="009A33BA">
              <w:rPr>
                <w:kern w:val="22"/>
                <w:sz w:val="22"/>
                <w:szCs w:val="22"/>
                <w:lang w:val="es-ES_tradnl"/>
              </w:rPr>
              <w:t> </w:t>
            </w:r>
            <w:r w:rsidRPr="009A33BA">
              <w:rPr>
                <w:kern w:val="22"/>
                <w:sz w:val="22"/>
                <w:szCs w:val="22"/>
                <w:lang w:val="es-ES_tradnl"/>
              </w:rPr>
              <w:t>497</w:t>
            </w:r>
            <w:r w:rsidR="008B1C1A" w:rsidRPr="009A33BA">
              <w:rPr>
                <w:kern w:val="22"/>
                <w:sz w:val="22"/>
                <w:szCs w:val="22"/>
                <w:lang w:val="es-ES_tradnl"/>
              </w:rPr>
              <w:t>,</w:t>
            </w:r>
            <w:r w:rsidRPr="009A33BA">
              <w:rPr>
                <w:kern w:val="22"/>
                <w:sz w:val="22"/>
                <w:szCs w:val="22"/>
                <w:lang w:val="es-ES_tradnl"/>
              </w:rPr>
              <w:t>3</w:t>
            </w:r>
          </w:p>
        </w:tc>
      </w:tr>
      <w:tr w:rsidR="00B20C92" w:rsidRPr="009A33BA" w14:paraId="4396EDB0" w14:textId="77777777" w:rsidTr="009F5CC3">
        <w:trPr>
          <w:gridAfter w:val="1"/>
          <w:wAfter w:w="28" w:type="dxa"/>
          <w:cantSplit/>
          <w:jc w:val="center"/>
        </w:trPr>
        <w:tc>
          <w:tcPr>
            <w:tcW w:w="601" w:type="dxa"/>
            <w:tcBorders>
              <w:top w:val="nil"/>
              <w:left w:val="nil"/>
              <w:bottom w:val="nil"/>
            </w:tcBorders>
          </w:tcPr>
          <w:p w14:paraId="79114790" w14:textId="77777777" w:rsidR="00B20C92" w:rsidRPr="009A33BA" w:rsidRDefault="00B20C92" w:rsidP="009F5CC3">
            <w:pPr>
              <w:pStyle w:val="Default"/>
              <w:rPr>
                <w:kern w:val="22"/>
                <w:sz w:val="22"/>
                <w:szCs w:val="22"/>
                <w:lang w:val="es-ES_tradnl"/>
              </w:rPr>
            </w:pPr>
            <w:r w:rsidRPr="009A33BA">
              <w:rPr>
                <w:kern w:val="22"/>
                <w:sz w:val="22"/>
                <w:szCs w:val="22"/>
                <w:lang w:val="es-ES_tradnl"/>
              </w:rPr>
              <w:t>I.</w:t>
            </w:r>
          </w:p>
        </w:tc>
        <w:tc>
          <w:tcPr>
            <w:tcW w:w="4360" w:type="dxa"/>
            <w:tcBorders>
              <w:top w:val="nil"/>
              <w:bottom w:val="nil"/>
            </w:tcBorders>
          </w:tcPr>
          <w:p w14:paraId="26F36357" w14:textId="3252A70E" w:rsidR="00B20C92" w:rsidRPr="009A33BA" w:rsidRDefault="008B1C1A" w:rsidP="009F5CC3">
            <w:pPr>
              <w:pStyle w:val="Default"/>
              <w:rPr>
                <w:kern w:val="22"/>
                <w:sz w:val="22"/>
                <w:szCs w:val="22"/>
                <w:lang w:val="es-ES_tradnl"/>
              </w:rPr>
            </w:pPr>
            <w:r w:rsidRPr="009A33BA">
              <w:rPr>
                <w:kern w:val="22"/>
                <w:sz w:val="22"/>
                <w:szCs w:val="22"/>
                <w:lang w:val="es-ES_tradnl"/>
              </w:rPr>
              <w:t>Gastos general</w:t>
            </w:r>
            <w:r w:rsidR="00323A56" w:rsidRPr="009A33BA">
              <w:rPr>
                <w:kern w:val="22"/>
                <w:sz w:val="22"/>
                <w:szCs w:val="22"/>
                <w:lang w:val="es-ES_tradnl"/>
              </w:rPr>
              <w:t>e</w:t>
            </w:r>
            <w:r w:rsidRPr="009A33BA">
              <w:rPr>
                <w:kern w:val="22"/>
                <w:sz w:val="22"/>
                <w:szCs w:val="22"/>
                <w:lang w:val="es-ES_tradnl"/>
              </w:rPr>
              <w:t>s de funcionamiento</w:t>
            </w:r>
          </w:p>
        </w:tc>
        <w:tc>
          <w:tcPr>
            <w:tcW w:w="1350" w:type="dxa"/>
            <w:tcBorders>
              <w:top w:val="nil"/>
              <w:bottom w:val="nil"/>
            </w:tcBorders>
          </w:tcPr>
          <w:p w14:paraId="6236B62D" w14:textId="24E9E8B1" w:rsidR="00B20C92" w:rsidRPr="009A33BA" w:rsidRDefault="00B20C92" w:rsidP="009F5CC3">
            <w:pPr>
              <w:pStyle w:val="Default"/>
              <w:jc w:val="right"/>
              <w:rPr>
                <w:kern w:val="22"/>
                <w:sz w:val="22"/>
                <w:szCs w:val="22"/>
                <w:lang w:val="es-ES_tradnl"/>
              </w:rPr>
            </w:pPr>
            <w:r w:rsidRPr="009A33BA">
              <w:rPr>
                <w:kern w:val="22"/>
                <w:sz w:val="22"/>
                <w:szCs w:val="22"/>
                <w:lang w:val="es-ES_tradnl"/>
              </w:rPr>
              <w:t>979</w:t>
            </w:r>
            <w:r w:rsidR="008B1C1A" w:rsidRPr="009A33BA">
              <w:rPr>
                <w:kern w:val="22"/>
                <w:sz w:val="22"/>
                <w:szCs w:val="22"/>
                <w:lang w:val="es-ES_tradnl"/>
              </w:rPr>
              <w:t>,</w:t>
            </w:r>
            <w:r w:rsidRPr="009A33BA">
              <w:rPr>
                <w:kern w:val="22"/>
                <w:sz w:val="22"/>
                <w:szCs w:val="22"/>
                <w:lang w:val="es-ES_tradnl"/>
              </w:rPr>
              <w:t>6</w:t>
            </w:r>
          </w:p>
        </w:tc>
        <w:tc>
          <w:tcPr>
            <w:tcW w:w="1530" w:type="dxa"/>
            <w:tcBorders>
              <w:top w:val="nil"/>
              <w:bottom w:val="nil"/>
            </w:tcBorders>
          </w:tcPr>
          <w:p w14:paraId="67F7D7AD" w14:textId="13198F91" w:rsidR="00B20C92" w:rsidRPr="009A33BA" w:rsidRDefault="00B20C92" w:rsidP="009F5CC3">
            <w:pPr>
              <w:pStyle w:val="Default"/>
              <w:jc w:val="right"/>
              <w:rPr>
                <w:kern w:val="22"/>
                <w:sz w:val="22"/>
                <w:szCs w:val="22"/>
                <w:lang w:val="es-ES_tradnl"/>
              </w:rPr>
            </w:pPr>
            <w:r w:rsidRPr="009A33BA">
              <w:rPr>
                <w:kern w:val="22"/>
                <w:sz w:val="22"/>
                <w:szCs w:val="22"/>
                <w:lang w:val="es-ES_tradnl"/>
              </w:rPr>
              <w:t>726</w:t>
            </w:r>
            <w:r w:rsidR="008B1C1A" w:rsidRPr="009A33BA">
              <w:rPr>
                <w:kern w:val="22"/>
                <w:sz w:val="22"/>
                <w:szCs w:val="22"/>
                <w:lang w:val="es-ES_tradnl"/>
              </w:rPr>
              <w:t>,</w:t>
            </w:r>
            <w:r w:rsidRPr="009A33BA">
              <w:rPr>
                <w:kern w:val="22"/>
                <w:sz w:val="22"/>
                <w:szCs w:val="22"/>
                <w:lang w:val="es-ES_tradnl"/>
              </w:rPr>
              <w:t>6</w:t>
            </w:r>
          </w:p>
        </w:tc>
        <w:tc>
          <w:tcPr>
            <w:tcW w:w="1513" w:type="dxa"/>
            <w:gridSpan w:val="2"/>
            <w:tcBorders>
              <w:top w:val="nil"/>
              <w:bottom w:val="nil"/>
            </w:tcBorders>
          </w:tcPr>
          <w:p w14:paraId="2A1A074D" w14:textId="2147E9F2" w:rsidR="00B20C92" w:rsidRPr="009A33BA" w:rsidRDefault="00B20C92" w:rsidP="009F5CC3">
            <w:pPr>
              <w:pStyle w:val="Default"/>
              <w:jc w:val="right"/>
              <w:rPr>
                <w:kern w:val="22"/>
                <w:sz w:val="22"/>
                <w:szCs w:val="22"/>
                <w:lang w:val="es-ES_tradnl"/>
              </w:rPr>
            </w:pPr>
            <w:r w:rsidRPr="009A33BA">
              <w:rPr>
                <w:kern w:val="22"/>
                <w:sz w:val="22"/>
                <w:szCs w:val="22"/>
                <w:lang w:val="es-ES_tradnl"/>
              </w:rPr>
              <w:t>1</w:t>
            </w:r>
            <w:r w:rsidR="008B1C1A" w:rsidRPr="009A33BA">
              <w:rPr>
                <w:kern w:val="22"/>
                <w:sz w:val="22"/>
                <w:szCs w:val="22"/>
                <w:lang w:val="es-ES_tradnl"/>
              </w:rPr>
              <w:t> </w:t>
            </w:r>
            <w:r w:rsidRPr="009A33BA">
              <w:rPr>
                <w:kern w:val="22"/>
                <w:sz w:val="22"/>
                <w:szCs w:val="22"/>
                <w:lang w:val="es-ES_tradnl"/>
              </w:rPr>
              <w:t>706</w:t>
            </w:r>
            <w:r w:rsidR="008B1C1A" w:rsidRPr="009A33BA">
              <w:rPr>
                <w:kern w:val="22"/>
                <w:sz w:val="22"/>
                <w:szCs w:val="22"/>
                <w:lang w:val="es-ES_tradnl"/>
              </w:rPr>
              <w:t>,</w:t>
            </w:r>
            <w:r w:rsidRPr="009A33BA">
              <w:rPr>
                <w:kern w:val="22"/>
                <w:sz w:val="22"/>
                <w:szCs w:val="22"/>
                <w:lang w:val="es-ES_tradnl"/>
              </w:rPr>
              <w:t>2</w:t>
            </w:r>
          </w:p>
        </w:tc>
      </w:tr>
      <w:tr w:rsidR="00B20C92" w:rsidRPr="009A33BA" w14:paraId="0372183F" w14:textId="77777777" w:rsidTr="009F5CC3">
        <w:trPr>
          <w:gridAfter w:val="1"/>
          <w:wAfter w:w="28" w:type="dxa"/>
          <w:cantSplit/>
          <w:jc w:val="center"/>
        </w:trPr>
        <w:tc>
          <w:tcPr>
            <w:tcW w:w="601" w:type="dxa"/>
            <w:tcBorders>
              <w:top w:val="nil"/>
              <w:left w:val="nil"/>
              <w:bottom w:val="nil"/>
            </w:tcBorders>
          </w:tcPr>
          <w:p w14:paraId="1029552D" w14:textId="77777777" w:rsidR="00B20C92" w:rsidRPr="009A33BA" w:rsidRDefault="00B20C92" w:rsidP="009F5CC3">
            <w:pPr>
              <w:pStyle w:val="Default"/>
              <w:rPr>
                <w:kern w:val="22"/>
                <w:sz w:val="22"/>
                <w:szCs w:val="22"/>
                <w:lang w:val="es-ES_tradnl"/>
              </w:rPr>
            </w:pPr>
            <w:r w:rsidRPr="009A33BA">
              <w:rPr>
                <w:kern w:val="22"/>
                <w:sz w:val="22"/>
                <w:szCs w:val="22"/>
                <w:lang w:val="es-ES_tradnl"/>
              </w:rPr>
              <w:t>J.</w:t>
            </w:r>
          </w:p>
        </w:tc>
        <w:tc>
          <w:tcPr>
            <w:tcW w:w="4360" w:type="dxa"/>
            <w:tcBorders>
              <w:top w:val="nil"/>
              <w:bottom w:val="nil"/>
            </w:tcBorders>
          </w:tcPr>
          <w:p w14:paraId="1CB569D4" w14:textId="071544D6" w:rsidR="00B20C92" w:rsidRPr="009A33BA" w:rsidRDefault="008B1C1A" w:rsidP="009F5CC3">
            <w:pPr>
              <w:pStyle w:val="Default"/>
              <w:rPr>
                <w:kern w:val="22"/>
                <w:sz w:val="22"/>
                <w:szCs w:val="22"/>
                <w:lang w:val="es-ES_tradnl"/>
              </w:rPr>
            </w:pPr>
            <w:r w:rsidRPr="009A33BA">
              <w:rPr>
                <w:kern w:val="22"/>
                <w:sz w:val="22"/>
                <w:szCs w:val="22"/>
                <w:lang w:val="es-ES_tradnl"/>
              </w:rPr>
              <w:t>Capacitación</w:t>
            </w:r>
          </w:p>
        </w:tc>
        <w:tc>
          <w:tcPr>
            <w:tcW w:w="1350" w:type="dxa"/>
            <w:tcBorders>
              <w:top w:val="nil"/>
              <w:bottom w:val="nil"/>
            </w:tcBorders>
          </w:tcPr>
          <w:p w14:paraId="76A9B29E" w14:textId="534C147F" w:rsidR="00B20C92" w:rsidRPr="009A33BA" w:rsidRDefault="00B20C92" w:rsidP="009F5CC3">
            <w:pPr>
              <w:pStyle w:val="Default"/>
              <w:jc w:val="right"/>
              <w:rPr>
                <w:kern w:val="22"/>
                <w:sz w:val="22"/>
                <w:szCs w:val="22"/>
                <w:lang w:val="es-ES_tradnl"/>
              </w:rPr>
            </w:pPr>
            <w:r w:rsidRPr="009A33BA">
              <w:rPr>
                <w:kern w:val="22"/>
                <w:sz w:val="22"/>
                <w:szCs w:val="22"/>
                <w:lang w:val="es-ES_tradnl"/>
              </w:rPr>
              <w:t>5</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673657F9" w14:textId="2DBB445B" w:rsidR="00B20C92" w:rsidRPr="009A33BA" w:rsidRDefault="00B20C92" w:rsidP="009F5CC3">
            <w:pPr>
              <w:pStyle w:val="Default"/>
              <w:jc w:val="right"/>
              <w:rPr>
                <w:kern w:val="22"/>
                <w:sz w:val="22"/>
                <w:szCs w:val="22"/>
                <w:lang w:val="es-ES_tradnl"/>
              </w:rPr>
            </w:pPr>
            <w:r w:rsidRPr="009A33BA">
              <w:rPr>
                <w:kern w:val="22"/>
                <w:sz w:val="22"/>
                <w:szCs w:val="22"/>
                <w:lang w:val="es-ES_tradnl"/>
              </w:rPr>
              <w:t>5</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2AD9DFF9" w14:textId="4783F873" w:rsidR="00B20C92" w:rsidRPr="009A33BA" w:rsidRDefault="00B20C92" w:rsidP="009F5CC3">
            <w:pPr>
              <w:pStyle w:val="Default"/>
              <w:jc w:val="right"/>
              <w:rPr>
                <w:kern w:val="22"/>
                <w:sz w:val="22"/>
                <w:szCs w:val="22"/>
                <w:lang w:val="es-ES_tradnl"/>
              </w:rPr>
            </w:pPr>
            <w:r w:rsidRPr="009A33BA">
              <w:rPr>
                <w:kern w:val="22"/>
                <w:sz w:val="22"/>
                <w:szCs w:val="22"/>
                <w:lang w:val="es-ES_tradnl"/>
              </w:rPr>
              <w:t>10</w:t>
            </w:r>
            <w:r w:rsidR="008B1C1A" w:rsidRPr="009A33BA">
              <w:rPr>
                <w:kern w:val="22"/>
                <w:sz w:val="22"/>
                <w:szCs w:val="22"/>
                <w:lang w:val="es-ES_tradnl"/>
              </w:rPr>
              <w:t>,</w:t>
            </w:r>
            <w:r w:rsidRPr="009A33BA">
              <w:rPr>
                <w:kern w:val="22"/>
                <w:sz w:val="22"/>
                <w:szCs w:val="22"/>
                <w:lang w:val="es-ES_tradnl"/>
              </w:rPr>
              <w:t>0</w:t>
            </w:r>
          </w:p>
        </w:tc>
      </w:tr>
      <w:tr w:rsidR="00B20C92" w:rsidRPr="009A33BA" w14:paraId="457C4944" w14:textId="77777777" w:rsidTr="009F5CC3">
        <w:trPr>
          <w:gridAfter w:val="1"/>
          <w:wAfter w:w="28" w:type="dxa"/>
          <w:cantSplit/>
          <w:jc w:val="center"/>
        </w:trPr>
        <w:tc>
          <w:tcPr>
            <w:tcW w:w="601" w:type="dxa"/>
            <w:tcBorders>
              <w:top w:val="nil"/>
              <w:left w:val="nil"/>
              <w:bottom w:val="nil"/>
            </w:tcBorders>
          </w:tcPr>
          <w:p w14:paraId="4B18D29F" w14:textId="77777777" w:rsidR="00B20C92" w:rsidRPr="009A33BA" w:rsidRDefault="00B20C92" w:rsidP="009F5CC3">
            <w:pPr>
              <w:pStyle w:val="Default"/>
              <w:rPr>
                <w:kern w:val="22"/>
                <w:sz w:val="22"/>
                <w:szCs w:val="22"/>
                <w:lang w:val="es-ES_tradnl"/>
              </w:rPr>
            </w:pPr>
            <w:r w:rsidRPr="009A33BA">
              <w:rPr>
                <w:kern w:val="22"/>
                <w:sz w:val="22"/>
                <w:szCs w:val="22"/>
                <w:lang w:val="es-ES_tradnl"/>
              </w:rPr>
              <w:t>K.</w:t>
            </w:r>
          </w:p>
        </w:tc>
        <w:tc>
          <w:tcPr>
            <w:tcW w:w="4360" w:type="dxa"/>
            <w:tcBorders>
              <w:top w:val="nil"/>
              <w:bottom w:val="nil"/>
            </w:tcBorders>
          </w:tcPr>
          <w:p w14:paraId="1254FE46" w14:textId="3CE29E99" w:rsidR="00B20C92" w:rsidRPr="009A33BA" w:rsidRDefault="008B1C1A" w:rsidP="009F5CC3">
            <w:pPr>
              <w:pStyle w:val="Default"/>
              <w:rPr>
                <w:kern w:val="22"/>
                <w:sz w:val="22"/>
                <w:szCs w:val="22"/>
                <w:lang w:val="es-ES_tradnl"/>
              </w:rPr>
            </w:pPr>
            <w:r w:rsidRPr="009A33BA">
              <w:rPr>
                <w:kern w:val="22"/>
                <w:sz w:val="22"/>
                <w:szCs w:val="22"/>
                <w:lang w:val="es-ES_tradnl"/>
              </w:rPr>
              <w:t>Reuniones de expertos</w:t>
            </w:r>
          </w:p>
        </w:tc>
        <w:tc>
          <w:tcPr>
            <w:tcW w:w="1350" w:type="dxa"/>
            <w:tcBorders>
              <w:top w:val="nil"/>
              <w:bottom w:val="nil"/>
            </w:tcBorders>
          </w:tcPr>
          <w:p w14:paraId="61AB751B" w14:textId="0ADFC150" w:rsidR="00B20C92" w:rsidRPr="009A33BA" w:rsidRDefault="00B20C92" w:rsidP="009F5CC3">
            <w:pPr>
              <w:pStyle w:val="Default"/>
              <w:jc w:val="right"/>
              <w:rPr>
                <w:kern w:val="22"/>
                <w:sz w:val="22"/>
                <w:szCs w:val="22"/>
                <w:lang w:val="es-ES_tradnl"/>
              </w:rPr>
            </w:pPr>
            <w:r w:rsidRPr="009A33BA">
              <w:rPr>
                <w:kern w:val="22"/>
                <w:sz w:val="22"/>
                <w:szCs w:val="22"/>
                <w:lang w:val="es-ES_tradnl"/>
              </w:rPr>
              <w:t>280</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nil"/>
            </w:tcBorders>
          </w:tcPr>
          <w:p w14:paraId="09B87710" w14:textId="57DDB35F" w:rsidR="00B20C92" w:rsidRPr="009A33BA" w:rsidRDefault="00B20C92" w:rsidP="009F5CC3">
            <w:pPr>
              <w:pStyle w:val="Default"/>
              <w:jc w:val="right"/>
              <w:rPr>
                <w:kern w:val="22"/>
                <w:sz w:val="22"/>
                <w:szCs w:val="22"/>
                <w:lang w:val="es-ES_tradnl"/>
              </w:rPr>
            </w:pPr>
            <w:r w:rsidRPr="009A33BA">
              <w:rPr>
                <w:kern w:val="22"/>
                <w:sz w:val="22"/>
                <w:szCs w:val="22"/>
                <w:lang w:val="es-ES_tradnl"/>
              </w:rPr>
              <w:t>135</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nil"/>
            </w:tcBorders>
          </w:tcPr>
          <w:p w14:paraId="04BC43A8" w14:textId="332B37D0" w:rsidR="00B20C92" w:rsidRPr="009A33BA" w:rsidRDefault="00B20C92" w:rsidP="009F5CC3">
            <w:pPr>
              <w:pStyle w:val="Default"/>
              <w:jc w:val="right"/>
              <w:rPr>
                <w:kern w:val="22"/>
                <w:sz w:val="22"/>
                <w:szCs w:val="22"/>
                <w:lang w:val="es-ES_tradnl"/>
              </w:rPr>
            </w:pPr>
            <w:r w:rsidRPr="009A33BA">
              <w:rPr>
                <w:kern w:val="22"/>
                <w:sz w:val="22"/>
                <w:szCs w:val="22"/>
                <w:lang w:val="es-ES_tradnl"/>
              </w:rPr>
              <w:t>415</w:t>
            </w:r>
            <w:r w:rsidR="008B1C1A" w:rsidRPr="009A33BA">
              <w:rPr>
                <w:kern w:val="22"/>
                <w:sz w:val="22"/>
                <w:szCs w:val="22"/>
                <w:lang w:val="es-ES_tradnl"/>
              </w:rPr>
              <w:t>,</w:t>
            </w:r>
            <w:r w:rsidRPr="009A33BA">
              <w:rPr>
                <w:kern w:val="22"/>
                <w:sz w:val="22"/>
                <w:szCs w:val="22"/>
                <w:lang w:val="es-ES_tradnl"/>
              </w:rPr>
              <w:t>0</w:t>
            </w:r>
          </w:p>
        </w:tc>
      </w:tr>
      <w:tr w:rsidR="00B20C92" w:rsidRPr="009A33BA" w14:paraId="42CDF88C" w14:textId="77777777" w:rsidTr="009F5CC3">
        <w:trPr>
          <w:gridAfter w:val="1"/>
          <w:wAfter w:w="28" w:type="dxa"/>
          <w:cantSplit/>
          <w:jc w:val="center"/>
        </w:trPr>
        <w:tc>
          <w:tcPr>
            <w:tcW w:w="601" w:type="dxa"/>
            <w:tcBorders>
              <w:top w:val="nil"/>
              <w:left w:val="nil"/>
              <w:bottom w:val="single" w:sz="8" w:space="0" w:color="000000"/>
            </w:tcBorders>
          </w:tcPr>
          <w:p w14:paraId="4C13893F" w14:textId="77777777" w:rsidR="00B20C92" w:rsidRPr="009A33BA" w:rsidRDefault="00B20C92" w:rsidP="009F5CC3">
            <w:pPr>
              <w:pStyle w:val="Default"/>
              <w:rPr>
                <w:kern w:val="22"/>
                <w:sz w:val="22"/>
                <w:szCs w:val="22"/>
                <w:lang w:val="es-ES_tradnl"/>
              </w:rPr>
            </w:pPr>
            <w:r w:rsidRPr="009A33BA">
              <w:rPr>
                <w:kern w:val="22"/>
                <w:sz w:val="22"/>
                <w:szCs w:val="22"/>
                <w:lang w:val="es-ES_tradnl"/>
              </w:rPr>
              <w:t>L.</w:t>
            </w:r>
          </w:p>
        </w:tc>
        <w:tc>
          <w:tcPr>
            <w:tcW w:w="4360" w:type="dxa"/>
            <w:tcBorders>
              <w:top w:val="nil"/>
              <w:bottom w:val="single" w:sz="8" w:space="0" w:color="000000"/>
            </w:tcBorders>
          </w:tcPr>
          <w:p w14:paraId="24852409" w14:textId="05406531" w:rsidR="00B20C92" w:rsidRPr="009A33BA" w:rsidRDefault="00B20C92" w:rsidP="009F5CC3">
            <w:pPr>
              <w:pStyle w:val="Default"/>
              <w:rPr>
                <w:kern w:val="22"/>
                <w:sz w:val="22"/>
                <w:szCs w:val="22"/>
                <w:lang w:val="es-ES_tradnl"/>
              </w:rPr>
            </w:pPr>
            <w:r w:rsidRPr="009A33BA">
              <w:rPr>
                <w:kern w:val="22"/>
                <w:sz w:val="22"/>
                <w:szCs w:val="22"/>
                <w:lang w:val="es-ES_tradnl"/>
              </w:rPr>
              <w:t>Tra</w:t>
            </w:r>
            <w:r w:rsidR="008B1C1A" w:rsidRPr="009A33BA">
              <w:rPr>
                <w:kern w:val="22"/>
                <w:sz w:val="22"/>
                <w:szCs w:val="22"/>
                <w:lang w:val="es-ES_tradnl"/>
              </w:rPr>
              <w:t xml:space="preserve">ducción del sitio web del </w:t>
            </w:r>
            <w:r w:rsidRPr="009A33BA">
              <w:rPr>
                <w:kern w:val="22"/>
                <w:sz w:val="22"/>
                <w:szCs w:val="22"/>
                <w:lang w:val="es-ES_tradnl"/>
              </w:rPr>
              <w:t xml:space="preserve">BCH/CHM NP CH </w:t>
            </w:r>
          </w:p>
        </w:tc>
        <w:tc>
          <w:tcPr>
            <w:tcW w:w="1350" w:type="dxa"/>
            <w:tcBorders>
              <w:top w:val="nil"/>
              <w:bottom w:val="single" w:sz="8" w:space="0" w:color="000000"/>
            </w:tcBorders>
          </w:tcPr>
          <w:p w14:paraId="22C42132" w14:textId="1F1F4F94" w:rsidR="00B20C92" w:rsidRPr="009A33BA" w:rsidRDefault="00B20C92" w:rsidP="009F5CC3">
            <w:pPr>
              <w:pStyle w:val="Default"/>
              <w:jc w:val="right"/>
              <w:rPr>
                <w:kern w:val="22"/>
                <w:sz w:val="22"/>
                <w:szCs w:val="22"/>
                <w:lang w:val="es-ES_tradnl"/>
              </w:rPr>
            </w:pPr>
            <w:r w:rsidRPr="009A33BA">
              <w:rPr>
                <w:kern w:val="22"/>
                <w:sz w:val="22"/>
                <w:szCs w:val="22"/>
                <w:lang w:val="es-ES_tradnl"/>
              </w:rPr>
              <w:t>65</w:t>
            </w:r>
            <w:r w:rsidR="008B1C1A" w:rsidRPr="009A33BA">
              <w:rPr>
                <w:kern w:val="22"/>
                <w:sz w:val="22"/>
                <w:szCs w:val="22"/>
                <w:lang w:val="es-ES_tradnl"/>
              </w:rPr>
              <w:t>,</w:t>
            </w:r>
            <w:r w:rsidRPr="009A33BA">
              <w:rPr>
                <w:kern w:val="22"/>
                <w:sz w:val="22"/>
                <w:szCs w:val="22"/>
                <w:lang w:val="es-ES_tradnl"/>
              </w:rPr>
              <w:t>0</w:t>
            </w:r>
          </w:p>
        </w:tc>
        <w:tc>
          <w:tcPr>
            <w:tcW w:w="1530" w:type="dxa"/>
            <w:tcBorders>
              <w:top w:val="nil"/>
              <w:bottom w:val="single" w:sz="8" w:space="0" w:color="000000"/>
            </w:tcBorders>
          </w:tcPr>
          <w:p w14:paraId="593A5048" w14:textId="222C9EE7" w:rsidR="00B20C92" w:rsidRPr="009A33BA" w:rsidRDefault="00B20C92" w:rsidP="009F5CC3">
            <w:pPr>
              <w:pStyle w:val="Default"/>
              <w:jc w:val="right"/>
              <w:rPr>
                <w:kern w:val="22"/>
                <w:sz w:val="22"/>
                <w:szCs w:val="22"/>
                <w:lang w:val="es-ES_tradnl"/>
              </w:rPr>
            </w:pPr>
            <w:r w:rsidRPr="009A33BA">
              <w:rPr>
                <w:kern w:val="22"/>
                <w:sz w:val="22"/>
                <w:szCs w:val="22"/>
                <w:lang w:val="es-ES_tradnl"/>
              </w:rPr>
              <w:t>65</w:t>
            </w:r>
            <w:r w:rsidR="008B1C1A" w:rsidRPr="009A33BA">
              <w:rPr>
                <w:kern w:val="22"/>
                <w:sz w:val="22"/>
                <w:szCs w:val="22"/>
                <w:lang w:val="es-ES_tradnl"/>
              </w:rPr>
              <w:t>,</w:t>
            </w:r>
            <w:r w:rsidRPr="009A33BA">
              <w:rPr>
                <w:kern w:val="22"/>
                <w:sz w:val="22"/>
                <w:szCs w:val="22"/>
                <w:lang w:val="es-ES_tradnl"/>
              </w:rPr>
              <w:t>0</w:t>
            </w:r>
          </w:p>
        </w:tc>
        <w:tc>
          <w:tcPr>
            <w:tcW w:w="1513" w:type="dxa"/>
            <w:gridSpan w:val="2"/>
            <w:tcBorders>
              <w:top w:val="nil"/>
              <w:bottom w:val="single" w:sz="8" w:space="0" w:color="000000"/>
            </w:tcBorders>
          </w:tcPr>
          <w:p w14:paraId="2D26C12F" w14:textId="2E41B2D7" w:rsidR="00B20C92" w:rsidRPr="009A33BA" w:rsidRDefault="00B20C92" w:rsidP="009F5CC3">
            <w:pPr>
              <w:pStyle w:val="Default"/>
              <w:jc w:val="right"/>
              <w:rPr>
                <w:kern w:val="22"/>
                <w:sz w:val="22"/>
                <w:szCs w:val="22"/>
                <w:lang w:val="es-ES_tradnl"/>
              </w:rPr>
            </w:pPr>
            <w:r w:rsidRPr="009A33BA">
              <w:rPr>
                <w:kern w:val="22"/>
                <w:sz w:val="22"/>
                <w:szCs w:val="22"/>
                <w:lang w:val="es-ES_tradnl"/>
              </w:rPr>
              <w:t>130</w:t>
            </w:r>
            <w:r w:rsidR="008B1C1A" w:rsidRPr="009A33BA">
              <w:rPr>
                <w:kern w:val="22"/>
                <w:sz w:val="22"/>
                <w:szCs w:val="22"/>
                <w:lang w:val="es-ES_tradnl"/>
              </w:rPr>
              <w:t>,</w:t>
            </w:r>
            <w:r w:rsidRPr="009A33BA">
              <w:rPr>
                <w:kern w:val="22"/>
                <w:sz w:val="22"/>
                <w:szCs w:val="22"/>
                <w:lang w:val="es-ES_tradnl"/>
              </w:rPr>
              <w:t>0</w:t>
            </w:r>
          </w:p>
        </w:tc>
      </w:tr>
      <w:tr w:rsidR="00B20C92" w:rsidRPr="009A33BA" w14:paraId="70EF84DD" w14:textId="77777777" w:rsidTr="009F5CC3">
        <w:trPr>
          <w:cantSplit/>
          <w:jc w:val="center"/>
        </w:trPr>
        <w:tc>
          <w:tcPr>
            <w:tcW w:w="601" w:type="dxa"/>
            <w:tcBorders>
              <w:top w:val="single" w:sz="8" w:space="0" w:color="000000"/>
              <w:bottom w:val="single" w:sz="8" w:space="0" w:color="000000"/>
            </w:tcBorders>
          </w:tcPr>
          <w:p w14:paraId="72C4EFD8" w14:textId="77777777" w:rsidR="00B20C92" w:rsidRPr="009A33BA" w:rsidRDefault="00B20C92" w:rsidP="009F5CC3">
            <w:pPr>
              <w:pStyle w:val="Default"/>
              <w:rPr>
                <w:kern w:val="22"/>
                <w:sz w:val="22"/>
                <w:szCs w:val="22"/>
                <w:lang w:val="es-ES_tradnl"/>
              </w:rPr>
            </w:pPr>
          </w:p>
        </w:tc>
        <w:tc>
          <w:tcPr>
            <w:tcW w:w="4360" w:type="dxa"/>
            <w:tcBorders>
              <w:top w:val="single" w:sz="8" w:space="0" w:color="000000"/>
              <w:bottom w:val="single" w:sz="8" w:space="0" w:color="000000"/>
            </w:tcBorders>
          </w:tcPr>
          <w:p w14:paraId="08321B45" w14:textId="3F64A6BD" w:rsidR="00B20C92" w:rsidRPr="009A33BA" w:rsidRDefault="008B1C1A" w:rsidP="009F5CC3">
            <w:pPr>
              <w:pStyle w:val="Default"/>
              <w:rPr>
                <w:kern w:val="22"/>
                <w:sz w:val="22"/>
                <w:szCs w:val="22"/>
                <w:lang w:val="es-ES_tradnl"/>
              </w:rPr>
            </w:pPr>
            <w:r w:rsidRPr="009A33BA">
              <w:rPr>
                <w:b/>
                <w:bCs/>
                <w:kern w:val="22"/>
                <w:sz w:val="22"/>
                <w:szCs w:val="22"/>
                <w:lang w:val="es-ES_tradnl"/>
              </w:rPr>
              <w:t>Total parcial</w:t>
            </w:r>
            <w:r w:rsidR="00B20C92" w:rsidRPr="009A33BA">
              <w:rPr>
                <w:b/>
                <w:bCs/>
                <w:kern w:val="22"/>
                <w:sz w:val="22"/>
                <w:szCs w:val="22"/>
                <w:lang w:val="es-ES_tradnl"/>
              </w:rPr>
              <w:t xml:space="preserve"> (I)</w:t>
            </w:r>
          </w:p>
        </w:tc>
        <w:tc>
          <w:tcPr>
            <w:tcW w:w="1350" w:type="dxa"/>
            <w:tcBorders>
              <w:top w:val="single" w:sz="8" w:space="0" w:color="000000"/>
              <w:bottom w:val="single" w:sz="8" w:space="0" w:color="000000"/>
            </w:tcBorders>
          </w:tcPr>
          <w:p w14:paraId="054CEBD4" w14:textId="49715778" w:rsidR="00B20C92" w:rsidRPr="009A33BA" w:rsidRDefault="00B20C92" w:rsidP="009F5CC3">
            <w:pPr>
              <w:pStyle w:val="Default"/>
              <w:jc w:val="right"/>
              <w:rPr>
                <w:kern w:val="22"/>
                <w:sz w:val="22"/>
                <w:szCs w:val="22"/>
                <w:lang w:val="es-ES_tradnl"/>
              </w:rPr>
            </w:pPr>
            <w:r w:rsidRPr="009A33BA">
              <w:rPr>
                <w:b/>
                <w:bCs/>
                <w:kern w:val="22"/>
                <w:sz w:val="22"/>
                <w:szCs w:val="22"/>
                <w:lang w:val="es-ES_tradnl"/>
              </w:rPr>
              <w:t>16</w:t>
            </w:r>
            <w:r w:rsidR="008B1C1A" w:rsidRPr="009A33BA">
              <w:rPr>
                <w:b/>
                <w:bCs/>
                <w:kern w:val="22"/>
                <w:sz w:val="22"/>
                <w:szCs w:val="22"/>
                <w:lang w:val="es-ES_tradnl"/>
              </w:rPr>
              <w:t> </w:t>
            </w:r>
            <w:r w:rsidRPr="009A33BA">
              <w:rPr>
                <w:b/>
                <w:bCs/>
                <w:kern w:val="22"/>
                <w:sz w:val="22"/>
                <w:szCs w:val="22"/>
                <w:lang w:val="es-ES_tradnl"/>
              </w:rPr>
              <w:t>140</w:t>
            </w:r>
            <w:r w:rsidR="008B1C1A" w:rsidRPr="009A33BA">
              <w:rPr>
                <w:b/>
                <w:bCs/>
                <w:kern w:val="22"/>
                <w:sz w:val="22"/>
                <w:szCs w:val="22"/>
                <w:lang w:val="es-ES_tradnl"/>
              </w:rPr>
              <w:t>,</w:t>
            </w:r>
            <w:r w:rsidRPr="009A33BA">
              <w:rPr>
                <w:b/>
                <w:bCs/>
                <w:kern w:val="22"/>
                <w:sz w:val="22"/>
                <w:szCs w:val="22"/>
                <w:lang w:val="es-ES_tradnl"/>
              </w:rPr>
              <w:t>5</w:t>
            </w:r>
          </w:p>
        </w:tc>
        <w:tc>
          <w:tcPr>
            <w:tcW w:w="1530" w:type="dxa"/>
            <w:tcBorders>
              <w:top w:val="single" w:sz="8" w:space="0" w:color="000000"/>
              <w:bottom w:val="single" w:sz="8" w:space="0" w:color="000000"/>
            </w:tcBorders>
          </w:tcPr>
          <w:p w14:paraId="72FFDB9C" w14:textId="474439B9" w:rsidR="00B20C92" w:rsidRPr="009A33BA" w:rsidRDefault="00B20C92" w:rsidP="009F5CC3">
            <w:pPr>
              <w:pStyle w:val="Default"/>
              <w:jc w:val="right"/>
              <w:rPr>
                <w:kern w:val="22"/>
                <w:sz w:val="22"/>
                <w:szCs w:val="22"/>
                <w:lang w:val="es-ES_tradnl"/>
              </w:rPr>
            </w:pPr>
            <w:r w:rsidRPr="009A33BA">
              <w:rPr>
                <w:b/>
                <w:bCs/>
                <w:kern w:val="22"/>
                <w:sz w:val="22"/>
                <w:szCs w:val="22"/>
                <w:lang w:val="es-ES_tradnl"/>
              </w:rPr>
              <w:t>16</w:t>
            </w:r>
            <w:r w:rsidR="008B1C1A" w:rsidRPr="009A33BA">
              <w:rPr>
                <w:b/>
                <w:bCs/>
                <w:kern w:val="22"/>
                <w:sz w:val="22"/>
                <w:szCs w:val="22"/>
                <w:lang w:val="es-ES_tradnl"/>
              </w:rPr>
              <w:t> </w:t>
            </w:r>
            <w:r w:rsidRPr="009A33BA">
              <w:rPr>
                <w:b/>
                <w:bCs/>
                <w:kern w:val="22"/>
                <w:sz w:val="22"/>
                <w:szCs w:val="22"/>
                <w:lang w:val="es-ES_tradnl"/>
              </w:rPr>
              <w:t>632</w:t>
            </w:r>
            <w:r w:rsidR="008B1C1A" w:rsidRPr="009A33BA">
              <w:rPr>
                <w:b/>
                <w:bCs/>
                <w:kern w:val="22"/>
                <w:sz w:val="22"/>
                <w:szCs w:val="22"/>
                <w:lang w:val="es-ES_tradnl"/>
              </w:rPr>
              <w:t>,</w:t>
            </w:r>
            <w:r w:rsidRPr="009A33BA">
              <w:rPr>
                <w:b/>
                <w:bCs/>
                <w:kern w:val="22"/>
                <w:sz w:val="22"/>
                <w:szCs w:val="22"/>
                <w:lang w:val="es-ES_tradnl"/>
              </w:rPr>
              <w:t>1</w:t>
            </w:r>
          </w:p>
        </w:tc>
        <w:tc>
          <w:tcPr>
            <w:tcW w:w="1541" w:type="dxa"/>
            <w:gridSpan w:val="3"/>
            <w:tcBorders>
              <w:top w:val="single" w:sz="8" w:space="0" w:color="000000"/>
              <w:bottom w:val="single" w:sz="8" w:space="0" w:color="000000"/>
            </w:tcBorders>
          </w:tcPr>
          <w:p w14:paraId="5C98E755" w14:textId="587783B4" w:rsidR="00B20C92" w:rsidRPr="009A33BA" w:rsidRDefault="00B20C92" w:rsidP="009F5CC3">
            <w:pPr>
              <w:pStyle w:val="Default"/>
              <w:jc w:val="right"/>
              <w:rPr>
                <w:kern w:val="22"/>
                <w:sz w:val="22"/>
                <w:szCs w:val="22"/>
                <w:lang w:val="es-ES_tradnl"/>
              </w:rPr>
            </w:pPr>
            <w:r w:rsidRPr="009A33BA">
              <w:rPr>
                <w:b/>
                <w:bCs/>
                <w:kern w:val="22"/>
                <w:sz w:val="22"/>
                <w:szCs w:val="22"/>
                <w:lang w:val="es-ES_tradnl"/>
              </w:rPr>
              <w:t>32</w:t>
            </w:r>
            <w:r w:rsidR="008B1C1A" w:rsidRPr="009A33BA">
              <w:rPr>
                <w:b/>
                <w:bCs/>
                <w:kern w:val="22"/>
                <w:sz w:val="22"/>
                <w:szCs w:val="22"/>
                <w:lang w:val="es-ES_tradnl"/>
              </w:rPr>
              <w:t> </w:t>
            </w:r>
            <w:r w:rsidRPr="009A33BA">
              <w:rPr>
                <w:b/>
                <w:bCs/>
                <w:kern w:val="22"/>
                <w:sz w:val="22"/>
                <w:szCs w:val="22"/>
                <w:lang w:val="es-ES_tradnl"/>
              </w:rPr>
              <w:t>772</w:t>
            </w:r>
            <w:r w:rsidR="008B1C1A" w:rsidRPr="009A33BA">
              <w:rPr>
                <w:b/>
                <w:bCs/>
                <w:kern w:val="22"/>
                <w:sz w:val="22"/>
                <w:szCs w:val="22"/>
                <w:lang w:val="es-ES_tradnl"/>
              </w:rPr>
              <w:t>,</w:t>
            </w:r>
            <w:r w:rsidRPr="009A33BA">
              <w:rPr>
                <w:b/>
                <w:bCs/>
                <w:kern w:val="22"/>
                <w:sz w:val="22"/>
                <w:szCs w:val="22"/>
                <w:lang w:val="es-ES_tradnl"/>
              </w:rPr>
              <w:t>5</w:t>
            </w:r>
          </w:p>
        </w:tc>
      </w:tr>
    </w:tbl>
    <w:p w14:paraId="2FC8FC16" w14:textId="703F043D" w:rsidR="00B20C92" w:rsidRPr="009A33BA" w:rsidRDefault="00B20C92" w:rsidP="00B20C92">
      <w:pPr>
        <w:pStyle w:val="CM2"/>
        <w:spacing w:after="60"/>
        <w:rPr>
          <w:color w:val="000000"/>
          <w:kern w:val="22"/>
          <w:sz w:val="22"/>
          <w:szCs w:val="22"/>
          <w:lang w:val="es-ES_tradnl"/>
        </w:rPr>
      </w:pPr>
      <w:r w:rsidRPr="009A33BA">
        <w:rPr>
          <w:color w:val="000000"/>
          <w:kern w:val="22"/>
          <w:sz w:val="22"/>
          <w:szCs w:val="22"/>
          <w:lang w:val="es-ES_tradnl"/>
        </w:rPr>
        <w:t xml:space="preserve">1/ </w:t>
      </w:r>
      <w:r w:rsidR="00D7768D" w:rsidRPr="009A33BA">
        <w:rPr>
          <w:color w:val="000000"/>
          <w:kern w:val="22"/>
          <w:sz w:val="22"/>
          <w:szCs w:val="22"/>
          <w:lang w:val="es-ES_tradnl"/>
        </w:rPr>
        <w:t>Reuniones prioritarias para ser financiadas con el presupuesto básico</w:t>
      </w:r>
      <w:r w:rsidRPr="009A33BA">
        <w:rPr>
          <w:color w:val="000000"/>
          <w:kern w:val="22"/>
          <w:sz w:val="22"/>
          <w:szCs w:val="22"/>
          <w:lang w:val="es-ES_tradnl"/>
        </w:rPr>
        <w:t>:</w:t>
      </w:r>
    </w:p>
    <w:p w14:paraId="4C7B9DC0" w14:textId="1AD54CDF" w:rsidR="00B20C92" w:rsidRPr="009A33BA" w:rsidRDefault="00B20C92" w:rsidP="00B20C92">
      <w:pPr>
        <w:pStyle w:val="CM2"/>
        <w:spacing w:after="60"/>
        <w:ind w:left="360"/>
        <w:rPr>
          <w:color w:val="000000"/>
          <w:kern w:val="22"/>
          <w:sz w:val="22"/>
          <w:szCs w:val="22"/>
          <w:lang w:val="es-ES_tradnl"/>
        </w:rPr>
      </w:pPr>
      <w:r w:rsidRPr="009A33BA">
        <w:rPr>
          <w:color w:val="000000"/>
          <w:kern w:val="22"/>
          <w:sz w:val="22"/>
          <w:szCs w:val="22"/>
          <w:lang w:val="es-ES_tradnl"/>
        </w:rPr>
        <w:t>-</w:t>
      </w:r>
      <w:r w:rsidR="00D7768D" w:rsidRPr="009A33BA">
        <w:rPr>
          <w:color w:val="000000"/>
          <w:kern w:val="22"/>
          <w:sz w:val="22"/>
          <w:szCs w:val="22"/>
          <w:lang w:val="es-ES_tradnl"/>
        </w:rPr>
        <w:t xml:space="preserve"> Décima reunión del Grupo de Trabajo especial de composición abierta sobre el artículo 8 j) y disposiciones conexas</w:t>
      </w:r>
    </w:p>
    <w:p w14:paraId="3D5FACB6" w14:textId="37F434F9" w:rsidR="00B20C92" w:rsidRPr="009A33BA" w:rsidRDefault="00B20C92" w:rsidP="00B20C92">
      <w:pPr>
        <w:pStyle w:val="CM2"/>
        <w:spacing w:after="60"/>
        <w:ind w:left="360"/>
        <w:rPr>
          <w:color w:val="000000"/>
          <w:kern w:val="22"/>
          <w:sz w:val="22"/>
          <w:szCs w:val="22"/>
          <w:lang w:val="es-ES_tradnl"/>
        </w:rPr>
      </w:pPr>
      <w:r w:rsidRPr="009A33BA">
        <w:rPr>
          <w:color w:val="000000"/>
          <w:kern w:val="22"/>
          <w:sz w:val="22"/>
          <w:szCs w:val="22"/>
          <w:lang w:val="es-ES_tradnl"/>
        </w:rPr>
        <w:t>-</w:t>
      </w:r>
      <w:r w:rsidR="00D7768D" w:rsidRPr="009A33BA">
        <w:rPr>
          <w:color w:val="000000"/>
          <w:kern w:val="22"/>
          <w:sz w:val="22"/>
          <w:szCs w:val="22"/>
          <w:lang w:val="es-ES_tradnl"/>
        </w:rPr>
        <w:t>21ª y 20ª reuniones del Órgano Subsidiario de Asesoramiento Científico, Técnico y Tecnológico</w:t>
      </w:r>
      <w:r w:rsidRPr="009A33BA">
        <w:rPr>
          <w:color w:val="000000"/>
          <w:kern w:val="22"/>
          <w:sz w:val="22"/>
          <w:szCs w:val="22"/>
          <w:lang w:val="es-ES_tradnl"/>
        </w:rPr>
        <w:t>.</w:t>
      </w:r>
    </w:p>
    <w:p w14:paraId="1A71936B" w14:textId="4B187D22" w:rsidR="00B20C92" w:rsidRPr="009A33BA" w:rsidRDefault="00B20C92" w:rsidP="00B20C92">
      <w:pPr>
        <w:pStyle w:val="CM1"/>
        <w:spacing w:after="60"/>
        <w:ind w:left="360"/>
        <w:rPr>
          <w:color w:val="000000"/>
          <w:kern w:val="22"/>
          <w:sz w:val="22"/>
          <w:szCs w:val="22"/>
          <w:lang w:val="es-ES_tradnl"/>
        </w:rPr>
      </w:pPr>
      <w:r w:rsidRPr="009A33BA">
        <w:rPr>
          <w:color w:val="000000"/>
          <w:kern w:val="22"/>
          <w:sz w:val="22"/>
          <w:szCs w:val="22"/>
          <w:lang w:val="es-ES_tradnl"/>
        </w:rPr>
        <w:t>-</w:t>
      </w:r>
      <w:r w:rsidRPr="009A33BA">
        <w:rPr>
          <w:noProof/>
          <w:color w:val="000000"/>
          <w:kern w:val="22"/>
          <w:sz w:val="22"/>
          <w:szCs w:val="22"/>
          <w:lang w:val="es-ES_tradnl"/>
        </w:rPr>
        <w:t>Se</w:t>
      </w:r>
      <w:r w:rsidR="00D7768D" w:rsidRPr="009A33BA">
        <w:rPr>
          <w:noProof/>
          <w:color w:val="000000"/>
          <w:kern w:val="22"/>
          <w:sz w:val="22"/>
          <w:szCs w:val="22"/>
          <w:lang w:val="es-ES_tradnl"/>
        </w:rPr>
        <w:t xml:space="preserve">gunda </w:t>
      </w:r>
      <w:r w:rsidR="00D7768D" w:rsidRPr="009A33BA">
        <w:rPr>
          <w:color w:val="000000"/>
          <w:kern w:val="22"/>
          <w:sz w:val="22"/>
          <w:szCs w:val="22"/>
          <w:lang w:val="es-ES_tradnl"/>
        </w:rPr>
        <w:t>reunión del Órgano Subsidiario sobre la Aplicación</w:t>
      </w:r>
      <w:r w:rsidRPr="009A33BA">
        <w:rPr>
          <w:color w:val="000000"/>
          <w:kern w:val="22"/>
          <w:sz w:val="22"/>
          <w:szCs w:val="22"/>
          <w:lang w:val="es-ES_tradnl"/>
        </w:rPr>
        <w:t>.</w:t>
      </w:r>
    </w:p>
    <w:p w14:paraId="1231266C" w14:textId="078EC1E7" w:rsidR="00B20C92" w:rsidRPr="009A33BA" w:rsidRDefault="00B20C92" w:rsidP="00B20C92">
      <w:pPr>
        <w:pStyle w:val="Default"/>
        <w:spacing w:after="60"/>
        <w:ind w:left="360"/>
        <w:rPr>
          <w:kern w:val="22"/>
          <w:sz w:val="22"/>
          <w:szCs w:val="22"/>
          <w:lang w:val="es-ES_tradnl"/>
        </w:rPr>
      </w:pPr>
      <w:r w:rsidRPr="009A33BA">
        <w:rPr>
          <w:kern w:val="22"/>
          <w:sz w:val="22"/>
          <w:szCs w:val="22"/>
          <w:lang w:val="es-ES_tradnl"/>
        </w:rPr>
        <w:t>-</w:t>
      </w:r>
      <w:r w:rsidR="00D7768D" w:rsidRPr="009A33BA">
        <w:rPr>
          <w:kern w:val="22"/>
          <w:sz w:val="22"/>
          <w:szCs w:val="22"/>
          <w:lang w:val="es-ES_tradnl"/>
        </w:rPr>
        <w:t>La 14ª reunión de la Conferencia de las Partes en el Convenio, la novena reunión de las Partes en el Protocolo de Cartagena y la tercera reunión de las Partes en el Protocolo de Nagoya se celebran simultáneamente</w:t>
      </w:r>
      <w:r w:rsidRPr="009A33BA">
        <w:rPr>
          <w:kern w:val="22"/>
          <w:sz w:val="22"/>
          <w:szCs w:val="22"/>
          <w:lang w:val="es-ES_tradnl"/>
        </w:rPr>
        <w:t>.</w:t>
      </w:r>
    </w:p>
    <w:p w14:paraId="029BB9B5" w14:textId="22F84341" w:rsidR="00B20C92" w:rsidRPr="009A33BA" w:rsidRDefault="00B20C92" w:rsidP="00B20C92">
      <w:pPr>
        <w:pStyle w:val="Default"/>
        <w:spacing w:after="60"/>
        <w:rPr>
          <w:kern w:val="22"/>
          <w:sz w:val="22"/>
          <w:szCs w:val="22"/>
          <w:lang w:val="es-ES_tradnl"/>
        </w:rPr>
      </w:pPr>
      <w:r w:rsidRPr="009A33BA">
        <w:rPr>
          <w:kern w:val="22"/>
          <w:sz w:val="22"/>
          <w:szCs w:val="22"/>
          <w:lang w:val="es-ES_tradnl"/>
        </w:rPr>
        <w:t>2/ SBSTTA-21 (3 d</w:t>
      </w:r>
      <w:r w:rsidR="00D7768D" w:rsidRPr="009A33BA">
        <w:rPr>
          <w:kern w:val="22"/>
          <w:sz w:val="22"/>
          <w:szCs w:val="22"/>
          <w:lang w:val="es-ES_tradnl"/>
        </w:rPr>
        <w:t>ías</w:t>
      </w:r>
      <w:r w:rsidRPr="009A33BA">
        <w:rPr>
          <w:kern w:val="22"/>
          <w:sz w:val="22"/>
          <w:szCs w:val="22"/>
          <w:lang w:val="es-ES_tradnl"/>
        </w:rPr>
        <w:t>), Art. 8</w:t>
      </w:r>
      <w:r w:rsidR="00D7768D" w:rsidRPr="009A33BA">
        <w:rPr>
          <w:kern w:val="22"/>
          <w:sz w:val="22"/>
          <w:szCs w:val="22"/>
          <w:lang w:val="es-ES_tradnl"/>
        </w:rPr>
        <w:t> </w:t>
      </w:r>
      <w:r w:rsidRPr="009A33BA">
        <w:rPr>
          <w:kern w:val="22"/>
          <w:sz w:val="22"/>
          <w:szCs w:val="22"/>
          <w:lang w:val="es-ES_tradnl"/>
        </w:rPr>
        <w:t xml:space="preserve">j)-10 (3 </w:t>
      </w:r>
      <w:r w:rsidR="00D7768D" w:rsidRPr="009A33BA">
        <w:rPr>
          <w:kern w:val="22"/>
          <w:sz w:val="22"/>
          <w:szCs w:val="22"/>
          <w:lang w:val="es-ES_tradnl"/>
        </w:rPr>
        <w:t>días</w:t>
      </w:r>
      <w:r w:rsidRPr="009A33BA">
        <w:rPr>
          <w:kern w:val="22"/>
          <w:sz w:val="22"/>
          <w:szCs w:val="22"/>
          <w:lang w:val="es-ES_tradnl"/>
        </w:rPr>
        <w:t xml:space="preserve">) </w:t>
      </w:r>
      <w:r w:rsidR="00E16493" w:rsidRPr="009A33BA">
        <w:rPr>
          <w:kern w:val="22"/>
          <w:sz w:val="22"/>
          <w:szCs w:val="22"/>
          <w:lang w:val="es-ES_tradnl"/>
        </w:rPr>
        <w:t xml:space="preserve">consecutivamente </w:t>
      </w:r>
      <w:r w:rsidR="00D7768D" w:rsidRPr="009A33BA">
        <w:rPr>
          <w:kern w:val="22"/>
          <w:sz w:val="22"/>
          <w:szCs w:val="22"/>
          <w:lang w:val="es-ES_tradnl"/>
        </w:rPr>
        <w:t xml:space="preserve">en </w:t>
      </w:r>
      <w:r w:rsidRPr="009A33BA">
        <w:rPr>
          <w:kern w:val="22"/>
          <w:sz w:val="22"/>
          <w:szCs w:val="22"/>
          <w:lang w:val="es-ES_tradnl"/>
        </w:rPr>
        <w:t xml:space="preserve">2017. SBSTTA-22 (6 </w:t>
      </w:r>
      <w:r w:rsidR="00D7768D" w:rsidRPr="009A33BA">
        <w:rPr>
          <w:kern w:val="22"/>
          <w:sz w:val="22"/>
          <w:szCs w:val="22"/>
          <w:lang w:val="es-ES_tradnl"/>
        </w:rPr>
        <w:t>días</w:t>
      </w:r>
      <w:r w:rsidRPr="009A33BA">
        <w:rPr>
          <w:kern w:val="22"/>
          <w:sz w:val="22"/>
          <w:szCs w:val="22"/>
          <w:lang w:val="es-ES_tradnl"/>
        </w:rPr>
        <w:t xml:space="preserve">), SBI-2 (5 </w:t>
      </w:r>
      <w:r w:rsidR="00D7768D" w:rsidRPr="009A33BA">
        <w:rPr>
          <w:kern w:val="22"/>
          <w:sz w:val="22"/>
          <w:szCs w:val="22"/>
          <w:lang w:val="es-ES_tradnl"/>
        </w:rPr>
        <w:t>días</w:t>
      </w:r>
      <w:r w:rsidRPr="009A33BA">
        <w:rPr>
          <w:kern w:val="22"/>
          <w:sz w:val="22"/>
          <w:szCs w:val="22"/>
          <w:lang w:val="es-ES_tradnl"/>
        </w:rPr>
        <w:t xml:space="preserve">) </w:t>
      </w:r>
      <w:r w:rsidR="00E16493" w:rsidRPr="009A33BA">
        <w:rPr>
          <w:kern w:val="22"/>
          <w:sz w:val="22"/>
          <w:szCs w:val="22"/>
          <w:lang w:val="es-ES_tradnl"/>
        </w:rPr>
        <w:t xml:space="preserve">consecutivamente </w:t>
      </w:r>
      <w:r w:rsidR="00D7768D" w:rsidRPr="009A33BA">
        <w:rPr>
          <w:kern w:val="22"/>
          <w:sz w:val="22"/>
          <w:szCs w:val="22"/>
          <w:lang w:val="es-ES_tradnl"/>
        </w:rPr>
        <w:t xml:space="preserve">en </w:t>
      </w:r>
      <w:r w:rsidRPr="009A33BA">
        <w:rPr>
          <w:kern w:val="22"/>
          <w:sz w:val="22"/>
          <w:szCs w:val="22"/>
          <w:lang w:val="es-ES_tradnl"/>
        </w:rPr>
        <w:t>2018</w:t>
      </w:r>
    </w:p>
    <w:p w14:paraId="3B24C700" w14:textId="10EDA5B7" w:rsidR="00D7768D" w:rsidRPr="009A33BA" w:rsidRDefault="00B20C92" w:rsidP="00E16493">
      <w:pPr>
        <w:pStyle w:val="Default"/>
        <w:spacing w:after="60"/>
        <w:rPr>
          <w:kern w:val="22"/>
          <w:lang w:val="es-ES_tradnl"/>
        </w:rPr>
      </w:pPr>
      <w:r w:rsidRPr="009A33BA">
        <w:rPr>
          <w:kern w:val="22"/>
          <w:sz w:val="22"/>
          <w:szCs w:val="22"/>
          <w:lang w:val="es-ES_tradnl"/>
        </w:rPr>
        <w:t xml:space="preserve">3/ </w:t>
      </w:r>
      <w:r w:rsidR="00E16493" w:rsidRPr="009A33BA">
        <w:rPr>
          <w:kern w:val="22"/>
          <w:sz w:val="22"/>
          <w:szCs w:val="22"/>
          <w:lang w:val="es-ES_tradnl"/>
        </w:rPr>
        <w:t xml:space="preserve">Presupuesto para la </w:t>
      </w:r>
      <w:r w:rsidRPr="009A33BA">
        <w:rPr>
          <w:kern w:val="22"/>
          <w:sz w:val="22"/>
          <w:szCs w:val="22"/>
          <w:lang w:val="es-ES_tradnl"/>
        </w:rPr>
        <w:t xml:space="preserve">COP-14/COP-MOP 9 </w:t>
      </w:r>
      <w:r w:rsidR="00E16493" w:rsidRPr="009A33BA">
        <w:rPr>
          <w:kern w:val="22"/>
          <w:sz w:val="22"/>
          <w:szCs w:val="22"/>
          <w:lang w:val="es-ES_tradnl"/>
        </w:rPr>
        <w:t xml:space="preserve">y la </w:t>
      </w:r>
      <w:r w:rsidRPr="009A33BA">
        <w:rPr>
          <w:kern w:val="22"/>
          <w:sz w:val="22"/>
          <w:szCs w:val="22"/>
          <w:lang w:val="es-ES_tradnl"/>
        </w:rPr>
        <w:t xml:space="preserve">COP-MOP 3 </w:t>
      </w:r>
      <w:r w:rsidR="00E16493" w:rsidRPr="009A33BA">
        <w:rPr>
          <w:kern w:val="22"/>
          <w:sz w:val="22"/>
          <w:szCs w:val="22"/>
          <w:lang w:val="es-ES_tradnl"/>
        </w:rPr>
        <w:t>dividido equitativamente entre ambos años del bienio</w:t>
      </w:r>
      <w:r w:rsidRPr="009A33BA">
        <w:rPr>
          <w:kern w:val="22"/>
          <w:sz w:val="22"/>
          <w:szCs w:val="22"/>
          <w:lang w:val="es-ES_tradnl"/>
        </w:rPr>
        <w:t>.</w:t>
      </w:r>
      <w:r w:rsidR="00E16493" w:rsidRPr="009A33BA">
        <w:rPr>
          <w:kern w:val="22"/>
          <w:lang w:val="es-ES_tradnl"/>
        </w:rPr>
        <w:t xml:space="preserve"> </w:t>
      </w:r>
    </w:p>
    <w:p w14:paraId="07FB1F0C" w14:textId="77777777" w:rsidR="00E16493" w:rsidRPr="009A33BA" w:rsidRDefault="00E16493" w:rsidP="00E16493">
      <w:pPr>
        <w:pStyle w:val="Default"/>
        <w:spacing w:after="60"/>
        <w:rPr>
          <w:kern w:val="22"/>
          <w:lang w:val="es-ES_tradnl"/>
        </w:rPr>
      </w:pPr>
    </w:p>
    <w:p w14:paraId="3F0D8E7D" w14:textId="5F3BF5EC" w:rsidR="00B20C92" w:rsidRPr="009A33BA" w:rsidRDefault="00E16493" w:rsidP="00CA5002">
      <w:pPr>
        <w:pStyle w:val="Default"/>
        <w:keepNext/>
        <w:spacing w:after="120"/>
        <w:ind w:left="1134" w:hanging="1134"/>
        <w:rPr>
          <w:kern w:val="22"/>
          <w:sz w:val="22"/>
          <w:szCs w:val="22"/>
          <w:lang w:val="es-ES_tradnl"/>
        </w:rPr>
      </w:pPr>
      <w:r w:rsidRPr="009A33BA">
        <w:rPr>
          <w:b/>
          <w:bCs/>
          <w:kern w:val="22"/>
          <w:sz w:val="22"/>
          <w:szCs w:val="22"/>
          <w:lang w:val="es-ES_tradnl"/>
        </w:rPr>
        <w:t xml:space="preserve">Cuadro </w:t>
      </w:r>
      <w:r w:rsidR="00B20C92" w:rsidRPr="009A33BA">
        <w:rPr>
          <w:b/>
          <w:bCs/>
          <w:kern w:val="22"/>
          <w:sz w:val="22"/>
          <w:szCs w:val="22"/>
          <w:lang w:val="es-ES_tradnl"/>
        </w:rPr>
        <w:t>4.</w:t>
      </w:r>
      <w:r w:rsidR="00286DD1" w:rsidRPr="009A33BA">
        <w:rPr>
          <w:b/>
          <w:bCs/>
          <w:kern w:val="22"/>
          <w:sz w:val="22"/>
          <w:szCs w:val="22"/>
          <w:lang w:val="es-ES_tradnl"/>
        </w:rPr>
        <w:t xml:space="preserve"> </w:t>
      </w:r>
      <w:r w:rsidR="00CA5002" w:rsidRPr="009A33BA">
        <w:rPr>
          <w:b/>
          <w:bCs/>
          <w:kern w:val="22"/>
          <w:sz w:val="22"/>
          <w:szCs w:val="22"/>
          <w:lang w:val="es-ES_tradnl"/>
        </w:rPr>
        <w:tab/>
      </w:r>
      <w:r w:rsidRPr="009A33BA">
        <w:rPr>
          <w:b/>
          <w:bCs/>
          <w:kern w:val="22"/>
          <w:sz w:val="22"/>
          <w:szCs w:val="22"/>
          <w:lang w:val="es-ES_tradnl"/>
        </w:rPr>
        <w:t xml:space="preserve">Necesidades de personal indicativas de la Secretaría con cargo al presupuesto básico (Fondo Fiduciario BY) para el bienio </w:t>
      </w:r>
      <w:r w:rsidR="00B20C92" w:rsidRPr="009A33BA">
        <w:rPr>
          <w:b/>
          <w:bCs/>
          <w:kern w:val="22"/>
          <w:sz w:val="22"/>
          <w:szCs w:val="22"/>
          <w:lang w:val="es-ES_tradnl"/>
        </w:rPr>
        <w:t>2017-2020</w:t>
      </w:r>
    </w:p>
    <w:tbl>
      <w:tblPr>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B20C92" w:rsidRPr="009A33BA" w14:paraId="69676ACD" w14:textId="77777777" w:rsidTr="009F5CC3">
        <w:trPr>
          <w:cantSplit/>
          <w:jc w:val="center"/>
        </w:trPr>
        <w:tc>
          <w:tcPr>
            <w:tcW w:w="7230" w:type="dxa"/>
            <w:tcBorders>
              <w:top w:val="single" w:sz="8" w:space="0" w:color="000000"/>
              <w:left w:val="nil"/>
              <w:bottom w:val="nil"/>
              <w:right w:val="nil"/>
            </w:tcBorders>
          </w:tcPr>
          <w:p w14:paraId="062039DD" w14:textId="7F618573"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Descrip</w:t>
            </w:r>
            <w:r w:rsidR="00286DD1" w:rsidRPr="009A33BA">
              <w:rPr>
                <w:i/>
                <w:iCs/>
                <w:kern w:val="22"/>
                <w:sz w:val="22"/>
                <w:szCs w:val="22"/>
                <w:lang w:val="es-ES_tradnl"/>
              </w:rPr>
              <w:t xml:space="preserve">ción de las reuniones </w:t>
            </w:r>
          </w:p>
        </w:tc>
        <w:tc>
          <w:tcPr>
            <w:tcW w:w="1829" w:type="dxa"/>
            <w:tcBorders>
              <w:top w:val="single" w:sz="8" w:space="0" w:color="000000"/>
              <w:left w:val="nil"/>
              <w:bottom w:val="nil"/>
              <w:right w:val="nil"/>
            </w:tcBorders>
          </w:tcPr>
          <w:p w14:paraId="1D588EB5" w14:textId="77777777"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2017-2020</w:t>
            </w:r>
          </w:p>
        </w:tc>
      </w:tr>
      <w:tr w:rsidR="00B20C92" w:rsidRPr="00F80FBA" w14:paraId="744BF602" w14:textId="77777777" w:rsidTr="009F5CC3">
        <w:trPr>
          <w:cantSplit/>
          <w:jc w:val="center"/>
        </w:trPr>
        <w:tc>
          <w:tcPr>
            <w:tcW w:w="7230" w:type="dxa"/>
            <w:tcBorders>
              <w:top w:val="nil"/>
              <w:bottom w:val="nil"/>
            </w:tcBorders>
          </w:tcPr>
          <w:p w14:paraId="3F792B64" w14:textId="77777777" w:rsidR="00B20C92" w:rsidRPr="009A33BA" w:rsidRDefault="00B20C92" w:rsidP="009F5CC3">
            <w:pPr>
              <w:pStyle w:val="Default"/>
              <w:rPr>
                <w:i/>
                <w:iCs/>
                <w:kern w:val="22"/>
                <w:sz w:val="22"/>
                <w:szCs w:val="22"/>
                <w:lang w:val="es-ES_tradnl"/>
              </w:rPr>
            </w:pPr>
          </w:p>
        </w:tc>
        <w:tc>
          <w:tcPr>
            <w:tcW w:w="1829" w:type="dxa"/>
            <w:tcBorders>
              <w:top w:val="nil"/>
              <w:bottom w:val="nil"/>
            </w:tcBorders>
          </w:tcPr>
          <w:p w14:paraId="26826AE7" w14:textId="2E508743"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w:t>
            </w:r>
            <w:r w:rsidR="00286DD1" w:rsidRPr="009A33BA">
              <w:rPr>
                <w:i/>
                <w:iCs/>
                <w:kern w:val="22"/>
                <w:sz w:val="22"/>
                <w:szCs w:val="22"/>
                <w:lang w:val="es-ES_tradnl"/>
              </w:rPr>
              <w:t>Miles de dólares EE.UU.)</w:t>
            </w:r>
          </w:p>
        </w:tc>
      </w:tr>
      <w:tr w:rsidR="00B20C92" w:rsidRPr="00F80FBA" w14:paraId="44C70240" w14:textId="77777777" w:rsidTr="009F5CC3">
        <w:trPr>
          <w:cantSplit/>
          <w:jc w:val="center"/>
        </w:trPr>
        <w:tc>
          <w:tcPr>
            <w:tcW w:w="7230" w:type="dxa"/>
            <w:tcBorders>
              <w:top w:val="nil"/>
              <w:bottom w:val="single" w:sz="8" w:space="0" w:color="000000"/>
            </w:tcBorders>
          </w:tcPr>
          <w:p w14:paraId="21299F9E" w14:textId="77777777" w:rsidR="00B20C92" w:rsidRPr="009A33BA" w:rsidRDefault="00B20C92" w:rsidP="009F5CC3">
            <w:pPr>
              <w:pStyle w:val="Default"/>
              <w:rPr>
                <w:i/>
                <w:iCs/>
                <w:kern w:val="22"/>
                <w:sz w:val="22"/>
                <w:szCs w:val="22"/>
                <w:lang w:val="es-ES_tradnl"/>
              </w:rPr>
            </w:pPr>
          </w:p>
        </w:tc>
        <w:tc>
          <w:tcPr>
            <w:tcW w:w="1829" w:type="dxa"/>
            <w:tcBorders>
              <w:top w:val="nil"/>
              <w:bottom w:val="single" w:sz="8" w:space="0" w:color="000000"/>
            </w:tcBorders>
            <w:vAlign w:val="center"/>
          </w:tcPr>
          <w:p w14:paraId="54DD31A9" w14:textId="6261E43D" w:rsidR="00B20C92" w:rsidRPr="009A33BA" w:rsidRDefault="00B20C92" w:rsidP="00286DD1">
            <w:pPr>
              <w:pStyle w:val="Default"/>
              <w:rPr>
                <w:i/>
                <w:iCs/>
                <w:kern w:val="22"/>
                <w:sz w:val="22"/>
                <w:szCs w:val="22"/>
                <w:lang w:val="es-ES_tradnl"/>
              </w:rPr>
            </w:pPr>
          </w:p>
        </w:tc>
      </w:tr>
      <w:tr w:rsidR="00B20C92" w:rsidRPr="009A33BA" w14:paraId="11E88479" w14:textId="77777777" w:rsidTr="009F5CC3">
        <w:trPr>
          <w:cantSplit/>
          <w:jc w:val="center"/>
        </w:trPr>
        <w:tc>
          <w:tcPr>
            <w:tcW w:w="7230" w:type="dxa"/>
            <w:tcBorders>
              <w:top w:val="single" w:sz="8" w:space="0" w:color="000000"/>
            </w:tcBorders>
          </w:tcPr>
          <w:p w14:paraId="21AE33A2" w14:textId="1295A8B7" w:rsidR="00B20C92" w:rsidRPr="009A33BA" w:rsidRDefault="00B20C92" w:rsidP="009F5CC3">
            <w:pPr>
              <w:pStyle w:val="Default"/>
              <w:rPr>
                <w:kern w:val="22"/>
                <w:sz w:val="22"/>
                <w:szCs w:val="22"/>
                <w:lang w:val="es-ES_tradnl"/>
              </w:rPr>
            </w:pPr>
            <w:r w:rsidRPr="009A33BA">
              <w:rPr>
                <w:b/>
                <w:bCs/>
                <w:kern w:val="22"/>
                <w:sz w:val="22"/>
                <w:szCs w:val="22"/>
                <w:lang w:val="es-ES_tradnl"/>
              </w:rPr>
              <w:t xml:space="preserve">I. </w:t>
            </w:r>
            <w:r w:rsidR="00286DD1" w:rsidRPr="009A33BA">
              <w:rPr>
                <w:b/>
                <w:bCs/>
                <w:kern w:val="22"/>
                <w:sz w:val="22"/>
                <w:szCs w:val="22"/>
                <w:lang w:val="es-ES_tradnl"/>
              </w:rPr>
              <w:t xml:space="preserve">Reuniones </w:t>
            </w:r>
          </w:p>
        </w:tc>
        <w:tc>
          <w:tcPr>
            <w:tcW w:w="1829" w:type="dxa"/>
            <w:tcBorders>
              <w:top w:val="single" w:sz="8" w:space="0" w:color="000000"/>
            </w:tcBorders>
          </w:tcPr>
          <w:p w14:paraId="32FF9449" w14:textId="77777777" w:rsidR="00B20C92" w:rsidRPr="009A33BA" w:rsidRDefault="00B20C92" w:rsidP="009F5CC3">
            <w:pPr>
              <w:pStyle w:val="Default"/>
              <w:jc w:val="right"/>
              <w:rPr>
                <w:kern w:val="22"/>
                <w:sz w:val="22"/>
                <w:szCs w:val="22"/>
                <w:lang w:val="es-ES_tradnl"/>
              </w:rPr>
            </w:pPr>
          </w:p>
        </w:tc>
      </w:tr>
      <w:tr w:rsidR="00B20C92" w:rsidRPr="009A33BA" w14:paraId="516A88A2" w14:textId="77777777" w:rsidTr="009F5CC3">
        <w:trPr>
          <w:cantSplit/>
          <w:jc w:val="center"/>
        </w:trPr>
        <w:tc>
          <w:tcPr>
            <w:tcW w:w="7230" w:type="dxa"/>
          </w:tcPr>
          <w:p w14:paraId="202EC22B" w14:textId="11C34936" w:rsidR="00B20C92" w:rsidRPr="009A33BA" w:rsidRDefault="00B20C92" w:rsidP="009F5CC3">
            <w:pPr>
              <w:pStyle w:val="Default"/>
              <w:rPr>
                <w:kern w:val="22"/>
                <w:sz w:val="22"/>
                <w:szCs w:val="22"/>
                <w:lang w:val="es-ES_tradnl"/>
              </w:rPr>
            </w:pPr>
            <w:r w:rsidRPr="009A33BA">
              <w:rPr>
                <w:kern w:val="22"/>
                <w:sz w:val="22"/>
                <w:szCs w:val="22"/>
                <w:lang w:val="es-ES_tradnl"/>
              </w:rPr>
              <w:t xml:space="preserve">COP-14, </w:t>
            </w:r>
            <w:r w:rsidR="00286DD1" w:rsidRPr="009A33BA">
              <w:rPr>
                <w:kern w:val="22"/>
                <w:sz w:val="22"/>
                <w:szCs w:val="22"/>
                <w:lang w:val="es-ES_tradnl"/>
              </w:rPr>
              <w:t xml:space="preserve">Protocolo de </w:t>
            </w:r>
            <w:r w:rsidRPr="009A33BA">
              <w:rPr>
                <w:kern w:val="22"/>
                <w:sz w:val="22"/>
                <w:szCs w:val="22"/>
                <w:lang w:val="es-ES_tradnl"/>
              </w:rPr>
              <w:t xml:space="preserve">Cartagena COP-MOP 9 </w:t>
            </w:r>
            <w:r w:rsidR="00286DD1" w:rsidRPr="009A33BA">
              <w:rPr>
                <w:kern w:val="22"/>
                <w:sz w:val="22"/>
                <w:szCs w:val="22"/>
                <w:lang w:val="es-ES_tradnl"/>
              </w:rPr>
              <w:t xml:space="preserve">y Protocolo de </w:t>
            </w:r>
            <w:r w:rsidRPr="009A33BA">
              <w:rPr>
                <w:kern w:val="22"/>
                <w:sz w:val="22"/>
                <w:szCs w:val="22"/>
                <w:lang w:val="es-ES_tradnl"/>
              </w:rPr>
              <w:t>Nagoya COP-MOP 3</w:t>
            </w:r>
          </w:p>
        </w:tc>
        <w:tc>
          <w:tcPr>
            <w:tcW w:w="1829" w:type="dxa"/>
          </w:tcPr>
          <w:p w14:paraId="3CDBA58B" w14:textId="78E86EDE" w:rsidR="00B20C92" w:rsidRPr="009A33BA" w:rsidRDefault="00B20C92" w:rsidP="009F5CC3">
            <w:pPr>
              <w:pStyle w:val="Default"/>
              <w:ind w:right="461"/>
              <w:jc w:val="right"/>
              <w:rPr>
                <w:kern w:val="22"/>
                <w:sz w:val="22"/>
                <w:szCs w:val="22"/>
                <w:lang w:val="es-ES_tradnl"/>
              </w:rPr>
            </w:pPr>
            <w:r w:rsidRPr="009A33BA">
              <w:rPr>
                <w:kern w:val="22"/>
                <w:sz w:val="22"/>
                <w:szCs w:val="22"/>
                <w:lang w:val="es-ES_tradnl"/>
              </w:rPr>
              <w:t>2</w:t>
            </w:r>
            <w:r w:rsidR="00286DD1" w:rsidRPr="009A33BA">
              <w:rPr>
                <w:kern w:val="22"/>
                <w:sz w:val="22"/>
                <w:szCs w:val="22"/>
                <w:lang w:val="es-ES_tradnl"/>
              </w:rPr>
              <w:t> </w:t>
            </w:r>
            <w:r w:rsidRPr="009A33BA">
              <w:rPr>
                <w:kern w:val="22"/>
                <w:sz w:val="22"/>
                <w:szCs w:val="22"/>
                <w:lang w:val="es-ES_tradnl"/>
              </w:rPr>
              <w:t>000</w:t>
            </w:r>
            <w:r w:rsidR="00286DD1" w:rsidRPr="009A33BA">
              <w:rPr>
                <w:kern w:val="22"/>
                <w:sz w:val="22"/>
                <w:szCs w:val="22"/>
                <w:lang w:val="es-ES_tradnl"/>
              </w:rPr>
              <w:t>,</w:t>
            </w:r>
            <w:r w:rsidRPr="009A33BA">
              <w:rPr>
                <w:kern w:val="22"/>
                <w:sz w:val="22"/>
                <w:szCs w:val="22"/>
                <w:lang w:val="es-ES_tradnl"/>
              </w:rPr>
              <w:t>0</w:t>
            </w:r>
          </w:p>
        </w:tc>
      </w:tr>
      <w:tr w:rsidR="00B20C92" w:rsidRPr="009A33BA" w14:paraId="2E4C9AFE" w14:textId="77777777" w:rsidTr="009F5CC3">
        <w:trPr>
          <w:cantSplit/>
          <w:jc w:val="center"/>
        </w:trPr>
        <w:tc>
          <w:tcPr>
            <w:tcW w:w="7230" w:type="dxa"/>
          </w:tcPr>
          <w:p w14:paraId="7F087F19" w14:textId="07465C57" w:rsidR="00B20C92" w:rsidRPr="009A33BA" w:rsidRDefault="00B20C92" w:rsidP="009F5CC3">
            <w:pPr>
              <w:pStyle w:val="Default"/>
              <w:rPr>
                <w:kern w:val="22"/>
                <w:sz w:val="22"/>
                <w:szCs w:val="22"/>
                <w:lang w:val="es-ES_tradnl"/>
              </w:rPr>
            </w:pPr>
            <w:r w:rsidRPr="009A33BA">
              <w:rPr>
                <w:kern w:val="22"/>
                <w:sz w:val="22"/>
                <w:szCs w:val="22"/>
                <w:lang w:val="es-ES_tradnl"/>
              </w:rPr>
              <w:t xml:space="preserve">COP-15, </w:t>
            </w:r>
            <w:r w:rsidR="00286DD1" w:rsidRPr="009A33BA">
              <w:rPr>
                <w:kern w:val="22"/>
                <w:sz w:val="22"/>
                <w:szCs w:val="22"/>
                <w:lang w:val="es-ES_tradnl"/>
              </w:rPr>
              <w:t xml:space="preserve">Protocolo de </w:t>
            </w:r>
            <w:r w:rsidRPr="009A33BA">
              <w:rPr>
                <w:kern w:val="22"/>
                <w:sz w:val="22"/>
                <w:szCs w:val="22"/>
                <w:lang w:val="es-ES_tradnl"/>
              </w:rPr>
              <w:t xml:space="preserve">Cartagena COP-MOP 10 </w:t>
            </w:r>
            <w:r w:rsidR="00286DD1" w:rsidRPr="009A33BA">
              <w:rPr>
                <w:kern w:val="22"/>
                <w:sz w:val="22"/>
                <w:szCs w:val="22"/>
                <w:lang w:val="es-ES_tradnl"/>
              </w:rPr>
              <w:t xml:space="preserve">y Protocolo de </w:t>
            </w:r>
            <w:r w:rsidRPr="009A33BA">
              <w:rPr>
                <w:kern w:val="22"/>
                <w:sz w:val="22"/>
                <w:szCs w:val="22"/>
                <w:lang w:val="es-ES_tradnl"/>
              </w:rPr>
              <w:t>Nagoya COP-MOP 4</w:t>
            </w:r>
          </w:p>
        </w:tc>
        <w:tc>
          <w:tcPr>
            <w:tcW w:w="1829" w:type="dxa"/>
          </w:tcPr>
          <w:p w14:paraId="0400D088" w14:textId="692F4C7C" w:rsidR="00B20C92" w:rsidRPr="009A33BA" w:rsidRDefault="00B20C92" w:rsidP="009F5CC3">
            <w:pPr>
              <w:pStyle w:val="Default"/>
              <w:ind w:right="461"/>
              <w:jc w:val="right"/>
              <w:rPr>
                <w:kern w:val="22"/>
                <w:sz w:val="22"/>
                <w:szCs w:val="22"/>
                <w:lang w:val="es-ES_tradnl"/>
              </w:rPr>
            </w:pPr>
            <w:r w:rsidRPr="009A33BA">
              <w:rPr>
                <w:kern w:val="22"/>
                <w:sz w:val="22"/>
                <w:szCs w:val="22"/>
                <w:lang w:val="es-ES_tradnl"/>
              </w:rPr>
              <w:t>2</w:t>
            </w:r>
            <w:r w:rsidR="00286DD1" w:rsidRPr="009A33BA">
              <w:rPr>
                <w:kern w:val="22"/>
                <w:sz w:val="22"/>
                <w:szCs w:val="22"/>
                <w:lang w:val="es-ES_tradnl"/>
              </w:rPr>
              <w:t> </w:t>
            </w:r>
            <w:r w:rsidRPr="009A33BA">
              <w:rPr>
                <w:kern w:val="22"/>
                <w:sz w:val="22"/>
                <w:szCs w:val="22"/>
                <w:lang w:val="es-ES_tradnl"/>
              </w:rPr>
              <w:t>000</w:t>
            </w:r>
            <w:r w:rsidR="00286DD1" w:rsidRPr="009A33BA">
              <w:rPr>
                <w:kern w:val="22"/>
                <w:sz w:val="22"/>
                <w:szCs w:val="22"/>
                <w:lang w:val="es-ES_tradnl"/>
              </w:rPr>
              <w:t>,</w:t>
            </w:r>
            <w:r w:rsidRPr="009A33BA">
              <w:rPr>
                <w:kern w:val="22"/>
                <w:sz w:val="22"/>
                <w:szCs w:val="22"/>
                <w:lang w:val="es-ES_tradnl"/>
              </w:rPr>
              <w:t>0</w:t>
            </w:r>
          </w:p>
        </w:tc>
      </w:tr>
      <w:tr w:rsidR="00B20C92" w:rsidRPr="009A33BA" w14:paraId="6969A93F" w14:textId="77777777" w:rsidTr="009F5CC3">
        <w:trPr>
          <w:cantSplit/>
          <w:jc w:val="center"/>
        </w:trPr>
        <w:tc>
          <w:tcPr>
            <w:tcW w:w="7230" w:type="dxa"/>
          </w:tcPr>
          <w:p w14:paraId="4BE2D4D8" w14:textId="4F4724AD" w:rsidR="00B20C92" w:rsidRPr="009A33BA" w:rsidRDefault="00286DD1" w:rsidP="009F5CC3">
            <w:pPr>
              <w:pStyle w:val="Default"/>
              <w:rPr>
                <w:kern w:val="22"/>
                <w:sz w:val="22"/>
                <w:szCs w:val="22"/>
                <w:lang w:val="es-ES_tradnl"/>
              </w:rPr>
            </w:pPr>
            <w:r w:rsidRPr="009A33BA">
              <w:rPr>
                <w:kern w:val="22"/>
                <w:sz w:val="22"/>
                <w:szCs w:val="22"/>
                <w:lang w:val="es-ES_tradnl"/>
              </w:rPr>
              <w:lastRenderedPageBreak/>
              <w:t xml:space="preserve">Reuniones regionales de preparación para las reuniones consecutivas de la Conferencia de las Partes </w:t>
            </w:r>
          </w:p>
        </w:tc>
        <w:tc>
          <w:tcPr>
            <w:tcW w:w="1829" w:type="dxa"/>
          </w:tcPr>
          <w:p w14:paraId="580C42C0" w14:textId="07AA19FF" w:rsidR="00B20C92" w:rsidRPr="009A33BA" w:rsidRDefault="00B20C92" w:rsidP="009F5CC3">
            <w:pPr>
              <w:pStyle w:val="Default"/>
              <w:ind w:right="461"/>
              <w:jc w:val="right"/>
              <w:rPr>
                <w:kern w:val="22"/>
                <w:sz w:val="22"/>
                <w:szCs w:val="22"/>
                <w:lang w:val="es-ES_tradnl"/>
              </w:rPr>
            </w:pPr>
            <w:r w:rsidRPr="009A33BA">
              <w:rPr>
                <w:kern w:val="22"/>
                <w:sz w:val="22"/>
                <w:szCs w:val="22"/>
                <w:lang w:val="es-ES_tradnl"/>
              </w:rPr>
              <w:t>400</w:t>
            </w:r>
            <w:r w:rsidR="00286DD1" w:rsidRPr="009A33BA">
              <w:rPr>
                <w:kern w:val="22"/>
                <w:sz w:val="22"/>
                <w:szCs w:val="22"/>
                <w:lang w:val="es-ES_tradnl"/>
              </w:rPr>
              <w:t>,</w:t>
            </w:r>
            <w:r w:rsidRPr="009A33BA">
              <w:rPr>
                <w:kern w:val="22"/>
                <w:sz w:val="22"/>
                <w:szCs w:val="22"/>
                <w:lang w:val="es-ES_tradnl"/>
              </w:rPr>
              <w:t>0</w:t>
            </w:r>
          </w:p>
        </w:tc>
      </w:tr>
      <w:tr w:rsidR="00B20C92" w:rsidRPr="009A33BA" w14:paraId="41FDADEE" w14:textId="77777777" w:rsidTr="009F5CC3">
        <w:trPr>
          <w:cantSplit/>
          <w:jc w:val="center"/>
        </w:trPr>
        <w:tc>
          <w:tcPr>
            <w:tcW w:w="7230" w:type="dxa"/>
            <w:vAlign w:val="bottom"/>
          </w:tcPr>
          <w:p w14:paraId="158ECC80" w14:textId="24E8DBDB" w:rsidR="00B20C92" w:rsidRPr="009A33BA" w:rsidRDefault="00286DD1" w:rsidP="009F5CC3">
            <w:pPr>
              <w:pStyle w:val="Default"/>
              <w:rPr>
                <w:kern w:val="22"/>
                <w:sz w:val="22"/>
                <w:szCs w:val="22"/>
                <w:lang w:val="es-ES_tradnl"/>
              </w:rPr>
            </w:pPr>
            <w:r w:rsidRPr="009A33BA">
              <w:rPr>
                <w:kern w:val="22"/>
                <w:sz w:val="22"/>
                <w:szCs w:val="22"/>
                <w:lang w:val="es-ES_tradnl"/>
              </w:rPr>
              <w:t xml:space="preserve">Órgano Subsidiario de Asesoramiento Científico, Técnico y Tecnológico </w:t>
            </w:r>
            <w:r w:rsidR="00B20C92" w:rsidRPr="009A33BA">
              <w:rPr>
                <w:kern w:val="22"/>
                <w:sz w:val="22"/>
                <w:szCs w:val="22"/>
                <w:lang w:val="es-ES_tradnl"/>
              </w:rPr>
              <w:t xml:space="preserve">(SBSTTA 21, SBSTTA 22, SBSTTA 23 </w:t>
            </w:r>
            <w:r w:rsidRPr="009A33BA">
              <w:rPr>
                <w:kern w:val="22"/>
                <w:sz w:val="22"/>
                <w:szCs w:val="22"/>
                <w:lang w:val="es-ES_tradnl"/>
              </w:rPr>
              <w:t>y</w:t>
            </w:r>
            <w:r w:rsidR="00B20C92" w:rsidRPr="009A33BA">
              <w:rPr>
                <w:kern w:val="22"/>
                <w:sz w:val="22"/>
                <w:szCs w:val="22"/>
                <w:lang w:val="es-ES_tradnl"/>
              </w:rPr>
              <w:t xml:space="preserve"> SBSTTA 24)</w:t>
            </w:r>
          </w:p>
        </w:tc>
        <w:tc>
          <w:tcPr>
            <w:tcW w:w="1829" w:type="dxa"/>
          </w:tcPr>
          <w:p w14:paraId="22481295" w14:textId="77777777" w:rsidR="00B20C92" w:rsidRPr="009A33BA" w:rsidRDefault="00B20C92" w:rsidP="009F5CC3">
            <w:pPr>
              <w:pStyle w:val="Default"/>
              <w:ind w:right="461"/>
              <w:jc w:val="right"/>
              <w:rPr>
                <w:kern w:val="22"/>
                <w:sz w:val="22"/>
                <w:szCs w:val="22"/>
                <w:lang w:val="es-ES_tradnl"/>
              </w:rPr>
            </w:pPr>
            <w:r w:rsidRPr="009A33BA">
              <w:rPr>
                <w:kern w:val="22"/>
                <w:sz w:val="22"/>
                <w:szCs w:val="22"/>
                <w:lang w:val="es-ES_tradnl"/>
              </w:rPr>
              <w:t>4,800.0</w:t>
            </w:r>
          </w:p>
        </w:tc>
      </w:tr>
      <w:tr w:rsidR="00B20C92" w:rsidRPr="00F50396" w14:paraId="5F519846" w14:textId="77777777" w:rsidTr="009F5CC3">
        <w:trPr>
          <w:cantSplit/>
          <w:jc w:val="center"/>
        </w:trPr>
        <w:tc>
          <w:tcPr>
            <w:tcW w:w="7230" w:type="dxa"/>
          </w:tcPr>
          <w:p w14:paraId="3C064819" w14:textId="02A016FE" w:rsidR="00B20C92" w:rsidRPr="00F50396" w:rsidRDefault="00286DD1" w:rsidP="009F5CC3">
            <w:pPr>
              <w:pStyle w:val="Default"/>
              <w:rPr>
                <w:kern w:val="22"/>
                <w:sz w:val="22"/>
                <w:szCs w:val="22"/>
                <w:lang w:val="es-ES_tradnl"/>
              </w:rPr>
            </w:pPr>
            <w:r w:rsidRPr="00F50396">
              <w:rPr>
                <w:kern w:val="22"/>
                <w:sz w:val="22"/>
                <w:szCs w:val="22"/>
                <w:lang w:val="es-ES_tradnl"/>
              </w:rPr>
              <w:t xml:space="preserve">Reunión del Grupo de Trabajo especial de composición abierta sobre el artículo 8 j) y disposiciones conexas </w:t>
            </w:r>
            <w:r w:rsidR="00B20C92" w:rsidRPr="00F50396">
              <w:rPr>
                <w:kern w:val="22"/>
                <w:sz w:val="22"/>
                <w:szCs w:val="22"/>
                <w:lang w:val="es-ES_tradnl"/>
              </w:rPr>
              <w:t>(Art. 8</w:t>
            </w:r>
            <w:r w:rsidRPr="00F50396">
              <w:rPr>
                <w:kern w:val="22"/>
                <w:sz w:val="22"/>
                <w:szCs w:val="22"/>
                <w:lang w:val="es-ES_tradnl"/>
              </w:rPr>
              <w:t> </w:t>
            </w:r>
            <w:r w:rsidR="00B20C92" w:rsidRPr="00F50396">
              <w:rPr>
                <w:kern w:val="22"/>
                <w:sz w:val="22"/>
                <w:szCs w:val="22"/>
                <w:lang w:val="es-ES_tradnl"/>
              </w:rPr>
              <w:t xml:space="preserve">j), 10 </w:t>
            </w:r>
            <w:r w:rsidRPr="00F50396">
              <w:rPr>
                <w:kern w:val="22"/>
                <w:sz w:val="22"/>
                <w:szCs w:val="22"/>
                <w:lang w:val="es-ES_tradnl"/>
              </w:rPr>
              <w:t>y</w:t>
            </w:r>
            <w:r w:rsidR="00B20C92" w:rsidRPr="00F50396">
              <w:rPr>
                <w:kern w:val="22"/>
                <w:sz w:val="22"/>
                <w:szCs w:val="22"/>
                <w:lang w:val="es-ES_tradnl"/>
              </w:rPr>
              <w:t xml:space="preserve"> 11)</w:t>
            </w:r>
          </w:p>
        </w:tc>
        <w:tc>
          <w:tcPr>
            <w:tcW w:w="1829" w:type="dxa"/>
          </w:tcPr>
          <w:p w14:paraId="5808A93E" w14:textId="29F3C7F1" w:rsidR="00B20C92" w:rsidRPr="00F50396" w:rsidRDefault="00B20C92" w:rsidP="009F5CC3">
            <w:pPr>
              <w:pStyle w:val="Default"/>
              <w:ind w:right="461"/>
              <w:jc w:val="right"/>
              <w:rPr>
                <w:kern w:val="22"/>
                <w:sz w:val="22"/>
                <w:szCs w:val="22"/>
                <w:lang w:val="es-ES_tradnl"/>
              </w:rPr>
            </w:pPr>
            <w:r w:rsidRPr="00F50396">
              <w:rPr>
                <w:kern w:val="22"/>
                <w:sz w:val="22"/>
                <w:szCs w:val="22"/>
                <w:lang w:val="es-ES_tradnl"/>
              </w:rPr>
              <w:t>600</w:t>
            </w:r>
            <w:r w:rsidR="00286DD1" w:rsidRPr="00F50396">
              <w:rPr>
                <w:kern w:val="22"/>
                <w:sz w:val="22"/>
                <w:szCs w:val="22"/>
                <w:lang w:val="es-ES_tradnl"/>
              </w:rPr>
              <w:t>,</w:t>
            </w:r>
            <w:r w:rsidRPr="00F50396">
              <w:rPr>
                <w:kern w:val="22"/>
                <w:sz w:val="22"/>
                <w:szCs w:val="22"/>
                <w:lang w:val="es-ES_tradnl"/>
              </w:rPr>
              <w:t>0</w:t>
            </w:r>
          </w:p>
        </w:tc>
      </w:tr>
      <w:tr w:rsidR="00B20C92" w:rsidRPr="009A33BA" w14:paraId="0A0EEAC5" w14:textId="77777777" w:rsidTr="009F5CC3">
        <w:trPr>
          <w:cantSplit/>
          <w:jc w:val="center"/>
        </w:trPr>
        <w:tc>
          <w:tcPr>
            <w:tcW w:w="7230" w:type="dxa"/>
            <w:tcBorders>
              <w:bottom w:val="single" w:sz="8" w:space="0" w:color="000000"/>
            </w:tcBorders>
            <w:vAlign w:val="center"/>
          </w:tcPr>
          <w:p w14:paraId="584B8CB8" w14:textId="5A566D23" w:rsidR="00B20C92" w:rsidRPr="009A33BA" w:rsidRDefault="00286DD1" w:rsidP="009F5CC3">
            <w:pPr>
              <w:pStyle w:val="Default"/>
              <w:rPr>
                <w:kern w:val="22"/>
                <w:sz w:val="22"/>
                <w:szCs w:val="22"/>
                <w:lang w:val="es-ES_tradnl"/>
              </w:rPr>
            </w:pPr>
            <w:r w:rsidRPr="009A33BA">
              <w:rPr>
                <w:kern w:val="22"/>
                <w:sz w:val="22"/>
                <w:szCs w:val="22"/>
                <w:lang w:val="es-ES_tradnl"/>
              </w:rPr>
              <w:t xml:space="preserve">Órgano Subsidiario sobre la Aplicación </w:t>
            </w:r>
            <w:r w:rsidR="00B20C92" w:rsidRPr="009A33BA">
              <w:rPr>
                <w:kern w:val="22"/>
                <w:sz w:val="22"/>
                <w:szCs w:val="22"/>
                <w:lang w:val="es-ES_tradnl"/>
              </w:rPr>
              <w:t xml:space="preserve">(SBI 2 </w:t>
            </w:r>
            <w:r w:rsidRPr="009A33BA">
              <w:rPr>
                <w:kern w:val="22"/>
                <w:sz w:val="22"/>
                <w:szCs w:val="22"/>
                <w:lang w:val="es-ES_tradnl"/>
              </w:rPr>
              <w:t xml:space="preserve">y </w:t>
            </w:r>
            <w:r w:rsidR="00B20C92" w:rsidRPr="009A33BA">
              <w:rPr>
                <w:kern w:val="22"/>
                <w:sz w:val="22"/>
                <w:szCs w:val="22"/>
                <w:lang w:val="es-ES_tradnl"/>
              </w:rPr>
              <w:t>3)</w:t>
            </w:r>
          </w:p>
        </w:tc>
        <w:tc>
          <w:tcPr>
            <w:tcW w:w="1829" w:type="dxa"/>
            <w:tcBorders>
              <w:bottom w:val="single" w:sz="8" w:space="0" w:color="000000"/>
            </w:tcBorders>
            <w:vAlign w:val="center"/>
          </w:tcPr>
          <w:p w14:paraId="65626022" w14:textId="23800C66" w:rsidR="00B20C92" w:rsidRPr="009A33BA" w:rsidRDefault="00B20C92" w:rsidP="009F5CC3">
            <w:pPr>
              <w:pStyle w:val="Default"/>
              <w:ind w:right="461"/>
              <w:jc w:val="right"/>
              <w:rPr>
                <w:kern w:val="22"/>
                <w:sz w:val="22"/>
                <w:szCs w:val="22"/>
                <w:lang w:val="es-ES_tradnl"/>
              </w:rPr>
            </w:pPr>
            <w:r w:rsidRPr="009A33BA">
              <w:rPr>
                <w:kern w:val="22"/>
                <w:sz w:val="22"/>
                <w:szCs w:val="22"/>
                <w:lang w:val="es-ES_tradnl"/>
              </w:rPr>
              <w:t>600</w:t>
            </w:r>
            <w:r w:rsidR="00286DD1" w:rsidRPr="009A33BA">
              <w:rPr>
                <w:kern w:val="22"/>
                <w:sz w:val="22"/>
                <w:szCs w:val="22"/>
                <w:lang w:val="es-ES_tradnl"/>
              </w:rPr>
              <w:t>,</w:t>
            </w:r>
            <w:r w:rsidRPr="009A33BA">
              <w:rPr>
                <w:kern w:val="22"/>
                <w:sz w:val="22"/>
                <w:szCs w:val="22"/>
                <w:lang w:val="es-ES_tradnl"/>
              </w:rPr>
              <w:t>0</w:t>
            </w:r>
          </w:p>
        </w:tc>
      </w:tr>
      <w:tr w:rsidR="00B20C92" w:rsidRPr="009A33BA" w14:paraId="60D76123" w14:textId="77777777" w:rsidTr="009F5CC3">
        <w:trPr>
          <w:cantSplit/>
          <w:jc w:val="center"/>
        </w:trPr>
        <w:tc>
          <w:tcPr>
            <w:tcW w:w="7230" w:type="dxa"/>
            <w:tcBorders>
              <w:top w:val="single" w:sz="8" w:space="0" w:color="000000"/>
              <w:bottom w:val="single" w:sz="8" w:space="0" w:color="000000"/>
            </w:tcBorders>
            <w:vAlign w:val="center"/>
          </w:tcPr>
          <w:p w14:paraId="7951490D" w14:textId="452C9557" w:rsidR="00B20C92" w:rsidRPr="009A33BA" w:rsidRDefault="00286DD1" w:rsidP="009F5CC3">
            <w:pPr>
              <w:pStyle w:val="Default"/>
              <w:rPr>
                <w:kern w:val="22"/>
                <w:sz w:val="22"/>
                <w:szCs w:val="22"/>
                <w:lang w:val="es-ES_tradnl"/>
              </w:rPr>
            </w:pPr>
            <w:r w:rsidRPr="009A33BA">
              <w:rPr>
                <w:b/>
                <w:bCs/>
                <w:kern w:val="22"/>
                <w:sz w:val="22"/>
                <w:szCs w:val="22"/>
                <w:lang w:val="es-ES_tradnl"/>
              </w:rPr>
              <w:t>Total parcial</w:t>
            </w:r>
          </w:p>
        </w:tc>
        <w:tc>
          <w:tcPr>
            <w:tcW w:w="1829" w:type="dxa"/>
            <w:tcBorders>
              <w:top w:val="single" w:sz="8" w:space="0" w:color="000000"/>
              <w:bottom w:val="single" w:sz="8" w:space="0" w:color="000000"/>
            </w:tcBorders>
            <w:vAlign w:val="center"/>
          </w:tcPr>
          <w:p w14:paraId="3E6C6E7C" w14:textId="4756118D" w:rsidR="00B20C92" w:rsidRPr="009A33BA" w:rsidRDefault="00B20C92" w:rsidP="009F5CC3">
            <w:pPr>
              <w:pStyle w:val="Default"/>
              <w:ind w:right="461"/>
              <w:jc w:val="right"/>
              <w:rPr>
                <w:kern w:val="22"/>
                <w:sz w:val="22"/>
                <w:szCs w:val="22"/>
                <w:lang w:val="es-ES_tradnl"/>
              </w:rPr>
            </w:pPr>
            <w:r w:rsidRPr="009A33BA">
              <w:rPr>
                <w:b/>
                <w:bCs/>
                <w:kern w:val="22"/>
                <w:sz w:val="22"/>
                <w:szCs w:val="22"/>
                <w:lang w:val="es-ES_tradnl"/>
              </w:rPr>
              <w:t>10</w:t>
            </w:r>
            <w:r w:rsidR="00286DD1" w:rsidRPr="009A33BA">
              <w:rPr>
                <w:b/>
                <w:bCs/>
                <w:kern w:val="22"/>
                <w:sz w:val="22"/>
                <w:szCs w:val="22"/>
                <w:lang w:val="es-ES_tradnl"/>
              </w:rPr>
              <w:t> </w:t>
            </w:r>
            <w:r w:rsidRPr="009A33BA">
              <w:rPr>
                <w:b/>
                <w:bCs/>
                <w:kern w:val="22"/>
                <w:sz w:val="22"/>
                <w:szCs w:val="22"/>
                <w:lang w:val="es-ES_tradnl"/>
              </w:rPr>
              <w:t>400</w:t>
            </w:r>
            <w:r w:rsidR="00286DD1" w:rsidRPr="009A33BA">
              <w:rPr>
                <w:b/>
                <w:bCs/>
                <w:kern w:val="22"/>
                <w:sz w:val="22"/>
                <w:szCs w:val="22"/>
                <w:lang w:val="es-ES_tradnl"/>
              </w:rPr>
              <w:t>,</w:t>
            </w:r>
            <w:r w:rsidRPr="009A33BA">
              <w:rPr>
                <w:b/>
                <w:bCs/>
                <w:kern w:val="22"/>
                <w:sz w:val="22"/>
                <w:szCs w:val="22"/>
                <w:lang w:val="es-ES_tradnl"/>
              </w:rPr>
              <w:t>0</w:t>
            </w:r>
          </w:p>
        </w:tc>
      </w:tr>
      <w:tr w:rsidR="00B20C92" w:rsidRPr="009A33BA" w14:paraId="2764E1E6" w14:textId="77777777" w:rsidTr="009F5CC3">
        <w:trPr>
          <w:cantSplit/>
          <w:jc w:val="center"/>
        </w:trPr>
        <w:tc>
          <w:tcPr>
            <w:tcW w:w="7230" w:type="dxa"/>
            <w:tcBorders>
              <w:top w:val="single" w:sz="8" w:space="0" w:color="000000"/>
              <w:bottom w:val="single" w:sz="8" w:space="0" w:color="000000"/>
            </w:tcBorders>
            <w:vAlign w:val="center"/>
          </w:tcPr>
          <w:p w14:paraId="41B6709A" w14:textId="7C3ECF52" w:rsidR="00B20C92" w:rsidRPr="009A33BA" w:rsidRDefault="00B20C92" w:rsidP="009F5CC3">
            <w:pPr>
              <w:pStyle w:val="Default"/>
              <w:rPr>
                <w:kern w:val="22"/>
                <w:sz w:val="22"/>
                <w:szCs w:val="22"/>
                <w:lang w:val="es-ES_tradnl"/>
              </w:rPr>
            </w:pPr>
            <w:r w:rsidRPr="009A33BA">
              <w:rPr>
                <w:b/>
                <w:bCs/>
                <w:kern w:val="22"/>
                <w:sz w:val="22"/>
                <w:szCs w:val="22"/>
                <w:lang w:val="es-ES_tradnl"/>
              </w:rPr>
              <w:t xml:space="preserve">II. </w:t>
            </w:r>
            <w:r w:rsidR="00286DD1" w:rsidRPr="009A33BA">
              <w:rPr>
                <w:b/>
                <w:bCs/>
                <w:kern w:val="22"/>
                <w:sz w:val="22"/>
                <w:szCs w:val="22"/>
                <w:lang w:val="es-ES_tradnl"/>
              </w:rPr>
              <w:t>Gastos de apoyo a los programas</w:t>
            </w:r>
          </w:p>
        </w:tc>
        <w:tc>
          <w:tcPr>
            <w:tcW w:w="1829" w:type="dxa"/>
            <w:tcBorders>
              <w:top w:val="single" w:sz="8" w:space="0" w:color="000000"/>
              <w:bottom w:val="single" w:sz="8" w:space="0" w:color="000000"/>
            </w:tcBorders>
            <w:vAlign w:val="center"/>
          </w:tcPr>
          <w:p w14:paraId="0F0AAB93" w14:textId="40C93CF4" w:rsidR="00B20C92" w:rsidRPr="009A33BA" w:rsidRDefault="00B20C92" w:rsidP="009F5CC3">
            <w:pPr>
              <w:pStyle w:val="Default"/>
              <w:ind w:right="461"/>
              <w:jc w:val="right"/>
              <w:rPr>
                <w:kern w:val="22"/>
                <w:sz w:val="22"/>
                <w:szCs w:val="22"/>
                <w:lang w:val="es-ES_tradnl"/>
              </w:rPr>
            </w:pPr>
            <w:r w:rsidRPr="009A33BA">
              <w:rPr>
                <w:b/>
                <w:bCs/>
                <w:kern w:val="22"/>
                <w:sz w:val="22"/>
                <w:szCs w:val="22"/>
                <w:lang w:val="es-ES_tradnl"/>
              </w:rPr>
              <w:t>1</w:t>
            </w:r>
            <w:r w:rsidR="00286DD1" w:rsidRPr="009A33BA">
              <w:rPr>
                <w:b/>
                <w:bCs/>
                <w:kern w:val="22"/>
                <w:sz w:val="22"/>
                <w:szCs w:val="22"/>
                <w:lang w:val="es-ES_tradnl"/>
              </w:rPr>
              <w:t> </w:t>
            </w:r>
            <w:r w:rsidRPr="009A33BA">
              <w:rPr>
                <w:b/>
                <w:bCs/>
                <w:kern w:val="22"/>
                <w:sz w:val="22"/>
                <w:szCs w:val="22"/>
                <w:lang w:val="es-ES_tradnl"/>
              </w:rPr>
              <w:t>352</w:t>
            </w:r>
            <w:r w:rsidR="00286DD1" w:rsidRPr="009A33BA">
              <w:rPr>
                <w:b/>
                <w:bCs/>
                <w:kern w:val="22"/>
                <w:sz w:val="22"/>
                <w:szCs w:val="22"/>
                <w:lang w:val="es-ES_tradnl"/>
              </w:rPr>
              <w:t>,</w:t>
            </w:r>
            <w:r w:rsidRPr="009A33BA">
              <w:rPr>
                <w:b/>
                <w:bCs/>
                <w:kern w:val="22"/>
                <w:sz w:val="22"/>
                <w:szCs w:val="22"/>
                <w:lang w:val="es-ES_tradnl"/>
              </w:rPr>
              <w:t>0</w:t>
            </w:r>
          </w:p>
        </w:tc>
      </w:tr>
      <w:tr w:rsidR="00B20C92" w:rsidRPr="009A33BA" w14:paraId="66B5CAB0" w14:textId="77777777" w:rsidTr="009F5CC3">
        <w:trPr>
          <w:cantSplit/>
          <w:jc w:val="center"/>
        </w:trPr>
        <w:tc>
          <w:tcPr>
            <w:tcW w:w="7230" w:type="dxa"/>
            <w:tcBorders>
              <w:top w:val="single" w:sz="8" w:space="0" w:color="000000"/>
              <w:bottom w:val="single" w:sz="8" w:space="0" w:color="000000"/>
            </w:tcBorders>
            <w:vAlign w:val="center"/>
          </w:tcPr>
          <w:p w14:paraId="643AF092" w14:textId="66D98573" w:rsidR="00B20C92" w:rsidRPr="009A33BA" w:rsidRDefault="00286DD1" w:rsidP="009F5CC3">
            <w:pPr>
              <w:pStyle w:val="Default"/>
              <w:rPr>
                <w:kern w:val="22"/>
                <w:sz w:val="22"/>
                <w:szCs w:val="22"/>
                <w:lang w:val="es-ES_tradnl"/>
              </w:rPr>
            </w:pPr>
            <w:r w:rsidRPr="009A33BA">
              <w:rPr>
                <w:b/>
                <w:bCs/>
                <w:kern w:val="22"/>
                <w:sz w:val="22"/>
                <w:szCs w:val="22"/>
                <w:lang w:val="es-ES_tradnl"/>
              </w:rPr>
              <w:t>Costo t</w:t>
            </w:r>
            <w:r w:rsidR="00B20C92" w:rsidRPr="009A33BA">
              <w:rPr>
                <w:b/>
                <w:bCs/>
                <w:kern w:val="22"/>
                <w:sz w:val="22"/>
                <w:szCs w:val="22"/>
                <w:lang w:val="es-ES_tradnl"/>
              </w:rPr>
              <w:t>otal (I + II)</w:t>
            </w:r>
          </w:p>
        </w:tc>
        <w:tc>
          <w:tcPr>
            <w:tcW w:w="1829" w:type="dxa"/>
            <w:tcBorders>
              <w:top w:val="single" w:sz="8" w:space="0" w:color="000000"/>
              <w:bottom w:val="single" w:sz="8" w:space="0" w:color="000000"/>
            </w:tcBorders>
            <w:vAlign w:val="center"/>
          </w:tcPr>
          <w:p w14:paraId="442BFDD6" w14:textId="42E3DA98" w:rsidR="00B20C92" w:rsidRPr="009A33BA" w:rsidRDefault="00B20C92" w:rsidP="009F5CC3">
            <w:pPr>
              <w:pStyle w:val="Default"/>
              <w:ind w:right="461"/>
              <w:jc w:val="right"/>
              <w:rPr>
                <w:kern w:val="22"/>
                <w:sz w:val="22"/>
                <w:szCs w:val="22"/>
                <w:lang w:val="es-ES_tradnl"/>
              </w:rPr>
            </w:pPr>
            <w:r w:rsidRPr="009A33BA">
              <w:rPr>
                <w:b/>
                <w:bCs/>
                <w:kern w:val="22"/>
                <w:sz w:val="22"/>
                <w:szCs w:val="22"/>
                <w:lang w:val="es-ES_tradnl"/>
              </w:rPr>
              <w:t>11</w:t>
            </w:r>
            <w:r w:rsidR="00286DD1" w:rsidRPr="009A33BA">
              <w:rPr>
                <w:b/>
                <w:bCs/>
                <w:kern w:val="22"/>
                <w:sz w:val="22"/>
                <w:szCs w:val="22"/>
                <w:lang w:val="es-ES_tradnl"/>
              </w:rPr>
              <w:t> </w:t>
            </w:r>
            <w:r w:rsidRPr="009A33BA">
              <w:rPr>
                <w:b/>
                <w:bCs/>
                <w:kern w:val="22"/>
                <w:sz w:val="22"/>
                <w:szCs w:val="22"/>
                <w:lang w:val="es-ES_tradnl"/>
              </w:rPr>
              <w:t>752</w:t>
            </w:r>
            <w:r w:rsidR="00286DD1" w:rsidRPr="009A33BA">
              <w:rPr>
                <w:b/>
                <w:bCs/>
                <w:kern w:val="22"/>
                <w:sz w:val="22"/>
                <w:szCs w:val="22"/>
                <w:lang w:val="es-ES_tradnl"/>
              </w:rPr>
              <w:t>,</w:t>
            </w:r>
            <w:r w:rsidRPr="009A33BA">
              <w:rPr>
                <w:b/>
                <w:bCs/>
                <w:kern w:val="22"/>
                <w:sz w:val="22"/>
                <w:szCs w:val="22"/>
                <w:lang w:val="es-ES_tradnl"/>
              </w:rPr>
              <w:t>0</w:t>
            </w:r>
          </w:p>
        </w:tc>
      </w:tr>
    </w:tbl>
    <w:p w14:paraId="672DBADF" w14:textId="529ECB30" w:rsidR="00B20C92" w:rsidRPr="009A33BA" w:rsidRDefault="00B20C92" w:rsidP="00B20C92">
      <w:pPr>
        <w:ind w:left="180"/>
        <w:rPr>
          <w:color w:val="000000"/>
          <w:kern w:val="22"/>
          <w:lang w:val="es-ES_tradnl"/>
        </w:rPr>
      </w:pPr>
      <w:r w:rsidRPr="009A33BA">
        <w:rPr>
          <w:i/>
          <w:iCs/>
          <w:color w:val="000000"/>
          <w:kern w:val="22"/>
          <w:lang w:val="es-ES_tradnl"/>
        </w:rPr>
        <w:t>Not</w:t>
      </w:r>
      <w:r w:rsidR="00286DD1" w:rsidRPr="009A33BA">
        <w:rPr>
          <w:i/>
          <w:iCs/>
          <w:color w:val="000000"/>
          <w:kern w:val="22"/>
          <w:lang w:val="es-ES_tradnl"/>
        </w:rPr>
        <w:t>a</w:t>
      </w:r>
      <w:r w:rsidRPr="009A33BA">
        <w:rPr>
          <w:color w:val="000000"/>
          <w:kern w:val="22"/>
          <w:lang w:val="es-ES_tradnl"/>
        </w:rPr>
        <w:t xml:space="preserve">: </w:t>
      </w:r>
      <w:r w:rsidR="00286DD1" w:rsidRPr="009A33BA">
        <w:rPr>
          <w:color w:val="000000"/>
          <w:kern w:val="22"/>
          <w:lang w:val="es-ES_tradnl"/>
        </w:rPr>
        <w:t xml:space="preserve">La Unión Europea prometió </w:t>
      </w:r>
      <w:r w:rsidRPr="009A33BA">
        <w:rPr>
          <w:color w:val="000000"/>
          <w:kern w:val="22"/>
          <w:lang w:val="es-ES_tradnl"/>
        </w:rPr>
        <w:t>395</w:t>
      </w:r>
      <w:r w:rsidR="00286DD1" w:rsidRPr="009A33BA">
        <w:rPr>
          <w:color w:val="000000"/>
          <w:kern w:val="22"/>
          <w:lang w:val="es-ES_tradnl"/>
        </w:rPr>
        <w:t xml:space="preserve"> </w:t>
      </w:r>
      <w:r w:rsidRPr="009A33BA">
        <w:rPr>
          <w:color w:val="000000"/>
          <w:kern w:val="22"/>
          <w:lang w:val="es-ES_tradnl"/>
        </w:rPr>
        <w:t xml:space="preserve">000 </w:t>
      </w:r>
      <w:r w:rsidR="00286DD1" w:rsidRPr="009A33BA">
        <w:rPr>
          <w:color w:val="000000"/>
          <w:kern w:val="22"/>
          <w:lang w:val="es-ES_tradnl"/>
        </w:rPr>
        <w:t>EE.UU. para los gastos de participación para los participantes de los países en desarrollo</w:t>
      </w:r>
      <w:r w:rsidRPr="009A33BA">
        <w:rPr>
          <w:color w:val="000000"/>
          <w:kern w:val="22"/>
          <w:lang w:val="es-ES_tradnl"/>
        </w:rPr>
        <w:t>.</w:t>
      </w:r>
    </w:p>
    <w:p w14:paraId="30E5E421" w14:textId="77777777" w:rsidR="00286DD1" w:rsidRPr="009A33BA" w:rsidRDefault="00286DD1" w:rsidP="00B20C92">
      <w:pPr>
        <w:ind w:left="180"/>
        <w:rPr>
          <w:color w:val="000000"/>
          <w:kern w:val="22"/>
          <w:lang w:val="es-ES_tradnl"/>
        </w:rPr>
      </w:pPr>
    </w:p>
    <w:p w14:paraId="6066DD4B" w14:textId="64444BAB" w:rsidR="00B20C92" w:rsidRPr="009A33BA" w:rsidRDefault="00286DD1" w:rsidP="00CA5002">
      <w:pPr>
        <w:pStyle w:val="CM1"/>
        <w:keepNext/>
        <w:spacing w:after="120"/>
        <w:ind w:left="1134" w:hanging="1134"/>
        <w:rPr>
          <w:color w:val="000000"/>
          <w:kern w:val="22"/>
          <w:sz w:val="22"/>
          <w:szCs w:val="22"/>
          <w:lang w:val="es-ES_tradnl"/>
        </w:rPr>
      </w:pPr>
      <w:r w:rsidRPr="009A33BA">
        <w:rPr>
          <w:b/>
          <w:bCs/>
          <w:color w:val="000000"/>
          <w:kern w:val="22"/>
          <w:sz w:val="22"/>
          <w:szCs w:val="22"/>
          <w:lang w:val="es-ES_tradnl"/>
        </w:rPr>
        <w:t xml:space="preserve">Cuadro </w:t>
      </w:r>
      <w:r w:rsidR="00B20C92" w:rsidRPr="009A33BA">
        <w:rPr>
          <w:b/>
          <w:bCs/>
          <w:color w:val="000000"/>
          <w:kern w:val="22"/>
          <w:sz w:val="22"/>
          <w:szCs w:val="22"/>
          <w:lang w:val="es-ES_tradnl"/>
        </w:rPr>
        <w:t>5.</w:t>
      </w:r>
      <w:r w:rsidR="00CA5002" w:rsidRPr="009A33BA">
        <w:rPr>
          <w:b/>
          <w:bCs/>
          <w:color w:val="000000"/>
          <w:kern w:val="22"/>
          <w:sz w:val="22"/>
          <w:szCs w:val="22"/>
          <w:lang w:val="es-ES_tradnl"/>
        </w:rPr>
        <w:tab/>
        <w:t xml:space="preserve">Fondo Fiduciario voluntario (VB) para facilitar la participación de las comunidades indígenas y locales en el proceso del Convenio para el bienio </w:t>
      </w:r>
      <w:r w:rsidR="00B20C92" w:rsidRPr="009A33BA">
        <w:rPr>
          <w:b/>
          <w:bCs/>
          <w:color w:val="000000"/>
          <w:kern w:val="22"/>
          <w:sz w:val="22"/>
          <w:szCs w:val="22"/>
          <w:lang w:val="es-ES_tradnl"/>
        </w:rPr>
        <w:t>2017 -2020</w:t>
      </w:r>
    </w:p>
    <w:tbl>
      <w:tblPr>
        <w:tblW w:w="0" w:type="auto"/>
        <w:jc w:val="center"/>
        <w:tblBorders>
          <w:top w:val="nil"/>
          <w:left w:val="nil"/>
          <w:bottom w:val="nil"/>
          <w:right w:val="nil"/>
        </w:tblBorders>
        <w:tblLayout w:type="fixed"/>
        <w:tblLook w:val="0000" w:firstRow="0" w:lastRow="0" w:firstColumn="0" w:lastColumn="0" w:noHBand="0" w:noVBand="0"/>
      </w:tblPr>
      <w:tblGrid>
        <w:gridCol w:w="6792"/>
        <w:gridCol w:w="2112"/>
      </w:tblGrid>
      <w:tr w:rsidR="00B20C92" w:rsidRPr="009A33BA" w14:paraId="795AAF4B" w14:textId="77777777" w:rsidTr="009F5CC3">
        <w:trPr>
          <w:trHeight w:val="133"/>
          <w:jc w:val="center"/>
        </w:trPr>
        <w:tc>
          <w:tcPr>
            <w:tcW w:w="6792" w:type="dxa"/>
            <w:tcBorders>
              <w:top w:val="single" w:sz="8" w:space="0" w:color="000000"/>
              <w:left w:val="nil"/>
              <w:bottom w:val="nil"/>
              <w:right w:val="nil"/>
            </w:tcBorders>
          </w:tcPr>
          <w:p w14:paraId="65446FBE" w14:textId="250EEB6C"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Descrip</w:t>
            </w:r>
            <w:r w:rsidR="007A759A" w:rsidRPr="009A33BA">
              <w:rPr>
                <w:i/>
                <w:iCs/>
                <w:kern w:val="22"/>
                <w:sz w:val="22"/>
                <w:szCs w:val="22"/>
                <w:lang w:val="es-ES_tradnl"/>
              </w:rPr>
              <w:t>ción</w:t>
            </w:r>
          </w:p>
        </w:tc>
        <w:tc>
          <w:tcPr>
            <w:tcW w:w="2112" w:type="dxa"/>
            <w:tcBorders>
              <w:top w:val="single" w:sz="8" w:space="0" w:color="000000"/>
              <w:left w:val="nil"/>
              <w:bottom w:val="nil"/>
              <w:right w:val="nil"/>
            </w:tcBorders>
          </w:tcPr>
          <w:p w14:paraId="0D7FC2A3" w14:textId="77777777"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2017-2020</w:t>
            </w:r>
          </w:p>
        </w:tc>
      </w:tr>
      <w:tr w:rsidR="00B20C92" w:rsidRPr="00F80FBA" w14:paraId="54AC90B0" w14:textId="77777777" w:rsidTr="009F5CC3">
        <w:trPr>
          <w:trHeight w:val="151"/>
          <w:jc w:val="center"/>
        </w:trPr>
        <w:tc>
          <w:tcPr>
            <w:tcW w:w="6792" w:type="dxa"/>
            <w:tcBorders>
              <w:top w:val="nil"/>
              <w:bottom w:val="nil"/>
            </w:tcBorders>
          </w:tcPr>
          <w:p w14:paraId="2703C669" w14:textId="77777777" w:rsidR="00B20C92" w:rsidRPr="009A33BA" w:rsidRDefault="00B20C92" w:rsidP="009F5CC3">
            <w:pPr>
              <w:pStyle w:val="Default"/>
              <w:rPr>
                <w:kern w:val="22"/>
                <w:sz w:val="22"/>
                <w:szCs w:val="22"/>
                <w:lang w:val="es-ES_tradnl"/>
              </w:rPr>
            </w:pPr>
          </w:p>
        </w:tc>
        <w:tc>
          <w:tcPr>
            <w:tcW w:w="2112" w:type="dxa"/>
            <w:tcBorders>
              <w:top w:val="nil"/>
              <w:bottom w:val="nil"/>
            </w:tcBorders>
          </w:tcPr>
          <w:p w14:paraId="56DF6EDA" w14:textId="22BFF0AC" w:rsidR="00B20C92" w:rsidRPr="009A33BA" w:rsidRDefault="00B20C92" w:rsidP="009F5CC3">
            <w:pPr>
              <w:pStyle w:val="Default"/>
              <w:jc w:val="center"/>
              <w:rPr>
                <w:i/>
                <w:iCs/>
                <w:kern w:val="22"/>
                <w:sz w:val="22"/>
                <w:szCs w:val="22"/>
                <w:lang w:val="es-ES_tradnl"/>
              </w:rPr>
            </w:pPr>
            <w:r w:rsidRPr="009A33BA">
              <w:rPr>
                <w:i/>
                <w:iCs/>
                <w:kern w:val="22"/>
                <w:sz w:val="22"/>
                <w:szCs w:val="22"/>
                <w:lang w:val="es-ES_tradnl"/>
              </w:rPr>
              <w:t>(</w:t>
            </w:r>
            <w:r w:rsidR="00CA5002" w:rsidRPr="009A33BA">
              <w:rPr>
                <w:i/>
                <w:iCs/>
                <w:kern w:val="22"/>
                <w:sz w:val="22"/>
                <w:szCs w:val="22"/>
                <w:lang w:val="es-ES_tradnl"/>
              </w:rPr>
              <w:t>Miles de dólares EE.UU.)</w:t>
            </w:r>
          </w:p>
        </w:tc>
      </w:tr>
      <w:tr w:rsidR="00B20C92" w:rsidRPr="00F80FBA" w14:paraId="4B3C3586" w14:textId="77777777" w:rsidTr="009F5CC3">
        <w:trPr>
          <w:trHeight w:val="140"/>
          <w:jc w:val="center"/>
        </w:trPr>
        <w:tc>
          <w:tcPr>
            <w:tcW w:w="6792" w:type="dxa"/>
            <w:tcBorders>
              <w:top w:val="nil"/>
              <w:bottom w:val="single" w:sz="8" w:space="0" w:color="000000"/>
            </w:tcBorders>
          </w:tcPr>
          <w:p w14:paraId="7B379490" w14:textId="77777777" w:rsidR="00B20C92" w:rsidRPr="009A33BA" w:rsidRDefault="00B20C92" w:rsidP="009F5CC3">
            <w:pPr>
              <w:pStyle w:val="Default"/>
              <w:rPr>
                <w:kern w:val="22"/>
                <w:sz w:val="22"/>
                <w:szCs w:val="22"/>
                <w:lang w:val="es-ES_tradnl"/>
              </w:rPr>
            </w:pPr>
          </w:p>
        </w:tc>
        <w:tc>
          <w:tcPr>
            <w:tcW w:w="2112" w:type="dxa"/>
            <w:tcBorders>
              <w:top w:val="nil"/>
              <w:bottom w:val="single" w:sz="8" w:space="0" w:color="000000"/>
            </w:tcBorders>
            <w:vAlign w:val="center"/>
          </w:tcPr>
          <w:p w14:paraId="1E4B5658" w14:textId="3880B726" w:rsidR="00B20C92" w:rsidRPr="009A33BA" w:rsidRDefault="00B20C92" w:rsidP="009F5CC3">
            <w:pPr>
              <w:pStyle w:val="Default"/>
              <w:jc w:val="center"/>
              <w:rPr>
                <w:i/>
                <w:iCs/>
                <w:kern w:val="22"/>
                <w:sz w:val="22"/>
                <w:szCs w:val="22"/>
                <w:lang w:val="es-ES_tradnl"/>
              </w:rPr>
            </w:pPr>
          </w:p>
        </w:tc>
      </w:tr>
      <w:tr w:rsidR="00B20C92" w:rsidRPr="009A33BA" w14:paraId="2554E92C" w14:textId="77777777" w:rsidTr="009F5CC3">
        <w:trPr>
          <w:trHeight w:val="150"/>
          <w:jc w:val="center"/>
        </w:trPr>
        <w:tc>
          <w:tcPr>
            <w:tcW w:w="6792" w:type="dxa"/>
            <w:tcBorders>
              <w:top w:val="single" w:sz="8" w:space="0" w:color="000000"/>
            </w:tcBorders>
          </w:tcPr>
          <w:p w14:paraId="5FDE416D" w14:textId="3113263F" w:rsidR="00B20C92" w:rsidRPr="009A33BA" w:rsidRDefault="00B20C92" w:rsidP="009F5CC3">
            <w:pPr>
              <w:pStyle w:val="Default"/>
              <w:rPr>
                <w:kern w:val="22"/>
                <w:sz w:val="22"/>
                <w:szCs w:val="22"/>
                <w:lang w:val="es-ES_tradnl"/>
              </w:rPr>
            </w:pPr>
            <w:r w:rsidRPr="009A33BA">
              <w:rPr>
                <w:b/>
                <w:bCs/>
                <w:kern w:val="22"/>
                <w:sz w:val="22"/>
                <w:szCs w:val="22"/>
                <w:lang w:val="es-ES_tradnl"/>
              </w:rPr>
              <w:t xml:space="preserve">I. </w:t>
            </w:r>
            <w:r w:rsidR="00CA5002" w:rsidRPr="009A33BA">
              <w:rPr>
                <w:b/>
                <w:bCs/>
                <w:kern w:val="22"/>
                <w:sz w:val="22"/>
                <w:szCs w:val="22"/>
                <w:lang w:val="es-ES_tradnl"/>
              </w:rPr>
              <w:t xml:space="preserve">Reuniones </w:t>
            </w:r>
          </w:p>
        </w:tc>
        <w:tc>
          <w:tcPr>
            <w:tcW w:w="2112" w:type="dxa"/>
            <w:tcBorders>
              <w:top w:val="single" w:sz="8" w:space="0" w:color="000000"/>
            </w:tcBorders>
          </w:tcPr>
          <w:p w14:paraId="6C80D414" w14:textId="77777777" w:rsidR="00B20C92" w:rsidRPr="009A33BA" w:rsidRDefault="00B20C92" w:rsidP="009F5CC3">
            <w:pPr>
              <w:pStyle w:val="Default"/>
              <w:jc w:val="right"/>
              <w:rPr>
                <w:kern w:val="22"/>
                <w:sz w:val="22"/>
                <w:szCs w:val="22"/>
                <w:lang w:val="es-ES_tradnl"/>
              </w:rPr>
            </w:pPr>
          </w:p>
        </w:tc>
      </w:tr>
      <w:tr w:rsidR="00B20C92" w:rsidRPr="009A33BA" w14:paraId="71D215C5" w14:textId="77777777" w:rsidTr="009F5CC3">
        <w:trPr>
          <w:trHeight w:val="132"/>
          <w:jc w:val="center"/>
        </w:trPr>
        <w:tc>
          <w:tcPr>
            <w:tcW w:w="6792" w:type="dxa"/>
            <w:tcBorders>
              <w:bottom w:val="single" w:sz="8" w:space="0" w:color="000000"/>
            </w:tcBorders>
            <w:vAlign w:val="center"/>
          </w:tcPr>
          <w:p w14:paraId="4581F1A9" w14:textId="0212ECE9" w:rsidR="00B20C92" w:rsidRPr="009A33BA" w:rsidRDefault="00CA5002" w:rsidP="009F5CC3">
            <w:pPr>
              <w:pStyle w:val="Default"/>
              <w:rPr>
                <w:kern w:val="22"/>
                <w:sz w:val="22"/>
                <w:szCs w:val="22"/>
                <w:lang w:val="es-ES_tradnl"/>
              </w:rPr>
            </w:pPr>
            <w:r w:rsidRPr="009A33BA">
              <w:rPr>
                <w:kern w:val="22"/>
                <w:sz w:val="22"/>
                <w:szCs w:val="22"/>
                <w:lang w:val="es-ES_tradnl"/>
              </w:rPr>
              <w:t xml:space="preserve">Apoyo a las comunidades indígenas y locales </w:t>
            </w:r>
          </w:p>
        </w:tc>
        <w:tc>
          <w:tcPr>
            <w:tcW w:w="2112" w:type="dxa"/>
            <w:tcBorders>
              <w:bottom w:val="single" w:sz="8" w:space="0" w:color="000000"/>
            </w:tcBorders>
            <w:vAlign w:val="center"/>
          </w:tcPr>
          <w:p w14:paraId="2520AE79" w14:textId="6576F2A5" w:rsidR="00B20C92" w:rsidRPr="009A33BA" w:rsidRDefault="00B20C92" w:rsidP="009F5CC3">
            <w:pPr>
              <w:pStyle w:val="Default"/>
              <w:ind w:right="498"/>
              <w:jc w:val="right"/>
              <w:rPr>
                <w:kern w:val="22"/>
                <w:sz w:val="22"/>
                <w:szCs w:val="22"/>
                <w:lang w:val="es-ES_tradnl"/>
              </w:rPr>
            </w:pPr>
            <w:r w:rsidRPr="009A33BA">
              <w:rPr>
                <w:kern w:val="22"/>
                <w:sz w:val="22"/>
                <w:szCs w:val="22"/>
                <w:lang w:val="es-ES_tradnl"/>
              </w:rPr>
              <w:t>1</w:t>
            </w:r>
            <w:r w:rsidR="00CA5002" w:rsidRPr="009A33BA">
              <w:rPr>
                <w:kern w:val="22"/>
                <w:sz w:val="22"/>
                <w:szCs w:val="22"/>
                <w:lang w:val="es-ES_tradnl"/>
              </w:rPr>
              <w:t> </w:t>
            </w:r>
            <w:r w:rsidRPr="009A33BA">
              <w:rPr>
                <w:kern w:val="22"/>
                <w:sz w:val="22"/>
                <w:szCs w:val="22"/>
                <w:lang w:val="es-ES_tradnl"/>
              </w:rPr>
              <w:t>000</w:t>
            </w:r>
            <w:r w:rsidR="00CA5002" w:rsidRPr="009A33BA">
              <w:rPr>
                <w:kern w:val="22"/>
                <w:sz w:val="22"/>
                <w:szCs w:val="22"/>
                <w:lang w:val="es-ES_tradnl"/>
              </w:rPr>
              <w:t>,</w:t>
            </w:r>
            <w:r w:rsidRPr="009A33BA">
              <w:rPr>
                <w:kern w:val="22"/>
                <w:sz w:val="22"/>
                <w:szCs w:val="22"/>
                <w:lang w:val="es-ES_tradnl"/>
              </w:rPr>
              <w:t>0</w:t>
            </w:r>
          </w:p>
        </w:tc>
      </w:tr>
      <w:tr w:rsidR="00B20C92" w:rsidRPr="009A33BA" w14:paraId="0FD668C1" w14:textId="77777777" w:rsidTr="009F5CC3">
        <w:trPr>
          <w:trHeight w:val="132"/>
          <w:jc w:val="center"/>
        </w:trPr>
        <w:tc>
          <w:tcPr>
            <w:tcW w:w="6792" w:type="dxa"/>
            <w:tcBorders>
              <w:top w:val="single" w:sz="8" w:space="0" w:color="000000"/>
              <w:bottom w:val="single" w:sz="8" w:space="0" w:color="000000"/>
            </w:tcBorders>
            <w:vAlign w:val="center"/>
          </w:tcPr>
          <w:p w14:paraId="239A2127" w14:textId="2FE2D4D2" w:rsidR="00B20C92" w:rsidRPr="009A33BA" w:rsidRDefault="00CA5002" w:rsidP="009F5CC3">
            <w:pPr>
              <w:pStyle w:val="Default"/>
              <w:rPr>
                <w:kern w:val="22"/>
                <w:sz w:val="22"/>
                <w:szCs w:val="22"/>
                <w:lang w:val="es-ES_tradnl"/>
              </w:rPr>
            </w:pPr>
            <w:r w:rsidRPr="009A33BA">
              <w:rPr>
                <w:b/>
                <w:bCs/>
                <w:kern w:val="22"/>
                <w:sz w:val="22"/>
                <w:szCs w:val="22"/>
                <w:lang w:val="es-ES_tradnl"/>
              </w:rPr>
              <w:t>Total parcial</w:t>
            </w:r>
          </w:p>
        </w:tc>
        <w:tc>
          <w:tcPr>
            <w:tcW w:w="2112" w:type="dxa"/>
            <w:tcBorders>
              <w:top w:val="single" w:sz="8" w:space="0" w:color="000000"/>
              <w:bottom w:val="single" w:sz="8" w:space="0" w:color="000000"/>
            </w:tcBorders>
            <w:vAlign w:val="center"/>
          </w:tcPr>
          <w:p w14:paraId="6AF68EEF" w14:textId="7C06CE56" w:rsidR="00B20C92" w:rsidRPr="009A33BA" w:rsidRDefault="00B20C92" w:rsidP="009F5CC3">
            <w:pPr>
              <w:pStyle w:val="Default"/>
              <w:ind w:right="498"/>
              <w:jc w:val="right"/>
              <w:rPr>
                <w:kern w:val="22"/>
                <w:sz w:val="22"/>
                <w:szCs w:val="22"/>
                <w:lang w:val="es-ES_tradnl"/>
              </w:rPr>
            </w:pPr>
            <w:r w:rsidRPr="009A33BA">
              <w:rPr>
                <w:b/>
                <w:bCs/>
                <w:kern w:val="22"/>
                <w:sz w:val="22"/>
                <w:szCs w:val="22"/>
                <w:lang w:val="es-ES_tradnl"/>
              </w:rPr>
              <w:t>1</w:t>
            </w:r>
            <w:r w:rsidR="00CA5002" w:rsidRPr="009A33BA">
              <w:rPr>
                <w:b/>
                <w:bCs/>
                <w:kern w:val="22"/>
                <w:sz w:val="22"/>
                <w:szCs w:val="22"/>
                <w:lang w:val="es-ES_tradnl"/>
              </w:rPr>
              <w:t> </w:t>
            </w:r>
            <w:r w:rsidRPr="009A33BA">
              <w:rPr>
                <w:b/>
                <w:bCs/>
                <w:kern w:val="22"/>
                <w:sz w:val="22"/>
                <w:szCs w:val="22"/>
                <w:lang w:val="es-ES_tradnl"/>
              </w:rPr>
              <w:t>000</w:t>
            </w:r>
            <w:r w:rsidR="00CA5002" w:rsidRPr="009A33BA">
              <w:rPr>
                <w:b/>
                <w:bCs/>
                <w:kern w:val="22"/>
                <w:sz w:val="22"/>
                <w:szCs w:val="22"/>
                <w:lang w:val="es-ES_tradnl"/>
              </w:rPr>
              <w:t>,</w:t>
            </w:r>
            <w:r w:rsidRPr="009A33BA">
              <w:rPr>
                <w:b/>
                <w:bCs/>
                <w:kern w:val="22"/>
                <w:sz w:val="22"/>
                <w:szCs w:val="22"/>
                <w:lang w:val="es-ES_tradnl"/>
              </w:rPr>
              <w:t>0</w:t>
            </w:r>
          </w:p>
        </w:tc>
      </w:tr>
      <w:tr w:rsidR="00B20C92" w:rsidRPr="009A33BA" w14:paraId="0D07BF2F" w14:textId="77777777" w:rsidTr="009F5CC3">
        <w:trPr>
          <w:trHeight w:val="132"/>
          <w:jc w:val="center"/>
        </w:trPr>
        <w:tc>
          <w:tcPr>
            <w:tcW w:w="6792" w:type="dxa"/>
            <w:tcBorders>
              <w:top w:val="single" w:sz="8" w:space="0" w:color="000000"/>
              <w:bottom w:val="single" w:sz="8" w:space="0" w:color="000000"/>
            </w:tcBorders>
            <w:vAlign w:val="center"/>
          </w:tcPr>
          <w:p w14:paraId="2F7D6664" w14:textId="3A10FB77" w:rsidR="00B20C92" w:rsidRPr="009A33BA" w:rsidRDefault="00B20C92" w:rsidP="009F5CC3">
            <w:pPr>
              <w:pStyle w:val="Default"/>
              <w:rPr>
                <w:b/>
                <w:bCs/>
                <w:kern w:val="22"/>
                <w:sz w:val="22"/>
                <w:szCs w:val="22"/>
                <w:lang w:val="es-ES_tradnl"/>
              </w:rPr>
            </w:pPr>
            <w:r w:rsidRPr="009A33BA">
              <w:rPr>
                <w:b/>
                <w:bCs/>
                <w:kern w:val="22"/>
                <w:sz w:val="22"/>
                <w:szCs w:val="22"/>
                <w:lang w:val="es-ES_tradnl"/>
              </w:rPr>
              <w:t xml:space="preserve">II. </w:t>
            </w:r>
            <w:r w:rsidR="00CA5002" w:rsidRPr="009A33BA">
              <w:rPr>
                <w:b/>
                <w:bCs/>
                <w:kern w:val="22"/>
                <w:sz w:val="22"/>
                <w:szCs w:val="22"/>
                <w:lang w:val="es-ES_tradnl"/>
              </w:rPr>
              <w:t>Gastos de apoyo a los programas</w:t>
            </w:r>
          </w:p>
        </w:tc>
        <w:tc>
          <w:tcPr>
            <w:tcW w:w="2112" w:type="dxa"/>
            <w:tcBorders>
              <w:top w:val="single" w:sz="8" w:space="0" w:color="000000"/>
              <w:bottom w:val="single" w:sz="8" w:space="0" w:color="000000"/>
            </w:tcBorders>
            <w:vAlign w:val="center"/>
          </w:tcPr>
          <w:p w14:paraId="78CDDF98" w14:textId="0277FDC3" w:rsidR="00B20C92" w:rsidRPr="009A33BA" w:rsidRDefault="00B20C92" w:rsidP="009F5CC3">
            <w:pPr>
              <w:pStyle w:val="Default"/>
              <w:ind w:right="498"/>
              <w:jc w:val="right"/>
              <w:rPr>
                <w:b/>
                <w:bCs/>
                <w:kern w:val="22"/>
                <w:sz w:val="22"/>
                <w:szCs w:val="22"/>
                <w:lang w:val="es-ES_tradnl"/>
              </w:rPr>
            </w:pPr>
            <w:r w:rsidRPr="009A33BA">
              <w:rPr>
                <w:b/>
                <w:bCs/>
                <w:kern w:val="22"/>
                <w:sz w:val="22"/>
                <w:szCs w:val="22"/>
                <w:lang w:val="es-ES_tradnl"/>
              </w:rPr>
              <w:t>130</w:t>
            </w:r>
            <w:r w:rsidR="00CA5002" w:rsidRPr="009A33BA">
              <w:rPr>
                <w:b/>
                <w:bCs/>
                <w:kern w:val="22"/>
                <w:sz w:val="22"/>
                <w:szCs w:val="22"/>
                <w:lang w:val="es-ES_tradnl"/>
              </w:rPr>
              <w:t>,</w:t>
            </w:r>
            <w:r w:rsidRPr="009A33BA">
              <w:rPr>
                <w:b/>
                <w:bCs/>
                <w:kern w:val="22"/>
                <w:sz w:val="22"/>
                <w:szCs w:val="22"/>
                <w:lang w:val="es-ES_tradnl"/>
              </w:rPr>
              <w:t>0</w:t>
            </w:r>
          </w:p>
        </w:tc>
      </w:tr>
      <w:tr w:rsidR="00B20C92" w:rsidRPr="009A33BA" w14:paraId="140BFB30" w14:textId="77777777" w:rsidTr="009F5CC3">
        <w:trPr>
          <w:trHeight w:val="132"/>
          <w:jc w:val="center"/>
        </w:trPr>
        <w:tc>
          <w:tcPr>
            <w:tcW w:w="6792" w:type="dxa"/>
            <w:tcBorders>
              <w:top w:val="single" w:sz="8" w:space="0" w:color="000000"/>
              <w:bottom w:val="single" w:sz="8" w:space="0" w:color="000000"/>
            </w:tcBorders>
            <w:vAlign w:val="center"/>
          </w:tcPr>
          <w:p w14:paraId="7D3E3660" w14:textId="55733B94" w:rsidR="00B20C92" w:rsidRPr="00C0026D" w:rsidRDefault="00CA5002" w:rsidP="009F5CC3">
            <w:pPr>
              <w:pStyle w:val="Default"/>
              <w:rPr>
                <w:b/>
                <w:bCs/>
                <w:kern w:val="22"/>
                <w:sz w:val="22"/>
                <w:szCs w:val="22"/>
                <w:lang w:val="es-ES_tradnl"/>
              </w:rPr>
            </w:pPr>
            <w:r w:rsidRPr="00C0026D">
              <w:rPr>
                <w:b/>
                <w:bCs/>
                <w:kern w:val="22"/>
                <w:sz w:val="22"/>
                <w:szCs w:val="22"/>
                <w:lang w:val="es-ES_tradnl"/>
              </w:rPr>
              <w:t xml:space="preserve">COSTO </w:t>
            </w:r>
            <w:r w:rsidR="00B20C92" w:rsidRPr="00C0026D">
              <w:rPr>
                <w:b/>
                <w:bCs/>
                <w:kern w:val="22"/>
                <w:sz w:val="22"/>
                <w:szCs w:val="22"/>
                <w:lang w:val="es-ES_tradnl"/>
              </w:rPr>
              <w:t>TOTAL (I + II)</w:t>
            </w:r>
          </w:p>
        </w:tc>
        <w:tc>
          <w:tcPr>
            <w:tcW w:w="2112" w:type="dxa"/>
            <w:tcBorders>
              <w:top w:val="single" w:sz="8" w:space="0" w:color="000000"/>
              <w:bottom w:val="single" w:sz="8" w:space="0" w:color="000000"/>
            </w:tcBorders>
            <w:vAlign w:val="center"/>
          </w:tcPr>
          <w:p w14:paraId="56B90BF1" w14:textId="65E0811E" w:rsidR="00B20C92" w:rsidRPr="00C0026D" w:rsidRDefault="00B20C92" w:rsidP="009F5CC3">
            <w:pPr>
              <w:pStyle w:val="Default"/>
              <w:ind w:right="498"/>
              <w:jc w:val="right"/>
              <w:rPr>
                <w:b/>
                <w:bCs/>
                <w:i/>
                <w:iCs/>
                <w:kern w:val="22"/>
                <w:sz w:val="22"/>
                <w:szCs w:val="22"/>
                <w:lang w:val="es-ES_tradnl"/>
              </w:rPr>
            </w:pPr>
            <w:r w:rsidRPr="00C0026D">
              <w:rPr>
                <w:b/>
                <w:bCs/>
                <w:kern w:val="22"/>
                <w:sz w:val="22"/>
                <w:szCs w:val="22"/>
                <w:lang w:val="es-ES_tradnl"/>
              </w:rPr>
              <w:t>1</w:t>
            </w:r>
            <w:r w:rsidR="00CA5002" w:rsidRPr="00C0026D">
              <w:rPr>
                <w:b/>
                <w:bCs/>
                <w:kern w:val="22"/>
                <w:sz w:val="22"/>
                <w:szCs w:val="22"/>
                <w:lang w:val="es-ES_tradnl"/>
              </w:rPr>
              <w:t> </w:t>
            </w:r>
            <w:r w:rsidRPr="00C0026D">
              <w:rPr>
                <w:b/>
                <w:bCs/>
                <w:kern w:val="22"/>
                <w:sz w:val="22"/>
                <w:szCs w:val="22"/>
                <w:lang w:val="es-ES_tradnl"/>
              </w:rPr>
              <w:t>130</w:t>
            </w:r>
            <w:r w:rsidR="00CA5002" w:rsidRPr="00C0026D">
              <w:rPr>
                <w:b/>
                <w:bCs/>
                <w:kern w:val="22"/>
                <w:sz w:val="22"/>
                <w:szCs w:val="22"/>
                <w:lang w:val="es-ES_tradnl"/>
              </w:rPr>
              <w:t>,</w:t>
            </w:r>
            <w:r w:rsidRPr="00C0026D">
              <w:rPr>
                <w:b/>
                <w:bCs/>
                <w:kern w:val="22"/>
                <w:sz w:val="22"/>
                <w:szCs w:val="22"/>
                <w:lang w:val="es-ES_tradnl"/>
              </w:rPr>
              <w:t>0</w:t>
            </w:r>
          </w:p>
        </w:tc>
      </w:tr>
    </w:tbl>
    <w:p w14:paraId="2AB023BA" w14:textId="77777777" w:rsidR="00D95950" w:rsidRPr="009A33BA" w:rsidRDefault="003B35C7" w:rsidP="00FB38DC">
      <w:pPr>
        <w:jc w:val="center"/>
        <w:rPr>
          <w:kern w:val="22"/>
          <w:lang w:val="es-ES_tradnl"/>
        </w:rPr>
      </w:pPr>
      <w:r w:rsidRPr="009A33BA">
        <w:rPr>
          <w:kern w:val="22"/>
          <w:lang w:val="es-ES_tradnl"/>
        </w:rPr>
        <w:t>__________</w:t>
      </w:r>
      <w:bookmarkEnd w:id="1"/>
    </w:p>
    <w:sectPr w:rsidR="00D95950" w:rsidRPr="009A33BA" w:rsidSect="00590939">
      <w:headerReference w:type="even" r:id="rId17"/>
      <w:headerReference w:type="default" r:id="rId18"/>
      <w:footerReference w:type="default" r:id="rId19"/>
      <w:pgSz w:w="12240" w:h="15840"/>
      <w:pgMar w:top="1021" w:right="1440" w:bottom="10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4839" w14:textId="77777777" w:rsidR="000135F6" w:rsidRDefault="000135F6" w:rsidP="005D2BB5">
      <w:r>
        <w:separator/>
      </w:r>
    </w:p>
  </w:endnote>
  <w:endnote w:type="continuationSeparator" w:id="0">
    <w:p w14:paraId="0FBD1125" w14:textId="77777777" w:rsidR="000135F6" w:rsidRDefault="000135F6" w:rsidP="005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B14" w14:textId="77777777" w:rsidR="00B8449A" w:rsidRPr="00846A82" w:rsidRDefault="00B8449A" w:rsidP="00FB38DC">
    <w:pPr>
      <w:pStyle w:val="Foote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D2B1" w14:textId="77777777" w:rsidR="000135F6" w:rsidRDefault="000135F6" w:rsidP="005D2BB5">
      <w:r>
        <w:separator/>
      </w:r>
    </w:p>
  </w:footnote>
  <w:footnote w:type="continuationSeparator" w:id="0">
    <w:p w14:paraId="117ABCA2" w14:textId="77777777" w:rsidR="000135F6" w:rsidRDefault="000135F6" w:rsidP="005D2BB5">
      <w:r>
        <w:continuationSeparator/>
      </w:r>
    </w:p>
  </w:footnote>
  <w:footnote w:id="1">
    <w:p w14:paraId="1E6EA352" w14:textId="77777777" w:rsidR="00B8449A" w:rsidRPr="00C42113" w:rsidRDefault="00B8449A" w:rsidP="002D09F1">
      <w:pPr>
        <w:pStyle w:val="Default"/>
        <w:rPr>
          <w:rFonts w:eastAsia="Calibri"/>
          <w:sz w:val="20"/>
          <w:szCs w:val="20"/>
          <w:lang w:val="es-ES_tradnl" w:eastAsia="en-US"/>
        </w:rPr>
      </w:pPr>
      <w:r w:rsidRPr="00C42113">
        <w:rPr>
          <w:rStyle w:val="FootnoteReference"/>
          <w:sz w:val="20"/>
          <w:szCs w:val="20"/>
          <w:lang w:val="es-ES_tradnl"/>
        </w:rPr>
        <w:t>*</w:t>
      </w:r>
      <w:r w:rsidRPr="00C42113">
        <w:rPr>
          <w:sz w:val="20"/>
          <w:szCs w:val="20"/>
          <w:lang w:val="es-ES_tradnl"/>
        </w:rPr>
        <w:t xml:space="preserve"> CBD/SBI/2/1</w:t>
      </w:r>
    </w:p>
    <w:p w14:paraId="157C4979" w14:textId="77777777" w:rsidR="00B8449A" w:rsidRPr="00C42113" w:rsidRDefault="00B8449A" w:rsidP="00FB38DC">
      <w:pPr>
        <w:pStyle w:val="FootnoteText"/>
        <w:ind w:firstLine="0"/>
        <w:rPr>
          <w:lang w:val="es-ES_tradnl"/>
        </w:rPr>
      </w:pPr>
    </w:p>
  </w:footnote>
  <w:footnote w:id="2">
    <w:p w14:paraId="5C1B61C6" w14:textId="3D609FD3" w:rsidR="00B8449A" w:rsidRPr="00C42113" w:rsidRDefault="00B8449A" w:rsidP="00FF61FB">
      <w:pPr>
        <w:pStyle w:val="FootnoteText"/>
        <w:ind w:firstLine="0"/>
        <w:rPr>
          <w:lang w:val="es-ES_tradnl"/>
        </w:rPr>
      </w:pPr>
      <w:r w:rsidRPr="00C42113">
        <w:rPr>
          <w:rStyle w:val="FootnoteReference"/>
          <w:lang w:val="es-ES_tradnl"/>
        </w:rPr>
        <w:footnoteRef/>
      </w:r>
      <w:r w:rsidRPr="00C42113">
        <w:rPr>
          <w:lang w:val="es-ES_tradnl"/>
        </w:rPr>
        <w:t xml:space="preserve"> Integración del artículo 8 j) y disposiciones conexas con los pueblos indígenas y las comunidades locales en la labor del Convenio y sus protocolos (CBD/WG8J/10/8)</w:t>
      </w:r>
    </w:p>
  </w:footnote>
  <w:footnote w:id="3">
    <w:p w14:paraId="2182D953" w14:textId="44C3B996" w:rsidR="00B8449A" w:rsidRPr="00C42113" w:rsidRDefault="00B8449A" w:rsidP="00FF61FB">
      <w:pPr>
        <w:pStyle w:val="FootnoteText"/>
        <w:ind w:firstLine="0"/>
        <w:rPr>
          <w:lang w:val="es-ES_tradnl"/>
        </w:rPr>
      </w:pPr>
      <w:r w:rsidRPr="00C42113">
        <w:rPr>
          <w:rStyle w:val="FootnoteReference"/>
          <w:lang w:val="es-ES_tradnl"/>
        </w:rPr>
        <w:footnoteRef/>
      </w:r>
      <w:r w:rsidRPr="00C42113">
        <w:rPr>
          <w:lang w:val="es-ES_tradnl"/>
        </w:rPr>
        <w:t xml:space="preserve"> Véase la notificación </w:t>
      </w:r>
      <w:r w:rsidRPr="00C42113">
        <w:rPr>
          <w:kern w:val="22"/>
          <w:szCs w:val="20"/>
          <w:lang w:val="es-ES_tradnl"/>
        </w:rPr>
        <w:t>SCBD/SPS/DC/VN/JS/DM/86220, del 26 de enero de 2017.</w:t>
      </w:r>
      <w:r w:rsidRPr="00C42113">
        <w:rPr>
          <w:rStyle w:val="FootnoteReference"/>
          <w:iCs/>
          <w:color w:val="000000"/>
          <w:kern w:val="22"/>
          <w:szCs w:val="20"/>
          <w:lang w:val="es-ES_tradnl"/>
        </w:rPr>
        <w:t xml:space="preserve"> </w:t>
      </w:r>
      <w:r w:rsidRPr="00C42113">
        <w:rPr>
          <w:iCs/>
          <w:color w:val="000000"/>
          <w:kern w:val="22"/>
          <w:szCs w:val="20"/>
          <w:lang w:val="es-ES_tradnl"/>
        </w:rPr>
        <w:t xml:space="preserve">Las opiniones recibidas se reproducen en </w:t>
      </w:r>
      <w:r w:rsidRPr="00C42113">
        <w:rPr>
          <w:iCs/>
          <w:kern w:val="22"/>
          <w:szCs w:val="20"/>
          <w:lang w:val="es-ES_tradnl"/>
        </w:rPr>
        <w:t>CBD/WG8J/10/INF/4</w:t>
      </w:r>
      <w:r w:rsidRPr="00C42113">
        <w:rPr>
          <w:iCs/>
          <w:kern w:val="22"/>
          <w:lang w:val="es-ES_tradnl"/>
        </w:rPr>
        <w:t>.</w:t>
      </w:r>
    </w:p>
  </w:footnote>
  <w:footnote w:id="4">
    <w:p w14:paraId="33D80A50" w14:textId="4C705F5F" w:rsidR="00B8449A" w:rsidRPr="00C42113" w:rsidRDefault="00B8449A" w:rsidP="00D12BB1">
      <w:pPr>
        <w:pStyle w:val="FootnoteText"/>
        <w:ind w:firstLine="0"/>
        <w:rPr>
          <w:lang w:val="es-ES_tradnl"/>
        </w:rPr>
      </w:pPr>
      <w:r w:rsidRPr="00C42113">
        <w:rPr>
          <w:rStyle w:val="FootnoteReference"/>
          <w:lang w:val="es-ES_tradnl"/>
        </w:rPr>
        <w:footnoteRef/>
      </w:r>
      <w:r w:rsidRPr="00C42113">
        <w:rPr>
          <w:lang w:val="es-ES_tradnl"/>
        </w:rPr>
        <w:t xml:space="preserve"> Descrito en la recomendación 10/3.</w:t>
      </w:r>
    </w:p>
  </w:footnote>
  <w:footnote w:id="5">
    <w:p w14:paraId="02106BA5" w14:textId="630C25BF" w:rsidR="00B8449A" w:rsidRPr="00C42113" w:rsidRDefault="00B8449A" w:rsidP="00D12BB1">
      <w:pPr>
        <w:pStyle w:val="FootnoteText"/>
        <w:ind w:firstLine="0"/>
        <w:rPr>
          <w:lang w:val="es-ES_tradnl"/>
        </w:rPr>
      </w:pPr>
      <w:r w:rsidRPr="00C42113">
        <w:rPr>
          <w:rStyle w:val="FootnoteReference"/>
          <w:lang w:val="es-ES_tradnl"/>
        </w:rPr>
        <w:footnoteRef/>
      </w:r>
      <w:r w:rsidRPr="00C42113">
        <w:rPr>
          <w:lang w:val="es-ES_tradnl"/>
        </w:rPr>
        <w:t xml:space="preserve"> Véase el párrafo 9 del </w:t>
      </w:r>
      <w:r>
        <w:rPr>
          <w:lang w:val="es-ES_tradnl"/>
        </w:rPr>
        <w:t>p</w:t>
      </w:r>
      <w:r w:rsidRPr="00C42113">
        <w:rPr>
          <w:lang w:val="es-ES_tradnl"/>
        </w:rPr>
        <w:t>royecto de decisión que consta en la recomendación 10/6 del Grupo de Trabajo sobre el artículo 8 j) y disposiciones conexas.</w:t>
      </w:r>
    </w:p>
  </w:footnote>
  <w:footnote w:id="6">
    <w:p w14:paraId="4AFE3E7B" w14:textId="1028F38C" w:rsidR="00B8449A" w:rsidRPr="00C42113" w:rsidRDefault="00B8449A" w:rsidP="00FB38DC">
      <w:pPr>
        <w:pStyle w:val="FootnoteText"/>
        <w:spacing w:after="0"/>
        <w:ind w:firstLine="0"/>
        <w:rPr>
          <w:lang w:val="es-ES_tradnl"/>
        </w:rPr>
      </w:pPr>
      <w:r w:rsidRPr="00C42113">
        <w:rPr>
          <w:rStyle w:val="FootnoteReference"/>
          <w:lang w:val="es-ES_tradnl"/>
        </w:rPr>
        <w:footnoteRef/>
      </w:r>
      <w:r w:rsidRPr="00C42113">
        <w:rPr>
          <w:lang w:val="es-ES_tradnl"/>
        </w:rPr>
        <w:t xml:space="preserve"> Naciones Unidas, Serie de Tratados, registro Nº. I-54113).</w:t>
      </w:r>
    </w:p>
  </w:footnote>
  <w:footnote w:id="7">
    <w:p w14:paraId="16AFCE9A" w14:textId="5FC340C6" w:rsidR="00B8449A" w:rsidRPr="00C42113" w:rsidRDefault="00B8449A" w:rsidP="00FB38DC">
      <w:pPr>
        <w:pStyle w:val="FootnoteText"/>
        <w:spacing w:after="0"/>
        <w:ind w:firstLine="0"/>
        <w:rPr>
          <w:lang w:val="es-ES_tradnl"/>
        </w:rPr>
      </w:pPr>
      <w:r w:rsidRPr="00C42113">
        <w:rPr>
          <w:rStyle w:val="FootnoteReference"/>
          <w:lang w:val="es-ES_tradnl"/>
        </w:rPr>
        <w:footnoteRef/>
      </w:r>
      <w:r w:rsidRPr="00C42113">
        <w:rPr>
          <w:lang w:val="es-ES_tradnl"/>
        </w:rPr>
        <w:t xml:space="preserve"> Los logros realizados hasta la fecha se documentan en </w:t>
      </w:r>
      <w:r w:rsidRPr="00C42113">
        <w:rPr>
          <w:snapToGrid w:val="0"/>
          <w:kern w:val="22"/>
          <w:lang w:val="es-ES_tradnl"/>
        </w:rPr>
        <w:t>CBD/WG/8J/10/8.</w:t>
      </w:r>
    </w:p>
  </w:footnote>
  <w:footnote w:id="8">
    <w:p w14:paraId="7195B339" w14:textId="6A899FF2" w:rsidR="00B8449A" w:rsidRPr="00C9118D" w:rsidRDefault="00B8449A" w:rsidP="00CC4B39">
      <w:pPr>
        <w:rPr>
          <w:sz w:val="18"/>
          <w:szCs w:val="18"/>
          <w:lang w:val="es-ES_tradnl"/>
        </w:rPr>
      </w:pPr>
      <w:r w:rsidRPr="00C42113">
        <w:rPr>
          <w:rStyle w:val="FootnoteReference"/>
          <w:lang w:val="es-ES_tradnl"/>
        </w:rPr>
        <w:footnoteRef/>
      </w:r>
      <w:r w:rsidRPr="00C42113">
        <w:rPr>
          <w:lang w:val="es-ES_tradnl"/>
        </w:rPr>
        <w:t xml:space="preserve"> </w:t>
      </w:r>
      <w:r w:rsidRPr="00C9118D">
        <w:rPr>
          <w:bCs/>
          <w:sz w:val="18"/>
          <w:szCs w:val="18"/>
          <w:lang w:val="es-ES_tradnl"/>
        </w:rPr>
        <w:t>Véase SCBD/SPS/AS/JS/VF/87320</w:t>
      </w:r>
      <w:r w:rsidRPr="00C9118D">
        <w:rPr>
          <w:sz w:val="18"/>
          <w:szCs w:val="18"/>
          <w:lang w:val="es-ES_tradnl"/>
        </w:rPr>
        <w:t xml:space="preserve"> (2018-047) sobre posibles elementos de un futuro programa de trabajo sobre el </w:t>
      </w:r>
      <w:r w:rsidRPr="00C9118D">
        <w:rPr>
          <w:bCs/>
          <w:sz w:val="18"/>
          <w:szCs w:val="18"/>
          <w:lang w:val="es-ES_tradnl"/>
        </w:rPr>
        <w:t>artículo 8 j) y disposiciones conexas</w:t>
      </w:r>
      <w:r>
        <w:rPr>
          <w:bCs/>
          <w:sz w:val="18"/>
          <w:szCs w:val="18"/>
          <w:lang w:val="es-ES_tradnl"/>
        </w:rPr>
        <w:t>,</w:t>
      </w:r>
      <w:r w:rsidRPr="00C9118D">
        <w:rPr>
          <w:bCs/>
          <w:sz w:val="18"/>
          <w:szCs w:val="18"/>
          <w:lang w:val="es-ES_tradnl"/>
        </w:rPr>
        <w:t xml:space="preserve"> en el marco de la diversidad biológica posterior a 2020, así como los posibles arreglos institucionales y sus </w:t>
      </w:r>
      <w:r w:rsidRPr="00C9118D">
        <w:rPr>
          <w:bCs/>
          <w:i/>
          <w:sz w:val="18"/>
          <w:szCs w:val="18"/>
          <w:lang w:val="es-ES_tradnl"/>
        </w:rPr>
        <w:t>modus operandi</w:t>
      </w:r>
      <w:r w:rsidRPr="00C9118D">
        <w:rPr>
          <w:bCs/>
          <w:sz w:val="18"/>
          <w:szCs w:val="18"/>
          <w:lang w:val="es-ES_tradnl"/>
        </w:rPr>
        <w:t>.</w:t>
      </w:r>
    </w:p>
    <w:p w14:paraId="17098446" w14:textId="77777777" w:rsidR="00B8449A" w:rsidRPr="00C42113" w:rsidRDefault="00B8449A">
      <w:pPr>
        <w:pStyle w:val="FootnoteText"/>
        <w:rPr>
          <w:lang w:val="es-ES_tradnl"/>
        </w:rPr>
      </w:pPr>
    </w:p>
  </w:footnote>
  <w:footnote w:id="9">
    <w:p w14:paraId="2BEBA01F" w14:textId="1D80A23C" w:rsidR="005C30C4" w:rsidRPr="008167BF" w:rsidRDefault="005C30C4" w:rsidP="005C30C4">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846D63">
        <w:rPr>
          <w:rStyle w:val="FootnoteReference"/>
          <w:snapToGrid w:val="0"/>
          <w:kern w:val="18"/>
          <w:sz w:val="18"/>
          <w:szCs w:val="18"/>
        </w:rPr>
        <w:footnoteRef/>
      </w:r>
      <w:r w:rsidRPr="008167BF">
        <w:rPr>
          <w:snapToGrid w:val="0"/>
          <w:kern w:val="18"/>
          <w:szCs w:val="18"/>
          <w:lang w:val="es-ES_tradnl"/>
        </w:rPr>
        <w:t xml:space="preserve"> </w:t>
      </w:r>
      <w:r w:rsidR="008167BF" w:rsidRPr="008167BF">
        <w:rPr>
          <w:snapToGrid w:val="0"/>
          <w:kern w:val="18"/>
          <w:szCs w:val="18"/>
          <w:lang w:val="es-ES_tradnl"/>
        </w:rPr>
        <w:t>El FIIDB podría determin</w:t>
      </w:r>
      <w:r w:rsidR="008167BF">
        <w:rPr>
          <w:snapToGrid w:val="0"/>
          <w:kern w:val="18"/>
          <w:szCs w:val="18"/>
          <w:lang w:val="es-ES_tradnl"/>
        </w:rPr>
        <w:t>a</w:t>
      </w:r>
      <w:r w:rsidR="008167BF" w:rsidRPr="008167BF">
        <w:rPr>
          <w:snapToGrid w:val="0"/>
          <w:kern w:val="18"/>
          <w:szCs w:val="18"/>
          <w:lang w:val="es-ES_tradnl"/>
        </w:rPr>
        <w:t>r la</w:t>
      </w:r>
      <w:r w:rsidRPr="008167BF">
        <w:rPr>
          <w:snapToGrid w:val="0"/>
          <w:kern w:val="18"/>
          <w:szCs w:val="18"/>
          <w:lang w:val="es-ES_tradnl"/>
        </w:rPr>
        <w:t xml:space="preserve"> </w:t>
      </w:r>
      <w:r w:rsidR="008167BF">
        <w:rPr>
          <w:snapToGrid w:val="0"/>
          <w:kern w:val="18"/>
          <w:szCs w:val="18"/>
          <w:lang w:val="es-ES_tradnl"/>
        </w:rPr>
        <w:t xml:space="preserve">pertinencia </w:t>
      </w:r>
      <w:r w:rsidR="008167BF" w:rsidRPr="008167BF">
        <w:rPr>
          <w:snapToGrid w:val="0"/>
          <w:kern w:val="18"/>
          <w:szCs w:val="18"/>
          <w:lang w:val="es-ES_tradnl"/>
        </w:rPr>
        <w:t xml:space="preserve">directa en consulta con </w:t>
      </w:r>
      <w:r w:rsidR="008167BF">
        <w:rPr>
          <w:snapToGrid w:val="0"/>
          <w:kern w:val="18"/>
          <w:szCs w:val="18"/>
          <w:lang w:val="es-ES_tradnl"/>
        </w:rPr>
        <w:t>la Mesa de la reunión</w:t>
      </w:r>
      <w:r w:rsidRPr="008167BF">
        <w:rPr>
          <w:snapToGrid w:val="0"/>
          <w:kern w:val="18"/>
          <w:szCs w:val="18"/>
          <w:lang w:val="es-ES_tradnl"/>
        </w:rPr>
        <w:t>.</w:t>
      </w:r>
    </w:p>
  </w:footnote>
  <w:footnote w:id="10">
    <w:p w14:paraId="5573FAA2" w14:textId="77777777" w:rsidR="00950B75" w:rsidRPr="002B4C5E" w:rsidRDefault="00950B75" w:rsidP="00950B75">
      <w:pPr>
        <w:jc w:val="left"/>
        <w:rPr>
          <w:kern w:val="22"/>
          <w:lang w:val="es-ES_tradnl"/>
        </w:rPr>
      </w:pPr>
      <w:r w:rsidRPr="00846D63">
        <w:rPr>
          <w:rStyle w:val="FootnoteReference"/>
          <w:snapToGrid w:val="0"/>
          <w:kern w:val="18"/>
          <w:sz w:val="18"/>
          <w:szCs w:val="18"/>
        </w:rPr>
        <w:footnoteRef/>
      </w:r>
      <w:r w:rsidRPr="002B4C5E">
        <w:rPr>
          <w:snapToGrid w:val="0"/>
          <w:kern w:val="18"/>
          <w:szCs w:val="18"/>
          <w:lang w:val="es-ES"/>
        </w:rPr>
        <w:t xml:space="preserve"> </w:t>
      </w:r>
      <w:r w:rsidRPr="002B4C5E">
        <w:rPr>
          <w:snapToGrid w:val="0"/>
          <w:kern w:val="18"/>
          <w:sz w:val="18"/>
          <w:szCs w:val="18"/>
          <w:lang w:val="es-ES"/>
        </w:rPr>
        <w:t>Un Foro alternativo de conocimientos podría complementar el OSACCT, Como tal, complementaría el OSACTT, qu</w:t>
      </w:r>
      <w:r>
        <w:rPr>
          <w:snapToGrid w:val="0"/>
          <w:kern w:val="18"/>
          <w:sz w:val="18"/>
          <w:szCs w:val="18"/>
          <w:lang w:val="es-ES"/>
        </w:rPr>
        <w:t xml:space="preserve">e es un </w:t>
      </w:r>
      <w:r w:rsidRPr="002B4C5E">
        <w:rPr>
          <w:snapToGrid w:val="0"/>
          <w:kern w:val="18"/>
          <w:sz w:val="18"/>
          <w:szCs w:val="18"/>
          <w:lang w:val="es-ES"/>
        </w:rPr>
        <w:t>foro científico para aportar al Convenio la mejor base de conocimientos posible para lograr futuras metas y la Visión para 2050 de “Vivir en armonía con la naturaleza”</w:t>
      </w:r>
      <w:r>
        <w:rPr>
          <w:snapToGrid w:val="0"/>
          <w:kern w:val="18"/>
          <w:sz w:val="18"/>
          <w:szCs w:val="18"/>
          <w:lang w:val="es-ES"/>
        </w:rPr>
        <w:t>.</w:t>
      </w:r>
    </w:p>
  </w:footnote>
  <w:footnote w:id="11">
    <w:p w14:paraId="2FA80006" w14:textId="0B6C24B2" w:rsidR="002B4C5E" w:rsidRPr="002B4C5E" w:rsidRDefault="002B4C5E" w:rsidP="002B4C5E">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846D63">
        <w:rPr>
          <w:rStyle w:val="FootnoteReference"/>
          <w:snapToGrid w:val="0"/>
          <w:kern w:val="18"/>
          <w:sz w:val="18"/>
          <w:szCs w:val="18"/>
        </w:rPr>
        <w:footnoteRef/>
      </w:r>
      <w:r w:rsidRPr="002B4C5E">
        <w:rPr>
          <w:snapToGrid w:val="0"/>
          <w:kern w:val="18"/>
          <w:szCs w:val="18"/>
          <w:lang w:val="es-ES_tradnl"/>
        </w:rPr>
        <w:t xml:space="preserve"> En la decisión XIII/32 sobre administración del Convenio y el presupuesto para los Fondos Fiduciarios del Convenio, la Conferencia de las Partes acordaron de</w:t>
      </w:r>
      <w:r>
        <w:rPr>
          <w:snapToGrid w:val="0"/>
          <w:kern w:val="18"/>
          <w:szCs w:val="18"/>
          <w:lang w:val="es-ES_tradnl"/>
        </w:rPr>
        <w:t xml:space="preserve"> que no habría aumentos sustanciales hasta 2020 inclusive</w:t>
      </w:r>
      <w:r w:rsidRPr="002B4C5E">
        <w:rPr>
          <w:snapToGrid w:val="0"/>
          <w:kern w:val="18"/>
          <w:szCs w:val="18"/>
          <w:lang w:val="es-ES_tradnl"/>
        </w:rPr>
        <w:t>.</w:t>
      </w:r>
    </w:p>
  </w:footnote>
  <w:footnote w:id="12">
    <w:p w14:paraId="1F6C5FF8" w14:textId="7875180F" w:rsidR="00B8449A" w:rsidRPr="00C42113" w:rsidRDefault="00B8449A" w:rsidP="00EF1261">
      <w:pPr>
        <w:pStyle w:val="FootnoteText"/>
        <w:ind w:firstLine="0"/>
        <w:rPr>
          <w:lang w:val="es-ES_tradnl"/>
        </w:rPr>
      </w:pPr>
      <w:r w:rsidRPr="00C42113">
        <w:rPr>
          <w:rStyle w:val="FootnoteReference"/>
          <w:lang w:val="es-ES_tradnl"/>
        </w:rPr>
        <w:footnoteRef/>
      </w:r>
      <w:r w:rsidRPr="00C9118D">
        <w:rPr>
          <w:lang w:val="es-ES"/>
        </w:rPr>
        <w:t xml:space="preserve"> </w:t>
      </w:r>
      <w:r>
        <w:rPr>
          <w:lang w:val="es-ES"/>
        </w:rPr>
        <w:t xml:space="preserve">Los </w:t>
      </w:r>
      <w:r w:rsidRPr="00C9118D">
        <w:rPr>
          <w:lang w:val="es-ES"/>
        </w:rPr>
        <w:t xml:space="preserve">organismos </w:t>
      </w:r>
      <w:r>
        <w:rPr>
          <w:lang w:val="es-ES"/>
        </w:rPr>
        <w:t xml:space="preserve">presentan esta información </w:t>
      </w:r>
      <w:r w:rsidRPr="00C9118D">
        <w:rPr>
          <w:lang w:val="es-ES"/>
        </w:rPr>
        <w:t>a la Secretaría del UNPFII</w:t>
      </w:r>
      <w:r>
        <w:rPr>
          <w:lang w:val="es-ES"/>
        </w:rPr>
        <w:t xml:space="preserve"> una vez al año;</w:t>
      </w:r>
      <w:r w:rsidRPr="00C9118D">
        <w:rPr>
          <w:lang w:val="es-ES"/>
        </w:rPr>
        <w:t xml:space="preserve"> e</w:t>
      </w:r>
      <w:r>
        <w:rPr>
          <w:lang w:val="es-ES"/>
        </w:rPr>
        <w:t xml:space="preserve">n este caso para el 16º período de sesiones del </w:t>
      </w:r>
      <w:r w:rsidRPr="00C9118D">
        <w:rPr>
          <w:lang w:val="es-ES"/>
        </w:rPr>
        <w:t>UNPFII</w:t>
      </w:r>
      <w:r>
        <w:rPr>
          <w:lang w:val="es-ES"/>
        </w:rPr>
        <w:t xml:space="preserve">, celebrado en abril de </w:t>
      </w:r>
      <w:r w:rsidRPr="00C9118D">
        <w:rPr>
          <w:lang w:val="es-ES"/>
        </w:rPr>
        <w:t>2017.</w:t>
      </w:r>
      <w:r>
        <w:rPr>
          <w:lang w:val="es-ES"/>
        </w:rPr>
        <w:t xml:space="preserve"> Los informes completos de los organismos están disponibles en</w:t>
      </w:r>
      <w:r w:rsidRPr="00C9118D">
        <w:rPr>
          <w:lang w:val="es-ES"/>
        </w:rPr>
        <w:t xml:space="preserve">: </w:t>
      </w:r>
      <w:hyperlink r:id="rId1" w:history="1">
        <w:r w:rsidRPr="00C9118D">
          <w:rPr>
            <w:rStyle w:val="Hyperlink"/>
            <w:lang w:val="es-ES"/>
          </w:rPr>
          <w:t>https://www.un.org/development/desa/indigenouspeoples/unpfii-sessions-2/sixteenth-session.html</w:t>
        </w:r>
      </w:hyperlink>
    </w:p>
  </w:footnote>
  <w:footnote w:id="13">
    <w:p w14:paraId="1BAA779D" w14:textId="79E82110" w:rsidR="00B8449A" w:rsidRPr="00C42113" w:rsidRDefault="00B8449A" w:rsidP="00D95D90">
      <w:pPr>
        <w:pStyle w:val="FootnoteText"/>
        <w:ind w:firstLine="0"/>
        <w:rPr>
          <w:lang w:val="es-ES_tradnl"/>
        </w:rPr>
      </w:pPr>
      <w:r w:rsidRPr="00C42113">
        <w:rPr>
          <w:rStyle w:val="FootnoteReference"/>
          <w:lang w:val="es-ES_tradnl"/>
        </w:rPr>
        <w:footnoteRef/>
      </w:r>
      <w:r w:rsidRPr="00C42113">
        <w:rPr>
          <w:lang w:val="es-ES_tradnl"/>
        </w:rPr>
        <w:t xml:space="preserve"> Se dispone de información sobre los actuales miembros del Foro Permanente (1 de enero de 2017 a 31 de diciembre de </w:t>
      </w:r>
      <w:r w:rsidRPr="00C42113">
        <w:rPr>
          <w:color w:val="404040"/>
          <w:lang w:val="es-ES_tradnl"/>
        </w:rPr>
        <w:t xml:space="preserve">2019) en la página web siguiente: </w:t>
      </w:r>
      <w:hyperlink r:id="rId2" w:history="1">
        <w:r w:rsidRPr="00C42113">
          <w:rPr>
            <w:rStyle w:val="Hyperlink"/>
            <w:lang w:val="es-ES_tradnl"/>
          </w:rPr>
          <w:t>https://www.un.org/development/desa/indigenouspeoples/unpfii-sessions-2/newmembers.html</w:t>
        </w:r>
      </w:hyperlink>
    </w:p>
  </w:footnote>
  <w:footnote w:id="14">
    <w:p w14:paraId="75BB7AF1" w14:textId="3D81F52F" w:rsidR="00B8449A" w:rsidRPr="00C42113" w:rsidRDefault="00B8449A" w:rsidP="00D95D90">
      <w:pPr>
        <w:pStyle w:val="FootnoteText"/>
        <w:ind w:firstLine="0"/>
        <w:rPr>
          <w:lang w:val="es-ES_tradnl"/>
        </w:rPr>
      </w:pPr>
      <w:r w:rsidRPr="00C42113">
        <w:rPr>
          <w:rStyle w:val="FootnoteReference"/>
          <w:lang w:val="es-ES_tradnl"/>
        </w:rPr>
        <w:footnoteRef/>
      </w:r>
      <w:r w:rsidRPr="00C42113">
        <w:rPr>
          <w:lang w:val="es-ES_tradnl"/>
        </w:rPr>
        <w:t xml:space="preserve"> </w:t>
      </w:r>
      <w:hyperlink r:id="rId3" w:history="1">
        <w:r w:rsidRPr="0064799B">
          <w:rPr>
            <w:rStyle w:val="Hyperlink"/>
            <w:lang w:val="es-ES_tradnl"/>
          </w:rPr>
          <w:t>http://www.ohchr.org/EN/Issues/IPeoples/EMRIP/Pages/EMRIPIndex.aspx</w:t>
        </w:r>
      </w:hyperlink>
    </w:p>
  </w:footnote>
  <w:footnote w:id="15">
    <w:p w14:paraId="34685AE3" w14:textId="77777777" w:rsidR="00B8449A" w:rsidRPr="00C42113" w:rsidRDefault="00B8449A" w:rsidP="00E65075">
      <w:pPr>
        <w:pStyle w:val="FootnoteText"/>
        <w:ind w:firstLine="0"/>
        <w:rPr>
          <w:lang w:val="es-ES_tradnl"/>
        </w:rPr>
      </w:pPr>
      <w:r w:rsidRPr="00C42113">
        <w:rPr>
          <w:rStyle w:val="FootnoteReference"/>
          <w:lang w:val="es-ES_tradnl"/>
        </w:rPr>
        <w:footnoteRef/>
      </w:r>
      <w:r w:rsidRPr="00C42113">
        <w:rPr>
          <w:lang w:val="es-ES_tradnl"/>
        </w:rPr>
        <w:t xml:space="preserve"> </w:t>
      </w:r>
      <w:hyperlink r:id="rId4" w:history="1">
        <w:r w:rsidRPr="00C42113">
          <w:rPr>
            <w:rStyle w:val="Hyperlink"/>
            <w:lang w:val="es-ES_tradnl"/>
          </w:rPr>
          <w:t>http://www.ohchr.org/EN/Issues/IPeoples/SRIndigenousPeoples/Pages/Mandate.aspx</w:t>
        </w:r>
      </w:hyperlink>
      <w:r w:rsidRPr="00C42113">
        <w:rPr>
          <w:lang w:val="es-ES_tradnl"/>
        </w:rPr>
        <w:t xml:space="preserve"> </w:t>
      </w:r>
    </w:p>
  </w:footnote>
  <w:footnote w:id="16">
    <w:p w14:paraId="227384EB" w14:textId="7ACF3BBA" w:rsidR="00B8449A" w:rsidRPr="00C42113" w:rsidRDefault="00B8449A" w:rsidP="003C45C8">
      <w:pPr>
        <w:rPr>
          <w:color w:val="000000"/>
          <w:sz w:val="20"/>
          <w:szCs w:val="20"/>
          <w:lang w:val="es-ES_tradnl"/>
        </w:rPr>
      </w:pPr>
      <w:r w:rsidRPr="00C42113">
        <w:rPr>
          <w:rStyle w:val="FootnoteReference"/>
          <w:sz w:val="20"/>
          <w:szCs w:val="20"/>
          <w:lang w:val="es-ES_tradnl"/>
        </w:rPr>
        <w:footnoteRef/>
      </w:r>
      <w:r w:rsidRPr="00C42113">
        <w:rPr>
          <w:sz w:val="20"/>
          <w:szCs w:val="20"/>
          <w:lang w:val="es-ES_tradnl"/>
        </w:rPr>
        <w:t xml:space="preserve"> </w:t>
      </w:r>
      <w:hyperlink r:id="rId5" w:history="1">
        <w:r w:rsidRPr="00044F21">
          <w:rPr>
            <w:rStyle w:val="Hyperlink"/>
            <w:sz w:val="20"/>
            <w:szCs w:val="20"/>
            <w:lang w:val="es-ES_tradnl"/>
          </w:rPr>
          <w:t>http://www.ohchr.org/EN/Issues/IPeoples/IPeoplesFund/Pages/IPeoplesFundIndex.aspx</w:t>
        </w:r>
      </w:hyperlink>
    </w:p>
  </w:footnote>
  <w:footnote w:id="17">
    <w:p w14:paraId="44BEE5AA" w14:textId="16E3F528" w:rsidR="00B8449A" w:rsidRPr="00C42113" w:rsidRDefault="00B8449A" w:rsidP="00A26BD9">
      <w:pPr>
        <w:pStyle w:val="NormalWeb"/>
        <w:shd w:val="clear" w:color="auto" w:fill="FFFFFF"/>
        <w:spacing w:before="0" w:after="150"/>
        <w:rPr>
          <w:sz w:val="20"/>
          <w:szCs w:val="20"/>
          <w:lang w:val="es-ES_tradnl"/>
        </w:rPr>
      </w:pPr>
      <w:r w:rsidRPr="00C42113">
        <w:rPr>
          <w:rStyle w:val="FootnoteReference"/>
          <w:sz w:val="20"/>
          <w:szCs w:val="20"/>
          <w:lang w:val="es-ES_tradnl"/>
        </w:rPr>
        <w:footnoteRef/>
      </w:r>
      <w:r w:rsidRPr="00C42113">
        <w:rPr>
          <w:sz w:val="20"/>
          <w:szCs w:val="20"/>
          <w:lang w:val="es-ES_tradnl"/>
        </w:rPr>
        <w:t xml:space="preserve"> </w:t>
      </w:r>
      <w:bookmarkStart w:id="11" w:name="_Hlk515860551"/>
      <w:r w:rsidRPr="00C42113">
        <w:rPr>
          <w:sz w:val="20"/>
          <w:szCs w:val="20"/>
          <w:lang w:val="es-ES_tradnl"/>
        </w:rPr>
        <w:t>La Asamblea General amplió el mandato del Fondo nuevamente en virtud de su resolución </w:t>
      </w:r>
      <w:hyperlink r:id="rId6" w:history="1">
        <w:r w:rsidRPr="00C42113">
          <w:rPr>
            <w:sz w:val="20"/>
            <w:szCs w:val="20"/>
            <w:lang w:val="es-ES_tradnl"/>
          </w:rPr>
          <w:t>56/140</w:t>
        </w:r>
      </w:hyperlink>
      <w:r w:rsidRPr="00C42113">
        <w:rPr>
          <w:sz w:val="20"/>
          <w:szCs w:val="20"/>
          <w:lang w:val="es-ES_tradnl"/>
        </w:rPr>
        <w:t>, del 19 de diciembre de 2001, decidiendo que el Fondo también se utilizaría para prestar asistencia a los representantes de comunidades y organizaciones indígenas a fin de que pudieran participar, como observadores, en las sesiones del </w:t>
      </w:r>
      <w:hyperlink r:id="rId7" w:history="1">
        <w:r w:rsidRPr="00C42113">
          <w:rPr>
            <w:sz w:val="20"/>
            <w:szCs w:val="20"/>
            <w:lang w:val="es-ES_tradnl"/>
          </w:rPr>
          <w:t>Foro Permanente para las Cuestiones Indígenas.</w:t>
        </w:r>
      </w:hyperlink>
      <w:r w:rsidRPr="00C42113">
        <w:rPr>
          <w:sz w:val="20"/>
          <w:szCs w:val="20"/>
          <w:lang w:val="es-ES_tradnl"/>
        </w:rPr>
        <w:t xml:space="preserve"> En su resolución 63/161 del 18 de diciembre de 2008, la Asamblea General decidió ajustar el mandato del Fondo a fin de facilitar la participación de los representantes de las organizaciones de pueblos indígenas en el </w:t>
      </w:r>
      <w:hyperlink r:id="rId8" w:history="1">
        <w:r w:rsidRPr="00C42113">
          <w:rPr>
            <w:sz w:val="20"/>
            <w:szCs w:val="20"/>
            <w:lang w:val="es-ES_tradnl"/>
          </w:rPr>
          <w:t>Mecanismo de expertos sobre los derechos de los pueblos indígenas</w:t>
        </w:r>
      </w:hyperlink>
      <w:r w:rsidRPr="00C42113">
        <w:rPr>
          <w:sz w:val="20"/>
          <w:szCs w:val="20"/>
          <w:lang w:val="es-ES_tradnl"/>
        </w:rPr>
        <w:t> establecido como órgano subsidiario del Consejo de Derechos Humanos, de conformidad con su resolución 6/36 del 14 de diciembre de 2007. En su resolución 65/198, de 21 de diciembre de 2010, la Asamblea General amplió el mandato del Fondo a fin de facilitar la participación de representantes de organizaciones de pueblos indígenas en las sesiones del </w:t>
      </w:r>
      <w:hyperlink r:id="rId9" w:history="1">
        <w:r w:rsidRPr="00C42113">
          <w:rPr>
            <w:sz w:val="20"/>
            <w:szCs w:val="20"/>
            <w:lang w:val="es-ES_tradnl"/>
          </w:rPr>
          <w:t>Consejo de Derechos Humanos</w:t>
        </w:r>
      </w:hyperlink>
      <w:r w:rsidRPr="00C42113">
        <w:rPr>
          <w:sz w:val="20"/>
          <w:szCs w:val="20"/>
          <w:lang w:val="es-ES_tradnl"/>
        </w:rPr>
        <w:t> y de los órganos de tratados de derechos humanos. En 2015, la Asamblea General amplió el mandato del Fondo para apoyar la participación de los representantes de organizaciones e instituciones de los pueblos indígenas en el proceso de consulta sobre las medidas procesales e institucionales para permitir la participación de los representantes e instituciones de los pueblos indígenas en los órganos organismos pertinentes de las Naciones Unidas sobre los asuntos que les conciernen durante el septuagésimo y el septuagésimo quinto período de sesiones de la Asamblea General (Resolución A/RES/70/232 de la Asamblea General). </w:t>
      </w:r>
      <w:bookmarkEnd w:id="11"/>
    </w:p>
  </w:footnote>
  <w:footnote w:id="18">
    <w:p w14:paraId="6A7D90BC" w14:textId="77777777" w:rsidR="00B8449A" w:rsidRPr="00C42113" w:rsidRDefault="00B8449A" w:rsidP="00A26BD9">
      <w:pPr>
        <w:pStyle w:val="FootnoteText"/>
        <w:ind w:firstLine="0"/>
        <w:rPr>
          <w:lang w:val="es-ES_tradnl"/>
        </w:rPr>
      </w:pPr>
      <w:r w:rsidRPr="00C42113">
        <w:rPr>
          <w:rStyle w:val="FootnoteReference"/>
          <w:lang w:val="es-ES_tradnl"/>
        </w:rPr>
        <w:footnoteRef/>
      </w:r>
      <w:r w:rsidRPr="00C42113">
        <w:rPr>
          <w:lang w:val="es-ES_tradnl"/>
        </w:rPr>
        <w:t xml:space="preserve"> </w:t>
      </w:r>
      <w:hyperlink r:id="rId10" w:history="1">
        <w:r w:rsidRPr="00C42113">
          <w:rPr>
            <w:rStyle w:val="Hyperlink"/>
            <w:lang w:val="es-ES_tradnl"/>
          </w:rPr>
          <w:t>http://unfccc.int/adaptation/items/10475.php</w:t>
        </w:r>
      </w:hyperlink>
      <w:r w:rsidRPr="00C42113">
        <w:rPr>
          <w:lang w:val="es-ES_tradnl"/>
        </w:rPr>
        <w:t xml:space="preserve"> </w:t>
      </w:r>
    </w:p>
  </w:footnote>
  <w:footnote w:id="19">
    <w:p w14:paraId="6E265E4D" w14:textId="77777777" w:rsidR="00B8449A" w:rsidRPr="00C42113" w:rsidRDefault="00B8449A" w:rsidP="00FB38DC">
      <w:pPr>
        <w:pStyle w:val="FootnoteText"/>
        <w:ind w:firstLine="0"/>
        <w:rPr>
          <w:lang w:val="es-ES_tradnl"/>
        </w:rPr>
      </w:pPr>
      <w:r w:rsidRPr="00C42113">
        <w:rPr>
          <w:rStyle w:val="FootnoteReference"/>
          <w:lang w:val="es-ES_tradnl"/>
        </w:rPr>
        <w:footnoteRef/>
      </w:r>
      <w:r w:rsidRPr="00C42113">
        <w:rPr>
          <w:lang w:val="es-ES_tradnl"/>
        </w:rPr>
        <w:t xml:space="preserve"> </w:t>
      </w:r>
      <w:hyperlink r:id="rId11" w:history="1">
        <w:r w:rsidRPr="00C42113">
          <w:rPr>
            <w:rStyle w:val="Hyperlink"/>
            <w:lang w:val="es-ES_tradnl"/>
          </w:rPr>
          <w:t>http://www.fao.org/plant-treaty/meetings/meetings-detail/en/c/888771/</w:t>
        </w:r>
      </w:hyperlink>
    </w:p>
  </w:footnote>
  <w:footnote w:id="20">
    <w:p w14:paraId="50FCA04A" w14:textId="77777777" w:rsidR="00B8449A" w:rsidRPr="00C42113" w:rsidRDefault="00B8449A" w:rsidP="00CC4B39">
      <w:pPr>
        <w:pStyle w:val="FootnoteText"/>
        <w:ind w:firstLine="0"/>
        <w:rPr>
          <w:lang w:val="es-ES_tradnl"/>
        </w:rPr>
      </w:pPr>
      <w:r w:rsidRPr="00C42113">
        <w:rPr>
          <w:rStyle w:val="FootnoteReference"/>
          <w:lang w:val="es-ES_tradnl"/>
        </w:rPr>
        <w:footnoteRef/>
      </w:r>
      <w:r w:rsidRPr="00C42113">
        <w:rPr>
          <w:lang w:val="es-ES_tradnl"/>
        </w:rPr>
        <w:t xml:space="preserve"> </w:t>
      </w:r>
      <w:hyperlink r:id="rId12" w:history="1">
        <w:r w:rsidRPr="00C42113">
          <w:rPr>
            <w:rStyle w:val="Hyperlink"/>
            <w:lang w:val="es-ES_tradnl"/>
          </w:rPr>
          <w:t>http://www.fao.org/plant-treaty/areas-of-work/farmers-rights/en/</w:t>
        </w:r>
      </w:hyperlink>
      <w:r w:rsidRPr="00C42113">
        <w:rPr>
          <w:lang w:val="es-ES_tradnl"/>
        </w:rPr>
        <w:t xml:space="preserve"> </w:t>
      </w:r>
    </w:p>
  </w:footnote>
  <w:footnote w:id="21">
    <w:p w14:paraId="069E1B84" w14:textId="712E7584" w:rsidR="00B8449A" w:rsidRPr="00C42113" w:rsidRDefault="00B8449A" w:rsidP="00CC4B39">
      <w:pPr>
        <w:pStyle w:val="FootnoteText"/>
        <w:ind w:firstLine="0"/>
        <w:rPr>
          <w:lang w:val="es-ES_tradnl"/>
        </w:rPr>
      </w:pPr>
      <w:r w:rsidRPr="00C42113">
        <w:rPr>
          <w:rStyle w:val="FootnoteReference"/>
          <w:lang w:val="es-ES_tradnl"/>
        </w:rPr>
        <w:footnoteRef/>
      </w:r>
      <w:r w:rsidRPr="00C42113">
        <w:rPr>
          <w:lang w:val="es-ES_tradnl"/>
        </w:rPr>
        <w:t xml:space="preserve"> Véase </w:t>
      </w:r>
      <w:hyperlink r:id="rId13" w:history="1">
        <w:r w:rsidRPr="00C42113">
          <w:rPr>
            <w:rStyle w:val="Hyperlink"/>
            <w:lang w:val="es-ES_tradnl"/>
          </w:rPr>
          <w:t>http://www.wipo.int/tk/en/igc/participation.html</w:t>
        </w:r>
      </w:hyperlink>
      <w:r w:rsidRPr="00C42113">
        <w:rPr>
          <w:lang w:val="es-ES_tradnl"/>
        </w:rPr>
        <w:t xml:space="preserve"> </w:t>
      </w:r>
    </w:p>
  </w:footnote>
  <w:footnote w:id="22">
    <w:p w14:paraId="5CC647A4"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En la </w:t>
      </w:r>
      <w:hyperlink r:id="rId14" w:history="1">
        <w:r w:rsidRPr="00C42113">
          <w:rPr>
            <w:rStyle w:val="Hyperlink"/>
            <w:kern w:val="18"/>
            <w:szCs w:val="18"/>
            <w:lang w:val="es-ES_tradnl"/>
          </w:rPr>
          <w:t>decisión X/43</w:t>
        </w:r>
      </w:hyperlink>
      <w:r w:rsidRPr="00C42113">
        <w:rPr>
          <w:kern w:val="18"/>
          <w:szCs w:val="18"/>
          <w:lang w:val="es-ES_tradnl"/>
        </w:rPr>
        <w:t>, la Conferencia de las Partes adoptó una versión revisada del programa de trabajo plurianual sobre el artículo 8 j), en la cual se eliminaron las tareas 3, 5, 8, 9 y 16, que se habían completado o reemplazado.</w:t>
      </w:r>
    </w:p>
  </w:footnote>
  <w:footnote w:id="23">
    <w:p w14:paraId="3DB740A9" w14:textId="77777777" w:rsidR="00B8449A" w:rsidRPr="00C42113" w:rsidRDefault="00B8449A" w:rsidP="00362664">
      <w:pPr>
        <w:pStyle w:val="FootnoteText"/>
        <w:keepLines w:val="0"/>
        <w:ind w:firstLine="0"/>
        <w:jc w:val="left"/>
        <w:rPr>
          <w:lang w:val="es-ES_tradnl"/>
        </w:rPr>
      </w:pPr>
      <w:r w:rsidRPr="00C42113">
        <w:rPr>
          <w:rStyle w:val="FootnoteReference"/>
          <w:kern w:val="18"/>
          <w:szCs w:val="18"/>
          <w:lang w:val="es-ES_tradnl"/>
        </w:rPr>
        <w:footnoteRef/>
      </w:r>
      <w:r w:rsidRPr="00C42113">
        <w:rPr>
          <w:szCs w:val="18"/>
          <w:lang w:val="es-ES_tradnl"/>
        </w:rPr>
        <w:t xml:space="preserve"> Véase la </w:t>
      </w:r>
      <w:hyperlink r:id="rId15" w:history="1">
        <w:r w:rsidRPr="00C42113">
          <w:rPr>
            <w:rStyle w:val="Hyperlink"/>
            <w:lang w:val="es-ES_tradnl"/>
          </w:rPr>
          <w:t>resolución 70/1 de la Asamblea General</w:t>
        </w:r>
      </w:hyperlink>
      <w:r w:rsidRPr="00C42113">
        <w:rPr>
          <w:lang w:val="es-ES_tradnl"/>
        </w:rPr>
        <w:t>, titulada “Transformar nuestro mundo: la Agenda 2030 para el Desarrollo Sostenible”.</w:t>
      </w:r>
    </w:p>
  </w:footnote>
  <w:footnote w:id="24">
    <w:p w14:paraId="3A386451" w14:textId="3B7DE33A"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Convención Marco de las Naciones Unidas sobre el Cambio Climático, Conferencia de las Partes, 21</w:t>
      </w:r>
      <w:r w:rsidRPr="00C42113">
        <w:rPr>
          <w:kern w:val="18"/>
          <w:szCs w:val="18"/>
          <w:vertAlign w:val="superscript"/>
          <w:lang w:val="es-ES_tradnl"/>
        </w:rPr>
        <w:t>o</w:t>
      </w:r>
      <w:r w:rsidRPr="00C42113">
        <w:rPr>
          <w:kern w:val="18"/>
          <w:szCs w:val="18"/>
          <w:lang w:val="es-ES_tradnl"/>
        </w:rPr>
        <w:t xml:space="preserve"> período de sesiones, decisión 1/CP.21 (véase </w:t>
      </w:r>
      <w:hyperlink r:id="rId16" w:history="1">
        <w:r w:rsidRPr="00C42113">
          <w:rPr>
            <w:rStyle w:val="Hyperlink"/>
            <w:kern w:val="18"/>
            <w:szCs w:val="18"/>
            <w:lang w:val="es-ES_tradnl"/>
          </w:rPr>
          <w:t>FCCC/CP/2015/10/Add.1</w:t>
        </w:r>
      </w:hyperlink>
      <w:r w:rsidRPr="00C42113">
        <w:rPr>
          <w:kern w:val="18"/>
          <w:szCs w:val="18"/>
          <w:lang w:val="es-ES_tradnl"/>
        </w:rPr>
        <w:t>).c</w:t>
      </w:r>
    </w:p>
  </w:footnote>
  <w:footnote w:id="25">
    <w:p w14:paraId="206D57DC"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La Cumbre </w:t>
      </w:r>
      <w:r w:rsidRPr="00C42113">
        <w:rPr>
          <w:kern w:val="22"/>
          <w:szCs w:val="22"/>
          <w:lang w:val="es-ES_tradnl"/>
        </w:rPr>
        <w:t>Múuch’tambal</w:t>
      </w:r>
      <w:r w:rsidRPr="00C42113">
        <w:rPr>
          <w:kern w:val="18"/>
          <w:szCs w:val="18"/>
          <w:lang w:val="es-ES_tradnl"/>
        </w:rPr>
        <w:t xml:space="preserve"> sobre </w:t>
      </w:r>
      <w:r w:rsidRPr="00C42113">
        <w:rPr>
          <w:kern w:val="22"/>
          <w:szCs w:val="22"/>
          <w:lang w:val="es-ES_tradnl"/>
        </w:rPr>
        <w:t>Experiencia Indígena se celebró paralelamente a la 13ª reunión de la Conferencia de las Partes</w:t>
      </w:r>
      <w:r w:rsidRPr="00C42113">
        <w:rPr>
          <w:kern w:val="18"/>
          <w:szCs w:val="18"/>
          <w:lang w:val="es-ES_tradnl"/>
        </w:rPr>
        <w:t xml:space="preserve">. Su declaración se emitió como documento de información </w:t>
      </w:r>
      <w:hyperlink r:id="rId17" w:history="1">
        <w:r w:rsidRPr="00C42113">
          <w:rPr>
            <w:rStyle w:val="Hyperlink"/>
            <w:kern w:val="18"/>
            <w:szCs w:val="18"/>
            <w:lang w:val="es-ES_tradnl"/>
          </w:rPr>
          <w:t>UNEP/CBD/COP/13/INF/48</w:t>
        </w:r>
      </w:hyperlink>
      <w:r w:rsidRPr="00C42113">
        <w:rPr>
          <w:lang w:val="es-ES_tradnl"/>
        </w:rPr>
        <w:t xml:space="preserve"> (en inglés).</w:t>
      </w:r>
    </w:p>
  </w:footnote>
  <w:footnote w:id="26">
    <w:p w14:paraId="1DD063FF" w14:textId="0E2C9378"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w:t>
      </w:r>
      <w:hyperlink r:id="rId18" w:history="1">
        <w:r w:rsidRPr="00C42113">
          <w:rPr>
            <w:rStyle w:val="Hyperlink"/>
            <w:kern w:val="18"/>
            <w:szCs w:val="18"/>
            <w:lang w:val="es-ES_tradnl"/>
          </w:rPr>
          <w:t>Decisión VII/16</w:t>
        </w:r>
      </w:hyperlink>
      <w:r w:rsidRPr="00C42113">
        <w:rPr>
          <w:kern w:val="18"/>
          <w:szCs w:val="18"/>
          <w:lang w:val="es-ES_tradnl"/>
        </w:rPr>
        <w:t>.</w:t>
      </w:r>
    </w:p>
  </w:footnote>
  <w:footnote w:id="27">
    <w:p w14:paraId="5E98F5A4"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w:t>
      </w:r>
      <w:hyperlink r:id="rId19" w:history="1">
        <w:r w:rsidRPr="00C42113">
          <w:rPr>
            <w:rStyle w:val="Hyperlink"/>
            <w:kern w:val="18"/>
            <w:szCs w:val="18"/>
            <w:lang w:val="es-ES_tradnl"/>
          </w:rPr>
          <w:t>Decisión X/42</w:t>
        </w:r>
      </w:hyperlink>
      <w:r w:rsidRPr="00C42113">
        <w:rPr>
          <w:kern w:val="18"/>
          <w:szCs w:val="18"/>
          <w:lang w:val="es-ES_tradnl"/>
        </w:rPr>
        <w:t>, anexo.</w:t>
      </w:r>
    </w:p>
  </w:footnote>
  <w:footnote w:id="28">
    <w:p w14:paraId="2D1483C6"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rStyle w:val="FootnoteReference"/>
          <w:lang w:val="es-ES_tradnl"/>
        </w:rPr>
        <w:t xml:space="preserve"> </w:t>
      </w:r>
      <w:r w:rsidRPr="00C42113">
        <w:rPr>
          <w:kern w:val="18"/>
          <w:szCs w:val="18"/>
          <w:lang w:val="es-ES_tradnl"/>
        </w:rPr>
        <w:t>Significa “las raíces de la vida” en la lengua maya.</w:t>
      </w:r>
    </w:p>
  </w:footnote>
  <w:footnote w:id="29">
    <w:p w14:paraId="07100BB0" w14:textId="77777777" w:rsidR="00B8449A" w:rsidRPr="00C42113" w:rsidRDefault="00B8449A" w:rsidP="00362664">
      <w:pPr>
        <w:suppressLineNumbers/>
        <w:suppressAutoHyphens/>
        <w:adjustRightInd w:val="0"/>
        <w:snapToGrid w:val="0"/>
        <w:spacing w:after="60"/>
        <w:jc w:val="left"/>
        <w:rPr>
          <w:color w:val="000000"/>
          <w:kern w:val="18"/>
          <w:sz w:val="18"/>
          <w:szCs w:val="18"/>
          <w:lang w:val="es-ES_tradnl"/>
        </w:rPr>
      </w:pPr>
      <w:r w:rsidRPr="00C42113">
        <w:rPr>
          <w:rStyle w:val="FootnoteReference"/>
          <w:kern w:val="18"/>
          <w:szCs w:val="18"/>
          <w:lang w:val="es-ES_tradnl"/>
        </w:rPr>
        <w:footnoteRef/>
      </w:r>
      <w:r w:rsidRPr="00C42113">
        <w:rPr>
          <w:color w:val="000000"/>
          <w:kern w:val="18"/>
          <w:sz w:val="18"/>
          <w:szCs w:val="18"/>
          <w:vertAlign w:val="superscript"/>
          <w:lang w:val="es-ES_tradnl"/>
        </w:rPr>
        <w:t xml:space="preserve"> </w:t>
      </w:r>
      <w:r w:rsidRPr="00C42113">
        <w:rPr>
          <w:color w:val="000000"/>
          <w:kern w:val="18"/>
          <w:sz w:val="18"/>
          <w:szCs w:val="18"/>
          <w:lang w:val="es-ES_tradnl"/>
        </w:rPr>
        <w:t xml:space="preserve">El uso y la interpretación del término “pueblos indígenas y comunidades locales” en estas Directrices debe hacer referencia a la </w:t>
      </w:r>
      <w:hyperlink r:id="rId20" w:history="1">
        <w:r w:rsidRPr="00C42113">
          <w:rPr>
            <w:rStyle w:val="Hyperlink"/>
            <w:kern w:val="18"/>
            <w:szCs w:val="18"/>
            <w:lang w:val="es-ES_tradnl"/>
          </w:rPr>
          <w:t>decisión XII/12</w:t>
        </w:r>
      </w:hyperlink>
      <w:r w:rsidRPr="00C42113">
        <w:rPr>
          <w:color w:val="000000"/>
          <w:kern w:val="18"/>
          <w:sz w:val="18"/>
          <w:szCs w:val="18"/>
          <w:lang w:val="es-ES_tradnl"/>
        </w:rPr>
        <w:t> F, párrafo 2 a), b) y c).</w:t>
      </w:r>
    </w:p>
  </w:footnote>
  <w:footnote w:id="30">
    <w:p w14:paraId="0D9D20BA"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w:t>
      </w:r>
      <w:hyperlink r:id="rId21" w:history="1">
        <w:r w:rsidRPr="00C42113">
          <w:rPr>
            <w:rStyle w:val="Hyperlink"/>
            <w:kern w:val="18"/>
            <w:szCs w:val="18"/>
            <w:lang w:val="es-ES_tradnl"/>
          </w:rPr>
          <w:t>Decisión XIII/18</w:t>
        </w:r>
      </w:hyperlink>
      <w:r w:rsidRPr="00C42113">
        <w:rPr>
          <w:kern w:val="18"/>
          <w:szCs w:val="18"/>
          <w:lang w:val="es-ES_tradnl"/>
        </w:rPr>
        <w:t>.</w:t>
      </w:r>
    </w:p>
  </w:footnote>
  <w:footnote w:id="31">
    <w:p w14:paraId="5FFD457A"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Se prevé su adopción en la 14ª reunión de la Conferencia de las Partes, en respuesta a las tareas 7, 10 y 12 del programa de trabajo revisado sobre el artículo 8 j) y disposiciones conexas.</w:t>
      </w:r>
    </w:p>
  </w:footnote>
  <w:footnote w:id="32">
    <w:p w14:paraId="125F4538"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kern w:val="18"/>
          <w:szCs w:val="18"/>
          <w:lang w:val="es-ES_tradnl"/>
        </w:rPr>
        <w:t xml:space="preserve"> </w:t>
      </w:r>
      <w:hyperlink r:id="rId22" w:history="1">
        <w:r w:rsidRPr="00C42113">
          <w:rPr>
            <w:rStyle w:val="Hyperlink"/>
            <w:kern w:val="18"/>
            <w:szCs w:val="18"/>
            <w:lang w:val="es-ES_tradnl"/>
          </w:rPr>
          <w:t>Decisión XII/12</w:t>
        </w:r>
      </w:hyperlink>
      <w:r w:rsidRPr="00C42113">
        <w:rPr>
          <w:kern w:val="18"/>
          <w:szCs w:val="18"/>
          <w:lang w:val="es-ES_tradnl"/>
        </w:rPr>
        <w:t xml:space="preserve"> B, anexo.</w:t>
      </w:r>
    </w:p>
  </w:footnote>
  <w:footnote w:id="33">
    <w:p w14:paraId="6BEF3E65"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rStyle w:val="FootnoteReference"/>
          <w:lang w:val="es-ES_tradnl"/>
        </w:rPr>
        <w:t xml:space="preserve"> </w:t>
      </w:r>
      <w:r w:rsidRPr="00C42113">
        <w:rPr>
          <w:kern w:val="18"/>
          <w:szCs w:val="18"/>
          <w:lang w:val="es-ES_tradnl"/>
        </w:rPr>
        <w:t xml:space="preserve">Véase el </w:t>
      </w:r>
      <w:r w:rsidRPr="00C42113">
        <w:rPr>
          <w:bCs/>
          <w:iCs/>
          <w:kern w:val="18"/>
          <w:szCs w:val="18"/>
          <w:lang w:val="es-ES_tradnl"/>
        </w:rPr>
        <w:t xml:space="preserve">párrafo 16 de </w:t>
      </w:r>
      <w:r w:rsidRPr="00C42113">
        <w:rPr>
          <w:kern w:val="18"/>
          <w:szCs w:val="18"/>
          <w:lang w:val="es-ES_tradnl"/>
        </w:rPr>
        <w:t xml:space="preserve">la </w:t>
      </w:r>
      <w:hyperlink r:id="rId23" w:history="1">
        <w:r w:rsidRPr="00C42113">
          <w:rPr>
            <w:rStyle w:val="Hyperlink"/>
            <w:kern w:val="18"/>
            <w:szCs w:val="18"/>
            <w:lang w:val="es-ES_tradnl"/>
          </w:rPr>
          <w:t>decisión X/20</w:t>
        </w:r>
      </w:hyperlink>
      <w:r w:rsidRPr="00C42113">
        <w:rPr>
          <w:kern w:val="18"/>
          <w:szCs w:val="18"/>
          <w:lang w:val="es-ES_tradnl"/>
        </w:rPr>
        <w:t xml:space="preserve"> sobre cooperación con otros convenios y organizaciones e iniciativas internacionales</w:t>
      </w:r>
      <w:r w:rsidRPr="00C42113">
        <w:rPr>
          <w:bCs/>
          <w:iCs/>
          <w:kern w:val="18"/>
          <w:szCs w:val="18"/>
          <w:lang w:val="es-ES_tradnl"/>
        </w:rPr>
        <w:t>, en el que se acoge con beneplácito el programa de trabajo conjunto.</w:t>
      </w:r>
    </w:p>
  </w:footnote>
  <w:footnote w:id="34">
    <w:p w14:paraId="5439ACB7" w14:textId="77777777" w:rsidR="00B8449A" w:rsidRPr="00C42113" w:rsidRDefault="00B8449A" w:rsidP="00362664">
      <w:pPr>
        <w:pStyle w:val="FootnoteText"/>
        <w:keepLines w:val="0"/>
        <w:suppressLineNumbers/>
        <w:suppressAutoHyphens/>
        <w:adjustRightInd w:val="0"/>
        <w:snapToGrid w:val="0"/>
        <w:ind w:firstLine="0"/>
        <w:jc w:val="left"/>
        <w:rPr>
          <w:kern w:val="18"/>
          <w:szCs w:val="18"/>
          <w:lang w:val="es-ES_tradnl"/>
        </w:rPr>
      </w:pPr>
      <w:r w:rsidRPr="00C42113">
        <w:rPr>
          <w:rStyle w:val="FootnoteReference"/>
          <w:kern w:val="18"/>
          <w:szCs w:val="18"/>
          <w:lang w:val="es-ES_tradnl"/>
        </w:rPr>
        <w:footnoteRef/>
      </w:r>
      <w:r w:rsidRPr="00C42113">
        <w:rPr>
          <w:lang w:val="es-ES_tradnl"/>
        </w:rPr>
        <w:t xml:space="preserve"> </w:t>
      </w:r>
      <w:r w:rsidRPr="00C42113">
        <w:rPr>
          <w:kern w:val="18"/>
          <w:szCs w:val="18"/>
          <w:lang w:val="es-ES_tradnl"/>
        </w:rPr>
        <w:t>Se prevé su adopción en la 14ª reunión de la Conferencia de las Partes, en respuesta a las tareas 7, 10 y 12 del programa de trabajo revisado sobre el artículo 8 j) y disposiciones conexas.</w:t>
      </w:r>
    </w:p>
  </w:footnote>
  <w:footnote w:id="35">
    <w:p w14:paraId="7D7C5C9B" w14:textId="50E78230" w:rsidR="0077437C" w:rsidRPr="0077437C" w:rsidRDefault="0077437C" w:rsidP="0077437C">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846D63">
        <w:rPr>
          <w:rStyle w:val="FootnoteReference"/>
          <w:snapToGrid w:val="0"/>
          <w:kern w:val="18"/>
          <w:sz w:val="18"/>
          <w:szCs w:val="18"/>
        </w:rPr>
        <w:footnoteRef/>
      </w:r>
      <w:r w:rsidRPr="0077437C">
        <w:rPr>
          <w:snapToGrid w:val="0"/>
          <w:kern w:val="18"/>
          <w:szCs w:val="18"/>
          <w:lang w:val="es-ES_tradnl"/>
        </w:rPr>
        <w:t xml:space="preserve"> El texto de la recomendación pued</w:t>
      </w:r>
      <w:r>
        <w:rPr>
          <w:snapToGrid w:val="0"/>
          <w:kern w:val="18"/>
          <w:szCs w:val="18"/>
          <w:lang w:val="es-ES_tradnl"/>
        </w:rPr>
        <w:t xml:space="preserve">e consultarse en </w:t>
      </w:r>
      <w:r w:rsidRPr="0077437C">
        <w:rPr>
          <w:snapToGrid w:val="0"/>
          <w:kern w:val="18"/>
          <w:szCs w:val="18"/>
          <w:lang w:val="es-ES_tradnl"/>
        </w:rPr>
        <w:t>https://www.cbd.int/doc/recommendations/wg8j-10/wg8j-10-rec-03-e</w:t>
      </w:r>
      <w:r w:rsidR="00CF2B23">
        <w:rPr>
          <w:snapToGrid w:val="0"/>
          <w:kern w:val="18"/>
          <w:szCs w:val="18"/>
          <w:lang w:val="es-ES_tradnl"/>
        </w:rPr>
        <w:t>s</w:t>
      </w:r>
      <w:r w:rsidRPr="0077437C">
        <w:rPr>
          <w:snapToGrid w:val="0"/>
          <w:kern w:val="18"/>
          <w:szCs w:val="18"/>
          <w:lang w:val="es-ES_tradnl"/>
        </w:rPr>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lang w:val="fr-FR"/>
      </w:rPr>
      <w:alias w:val="Subject"/>
      <w:tag w:val=""/>
      <w:id w:val="1515107329"/>
      <w:placeholder>
        <w:docPart w:val="CCB7A2DA676C4AC7A95AA1566D036E32"/>
      </w:placeholder>
      <w:dataBinding w:prefixMappings="xmlns:ns0='http://purl.org/dc/elements/1.1/' xmlns:ns1='http://schemas.openxmlformats.org/package/2006/metadata/core-properties' " w:xpath="/ns1:coreProperties[1]/ns0:subject[1]" w:storeItemID="{6C3C8BC8-F283-45AE-878A-BAB7291924A1}"/>
      <w:text/>
    </w:sdtPr>
    <w:sdtEndPr/>
    <w:sdtContent>
      <w:p w14:paraId="284F56F9" w14:textId="77777777" w:rsidR="00B8449A" w:rsidRPr="00FB38DC" w:rsidRDefault="00B8449A" w:rsidP="009F5CC3">
        <w:pPr>
          <w:pStyle w:val="Header"/>
          <w:adjustRightInd w:val="0"/>
          <w:snapToGrid w:val="0"/>
          <w:rPr>
            <w:noProof/>
            <w:color w:val="000000"/>
            <w:kern w:val="22"/>
            <w:lang w:val="fr-FR"/>
          </w:rPr>
        </w:pPr>
        <w:r>
          <w:rPr>
            <w:noProof/>
            <w:color w:val="000000"/>
            <w:kern w:val="22"/>
            <w:lang w:val="fr-FR"/>
          </w:rPr>
          <w:t>CBD/SBI/2/21</w:t>
        </w:r>
      </w:p>
    </w:sdtContent>
  </w:sdt>
  <w:p w14:paraId="06C851BF" w14:textId="2D8750E2" w:rsidR="00B8449A" w:rsidRPr="00FB38DC" w:rsidRDefault="00B8449A" w:rsidP="009F5CC3">
    <w:pPr>
      <w:pStyle w:val="Header"/>
      <w:adjustRightInd w:val="0"/>
      <w:snapToGrid w:val="0"/>
      <w:rPr>
        <w:noProof/>
        <w:color w:val="000000"/>
        <w:kern w:val="22"/>
        <w:lang w:val="fr-FR"/>
      </w:rPr>
    </w:pPr>
    <w:r w:rsidRPr="00FB38DC">
      <w:rPr>
        <w:noProof/>
        <w:color w:val="000000"/>
        <w:kern w:val="22"/>
        <w:lang w:val="fr-FR"/>
      </w:rPr>
      <w:t>P</w:t>
    </w:r>
    <w:r>
      <w:rPr>
        <w:noProof/>
        <w:color w:val="000000"/>
        <w:kern w:val="22"/>
        <w:lang w:val="fr-FR"/>
      </w:rPr>
      <w:t>ágina</w:t>
    </w:r>
    <w:r w:rsidRPr="00FB38DC">
      <w:rPr>
        <w:noProof/>
        <w:color w:val="000000"/>
        <w:kern w:val="22"/>
        <w:lang w:val="fr-FR"/>
      </w:rPr>
      <w:t xml:space="preserve"> </w:t>
    </w:r>
    <w:r w:rsidRPr="007123EF">
      <w:rPr>
        <w:noProof/>
        <w:color w:val="000000"/>
        <w:kern w:val="22"/>
      </w:rPr>
      <w:fldChar w:fldCharType="begin"/>
    </w:r>
    <w:r w:rsidRPr="00FB38DC">
      <w:rPr>
        <w:noProof/>
        <w:color w:val="000000"/>
        <w:kern w:val="22"/>
        <w:lang w:val="fr-FR"/>
      </w:rPr>
      <w:instrText xml:space="preserve"> PAGE   \* MERGEFORMAT </w:instrText>
    </w:r>
    <w:r w:rsidRPr="007123EF">
      <w:rPr>
        <w:noProof/>
        <w:color w:val="000000"/>
        <w:kern w:val="22"/>
      </w:rPr>
      <w:fldChar w:fldCharType="separate"/>
    </w:r>
    <w:r>
      <w:rPr>
        <w:noProof/>
        <w:color w:val="000000"/>
        <w:kern w:val="22"/>
        <w:lang w:val="fr-FR"/>
      </w:rPr>
      <w:t>12</w:t>
    </w:r>
    <w:r w:rsidRPr="007123EF">
      <w:rPr>
        <w:noProof/>
        <w:color w:val="000000"/>
        <w:kern w:val="22"/>
      </w:rPr>
      <w:fldChar w:fldCharType="end"/>
    </w:r>
  </w:p>
  <w:p w14:paraId="4DF4C435" w14:textId="77777777" w:rsidR="00B8449A" w:rsidRPr="00FB38DC" w:rsidRDefault="00B8449A" w:rsidP="009F5CC3">
    <w:pPr>
      <w:pStyle w:val="Header"/>
      <w:adjustRightInd w:val="0"/>
      <w:snapToGrid w:val="0"/>
      <w:rPr>
        <w:color w:val="00000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lang w:val="es-ES_tradnl"/>
      </w:rPr>
      <w:alias w:val="Subject"/>
      <w:tag w:val=""/>
      <w:id w:val="-732232411"/>
      <w:placeholder>
        <w:docPart w:val="2ED019E0484C4613B08FCD9D6286B4BF"/>
      </w:placeholder>
      <w:dataBinding w:prefixMappings="xmlns:ns0='http://purl.org/dc/elements/1.1/' xmlns:ns1='http://schemas.openxmlformats.org/package/2006/metadata/core-properties' " w:xpath="/ns1:coreProperties[1]/ns0:subject[1]" w:storeItemID="{6C3C8BC8-F283-45AE-878A-BAB7291924A1}"/>
      <w:text/>
    </w:sdtPr>
    <w:sdtEndPr/>
    <w:sdtContent>
      <w:p w14:paraId="2F7C580E" w14:textId="77777777" w:rsidR="00B8449A" w:rsidRPr="00323A56" w:rsidRDefault="00B8449A" w:rsidP="009F5CC3">
        <w:pPr>
          <w:pStyle w:val="Header"/>
          <w:jc w:val="right"/>
          <w:rPr>
            <w:color w:val="000000"/>
            <w:lang w:val="es-ES_tradnl"/>
          </w:rPr>
        </w:pPr>
        <w:r w:rsidRPr="00323A56">
          <w:rPr>
            <w:color w:val="000000"/>
            <w:lang w:val="es-ES_tradnl"/>
          </w:rPr>
          <w:t>CBD/SBI/2/21</w:t>
        </w:r>
      </w:p>
    </w:sdtContent>
  </w:sdt>
  <w:p w14:paraId="504ACEAD" w14:textId="16080EDE" w:rsidR="00B8449A" w:rsidRPr="00323A56" w:rsidRDefault="00B8449A" w:rsidP="009F5CC3">
    <w:pPr>
      <w:pStyle w:val="Header"/>
      <w:jc w:val="right"/>
      <w:rPr>
        <w:color w:val="000000"/>
        <w:lang w:val="es-ES_tradnl"/>
      </w:rPr>
    </w:pPr>
    <w:r w:rsidRPr="00323A56">
      <w:rPr>
        <w:color w:val="000000"/>
        <w:lang w:val="es-ES_tradnl"/>
      </w:rPr>
      <w:t xml:space="preserve">Página </w:t>
    </w:r>
    <w:r w:rsidRPr="00323A56">
      <w:rPr>
        <w:color w:val="000000"/>
        <w:lang w:val="es-ES_tradnl"/>
      </w:rPr>
      <w:fldChar w:fldCharType="begin"/>
    </w:r>
    <w:r w:rsidRPr="00323A56">
      <w:rPr>
        <w:color w:val="000000"/>
        <w:lang w:val="es-ES_tradnl"/>
      </w:rPr>
      <w:instrText xml:space="preserve"> PAGE   \* MERGEFORMAT </w:instrText>
    </w:r>
    <w:r w:rsidRPr="00323A56">
      <w:rPr>
        <w:color w:val="000000"/>
        <w:lang w:val="es-ES_tradnl"/>
      </w:rPr>
      <w:fldChar w:fldCharType="separate"/>
    </w:r>
    <w:r w:rsidRPr="00323A56">
      <w:rPr>
        <w:noProof/>
        <w:color w:val="000000"/>
        <w:lang w:val="es-ES_tradnl"/>
      </w:rPr>
      <w:t>11</w:t>
    </w:r>
    <w:r w:rsidRPr="00323A56">
      <w:rPr>
        <w:noProof/>
        <w:color w:val="000000"/>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B180FD8C"/>
    <w:lvl w:ilvl="0" w:tplc="08090017">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0BE06E6"/>
    <w:multiLevelType w:val="multilevel"/>
    <w:tmpl w:val="B658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76E5C"/>
    <w:multiLevelType w:val="hybridMultilevel"/>
    <w:tmpl w:val="15F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87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DC0473"/>
    <w:multiLevelType w:val="hybridMultilevel"/>
    <w:tmpl w:val="2F52E13A"/>
    <w:lvl w:ilvl="0" w:tplc="08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2E814850"/>
    <w:multiLevelType w:val="hybridMultilevel"/>
    <w:tmpl w:val="1DD83204"/>
    <w:lvl w:ilvl="0" w:tplc="DCA0879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A64161"/>
    <w:multiLevelType w:val="hybridMultilevel"/>
    <w:tmpl w:val="C2862C3C"/>
    <w:lvl w:ilvl="0" w:tplc="4426BAC4">
      <w:start w:val="1"/>
      <w:numFmt w:val="lowerLetter"/>
      <w:lvlText w:val="%1)"/>
      <w:lvlJc w:val="left"/>
      <w:pPr>
        <w:ind w:left="240" w:hanging="720"/>
      </w:pPr>
      <w:rPr>
        <w:rFonts w:ascii="Times New Roman" w:eastAsia="Times New Roman" w:hAnsi="Times New Roman" w:cs="Times New Roman" w:hint="default"/>
        <w:spacing w:val="-1"/>
        <w:w w:val="99"/>
        <w:sz w:val="22"/>
        <w:szCs w:val="22"/>
        <w:lang w:val="en-CA" w:eastAsia="en-CA" w:bidi="en-CA"/>
      </w:rPr>
    </w:lvl>
    <w:lvl w:ilvl="1" w:tplc="7EAAA334">
      <w:numFmt w:val="bullet"/>
      <w:lvlText w:val="•"/>
      <w:lvlJc w:val="left"/>
      <w:pPr>
        <w:ind w:left="1204" w:hanging="720"/>
      </w:pPr>
      <w:rPr>
        <w:rFonts w:hint="default"/>
        <w:lang w:val="en-CA" w:eastAsia="en-CA" w:bidi="en-CA"/>
      </w:rPr>
    </w:lvl>
    <w:lvl w:ilvl="2" w:tplc="98E4EFB4">
      <w:numFmt w:val="bullet"/>
      <w:lvlText w:val="•"/>
      <w:lvlJc w:val="left"/>
      <w:pPr>
        <w:ind w:left="2168" w:hanging="720"/>
      </w:pPr>
      <w:rPr>
        <w:rFonts w:hint="default"/>
        <w:lang w:val="en-CA" w:eastAsia="en-CA" w:bidi="en-CA"/>
      </w:rPr>
    </w:lvl>
    <w:lvl w:ilvl="3" w:tplc="805E2E28">
      <w:numFmt w:val="bullet"/>
      <w:lvlText w:val="•"/>
      <w:lvlJc w:val="left"/>
      <w:pPr>
        <w:ind w:left="3132" w:hanging="720"/>
      </w:pPr>
      <w:rPr>
        <w:rFonts w:hint="default"/>
        <w:lang w:val="en-CA" w:eastAsia="en-CA" w:bidi="en-CA"/>
      </w:rPr>
    </w:lvl>
    <w:lvl w:ilvl="4" w:tplc="0B2CF02E">
      <w:numFmt w:val="bullet"/>
      <w:lvlText w:val="•"/>
      <w:lvlJc w:val="left"/>
      <w:pPr>
        <w:ind w:left="4096" w:hanging="720"/>
      </w:pPr>
      <w:rPr>
        <w:rFonts w:hint="default"/>
        <w:lang w:val="en-CA" w:eastAsia="en-CA" w:bidi="en-CA"/>
      </w:rPr>
    </w:lvl>
    <w:lvl w:ilvl="5" w:tplc="B858AF72">
      <w:numFmt w:val="bullet"/>
      <w:lvlText w:val="•"/>
      <w:lvlJc w:val="left"/>
      <w:pPr>
        <w:ind w:left="5060" w:hanging="720"/>
      </w:pPr>
      <w:rPr>
        <w:rFonts w:hint="default"/>
        <w:lang w:val="en-CA" w:eastAsia="en-CA" w:bidi="en-CA"/>
      </w:rPr>
    </w:lvl>
    <w:lvl w:ilvl="6" w:tplc="16CCFC1C">
      <w:numFmt w:val="bullet"/>
      <w:lvlText w:val="•"/>
      <w:lvlJc w:val="left"/>
      <w:pPr>
        <w:ind w:left="6024" w:hanging="720"/>
      </w:pPr>
      <w:rPr>
        <w:rFonts w:hint="default"/>
        <w:lang w:val="en-CA" w:eastAsia="en-CA" w:bidi="en-CA"/>
      </w:rPr>
    </w:lvl>
    <w:lvl w:ilvl="7" w:tplc="8A4056B6">
      <w:numFmt w:val="bullet"/>
      <w:lvlText w:val="•"/>
      <w:lvlJc w:val="left"/>
      <w:pPr>
        <w:ind w:left="6988" w:hanging="720"/>
      </w:pPr>
      <w:rPr>
        <w:rFonts w:hint="default"/>
        <w:lang w:val="en-CA" w:eastAsia="en-CA" w:bidi="en-CA"/>
      </w:rPr>
    </w:lvl>
    <w:lvl w:ilvl="8" w:tplc="F2429874">
      <w:numFmt w:val="bullet"/>
      <w:lvlText w:val="•"/>
      <w:lvlJc w:val="left"/>
      <w:pPr>
        <w:ind w:left="7952" w:hanging="720"/>
      </w:pPr>
      <w:rPr>
        <w:rFonts w:hint="default"/>
        <w:lang w:val="en-CA" w:eastAsia="en-CA" w:bidi="en-CA"/>
      </w:rPr>
    </w:lvl>
  </w:abstractNum>
  <w:abstractNum w:abstractNumId="8" w15:restartNumberingAfterBreak="0">
    <w:nsid w:val="325056FF"/>
    <w:multiLevelType w:val="hybridMultilevel"/>
    <w:tmpl w:val="97DA1AC8"/>
    <w:lvl w:ilvl="0" w:tplc="1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4266F"/>
    <w:multiLevelType w:val="hybridMultilevel"/>
    <w:tmpl w:val="F04661F4"/>
    <w:lvl w:ilvl="0" w:tplc="CBB2E9B2">
      <w:start w:val="1"/>
      <w:numFmt w:val="bullet"/>
      <w:lvlText w:val="-"/>
      <w:lvlJc w:val="left"/>
      <w:pPr>
        <w:ind w:left="360" w:hanging="360"/>
      </w:pPr>
      <w:rPr>
        <w:rFonts w:ascii="Calibri" w:eastAsia="Calibri" w:hAnsi="Calibri" w:hint="default"/>
        <w: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6B21E3"/>
    <w:multiLevelType w:val="hybridMultilevel"/>
    <w:tmpl w:val="66289BF8"/>
    <w:lvl w:ilvl="0" w:tplc="08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4C7C"/>
    <w:multiLevelType w:val="multilevel"/>
    <w:tmpl w:val="EF6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0442B4"/>
    <w:multiLevelType w:val="multilevel"/>
    <w:tmpl w:val="D0BEBAE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7BA4745"/>
    <w:multiLevelType w:val="hybridMultilevel"/>
    <w:tmpl w:val="7F36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D6952"/>
    <w:multiLevelType w:val="hybridMultilevel"/>
    <w:tmpl w:val="7E74AEF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4377E"/>
    <w:multiLevelType w:val="hybridMultilevel"/>
    <w:tmpl w:val="D56051C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D1103"/>
    <w:multiLevelType w:val="hybridMultilevel"/>
    <w:tmpl w:val="9D846CA6"/>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F1BC5"/>
    <w:multiLevelType w:val="hybridMultilevel"/>
    <w:tmpl w:val="71C2C1C2"/>
    <w:lvl w:ilvl="0" w:tplc="9B300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3"/>
    <w:lvlOverride w:ilvl="0">
      <w:startOverride w:val="1"/>
    </w:lvlOverride>
    <w:lvlOverride w:ilvl="1">
      <w:startOverride w:val="1"/>
    </w:lvlOverride>
  </w:num>
  <w:num w:numId="3">
    <w:abstractNumId w:val="14"/>
  </w:num>
  <w:num w:numId="4">
    <w:abstractNumId w:val="9"/>
  </w:num>
  <w:num w:numId="5">
    <w:abstractNumId w:val="4"/>
  </w:num>
  <w:num w:numId="6">
    <w:abstractNumId w:val="2"/>
  </w:num>
  <w:num w:numId="7">
    <w:abstractNumId w:val="0"/>
  </w:num>
  <w:num w:numId="8">
    <w:abstractNumId w:val="20"/>
  </w:num>
  <w:num w:numId="9">
    <w:abstractNumId w:val="3"/>
  </w:num>
  <w:num w:numId="10">
    <w:abstractNumId w:val="18"/>
  </w:num>
  <w:num w:numId="11">
    <w:abstractNumId w:val="16"/>
  </w:num>
  <w:num w:numId="12">
    <w:abstractNumId w:val="5"/>
  </w:num>
  <w:num w:numId="13">
    <w:abstractNumId w:val="8"/>
  </w:num>
  <w:num w:numId="14">
    <w:abstractNumId w:val="17"/>
  </w:num>
  <w:num w:numId="15">
    <w:abstractNumId w:val="19"/>
  </w:num>
  <w:num w:numId="16">
    <w:abstractNumId w:val="6"/>
  </w:num>
  <w:num w:numId="17">
    <w:abstractNumId w:val="13"/>
  </w:num>
  <w:num w:numId="18">
    <w:abstractNumId w:val="10"/>
  </w:num>
  <w:num w:numId="19">
    <w:abstractNumId w:val="15"/>
  </w:num>
  <w:num w:numId="20">
    <w:abstractNumId w:val="11"/>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7"/>
  </w:num>
  <w:num w:numId="61">
    <w:abstractNumId w:val="1"/>
  </w:num>
  <w:num w:numId="62">
    <w:abstractNumId w:val="12"/>
  </w:num>
  <w:num w:numId="63">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NDcyt7CwNLUwNDFX0lEKTi0uzszPAykwrAUA4nvjJiwAAAA="/>
  </w:docVars>
  <w:rsids>
    <w:rsidRoot w:val="006473A1"/>
    <w:rsid w:val="00007C83"/>
    <w:rsid w:val="000135F6"/>
    <w:rsid w:val="00024650"/>
    <w:rsid w:val="00026A71"/>
    <w:rsid w:val="000333D1"/>
    <w:rsid w:val="00044F21"/>
    <w:rsid w:val="00053F89"/>
    <w:rsid w:val="000632C8"/>
    <w:rsid w:val="00097D3A"/>
    <w:rsid w:val="000B4A59"/>
    <w:rsid w:val="000C0CBF"/>
    <w:rsid w:val="000C324F"/>
    <w:rsid w:val="000D0B71"/>
    <w:rsid w:val="000D0BDB"/>
    <w:rsid w:val="000D1102"/>
    <w:rsid w:val="000D31BC"/>
    <w:rsid w:val="000F6953"/>
    <w:rsid w:val="00111CB1"/>
    <w:rsid w:val="00120AD8"/>
    <w:rsid w:val="001214A0"/>
    <w:rsid w:val="00132119"/>
    <w:rsid w:val="00134983"/>
    <w:rsid w:val="001409A4"/>
    <w:rsid w:val="001431C4"/>
    <w:rsid w:val="00143AF1"/>
    <w:rsid w:val="00145A46"/>
    <w:rsid w:val="0016086B"/>
    <w:rsid w:val="00163805"/>
    <w:rsid w:val="0017081A"/>
    <w:rsid w:val="00170863"/>
    <w:rsid w:val="001765C2"/>
    <w:rsid w:val="00176A67"/>
    <w:rsid w:val="001842D1"/>
    <w:rsid w:val="001C130E"/>
    <w:rsid w:val="001C1342"/>
    <w:rsid w:val="001C54E3"/>
    <w:rsid w:val="001C6B9D"/>
    <w:rsid w:val="001C7AF2"/>
    <w:rsid w:val="001D2BA0"/>
    <w:rsid w:val="001D3BF9"/>
    <w:rsid w:val="001D4A67"/>
    <w:rsid w:val="001D58D0"/>
    <w:rsid w:val="001E048E"/>
    <w:rsid w:val="001E3AD1"/>
    <w:rsid w:val="001E3C07"/>
    <w:rsid w:val="001E465D"/>
    <w:rsid w:val="001E4EC1"/>
    <w:rsid w:val="001E58D4"/>
    <w:rsid w:val="001E7C95"/>
    <w:rsid w:val="001F2961"/>
    <w:rsid w:val="001F69BE"/>
    <w:rsid w:val="001F74A0"/>
    <w:rsid w:val="00200A98"/>
    <w:rsid w:val="00205BEE"/>
    <w:rsid w:val="00206943"/>
    <w:rsid w:val="00207CD2"/>
    <w:rsid w:val="00211433"/>
    <w:rsid w:val="00213FDF"/>
    <w:rsid w:val="00216E01"/>
    <w:rsid w:val="00217FBD"/>
    <w:rsid w:val="00223A1A"/>
    <w:rsid w:val="002371C3"/>
    <w:rsid w:val="00246D79"/>
    <w:rsid w:val="00255400"/>
    <w:rsid w:val="00274866"/>
    <w:rsid w:val="00280BC5"/>
    <w:rsid w:val="00282FD5"/>
    <w:rsid w:val="00286416"/>
    <w:rsid w:val="00286AE2"/>
    <w:rsid w:val="00286DD1"/>
    <w:rsid w:val="00293BED"/>
    <w:rsid w:val="002B4C5E"/>
    <w:rsid w:val="002B5118"/>
    <w:rsid w:val="002B7434"/>
    <w:rsid w:val="002C4ADE"/>
    <w:rsid w:val="002D09F1"/>
    <w:rsid w:val="002D4BEE"/>
    <w:rsid w:val="002E01BC"/>
    <w:rsid w:val="002E4AF5"/>
    <w:rsid w:val="002F2227"/>
    <w:rsid w:val="002F25DA"/>
    <w:rsid w:val="002F541B"/>
    <w:rsid w:val="00314B9F"/>
    <w:rsid w:val="00323A56"/>
    <w:rsid w:val="0032527A"/>
    <w:rsid w:val="003267BC"/>
    <w:rsid w:val="003360F0"/>
    <w:rsid w:val="003372D4"/>
    <w:rsid w:val="0034076D"/>
    <w:rsid w:val="0034182E"/>
    <w:rsid w:val="00342CBB"/>
    <w:rsid w:val="003447DC"/>
    <w:rsid w:val="00351486"/>
    <w:rsid w:val="00362664"/>
    <w:rsid w:val="00362F43"/>
    <w:rsid w:val="00364445"/>
    <w:rsid w:val="00366F2B"/>
    <w:rsid w:val="003771FA"/>
    <w:rsid w:val="00377CC8"/>
    <w:rsid w:val="003B01EF"/>
    <w:rsid w:val="003B35C7"/>
    <w:rsid w:val="003B4DEB"/>
    <w:rsid w:val="003C321B"/>
    <w:rsid w:val="003C45C8"/>
    <w:rsid w:val="003D30B5"/>
    <w:rsid w:val="003D3D3D"/>
    <w:rsid w:val="003D459C"/>
    <w:rsid w:val="003D7AED"/>
    <w:rsid w:val="003E54F0"/>
    <w:rsid w:val="003F5589"/>
    <w:rsid w:val="00400012"/>
    <w:rsid w:val="004246BA"/>
    <w:rsid w:val="00427239"/>
    <w:rsid w:val="00427FF6"/>
    <w:rsid w:val="004317B6"/>
    <w:rsid w:val="0043550C"/>
    <w:rsid w:val="004358AB"/>
    <w:rsid w:val="004369AA"/>
    <w:rsid w:val="004445F0"/>
    <w:rsid w:val="00447A2D"/>
    <w:rsid w:val="00471F27"/>
    <w:rsid w:val="004805B9"/>
    <w:rsid w:val="0048082E"/>
    <w:rsid w:val="00490384"/>
    <w:rsid w:val="00494B91"/>
    <w:rsid w:val="004A1C30"/>
    <w:rsid w:val="004A545F"/>
    <w:rsid w:val="004D625C"/>
    <w:rsid w:val="004D7F16"/>
    <w:rsid w:val="004E5A79"/>
    <w:rsid w:val="005016C2"/>
    <w:rsid w:val="00504595"/>
    <w:rsid w:val="005062B0"/>
    <w:rsid w:val="005157C7"/>
    <w:rsid w:val="00524AD6"/>
    <w:rsid w:val="005366F4"/>
    <w:rsid w:val="0054620D"/>
    <w:rsid w:val="005505CE"/>
    <w:rsid w:val="00563452"/>
    <w:rsid w:val="005730D3"/>
    <w:rsid w:val="00575F01"/>
    <w:rsid w:val="00590939"/>
    <w:rsid w:val="00593265"/>
    <w:rsid w:val="00594B91"/>
    <w:rsid w:val="005B4FC5"/>
    <w:rsid w:val="005C1867"/>
    <w:rsid w:val="005C30C4"/>
    <w:rsid w:val="005D2BB5"/>
    <w:rsid w:val="005F53BF"/>
    <w:rsid w:val="00603387"/>
    <w:rsid w:val="00605005"/>
    <w:rsid w:val="006104A2"/>
    <w:rsid w:val="00610599"/>
    <w:rsid w:val="0062377B"/>
    <w:rsid w:val="00623C8D"/>
    <w:rsid w:val="0063429B"/>
    <w:rsid w:val="00635B6B"/>
    <w:rsid w:val="00637EE9"/>
    <w:rsid w:val="00644A1D"/>
    <w:rsid w:val="00645278"/>
    <w:rsid w:val="006473A1"/>
    <w:rsid w:val="0064799B"/>
    <w:rsid w:val="006550DA"/>
    <w:rsid w:val="00664094"/>
    <w:rsid w:val="00666329"/>
    <w:rsid w:val="00681D45"/>
    <w:rsid w:val="00682496"/>
    <w:rsid w:val="00682EA7"/>
    <w:rsid w:val="006A08FD"/>
    <w:rsid w:val="006A4167"/>
    <w:rsid w:val="006B74AF"/>
    <w:rsid w:val="006E2F1A"/>
    <w:rsid w:val="006F0803"/>
    <w:rsid w:val="006F5C63"/>
    <w:rsid w:val="007043BE"/>
    <w:rsid w:val="007153AC"/>
    <w:rsid w:val="00731C0A"/>
    <w:rsid w:val="00737FC3"/>
    <w:rsid w:val="00740FA0"/>
    <w:rsid w:val="00752AEA"/>
    <w:rsid w:val="00757687"/>
    <w:rsid w:val="00760361"/>
    <w:rsid w:val="00761258"/>
    <w:rsid w:val="00765936"/>
    <w:rsid w:val="00772A62"/>
    <w:rsid w:val="0077437C"/>
    <w:rsid w:val="00780746"/>
    <w:rsid w:val="00780BC2"/>
    <w:rsid w:val="00790722"/>
    <w:rsid w:val="00794580"/>
    <w:rsid w:val="00794845"/>
    <w:rsid w:val="007978DD"/>
    <w:rsid w:val="007A0B5B"/>
    <w:rsid w:val="007A759A"/>
    <w:rsid w:val="007B237F"/>
    <w:rsid w:val="007B3619"/>
    <w:rsid w:val="007B5AD2"/>
    <w:rsid w:val="007C303E"/>
    <w:rsid w:val="007C35EB"/>
    <w:rsid w:val="007D475A"/>
    <w:rsid w:val="007D79BC"/>
    <w:rsid w:val="007E3D51"/>
    <w:rsid w:val="0080767E"/>
    <w:rsid w:val="00813044"/>
    <w:rsid w:val="0081667D"/>
    <w:rsid w:val="008167BF"/>
    <w:rsid w:val="008216A7"/>
    <w:rsid w:val="00832BC4"/>
    <w:rsid w:val="00840B3A"/>
    <w:rsid w:val="008444EF"/>
    <w:rsid w:val="00845508"/>
    <w:rsid w:val="00855981"/>
    <w:rsid w:val="00860023"/>
    <w:rsid w:val="008751D4"/>
    <w:rsid w:val="00883B8C"/>
    <w:rsid w:val="008B1C1A"/>
    <w:rsid w:val="008B31AB"/>
    <w:rsid w:val="008C23F6"/>
    <w:rsid w:val="008D24AC"/>
    <w:rsid w:val="008D37A1"/>
    <w:rsid w:val="008E492A"/>
    <w:rsid w:val="008F37E5"/>
    <w:rsid w:val="008F7718"/>
    <w:rsid w:val="0090235B"/>
    <w:rsid w:val="009040A5"/>
    <w:rsid w:val="009118A3"/>
    <w:rsid w:val="00916847"/>
    <w:rsid w:val="00932549"/>
    <w:rsid w:val="00940F5D"/>
    <w:rsid w:val="00947D5E"/>
    <w:rsid w:val="00950B75"/>
    <w:rsid w:val="009522CB"/>
    <w:rsid w:val="00954EA3"/>
    <w:rsid w:val="00975A84"/>
    <w:rsid w:val="00983A5C"/>
    <w:rsid w:val="00984ACD"/>
    <w:rsid w:val="00992F7A"/>
    <w:rsid w:val="009A251F"/>
    <w:rsid w:val="009A33BA"/>
    <w:rsid w:val="009A37A1"/>
    <w:rsid w:val="009A3A02"/>
    <w:rsid w:val="009B18E1"/>
    <w:rsid w:val="009B2876"/>
    <w:rsid w:val="009B3D4F"/>
    <w:rsid w:val="009C36A6"/>
    <w:rsid w:val="009C3890"/>
    <w:rsid w:val="009C4F56"/>
    <w:rsid w:val="009C777F"/>
    <w:rsid w:val="009F1F79"/>
    <w:rsid w:val="009F227C"/>
    <w:rsid w:val="009F2F5A"/>
    <w:rsid w:val="009F3F53"/>
    <w:rsid w:val="009F4B1D"/>
    <w:rsid w:val="009F5CC3"/>
    <w:rsid w:val="00A16EAD"/>
    <w:rsid w:val="00A20488"/>
    <w:rsid w:val="00A26BD9"/>
    <w:rsid w:val="00A5112E"/>
    <w:rsid w:val="00A666A3"/>
    <w:rsid w:val="00A7443F"/>
    <w:rsid w:val="00A84469"/>
    <w:rsid w:val="00AA06D0"/>
    <w:rsid w:val="00AA1D79"/>
    <w:rsid w:val="00AB557D"/>
    <w:rsid w:val="00AC2277"/>
    <w:rsid w:val="00AC4E19"/>
    <w:rsid w:val="00AE7C40"/>
    <w:rsid w:val="00AF4040"/>
    <w:rsid w:val="00B02C1D"/>
    <w:rsid w:val="00B13658"/>
    <w:rsid w:val="00B20C92"/>
    <w:rsid w:val="00B21B78"/>
    <w:rsid w:val="00B3036B"/>
    <w:rsid w:val="00B352B9"/>
    <w:rsid w:val="00B4140F"/>
    <w:rsid w:val="00B43615"/>
    <w:rsid w:val="00B4409A"/>
    <w:rsid w:val="00B452D8"/>
    <w:rsid w:val="00B568F5"/>
    <w:rsid w:val="00B6154D"/>
    <w:rsid w:val="00B63C00"/>
    <w:rsid w:val="00B70B61"/>
    <w:rsid w:val="00B7318A"/>
    <w:rsid w:val="00B76764"/>
    <w:rsid w:val="00B8449A"/>
    <w:rsid w:val="00B91DBE"/>
    <w:rsid w:val="00BA0664"/>
    <w:rsid w:val="00BA0BEC"/>
    <w:rsid w:val="00BA0E6E"/>
    <w:rsid w:val="00BA28D1"/>
    <w:rsid w:val="00BB247C"/>
    <w:rsid w:val="00BC158F"/>
    <w:rsid w:val="00BC71B6"/>
    <w:rsid w:val="00BD2AF3"/>
    <w:rsid w:val="00BD44CC"/>
    <w:rsid w:val="00BD537C"/>
    <w:rsid w:val="00BE4F43"/>
    <w:rsid w:val="00C0026D"/>
    <w:rsid w:val="00C075F7"/>
    <w:rsid w:val="00C0768E"/>
    <w:rsid w:val="00C07EB0"/>
    <w:rsid w:val="00C1528A"/>
    <w:rsid w:val="00C31CAD"/>
    <w:rsid w:val="00C3545F"/>
    <w:rsid w:val="00C371E9"/>
    <w:rsid w:val="00C414E3"/>
    <w:rsid w:val="00C42113"/>
    <w:rsid w:val="00C52C46"/>
    <w:rsid w:val="00C61D10"/>
    <w:rsid w:val="00C67351"/>
    <w:rsid w:val="00C700C8"/>
    <w:rsid w:val="00C73AC2"/>
    <w:rsid w:val="00C73CC7"/>
    <w:rsid w:val="00C9118D"/>
    <w:rsid w:val="00C94255"/>
    <w:rsid w:val="00C96AAB"/>
    <w:rsid w:val="00CA5002"/>
    <w:rsid w:val="00CB1C48"/>
    <w:rsid w:val="00CB242D"/>
    <w:rsid w:val="00CB4897"/>
    <w:rsid w:val="00CB50B8"/>
    <w:rsid w:val="00CC1CC5"/>
    <w:rsid w:val="00CC4B39"/>
    <w:rsid w:val="00CC5CA6"/>
    <w:rsid w:val="00CC5DC7"/>
    <w:rsid w:val="00CD0F61"/>
    <w:rsid w:val="00CF1245"/>
    <w:rsid w:val="00CF2B23"/>
    <w:rsid w:val="00CF62EA"/>
    <w:rsid w:val="00D027F2"/>
    <w:rsid w:val="00D12BB1"/>
    <w:rsid w:val="00D13557"/>
    <w:rsid w:val="00D22538"/>
    <w:rsid w:val="00D239F9"/>
    <w:rsid w:val="00D27FBC"/>
    <w:rsid w:val="00D472DB"/>
    <w:rsid w:val="00D546BC"/>
    <w:rsid w:val="00D65B58"/>
    <w:rsid w:val="00D7768D"/>
    <w:rsid w:val="00D95950"/>
    <w:rsid w:val="00D95D90"/>
    <w:rsid w:val="00D96672"/>
    <w:rsid w:val="00DA071C"/>
    <w:rsid w:val="00DA3CD9"/>
    <w:rsid w:val="00DA65E1"/>
    <w:rsid w:val="00DB1223"/>
    <w:rsid w:val="00DC0E41"/>
    <w:rsid w:val="00DC1F34"/>
    <w:rsid w:val="00DD784F"/>
    <w:rsid w:val="00DE24E3"/>
    <w:rsid w:val="00DE3381"/>
    <w:rsid w:val="00E0709F"/>
    <w:rsid w:val="00E139FA"/>
    <w:rsid w:val="00E142C5"/>
    <w:rsid w:val="00E146D8"/>
    <w:rsid w:val="00E16493"/>
    <w:rsid w:val="00E17817"/>
    <w:rsid w:val="00E228EE"/>
    <w:rsid w:val="00E275EA"/>
    <w:rsid w:val="00E3559D"/>
    <w:rsid w:val="00E43756"/>
    <w:rsid w:val="00E44C04"/>
    <w:rsid w:val="00E54DAF"/>
    <w:rsid w:val="00E60396"/>
    <w:rsid w:val="00E64DB5"/>
    <w:rsid w:val="00E65075"/>
    <w:rsid w:val="00E74303"/>
    <w:rsid w:val="00E90EC5"/>
    <w:rsid w:val="00E97CF5"/>
    <w:rsid w:val="00EA5BD8"/>
    <w:rsid w:val="00EB00B1"/>
    <w:rsid w:val="00EB158B"/>
    <w:rsid w:val="00EB4E9B"/>
    <w:rsid w:val="00ED0AED"/>
    <w:rsid w:val="00ED4595"/>
    <w:rsid w:val="00EE10A9"/>
    <w:rsid w:val="00EE39DE"/>
    <w:rsid w:val="00EF1261"/>
    <w:rsid w:val="00EF6247"/>
    <w:rsid w:val="00EF730F"/>
    <w:rsid w:val="00F03A89"/>
    <w:rsid w:val="00F12983"/>
    <w:rsid w:val="00F217C2"/>
    <w:rsid w:val="00F33583"/>
    <w:rsid w:val="00F4292F"/>
    <w:rsid w:val="00F47069"/>
    <w:rsid w:val="00F50396"/>
    <w:rsid w:val="00F52AE8"/>
    <w:rsid w:val="00F52F28"/>
    <w:rsid w:val="00F53DC3"/>
    <w:rsid w:val="00F569B8"/>
    <w:rsid w:val="00F63B19"/>
    <w:rsid w:val="00F64BDE"/>
    <w:rsid w:val="00F7641D"/>
    <w:rsid w:val="00F80FBA"/>
    <w:rsid w:val="00F858F5"/>
    <w:rsid w:val="00F873D9"/>
    <w:rsid w:val="00FA768E"/>
    <w:rsid w:val="00FB38DC"/>
    <w:rsid w:val="00FB477F"/>
    <w:rsid w:val="00FB7094"/>
    <w:rsid w:val="00FC121A"/>
    <w:rsid w:val="00FC3C4B"/>
    <w:rsid w:val="00FE681D"/>
    <w:rsid w:val="00FF61FB"/>
    <w:rsid w:val="00FF6C5F"/>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440A"/>
  <w15:chartTrackingRefBased/>
  <w15:docId w15:val="{D429D21D-4DB1-430A-9597-4E31A36D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B1"/>
    <w:pPr>
      <w:jc w:val="both"/>
    </w:pPr>
    <w:rPr>
      <w:rFonts w:ascii="Times New Roman" w:eastAsia="Times New Roman" w:hAnsi="Times New Roman"/>
      <w:sz w:val="22"/>
      <w:szCs w:val="24"/>
      <w:lang w:val="en-GB"/>
    </w:rPr>
  </w:style>
  <w:style w:type="paragraph" w:styleId="Heading1">
    <w:name w:val="heading 1"/>
    <w:basedOn w:val="Normal"/>
    <w:next w:val="Heading2"/>
    <w:link w:val="Heading1Char"/>
    <w:qFormat/>
    <w:rsid w:val="00D12B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B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BB1"/>
    <w:pPr>
      <w:keepNext/>
      <w:tabs>
        <w:tab w:val="left" w:pos="567"/>
      </w:tabs>
      <w:spacing w:before="120" w:after="120"/>
      <w:jc w:val="center"/>
      <w:outlineLvl w:val="2"/>
    </w:pPr>
    <w:rPr>
      <w:i/>
      <w:iCs/>
    </w:rPr>
  </w:style>
  <w:style w:type="paragraph" w:styleId="Heading4">
    <w:name w:val="heading 4"/>
    <w:basedOn w:val="Normal"/>
    <w:link w:val="Heading4Char"/>
    <w:qFormat/>
    <w:rsid w:val="00D12B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BB1"/>
    <w:pPr>
      <w:keepNext/>
      <w:numPr>
        <w:ilvl w:val="4"/>
        <w:numId w:val="16"/>
      </w:numPr>
      <w:spacing w:before="120" w:after="120"/>
      <w:jc w:val="left"/>
      <w:outlineLvl w:val="4"/>
    </w:pPr>
    <w:rPr>
      <w:bCs/>
      <w:i/>
      <w:szCs w:val="26"/>
      <w:lang w:val="en-CA"/>
    </w:rPr>
  </w:style>
  <w:style w:type="paragraph" w:styleId="Heading6">
    <w:name w:val="heading 6"/>
    <w:basedOn w:val="Normal"/>
    <w:next w:val="Normal"/>
    <w:link w:val="Heading6Char"/>
    <w:qFormat/>
    <w:rsid w:val="00D12BB1"/>
    <w:pPr>
      <w:keepNext/>
      <w:spacing w:after="240" w:line="240" w:lineRule="exact"/>
      <w:ind w:left="720"/>
      <w:outlineLvl w:val="5"/>
    </w:pPr>
    <w:rPr>
      <w:u w:val="single"/>
    </w:rPr>
  </w:style>
  <w:style w:type="paragraph" w:styleId="Heading7">
    <w:name w:val="heading 7"/>
    <w:basedOn w:val="Normal"/>
    <w:next w:val="Normal"/>
    <w:link w:val="Heading7Char"/>
    <w:rsid w:val="00D12BB1"/>
    <w:pPr>
      <w:keepNext/>
      <w:jc w:val="right"/>
      <w:outlineLvl w:val="6"/>
    </w:pPr>
    <w:rPr>
      <w:rFonts w:ascii="Univers" w:hAnsi="Univers"/>
      <w:b/>
      <w:sz w:val="28"/>
    </w:rPr>
  </w:style>
  <w:style w:type="paragraph" w:styleId="Heading8">
    <w:name w:val="heading 8"/>
    <w:basedOn w:val="Normal"/>
    <w:next w:val="Normal"/>
    <w:link w:val="Heading8Char"/>
    <w:qFormat/>
    <w:rsid w:val="00D12BB1"/>
    <w:pPr>
      <w:keepNext/>
      <w:jc w:val="right"/>
      <w:outlineLvl w:val="7"/>
    </w:pPr>
    <w:rPr>
      <w:rFonts w:ascii="Univers" w:hAnsi="Univers"/>
      <w:b/>
      <w:sz w:val="32"/>
    </w:rPr>
  </w:style>
  <w:style w:type="paragraph" w:styleId="Heading9">
    <w:name w:val="heading 9"/>
    <w:basedOn w:val="Normal"/>
    <w:next w:val="Normal"/>
    <w:link w:val="Heading9Char"/>
    <w:rsid w:val="00D12B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B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D95D90"/>
    <w:pPr>
      <w:numPr>
        <w:numId w:val="17"/>
      </w:numPr>
      <w:tabs>
        <w:tab w:val="clear" w:pos="360"/>
      </w:tabs>
      <w:spacing w:before="120" w:after="120"/>
    </w:pPr>
    <w:rPr>
      <w:snapToGrid w:val="0"/>
      <w:szCs w:val="18"/>
    </w:rPr>
  </w:style>
  <w:style w:type="paragraph" w:styleId="BalloonText">
    <w:name w:val="Balloon Text"/>
    <w:basedOn w:val="Normal"/>
    <w:link w:val="BalloonTextChar"/>
    <w:uiPriority w:val="99"/>
    <w:semiHidden/>
    <w:unhideWhenUsed/>
    <w:rsid w:val="00D12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B1"/>
    <w:rPr>
      <w:rFonts w:ascii="Lucida Grande" w:eastAsia="Times New Roman" w:hAnsi="Lucida Grande" w:cs="Lucida Grande"/>
      <w:sz w:val="18"/>
      <w:szCs w:val="18"/>
      <w:lang w:val="en-GB"/>
    </w:rPr>
  </w:style>
  <w:style w:type="paragraph" w:customStyle="1" w:styleId="Default">
    <w:name w:val="Default"/>
    <w:rsid w:val="00B20C92"/>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2">
    <w:name w:val="CM2"/>
    <w:basedOn w:val="Default"/>
    <w:next w:val="Default"/>
    <w:uiPriority w:val="99"/>
    <w:rsid w:val="00B20C92"/>
    <w:rPr>
      <w:rFonts w:eastAsia="MS Mincho"/>
      <w:color w:val="auto"/>
    </w:rPr>
  </w:style>
  <w:style w:type="paragraph" w:customStyle="1" w:styleId="CM1">
    <w:name w:val="CM1"/>
    <w:basedOn w:val="Default"/>
    <w:next w:val="Default"/>
    <w:uiPriority w:val="99"/>
    <w:rsid w:val="00B20C92"/>
    <w:rPr>
      <w:rFonts w:eastAsia="MS Mincho"/>
      <w:color w:val="auto"/>
    </w:rPr>
  </w:style>
  <w:style w:type="paragraph" w:styleId="Header">
    <w:name w:val="header"/>
    <w:basedOn w:val="Normal"/>
    <w:link w:val="HeaderChar"/>
    <w:rsid w:val="00D12BB1"/>
    <w:pPr>
      <w:tabs>
        <w:tab w:val="center" w:pos="4320"/>
        <w:tab w:val="right" w:pos="8640"/>
      </w:tabs>
    </w:pPr>
  </w:style>
  <w:style w:type="character" w:customStyle="1" w:styleId="HeaderChar">
    <w:name w:val="Header Char"/>
    <w:basedOn w:val="DefaultParagraphFont"/>
    <w:link w:val="Header"/>
    <w:rsid w:val="00D12BB1"/>
    <w:rPr>
      <w:rFonts w:ascii="Times New Roman" w:eastAsia="Times New Roman" w:hAnsi="Times New Roman"/>
      <w:sz w:val="22"/>
      <w:szCs w:val="24"/>
      <w:lang w:val="en-GB"/>
    </w:rPr>
  </w:style>
  <w:style w:type="paragraph" w:styleId="Footer">
    <w:name w:val="footer"/>
    <w:basedOn w:val="Normal"/>
    <w:link w:val="FooterChar"/>
    <w:rsid w:val="00D12BB1"/>
    <w:pPr>
      <w:tabs>
        <w:tab w:val="center" w:pos="4320"/>
        <w:tab w:val="right" w:pos="8640"/>
      </w:tabs>
      <w:ind w:firstLine="720"/>
      <w:jc w:val="right"/>
    </w:pPr>
  </w:style>
  <w:style w:type="character" w:customStyle="1" w:styleId="FooterChar">
    <w:name w:val="Footer Char"/>
    <w:basedOn w:val="DefaultParagraphFont"/>
    <w:link w:val="Footer"/>
    <w:rsid w:val="00D12BB1"/>
    <w:rPr>
      <w:rFonts w:ascii="Times New Roman" w:eastAsia="Times New Roman" w:hAnsi="Times New Roman"/>
      <w:sz w:val="22"/>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12BB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D12BB1"/>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12BB1"/>
    <w:rPr>
      <w:sz w:val="22"/>
      <w:u w:val="none"/>
      <w:vertAlign w:val="superscript"/>
    </w:rPr>
  </w:style>
  <w:style w:type="character" w:styleId="Hyperlink">
    <w:name w:val="Hyperlink"/>
    <w:rsid w:val="00D12BB1"/>
    <w:rPr>
      <w:color w:val="0000FF"/>
      <w:sz w:val="18"/>
      <w:u w:val="single"/>
    </w:rPr>
  </w:style>
  <w:style w:type="paragraph" w:styleId="ListParagraph">
    <w:name w:val="List Paragraph"/>
    <w:basedOn w:val="Normal"/>
    <w:uiPriority w:val="34"/>
    <w:qFormat/>
    <w:rsid w:val="00D12BB1"/>
    <w:pPr>
      <w:ind w:left="720"/>
      <w:contextualSpacing/>
    </w:pPr>
  </w:style>
  <w:style w:type="character" w:styleId="Strong">
    <w:name w:val="Strong"/>
    <w:uiPriority w:val="22"/>
    <w:qFormat/>
    <w:rsid w:val="00CB242D"/>
    <w:rPr>
      <w:b/>
      <w:bCs/>
    </w:rPr>
  </w:style>
  <w:style w:type="character" w:customStyle="1" w:styleId="Heading2Char">
    <w:name w:val="Heading 2 Char"/>
    <w:basedOn w:val="DefaultParagraphFont"/>
    <w:link w:val="Heading2"/>
    <w:rsid w:val="00D12BB1"/>
    <w:rPr>
      <w:rFonts w:ascii="Times New Roman" w:eastAsia="Times New Roman" w:hAnsi="Times New Roman"/>
      <w:b/>
      <w:bCs/>
      <w:iCs/>
      <w:sz w:val="22"/>
      <w:szCs w:val="24"/>
      <w:lang w:val="en-GB"/>
    </w:rPr>
  </w:style>
  <w:style w:type="paragraph" w:customStyle="1" w:styleId="HEADINGNOTFORTOC">
    <w:name w:val="HEADING (NOT FOR TOC)"/>
    <w:basedOn w:val="Heading1"/>
    <w:next w:val="Heading2"/>
    <w:rsid w:val="00D12BB1"/>
  </w:style>
  <w:style w:type="character" w:customStyle="1" w:styleId="Heading1Char">
    <w:name w:val="Heading 1 Char"/>
    <w:basedOn w:val="DefaultParagraphFont"/>
    <w:link w:val="Heading1"/>
    <w:rsid w:val="00D12BB1"/>
    <w:rPr>
      <w:rFonts w:ascii="Times New Roman" w:eastAsia="Times New Roman" w:hAnsi="Times New Roman"/>
      <w:b/>
      <w:caps/>
      <w:sz w:val="22"/>
      <w:szCs w:val="24"/>
      <w:lang w:val="en-GB"/>
    </w:rPr>
  </w:style>
  <w:style w:type="character" w:styleId="PlaceholderText">
    <w:name w:val="Placeholder Text"/>
    <w:basedOn w:val="DefaultParagraphFont"/>
    <w:uiPriority w:val="99"/>
    <w:semiHidden/>
    <w:rsid w:val="00D12BB1"/>
    <w:rPr>
      <w:color w:val="808080"/>
    </w:rPr>
  </w:style>
  <w:style w:type="character" w:styleId="CommentReference">
    <w:name w:val="annotation reference"/>
    <w:semiHidden/>
    <w:rsid w:val="00D12BB1"/>
    <w:rPr>
      <w:sz w:val="16"/>
    </w:rPr>
  </w:style>
  <w:style w:type="paragraph" w:styleId="CommentText">
    <w:name w:val="annotation text"/>
    <w:basedOn w:val="Normal"/>
    <w:link w:val="CommentTextChar"/>
    <w:semiHidden/>
    <w:rsid w:val="00D12BB1"/>
    <w:pPr>
      <w:spacing w:after="120" w:line="240" w:lineRule="exact"/>
    </w:pPr>
  </w:style>
  <w:style w:type="character" w:customStyle="1" w:styleId="CommentTextChar">
    <w:name w:val="Comment Text Char"/>
    <w:basedOn w:val="DefaultParagraphFont"/>
    <w:link w:val="CommentText"/>
    <w:semiHidden/>
    <w:rsid w:val="00D12BB1"/>
    <w:rPr>
      <w:rFonts w:ascii="Times New Roman" w:eastAsia="Times New Roman" w:hAnsi="Times New Roman"/>
      <w:sz w:val="22"/>
      <w:szCs w:val="24"/>
      <w:lang w:val="en-GB"/>
    </w:rPr>
  </w:style>
  <w:style w:type="paragraph" w:styleId="CommentSubject">
    <w:name w:val="annotation subject"/>
    <w:basedOn w:val="CommentText"/>
    <w:next w:val="CommentText"/>
    <w:link w:val="CommentSubjectChar"/>
    <w:uiPriority w:val="99"/>
    <w:semiHidden/>
    <w:unhideWhenUsed/>
    <w:rsid w:val="00D95950"/>
    <w:rPr>
      <w:b/>
      <w:bCs/>
    </w:rPr>
  </w:style>
  <w:style w:type="character" w:customStyle="1" w:styleId="CommentSubjectChar">
    <w:name w:val="Comment Subject Char"/>
    <w:link w:val="CommentSubject"/>
    <w:uiPriority w:val="99"/>
    <w:semiHidden/>
    <w:rsid w:val="00D95950"/>
    <w:rPr>
      <w:b/>
      <w:bCs/>
      <w:sz w:val="20"/>
      <w:szCs w:val="2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95950"/>
    <w:pPr>
      <w:spacing w:line="240" w:lineRule="exact"/>
    </w:pPr>
    <w:rPr>
      <w:rFonts w:ascii="Calibri" w:eastAsia="Calibri" w:hAnsi="Calibri"/>
      <w:szCs w:val="20"/>
      <w:vertAlign w:val="superscript"/>
      <w:lang w:val="en-US"/>
    </w:rPr>
  </w:style>
  <w:style w:type="character" w:styleId="Emphasis">
    <w:name w:val="Emphasis"/>
    <w:uiPriority w:val="20"/>
    <w:qFormat/>
    <w:rsid w:val="00D95950"/>
    <w:rPr>
      <w:i/>
      <w:iCs/>
    </w:rPr>
  </w:style>
  <w:style w:type="character" w:styleId="UnresolvedMention">
    <w:name w:val="Unresolved Mention"/>
    <w:uiPriority w:val="99"/>
    <w:semiHidden/>
    <w:unhideWhenUsed/>
    <w:rsid w:val="00780BC2"/>
    <w:rPr>
      <w:color w:val="808080"/>
      <w:shd w:val="clear" w:color="auto" w:fill="E6E6E6"/>
    </w:rPr>
  </w:style>
  <w:style w:type="character" w:styleId="FollowedHyperlink">
    <w:name w:val="FollowedHyperlink"/>
    <w:rsid w:val="00D12BB1"/>
    <w:rPr>
      <w:color w:val="800080"/>
      <w:u w:val="single"/>
    </w:rPr>
  </w:style>
  <w:style w:type="paragraph" w:styleId="NormalWeb">
    <w:name w:val="Normal (Web)"/>
    <w:basedOn w:val="Normal"/>
    <w:uiPriority w:val="99"/>
    <w:unhideWhenUsed/>
    <w:rsid w:val="00BA28D1"/>
    <w:pPr>
      <w:spacing w:before="168" w:after="168"/>
    </w:pPr>
    <w:rPr>
      <w:sz w:val="24"/>
    </w:rPr>
  </w:style>
  <w:style w:type="character" w:customStyle="1" w:styleId="Heading3Char">
    <w:name w:val="Heading 3 Char"/>
    <w:basedOn w:val="DefaultParagraphFont"/>
    <w:link w:val="Heading3"/>
    <w:rsid w:val="00D12BB1"/>
    <w:rPr>
      <w:rFonts w:ascii="Times New Roman" w:eastAsia="Times New Roman" w:hAnsi="Times New Roman"/>
      <w:i/>
      <w:iCs/>
      <w:sz w:val="22"/>
      <w:szCs w:val="24"/>
      <w:lang w:val="en-GB"/>
    </w:rPr>
  </w:style>
  <w:style w:type="paragraph" w:styleId="TOC9">
    <w:name w:val="toc 9"/>
    <w:basedOn w:val="Normal"/>
    <w:next w:val="Normal"/>
    <w:autoRedefine/>
    <w:semiHidden/>
    <w:rsid w:val="00761258"/>
    <w:pPr>
      <w:spacing w:before="120" w:after="120"/>
      <w:ind w:left="1760"/>
    </w:pPr>
  </w:style>
  <w:style w:type="paragraph" w:customStyle="1" w:styleId="Cornernotation">
    <w:name w:val="Corner notation"/>
    <w:basedOn w:val="Normal"/>
    <w:rsid w:val="00D12BB1"/>
    <w:pPr>
      <w:ind w:left="170" w:right="3119" w:hanging="170"/>
      <w:jc w:val="left"/>
    </w:pPr>
  </w:style>
  <w:style w:type="paragraph" w:styleId="BodyText">
    <w:name w:val="Body Text"/>
    <w:basedOn w:val="Normal"/>
    <w:link w:val="BodyTextChar"/>
    <w:rsid w:val="00D12BB1"/>
    <w:pPr>
      <w:spacing w:before="120" w:after="120"/>
      <w:ind w:firstLine="720"/>
    </w:pPr>
    <w:rPr>
      <w:iCs/>
    </w:rPr>
  </w:style>
  <w:style w:type="character" w:customStyle="1" w:styleId="BodyTextChar">
    <w:name w:val="Body Text Char"/>
    <w:basedOn w:val="DefaultParagraphFont"/>
    <w:link w:val="BodyText"/>
    <w:rsid w:val="00D12BB1"/>
    <w:rPr>
      <w:rFonts w:ascii="Times New Roman" w:eastAsia="Times New Roman" w:hAnsi="Times New Roman"/>
      <w:iCs/>
      <w:sz w:val="22"/>
      <w:szCs w:val="24"/>
      <w:lang w:val="en-GB"/>
    </w:rPr>
  </w:style>
  <w:style w:type="paragraph" w:styleId="BodyTextIndent">
    <w:name w:val="Body Text Indent"/>
    <w:basedOn w:val="Normal"/>
    <w:link w:val="BodyTextIndentChar"/>
    <w:rsid w:val="00D12BB1"/>
    <w:pPr>
      <w:spacing w:before="120" w:after="120"/>
      <w:ind w:left="1440" w:hanging="720"/>
      <w:jc w:val="left"/>
    </w:pPr>
  </w:style>
  <w:style w:type="character" w:customStyle="1" w:styleId="BodyTextIndentChar">
    <w:name w:val="Body Text Indent Char"/>
    <w:basedOn w:val="DefaultParagraphFont"/>
    <w:link w:val="BodyTextIndent"/>
    <w:rsid w:val="00D12BB1"/>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D12BB1"/>
    <w:pPr>
      <w:keepNext/>
      <w:keepLines/>
      <w:spacing w:after="200"/>
    </w:pPr>
    <w:rPr>
      <w:b/>
      <w:iCs/>
      <w:szCs w:val="18"/>
    </w:rPr>
  </w:style>
  <w:style w:type="paragraph" w:customStyle="1" w:styleId="CBD-Doc">
    <w:name w:val="CBD-Doc"/>
    <w:basedOn w:val="Normal"/>
    <w:rsid w:val="00D12BB1"/>
    <w:pPr>
      <w:keepLines/>
      <w:numPr>
        <w:numId w:val="15"/>
      </w:numPr>
      <w:spacing w:after="120"/>
    </w:pPr>
    <w:rPr>
      <w:rFonts w:cs="Angsana New"/>
    </w:rPr>
  </w:style>
  <w:style w:type="paragraph" w:customStyle="1" w:styleId="CBD-Doc-Type">
    <w:name w:val="CBD-Doc-Type"/>
    <w:basedOn w:val="Normal"/>
    <w:rsid w:val="00D12BB1"/>
    <w:pPr>
      <w:keepLines/>
      <w:spacing w:before="240" w:after="120"/>
    </w:pPr>
    <w:rPr>
      <w:rFonts w:cs="Angsana New"/>
      <w:b/>
      <w:i/>
      <w:sz w:val="24"/>
    </w:rPr>
  </w:style>
  <w:style w:type="character" w:styleId="EndnoteReference">
    <w:name w:val="endnote reference"/>
    <w:semiHidden/>
    <w:rsid w:val="00D12BB1"/>
    <w:rPr>
      <w:vertAlign w:val="superscript"/>
    </w:rPr>
  </w:style>
  <w:style w:type="paragraph" w:styleId="EndnoteText">
    <w:name w:val="endnote text"/>
    <w:basedOn w:val="Normal"/>
    <w:link w:val="EndnoteTextChar"/>
    <w:semiHidden/>
    <w:rsid w:val="00D12B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12BB1"/>
    <w:rPr>
      <w:rFonts w:ascii="Courier New" w:eastAsia="Times New Roman" w:hAnsi="Courier New"/>
      <w:sz w:val="22"/>
      <w:szCs w:val="24"/>
      <w:lang w:val="en-GB"/>
    </w:rPr>
  </w:style>
  <w:style w:type="paragraph" w:customStyle="1" w:styleId="HEADING">
    <w:name w:val="HEADING"/>
    <w:basedOn w:val="Normal"/>
    <w:rsid w:val="00D12BB1"/>
    <w:pPr>
      <w:keepNext/>
      <w:spacing w:before="240" w:after="120"/>
      <w:jc w:val="center"/>
    </w:pPr>
    <w:rPr>
      <w:b/>
      <w:bCs/>
      <w:caps/>
    </w:rPr>
  </w:style>
  <w:style w:type="paragraph" w:customStyle="1" w:styleId="Heading1longmultiline">
    <w:name w:val="Heading 1 (long multiline)"/>
    <w:basedOn w:val="Heading1"/>
    <w:rsid w:val="00D12BB1"/>
    <w:pPr>
      <w:ind w:left="1843" w:hanging="1134"/>
      <w:jc w:val="left"/>
    </w:pPr>
  </w:style>
  <w:style w:type="paragraph" w:customStyle="1" w:styleId="Heading1multiline">
    <w:name w:val="Heading 1 (multiline)"/>
    <w:basedOn w:val="Heading1"/>
    <w:rsid w:val="00D12BB1"/>
    <w:pPr>
      <w:ind w:left="1843" w:right="996" w:hanging="567"/>
      <w:jc w:val="left"/>
    </w:pPr>
  </w:style>
  <w:style w:type="paragraph" w:customStyle="1" w:styleId="Heading2multiline">
    <w:name w:val="Heading 2 (multiline)"/>
    <w:basedOn w:val="Heading1"/>
    <w:next w:val="Normal"/>
    <w:rsid w:val="00D12BB1"/>
    <w:pPr>
      <w:spacing w:before="120"/>
      <w:ind w:left="1843" w:right="998" w:hanging="567"/>
      <w:jc w:val="left"/>
    </w:pPr>
    <w:rPr>
      <w:i/>
      <w:iCs/>
      <w:caps w:val="0"/>
    </w:rPr>
  </w:style>
  <w:style w:type="paragraph" w:customStyle="1" w:styleId="Heading2longmultiline">
    <w:name w:val="Heading 2 (long multiline)"/>
    <w:basedOn w:val="Heading2multiline"/>
    <w:rsid w:val="00D12BB1"/>
    <w:pPr>
      <w:ind w:left="2127" w:hanging="1276"/>
    </w:pPr>
  </w:style>
  <w:style w:type="paragraph" w:customStyle="1" w:styleId="heading2notforTOC">
    <w:name w:val="heading 2 not for TOC"/>
    <w:basedOn w:val="Heading3"/>
    <w:rsid w:val="00D12BB1"/>
  </w:style>
  <w:style w:type="paragraph" w:customStyle="1" w:styleId="Heading3multiline">
    <w:name w:val="Heading 3 (multiline)"/>
    <w:basedOn w:val="Heading3"/>
    <w:next w:val="Normal"/>
    <w:rsid w:val="00D12BB1"/>
    <w:pPr>
      <w:ind w:left="1418" w:hanging="425"/>
      <w:jc w:val="left"/>
    </w:pPr>
  </w:style>
  <w:style w:type="character" w:customStyle="1" w:styleId="Heading4Char">
    <w:name w:val="Heading 4 Char"/>
    <w:basedOn w:val="DefaultParagraphFont"/>
    <w:link w:val="Heading4"/>
    <w:rsid w:val="00D12BB1"/>
    <w:rPr>
      <w:rFonts w:ascii="Times New Roman Bold" w:eastAsia="Arial Unicode MS" w:hAnsi="Times New Roman Bold" w:cs="Arial"/>
      <w:b/>
      <w:bCs/>
      <w:i/>
      <w:sz w:val="22"/>
      <w:szCs w:val="24"/>
      <w:lang w:val="en-GB"/>
    </w:rPr>
  </w:style>
  <w:style w:type="paragraph" w:customStyle="1" w:styleId="Heading4indent">
    <w:name w:val="Heading 4 indent"/>
    <w:basedOn w:val="Heading4"/>
    <w:rsid w:val="00D12BB1"/>
    <w:pPr>
      <w:ind w:left="720"/>
      <w:outlineLvl w:val="9"/>
    </w:pPr>
    <w:rPr>
      <w:rFonts w:ascii="Times New Roman" w:hAnsi="Times New Roman"/>
    </w:rPr>
  </w:style>
  <w:style w:type="character" w:customStyle="1" w:styleId="Heading5Char">
    <w:name w:val="Heading 5 Char"/>
    <w:basedOn w:val="DefaultParagraphFont"/>
    <w:link w:val="Heading5"/>
    <w:rsid w:val="00D12BB1"/>
    <w:rPr>
      <w:rFonts w:ascii="Times New Roman" w:eastAsia="Times New Roman" w:hAnsi="Times New Roman"/>
      <w:bCs/>
      <w:i/>
      <w:sz w:val="22"/>
      <w:szCs w:val="26"/>
      <w:lang w:val="en-CA"/>
    </w:rPr>
  </w:style>
  <w:style w:type="character" w:customStyle="1" w:styleId="Heading6Char">
    <w:name w:val="Heading 6 Char"/>
    <w:basedOn w:val="DefaultParagraphFont"/>
    <w:link w:val="Heading6"/>
    <w:rsid w:val="00D12BB1"/>
    <w:rPr>
      <w:rFonts w:ascii="Times New Roman" w:eastAsia="Times New Roman" w:hAnsi="Times New Roman"/>
      <w:sz w:val="22"/>
      <w:szCs w:val="24"/>
      <w:u w:val="single"/>
      <w:lang w:val="en-GB"/>
    </w:rPr>
  </w:style>
  <w:style w:type="character" w:customStyle="1" w:styleId="Heading7Char">
    <w:name w:val="Heading 7 Char"/>
    <w:basedOn w:val="DefaultParagraphFont"/>
    <w:link w:val="Heading7"/>
    <w:rsid w:val="00D12BB1"/>
    <w:rPr>
      <w:rFonts w:ascii="Univers" w:eastAsia="Times New Roman" w:hAnsi="Univers"/>
      <w:b/>
      <w:sz w:val="28"/>
      <w:szCs w:val="24"/>
      <w:lang w:val="en-GB"/>
    </w:rPr>
  </w:style>
  <w:style w:type="character" w:customStyle="1" w:styleId="Heading8Char">
    <w:name w:val="Heading 8 Char"/>
    <w:basedOn w:val="DefaultParagraphFont"/>
    <w:link w:val="Heading8"/>
    <w:rsid w:val="00D12BB1"/>
    <w:rPr>
      <w:rFonts w:ascii="Univers" w:eastAsia="Times New Roman" w:hAnsi="Univers"/>
      <w:b/>
      <w:sz w:val="32"/>
      <w:szCs w:val="24"/>
      <w:lang w:val="en-GB"/>
    </w:rPr>
  </w:style>
  <w:style w:type="character" w:customStyle="1" w:styleId="Heading9Char">
    <w:name w:val="Heading 9 Char"/>
    <w:basedOn w:val="DefaultParagraphFont"/>
    <w:link w:val="Heading9"/>
    <w:rsid w:val="00D12BB1"/>
    <w:rPr>
      <w:rFonts w:ascii="Times New Roman" w:eastAsia="Times New Roman" w:hAnsi="Times New Roman"/>
      <w:i/>
      <w:iCs/>
      <w:sz w:val="22"/>
      <w:szCs w:val="24"/>
      <w:lang w:val="en-GB"/>
    </w:rPr>
  </w:style>
  <w:style w:type="paragraph" w:customStyle="1" w:styleId="meetingname">
    <w:name w:val="meeting name"/>
    <w:basedOn w:val="Normal"/>
    <w:qFormat/>
    <w:rsid w:val="00D12BB1"/>
    <w:pPr>
      <w:ind w:left="142" w:right="4218" w:hanging="142"/>
    </w:pPr>
    <w:rPr>
      <w:caps/>
      <w:szCs w:val="22"/>
    </w:rPr>
  </w:style>
  <w:style w:type="character" w:styleId="PageNumber">
    <w:name w:val="page number"/>
    <w:rsid w:val="00D12BB1"/>
    <w:rPr>
      <w:rFonts w:ascii="Times New Roman" w:hAnsi="Times New Roman"/>
      <w:sz w:val="22"/>
    </w:rPr>
  </w:style>
  <w:style w:type="character" w:customStyle="1" w:styleId="Para1Char">
    <w:name w:val="Para1 Char"/>
    <w:link w:val="Para1"/>
    <w:locked/>
    <w:rsid w:val="00D95D90"/>
    <w:rPr>
      <w:rFonts w:ascii="Times New Roman" w:eastAsia="Times New Roman" w:hAnsi="Times New Roman"/>
      <w:snapToGrid w:val="0"/>
      <w:sz w:val="22"/>
      <w:szCs w:val="18"/>
      <w:lang w:val="en-GB"/>
    </w:rPr>
  </w:style>
  <w:style w:type="paragraph" w:customStyle="1" w:styleId="Para2">
    <w:name w:val="Para2"/>
    <w:basedOn w:val="Para1"/>
    <w:rsid w:val="00D12BB1"/>
    <w:pPr>
      <w:numPr>
        <w:numId w:val="0"/>
      </w:numPr>
      <w:autoSpaceDE w:val="0"/>
      <w:autoSpaceDN w:val="0"/>
    </w:pPr>
  </w:style>
  <w:style w:type="paragraph" w:customStyle="1" w:styleId="Para3">
    <w:name w:val="Para3"/>
    <w:basedOn w:val="Normal"/>
    <w:rsid w:val="00D12BB1"/>
    <w:pPr>
      <w:numPr>
        <w:ilvl w:val="3"/>
        <w:numId w:val="18"/>
      </w:numPr>
      <w:tabs>
        <w:tab w:val="left" w:pos="1980"/>
      </w:tabs>
      <w:spacing w:before="80" w:after="80"/>
    </w:pPr>
    <w:rPr>
      <w:szCs w:val="20"/>
    </w:rPr>
  </w:style>
  <w:style w:type="paragraph" w:customStyle="1" w:styleId="para4">
    <w:name w:val="para4"/>
    <w:basedOn w:val="Normal"/>
    <w:rsid w:val="00D12B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B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BB1"/>
    <w:pPr>
      <w:spacing w:before="120" w:after="120"/>
      <w:ind w:left="720" w:right="720"/>
    </w:pPr>
    <w:rPr>
      <w:bCs/>
    </w:rPr>
  </w:style>
  <w:style w:type="paragraph" w:customStyle="1" w:styleId="recommendationheader">
    <w:name w:val="recommendation header"/>
    <w:basedOn w:val="Heading2"/>
    <w:qFormat/>
    <w:rsid w:val="00D12BB1"/>
  </w:style>
  <w:style w:type="paragraph" w:customStyle="1" w:styleId="recommendationheaderlong">
    <w:name w:val="recommendation header long"/>
    <w:basedOn w:val="Heading2longmultiline"/>
    <w:qFormat/>
    <w:rsid w:val="00D12BB1"/>
  </w:style>
  <w:style w:type="paragraph" w:customStyle="1" w:styleId="reference">
    <w:name w:val="reference"/>
    <w:basedOn w:val="Heading9"/>
    <w:qFormat/>
    <w:rsid w:val="00D12BB1"/>
    <w:rPr>
      <w:i w:val="0"/>
      <w:sz w:val="18"/>
    </w:rPr>
  </w:style>
  <w:style w:type="character" w:customStyle="1" w:styleId="StyleFootnoteReferenceNounderline">
    <w:name w:val="Style Footnote Reference + No underline"/>
    <w:rsid w:val="00D12BB1"/>
    <w:rPr>
      <w:sz w:val="18"/>
      <w:u w:val="none"/>
      <w:vertAlign w:val="baseline"/>
    </w:rPr>
  </w:style>
  <w:style w:type="paragraph" w:styleId="Subtitle">
    <w:name w:val="Subtitle"/>
    <w:basedOn w:val="Normal"/>
    <w:next w:val="Normal"/>
    <w:link w:val="SubtitleChar"/>
    <w:uiPriority w:val="11"/>
    <w:qFormat/>
    <w:rsid w:val="00D12BB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12BB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D12BB1"/>
    <w:pPr>
      <w:jc w:val="left"/>
      <w:outlineLvl w:val="9"/>
    </w:pPr>
    <w:rPr>
      <w:i/>
    </w:rPr>
  </w:style>
  <w:style w:type="paragraph" w:styleId="Title">
    <w:name w:val="Title"/>
    <w:basedOn w:val="Normal"/>
    <w:next w:val="Normal"/>
    <w:link w:val="TitleChar"/>
    <w:uiPriority w:val="10"/>
    <w:qFormat/>
    <w:rsid w:val="00D12B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2BB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D12BB1"/>
    <w:pPr>
      <w:spacing w:before="120"/>
    </w:pPr>
    <w:rPr>
      <w:rFonts w:cs="Arial"/>
      <w:b/>
      <w:bCs/>
      <w:sz w:val="24"/>
    </w:rPr>
  </w:style>
  <w:style w:type="paragraph" w:styleId="TOC1">
    <w:name w:val="toc 1"/>
    <w:basedOn w:val="Normal"/>
    <w:next w:val="Normal"/>
    <w:autoRedefine/>
    <w:semiHidden/>
    <w:rsid w:val="00D12BB1"/>
    <w:pPr>
      <w:ind w:left="720" w:hanging="720"/>
    </w:pPr>
    <w:rPr>
      <w:caps/>
    </w:rPr>
  </w:style>
  <w:style w:type="paragraph" w:styleId="TOC2">
    <w:name w:val="toc 2"/>
    <w:basedOn w:val="Normal"/>
    <w:next w:val="Normal"/>
    <w:autoRedefine/>
    <w:semiHidden/>
    <w:rsid w:val="00D12BB1"/>
    <w:pPr>
      <w:tabs>
        <w:tab w:val="right" w:leader="dot" w:pos="9356"/>
      </w:tabs>
      <w:ind w:left="1440" w:hanging="720"/>
    </w:pPr>
    <w:rPr>
      <w:noProof/>
      <w:szCs w:val="22"/>
    </w:rPr>
  </w:style>
  <w:style w:type="paragraph" w:styleId="TOC3">
    <w:name w:val="toc 3"/>
    <w:basedOn w:val="Normal"/>
    <w:next w:val="Normal"/>
    <w:autoRedefine/>
    <w:semiHidden/>
    <w:rsid w:val="00D12BB1"/>
    <w:pPr>
      <w:ind w:left="2160" w:hanging="720"/>
    </w:pPr>
  </w:style>
  <w:style w:type="paragraph" w:styleId="TOC4">
    <w:name w:val="toc 4"/>
    <w:basedOn w:val="Normal"/>
    <w:next w:val="Normal"/>
    <w:autoRedefine/>
    <w:semiHidden/>
    <w:rsid w:val="00D12BB1"/>
    <w:pPr>
      <w:spacing w:before="120" w:after="120"/>
      <w:ind w:left="660"/>
      <w:jc w:val="left"/>
    </w:pPr>
  </w:style>
  <w:style w:type="paragraph" w:styleId="TOC5">
    <w:name w:val="toc 5"/>
    <w:basedOn w:val="Normal"/>
    <w:next w:val="Normal"/>
    <w:autoRedefine/>
    <w:semiHidden/>
    <w:rsid w:val="00D12BB1"/>
    <w:pPr>
      <w:spacing w:before="120" w:after="120"/>
      <w:ind w:left="880"/>
      <w:jc w:val="left"/>
    </w:pPr>
  </w:style>
  <w:style w:type="paragraph" w:styleId="TOC6">
    <w:name w:val="toc 6"/>
    <w:basedOn w:val="Normal"/>
    <w:next w:val="Normal"/>
    <w:autoRedefine/>
    <w:semiHidden/>
    <w:rsid w:val="00D12BB1"/>
    <w:pPr>
      <w:spacing w:before="120" w:after="120"/>
      <w:ind w:left="1100"/>
      <w:jc w:val="left"/>
    </w:pPr>
  </w:style>
  <w:style w:type="paragraph" w:styleId="TOC7">
    <w:name w:val="toc 7"/>
    <w:basedOn w:val="Normal"/>
    <w:next w:val="Normal"/>
    <w:autoRedefine/>
    <w:semiHidden/>
    <w:rsid w:val="00D12BB1"/>
    <w:pPr>
      <w:spacing w:before="120" w:after="120"/>
      <w:ind w:left="1320"/>
      <w:jc w:val="left"/>
    </w:pPr>
  </w:style>
  <w:style w:type="paragraph" w:styleId="TOC8">
    <w:name w:val="toc 8"/>
    <w:basedOn w:val="Normal"/>
    <w:next w:val="Normal"/>
    <w:autoRedefine/>
    <w:semiHidden/>
    <w:rsid w:val="00D12BB1"/>
    <w:pPr>
      <w:spacing w:before="120" w:after="120"/>
      <w:ind w:left="1540"/>
      <w:jc w:val="left"/>
    </w:pPr>
  </w:style>
  <w:style w:type="paragraph" w:styleId="Revision">
    <w:name w:val="Revision"/>
    <w:hidden/>
    <w:uiPriority w:val="99"/>
    <w:semiHidden/>
    <w:rsid w:val="00CC4B39"/>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737">
      <w:bodyDiv w:val="1"/>
      <w:marLeft w:val="0"/>
      <w:marRight w:val="0"/>
      <w:marTop w:val="0"/>
      <w:marBottom w:val="0"/>
      <w:divBdr>
        <w:top w:val="none" w:sz="0" w:space="0" w:color="auto"/>
        <w:left w:val="none" w:sz="0" w:space="0" w:color="auto"/>
        <w:bottom w:val="none" w:sz="0" w:space="0" w:color="auto"/>
        <w:right w:val="none" w:sz="0" w:space="0" w:color="auto"/>
      </w:divBdr>
      <w:divsChild>
        <w:div w:id="1575045436">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150"/>
              <w:marBottom w:val="75"/>
              <w:divBdr>
                <w:top w:val="single" w:sz="2" w:space="0" w:color="D6D6D6"/>
                <w:left w:val="single" w:sz="2" w:space="15" w:color="D6D6D6"/>
                <w:bottom w:val="single" w:sz="2" w:space="4" w:color="D6D6D6"/>
                <w:right w:val="single" w:sz="2" w:space="15" w:color="D6D6D6"/>
              </w:divBdr>
              <w:divsChild>
                <w:div w:id="771753190">
                  <w:marLeft w:val="0"/>
                  <w:marRight w:val="0"/>
                  <w:marTop w:val="0"/>
                  <w:marBottom w:val="30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6034136">
      <w:bodyDiv w:val="1"/>
      <w:marLeft w:val="0"/>
      <w:marRight w:val="0"/>
      <w:marTop w:val="0"/>
      <w:marBottom w:val="0"/>
      <w:divBdr>
        <w:top w:val="none" w:sz="0" w:space="0" w:color="auto"/>
        <w:left w:val="none" w:sz="0" w:space="0" w:color="auto"/>
        <w:bottom w:val="none" w:sz="0" w:space="0" w:color="auto"/>
        <w:right w:val="none" w:sz="0" w:space="0" w:color="auto"/>
      </w:divBdr>
    </w:div>
    <w:div w:id="4357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069874">
          <w:marLeft w:val="0"/>
          <w:marRight w:val="0"/>
          <w:marTop w:val="0"/>
          <w:marBottom w:val="0"/>
          <w:divBdr>
            <w:top w:val="none" w:sz="0" w:space="0" w:color="auto"/>
            <w:left w:val="none" w:sz="0" w:space="0" w:color="auto"/>
            <w:bottom w:val="none" w:sz="0" w:space="0" w:color="auto"/>
            <w:right w:val="none" w:sz="0" w:space="0" w:color="auto"/>
          </w:divBdr>
          <w:divsChild>
            <w:div w:id="851340805">
              <w:marLeft w:val="0"/>
              <w:marRight w:val="0"/>
              <w:marTop w:val="0"/>
              <w:marBottom w:val="0"/>
              <w:divBdr>
                <w:top w:val="none" w:sz="0" w:space="0" w:color="auto"/>
                <w:left w:val="none" w:sz="0" w:space="0" w:color="auto"/>
                <w:bottom w:val="none" w:sz="0" w:space="0" w:color="auto"/>
                <w:right w:val="none" w:sz="0" w:space="0" w:color="auto"/>
              </w:divBdr>
              <w:divsChild>
                <w:div w:id="751197619">
                  <w:marLeft w:val="0"/>
                  <w:marRight w:val="300"/>
                  <w:marTop w:val="0"/>
                  <w:marBottom w:val="0"/>
                  <w:divBdr>
                    <w:top w:val="none" w:sz="0" w:space="0" w:color="auto"/>
                    <w:left w:val="none" w:sz="0" w:space="0" w:color="auto"/>
                    <w:bottom w:val="none" w:sz="0" w:space="0" w:color="auto"/>
                    <w:right w:val="none" w:sz="0" w:space="0" w:color="auto"/>
                  </w:divBdr>
                  <w:divsChild>
                    <w:div w:id="1369642473">
                      <w:marLeft w:val="0"/>
                      <w:marRight w:val="0"/>
                      <w:marTop w:val="0"/>
                      <w:marBottom w:val="0"/>
                      <w:divBdr>
                        <w:top w:val="none" w:sz="0" w:space="0" w:color="auto"/>
                        <w:left w:val="none" w:sz="0" w:space="0" w:color="auto"/>
                        <w:bottom w:val="none" w:sz="0" w:space="0" w:color="auto"/>
                        <w:right w:val="none" w:sz="0" w:space="0" w:color="auto"/>
                      </w:divBdr>
                      <w:divsChild>
                        <w:div w:id="720594403">
                          <w:marLeft w:val="0"/>
                          <w:marRight w:val="0"/>
                          <w:marTop w:val="0"/>
                          <w:marBottom w:val="0"/>
                          <w:divBdr>
                            <w:top w:val="none" w:sz="0" w:space="0" w:color="auto"/>
                            <w:left w:val="none" w:sz="0" w:space="0" w:color="auto"/>
                            <w:bottom w:val="none" w:sz="0" w:space="0" w:color="auto"/>
                            <w:right w:val="none" w:sz="0" w:space="0" w:color="auto"/>
                          </w:divBdr>
                          <w:divsChild>
                            <w:div w:id="289746521">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954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0091">
      <w:bodyDiv w:val="1"/>
      <w:marLeft w:val="0"/>
      <w:marRight w:val="0"/>
      <w:marTop w:val="0"/>
      <w:marBottom w:val="0"/>
      <w:divBdr>
        <w:top w:val="none" w:sz="0" w:space="0" w:color="auto"/>
        <w:left w:val="none" w:sz="0" w:space="0" w:color="auto"/>
        <w:bottom w:val="none" w:sz="0" w:space="0" w:color="auto"/>
        <w:right w:val="none" w:sz="0" w:space="0" w:color="auto"/>
      </w:divBdr>
      <w:divsChild>
        <w:div w:id="83188837">
          <w:marLeft w:val="1166"/>
          <w:marRight w:val="0"/>
          <w:marTop w:val="115"/>
          <w:marBottom w:val="0"/>
          <w:divBdr>
            <w:top w:val="none" w:sz="0" w:space="0" w:color="auto"/>
            <w:left w:val="none" w:sz="0" w:space="0" w:color="auto"/>
            <w:bottom w:val="none" w:sz="0" w:space="0" w:color="auto"/>
            <w:right w:val="none" w:sz="0" w:space="0" w:color="auto"/>
          </w:divBdr>
        </w:div>
        <w:div w:id="801531990">
          <w:marLeft w:val="1166"/>
          <w:marRight w:val="0"/>
          <w:marTop w:val="115"/>
          <w:marBottom w:val="0"/>
          <w:divBdr>
            <w:top w:val="none" w:sz="0" w:space="0" w:color="auto"/>
            <w:left w:val="none" w:sz="0" w:space="0" w:color="auto"/>
            <w:bottom w:val="none" w:sz="0" w:space="0" w:color="auto"/>
            <w:right w:val="none" w:sz="0" w:space="0" w:color="auto"/>
          </w:divBdr>
        </w:div>
        <w:div w:id="1048603759">
          <w:marLeft w:val="1166"/>
          <w:marRight w:val="0"/>
          <w:marTop w:val="115"/>
          <w:marBottom w:val="0"/>
          <w:divBdr>
            <w:top w:val="none" w:sz="0" w:space="0" w:color="auto"/>
            <w:left w:val="none" w:sz="0" w:space="0" w:color="auto"/>
            <w:bottom w:val="none" w:sz="0" w:space="0" w:color="auto"/>
            <w:right w:val="none" w:sz="0" w:space="0" w:color="auto"/>
          </w:divBdr>
        </w:div>
        <w:div w:id="1600944971">
          <w:marLeft w:val="1166"/>
          <w:marRight w:val="0"/>
          <w:marTop w:val="115"/>
          <w:marBottom w:val="0"/>
          <w:divBdr>
            <w:top w:val="none" w:sz="0" w:space="0" w:color="auto"/>
            <w:left w:val="none" w:sz="0" w:space="0" w:color="auto"/>
            <w:bottom w:val="none" w:sz="0" w:space="0" w:color="auto"/>
            <w:right w:val="none" w:sz="0" w:space="0" w:color="auto"/>
          </w:divBdr>
        </w:div>
      </w:divsChild>
    </w:div>
    <w:div w:id="518080979">
      <w:bodyDiv w:val="1"/>
      <w:marLeft w:val="0"/>
      <w:marRight w:val="0"/>
      <w:marTop w:val="0"/>
      <w:marBottom w:val="0"/>
      <w:divBdr>
        <w:top w:val="none" w:sz="0" w:space="0" w:color="auto"/>
        <w:left w:val="none" w:sz="0" w:space="0" w:color="auto"/>
        <w:bottom w:val="none" w:sz="0" w:space="0" w:color="auto"/>
        <w:right w:val="none" w:sz="0" w:space="0" w:color="auto"/>
      </w:divBdr>
    </w:div>
    <w:div w:id="524447515">
      <w:bodyDiv w:val="1"/>
      <w:marLeft w:val="0"/>
      <w:marRight w:val="0"/>
      <w:marTop w:val="0"/>
      <w:marBottom w:val="0"/>
      <w:divBdr>
        <w:top w:val="none" w:sz="0" w:space="0" w:color="auto"/>
        <w:left w:val="none" w:sz="0" w:space="0" w:color="auto"/>
        <w:bottom w:val="none" w:sz="0" w:space="0" w:color="auto"/>
        <w:right w:val="none" w:sz="0" w:space="0" w:color="auto"/>
      </w:divBdr>
    </w:div>
    <w:div w:id="540632207">
      <w:bodyDiv w:val="1"/>
      <w:marLeft w:val="0"/>
      <w:marRight w:val="0"/>
      <w:marTop w:val="0"/>
      <w:marBottom w:val="0"/>
      <w:divBdr>
        <w:top w:val="none" w:sz="0" w:space="0" w:color="auto"/>
        <w:left w:val="none" w:sz="0" w:space="0" w:color="auto"/>
        <w:bottom w:val="none" w:sz="0" w:space="0" w:color="auto"/>
        <w:right w:val="none" w:sz="0" w:space="0" w:color="auto"/>
      </w:divBdr>
      <w:divsChild>
        <w:div w:id="1831749174">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0"/>
              <w:marRight w:val="0"/>
              <w:marTop w:val="0"/>
              <w:marBottom w:val="0"/>
              <w:divBdr>
                <w:top w:val="none" w:sz="0" w:space="0" w:color="auto"/>
                <w:left w:val="none" w:sz="0" w:space="0" w:color="auto"/>
                <w:bottom w:val="none" w:sz="0" w:space="0" w:color="auto"/>
                <w:right w:val="none" w:sz="0" w:space="0" w:color="auto"/>
              </w:divBdr>
              <w:divsChild>
                <w:div w:id="1609121258">
                  <w:marLeft w:val="0"/>
                  <w:marRight w:val="0"/>
                  <w:marTop w:val="0"/>
                  <w:marBottom w:val="0"/>
                  <w:divBdr>
                    <w:top w:val="none" w:sz="0" w:space="0" w:color="auto"/>
                    <w:left w:val="none" w:sz="0" w:space="0" w:color="auto"/>
                    <w:bottom w:val="none" w:sz="0" w:space="0" w:color="auto"/>
                    <w:right w:val="none" w:sz="0" w:space="0" w:color="auto"/>
                  </w:divBdr>
                  <w:divsChild>
                    <w:div w:id="1871457132">
                      <w:marLeft w:val="0"/>
                      <w:marRight w:val="0"/>
                      <w:marTop w:val="0"/>
                      <w:marBottom w:val="0"/>
                      <w:divBdr>
                        <w:top w:val="none" w:sz="0" w:space="0" w:color="auto"/>
                        <w:left w:val="none" w:sz="0" w:space="0" w:color="auto"/>
                        <w:bottom w:val="none" w:sz="0" w:space="0" w:color="auto"/>
                        <w:right w:val="none" w:sz="0" w:space="0" w:color="auto"/>
                      </w:divBdr>
                      <w:divsChild>
                        <w:div w:id="66271439">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0"/>
                              <w:marRight w:val="0"/>
                              <w:marTop w:val="0"/>
                              <w:marBottom w:val="0"/>
                              <w:divBdr>
                                <w:top w:val="none" w:sz="0" w:space="0" w:color="auto"/>
                                <w:left w:val="none" w:sz="0" w:space="0" w:color="auto"/>
                                <w:bottom w:val="none" w:sz="0" w:space="0" w:color="auto"/>
                                <w:right w:val="single" w:sz="6" w:space="31" w:color="CCCCCC"/>
                              </w:divBdr>
                            </w:div>
                          </w:divsChild>
                        </w:div>
                      </w:divsChild>
                    </w:div>
                  </w:divsChild>
                </w:div>
              </w:divsChild>
            </w:div>
          </w:divsChild>
        </w:div>
      </w:divsChild>
    </w:div>
    <w:div w:id="641157137">
      <w:bodyDiv w:val="1"/>
      <w:marLeft w:val="0"/>
      <w:marRight w:val="0"/>
      <w:marTop w:val="0"/>
      <w:marBottom w:val="0"/>
      <w:divBdr>
        <w:top w:val="none" w:sz="0" w:space="0" w:color="auto"/>
        <w:left w:val="none" w:sz="0" w:space="0" w:color="auto"/>
        <w:bottom w:val="none" w:sz="0" w:space="0" w:color="auto"/>
        <w:right w:val="none" w:sz="0" w:space="0" w:color="auto"/>
      </w:divBdr>
    </w:div>
    <w:div w:id="734161772">
      <w:bodyDiv w:val="1"/>
      <w:marLeft w:val="0"/>
      <w:marRight w:val="0"/>
      <w:marTop w:val="0"/>
      <w:marBottom w:val="0"/>
      <w:divBdr>
        <w:top w:val="none" w:sz="0" w:space="0" w:color="auto"/>
        <w:left w:val="none" w:sz="0" w:space="0" w:color="auto"/>
        <w:bottom w:val="none" w:sz="0" w:space="0" w:color="auto"/>
        <w:right w:val="none" w:sz="0" w:space="0" w:color="auto"/>
      </w:divBdr>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1266958739">
      <w:bodyDiv w:val="1"/>
      <w:marLeft w:val="0"/>
      <w:marRight w:val="0"/>
      <w:marTop w:val="0"/>
      <w:marBottom w:val="0"/>
      <w:divBdr>
        <w:top w:val="none" w:sz="0" w:space="0" w:color="auto"/>
        <w:left w:val="none" w:sz="0" w:space="0" w:color="auto"/>
        <w:bottom w:val="none" w:sz="0" w:space="0" w:color="auto"/>
        <w:right w:val="none" w:sz="0" w:space="0" w:color="auto"/>
      </w:divBdr>
    </w:div>
    <w:div w:id="1406344344">
      <w:bodyDiv w:val="1"/>
      <w:marLeft w:val="0"/>
      <w:marRight w:val="0"/>
      <w:marTop w:val="0"/>
      <w:marBottom w:val="0"/>
      <w:divBdr>
        <w:top w:val="none" w:sz="0" w:space="0" w:color="auto"/>
        <w:left w:val="none" w:sz="0" w:space="0" w:color="auto"/>
        <w:bottom w:val="none" w:sz="0" w:space="0" w:color="auto"/>
        <w:right w:val="none" w:sz="0" w:space="0" w:color="auto"/>
      </w:divBdr>
    </w:div>
    <w:div w:id="1565334742">
      <w:bodyDiv w:val="1"/>
      <w:marLeft w:val="0"/>
      <w:marRight w:val="0"/>
      <w:marTop w:val="0"/>
      <w:marBottom w:val="0"/>
      <w:divBdr>
        <w:top w:val="none" w:sz="0" w:space="0" w:color="auto"/>
        <w:left w:val="none" w:sz="0" w:space="0" w:color="auto"/>
        <w:bottom w:val="none" w:sz="0" w:space="0" w:color="auto"/>
        <w:right w:val="none" w:sz="0" w:space="0" w:color="auto"/>
      </w:divBdr>
    </w:div>
    <w:div w:id="1683580850">
      <w:bodyDiv w:val="1"/>
      <w:marLeft w:val="0"/>
      <w:marRight w:val="0"/>
      <w:marTop w:val="0"/>
      <w:marBottom w:val="0"/>
      <w:divBdr>
        <w:top w:val="none" w:sz="0" w:space="0" w:color="auto"/>
        <w:left w:val="none" w:sz="0" w:space="0" w:color="auto"/>
        <w:bottom w:val="none" w:sz="0" w:space="0" w:color="auto"/>
        <w:right w:val="none" w:sz="0" w:space="0" w:color="auto"/>
      </w:divBdr>
    </w:div>
    <w:div w:id="1746993848">
      <w:bodyDiv w:val="1"/>
      <w:marLeft w:val="0"/>
      <w:marRight w:val="0"/>
      <w:marTop w:val="0"/>
      <w:marBottom w:val="0"/>
      <w:divBdr>
        <w:top w:val="none" w:sz="0" w:space="0" w:color="auto"/>
        <w:left w:val="none" w:sz="0" w:space="0" w:color="auto"/>
        <w:bottom w:val="none" w:sz="0" w:space="0" w:color="auto"/>
        <w:right w:val="none" w:sz="0" w:space="0" w:color="auto"/>
      </w:divBdr>
    </w:div>
    <w:div w:id="1864635691">
      <w:bodyDiv w:val="1"/>
      <w:marLeft w:val="0"/>
      <w:marRight w:val="0"/>
      <w:marTop w:val="0"/>
      <w:marBottom w:val="0"/>
      <w:divBdr>
        <w:top w:val="none" w:sz="0" w:space="0" w:color="auto"/>
        <w:left w:val="none" w:sz="0" w:space="0" w:color="auto"/>
        <w:bottom w:val="none" w:sz="0" w:space="0" w:color="auto"/>
        <w:right w:val="none" w:sz="0" w:space="0" w:color="auto"/>
      </w:divBdr>
    </w:div>
    <w:div w:id="2000427048">
      <w:bodyDiv w:val="1"/>
      <w:marLeft w:val="0"/>
      <w:marRight w:val="0"/>
      <w:marTop w:val="0"/>
      <w:marBottom w:val="0"/>
      <w:divBdr>
        <w:top w:val="none" w:sz="0" w:space="0" w:color="auto"/>
        <w:left w:val="none" w:sz="0" w:space="0" w:color="auto"/>
        <w:bottom w:val="none" w:sz="0" w:space="0" w:color="auto"/>
        <w:right w:val="none" w:sz="0" w:space="0" w:color="auto"/>
      </w:divBdr>
      <w:divsChild>
        <w:div w:id="408161677">
          <w:marLeft w:val="0"/>
          <w:marRight w:val="0"/>
          <w:marTop w:val="0"/>
          <w:marBottom w:val="0"/>
          <w:divBdr>
            <w:top w:val="none" w:sz="0" w:space="0" w:color="auto"/>
            <w:left w:val="none" w:sz="0" w:space="0" w:color="auto"/>
            <w:bottom w:val="none" w:sz="0" w:space="0" w:color="auto"/>
            <w:right w:val="none" w:sz="0" w:space="0" w:color="auto"/>
          </w:divBdr>
          <w:divsChild>
            <w:div w:id="736324089">
              <w:marLeft w:val="0"/>
              <w:marRight w:val="0"/>
              <w:marTop w:val="0"/>
              <w:marBottom w:val="0"/>
              <w:divBdr>
                <w:top w:val="none" w:sz="0" w:space="0" w:color="auto"/>
                <w:left w:val="none" w:sz="0" w:space="0" w:color="auto"/>
                <w:bottom w:val="none" w:sz="0" w:space="0" w:color="auto"/>
                <w:right w:val="none" w:sz="0" w:space="0" w:color="auto"/>
              </w:divBdr>
              <w:divsChild>
                <w:div w:id="1313756938">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769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120280">
      <w:bodyDiv w:val="1"/>
      <w:marLeft w:val="0"/>
      <w:marRight w:val="0"/>
      <w:marTop w:val="0"/>
      <w:marBottom w:val="0"/>
      <w:divBdr>
        <w:top w:val="none" w:sz="0" w:space="0" w:color="auto"/>
        <w:left w:val="none" w:sz="0" w:space="0" w:color="auto"/>
        <w:bottom w:val="none" w:sz="0" w:space="0" w:color="auto"/>
        <w:right w:val="none" w:sz="0" w:space="0" w:color="auto"/>
      </w:divBdr>
    </w:div>
    <w:div w:id="20777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wg8j-10/wg8j-10-rec-03-es.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3/cop-13-dec-26-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0/cop-10-dec-43-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ecision/cop/default.shtml?id=7158"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ohchr.org/EN/Issues/IPeoples/EMRIP/Pages/Membership.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SP/Issues/IPeoples/EMRIP/Pages/EMRIPIndex1.aspx" TargetMode="External"/><Relationship Id="rId13" Type="http://schemas.openxmlformats.org/officeDocument/2006/relationships/hyperlink" Target="http://www.wipo.int/tk/en/igc/participation.html" TargetMode="External"/><Relationship Id="rId18" Type="http://schemas.openxmlformats.org/officeDocument/2006/relationships/hyperlink" Target="https://www.cbd.int/doc/decisions/cop-07/full/cop-07-dec-es.pdf" TargetMode="External"/><Relationship Id="rId3" Type="http://schemas.openxmlformats.org/officeDocument/2006/relationships/hyperlink" Target="http://www.ohchr.org/EN/Issues/IPeoples/EMRIP/Pages/EMRIPIndex.aspx" TargetMode="External"/><Relationship Id="rId21" Type="http://schemas.openxmlformats.org/officeDocument/2006/relationships/hyperlink" Target="https://www.cbd.int/doc/decisions/cop-13/cop-13-dec-18-es.pdf" TargetMode="External"/><Relationship Id="rId7" Type="http://schemas.openxmlformats.org/officeDocument/2006/relationships/hyperlink" Target="http://www.un.org/esa/socdev/unpfii/" TargetMode="External"/><Relationship Id="rId12" Type="http://schemas.openxmlformats.org/officeDocument/2006/relationships/hyperlink" Target="http://www.fao.org/plant-treaty/areas-of-work/farmers-rights/en/" TargetMode="External"/><Relationship Id="rId17" Type="http://schemas.openxmlformats.org/officeDocument/2006/relationships/hyperlink" Target="https://www.cbd.int/doc/c/0a31/4e45/72608f072f6d79700c846948/cop-13-inf-48-en.pdf" TargetMode="External"/><Relationship Id="rId2" Type="http://schemas.openxmlformats.org/officeDocument/2006/relationships/hyperlink" Target="https://www.un.org/development/desa/indigenouspeoples/unpfii-sessions-2/newmembers.html" TargetMode="External"/><Relationship Id="rId16" Type="http://schemas.openxmlformats.org/officeDocument/2006/relationships/hyperlink" Target="http://unfccc.int/resource/docs/2015/cop21/spa/10a01s.pdf" TargetMode="External"/><Relationship Id="rId20" Type="http://schemas.openxmlformats.org/officeDocument/2006/relationships/hyperlink" Target="https://www.cbd.int/doc/decisions/cop-12/cop-12-dec-12-es.pdf" TargetMode="External"/><Relationship Id="rId1" Type="http://schemas.openxmlformats.org/officeDocument/2006/relationships/hyperlink" Target="https://www.un.org/development/desa/indigenouspeoples/unpfii-sessions-2/sixteenth-session.html" TargetMode="External"/><Relationship Id="rId6" Type="http://schemas.openxmlformats.org/officeDocument/2006/relationships/hyperlink" Target="http://daccess-ods.un.org/access.nsf/Get?Open&amp;DS=A/RES/56/140&amp;Lang=S" TargetMode="External"/><Relationship Id="rId11" Type="http://schemas.openxmlformats.org/officeDocument/2006/relationships/hyperlink" Target="http://www.fao.org/plant-treaty/meetings/meetings-detail/en/c/888771/" TargetMode="External"/><Relationship Id="rId5" Type="http://schemas.openxmlformats.org/officeDocument/2006/relationships/hyperlink" Target="http://www.ohchr.org/EN/Issues/IPeoples/IPeoplesFund/Pages/IPeoplesFundIndex.aspx" TargetMode="External"/><Relationship Id="rId15" Type="http://schemas.openxmlformats.org/officeDocument/2006/relationships/hyperlink" Target="https://documents-dds-ny.un.org/doc/UNDOC/GEN/N15/291/93/pdf/N1529193.pdf?OpenElement" TargetMode="External"/><Relationship Id="rId23" Type="http://schemas.openxmlformats.org/officeDocument/2006/relationships/hyperlink" Target="https://www.cbd.int/doc/decisions/cop-10/cop-10-dec-20-es.pdf" TargetMode="External"/><Relationship Id="rId10" Type="http://schemas.openxmlformats.org/officeDocument/2006/relationships/hyperlink" Target="http://unfccc.int/adaptation/items/10475.php" TargetMode="External"/><Relationship Id="rId19" Type="http://schemas.openxmlformats.org/officeDocument/2006/relationships/hyperlink" Target="https://www.cbd.int/doc/decisions/cop-10/cop-10-dec-42-es.pdf" TargetMode="External"/><Relationship Id="rId4" Type="http://schemas.openxmlformats.org/officeDocument/2006/relationships/hyperlink" Target="http://www.ohchr.org/EN/Issues/IPeoples/SRIndigenousPeoples/Pages/Mandate.aspx" TargetMode="External"/><Relationship Id="rId9" Type="http://schemas.openxmlformats.org/officeDocument/2006/relationships/hyperlink" Target="http://www.ohchr.org/SP/HRBodies/HRC/Pages/HRCIndexOLD.aspx" TargetMode="External"/><Relationship Id="rId14" Type="http://schemas.openxmlformats.org/officeDocument/2006/relationships/hyperlink" Target="https://www.cbd.int/doc/decisions/cop-10/cop-10-dec-43-es.pdf" TargetMode="External"/><Relationship Id="rId22" Type="http://schemas.openxmlformats.org/officeDocument/2006/relationships/hyperlink" Target="https://www.cbd.int/doc/decisions/cop-12/cop-12-dec-1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C7DDD53774072867A28D67F29FE6B"/>
        <w:category>
          <w:name w:val="General"/>
          <w:gallery w:val="placeholder"/>
        </w:category>
        <w:types>
          <w:type w:val="bbPlcHdr"/>
        </w:types>
        <w:behaviors>
          <w:behavior w:val="content"/>
        </w:behaviors>
        <w:guid w:val="{1E02779B-D998-433B-9430-8D6797D075DF}"/>
      </w:docPartPr>
      <w:docPartBody>
        <w:p w:rsidR="00542267" w:rsidRDefault="005745D4">
          <w:r w:rsidRPr="00586D00">
            <w:rPr>
              <w:rStyle w:val="PlaceholderText"/>
            </w:rPr>
            <w:t>[Title]</w:t>
          </w:r>
        </w:p>
      </w:docPartBody>
    </w:docPart>
    <w:docPart>
      <w:docPartPr>
        <w:name w:val="2ED019E0484C4613B08FCD9D6286B4BF"/>
        <w:category>
          <w:name w:val="General"/>
          <w:gallery w:val="placeholder"/>
        </w:category>
        <w:types>
          <w:type w:val="bbPlcHdr"/>
        </w:types>
        <w:behaviors>
          <w:behavior w:val="content"/>
        </w:behaviors>
        <w:guid w:val="{5A2A4744-3011-4865-9675-DDCDC83F792A}"/>
      </w:docPartPr>
      <w:docPartBody>
        <w:p w:rsidR="00542267" w:rsidRDefault="005745D4">
          <w:r w:rsidRPr="00586D00">
            <w:rPr>
              <w:rStyle w:val="PlaceholderText"/>
            </w:rPr>
            <w:t>[Subject]</w:t>
          </w:r>
        </w:p>
      </w:docPartBody>
    </w:docPart>
    <w:docPart>
      <w:docPartPr>
        <w:name w:val="CCB7A2DA676C4AC7A95AA1566D036E32"/>
        <w:category>
          <w:name w:val="General"/>
          <w:gallery w:val="placeholder"/>
        </w:category>
        <w:types>
          <w:type w:val="bbPlcHdr"/>
        </w:types>
        <w:behaviors>
          <w:behavior w:val="content"/>
        </w:behaviors>
        <w:guid w:val="{893615F9-1B62-46DF-9A59-C02C4DDD8278}"/>
      </w:docPartPr>
      <w:docPartBody>
        <w:p w:rsidR="00542267" w:rsidRDefault="005745D4">
          <w:r w:rsidRPr="00586D00">
            <w:rPr>
              <w:rStyle w:val="PlaceholderText"/>
            </w:rPr>
            <w:t>[Subject]</w:t>
          </w:r>
        </w:p>
      </w:docPartBody>
    </w:docPart>
    <w:docPart>
      <w:docPartPr>
        <w:name w:val="9E124DB2BDEA4AEB88992E5E653FD9E2"/>
        <w:category>
          <w:name w:val="General"/>
          <w:gallery w:val="placeholder"/>
        </w:category>
        <w:types>
          <w:type w:val="bbPlcHdr"/>
        </w:types>
        <w:behaviors>
          <w:behavior w:val="content"/>
        </w:behaviors>
        <w:guid w:val="{88037787-1965-4B40-A9C5-7CDF0224EB59}"/>
      </w:docPartPr>
      <w:docPartBody>
        <w:p w:rsidR="00B46080" w:rsidRDefault="00586D00">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D4"/>
    <w:rsid w:val="00083836"/>
    <w:rsid w:val="00542267"/>
    <w:rsid w:val="005745D4"/>
    <w:rsid w:val="00586D00"/>
    <w:rsid w:val="0065174E"/>
    <w:rsid w:val="007220E1"/>
    <w:rsid w:val="009C62DA"/>
    <w:rsid w:val="00A74067"/>
    <w:rsid w:val="00B46080"/>
    <w:rsid w:val="00B87E30"/>
    <w:rsid w:val="00E035CF"/>
    <w:rsid w:val="00F6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5EB84-861F-402A-B818-83565A24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LA INTEGRACIÓN DEL ARTÍCULO 8 J) Y DISPOSICIONES RELACIONADAS CON LOS PUEBLOS INDÍGENAS Y LAS COMUNIDADES LOCALES EN LA LABOR DEL CONVENIO Y SUS PROTOCOLOS</vt:lpstr>
    </vt:vector>
  </TitlesOfParts>
  <Company>SCBD</Company>
  <LinksUpToDate>false</LinksUpToDate>
  <CharactersWithSpaces>59426</CharactersWithSpaces>
  <SharedDoc>false</SharedDoc>
  <HLinks>
    <vt:vector size="156" baseType="variant">
      <vt:variant>
        <vt:i4>524362</vt:i4>
      </vt:variant>
      <vt:variant>
        <vt:i4>9</vt:i4>
      </vt:variant>
      <vt:variant>
        <vt:i4>0</vt:i4>
      </vt:variant>
      <vt:variant>
        <vt:i4>5</vt:i4>
      </vt:variant>
      <vt:variant>
        <vt:lpwstr>https://www.cbd.int/doc/decisions/cop-10/cop-10-dec-43-en.pdf</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7929914</vt:i4>
      </vt:variant>
      <vt:variant>
        <vt:i4>3</vt:i4>
      </vt:variant>
      <vt:variant>
        <vt:i4>0</vt:i4>
      </vt:variant>
      <vt:variant>
        <vt:i4>5</vt:i4>
      </vt:variant>
      <vt:variant>
        <vt:lpwstr>http://www.ohchr.org/EN/Issues/IPeoples/Pages/WGIP.aspx</vt:lpwstr>
      </vt:variant>
      <vt:variant>
        <vt:lpwstr/>
      </vt:variant>
      <vt:variant>
        <vt:i4>2621500</vt:i4>
      </vt:variant>
      <vt:variant>
        <vt:i4>0</vt:i4>
      </vt:variant>
      <vt:variant>
        <vt:i4>0</vt:i4>
      </vt:variant>
      <vt:variant>
        <vt:i4>5</vt:i4>
      </vt:variant>
      <vt:variant>
        <vt:lpwstr>http://www.ohchr.org/EN/Issues/IPeoples/EMRIP/Pages/Membership.aspx</vt:lpwstr>
      </vt:variant>
      <vt:variant>
        <vt:lpwstr/>
      </vt:variant>
      <vt:variant>
        <vt:i4>3538976</vt:i4>
      </vt:variant>
      <vt:variant>
        <vt:i4>63</vt:i4>
      </vt:variant>
      <vt:variant>
        <vt:i4>0</vt:i4>
      </vt:variant>
      <vt:variant>
        <vt:i4>5</vt:i4>
      </vt:variant>
      <vt:variant>
        <vt:lpwstr>https://www.cbd.int/recommendations/wg8j/?m=wg8j-10</vt:lpwstr>
      </vt:variant>
      <vt:variant>
        <vt:lpwstr/>
      </vt:variant>
      <vt:variant>
        <vt:i4>720972</vt:i4>
      </vt:variant>
      <vt:variant>
        <vt:i4>60</vt:i4>
      </vt:variant>
      <vt:variant>
        <vt:i4>0</vt:i4>
      </vt:variant>
      <vt:variant>
        <vt:i4>5</vt:i4>
      </vt:variant>
      <vt:variant>
        <vt:lpwstr>https://www.cbd.int/doc/decisions/cop-10/cop-10-dec-20-en.pdf</vt:lpwstr>
      </vt:variant>
      <vt:variant>
        <vt:lpwstr/>
      </vt:variant>
      <vt:variant>
        <vt:i4>720973</vt:i4>
      </vt:variant>
      <vt:variant>
        <vt:i4>57</vt:i4>
      </vt:variant>
      <vt:variant>
        <vt:i4>0</vt:i4>
      </vt:variant>
      <vt:variant>
        <vt:i4>5</vt:i4>
      </vt:variant>
      <vt:variant>
        <vt:lpwstr>https://www.cbd.int/doc/decisions/cop-12/cop-12-dec-12-en.pdf</vt:lpwstr>
      </vt:variant>
      <vt:variant>
        <vt:lpwstr/>
      </vt:variant>
      <vt:variant>
        <vt:i4>76</vt:i4>
      </vt:variant>
      <vt:variant>
        <vt:i4>54</vt:i4>
      </vt:variant>
      <vt:variant>
        <vt:i4>0</vt:i4>
      </vt:variant>
      <vt:variant>
        <vt:i4>5</vt:i4>
      </vt:variant>
      <vt:variant>
        <vt:lpwstr>https://www.cbd.int/doc/decisions/cop-13/cop-13-dec-18-en.pdf</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589898</vt:i4>
      </vt:variant>
      <vt:variant>
        <vt:i4>48</vt:i4>
      </vt:variant>
      <vt:variant>
        <vt:i4>0</vt:i4>
      </vt:variant>
      <vt:variant>
        <vt:i4>5</vt:i4>
      </vt:variant>
      <vt:variant>
        <vt:lpwstr>https://www.cbd.int/doc/decisions/cop-10/cop-10-dec-42-en.pdf</vt:lpwstr>
      </vt:variant>
      <vt:variant>
        <vt:lpwstr/>
      </vt:variant>
      <vt:variant>
        <vt:i4>720969</vt:i4>
      </vt:variant>
      <vt:variant>
        <vt:i4>45</vt:i4>
      </vt:variant>
      <vt:variant>
        <vt:i4>0</vt:i4>
      </vt:variant>
      <vt:variant>
        <vt:i4>5</vt:i4>
      </vt:variant>
      <vt:variant>
        <vt:lpwstr>https://www.cbd.int/doc/decisions/cop-07/cop-07-dec-16-en.pdf</vt:lpwstr>
      </vt:variant>
      <vt:variant>
        <vt:lpwstr/>
      </vt:variant>
      <vt:variant>
        <vt:i4>19</vt:i4>
      </vt:variant>
      <vt:variant>
        <vt:i4>42</vt:i4>
      </vt:variant>
      <vt:variant>
        <vt:i4>0</vt:i4>
      </vt:variant>
      <vt:variant>
        <vt:i4>5</vt:i4>
      </vt:variant>
      <vt:variant>
        <vt:lpwstr>https://www.cbd.int/doc/c/0a31/4e45/72608f072f6d79700c846948/cop-13-inf-48-en.pdf</vt:lpwstr>
      </vt:variant>
      <vt:variant>
        <vt:lpwstr/>
      </vt:variant>
      <vt:variant>
        <vt:i4>5439499</vt:i4>
      </vt:variant>
      <vt:variant>
        <vt:i4>39</vt:i4>
      </vt:variant>
      <vt:variant>
        <vt:i4>0</vt:i4>
      </vt:variant>
      <vt:variant>
        <vt:i4>5</vt:i4>
      </vt:variant>
      <vt:variant>
        <vt:lpwstr>http://unfccc.int/resource/docs/2015/cop21/eng/10a01.pdf</vt:lpwstr>
      </vt:variant>
      <vt:variant>
        <vt:lpwstr/>
      </vt:variant>
      <vt:variant>
        <vt:i4>3801170</vt:i4>
      </vt:variant>
      <vt:variant>
        <vt:i4>36</vt:i4>
      </vt:variant>
      <vt:variant>
        <vt:i4>0</vt:i4>
      </vt:variant>
      <vt:variant>
        <vt:i4>5</vt:i4>
      </vt:variant>
      <vt:variant>
        <vt:lpwstr>http://www.un.org/en/ga/search/view_doc.asp?symbol=A/RES/70/1</vt:lpwstr>
      </vt:variant>
      <vt:variant>
        <vt:lpwstr/>
      </vt:variant>
      <vt:variant>
        <vt:i4>524362</vt:i4>
      </vt:variant>
      <vt:variant>
        <vt:i4>33</vt:i4>
      </vt:variant>
      <vt:variant>
        <vt:i4>0</vt:i4>
      </vt:variant>
      <vt:variant>
        <vt:i4>5</vt:i4>
      </vt:variant>
      <vt:variant>
        <vt:lpwstr>https://www.cbd.int/doc/decisions/cop-10/cop-10-dec-43-en.pdf</vt:lpwstr>
      </vt:variant>
      <vt:variant>
        <vt:lpwstr/>
      </vt:variant>
      <vt:variant>
        <vt:i4>65557</vt:i4>
      </vt:variant>
      <vt:variant>
        <vt:i4>30</vt:i4>
      </vt:variant>
      <vt:variant>
        <vt:i4>0</vt:i4>
      </vt:variant>
      <vt:variant>
        <vt:i4>5</vt:i4>
      </vt:variant>
      <vt:variant>
        <vt:lpwstr>http://www.wipo.int/tk/en/igc/participation.html</vt:lpwstr>
      </vt:variant>
      <vt:variant>
        <vt:lpwstr/>
      </vt:variant>
      <vt:variant>
        <vt:i4>1835028</vt:i4>
      </vt:variant>
      <vt:variant>
        <vt:i4>27</vt:i4>
      </vt:variant>
      <vt:variant>
        <vt:i4>0</vt:i4>
      </vt:variant>
      <vt:variant>
        <vt:i4>5</vt:i4>
      </vt:variant>
      <vt:variant>
        <vt:lpwstr>http://www.fao.org/plant-treaty/areas-of-work/farmers-rights/en/</vt:lpwstr>
      </vt:variant>
      <vt:variant>
        <vt:lpwstr/>
      </vt:variant>
      <vt:variant>
        <vt:i4>1114190</vt:i4>
      </vt:variant>
      <vt:variant>
        <vt:i4>24</vt:i4>
      </vt:variant>
      <vt:variant>
        <vt:i4>0</vt:i4>
      </vt:variant>
      <vt:variant>
        <vt:i4>5</vt:i4>
      </vt:variant>
      <vt:variant>
        <vt:lpwstr>http://www.fao.org/plant-treaty/meetings/meetings-detail/en/c/888771/</vt:lpwstr>
      </vt:variant>
      <vt:variant>
        <vt:lpwstr/>
      </vt:variant>
      <vt:variant>
        <vt:i4>589901</vt:i4>
      </vt:variant>
      <vt:variant>
        <vt:i4>21</vt:i4>
      </vt:variant>
      <vt:variant>
        <vt:i4>0</vt:i4>
      </vt:variant>
      <vt:variant>
        <vt:i4>5</vt:i4>
      </vt:variant>
      <vt:variant>
        <vt:lpwstr>http://unfccc.int/adaptation/items/10475.php</vt:lpwstr>
      </vt:variant>
      <vt:variant>
        <vt:lpwstr/>
      </vt:variant>
      <vt:variant>
        <vt:i4>4456519</vt:i4>
      </vt:variant>
      <vt:variant>
        <vt:i4>18</vt:i4>
      </vt:variant>
      <vt:variant>
        <vt:i4>0</vt:i4>
      </vt:variant>
      <vt:variant>
        <vt:i4>5</vt:i4>
      </vt:variant>
      <vt:variant>
        <vt:lpwstr>http://www.ohchr.org/EN/ProfessionalInterest/Pages/InternationalLaw.aspx</vt:lpwstr>
      </vt:variant>
      <vt:variant>
        <vt:lpwstr/>
      </vt:variant>
      <vt:variant>
        <vt:i4>6619177</vt:i4>
      </vt:variant>
      <vt:variant>
        <vt:i4>15</vt:i4>
      </vt:variant>
      <vt:variant>
        <vt:i4>0</vt:i4>
      </vt:variant>
      <vt:variant>
        <vt:i4>5</vt:i4>
      </vt:variant>
      <vt:variant>
        <vt:lpwstr>http://www.ohchr.org/EN/HRBodies/HRC/Pages/HRCIndexold.aspx</vt:lpwstr>
      </vt:variant>
      <vt:variant>
        <vt:lpwstr/>
      </vt:variant>
      <vt:variant>
        <vt:i4>3407919</vt:i4>
      </vt:variant>
      <vt:variant>
        <vt:i4>12</vt:i4>
      </vt:variant>
      <vt:variant>
        <vt:i4>0</vt:i4>
      </vt:variant>
      <vt:variant>
        <vt:i4>5</vt:i4>
      </vt:variant>
      <vt:variant>
        <vt:lpwstr>http://www.ohchr.org/EN/Issues/IPeoples/EMRIP/Pages/EMRIPIndex.aspx</vt:lpwstr>
      </vt:variant>
      <vt:variant>
        <vt:lpwstr/>
      </vt:variant>
      <vt:variant>
        <vt:i4>5570572</vt:i4>
      </vt:variant>
      <vt:variant>
        <vt:i4>9</vt:i4>
      </vt:variant>
      <vt:variant>
        <vt:i4>0</vt:i4>
      </vt:variant>
      <vt:variant>
        <vt:i4>5</vt:i4>
      </vt:variant>
      <vt:variant>
        <vt:lpwstr>https://www.un.org/development/desa/indigenouspeoples/unpfii-sessions-2.html</vt:lpwstr>
      </vt:variant>
      <vt:variant>
        <vt:lpwstr/>
      </vt:variant>
      <vt:variant>
        <vt:i4>1703946</vt:i4>
      </vt:variant>
      <vt:variant>
        <vt:i4>6</vt:i4>
      </vt:variant>
      <vt:variant>
        <vt:i4>0</vt:i4>
      </vt:variant>
      <vt:variant>
        <vt:i4>5</vt:i4>
      </vt:variant>
      <vt:variant>
        <vt:lpwstr>http://daccess-ods.un.org/access.nsf/Get?Open&amp;DS=A/RES/56/140&amp;Lang=E</vt:lpwstr>
      </vt:variant>
      <vt:variant>
        <vt:lpwstr/>
      </vt:variant>
      <vt:variant>
        <vt:i4>7864429</vt:i4>
      </vt:variant>
      <vt:variant>
        <vt:i4>3</vt:i4>
      </vt:variant>
      <vt:variant>
        <vt:i4>0</vt:i4>
      </vt:variant>
      <vt:variant>
        <vt:i4>5</vt:i4>
      </vt:variant>
      <vt:variant>
        <vt:lpwstr>http://www.ohchr.org/EN/Issues/IPeoples/SRIndigenousPeoples/Pages/Mandate.aspx</vt:lpwstr>
      </vt:variant>
      <vt:variant>
        <vt:lpwstr/>
      </vt:variant>
      <vt:variant>
        <vt:i4>3801151</vt:i4>
      </vt:variant>
      <vt:variant>
        <vt:i4>0</vt:i4>
      </vt:variant>
      <vt:variant>
        <vt:i4>0</vt:i4>
      </vt:variant>
      <vt:variant>
        <vt:i4>5</vt:i4>
      </vt:variant>
      <vt:variant>
        <vt:lpwstr>https://www.un.org/development/desa/indigenouspeoples/unpfii-sessions-2/newmembers.html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INTEGRACIÓN DEL ARTÍCULO 8 J) Y DISPOSICIONES RELACIONADAS CON LOS PUEBLOS INDÍGENAS Y LAS COMUNIDADES LOCALES EN LA LABOR DEL CONVENIO Y SUS PROTOCOLOS</dc:title>
  <dc:subject>CBD/SBI/2/21</dc:subject>
  <dc:creator>Viviana Figueroa</dc:creator>
  <cp:keywords/>
  <cp:lastModifiedBy>Daniel</cp:lastModifiedBy>
  <cp:revision>31</cp:revision>
  <cp:lastPrinted>2018-06-03T18:40:00Z</cp:lastPrinted>
  <dcterms:created xsi:type="dcterms:W3CDTF">2018-06-07T18:24:00Z</dcterms:created>
  <dcterms:modified xsi:type="dcterms:W3CDTF">2018-06-11T14:32:00Z</dcterms:modified>
  <cp:contentStatus>General</cp:contentStatus>
</cp:coreProperties>
</file>