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45C17D9A" w14:textId="77777777" w:rsidTr="00B60E5F">
        <w:trPr>
          <w:trHeight w:val="851"/>
        </w:trPr>
        <w:tc>
          <w:tcPr>
            <w:tcW w:w="465" w:type="pct"/>
            <w:tcBorders>
              <w:bottom w:val="single" w:sz="8" w:space="0" w:color="auto"/>
            </w:tcBorders>
            <w:vAlign w:val="bottom"/>
          </w:tcPr>
          <w:p w14:paraId="6931EB6F" w14:textId="77777777" w:rsidR="00A96B21" w:rsidRPr="00550DCE" w:rsidRDefault="00A96B21" w:rsidP="00B60E5F">
            <w:pPr>
              <w:spacing w:after="120"/>
              <w:jc w:val="left"/>
            </w:pPr>
            <w:bookmarkStart w:id="0" w:name="_Hlk137651738"/>
            <w:r w:rsidRPr="00550DCE">
              <w:rPr>
                <w:noProof/>
              </w:rPr>
              <w:drawing>
                <wp:inline distT="0" distB="0" distL="0" distR="0" wp14:anchorId="65C0D59D" wp14:editId="31CFDEB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B21DEC3" w14:textId="77777777" w:rsidR="00A96B21" w:rsidRPr="00550DCE" w:rsidRDefault="00A96B21" w:rsidP="00B60E5F">
            <w:pPr>
              <w:spacing w:after="120"/>
              <w:jc w:val="left"/>
            </w:pPr>
            <w:r w:rsidRPr="00550DCE">
              <w:rPr>
                <w:noProof/>
              </w:rPr>
              <w:drawing>
                <wp:inline distT="0" distB="0" distL="0" distR="0" wp14:anchorId="0EA02E42" wp14:editId="321B65A8">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D6BA5B9" w14:textId="7C18E88C"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3E3F67">
              <w:rPr>
                <w:szCs w:val="40"/>
              </w:rPr>
              <w:t>6/Add.2</w:t>
            </w:r>
          </w:p>
        </w:tc>
      </w:tr>
      <w:tr w:rsidR="00A96B21" w:rsidRPr="00EA442C" w14:paraId="054B9F02" w14:textId="77777777" w:rsidTr="00B60E5F">
        <w:tc>
          <w:tcPr>
            <w:tcW w:w="2297" w:type="pct"/>
            <w:gridSpan w:val="2"/>
            <w:tcBorders>
              <w:top w:val="single" w:sz="8" w:space="0" w:color="auto"/>
              <w:bottom w:val="single" w:sz="12" w:space="0" w:color="auto"/>
            </w:tcBorders>
          </w:tcPr>
          <w:p w14:paraId="2AFC5D28"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6017A30A" wp14:editId="05D69BA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E8E83B3" w14:textId="77777777" w:rsidR="00A96B21" w:rsidRPr="003C6F10" w:rsidRDefault="00A96B21" w:rsidP="003C6F10">
            <w:pPr>
              <w:ind w:left="2584"/>
              <w:rPr>
                <w:sz w:val="22"/>
                <w:szCs w:val="22"/>
              </w:rPr>
            </w:pPr>
            <w:r w:rsidRPr="003C6F10">
              <w:rPr>
                <w:sz w:val="22"/>
                <w:szCs w:val="22"/>
              </w:rPr>
              <w:t>Distr.: General</w:t>
            </w:r>
          </w:p>
          <w:p w14:paraId="2C5F3E66" w14:textId="50789AC7" w:rsidR="00A96B21" w:rsidRPr="003C6F10" w:rsidRDefault="003E3F67" w:rsidP="003C6F10">
            <w:pPr>
              <w:ind w:left="2584"/>
              <w:rPr>
                <w:sz w:val="22"/>
                <w:szCs w:val="22"/>
              </w:rPr>
            </w:pPr>
            <w:r>
              <w:rPr>
                <w:sz w:val="22"/>
                <w:szCs w:val="22"/>
              </w:rPr>
              <w:t>24 September</w:t>
            </w:r>
            <w:r w:rsidR="00A96B21" w:rsidRPr="003C6F10">
              <w:rPr>
                <w:sz w:val="22"/>
                <w:szCs w:val="22"/>
              </w:rPr>
              <w:t xml:space="preserve"> 202</w:t>
            </w:r>
            <w:r w:rsidR="00A00234">
              <w:rPr>
                <w:sz w:val="22"/>
                <w:szCs w:val="22"/>
              </w:rPr>
              <w:t>4</w:t>
            </w:r>
          </w:p>
          <w:p w14:paraId="5CE996C2" w14:textId="77777777" w:rsidR="00A96B21" w:rsidRPr="003C6F10" w:rsidRDefault="00A96B21" w:rsidP="003C6F10">
            <w:pPr>
              <w:ind w:left="2584"/>
              <w:rPr>
                <w:sz w:val="22"/>
                <w:szCs w:val="22"/>
              </w:rPr>
            </w:pPr>
          </w:p>
          <w:p w14:paraId="08498A2A" w14:textId="77777777" w:rsidR="00A96B21" w:rsidRPr="003C6F10" w:rsidRDefault="00A96B21" w:rsidP="003C6F10">
            <w:pPr>
              <w:ind w:left="2584"/>
              <w:rPr>
                <w:sz w:val="22"/>
                <w:szCs w:val="22"/>
              </w:rPr>
            </w:pPr>
            <w:r w:rsidRPr="003C6F10">
              <w:rPr>
                <w:sz w:val="22"/>
                <w:szCs w:val="22"/>
              </w:rPr>
              <w:t>Original: English</w:t>
            </w:r>
          </w:p>
          <w:p w14:paraId="08462023" w14:textId="77777777" w:rsidR="00A96B21" w:rsidRPr="00550DCE" w:rsidRDefault="00A96B21" w:rsidP="00B60E5F"/>
        </w:tc>
      </w:tr>
    </w:tbl>
    <w:p w14:paraId="411FBD5C" w14:textId="77777777" w:rsidR="00874541" w:rsidRDefault="00A00234" w:rsidP="00A00234">
      <w:pPr>
        <w:pStyle w:val="Cornernotation"/>
        <w:ind w:left="0" w:right="5249" w:firstLine="0"/>
        <w:rPr>
          <w:bCs/>
        </w:rPr>
      </w:pPr>
      <w:r>
        <w:rPr>
          <w:bCs/>
        </w:rPr>
        <w:t>Conference of the Parties to the Convention on Biological Diversity</w:t>
      </w:r>
    </w:p>
    <w:p w14:paraId="79B03DA6"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7939F13A" w14:textId="77777777" w:rsidR="00A96B21" w:rsidRPr="00935461" w:rsidRDefault="00A00234" w:rsidP="00A96B21">
      <w:pPr>
        <w:pStyle w:val="Venuedate"/>
        <w:rPr>
          <w:lang w:val="en-CA"/>
        </w:rPr>
      </w:pPr>
      <w:r>
        <w:rPr>
          <w:lang w:val="en-CA"/>
        </w:rPr>
        <w:t>Cali, Colombia, 21 October–1 November 2024</w:t>
      </w:r>
    </w:p>
    <w:p w14:paraId="3EE83BE0" w14:textId="252B88FE" w:rsidR="00A96B21" w:rsidRPr="00441498" w:rsidRDefault="00A96B21" w:rsidP="00A96B21">
      <w:pPr>
        <w:pStyle w:val="Cornernotation-Item"/>
        <w:rPr>
          <w:b w:val="0"/>
          <w:bCs w:val="0"/>
        </w:rPr>
      </w:pPr>
      <w:r w:rsidRPr="00441498">
        <w:rPr>
          <w:b w:val="0"/>
          <w:bCs w:val="0"/>
        </w:rPr>
        <w:t xml:space="preserve">Item </w:t>
      </w:r>
      <w:r w:rsidR="00DC0F6B">
        <w:rPr>
          <w:b w:val="0"/>
          <w:bCs w:val="0"/>
        </w:rPr>
        <w:t>11</w:t>
      </w:r>
      <w:r w:rsidRPr="00441498">
        <w:rPr>
          <w:b w:val="0"/>
          <w:bCs w:val="0"/>
        </w:rPr>
        <w:t xml:space="preserve"> of the provisional agenda</w:t>
      </w:r>
      <w:r w:rsidRPr="00441498">
        <w:rPr>
          <w:rStyle w:val="FootnoteReference"/>
          <w:b w:val="0"/>
          <w:bCs w:val="0"/>
        </w:rPr>
        <w:footnoteReference w:customMarkFollows="1" w:id="1"/>
        <w:t>*</w:t>
      </w:r>
    </w:p>
    <w:bookmarkEnd w:id="0"/>
    <w:p w14:paraId="055BFDE7" w14:textId="77777777" w:rsidR="000F13C5" w:rsidRPr="003E132B" w:rsidRDefault="000F13C5" w:rsidP="000F13C5">
      <w:pPr>
        <w:pStyle w:val="Cornernotation-Item"/>
        <w:rPr>
          <w:lang w:val="en-GB"/>
        </w:rPr>
      </w:pPr>
      <w:r w:rsidRPr="003E132B">
        <w:rPr>
          <w:lang w:val="en-GB"/>
        </w:rPr>
        <w:t>Resource mobilization and financial mechanism</w:t>
      </w:r>
    </w:p>
    <w:p w14:paraId="6DC6BD06" w14:textId="7A9829B1" w:rsidR="00320581" w:rsidRPr="00434B62" w:rsidRDefault="00320581" w:rsidP="00320581">
      <w:pPr>
        <w:pStyle w:val="CBDTitle"/>
        <w:rPr>
          <w:lang w:eastAsia="zh-CN"/>
        </w:rPr>
      </w:pPr>
      <w:r w:rsidRPr="00320581">
        <w:rPr>
          <w:lang w:eastAsia="zh-CN"/>
        </w:rPr>
        <w:t>Elements of advice on priorities of the Convention on Migratory Species of Wild Animals for consideration in the development of the four-year outcome-oriented framework of programme priorities for the ninth replenishment period of the Global Environment Facility</w:t>
      </w:r>
      <w:r w:rsidR="0073735D">
        <w:rPr>
          <w:lang w:eastAsia="zh-CN"/>
        </w:rPr>
        <w:t xml:space="preserve"> Trust Fund</w:t>
      </w:r>
    </w:p>
    <w:p w14:paraId="21CB8686" w14:textId="77777777" w:rsidR="00A96B21" w:rsidRDefault="00A96B21" w:rsidP="001454DA">
      <w:pPr>
        <w:pStyle w:val="CBDSubTitle"/>
      </w:pPr>
      <w:r w:rsidRPr="00A96B21">
        <w:t>Note by the Secretariat</w:t>
      </w:r>
    </w:p>
    <w:p w14:paraId="5594E262" w14:textId="4D84317C" w:rsidR="0045779A" w:rsidRPr="00017F3E" w:rsidRDefault="0045779A" w:rsidP="00FB2D03">
      <w:pPr>
        <w:pStyle w:val="CBDNormalNumber"/>
      </w:pPr>
      <w:r w:rsidRPr="00017F3E">
        <w:t>In its decision 15/15, the Conference of the Parties invited the governing bodies of the various biodiversity-related conventions to provide elements of advice for the development of strategic guidance for the ninth replenishment of the Global Environment Facility Trust Fund.</w:t>
      </w:r>
    </w:p>
    <w:p w14:paraId="3A3E4342" w14:textId="142F40EB" w:rsidR="005126B0" w:rsidRPr="003E3F67" w:rsidRDefault="005126B0" w:rsidP="00CE3329">
      <w:pPr>
        <w:pStyle w:val="CBDNormalNumber"/>
        <w:rPr>
          <w:lang w:eastAsia="zh-CN"/>
        </w:rPr>
      </w:pPr>
      <w:r w:rsidRPr="00017F3E">
        <w:t xml:space="preserve">In a </w:t>
      </w:r>
      <w:r w:rsidR="00B0508F" w:rsidRPr="00017F3E">
        <w:t xml:space="preserve">letter </w:t>
      </w:r>
      <w:r w:rsidR="0045779A" w:rsidRPr="00017F3E">
        <w:t xml:space="preserve">to the Executive Secretary of the Convention on Biological Diversity </w:t>
      </w:r>
      <w:r w:rsidR="00B0508F" w:rsidRPr="00017F3E">
        <w:t xml:space="preserve">dated 22 July 2024, the </w:t>
      </w:r>
      <w:r w:rsidR="00E92040" w:rsidRPr="00017F3E">
        <w:t xml:space="preserve">Executive Secretary of the Convention on Migratory Species of Wild Animals transmitted </w:t>
      </w:r>
      <w:r w:rsidR="00810F74" w:rsidRPr="00017F3E">
        <w:t xml:space="preserve">a </w:t>
      </w:r>
      <w:r w:rsidRPr="00017F3E">
        <w:t xml:space="preserve">resolution </w:t>
      </w:r>
      <w:r w:rsidR="008912B6" w:rsidRPr="00017F3E">
        <w:t>of</w:t>
      </w:r>
      <w:r w:rsidRPr="00017F3E">
        <w:t xml:space="preserve"> the Standing Committee of the </w:t>
      </w:r>
      <w:bookmarkStart w:id="1" w:name="_Hlk178020714"/>
      <w:r w:rsidRPr="00017F3E">
        <w:t xml:space="preserve">Convention on Migratory Species </w:t>
      </w:r>
      <w:bookmarkEnd w:id="1"/>
      <w:r w:rsidR="0032261B" w:rsidRPr="00017F3E">
        <w:t xml:space="preserve">containing such </w:t>
      </w:r>
      <w:r w:rsidRPr="00017F3E">
        <w:t>elements</w:t>
      </w:r>
      <w:r w:rsidR="0032261B" w:rsidRPr="00017F3E">
        <w:t>.</w:t>
      </w:r>
      <w:r w:rsidR="00CE3329">
        <w:t xml:space="preserve"> </w:t>
      </w:r>
      <w:r w:rsidR="00E32B3E" w:rsidRPr="00017F3E">
        <w:t xml:space="preserve">The relevant text of the resolution is reproduced </w:t>
      </w:r>
      <w:r w:rsidR="00A7628F" w:rsidRPr="00017F3E">
        <w:t>in the annex to the present note</w:t>
      </w:r>
      <w:r w:rsidR="00727C06">
        <w:t>,</w:t>
      </w:r>
      <w:r w:rsidR="00A7628F" w:rsidRPr="00017F3E">
        <w:t xml:space="preserve"> </w:t>
      </w:r>
      <w:r w:rsidR="00E32B3E" w:rsidRPr="00017F3E">
        <w:t xml:space="preserve">in the manner in which it was </w:t>
      </w:r>
      <w:r w:rsidR="00FB2D03">
        <w:t>received</w:t>
      </w:r>
      <w:r w:rsidR="00E32B3E" w:rsidRPr="00017F3E">
        <w:t>,</w:t>
      </w:r>
      <w:r w:rsidR="004711E8" w:rsidRPr="00017F3E">
        <w:rPr>
          <w:rStyle w:val="FootnoteReference"/>
        </w:rPr>
        <w:footnoteReference w:id="2"/>
      </w:r>
      <w:r w:rsidR="00E32B3E" w:rsidRPr="00017F3E">
        <w:t xml:space="preserve"> except for the fact that the subparagraphs have been numbered, for ease</w:t>
      </w:r>
      <w:r w:rsidR="00E32B3E" w:rsidRPr="00CE3329">
        <w:rPr>
          <w:rFonts w:asciiTheme="majorBidi" w:hAnsiTheme="majorBidi" w:cstheme="majorBidi"/>
          <w:szCs w:val="18"/>
        </w:rPr>
        <w:t xml:space="preserve"> of reference. The full text of the resolution will be made available as document CBD/COP/16/INF/27.</w:t>
      </w:r>
    </w:p>
    <w:p w14:paraId="2FAC28A1" w14:textId="77777777" w:rsidR="009E6880" w:rsidRDefault="009E6880" w:rsidP="003E3F67">
      <w:pPr>
        <w:autoSpaceDE w:val="0"/>
        <w:autoSpaceDN w:val="0"/>
        <w:adjustRightInd w:val="0"/>
        <w:spacing w:after="120"/>
        <w:ind w:left="567"/>
        <w:rPr>
          <w:rFonts w:asciiTheme="majorBidi" w:eastAsiaTheme="minorEastAsia" w:hAnsiTheme="majorBidi" w:cstheme="majorBidi"/>
          <w:i/>
          <w:iCs/>
          <w:color w:val="000000"/>
          <w:lang w:val="en-GB" w:eastAsia="zh-CN"/>
        </w:rPr>
        <w:sectPr w:rsidR="009E6880" w:rsidSect="003E3F67">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pPr>
    </w:p>
    <w:p w14:paraId="5A45FB29" w14:textId="77777777" w:rsidR="009E6880" w:rsidRPr="003A3B43" w:rsidRDefault="009E6880" w:rsidP="003E3F67">
      <w:pPr>
        <w:autoSpaceDE w:val="0"/>
        <w:autoSpaceDN w:val="0"/>
        <w:adjustRightInd w:val="0"/>
        <w:spacing w:after="120"/>
        <w:ind w:left="567"/>
        <w:rPr>
          <w:rFonts w:asciiTheme="majorBidi" w:eastAsiaTheme="minorEastAsia" w:hAnsiTheme="majorBidi" w:cstheme="majorBidi"/>
          <w:b/>
          <w:bCs/>
          <w:color w:val="000000"/>
          <w:sz w:val="24"/>
          <w:szCs w:val="24"/>
          <w:lang w:val="en-GB" w:eastAsia="zh-CN"/>
        </w:rPr>
      </w:pPr>
      <w:r w:rsidRPr="003A3B43">
        <w:rPr>
          <w:rFonts w:asciiTheme="majorBidi" w:eastAsiaTheme="minorEastAsia" w:hAnsiTheme="majorBidi" w:cstheme="majorBidi"/>
          <w:b/>
          <w:bCs/>
          <w:color w:val="000000"/>
          <w:sz w:val="24"/>
          <w:szCs w:val="24"/>
          <w:lang w:val="en-GB" w:eastAsia="zh-CN"/>
        </w:rPr>
        <w:t>Annex</w:t>
      </w:r>
    </w:p>
    <w:p w14:paraId="42E55221" w14:textId="57C3EAC9" w:rsidR="001A1CE7" w:rsidRPr="003A3B43" w:rsidRDefault="001A1CE7" w:rsidP="003A3B43">
      <w:pPr>
        <w:autoSpaceDE w:val="0"/>
        <w:autoSpaceDN w:val="0"/>
        <w:adjustRightInd w:val="0"/>
        <w:spacing w:after="120"/>
        <w:ind w:left="567"/>
        <w:jc w:val="left"/>
        <w:rPr>
          <w:rFonts w:asciiTheme="majorBidi" w:eastAsiaTheme="minorEastAsia" w:hAnsiTheme="majorBidi" w:cstheme="majorBidi"/>
          <w:color w:val="000000"/>
          <w:sz w:val="24"/>
          <w:szCs w:val="24"/>
          <w:lang w:eastAsia="zh-CN"/>
        </w:rPr>
      </w:pPr>
      <w:r w:rsidRPr="003A3B43">
        <w:rPr>
          <w:rFonts w:asciiTheme="majorBidi" w:eastAsiaTheme="minorEastAsia" w:hAnsiTheme="majorBidi" w:cstheme="majorBidi"/>
          <w:b/>
          <w:bCs/>
          <w:color w:val="000000"/>
          <w:sz w:val="24"/>
          <w:szCs w:val="24"/>
          <w:lang w:eastAsia="zh-CN"/>
        </w:rPr>
        <w:t xml:space="preserve">Except from the resolution of the Standing Committee of the Convention on Migratory Species of Wild Animals on elements of advice concerning the funding of national priorities for </w:t>
      </w:r>
      <w:r w:rsidR="006A36C3" w:rsidRPr="003A3B43">
        <w:rPr>
          <w:rFonts w:asciiTheme="majorBidi" w:eastAsiaTheme="minorEastAsia" w:hAnsiTheme="majorBidi" w:cstheme="majorBidi"/>
          <w:b/>
          <w:bCs/>
          <w:color w:val="000000"/>
          <w:sz w:val="24"/>
          <w:szCs w:val="24"/>
          <w:lang w:eastAsia="zh-CN"/>
        </w:rPr>
        <w:t xml:space="preserve">the Convention on Migratory Species </w:t>
      </w:r>
      <w:r w:rsidRPr="003A3B43">
        <w:rPr>
          <w:rFonts w:asciiTheme="majorBidi" w:eastAsiaTheme="minorEastAsia" w:hAnsiTheme="majorBidi" w:cstheme="majorBidi"/>
          <w:b/>
          <w:bCs/>
          <w:color w:val="000000"/>
          <w:sz w:val="24"/>
          <w:szCs w:val="24"/>
          <w:lang w:eastAsia="zh-CN"/>
        </w:rPr>
        <w:t xml:space="preserve">for the development of the four-year outcome-oriented framework of programme priorities for the ninth replenishment period of </w:t>
      </w:r>
      <w:r w:rsidR="00AC608C" w:rsidRPr="003A3B43">
        <w:rPr>
          <w:rFonts w:asciiTheme="majorBidi" w:eastAsiaTheme="minorEastAsia" w:hAnsiTheme="majorBidi" w:cstheme="majorBidi"/>
          <w:b/>
          <w:bCs/>
          <w:color w:val="000000"/>
          <w:sz w:val="24"/>
          <w:szCs w:val="24"/>
          <w:lang w:eastAsia="zh-CN"/>
        </w:rPr>
        <w:t xml:space="preserve">the </w:t>
      </w:r>
      <w:r w:rsidRPr="003A3B43">
        <w:rPr>
          <w:rFonts w:asciiTheme="majorBidi" w:eastAsiaTheme="minorEastAsia" w:hAnsiTheme="majorBidi" w:cstheme="majorBidi"/>
          <w:b/>
          <w:bCs/>
          <w:color w:val="000000"/>
          <w:sz w:val="24"/>
          <w:szCs w:val="24"/>
          <w:lang w:eastAsia="zh-CN"/>
        </w:rPr>
        <w:t>Global Environment Facility Trust Fund</w:t>
      </w:r>
      <w:r w:rsidR="00716713" w:rsidRPr="003A3B43">
        <w:rPr>
          <w:rFonts w:asciiTheme="majorBidi" w:eastAsiaTheme="minorEastAsia" w:hAnsiTheme="majorBidi" w:cstheme="majorBidi"/>
          <w:b/>
          <w:bCs/>
          <w:color w:val="000000"/>
          <w:sz w:val="24"/>
          <w:szCs w:val="24"/>
          <w:lang w:eastAsia="zh-CN"/>
        </w:rPr>
        <w:t>, for consideration at the sixteenth meeting of the Conference of the Parties to the Convention on Biological Diversity</w:t>
      </w:r>
    </w:p>
    <w:p w14:paraId="01A70AB4" w14:textId="65E2A51E" w:rsidR="005126B0" w:rsidRDefault="005126B0" w:rsidP="003E3F67">
      <w:pPr>
        <w:autoSpaceDE w:val="0"/>
        <w:autoSpaceDN w:val="0"/>
        <w:adjustRightInd w:val="0"/>
        <w:spacing w:after="120"/>
        <w:ind w:left="567"/>
        <w:rPr>
          <w:rFonts w:asciiTheme="majorBidi" w:eastAsiaTheme="minorEastAsia" w:hAnsiTheme="majorBidi" w:cstheme="majorBidi"/>
          <w:i/>
          <w:iCs/>
          <w:color w:val="000000"/>
          <w:lang w:val="en-GB" w:eastAsia="zh-CN"/>
        </w:rPr>
      </w:pPr>
      <w:r w:rsidRPr="003E3F67">
        <w:rPr>
          <w:rFonts w:asciiTheme="majorBidi" w:eastAsiaTheme="minorEastAsia" w:hAnsiTheme="majorBidi" w:cstheme="majorBidi"/>
          <w:i/>
          <w:iCs/>
          <w:color w:val="000000"/>
          <w:lang w:val="en-GB" w:eastAsia="zh-CN"/>
        </w:rPr>
        <w:t>The Standing Committee:</w:t>
      </w:r>
    </w:p>
    <w:p w14:paraId="484062F1" w14:textId="2E6E343A" w:rsidR="006A36C3" w:rsidRPr="003E3F67" w:rsidRDefault="006A36C3" w:rsidP="003E3F67">
      <w:pPr>
        <w:autoSpaceDE w:val="0"/>
        <w:autoSpaceDN w:val="0"/>
        <w:adjustRightInd w:val="0"/>
        <w:spacing w:after="120"/>
        <w:ind w:left="567"/>
        <w:rPr>
          <w:rFonts w:asciiTheme="majorBidi" w:eastAsiaTheme="minorEastAsia" w:hAnsiTheme="majorBidi" w:cstheme="majorBidi"/>
          <w:color w:val="000000"/>
          <w:lang w:val="en-GB" w:eastAsia="zh-CN"/>
        </w:rPr>
      </w:pPr>
      <w:r>
        <w:rPr>
          <w:rFonts w:asciiTheme="majorBidi" w:eastAsiaTheme="minorEastAsia" w:hAnsiTheme="majorBidi" w:cstheme="majorBidi"/>
          <w:i/>
          <w:iCs/>
          <w:color w:val="000000"/>
          <w:lang w:val="en-GB" w:eastAsia="zh-CN"/>
        </w:rPr>
        <w:t>…</w:t>
      </w:r>
    </w:p>
    <w:p w14:paraId="00525910" w14:textId="77777777" w:rsidR="005126B0" w:rsidRPr="003E3F67" w:rsidRDefault="005126B0" w:rsidP="003E3F67">
      <w:pPr>
        <w:tabs>
          <w:tab w:val="clear" w:pos="567"/>
        </w:tabs>
        <w:spacing w:before="120" w:after="120"/>
        <w:ind w:left="993"/>
        <w:rPr>
          <w:rFonts w:asciiTheme="majorBidi" w:eastAsiaTheme="minorEastAsia" w:hAnsiTheme="majorBidi" w:cstheme="majorBidi"/>
          <w:color w:val="000000"/>
          <w:lang w:val="en-GB" w:eastAsia="zh-CN"/>
        </w:rPr>
      </w:pPr>
      <w:r w:rsidRPr="003E3F67">
        <w:rPr>
          <w:rFonts w:asciiTheme="majorBidi" w:eastAsiaTheme="minorEastAsia" w:hAnsiTheme="majorBidi" w:cstheme="majorBidi"/>
          <w:color w:val="000000"/>
          <w:lang w:val="en-GB" w:eastAsia="zh-CN"/>
        </w:rPr>
        <w:t>4.</w:t>
      </w:r>
      <w:r w:rsidRPr="003E3F67">
        <w:rPr>
          <w:rFonts w:asciiTheme="majorBidi" w:eastAsiaTheme="minorEastAsia" w:hAnsiTheme="majorBidi" w:cstheme="majorBidi"/>
          <w:color w:val="000000"/>
          <w:lang w:val="en-GB" w:eastAsia="zh-CN"/>
        </w:rPr>
        <w:tab/>
      </w:r>
      <w:r w:rsidRPr="003E3F67">
        <w:rPr>
          <w:rFonts w:asciiTheme="majorBidi" w:eastAsiaTheme="minorEastAsia" w:hAnsiTheme="majorBidi" w:cstheme="majorBidi"/>
          <w:i/>
          <w:iCs/>
          <w:color w:val="000000"/>
          <w:lang w:val="en-GB" w:eastAsia="zh-CN"/>
        </w:rPr>
        <w:t xml:space="preserve">Invites </w:t>
      </w:r>
      <w:r w:rsidRPr="003E3F67">
        <w:rPr>
          <w:rFonts w:asciiTheme="majorBidi" w:eastAsiaTheme="minorEastAsia" w:hAnsiTheme="majorBidi" w:cstheme="majorBidi"/>
          <w:color w:val="000000"/>
          <w:lang w:val="en-GB" w:eastAsia="zh-CN"/>
        </w:rPr>
        <w:t xml:space="preserve">the CBD COP16 to consider the following elements in the development of the four-year </w:t>
      </w:r>
      <w:r w:rsidRPr="003E3F67">
        <w:rPr>
          <w:lang w:val="en-GB"/>
        </w:rPr>
        <w:t>outcome</w:t>
      </w:r>
      <w:r w:rsidRPr="003E3F67">
        <w:rPr>
          <w:rFonts w:asciiTheme="majorBidi" w:eastAsiaTheme="minorEastAsia" w:hAnsiTheme="majorBidi" w:cstheme="majorBidi"/>
          <w:color w:val="000000"/>
          <w:lang w:val="en-GB" w:eastAsia="zh-CN"/>
        </w:rPr>
        <w:t>-</w:t>
      </w:r>
      <w:r w:rsidRPr="003E3F67">
        <w:rPr>
          <w:lang w:val="en-GB"/>
        </w:rPr>
        <w:t>oriented</w:t>
      </w:r>
      <w:r w:rsidRPr="003E3F67">
        <w:rPr>
          <w:rFonts w:asciiTheme="majorBidi" w:eastAsiaTheme="minorEastAsia" w:hAnsiTheme="majorBidi" w:cstheme="majorBidi"/>
          <w:color w:val="000000"/>
          <w:lang w:val="en-GB" w:eastAsia="zh-CN"/>
        </w:rPr>
        <w:t xml:space="preserve"> framework of programme priorities for GEF-9. These elements, which derive from the SPMS, and other key CMS COP Resolutions, support the common objectives of CMS and CBD especially with respect to the GBF: </w:t>
      </w:r>
    </w:p>
    <w:p w14:paraId="722F5ABB" w14:textId="77777777" w:rsidR="005126B0" w:rsidRPr="003E3F67" w:rsidRDefault="005126B0" w:rsidP="003E3F67">
      <w:pPr>
        <w:numPr>
          <w:ilvl w:val="0"/>
          <w:numId w:val="41"/>
        </w:numPr>
        <w:tabs>
          <w:tab w:val="clear" w:pos="567"/>
        </w:tabs>
        <w:spacing w:before="120" w:after="120"/>
        <w:ind w:left="993" w:firstLine="564"/>
        <w:rPr>
          <w:rFonts w:asciiTheme="majorBidi" w:eastAsiaTheme="minorEastAsia" w:hAnsiTheme="majorBidi" w:cstheme="majorBidi"/>
          <w:color w:val="000000"/>
          <w:lang w:val="en-GB" w:eastAsia="zh-CN"/>
        </w:rPr>
      </w:pPr>
      <w:r w:rsidRPr="003E3F67">
        <w:rPr>
          <w:rFonts w:asciiTheme="majorBidi" w:eastAsiaTheme="minorEastAsia" w:hAnsiTheme="majorBidi" w:cstheme="majorBidi"/>
          <w:color w:val="000000"/>
          <w:lang w:val="en-GB" w:eastAsia="zh-CN"/>
        </w:rPr>
        <w:t xml:space="preserve">Improving monitoring, data collection and analysis of species population sizes and trends, </w:t>
      </w:r>
      <w:r w:rsidRPr="003E3F67">
        <w:rPr>
          <w:lang w:val="en-GB"/>
        </w:rPr>
        <w:t>migration</w:t>
      </w:r>
      <w:r w:rsidRPr="003E3F67">
        <w:rPr>
          <w:rFonts w:asciiTheme="majorBidi" w:eastAsiaTheme="minorEastAsia" w:hAnsiTheme="majorBidi" w:cstheme="majorBidi"/>
          <w:color w:val="000000"/>
          <w:lang w:val="en-GB" w:eastAsia="zh-CN"/>
        </w:rPr>
        <w:t xml:space="preserve"> patterns </w:t>
      </w:r>
      <w:r w:rsidRPr="003E3F67">
        <w:rPr>
          <w:lang w:val="en-GB"/>
        </w:rPr>
        <w:t>and</w:t>
      </w:r>
      <w:r w:rsidRPr="003E3F67">
        <w:rPr>
          <w:rFonts w:asciiTheme="majorBidi" w:eastAsiaTheme="minorEastAsia" w:hAnsiTheme="majorBidi" w:cstheme="majorBidi"/>
          <w:color w:val="000000"/>
          <w:lang w:val="en-GB" w:eastAsia="zh-CN"/>
        </w:rPr>
        <w:t xml:space="preserve"> distribution, habitats, critical sites areas, corridors and networked sites that are of greatest global importance for the conservation of migratory species, including through modules of the CMS Atlas on Animal Migration, as well as of threats and drivers of population changes with view to achieving GBF Target 21 and in line with SPMS Targets 4.1, 5.2, 5.3, 6.1 and 6.2 and in line with CBD/COP/15/5; </w:t>
      </w:r>
    </w:p>
    <w:p w14:paraId="1DB8ABD0" w14:textId="77777777" w:rsidR="005126B0" w:rsidRPr="003E3F67" w:rsidRDefault="005126B0"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en-GB" w:eastAsia="zh-CN"/>
        </w:rPr>
      </w:pPr>
      <w:r w:rsidRPr="003E3F67">
        <w:rPr>
          <w:rFonts w:asciiTheme="majorBidi" w:eastAsiaTheme="minorEastAsia" w:hAnsiTheme="majorBidi" w:cstheme="majorBidi"/>
          <w:color w:val="000000"/>
          <w:lang w:val="en-GB" w:eastAsia="zh-CN"/>
        </w:rPr>
        <w:t xml:space="preserve">Supporting </w:t>
      </w:r>
      <w:r w:rsidRPr="003E3F67">
        <w:rPr>
          <w:lang w:val="en-GB"/>
        </w:rPr>
        <w:t>countries</w:t>
      </w:r>
      <w:r w:rsidRPr="003E3F67">
        <w:rPr>
          <w:rFonts w:asciiTheme="majorBidi" w:eastAsiaTheme="minorEastAsia" w:hAnsiTheme="majorBidi" w:cstheme="majorBidi"/>
          <w:color w:val="000000"/>
          <w:lang w:val="en-GB" w:eastAsia="zh-CN"/>
        </w:rPr>
        <w:t xml:space="preserve"> in setting up, strengthening and enforcing their legal frameworks for the </w:t>
      </w:r>
      <w:r w:rsidRPr="003E3F67">
        <w:rPr>
          <w:lang w:val="en-GB"/>
        </w:rPr>
        <w:t>conservation</w:t>
      </w:r>
      <w:r w:rsidRPr="003E3F67">
        <w:rPr>
          <w:rFonts w:asciiTheme="majorBidi" w:eastAsiaTheme="minorEastAsia" w:hAnsiTheme="majorBidi" w:cstheme="majorBidi"/>
          <w:color w:val="000000"/>
          <w:lang w:val="en-GB" w:eastAsia="zh-CN"/>
        </w:rPr>
        <w:t xml:space="preserve"> of wildlife and their habitats including by integrating the commitments of CMS Parties in the revision and updating of NBSAPs and other national planning processes, development plans and related budgets for the effective implementation of the GBF (Resolutions 14.3) and in line, CBD Decisions 15/6 and 15/13, GBF Target 14 and SPMS Targets 5.1, 5.4, 5.5 and </w:t>
      </w:r>
      <w:proofErr w:type="gramStart"/>
      <w:r w:rsidRPr="003E3F67">
        <w:rPr>
          <w:rFonts w:asciiTheme="majorBidi" w:eastAsiaTheme="minorEastAsia" w:hAnsiTheme="majorBidi" w:cstheme="majorBidi"/>
          <w:color w:val="000000"/>
          <w:lang w:val="en-GB" w:eastAsia="zh-CN"/>
        </w:rPr>
        <w:t>6.4;</w:t>
      </w:r>
      <w:proofErr w:type="gramEnd"/>
      <w:r w:rsidRPr="003E3F67">
        <w:rPr>
          <w:rFonts w:asciiTheme="majorBidi" w:eastAsiaTheme="minorEastAsia" w:hAnsiTheme="majorBidi" w:cstheme="majorBidi"/>
          <w:color w:val="000000"/>
          <w:lang w:val="en-GB" w:eastAsia="zh-CN"/>
        </w:rPr>
        <w:t xml:space="preserve"> </w:t>
      </w:r>
    </w:p>
    <w:p w14:paraId="50A3F98B" w14:textId="77777777" w:rsidR="005126B0" w:rsidRPr="003E3F67" w:rsidRDefault="005126B0"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en-GB" w:eastAsia="zh-CN"/>
        </w:rPr>
      </w:pPr>
      <w:r w:rsidRPr="003E3F67">
        <w:rPr>
          <w:rFonts w:asciiTheme="majorBidi" w:eastAsiaTheme="minorEastAsia" w:hAnsiTheme="majorBidi" w:cstheme="majorBidi"/>
          <w:color w:val="000000"/>
          <w:lang w:val="en-GB" w:eastAsia="zh-CN"/>
        </w:rPr>
        <w:t xml:space="preserve">Prioritizing </w:t>
      </w:r>
      <w:r w:rsidRPr="003E3F67">
        <w:rPr>
          <w:lang w:val="en-GB"/>
        </w:rPr>
        <w:t>Important</w:t>
      </w:r>
      <w:r w:rsidRPr="003E3F67">
        <w:rPr>
          <w:rFonts w:asciiTheme="majorBidi" w:eastAsiaTheme="minorEastAsia" w:hAnsiTheme="majorBidi" w:cstheme="majorBidi"/>
          <w:color w:val="000000"/>
          <w:lang w:val="en-GB" w:eastAsia="zh-CN"/>
        </w:rPr>
        <w:t xml:space="preserve"> Marine Mammal Areas as identified by the IUCN Joint Species Survival </w:t>
      </w:r>
      <w:r w:rsidRPr="003E3F67">
        <w:rPr>
          <w:lang w:val="en-GB"/>
        </w:rPr>
        <w:t>Commission</w:t>
      </w:r>
      <w:r w:rsidRPr="003E3F67">
        <w:rPr>
          <w:rFonts w:asciiTheme="majorBidi" w:eastAsiaTheme="minorEastAsia" w:hAnsiTheme="majorBidi" w:cstheme="majorBidi"/>
          <w:color w:val="000000"/>
          <w:lang w:val="en-GB" w:eastAsia="zh-CN"/>
        </w:rPr>
        <w:t xml:space="preserve">/World Commission on Protected Areas (SSC/WCPA) Marine Mammal Protected Areas Task Force (Resolution 12.13) and Important Shark and Ray Areas as identified by the IUCN SSC Shark Specialist Group (Resolution 14.7) in marine spatial planning, and in particular with view to achieving GBF Targets 1, 2, 3, and in line with SPMS Targets 2.1, 2.2, 2.3, and 3.2; </w:t>
      </w:r>
    </w:p>
    <w:p w14:paraId="3DA91F11" w14:textId="77777777" w:rsidR="005126B0" w:rsidRPr="003E3F67" w:rsidRDefault="005126B0"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en-GB" w:eastAsia="zh-CN"/>
        </w:rPr>
      </w:pPr>
      <w:r w:rsidRPr="003E3F67">
        <w:rPr>
          <w:rFonts w:asciiTheme="majorBidi" w:eastAsiaTheme="minorEastAsia" w:hAnsiTheme="majorBidi" w:cstheme="majorBidi"/>
          <w:color w:val="000000"/>
          <w:lang w:val="en-GB" w:eastAsia="zh-CN"/>
        </w:rPr>
        <w:t xml:space="preserve">Promoting ecological </w:t>
      </w:r>
      <w:r w:rsidRPr="003E3F67">
        <w:rPr>
          <w:lang w:val="en-GB"/>
        </w:rPr>
        <w:t>connectivity</w:t>
      </w:r>
      <w:r w:rsidRPr="003E3F67">
        <w:rPr>
          <w:rFonts w:asciiTheme="majorBidi" w:eastAsiaTheme="minorEastAsia" w:hAnsiTheme="majorBidi" w:cstheme="majorBidi"/>
          <w:color w:val="000000"/>
          <w:lang w:val="en-GB" w:eastAsia="zh-CN"/>
        </w:rPr>
        <w:t xml:space="preserve">, especially for the conservation and sustainable </w:t>
      </w:r>
      <w:r w:rsidRPr="003E3F67">
        <w:rPr>
          <w:lang w:val="en-GB"/>
        </w:rPr>
        <w:t>management</w:t>
      </w:r>
      <w:r w:rsidRPr="003E3F67">
        <w:rPr>
          <w:rFonts w:asciiTheme="majorBidi" w:eastAsiaTheme="minorEastAsia" w:hAnsiTheme="majorBidi" w:cstheme="majorBidi"/>
          <w:color w:val="000000"/>
          <w:lang w:val="en-GB" w:eastAsia="zh-CN"/>
        </w:rPr>
        <w:t xml:space="preserve"> of migratory species and their habitats, (Resolution 14.16) through for instance restoring and maintaining global flyways (Resolutions 12.11 (Rev.COP14) and 14.13) and the creation and official designation of biological corridors for the jaguar (Resolution 14.14) with view to achieving GBF Goal A and Targets 2, 3 and 12 and in line with SPMS Targets 2.1, 2.2, 3.2 and 5.4; </w:t>
      </w:r>
    </w:p>
    <w:p w14:paraId="1C19934A" w14:textId="77777777" w:rsidR="005126B0" w:rsidRPr="003E3F67" w:rsidRDefault="005126B0"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en-GB" w:eastAsia="zh-CN"/>
        </w:rPr>
      </w:pPr>
      <w:r w:rsidRPr="003E3F67">
        <w:rPr>
          <w:rFonts w:asciiTheme="majorBidi" w:eastAsiaTheme="minorEastAsia" w:hAnsiTheme="majorBidi" w:cstheme="majorBidi"/>
          <w:color w:val="000000"/>
          <w:lang w:val="en-GB" w:eastAsia="zh-CN"/>
        </w:rPr>
        <w:t xml:space="preserve">Supporting regional and </w:t>
      </w:r>
      <w:r w:rsidRPr="003E3F67">
        <w:rPr>
          <w:lang w:val="en-GB"/>
        </w:rPr>
        <w:t>transboundary</w:t>
      </w:r>
      <w:r w:rsidRPr="003E3F67">
        <w:rPr>
          <w:rFonts w:asciiTheme="majorBidi" w:eastAsiaTheme="minorEastAsia" w:hAnsiTheme="majorBidi" w:cstheme="majorBidi"/>
          <w:color w:val="000000"/>
          <w:lang w:val="en-GB" w:eastAsia="zh-CN"/>
        </w:rPr>
        <w:t xml:space="preserve"> mechanisms and initiatives or global programmes and integrated approaches that support species migration systems including through international cooperation in line with the GBF and CBD Decisions 15/6 and 15/13 and SPMS Targets 5.1, 5.5 and 6.4 for example through advancing cooperative programmes such as the Joint CITES-CMS African Carnivores Initiative, (Resolution 13.4</w:t>
      </w:r>
      <w:proofErr w:type="gramStart"/>
      <w:r w:rsidRPr="003E3F67">
        <w:rPr>
          <w:rFonts w:asciiTheme="majorBidi" w:eastAsiaTheme="minorEastAsia" w:hAnsiTheme="majorBidi" w:cstheme="majorBidi"/>
          <w:color w:val="000000"/>
          <w:lang w:val="en-GB" w:eastAsia="zh-CN"/>
        </w:rPr>
        <w:t>);</w:t>
      </w:r>
      <w:proofErr w:type="gramEnd"/>
      <w:r w:rsidRPr="003E3F67">
        <w:rPr>
          <w:rFonts w:asciiTheme="majorBidi" w:eastAsiaTheme="minorEastAsia" w:hAnsiTheme="majorBidi" w:cstheme="majorBidi"/>
          <w:color w:val="000000"/>
          <w:lang w:val="en-GB" w:eastAsia="zh-CN"/>
        </w:rPr>
        <w:t xml:space="preserve"> </w:t>
      </w:r>
    </w:p>
    <w:p w14:paraId="1C3435A2" w14:textId="77777777" w:rsidR="005126B0" w:rsidRPr="003E3F67" w:rsidRDefault="005126B0"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en-GB" w:eastAsia="zh-CN"/>
        </w:rPr>
      </w:pPr>
      <w:r w:rsidRPr="003E3F67">
        <w:rPr>
          <w:lang w:val="en-GB"/>
        </w:rPr>
        <w:t>Supporting</w:t>
      </w:r>
      <w:r w:rsidRPr="003E3F67">
        <w:rPr>
          <w:rFonts w:asciiTheme="majorBidi" w:eastAsiaTheme="minorEastAsia" w:hAnsiTheme="majorBidi" w:cstheme="majorBidi"/>
          <w:color w:val="000000"/>
          <w:lang w:val="en-GB" w:eastAsia="zh-CN"/>
        </w:rPr>
        <w:t xml:space="preserve"> activities to reduce </w:t>
      </w:r>
      <w:r w:rsidRPr="003E3F67">
        <w:rPr>
          <w:lang w:val="en-GB"/>
        </w:rPr>
        <w:t>risk</w:t>
      </w:r>
      <w:r w:rsidRPr="003E3F67">
        <w:rPr>
          <w:rFonts w:asciiTheme="majorBidi" w:eastAsiaTheme="minorEastAsia" w:hAnsiTheme="majorBidi" w:cstheme="majorBidi"/>
          <w:color w:val="000000"/>
          <w:lang w:val="en-GB" w:eastAsia="zh-CN"/>
        </w:rPr>
        <w:t xml:space="preserve"> of the emergence of zoonotic diseases by addressing habitat fragmentation and destruction and risks from the direct use of migratory species (Resolution 12.6 (Rev.COP14)) with view to achieving GBF Targets 1 and 5 and in line with SPMS Target </w:t>
      </w:r>
      <w:proofErr w:type="gramStart"/>
      <w:r w:rsidRPr="003E3F67">
        <w:rPr>
          <w:rFonts w:asciiTheme="majorBidi" w:eastAsiaTheme="minorEastAsia" w:hAnsiTheme="majorBidi" w:cstheme="majorBidi"/>
          <w:color w:val="000000"/>
          <w:lang w:val="en-GB" w:eastAsia="zh-CN"/>
        </w:rPr>
        <w:t>3.1;</w:t>
      </w:r>
      <w:proofErr w:type="gramEnd"/>
      <w:r w:rsidRPr="003E3F67">
        <w:rPr>
          <w:rFonts w:asciiTheme="majorBidi" w:eastAsiaTheme="minorEastAsia" w:hAnsiTheme="majorBidi" w:cstheme="majorBidi"/>
          <w:color w:val="000000"/>
          <w:lang w:val="en-GB" w:eastAsia="zh-CN"/>
        </w:rPr>
        <w:t xml:space="preserve"> </w:t>
      </w:r>
    </w:p>
    <w:p w14:paraId="19FA40BA" w14:textId="77777777" w:rsidR="005126B0" w:rsidRPr="003E3F67" w:rsidRDefault="005126B0"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en-GB" w:eastAsia="zh-CN"/>
        </w:rPr>
      </w:pPr>
      <w:r w:rsidRPr="003E3F67">
        <w:rPr>
          <w:rFonts w:asciiTheme="majorBidi" w:eastAsiaTheme="minorEastAsia" w:hAnsiTheme="majorBidi" w:cstheme="majorBidi"/>
          <w:color w:val="000000"/>
          <w:lang w:val="en-GB" w:eastAsia="zh-CN"/>
        </w:rPr>
        <w:t xml:space="preserve">Supporting </w:t>
      </w:r>
      <w:r w:rsidRPr="003E3F67">
        <w:rPr>
          <w:lang w:val="en-GB"/>
        </w:rPr>
        <w:t>the</w:t>
      </w:r>
      <w:r w:rsidRPr="003E3F67">
        <w:rPr>
          <w:rFonts w:asciiTheme="majorBidi" w:eastAsiaTheme="minorEastAsia" w:hAnsiTheme="majorBidi" w:cstheme="majorBidi"/>
          <w:color w:val="000000"/>
          <w:lang w:val="en-GB" w:eastAsia="zh-CN"/>
        </w:rPr>
        <w:t xml:space="preserve"> effective </w:t>
      </w:r>
      <w:r w:rsidRPr="003E3F67">
        <w:rPr>
          <w:lang w:val="en-GB"/>
        </w:rPr>
        <w:t>implementation</w:t>
      </w:r>
      <w:r w:rsidRPr="003E3F67">
        <w:rPr>
          <w:rFonts w:asciiTheme="majorBidi" w:eastAsiaTheme="minorEastAsia" w:hAnsiTheme="majorBidi" w:cstheme="majorBidi"/>
          <w:color w:val="000000"/>
          <w:lang w:val="en-GB" w:eastAsia="zh-CN"/>
        </w:rPr>
        <w:t xml:space="preserve">, monitoring, and review of the GBF, at all levels, in line with the GBF and CBD Decisions 15/6 and </w:t>
      </w:r>
      <w:proofErr w:type="gramStart"/>
      <w:r w:rsidRPr="003E3F67">
        <w:rPr>
          <w:rFonts w:asciiTheme="majorBidi" w:eastAsiaTheme="minorEastAsia" w:hAnsiTheme="majorBidi" w:cstheme="majorBidi"/>
          <w:color w:val="000000"/>
          <w:lang w:val="en-GB" w:eastAsia="zh-CN"/>
        </w:rPr>
        <w:t>15/13;</w:t>
      </w:r>
      <w:proofErr w:type="gramEnd"/>
      <w:r w:rsidRPr="003E3F67">
        <w:rPr>
          <w:rFonts w:asciiTheme="majorBidi" w:eastAsiaTheme="minorEastAsia" w:hAnsiTheme="majorBidi" w:cstheme="majorBidi"/>
          <w:color w:val="000000"/>
          <w:lang w:val="en-GB" w:eastAsia="zh-CN"/>
        </w:rPr>
        <w:t xml:space="preserve"> </w:t>
      </w:r>
    </w:p>
    <w:p w14:paraId="3091CDE1" w14:textId="77777777" w:rsidR="005126B0" w:rsidRPr="003E3F67" w:rsidRDefault="005126B0"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en-GB" w:eastAsia="zh-CN"/>
        </w:rPr>
      </w:pPr>
      <w:r w:rsidRPr="003E3F67">
        <w:rPr>
          <w:rFonts w:asciiTheme="majorBidi" w:eastAsiaTheme="minorEastAsia" w:hAnsiTheme="majorBidi" w:cstheme="majorBidi"/>
          <w:color w:val="000000"/>
          <w:lang w:val="en-GB" w:eastAsia="zh-CN"/>
        </w:rPr>
        <w:t xml:space="preserve">Reducing the impact of climate change on migratory species and their habitats through mitigation and adaptation, including through nature-based solutions and/or ecosystem-based approaches and disaster risk reduction actions, while minimizing negative and fostering positive impacts on biodiversity (Resolution 12.21 (Rev.COP14)) with view to achieving GBF Target 8 and in line with SPMS Target </w:t>
      </w:r>
      <w:proofErr w:type="gramStart"/>
      <w:r w:rsidRPr="003E3F67">
        <w:rPr>
          <w:rFonts w:asciiTheme="majorBidi" w:eastAsiaTheme="minorEastAsia" w:hAnsiTheme="majorBidi" w:cstheme="majorBidi"/>
          <w:color w:val="000000"/>
          <w:lang w:val="en-GB" w:eastAsia="zh-CN"/>
        </w:rPr>
        <w:t>3.4;</w:t>
      </w:r>
      <w:proofErr w:type="gramEnd"/>
      <w:r w:rsidRPr="003E3F67">
        <w:rPr>
          <w:rFonts w:asciiTheme="majorBidi" w:eastAsiaTheme="minorEastAsia" w:hAnsiTheme="majorBidi" w:cstheme="majorBidi"/>
          <w:color w:val="000000"/>
          <w:lang w:val="en-GB" w:eastAsia="zh-CN"/>
        </w:rPr>
        <w:t xml:space="preserve"> </w:t>
      </w:r>
    </w:p>
    <w:p w14:paraId="6493EDF4" w14:textId="77777777" w:rsidR="005126B0" w:rsidRPr="003E3F67" w:rsidRDefault="005126B0"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en-GB" w:eastAsia="zh-CN"/>
        </w:rPr>
      </w:pPr>
      <w:r w:rsidRPr="003E3F67">
        <w:rPr>
          <w:rFonts w:asciiTheme="majorBidi" w:eastAsiaTheme="minorEastAsia" w:hAnsiTheme="majorBidi" w:cstheme="majorBidi"/>
          <w:color w:val="000000"/>
          <w:lang w:val="en-GB" w:eastAsia="zh-CN"/>
        </w:rPr>
        <w:t xml:space="preserve">Supporting governments to </w:t>
      </w:r>
      <w:r w:rsidRPr="003E3F67">
        <w:rPr>
          <w:lang w:val="en-GB"/>
        </w:rPr>
        <w:t>strengthen</w:t>
      </w:r>
      <w:r w:rsidRPr="003E3F67">
        <w:rPr>
          <w:rFonts w:asciiTheme="majorBidi" w:eastAsiaTheme="minorEastAsia" w:hAnsiTheme="majorBidi" w:cstheme="majorBidi"/>
          <w:color w:val="000000"/>
          <w:lang w:val="en-GB" w:eastAsia="zh-CN"/>
        </w:rPr>
        <w:t xml:space="preserve"> conservation, restoration and management measures for seagrass </w:t>
      </w:r>
      <w:r w:rsidRPr="003E3F67">
        <w:rPr>
          <w:lang w:val="en-GB"/>
        </w:rPr>
        <w:t>ecosystems</w:t>
      </w:r>
      <w:r w:rsidRPr="003E3F67">
        <w:rPr>
          <w:rFonts w:asciiTheme="majorBidi" w:eastAsiaTheme="minorEastAsia" w:hAnsiTheme="majorBidi" w:cstheme="majorBidi"/>
          <w:color w:val="000000"/>
          <w:lang w:val="en-GB" w:eastAsia="zh-CN"/>
        </w:rPr>
        <w:t xml:space="preserve"> and associated migratory species globally, and to conduct regular monitoring, research and data-collection on these ecosystems (Resolution 14.8), with view to achieving GBF Targets 1, 2 and 3 and in line with SPMS Targets 2.1, 2.2, 3.2 and </w:t>
      </w:r>
      <w:proofErr w:type="gramStart"/>
      <w:r w:rsidRPr="003E3F67">
        <w:rPr>
          <w:rFonts w:asciiTheme="majorBidi" w:eastAsiaTheme="minorEastAsia" w:hAnsiTheme="majorBidi" w:cstheme="majorBidi"/>
          <w:color w:val="000000"/>
          <w:lang w:val="en-GB" w:eastAsia="zh-CN"/>
        </w:rPr>
        <w:t>5.4;</w:t>
      </w:r>
      <w:proofErr w:type="gramEnd"/>
      <w:r w:rsidRPr="003E3F67">
        <w:rPr>
          <w:rFonts w:asciiTheme="majorBidi" w:eastAsiaTheme="minorEastAsia" w:hAnsiTheme="majorBidi" w:cstheme="majorBidi"/>
          <w:color w:val="000000"/>
          <w:lang w:val="en-GB" w:eastAsia="zh-CN"/>
        </w:rPr>
        <w:t xml:space="preserve"> </w:t>
      </w:r>
    </w:p>
    <w:p w14:paraId="1A1C92D8" w14:textId="77777777" w:rsidR="005126B0" w:rsidRPr="003E3F67" w:rsidRDefault="005126B0" w:rsidP="003E3F67">
      <w:pPr>
        <w:numPr>
          <w:ilvl w:val="0"/>
          <w:numId w:val="41"/>
        </w:numPr>
        <w:tabs>
          <w:tab w:val="clear" w:pos="567"/>
        </w:tabs>
        <w:spacing w:before="120" w:after="120"/>
        <w:ind w:left="1134" w:firstLine="564"/>
        <w:rPr>
          <w:rFonts w:asciiTheme="majorBidi" w:eastAsiaTheme="minorEastAsia" w:hAnsiTheme="majorBidi" w:cstheme="majorBidi"/>
          <w:lang w:val="en-GB" w:eastAsia="zh-CN"/>
        </w:rPr>
      </w:pPr>
      <w:r w:rsidRPr="003E3F67">
        <w:rPr>
          <w:rFonts w:asciiTheme="majorBidi" w:eastAsiaTheme="minorEastAsia" w:hAnsiTheme="majorBidi" w:cstheme="majorBidi"/>
          <w:color w:val="000000"/>
          <w:lang w:val="en-GB" w:eastAsia="zh-CN"/>
        </w:rPr>
        <w:t xml:space="preserve">Reducing the adverse impacts on wild animals from on- and offshore energy installations and linear infrastructure, including roads, railways, fences, wind turbines, solar farms, power lines and </w:t>
      </w:r>
      <w:r w:rsidRPr="003E3F67">
        <w:rPr>
          <w:lang w:val="en-GB"/>
        </w:rPr>
        <w:t>pipelines</w:t>
      </w:r>
      <w:r w:rsidRPr="003E3F67">
        <w:rPr>
          <w:rFonts w:asciiTheme="majorBidi" w:eastAsiaTheme="minorEastAsia" w:hAnsiTheme="majorBidi" w:cstheme="majorBidi"/>
          <w:color w:val="000000"/>
          <w:lang w:val="en-GB" w:eastAsia="zh-CN"/>
        </w:rPr>
        <w:t xml:space="preserve"> (Resolutions 10.11 (Rev.COP13), 11.24 (Rev.COP13) and 11.27 (Rev.COP13), and Decisions 14.207 and 14.208) and integrate migratory wildlife considerations into any spatial planning including in strategic and environmental impact assessments (Resolution 7.2 (Rev.COP14)) with </w:t>
      </w:r>
      <w:r w:rsidRPr="003E3F67">
        <w:rPr>
          <w:rFonts w:asciiTheme="majorBidi" w:eastAsiaTheme="minorEastAsia" w:hAnsiTheme="majorBidi" w:cstheme="majorBidi"/>
          <w:lang w:val="en-GB" w:eastAsia="zh-CN"/>
        </w:rPr>
        <w:t xml:space="preserve">GBF Targets 1, 8, 12 and 14 and in line with SPMS Targets 3.2 and 5.4; </w:t>
      </w:r>
    </w:p>
    <w:p w14:paraId="553A1CD8" w14:textId="77777777" w:rsidR="005126B0" w:rsidRPr="003E3F67" w:rsidRDefault="005126B0" w:rsidP="003E3F67">
      <w:pPr>
        <w:numPr>
          <w:ilvl w:val="0"/>
          <w:numId w:val="41"/>
        </w:numPr>
        <w:tabs>
          <w:tab w:val="clear" w:pos="567"/>
        </w:tabs>
        <w:spacing w:before="120" w:after="120"/>
        <w:ind w:left="1134" w:firstLine="564"/>
        <w:rPr>
          <w:rFonts w:asciiTheme="majorBidi" w:eastAsiaTheme="minorEastAsia" w:hAnsiTheme="majorBidi" w:cstheme="majorBidi"/>
          <w:lang w:val="en-GB" w:eastAsia="zh-CN"/>
        </w:rPr>
      </w:pPr>
      <w:r w:rsidRPr="003E3F67">
        <w:rPr>
          <w:rFonts w:asciiTheme="majorBidi" w:eastAsiaTheme="minorEastAsia" w:hAnsiTheme="majorBidi" w:cstheme="majorBidi"/>
          <w:lang w:val="en-GB" w:eastAsia="zh-CN"/>
        </w:rPr>
        <w:t xml:space="preserve">Promoting sustainable and </w:t>
      </w:r>
      <w:r w:rsidRPr="003E3F67">
        <w:rPr>
          <w:lang w:val="en-GB"/>
        </w:rPr>
        <w:t>biodiversity</w:t>
      </w:r>
      <w:r w:rsidRPr="003E3F67">
        <w:rPr>
          <w:rFonts w:asciiTheme="majorBidi" w:eastAsiaTheme="minorEastAsia" w:hAnsiTheme="majorBidi" w:cstheme="majorBidi"/>
          <w:lang w:val="en-GB" w:eastAsia="zh-CN"/>
        </w:rPr>
        <w:t xml:space="preserve">-friendly practices in agriculture, such as extensive farming, to create </w:t>
      </w:r>
      <w:proofErr w:type="spellStart"/>
      <w:r w:rsidRPr="003E3F67">
        <w:rPr>
          <w:rFonts w:asciiTheme="majorBidi" w:eastAsiaTheme="minorEastAsia" w:hAnsiTheme="majorBidi" w:cstheme="majorBidi"/>
          <w:lang w:val="en-GB" w:eastAsia="zh-CN"/>
        </w:rPr>
        <w:t>agri</w:t>
      </w:r>
      <w:proofErr w:type="spellEnd"/>
      <w:r w:rsidRPr="003E3F67">
        <w:rPr>
          <w:rFonts w:asciiTheme="majorBidi" w:eastAsiaTheme="minorEastAsia" w:hAnsiTheme="majorBidi" w:cstheme="majorBidi"/>
          <w:lang w:val="en-GB" w:eastAsia="zh-CN"/>
        </w:rPr>
        <w:t xml:space="preserve">-ecosystems for the benefit of both the migratory species depending on </w:t>
      </w:r>
      <w:r w:rsidRPr="003E3F67">
        <w:rPr>
          <w:lang w:val="en-GB"/>
        </w:rPr>
        <w:t>agricultural</w:t>
      </w:r>
      <w:r w:rsidRPr="003E3F67">
        <w:rPr>
          <w:rFonts w:asciiTheme="majorBidi" w:eastAsiaTheme="minorEastAsia" w:hAnsiTheme="majorBidi" w:cstheme="majorBidi"/>
          <w:lang w:val="en-GB" w:eastAsia="zh-CN"/>
        </w:rPr>
        <w:t xml:space="preserve"> land and contributing to the resilience and long-term efficiency and productivity of these production systems and to food security, with a view to achieving GBF Target 10 and in line with SPMS Targets 2.3, 2.5 and 3.3. </w:t>
      </w:r>
    </w:p>
    <w:p w14:paraId="31716309" w14:textId="77777777" w:rsidR="005126B0" w:rsidRPr="003E3F67" w:rsidRDefault="005126B0" w:rsidP="003E3F67">
      <w:pPr>
        <w:numPr>
          <w:ilvl w:val="0"/>
          <w:numId w:val="41"/>
        </w:numPr>
        <w:tabs>
          <w:tab w:val="clear" w:pos="567"/>
        </w:tabs>
        <w:spacing w:before="120" w:after="120"/>
        <w:ind w:left="1134" w:firstLine="564"/>
        <w:rPr>
          <w:rFonts w:asciiTheme="majorBidi" w:eastAsiaTheme="minorEastAsia" w:hAnsiTheme="majorBidi" w:cstheme="majorBidi"/>
          <w:lang w:val="en-GB" w:eastAsia="zh-CN"/>
        </w:rPr>
      </w:pPr>
      <w:r w:rsidRPr="003E3F67">
        <w:rPr>
          <w:rFonts w:asciiTheme="majorBidi" w:eastAsiaTheme="minorEastAsia" w:hAnsiTheme="majorBidi" w:cstheme="majorBidi"/>
          <w:lang w:val="en-GB" w:eastAsia="zh-CN"/>
        </w:rPr>
        <w:t xml:space="preserve">Addressing illegal and unsustainable taking of wildlife, including for terrestrial and aquatic wild meat, belief-based uses and in </w:t>
      </w:r>
      <w:r w:rsidRPr="003E3F67">
        <w:rPr>
          <w:lang w:val="en-GB"/>
        </w:rPr>
        <w:t>retaliation</w:t>
      </w:r>
      <w:r w:rsidRPr="003E3F67">
        <w:rPr>
          <w:rFonts w:asciiTheme="majorBidi" w:eastAsiaTheme="minorEastAsia" w:hAnsiTheme="majorBidi" w:cstheme="majorBidi"/>
          <w:lang w:val="en-GB" w:eastAsia="zh-CN"/>
        </w:rPr>
        <w:t xml:space="preserve">, strengthening anti-poaching efforts, including through regional approaches for tackling the illegal killing of birds (Resolutions 12.15, 11.31 (Rev.COP14), 11.16 (Rev.COP14), 11.18 (Rev.COP14) and 12.10 (Rev.COP14)) with view to achieving GBF Targets 5 and 9 and in line with SPMS Targets 1.2, 3.1 and 5.1; </w:t>
      </w:r>
    </w:p>
    <w:p w14:paraId="65F11E91" w14:textId="77777777" w:rsidR="005126B0" w:rsidRPr="003E3F67" w:rsidRDefault="005126B0" w:rsidP="003E3F67">
      <w:pPr>
        <w:numPr>
          <w:ilvl w:val="0"/>
          <w:numId w:val="41"/>
        </w:numPr>
        <w:tabs>
          <w:tab w:val="clear" w:pos="567"/>
        </w:tabs>
        <w:spacing w:before="120" w:after="120"/>
        <w:ind w:left="1134" w:firstLine="564"/>
        <w:rPr>
          <w:rFonts w:asciiTheme="majorBidi" w:eastAsiaTheme="minorEastAsia" w:hAnsiTheme="majorBidi" w:cstheme="majorBidi"/>
          <w:lang w:val="en-GB" w:eastAsia="zh-CN"/>
        </w:rPr>
      </w:pPr>
      <w:r w:rsidRPr="003E3F67">
        <w:rPr>
          <w:rFonts w:asciiTheme="majorBidi" w:eastAsiaTheme="minorEastAsia" w:hAnsiTheme="majorBidi" w:cstheme="majorBidi"/>
          <w:lang w:val="en-GB" w:eastAsia="zh-CN"/>
        </w:rPr>
        <w:t xml:space="preserve">Reducing poisoning of wildlife caused by use of pesticides, poison baits, veterinary pharmaceutical treatments, lead in ammunition </w:t>
      </w:r>
      <w:r w:rsidRPr="003E3F67">
        <w:rPr>
          <w:lang w:val="en-GB"/>
        </w:rPr>
        <w:t>and</w:t>
      </w:r>
      <w:r w:rsidRPr="003E3F67">
        <w:rPr>
          <w:rFonts w:asciiTheme="majorBidi" w:eastAsiaTheme="minorEastAsia" w:hAnsiTheme="majorBidi" w:cstheme="majorBidi"/>
          <w:lang w:val="en-GB" w:eastAsia="zh-CN"/>
        </w:rPr>
        <w:t xml:space="preserve"> fishing weights as well as light and noise </w:t>
      </w:r>
      <w:r w:rsidRPr="003E3F67">
        <w:rPr>
          <w:lang w:val="en-GB"/>
        </w:rPr>
        <w:t>pollution</w:t>
      </w:r>
      <w:r w:rsidRPr="003E3F67">
        <w:rPr>
          <w:rFonts w:asciiTheme="majorBidi" w:eastAsiaTheme="minorEastAsia" w:hAnsiTheme="majorBidi" w:cstheme="majorBidi"/>
          <w:lang w:val="en-GB" w:eastAsia="zh-CN"/>
        </w:rPr>
        <w:t xml:space="preserve"> and pollution in the marine environment through marine debris, noise and unexploded ordinance (Resolutions 12.20, 11.15 (Rev.COP14) and 13.5 (Rev.COP14)) with view to achieving GBF Target 7 and in line with SPMS Target </w:t>
      </w:r>
      <w:proofErr w:type="gramStart"/>
      <w:r w:rsidRPr="003E3F67">
        <w:rPr>
          <w:rFonts w:asciiTheme="majorBidi" w:eastAsiaTheme="minorEastAsia" w:hAnsiTheme="majorBidi" w:cstheme="majorBidi"/>
          <w:lang w:val="en-GB" w:eastAsia="zh-CN"/>
        </w:rPr>
        <w:t>3.3;</w:t>
      </w:r>
      <w:proofErr w:type="gramEnd"/>
      <w:r w:rsidRPr="003E3F67">
        <w:rPr>
          <w:rFonts w:asciiTheme="majorBidi" w:eastAsiaTheme="minorEastAsia" w:hAnsiTheme="majorBidi" w:cstheme="majorBidi"/>
          <w:lang w:val="en-GB" w:eastAsia="zh-CN"/>
        </w:rPr>
        <w:t xml:space="preserve"> </w:t>
      </w:r>
    </w:p>
    <w:p w14:paraId="6E2E99C2" w14:textId="77777777" w:rsidR="005126B0" w:rsidRPr="003E3F67" w:rsidRDefault="005126B0" w:rsidP="003E3F67">
      <w:pPr>
        <w:numPr>
          <w:ilvl w:val="0"/>
          <w:numId w:val="41"/>
        </w:numPr>
        <w:tabs>
          <w:tab w:val="clear" w:pos="567"/>
        </w:tabs>
        <w:spacing w:before="120" w:after="120"/>
        <w:ind w:left="1134" w:firstLine="564"/>
        <w:rPr>
          <w:rFonts w:asciiTheme="majorBidi" w:eastAsiaTheme="minorEastAsia" w:hAnsiTheme="majorBidi" w:cstheme="majorBidi"/>
          <w:lang w:val="en-GB" w:eastAsia="zh-CN"/>
        </w:rPr>
      </w:pPr>
      <w:r w:rsidRPr="003E3F67">
        <w:rPr>
          <w:lang w:val="en-GB"/>
        </w:rPr>
        <w:t>Minimizing</w:t>
      </w:r>
      <w:r w:rsidRPr="003E3F67">
        <w:rPr>
          <w:rFonts w:asciiTheme="majorBidi" w:eastAsiaTheme="minorEastAsia" w:hAnsiTheme="majorBidi" w:cstheme="majorBidi"/>
          <w:lang w:val="en-GB" w:eastAsia="zh-CN"/>
        </w:rPr>
        <w:t xml:space="preserve"> bycatch of CMS-listed marine species and reducing post-release mortality (Resolution 12.22) with view to achieving </w:t>
      </w:r>
      <w:r w:rsidRPr="003E3F67">
        <w:rPr>
          <w:lang w:val="en-GB"/>
        </w:rPr>
        <w:t>GBF</w:t>
      </w:r>
      <w:r w:rsidRPr="003E3F67">
        <w:rPr>
          <w:rFonts w:asciiTheme="majorBidi" w:eastAsiaTheme="minorEastAsia" w:hAnsiTheme="majorBidi" w:cstheme="majorBidi"/>
          <w:lang w:val="en-GB" w:eastAsia="zh-CN"/>
        </w:rPr>
        <w:t xml:space="preserve"> Target 5 and in line with SPMS Target 3.1. </w:t>
      </w:r>
    </w:p>
    <w:p w14:paraId="348ECFA6" w14:textId="7D0D924D" w:rsidR="002B559C" w:rsidRPr="004701EE" w:rsidRDefault="003E3F67" w:rsidP="003E3F67">
      <w:pPr>
        <w:pStyle w:val="Para1"/>
        <w:numPr>
          <w:ilvl w:val="0"/>
          <w:numId w:val="0"/>
        </w:numPr>
        <w:tabs>
          <w:tab w:val="clear" w:pos="567"/>
        </w:tabs>
        <w:jc w:val="center"/>
      </w:pPr>
      <w:r w:rsidRPr="003E3F67">
        <w:t>__________</w:t>
      </w:r>
    </w:p>
    <w:sectPr w:rsidR="002B559C" w:rsidRPr="004701EE" w:rsidSect="003E3F6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5C4ED0" w14:textId="77777777" w:rsidR="00F93C91" w:rsidRDefault="00F93C91" w:rsidP="00A96B21">
      <w:r>
        <w:separator/>
      </w:r>
    </w:p>
  </w:endnote>
  <w:endnote w:type="continuationSeparator" w:id="0">
    <w:p w14:paraId="15D35C82" w14:textId="77777777" w:rsidR="00F93C91" w:rsidRDefault="00F93C91"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854798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3785C98"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31B8B4" w14:textId="77777777" w:rsidR="00F93C91" w:rsidRDefault="00F93C91" w:rsidP="00A96B21">
      <w:r>
        <w:separator/>
      </w:r>
    </w:p>
  </w:footnote>
  <w:footnote w:type="continuationSeparator" w:id="0">
    <w:p w14:paraId="564584AF" w14:textId="77777777" w:rsidR="00F93C91" w:rsidRDefault="00F93C91" w:rsidP="00A96B21">
      <w:r>
        <w:continuationSeparator/>
      </w:r>
    </w:p>
  </w:footnote>
  <w:footnote w:id="1">
    <w:p w14:paraId="42B4CE23" w14:textId="77777777" w:rsidR="00A96B21" w:rsidRPr="00723D37" w:rsidRDefault="00A96B21" w:rsidP="00D71FFB">
      <w:pPr>
        <w:pStyle w:val="Footnote"/>
      </w:pPr>
      <w:r>
        <w:rPr>
          <w:rStyle w:val="FootnoteReference"/>
        </w:rPr>
        <w:t>*</w:t>
      </w:r>
      <w:r>
        <w:t xml:space="preserve"> </w:t>
      </w:r>
      <w:r w:rsidRPr="00723D37">
        <w:t>CBD</w:t>
      </w:r>
      <w:r w:rsidR="00A00234" w:rsidRPr="00723D37">
        <w:t>/COP/16/1.</w:t>
      </w:r>
    </w:p>
  </w:footnote>
  <w:footnote w:id="2">
    <w:p w14:paraId="77262B01" w14:textId="3F6A4E1A" w:rsidR="004711E8" w:rsidRDefault="004711E8">
      <w:pPr>
        <w:pStyle w:val="FootnoteText"/>
      </w:pPr>
      <w:r>
        <w:rPr>
          <w:rStyle w:val="FootnoteReference"/>
        </w:rPr>
        <w:footnoteRef/>
      </w:r>
      <w:r>
        <w:t xml:space="preserve"> The French and Spanish translations have also been provided by the Secretariat of the </w:t>
      </w:r>
      <w:r w:rsidRPr="003E3F67">
        <w:rPr>
          <w:lang w:eastAsia="zh-CN"/>
        </w:rPr>
        <w:t>Convention on Migratory Species</w:t>
      </w:r>
      <w:r>
        <w:rPr>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3D788943" w14:textId="197A4CB5" w:rsidR="00A00234" w:rsidRDefault="00F93C91" w:rsidP="00017F3E">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A56A4" w:rsidRPr="00A00234">
          <w:rPr>
            <w:szCs w:val="20"/>
            <w:lang w:val="fr-FR"/>
          </w:rPr>
          <w:t>CBD</w:t>
        </w:r>
        <w:r w:rsidR="009A56A4">
          <w:rPr>
            <w:szCs w:val="20"/>
            <w:lang w:val="fr-FR"/>
          </w:rPr>
          <w:t>/</w:t>
        </w:r>
        <w:r w:rsidR="009A56A4" w:rsidRPr="00A00234">
          <w:rPr>
            <w:szCs w:val="20"/>
            <w:lang w:val="fr-FR"/>
          </w:rPr>
          <w:t>COP/16/</w:t>
        </w:r>
        <w:r w:rsidR="009A56A4">
          <w:rPr>
            <w:szCs w:val="20"/>
            <w:lang w:val="fr-FR"/>
          </w:rPr>
          <w:t>6/Add.2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0051B62" w14:textId="56362588" w:rsidR="002B559C" w:rsidRPr="002B559C" w:rsidRDefault="009A56A4" w:rsidP="002B559C">
        <w:pPr>
          <w:pStyle w:val="Header"/>
          <w:spacing w:after="240"/>
          <w:jc w:val="right"/>
          <w:rPr>
            <w:szCs w:val="20"/>
            <w:lang w:val="fr-FR"/>
          </w:rPr>
        </w:pPr>
        <w:r>
          <w:rPr>
            <w:szCs w:val="20"/>
            <w:lang w:val="fr-FR"/>
          </w:rPr>
          <w:t>CBD/COP/16/6/Add.2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01AD3" w14:textId="77777777" w:rsidR="003E3F67" w:rsidRDefault="003E3F67" w:rsidP="003E3F6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EA74EFB"/>
    <w:multiLevelType w:val="hybridMultilevel"/>
    <w:tmpl w:val="C1045E3A"/>
    <w:lvl w:ilvl="0" w:tplc="A1083DA8">
      <w:start w:val="1"/>
      <w:numFmt w:val="lowerLetter"/>
      <w:lvlText w:val="(%1)"/>
      <w:lvlJc w:val="left"/>
      <w:pPr>
        <w:ind w:left="1704" w:hanging="570"/>
      </w:p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44772445">
    <w:abstractNumId w:val="5"/>
  </w:num>
  <w:num w:numId="2" w16cid:durableId="1234774855">
    <w:abstractNumId w:val="13"/>
  </w:num>
  <w:num w:numId="3" w16cid:durableId="1359549534">
    <w:abstractNumId w:val="16"/>
  </w:num>
  <w:num w:numId="4" w16cid:durableId="864295982">
    <w:abstractNumId w:val="0"/>
  </w:num>
  <w:num w:numId="5" w16cid:durableId="245845641">
    <w:abstractNumId w:val="1"/>
  </w:num>
  <w:num w:numId="6" w16cid:durableId="348530364">
    <w:abstractNumId w:val="1"/>
  </w:num>
  <w:num w:numId="7" w16cid:durableId="425728702">
    <w:abstractNumId w:val="3"/>
  </w:num>
  <w:num w:numId="8" w16cid:durableId="798306334">
    <w:abstractNumId w:val="8"/>
  </w:num>
  <w:num w:numId="9" w16cid:durableId="1278759272">
    <w:abstractNumId w:val="12"/>
  </w:num>
  <w:num w:numId="10" w16cid:durableId="23092812">
    <w:abstractNumId w:val="11"/>
  </w:num>
  <w:num w:numId="11" w16cid:durableId="674529273">
    <w:abstractNumId w:val="7"/>
  </w:num>
  <w:num w:numId="12" w16cid:durableId="858158665">
    <w:abstractNumId w:val="2"/>
  </w:num>
  <w:num w:numId="13" w16cid:durableId="1025906232">
    <w:abstractNumId w:val="2"/>
    <w:lvlOverride w:ilvl="0">
      <w:startOverride w:val="1"/>
    </w:lvlOverride>
  </w:num>
  <w:num w:numId="14" w16cid:durableId="1166634413">
    <w:abstractNumId w:val="10"/>
  </w:num>
  <w:num w:numId="15" w16cid:durableId="696780346">
    <w:abstractNumId w:val="10"/>
    <w:lvlOverride w:ilvl="0">
      <w:startOverride w:val="1"/>
    </w:lvlOverride>
  </w:num>
  <w:num w:numId="16" w16cid:durableId="1677881985">
    <w:abstractNumId w:val="13"/>
    <w:lvlOverride w:ilvl="0">
      <w:startOverride w:val="1"/>
    </w:lvlOverride>
  </w:num>
  <w:num w:numId="17" w16cid:durableId="850951053">
    <w:abstractNumId w:val="10"/>
    <w:lvlOverride w:ilvl="0">
      <w:startOverride w:val="1"/>
    </w:lvlOverride>
  </w:num>
  <w:num w:numId="18" w16cid:durableId="1464613218">
    <w:abstractNumId w:val="17"/>
  </w:num>
  <w:num w:numId="19" w16cid:durableId="844713941">
    <w:abstractNumId w:val="13"/>
    <w:lvlOverride w:ilvl="0">
      <w:startOverride w:val="1"/>
    </w:lvlOverride>
  </w:num>
  <w:num w:numId="20" w16cid:durableId="1074813262">
    <w:abstractNumId w:val="13"/>
    <w:lvlOverride w:ilvl="0">
      <w:startOverride w:val="1"/>
    </w:lvlOverride>
  </w:num>
  <w:num w:numId="21" w16cid:durableId="1846822043">
    <w:abstractNumId w:val="9"/>
  </w:num>
  <w:num w:numId="22" w16cid:durableId="973407634">
    <w:abstractNumId w:val="6"/>
  </w:num>
  <w:num w:numId="23" w16cid:durableId="465896926">
    <w:abstractNumId w:val="14"/>
  </w:num>
  <w:num w:numId="24" w16cid:durableId="535387824">
    <w:abstractNumId w:val="14"/>
  </w:num>
  <w:num w:numId="25" w16cid:durableId="1645812501">
    <w:abstractNumId w:val="14"/>
  </w:num>
  <w:num w:numId="26" w16cid:durableId="1096629772">
    <w:abstractNumId w:val="14"/>
  </w:num>
  <w:num w:numId="27" w16cid:durableId="587469365">
    <w:abstractNumId w:val="14"/>
  </w:num>
  <w:num w:numId="28" w16cid:durableId="142938438">
    <w:abstractNumId w:val="14"/>
  </w:num>
  <w:num w:numId="29" w16cid:durableId="306203618">
    <w:abstractNumId w:val="15"/>
  </w:num>
  <w:num w:numId="30" w16cid:durableId="118569321">
    <w:abstractNumId w:val="15"/>
  </w:num>
  <w:num w:numId="31" w16cid:durableId="1795977458">
    <w:abstractNumId w:val="15"/>
  </w:num>
  <w:num w:numId="32" w16cid:durableId="151264062">
    <w:abstractNumId w:val="15"/>
  </w:num>
  <w:num w:numId="33" w16cid:durableId="1606036267">
    <w:abstractNumId w:val="6"/>
  </w:num>
  <w:num w:numId="34" w16cid:durableId="764691788">
    <w:abstractNumId w:val="6"/>
  </w:num>
  <w:num w:numId="35" w16cid:durableId="1942177575">
    <w:abstractNumId w:val="6"/>
  </w:num>
  <w:num w:numId="36" w16cid:durableId="1318918168">
    <w:abstractNumId w:val="6"/>
  </w:num>
  <w:num w:numId="37" w16cid:durableId="1949504156">
    <w:abstractNumId w:val="6"/>
  </w:num>
  <w:num w:numId="38" w16cid:durableId="1489858309">
    <w:abstractNumId w:val="6"/>
  </w:num>
  <w:num w:numId="39" w16cid:durableId="94794728">
    <w:abstractNumId w:val="6"/>
  </w:num>
  <w:num w:numId="40" w16cid:durableId="46491111">
    <w:abstractNumId w:val="6"/>
  </w:num>
  <w:num w:numId="41" w16cid:durableId="18805863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4EC"/>
    <w:rsid w:val="00017F3E"/>
    <w:rsid w:val="0003770F"/>
    <w:rsid w:val="00040598"/>
    <w:rsid w:val="000A1E1E"/>
    <w:rsid w:val="000B6CC1"/>
    <w:rsid w:val="000C2779"/>
    <w:rsid w:val="000D1BD9"/>
    <w:rsid w:val="000E6132"/>
    <w:rsid w:val="000F13C5"/>
    <w:rsid w:val="000F552F"/>
    <w:rsid w:val="000F6CE7"/>
    <w:rsid w:val="00132581"/>
    <w:rsid w:val="001454DA"/>
    <w:rsid w:val="00184909"/>
    <w:rsid w:val="001A1CE7"/>
    <w:rsid w:val="001A2527"/>
    <w:rsid w:val="001D7501"/>
    <w:rsid w:val="0021769D"/>
    <w:rsid w:val="00272A04"/>
    <w:rsid w:val="002B00CA"/>
    <w:rsid w:val="002B559C"/>
    <w:rsid w:val="00310608"/>
    <w:rsid w:val="00320581"/>
    <w:rsid w:val="0032261B"/>
    <w:rsid w:val="00323F22"/>
    <w:rsid w:val="003476A9"/>
    <w:rsid w:val="00352D19"/>
    <w:rsid w:val="003874EC"/>
    <w:rsid w:val="003A3B43"/>
    <w:rsid w:val="003B2B5C"/>
    <w:rsid w:val="003C6F10"/>
    <w:rsid w:val="003E3F67"/>
    <w:rsid w:val="00441498"/>
    <w:rsid w:val="0045779A"/>
    <w:rsid w:val="004701EE"/>
    <w:rsid w:val="004711E8"/>
    <w:rsid w:val="00480A8D"/>
    <w:rsid w:val="004A2A2D"/>
    <w:rsid w:val="00504F1B"/>
    <w:rsid w:val="0051039A"/>
    <w:rsid w:val="005126B0"/>
    <w:rsid w:val="00537248"/>
    <w:rsid w:val="005515EC"/>
    <w:rsid w:val="00595A79"/>
    <w:rsid w:val="005A206E"/>
    <w:rsid w:val="005C0058"/>
    <w:rsid w:val="005E1D50"/>
    <w:rsid w:val="005E2605"/>
    <w:rsid w:val="00610A32"/>
    <w:rsid w:val="00647A93"/>
    <w:rsid w:val="00657ED6"/>
    <w:rsid w:val="006A36C3"/>
    <w:rsid w:val="006B293D"/>
    <w:rsid w:val="006E0825"/>
    <w:rsid w:val="006E5651"/>
    <w:rsid w:val="006F5CEC"/>
    <w:rsid w:val="00716713"/>
    <w:rsid w:val="00720648"/>
    <w:rsid w:val="00723D37"/>
    <w:rsid w:val="00727C06"/>
    <w:rsid w:val="0073735D"/>
    <w:rsid w:val="0075018F"/>
    <w:rsid w:val="0076622F"/>
    <w:rsid w:val="0077423F"/>
    <w:rsid w:val="007C77BC"/>
    <w:rsid w:val="00804510"/>
    <w:rsid w:val="00810F74"/>
    <w:rsid w:val="00816580"/>
    <w:rsid w:val="00874541"/>
    <w:rsid w:val="00880330"/>
    <w:rsid w:val="008912B6"/>
    <w:rsid w:val="008B64F1"/>
    <w:rsid w:val="008E0581"/>
    <w:rsid w:val="00935461"/>
    <w:rsid w:val="009459E3"/>
    <w:rsid w:val="00995DDC"/>
    <w:rsid w:val="009A56A4"/>
    <w:rsid w:val="009C1114"/>
    <w:rsid w:val="009E6880"/>
    <w:rsid w:val="00A00234"/>
    <w:rsid w:val="00A34F4A"/>
    <w:rsid w:val="00A51387"/>
    <w:rsid w:val="00A54FA0"/>
    <w:rsid w:val="00A63EB0"/>
    <w:rsid w:val="00A7628F"/>
    <w:rsid w:val="00A96B21"/>
    <w:rsid w:val="00AC5C9C"/>
    <w:rsid w:val="00AC608C"/>
    <w:rsid w:val="00AE1A95"/>
    <w:rsid w:val="00AF609C"/>
    <w:rsid w:val="00B0508F"/>
    <w:rsid w:val="00B36EA9"/>
    <w:rsid w:val="00B37B1D"/>
    <w:rsid w:val="00B47BB1"/>
    <w:rsid w:val="00B62508"/>
    <w:rsid w:val="00B66E91"/>
    <w:rsid w:val="00B93533"/>
    <w:rsid w:val="00BA028B"/>
    <w:rsid w:val="00BC575E"/>
    <w:rsid w:val="00C2354A"/>
    <w:rsid w:val="00C70E54"/>
    <w:rsid w:val="00CE3329"/>
    <w:rsid w:val="00CF70AB"/>
    <w:rsid w:val="00D002F4"/>
    <w:rsid w:val="00D3059B"/>
    <w:rsid w:val="00D60046"/>
    <w:rsid w:val="00D71FFB"/>
    <w:rsid w:val="00DC0F6B"/>
    <w:rsid w:val="00E1597C"/>
    <w:rsid w:val="00E32B3E"/>
    <w:rsid w:val="00E740AC"/>
    <w:rsid w:val="00E92040"/>
    <w:rsid w:val="00EB1DF4"/>
    <w:rsid w:val="00EB286A"/>
    <w:rsid w:val="00ED3849"/>
    <w:rsid w:val="00F258FB"/>
    <w:rsid w:val="00F337B8"/>
    <w:rsid w:val="00F43FED"/>
    <w:rsid w:val="00F75F90"/>
    <w:rsid w:val="00F82D41"/>
    <w:rsid w:val="00F93C91"/>
    <w:rsid w:val="00FA18C9"/>
    <w:rsid w:val="00FB2D03"/>
    <w:rsid w:val="00FC23F0"/>
    <w:rsid w:val="00FF518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8E0A0"/>
  <w15:chartTrackingRefBased/>
  <w15:docId w15:val="{90218D75-FCDE-410C-8B04-FDCC08FA2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B9353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126B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BalloonText">
    <w:name w:val="Balloon Text"/>
    <w:basedOn w:val="Normal"/>
    <w:link w:val="BalloonTextChar"/>
    <w:uiPriority w:val="99"/>
    <w:semiHidden/>
    <w:unhideWhenUsed/>
    <w:rsid w:val="008045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4510"/>
    <w:rPr>
      <w:rFonts w:ascii="Segoe UI" w:eastAsia="SimSun" w:hAnsi="Segoe UI" w:cs="Segoe UI"/>
      <w:kern w:val="0"/>
      <w:sz w:val="18"/>
      <w:szCs w:val="18"/>
      <w:lang w:val="en-US"/>
      <w14:ligatures w14:val="none"/>
    </w:rPr>
  </w:style>
  <w:style w:type="paragraph" w:styleId="Revision">
    <w:name w:val="Revision"/>
    <w:hidden/>
    <w:uiPriority w:val="99"/>
    <w:semiHidden/>
    <w:rsid w:val="00C70E54"/>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A58299-1591-440C-A44A-D1467AC91627}">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template-cop-16-en.dotm</Template>
  <TotalTime>2</TotalTime>
  <Pages>1</Pages>
  <Words>1181</Words>
  <Characters>6679</Characters>
  <Application>Microsoft Office Word</Application>
  <DocSecurity>0</DocSecurity>
  <Lines>91</Lines>
  <Paragraphs>26</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document</dc:title>
  <dc:subject>CBD/COP/16/6/Add.2</dc:subject>
  <dc:creator>Veronique Lefebvre</dc:creator>
  <cp:keywords>Conference of the Parties to the Convention on Biological Diversity</cp:keywords>
  <dc:description/>
  <cp:lastModifiedBy>Veronique Lefebvre</cp:lastModifiedBy>
  <cp:revision>4</cp:revision>
  <dcterms:created xsi:type="dcterms:W3CDTF">2024-09-25T19:12:00Z</dcterms:created>
  <dcterms:modified xsi:type="dcterms:W3CDTF">2024-09-25T19:14:00Z</dcterms:modified>
</cp:coreProperties>
</file>