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4136"/>
        <w:gridCol w:w="1341"/>
        <w:gridCol w:w="3802"/>
        <w:gridCol w:w="74"/>
      </w:tblGrid>
      <w:tr w:rsidR="00EB0C3D" w:rsidRPr="004E37CB" w14:paraId="008219E6" w14:textId="77777777" w:rsidTr="00EB0C3D">
        <w:trPr>
          <w:trHeight w:val="844"/>
        </w:trPr>
        <w:tc>
          <w:tcPr>
            <w:tcW w:w="976" w:type="dxa"/>
            <w:tcBorders>
              <w:bottom w:val="single" w:sz="12" w:space="0" w:color="auto"/>
            </w:tcBorders>
          </w:tcPr>
          <w:p w14:paraId="128967C8" w14:textId="77777777" w:rsidR="00EB0C3D" w:rsidRPr="004E37CB" w:rsidRDefault="00EB0C3D" w:rsidP="00704471">
            <w:pPr>
              <w:suppressLineNumbers/>
              <w:suppressAutoHyphens/>
              <w:rPr>
                <w:kern w:val="22"/>
              </w:rPr>
            </w:pPr>
            <w:bookmarkStart w:id="0" w:name="_Hlk505247837"/>
            <w:r w:rsidRPr="004E37CB">
              <w:rPr>
                <w:noProof/>
                <w:lang w:val="en-US" w:eastAsia="en-US"/>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35984750" w:rsidR="00EB0C3D" w:rsidRPr="004E37CB" w:rsidRDefault="00907F09" w:rsidP="00704471">
            <w:pPr>
              <w:suppressLineNumbers/>
              <w:suppressAutoHyphens/>
              <w:rPr>
                <w:kern w:val="22"/>
              </w:rPr>
            </w:pPr>
            <w:r w:rsidRPr="004E37CB">
              <w:rPr>
                <w:noProof/>
                <w:lang w:val="en-US" w:eastAsia="en-US"/>
              </w:rPr>
              <w:drawing>
                <wp:anchor distT="0" distB="0" distL="114300" distR="114300" simplePos="0" relativeHeight="251660289" behindDoc="0" locked="0" layoutInCell="1" allowOverlap="1" wp14:anchorId="2DF4A2CD" wp14:editId="619C84DB">
                  <wp:simplePos x="0" y="0"/>
                  <wp:positionH relativeFrom="column">
                    <wp:posOffset>59055</wp:posOffset>
                  </wp:positionH>
                  <wp:positionV relativeFrom="paragraph">
                    <wp:posOffset>30480</wp:posOffset>
                  </wp:positionV>
                  <wp:extent cx="690245" cy="3937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245" cy="3937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gridSpan w:val="2"/>
            <w:tcBorders>
              <w:bottom w:val="single" w:sz="12" w:space="0" w:color="auto"/>
            </w:tcBorders>
          </w:tcPr>
          <w:p w14:paraId="2646ADB1" w14:textId="77777777" w:rsidR="00EB0C3D" w:rsidRPr="004E37CB" w:rsidRDefault="00EB0C3D" w:rsidP="00704471">
            <w:pPr>
              <w:suppressLineNumbers/>
              <w:suppressAutoHyphens/>
              <w:jc w:val="right"/>
              <w:rPr>
                <w:rFonts w:ascii="Arial" w:hAnsi="Arial" w:cs="Arial"/>
                <w:b/>
                <w:kern w:val="22"/>
                <w:sz w:val="32"/>
                <w:szCs w:val="32"/>
              </w:rPr>
            </w:pPr>
            <w:r w:rsidRPr="004E37CB">
              <w:rPr>
                <w:rFonts w:ascii="Arial" w:hAnsi="Arial"/>
                <w:b/>
                <w:sz w:val="32"/>
                <w:szCs w:val="32"/>
              </w:rPr>
              <w:t>CBD</w:t>
            </w:r>
          </w:p>
        </w:tc>
      </w:tr>
      <w:bookmarkEnd w:id="0"/>
      <w:tr w:rsidR="00C9161D" w:rsidRPr="004E37CB" w14:paraId="7BEA68FA" w14:textId="77777777" w:rsidTr="00EB0C3D">
        <w:trPr>
          <w:gridAfter w:val="1"/>
          <w:wAfter w:w="108" w:type="dxa"/>
        </w:trPr>
        <w:tc>
          <w:tcPr>
            <w:tcW w:w="4776" w:type="dxa"/>
            <w:gridSpan w:val="2"/>
            <w:tcBorders>
              <w:top w:val="single" w:sz="12" w:space="0" w:color="auto"/>
              <w:bottom w:val="single" w:sz="36" w:space="0" w:color="auto"/>
            </w:tcBorders>
            <w:vAlign w:val="center"/>
          </w:tcPr>
          <w:p w14:paraId="41CCC389" w14:textId="37361D8E" w:rsidR="00C9161D" w:rsidRPr="004E37CB" w:rsidRDefault="00907F09" w:rsidP="00704471">
            <w:pPr>
              <w:suppressLineNumbers/>
              <w:suppressAutoHyphens/>
              <w:kinsoku w:val="0"/>
              <w:overflowPunct w:val="0"/>
              <w:autoSpaceDE w:val="0"/>
              <w:autoSpaceDN w:val="0"/>
              <w:rPr>
                <w:snapToGrid w:val="0"/>
                <w:kern w:val="22"/>
                <w:sz w:val="22"/>
                <w:szCs w:val="22"/>
              </w:rPr>
            </w:pPr>
            <w:r w:rsidRPr="004E37CB">
              <w:rPr>
                <w:noProof/>
                <w:kern w:val="22"/>
                <w:lang w:val="en-US" w:eastAsia="en-US"/>
              </w:rPr>
              <w:drawing>
                <wp:inline distT="0" distB="0" distL="0" distR="0" wp14:anchorId="321899F1" wp14:editId="74D685B8">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Distr.</w:t>
            </w:r>
          </w:p>
          <w:p w14:paraId="3B83A012" w14:textId="77777777" w:rsidR="00C9161D" w:rsidRPr="004E37CB" w:rsidRDefault="00C60D15" w:rsidP="00704471">
            <w:pPr>
              <w:suppressLineNumbers/>
              <w:suppressAutoHyphens/>
              <w:kinsoku w:val="0"/>
              <w:overflowPunct w:val="0"/>
              <w:autoSpaceDE w:val="0"/>
              <w:autoSpaceDN w:val="0"/>
              <w:ind w:left="2103"/>
              <w:rPr>
                <w:snapToGrid w:val="0"/>
                <w:kern w:val="22"/>
                <w:sz w:val="22"/>
                <w:szCs w:val="22"/>
              </w:rPr>
            </w:pPr>
            <w:sdt>
              <w:sdtPr>
                <w:rPr>
                  <w:caps/>
                  <w:snapToGrid w:val="0"/>
                  <w:kern w:val="22"/>
                  <w:sz w:val="22"/>
                  <w:szCs w:val="22"/>
                </w:rPr>
                <w:alias w:val="GENERAL"/>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871" w:rsidRPr="004E37CB">
                  <w:rPr>
                    <w:caps/>
                    <w:snapToGrid w:val="0"/>
                    <w:kern w:val="22"/>
                    <w:sz w:val="22"/>
                    <w:szCs w:val="22"/>
                  </w:rPr>
                  <w:t>GENERAL</w:t>
                </w:r>
              </w:sdtContent>
            </w:sdt>
          </w:p>
          <w:p w14:paraId="43A0ADBA" w14:textId="77777777" w:rsidR="00C9161D" w:rsidRPr="004E37CB" w:rsidRDefault="00C9161D" w:rsidP="00704471">
            <w:pPr>
              <w:suppressLineNumbers/>
              <w:suppressAutoHyphens/>
              <w:kinsoku w:val="0"/>
              <w:overflowPunct w:val="0"/>
              <w:autoSpaceDE w:val="0"/>
              <w:autoSpaceDN w:val="0"/>
              <w:ind w:left="2103"/>
              <w:rPr>
                <w:snapToGrid w:val="0"/>
                <w:kern w:val="22"/>
                <w:sz w:val="22"/>
                <w:szCs w:val="22"/>
              </w:rPr>
            </w:pPr>
          </w:p>
          <w:p w14:paraId="06359496" w14:textId="6321584B" w:rsidR="00C9161D" w:rsidRPr="004E37CB" w:rsidRDefault="00C60D15" w:rsidP="00704471">
            <w:pPr>
              <w:suppressLineNumbers/>
              <w:suppressAutoHyphens/>
              <w:kinsoku w:val="0"/>
              <w:overflowPunct w:val="0"/>
              <w:autoSpaceDE w:val="0"/>
              <w:autoSpaceDN w:val="0"/>
              <w:ind w:left="2103"/>
              <w:rPr>
                <w:snapToGrid w:val="0"/>
                <w:kern w:val="22"/>
                <w:sz w:val="22"/>
                <w:szCs w:val="22"/>
              </w:rPr>
            </w:pPr>
            <w:sdt>
              <w:sdtPr>
                <w:rPr>
                  <w:bCs/>
                  <w:snapToGrid w:val="0"/>
                  <w:kern w:val="2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06572" w:rsidRPr="004E37CB">
                  <w:rPr>
                    <w:bCs/>
                    <w:snapToGrid w:val="0"/>
                    <w:kern w:val="22"/>
                    <w:sz w:val="22"/>
                    <w:szCs w:val="22"/>
                  </w:rPr>
                  <w:t>CBD/ExCOP/2/1/Add.1 CBD/CP/ExMOP/1</w:t>
                </w:r>
                <w:r>
                  <w:rPr>
                    <w:bCs/>
                    <w:snapToGrid w:val="0"/>
                    <w:kern w:val="22"/>
                    <w:sz w:val="22"/>
                    <w:szCs w:val="22"/>
                  </w:rPr>
                  <w:t>/1</w:t>
                </w:r>
                <w:r w:rsidR="00906572" w:rsidRPr="004E37CB">
                  <w:rPr>
                    <w:bCs/>
                    <w:snapToGrid w:val="0"/>
                    <w:kern w:val="22"/>
                    <w:sz w:val="22"/>
                    <w:szCs w:val="22"/>
                  </w:rPr>
                  <w:t>/Add.1 CBD/NP/ExMOP/1</w:t>
                </w:r>
                <w:r>
                  <w:rPr>
                    <w:bCs/>
                    <w:snapToGrid w:val="0"/>
                    <w:kern w:val="22"/>
                    <w:sz w:val="22"/>
                    <w:szCs w:val="22"/>
                  </w:rPr>
                  <w:t>/1</w:t>
                </w:r>
                <w:r w:rsidR="00906572" w:rsidRPr="004E37CB">
                  <w:rPr>
                    <w:bCs/>
                    <w:snapToGrid w:val="0"/>
                    <w:kern w:val="22"/>
                    <w:sz w:val="22"/>
                    <w:szCs w:val="22"/>
                  </w:rPr>
                  <w:t>/Add.1</w:t>
                </w:r>
              </w:sdtContent>
            </w:sdt>
          </w:p>
          <w:p w14:paraId="0A4D0526" w14:textId="58933D89" w:rsidR="00C9161D" w:rsidRPr="004E37CB" w:rsidRDefault="001476B5"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7 de septiembre de 2020</w:t>
            </w:r>
          </w:p>
          <w:p w14:paraId="489E840C" w14:textId="77777777" w:rsidR="00907F09" w:rsidRPr="004E37CB" w:rsidRDefault="00907F09" w:rsidP="00704471">
            <w:pPr>
              <w:suppressLineNumbers/>
              <w:suppressAutoHyphens/>
              <w:kinsoku w:val="0"/>
              <w:overflowPunct w:val="0"/>
              <w:autoSpaceDE w:val="0"/>
              <w:autoSpaceDN w:val="0"/>
              <w:ind w:left="2103"/>
              <w:rPr>
                <w:snapToGrid w:val="0"/>
                <w:kern w:val="22"/>
                <w:sz w:val="22"/>
                <w:szCs w:val="22"/>
              </w:rPr>
            </w:pPr>
          </w:p>
          <w:p w14:paraId="47CB3588" w14:textId="00DA0FD8" w:rsidR="00AE3D13" w:rsidRPr="004E37CB" w:rsidRDefault="00907F09" w:rsidP="00704471">
            <w:pPr>
              <w:suppressLineNumbers/>
              <w:suppressAutoHyphens/>
              <w:kinsoku w:val="0"/>
              <w:overflowPunct w:val="0"/>
              <w:autoSpaceDE w:val="0"/>
              <w:autoSpaceDN w:val="0"/>
              <w:ind w:left="2103"/>
              <w:rPr>
                <w:snapToGrid w:val="0"/>
                <w:kern w:val="22"/>
                <w:sz w:val="22"/>
                <w:szCs w:val="22"/>
              </w:rPr>
            </w:pPr>
            <w:r w:rsidRPr="004E37CB">
              <w:rPr>
                <w:snapToGrid w:val="0"/>
                <w:kern w:val="22"/>
                <w:sz w:val="22"/>
                <w:szCs w:val="22"/>
              </w:rPr>
              <w:t>ESPAÑOL</w:t>
            </w:r>
          </w:p>
          <w:p w14:paraId="59D17B1F" w14:textId="77777777" w:rsidR="00C9161D" w:rsidRPr="004E37CB" w:rsidRDefault="00AB6333" w:rsidP="00704471">
            <w:pPr>
              <w:suppressLineNumbers/>
              <w:suppressAutoHyphens/>
              <w:kinsoku w:val="0"/>
              <w:overflowPunct w:val="0"/>
              <w:autoSpaceDE w:val="0"/>
              <w:autoSpaceDN w:val="0"/>
              <w:ind w:left="2103"/>
              <w:rPr>
                <w:snapToGrid w:val="0"/>
                <w:kern w:val="22"/>
                <w:sz w:val="22"/>
                <w:szCs w:val="22"/>
              </w:rPr>
            </w:pPr>
            <w:r w:rsidRPr="004E37CB">
              <w:rPr>
                <w:snapToGrid w:val="0"/>
                <w:sz w:val="22"/>
                <w:szCs w:val="22"/>
              </w:rPr>
              <w:t>ORIGINAL: INGLÉS</w:t>
            </w:r>
          </w:p>
          <w:p w14:paraId="546D307F" w14:textId="77777777" w:rsidR="00C9161D" w:rsidRPr="004E37CB" w:rsidRDefault="00C9161D" w:rsidP="00704471">
            <w:pPr>
              <w:suppressLineNumbers/>
              <w:suppressAutoHyphens/>
              <w:kinsoku w:val="0"/>
              <w:overflowPunct w:val="0"/>
              <w:autoSpaceDE w:val="0"/>
              <w:autoSpaceDN w:val="0"/>
              <w:ind w:left="1215"/>
              <w:rPr>
                <w:snapToGrid w:val="0"/>
                <w:kern w:val="22"/>
                <w:sz w:val="22"/>
                <w:szCs w:val="22"/>
              </w:rPr>
            </w:pPr>
          </w:p>
        </w:tc>
      </w:tr>
    </w:tbl>
    <w:tbl>
      <w:tblPr>
        <w:tblStyle w:val="ListTable6Colorful"/>
        <w:tblpPr w:leftFromText="180" w:rightFromText="180" w:vertAnchor="text" w:horzAnchor="margin" w:tblpXSpec="center" w:tblpY="137"/>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AE3D13" w:rsidRPr="004E37CB" w14:paraId="3BD29F80" w14:textId="77777777" w:rsidTr="00EB0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6ACA2DC9" w14:textId="3A0707D1" w:rsidR="00AE3D13" w:rsidRPr="004E37CB" w:rsidRDefault="00AE3D13" w:rsidP="00704471">
            <w:pPr>
              <w:keepNext/>
              <w:suppressLineNumbers/>
              <w:tabs>
                <w:tab w:val="left" w:pos="720"/>
              </w:tabs>
              <w:suppressAutoHyphens/>
              <w:outlineLvl w:val="0"/>
              <w:rPr>
                <w:b w:val="0"/>
                <w:bCs w:val="0"/>
                <w:caps/>
                <w:kern w:val="22"/>
                <w:sz w:val="22"/>
              </w:rPr>
            </w:pPr>
            <w:r w:rsidRPr="004E37CB">
              <w:rPr>
                <w:b w:val="0"/>
                <w:bCs w:val="0"/>
                <w:caps/>
                <w:sz w:val="22"/>
              </w:rPr>
              <w:t>Conferencia de las Partes en el Convenio sobre la Diversidad Biológica</w:t>
            </w:r>
          </w:p>
          <w:p w14:paraId="1B01C0A7" w14:textId="2AC1EA52" w:rsidR="00AE3D13" w:rsidRPr="004E37CB" w:rsidRDefault="00AE3D13" w:rsidP="00891653">
            <w:pPr>
              <w:suppressLineNumbers/>
              <w:suppressAutoHyphens/>
              <w:kinsoku w:val="0"/>
              <w:overflowPunct w:val="0"/>
              <w:autoSpaceDE w:val="0"/>
              <w:autoSpaceDN w:val="0"/>
              <w:jc w:val="both"/>
              <w:rPr>
                <w:b w:val="0"/>
                <w:bCs w:val="0"/>
                <w:kern w:val="22"/>
                <w:sz w:val="22"/>
                <w:szCs w:val="22"/>
              </w:rPr>
            </w:pPr>
            <w:r w:rsidRPr="004E37CB">
              <w:rPr>
                <w:b w:val="0"/>
                <w:bCs w:val="0"/>
                <w:sz w:val="22"/>
                <w:szCs w:val="22"/>
              </w:rPr>
              <w:t>Segunda reunión extraordinaria</w:t>
            </w:r>
          </w:p>
        </w:tc>
        <w:tc>
          <w:tcPr>
            <w:tcW w:w="3420" w:type="dxa"/>
            <w:tcBorders>
              <w:bottom w:val="none" w:sz="0" w:space="0" w:color="auto"/>
            </w:tcBorders>
          </w:tcPr>
          <w:p w14:paraId="2D488695"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Cartagena sobre Seguridad de la Biotecnología</w:t>
            </w:r>
          </w:p>
          <w:p w14:paraId="63FF87FB"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c>
          <w:tcPr>
            <w:tcW w:w="3425" w:type="dxa"/>
            <w:tcBorders>
              <w:bottom w:val="none" w:sz="0" w:space="0" w:color="auto"/>
            </w:tcBorders>
          </w:tcPr>
          <w:p w14:paraId="5D109128" w14:textId="77777777" w:rsidR="00AE3D13" w:rsidRPr="004E37CB" w:rsidRDefault="00AE3D13" w:rsidP="00704471">
            <w:pPr>
              <w:keepNext/>
              <w:suppressLineNumbers/>
              <w:tabs>
                <w:tab w:val="left" w:pos="720"/>
              </w:tabs>
              <w:suppressAutoHyphens/>
              <w:outlineLvl w:val="0"/>
              <w:cnfStyle w:val="100000000000" w:firstRow="1" w:lastRow="0" w:firstColumn="0" w:lastColumn="0" w:oddVBand="0" w:evenVBand="0" w:oddHBand="0" w:evenHBand="0" w:firstRowFirstColumn="0" w:firstRowLastColumn="0" w:lastRowFirstColumn="0" w:lastRowLastColumn="0"/>
              <w:rPr>
                <w:b w:val="0"/>
                <w:bCs w:val="0"/>
                <w:caps/>
                <w:kern w:val="22"/>
                <w:sz w:val="22"/>
              </w:rPr>
            </w:pPr>
            <w:r w:rsidRPr="004E37CB">
              <w:rPr>
                <w:b w:val="0"/>
                <w:bCs w:val="0"/>
                <w:caps/>
                <w:sz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5F9D97BA" w14:textId="77777777" w:rsidR="00AE3D13" w:rsidRPr="004E37CB" w:rsidRDefault="00AE3D13" w:rsidP="00891653">
            <w:pPr>
              <w:suppressLineNumbers/>
              <w:suppressAutoHyphens/>
              <w:kinsoku w:val="0"/>
              <w:overflowPunct w:val="0"/>
              <w:autoSpaceDE w:val="0"/>
              <w:autoSpaceDN w:val="0"/>
              <w:jc w:val="both"/>
              <w:cnfStyle w:val="100000000000" w:firstRow="1" w:lastRow="0" w:firstColumn="0" w:lastColumn="0" w:oddVBand="0" w:evenVBand="0" w:oddHBand="0" w:evenHBand="0" w:firstRowFirstColumn="0" w:firstRowLastColumn="0" w:lastRowFirstColumn="0" w:lastRowLastColumn="0"/>
              <w:rPr>
                <w:b w:val="0"/>
                <w:bCs w:val="0"/>
                <w:kern w:val="22"/>
                <w:sz w:val="22"/>
                <w:szCs w:val="22"/>
              </w:rPr>
            </w:pPr>
            <w:r w:rsidRPr="004E37CB">
              <w:rPr>
                <w:b w:val="0"/>
                <w:bCs w:val="0"/>
                <w:sz w:val="22"/>
                <w:szCs w:val="22"/>
              </w:rPr>
              <w:t>Primera reunión extraordinaria</w:t>
            </w:r>
          </w:p>
        </w:tc>
      </w:tr>
    </w:tbl>
    <w:p w14:paraId="4DC8D022" w14:textId="0CD21610" w:rsidR="00AE3D13" w:rsidRPr="004E37CB" w:rsidRDefault="00AE3D13" w:rsidP="00704471">
      <w:pPr>
        <w:keepNext/>
        <w:suppressLineNumbers/>
        <w:suppressAutoHyphens/>
        <w:spacing w:before="100" w:beforeAutospacing="1" w:after="120"/>
        <w:jc w:val="center"/>
        <w:outlineLvl w:val="8"/>
        <w:rPr>
          <w:iCs/>
          <w:kern w:val="22"/>
          <w:sz w:val="22"/>
          <w:szCs w:val="22"/>
        </w:rPr>
      </w:pPr>
      <w:r w:rsidRPr="004E37CB">
        <w:rPr>
          <w:iCs/>
          <w:sz w:val="22"/>
          <w:szCs w:val="22"/>
        </w:rPr>
        <w:t>Montreal (en línea), 16 a</w:t>
      </w:r>
      <w:r w:rsidR="009A01D5" w:rsidRPr="004E37CB">
        <w:rPr>
          <w:iCs/>
          <w:sz w:val="22"/>
          <w:szCs w:val="22"/>
        </w:rPr>
        <w:t>l</w:t>
      </w:r>
      <w:r w:rsidRPr="004E37CB">
        <w:rPr>
          <w:iCs/>
          <w:sz w:val="22"/>
          <w:szCs w:val="22"/>
        </w:rPr>
        <w:t xml:space="preserve"> 19 de noviembre de 2020</w:t>
      </w:r>
    </w:p>
    <w:p w14:paraId="1B7089D6" w14:textId="0D32945D" w:rsidR="001C199B" w:rsidRPr="004E37CB" w:rsidRDefault="00C60D15" w:rsidP="00704471">
      <w:pPr>
        <w:suppressLineNumbers/>
        <w:suppressAutoHyphens/>
        <w:kinsoku w:val="0"/>
        <w:overflowPunct w:val="0"/>
        <w:autoSpaceDE w:val="0"/>
        <w:autoSpaceDN w:val="0"/>
        <w:spacing w:before="240" w:after="160"/>
        <w:jc w:val="center"/>
        <w:rPr>
          <w:b/>
          <w:bCs/>
          <w:caps/>
          <w:snapToGrid w:val="0"/>
          <w:kern w:val="22"/>
          <w:sz w:val="22"/>
          <w:szCs w:val="22"/>
        </w:rPr>
      </w:pPr>
      <w:sdt>
        <w:sdtPr>
          <w:rPr>
            <w:b/>
            <w:bCs/>
            <w:caps/>
            <w:snapToGrid w:val="0"/>
            <w:kern w:val="22"/>
            <w:sz w:val="22"/>
            <w:szCs w:val="22"/>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DF334B" w:rsidRPr="004E37CB">
            <w:rPr>
              <w:b/>
              <w:bCs/>
              <w:caps/>
              <w:snapToGrid w:val="0"/>
              <w:kern w:val="22"/>
              <w:sz w:val="22"/>
              <w:szCs w:val="22"/>
              <w:lang w:eastAsia="ko-KR"/>
            </w:rPr>
            <w:t>PROGRAMA</w:t>
          </w:r>
          <w:r w:rsidR="001C199B" w:rsidRPr="004E37CB">
            <w:rPr>
              <w:b/>
              <w:bCs/>
              <w:caps/>
              <w:snapToGrid w:val="0"/>
              <w:kern w:val="22"/>
              <w:sz w:val="22"/>
              <w:szCs w:val="22"/>
              <w:lang w:eastAsia="ko-KR"/>
            </w:rPr>
            <w:t xml:space="preserve"> provisional a</w:t>
          </w:r>
          <w:r w:rsidR="00DF334B" w:rsidRPr="004E37CB">
            <w:rPr>
              <w:b/>
              <w:bCs/>
              <w:caps/>
              <w:snapToGrid w:val="0"/>
              <w:kern w:val="22"/>
              <w:sz w:val="22"/>
              <w:szCs w:val="22"/>
              <w:lang w:eastAsia="ko-KR"/>
            </w:rPr>
            <w:t>NOTADO</w:t>
          </w:r>
        </w:sdtContent>
      </w:sdt>
    </w:p>
    <w:p w14:paraId="476493BC" w14:textId="77777777" w:rsidR="001C199B" w:rsidRPr="004E37CB" w:rsidRDefault="001C199B" w:rsidP="00704471">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 w:val="22"/>
          <w:szCs w:val="22"/>
        </w:rPr>
      </w:pPr>
      <w:r w:rsidRPr="004E37CB">
        <w:rPr>
          <w:rFonts w:ascii="Times New Roman Bold" w:hAnsi="Times New Roman Bold"/>
          <w:b/>
          <w:snapToGrid w:val="0"/>
          <w:sz w:val="22"/>
          <w:szCs w:val="22"/>
        </w:rPr>
        <w:t>INTRODUCCIÓN</w:t>
      </w:r>
    </w:p>
    <w:p w14:paraId="78846797" w14:textId="42AE634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El presupuesto para el programa de trabajo del Convenio generalmente se aprueba para dos años civiles. El presupuesto por programas para el bienio en curso (2019-2020) fue aprobado por la Conferencia de las Partes en su 14ª reunión, celebrada en 2018. </w:t>
      </w:r>
      <w:r w:rsidRPr="004E37CB">
        <w:rPr>
          <w:bCs/>
          <w:snapToGrid w:val="0"/>
          <w:sz w:val="22"/>
          <w:szCs w:val="22"/>
        </w:rPr>
        <w:t>La 15ª reunión de la Conferencia de las Partes, cuya celebración estaba prevista para octubre de 2020, sería la reunión en la que la Conferencia de las Partes aprobaría el presupuesto por programas para el próximo bienio (2021-2022). Sin embargo, la 15ª reunión de la Conferencia de las Partes se ha aplazado debido a la situación de la pandemia mundial de COVID-19. Por consiguiente, no es posible aprobar un presupuesto por programas para el próximo bienio mediante una reunión ordinaria de la Conferencia de las Partes.</w:t>
      </w:r>
    </w:p>
    <w:p w14:paraId="0A86F2F6" w14:textId="4AA2FCB9"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 Mesa examinó la situación y consideró diferentes hipótesis para asegurar que las operaciones de la Secretaría contin</w:t>
      </w:r>
      <w:r w:rsidR="0036183F" w:rsidRPr="004E37CB">
        <w:rPr>
          <w:snapToGrid w:val="0"/>
          <w:sz w:val="22"/>
          <w:szCs w:val="22"/>
        </w:rPr>
        <w:t>uara</w:t>
      </w:r>
      <w:r w:rsidRPr="004E37CB">
        <w:rPr>
          <w:snapToGrid w:val="0"/>
          <w:sz w:val="22"/>
          <w:szCs w:val="22"/>
        </w:rPr>
        <w:t>n después de 2020. Tras celebrar consultas, se acordó considerar la convoca</w:t>
      </w:r>
      <w:r w:rsidR="00DF334B" w:rsidRPr="004E37CB">
        <w:rPr>
          <w:snapToGrid w:val="0"/>
          <w:sz w:val="22"/>
          <w:szCs w:val="22"/>
        </w:rPr>
        <w:t>toria de</w:t>
      </w:r>
      <w:r w:rsidRPr="004E37CB">
        <w:rPr>
          <w:snapToGrid w:val="0"/>
          <w:sz w:val="22"/>
          <w:szCs w:val="22"/>
        </w:rPr>
        <w:t xml:space="preserve"> reuniones extraordinarias de la Conferencia de las Partes en el Convenio y, simultáneamente, reuniones de las Partes en los Protocolos para examinar y aprobar un presupuesto provisional para 2021 mediante un procedimiento </w:t>
      </w:r>
      <w:r w:rsidR="00B46BEA" w:rsidRPr="004E37CB">
        <w:rPr>
          <w:snapToGrid w:val="0"/>
          <w:sz w:val="22"/>
          <w:szCs w:val="22"/>
        </w:rPr>
        <w:t>de acuerdo tácito/</w:t>
      </w:r>
      <w:r w:rsidRPr="004E37CB">
        <w:rPr>
          <w:snapToGrid w:val="0"/>
          <w:sz w:val="22"/>
          <w:szCs w:val="22"/>
        </w:rPr>
        <w:t>escrito o una reunión virtual, siempre que la solicitud de reuniones extraordinarias recibiera el apoyo de al menos un tercio de las Partes, de conformidad con el reglamento y las disposiciones aplicables del Convenio y los Protocolos.</w:t>
      </w:r>
    </w:p>
    <w:p w14:paraId="76237871" w14:textId="1161199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Por consiguiente, la Secretaria Ejecutiva recibió una carta con fecha 24 de agosto de 2020 de Egipto, que actualmente ocupa la Presidencia, solicitando que se iniciara un proceso para </w:t>
      </w:r>
      <w:r w:rsidR="00B46BEA" w:rsidRPr="004E37CB">
        <w:rPr>
          <w:snapToGrid w:val="0"/>
          <w:sz w:val="22"/>
          <w:szCs w:val="22"/>
        </w:rPr>
        <w:t>convocar</w:t>
      </w:r>
      <w:r w:rsidRPr="004E37CB">
        <w:rPr>
          <w:snapToGrid w:val="0"/>
          <w:sz w:val="22"/>
          <w:szCs w:val="22"/>
        </w:rPr>
        <w:t xml:space="preserve"> una </w:t>
      </w:r>
      <w:bookmarkStart w:id="1" w:name="_Hlk50129520"/>
      <w:r w:rsidRPr="004E37CB">
        <w:rPr>
          <w:snapToGrid w:val="0"/>
          <w:sz w:val="22"/>
          <w:szCs w:val="22"/>
        </w:rPr>
        <w:t xml:space="preserve">reunión extraordinaria de la Conferencia de las Partes y reuniones extraordinarias de la Conferencia de las Partes que actúa como reunión de las Partes en los Protocolos de Cartagena y </w:t>
      </w:r>
      <w:r w:rsidR="00354E52" w:rsidRPr="004E37CB">
        <w:rPr>
          <w:snapToGrid w:val="0"/>
          <w:sz w:val="22"/>
          <w:szCs w:val="22"/>
        </w:rPr>
        <w:t xml:space="preserve">de </w:t>
      </w:r>
      <w:r w:rsidRPr="004E37CB">
        <w:rPr>
          <w:snapToGrid w:val="0"/>
          <w:sz w:val="22"/>
          <w:szCs w:val="22"/>
        </w:rPr>
        <w:t>Nagoya</w:t>
      </w:r>
      <w:bookmarkEnd w:id="1"/>
      <w:r w:rsidRPr="004E37CB">
        <w:rPr>
          <w:snapToGrid w:val="0"/>
          <w:sz w:val="22"/>
          <w:szCs w:val="22"/>
        </w:rPr>
        <w:t>. La Secretaria Ejecutiva comunicó la solicitud a las Partes en el Convenio y los Protocolos mediante la notificación SCBD/OES/EM/DC/89067, invitando a las Partes a responder.</w:t>
      </w:r>
    </w:p>
    <w:p w14:paraId="6EA916C3" w14:textId="451B6553" w:rsidR="00391129"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2" w:name="_Hlk50132010"/>
      <w:r w:rsidRPr="004E37CB">
        <w:rPr>
          <w:snapToGrid w:val="0"/>
          <w:sz w:val="22"/>
          <w:szCs w:val="22"/>
        </w:rPr>
        <w:lastRenderedPageBreak/>
        <w:t>Al 4 de septiembre de 2020, la Secretaría había recibido cartas de 93 Partes en el Convenio, 85 Partes en el Protocolo de Cartagena y 65 Partes en el Protocolo de Nagoya en las que se comunicaba su apoyo a la convocatoria de una reunión extraordinaria de la Conferencia de las Partes y de reuniones extraordinarias de la Conferencia de las Partes que actúa como reunión de las Partes en los Protocolos de Cartagena y de Nagoya.</w:t>
      </w:r>
    </w:p>
    <w:p w14:paraId="49D08647" w14:textId="7FD8757C"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Las comunicaciones recibidas representan el apoyo a la solicitud de más de un tercio de las Partes en cada caso. Por lo tanto, la segunda reunión de la Conferencia de las Partes</w:t>
      </w:r>
      <w:r w:rsidRPr="004E37CB">
        <w:rPr>
          <w:snapToGrid w:val="0"/>
          <w:kern w:val="22"/>
          <w:sz w:val="22"/>
          <w:szCs w:val="22"/>
          <w:vertAlign w:val="superscript"/>
        </w:rPr>
        <w:footnoteReference w:id="2"/>
      </w:r>
      <w:r w:rsidRPr="004E37CB">
        <w:rPr>
          <w:snapToGrid w:val="0"/>
          <w:sz w:val="22"/>
          <w:szCs w:val="22"/>
        </w:rPr>
        <w:t xml:space="preserve"> y las primeras reuniones extraordinarias de la Conferencia de las Partes que actúa como reunión de las Partes en los Protocolos de Cartagena y de Nagoya se celebrarán del 16 al 19 de noviembre de 2020, de manera remota mediante un procedimiento de acuerdo tácito</w:t>
      </w:r>
      <w:r w:rsidR="0069111A" w:rsidRPr="004E37CB">
        <w:rPr>
          <w:snapToGrid w:val="0"/>
          <w:sz w:val="22"/>
          <w:szCs w:val="22"/>
        </w:rPr>
        <w:t>/</w:t>
      </w:r>
      <w:r w:rsidRPr="004E37CB">
        <w:rPr>
          <w:snapToGrid w:val="0"/>
          <w:sz w:val="22"/>
          <w:szCs w:val="22"/>
        </w:rPr>
        <w:t>escrito, según lo acordado por la Mesa.</w:t>
      </w:r>
    </w:p>
    <w:bookmarkEnd w:id="2"/>
    <w:p w14:paraId="5FBC3C1D" w14:textId="3801A97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Los programas provisionales (CBD/ExCOP/2/1, CBD/CP/ExMOP/1/1 y CBD/NP/ExMOP/1/1) y estas anotaciones han sido elaboradas de acuerdo con la Presidencia y en consonancia con el artículo 13 del reglamento.</w:t>
      </w:r>
    </w:p>
    <w:p w14:paraId="535B1B12" w14:textId="0D03A334"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conformidad con el artículo 6 del reglamento para las reuniones de la Conferencia de las Partes, la Secretaría ha notificado a las Naciones Unidas, sus organismos especializados y el Organismo Internacional de Energía Atómica, así como a los Estados que no son Partes en el Convenio, acerca de esta reunión para que puedan hacerse representar en calidad de observadores.</w:t>
      </w:r>
    </w:p>
    <w:p w14:paraId="692A6903"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De conformidad con el artículo 7 del reglamento, la Secretaría ha enviado notificaciones a aquellos órganos u organismos, ya sea gubernamentales o no gubernamentales, con conocimientos en esferas relacionadas con la conservación y la utilización sostenible de la diversidad biológica, que han manifestado a la Secretaría su deseo de estar representados en la reunión, para que puedan hacerse representar en calidad de observadores. Se publicará una lista informativa de esos órganos.</w:t>
      </w:r>
    </w:p>
    <w:p w14:paraId="1B0B9260"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3" w:name="Item01"/>
      <w:r w:rsidRPr="004E37CB">
        <w:rPr>
          <w:b/>
          <w:bCs/>
          <w:iCs/>
          <w:snapToGrid w:val="0"/>
          <w:sz w:val="22"/>
          <w:szCs w:val="22"/>
        </w:rPr>
        <w:t>Tema 1.</w:t>
      </w:r>
      <w:r w:rsidRPr="004E37CB">
        <w:rPr>
          <w:bCs/>
          <w:iCs/>
          <w:snapToGrid w:val="0"/>
          <w:sz w:val="22"/>
          <w:szCs w:val="22"/>
        </w:rPr>
        <w:tab/>
      </w:r>
      <w:r w:rsidRPr="004E37CB">
        <w:rPr>
          <w:b/>
          <w:bCs/>
          <w:iCs/>
          <w:snapToGrid w:val="0"/>
          <w:sz w:val="22"/>
          <w:szCs w:val="22"/>
        </w:rPr>
        <w:t>Apertura de la reunión</w:t>
      </w:r>
    </w:p>
    <w:p w14:paraId="25FB3123" w14:textId="0525A6D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4" w:name="_Ref50491979"/>
      <w:bookmarkEnd w:id="3"/>
      <w:r w:rsidRPr="004E37CB">
        <w:rPr>
          <w:snapToGrid w:val="0"/>
          <w:sz w:val="22"/>
          <w:szCs w:val="22"/>
        </w:rPr>
        <w:t>La segunda reunión extraordinaria de la Conferencia de las Partes y las primeras reuniones extraordinarias de la Conferencia de las Partes que actúa como reunión de las Partes en el Protocolo de Cartagena y el Protocolo de Nagoya se inaugurarán el lunes 16 de noviembre de 2020</w:t>
      </w:r>
      <w:r w:rsidR="00672F05" w:rsidRPr="004E37CB">
        <w:rPr>
          <w:snapToGrid w:val="0"/>
          <w:sz w:val="22"/>
          <w:szCs w:val="22"/>
        </w:rPr>
        <w:t>,</w:t>
      </w:r>
      <w:r w:rsidRPr="004E37CB">
        <w:rPr>
          <w:snapToGrid w:val="0"/>
          <w:sz w:val="22"/>
          <w:szCs w:val="22"/>
        </w:rPr>
        <w:t xml:space="preserve"> a las 7.00 hora</w:t>
      </w:r>
      <w:r w:rsidR="00672F05" w:rsidRPr="004E37CB">
        <w:rPr>
          <w:snapToGrid w:val="0"/>
          <w:sz w:val="22"/>
          <w:szCs w:val="22"/>
        </w:rPr>
        <w:t>s</w:t>
      </w:r>
      <w:r w:rsidRPr="004E37CB">
        <w:rPr>
          <w:snapToGrid w:val="0"/>
          <w:sz w:val="22"/>
          <w:szCs w:val="22"/>
        </w:rPr>
        <w:t xml:space="preserve"> de Montreal (UTC 12 del mediodía), por la Presidenta de la 14ª reunión de la Conferencia de las Partes, la novena reunión de las Partes en el Protocolo de Cartagena y la tercera reunión de las Partes en el Protocolo de Nagoya, o por el representante de la Presidenta, mediante la transmisión de una declaración escrita en los idiomas oficiales de las Naciones Unidas para todos los representantes inscritos de las Partes y observadores.</w:t>
      </w:r>
      <w:bookmarkEnd w:id="4"/>
    </w:p>
    <w:p w14:paraId="3098D166"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5" w:name="Item02"/>
      <w:r w:rsidRPr="004E37CB">
        <w:rPr>
          <w:b/>
          <w:bCs/>
          <w:iCs/>
          <w:snapToGrid w:val="0"/>
          <w:sz w:val="22"/>
          <w:szCs w:val="22"/>
        </w:rPr>
        <w:t>Tema 2.</w:t>
      </w:r>
      <w:bookmarkStart w:id="6" w:name="SEVEN"/>
      <w:bookmarkEnd w:id="6"/>
      <w:r w:rsidRPr="004E37CB">
        <w:rPr>
          <w:b/>
          <w:bCs/>
          <w:iCs/>
          <w:snapToGrid w:val="0"/>
          <w:sz w:val="22"/>
          <w:szCs w:val="22"/>
        </w:rPr>
        <w:tab/>
        <w:t>Cuestiones de organización</w:t>
      </w:r>
    </w:p>
    <w:bookmarkEnd w:id="5"/>
    <w:p w14:paraId="71A60D0B" w14:textId="77777777" w:rsidR="001C199B" w:rsidRPr="004E37CB" w:rsidRDefault="001C199B" w:rsidP="00704471">
      <w:pPr>
        <w:keepNext/>
        <w:suppressLineNumbers/>
        <w:tabs>
          <w:tab w:val="left" w:pos="567"/>
        </w:tabs>
        <w:suppressAutoHyphens/>
        <w:kinsoku w:val="0"/>
        <w:overflowPunct w:val="0"/>
        <w:autoSpaceDE w:val="0"/>
        <w:autoSpaceDN w:val="0"/>
        <w:spacing w:before="120" w:after="120"/>
        <w:jc w:val="both"/>
        <w:outlineLvl w:val="2"/>
        <w:rPr>
          <w:i/>
          <w:iCs/>
          <w:snapToGrid w:val="0"/>
          <w:kern w:val="22"/>
          <w:sz w:val="22"/>
          <w:szCs w:val="22"/>
        </w:rPr>
      </w:pPr>
      <w:r w:rsidRPr="004E37CB">
        <w:rPr>
          <w:i/>
          <w:iCs/>
          <w:snapToGrid w:val="0"/>
          <w:sz w:val="22"/>
          <w:szCs w:val="22"/>
        </w:rPr>
        <w:t>Mesa</w:t>
      </w:r>
    </w:p>
    <w:p w14:paraId="0A4F5AC8" w14:textId="2C2F039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De conformidad con el párrafo 2 del artículo 21 del reglamento, la Presidenta y los Vicepresidentes </w:t>
      </w:r>
      <w:r w:rsidR="00DD076C" w:rsidRPr="004E37CB">
        <w:rPr>
          <w:snapToGrid w:val="0"/>
          <w:sz w:val="22"/>
          <w:szCs w:val="22"/>
        </w:rPr>
        <w:t xml:space="preserve">actuales </w:t>
      </w:r>
      <w:r w:rsidRPr="004E37CB">
        <w:rPr>
          <w:snapToGrid w:val="0"/>
          <w:sz w:val="22"/>
          <w:szCs w:val="22"/>
        </w:rPr>
        <w:t xml:space="preserve">actuarán como Mesa de la segunda reunión extraordinaria de la Conferencia de las Partes y de las primeras reuniones extraordinarias concurrentes de la Conferencia de las Partes que actúa como reunión de las Partes en los Protocolos de Cartagena y </w:t>
      </w:r>
      <w:r w:rsidR="005165D6" w:rsidRPr="004E37CB">
        <w:rPr>
          <w:snapToGrid w:val="0"/>
          <w:sz w:val="22"/>
          <w:szCs w:val="22"/>
        </w:rPr>
        <w:t xml:space="preserve">de </w:t>
      </w:r>
      <w:r w:rsidRPr="004E37CB">
        <w:rPr>
          <w:snapToGrid w:val="0"/>
          <w:sz w:val="22"/>
          <w:szCs w:val="22"/>
        </w:rPr>
        <w:t>Nagoya.</w:t>
      </w:r>
    </w:p>
    <w:p w14:paraId="215A60D5" w14:textId="77777777" w:rsidR="001C199B" w:rsidRPr="004E37CB" w:rsidRDefault="001C199B" w:rsidP="00704471">
      <w:pPr>
        <w:keepNext/>
        <w:suppressLineNumbers/>
        <w:suppressAutoHyphens/>
        <w:kinsoku w:val="0"/>
        <w:overflowPunct w:val="0"/>
        <w:autoSpaceDE w:val="0"/>
        <w:autoSpaceDN w:val="0"/>
        <w:spacing w:before="120" w:after="120"/>
        <w:jc w:val="both"/>
        <w:outlineLvl w:val="2"/>
        <w:rPr>
          <w:i/>
          <w:iCs/>
          <w:snapToGrid w:val="0"/>
          <w:kern w:val="22"/>
          <w:sz w:val="22"/>
          <w:szCs w:val="22"/>
        </w:rPr>
      </w:pPr>
      <w:bookmarkStart w:id="7" w:name="Item03"/>
      <w:r w:rsidRPr="004E37CB">
        <w:rPr>
          <w:i/>
          <w:iCs/>
          <w:snapToGrid w:val="0"/>
          <w:sz w:val="22"/>
          <w:szCs w:val="22"/>
        </w:rPr>
        <w:t>Adopción del programa</w:t>
      </w:r>
    </w:p>
    <w:bookmarkEnd w:id="7"/>
    <w:p w14:paraId="23418B5F" w14:textId="71E30C89" w:rsidR="001C199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4E37CB">
        <w:rPr>
          <w:snapToGrid w:val="0"/>
          <w:sz w:val="22"/>
          <w:szCs w:val="22"/>
        </w:rPr>
        <w:t xml:space="preserve">Los programas provisionales (CBD/ExCOP/2/1, CBD/CP/ExMOP/1/1 y CBD/CP/ExMOP/1/1) fueron elaborados por la Secretaria Ejecutiva de conformidad con el artículo 8 del reglamento, con la orientación de la Presidenta y de la Mesa, y el artículo 13 del reglamento, donde se establece que el programa provisional de una reunión extraordinaria debe abarcar únicamente los temas propuestos en la solicitud de </w:t>
      </w:r>
      <w:r w:rsidRPr="004E37CB">
        <w:rPr>
          <w:snapToGrid w:val="0"/>
          <w:sz w:val="22"/>
          <w:szCs w:val="22"/>
        </w:rPr>
        <w:lastRenderedPageBreak/>
        <w:t>celebración de la reunión extraordinaria.</w:t>
      </w:r>
      <w:bookmarkStart w:id="8" w:name="TEN"/>
      <w:bookmarkEnd w:id="8"/>
      <w:r w:rsidR="00017D49" w:rsidRPr="00017D49">
        <w:rPr>
          <w:snapToGrid w:val="0"/>
          <w:kern w:val="22"/>
          <w:sz w:val="22"/>
          <w:szCs w:val="22"/>
          <w:lang w:val="es-MX"/>
        </w:rPr>
        <w:t xml:space="preserve"> En ese sentido, el tema 4 relativo al “presupuesto provisional propuesto para 2021” </w:t>
      </w:r>
      <w:r w:rsidR="00017D49">
        <w:rPr>
          <w:snapToGrid w:val="0"/>
          <w:kern w:val="22"/>
          <w:sz w:val="22"/>
          <w:szCs w:val="22"/>
          <w:lang w:val="es-MX"/>
        </w:rPr>
        <w:t>constituye el principal programa de las reuniones extraordinarias</w:t>
      </w:r>
      <w:r w:rsidR="00017D49" w:rsidRPr="00017D49">
        <w:rPr>
          <w:snapToGrid w:val="0"/>
          <w:kern w:val="22"/>
          <w:sz w:val="22"/>
          <w:szCs w:val="22"/>
          <w:lang w:val="es-MX"/>
        </w:rPr>
        <w:t>.</w:t>
      </w:r>
    </w:p>
    <w:p w14:paraId="72BCFD4B" w14:textId="68B044CD" w:rsidR="002A5087" w:rsidRPr="002A5087" w:rsidRDefault="002A5087" w:rsidP="00082E79">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lang w:val="es-MX"/>
        </w:rPr>
      </w:pPr>
      <w:r w:rsidRPr="002A5087">
        <w:rPr>
          <w:snapToGrid w:val="0"/>
          <w:kern w:val="22"/>
          <w:sz w:val="22"/>
          <w:szCs w:val="22"/>
          <w:lang w:val="es-MX"/>
        </w:rPr>
        <w:t xml:space="preserve">El proceso de solicitud de convocatoria de reuniones extraordinarias y la posterior determinación de convocarlas, confirmada por el apoyo de las Partes, muestra que el programa de las reuniones extraordinarias ya está establecido y se presume acordado. Teniendo en cuenta este hecho y el procedimiento </w:t>
      </w:r>
      <w:r w:rsidR="00B632C0">
        <w:rPr>
          <w:snapToGrid w:val="0"/>
          <w:kern w:val="22"/>
          <w:sz w:val="22"/>
          <w:szCs w:val="22"/>
          <w:lang w:val="es-MX"/>
        </w:rPr>
        <w:t>de acuerdo tácito</w:t>
      </w:r>
      <w:r w:rsidR="004C78B6" w:rsidRPr="002A5087">
        <w:rPr>
          <w:snapToGrid w:val="0"/>
          <w:kern w:val="22"/>
          <w:sz w:val="22"/>
          <w:szCs w:val="22"/>
          <w:lang w:val="es-MX"/>
        </w:rPr>
        <w:t xml:space="preserve">/escrito </w:t>
      </w:r>
      <w:r w:rsidRPr="002A5087">
        <w:rPr>
          <w:snapToGrid w:val="0"/>
          <w:kern w:val="22"/>
          <w:sz w:val="22"/>
          <w:szCs w:val="22"/>
          <w:lang w:val="es-MX"/>
        </w:rPr>
        <w:t>que se aplicará para estas reuniones, se considerará que la aprobación del programa por cada órgano se ha</w:t>
      </w:r>
      <w:r w:rsidR="00BB1983">
        <w:rPr>
          <w:snapToGrid w:val="0"/>
          <w:kern w:val="22"/>
          <w:sz w:val="22"/>
          <w:szCs w:val="22"/>
          <w:lang w:val="es-MX"/>
        </w:rPr>
        <w:t>brá</w:t>
      </w:r>
      <w:r w:rsidRPr="002A5087">
        <w:rPr>
          <w:snapToGrid w:val="0"/>
          <w:kern w:val="22"/>
          <w:sz w:val="22"/>
          <w:szCs w:val="22"/>
          <w:lang w:val="es-MX"/>
        </w:rPr>
        <w:t xml:space="preserve"> producido en el momento de la transmisión de la primera comunicación escrita de</w:t>
      </w:r>
      <w:r w:rsidR="00BB1983">
        <w:rPr>
          <w:snapToGrid w:val="0"/>
          <w:kern w:val="22"/>
          <w:sz w:val="22"/>
          <w:szCs w:val="22"/>
          <w:lang w:val="es-MX"/>
        </w:rPr>
        <w:t xml:space="preserve"> </w:t>
      </w:r>
      <w:r w:rsidRPr="002A5087">
        <w:rPr>
          <w:snapToGrid w:val="0"/>
          <w:kern w:val="22"/>
          <w:sz w:val="22"/>
          <w:szCs w:val="22"/>
          <w:lang w:val="es-MX"/>
        </w:rPr>
        <w:t>l</w:t>
      </w:r>
      <w:r w:rsidR="00BB1983">
        <w:rPr>
          <w:snapToGrid w:val="0"/>
          <w:kern w:val="22"/>
          <w:sz w:val="22"/>
          <w:szCs w:val="22"/>
          <w:lang w:val="es-MX"/>
        </w:rPr>
        <w:t>a</w:t>
      </w:r>
      <w:r w:rsidRPr="002A5087">
        <w:rPr>
          <w:snapToGrid w:val="0"/>
          <w:kern w:val="22"/>
          <w:sz w:val="22"/>
          <w:szCs w:val="22"/>
          <w:lang w:val="es-MX"/>
        </w:rPr>
        <w:t xml:space="preserve"> President</w:t>
      </w:r>
      <w:r w:rsidR="00BB1983">
        <w:rPr>
          <w:snapToGrid w:val="0"/>
          <w:kern w:val="22"/>
          <w:sz w:val="22"/>
          <w:szCs w:val="22"/>
          <w:lang w:val="es-MX"/>
        </w:rPr>
        <w:t>a</w:t>
      </w:r>
      <w:r w:rsidRPr="002A5087">
        <w:rPr>
          <w:snapToGrid w:val="0"/>
          <w:kern w:val="22"/>
          <w:sz w:val="22"/>
          <w:szCs w:val="22"/>
          <w:lang w:val="es-MX"/>
        </w:rPr>
        <w:t xml:space="preserve">, como se describe en el párrafo 9 </w:t>
      </w:r>
      <w:r w:rsidRPr="002A5087">
        <w:rPr>
          <w:i/>
          <w:snapToGrid w:val="0"/>
          <w:kern w:val="22"/>
          <w:sz w:val="22"/>
          <w:szCs w:val="22"/>
          <w:lang w:val="es-MX"/>
        </w:rPr>
        <w:t>supra</w:t>
      </w:r>
      <w:r w:rsidRPr="002A5087">
        <w:rPr>
          <w:snapToGrid w:val="0"/>
          <w:kern w:val="22"/>
          <w:sz w:val="22"/>
          <w:szCs w:val="22"/>
          <w:lang w:val="es-MX"/>
        </w:rPr>
        <w:t xml:space="preserve"> o en el párrafo 13 </w:t>
      </w:r>
      <w:r>
        <w:rPr>
          <w:snapToGrid w:val="0"/>
          <w:kern w:val="22"/>
          <w:sz w:val="22"/>
          <w:szCs w:val="22"/>
          <w:lang w:val="es-MX"/>
        </w:rPr>
        <w:t>que figura a continuación.</w:t>
      </w:r>
    </w:p>
    <w:p w14:paraId="248C73A3" w14:textId="77777777" w:rsidR="001C199B" w:rsidRPr="004E37CB" w:rsidRDefault="001C199B" w:rsidP="00704471">
      <w:pPr>
        <w:keepNext/>
        <w:suppressLineNumbers/>
        <w:suppressAutoHyphens/>
        <w:kinsoku w:val="0"/>
        <w:overflowPunct w:val="0"/>
        <w:autoSpaceDE w:val="0"/>
        <w:autoSpaceDN w:val="0"/>
        <w:spacing w:before="120" w:after="120"/>
        <w:jc w:val="both"/>
        <w:outlineLvl w:val="1"/>
        <w:rPr>
          <w:i/>
          <w:iCs/>
          <w:snapToGrid w:val="0"/>
          <w:kern w:val="22"/>
          <w:sz w:val="22"/>
          <w:szCs w:val="22"/>
        </w:rPr>
      </w:pPr>
      <w:bookmarkStart w:id="9" w:name="Item04"/>
      <w:r w:rsidRPr="004E37CB">
        <w:rPr>
          <w:i/>
          <w:iCs/>
          <w:snapToGrid w:val="0"/>
          <w:sz w:val="22"/>
          <w:szCs w:val="22"/>
        </w:rPr>
        <w:t>Organización de los trabajos</w:t>
      </w:r>
    </w:p>
    <w:p w14:paraId="3B3CE990" w14:textId="77E4FCD5"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0" w:name="_Ref50491532"/>
      <w:bookmarkEnd w:id="9"/>
      <w:r w:rsidRPr="004E37CB">
        <w:rPr>
          <w:snapToGrid w:val="0"/>
          <w:sz w:val="22"/>
          <w:szCs w:val="22"/>
        </w:rPr>
        <w:t>Se considerará que la reunión habrá comenzado a las 7.00 hora</w:t>
      </w:r>
      <w:r w:rsidR="00147908" w:rsidRPr="004E37CB">
        <w:rPr>
          <w:snapToGrid w:val="0"/>
          <w:sz w:val="22"/>
          <w:szCs w:val="22"/>
        </w:rPr>
        <w:t>s</w:t>
      </w:r>
      <w:r w:rsidRPr="004E37CB">
        <w:rPr>
          <w:snapToGrid w:val="0"/>
          <w:sz w:val="22"/>
          <w:szCs w:val="22"/>
        </w:rPr>
        <w:t xml:space="preserve"> de Montreal (UTC 12 mediodía), el lunes 16 de noviembre de 2020 mediante la transmisión de la declaración escrita de la Presidenta. La declaración escrita contendrá el texto de un proyecto de decisión sobre un presupuesto provisional para 2021 propuesto por la Presidenta, para que los representantes inscritos de las Partes formulen comentarios. El texto del proyecto de decisión propuesto se someterá a un procedimiento de acuerdo tácito hasta las 7.00 hora</w:t>
      </w:r>
      <w:r w:rsidR="008B39D9" w:rsidRPr="004E37CB">
        <w:rPr>
          <w:snapToGrid w:val="0"/>
          <w:sz w:val="22"/>
          <w:szCs w:val="22"/>
        </w:rPr>
        <w:t>s</w:t>
      </w:r>
      <w:r w:rsidRPr="004E37CB">
        <w:rPr>
          <w:snapToGrid w:val="0"/>
          <w:sz w:val="22"/>
          <w:szCs w:val="22"/>
        </w:rPr>
        <w:t xml:space="preserve"> de Montreal (UTC 12 del mediodía), el jueves 19 de noviembre de 2020. Si se mantiene el silencio (es decir, si no se ha recibido ningún comentario durante las 72 horas previas), la decisión se considerará adoptada y la Presidenta la anunciará mediante una declaración escrita que se transmitirá a las delegaciones a las 8.00 hora</w:t>
      </w:r>
      <w:r w:rsidR="008B39D9" w:rsidRPr="004E37CB">
        <w:rPr>
          <w:snapToGrid w:val="0"/>
          <w:sz w:val="22"/>
          <w:szCs w:val="22"/>
        </w:rPr>
        <w:t>s</w:t>
      </w:r>
      <w:r w:rsidRPr="004E37CB">
        <w:rPr>
          <w:snapToGrid w:val="0"/>
          <w:sz w:val="22"/>
          <w:szCs w:val="22"/>
        </w:rPr>
        <w:t xml:space="preserve"> de Montreal (UTC 13.00 horas), el mismo día, marcando también el final de la segunda reunión extraordinaria de la Conferencia de las Partes en el Convenio y de las reuniones extraordinarias concurrentes de la Conferencia de las Partes que actúa como reunión de las Partes en los Protocolos de Cartagena y Nagoya.</w:t>
      </w:r>
      <w:bookmarkEnd w:id="10"/>
    </w:p>
    <w:p w14:paraId="2AD91FBE" w14:textId="00F4AFEA"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reglamento de las reuniones de la Conferencia de las Partes en el Convenio y de la Conferencia de las Partes que actúa como reunión de las Partes en los Protocolos de Cartagena y de Nagoya se continuará aplicando en su totalidad, con excepción de las exigencias prácticas de las reuniones virtuales.</w:t>
      </w:r>
    </w:p>
    <w:p w14:paraId="66A37B1C" w14:textId="77777777" w:rsidR="001C199B" w:rsidRPr="004E37CB" w:rsidRDefault="001C199B" w:rsidP="00704471">
      <w:pPr>
        <w:keepNext/>
        <w:suppressLineNumbers/>
        <w:suppressAutoHyphens/>
        <w:kinsoku w:val="0"/>
        <w:overflowPunct w:val="0"/>
        <w:autoSpaceDE w:val="0"/>
        <w:autoSpaceDN w:val="0"/>
        <w:spacing w:before="120" w:after="120"/>
        <w:ind w:left="1560" w:hanging="851"/>
        <w:outlineLvl w:val="0"/>
        <w:rPr>
          <w:b/>
          <w:iCs/>
          <w:snapToGrid w:val="0"/>
          <w:kern w:val="22"/>
          <w:sz w:val="22"/>
          <w:szCs w:val="22"/>
        </w:rPr>
      </w:pPr>
      <w:bookmarkStart w:id="11" w:name="Item05"/>
      <w:r w:rsidRPr="004E37CB">
        <w:rPr>
          <w:b/>
          <w:iCs/>
          <w:snapToGrid w:val="0"/>
          <w:sz w:val="22"/>
          <w:szCs w:val="22"/>
        </w:rPr>
        <w:t>Tema 3.</w:t>
      </w:r>
      <w:r w:rsidRPr="004E37CB">
        <w:rPr>
          <w:b/>
          <w:iCs/>
          <w:snapToGrid w:val="0"/>
          <w:sz w:val="22"/>
          <w:szCs w:val="22"/>
        </w:rPr>
        <w:tab/>
        <w:t>Informe sobre las credenciales de los representantes que participan en la segunda reunión extraordinaria de la Conferencia de las Partes</w:t>
      </w:r>
    </w:p>
    <w:bookmarkEnd w:id="11"/>
    <w:p w14:paraId="28B6DF21"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artículo 18 del reglamento establece que:</w:t>
      </w:r>
    </w:p>
    <w:p w14:paraId="0A9AB56E" w14:textId="6B73CF91" w:rsidR="001C199B" w:rsidRPr="004E37CB" w:rsidRDefault="001C199B" w:rsidP="00704471">
      <w:pPr>
        <w:suppressLineNumbers/>
        <w:suppressAutoHyphens/>
        <w:kinsoku w:val="0"/>
        <w:overflowPunct w:val="0"/>
        <w:autoSpaceDE w:val="0"/>
        <w:autoSpaceDN w:val="0"/>
        <w:spacing w:before="120" w:after="120"/>
        <w:ind w:left="720"/>
        <w:jc w:val="both"/>
        <w:rPr>
          <w:snapToGrid w:val="0"/>
          <w:kern w:val="22"/>
          <w:sz w:val="22"/>
          <w:szCs w:val="22"/>
        </w:rPr>
      </w:pPr>
      <w:r w:rsidRPr="004E37CB">
        <w:rPr>
          <w:snapToGrid w:val="0"/>
          <w:sz w:val="22"/>
          <w:szCs w:val="22"/>
        </w:rPr>
        <w:t>“</w:t>
      </w:r>
      <w:r w:rsidR="00370462" w:rsidRPr="004E37CB">
        <w:rPr>
          <w:snapToGrid w:val="0"/>
          <w:sz w:val="22"/>
          <w:szCs w:val="22"/>
        </w:rPr>
        <w:t>Las credenciales de los representantes y los nombres de los suplentes y de los consejeros deberán presentarse al Secretario Ejecutivo de la Conferencia de las Partes o al representante del Secretario Ejecutivo, dentro de las 24 horas siguientes a la apertura de la reunión</w:t>
      </w:r>
      <w:r w:rsidRPr="004E37CB">
        <w:rPr>
          <w:snapToGrid w:val="0"/>
          <w:sz w:val="22"/>
          <w:szCs w:val="22"/>
        </w:rPr>
        <w:t xml:space="preserve">. </w:t>
      </w:r>
      <w:r w:rsidR="00370462" w:rsidRPr="004E37CB">
        <w:rPr>
          <w:snapToGrid w:val="0"/>
          <w:sz w:val="22"/>
          <w:szCs w:val="22"/>
        </w:rPr>
        <w:t>Además, cualquier cambio posterior en la composición de la delegación se comunicará al Secretario Ejecutivo o a su representante</w:t>
      </w:r>
      <w:r w:rsidRPr="004E37CB">
        <w:rPr>
          <w:snapToGrid w:val="0"/>
          <w:sz w:val="22"/>
          <w:szCs w:val="22"/>
        </w:rPr>
        <w:t>. Las credenciales deberán ser expedidas por el Jefe de Estado o de Gobierno o por el Ministro de Relaciones Exteriores o, en el caso de una organización de integración económica regional, por la autoridad competente de esa organización”.</w:t>
      </w:r>
    </w:p>
    <w:p w14:paraId="6C2EF887" w14:textId="7E2216BB" w:rsidR="001C199B" w:rsidRPr="004E37CB" w:rsidRDefault="001C199B" w:rsidP="00EB242F">
      <w:pPr>
        <w:numPr>
          <w:ilvl w:val="0"/>
          <w:numId w:val="19"/>
        </w:numPr>
        <w:suppressLineNumbers/>
        <w:tabs>
          <w:tab w:val="clear" w:pos="450"/>
          <w:tab w:val="num"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artículo 19 se establece que “</w:t>
      </w:r>
      <w:r w:rsidR="00370462" w:rsidRPr="004E37CB">
        <w:rPr>
          <w:snapToGrid w:val="0"/>
          <w:sz w:val="22"/>
          <w:szCs w:val="22"/>
        </w:rPr>
        <w:t>la Mesa de la reunión examinará las credenciales y presentará un informe a la Conferencia de las Partes para que esta adopte una decisión</w:t>
      </w:r>
      <w:r w:rsidRPr="004E37CB">
        <w:rPr>
          <w:snapToGrid w:val="0"/>
          <w:sz w:val="22"/>
          <w:szCs w:val="22"/>
        </w:rPr>
        <w:t>”.</w:t>
      </w:r>
    </w:p>
    <w:p w14:paraId="61013C64"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A fin de ayudar a las Partes a cumplir los requisitos del artículo 18, la Secretaria Ejecutiva ha distribuido, junto con la notificación que emitió el 24 de agosto de 2020 relativa a las reuniones extraordinarias, una nota informativa sobre los requisitos y las modalidades de presentación de credenciales, y ejemplos de formatos de credenciales apropiados.</w:t>
      </w:r>
    </w:p>
    <w:p w14:paraId="0776B128" w14:textId="77777777"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El informe sobre las credenciales se distribuirá junto con el discurso inaugural de la Presidenta de la Conferencia de las Partes, que se ha mencionado anteriormente.</w:t>
      </w:r>
    </w:p>
    <w:p w14:paraId="6F77036D" w14:textId="77777777" w:rsidR="001C199B" w:rsidRPr="004E37CB" w:rsidRDefault="001C199B" w:rsidP="00704471">
      <w:pPr>
        <w:keepNext/>
        <w:suppressLineNumbers/>
        <w:tabs>
          <w:tab w:val="left" w:pos="900"/>
        </w:tabs>
        <w:suppressAutoHyphens/>
        <w:kinsoku w:val="0"/>
        <w:overflowPunct w:val="0"/>
        <w:autoSpaceDE w:val="0"/>
        <w:autoSpaceDN w:val="0"/>
        <w:spacing w:before="120" w:after="120"/>
        <w:jc w:val="center"/>
        <w:outlineLvl w:val="0"/>
        <w:rPr>
          <w:b/>
          <w:iCs/>
          <w:snapToGrid w:val="0"/>
          <w:kern w:val="22"/>
          <w:sz w:val="22"/>
          <w:szCs w:val="22"/>
        </w:rPr>
      </w:pPr>
      <w:bookmarkStart w:id="12" w:name="Item09"/>
      <w:r w:rsidRPr="004E37CB">
        <w:rPr>
          <w:b/>
          <w:iCs/>
          <w:snapToGrid w:val="0"/>
          <w:sz w:val="22"/>
          <w:szCs w:val="22"/>
        </w:rPr>
        <w:lastRenderedPageBreak/>
        <w:t>Tema 4.</w:t>
      </w:r>
      <w:r w:rsidRPr="004E37CB">
        <w:rPr>
          <w:b/>
          <w:iCs/>
          <w:snapToGrid w:val="0"/>
          <w:sz w:val="22"/>
          <w:szCs w:val="22"/>
        </w:rPr>
        <w:tab/>
        <w:t>Presupuesto provisional propuesto para 2021</w:t>
      </w:r>
    </w:p>
    <w:bookmarkEnd w:id="12"/>
    <w:p w14:paraId="43CB59C5" w14:textId="42399683" w:rsidR="001C199B" w:rsidRPr="004E37CB" w:rsidRDefault="006107B1"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La Secretaria Ejecutiva ha publicado una nota conteniendo una propuesta de presupuesto provisional para 2021 para los programas previstos en el Convenio y los Protocolos de Cartagena y </w:t>
      </w:r>
      <w:r w:rsidR="00CD0B26" w:rsidRPr="004E37CB">
        <w:rPr>
          <w:snapToGrid w:val="0"/>
          <w:sz w:val="22"/>
          <w:szCs w:val="22"/>
        </w:rPr>
        <w:t xml:space="preserve">de </w:t>
      </w:r>
      <w:r w:rsidRPr="004E37CB">
        <w:rPr>
          <w:snapToGrid w:val="0"/>
          <w:sz w:val="22"/>
          <w:szCs w:val="22"/>
        </w:rPr>
        <w:t>Nagoya (CBD/ExCOP/2/2, CBD/CP/ExMOP/1/2, CBD/NP/ExMOP/1/2).</w:t>
      </w:r>
    </w:p>
    <w:p w14:paraId="6B3FA711" w14:textId="5B3A2EA0"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Se celebrarán consultas oficiosas entre las Partes con el auspicio de la Presidenta y la Mesa de la Conferencia de las Partes en una reunión oficiosa del comité de presupuesto. Al final de este período de consultas, se habrá elaborado un proyecto de decisión, basado en el proyecto elaborado y presentado por la Secretaria Ejecutiva, a propuesta de la Presidenta.</w:t>
      </w:r>
    </w:p>
    <w:p w14:paraId="03F9227A" w14:textId="63D4238D"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En el marco de este tema, se espera que la Conferencia de las Partes adopte un presupuesto por programas provisional para el año 2021 sobre la base de las propuestas de la Presidenta presentadas mediante el procedimiento de acuerdo tácito descrito en el párrafo </w:t>
      </w:r>
      <w:r w:rsidR="00B27EAB" w:rsidRPr="004E37CB">
        <w:rPr>
          <w:snapToGrid w:val="0"/>
          <w:sz w:val="22"/>
          <w:szCs w:val="22"/>
        </w:rPr>
        <w:fldChar w:fldCharType="begin"/>
      </w:r>
      <w:r w:rsidR="00B27EAB" w:rsidRPr="004E37CB">
        <w:rPr>
          <w:snapToGrid w:val="0"/>
          <w:sz w:val="22"/>
          <w:szCs w:val="22"/>
        </w:rPr>
        <w:instrText xml:space="preserve"> REF _Ref50491532 \r \h </w:instrText>
      </w:r>
      <w:r w:rsidR="00B27EAB" w:rsidRPr="004E37CB">
        <w:rPr>
          <w:snapToGrid w:val="0"/>
          <w:sz w:val="22"/>
          <w:szCs w:val="22"/>
        </w:rPr>
      </w:r>
      <w:r w:rsidR="00B27EAB" w:rsidRPr="004E37CB">
        <w:rPr>
          <w:snapToGrid w:val="0"/>
          <w:sz w:val="22"/>
          <w:szCs w:val="22"/>
        </w:rPr>
        <w:fldChar w:fldCharType="separate"/>
      </w:r>
      <w:r w:rsidR="00907F09" w:rsidRPr="004E37CB">
        <w:rPr>
          <w:snapToGrid w:val="0"/>
          <w:sz w:val="22"/>
          <w:szCs w:val="22"/>
        </w:rPr>
        <w:t>1</w:t>
      </w:r>
      <w:r w:rsidR="00362ABF">
        <w:rPr>
          <w:snapToGrid w:val="0"/>
          <w:sz w:val="22"/>
          <w:szCs w:val="22"/>
        </w:rPr>
        <w:t>3</w:t>
      </w:r>
      <w:r w:rsidR="00B27EAB" w:rsidRPr="004E37CB">
        <w:rPr>
          <w:snapToGrid w:val="0"/>
          <w:sz w:val="22"/>
          <w:szCs w:val="22"/>
        </w:rPr>
        <w:fldChar w:fldCharType="end"/>
      </w:r>
      <w:r w:rsidRPr="004E37CB">
        <w:rPr>
          <w:snapToGrid w:val="0"/>
          <w:sz w:val="22"/>
          <w:szCs w:val="22"/>
        </w:rPr>
        <w:t xml:space="preserve"> más arriba.</w:t>
      </w:r>
    </w:p>
    <w:p w14:paraId="07AC59FF"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0"/>
        <w:rPr>
          <w:b/>
          <w:i/>
          <w:iCs/>
          <w:kern w:val="22"/>
          <w:sz w:val="22"/>
          <w:szCs w:val="22"/>
        </w:rPr>
      </w:pPr>
      <w:bookmarkStart w:id="13" w:name="Item10"/>
      <w:r w:rsidRPr="004E37CB">
        <w:rPr>
          <w:b/>
          <w:iCs/>
          <w:snapToGrid w:val="0"/>
          <w:sz w:val="22"/>
          <w:szCs w:val="22"/>
        </w:rPr>
        <w:t>Tema 5.</w:t>
      </w:r>
      <w:r w:rsidRPr="004E37CB">
        <w:rPr>
          <w:b/>
          <w:iCs/>
          <w:snapToGrid w:val="0"/>
          <w:sz w:val="22"/>
          <w:szCs w:val="22"/>
        </w:rPr>
        <w:tab/>
      </w:r>
      <w:bookmarkStart w:id="14" w:name="Item34"/>
      <w:bookmarkEnd w:id="13"/>
      <w:r w:rsidRPr="004E37CB">
        <w:rPr>
          <w:b/>
          <w:iCs/>
          <w:snapToGrid w:val="0"/>
          <w:sz w:val="22"/>
          <w:szCs w:val="22"/>
        </w:rPr>
        <w:t>Adopción del informe</w:t>
      </w:r>
    </w:p>
    <w:bookmarkEnd w:id="14"/>
    <w:p w14:paraId="23A42C6E" w14:textId="78854DD3" w:rsidR="00390CD1"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Un esquema del proyecto de informe se dará a conocer junto con el discurso inaugural de la Presidenta que se menciona en el párrafo </w:t>
      </w:r>
      <w:r w:rsidR="00185E80" w:rsidRPr="004E37CB">
        <w:rPr>
          <w:snapToGrid w:val="0"/>
          <w:sz w:val="22"/>
          <w:szCs w:val="22"/>
        </w:rPr>
        <w:fldChar w:fldCharType="begin"/>
      </w:r>
      <w:r w:rsidR="00185E80" w:rsidRPr="004E37CB">
        <w:rPr>
          <w:snapToGrid w:val="0"/>
          <w:sz w:val="22"/>
          <w:szCs w:val="22"/>
        </w:rPr>
        <w:instrText xml:space="preserve"> REF _Ref50491979 \r \h </w:instrText>
      </w:r>
      <w:r w:rsidR="00185E80" w:rsidRPr="004E37CB">
        <w:rPr>
          <w:snapToGrid w:val="0"/>
          <w:sz w:val="22"/>
          <w:szCs w:val="22"/>
        </w:rPr>
      </w:r>
      <w:r w:rsidR="00185E80" w:rsidRPr="004E37CB">
        <w:rPr>
          <w:snapToGrid w:val="0"/>
          <w:sz w:val="22"/>
          <w:szCs w:val="22"/>
        </w:rPr>
        <w:fldChar w:fldCharType="separate"/>
      </w:r>
      <w:r w:rsidR="00907F09" w:rsidRPr="004E37CB">
        <w:rPr>
          <w:snapToGrid w:val="0"/>
          <w:sz w:val="22"/>
          <w:szCs w:val="22"/>
        </w:rPr>
        <w:t>9</w:t>
      </w:r>
      <w:r w:rsidR="00185E80" w:rsidRPr="004E37CB">
        <w:rPr>
          <w:snapToGrid w:val="0"/>
          <w:sz w:val="22"/>
          <w:szCs w:val="22"/>
        </w:rPr>
        <w:fldChar w:fldCharType="end"/>
      </w:r>
      <w:r w:rsidRPr="004E37CB">
        <w:rPr>
          <w:snapToGrid w:val="0"/>
          <w:sz w:val="22"/>
          <w:szCs w:val="22"/>
        </w:rPr>
        <w:t xml:space="preserve"> más arriba. El informe se finalizará para reflejar los resultados de las reuniones extraordinarias, y se considerará adoptado cuando se publique la conclusión de la Presidenta sobre el tema 4 el jueves 19 de noviembre de 2020 a las 8.00 hora</w:t>
      </w:r>
      <w:r w:rsidR="00951547" w:rsidRPr="004E37CB">
        <w:rPr>
          <w:snapToGrid w:val="0"/>
          <w:sz w:val="22"/>
          <w:szCs w:val="22"/>
        </w:rPr>
        <w:t>s</w:t>
      </w:r>
      <w:r w:rsidRPr="004E37CB">
        <w:rPr>
          <w:snapToGrid w:val="0"/>
          <w:sz w:val="22"/>
          <w:szCs w:val="22"/>
        </w:rPr>
        <w:t xml:space="preserve"> de Montreal (UTC 13.00 horas). De conformidad con la práctica establecida, el Relator (uno de los miembros de la Mesa designado por esta) completará el informe final con la orientación de la Presidenta y la asistencia de la Secretaría.</w:t>
      </w:r>
    </w:p>
    <w:p w14:paraId="3616AFEC" w14:textId="73136631"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spacing w:val="-4"/>
          <w:kern w:val="22"/>
          <w:sz w:val="22"/>
          <w:szCs w:val="22"/>
        </w:rPr>
      </w:pPr>
      <w:r w:rsidRPr="004E37CB">
        <w:rPr>
          <w:snapToGrid w:val="0"/>
          <w:sz w:val="22"/>
          <w:szCs w:val="22"/>
        </w:rPr>
        <w:t>De acuerdo con la práctica establecida, el Relator será responsable de completar los informes finales después de las reuniones, con la orientación de la Presidenta y la asistencia de la Secretaría.</w:t>
      </w:r>
    </w:p>
    <w:p w14:paraId="1F67D404" w14:textId="77777777" w:rsidR="001C199B" w:rsidRPr="004E37CB" w:rsidRDefault="001C199B" w:rsidP="00704471">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 w:val="22"/>
          <w:szCs w:val="22"/>
        </w:rPr>
      </w:pPr>
      <w:bookmarkStart w:id="15" w:name="Item35"/>
      <w:r w:rsidRPr="004E37CB">
        <w:rPr>
          <w:b/>
          <w:bCs/>
          <w:iCs/>
          <w:snapToGrid w:val="0"/>
          <w:sz w:val="22"/>
          <w:szCs w:val="22"/>
        </w:rPr>
        <w:t>Tema 6.</w:t>
      </w:r>
      <w:r w:rsidRPr="004E37CB">
        <w:rPr>
          <w:b/>
          <w:bCs/>
          <w:iCs/>
          <w:snapToGrid w:val="0"/>
          <w:sz w:val="22"/>
          <w:szCs w:val="22"/>
        </w:rPr>
        <w:tab/>
        <w:t>Clausura de la reunión</w:t>
      </w:r>
    </w:p>
    <w:bookmarkEnd w:id="15"/>
    <w:p w14:paraId="6D3D6AC7" w14:textId="3AB5D688" w:rsidR="001C199B" w:rsidRPr="004E37CB" w:rsidRDefault="001C199B" w:rsidP="0070447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4E37CB">
        <w:rPr>
          <w:snapToGrid w:val="0"/>
          <w:sz w:val="22"/>
          <w:szCs w:val="22"/>
        </w:rPr>
        <w:t xml:space="preserve">Se prevé que la segunda reunión de la Conferencia de las Partes en el Convenio y las primeras reuniones extraordinarias de la Conferencia de las Partes que actúa como reunión de las Partes en los Protocolos de Cartagena y </w:t>
      </w:r>
      <w:r w:rsidR="00CD0B26" w:rsidRPr="004E37CB">
        <w:rPr>
          <w:snapToGrid w:val="0"/>
          <w:sz w:val="22"/>
          <w:szCs w:val="22"/>
        </w:rPr>
        <w:t xml:space="preserve">de </w:t>
      </w:r>
      <w:r w:rsidRPr="004E37CB">
        <w:rPr>
          <w:snapToGrid w:val="0"/>
          <w:sz w:val="22"/>
          <w:szCs w:val="22"/>
        </w:rPr>
        <w:t>Nagoya finalizarán el jueves 19 d</w:t>
      </w:r>
      <w:r w:rsidR="0093131E" w:rsidRPr="004E37CB">
        <w:rPr>
          <w:snapToGrid w:val="0"/>
          <w:sz w:val="22"/>
          <w:szCs w:val="22"/>
        </w:rPr>
        <w:t>e noviembre de 20</w:t>
      </w:r>
      <w:r w:rsidR="00357920" w:rsidRPr="004E37CB">
        <w:rPr>
          <w:snapToGrid w:val="0"/>
          <w:sz w:val="22"/>
          <w:szCs w:val="22"/>
        </w:rPr>
        <w:t>20</w:t>
      </w:r>
      <w:r w:rsidR="0093131E" w:rsidRPr="004E37CB">
        <w:rPr>
          <w:snapToGrid w:val="0"/>
          <w:sz w:val="22"/>
          <w:szCs w:val="22"/>
        </w:rPr>
        <w:t>, a las 8.00</w:t>
      </w:r>
      <w:r w:rsidRPr="004E37CB">
        <w:rPr>
          <w:snapToGrid w:val="0"/>
          <w:sz w:val="22"/>
          <w:szCs w:val="22"/>
        </w:rPr>
        <w:t xml:space="preserve"> hora</w:t>
      </w:r>
      <w:r w:rsidR="0093131E" w:rsidRPr="004E37CB">
        <w:rPr>
          <w:snapToGrid w:val="0"/>
          <w:sz w:val="22"/>
          <w:szCs w:val="22"/>
        </w:rPr>
        <w:t>s</w:t>
      </w:r>
      <w:r w:rsidRPr="004E37CB">
        <w:rPr>
          <w:snapToGrid w:val="0"/>
          <w:sz w:val="22"/>
          <w:szCs w:val="22"/>
        </w:rPr>
        <w:t xml:space="preserve"> de Montreal (UTC 13.00 horas), como se indica en el párrafo </w:t>
      </w:r>
      <w:r w:rsidR="00DE7641" w:rsidRPr="004E37CB">
        <w:rPr>
          <w:snapToGrid w:val="0"/>
          <w:sz w:val="22"/>
          <w:szCs w:val="22"/>
        </w:rPr>
        <w:fldChar w:fldCharType="begin"/>
      </w:r>
      <w:r w:rsidR="00DE7641" w:rsidRPr="004E37CB">
        <w:rPr>
          <w:snapToGrid w:val="0"/>
          <w:sz w:val="22"/>
          <w:szCs w:val="22"/>
        </w:rPr>
        <w:instrText xml:space="preserve"> REF _Ref50491532 \r \h </w:instrText>
      </w:r>
      <w:r w:rsidR="00DE7641" w:rsidRPr="004E37CB">
        <w:rPr>
          <w:snapToGrid w:val="0"/>
          <w:sz w:val="22"/>
          <w:szCs w:val="22"/>
        </w:rPr>
      </w:r>
      <w:r w:rsidR="00DE7641" w:rsidRPr="004E37CB">
        <w:rPr>
          <w:snapToGrid w:val="0"/>
          <w:sz w:val="22"/>
          <w:szCs w:val="22"/>
        </w:rPr>
        <w:fldChar w:fldCharType="separate"/>
      </w:r>
      <w:r w:rsidR="00907F09" w:rsidRPr="004E37CB">
        <w:rPr>
          <w:snapToGrid w:val="0"/>
          <w:sz w:val="22"/>
          <w:szCs w:val="22"/>
        </w:rPr>
        <w:t>1</w:t>
      </w:r>
      <w:r w:rsidR="00A46582">
        <w:rPr>
          <w:snapToGrid w:val="0"/>
          <w:sz w:val="22"/>
          <w:szCs w:val="22"/>
        </w:rPr>
        <w:t>3</w:t>
      </w:r>
      <w:r w:rsidR="00DE7641" w:rsidRPr="004E37CB">
        <w:rPr>
          <w:snapToGrid w:val="0"/>
          <w:sz w:val="22"/>
          <w:szCs w:val="22"/>
        </w:rPr>
        <w:fldChar w:fldCharType="end"/>
      </w:r>
      <w:r w:rsidRPr="004E37CB">
        <w:rPr>
          <w:snapToGrid w:val="0"/>
          <w:sz w:val="22"/>
          <w:szCs w:val="22"/>
        </w:rPr>
        <w:t>.</w:t>
      </w:r>
    </w:p>
    <w:p w14:paraId="00417E59" w14:textId="6B98BA73" w:rsidR="005667BA" w:rsidRPr="004E37CB" w:rsidRDefault="005667BA" w:rsidP="00704471">
      <w:pPr>
        <w:suppressLineNumbers/>
        <w:suppressAutoHyphens/>
        <w:kinsoku w:val="0"/>
        <w:overflowPunct w:val="0"/>
        <w:autoSpaceDE w:val="0"/>
        <w:autoSpaceDN w:val="0"/>
        <w:spacing w:before="120" w:after="120"/>
        <w:jc w:val="both"/>
        <w:rPr>
          <w:snapToGrid w:val="0"/>
          <w:kern w:val="22"/>
          <w:sz w:val="22"/>
          <w:szCs w:val="22"/>
        </w:rPr>
      </w:pPr>
    </w:p>
    <w:p w14:paraId="47C9245D" w14:textId="719FC84A" w:rsidR="00F511A7" w:rsidRPr="004E37CB" w:rsidRDefault="00334EAC" w:rsidP="00704471">
      <w:pPr>
        <w:pStyle w:val="Heading3"/>
        <w:suppressLineNumbers/>
        <w:tabs>
          <w:tab w:val="clear" w:pos="567"/>
        </w:tabs>
        <w:suppressAutoHyphens/>
        <w:kinsoku w:val="0"/>
        <w:overflowPunct w:val="0"/>
        <w:autoSpaceDE w:val="0"/>
        <w:autoSpaceDN w:val="0"/>
        <w:spacing w:before="0"/>
        <w:rPr>
          <w:snapToGrid w:val="0"/>
          <w:kern w:val="22"/>
          <w:sz w:val="22"/>
          <w:szCs w:val="22"/>
        </w:rPr>
      </w:pPr>
      <w:r w:rsidRPr="004E37CB">
        <w:rPr>
          <w:snapToGrid w:val="0"/>
          <w:sz w:val="22"/>
          <w:szCs w:val="22"/>
        </w:rPr>
        <w:br w:type="page"/>
      </w:r>
      <w:r w:rsidRPr="004E37CB">
        <w:rPr>
          <w:snapToGrid w:val="0"/>
          <w:sz w:val="22"/>
          <w:szCs w:val="22"/>
        </w:rPr>
        <w:lastRenderedPageBreak/>
        <w:t xml:space="preserve">Anexo </w:t>
      </w:r>
    </w:p>
    <w:p w14:paraId="0A84ED5D" w14:textId="20FF2301" w:rsidR="00F511A7" w:rsidRPr="004E37CB" w:rsidRDefault="007A7AE3" w:rsidP="00704471">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 w:val="22"/>
          <w:szCs w:val="22"/>
        </w:rPr>
      </w:pPr>
      <w:r w:rsidRPr="004E37CB">
        <w:rPr>
          <w:rFonts w:ascii="Times New Roman Bold" w:hAnsi="Times New Roman Bold"/>
          <w:bCs/>
          <w:snapToGrid w:val="0"/>
          <w:sz w:val="22"/>
          <w:szCs w:val="22"/>
        </w:rPr>
        <w:t xml:space="preserve">Lista provisional de documentos para la </w:t>
      </w:r>
      <w:r w:rsidR="007A6228" w:rsidRPr="004E37CB">
        <w:rPr>
          <w:rFonts w:ascii="Times New Roman Bold" w:hAnsi="Times New Roman Bold"/>
          <w:bCs/>
          <w:snapToGrid w:val="0"/>
          <w:sz w:val="22"/>
          <w:szCs w:val="22"/>
        </w:rPr>
        <w:t>SEGUN</w:t>
      </w:r>
      <w:r w:rsidR="007A6228">
        <w:rPr>
          <w:rFonts w:ascii="Times New Roman Bold" w:hAnsi="Times New Roman Bold"/>
          <w:bCs/>
          <w:snapToGrid w:val="0"/>
          <w:sz w:val="22"/>
          <w:szCs w:val="22"/>
        </w:rPr>
        <w:t>D</w:t>
      </w:r>
      <w:r w:rsidR="007A6228" w:rsidRPr="004E37CB">
        <w:rPr>
          <w:rFonts w:ascii="Times New Roman Bold" w:hAnsi="Times New Roman Bold"/>
          <w:bCs/>
          <w:snapToGrid w:val="0"/>
          <w:sz w:val="22"/>
          <w:szCs w:val="22"/>
        </w:rPr>
        <w:t>A</w:t>
      </w:r>
      <w:r w:rsidRPr="004E37CB">
        <w:rPr>
          <w:rFonts w:ascii="Times New Roman Bold" w:hAnsi="Times New Roman Bold"/>
          <w:bCs/>
          <w:snapToGrid w:val="0"/>
          <w:sz w:val="22"/>
          <w:szCs w:val="22"/>
        </w:rPr>
        <w:t> reunión extraordinaria de la Conferencia de las Partes y las primeras reuniones extraordinarias de la Conferencia de las Partes que actúa como reunión de las Partes en los Protocolos de Cartagena y de Nagoya</w:t>
      </w:r>
    </w:p>
    <w:p w14:paraId="2892B9A4" w14:textId="77777777" w:rsidR="0066160C" w:rsidRPr="004E37CB" w:rsidRDefault="0066160C" w:rsidP="00704471">
      <w:pPr>
        <w:suppressLineNumbers/>
        <w:suppressAutoHyphens/>
        <w:kinsoku w:val="0"/>
        <w:overflowPunct w:val="0"/>
        <w:autoSpaceDE w:val="0"/>
        <w:autoSpaceDN w:val="0"/>
        <w:rPr>
          <w:iCs/>
          <w:snapToGrid w:val="0"/>
          <w:kern w:val="22"/>
          <w:sz w:val="20"/>
          <w:szCs w:val="20"/>
        </w:rPr>
      </w:pPr>
    </w:p>
    <w:p w14:paraId="1FE88C8A" w14:textId="47A589B0" w:rsidR="0066160C" w:rsidRPr="004E37CB" w:rsidRDefault="009A36C1" w:rsidP="00704471">
      <w:pPr>
        <w:suppressLineNumbers/>
        <w:tabs>
          <w:tab w:val="left" w:pos="709"/>
          <w:tab w:val="left" w:pos="5387"/>
        </w:tabs>
        <w:suppressAutoHyphens/>
        <w:kinsoku w:val="0"/>
        <w:overflowPunct w:val="0"/>
        <w:autoSpaceDE w:val="0"/>
        <w:autoSpaceDN w:val="0"/>
        <w:spacing w:after="100" w:afterAutospacing="1"/>
        <w:rPr>
          <w:i/>
          <w:snapToGrid w:val="0"/>
          <w:kern w:val="22"/>
          <w:sz w:val="22"/>
          <w:szCs w:val="22"/>
        </w:rPr>
      </w:pPr>
      <w:r w:rsidRPr="004E37CB">
        <w:rPr>
          <w:i/>
          <w:snapToGrid w:val="0"/>
          <w:sz w:val="22"/>
          <w:szCs w:val="22"/>
        </w:rPr>
        <w:tab/>
        <w:t>Signatura</w:t>
      </w:r>
      <w:r w:rsidRPr="004E37CB">
        <w:rPr>
          <w:i/>
          <w:snapToGrid w:val="0"/>
          <w:sz w:val="22"/>
          <w:szCs w:val="22"/>
        </w:rPr>
        <w:tab/>
        <w:t>Título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291C3E" w:rsidRPr="004E37CB" w14:paraId="7F984A99" w14:textId="77777777" w:rsidTr="00704471">
        <w:tc>
          <w:tcPr>
            <w:tcW w:w="2972" w:type="dxa"/>
            <w:tcMar>
              <w:top w:w="108" w:type="dxa"/>
              <w:bottom w:w="108" w:type="dxa"/>
            </w:tcMar>
          </w:tcPr>
          <w:p w14:paraId="65853AAE" w14:textId="45B26F07"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CBD/ExCOP/2/1</w:t>
            </w:r>
          </w:p>
          <w:p w14:paraId="4329039F" w14:textId="34A00FF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CBD/CP/ExMOP/1/1</w:t>
            </w:r>
          </w:p>
          <w:p w14:paraId="684F8E5C" w14:textId="7B902C5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w:t>
            </w:r>
          </w:p>
        </w:tc>
        <w:tc>
          <w:tcPr>
            <w:tcW w:w="6480" w:type="dxa"/>
            <w:tcMar>
              <w:top w:w="108" w:type="dxa"/>
              <w:bottom w:w="108" w:type="dxa"/>
            </w:tcMar>
          </w:tcPr>
          <w:p w14:paraId="4F154F84" w14:textId="30CA3F99"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w:t>
            </w:r>
          </w:p>
        </w:tc>
      </w:tr>
      <w:tr w:rsidR="00291C3E" w:rsidRPr="004E37CB" w14:paraId="7D319FBA" w14:textId="77777777" w:rsidTr="00704471">
        <w:tc>
          <w:tcPr>
            <w:tcW w:w="2972" w:type="dxa"/>
            <w:tcMar>
              <w:top w:w="108" w:type="dxa"/>
              <w:bottom w:w="108" w:type="dxa"/>
            </w:tcMar>
          </w:tcPr>
          <w:p w14:paraId="6E608E46" w14:textId="65023B14"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CBD/ExCOP/2/1/Add.1</w:t>
            </w:r>
          </w:p>
          <w:p w14:paraId="093EFA03" w14:textId="77777777" w:rsidR="00291C3E" w:rsidRPr="00017D49" w:rsidRDefault="00291C3E" w:rsidP="00704471">
            <w:pPr>
              <w:suppressLineNumbers/>
              <w:suppressAutoHyphens/>
              <w:kinsoku w:val="0"/>
              <w:overflowPunct w:val="0"/>
              <w:autoSpaceDE w:val="0"/>
              <w:autoSpaceDN w:val="0"/>
              <w:rPr>
                <w:iCs/>
                <w:snapToGrid w:val="0"/>
                <w:kern w:val="22"/>
                <w:sz w:val="22"/>
                <w:szCs w:val="22"/>
                <w:lang w:val="en-US"/>
              </w:rPr>
            </w:pPr>
            <w:r w:rsidRPr="00017D49">
              <w:rPr>
                <w:iCs/>
                <w:snapToGrid w:val="0"/>
                <w:sz w:val="22"/>
                <w:szCs w:val="22"/>
                <w:lang w:val="en-US"/>
              </w:rPr>
              <w:t>CBD/CP/ExMOP/1/1/Add.1</w:t>
            </w:r>
          </w:p>
          <w:p w14:paraId="1072D302" w14:textId="21A16C1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CBD/NP/ExMOP/1/1/Add.1</w:t>
            </w:r>
          </w:p>
        </w:tc>
        <w:tc>
          <w:tcPr>
            <w:tcW w:w="6480" w:type="dxa"/>
            <w:tcMar>
              <w:top w:w="108" w:type="dxa"/>
              <w:bottom w:w="108" w:type="dxa"/>
            </w:tcMar>
          </w:tcPr>
          <w:p w14:paraId="2015BE48" w14:textId="09896A50"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Programa provisional anotado</w:t>
            </w:r>
          </w:p>
        </w:tc>
      </w:tr>
      <w:tr w:rsidR="00291C3E" w:rsidRPr="004E37CB" w14:paraId="624DB9BF" w14:textId="77777777" w:rsidTr="00704471">
        <w:tc>
          <w:tcPr>
            <w:tcW w:w="2972" w:type="dxa"/>
            <w:tcMar>
              <w:top w:w="108" w:type="dxa"/>
              <w:bottom w:w="108" w:type="dxa"/>
            </w:tcMar>
          </w:tcPr>
          <w:p w14:paraId="4D1D4D2F" w14:textId="5CCF83A2" w:rsidR="00291C3E" w:rsidRPr="004E37CB" w:rsidRDefault="00291C3E" w:rsidP="00704471">
            <w:pPr>
              <w:pStyle w:val="ListParagraph"/>
              <w:suppressLineNumbers/>
              <w:tabs>
                <w:tab w:val="left" w:pos="3795"/>
              </w:tabs>
              <w:suppressAutoHyphens/>
              <w:kinsoku w:val="0"/>
              <w:overflowPunct w:val="0"/>
              <w:autoSpaceDE w:val="0"/>
              <w:autoSpaceDN w:val="0"/>
              <w:ind w:left="0"/>
              <w:contextualSpacing w:val="0"/>
              <w:jc w:val="both"/>
              <w:rPr>
                <w:iCs/>
                <w:snapToGrid w:val="0"/>
                <w:kern w:val="22"/>
                <w:sz w:val="22"/>
                <w:szCs w:val="22"/>
              </w:rPr>
            </w:pPr>
            <w:r w:rsidRPr="004E37CB">
              <w:rPr>
                <w:iCs/>
                <w:snapToGrid w:val="0"/>
                <w:sz w:val="22"/>
                <w:szCs w:val="22"/>
              </w:rPr>
              <w:t>CBD/ExCOP/2/2</w:t>
            </w:r>
          </w:p>
          <w:p w14:paraId="7826E64D" w14:textId="77777777" w:rsidR="00291C3E" w:rsidRPr="004E37CB" w:rsidRDefault="00291C3E" w:rsidP="00704471">
            <w:pPr>
              <w:pStyle w:val="ListParagraph"/>
              <w:suppressLineNumbers/>
              <w:suppressAutoHyphens/>
              <w:kinsoku w:val="0"/>
              <w:overflowPunct w:val="0"/>
              <w:autoSpaceDE w:val="0"/>
              <w:autoSpaceDN w:val="0"/>
              <w:ind w:left="3600" w:hanging="3600"/>
              <w:contextualSpacing w:val="0"/>
              <w:jc w:val="both"/>
              <w:rPr>
                <w:iCs/>
                <w:snapToGrid w:val="0"/>
                <w:kern w:val="22"/>
                <w:sz w:val="22"/>
                <w:szCs w:val="22"/>
              </w:rPr>
            </w:pPr>
            <w:r w:rsidRPr="004E37CB">
              <w:rPr>
                <w:iCs/>
                <w:snapToGrid w:val="0"/>
                <w:sz w:val="22"/>
                <w:szCs w:val="22"/>
              </w:rPr>
              <w:t>CBD/CP/ExMOP/1/2</w:t>
            </w:r>
          </w:p>
          <w:p w14:paraId="73C99F06" w14:textId="075E1D33"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CBD/NP/ExMOP/1/2</w:t>
            </w:r>
          </w:p>
        </w:tc>
        <w:tc>
          <w:tcPr>
            <w:tcW w:w="6480" w:type="dxa"/>
            <w:tcMar>
              <w:top w:w="108" w:type="dxa"/>
              <w:bottom w:w="108" w:type="dxa"/>
            </w:tcMar>
          </w:tcPr>
          <w:p w14:paraId="18E69E25" w14:textId="242613E4" w:rsidR="00291C3E" w:rsidRPr="004E37CB" w:rsidRDefault="00291C3E" w:rsidP="00704471">
            <w:pPr>
              <w:suppressLineNumbers/>
              <w:suppressAutoHyphens/>
              <w:kinsoku w:val="0"/>
              <w:overflowPunct w:val="0"/>
              <w:autoSpaceDE w:val="0"/>
              <w:autoSpaceDN w:val="0"/>
              <w:rPr>
                <w:iCs/>
                <w:snapToGrid w:val="0"/>
                <w:kern w:val="22"/>
                <w:sz w:val="22"/>
                <w:szCs w:val="22"/>
              </w:rPr>
            </w:pPr>
            <w:r w:rsidRPr="004E37CB">
              <w:rPr>
                <w:iCs/>
                <w:snapToGrid w:val="0"/>
                <w:sz w:val="22"/>
                <w:szCs w:val="22"/>
              </w:rPr>
              <w:t>Presupuesto provisional propuesto para el programa de trabajo del Convenio sobre la Diversidad Biológica, el Protocolo de Cartagena sobre Seguridad de la Biotecnología y el Protocolo de Nagoya sobre Acceso y Participación en los Beneficios para el año 2021</w:t>
            </w:r>
          </w:p>
        </w:tc>
      </w:tr>
    </w:tbl>
    <w:p w14:paraId="23519834" w14:textId="69E78436"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7622CF3" w14:textId="0D84E0E1" w:rsidR="00390CD1" w:rsidRPr="004E37CB" w:rsidRDefault="00390CD1" w:rsidP="00704471">
      <w:pPr>
        <w:suppressLineNumbers/>
        <w:suppressAutoHyphens/>
        <w:kinsoku w:val="0"/>
        <w:overflowPunct w:val="0"/>
        <w:autoSpaceDE w:val="0"/>
        <w:autoSpaceDN w:val="0"/>
        <w:rPr>
          <w:iCs/>
          <w:snapToGrid w:val="0"/>
          <w:kern w:val="22"/>
          <w:sz w:val="22"/>
          <w:szCs w:val="22"/>
        </w:rPr>
      </w:pPr>
    </w:p>
    <w:p w14:paraId="42044D4F" w14:textId="0ED37DB7" w:rsidR="0091322F" w:rsidRPr="004E37CB" w:rsidRDefault="00291C3E" w:rsidP="00704471">
      <w:pPr>
        <w:pStyle w:val="ListParagraph"/>
        <w:suppressLineNumbers/>
        <w:suppressAutoHyphens/>
        <w:kinsoku w:val="0"/>
        <w:overflowPunct w:val="0"/>
        <w:autoSpaceDE w:val="0"/>
        <w:autoSpaceDN w:val="0"/>
        <w:spacing w:after="100" w:afterAutospacing="1"/>
        <w:ind w:left="3600" w:hanging="3600"/>
        <w:contextualSpacing w:val="0"/>
        <w:jc w:val="center"/>
        <w:rPr>
          <w:snapToGrid w:val="0"/>
          <w:kern w:val="22"/>
        </w:rPr>
      </w:pPr>
      <w:r w:rsidRPr="004E37CB">
        <w:rPr>
          <w:iCs/>
          <w:snapToGrid w:val="0"/>
          <w:sz w:val="22"/>
          <w:szCs w:val="22"/>
        </w:rPr>
        <w:t>__________</w:t>
      </w:r>
    </w:p>
    <w:sectPr w:rsidR="0091322F" w:rsidRPr="004E37CB" w:rsidSect="00EC6497">
      <w:headerReference w:type="even" r:id="rId15"/>
      <w:headerReference w:type="default" r:id="rId16"/>
      <w:footerReference w:type="even"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758D" w14:textId="77777777" w:rsidR="00F77BBA" w:rsidRDefault="00F77BBA" w:rsidP="00CF1848">
      <w:r>
        <w:separator/>
      </w:r>
    </w:p>
  </w:endnote>
  <w:endnote w:type="continuationSeparator" w:id="0">
    <w:p w14:paraId="67686DF5" w14:textId="77777777" w:rsidR="00F77BBA" w:rsidRDefault="00F77BBA" w:rsidP="00CF1848">
      <w:r>
        <w:continuationSeparator/>
      </w:r>
    </w:p>
  </w:endnote>
  <w:endnote w:type="continuationNotice" w:id="1">
    <w:p w14:paraId="77FBD2F3" w14:textId="77777777" w:rsidR="00F77BBA" w:rsidRDefault="00F7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0840" w14:textId="77777777" w:rsidR="00F77BBA" w:rsidRDefault="00F77BBA" w:rsidP="00CF1848">
      <w:r>
        <w:separator/>
      </w:r>
    </w:p>
  </w:footnote>
  <w:footnote w:type="continuationSeparator" w:id="0">
    <w:p w14:paraId="3AB5F556" w14:textId="77777777" w:rsidR="00F77BBA" w:rsidRDefault="00F77BBA" w:rsidP="00CF1848">
      <w:r>
        <w:continuationSeparator/>
      </w:r>
    </w:p>
  </w:footnote>
  <w:footnote w:type="continuationNotice" w:id="1">
    <w:p w14:paraId="7B6A6902" w14:textId="77777777" w:rsidR="00F77BBA" w:rsidRDefault="00F77BBA"/>
  </w:footnote>
  <w:footnote w:id="2">
    <w:p w14:paraId="042F8219" w14:textId="01B82707" w:rsidR="001C199B" w:rsidRPr="00704471" w:rsidRDefault="001C199B" w:rsidP="00704471">
      <w:pPr>
        <w:pStyle w:val="FootnoteText"/>
        <w:suppressLineNumbers/>
        <w:suppressAutoHyphens/>
        <w:ind w:firstLine="0"/>
        <w:rPr>
          <w:kern w:val="18"/>
          <w:szCs w:val="18"/>
        </w:rPr>
      </w:pPr>
      <w:r>
        <w:rPr>
          <w:rStyle w:val="FootnoteReference"/>
          <w:kern w:val="18"/>
          <w:sz w:val="18"/>
          <w:szCs w:val="18"/>
          <w:lang w:val="en-GB"/>
        </w:rPr>
        <w:footnoteRef/>
      </w:r>
      <w:r>
        <w:t xml:space="preserve"> La primera reunión extraordinaria de la Conferencia de las Partes se realizó en Cartagena, Colombia, del 22 al 24 de febrero de 1999 (primera sesión) y en Montreal, Canadá, del 24 al 29 de enero de 2000 (reanudación y sesión final). Véase </w:t>
      </w:r>
      <w:hyperlink r:id="rId1" w:history="1">
        <w:r>
          <w:rPr>
            <w:rStyle w:val="Hyperlink"/>
          </w:rPr>
          <w:t>https://www.cbd.int/doc/meetings/cop/excop-01/official/excop-01-03-es.pdf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22B3C168" w:rsidR="00C81DB0" w:rsidRPr="00C53605" w:rsidRDefault="00C60D15" w:rsidP="00704471">
        <w:pPr>
          <w:pStyle w:val="Header"/>
          <w:tabs>
            <w:tab w:val="clear" w:pos="4320"/>
            <w:tab w:val="clear" w:pos="8640"/>
          </w:tabs>
          <w:ind w:right="5493"/>
          <w:rPr>
            <w:noProof/>
            <w:kern w:val="22"/>
            <w:sz w:val="22"/>
            <w:szCs w:val="22"/>
            <w:lang w:val="en-GB"/>
          </w:rPr>
        </w:pPr>
        <w:r>
          <w:rPr>
            <w:noProof/>
            <w:kern w:val="22"/>
            <w:sz w:val="22"/>
            <w:szCs w:val="22"/>
          </w:rPr>
          <w:t>CBD/ExCOP/2/1/Add.1 CBD/CP/ExMOP/1/1/Add.1 CBD/NP/ExMOP/1/1/Add.1</w:t>
        </w:r>
      </w:p>
    </w:sdtContent>
  </w:sdt>
  <w:p w14:paraId="1CB300D1" w14:textId="1C4839B1" w:rsidR="00C81DB0" w:rsidRPr="00EC6497" w:rsidRDefault="00C81DB0" w:rsidP="00704471">
    <w:pPr>
      <w:pStyle w:val="Header"/>
      <w:tabs>
        <w:tab w:val="clear" w:pos="4320"/>
        <w:tab w:val="clear" w:pos="8640"/>
      </w:tabs>
      <w:ind w:right="5493"/>
      <w:rPr>
        <w:noProof/>
        <w:kern w:val="22"/>
        <w:sz w:val="22"/>
        <w:szCs w:val="22"/>
      </w:rPr>
    </w:pPr>
    <w: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4</w:t>
    </w:r>
    <w:r w:rsidRPr="00EC6497">
      <w:rPr>
        <w:sz w:val="22"/>
        <w:szCs w:val="22"/>
      </w:rPr>
      <w:fldChar w:fldCharType="end"/>
    </w:r>
  </w:p>
  <w:p w14:paraId="1A3307A7" w14:textId="77777777" w:rsidR="00C81DB0" w:rsidRPr="00EC6497" w:rsidRDefault="00C81DB0" w:rsidP="00EC6497">
    <w:pPr>
      <w:pStyle w:val="Header"/>
      <w:tabs>
        <w:tab w:val="clear" w:pos="4320"/>
        <w:tab w:val="clear" w:pos="8640"/>
      </w:tab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1C9EAEF5" w:rsidR="00C81DB0" w:rsidRPr="00EC6497" w:rsidRDefault="00C60D15" w:rsidP="00704471">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rPr>
          <w:t>CBD/ExCOP/2/1/Add.1 CBD/CP/ExMOP/1/1/Add.1 CBD/NP/ExMOP/1/1/Add.1</w:t>
        </w:r>
      </w:p>
    </w:sdtContent>
  </w:sdt>
  <w:p w14:paraId="603B34B1" w14:textId="5D392575" w:rsidR="00C81DB0" w:rsidRPr="00EC6497" w:rsidRDefault="00C81DB0" w:rsidP="00704471">
    <w:pPr>
      <w:pStyle w:val="Header"/>
      <w:tabs>
        <w:tab w:val="clear" w:pos="4320"/>
        <w:tab w:val="clear" w:pos="8640"/>
      </w:tabs>
      <w:kinsoku w:val="0"/>
      <w:overflowPunct w:val="0"/>
      <w:autoSpaceDE w:val="0"/>
      <w:autoSpaceDN w:val="0"/>
      <w:ind w:left="6096"/>
      <w:jc w:val="right"/>
      <w:rPr>
        <w:noProof/>
        <w:sz w:val="22"/>
        <w:szCs w:val="22"/>
      </w:rPr>
    </w:pPr>
    <w:r>
      <w:rPr>
        <w:sz w:val="22"/>
        <w:szCs w:val="22"/>
      </w:rPr>
      <w:t xml:space="preserve">Página </w:t>
    </w:r>
    <w:r w:rsidRPr="00EC6497">
      <w:rPr>
        <w:sz w:val="22"/>
        <w:szCs w:val="22"/>
      </w:rPr>
      <w:fldChar w:fldCharType="begin"/>
    </w:r>
    <w:r w:rsidRPr="00EC6497">
      <w:rPr>
        <w:sz w:val="22"/>
        <w:szCs w:val="22"/>
      </w:rPr>
      <w:instrText xml:space="preserve"> PAGE   \* MERGEFORMAT </w:instrText>
    </w:r>
    <w:r w:rsidRPr="00EC6497">
      <w:rPr>
        <w:sz w:val="22"/>
        <w:szCs w:val="22"/>
      </w:rPr>
      <w:fldChar w:fldCharType="separate"/>
    </w:r>
    <w:r w:rsidR="00117FE6">
      <w:rPr>
        <w:noProof/>
        <w:sz w:val="22"/>
        <w:szCs w:val="22"/>
      </w:rPr>
      <w:t>5</w:t>
    </w:r>
    <w:r w:rsidRPr="00EC6497">
      <w:rPr>
        <w:sz w:val="22"/>
        <w:szCs w:val="22"/>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12"/>
  </w:num>
  <w:num w:numId="3">
    <w:abstractNumId w:val="10"/>
  </w:num>
  <w:num w:numId="4">
    <w:abstractNumId w:val="12"/>
  </w:num>
  <w:num w:numId="5">
    <w:abstractNumId w:val="11"/>
  </w:num>
  <w:num w:numId="6">
    <w:abstractNumId w:val="0"/>
  </w:num>
  <w:num w:numId="7">
    <w:abstractNumId w:val="2"/>
  </w:num>
  <w:num w:numId="8">
    <w:abstractNumId w:val="10"/>
    <w:lvlOverride w:ilvl="0">
      <w:startOverride w:val="1"/>
    </w:lvlOverride>
  </w:num>
  <w:num w:numId="9">
    <w:abstractNumId w:val="1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9"/>
  </w:num>
  <w:num w:numId="16">
    <w:abstractNumId w:val="5"/>
  </w:num>
  <w:num w:numId="17">
    <w:abstractNumId w:val="1"/>
  </w:num>
  <w:num w:numId="18">
    <w:abstractNumId w:val="13"/>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6"/>
  </w:num>
  <w:num w:numId="23">
    <w:abstractNumId w:val="12"/>
  </w:num>
  <w:num w:numId="24">
    <w:abstractNumId w:val="3"/>
  </w:num>
  <w:num w:numId="25">
    <w:abstractNumId w:val="15"/>
  </w:num>
  <w:num w:numId="2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18"/>
    <w:rsid w:val="00002559"/>
    <w:rsid w:val="00003CCD"/>
    <w:rsid w:val="00004C24"/>
    <w:rsid w:val="00005084"/>
    <w:rsid w:val="00007B1E"/>
    <w:rsid w:val="00011F26"/>
    <w:rsid w:val="00012805"/>
    <w:rsid w:val="00013A5E"/>
    <w:rsid w:val="00014DEC"/>
    <w:rsid w:val="000173A1"/>
    <w:rsid w:val="00017D49"/>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DE4"/>
    <w:rsid w:val="00050388"/>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5C54"/>
    <w:rsid w:val="0008111B"/>
    <w:rsid w:val="00082939"/>
    <w:rsid w:val="00082E79"/>
    <w:rsid w:val="0008623C"/>
    <w:rsid w:val="000938AC"/>
    <w:rsid w:val="0009599E"/>
    <w:rsid w:val="00096A6A"/>
    <w:rsid w:val="000A0AC1"/>
    <w:rsid w:val="000A1FE3"/>
    <w:rsid w:val="000A27A9"/>
    <w:rsid w:val="000A5252"/>
    <w:rsid w:val="000B130C"/>
    <w:rsid w:val="000B3227"/>
    <w:rsid w:val="000C1B84"/>
    <w:rsid w:val="000C2486"/>
    <w:rsid w:val="000C2A98"/>
    <w:rsid w:val="000C5C84"/>
    <w:rsid w:val="000C7875"/>
    <w:rsid w:val="000D0C25"/>
    <w:rsid w:val="000D259A"/>
    <w:rsid w:val="000D459E"/>
    <w:rsid w:val="000D6C51"/>
    <w:rsid w:val="000E0BC5"/>
    <w:rsid w:val="000E176D"/>
    <w:rsid w:val="000E3A3C"/>
    <w:rsid w:val="000E47FC"/>
    <w:rsid w:val="000E598B"/>
    <w:rsid w:val="000E673A"/>
    <w:rsid w:val="000F20EE"/>
    <w:rsid w:val="000F23D3"/>
    <w:rsid w:val="000F3C3D"/>
    <w:rsid w:val="000F57F3"/>
    <w:rsid w:val="000F5918"/>
    <w:rsid w:val="000F74F5"/>
    <w:rsid w:val="00103743"/>
    <w:rsid w:val="00104B0D"/>
    <w:rsid w:val="0010505D"/>
    <w:rsid w:val="00105372"/>
    <w:rsid w:val="001060DB"/>
    <w:rsid w:val="00107BB7"/>
    <w:rsid w:val="0011144A"/>
    <w:rsid w:val="0011159B"/>
    <w:rsid w:val="0011304E"/>
    <w:rsid w:val="0011465B"/>
    <w:rsid w:val="00117FE6"/>
    <w:rsid w:val="00120D52"/>
    <w:rsid w:val="00123F65"/>
    <w:rsid w:val="001249F0"/>
    <w:rsid w:val="00124D3E"/>
    <w:rsid w:val="00125375"/>
    <w:rsid w:val="001307AB"/>
    <w:rsid w:val="001307F4"/>
    <w:rsid w:val="00131E7A"/>
    <w:rsid w:val="00135FA2"/>
    <w:rsid w:val="00136D7B"/>
    <w:rsid w:val="00137A4F"/>
    <w:rsid w:val="001400FC"/>
    <w:rsid w:val="00141DD6"/>
    <w:rsid w:val="00142896"/>
    <w:rsid w:val="00143C91"/>
    <w:rsid w:val="0014470A"/>
    <w:rsid w:val="00145CFA"/>
    <w:rsid w:val="00146128"/>
    <w:rsid w:val="00146204"/>
    <w:rsid w:val="0014690B"/>
    <w:rsid w:val="001476B5"/>
    <w:rsid w:val="00147908"/>
    <w:rsid w:val="001504C8"/>
    <w:rsid w:val="00150706"/>
    <w:rsid w:val="00152601"/>
    <w:rsid w:val="00154265"/>
    <w:rsid w:val="001549B1"/>
    <w:rsid w:val="0016237D"/>
    <w:rsid w:val="001644E3"/>
    <w:rsid w:val="001656F2"/>
    <w:rsid w:val="00170A99"/>
    <w:rsid w:val="001716DA"/>
    <w:rsid w:val="00172AF6"/>
    <w:rsid w:val="001754B7"/>
    <w:rsid w:val="00175E6D"/>
    <w:rsid w:val="00176CEE"/>
    <w:rsid w:val="00185E80"/>
    <w:rsid w:val="00187124"/>
    <w:rsid w:val="00187D9D"/>
    <w:rsid w:val="00192E81"/>
    <w:rsid w:val="00193574"/>
    <w:rsid w:val="001941E8"/>
    <w:rsid w:val="0019561B"/>
    <w:rsid w:val="00197C35"/>
    <w:rsid w:val="001A0561"/>
    <w:rsid w:val="001A1737"/>
    <w:rsid w:val="001A4422"/>
    <w:rsid w:val="001A6D24"/>
    <w:rsid w:val="001B0E17"/>
    <w:rsid w:val="001B43E1"/>
    <w:rsid w:val="001B4CCF"/>
    <w:rsid w:val="001B709C"/>
    <w:rsid w:val="001B7C6E"/>
    <w:rsid w:val="001C083C"/>
    <w:rsid w:val="001C199B"/>
    <w:rsid w:val="001C34A6"/>
    <w:rsid w:val="001C629C"/>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E32"/>
    <w:rsid w:val="001F2183"/>
    <w:rsid w:val="001F282A"/>
    <w:rsid w:val="001F430C"/>
    <w:rsid w:val="001F4D38"/>
    <w:rsid w:val="001F4DAA"/>
    <w:rsid w:val="001F4E24"/>
    <w:rsid w:val="001F5627"/>
    <w:rsid w:val="001F5C8D"/>
    <w:rsid w:val="001F7B1E"/>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1590"/>
    <w:rsid w:val="00245B97"/>
    <w:rsid w:val="00247E80"/>
    <w:rsid w:val="00250267"/>
    <w:rsid w:val="00252411"/>
    <w:rsid w:val="002536B0"/>
    <w:rsid w:val="00256A8E"/>
    <w:rsid w:val="00264871"/>
    <w:rsid w:val="00266295"/>
    <w:rsid w:val="00266E8D"/>
    <w:rsid w:val="0027088D"/>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0718"/>
    <w:rsid w:val="002A2ACE"/>
    <w:rsid w:val="002A4670"/>
    <w:rsid w:val="002A5087"/>
    <w:rsid w:val="002A69BC"/>
    <w:rsid w:val="002B180B"/>
    <w:rsid w:val="002B213E"/>
    <w:rsid w:val="002B23E1"/>
    <w:rsid w:val="002C06F4"/>
    <w:rsid w:val="002C0801"/>
    <w:rsid w:val="002C25B8"/>
    <w:rsid w:val="002C2909"/>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DF7"/>
    <w:rsid w:val="0030695E"/>
    <w:rsid w:val="00310006"/>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4E52"/>
    <w:rsid w:val="0035722C"/>
    <w:rsid w:val="00357920"/>
    <w:rsid w:val="00360684"/>
    <w:rsid w:val="00361356"/>
    <w:rsid w:val="0036183F"/>
    <w:rsid w:val="00361A91"/>
    <w:rsid w:val="0036275E"/>
    <w:rsid w:val="00362ABF"/>
    <w:rsid w:val="00365518"/>
    <w:rsid w:val="0037012C"/>
    <w:rsid w:val="00370462"/>
    <w:rsid w:val="003710D5"/>
    <w:rsid w:val="0037115C"/>
    <w:rsid w:val="00372F74"/>
    <w:rsid w:val="003733AB"/>
    <w:rsid w:val="00374B33"/>
    <w:rsid w:val="003811F4"/>
    <w:rsid w:val="00383096"/>
    <w:rsid w:val="00386843"/>
    <w:rsid w:val="00386CA3"/>
    <w:rsid w:val="00390CD1"/>
    <w:rsid w:val="00391129"/>
    <w:rsid w:val="00391474"/>
    <w:rsid w:val="00394FD5"/>
    <w:rsid w:val="00396549"/>
    <w:rsid w:val="00396744"/>
    <w:rsid w:val="003A069D"/>
    <w:rsid w:val="003A0EFB"/>
    <w:rsid w:val="003A16EC"/>
    <w:rsid w:val="003A4921"/>
    <w:rsid w:val="003A5614"/>
    <w:rsid w:val="003A6B2C"/>
    <w:rsid w:val="003A7E91"/>
    <w:rsid w:val="003B0941"/>
    <w:rsid w:val="003B469C"/>
    <w:rsid w:val="003C4918"/>
    <w:rsid w:val="003C4FE5"/>
    <w:rsid w:val="003C63D6"/>
    <w:rsid w:val="003C667C"/>
    <w:rsid w:val="003C7D75"/>
    <w:rsid w:val="003D0BEF"/>
    <w:rsid w:val="003D2394"/>
    <w:rsid w:val="003D6168"/>
    <w:rsid w:val="003D6C86"/>
    <w:rsid w:val="003E18AD"/>
    <w:rsid w:val="003E222A"/>
    <w:rsid w:val="003E3EB6"/>
    <w:rsid w:val="003E6458"/>
    <w:rsid w:val="003F0BCF"/>
    <w:rsid w:val="003F1A65"/>
    <w:rsid w:val="003F484C"/>
    <w:rsid w:val="003F59C6"/>
    <w:rsid w:val="0040228E"/>
    <w:rsid w:val="0040384A"/>
    <w:rsid w:val="004102CB"/>
    <w:rsid w:val="0041230B"/>
    <w:rsid w:val="0041478E"/>
    <w:rsid w:val="00415390"/>
    <w:rsid w:val="00416729"/>
    <w:rsid w:val="00416AA4"/>
    <w:rsid w:val="00417C68"/>
    <w:rsid w:val="0042081B"/>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724E"/>
    <w:rsid w:val="004404E6"/>
    <w:rsid w:val="004412F7"/>
    <w:rsid w:val="00442C39"/>
    <w:rsid w:val="00445C78"/>
    <w:rsid w:val="0044707E"/>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C0CE2"/>
    <w:rsid w:val="004C71BA"/>
    <w:rsid w:val="004C78B6"/>
    <w:rsid w:val="004D1251"/>
    <w:rsid w:val="004D192D"/>
    <w:rsid w:val="004D6D16"/>
    <w:rsid w:val="004E039C"/>
    <w:rsid w:val="004E0BF0"/>
    <w:rsid w:val="004E2884"/>
    <w:rsid w:val="004E2DEE"/>
    <w:rsid w:val="004E3576"/>
    <w:rsid w:val="004E37CB"/>
    <w:rsid w:val="004E3CEF"/>
    <w:rsid w:val="004E43F1"/>
    <w:rsid w:val="004E546B"/>
    <w:rsid w:val="004E5E5B"/>
    <w:rsid w:val="004F0D5C"/>
    <w:rsid w:val="004F345D"/>
    <w:rsid w:val="004F5063"/>
    <w:rsid w:val="00502A2E"/>
    <w:rsid w:val="00503A86"/>
    <w:rsid w:val="00504B97"/>
    <w:rsid w:val="00505130"/>
    <w:rsid w:val="00505730"/>
    <w:rsid w:val="0051070B"/>
    <w:rsid w:val="005126A9"/>
    <w:rsid w:val="00512CCB"/>
    <w:rsid w:val="00513360"/>
    <w:rsid w:val="005148F9"/>
    <w:rsid w:val="005165D6"/>
    <w:rsid w:val="00516BAB"/>
    <w:rsid w:val="0051721B"/>
    <w:rsid w:val="0052192D"/>
    <w:rsid w:val="00522279"/>
    <w:rsid w:val="005234C0"/>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67BA"/>
    <w:rsid w:val="00566CB6"/>
    <w:rsid w:val="00571619"/>
    <w:rsid w:val="00574BEE"/>
    <w:rsid w:val="00577440"/>
    <w:rsid w:val="0058128B"/>
    <w:rsid w:val="005831D9"/>
    <w:rsid w:val="00583333"/>
    <w:rsid w:val="005902CA"/>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6328"/>
    <w:rsid w:val="00626A76"/>
    <w:rsid w:val="0063084E"/>
    <w:rsid w:val="00630AAA"/>
    <w:rsid w:val="006335FD"/>
    <w:rsid w:val="00637E69"/>
    <w:rsid w:val="006452EF"/>
    <w:rsid w:val="006453D5"/>
    <w:rsid w:val="00645A3A"/>
    <w:rsid w:val="0064700F"/>
    <w:rsid w:val="00650D57"/>
    <w:rsid w:val="006532BE"/>
    <w:rsid w:val="00653330"/>
    <w:rsid w:val="00653BF9"/>
    <w:rsid w:val="00653FA8"/>
    <w:rsid w:val="006541CE"/>
    <w:rsid w:val="006543C7"/>
    <w:rsid w:val="00654429"/>
    <w:rsid w:val="006549D7"/>
    <w:rsid w:val="00655EEA"/>
    <w:rsid w:val="00660370"/>
    <w:rsid w:val="0066160C"/>
    <w:rsid w:val="006622EE"/>
    <w:rsid w:val="00663FD5"/>
    <w:rsid w:val="006670FB"/>
    <w:rsid w:val="0067019B"/>
    <w:rsid w:val="00672F05"/>
    <w:rsid w:val="006749D6"/>
    <w:rsid w:val="00676D94"/>
    <w:rsid w:val="00676FCE"/>
    <w:rsid w:val="00685112"/>
    <w:rsid w:val="00686F19"/>
    <w:rsid w:val="00687154"/>
    <w:rsid w:val="00687525"/>
    <w:rsid w:val="0069111A"/>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B5A61"/>
    <w:rsid w:val="006B6768"/>
    <w:rsid w:val="006B6D53"/>
    <w:rsid w:val="006C0DBA"/>
    <w:rsid w:val="006C1C93"/>
    <w:rsid w:val="006C1F62"/>
    <w:rsid w:val="006C367D"/>
    <w:rsid w:val="006C5BA0"/>
    <w:rsid w:val="006C65CB"/>
    <w:rsid w:val="006D68BC"/>
    <w:rsid w:val="006E17E2"/>
    <w:rsid w:val="006E593A"/>
    <w:rsid w:val="006E6669"/>
    <w:rsid w:val="006F3850"/>
    <w:rsid w:val="006F3C32"/>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432B"/>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54BD"/>
    <w:rsid w:val="00767475"/>
    <w:rsid w:val="0077054C"/>
    <w:rsid w:val="00773BA1"/>
    <w:rsid w:val="007749E3"/>
    <w:rsid w:val="00775692"/>
    <w:rsid w:val="00776633"/>
    <w:rsid w:val="0077671A"/>
    <w:rsid w:val="00776840"/>
    <w:rsid w:val="00787EA0"/>
    <w:rsid w:val="007942D3"/>
    <w:rsid w:val="00795276"/>
    <w:rsid w:val="0079659A"/>
    <w:rsid w:val="0079685C"/>
    <w:rsid w:val="00797FEE"/>
    <w:rsid w:val="007A1517"/>
    <w:rsid w:val="007A2FDE"/>
    <w:rsid w:val="007A3289"/>
    <w:rsid w:val="007A4E86"/>
    <w:rsid w:val="007A6228"/>
    <w:rsid w:val="007A6E91"/>
    <w:rsid w:val="007A7A15"/>
    <w:rsid w:val="007A7A79"/>
    <w:rsid w:val="007A7AE3"/>
    <w:rsid w:val="007B09EE"/>
    <w:rsid w:val="007B0CFB"/>
    <w:rsid w:val="007B5CF1"/>
    <w:rsid w:val="007B6C09"/>
    <w:rsid w:val="007B7E18"/>
    <w:rsid w:val="007C23ED"/>
    <w:rsid w:val="007C4217"/>
    <w:rsid w:val="007C5DD0"/>
    <w:rsid w:val="007C7A9A"/>
    <w:rsid w:val="007D0173"/>
    <w:rsid w:val="007D0FEB"/>
    <w:rsid w:val="007D11ED"/>
    <w:rsid w:val="007D2C0F"/>
    <w:rsid w:val="007D2C68"/>
    <w:rsid w:val="007D2CF2"/>
    <w:rsid w:val="007D6538"/>
    <w:rsid w:val="007E0111"/>
    <w:rsid w:val="007E0839"/>
    <w:rsid w:val="007E09DA"/>
    <w:rsid w:val="007E2661"/>
    <w:rsid w:val="007E55E5"/>
    <w:rsid w:val="007E7B44"/>
    <w:rsid w:val="007F24EA"/>
    <w:rsid w:val="007F4989"/>
    <w:rsid w:val="00801CD3"/>
    <w:rsid w:val="00801D48"/>
    <w:rsid w:val="00801F64"/>
    <w:rsid w:val="00803D93"/>
    <w:rsid w:val="00806B5D"/>
    <w:rsid w:val="008116D7"/>
    <w:rsid w:val="00812A60"/>
    <w:rsid w:val="008132FB"/>
    <w:rsid w:val="00814AB2"/>
    <w:rsid w:val="00816C8D"/>
    <w:rsid w:val="00817673"/>
    <w:rsid w:val="008178B6"/>
    <w:rsid w:val="00820C98"/>
    <w:rsid w:val="00821197"/>
    <w:rsid w:val="008211AD"/>
    <w:rsid w:val="00824315"/>
    <w:rsid w:val="008256D5"/>
    <w:rsid w:val="00830511"/>
    <w:rsid w:val="008311D9"/>
    <w:rsid w:val="00832F67"/>
    <w:rsid w:val="00833026"/>
    <w:rsid w:val="00833FBA"/>
    <w:rsid w:val="00834E82"/>
    <w:rsid w:val="00836DDD"/>
    <w:rsid w:val="00844D54"/>
    <w:rsid w:val="008470FD"/>
    <w:rsid w:val="008471A9"/>
    <w:rsid w:val="00851388"/>
    <w:rsid w:val="00851DEC"/>
    <w:rsid w:val="00852B3F"/>
    <w:rsid w:val="008531ED"/>
    <w:rsid w:val="00853741"/>
    <w:rsid w:val="0085469B"/>
    <w:rsid w:val="008569E2"/>
    <w:rsid w:val="0086169B"/>
    <w:rsid w:val="00863F34"/>
    <w:rsid w:val="0086488D"/>
    <w:rsid w:val="00866AD5"/>
    <w:rsid w:val="008746FF"/>
    <w:rsid w:val="00880B23"/>
    <w:rsid w:val="00880EAA"/>
    <w:rsid w:val="0088203B"/>
    <w:rsid w:val="0088205C"/>
    <w:rsid w:val="0088569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71A"/>
    <w:rsid w:val="008A7C4F"/>
    <w:rsid w:val="008B0297"/>
    <w:rsid w:val="008B39D9"/>
    <w:rsid w:val="008B428B"/>
    <w:rsid w:val="008B4909"/>
    <w:rsid w:val="008B5084"/>
    <w:rsid w:val="008B50BC"/>
    <w:rsid w:val="008B5CD9"/>
    <w:rsid w:val="008B6E06"/>
    <w:rsid w:val="008B73C1"/>
    <w:rsid w:val="008C1E4A"/>
    <w:rsid w:val="008C3493"/>
    <w:rsid w:val="008C52EA"/>
    <w:rsid w:val="008C58C1"/>
    <w:rsid w:val="008C5C18"/>
    <w:rsid w:val="008C6676"/>
    <w:rsid w:val="008C73BD"/>
    <w:rsid w:val="008D3192"/>
    <w:rsid w:val="008D359D"/>
    <w:rsid w:val="008D48D2"/>
    <w:rsid w:val="008D5D5A"/>
    <w:rsid w:val="008D641B"/>
    <w:rsid w:val="008D6BE3"/>
    <w:rsid w:val="008D7F84"/>
    <w:rsid w:val="008E0886"/>
    <w:rsid w:val="008E157F"/>
    <w:rsid w:val="008E577D"/>
    <w:rsid w:val="008F1F06"/>
    <w:rsid w:val="008F5A8E"/>
    <w:rsid w:val="0090209C"/>
    <w:rsid w:val="00902144"/>
    <w:rsid w:val="0090280C"/>
    <w:rsid w:val="009033C5"/>
    <w:rsid w:val="00905560"/>
    <w:rsid w:val="00906572"/>
    <w:rsid w:val="00907F09"/>
    <w:rsid w:val="00910B13"/>
    <w:rsid w:val="0091142E"/>
    <w:rsid w:val="009123E2"/>
    <w:rsid w:val="0091322F"/>
    <w:rsid w:val="00913A6B"/>
    <w:rsid w:val="00913F9A"/>
    <w:rsid w:val="00914109"/>
    <w:rsid w:val="00920C83"/>
    <w:rsid w:val="00921A14"/>
    <w:rsid w:val="0092485D"/>
    <w:rsid w:val="00925D8E"/>
    <w:rsid w:val="00927121"/>
    <w:rsid w:val="009274E2"/>
    <w:rsid w:val="00927AAC"/>
    <w:rsid w:val="0093131E"/>
    <w:rsid w:val="00932561"/>
    <w:rsid w:val="00933654"/>
    <w:rsid w:val="0093390B"/>
    <w:rsid w:val="00937EC7"/>
    <w:rsid w:val="00941A9E"/>
    <w:rsid w:val="00944D6E"/>
    <w:rsid w:val="00945AA9"/>
    <w:rsid w:val="00945AB9"/>
    <w:rsid w:val="009505C9"/>
    <w:rsid w:val="00951547"/>
    <w:rsid w:val="009529A1"/>
    <w:rsid w:val="00952A1C"/>
    <w:rsid w:val="0095327F"/>
    <w:rsid w:val="00953329"/>
    <w:rsid w:val="00953EC3"/>
    <w:rsid w:val="00955CA0"/>
    <w:rsid w:val="00961BCD"/>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97"/>
    <w:rsid w:val="00991A30"/>
    <w:rsid w:val="00991E2A"/>
    <w:rsid w:val="00992846"/>
    <w:rsid w:val="009928EB"/>
    <w:rsid w:val="0099327D"/>
    <w:rsid w:val="00994DFD"/>
    <w:rsid w:val="009A01D5"/>
    <w:rsid w:val="009A36C1"/>
    <w:rsid w:val="009A52AC"/>
    <w:rsid w:val="009A7319"/>
    <w:rsid w:val="009B6C10"/>
    <w:rsid w:val="009B6DC5"/>
    <w:rsid w:val="009B79DF"/>
    <w:rsid w:val="009C0248"/>
    <w:rsid w:val="009C0FC3"/>
    <w:rsid w:val="009C2878"/>
    <w:rsid w:val="009C2BBC"/>
    <w:rsid w:val="009C3F2E"/>
    <w:rsid w:val="009D458B"/>
    <w:rsid w:val="009D550F"/>
    <w:rsid w:val="009E056B"/>
    <w:rsid w:val="009E0753"/>
    <w:rsid w:val="009E2AD0"/>
    <w:rsid w:val="009E3024"/>
    <w:rsid w:val="009E4969"/>
    <w:rsid w:val="009E6538"/>
    <w:rsid w:val="009E6D15"/>
    <w:rsid w:val="009E6FA4"/>
    <w:rsid w:val="009F06E4"/>
    <w:rsid w:val="009F0B46"/>
    <w:rsid w:val="009F212C"/>
    <w:rsid w:val="009F340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03A7"/>
    <w:rsid w:val="00A310E1"/>
    <w:rsid w:val="00A317BC"/>
    <w:rsid w:val="00A3222A"/>
    <w:rsid w:val="00A33354"/>
    <w:rsid w:val="00A34A90"/>
    <w:rsid w:val="00A35CD8"/>
    <w:rsid w:val="00A37456"/>
    <w:rsid w:val="00A37C24"/>
    <w:rsid w:val="00A37C8B"/>
    <w:rsid w:val="00A408CF"/>
    <w:rsid w:val="00A433D6"/>
    <w:rsid w:val="00A457F1"/>
    <w:rsid w:val="00A459DB"/>
    <w:rsid w:val="00A46582"/>
    <w:rsid w:val="00A50269"/>
    <w:rsid w:val="00A50735"/>
    <w:rsid w:val="00A578CB"/>
    <w:rsid w:val="00A609FF"/>
    <w:rsid w:val="00A65644"/>
    <w:rsid w:val="00A719E4"/>
    <w:rsid w:val="00A7466A"/>
    <w:rsid w:val="00A76CDE"/>
    <w:rsid w:val="00A808CB"/>
    <w:rsid w:val="00A8154C"/>
    <w:rsid w:val="00A81782"/>
    <w:rsid w:val="00A818BD"/>
    <w:rsid w:val="00A9434B"/>
    <w:rsid w:val="00A953FC"/>
    <w:rsid w:val="00A95787"/>
    <w:rsid w:val="00A9718C"/>
    <w:rsid w:val="00AA0007"/>
    <w:rsid w:val="00AA0F16"/>
    <w:rsid w:val="00AA2A85"/>
    <w:rsid w:val="00AA3435"/>
    <w:rsid w:val="00AA3543"/>
    <w:rsid w:val="00AA53F3"/>
    <w:rsid w:val="00AA5E51"/>
    <w:rsid w:val="00AA6B55"/>
    <w:rsid w:val="00AB4861"/>
    <w:rsid w:val="00AB6333"/>
    <w:rsid w:val="00AB7B72"/>
    <w:rsid w:val="00AC0F08"/>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40B7"/>
    <w:rsid w:val="00B061E5"/>
    <w:rsid w:val="00B06FA8"/>
    <w:rsid w:val="00B1275A"/>
    <w:rsid w:val="00B1341F"/>
    <w:rsid w:val="00B140EC"/>
    <w:rsid w:val="00B16361"/>
    <w:rsid w:val="00B164DE"/>
    <w:rsid w:val="00B1685F"/>
    <w:rsid w:val="00B2064B"/>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BEA"/>
    <w:rsid w:val="00B46C72"/>
    <w:rsid w:val="00B51298"/>
    <w:rsid w:val="00B517BC"/>
    <w:rsid w:val="00B535EF"/>
    <w:rsid w:val="00B53A62"/>
    <w:rsid w:val="00B53B11"/>
    <w:rsid w:val="00B53F62"/>
    <w:rsid w:val="00B56F2B"/>
    <w:rsid w:val="00B5705A"/>
    <w:rsid w:val="00B60481"/>
    <w:rsid w:val="00B60D9B"/>
    <w:rsid w:val="00B618BD"/>
    <w:rsid w:val="00B632C0"/>
    <w:rsid w:val="00B64B67"/>
    <w:rsid w:val="00B6515B"/>
    <w:rsid w:val="00B6732B"/>
    <w:rsid w:val="00B6739C"/>
    <w:rsid w:val="00B724F0"/>
    <w:rsid w:val="00B72B19"/>
    <w:rsid w:val="00B80D3C"/>
    <w:rsid w:val="00B8118A"/>
    <w:rsid w:val="00B8264F"/>
    <w:rsid w:val="00B8432E"/>
    <w:rsid w:val="00B84927"/>
    <w:rsid w:val="00B85936"/>
    <w:rsid w:val="00B85CF9"/>
    <w:rsid w:val="00B91D73"/>
    <w:rsid w:val="00B95039"/>
    <w:rsid w:val="00BA014B"/>
    <w:rsid w:val="00BA0397"/>
    <w:rsid w:val="00BA0DB8"/>
    <w:rsid w:val="00BA20E4"/>
    <w:rsid w:val="00BA2262"/>
    <w:rsid w:val="00BA706A"/>
    <w:rsid w:val="00BB1983"/>
    <w:rsid w:val="00BB34A2"/>
    <w:rsid w:val="00BB34C1"/>
    <w:rsid w:val="00BB450E"/>
    <w:rsid w:val="00BB55BF"/>
    <w:rsid w:val="00BB7608"/>
    <w:rsid w:val="00BC2013"/>
    <w:rsid w:val="00BC27E4"/>
    <w:rsid w:val="00BC42EE"/>
    <w:rsid w:val="00BC605A"/>
    <w:rsid w:val="00BC7332"/>
    <w:rsid w:val="00BD5CDC"/>
    <w:rsid w:val="00BD65E5"/>
    <w:rsid w:val="00BD6A7F"/>
    <w:rsid w:val="00BE0581"/>
    <w:rsid w:val="00BE0CC1"/>
    <w:rsid w:val="00BE16C1"/>
    <w:rsid w:val="00BE1DE2"/>
    <w:rsid w:val="00BE268E"/>
    <w:rsid w:val="00BE64C0"/>
    <w:rsid w:val="00BE6C11"/>
    <w:rsid w:val="00BE7748"/>
    <w:rsid w:val="00BF08CB"/>
    <w:rsid w:val="00BF2756"/>
    <w:rsid w:val="00BF4EA7"/>
    <w:rsid w:val="00C027E0"/>
    <w:rsid w:val="00C0443C"/>
    <w:rsid w:val="00C05CD9"/>
    <w:rsid w:val="00C06E43"/>
    <w:rsid w:val="00C07CA4"/>
    <w:rsid w:val="00C10B55"/>
    <w:rsid w:val="00C11B3B"/>
    <w:rsid w:val="00C17C39"/>
    <w:rsid w:val="00C208BB"/>
    <w:rsid w:val="00C22778"/>
    <w:rsid w:val="00C228D2"/>
    <w:rsid w:val="00C240FA"/>
    <w:rsid w:val="00C2735D"/>
    <w:rsid w:val="00C27A61"/>
    <w:rsid w:val="00C30FDC"/>
    <w:rsid w:val="00C33FE5"/>
    <w:rsid w:val="00C373C0"/>
    <w:rsid w:val="00C40B65"/>
    <w:rsid w:val="00C41EDE"/>
    <w:rsid w:val="00C42EB0"/>
    <w:rsid w:val="00C45A9D"/>
    <w:rsid w:val="00C45D0A"/>
    <w:rsid w:val="00C45FCD"/>
    <w:rsid w:val="00C475FD"/>
    <w:rsid w:val="00C47CAA"/>
    <w:rsid w:val="00C47CE3"/>
    <w:rsid w:val="00C53605"/>
    <w:rsid w:val="00C55272"/>
    <w:rsid w:val="00C55708"/>
    <w:rsid w:val="00C566AC"/>
    <w:rsid w:val="00C60A3D"/>
    <w:rsid w:val="00C60D15"/>
    <w:rsid w:val="00C60E06"/>
    <w:rsid w:val="00C629A4"/>
    <w:rsid w:val="00C63ADC"/>
    <w:rsid w:val="00C64AF2"/>
    <w:rsid w:val="00C666C7"/>
    <w:rsid w:val="00C70204"/>
    <w:rsid w:val="00C70A31"/>
    <w:rsid w:val="00C7105B"/>
    <w:rsid w:val="00C73B5C"/>
    <w:rsid w:val="00C7512B"/>
    <w:rsid w:val="00C7555B"/>
    <w:rsid w:val="00C75BC7"/>
    <w:rsid w:val="00C76B4C"/>
    <w:rsid w:val="00C77530"/>
    <w:rsid w:val="00C81DB0"/>
    <w:rsid w:val="00C822C1"/>
    <w:rsid w:val="00C83BCC"/>
    <w:rsid w:val="00C847A6"/>
    <w:rsid w:val="00C85AE2"/>
    <w:rsid w:val="00C85E1D"/>
    <w:rsid w:val="00C8786C"/>
    <w:rsid w:val="00C90F9D"/>
    <w:rsid w:val="00C9161D"/>
    <w:rsid w:val="00C94E0F"/>
    <w:rsid w:val="00C96299"/>
    <w:rsid w:val="00C96A96"/>
    <w:rsid w:val="00C971FF"/>
    <w:rsid w:val="00C97885"/>
    <w:rsid w:val="00CA021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0B26"/>
    <w:rsid w:val="00CD1FEE"/>
    <w:rsid w:val="00CD2EA0"/>
    <w:rsid w:val="00CD4FF5"/>
    <w:rsid w:val="00CD51EA"/>
    <w:rsid w:val="00CD54E9"/>
    <w:rsid w:val="00CD63A5"/>
    <w:rsid w:val="00CD6E37"/>
    <w:rsid w:val="00CD7905"/>
    <w:rsid w:val="00CE0CB9"/>
    <w:rsid w:val="00CE5AA6"/>
    <w:rsid w:val="00CE60CE"/>
    <w:rsid w:val="00CE62F7"/>
    <w:rsid w:val="00CE76B7"/>
    <w:rsid w:val="00CF0C4B"/>
    <w:rsid w:val="00CF1848"/>
    <w:rsid w:val="00CF1C2F"/>
    <w:rsid w:val="00CF241C"/>
    <w:rsid w:val="00CF3500"/>
    <w:rsid w:val="00CF70E1"/>
    <w:rsid w:val="00D05EC5"/>
    <w:rsid w:val="00D06DC9"/>
    <w:rsid w:val="00D101E7"/>
    <w:rsid w:val="00D1149F"/>
    <w:rsid w:val="00D11A6A"/>
    <w:rsid w:val="00D11A99"/>
    <w:rsid w:val="00D12528"/>
    <w:rsid w:val="00D13EAA"/>
    <w:rsid w:val="00D14398"/>
    <w:rsid w:val="00D165D1"/>
    <w:rsid w:val="00D23550"/>
    <w:rsid w:val="00D24335"/>
    <w:rsid w:val="00D26C64"/>
    <w:rsid w:val="00D304CF"/>
    <w:rsid w:val="00D316C8"/>
    <w:rsid w:val="00D31A12"/>
    <w:rsid w:val="00D34754"/>
    <w:rsid w:val="00D36466"/>
    <w:rsid w:val="00D4072B"/>
    <w:rsid w:val="00D40826"/>
    <w:rsid w:val="00D419DF"/>
    <w:rsid w:val="00D44370"/>
    <w:rsid w:val="00D44825"/>
    <w:rsid w:val="00D45B3E"/>
    <w:rsid w:val="00D52ADF"/>
    <w:rsid w:val="00D53755"/>
    <w:rsid w:val="00D540A1"/>
    <w:rsid w:val="00D54D9F"/>
    <w:rsid w:val="00D56E7E"/>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7B80"/>
    <w:rsid w:val="00D92311"/>
    <w:rsid w:val="00D973A8"/>
    <w:rsid w:val="00DA0C7E"/>
    <w:rsid w:val="00DA32A9"/>
    <w:rsid w:val="00DA5E68"/>
    <w:rsid w:val="00DB0706"/>
    <w:rsid w:val="00DB12AA"/>
    <w:rsid w:val="00DB23C1"/>
    <w:rsid w:val="00DB2D29"/>
    <w:rsid w:val="00DB58F4"/>
    <w:rsid w:val="00DC3FF8"/>
    <w:rsid w:val="00DC7B03"/>
    <w:rsid w:val="00DD076C"/>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34B"/>
    <w:rsid w:val="00DF39A8"/>
    <w:rsid w:val="00DF3BE4"/>
    <w:rsid w:val="00DF49DB"/>
    <w:rsid w:val="00DF5B20"/>
    <w:rsid w:val="00DF6441"/>
    <w:rsid w:val="00DF714E"/>
    <w:rsid w:val="00DF753B"/>
    <w:rsid w:val="00DF7A81"/>
    <w:rsid w:val="00E00E4F"/>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937CC"/>
    <w:rsid w:val="00E937EB"/>
    <w:rsid w:val="00E96BA8"/>
    <w:rsid w:val="00E97387"/>
    <w:rsid w:val="00EA68EA"/>
    <w:rsid w:val="00EB0C3D"/>
    <w:rsid w:val="00EB242F"/>
    <w:rsid w:val="00EB32AF"/>
    <w:rsid w:val="00EB3361"/>
    <w:rsid w:val="00EB3DFF"/>
    <w:rsid w:val="00EB501A"/>
    <w:rsid w:val="00EB64CF"/>
    <w:rsid w:val="00EC108C"/>
    <w:rsid w:val="00EC1C4F"/>
    <w:rsid w:val="00EC2AF3"/>
    <w:rsid w:val="00EC4772"/>
    <w:rsid w:val="00EC4E8C"/>
    <w:rsid w:val="00EC58F4"/>
    <w:rsid w:val="00EC6497"/>
    <w:rsid w:val="00EC7202"/>
    <w:rsid w:val="00ED0039"/>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3E07"/>
    <w:rsid w:val="00F24CFF"/>
    <w:rsid w:val="00F314C0"/>
    <w:rsid w:val="00F32859"/>
    <w:rsid w:val="00F328E0"/>
    <w:rsid w:val="00F338FD"/>
    <w:rsid w:val="00F34097"/>
    <w:rsid w:val="00F341AC"/>
    <w:rsid w:val="00F36839"/>
    <w:rsid w:val="00F37AFE"/>
    <w:rsid w:val="00F37F34"/>
    <w:rsid w:val="00F416C5"/>
    <w:rsid w:val="00F446EC"/>
    <w:rsid w:val="00F46234"/>
    <w:rsid w:val="00F511A7"/>
    <w:rsid w:val="00F5153C"/>
    <w:rsid w:val="00F519B0"/>
    <w:rsid w:val="00F547F0"/>
    <w:rsid w:val="00F54D07"/>
    <w:rsid w:val="00F55C05"/>
    <w:rsid w:val="00F563BA"/>
    <w:rsid w:val="00F63882"/>
    <w:rsid w:val="00F66003"/>
    <w:rsid w:val="00F67263"/>
    <w:rsid w:val="00F7035D"/>
    <w:rsid w:val="00F73034"/>
    <w:rsid w:val="00F7340B"/>
    <w:rsid w:val="00F73938"/>
    <w:rsid w:val="00F74645"/>
    <w:rsid w:val="00F77BBA"/>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3A6A"/>
    <w:rsid w:val="00FB75EF"/>
    <w:rsid w:val="00FC049E"/>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s-UY"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20CdP/sbstta-01/official/sbstta-01-0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96D89"/>
    <w:rsid w:val="000C3AD7"/>
    <w:rsid w:val="00131BD6"/>
    <w:rsid w:val="00204ED8"/>
    <w:rsid w:val="00216B72"/>
    <w:rsid w:val="00230814"/>
    <w:rsid w:val="00257B24"/>
    <w:rsid w:val="002B14E1"/>
    <w:rsid w:val="002B1B5E"/>
    <w:rsid w:val="002B4727"/>
    <w:rsid w:val="002C0DD3"/>
    <w:rsid w:val="00370849"/>
    <w:rsid w:val="0039049F"/>
    <w:rsid w:val="00395245"/>
    <w:rsid w:val="003A3875"/>
    <w:rsid w:val="003A4F7E"/>
    <w:rsid w:val="00432448"/>
    <w:rsid w:val="00450F4D"/>
    <w:rsid w:val="00477D2C"/>
    <w:rsid w:val="004A6301"/>
    <w:rsid w:val="00500A2B"/>
    <w:rsid w:val="005349FE"/>
    <w:rsid w:val="00537092"/>
    <w:rsid w:val="0058288D"/>
    <w:rsid w:val="005A7210"/>
    <w:rsid w:val="005C3265"/>
    <w:rsid w:val="005E1DAB"/>
    <w:rsid w:val="0061507A"/>
    <w:rsid w:val="00635A0E"/>
    <w:rsid w:val="00646798"/>
    <w:rsid w:val="00663AA0"/>
    <w:rsid w:val="006801B3"/>
    <w:rsid w:val="006A52D3"/>
    <w:rsid w:val="00713A56"/>
    <w:rsid w:val="00764AEB"/>
    <w:rsid w:val="00780A62"/>
    <w:rsid w:val="00786C78"/>
    <w:rsid w:val="0079224F"/>
    <w:rsid w:val="007C57B4"/>
    <w:rsid w:val="007D0300"/>
    <w:rsid w:val="007E7BE8"/>
    <w:rsid w:val="00810A55"/>
    <w:rsid w:val="00873AB9"/>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77DD9"/>
    <w:rsid w:val="00BB5FD9"/>
    <w:rsid w:val="00C12A32"/>
    <w:rsid w:val="00C167F1"/>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92AACF3112F84E5C9D8DFE0945093A57">
    <w:name w:val="92AACF3112F84E5C9D8DFE0945093A57"/>
    <w:rsid w:val="00B2576B"/>
    <w:pPr>
      <w:spacing w:after="160" w:line="259" w:lineRule="auto"/>
    </w:p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30EB16-5392-49E4-9240-418DD4C5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PROGRAMA provisional aNOTADO</vt:lpstr>
    </vt:vector>
  </TitlesOfParts>
  <Company>SCBD</Company>
  <LinksUpToDate>false</LinksUpToDate>
  <CharactersWithSpaces>13271</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 aNOTADO</dc:title>
  <dc:subject>CBD/ExCOP/2/1/Add.1 CBD/CP/ExMOP/1/1/Add.1 CBD/NP/ExMOP/1/1/Add.1</dc:subject>
  <dc:creator>SCBD</dc:creator>
  <cp:keywords/>
  <dc:description/>
  <cp:lastModifiedBy>Xue He Yan</cp:lastModifiedBy>
  <cp:revision>145</cp:revision>
  <cp:lastPrinted>2018-09-01T00:40:00Z</cp:lastPrinted>
  <dcterms:created xsi:type="dcterms:W3CDTF">2020-09-09T00:07:00Z</dcterms:created>
  <dcterms:modified xsi:type="dcterms:W3CDTF">2020-09-17T20:32:00Z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