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680336" w:rsidRPr="00FE6148" w14:paraId="67BC9DFF" w14:textId="77777777" w:rsidTr="00767DCF">
        <w:trPr>
          <w:trHeight w:val="844"/>
        </w:trPr>
        <w:tc>
          <w:tcPr>
            <w:tcW w:w="976" w:type="dxa"/>
            <w:tcBorders>
              <w:bottom w:val="single" w:sz="12" w:space="0" w:color="auto"/>
            </w:tcBorders>
          </w:tcPr>
          <w:p w14:paraId="55F04902" w14:textId="77777777" w:rsidR="00680336" w:rsidRPr="00FE6148" w:rsidRDefault="00680336" w:rsidP="00FE6148">
            <w:pPr>
              <w:suppressLineNumbers/>
              <w:suppressAutoHyphens/>
              <w:rPr>
                <w:kern w:val="22"/>
                <w:lang w:val="en-GB"/>
              </w:rPr>
            </w:pPr>
            <w:r w:rsidRPr="00FE6148">
              <w:rPr>
                <w:noProof/>
                <w:kern w:val="22"/>
              </w:rPr>
              <w:drawing>
                <wp:anchor distT="0" distB="0" distL="114300" distR="114300" simplePos="0" relativeHeight="251658241" behindDoc="0" locked="0" layoutInCell="1" allowOverlap="1" wp14:anchorId="4A061ECC" wp14:editId="589102F0">
                  <wp:simplePos x="0" y="0"/>
                  <wp:positionH relativeFrom="column">
                    <wp:posOffset>57150</wp:posOffset>
                  </wp:positionH>
                  <wp:positionV relativeFrom="page">
                    <wp:posOffset>28720</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E2DAC29" w14:textId="77777777" w:rsidR="00680336" w:rsidRPr="00FE6148" w:rsidRDefault="00680336" w:rsidP="00FE6148">
            <w:pPr>
              <w:suppressLineNumbers/>
              <w:suppressAutoHyphens/>
              <w:rPr>
                <w:kern w:val="22"/>
                <w:lang w:val="en-GB"/>
              </w:rPr>
            </w:pPr>
            <w:r w:rsidRPr="00FE6148">
              <w:rPr>
                <w:noProof/>
              </w:rPr>
              <w:drawing>
                <wp:anchor distT="0" distB="0" distL="114300" distR="114300" simplePos="0" relativeHeight="251658240" behindDoc="0" locked="0" layoutInCell="1" allowOverlap="1" wp14:anchorId="6EFAFDE6" wp14:editId="2DEB4961">
                  <wp:simplePos x="0" y="0"/>
                  <wp:positionH relativeFrom="column">
                    <wp:posOffset>-121303</wp:posOffset>
                  </wp:positionH>
                  <wp:positionV relativeFrom="page">
                    <wp:posOffset>-77403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3932AA50" w14:textId="77777777" w:rsidR="00680336" w:rsidRPr="00FE6148" w:rsidRDefault="00680336" w:rsidP="00FE6148">
            <w:pPr>
              <w:suppressLineNumbers/>
              <w:suppressAutoHyphens/>
              <w:jc w:val="right"/>
              <w:rPr>
                <w:rFonts w:ascii="Arial" w:hAnsi="Arial" w:cs="Arial"/>
                <w:b/>
                <w:kern w:val="22"/>
                <w:sz w:val="32"/>
                <w:szCs w:val="32"/>
                <w:lang w:val="en-GB"/>
              </w:rPr>
            </w:pPr>
            <w:r w:rsidRPr="00FE6148">
              <w:rPr>
                <w:rFonts w:ascii="Arial" w:hAnsi="Arial" w:cs="Arial"/>
                <w:b/>
                <w:kern w:val="22"/>
                <w:sz w:val="32"/>
                <w:szCs w:val="32"/>
              </w:rPr>
              <w:t>CBD</w:t>
            </w:r>
          </w:p>
        </w:tc>
      </w:tr>
    </w:tbl>
    <w:tbl>
      <w:tblPr>
        <w:tblW w:w="10251" w:type="dxa"/>
        <w:tblInd w:w="-176" w:type="dxa"/>
        <w:tblBorders>
          <w:bottom w:val="single" w:sz="36"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794"/>
        <w:gridCol w:w="1540"/>
        <w:gridCol w:w="3917"/>
      </w:tblGrid>
      <w:tr w:rsidR="00117549" w:rsidRPr="00FE6148" w14:paraId="64EBD506" w14:textId="77777777">
        <w:trPr>
          <w:trHeight w:val="1693"/>
        </w:trPr>
        <w:tc>
          <w:tcPr>
            <w:tcW w:w="4794" w:type="dxa"/>
            <w:tcBorders>
              <w:top w:val="nil"/>
              <w:bottom w:val="single" w:sz="36" w:space="0" w:color="000000"/>
            </w:tcBorders>
          </w:tcPr>
          <w:p w14:paraId="388F51F0" w14:textId="64A61ECB" w:rsidR="00117549" w:rsidRPr="00FE6148" w:rsidRDefault="004A1965" w:rsidP="00FE6148">
            <w:pPr>
              <w:suppressLineNumbers/>
              <w:suppressAutoHyphens/>
              <w:rPr>
                <w:kern w:val="22"/>
              </w:rPr>
            </w:pPr>
            <w:r w:rsidRPr="00FE6148">
              <w:rPr>
                <w:noProof/>
                <w:kern w:val="22"/>
                <w:lang w:eastAsia="ja-JP"/>
              </w:rPr>
              <w:drawing>
                <wp:inline distT="0" distB="0" distL="0" distR="0" wp14:anchorId="5C310968" wp14:editId="6042D49D">
                  <wp:extent cx="2846070" cy="1082040"/>
                  <wp:effectExtent l="0" t="0" r="0" b="0"/>
                  <wp:docPr id="5" name="image1.png" descr="CBD_logo_CMYK_black [Converted]"/>
                  <wp:cNvGraphicFramePr/>
                  <a:graphic xmlns:a="http://schemas.openxmlformats.org/drawingml/2006/main">
                    <a:graphicData uri="http://schemas.openxmlformats.org/drawingml/2006/picture">
                      <pic:pic xmlns:pic="http://schemas.openxmlformats.org/drawingml/2006/picture">
                        <pic:nvPicPr>
                          <pic:cNvPr id="0" name="image1.png" descr="CBD_logo_CMYK_black [Converted]"/>
                          <pic:cNvPicPr preferRelativeResize="0"/>
                        </pic:nvPicPr>
                        <pic:blipFill>
                          <a:blip r:embed="rId15"/>
                          <a:srcRect/>
                          <a:stretch>
                            <a:fillRect/>
                          </a:stretch>
                        </pic:blipFill>
                        <pic:spPr>
                          <a:xfrm>
                            <a:off x="0" y="0"/>
                            <a:ext cx="2846070" cy="1082040"/>
                          </a:xfrm>
                          <a:prstGeom prst="rect">
                            <a:avLst/>
                          </a:prstGeom>
                          <a:ln/>
                        </pic:spPr>
                      </pic:pic>
                    </a:graphicData>
                  </a:graphic>
                </wp:inline>
              </w:drawing>
            </w:r>
          </w:p>
        </w:tc>
        <w:tc>
          <w:tcPr>
            <w:tcW w:w="1540" w:type="dxa"/>
            <w:tcBorders>
              <w:top w:val="nil"/>
              <w:bottom w:val="single" w:sz="36" w:space="0" w:color="000000"/>
            </w:tcBorders>
          </w:tcPr>
          <w:p w14:paraId="6D4727C5" w14:textId="77777777" w:rsidR="00117549" w:rsidRPr="00FE6148" w:rsidRDefault="00117549" w:rsidP="00FE6148">
            <w:pPr>
              <w:suppressLineNumbers/>
              <w:pBdr>
                <w:top w:val="nil"/>
                <w:left w:val="nil"/>
                <w:bottom w:val="nil"/>
                <w:right w:val="nil"/>
                <w:between w:val="nil"/>
              </w:pBdr>
              <w:tabs>
                <w:tab w:val="center" w:pos="4320"/>
                <w:tab w:val="right" w:pos="8640"/>
              </w:tabs>
              <w:suppressAutoHyphens/>
              <w:jc w:val="left"/>
              <w:rPr>
                <w:b/>
                <w:color w:val="000000"/>
                <w:kern w:val="22"/>
              </w:rPr>
            </w:pPr>
          </w:p>
        </w:tc>
        <w:tc>
          <w:tcPr>
            <w:tcW w:w="3917" w:type="dxa"/>
            <w:tcBorders>
              <w:top w:val="nil"/>
              <w:bottom w:val="single" w:sz="36" w:space="0" w:color="000000"/>
            </w:tcBorders>
          </w:tcPr>
          <w:p w14:paraId="5DCDAAA0" w14:textId="77777777" w:rsidR="00117549" w:rsidRPr="00FE6148" w:rsidRDefault="004A1965" w:rsidP="00FE6148">
            <w:pPr>
              <w:suppressLineNumbers/>
              <w:suppressAutoHyphens/>
              <w:ind w:left="992"/>
              <w:jc w:val="left"/>
              <w:rPr>
                <w:kern w:val="22"/>
              </w:rPr>
            </w:pPr>
            <w:r w:rsidRPr="00FE6148">
              <w:rPr>
                <w:kern w:val="22"/>
              </w:rPr>
              <w:t>Distr.</w:t>
            </w:r>
          </w:p>
          <w:p w14:paraId="3AC0FAC4" w14:textId="3DC41A95" w:rsidR="002753EC" w:rsidRPr="00FE6148" w:rsidRDefault="002753EC" w:rsidP="00FE6148">
            <w:pPr>
              <w:suppressLineNumbers/>
              <w:suppressAutoHyphens/>
              <w:ind w:left="992"/>
              <w:jc w:val="left"/>
              <w:rPr>
                <w:kern w:val="22"/>
                <w:szCs w:val="22"/>
              </w:rPr>
            </w:pPr>
            <w:r w:rsidRPr="00FE6148">
              <w:rPr>
                <w:kern w:val="22"/>
              </w:rPr>
              <w:t>GENERAL</w:t>
            </w:r>
          </w:p>
          <w:p w14:paraId="18610D5E" w14:textId="77777777" w:rsidR="002753EC" w:rsidRPr="00FE6148" w:rsidRDefault="002753EC" w:rsidP="00FE6148">
            <w:pPr>
              <w:suppressLineNumbers/>
              <w:suppressAutoHyphens/>
              <w:ind w:left="992"/>
              <w:jc w:val="left"/>
              <w:rPr>
                <w:kern w:val="22"/>
                <w:szCs w:val="22"/>
              </w:rPr>
            </w:pPr>
          </w:p>
          <w:p w14:paraId="5E4A92A8" w14:textId="3399EA6D" w:rsidR="002753EC" w:rsidRPr="00FE6148" w:rsidRDefault="005665AD" w:rsidP="00FE6148">
            <w:pPr>
              <w:suppressLineNumbers/>
              <w:suppressAutoHyphens/>
              <w:ind w:left="992"/>
              <w:jc w:val="left"/>
              <w:rPr>
                <w:kern w:val="22"/>
                <w:szCs w:val="22"/>
              </w:rPr>
            </w:pPr>
            <w:sdt>
              <w:sdtPr>
                <w:rPr>
                  <w:kern w:val="22"/>
                </w:rPr>
                <w:alias w:val="Subject"/>
                <w:tag w:val=""/>
                <w:id w:val="2137136483"/>
                <w:placeholder>
                  <w:docPart w:val="A1582E56A3E8460A8673B071CED83F28"/>
                </w:placeholder>
                <w:dataBinding w:prefixMappings="xmlns:ns0='http://purl.org/dc/elements/1.1/' xmlns:ns1='http://schemas.openxmlformats.org/package/2006/metadata/core-properties' " w:xpath="/ns1:coreProperties[1]/ns0:subject[1]" w:storeItemID="{6C3C8BC8-F283-45AE-878A-BAB7291924A1}"/>
                <w:text/>
              </w:sdtPr>
              <w:sdtEndPr/>
              <w:sdtContent>
                <w:r w:rsidR="002753EC" w:rsidRPr="00FE6148">
                  <w:rPr>
                    <w:kern w:val="22"/>
                  </w:rPr>
                  <w:t>CBD/SBI/3/2/Add.4</w:t>
                </w:r>
              </w:sdtContent>
            </w:sdt>
          </w:p>
          <w:p w14:paraId="6DE92A1E" w14:textId="79AC9CD1" w:rsidR="002753EC" w:rsidRPr="00FE6148" w:rsidRDefault="005665AD" w:rsidP="00FE6148">
            <w:pPr>
              <w:suppressLineNumbers/>
              <w:suppressAutoHyphens/>
              <w:ind w:left="992"/>
              <w:jc w:val="left"/>
              <w:rPr>
                <w:kern w:val="22"/>
                <w:szCs w:val="22"/>
              </w:rPr>
            </w:pPr>
            <w:sdt>
              <w:sdtPr>
                <w:rPr>
                  <w:kern w:val="22"/>
                </w:rPr>
                <w:alias w:val="Publish Date"/>
                <w:tag w:val=""/>
                <w:id w:val="276757068"/>
                <w:placeholder>
                  <w:docPart w:val="D15338042E704DB5AD75A275895B4487"/>
                </w:placeholder>
                <w:dataBinding w:prefixMappings="xmlns:ns0='http://schemas.microsoft.com/office/2006/coverPageProps' " w:xpath="/ns0:CoverPageProperties[1]/ns0:PublishDate[1]" w:storeItemID="{55AF091B-3C7A-41E3-B477-F2FDAA23CFDA}"/>
                <w:date w:fullDate="2020-04-16T00:00:00Z">
                  <w:dateFormat w:val="d MMMM yyyy"/>
                  <w:lid w:val="en-US"/>
                  <w:storeMappedDataAs w:val="dateTime"/>
                  <w:calendar w:val="gregorian"/>
                </w:date>
              </w:sdtPr>
              <w:sdtEndPr/>
              <w:sdtContent>
                <w:r w:rsidR="002753EC" w:rsidRPr="00FE6148">
                  <w:rPr>
                    <w:kern w:val="22"/>
                  </w:rPr>
                  <w:t>16 April 2020</w:t>
                </w:r>
              </w:sdtContent>
            </w:sdt>
          </w:p>
          <w:p w14:paraId="435EB06D" w14:textId="77777777" w:rsidR="00117549" w:rsidRPr="00FE6148" w:rsidRDefault="00117549" w:rsidP="00FE6148">
            <w:pPr>
              <w:suppressLineNumbers/>
              <w:suppressAutoHyphens/>
              <w:ind w:left="992"/>
              <w:jc w:val="left"/>
              <w:rPr>
                <w:kern w:val="22"/>
              </w:rPr>
            </w:pPr>
          </w:p>
          <w:p w14:paraId="22A311BA" w14:textId="77777777" w:rsidR="00117549" w:rsidRPr="00FE6148" w:rsidRDefault="004A1965" w:rsidP="00FE6148">
            <w:pPr>
              <w:suppressLineNumbers/>
              <w:suppressAutoHyphens/>
              <w:ind w:left="992"/>
              <w:jc w:val="left"/>
              <w:rPr>
                <w:b/>
                <w:kern w:val="22"/>
              </w:rPr>
            </w:pPr>
            <w:r w:rsidRPr="00FE6148">
              <w:rPr>
                <w:kern w:val="22"/>
              </w:rPr>
              <w:t>ORIGINAL: ENGLISH</w:t>
            </w:r>
          </w:p>
        </w:tc>
      </w:tr>
    </w:tbl>
    <w:p w14:paraId="465839D2" w14:textId="77777777" w:rsidR="00117549" w:rsidRPr="00FE6148" w:rsidRDefault="004A1965" w:rsidP="00FE6148">
      <w:pPr>
        <w:suppressLineNumbers/>
        <w:suppressAutoHyphens/>
        <w:ind w:left="284" w:right="4257" w:hanging="284"/>
        <w:jc w:val="left"/>
        <w:rPr>
          <w:kern w:val="22"/>
        </w:rPr>
      </w:pPr>
      <w:r w:rsidRPr="00FE6148">
        <w:rPr>
          <w:kern w:val="22"/>
        </w:rPr>
        <w:t>SUBSIDIARY BODY ON IMPLEMENTATION</w:t>
      </w:r>
    </w:p>
    <w:p w14:paraId="41AF03AE" w14:textId="77777777" w:rsidR="00117549" w:rsidRPr="00FE6148" w:rsidRDefault="004A1965" w:rsidP="00FE6148">
      <w:pPr>
        <w:suppressLineNumbers/>
        <w:suppressAutoHyphens/>
        <w:ind w:right="4740"/>
        <w:rPr>
          <w:color w:val="000000"/>
          <w:kern w:val="22"/>
        </w:rPr>
      </w:pPr>
      <w:r w:rsidRPr="00FE6148">
        <w:rPr>
          <w:color w:val="000000"/>
          <w:kern w:val="22"/>
        </w:rPr>
        <w:t>Third meeting</w:t>
      </w:r>
    </w:p>
    <w:p w14:paraId="1F833F40" w14:textId="5A739D7F" w:rsidR="00B34240" w:rsidRPr="00FE6148" w:rsidRDefault="00AF430A" w:rsidP="00452F66">
      <w:pPr>
        <w:suppressLineNumbers/>
        <w:suppressAutoHyphens/>
        <w:rPr>
          <w:snapToGrid w:val="0"/>
          <w:kern w:val="22"/>
          <w:szCs w:val="22"/>
          <w:lang w:eastAsia="nb-NO"/>
        </w:rPr>
      </w:pPr>
      <w:r w:rsidRPr="00FE6148">
        <w:rPr>
          <w:snapToGrid w:val="0"/>
          <w:kern w:val="22"/>
          <w:szCs w:val="22"/>
          <w:lang w:eastAsia="nb-NO"/>
        </w:rPr>
        <w:t>Quebec City (to be confirmed)</w:t>
      </w:r>
      <w:r w:rsidR="00B34240" w:rsidRPr="00FE6148">
        <w:rPr>
          <w:snapToGrid w:val="0"/>
          <w:kern w:val="22"/>
          <w:szCs w:val="22"/>
          <w:lang w:eastAsia="nb-NO"/>
        </w:rPr>
        <w:t>, Canada, 9-14 November 2020</w:t>
      </w:r>
    </w:p>
    <w:p w14:paraId="467C7BD0" w14:textId="4AA23B90" w:rsidR="00117549" w:rsidRPr="00FE6148" w:rsidRDefault="004A1965" w:rsidP="00FE6148">
      <w:pPr>
        <w:suppressLineNumbers/>
        <w:suppressAutoHyphens/>
        <w:rPr>
          <w:kern w:val="22"/>
        </w:rPr>
      </w:pPr>
      <w:r w:rsidRPr="00FE6148">
        <w:rPr>
          <w:kern w:val="22"/>
        </w:rPr>
        <w:t>Item 3 of the provisional agenda</w:t>
      </w:r>
      <w:r w:rsidR="005A166B" w:rsidRPr="00FE6148">
        <w:rPr>
          <w:rStyle w:val="FootnoteReference"/>
          <w:kern w:val="22"/>
          <w:vertAlign w:val="baseline"/>
        </w:rPr>
        <w:footnoteReference w:customMarkFollows="1" w:id="2"/>
        <w:t>*</w:t>
      </w:r>
    </w:p>
    <w:sdt>
      <w:sdtPr>
        <w:rPr>
          <w:rFonts w:ascii="Times New Roman Bold" w:hAnsi="Times New Roman Bold"/>
          <w:b/>
          <w:caps/>
          <w:kern w:val="22"/>
          <w:szCs w:val="22"/>
        </w:rPr>
        <w:alias w:val="Title"/>
        <w:tag w:val=""/>
        <w:id w:val="-1552613386"/>
        <w:placeholder>
          <w:docPart w:val="85698C6A57A84D698CC9045AB3764755"/>
        </w:placeholder>
        <w:dataBinding w:prefixMappings="xmlns:ns0='http://purl.org/dc/elements/1.1/' xmlns:ns1='http://schemas.openxmlformats.org/package/2006/metadata/core-properties' " w:xpath="/ns1:coreProperties[1]/ns0:title[1]" w:storeItemID="{6C3C8BC8-F283-45AE-878A-BAB7291924A1}"/>
        <w:text/>
      </w:sdtPr>
      <w:sdtEndPr/>
      <w:sdtContent>
        <w:p w14:paraId="30A6BDFE" w14:textId="51F18450" w:rsidR="00117549" w:rsidRPr="00FE6148" w:rsidRDefault="009F4ED8" w:rsidP="00FE6148">
          <w:pPr>
            <w:suppressLineNumbers/>
            <w:suppressAutoHyphens/>
            <w:spacing w:before="240" w:after="120"/>
            <w:jc w:val="center"/>
            <w:rPr>
              <w:rFonts w:ascii="Times New Roman Bold" w:hAnsi="Times New Roman Bold"/>
              <w:caps/>
              <w:kern w:val="22"/>
              <w:szCs w:val="22"/>
            </w:rPr>
          </w:pPr>
          <w:r w:rsidRPr="00FE6148">
            <w:rPr>
              <w:rFonts w:ascii="Times New Roman Bold" w:hAnsi="Times New Roman Bold"/>
              <w:b/>
              <w:caps/>
              <w:kern w:val="22"/>
              <w:szCs w:val="22"/>
            </w:rPr>
            <w:t>Progress towards Aichi Biodiversity Target 18 on traditional knowledge and customary sustainable use of biodiversity</w:t>
          </w:r>
        </w:p>
      </w:sdtContent>
    </w:sdt>
    <w:p w14:paraId="3F1EB383" w14:textId="19EDF096" w:rsidR="00175DBD" w:rsidRPr="00FE6148" w:rsidRDefault="00175DBD" w:rsidP="00FE6148">
      <w:pPr>
        <w:pStyle w:val="BodyText"/>
        <w:suppressLineNumbers/>
        <w:suppressAutoHyphens/>
        <w:rPr>
          <w:b w:val="0"/>
          <w:i/>
          <w:iCs/>
          <w:kern w:val="22"/>
          <w:szCs w:val="22"/>
        </w:rPr>
      </w:pPr>
      <w:r w:rsidRPr="00FE6148">
        <w:rPr>
          <w:b w:val="0"/>
          <w:bCs w:val="0"/>
          <w:i/>
          <w:iCs/>
          <w:kern w:val="22"/>
          <w:sz w:val="22"/>
          <w:szCs w:val="22"/>
          <w:lang w:val="en-GB"/>
        </w:rPr>
        <w:t>Note by the Executive Secretary</w:t>
      </w:r>
    </w:p>
    <w:p w14:paraId="5AF62EC0" w14:textId="18FFED34" w:rsidR="00117549" w:rsidRPr="00FE6148" w:rsidRDefault="00AD172B" w:rsidP="00FE6148">
      <w:pPr>
        <w:pStyle w:val="HEADINGNOTFORTOC"/>
        <w:keepNext w:val="0"/>
        <w:suppressLineNumbers/>
        <w:suppressAutoHyphens/>
        <w:spacing w:before="120"/>
        <w:rPr>
          <w:rFonts w:ascii="Times New Roman Bold" w:hAnsi="Times New Roman Bold"/>
          <w:kern w:val="22"/>
        </w:rPr>
      </w:pPr>
      <w:r w:rsidRPr="00FE6148">
        <w:rPr>
          <w:rFonts w:ascii="Times New Roman Bold" w:hAnsi="Times New Roman Bold"/>
          <w:kern w:val="22"/>
        </w:rPr>
        <w:t>Introduction</w:t>
      </w:r>
    </w:p>
    <w:p w14:paraId="316C5391" w14:textId="6586470E"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kern w:val="22"/>
        </w:rPr>
        <w:t>On</w:t>
      </w:r>
      <w:r w:rsidRPr="00FE6148">
        <w:rPr>
          <w:color w:val="000000"/>
          <w:kern w:val="22"/>
        </w:rPr>
        <w:t xml:space="preserve"> the subject of progress in the achievement of Aichi Biodiversity Targets, the Conference of the Parties, in decision </w:t>
      </w:r>
      <w:hyperlink r:id="rId16">
        <w:r w:rsidR="00AC067C" w:rsidRPr="00FE6148">
          <w:rPr>
            <w:color w:val="0000FF"/>
            <w:kern w:val="22"/>
            <w:u w:val="single"/>
          </w:rPr>
          <w:t>14/1</w:t>
        </w:r>
      </w:hyperlink>
      <w:r w:rsidR="00FE490D" w:rsidRPr="00FE6148">
        <w:rPr>
          <w:kern w:val="22"/>
        </w:rPr>
        <w:t>,</w:t>
      </w:r>
      <w:r w:rsidRPr="00FE6148">
        <w:rPr>
          <w:color w:val="000000"/>
          <w:kern w:val="22"/>
        </w:rPr>
        <w:t xml:space="preserve"> urged Parties and invite</w:t>
      </w:r>
      <w:r w:rsidR="00492113" w:rsidRPr="00FE6148">
        <w:rPr>
          <w:color w:val="000000"/>
          <w:kern w:val="22"/>
        </w:rPr>
        <w:t>d</w:t>
      </w:r>
      <w:r w:rsidRPr="00FE6148">
        <w:rPr>
          <w:color w:val="000000"/>
          <w:kern w:val="22"/>
        </w:rPr>
        <w:t xml:space="preserve"> other Governments to take urgent action by 2020, by carrying out, among other things, the following actions, as appropriate, on Aichi Biodiversity Target 18 on traditional knowledge</w:t>
      </w:r>
      <w:r w:rsidR="00AF430A" w:rsidRPr="00FE6148">
        <w:rPr>
          <w:color w:val="000000"/>
          <w:kern w:val="22"/>
        </w:rPr>
        <w:t xml:space="preserve"> and customary sustainable use</w:t>
      </w:r>
      <w:r w:rsidRPr="00FE6148">
        <w:rPr>
          <w:color w:val="000000"/>
          <w:kern w:val="22"/>
        </w:rPr>
        <w:t>:</w:t>
      </w:r>
      <w:r w:rsidR="000C2AE4" w:rsidRPr="00FE6148">
        <w:rPr>
          <w:rStyle w:val="FootnoteReference"/>
          <w:color w:val="000000"/>
          <w:kern w:val="22"/>
        </w:rPr>
        <w:footnoteReference w:id="3"/>
      </w:r>
    </w:p>
    <w:p w14:paraId="23CEB705" w14:textId="77777777" w:rsidR="00117549" w:rsidRPr="00FE6148" w:rsidRDefault="004A1965" w:rsidP="00FE6148">
      <w:pPr>
        <w:numPr>
          <w:ilvl w:val="1"/>
          <w:numId w:val="10"/>
        </w:numPr>
        <w:suppressLineNumbers/>
        <w:pBdr>
          <w:top w:val="nil"/>
          <w:left w:val="nil"/>
          <w:bottom w:val="nil"/>
          <w:right w:val="nil"/>
          <w:between w:val="nil"/>
        </w:pBdr>
        <w:suppressAutoHyphens/>
        <w:spacing w:after="120"/>
        <w:rPr>
          <w:color w:val="000000"/>
          <w:kern w:val="22"/>
        </w:rPr>
      </w:pPr>
      <w:r w:rsidRPr="00FE6148">
        <w:rPr>
          <w:color w:val="000000"/>
          <w:kern w:val="22"/>
        </w:rPr>
        <w:t>Increase efforts in the protection of and respect for traditional knowledge;</w:t>
      </w:r>
    </w:p>
    <w:p w14:paraId="4C501062" w14:textId="21A61640" w:rsidR="00117549" w:rsidRPr="00FE6148" w:rsidRDefault="004A1965" w:rsidP="00FE6148">
      <w:pPr>
        <w:numPr>
          <w:ilvl w:val="1"/>
          <w:numId w:val="10"/>
        </w:numPr>
        <w:suppressLineNumbers/>
        <w:pBdr>
          <w:top w:val="nil"/>
          <w:left w:val="nil"/>
          <w:bottom w:val="nil"/>
          <w:right w:val="nil"/>
          <w:between w:val="nil"/>
        </w:pBdr>
        <w:suppressAutoHyphens/>
        <w:spacing w:after="120"/>
        <w:rPr>
          <w:color w:val="000000"/>
          <w:kern w:val="22"/>
        </w:rPr>
      </w:pPr>
      <w:r w:rsidRPr="00FE6148">
        <w:rPr>
          <w:color w:val="000000"/>
          <w:kern w:val="22"/>
        </w:rPr>
        <w:t>Make use of information contained in t</w:t>
      </w:r>
      <w:bookmarkStart w:id="0" w:name="_GoBack"/>
      <w:bookmarkEnd w:id="0"/>
      <w:r w:rsidRPr="00FE6148">
        <w:rPr>
          <w:color w:val="000000"/>
          <w:kern w:val="22"/>
        </w:rPr>
        <w:t xml:space="preserve">he </w:t>
      </w:r>
      <w:r w:rsidRPr="00FE6148">
        <w:rPr>
          <w:i/>
          <w:color w:val="000000"/>
          <w:kern w:val="22"/>
        </w:rPr>
        <w:t>Local Biodiversity Outlooks</w:t>
      </w:r>
      <w:r w:rsidR="002D18E3" w:rsidRPr="00FE6148">
        <w:rPr>
          <w:i/>
          <w:color w:val="000000"/>
          <w:kern w:val="22"/>
        </w:rPr>
        <w:t xml:space="preserve"> </w:t>
      </w:r>
      <w:r w:rsidR="002D18E3" w:rsidRPr="00FE6148">
        <w:rPr>
          <w:color w:val="000000"/>
          <w:kern w:val="22"/>
        </w:rPr>
        <w:t>(LBO)</w:t>
      </w:r>
      <w:r w:rsidRPr="00FE6148">
        <w:rPr>
          <w:color w:val="000000"/>
          <w:kern w:val="22"/>
        </w:rPr>
        <w:t xml:space="preserve">, </w:t>
      </w:r>
      <w:r w:rsidR="00F82EAB" w:rsidRPr="00FE6148">
        <w:rPr>
          <w:color w:val="000000"/>
          <w:kern w:val="22"/>
        </w:rPr>
        <w:t>inter alia</w:t>
      </w:r>
      <w:r w:rsidRPr="00FE6148">
        <w:rPr>
          <w:color w:val="000000"/>
          <w:kern w:val="22"/>
        </w:rPr>
        <w:t>, on the customary sustainable use by indigenous peoples and local communities, to contribute to update</w:t>
      </w:r>
      <w:r w:rsidR="003D16B1" w:rsidRPr="00FE6148">
        <w:rPr>
          <w:color w:val="000000"/>
          <w:kern w:val="22"/>
        </w:rPr>
        <w:t>d</w:t>
      </w:r>
      <w:r w:rsidRPr="00FE6148">
        <w:rPr>
          <w:color w:val="000000"/>
          <w:kern w:val="22"/>
        </w:rPr>
        <w:t xml:space="preserve"> reporting on progress in the implementation of the Aichi Biodiversity Targets.</w:t>
      </w:r>
    </w:p>
    <w:p w14:paraId="78E12B00" w14:textId="7B770642" w:rsidR="00710C1A"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color w:val="000000"/>
          <w:kern w:val="22"/>
        </w:rPr>
        <w:t>Furthermore, in decision 14/1, the Conference of the Parties requested the Executive Secretary to continue to update the analysis of progress towards the implementation of the Strategic Plan for Biodiversity 2011-2020</w:t>
      </w:r>
      <w:r w:rsidRPr="00FE6148">
        <w:rPr>
          <w:kern w:val="22"/>
        </w:rPr>
        <w:t xml:space="preserve">, </w:t>
      </w:r>
      <w:proofErr w:type="gramStart"/>
      <w:r w:rsidRPr="00FE6148">
        <w:rPr>
          <w:color w:val="000000"/>
          <w:kern w:val="22"/>
        </w:rPr>
        <w:t>on the basis of</w:t>
      </w:r>
      <w:proofErr w:type="gramEnd"/>
      <w:r w:rsidRPr="00FE6148">
        <w:rPr>
          <w:color w:val="000000"/>
          <w:kern w:val="22"/>
        </w:rPr>
        <w:t xml:space="preserve"> information contained in the sixth national reports.</w:t>
      </w:r>
    </w:p>
    <w:p w14:paraId="59BC7202" w14:textId="3BA7C1C4" w:rsidR="007D7157" w:rsidRPr="00FE6148" w:rsidRDefault="00710C1A"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kern w:val="22"/>
          <w:szCs w:val="22"/>
        </w:rPr>
        <w:t xml:space="preserve">The present report builds on the interim </w:t>
      </w:r>
      <w:r w:rsidR="0056153C" w:rsidRPr="00FE6148">
        <w:rPr>
          <w:kern w:val="22"/>
          <w:szCs w:val="22"/>
        </w:rPr>
        <w:t xml:space="preserve">report on progress </w:t>
      </w:r>
      <w:r w:rsidR="00DE34BA" w:rsidRPr="00FE6148">
        <w:rPr>
          <w:kern w:val="22"/>
          <w:szCs w:val="22"/>
        </w:rPr>
        <w:t>towards Aich</w:t>
      </w:r>
      <w:r w:rsidR="005B2D6F" w:rsidRPr="00FE6148">
        <w:rPr>
          <w:kern w:val="22"/>
          <w:szCs w:val="22"/>
        </w:rPr>
        <w:t>i</w:t>
      </w:r>
      <w:r w:rsidR="00DE34BA" w:rsidRPr="00FE6148">
        <w:rPr>
          <w:kern w:val="22"/>
          <w:szCs w:val="22"/>
        </w:rPr>
        <w:t xml:space="preserve"> Biodiversity Target </w:t>
      </w:r>
      <w:r w:rsidR="0088787E" w:rsidRPr="00FE6148">
        <w:rPr>
          <w:kern w:val="22"/>
          <w:szCs w:val="22"/>
        </w:rPr>
        <w:t xml:space="preserve">18 </w:t>
      </w:r>
      <w:r w:rsidR="00BB7045" w:rsidRPr="00FE6148">
        <w:rPr>
          <w:kern w:val="22"/>
          <w:szCs w:val="22"/>
        </w:rPr>
        <w:t>(</w:t>
      </w:r>
      <w:hyperlink r:id="rId17" w:history="1">
        <w:r w:rsidR="00BB7045" w:rsidRPr="00FE6148">
          <w:rPr>
            <w:rStyle w:val="Hyperlink"/>
            <w:kern w:val="22"/>
            <w:sz w:val="22"/>
          </w:rPr>
          <w:t>CBD/WG8J/11/2</w:t>
        </w:r>
      </w:hyperlink>
      <w:r w:rsidR="00BB7045" w:rsidRPr="00FE6148">
        <w:rPr>
          <w:kern w:val="22"/>
          <w:szCs w:val="22"/>
        </w:rPr>
        <w:t>)</w:t>
      </w:r>
      <w:r w:rsidRPr="00FE6148">
        <w:rPr>
          <w:kern w:val="22"/>
          <w:szCs w:val="22"/>
        </w:rPr>
        <w:t xml:space="preserve"> which was considered by the </w:t>
      </w:r>
      <w:r w:rsidR="00A32BA5" w:rsidRPr="00FE6148">
        <w:rPr>
          <w:kern w:val="22"/>
          <w:szCs w:val="22"/>
        </w:rPr>
        <w:t>A</w:t>
      </w:r>
      <w:r w:rsidRPr="00FE6148">
        <w:rPr>
          <w:kern w:val="22"/>
          <w:szCs w:val="22"/>
        </w:rPr>
        <w:t xml:space="preserve">d </w:t>
      </w:r>
      <w:r w:rsidR="00A32BA5" w:rsidRPr="00FE6148">
        <w:rPr>
          <w:kern w:val="22"/>
          <w:szCs w:val="22"/>
        </w:rPr>
        <w:t>H</w:t>
      </w:r>
      <w:r w:rsidRPr="00FE6148">
        <w:rPr>
          <w:kern w:val="22"/>
          <w:szCs w:val="22"/>
        </w:rPr>
        <w:t xml:space="preserve">oc </w:t>
      </w:r>
      <w:r w:rsidR="00A32BA5" w:rsidRPr="00FE6148">
        <w:rPr>
          <w:kern w:val="22"/>
          <w:szCs w:val="22"/>
        </w:rPr>
        <w:t>O</w:t>
      </w:r>
      <w:r w:rsidRPr="00FE6148">
        <w:rPr>
          <w:kern w:val="22"/>
          <w:szCs w:val="22"/>
        </w:rPr>
        <w:t xml:space="preserve">pen-ended </w:t>
      </w:r>
      <w:r w:rsidR="00A32BA5" w:rsidRPr="00FE6148">
        <w:rPr>
          <w:kern w:val="22"/>
          <w:szCs w:val="22"/>
        </w:rPr>
        <w:t>W</w:t>
      </w:r>
      <w:r w:rsidRPr="00FE6148">
        <w:rPr>
          <w:kern w:val="22"/>
          <w:szCs w:val="22"/>
        </w:rPr>
        <w:t xml:space="preserve">orking </w:t>
      </w:r>
      <w:r w:rsidR="00A32BA5" w:rsidRPr="00FE6148">
        <w:rPr>
          <w:kern w:val="22"/>
          <w:szCs w:val="22"/>
        </w:rPr>
        <w:t>G</w:t>
      </w:r>
      <w:r w:rsidRPr="00FE6148">
        <w:rPr>
          <w:kern w:val="22"/>
          <w:szCs w:val="22"/>
        </w:rPr>
        <w:t xml:space="preserve">roup on </w:t>
      </w:r>
      <w:r w:rsidR="00A32BA5" w:rsidRPr="00FE6148">
        <w:rPr>
          <w:kern w:val="22"/>
          <w:szCs w:val="22"/>
        </w:rPr>
        <w:t>A</w:t>
      </w:r>
      <w:r w:rsidRPr="00FE6148">
        <w:rPr>
          <w:kern w:val="22"/>
          <w:szCs w:val="22"/>
        </w:rPr>
        <w:t xml:space="preserve">rticle 8(j) and </w:t>
      </w:r>
      <w:r w:rsidR="00A32BA5" w:rsidRPr="00FE6148">
        <w:rPr>
          <w:kern w:val="22"/>
          <w:szCs w:val="22"/>
        </w:rPr>
        <w:t>R</w:t>
      </w:r>
      <w:r w:rsidRPr="00FE6148">
        <w:rPr>
          <w:kern w:val="22"/>
          <w:szCs w:val="22"/>
        </w:rPr>
        <w:t xml:space="preserve">elated </w:t>
      </w:r>
      <w:r w:rsidR="00A32BA5" w:rsidRPr="00FE6148">
        <w:rPr>
          <w:kern w:val="22"/>
          <w:szCs w:val="22"/>
        </w:rPr>
        <w:t>P</w:t>
      </w:r>
      <w:r w:rsidRPr="00FE6148">
        <w:rPr>
          <w:kern w:val="22"/>
          <w:szCs w:val="22"/>
        </w:rPr>
        <w:t>rovisions at its eleventh meeting</w:t>
      </w:r>
      <w:r w:rsidR="0088787E" w:rsidRPr="00FE6148">
        <w:rPr>
          <w:kern w:val="22"/>
          <w:szCs w:val="22"/>
        </w:rPr>
        <w:t>, held</w:t>
      </w:r>
      <w:r w:rsidR="00414A93" w:rsidRPr="00FE6148">
        <w:rPr>
          <w:kern w:val="22"/>
          <w:szCs w:val="22"/>
        </w:rPr>
        <w:t xml:space="preserve"> in November 2019</w:t>
      </w:r>
      <w:r w:rsidRPr="00FE6148">
        <w:rPr>
          <w:kern w:val="22"/>
          <w:szCs w:val="22"/>
        </w:rPr>
        <w:t xml:space="preserve">. </w:t>
      </w:r>
      <w:r w:rsidR="001B476D" w:rsidRPr="00FE6148">
        <w:rPr>
          <w:kern w:val="22"/>
          <w:szCs w:val="22"/>
        </w:rPr>
        <w:t xml:space="preserve">It </w:t>
      </w:r>
      <w:r w:rsidRPr="00FE6148">
        <w:rPr>
          <w:kern w:val="22"/>
          <w:szCs w:val="22"/>
        </w:rPr>
        <w:t xml:space="preserve">draws on an analysis </w:t>
      </w:r>
      <w:r w:rsidR="00E13266" w:rsidRPr="00FE6148">
        <w:rPr>
          <w:kern w:val="22"/>
          <w:szCs w:val="22"/>
        </w:rPr>
        <w:t xml:space="preserve">of </w:t>
      </w:r>
      <w:r w:rsidRPr="00FE6148">
        <w:rPr>
          <w:kern w:val="22"/>
          <w:szCs w:val="22"/>
        </w:rPr>
        <w:t xml:space="preserve">the additional sixth national reports received </w:t>
      </w:r>
      <w:r w:rsidR="00424F09" w:rsidRPr="00FE6148">
        <w:rPr>
          <w:kern w:val="22"/>
          <w:szCs w:val="22"/>
        </w:rPr>
        <w:t xml:space="preserve">between </w:t>
      </w:r>
      <w:r w:rsidR="00CB641F" w:rsidRPr="00FE6148">
        <w:rPr>
          <w:kern w:val="22"/>
          <w:szCs w:val="22"/>
        </w:rPr>
        <w:t xml:space="preserve">30 </w:t>
      </w:r>
      <w:r w:rsidRPr="00FE6148">
        <w:rPr>
          <w:kern w:val="22"/>
          <w:szCs w:val="22"/>
        </w:rPr>
        <w:t xml:space="preserve">June 2019 </w:t>
      </w:r>
      <w:r w:rsidR="00424F09" w:rsidRPr="00FE6148">
        <w:rPr>
          <w:kern w:val="22"/>
          <w:szCs w:val="22"/>
        </w:rPr>
        <w:t xml:space="preserve">and </w:t>
      </w:r>
      <w:r w:rsidR="005A166B" w:rsidRPr="00FE6148">
        <w:rPr>
          <w:kern w:val="22"/>
          <w:szCs w:val="22"/>
        </w:rPr>
        <w:t>26</w:t>
      </w:r>
      <w:r w:rsidR="00B23B5C" w:rsidRPr="00FE6148">
        <w:rPr>
          <w:kern w:val="22"/>
          <w:szCs w:val="22"/>
        </w:rPr>
        <w:t> </w:t>
      </w:r>
      <w:r w:rsidR="00953D04" w:rsidRPr="00FE6148">
        <w:rPr>
          <w:kern w:val="22"/>
          <w:szCs w:val="22"/>
        </w:rPr>
        <w:t>March</w:t>
      </w:r>
      <w:r w:rsidRPr="00FE6148">
        <w:rPr>
          <w:kern w:val="22"/>
          <w:szCs w:val="22"/>
        </w:rPr>
        <w:t xml:space="preserve"> 2020, in order to complement the interim report and ascertain progress toward</w:t>
      </w:r>
      <w:r w:rsidR="005F6434" w:rsidRPr="00FE6148">
        <w:rPr>
          <w:caps/>
          <w:color w:val="000000"/>
          <w:kern w:val="22"/>
          <w:szCs w:val="22"/>
        </w:rPr>
        <w:t xml:space="preserve"> </w:t>
      </w:r>
      <w:r w:rsidRPr="00FE6148">
        <w:rPr>
          <w:kern w:val="22"/>
          <w:szCs w:val="22"/>
        </w:rPr>
        <w:t>Aichi Biodiversity Target</w:t>
      </w:r>
      <w:r w:rsidR="004A1965" w:rsidRPr="00FE6148">
        <w:rPr>
          <w:color w:val="000000"/>
          <w:kern w:val="22"/>
          <w:szCs w:val="22"/>
        </w:rPr>
        <w:t xml:space="preserve"> 18</w:t>
      </w:r>
      <w:r w:rsidR="005A166B" w:rsidRPr="00FE6148">
        <w:rPr>
          <w:color w:val="000000"/>
          <w:kern w:val="22"/>
          <w:szCs w:val="22"/>
        </w:rPr>
        <w:t>.</w:t>
      </w:r>
      <w:r w:rsidR="004A1965" w:rsidRPr="00FE6148">
        <w:rPr>
          <w:color w:val="000000"/>
          <w:kern w:val="22"/>
          <w:vertAlign w:val="superscript"/>
        </w:rPr>
        <w:footnoteReference w:id="4"/>
      </w:r>
      <w:r w:rsidRPr="00FE6148">
        <w:rPr>
          <w:kern w:val="22"/>
          <w:szCs w:val="22"/>
        </w:rPr>
        <w:t xml:space="preserve"> Section I</w:t>
      </w:r>
      <w:r w:rsidR="005F6434" w:rsidRPr="00FE6148">
        <w:rPr>
          <w:color w:val="000000"/>
          <w:kern w:val="22"/>
          <w:szCs w:val="22"/>
        </w:rPr>
        <w:t xml:space="preserve"> </w:t>
      </w:r>
      <w:r w:rsidRPr="00FE6148">
        <w:rPr>
          <w:kern w:val="22"/>
          <w:szCs w:val="22"/>
        </w:rPr>
        <w:t>considers progress made by Parties towards Aichi Biodiversity Target 18 of the Strategic Plan for Biodiversity</w:t>
      </w:r>
      <w:r w:rsidR="005F6434" w:rsidRPr="00FE6148">
        <w:rPr>
          <w:kern w:val="22"/>
          <w:szCs w:val="22"/>
        </w:rPr>
        <w:t xml:space="preserve"> 2011-2020</w:t>
      </w:r>
      <w:r w:rsidR="005F6434" w:rsidRPr="00FE6148">
        <w:rPr>
          <w:caps/>
          <w:kern w:val="22"/>
          <w:szCs w:val="22"/>
        </w:rPr>
        <w:t>. S</w:t>
      </w:r>
      <w:r w:rsidRPr="00FE6148">
        <w:rPr>
          <w:kern w:val="22"/>
          <w:szCs w:val="22"/>
        </w:rPr>
        <w:t>ection II provides an update on related activities within the mandate of the Secretariat, including progress on the indicators adopted for traditional</w:t>
      </w:r>
      <w:r w:rsidR="00332AC0" w:rsidRPr="00FE6148">
        <w:rPr>
          <w:caps/>
          <w:kern w:val="22"/>
          <w:szCs w:val="22"/>
        </w:rPr>
        <w:t xml:space="preserve"> </w:t>
      </w:r>
      <w:r w:rsidRPr="00FE6148">
        <w:rPr>
          <w:kern w:val="22"/>
          <w:szCs w:val="22"/>
        </w:rPr>
        <w:t>knowledge. Section</w:t>
      </w:r>
      <w:r w:rsidR="00492113" w:rsidRPr="00FE6148">
        <w:rPr>
          <w:kern w:val="22"/>
          <w:szCs w:val="22"/>
        </w:rPr>
        <w:t> </w:t>
      </w:r>
      <w:r w:rsidRPr="00FE6148">
        <w:rPr>
          <w:kern w:val="22"/>
          <w:szCs w:val="22"/>
        </w:rPr>
        <w:t>III provides some conclusions</w:t>
      </w:r>
      <w:r w:rsidR="006A1122" w:rsidRPr="00FE6148">
        <w:rPr>
          <w:kern w:val="22"/>
          <w:szCs w:val="22"/>
        </w:rPr>
        <w:t>. P</w:t>
      </w:r>
      <w:r w:rsidRPr="00FE6148">
        <w:rPr>
          <w:kern w:val="22"/>
          <w:szCs w:val="22"/>
        </w:rPr>
        <w:t>ropose</w:t>
      </w:r>
      <w:r w:rsidR="006A1122" w:rsidRPr="00FE6148">
        <w:rPr>
          <w:kern w:val="22"/>
          <w:szCs w:val="22"/>
        </w:rPr>
        <w:t>d</w:t>
      </w:r>
      <w:r w:rsidRPr="00FE6148">
        <w:rPr>
          <w:kern w:val="22"/>
          <w:szCs w:val="22"/>
        </w:rPr>
        <w:t xml:space="preserve"> draft</w:t>
      </w:r>
      <w:r w:rsidR="00332AC0" w:rsidRPr="00FE6148">
        <w:rPr>
          <w:caps/>
          <w:kern w:val="22"/>
          <w:szCs w:val="22"/>
        </w:rPr>
        <w:t xml:space="preserve"> </w:t>
      </w:r>
      <w:r w:rsidRPr="00FE6148">
        <w:rPr>
          <w:kern w:val="22"/>
          <w:szCs w:val="22"/>
        </w:rPr>
        <w:t>recommendation</w:t>
      </w:r>
      <w:r w:rsidR="00B86ABC" w:rsidRPr="00FE6148">
        <w:rPr>
          <w:kern w:val="22"/>
          <w:szCs w:val="22"/>
        </w:rPr>
        <w:t>s</w:t>
      </w:r>
      <w:r w:rsidRPr="00FE6148">
        <w:rPr>
          <w:kern w:val="22"/>
          <w:szCs w:val="22"/>
        </w:rPr>
        <w:t xml:space="preserve"> for the consideration</w:t>
      </w:r>
      <w:r w:rsidR="00332AC0" w:rsidRPr="00FE6148">
        <w:rPr>
          <w:caps/>
          <w:kern w:val="22"/>
          <w:szCs w:val="22"/>
        </w:rPr>
        <w:t xml:space="preserve"> </w:t>
      </w:r>
      <w:r w:rsidRPr="00FE6148">
        <w:rPr>
          <w:kern w:val="22"/>
          <w:szCs w:val="22"/>
        </w:rPr>
        <w:t xml:space="preserve">of the </w:t>
      </w:r>
      <w:r w:rsidR="0015063D" w:rsidRPr="00FE6148">
        <w:rPr>
          <w:kern w:val="22"/>
          <w:szCs w:val="22"/>
        </w:rPr>
        <w:t>S</w:t>
      </w:r>
      <w:r w:rsidRPr="00FE6148">
        <w:rPr>
          <w:kern w:val="22"/>
          <w:szCs w:val="22"/>
        </w:rPr>
        <w:t xml:space="preserve">ubsidiary </w:t>
      </w:r>
      <w:r w:rsidR="0015063D" w:rsidRPr="00FE6148">
        <w:rPr>
          <w:kern w:val="22"/>
          <w:szCs w:val="22"/>
        </w:rPr>
        <w:t>B</w:t>
      </w:r>
      <w:r w:rsidRPr="00FE6148">
        <w:rPr>
          <w:kern w:val="22"/>
          <w:szCs w:val="22"/>
        </w:rPr>
        <w:t xml:space="preserve">ody on </w:t>
      </w:r>
      <w:r w:rsidR="0015063D" w:rsidRPr="00FE6148">
        <w:rPr>
          <w:kern w:val="22"/>
          <w:szCs w:val="22"/>
        </w:rPr>
        <w:t>I</w:t>
      </w:r>
      <w:r w:rsidRPr="00FE6148">
        <w:rPr>
          <w:kern w:val="22"/>
          <w:szCs w:val="22"/>
        </w:rPr>
        <w:t>mplementation at its third meeting</w:t>
      </w:r>
      <w:r w:rsidR="006A1122" w:rsidRPr="00FE6148">
        <w:rPr>
          <w:kern w:val="22"/>
          <w:szCs w:val="22"/>
        </w:rPr>
        <w:t xml:space="preserve"> are presented in document CBD/SBI/3/2</w:t>
      </w:r>
      <w:r w:rsidRPr="00FE6148">
        <w:rPr>
          <w:kern w:val="22"/>
          <w:szCs w:val="22"/>
        </w:rPr>
        <w:t>.</w:t>
      </w:r>
    </w:p>
    <w:p w14:paraId="039F3904" w14:textId="02D0A574" w:rsidR="00117549" w:rsidRPr="00FE6148" w:rsidRDefault="001423C9"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kern w:val="22"/>
          <w:szCs w:val="22"/>
        </w:rPr>
        <w:lastRenderedPageBreak/>
        <w:t xml:space="preserve">In the light of the development of the post-2020 global biodiversity framework, </w:t>
      </w:r>
      <w:r w:rsidR="00710C1A" w:rsidRPr="00FE6148">
        <w:rPr>
          <w:kern w:val="22"/>
          <w:szCs w:val="22"/>
        </w:rPr>
        <w:t xml:space="preserve">the main messages from the </w:t>
      </w:r>
      <w:r w:rsidR="007D7157" w:rsidRPr="00FE6148">
        <w:rPr>
          <w:kern w:val="22"/>
          <w:szCs w:val="22"/>
        </w:rPr>
        <w:t xml:space="preserve">Global Thematic Dialogue for Indigenous Peoples and Local Communities on the Post-2020 Global Biodiversity Framework (Montreal, Canada, 17-18 November 2019) </w:t>
      </w:r>
      <w:r w:rsidR="00710C1A" w:rsidRPr="00FE6148">
        <w:rPr>
          <w:kern w:val="22"/>
          <w:szCs w:val="22"/>
        </w:rPr>
        <w:t>are contained in the annex</w:t>
      </w:r>
      <w:r w:rsidR="005C71C9" w:rsidRPr="00FE6148">
        <w:rPr>
          <w:kern w:val="22"/>
          <w:szCs w:val="22"/>
        </w:rPr>
        <w:t xml:space="preserve"> to the present document</w:t>
      </w:r>
      <w:r w:rsidRPr="00FE6148">
        <w:rPr>
          <w:kern w:val="22"/>
          <w:szCs w:val="22"/>
        </w:rPr>
        <w:t>, in order to complement th</w:t>
      </w:r>
      <w:r w:rsidR="002365C0" w:rsidRPr="00FE6148">
        <w:rPr>
          <w:kern w:val="22"/>
          <w:szCs w:val="22"/>
        </w:rPr>
        <w:t>e present</w:t>
      </w:r>
      <w:r w:rsidRPr="00FE6148">
        <w:rPr>
          <w:kern w:val="22"/>
          <w:szCs w:val="22"/>
        </w:rPr>
        <w:t xml:space="preserve"> progress report and to highlight advice provided </w:t>
      </w:r>
      <w:r w:rsidR="00FF473A" w:rsidRPr="00FE6148">
        <w:rPr>
          <w:kern w:val="22"/>
          <w:szCs w:val="22"/>
        </w:rPr>
        <w:t>by</w:t>
      </w:r>
      <w:r w:rsidRPr="00FE6148">
        <w:rPr>
          <w:kern w:val="22"/>
          <w:szCs w:val="22"/>
        </w:rPr>
        <w:t xml:space="preserve"> representatives of indigenous peoples and local communities on future work</w:t>
      </w:r>
      <w:r w:rsidR="00710C1A" w:rsidRPr="00FE6148">
        <w:rPr>
          <w:kern w:val="22"/>
          <w:szCs w:val="22"/>
        </w:rPr>
        <w:t>.</w:t>
      </w:r>
      <w:r w:rsidR="00710C1A" w:rsidRPr="00FE6148">
        <w:rPr>
          <w:rStyle w:val="FootnoteReference"/>
          <w:kern w:val="22"/>
          <w:szCs w:val="22"/>
        </w:rPr>
        <w:footnoteReference w:id="5"/>
      </w:r>
    </w:p>
    <w:p w14:paraId="0E5B0754" w14:textId="1967FDED" w:rsidR="00117549" w:rsidRPr="00FE6148" w:rsidRDefault="00AD172B" w:rsidP="00FE6148">
      <w:pPr>
        <w:pStyle w:val="HEADINGNOTFORTOC"/>
        <w:suppressLineNumbers/>
        <w:tabs>
          <w:tab w:val="clear" w:pos="720"/>
        </w:tabs>
        <w:suppressAutoHyphens/>
        <w:spacing w:before="120"/>
        <w:ind w:left="992" w:hanging="425"/>
        <w:jc w:val="left"/>
        <w:rPr>
          <w:rFonts w:ascii="Times New Roman Bold" w:hAnsi="Times New Roman Bold"/>
          <w:kern w:val="22"/>
        </w:rPr>
      </w:pPr>
      <w:r w:rsidRPr="00FE6148">
        <w:rPr>
          <w:rFonts w:ascii="Times New Roman Bold" w:hAnsi="Times New Roman Bold"/>
          <w:kern w:val="22"/>
        </w:rPr>
        <w:t>I.</w:t>
      </w:r>
      <w:r w:rsidRPr="00FE6148">
        <w:rPr>
          <w:rFonts w:ascii="Times New Roman Bold" w:hAnsi="Times New Roman Bold"/>
          <w:kern w:val="22"/>
        </w:rPr>
        <w:tab/>
        <w:t>Progress made by Parties towards Aichi Biodiversity Target 18 of the Strategic Plan for Biodiversity 2011-2020</w:t>
      </w:r>
    </w:p>
    <w:p w14:paraId="66158EDE" w14:textId="45853C13" w:rsidR="00117549" w:rsidRPr="00FE6148" w:rsidRDefault="004A1965" w:rsidP="00FE6148">
      <w:pPr>
        <w:pStyle w:val="Heading2"/>
        <w:suppressLineNumbers/>
        <w:tabs>
          <w:tab w:val="clear" w:pos="720"/>
        </w:tabs>
        <w:suppressAutoHyphens/>
        <w:rPr>
          <w:i w:val="0"/>
          <w:iCs w:val="0"/>
          <w:kern w:val="22"/>
          <w:lang w:val="en-GB"/>
        </w:rPr>
      </w:pPr>
      <w:bookmarkStart w:id="1" w:name="_heading=h.30j0zll" w:colFirst="0" w:colLast="0"/>
      <w:bookmarkEnd w:id="1"/>
      <w:r w:rsidRPr="00FE6148">
        <w:rPr>
          <w:i w:val="0"/>
          <w:iCs w:val="0"/>
          <w:kern w:val="22"/>
          <w:lang w:val="en-GB"/>
        </w:rPr>
        <w:t>Progress as reported in the sixth national reports</w:t>
      </w:r>
    </w:p>
    <w:p w14:paraId="6416C3D9" w14:textId="335D2D11"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kern w:val="22"/>
        </w:rPr>
        <w:t>T</w:t>
      </w:r>
      <w:r w:rsidRPr="00FE6148">
        <w:rPr>
          <w:color w:val="000000"/>
          <w:kern w:val="22"/>
        </w:rPr>
        <w:t>he Secretariat has updated the analys</w:t>
      </w:r>
      <w:r w:rsidRPr="00FE6148">
        <w:rPr>
          <w:kern w:val="22"/>
        </w:rPr>
        <w:t>i</w:t>
      </w:r>
      <w:r w:rsidRPr="00FE6148">
        <w:rPr>
          <w:color w:val="000000"/>
          <w:kern w:val="22"/>
        </w:rPr>
        <w:t xml:space="preserve">s of progress in implementing the Strategic Plan for Biodiversity 2011-2020 through the analysis of the sixth national reports received by </w:t>
      </w:r>
      <w:r w:rsidR="000876B7" w:rsidRPr="00FE6148">
        <w:rPr>
          <w:color w:val="000000"/>
          <w:kern w:val="22"/>
        </w:rPr>
        <w:t>26 March</w:t>
      </w:r>
      <w:r w:rsidRPr="00FE6148">
        <w:rPr>
          <w:color w:val="000000"/>
          <w:kern w:val="22"/>
        </w:rPr>
        <w:t xml:space="preserve"> </w:t>
      </w:r>
      <w:r w:rsidRPr="00FE6148">
        <w:rPr>
          <w:kern w:val="22"/>
        </w:rPr>
        <w:t>2020.</w:t>
      </w:r>
    </w:p>
    <w:p w14:paraId="58643692" w14:textId="4E1B3B36"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kern w:val="22"/>
        </w:rPr>
        <w:t>As of 2</w:t>
      </w:r>
      <w:r w:rsidR="00953D04" w:rsidRPr="00FE6148">
        <w:rPr>
          <w:kern w:val="22"/>
        </w:rPr>
        <w:t>6</w:t>
      </w:r>
      <w:r w:rsidRPr="00FE6148">
        <w:rPr>
          <w:kern w:val="22"/>
        </w:rPr>
        <w:t xml:space="preserve"> </w:t>
      </w:r>
      <w:r w:rsidR="00953D04" w:rsidRPr="00FE6148">
        <w:rPr>
          <w:kern w:val="22"/>
        </w:rPr>
        <w:t>March</w:t>
      </w:r>
      <w:r w:rsidRPr="00FE6148">
        <w:rPr>
          <w:kern w:val="22"/>
        </w:rPr>
        <w:t xml:space="preserve"> 2020, 1</w:t>
      </w:r>
      <w:r w:rsidR="00953D04" w:rsidRPr="00FE6148">
        <w:rPr>
          <w:kern w:val="22"/>
        </w:rPr>
        <w:t>56</w:t>
      </w:r>
      <w:r w:rsidRPr="00FE6148">
        <w:rPr>
          <w:color w:val="000000"/>
          <w:kern w:val="22"/>
        </w:rPr>
        <w:t xml:space="preserve"> Parties </w:t>
      </w:r>
      <w:r w:rsidR="00FF473A" w:rsidRPr="00FE6148">
        <w:rPr>
          <w:color w:val="000000"/>
          <w:kern w:val="22"/>
        </w:rPr>
        <w:t>had</w:t>
      </w:r>
      <w:r w:rsidRPr="00FE6148">
        <w:rPr>
          <w:color w:val="000000"/>
          <w:kern w:val="22"/>
        </w:rPr>
        <w:t xml:space="preserve"> submitted their sixth national report to the Executive Secretary.</w:t>
      </w:r>
      <w:r w:rsidR="006B5699" w:rsidRPr="00FE6148">
        <w:rPr>
          <w:color w:val="000000"/>
          <w:kern w:val="22"/>
        </w:rPr>
        <w:t xml:space="preserve"> The Secretariat analysed a total of 150</w:t>
      </w:r>
      <w:r w:rsidR="003B31CC" w:rsidRPr="00FE6148">
        <w:rPr>
          <w:color w:val="000000"/>
          <w:kern w:val="22"/>
        </w:rPr>
        <w:t xml:space="preserve"> </w:t>
      </w:r>
      <w:r w:rsidR="00095275" w:rsidRPr="00FE6148">
        <w:rPr>
          <w:color w:val="000000"/>
          <w:kern w:val="22"/>
        </w:rPr>
        <w:t xml:space="preserve">of these </w:t>
      </w:r>
      <w:r w:rsidR="003B31CC" w:rsidRPr="00FE6148">
        <w:rPr>
          <w:color w:val="000000"/>
          <w:kern w:val="22"/>
        </w:rPr>
        <w:t>(</w:t>
      </w:r>
      <w:r w:rsidR="00095275" w:rsidRPr="00FE6148">
        <w:rPr>
          <w:color w:val="000000"/>
          <w:kern w:val="22"/>
        </w:rPr>
        <w:t>6 </w:t>
      </w:r>
      <w:r w:rsidR="003B31CC" w:rsidRPr="00FE6148">
        <w:rPr>
          <w:color w:val="000000"/>
          <w:kern w:val="22"/>
        </w:rPr>
        <w:t>national reports</w:t>
      </w:r>
      <w:r w:rsidR="00095275" w:rsidRPr="00FE6148">
        <w:rPr>
          <w:color w:val="000000"/>
          <w:kern w:val="22"/>
        </w:rPr>
        <w:t>,</w:t>
      </w:r>
      <w:r w:rsidR="003B31CC" w:rsidRPr="00FE6148">
        <w:rPr>
          <w:color w:val="000000"/>
          <w:kern w:val="22"/>
        </w:rPr>
        <w:t xml:space="preserve"> written in Russian or Arabic</w:t>
      </w:r>
      <w:r w:rsidR="00095275" w:rsidRPr="00FE6148">
        <w:rPr>
          <w:color w:val="000000"/>
          <w:kern w:val="22"/>
        </w:rPr>
        <w:t>,</w:t>
      </w:r>
      <w:r w:rsidR="003B31CC" w:rsidRPr="00FE6148">
        <w:rPr>
          <w:color w:val="000000"/>
          <w:kern w:val="22"/>
        </w:rPr>
        <w:t xml:space="preserve"> were not analysed)</w:t>
      </w:r>
      <w:r w:rsidR="006B5699" w:rsidRPr="00FE6148">
        <w:rPr>
          <w:color w:val="000000"/>
          <w:kern w:val="22"/>
        </w:rPr>
        <w:t xml:space="preserve">. </w:t>
      </w:r>
      <w:r w:rsidRPr="00FE6148">
        <w:rPr>
          <w:color w:val="000000"/>
          <w:kern w:val="22"/>
        </w:rPr>
        <w:t>Parties reported on</w:t>
      </w:r>
      <w:r w:rsidRPr="00FE6148">
        <w:rPr>
          <w:kern w:val="22"/>
        </w:rPr>
        <w:t xml:space="preserve"> </w:t>
      </w:r>
      <w:r w:rsidRPr="00FE6148">
        <w:rPr>
          <w:color w:val="000000"/>
          <w:kern w:val="22"/>
        </w:rPr>
        <w:t>actions underta</w:t>
      </w:r>
      <w:r w:rsidRPr="00FE6148">
        <w:rPr>
          <w:kern w:val="22"/>
        </w:rPr>
        <w:t xml:space="preserve">ken </w:t>
      </w:r>
      <w:r w:rsidRPr="00FE6148">
        <w:rPr>
          <w:color w:val="000000"/>
          <w:kern w:val="22"/>
        </w:rPr>
        <w:t>to achieve Aichi Biodiversity Target 18</w:t>
      </w:r>
      <w:r w:rsidR="000E509F" w:rsidRPr="00FE6148">
        <w:rPr>
          <w:color w:val="000000"/>
          <w:kern w:val="22"/>
        </w:rPr>
        <w:t>,</w:t>
      </w:r>
      <w:r w:rsidRPr="00FE6148">
        <w:rPr>
          <w:color w:val="000000"/>
          <w:kern w:val="22"/>
        </w:rPr>
        <w:t xml:space="preserve"> with some </w:t>
      </w:r>
      <w:r w:rsidRPr="00FE6148">
        <w:rPr>
          <w:kern w:val="22"/>
        </w:rPr>
        <w:t>P</w:t>
      </w:r>
      <w:r w:rsidRPr="00FE6148">
        <w:rPr>
          <w:color w:val="000000"/>
          <w:kern w:val="22"/>
        </w:rPr>
        <w:t>arties reporting on the contribution of indigenous peoples and local communities towards the achievement of other targets. The main actions reported included the following:</w:t>
      </w:r>
    </w:p>
    <w:p w14:paraId="178E579B" w14:textId="05BB53DF" w:rsidR="00117549" w:rsidRPr="00FE6148" w:rsidRDefault="00AF430A"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Facilitation</w:t>
      </w:r>
      <w:r w:rsidR="004A1965" w:rsidRPr="00FE6148">
        <w:rPr>
          <w:color w:val="000000"/>
          <w:kern w:val="22"/>
        </w:rPr>
        <w:t xml:space="preserve"> of capacity-building workshops and trainings on traditional knowledge and customary sustainable use under the Convention;</w:t>
      </w:r>
    </w:p>
    <w:p w14:paraId="4AC3A39C"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Initiatives to establish co-management of protected areas with indigenous peoples and local communities living in and around them;</w:t>
      </w:r>
    </w:p>
    <w:p w14:paraId="4E686A64" w14:textId="21675A9F"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 xml:space="preserve">Establishment of </w:t>
      </w:r>
      <w:r w:rsidR="00F57229" w:rsidRPr="00FE6148">
        <w:rPr>
          <w:color w:val="000000"/>
          <w:kern w:val="22"/>
        </w:rPr>
        <w:t>i</w:t>
      </w:r>
      <w:r w:rsidRPr="00FE6148">
        <w:rPr>
          <w:color w:val="000000"/>
          <w:kern w:val="22"/>
        </w:rPr>
        <w:t xml:space="preserve">ndigenous </w:t>
      </w:r>
      <w:r w:rsidR="00F57229" w:rsidRPr="00FE6148">
        <w:rPr>
          <w:color w:val="000000"/>
          <w:kern w:val="22"/>
        </w:rPr>
        <w:t>c</w:t>
      </w:r>
      <w:r w:rsidRPr="00FE6148">
        <w:rPr>
          <w:color w:val="000000"/>
          <w:kern w:val="22"/>
        </w:rPr>
        <w:t xml:space="preserve">ommunity </w:t>
      </w:r>
      <w:r w:rsidR="00F57229" w:rsidRPr="00FE6148">
        <w:rPr>
          <w:color w:val="000000"/>
          <w:kern w:val="22"/>
        </w:rPr>
        <w:t>c</w:t>
      </w:r>
      <w:r w:rsidRPr="00FE6148">
        <w:rPr>
          <w:color w:val="000000"/>
          <w:kern w:val="22"/>
        </w:rPr>
        <w:t xml:space="preserve">onservation </w:t>
      </w:r>
      <w:r w:rsidR="00F57229" w:rsidRPr="00FE6148">
        <w:rPr>
          <w:color w:val="000000"/>
          <w:kern w:val="22"/>
        </w:rPr>
        <w:t>a</w:t>
      </w:r>
      <w:r w:rsidRPr="00FE6148">
        <w:rPr>
          <w:color w:val="000000"/>
          <w:kern w:val="22"/>
        </w:rPr>
        <w:t>reas (ICCA</w:t>
      </w:r>
      <w:r w:rsidR="00931E7C" w:rsidRPr="00FE6148">
        <w:rPr>
          <w:color w:val="000000"/>
          <w:kern w:val="22"/>
        </w:rPr>
        <w:t>s</w:t>
      </w:r>
      <w:r w:rsidRPr="00FE6148">
        <w:rPr>
          <w:color w:val="000000"/>
          <w:kern w:val="22"/>
        </w:rPr>
        <w:t>)</w:t>
      </w:r>
      <w:r w:rsidR="00931E7C" w:rsidRPr="00FE6148">
        <w:rPr>
          <w:color w:val="000000"/>
          <w:kern w:val="22"/>
        </w:rPr>
        <w:t xml:space="preserve"> and</w:t>
      </w:r>
      <w:r w:rsidRPr="00FE6148">
        <w:rPr>
          <w:color w:val="000000"/>
          <w:kern w:val="22"/>
        </w:rPr>
        <w:t xml:space="preserve"> </w:t>
      </w:r>
      <w:r w:rsidR="00E51FFD" w:rsidRPr="00FE6148">
        <w:rPr>
          <w:color w:val="000000"/>
          <w:kern w:val="22"/>
        </w:rPr>
        <w:t>i</w:t>
      </w:r>
      <w:r w:rsidRPr="00FE6148">
        <w:rPr>
          <w:color w:val="000000"/>
          <w:kern w:val="22"/>
        </w:rPr>
        <w:t xml:space="preserve">ndigenous </w:t>
      </w:r>
      <w:r w:rsidR="00E51FFD" w:rsidRPr="00FE6148">
        <w:rPr>
          <w:color w:val="000000"/>
          <w:kern w:val="22"/>
        </w:rPr>
        <w:t>p</w:t>
      </w:r>
      <w:r w:rsidRPr="00FE6148">
        <w:rPr>
          <w:color w:val="000000"/>
          <w:kern w:val="22"/>
        </w:rPr>
        <w:t xml:space="preserve">rotected </w:t>
      </w:r>
      <w:r w:rsidR="00E51FFD" w:rsidRPr="00FE6148">
        <w:rPr>
          <w:color w:val="000000"/>
          <w:kern w:val="22"/>
        </w:rPr>
        <w:t>a</w:t>
      </w:r>
      <w:r w:rsidRPr="00FE6148">
        <w:rPr>
          <w:color w:val="000000"/>
          <w:kern w:val="22"/>
        </w:rPr>
        <w:t>reas (IPAs)</w:t>
      </w:r>
      <w:r w:rsidR="006C7FEC" w:rsidRPr="00FE6148">
        <w:rPr>
          <w:color w:val="000000"/>
          <w:kern w:val="22"/>
        </w:rPr>
        <w:t>,</w:t>
      </w:r>
      <w:r w:rsidRPr="00FE6148">
        <w:rPr>
          <w:color w:val="000000"/>
          <w:kern w:val="22"/>
        </w:rPr>
        <w:t xml:space="preserve"> and elaboration of corresponding co-management plans;</w:t>
      </w:r>
    </w:p>
    <w:p w14:paraId="16C66C8D" w14:textId="150C49E0"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Actions to involve indigenous peoples and local communities in resource management and conservation;</w:t>
      </w:r>
    </w:p>
    <w:p w14:paraId="553F181E"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Documentation and development of inventories on traditional knowledge and related resources;</w:t>
      </w:r>
    </w:p>
    <w:p w14:paraId="708D07E5" w14:textId="137ACE20"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 xml:space="preserve">Development of </w:t>
      </w:r>
      <w:r w:rsidR="00AF430A" w:rsidRPr="00FE6148">
        <w:rPr>
          <w:color w:val="000000"/>
          <w:kern w:val="22"/>
        </w:rPr>
        <w:t xml:space="preserve">action plans for protection and promotion of </w:t>
      </w:r>
      <w:r w:rsidRPr="00FE6148">
        <w:rPr>
          <w:color w:val="000000"/>
          <w:kern w:val="22"/>
        </w:rPr>
        <w:t>traditional medicine</w:t>
      </w:r>
      <w:r w:rsidR="00AF430A" w:rsidRPr="00FE6148">
        <w:rPr>
          <w:color w:val="000000"/>
          <w:kern w:val="22"/>
        </w:rPr>
        <w:t>s</w:t>
      </w:r>
      <w:r w:rsidRPr="00FE6148">
        <w:rPr>
          <w:color w:val="000000"/>
          <w:kern w:val="22"/>
        </w:rPr>
        <w:t xml:space="preserve"> and </w:t>
      </w:r>
      <w:proofErr w:type="spellStart"/>
      <w:r w:rsidRPr="00FE6148">
        <w:rPr>
          <w:color w:val="000000"/>
          <w:kern w:val="22"/>
        </w:rPr>
        <w:t>pharmacopeia</w:t>
      </w:r>
      <w:r w:rsidR="00021CB0" w:rsidRPr="00FE6148">
        <w:rPr>
          <w:color w:val="000000"/>
          <w:kern w:val="22"/>
        </w:rPr>
        <w:t>s</w:t>
      </w:r>
      <w:proofErr w:type="spellEnd"/>
      <w:r w:rsidRPr="00FE6148">
        <w:rPr>
          <w:color w:val="000000"/>
          <w:kern w:val="22"/>
        </w:rPr>
        <w:t>;</w:t>
      </w:r>
    </w:p>
    <w:p w14:paraId="6D74C397"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Commercialization of edible wild produce;</w:t>
      </w:r>
    </w:p>
    <w:p w14:paraId="33806B2C"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Introduction of general mechanisms for consultations with indigenous peoples and local communities;</w:t>
      </w:r>
    </w:p>
    <w:p w14:paraId="609C3F70"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Incorporation of traditional knowledge in consultation processes, including by giving indigenous leaders specific mandates;</w:t>
      </w:r>
    </w:p>
    <w:p w14:paraId="653A9E53"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Development of draft policies on traditional knowledge;</w:t>
      </w:r>
    </w:p>
    <w:p w14:paraId="14D8D2E9" w14:textId="69425A7E"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 xml:space="preserve">Elaboration of national legislative and political frameworks for equitable access to genetic resources </w:t>
      </w:r>
      <w:r w:rsidR="00485809" w:rsidRPr="00FE6148">
        <w:rPr>
          <w:color w:val="000000"/>
          <w:kern w:val="22"/>
        </w:rPr>
        <w:t>and associated traditional knowledge,</w:t>
      </w:r>
      <w:r w:rsidR="00B86ABC" w:rsidRPr="00FE6148">
        <w:rPr>
          <w:rStyle w:val="FootnoteReference"/>
          <w:color w:val="000000"/>
          <w:kern w:val="22"/>
        </w:rPr>
        <w:footnoteReference w:id="6"/>
      </w:r>
      <w:r w:rsidR="00485809" w:rsidRPr="00FE6148">
        <w:rPr>
          <w:color w:val="000000"/>
          <w:kern w:val="22"/>
        </w:rPr>
        <w:t xml:space="preserve"> </w:t>
      </w:r>
      <w:r w:rsidRPr="00FE6148">
        <w:rPr>
          <w:color w:val="000000"/>
          <w:kern w:val="22"/>
        </w:rPr>
        <w:t xml:space="preserve">and </w:t>
      </w:r>
      <w:r w:rsidR="005A16F5" w:rsidRPr="00FE6148">
        <w:rPr>
          <w:color w:val="000000"/>
          <w:kern w:val="22"/>
        </w:rPr>
        <w:t xml:space="preserve">the fair and equitable </w:t>
      </w:r>
      <w:r w:rsidRPr="00FE6148">
        <w:rPr>
          <w:color w:val="000000"/>
          <w:kern w:val="22"/>
        </w:rPr>
        <w:t xml:space="preserve">sharing of benefits resulting from </w:t>
      </w:r>
      <w:r w:rsidR="00655873" w:rsidRPr="00FE6148">
        <w:rPr>
          <w:color w:val="000000"/>
          <w:kern w:val="22"/>
        </w:rPr>
        <w:t>their</w:t>
      </w:r>
      <w:r w:rsidRPr="00FE6148">
        <w:rPr>
          <w:color w:val="000000"/>
          <w:kern w:val="22"/>
        </w:rPr>
        <w:t xml:space="preserve"> use;</w:t>
      </w:r>
    </w:p>
    <w:p w14:paraId="5D1FF8AE" w14:textId="77777777"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color w:val="000000"/>
          <w:kern w:val="22"/>
        </w:rPr>
        <w:t>Guidelines for establishing community protocols</w:t>
      </w:r>
      <w:r w:rsidRPr="00FE6148">
        <w:rPr>
          <w:kern w:val="22"/>
        </w:rPr>
        <w:t>;</w:t>
      </w:r>
    </w:p>
    <w:p w14:paraId="6A80C277" w14:textId="50735DD5" w:rsidR="00B86ABC" w:rsidRPr="00FE6148" w:rsidRDefault="00B86ABC" w:rsidP="00FE6148">
      <w:pPr>
        <w:numPr>
          <w:ilvl w:val="0"/>
          <w:numId w:val="3"/>
        </w:numPr>
        <w:suppressLineNumbers/>
        <w:pBdr>
          <w:top w:val="nil"/>
          <w:left w:val="nil"/>
          <w:bottom w:val="nil"/>
          <w:right w:val="nil"/>
          <w:between w:val="nil"/>
        </w:pBdr>
        <w:suppressAutoHyphens/>
        <w:spacing w:after="120"/>
        <w:ind w:left="0" w:firstLine="720"/>
        <w:rPr>
          <w:color w:val="000000"/>
          <w:kern w:val="22"/>
          <w:szCs w:val="22"/>
        </w:rPr>
      </w:pPr>
      <w:r w:rsidRPr="00FE6148">
        <w:rPr>
          <w:kern w:val="22"/>
          <w:szCs w:val="22"/>
        </w:rPr>
        <w:lastRenderedPageBreak/>
        <w:t>Support for community-based efforts to revive and restore agroecology,</w:t>
      </w:r>
      <w:r w:rsidRPr="00FE6148">
        <w:rPr>
          <w:rStyle w:val="FootnoteReference"/>
          <w:kern w:val="22"/>
          <w:szCs w:val="22"/>
        </w:rPr>
        <w:footnoteReference w:id="7"/>
      </w:r>
      <w:r w:rsidRPr="00FE6148">
        <w:rPr>
          <w:kern w:val="22"/>
          <w:szCs w:val="22"/>
        </w:rPr>
        <w:t xml:space="preserve"> traditional farming practices and traditional agroforestry, as models for</w:t>
      </w:r>
      <w:r w:rsidR="0004289E" w:rsidRPr="00FE6148">
        <w:rPr>
          <w:rStyle w:val="apple-converted-space"/>
          <w:color w:val="202122"/>
          <w:kern w:val="22"/>
          <w:szCs w:val="22"/>
          <w:shd w:val="clear" w:color="auto" w:fill="FFFFFF"/>
        </w:rPr>
        <w:t xml:space="preserve"> </w:t>
      </w:r>
      <w:r w:rsidRPr="00FE6148">
        <w:rPr>
          <w:rStyle w:val="apple-converted-space"/>
          <w:color w:val="202122"/>
          <w:kern w:val="22"/>
          <w:szCs w:val="22"/>
          <w:shd w:val="clear" w:color="auto" w:fill="FFFFFF"/>
        </w:rPr>
        <w:t xml:space="preserve">sustainable </w:t>
      </w:r>
      <w:r w:rsidRPr="00FE6148">
        <w:rPr>
          <w:color w:val="202122"/>
          <w:kern w:val="22"/>
          <w:szCs w:val="22"/>
          <w:shd w:val="clear" w:color="auto" w:fill="FFFFFF"/>
        </w:rPr>
        <w:t>production</w:t>
      </w:r>
      <w:r w:rsidR="000876B7" w:rsidRPr="00FE6148">
        <w:rPr>
          <w:color w:val="202122"/>
          <w:kern w:val="22"/>
          <w:szCs w:val="22"/>
          <w:shd w:val="clear" w:color="auto" w:fill="FFFFFF"/>
        </w:rPr>
        <w:t>;</w:t>
      </w:r>
    </w:p>
    <w:p w14:paraId="7F2B1A0C" w14:textId="74E3A465" w:rsidR="00117549" w:rsidRPr="00FE6148" w:rsidRDefault="004A1965" w:rsidP="00FE6148">
      <w:pPr>
        <w:numPr>
          <w:ilvl w:val="0"/>
          <w:numId w:val="3"/>
        </w:numPr>
        <w:suppressLineNumbers/>
        <w:pBdr>
          <w:top w:val="nil"/>
          <w:left w:val="nil"/>
          <w:bottom w:val="nil"/>
          <w:right w:val="nil"/>
          <w:between w:val="nil"/>
        </w:pBdr>
        <w:suppressAutoHyphens/>
        <w:spacing w:after="120"/>
        <w:ind w:left="0" w:firstLine="720"/>
        <w:rPr>
          <w:color w:val="000000"/>
          <w:kern w:val="22"/>
        </w:rPr>
      </w:pPr>
      <w:r w:rsidRPr="00FE6148">
        <w:rPr>
          <w:kern w:val="22"/>
        </w:rPr>
        <w:t>Support and develop</w:t>
      </w:r>
      <w:r w:rsidR="004C40F5" w:rsidRPr="00FE6148">
        <w:rPr>
          <w:kern w:val="22"/>
        </w:rPr>
        <w:t>ment of</w:t>
      </w:r>
      <w:r w:rsidRPr="00FE6148">
        <w:rPr>
          <w:kern w:val="22"/>
        </w:rPr>
        <w:t xml:space="preserve"> appropriate systems and measures </w:t>
      </w:r>
      <w:r w:rsidR="00BF52F9" w:rsidRPr="00FE6148">
        <w:rPr>
          <w:kern w:val="22"/>
        </w:rPr>
        <w:t xml:space="preserve">by indigenous peoples and local communities, </w:t>
      </w:r>
      <w:r w:rsidRPr="00FE6148">
        <w:rPr>
          <w:kern w:val="22"/>
        </w:rPr>
        <w:t xml:space="preserve">for the </w:t>
      </w:r>
      <w:r w:rsidR="00BF52F9" w:rsidRPr="00FE6148">
        <w:rPr>
          <w:kern w:val="22"/>
        </w:rPr>
        <w:t xml:space="preserve">recording, or </w:t>
      </w:r>
      <w:r w:rsidRPr="00FE6148">
        <w:rPr>
          <w:kern w:val="22"/>
        </w:rPr>
        <w:t>documentation</w:t>
      </w:r>
      <w:r w:rsidR="00BF52F9" w:rsidRPr="00FE6148">
        <w:rPr>
          <w:kern w:val="22"/>
        </w:rPr>
        <w:t>,</w:t>
      </w:r>
      <w:r w:rsidRPr="00FE6148">
        <w:rPr>
          <w:kern w:val="22"/>
        </w:rPr>
        <w:t xml:space="preserve"> and protection of </w:t>
      </w:r>
      <w:r w:rsidR="00BF52F9" w:rsidRPr="00FE6148">
        <w:rPr>
          <w:kern w:val="22"/>
        </w:rPr>
        <w:t xml:space="preserve">their </w:t>
      </w:r>
      <w:r w:rsidRPr="00FE6148">
        <w:rPr>
          <w:kern w:val="22"/>
        </w:rPr>
        <w:t>traditional knowledge, practices and innovations</w:t>
      </w:r>
      <w:r w:rsidR="00BF52F9" w:rsidRPr="00FE6148">
        <w:rPr>
          <w:kern w:val="22"/>
        </w:rPr>
        <w:t>,</w:t>
      </w:r>
      <w:r w:rsidRPr="00FE6148">
        <w:rPr>
          <w:kern w:val="22"/>
        </w:rPr>
        <w:t xml:space="preserve"> related to biological resources</w:t>
      </w:r>
      <w:r w:rsidRPr="00FE6148">
        <w:rPr>
          <w:color w:val="000000"/>
          <w:kern w:val="22"/>
        </w:rPr>
        <w:t>.</w:t>
      </w:r>
    </w:p>
    <w:p w14:paraId="7EE37235" w14:textId="12E8B80F"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proofErr w:type="gramStart"/>
      <w:r w:rsidRPr="00FE6148">
        <w:rPr>
          <w:color w:val="000000"/>
          <w:kern w:val="22"/>
        </w:rPr>
        <w:t>All of</w:t>
      </w:r>
      <w:proofErr w:type="gramEnd"/>
      <w:r w:rsidRPr="00FE6148">
        <w:rPr>
          <w:color w:val="000000"/>
          <w:kern w:val="22"/>
        </w:rPr>
        <w:t xml:space="preserve"> these actions demonstrate a measurable increase in information related to the contributions of indigenous peoples and local communities to the Aichi Biodiversity Targets ref</w:t>
      </w:r>
      <w:r w:rsidRPr="00FE6148">
        <w:rPr>
          <w:kern w:val="22"/>
        </w:rPr>
        <w:t>lected</w:t>
      </w:r>
      <w:r w:rsidRPr="00FE6148">
        <w:rPr>
          <w:color w:val="000000"/>
          <w:kern w:val="22"/>
        </w:rPr>
        <w:t xml:space="preserve"> in the sixth national reports, as compared to the previous reports. </w:t>
      </w:r>
      <w:r w:rsidRPr="00FE6148">
        <w:rPr>
          <w:kern w:val="22"/>
        </w:rPr>
        <w:t xml:space="preserve">An initial analysis of the </w:t>
      </w:r>
      <w:r w:rsidR="00294DB3" w:rsidRPr="00FE6148">
        <w:rPr>
          <w:kern w:val="22"/>
        </w:rPr>
        <w:t xml:space="preserve">sixth </w:t>
      </w:r>
      <w:r w:rsidRPr="00FE6148">
        <w:rPr>
          <w:kern w:val="22"/>
        </w:rPr>
        <w:t xml:space="preserve">national reports submitted by </w:t>
      </w:r>
      <w:r w:rsidR="00025DE2" w:rsidRPr="00FE6148">
        <w:rPr>
          <w:kern w:val="22"/>
        </w:rPr>
        <w:t>26</w:t>
      </w:r>
      <w:r w:rsidR="00EE28C8" w:rsidRPr="00FE6148">
        <w:rPr>
          <w:kern w:val="22"/>
        </w:rPr>
        <w:t> </w:t>
      </w:r>
      <w:r w:rsidR="00953D04" w:rsidRPr="00FE6148">
        <w:rPr>
          <w:kern w:val="22"/>
        </w:rPr>
        <w:t>March</w:t>
      </w:r>
      <w:r w:rsidR="003B31CC" w:rsidRPr="00FE6148">
        <w:rPr>
          <w:kern w:val="22"/>
        </w:rPr>
        <w:t xml:space="preserve"> </w:t>
      </w:r>
      <w:r w:rsidRPr="00FE6148">
        <w:rPr>
          <w:kern w:val="22"/>
        </w:rPr>
        <w:t>2020 reveal that 1</w:t>
      </w:r>
      <w:r w:rsidR="0017302B" w:rsidRPr="00FE6148">
        <w:rPr>
          <w:kern w:val="22"/>
        </w:rPr>
        <w:t>6</w:t>
      </w:r>
      <w:r w:rsidRPr="00FE6148">
        <w:rPr>
          <w:kern w:val="22"/>
        </w:rPr>
        <w:t xml:space="preserve"> of </w:t>
      </w:r>
      <w:r w:rsidR="00A977C8" w:rsidRPr="00FE6148">
        <w:rPr>
          <w:kern w:val="22"/>
        </w:rPr>
        <w:t>the 150 reports analysed</w:t>
      </w:r>
      <w:r w:rsidRPr="00FE6148">
        <w:rPr>
          <w:kern w:val="22"/>
        </w:rPr>
        <w:t xml:space="preserve"> (1</w:t>
      </w:r>
      <w:r w:rsidR="0017302B" w:rsidRPr="00FE6148">
        <w:rPr>
          <w:kern w:val="22"/>
        </w:rPr>
        <w:t>0</w:t>
      </w:r>
      <w:r w:rsidR="00FD4C28" w:rsidRPr="00FE6148">
        <w:rPr>
          <w:kern w:val="22"/>
        </w:rPr>
        <w:t> </w:t>
      </w:r>
      <w:r w:rsidRPr="00FE6148">
        <w:rPr>
          <w:kern w:val="22"/>
        </w:rPr>
        <w:t>per</w:t>
      </w:r>
      <w:r w:rsidR="00FD4C28" w:rsidRPr="00FE6148">
        <w:rPr>
          <w:kern w:val="22"/>
        </w:rPr>
        <w:t> </w:t>
      </w:r>
      <w:r w:rsidRPr="00FE6148">
        <w:rPr>
          <w:kern w:val="22"/>
        </w:rPr>
        <w:t xml:space="preserve">cent) mention </w:t>
      </w:r>
      <w:r w:rsidR="00834F64" w:rsidRPr="00FE6148">
        <w:rPr>
          <w:kern w:val="22"/>
        </w:rPr>
        <w:t xml:space="preserve">the engagement of </w:t>
      </w:r>
      <w:r w:rsidRPr="00FE6148">
        <w:rPr>
          <w:kern w:val="22"/>
        </w:rPr>
        <w:t>indigenous peoples and local communities in</w:t>
      </w:r>
      <w:r w:rsidR="000F38B2" w:rsidRPr="00FE6148">
        <w:rPr>
          <w:kern w:val="22"/>
        </w:rPr>
        <w:t xml:space="preserve"> </w:t>
      </w:r>
      <w:r w:rsidR="00140957" w:rsidRPr="00FE6148">
        <w:rPr>
          <w:kern w:val="22"/>
        </w:rPr>
        <w:t>n</w:t>
      </w:r>
      <w:r w:rsidR="000F38B2" w:rsidRPr="00FE6148">
        <w:rPr>
          <w:kern w:val="22"/>
        </w:rPr>
        <w:t xml:space="preserve">ational </w:t>
      </w:r>
      <w:r w:rsidR="00140957" w:rsidRPr="00FE6148">
        <w:rPr>
          <w:kern w:val="22"/>
        </w:rPr>
        <w:t>b</w:t>
      </w:r>
      <w:r w:rsidR="000F38B2" w:rsidRPr="00FE6148">
        <w:rPr>
          <w:kern w:val="22"/>
        </w:rPr>
        <w:t xml:space="preserve">iodiversity </w:t>
      </w:r>
      <w:r w:rsidR="00140957" w:rsidRPr="00FE6148">
        <w:rPr>
          <w:kern w:val="22"/>
        </w:rPr>
        <w:t>s</w:t>
      </w:r>
      <w:r w:rsidR="000F38B2" w:rsidRPr="00FE6148">
        <w:rPr>
          <w:kern w:val="22"/>
        </w:rPr>
        <w:t>trateg</w:t>
      </w:r>
      <w:r w:rsidR="002339A5" w:rsidRPr="00FE6148">
        <w:rPr>
          <w:kern w:val="22"/>
        </w:rPr>
        <w:t>y</w:t>
      </w:r>
      <w:r w:rsidR="000F38B2" w:rsidRPr="00FE6148">
        <w:rPr>
          <w:kern w:val="22"/>
        </w:rPr>
        <w:t xml:space="preserve"> and </w:t>
      </w:r>
      <w:r w:rsidR="00140957" w:rsidRPr="00FE6148">
        <w:rPr>
          <w:kern w:val="22"/>
        </w:rPr>
        <w:t>a</w:t>
      </w:r>
      <w:r w:rsidR="000F38B2" w:rsidRPr="00FE6148">
        <w:rPr>
          <w:kern w:val="22"/>
        </w:rPr>
        <w:t xml:space="preserve">ction </w:t>
      </w:r>
      <w:r w:rsidR="00140957" w:rsidRPr="00FE6148">
        <w:rPr>
          <w:kern w:val="22"/>
        </w:rPr>
        <w:t>p</w:t>
      </w:r>
      <w:r w:rsidR="000F38B2" w:rsidRPr="00FE6148">
        <w:rPr>
          <w:kern w:val="22"/>
        </w:rPr>
        <w:t>lan</w:t>
      </w:r>
      <w:r w:rsidRPr="00FE6148">
        <w:rPr>
          <w:kern w:val="22"/>
        </w:rPr>
        <w:t xml:space="preserve"> </w:t>
      </w:r>
      <w:r w:rsidR="000F38B2" w:rsidRPr="00FE6148">
        <w:rPr>
          <w:kern w:val="22"/>
        </w:rPr>
        <w:t>(</w:t>
      </w:r>
      <w:r w:rsidRPr="00FE6148">
        <w:rPr>
          <w:kern w:val="22"/>
        </w:rPr>
        <w:t>NBSAP</w:t>
      </w:r>
      <w:r w:rsidR="000F38B2" w:rsidRPr="00FE6148">
        <w:rPr>
          <w:kern w:val="22"/>
        </w:rPr>
        <w:t>)</w:t>
      </w:r>
      <w:r w:rsidRPr="00FE6148">
        <w:rPr>
          <w:kern w:val="22"/>
        </w:rPr>
        <w:t xml:space="preserve"> processes</w:t>
      </w:r>
      <w:r w:rsidR="00D5667D" w:rsidRPr="00FE6148">
        <w:rPr>
          <w:kern w:val="22"/>
        </w:rPr>
        <w:t>,</w:t>
      </w:r>
      <w:r w:rsidRPr="00FE6148">
        <w:rPr>
          <w:kern w:val="22"/>
        </w:rPr>
        <w:t xml:space="preserve"> and </w:t>
      </w:r>
      <w:r w:rsidR="006B5699" w:rsidRPr="00FE6148">
        <w:rPr>
          <w:kern w:val="22"/>
        </w:rPr>
        <w:t>89</w:t>
      </w:r>
      <w:r w:rsidRPr="00FE6148">
        <w:rPr>
          <w:kern w:val="22"/>
        </w:rPr>
        <w:t xml:space="preserve"> reports (</w:t>
      </w:r>
      <w:r w:rsidR="006B5699" w:rsidRPr="00FE6148">
        <w:rPr>
          <w:kern w:val="22"/>
        </w:rPr>
        <w:t>59</w:t>
      </w:r>
      <w:r w:rsidR="002339A5" w:rsidRPr="00FE6148">
        <w:rPr>
          <w:kern w:val="22"/>
        </w:rPr>
        <w:t> </w:t>
      </w:r>
      <w:r w:rsidRPr="00FE6148">
        <w:rPr>
          <w:kern w:val="22"/>
        </w:rPr>
        <w:t>per</w:t>
      </w:r>
      <w:r w:rsidR="002339A5" w:rsidRPr="00FE6148">
        <w:rPr>
          <w:kern w:val="22"/>
        </w:rPr>
        <w:t> </w:t>
      </w:r>
      <w:r w:rsidRPr="00FE6148">
        <w:rPr>
          <w:kern w:val="22"/>
        </w:rPr>
        <w:t xml:space="preserve">cent) mention </w:t>
      </w:r>
      <w:r w:rsidR="009A4C4A" w:rsidRPr="00FE6148">
        <w:rPr>
          <w:kern w:val="22"/>
        </w:rPr>
        <w:t xml:space="preserve">the participation of </w:t>
      </w:r>
      <w:r w:rsidRPr="00FE6148">
        <w:rPr>
          <w:kern w:val="22"/>
        </w:rPr>
        <w:t xml:space="preserve">indigenous peoples and local communities </w:t>
      </w:r>
      <w:r w:rsidR="00E35043" w:rsidRPr="00FE6148">
        <w:rPr>
          <w:kern w:val="22"/>
        </w:rPr>
        <w:t>in</w:t>
      </w:r>
      <w:r w:rsidRPr="00FE6148">
        <w:rPr>
          <w:kern w:val="22"/>
        </w:rPr>
        <w:t xml:space="preserve"> matters related to biodiversity</w:t>
      </w:r>
      <w:r w:rsidR="00485809" w:rsidRPr="00FE6148">
        <w:rPr>
          <w:kern w:val="22"/>
        </w:rPr>
        <w:t>,</w:t>
      </w:r>
      <w:r w:rsidRPr="00FE6148">
        <w:rPr>
          <w:kern w:val="22"/>
        </w:rPr>
        <w:t xml:space="preserve"> in general terms. While there has been some improvement in national reports mentioning indigenous peoples and local communities since </w:t>
      </w:r>
      <w:r w:rsidR="008B64DF" w:rsidRPr="00FE6148">
        <w:rPr>
          <w:kern w:val="22"/>
        </w:rPr>
        <w:t xml:space="preserve">the first edition of </w:t>
      </w:r>
      <w:r w:rsidR="008B64DF" w:rsidRPr="00FE6148">
        <w:rPr>
          <w:i/>
          <w:iCs/>
          <w:kern w:val="22"/>
        </w:rPr>
        <w:t>Local Biodiversity Outloo</w:t>
      </w:r>
      <w:r w:rsidR="00DF33FA" w:rsidRPr="00FE6148">
        <w:rPr>
          <w:i/>
          <w:iCs/>
          <w:kern w:val="22"/>
        </w:rPr>
        <w:t>k</w:t>
      </w:r>
      <w:r w:rsidR="00551F58" w:rsidRPr="00FE6148">
        <w:rPr>
          <w:i/>
          <w:iCs/>
          <w:kern w:val="22"/>
        </w:rPr>
        <w:t>s</w:t>
      </w:r>
      <w:r w:rsidRPr="00FE6148">
        <w:rPr>
          <w:kern w:val="22"/>
        </w:rPr>
        <w:t xml:space="preserve"> in 2016, there has not been any </w:t>
      </w:r>
      <w:r w:rsidR="00485809" w:rsidRPr="00FE6148">
        <w:rPr>
          <w:kern w:val="22"/>
        </w:rPr>
        <w:t xml:space="preserve">measurable </w:t>
      </w:r>
      <w:r w:rsidRPr="00FE6148">
        <w:rPr>
          <w:kern w:val="22"/>
        </w:rPr>
        <w:t xml:space="preserve">progress in their participation in </w:t>
      </w:r>
      <w:r w:rsidR="005A16F5" w:rsidRPr="00FE6148">
        <w:rPr>
          <w:kern w:val="22"/>
        </w:rPr>
        <w:t xml:space="preserve">the development and implementation of </w:t>
      </w:r>
      <w:r w:rsidRPr="00FE6148">
        <w:rPr>
          <w:kern w:val="22"/>
        </w:rPr>
        <w:t>NBSAP</w:t>
      </w:r>
      <w:r w:rsidR="005A16F5" w:rsidRPr="00FE6148">
        <w:rPr>
          <w:kern w:val="22"/>
        </w:rPr>
        <w:t>s</w:t>
      </w:r>
      <w:r w:rsidRPr="00FE6148">
        <w:rPr>
          <w:kern w:val="22"/>
        </w:rPr>
        <w:t xml:space="preserve">, so there is still much work </w:t>
      </w:r>
      <w:r w:rsidR="00E35043" w:rsidRPr="00FE6148">
        <w:rPr>
          <w:kern w:val="22"/>
        </w:rPr>
        <w:t xml:space="preserve">to be done </w:t>
      </w:r>
      <w:r w:rsidRPr="00FE6148">
        <w:rPr>
          <w:kern w:val="22"/>
        </w:rPr>
        <w:t xml:space="preserve">to make </w:t>
      </w:r>
      <w:r w:rsidR="00842F07" w:rsidRPr="00FE6148">
        <w:rPr>
          <w:kern w:val="22"/>
        </w:rPr>
        <w:t xml:space="preserve">development of </w:t>
      </w:r>
      <w:r w:rsidRPr="00FE6148">
        <w:rPr>
          <w:kern w:val="22"/>
        </w:rPr>
        <w:t>NBSAPs truly participatory.</w:t>
      </w:r>
    </w:p>
    <w:p w14:paraId="26B93FE6" w14:textId="3813E2FD" w:rsidR="00117549" w:rsidRPr="00FE6148" w:rsidRDefault="009E261C" w:rsidP="00FE6148">
      <w:pPr>
        <w:pStyle w:val="HEADINGNOTFORTOC"/>
        <w:suppressLineNumbers/>
        <w:tabs>
          <w:tab w:val="clear" w:pos="720"/>
        </w:tabs>
        <w:suppressAutoHyphens/>
        <w:spacing w:before="120"/>
        <w:ind w:left="1134" w:hanging="567"/>
        <w:jc w:val="left"/>
        <w:rPr>
          <w:rFonts w:ascii="Times New Roman Bold" w:hAnsi="Times New Roman Bold"/>
          <w:kern w:val="22"/>
        </w:rPr>
      </w:pPr>
      <w:r w:rsidRPr="00FE6148">
        <w:rPr>
          <w:rFonts w:ascii="Times New Roman Bold" w:hAnsi="Times New Roman Bold"/>
          <w:kern w:val="22"/>
        </w:rPr>
        <w:t>II.</w:t>
      </w:r>
      <w:r w:rsidRPr="00FE6148">
        <w:rPr>
          <w:rFonts w:ascii="Times New Roman Bold" w:hAnsi="Times New Roman Bold"/>
          <w:kern w:val="22"/>
        </w:rPr>
        <w:tab/>
      </w:r>
      <w:r w:rsidR="00AD172B" w:rsidRPr="00FE6148">
        <w:rPr>
          <w:rFonts w:ascii="Times New Roman Bold" w:hAnsi="Times New Roman Bold"/>
          <w:kern w:val="22"/>
        </w:rPr>
        <w:t>Update on related activities within the mandate of the Secretariat</w:t>
      </w:r>
    </w:p>
    <w:p w14:paraId="2BD52F4D" w14:textId="34949E49"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color w:val="000000"/>
          <w:kern w:val="22"/>
        </w:rPr>
        <w:t xml:space="preserve">This update builds on </w:t>
      </w:r>
      <w:r w:rsidR="00FD43C0" w:rsidRPr="00FE6148">
        <w:rPr>
          <w:color w:val="000000"/>
          <w:kern w:val="22"/>
        </w:rPr>
        <w:t>the note by the Executive Secretary issued</w:t>
      </w:r>
      <w:r w:rsidRPr="00FE6148">
        <w:rPr>
          <w:color w:val="000000"/>
          <w:kern w:val="22"/>
        </w:rPr>
        <w:t xml:space="preserve"> for the eleventh meeting of the </w:t>
      </w:r>
      <w:r w:rsidR="00180CEB" w:rsidRPr="00FE6148">
        <w:rPr>
          <w:color w:val="000000"/>
          <w:kern w:val="22"/>
        </w:rPr>
        <w:t xml:space="preserve">Ad Hoc Open-ended </w:t>
      </w:r>
      <w:r w:rsidRPr="00FE6148">
        <w:rPr>
          <w:color w:val="000000"/>
          <w:kern w:val="22"/>
        </w:rPr>
        <w:t>Working Group on Article 8(j) and Related Provisions</w:t>
      </w:r>
      <w:r w:rsidR="00FD43C0" w:rsidRPr="00FE6148">
        <w:rPr>
          <w:color w:val="000000"/>
          <w:kern w:val="22"/>
        </w:rPr>
        <w:t xml:space="preserve"> </w:t>
      </w:r>
      <w:r w:rsidR="003D1DC4" w:rsidRPr="00FE6148">
        <w:rPr>
          <w:color w:val="000000"/>
          <w:kern w:val="22"/>
        </w:rPr>
        <w:t>(</w:t>
      </w:r>
      <w:hyperlink r:id="rId18" w:history="1">
        <w:r w:rsidR="00FD43C0" w:rsidRPr="00FE6148">
          <w:rPr>
            <w:rStyle w:val="Hyperlink"/>
            <w:kern w:val="22"/>
            <w:sz w:val="22"/>
          </w:rPr>
          <w:t>CBD/WG8J/11/2</w:t>
        </w:r>
      </w:hyperlink>
      <w:r w:rsidR="003D1DC4" w:rsidRPr="00FE6148">
        <w:rPr>
          <w:color w:val="000000"/>
          <w:kern w:val="22"/>
        </w:rPr>
        <w:t>)</w:t>
      </w:r>
      <w:r w:rsidRPr="00FE6148">
        <w:rPr>
          <w:color w:val="000000"/>
          <w:kern w:val="22"/>
        </w:rPr>
        <w:t>.</w:t>
      </w:r>
    </w:p>
    <w:p w14:paraId="2C846129" w14:textId="5F3F9322"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color w:val="000000"/>
          <w:kern w:val="22"/>
        </w:rPr>
        <w:t>In 2019</w:t>
      </w:r>
      <w:r w:rsidR="00B66B25" w:rsidRPr="00FE6148">
        <w:rPr>
          <w:color w:val="000000"/>
          <w:kern w:val="22"/>
        </w:rPr>
        <w:t>,</w:t>
      </w:r>
      <w:r w:rsidRPr="00FE6148">
        <w:rPr>
          <w:color w:val="000000"/>
          <w:kern w:val="22"/>
        </w:rPr>
        <w:t xml:space="preserve"> a total of </w:t>
      </w:r>
      <w:r w:rsidRPr="00FE6148">
        <w:rPr>
          <w:kern w:val="22"/>
        </w:rPr>
        <w:t>30</w:t>
      </w:r>
      <w:r w:rsidRPr="00FE6148">
        <w:rPr>
          <w:color w:val="000000"/>
          <w:kern w:val="22"/>
        </w:rPr>
        <w:t xml:space="preserve"> representatives of indigenous peoples and local communities </w:t>
      </w:r>
      <w:r w:rsidR="00B66B25" w:rsidRPr="00FE6148">
        <w:rPr>
          <w:color w:val="000000"/>
          <w:kern w:val="22"/>
        </w:rPr>
        <w:t xml:space="preserve">from all seven sociocultural regions </w:t>
      </w:r>
      <w:r w:rsidRPr="00FE6148">
        <w:rPr>
          <w:color w:val="000000"/>
          <w:kern w:val="22"/>
        </w:rPr>
        <w:t xml:space="preserve">received funding from the </w:t>
      </w:r>
      <w:r w:rsidR="005A16F5" w:rsidRPr="00FE6148">
        <w:rPr>
          <w:color w:val="000000"/>
          <w:kern w:val="22"/>
        </w:rPr>
        <w:t>General Trust Fund for Voluntary Contributions to Facilitate the Participation of Indigenous Peoples and Local Communities in the Work of the Convention on Biological Diversity</w:t>
      </w:r>
      <w:r w:rsidRPr="00FE6148">
        <w:rPr>
          <w:color w:val="000000"/>
          <w:kern w:val="22"/>
        </w:rPr>
        <w:t>, which enabled their participation in official meetings held under the Convention</w:t>
      </w:r>
      <w:r w:rsidR="008C2A77" w:rsidRPr="00FE6148">
        <w:rPr>
          <w:color w:val="000000"/>
          <w:kern w:val="22"/>
        </w:rPr>
        <w:t xml:space="preserve">; </w:t>
      </w:r>
      <w:r w:rsidR="000876B7" w:rsidRPr="00FE6148">
        <w:rPr>
          <w:color w:val="000000"/>
          <w:kern w:val="22"/>
        </w:rPr>
        <w:t>i</w:t>
      </w:r>
      <w:r w:rsidR="008C2A77" w:rsidRPr="00FE6148">
        <w:rPr>
          <w:color w:val="000000"/>
          <w:kern w:val="22"/>
        </w:rPr>
        <w:t>n 2020</w:t>
      </w:r>
      <w:r w:rsidR="000876B7" w:rsidRPr="00FE6148">
        <w:rPr>
          <w:color w:val="000000"/>
          <w:kern w:val="22"/>
        </w:rPr>
        <w:t xml:space="preserve"> to date</w:t>
      </w:r>
      <w:r w:rsidR="008C2A77" w:rsidRPr="00FE6148">
        <w:rPr>
          <w:color w:val="000000"/>
          <w:kern w:val="22"/>
        </w:rPr>
        <w:t xml:space="preserve">, 13 representatives </w:t>
      </w:r>
      <w:r w:rsidR="000876B7" w:rsidRPr="00FE6148">
        <w:rPr>
          <w:color w:val="000000"/>
          <w:kern w:val="22"/>
        </w:rPr>
        <w:t xml:space="preserve">have been </w:t>
      </w:r>
      <w:r w:rsidR="008C2A77" w:rsidRPr="00FE6148">
        <w:rPr>
          <w:color w:val="000000"/>
          <w:kern w:val="22"/>
        </w:rPr>
        <w:t>funded</w:t>
      </w:r>
      <w:r w:rsidRPr="00FE6148">
        <w:rPr>
          <w:color w:val="000000"/>
          <w:kern w:val="22"/>
        </w:rPr>
        <w:t>.</w:t>
      </w:r>
      <w:r w:rsidRPr="00FE6148">
        <w:rPr>
          <w:color w:val="000000"/>
          <w:kern w:val="22"/>
          <w:vertAlign w:val="superscript"/>
        </w:rPr>
        <w:footnoteReference w:id="8"/>
      </w:r>
      <w:r w:rsidRPr="00FE6148">
        <w:rPr>
          <w:color w:val="000000"/>
          <w:kern w:val="22"/>
        </w:rPr>
        <w:t xml:space="preserve"> The Secretariat expresses its gratitude to </w:t>
      </w:r>
      <w:r w:rsidR="00452D7D" w:rsidRPr="00FE6148">
        <w:rPr>
          <w:color w:val="000000"/>
          <w:kern w:val="22"/>
        </w:rPr>
        <w:t xml:space="preserve">the Governments of </w:t>
      </w:r>
      <w:r w:rsidRPr="00FE6148">
        <w:rPr>
          <w:color w:val="000000"/>
          <w:kern w:val="22"/>
        </w:rPr>
        <w:t>A</w:t>
      </w:r>
      <w:r w:rsidRPr="00FE6148">
        <w:rPr>
          <w:kern w:val="22"/>
        </w:rPr>
        <w:t xml:space="preserve">ustralia, Canada, Germany, New Zealand, Norway and Sweden </w:t>
      </w:r>
      <w:r w:rsidRPr="00FE6148">
        <w:rPr>
          <w:color w:val="000000"/>
          <w:kern w:val="22"/>
        </w:rPr>
        <w:t xml:space="preserve">for their continuing support in 2019 of </w:t>
      </w:r>
      <w:r w:rsidR="0047456F" w:rsidRPr="00FE6148">
        <w:rPr>
          <w:color w:val="000000"/>
          <w:kern w:val="22"/>
        </w:rPr>
        <w:t>this fund</w:t>
      </w:r>
      <w:r w:rsidRPr="00FE6148">
        <w:rPr>
          <w:color w:val="000000"/>
          <w:kern w:val="22"/>
        </w:rPr>
        <w:t>.</w:t>
      </w:r>
    </w:p>
    <w:p w14:paraId="6D90209B" w14:textId="24FC75D1"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color w:val="000000"/>
          <w:kern w:val="22"/>
        </w:rPr>
        <w:t>In addition, the Secretariat facilitated the participation of indigenous peoples and local communities in the following meetings held under the Convention and its Protocols:</w:t>
      </w:r>
    </w:p>
    <w:p w14:paraId="584DCF9E" w14:textId="3B70C395" w:rsidR="005A3C65" w:rsidRPr="00FE6148" w:rsidRDefault="004A1965" w:rsidP="00FE6148">
      <w:pPr>
        <w:numPr>
          <w:ilvl w:val="0"/>
          <w:numId w:val="4"/>
        </w:numPr>
        <w:suppressLineNumbers/>
        <w:suppressAutoHyphens/>
        <w:spacing w:after="120"/>
        <w:ind w:left="0" w:firstLine="720"/>
        <w:rPr>
          <w:kern w:val="22"/>
        </w:rPr>
      </w:pPr>
      <w:r w:rsidRPr="00FE6148">
        <w:rPr>
          <w:kern w:val="22"/>
        </w:rPr>
        <w:t xml:space="preserve">Regional consultations </w:t>
      </w:r>
      <w:r w:rsidR="009C076D" w:rsidRPr="00FE6148">
        <w:rPr>
          <w:kern w:val="22"/>
        </w:rPr>
        <w:t>on</w:t>
      </w:r>
      <w:r w:rsidR="00DF163B" w:rsidRPr="00FE6148">
        <w:rPr>
          <w:kern w:val="22"/>
        </w:rPr>
        <w:t xml:space="preserve"> </w:t>
      </w:r>
      <w:r w:rsidRPr="00FE6148">
        <w:rPr>
          <w:kern w:val="22"/>
        </w:rPr>
        <w:t>the post-2020 global biodiversity framework for:</w:t>
      </w:r>
    </w:p>
    <w:p w14:paraId="7133B871" w14:textId="4CBCE259" w:rsidR="005E5EF9" w:rsidRPr="00FE6148" w:rsidRDefault="004A1965" w:rsidP="00FE6148">
      <w:pPr>
        <w:suppressLineNumbers/>
        <w:suppressAutoHyphens/>
        <w:spacing w:after="120"/>
        <w:ind w:left="1418" w:hanging="624"/>
        <w:rPr>
          <w:kern w:val="22"/>
        </w:rPr>
      </w:pPr>
      <w:r w:rsidRPr="00FE6148">
        <w:rPr>
          <w:kern w:val="22"/>
        </w:rPr>
        <w:t>(</w:t>
      </w:r>
      <w:proofErr w:type="spellStart"/>
      <w:r w:rsidRPr="00FE6148">
        <w:rPr>
          <w:kern w:val="22"/>
        </w:rPr>
        <w:t>i</w:t>
      </w:r>
      <w:proofErr w:type="spellEnd"/>
      <w:r w:rsidRPr="00FE6148">
        <w:rPr>
          <w:kern w:val="22"/>
        </w:rPr>
        <w:t>)</w:t>
      </w:r>
      <w:r w:rsidR="005A3C65" w:rsidRPr="00FE6148">
        <w:rPr>
          <w:kern w:val="22"/>
        </w:rPr>
        <w:t> </w:t>
      </w:r>
      <w:r w:rsidR="005E5EF9" w:rsidRPr="00FE6148">
        <w:rPr>
          <w:kern w:val="22"/>
        </w:rPr>
        <w:tab/>
      </w:r>
      <w:r w:rsidRPr="00FE6148">
        <w:rPr>
          <w:kern w:val="22"/>
        </w:rPr>
        <w:t xml:space="preserve">Western European and Others Group and other members of the European Union, </w:t>
      </w:r>
      <w:r w:rsidR="007D66CE" w:rsidRPr="00FE6148">
        <w:rPr>
          <w:kern w:val="22"/>
        </w:rPr>
        <w:t xml:space="preserve">Bonn, </w:t>
      </w:r>
      <w:r w:rsidRPr="00FE6148">
        <w:rPr>
          <w:kern w:val="22"/>
        </w:rPr>
        <w:t>19</w:t>
      </w:r>
      <w:r w:rsidR="00D67E65">
        <w:rPr>
          <w:kern w:val="22"/>
        </w:rPr>
        <w:noBreakHyphen/>
      </w:r>
      <w:r w:rsidRPr="00FE6148">
        <w:rPr>
          <w:kern w:val="22"/>
        </w:rPr>
        <w:t>21 March 2019;</w:t>
      </w:r>
    </w:p>
    <w:p w14:paraId="3B8860F4" w14:textId="5E5D1149" w:rsidR="005E5EF9" w:rsidRPr="00FE6148" w:rsidRDefault="004A1965" w:rsidP="00FE6148">
      <w:pPr>
        <w:suppressLineNumbers/>
        <w:suppressAutoHyphens/>
        <w:spacing w:after="120"/>
        <w:ind w:left="1418" w:hanging="624"/>
        <w:rPr>
          <w:kern w:val="22"/>
        </w:rPr>
      </w:pPr>
      <w:r w:rsidRPr="00FE6148">
        <w:rPr>
          <w:kern w:val="22"/>
        </w:rPr>
        <w:t>(ii)</w:t>
      </w:r>
      <w:r w:rsidR="001B7920" w:rsidRPr="00FE6148">
        <w:rPr>
          <w:kern w:val="22"/>
        </w:rPr>
        <w:t> </w:t>
      </w:r>
      <w:r w:rsidR="005E5EF9" w:rsidRPr="00FE6148">
        <w:rPr>
          <w:kern w:val="22"/>
        </w:rPr>
        <w:tab/>
      </w:r>
      <w:r w:rsidRPr="00FE6148">
        <w:rPr>
          <w:kern w:val="22"/>
        </w:rPr>
        <w:t xml:space="preserve">Africa, </w:t>
      </w:r>
      <w:r w:rsidR="007D66CE" w:rsidRPr="00FE6148">
        <w:rPr>
          <w:kern w:val="22"/>
        </w:rPr>
        <w:t xml:space="preserve">Addis Ababa, </w:t>
      </w:r>
      <w:r w:rsidRPr="00FE6148">
        <w:rPr>
          <w:kern w:val="22"/>
        </w:rPr>
        <w:t>2-5 April 2019;</w:t>
      </w:r>
    </w:p>
    <w:p w14:paraId="5F603B3E" w14:textId="44F66AD8" w:rsidR="005E5EF9" w:rsidRPr="00FE6148" w:rsidRDefault="004A1965" w:rsidP="00FE6148">
      <w:pPr>
        <w:suppressLineNumbers/>
        <w:suppressAutoHyphens/>
        <w:spacing w:after="120"/>
        <w:ind w:left="1418" w:hanging="624"/>
        <w:rPr>
          <w:kern w:val="22"/>
        </w:rPr>
      </w:pPr>
      <w:r w:rsidRPr="00FE6148">
        <w:rPr>
          <w:kern w:val="22"/>
        </w:rPr>
        <w:t>(iii)</w:t>
      </w:r>
      <w:r w:rsidR="00591CB2" w:rsidRPr="00FE6148">
        <w:rPr>
          <w:kern w:val="22"/>
        </w:rPr>
        <w:t> </w:t>
      </w:r>
      <w:r w:rsidR="005E5EF9" w:rsidRPr="00FE6148">
        <w:rPr>
          <w:kern w:val="22"/>
        </w:rPr>
        <w:tab/>
      </w:r>
      <w:r w:rsidRPr="00FE6148">
        <w:rPr>
          <w:kern w:val="22"/>
        </w:rPr>
        <w:t xml:space="preserve">Central and Eastern Europe, </w:t>
      </w:r>
      <w:r w:rsidR="007D66CE" w:rsidRPr="00FE6148">
        <w:rPr>
          <w:kern w:val="22"/>
        </w:rPr>
        <w:t xml:space="preserve">Belgrade, </w:t>
      </w:r>
      <w:r w:rsidRPr="00FE6148">
        <w:rPr>
          <w:kern w:val="22"/>
        </w:rPr>
        <w:t>16-18 April 2019;</w:t>
      </w:r>
    </w:p>
    <w:p w14:paraId="4D3FDBC9" w14:textId="4E6F36EE" w:rsidR="00117549" w:rsidRPr="00FE6148" w:rsidRDefault="004A1965" w:rsidP="00FE6148">
      <w:pPr>
        <w:suppressLineNumbers/>
        <w:suppressAutoHyphens/>
        <w:spacing w:after="120"/>
        <w:ind w:left="1418" w:hanging="624"/>
        <w:rPr>
          <w:kern w:val="22"/>
        </w:rPr>
      </w:pPr>
      <w:r w:rsidRPr="00FE6148">
        <w:rPr>
          <w:kern w:val="22"/>
        </w:rPr>
        <w:t>(iv)</w:t>
      </w:r>
      <w:r w:rsidR="00591CB2" w:rsidRPr="00FE6148">
        <w:rPr>
          <w:kern w:val="22"/>
        </w:rPr>
        <w:t> </w:t>
      </w:r>
      <w:r w:rsidR="005E5EF9" w:rsidRPr="00FE6148">
        <w:rPr>
          <w:kern w:val="22"/>
        </w:rPr>
        <w:tab/>
      </w:r>
      <w:r w:rsidRPr="00FE6148">
        <w:rPr>
          <w:kern w:val="22"/>
        </w:rPr>
        <w:t xml:space="preserve">Latin America and the Caribbean, </w:t>
      </w:r>
      <w:r w:rsidR="007D66CE" w:rsidRPr="00FE6148">
        <w:rPr>
          <w:kern w:val="22"/>
        </w:rPr>
        <w:t xml:space="preserve">Montevideo, </w:t>
      </w:r>
      <w:r w:rsidRPr="00FE6148">
        <w:rPr>
          <w:kern w:val="22"/>
        </w:rPr>
        <w:t>14-17 May 2019;</w:t>
      </w:r>
    </w:p>
    <w:p w14:paraId="25DF8311" w14:textId="779926A4" w:rsidR="00117549" w:rsidRPr="00FE6148" w:rsidRDefault="004A1965" w:rsidP="00FE6148">
      <w:pPr>
        <w:numPr>
          <w:ilvl w:val="0"/>
          <w:numId w:val="4"/>
        </w:numPr>
        <w:suppressLineNumbers/>
        <w:suppressAutoHyphens/>
        <w:spacing w:after="120"/>
        <w:ind w:left="0" w:firstLine="720"/>
        <w:rPr>
          <w:kern w:val="22"/>
        </w:rPr>
      </w:pPr>
      <w:r w:rsidRPr="00FE6148">
        <w:rPr>
          <w:kern w:val="22"/>
        </w:rPr>
        <w:t xml:space="preserve">Stocktaking, Coordination and Development of Monitoring Plan Meeting for Achieving Aichi Biodiversity Target 11 by 2020, </w:t>
      </w:r>
      <w:r w:rsidR="007D66CE" w:rsidRPr="00FE6148">
        <w:rPr>
          <w:kern w:val="22"/>
        </w:rPr>
        <w:t xml:space="preserve">Isle of </w:t>
      </w:r>
      <w:r w:rsidR="007D66CE" w:rsidRPr="00FE6148">
        <w:rPr>
          <w:noProof/>
          <w:kern w:val="22"/>
        </w:rPr>
        <w:t>Vilm</w:t>
      </w:r>
      <w:r w:rsidR="007D66CE" w:rsidRPr="00FE6148">
        <w:rPr>
          <w:kern w:val="22"/>
        </w:rPr>
        <w:t xml:space="preserve">, Germany, </w:t>
      </w:r>
      <w:r w:rsidRPr="00FE6148">
        <w:rPr>
          <w:kern w:val="22"/>
        </w:rPr>
        <w:t>2</w:t>
      </w:r>
      <w:r w:rsidR="00F46E2D" w:rsidRPr="00FE6148">
        <w:rPr>
          <w:kern w:val="22"/>
        </w:rPr>
        <w:t>4</w:t>
      </w:r>
      <w:r w:rsidRPr="00FE6148">
        <w:rPr>
          <w:kern w:val="22"/>
        </w:rPr>
        <w:t>-27 April 2019;</w:t>
      </w:r>
    </w:p>
    <w:p w14:paraId="0AB3DCE0" w14:textId="58AD0FA0" w:rsidR="00117549" w:rsidRPr="00FE6148" w:rsidRDefault="004A1965" w:rsidP="00FE6148">
      <w:pPr>
        <w:numPr>
          <w:ilvl w:val="0"/>
          <w:numId w:val="4"/>
        </w:numPr>
        <w:suppressLineNumbers/>
        <w:suppressAutoHyphens/>
        <w:spacing w:after="120"/>
        <w:ind w:left="0" w:firstLine="720"/>
        <w:rPr>
          <w:kern w:val="22"/>
        </w:rPr>
      </w:pPr>
      <w:r w:rsidRPr="00FE6148">
        <w:rPr>
          <w:kern w:val="22"/>
        </w:rPr>
        <w:t xml:space="preserve">Meeting of the Ad Hoc Technical Expert Group on Synthetic Biology, </w:t>
      </w:r>
      <w:r w:rsidR="007D66CE" w:rsidRPr="00FE6148">
        <w:rPr>
          <w:kern w:val="22"/>
        </w:rPr>
        <w:t xml:space="preserve">Montreal, Canada, </w:t>
      </w:r>
      <w:r w:rsidRPr="00FE6148">
        <w:rPr>
          <w:kern w:val="22"/>
        </w:rPr>
        <w:t>4-7 June 2019;</w:t>
      </w:r>
    </w:p>
    <w:p w14:paraId="312D2B9B" w14:textId="4674DC6C" w:rsidR="00117549" w:rsidRPr="00FE6148" w:rsidRDefault="004A1965" w:rsidP="00FE6148">
      <w:pPr>
        <w:numPr>
          <w:ilvl w:val="0"/>
          <w:numId w:val="4"/>
        </w:numPr>
        <w:suppressLineNumbers/>
        <w:suppressAutoHyphens/>
        <w:spacing w:after="120"/>
        <w:ind w:left="0" w:firstLine="720"/>
        <w:rPr>
          <w:kern w:val="22"/>
        </w:rPr>
      </w:pPr>
      <w:r w:rsidRPr="00FE6148">
        <w:rPr>
          <w:kern w:val="22"/>
        </w:rPr>
        <w:lastRenderedPageBreak/>
        <w:t xml:space="preserve">Consultation Workshop of Biodiversity-related Conventions on the Post-2020 Global Biodiversity Framework, </w:t>
      </w:r>
      <w:r w:rsidR="007D66CE" w:rsidRPr="00FE6148">
        <w:rPr>
          <w:kern w:val="22"/>
        </w:rPr>
        <w:t xml:space="preserve">Bern, </w:t>
      </w:r>
      <w:r w:rsidRPr="00FE6148">
        <w:rPr>
          <w:kern w:val="22"/>
        </w:rPr>
        <w:t>10-12 June 2019;</w:t>
      </w:r>
    </w:p>
    <w:p w14:paraId="2CEEB5EC" w14:textId="0C38FD05" w:rsidR="00117549" w:rsidRPr="00FE6148" w:rsidRDefault="004A1965" w:rsidP="00FE6148">
      <w:pPr>
        <w:numPr>
          <w:ilvl w:val="0"/>
          <w:numId w:val="4"/>
        </w:numPr>
        <w:suppressLineNumbers/>
        <w:suppressAutoHyphens/>
        <w:spacing w:after="120"/>
        <w:ind w:left="0" w:firstLine="720"/>
        <w:rPr>
          <w:kern w:val="22"/>
        </w:rPr>
      </w:pPr>
      <w:r w:rsidRPr="00FE6148">
        <w:rPr>
          <w:kern w:val="22"/>
        </w:rPr>
        <w:t xml:space="preserve">Thirteenth meeting of the Liaison Group on the Cartagena Protocol on Biosafety, </w:t>
      </w:r>
      <w:r w:rsidR="007D66CE" w:rsidRPr="00FE6148">
        <w:rPr>
          <w:kern w:val="22"/>
        </w:rPr>
        <w:t xml:space="preserve">Montreal, Canada, </w:t>
      </w:r>
      <w:r w:rsidRPr="00FE6148">
        <w:rPr>
          <w:kern w:val="22"/>
        </w:rPr>
        <w:t>22-25 October 2019;</w:t>
      </w:r>
    </w:p>
    <w:p w14:paraId="5CC5E5B1" w14:textId="7A0E40BE" w:rsidR="00117549" w:rsidRPr="00FE6148" w:rsidRDefault="004A1965" w:rsidP="00FE6148">
      <w:pPr>
        <w:numPr>
          <w:ilvl w:val="0"/>
          <w:numId w:val="4"/>
        </w:numPr>
        <w:suppressLineNumbers/>
        <w:suppressAutoHyphens/>
        <w:spacing w:after="120"/>
        <w:ind w:left="0" w:firstLine="720"/>
        <w:rPr>
          <w:kern w:val="22"/>
        </w:rPr>
      </w:pPr>
      <w:r w:rsidRPr="00FE6148">
        <w:rPr>
          <w:kern w:val="22"/>
        </w:rPr>
        <w:t xml:space="preserve">Meeting of the Informal Advisory Committee on Capacity-building for the Implementation of the Nagoya Protocol, </w:t>
      </w:r>
      <w:r w:rsidR="007D66CE" w:rsidRPr="00FE6148">
        <w:rPr>
          <w:kern w:val="22"/>
        </w:rPr>
        <w:t xml:space="preserve">Montreal, Canada, </w:t>
      </w:r>
      <w:r w:rsidRPr="00FE6148">
        <w:rPr>
          <w:kern w:val="22"/>
        </w:rPr>
        <w:t>29-31 October 2019;</w:t>
      </w:r>
    </w:p>
    <w:p w14:paraId="2F0991AA" w14:textId="39D7CB7A" w:rsidR="00117549" w:rsidRPr="00FE6148" w:rsidRDefault="004A1965" w:rsidP="00FE6148">
      <w:pPr>
        <w:numPr>
          <w:ilvl w:val="0"/>
          <w:numId w:val="4"/>
        </w:numPr>
        <w:suppressLineNumbers/>
        <w:suppressAutoHyphens/>
        <w:spacing w:after="120"/>
        <w:ind w:left="0" w:firstLine="720"/>
        <w:rPr>
          <w:kern w:val="22"/>
        </w:rPr>
      </w:pPr>
      <w:r w:rsidRPr="00FE6148">
        <w:rPr>
          <w:kern w:val="22"/>
        </w:rPr>
        <w:t>Thematic Workshop on Ecosystem Restoration for the Post-20</w:t>
      </w:r>
      <w:r w:rsidR="0061042B" w:rsidRPr="00FE6148">
        <w:rPr>
          <w:kern w:val="22"/>
        </w:rPr>
        <w:t>2</w:t>
      </w:r>
      <w:r w:rsidRPr="00FE6148">
        <w:rPr>
          <w:kern w:val="22"/>
        </w:rPr>
        <w:t xml:space="preserve">0 Global Biodiversity Framework, </w:t>
      </w:r>
      <w:r w:rsidR="00F7695F" w:rsidRPr="00FE6148">
        <w:rPr>
          <w:kern w:val="22"/>
        </w:rPr>
        <w:t xml:space="preserve">Rio de Janeiro, Brazil, </w:t>
      </w:r>
      <w:r w:rsidRPr="00FE6148">
        <w:rPr>
          <w:kern w:val="22"/>
        </w:rPr>
        <w:t>6-8 November 2019;</w:t>
      </w:r>
    </w:p>
    <w:p w14:paraId="1D2602D9" w14:textId="7B56452A" w:rsidR="00117549" w:rsidRPr="00FE6148" w:rsidRDefault="004A1965" w:rsidP="00FE6148">
      <w:pPr>
        <w:numPr>
          <w:ilvl w:val="0"/>
          <w:numId w:val="4"/>
        </w:numPr>
        <w:suppressLineNumbers/>
        <w:suppressAutoHyphens/>
        <w:spacing w:after="120"/>
        <w:ind w:left="0" w:firstLine="720"/>
        <w:rPr>
          <w:kern w:val="22"/>
        </w:rPr>
      </w:pPr>
      <w:r w:rsidRPr="00FE6148">
        <w:rPr>
          <w:kern w:val="22"/>
        </w:rPr>
        <w:t xml:space="preserve">Thematic </w:t>
      </w:r>
      <w:r w:rsidR="00F7695F" w:rsidRPr="00FE6148">
        <w:rPr>
          <w:kern w:val="22"/>
        </w:rPr>
        <w:t>W</w:t>
      </w:r>
      <w:r w:rsidRPr="00FE6148">
        <w:rPr>
          <w:kern w:val="22"/>
        </w:rPr>
        <w:t xml:space="preserve">orkshop on </w:t>
      </w:r>
      <w:r w:rsidR="00F7695F" w:rsidRPr="00FE6148">
        <w:rPr>
          <w:kern w:val="22"/>
        </w:rPr>
        <w:t>M</w:t>
      </w:r>
      <w:r w:rsidRPr="00FE6148">
        <w:rPr>
          <w:kern w:val="22"/>
        </w:rPr>
        <w:t xml:space="preserve">arine and </w:t>
      </w:r>
      <w:r w:rsidR="00F7695F" w:rsidRPr="00FE6148">
        <w:rPr>
          <w:kern w:val="22"/>
        </w:rPr>
        <w:t>C</w:t>
      </w:r>
      <w:r w:rsidRPr="00FE6148">
        <w:rPr>
          <w:kern w:val="22"/>
        </w:rPr>
        <w:t xml:space="preserve">oastal </w:t>
      </w:r>
      <w:r w:rsidR="00F7695F" w:rsidRPr="00FE6148">
        <w:rPr>
          <w:kern w:val="22"/>
        </w:rPr>
        <w:t>B</w:t>
      </w:r>
      <w:r w:rsidRPr="00FE6148">
        <w:rPr>
          <w:kern w:val="22"/>
        </w:rPr>
        <w:t xml:space="preserve">iodiversity for the </w:t>
      </w:r>
      <w:r w:rsidR="00F7695F" w:rsidRPr="00FE6148">
        <w:rPr>
          <w:kern w:val="22"/>
        </w:rPr>
        <w:t>P</w:t>
      </w:r>
      <w:r w:rsidRPr="00FE6148">
        <w:rPr>
          <w:kern w:val="22"/>
        </w:rPr>
        <w:t xml:space="preserve">ost-2020 </w:t>
      </w:r>
      <w:r w:rsidR="00F7695F" w:rsidRPr="00FE6148">
        <w:rPr>
          <w:kern w:val="22"/>
        </w:rPr>
        <w:t>G</w:t>
      </w:r>
      <w:r w:rsidRPr="00FE6148">
        <w:rPr>
          <w:kern w:val="22"/>
        </w:rPr>
        <w:t xml:space="preserve">lobal </w:t>
      </w:r>
      <w:r w:rsidR="00F7695F" w:rsidRPr="00FE6148">
        <w:rPr>
          <w:kern w:val="22"/>
        </w:rPr>
        <w:t>B</w:t>
      </w:r>
      <w:r w:rsidRPr="00FE6148">
        <w:rPr>
          <w:kern w:val="22"/>
        </w:rPr>
        <w:t xml:space="preserve">iodiversity </w:t>
      </w:r>
      <w:r w:rsidR="00F7695F" w:rsidRPr="00FE6148">
        <w:rPr>
          <w:kern w:val="22"/>
        </w:rPr>
        <w:t>F</w:t>
      </w:r>
      <w:r w:rsidRPr="00FE6148">
        <w:rPr>
          <w:kern w:val="22"/>
        </w:rPr>
        <w:t xml:space="preserve">ramework, </w:t>
      </w:r>
      <w:r w:rsidR="00F7695F" w:rsidRPr="00FE6148">
        <w:rPr>
          <w:kern w:val="22"/>
        </w:rPr>
        <w:t xml:space="preserve">Montreal, Canada, </w:t>
      </w:r>
      <w:r w:rsidRPr="00FE6148">
        <w:rPr>
          <w:kern w:val="22"/>
        </w:rPr>
        <w:t>13-15 November 2019;</w:t>
      </w:r>
    </w:p>
    <w:p w14:paraId="5647FB60" w14:textId="503240B0" w:rsidR="00117549" w:rsidRPr="00FE6148" w:rsidRDefault="004A1965" w:rsidP="00FE6148">
      <w:pPr>
        <w:numPr>
          <w:ilvl w:val="0"/>
          <w:numId w:val="4"/>
        </w:numPr>
        <w:suppressLineNumbers/>
        <w:suppressAutoHyphens/>
        <w:spacing w:after="120"/>
        <w:ind w:left="0" w:firstLine="720"/>
        <w:rPr>
          <w:kern w:val="22"/>
        </w:rPr>
      </w:pPr>
      <w:r w:rsidRPr="00FE6148">
        <w:rPr>
          <w:kern w:val="22"/>
        </w:rPr>
        <w:t>Global Thematic Dialogue for Indigenous Peoples and Local Communities on the Post</w:t>
      </w:r>
      <w:r w:rsidR="00F23E23" w:rsidRPr="00FE6148">
        <w:rPr>
          <w:kern w:val="22"/>
        </w:rPr>
        <w:noBreakHyphen/>
      </w:r>
      <w:r w:rsidRPr="00FE6148">
        <w:rPr>
          <w:kern w:val="22"/>
        </w:rPr>
        <w:t xml:space="preserve">2020 Global Biodiversity Framework, </w:t>
      </w:r>
      <w:r w:rsidR="00F23E23" w:rsidRPr="00FE6148">
        <w:rPr>
          <w:kern w:val="22"/>
        </w:rPr>
        <w:t xml:space="preserve">Montreal, Canada, </w:t>
      </w:r>
      <w:r w:rsidRPr="00FE6148">
        <w:rPr>
          <w:kern w:val="22"/>
        </w:rPr>
        <w:t>17-18 November 2019</w:t>
      </w:r>
      <w:r w:rsidR="003721DF" w:rsidRPr="00FE6148">
        <w:rPr>
          <w:kern w:val="22"/>
        </w:rPr>
        <w:t>;</w:t>
      </w:r>
    </w:p>
    <w:p w14:paraId="228362BA" w14:textId="32E882B2" w:rsidR="00117549" w:rsidRPr="00FE6148" w:rsidRDefault="004A1965" w:rsidP="00FE6148">
      <w:pPr>
        <w:numPr>
          <w:ilvl w:val="0"/>
          <w:numId w:val="4"/>
        </w:numPr>
        <w:suppressLineNumbers/>
        <w:suppressAutoHyphens/>
        <w:spacing w:after="120"/>
        <w:ind w:left="0" w:firstLine="720"/>
        <w:rPr>
          <w:kern w:val="22"/>
        </w:rPr>
      </w:pPr>
      <w:r w:rsidRPr="00FE6148">
        <w:rPr>
          <w:kern w:val="22"/>
        </w:rPr>
        <w:t xml:space="preserve">Thematic Workshop on Area-based Conservation Measures for the Post-2020 Global Biodiversity Framework, </w:t>
      </w:r>
      <w:r w:rsidR="00F23E23" w:rsidRPr="00FE6148">
        <w:rPr>
          <w:kern w:val="22"/>
        </w:rPr>
        <w:t xml:space="preserve">Montreal, Canada, </w:t>
      </w:r>
      <w:r w:rsidRPr="00FE6148">
        <w:rPr>
          <w:kern w:val="22"/>
        </w:rPr>
        <w:t>1 to 3 December 2019</w:t>
      </w:r>
      <w:r w:rsidR="003721DF" w:rsidRPr="00FE6148">
        <w:rPr>
          <w:kern w:val="22"/>
        </w:rPr>
        <w:t>;</w:t>
      </w:r>
    </w:p>
    <w:p w14:paraId="351197AE" w14:textId="2F595C9E" w:rsidR="00117549" w:rsidRPr="00FE6148" w:rsidRDefault="0061042B" w:rsidP="00FE6148">
      <w:pPr>
        <w:numPr>
          <w:ilvl w:val="0"/>
          <w:numId w:val="4"/>
        </w:numPr>
        <w:suppressLineNumbers/>
        <w:suppressAutoHyphens/>
        <w:spacing w:after="120"/>
        <w:ind w:left="0" w:firstLine="720"/>
        <w:rPr>
          <w:kern w:val="22"/>
        </w:rPr>
      </w:pPr>
      <w:r w:rsidRPr="00FE6148">
        <w:rPr>
          <w:kern w:val="22"/>
        </w:rPr>
        <w:t xml:space="preserve">Meeting of the </w:t>
      </w:r>
      <w:r w:rsidR="004A1965" w:rsidRPr="00FE6148">
        <w:rPr>
          <w:kern w:val="22"/>
        </w:rPr>
        <w:t xml:space="preserve">Ad Hoc Technical Expert Group on Socio-economic Considerations, </w:t>
      </w:r>
      <w:r w:rsidR="00F23E23" w:rsidRPr="00FE6148">
        <w:rPr>
          <w:kern w:val="22"/>
        </w:rPr>
        <w:t xml:space="preserve">Vienna, </w:t>
      </w:r>
      <w:r w:rsidR="004A1965" w:rsidRPr="00FE6148">
        <w:rPr>
          <w:kern w:val="22"/>
        </w:rPr>
        <w:t>10</w:t>
      </w:r>
      <w:r w:rsidR="00F23E23" w:rsidRPr="00FE6148">
        <w:rPr>
          <w:kern w:val="22"/>
        </w:rPr>
        <w:noBreakHyphen/>
      </w:r>
      <w:r w:rsidR="004A1965" w:rsidRPr="00FE6148">
        <w:rPr>
          <w:kern w:val="22"/>
        </w:rPr>
        <w:t>13 December 2019</w:t>
      </w:r>
      <w:r w:rsidR="003721DF" w:rsidRPr="00FE6148">
        <w:rPr>
          <w:kern w:val="22"/>
        </w:rPr>
        <w:t>.</w:t>
      </w:r>
    </w:p>
    <w:p w14:paraId="7EF4B5D7" w14:textId="2CB32237"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 xml:space="preserve">The </w:t>
      </w:r>
      <w:r w:rsidRPr="00FE6148">
        <w:rPr>
          <w:color w:val="000000"/>
          <w:kern w:val="22"/>
        </w:rPr>
        <w:t>Secretariat</w:t>
      </w:r>
      <w:r w:rsidRPr="00FE6148">
        <w:rPr>
          <w:kern w:val="22"/>
        </w:rPr>
        <w:t xml:space="preserve"> </w:t>
      </w:r>
      <w:r w:rsidR="00CC15D1" w:rsidRPr="00FE6148">
        <w:rPr>
          <w:kern w:val="22"/>
        </w:rPr>
        <w:t xml:space="preserve">of the Convention on Biological Diversity </w:t>
      </w:r>
      <w:r w:rsidRPr="00FE6148">
        <w:rPr>
          <w:kern w:val="22"/>
        </w:rPr>
        <w:t xml:space="preserve">supported the Secretariat of the Intergovernmental Science-Policy Platform on Biodiversity and Ecosystem Services (IPBES) in the organization of the “Global Dialogue with Indigenous Peoples and Local Communities on the IPBES Assessment on Invasive Alien Species” which </w:t>
      </w:r>
      <w:r w:rsidR="005716EF" w:rsidRPr="00FE6148">
        <w:rPr>
          <w:kern w:val="22"/>
        </w:rPr>
        <w:t>was held</w:t>
      </w:r>
      <w:r w:rsidRPr="00FE6148">
        <w:rPr>
          <w:kern w:val="22"/>
        </w:rPr>
        <w:t xml:space="preserve"> </w:t>
      </w:r>
      <w:r w:rsidR="005E097F" w:rsidRPr="00FE6148">
        <w:rPr>
          <w:kern w:val="22"/>
        </w:rPr>
        <w:t>in Montreal, Canada</w:t>
      </w:r>
      <w:r w:rsidR="0052287E" w:rsidRPr="00FE6148">
        <w:rPr>
          <w:kern w:val="22"/>
        </w:rPr>
        <w:t>,</w:t>
      </w:r>
      <w:r w:rsidR="005E097F" w:rsidRPr="00FE6148">
        <w:rPr>
          <w:kern w:val="22"/>
        </w:rPr>
        <w:t xml:space="preserve"> </w:t>
      </w:r>
      <w:r w:rsidR="0052287E" w:rsidRPr="00FE6148">
        <w:rPr>
          <w:kern w:val="22"/>
        </w:rPr>
        <w:t xml:space="preserve">on </w:t>
      </w:r>
      <w:r w:rsidRPr="00FE6148">
        <w:rPr>
          <w:kern w:val="22"/>
        </w:rPr>
        <w:t xml:space="preserve">15 </w:t>
      </w:r>
      <w:r w:rsidR="0052287E" w:rsidRPr="00FE6148">
        <w:rPr>
          <w:kern w:val="22"/>
        </w:rPr>
        <w:t>and</w:t>
      </w:r>
      <w:r w:rsidRPr="00FE6148">
        <w:rPr>
          <w:kern w:val="22"/>
        </w:rPr>
        <w:t xml:space="preserve"> 16 November 2019.</w:t>
      </w:r>
    </w:p>
    <w:p w14:paraId="0CF0EBD3" w14:textId="6F3465AE"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 xml:space="preserve">During </w:t>
      </w:r>
      <w:r w:rsidRPr="00FE6148">
        <w:rPr>
          <w:color w:val="000000"/>
          <w:kern w:val="22"/>
        </w:rPr>
        <w:t>this</w:t>
      </w:r>
      <w:r w:rsidRPr="00FE6148">
        <w:rPr>
          <w:kern w:val="22"/>
        </w:rPr>
        <w:t xml:space="preserve"> period the Secretariat also published the following publications related to traditional knowledge:</w:t>
      </w:r>
    </w:p>
    <w:p w14:paraId="1193B4BA" w14:textId="1B28F279" w:rsidR="00117549" w:rsidRPr="00FE6148" w:rsidRDefault="004A1965" w:rsidP="00FE6148">
      <w:pPr>
        <w:numPr>
          <w:ilvl w:val="0"/>
          <w:numId w:val="6"/>
        </w:numPr>
        <w:suppressLineNumbers/>
        <w:pBdr>
          <w:top w:val="nil"/>
          <w:left w:val="nil"/>
          <w:bottom w:val="nil"/>
          <w:right w:val="nil"/>
          <w:between w:val="nil"/>
        </w:pBdr>
        <w:suppressAutoHyphens/>
        <w:spacing w:after="120"/>
        <w:ind w:left="0" w:firstLine="720"/>
        <w:rPr>
          <w:kern w:val="22"/>
        </w:rPr>
      </w:pPr>
      <w:r w:rsidRPr="00FE6148">
        <w:rPr>
          <w:kern w:val="22"/>
        </w:rPr>
        <w:t xml:space="preserve">The </w:t>
      </w:r>
      <w:proofErr w:type="spellStart"/>
      <w:r w:rsidRPr="00FE6148">
        <w:rPr>
          <w:kern w:val="22"/>
        </w:rPr>
        <w:t>Rutzolijirisaxik</w:t>
      </w:r>
      <w:proofErr w:type="spellEnd"/>
      <w:r w:rsidRPr="00FE6148">
        <w:rPr>
          <w:kern w:val="22"/>
        </w:rPr>
        <w:t xml:space="preserve"> Voluntary Guidelines for the Repatriation of Traditional Knowledge </w:t>
      </w:r>
      <w:r w:rsidR="00CE5372" w:rsidRPr="00FE6148">
        <w:rPr>
          <w:kern w:val="22"/>
        </w:rPr>
        <w:t xml:space="preserve">of Indigenous Peoples and Local Communities </w:t>
      </w:r>
      <w:r w:rsidRPr="00FE6148">
        <w:rPr>
          <w:kern w:val="22"/>
        </w:rPr>
        <w:t>Relevant for the Conservation and Sustainable Use of Biological Diversity (</w:t>
      </w:r>
      <w:hyperlink r:id="rId19" w:history="1">
        <w:r w:rsidR="004F7F58" w:rsidRPr="001A2C2D">
          <w:rPr>
            <w:color w:val="1155CC"/>
            <w:kern w:val="22"/>
            <w:u w:val="single"/>
          </w:rPr>
          <w:t>English</w:t>
        </w:r>
      </w:hyperlink>
      <w:r w:rsidR="004E3152" w:rsidRPr="00FE6148">
        <w:rPr>
          <w:kern w:val="22"/>
        </w:rPr>
        <w:t>,</w:t>
      </w:r>
      <w:r w:rsidRPr="00FE6148">
        <w:rPr>
          <w:kern w:val="22"/>
        </w:rPr>
        <w:t xml:space="preserve"> </w:t>
      </w:r>
      <w:hyperlink r:id="rId20">
        <w:r w:rsidRPr="00FE6148">
          <w:rPr>
            <w:color w:val="1155CC"/>
            <w:kern w:val="22"/>
            <w:u w:val="single"/>
          </w:rPr>
          <w:t>Spanish</w:t>
        </w:r>
      </w:hyperlink>
      <w:r w:rsidRPr="00FE6148">
        <w:rPr>
          <w:kern w:val="22"/>
        </w:rPr>
        <w:t xml:space="preserve"> and </w:t>
      </w:r>
      <w:hyperlink r:id="rId21">
        <w:r w:rsidRPr="00FE6148">
          <w:rPr>
            <w:color w:val="1155CC"/>
            <w:kern w:val="22"/>
            <w:u w:val="single"/>
          </w:rPr>
          <w:t>French</w:t>
        </w:r>
      </w:hyperlink>
      <w:r w:rsidRPr="00FE6148">
        <w:rPr>
          <w:kern w:val="22"/>
        </w:rPr>
        <w:t>);</w:t>
      </w:r>
    </w:p>
    <w:p w14:paraId="6A890A73" w14:textId="2617B5CC" w:rsidR="00117549" w:rsidRPr="00FE6148" w:rsidRDefault="004A1965" w:rsidP="00FE6148">
      <w:pPr>
        <w:numPr>
          <w:ilvl w:val="0"/>
          <w:numId w:val="6"/>
        </w:numPr>
        <w:suppressLineNumbers/>
        <w:pBdr>
          <w:top w:val="nil"/>
          <w:left w:val="nil"/>
          <w:bottom w:val="nil"/>
          <w:right w:val="nil"/>
          <w:between w:val="nil"/>
        </w:pBdr>
        <w:suppressAutoHyphens/>
        <w:spacing w:after="120"/>
        <w:ind w:left="0" w:firstLine="720"/>
        <w:rPr>
          <w:kern w:val="22"/>
        </w:rPr>
      </w:pPr>
      <w:r w:rsidRPr="00FE6148">
        <w:rPr>
          <w:kern w:val="22"/>
        </w:rPr>
        <w:t xml:space="preserve">Glossary of </w:t>
      </w:r>
      <w:r w:rsidR="00956029" w:rsidRPr="00FE6148">
        <w:rPr>
          <w:kern w:val="22"/>
        </w:rPr>
        <w:t>R</w:t>
      </w:r>
      <w:r w:rsidRPr="00FE6148">
        <w:rPr>
          <w:kern w:val="22"/>
        </w:rPr>
        <w:t xml:space="preserve">elevant </w:t>
      </w:r>
      <w:r w:rsidR="00956029" w:rsidRPr="00FE6148">
        <w:rPr>
          <w:kern w:val="22"/>
        </w:rPr>
        <w:t>K</w:t>
      </w:r>
      <w:r w:rsidRPr="00FE6148">
        <w:rPr>
          <w:kern w:val="22"/>
        </w:rPr>
        <w:t xml:space="preserve">ey </w:t>
      </w:r>
      <w:r w:rsidR="00956029" w:rsidRPr="00FE6148">
        <w:rPr>
          <w:kern w:val="22"/>
        </w:rPr>
        <w:t>T</w:t>
      </w:r>
      <w:r w:rsidRPr="00FE6148">
        <w:rPr>
          <w:kern w:val="22"/>
        </w:rPr>
        <w:t xml:space="preserve">erms and </w:t>
      </w:r>
      <w:r w:rsidR="00956029" w:rsidRPr="00FE6148">
        <w:rPr>
          <w:kern w:val="22"/>
        </w:rPr>
        <w:t>C</w:t>
      </w:r>
      <w:r w:rsidRPr="00FE6148">
        <w:rPr>
          <w:kern w:val="22"/>
        </w:rPr>
        <w:t xml:space="preserve">oncepts within the </w:t>
      </w:r>
      <w:r w:rsidR="00956029" w:rsidRPr="00FE6148">
        <w:rPr>
          <w:kern w:val="22"/>
        </w:rPr>
        <w:t>C</w:t>
      </w:r>
      <w:r w:rsidRPr="00FE6148">
        <w:rPr>
          <w:kern w:val="22"/>
        </w:rPr>
        <w:t xml:space="preserve">ontext of Article 8(j) and </w:t>
      </w:r>
      <w:r w:rsidR="00956029" w:rsidRPr="00FE6148">
        <w:rPr>
          <w:kern w:val="22"/>
        </w:rPr>
        <w:t>R</w:t>
      </w:r>
      <w:r w:rsidRPr="00FE6148">
        <w:rPr>
          <w:kern w:val="22"/>
        </w:rPr>
        <w:t xml:space="preserve">elated </w:t>
      </w:r>
      <w:r w:rsidR="00956029" w:rsidRPr="00FE6148">
        <w:rPr>
          <w:kern w:val="22"/>
        </w:rPr>
        <w:t>P</w:t>
      </w:r>
      <w:r w:rsidRPr="00FE6148">
        <w:rPr>
          <w:kern w:val="22"/>
        </w:rPr>
        <w:t>rovisions (</w:t>
      </w:r>
      <w:hyperlink r:id="rId22">
        <w:r w:rsidRPr="00FE6148">
          <w:rPr>
            <w:color w:val="1155CC"/>
            <w:kern w:val="22"/>
            <w:u w:val="single"/>
          </w:rPr>
          <w:t>English</w:t>
        </w:r>
      </w:hyperlink>
      <w:r w:rsidR="004E3152" w:rsidRPr="00FE6148">
        <w:rPr>
          <w:kern w:val="22"/>
        </w:rPr>
        <w:t>,</w:t>
      </w:r>
      <w:r w:rsidRPr="00FE6148">
        <w:rPr>
          <w:kern w:val="22"/>
        </w:rPr>
        <w:t xml:space="preserve"> </w:t>
      </w:r>
      <w:hyperlink r:id="rId23">
        <w:r w:rsidRPr="00FE6148">
          <w:rPr>
            <w:color w:val="1155CC"/>
            <w:kern w:val="22"/>
            <w:u w:val="single"/>
          </w:rPr>
          <w:t>Spanish</w:t>
        </w:r>
      </w:hyperlink>
      <w:r w:rsidRPr="00FE6148">
        <w:rPr>
          <w:kern w:val="22"/>
        </w:rPr>
        <w:t xml:space="preserve"> and </w:t>
      </w:r>
      <w:hyperlink r:id="rId24">
        <w:r w:rsidRPr="00FE6148">
          <w:rPr>
            <w:color w:val="1155CC"/>
            <w:kern w:val="22"/>
            <w:u w:val="single"/>
          </w:rPr>
          <w:t>French</w:t>
        </w:r>
      </w:hyperlink>
      <w:r w:rsidRPr="00FE6148">
        <w:rPr>
          <w:kern w:val="22"/>
        </w:rPr>
        <w:t>)</w:t>
      </w:r>
      <w:r w:rsidR="00681A38" w:rsidRPr="00FE6148">
        <w:rPr>
          <w:kern w:val="22"/>
        </w:rPr>
        <w:t>;</w:t>
      </w:r>
    </w:p>
    <w:p w14:paraId="2662D78A" w14:textId="52D386E0" w:rsidR="00117549" w:rsidRPr="00FE6148" w:rsidRDefault="004A1965" w:rsidP="00FE6148">
      <w:pPr>
        <w:numPr>
          <w:ilvl w:val="0"/>
          <w:numId w:val="6"/>
        </w:numPr>
        <w:suppressLineNumbers/>
        <w:pBdr>
          <w:top w:val="nil"/>
          <w:left w:val="nil"/>
          <w:bottom w:val="nil"/>
          <w:right w:val="nil"/>
          <w:between w:val="nil"/>
        </w:pBdr>
        <w:suppressAutoHyphens/>
        <w:spacing w:after="120"/>
        <w:ind w:left="0" w:firstLine="720"/>
        <w:rPr>
          <w:kern w:val="22"/>
        </w:rPr>
      </w:pPr>
      <w:proofErr w:type="spellStart"/>
      <w:r w:rsidRPr="00FE6148">
        <w:rPr>
          <w:kern w:val="22"/>
        </w:rPr>
        <w:t>Mo’otz</w:t>
      </w:r>
      <w:proofErr w:type="spellEnd"/>
      <w:r w:rsidRPr="00FE6148">
        <w:rPr>
          <w:kern w:val="22"/>
        </w:rPr>
        <w:t xml:space="preserve"> </w:t>
      </w:r>
      <w:proofErr w:type="spellStart"/>
      <w:r w:rsidRPr="00FE6148">
        <w:rPr>
          <w:kern w:val="22"/>
        </w:rPr>
        <w:t>Kuxtal</w:t>
      </w:r>
      <w:proofErr w:type="spellEnd"/>
      <w:r w:rsidRPr="00FE6148">
        <w:rPr>
          <w:kern w:val="22"/>
        </w:rPr>
        <w:t xml:space="preserve"> Voluntary Guidelines </w:t>
      </w:r>
      <w:r w:rsidR="0017036C" w:rsidRPr="00FE6148">
        <w:rPr>
          <w:kern w:val="22"/>
        </w:rPr>
        <w:t xml:space="preserve">- </w:t>
      </w:r>
      <w:r w:rsidRPr="00FE6148">
        <w:rPr>
          <w:kern w:val="22"/>
        </w:rPr>
        <w:t>Voluntary guidelines for the development of mechanisms, legislation or other appropriate initiatives to ensure the “prior and informed consent”, “free, prior and informed consent” or “approval and involvement”, depending on national circumstances, of indigenous peoples and local communities for accessing their knowledge, innovations and practices, for fair and equitable sharing of benefits arising from the use of their knowledge, innovations and practices relevant for the conservation and sustainable use of biological diversity, and for reporting and preventing unlawful appropriation of traditional knowledge (</w:t>
      </w:r>
      <w:hyperlink r:id="rId25">
        <w:r w:rsidRPr="00FE6148">
          <w:rPr>
            <w:color w:val="1155CC"/>
            <w:kern w:val="22"/>
            <w:u w:val="single"/>
          </w:rPr>
          <w:t>English</w:t>
        </w:r>
      </w:hyperlink>
      <w:r w:rsidR="00607CDB" w:rsidRPr="00FE6148">
        <w:rPr>
          <w:kern w:val="22"/>
        </w:rPr>
        <w:t>,</w:t>
      </w:r>
      <w:r w:rsidRPr="00FE6148">
        <w:rPr>
          <w:kern w:val="22"/>
        </w:rPr>
        <w:t xml:space="preserve"> </w:t>
      </w:r>
      <w:hyperlink r:id="rId26">
        <w:r w:rsidRPr="00FE6148">
          <w:rPr>
            <w:color w:val="1155CC"/>
            <w:kern w:val="22"/>
            <w:u w:val="single"/>
          </w:rPr>
          <w:t>Spanish</w:t>
        </w:r>
      </w:hyperlink>
      <w:r w:rsidRPr="00FE6148">
        <w:rPr>
          <w:kern w:val="22"/>
        </w:rPr>
        <w:t xml:space="preserve"> and </w:t>
      </w:r>
      <w:hyperlink r:id="rId27">
        <w:r w:rsidRPr="00FE6148">
          <w:rPr>
            <w:color w:val="1155CC"/>
            <w:kern w:val="22"/>
            <w:u w:val="single"/>
          </w:rPr>
          <w:t>French</w:t>
        </w:r>
      </w:hyperlink>
      <w:r w:rsidRPr="00FE6148">
        <w:rPr>
          <w:kern w:val="22"/>
        </w:rPr>
        <w:t>)</w:t>
      </w:r>
      <w:r w:rsidR="00681A38" w:rsidRPr="00FE6148">
        <w:rPr>
          <w:kern w:val="22"/>
        </w:rPr>
        <w:t>.</w:t>
      </w:r>
    </w:p>
    <w:p w14:paraId="38F382FA" w14:textId="13AFB79F" w:rsidR="00117549" w:rsidRPr="00FE6148" w:rsidRDefault="00F658A3" w:rsidP="00FE6148">
      <w:pPr>
        <w:pStyle w:val="Heading2"/>
        <w:suppressLineNumbers/>
        <w:tabs>
          <w:tab w:val="clear" w:pos="720"/>
        </w:tabs>
        <w:suppressAutoHyphens/>
        <w:ind w:left="1418" w:hanging="567"/>
        <w:jc w:val="left"/>
        <w:rPr>
          <w:b w:val="0"/>
          <w:kern w:val="22"/>
        </w:rPr>
      </w:pPr>
      <w:r w:rsidRPr="00FE6148">
        <w:rPr>
          <w:i w:val="0"/>
          <w:iCs w:val="0"/>
          <w:kern w:val="22"/>
          <w:lang w:val="en-GB"/>
        </w:rPr>
        <w:t>A</w:t>
      </w:r>
      <w:r w:rsidR="004A1965" w:rsidRPr="00FE6148">
        <w:rPr>
          <w:i w:val="0"/>
          <w:iCs w:val="0"/>
          <w:kern w:val="22"/>
          <w:lang w:val="en-GB"/>
        </w:rPr>
        <w:t>.</w:t>
      </w:r>
      <w:r w:rsidR="00F23E23" w:rsidRPr="00FE6148">
        <w:rPr>
          <w:i w:val="0"/>
          <w:iCs w:val="0"/>
          <w:kern w:val="22"/>
          <w:lang w:val="en-GB"/>
        </w:rPr>
        <w:tab/>
      </w:r>
      <w:r w:rsidR="00681A38" w:rsidRPr="00FE6148">
        <w:rPr>
          <w:i w:val="0"/>
          <w:iCs w:val="0"/>
          <w:kern w:val="22"/>
          <w:lang w:val="en-GB"/>
        </w:rPr>
        <w:t>Contributions of i</w:t>
      </w:r>
      <w:r w:rsidR="004A1965" w:rsidRPr="00FE6148">
        <w:rPr>
          <w:i w:val="0"/>
          <w:iCs w:val="0"/>
          <w:kern w:val="22"/>
          <w:lang w:val="en-GB"/>
        </w:rPr>
        <w:t xml:space="preserve">ndigenous </w:t>
      </w:r>
      <w:r w:rsidR="00F23E23" w:rsidRPr="00FE6148">
        <w:rPr>
          <w:i w:val="0"/>
          <w:iCs w:val="0"/>
          <w:kern w:val="22"/>
          <w:lang w:val="en-GB"/>
        </w:rPr>
        <w:t>p</w:t>
      </w:r>
      <w:r w:rsidR="004A1965" w:rsidRPr="00FE6148">
        <w:rPr>
          <w:i w:val="0"/>
          <w:iCs w:val="0"/>
          <w:kern w:val="22"/>
          <w:lang w:val="en-GB"/>
        </w:rPr>
        <w:t xml:space="preserve">eoples and </w:t>
      </w:r>
      <w:r w:rsidR="00F23E23" w:rsidRPr="00FE6148">
        <w:rPr>
          <w:i w:val="0"/>
          <w:iCs w:val="0"/>
          <w:kern w:val="22"/>
          <w:lang w:val="en-GB"/>
        </w:rPr>
        <w:t>l</w:t>
      </w:r>
      <w:r w:rsidR="004A1965" w:rsidRPr="00FE6148">
        <w:rPr>
          <w:i w:val="0"/>
          <w:iCs w:val="0"/>
          <w:kern w:val="22"/>
          <w:lang w:val="en-GB"/>
        </w:rPr>
        <w:t xml:space="preserve">ocal </w:t>
      </w:r>
      <w:r w:rsidR="00F23E23" w:rsidRPr="00FE6148">
        <w:rPr>
          <w:i w:val="0"/>
          <w:iCs w:val="0"/>
          <w:kern w:val="22"/>
          <w:lang w:val="en-GB"/>
        </w:rPr>
        <w:t>c</w:t>
      </w:r>
      <w:r w:rsidR="004A1965" w:rsidRPr="00FE6148">
        <w:rPr>
          <w:i w:val="0"/>
          <w:iCs w:val="0"/>
          <w:kern w:val="22"/>
          <w:lang w:val="en-GB"/>
        </w:rPr>
        <w:t>ommunities to the post-2020 global biodiversity framework</w:t>
      </w:r>
    </w:p>
    <w:p w14:paraId="70F49359" w14:textId="25B853C4"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bookmarkStart w:id="2" w:name="_Hlk44349029"/>
      <w:r w:rsidRPr="00FE6148">
        <w:rPr>
          <w:kern w:val="22"/>
        </w:rPr>
        <w:t xml:space="preserve">In </w:t>
      </w:r>
      <w:r w:rsidRPr="00FE6148">
        <w:rPr>
          <w:color w:val="000000"/>
          <w:kern w:val="22"/>
        </w:rPr>
        <w:t>decision</w:t>
      </w:r>
      <w:r w:rsidRPr="00FE6148">
        <w:rPr>
          <w:kern w:val="22"/>
        </w:rPr>
        <w:t xml:space="preserve"> </w:t>
      </w:r>
      <w:hyperlink r:id="rId28">
        <w:r w:rsidRPr="00FE6148">
          <w:rPr>
            <w:color w:val="1155CC"/>
            <w:kern w:val="22"/>
            <w:u w:val="single"/>
          </w:rPr>
          <w:t>14/17</w:t>
        </w:r>
      </w:hyperlink>
      <w:r w:rsidRPr="00FE6148">
        <w:rPr>
          <w:kern w:val="22"/>
        </w:rPr>
        <w:t xml:space="preserve">, paragraph 13, the Conference of the Parties requested </w:t>
      </w:r>
      <w:r w:rsidR="00F479AB" w:rsidRPr="00FE6148">
        <w:rPr>
          <w:kern w:val="22"/>
        </w:rPr>
        <w:t xml:space="preserve">the </w:t>
      </w:r>
      <w:r w:rsidR="00F479AB" w:rsidRPr="00FE6148">
        <w:rPr>
          <w:kern w:val="22"/>
          <w:szCs w:val="22"/>
        </w:rPr>
        <w:t>Executive Secretary</w:t>
      </w:r>
      <w:r w:rsidRPr="00FE6148">
        <w:rPr>
          <w:kern w:val="22"/>
        </w:rPr>
        <w:t xml:space="preserve"> to facilitate and support the participation of indigenous peoples and local communities in the discussion and processes related to the post-2020 global biodiversity framework. </w:t>
      </w:r>
      <w:r w:rsidR="00700806" w:rsidRPr="00FE6148">
        <w:rPr>
          <w:kern w:val="22"/>
        </w:rPr>
        <w:t xml:space="preserve">The </w:t>
      </w:r>
      <w:r w:rsidR="00700806" w:rsidRPr="00FE6148">
        <w:rPr>
          <w:kern w:val="22"/>
          <w:szCs w:val="22"/>
        </w:rPr>
        <w:t>Global Thematic Dialogue for Indigenous Peoples and Local Communities on the Post-2020 Global Biodiversity Framework (Montreal, Canada, 17-18 November 2019)</w:t>
      </w:r>
      <w:r w:rsidRPr="00FE6148">
        <w:rPr>
          <w:kern w:val="22"/>
        </w:rPr>
        <w:t xml:space="preserve"> was organized pursuant to that request and was made possible by the generous financial support of the Government of Canada. It was organized by the Secretariat of the Convention jointly with the International Indigenous Forum on Biodiversity (IIFB). In preparation for this Dialogue, a webinar was held on 7 November 2019, in English and Spanish, in collaboration with IIFB, </w:t>
      </w:r>
      <w:proofErr w:type="gramStart"/>
      <w:r w:rsidRPr="00FE6148">
        <w:rPr>
          <w:kern w:val="22"/>
        </w:rPr>
        <w:t>in order for</w:t>
      </w:r>
      <w:proofErr w:type="gramEnd"/>
      <w:r w:rsidRPr="00FE6148">
        <w:rPr>
          <w:kern w:val="22"/>
        </w:rPr>
        <w:t xml:space="preserve"> the participants to be well prepared </w:t>
      </w:r>
      <w:r w:rsidR="00B97D02" w:rsidRPr="00FE6148">
        <w:rPr>
          <w:kern w:val="22"/>
        </w:rPr>
        <w:t xml:space="preserve">for </w:t>
      </w:r>
      <w:r w:rsidRPr="00FE6148">
        <w:rPr>
          <w:kern w:val="22"/>
        </w:rPr>
        <w:t>the upcoming discussions.</w:t>
      </w:r>
    </w:p>
    <w:bookmarkEnd w:id="2"/>
    <w:p w14:paraId="71C5B810" w14:textId="1DB313E1"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lastRenderedPageBreak/>
        <w:t>The purpose of the Dialogue was to provide an initial opportunity for indigenous peoples and local communities to discuss their possible contributions to the post-2020 global biodiversity framework, with a focus on the following matters:</w:t>
      </w:r>
    </w:p>
    <w:p w14:paraId="49332C08" w14:textId="7A0E5C2D" w:rsidR="00117549" w:rsidRPr="00FE6148" w:rsidRDefault="004A1965" w:rsidP="00FE6148">
      <w:pPr>
        <w:suppressLineNumbers/>
        <w:pBdr>
          <w:top w:val="nil"/>
          <w:left w:val="nil"/>
          <w:bottom w:val="nil"/>
          <w:right w:val="nil"/>
          <w:between w:val="nil"/>
        </w:pBdr>
        <w:suppressAutoHyphens/>
        <w:spacing w:after="120"/>
        <w:ind w:firstLine="720"/>
        <w:rPr>
          <w:kern w:val="22"/>
        </w:rPr>
      </w:pPr>
      <w:r w:rsidRPr="00FE6148">
        <w:rPr>
          <w:kern w:val="22"/>
        </w:rPr>
        <w:t>(a)</w:t>
      </w:r>
      <w:r w:rsidR="00E05533" w:rsidRPr="00FE6148">
        <w:rPr>
          <w:kern w:val="22"/>
        </w:rPr>
        <w:tab/>
      </w:r>
      <w:r w:rsidRPr="00FE6148">
        <w:rPr>
          <w:kern w:val="22"/>
        </w:rPr>
        <w:t>Priorities for indigenous peoples and local communities across the post-2020 global biodiversity framework;</w:t>
      </w:r>
    </w:p>
    <w:p w14:paraId="4B2D103D" w14:textId="13F32874" w:rsidR="00117549" w:rsidRPr="00FE6148" w:rsidRDefault="004A1965" w:rsidP="00FE6148">
      <w:pPr>
        <w:suppressLineNumbers/>
        <w:pBdr>
          <w:top w:val="nil"/>
          <w:left w:val="nil"/>
          <w:bottom w:val="nil"/>
          <w:right w:val="nil"/>
          <w:between w:val="nil"/>
        </w:pBdr>
        <w:suppressAutoHyphens/>
        <w:spacing w:after="120"/>
        <w:ind w:firstLine="720"/>
        <w:rPr>
          <w:kern w:val="22"/>
        </w:rPr>
      </w:pPr>
      <w:r w:rsidRPr="00FE6148">
        <w:rPr>
          <w:kern w:val="22"/>
        </w:rPr>
        <w:t>(b)</w:t>
      </w:r>
      <w:r w:rsidR="00E05533" w:rsidRPr="00FE6148">
        <w:rPr>
          <w:kern w:val="22"/>
        </w:rPr>
        <w:tab/>
      </w:r>
      <w:r w:rsidRPr="00FE6148">
        <w:rPr>
          <w:kern w:val="22"/>
        </w:rPr>
        <w:t>Elements of work on traditional knowledge and related issues, as well as options for institutional arrangements for indigenous peoples and local communities in the post-2020 global biodiversity framework;</w:t>
      </w:r>
    </w:p>
    <w:p w14:paraId="1AD4CC21" w14:textId="7263B896" w:rsidR="00117549" w:rsidRPr="00FE6148" w:rsidRDefault="004A1965" w:rsidP="00FE6148">
      <w:pPr>
        <w:suppressLineNumbers/>
        <w:pBdr>
          <w:top w:val="nil"/>
          <w:left w:val="nil"/>
          <w:bottom w:val="nil"/>
          <w:right w:val="nil"/>
          <w:between w:val="nil"/>
        </w:pBdr>
        <w:suppressAutoHyphens/>
        <w:spacing w:after="120"/>
        <w:ind w:firstLine="720"/>
        <w:rPr>
          <w:kern w:val="22"/>
        </w:rPr>
      </w:pPr>
      <w:r w:rsidRPr="00FE6148">
        <w:rPr>
          <w:kern w:val="22"/>
        </w:rPr>
        <w:t>(c)</w:t>
      </w:r>
      <w:r w:rsidR="00E05533" w:rsidRPr="00FE6148">
        <w:rPr>
          <w:kern w:val="22"/>
        </w:rPr>
        <w:tab/>
      </w:r>
      <w:r w:rsidRPr="00FE6148">
        <w:rPr>
          <w:kern w:val="22"/>
        </w:rPr>
        <w:t>Elements of work on the links between nature and culture and methodologies for the integration of lessons learned in the post-2020 global biodiversity framework;</w:t>
      </w:r>
    </w:p>
    <w:p w14:paraId="70A7CAE7" w14:textId="76AD5983" w:rsidR="00117549" w:rsidRPr="00FE6148" w:rsidRDefault="004A1965" w:rsidP="00FE6148">
      <w:pPr>
        <w:suppressLineNumbers/>
        <w:pBdr>
          <w:top w:val="nil"/>
          <w:left w:val="nil"/>
          <w:bottom w:val="nil"/>
          <w:right w:val="nil"/>
          <w:between w:val="nil"/>
        </w:pBdr>
        <w:suppressAutoHyphens/>
        <w:spacing w:after="120"/>
        <w:ind w:firstLine="720"/>
        <w:rPr>
          <w:kern w:val="22"/>
        </w:rPr>
      </w:pPr>
      <w:r w:rsidRPr="00FE6148">
        <w:rPr>
          <w:kern w:val="22"/>
        </w:rPr>
        <w:t>(d)</w:t>
      </w:r>
      <w:r w:rsidR="00E05533" w:rsidRPr="00FE6148">
        <w:rPr>
          <w:kern w:val="22"/>
        </w:rPr>
        <w:tab/>
      </w:r>
      <w:r w:rsidRPr="00FE6148">
        <w:rPr>
          <w:kern w:val="22"/>
        </w:rPr>
        <w:t>A safeguards framework and access to financial resources in the post-2020 global biodiversity framework;</w:t>
      </w:r>
    </w:p>
    <w:p w14:paraId="701FF39B" w14:textId="1E091ACA" w:rsidR="00117549" w:rsidRPr="00FE6148" w:rsidRDefault="004A1965" w:rsidP="00FE6148">
      <w:pPr>
        <w:suppressLineNumbers/>
        <w:pBdr>
          <w:top w:val="nil"/>
          <w:left w:val="nil"/>
          <w:bottom w:val="nil"/>
          <w:right w:val="nil"/>
          <w:between w:val="nil"/>
        </w:pBdr>
        <w:suppressAutoHyphens/>
        <w:spacing w:after="120"/>
        <w:ind w:firstLine="720"/>
        <w:rPr>
          <w:kern w:val="22"/>
        </w:rPr>
      </w:pPr>
      <w:r w:rsidRPr="00FE6148">
        <w:rPr>
          <w:kern w:val="22"/>
        </w:rPr>
        <w:t>(e)</w:t>
      </w:r>
      <w:r w:rsidR="00E05533" w:rsidRPr="00FE6148">
        <w:rPr>
          <w:kern w:val="22"/>
        </w:rPr>
        <w:tab/>
      </w:r>
      <w:r w:rsidRPr="00FE6148">
        <w:rPr>
          <w:kern w:val="22"/>
        </w:rPr>
        <w:t xml:space="preserve">Promoting dialogue and building bridges among indigenous peoples and local communities and with the </w:t>
      </w:r>
      <w:r w:rsidR="00A53EC4" w:rsidRPr="00FE6148">
        <w:rPr>
          <w:kern w:val="22"/>
        </w:rPr>
        <w:t>C</w:t>
      </w:r>
      <w:r w:rsidRPr="00FE6148">
        <w:rPr>
          <w:kern w:val="22"/>
        </w:rPr>
        <w:t>o-</w:t>
      </w:r>
      <w:r w:rsidR="00A53EC4" w:rsidRPr="00FE6148">
        <w:rPr>
          <w:kern w:val="22"/>
        </w:rPr>
        <w:t>C</w:t>
      </w:r>
      <w:r w:rsidRPr="00FE6148">
        <w:rPr>
          <w:kern w:val="22"/>
        </w:rPr>
        <w:t xml:space="preserve">hairs of the </w:t>
      </w:r>
      <w:r w:rsidR="00904D53" w:rsidRPr="00FE6148">
        <w:rPr>
          <w:kern w:val="22"/>
        </w:rPr>
        <w:t>O</w:t>
      </w:r>
      <w:r w:rsidRPr="00FE6148">
        <w:rPr>
          <w:kern w:val="22"/>
        </w:rPr>
        <w:t xml:space="preserve">pen-ended </w:t>
      </w:r>
      <w:r w:rsidR="00904D53" w:rsidRPr="00FE6148">
        <w:rPr>
          <w:kern w:val="22"/>
        </w:rPr>
        <w:t>W</w:t>
      </w:r>
      <w:r w:rsidRPr="00FE6148">
        <w:rPr>
          <w:kern w:val="22"/>
        </w:rPr>
        <w:t xml:space="preserve">orking </w:t>
      </w:r>
      <w:r w:rsidR="00904D53" w:rsidRPr="00FE6148">
        <w:rPr>
          <w:kern w:val="22"/>
        </w:rPr>
        <w:t>G</w:t>
      </w:r>
      <w:r w:rsidRPr="00FE6148">
        <w:rPr>
          <w:kern w:val="22"/>
        </w:rPr>
        <w:t xml:space="preserve">roup on the </w:t>
      </w:r>
      <w:r w:rsidR="00904D53" w:rsidRPr="00FE6148">
        <w:rPr>
          <w:kern w:val="22"/>
        </w:rPr>
        <w:t>P</w:t>
      </w:r>
      <w:r w:rsidRPr="00FE6148">
        <w:rPr>
          <w:kern w:val="22"/>
        </w:rPr>
        <w:t xml:space="preserve">ost-2020 </w:t>
      </w:r>
      <w:r w:rsidR="00904D53" w:rsidRPr="00FE6148">
        <w:rPr>
          <w:kern w:val="22"/>
        </w:rPr>
        <w:t>G</w:t>
      </w:r>
      <w:r w:rsidRPr="00FE6148">
        <w:rPr>
          <w:kern w:val="22"/>
        </w:rPr>
        <w:t xml:space="preserve">lobal </w:t>
      </w:r>
      <w:r w:rsidR="00904D53" w:rsidRPr="00FE6148">
        <w:rPr>
          <w:kern w:val="22"/>
        </w:rPr>
        <w:t>B</w:t>
      </w:r>
      <w:r w:rsidRPr="00FE6148">
        <w:rPr>
          <w:kern w:val="22"/>
        </w:rPr>
        <w:t xml:space="preserve">iodiversity </w:t>
      </w:r>
      <w:r w:rsidR="00904D53" w:rsidRPr="00FE6148">
        <w:rPr>
          <w:kern w:val="22"/>
        </w:rPr>
        <w:t>F</w:t>
      </w:r>
      <w:r w:rsidRPr="00FE6148">
        <w:rPr>
          <w:kern w:val="22"/>
        </w:rPr>
        <w:t>ramework, the Bureau</w:t>
      </w:r>
      <w:r w:rsidR="00BB5B85" w:rsidRPr="00FE6148">
        <w:rPr>
          <w:kern w:val="22"/>
        </w:rPr>
        <w:t>,</w:t>
      </w:r>
      <w:r w:rsidRPr="00FE6148">
        <w:rPr>
          <w:kern w:val="22"/>
        </w:rPr>
        <w:t xml:space="preserve"> regional </w:t>
      </w:r>
      <w:r w:rsidR="00BB5B85" w:rsidRPr="00FE6148">
        <w:rPr>
          <w:kern w:val="22"/>
        </w:rPr>
        <w:t xml:space="preserve">representatives, </w:t>
      </w:r>
      <w:r w:rsidRPr="00FE6148">
        <w:rPr>
          <w:kern w:val="22"/>
        </w:rPr>
        <w:t>and representatives</w:t>
      </w:r>
      <w:r w:rsidR="00BB5B85" w:rsidRPr="00FE6148">
        <w:rPr>
          <w:kern w:val="22"/>
        </w:rPr>
        <w:t xml:space="preserve"> of Parties</w:t>
      </w:r>
      <w:r w:rsidRPr="00FE6148">
        <w:rPr>
          <w:kern w:val="22"/>
        </w:rPr>
        <w:t>.</w:t>
      </w:r>
    </w:p>
    <w:p w14:paraId="213ACC47" w14:textId="2640A670" w:rsidR="00117549"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 xml:space="preserve">A total of </w:t>
      </w:r>
      <w:r w:rsidR="00FD51A3" w:rsidRPr="00FE6148">
        <w:rPr>
          <w:kern w:val="22"/>
        </w:rPr>
        <w:t>63</w:t>
      </w:r>
      <w:r w:rsidRPr="00FE6148">
        <w:rPr>
          <w:kern w:val="22"/>
        </w:rPr>
        <w:t xml:space="preserve"> representatives from indigenous peoples and local communities took part in the Dialogue. The full report </w:t>
      </w:r>
      <w:r w:rsidR="004F7F58" w:rsidRPr="00FE6148">
        <w:rPr>
          <w:kern w:val="22"/>
        </w:rPr>
        <w:t xml:space="preserve">is </w:t>
      </w:r>
      <w:r w:rsidRPr="00FE6148">
        <w:rPr>
          <w:kern w:val="22"/>
        </w:rPr>
        <w:t>available</w:t>
      </w:r>
      <w:r w:rsidR="0039370B" w:rsidRPr="00FE6148">
        <w:rPr>
          <w:kern w:val="22"/>
        </w:rPr>
        <w:t xml:space="preserve"> in </w:t>
      </w:r>
      <w:r w:rsidR="00095B38" w:rsidRPr="00FE6148">
        <w:rPr>
          <w:kern w:val="22"/>
        </w:rPr>
        <w:t>CBD/POST2020/WS/2019/12/2</w:t>
      </w:r>
      <w:r w:rsidR="006335CB" w:rsidRPr="00FE6148">
        <w:rPr>
          <w:kern w:val="22"/>
        </w:rPr>
        <w:t xml:space="preserve">. The </w:t>
      </w:r>
      <w:r w:rsidRPr="00FE6148">
        <w:rPr>
          <w:kern w:val="22"/>
        </w:rPr>
        <w:t xml:space="preserve">main messages </w:t>
      </w:r>
      <w:r w:rsidR="006335CB" w:rsidRPr="00FE6148">
        <w:rPr>
          <w:kern w:val="22"/>
        </w:rPr>
        <w:t xml:space="preserve">are </w:t>
      </w:r>
      <w:r w:rsidRPr="00FE6148">
        <w:rPr>
          <w:kern w:val="22"/>
        </w:rPr>
        <w:t xml:space="preserve">contained in the </w:t>
      </w:r>
      <w:r w:rsidR="00CA4339" w:rsidRPr="00FE6148">
        <w:rPr>
          <w:kern w:val="22"/>
        </w:rPr>
        <w:t>a</w:t>
      </w:r>
      <w:r w:rsidRPr="00FE6148">
        <w:rPr>
          <w:kern w:val="22"/>
        </w:rPr>
        <w:t>nnex</w:t>
      </w:r>
      <w:r w:rsidR="005834D9" w:rsidRPr="00FE6148">
        <w:rPr>
          <w:kern w:val="22"/>
        </w:rPr>
        <w:t xml:space="preserve"> below</w:t>
      </w:r>
      <w:r w:rsidRPr="00FE6148">
        <w:rPr>
          <w:kern w:val="22"/>
        </w:rPr>
        <w:t>.</w:t>
      </w:r>
      <w:bookmarkStart w:id="3" w:name="_heading=h.lb1wy3au9tcc" w:colFirst="0" w:colLast="0"/>
      <w:bookmarkStart w:id="4" w:name="_heading=h.ghz2fhgc94w1" w:colFirst="0" w:colLast="0"/>
      <w:bookmarkStart w:id="5" w:name="_heading=h.ykpybabwk4d8" w:colFirst="0" w:colLast="0"/>
      <w:bookmarkEnd w:id="3"/>
      <w:bookmarkEnd w:id="4"/>
      <w:bookmarkEnd w:id="5"/>
    </w:p>
    <w:p w14:paraId="1F4198B8" w14:textId="193DCE5D" w:rsidR="00117549" w:rsidRPr="00FE6148" w:rsidRDefault="00CE2E18" w:rsidP="00FE6148">
      <w:pPr>
        <w:pStyle w:val="Heading2"/>
        <w:suppressLineNumbers/>
        <w:tabs>
          <w:tab w:val="clear" w:pos="720"/>
          <w:tab w:val="left" w:pos="426"/>
        </w:tabs>
        <w:suppressAutoHyphens/>
        <w:rPr>
          <w:b w:val="0"/>
          <w:i w:val="0"/>
          <w:iCs w:val="0"/>
          <w:kern w:val="22"/>
        </w:rPr>
      </w:pPr>
      <w:bookmarkStart w:id="6" w:name="_heading=h.u1ztqbbml341" w:colFirst="0" w:colLast="0"/>
      <w:bookmarkEnd w:id="6"/>
      <w:r w:rsidRPr="00FE6148">
        <w:rPr>
          <w:i w:val="0"/>
          <w:iCs w:val="0"/>
          <w:kern w:val="22"/>
          <w:lang w:val="en-GB"/>
        </w:rPr>
        <w:t>B</w:t>
      </w:r>
      <w:r w:rsidR="004A1965" w:rsidRPr="00FE6148">
        <w:rPr>
          <w:i w:val="0"/>
          <w:iCs w:val="0"/>
          <w:kern w:val="22"/>
          <w:lang w:val="en-GB"/>
        </w:rPr>
        <w:t>.</w:t>
      </w:r>
      <w:r w:rsidR="004A1965" w:rsidRPr="00FE6148">
        <w:rPr>
          <w:i w:val="0"/>
          <w:iCs w:val="0"/>
          <w:kern w:val="22"/>
          <w:lang w:val="en-GB"/>
        </w:rPr>
        <w:tab/>
        <w:t>Efforts leading up to the fifteen</w:t>
      </w:r>
      <w:r w:rsidR="006A5DB2" w:rsidRPr="00FE6148">
        <w:rPr>
          <w:i w:val="0"/>
          <w:iCs w:val="0"/>
          <w:kern w:val="22"/>
          <w:lang w:val="en-GB"/>
        </w:rPr>
        <w:t>th</w:t>
      </w:r>
      <w:r w:rsidR="004A1965" w:rsidRPr="00FE6148">
        <w:rPr>
          <w:i w:val="0"/>
          <w:iCs w:val="0"/>
          <w:kern w:val="22"/>
          <w:lang w:val="en-GB"/>
        </w:rPr>
        <w:t xml:space="preserve"> meeting of the Conference of the Parties</w:t>
      </w:r>
    </w:p>
    <w:p w14:paraId="08551C17" w14:textId="51B4D9CF" w:rsidR="00332AC0" w:rsidRPr="00FE6148" w:rsidRDefault="004A1965" w:rsidP="00FE6148">
      <w:pPr>
        <w:numPr>
          <w:ilvl w:val="0"/>
          <w:numId w:val="10"/>
        </w:numPr>
        <w:suppressLineNumbers/>
        <w:pBdr>
          <w:top w:val="nil"/>
          <w:left w:val="nil"/>
          <w:bottom w:val="nil"/>
          <w:right w:val="nil"/>
          <w:between w:val="nil"/>
        </w:pBdr>
        <w:suppressAutoHyphens/>
        <w:spacing w:before="120" w:after="120"/>
        <w:rPr>
          <w:bCs/>
          <w:color w:val="000000"/>
          <w:kern w:val="22"/>
        </w:rPr>
      </w:pPr>
      <w:r w:rsidRPr="00FE6148">
        <w:rPr>
          <w:color w:val="000000"/>
          <w:kern w:val="22"/>
        </w:rPr>
        <w:t xml:space="preserve">In order to ensure effective participation of </w:t>
      </w:r>
      <w:r w:rsidRPr="00FE6148">
        <w:rPr>
          <w:kern w:val="22"/>
        </w:rPr>
        <w:t xml:space="preserve">indigenous peoples and local communities </w:t>
      </w:r>
      <w:r w:rsidRPr="00FE6148">
        <w:rPr>
          <w:color w:val="000000"/>
          <w:kern w:val="22"/>
        </w:rPr>
        <w:t xml:space="preserve">in meetings of the Convention, the Secretariat is working with other agencies, partners, </w:t>
      </w:r>
      <w:r w:rsidRPr="00FE6148">
        <w:rPr>
          <w:kern w:val="22"/>
        </w:rPr>
        <w:t>indigenous peoples and local community organizations</w:t>
      </w:r>
      <w:r w:rsidRPr="00FE6148">
        <w:rPr>
          <w:color w:val="000000"/>
          <w:kern w:val="22"/>
        </w:rPr>
        <w:t xml:space="preserve"> and China, the host country of th</w:t>
      </w:r>
      <w:r w:rsidRPr="00FE6148">
        <w:rPr>
          <w:kern w:val="22"/>
        </w:rPr>
        <w:t xml:space="preserve">e </w:t>
      </w:r>
      <w:r w:rsidR="007B5C83" w:rsidRPr="00FE6148">
        <w:rPr>
          <w:kern w:val="22"/>
        </w:rPr>
        <w:t>f</w:t>
      </w:r>
      <w:r w:rsidRPr="00FE6148">
        <w:rPr>
          <w:kern w:val="22"/>
        </w:rPr>
        <w:t>ifteenth meeting of the Conference of the Parties to the Convention on Biological Diversity,</w:t>
      </w:r>
      <w:r w:rsidR="003721DF" w:rsidRPr="00FE6148">
        <w:rPr>
          <w:kern w:val="22"/>
        </w:rPr>
        <w:t xml:space="preserve"> </w:t>
      </w:r>
      <w:r w:rsidRPr="00FE6148">
        <w:rPr>
          <w:color w:val="000000"/>
          <w:kern w:val="22"/>
        </w:rPr>
        <w:t xml:space="preserve">to organize a </w:t>
      </w:r>
      <w:r w:rsidR="001A5670" w:rsidRPr="00FE6148">
        <w:rPr>
          <w:color w:val="000000"/>
          <w:kern w:val="22"/>
        </w:rPr>
        <w:t>s</w:t>
      </w:r>
      <w:r w:rsidRPr="00FE6148">
        <w:rPr>
          <w:color w:val="000000"/>
          <w:kern w:val="22"/>
        </w:rPr>
        <w:t xml:space="preserve">ummit on </w:t>
      </w:r>
      <w:r w:rsidR="001A5670" w:rsidRPr="00FE6148">
        <w:rPr>
          <w:color w:val="000000"/>
          <w:kern w:val="22"/>
        </w:rPr>
        <w:t>n</w:t>
      </w:r>
      <w:r w:rsidRPr="00FE6148">
        <w:rPr>
          <w:color w:val="000000"/>
          <w:kern w:val="22"/>
        </w:rPr>
        <w:t xml:space="preserve">ature and </w:t>
      </w:r>
      <w:r w:rsidR="001A5670" w:rsidRPr="00FE6148">
        <w:rPr>
          <w:color w:val="000000"/>
          <w:kern w:val="22"/>
        </w:rPr>
        <w:t>c</w:t>
      </w:r>
      <w:r w:rsidRPr="00FE6148">
        <w:rPr>
          <w:color w:val="000000"/>
          <w:kern w:val="22"/>
        </w:rPr>
        <w:t xml:space="preserve">ulture on the margins of </w:t>
      </w:r>
      <w:r w:rsidR="007B5C83" w:rsidRPr="00FE6148">
        <w:rPr>
          <w:color w:val="000000"/>
          <w:kern w:val="22"/>
        </w:rPr>
        <w:t>the fifteenth meeting of the Conference of the Parties</w:t>
      </w:r>
      <w:r w:rsidRPr="00FE6148">
        <w:rPr>
          <w:color w:val="000000"/>
          <w:kern w:val="22"/>
        </w:rPr>
        <w:t xml:space="preserve">. The summit will provide an opportunity for reflection, dialogue and developing ways of cooperation, </w:t>
      </w:r>
      <w:proofErr w:type="gramStart"/>
      <w:r w:rsidRPr="00FE6148">
        <w:rPr>
          <w:color w:val="000000"/>
          <w:kern w:val="22"/>
        </w:rPr>
        <w:t>taking into account</w:t>
      </w:r>
      <w:proofErr w:type="gramEnd"/>
      <w:r w:rsidRPr="00FE6148">
        <w:rPr>
          <w:color w:val="000000"/>
          <w:kern w:val="22"/>
        </w:rPr>
        <w:t xml:space="preserve"> the post-2020 global biodiversity framework.</w:t>
      </w:r>
    </w:p>
    <w:p w14:paraId="189E8455" w14:textId="1239F38E" w:rsidR="00332AC0" w:rsidRPr="00FE6148" w:rsidRDefault="00CE2E18" w:rsidP="00FE6148">
      <w:pPr>
        <w:pStyle w:val="Heading2"/>
        <w:suppressLineNumbers/>
        <w:tabs>
          <w:tab w:val="clear" w:pos="720"/>
          <w:tab w:val="left" w:pos="426"/>
        </w:tabs>
        <w:suppressAutoHyphens/>
        <w:rPr>
          <w:b w:val="0"/>
          <w:color w:val="000000"/>
          <w:kern w:val="22"/>
          <w:lang w:val="en-GB"/>
        </w:rPr>
      </w:pPr>
      <w:bookmarkStart w:id="7" w:name="_Hlk44345628"/>
      <w:r w:rsidRPr="00FE6148">
        <w:rPr>
          <w:i w:val="0"/>
          <w:iCs w:val="0"/>
          <w:color w:val="000000"/>
          <w:kern w:val="22"/>
          <w:lang w:val="en-GB"/>
        </w:rPr>
        <w:t>C</w:t>
      </w:r>
      <w:r w:rsidR="00332AC0" w:rsidRPr="00FE6148">
        <w:rPr>
          <w:i w:val="0"/>
          <w:iCs w:val="0"/>
          <w:color w:val="000000"/>
          <w:kern w:val="22"/>
          <w:lang w:val="en-GB"/>
        </w:rPr>
        <w:t>.</w:t>
      </w:r>
      <w:r w:rsidR="00332AC0" w:rsidRPr="00FE6148">
        <w:rPr>
          <w:i w:val="0"/>
          <w:iCs w:val="0"/>
          <w:color w:val="000000"/>
          <w:kern w:val="22"/>
          <w:lang w:val="en-GB"/>
        </w:rPr>
        <w:tab/>
      </w:r>
      <w:r w:rsidR="00332AC0" w:rsidRPr="00FE6148">
        <w:rPr>
          <w:i w:val="0"/>
          <w:iCs w:val="0"/>
          <w:kern w:val="22"/>
          <w:lang w:val="en-GB"/>
        </w:rPr>
        <w:t>Progress on indicators adopted for traditional knowledge</w:t>
      </w:r>
    </w:p>
    <w:p w14:paraId="14476C3A" w14:textId="5CDD8736" w:rsidR="00332AC0" w:rsidRPr="00FE6148" w:rsidRDefault="00852D47" w:rsidP="00FE6148">
      <w:pPr>
        <w:keepNext/>
        <w:suppressLineNumbers/>
        <w:tabs>
          <w:tab w:val="left" w:pos="426"/>
        </w:tabs>
        <w:suppressAutoHyphens/>
        <w:spacing w:before="120" w:after="120"/>
        <w:jc w:val="center"/>
        <w:outlineLvl w:val="2"/>
        <w:rPr>
          <w:bCs/>
          <w:i/>
          <w:kern w:val="22"/>
          <w:szCs w:val="22"/>
        </w:rPr>
      </w:pPr>
      <w:r w:rsidRPr="00FE6148">
        <w:rPr>
          <w:bCs/>
          <w:i/>
          <w:kern w:val="22"/>
          <w:szCs w:val="22"/>
        </w:rPr>
        <w:t>1.</w:t>
      </w:r>
      <w:r w:rsidRPr="00FE6148">
        <w:rPr>
          <w:bCs/>
          <w:i/>
          <w:kern w:val="22"/>
          <w:szCs w:val="22"/>
        </w:rPr>
        <w:tab/>
      </w:r>
      <w:r w:rsidR="00332AC0" w:rsidRPr="00FE6148">
        <w:rPr>
          <w:bCs/>
          <w:i/>
          <w:kern w:val="22"/>
          <w:szCs w:val="22"/>
        </w:rPr>
        <w:t>Introduction</w:t>
      </w:r>
    </w:p>
    <w:p w14:paraId="2CE40A41" w14:textId="57CC30D8" w:rsidR="003273CF" w:rsidRPr="00FE6148" w:rsidRDefault="00332AC0" w:rsidP="00FE6148">
      <w:pPr>
        <w:numPr>
          <w:ilvl w:val="0"/>
          <w:numId w:val="10"/>
        </w:numPr>
        <w:suppressLineNumbers/>
        <w:pBdr>
          <w:top w:val="nil"/>
          <w:left w:val="nil"/>
          <w:bottom w:val="nil"/>
          <w:right w:val="nil"/>
          <w:between w:val="nil"/>
        </w:pBdr>
        <w:suppressAutoHyphens/>
        <w:spacing w:before="120" w:after="120"/>
        <w:rPr>
          <w:bCs/>
          <w:kern w:val="22"/>
          <w:szCs w:val="22"/>
        </w:rPr>
      </w:pPr>
      <w:r w:rsidRPr="00FE6148">
        <w:rPr>
          <w:kern w:val="22"/>
          <w:szCs w:val="22"/>
        </w:rPr>
        <w:t>In</w:t>
      </w:r>
      <w:r w:rsidR="00C25060" w:rsidRPr="00FE6148">
        <w:rPr>
          <w:kern w:val="22"/>
          <w:szCs w:val="22"/>
        </w:rPr>
        <w:t xml:space="preserve"> decision</w:t>
      </w:r>
      <w:r w:rsidRPr="00FE6148">
        <w:rPr>
          <w:kern w:val="22"/>
          <w:szCs w:val="22"/>
        </w:rPr>
        <w:t xml:space="preserve"> </w:t>
      </w:r>
      <w:hyperlink r:id="rId29" w:history="1">
        <w:r w:rsidRPr="00FE6148">
          <w:rPr>
            <w:rStyle w:val="Hyperlink"/>
            <w:kern w:val="22"/>
            <w:sz w:val="22"/>
            <w:szCs w:val="22"/>
          </w:rPr>
          <w:t>XIII/28</w:t>
        </w:r>
      </w:hyperlink>
      <w:r w:rsidRPr="00FE6148">
        <w:rPr>
          <w:kern w:val="22"/>
          <w:szCs w:val="22"/>
        </w:rPr>
        <w:t xml:space="preserve">, the Conference of the Parties </w:t>
      </w:r>
      <w:r w:rsidR="001854BC" w:rsidRPr="00FE6148">
        <w:rPr>
          <w:kern w:val="22"/>
          <w:szCs w:val="22"/>
        </w:rPr>
        <w:t>welcomed the updated list of indicator</w:t>
      </w:r>
      <w:r w:rsidR="002A2725" w:rsidRPr="00FE6148">
        <w:rPr>
          <w:kern w:val="22"/>
          <w:szCs w:val="22"/>
        </w:rPr>
        <w:t>s for the Strategic Plan for Biodiversity 2011-2020, including</w:t>
      </w:r>
      <w:r w:rsidRPr="00FE6148">
        <w:rPr>
          <w:kern w:val="22"/>
          <w:szCs w:val="22"/>
        </w:rPr>
        <w:t xml:space="preserve"> the following indicators for status and trends in the knowledge, innovations and practices of indigenous peoples and local communities relevant for the conservation and sustainable use of biological diversity:</w:t>
      </w:r>
    </w:p>
    <w:p w14:paraId="5D761F5B" w14:textId="2D71F5D8" w:rsidR="00150173" w:rsidRPr="00FE6148" w:rsidRDefault="00332AC0" w:rsidP="00FE6148">
      <w:pPr>
        <w:suppressLineNumbers/>
        <w:pBdr>
          <w:top w:val="nil"/>
          <w:left w:val="nil"/>
          <w:bottom w:val="nil"/>
          <w:right w:val="nil"/>
          <w:between w:val="nil"/>
        </w:pBdr>
        <w:suppressAutoHyphens/>
        <w:spacing w:after="120"/>
        <w:ind w:firstLine="720"/>
        <w:rPr>
          <w:kern w:val="22"/>
          <w:szCs w:val="22"/>
        </w:rPr>
      </w:pPr>
      <w:r w:rsidRPr="00FE6148">
        <w:rPr>
          <w:kern w:val="22"/>
          <w:szCs w:val="22"/>
        </w:rPr>
        <w:t>(a)</w:t>
      </w:r>
      <w:r w:rsidR="00150173" w:rsidRPr="00FE6148">
        <w:rPr>
          <w:kern w:val="22"/>
          <w:szCs w:val="22"/>
        </w:rPr>
        <w:tab/>
      </w:r>
      <w:r w:rsidR="00BB3B06" w:rsidRPr="00FE6148">
        <w:rPr>
          <w:kern w:val="22"/>
          <w:szCs w:val="22"/>
        </w:rPr>
        <w:t>Trends in linguistic diversity and numbers of speakers of indigenous languages</w:t>
      </w:r>
      <w:r w:rsidR="003348D0" w:rsidRPr="00FE6148">
        <w:rPr>
          <w:kern w:val="22"/>
          <w:szCs w:val="22"/>
        </w:rPr>
        <w:t xml:space="preserve"> (decisions</w:t>
      </w:r>
      <w:r w:rsidR="00D6538F" w:rsidRPr="00FE6148">
        <w:rPr>
          <w:kern w:val="22"/>
          <w:szCs w:val="22"/>
        </w:rPr>
        <w:t xml:space="preserve"> VII/30 and VIII/15)</w:t>
      </w:r>
      <w:r w:rsidRPr="00FE6148">
        <w:rPr>
          <w:kern w:val="22"/>
          <w:szCs w:val="22"/>
        </w:rPr>
        <w:t>;</w:t>
      </w:r>
    </w:p>
    <w:p w14:paraId="1C4A5009" w14:textId="2DADA267" w:rsidR="00150173" w:rsidRPr="00FE6148" w:rsidRDefault="00332AC0" w:rsidP="00FE6148">
      <w:pPr>
        <w:suppressLineNumbers/>
        <w:pBdr>
          <w:top w:val="nil"/>
          <w:left w:val="nil"/>
          <w:bottom w:val="nil"/>
          <w:right w:val="nil"/>
          <w:between w:val="nil"/>
        </w:pBdr>
        <w:suppressAutoHyphens/>
        <w:spacing w:after="120"/>
        <w:ind w:firstLine="720"/>
        <w:rPr>
          <w:kern w:val="22"/>
          <w:szCs w:val="22"/>
        </w:rPr>
      </w:pPr>
      <w:r w:rsidRPr="00FE6148">
        <w:rPr>
          <w:kern w:val="22"/>
          <w:szCs w:val="22"/>
        </w:rPr>
        <w:t>(b)</w:t>
      </w:r>
      <w:r w:rsidR="00150173" w:rsidRPr="00FE6148">
        <w:rPr>
          <w:kern w:val="22"/>
          <w:szCs w:val="22"/>
        </w:rPr>
        <w:tab/>
      </w:r>
      <w:r w:rsidR="00905C42" w:rsidRPr="00FE6148">
        <w:rPr>
          <w:kern w:val="22"/>
          <w:szCs w:val="22"/>
        </w:rPr>
        <w:t>Trends in land-use change and land tenure in the traditional territories of indigenous and local communities</w:t>
      </w:r>
      <w:r w:rsidR="00D6538F" w:rsidRPr="00FE6148">
        <w:rPr>
          <w:kern w:val="22"/>
          <w:szCs w:val="22"/>
        </w:rPr>
        <w:t xml:space="preserve"> (dec</w:t>
      </w:r>
      <w:r w:rsidR="00955F9E" w:rsidRPr="00FE6148">
        <w:rPr>
          <w:kern w:val="22"/>
          <w:szCs w:val="22"/>
        </w:rPr>
        <w:t>i</w:t>
      </w:r>
      <w:r w:rsidR="00D6538F" w:rsidRPr="00FE6148">
        <w:rPr>
          <w:kern w:val="22"/>
          <w:szCs w:val="22"/>
        </w:rPr>
        <w:t>sion</w:t>
      </w:r>
      <w:r w:rsidR="00911E3C" w:rsidRPr="00FE6148">
        <w:rPr>
          <w:kern w:val="22"/>
          <w:szCs w:val="22"/>
        </w:rPr>
        <w:t xml:space="preserve"> X/43)</w:t>
      </w:r>
      <w:r w:rsidRPr="00FE6148">
        <w:rPr>
          <w:kern w:val="22"/>
          <w:szCs w:val="22"/>
        </w:rPr>
        <w:t>;</w:t>
      </w:r>
    </w:p>
    <w:p w14:paraId="4BBBF74C" w14:textId="4867ABE3" w:rsidR="00150173" w:rsidRPr="00FE6148" w:rsidRDefault="00332AC0" w:rsidP="00FE6148">
      <w:pPr>
        <w:suppressLineNumbers/>
        <w:pBdr>
          <w:top w:val="nil"/>
          <w:left w:val="nil"/>
          <w:bottom w:val="nil"/>
          <w:right w:val="nil"/>
          <w:between w:val="nil"/>
        </w:pBdr>
        <w:suppressAutoHyphens/>
        <w:spacing w:after="120"/>
        <w:ind w:firstLine="720"/>
        <w:rPr>
          <w:kern w:val="22"/>
          <w:szCs w:val="22"/>
        </w:rPr>
      </w:pPr>
      <w:r w:rsidRPr="00FE6148">
        <w:rPr>
          <w:kern w:val="22"/>
          <w:szCs w:val="22"/>
        </w:rPr>
        <w:t>(c)</w:t>
      </w:r>
      <w:r w:rsidR="00150173" w:rsidRPr="00FE6148">
        <w:rPr>
          <w:kern w:val="22"/>
          <w:szCs w:val="22"/>
        </w:rPr>
        <w:tab/>
      </w:r>
      <w:r w:rsidR="00111DA9" w:rsidRPr="00FE6148">
        <w:rPr>
          <w:kern w:val="22"/>
          <w:szCs w:val="22"/>
        </w:rPr>
        <w:t>Trends in the practice of traditional occupations</w:t>
      </w:r>
      <w:r w:rsidR="00911E3C" w:rsidRPr="00FE6148">
        <w:rPr>
          <w:kern w:val="22"/>
          <w:szCs w:val="22"/>
        </w:rPr>
        <w:t xml:space="preserve"> (decision X/43)</w:t>
      </w:r>
      <w:r w:rsidRPr="00FE6148">
        <w:rPr>
          <w:kern w:val="22"/>
          <w:szCs w:val="22"/>
        </w:rPr>
        <w:t>;</w:t>
      </w:r>
    </w:p>
    <w:p w14:paraId="065F6498" w14:textId="79DCEBF2" w:rsidR="00332AC0" w:rsidRPr="00FE6148" w:rsidRDefault="00332AC0" w:rsidP="00FE6148">
      <w:pPr>
        <w:suppressLineNumbers/>
        <w:pBdr>
          <w:top w:val="nil"/>
          <w:left w:val="nil"/>
          <w:bottom w:val="nil"/>
          <w:right w:val="nil"/>
          <w:between w:val="nil"/>
        </w:pBdr>
        <w:suppressAutoHyphens/>
        <w:spacing w:after="120"/>
        <w:ind w:firstLine="720"/>
        <w:rPr>
          <w:bCs/>
          <w:kern w:val="22"/>
          <w:szCs w:val="22"/>
        </w:rPr>
      </w:pPr>
      <w:r w:rsidRPr="00FE6148">
        <w:rPr>
          <w:kern w:val="22"/>
          <w:szCs w:val="22"/>
        </w:rPr>
        <w:t>(d)</w:t>
      </w:r>
      <w:r w:rsidR="00150173" w:rsidRPr="00FE6148">
        <w:rPr>
          <w:kern w:val="22"/>
          <w:szCs w:val="22"/>
        </w:rPr>
        <w:tab/>
      </w:r>
      <w:r w:rsidR="004720E2" w:rsidRPr="00FE6148">
        <w:rPr>
          <w:kern w:val="22"/>
          <w:szCs w:val="22"/>
        </w:rPr>
        <w:t xml:space="preserve">Trends in which traditional knowledge and practices are respected through </w:t>
      </w:r>
      <w:r w:rsidR="002153E5" w:rsidRPr="00FE6148">
        <w:rPr>
          <w:kern w:val="22"/>
          <w:szCs w:val="22"/>
        </w:rPr>
        <w:t xml:space="preserve">their </w:t>
      </w:r>
      <w:r w:rsidR="004720E2" w:rsidRPr="00FE6148">
        <w:rPr>
          <w:kern w:val="22"/>
          <w:szCs w:val="22"/>
        </w:rPr>
        <w:t xml:space="preserve">full integration, </w:t>
      </w:r>
      <w:r w:rsidR="002153E5" w:rsidRPr="00FE6148">
        <w:rPr>
          <w:kern w:val="22"/>
          <w:szCs w:val="22"/>
        </w:rPr>
        <w:t xml:space="preserve">safeguards and the full and effective participation of indigenous and local communities in the </w:t>
      </w:r>
      <w:r w:rsidR="004720E2" w:rsidRPr="00FE6148">
        <w:rPr>
          <w:kern w:val="22"/>
          <w:szCs w:val="22"/>
        </w:rPr>
        <w:t>national implementation of the Strategic Plan</w:t>
      </w:r>
      <w:r w:rsidRPr="00FE6148">
        <w:rPr>
          <w:kern w:val="22"/>
          <w:szCs w:val="22"/>
        </w:rPr>
        <w:t>.</w:t>
      </w:r>
    </w:p>
    <w:bookmarkEnd w:id="7"/>
    <w:p w14:paraId="3B6D7CBC" w14:textId="08FC3E52"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bCs/>
          <w:kern w:val="22"/>
          <w:szCs w:val="22"/>
        </w:rPr>
      </w:pPr>
      <w:r w:rsidRPr="00FE6148">
        <w:rPr>
          <w:bCs/>
          <w:kern w:val="22"/>
          <w:szCs w:val="22"/>
        </w:rPr>
        <w:t xml:space="preserve">The Secretariat </w:t>
      </w:r>
      <w:r w:rsidRPr="00FE6148">
        <w:rPr>
          <w:color w:val="000000"/>
          <w:kern w:val="22"/>
        </w:rPr>
        <w:t>continues</w:t>
      </w:r>
      <w:r w:rsidRPr="00FE6148">
        <w:rPr>
          <w:bCs/>
          <w:kern w:val="22"/>
          <w:szCs w:val="22"/>
        </w:rPr>
        <w:t xml:space="preserve"> to work on the operationali</w:t>
      </w:r>
      <w:r w:rsidR="0037645A" w:rsidRPr="00FE6148">
        <w:rPr>
          <w:bCs/>
          <w:kern w:val="22"/>
          <w:szCs w:val="22"/>
        </w:rPr>
        <w:t>z</w:t>
      </w:r>
      <w:r w:rsidRPr="00FE6148">
        <w:rPr>
          <w:bCs/>
          <w:kern w:val="22"/>
          <w:szCs w:val="22"/>
        </w:rPr>
        <w:t xml:space="preserve">ation of the adopted indicators for traditional knowledge, and provides regular updates through </w:t>
      </w:r>
      <w:r w:rsidR="004D1279" w:rsidRPr="00FE6148">
        <w:rPr>
          <w:bCs/>
          <w:kern w:val="22"/>
          <w:szCs w:val="22"/>
        </w:rPr>
        <w:t xml:space="preserve">the </w:t>
      </w:r>
      <w:r w:rsidR="000C283E" w:rsidRPr="00FE6148">
        <w:rPr>
          <w:bCs/>
          <w:kern w:val="22"/>
          <w:szCs w:val="22"/>
        </w:rPr>
        <w:t xml:space="preserve">reports on </w:t>
      </w:r>
      <w:r w:rsidR="000C283E" w:rsidRPr="00FE6148">
        <w:rPr>
          <w:kern w:val="22"/>
          <w:szCs w:val="22"/>
        </w:rPr>
        <w:t xml:space="preserve">progress towards Aichi Biodiversity Target 18 </w:t>
      </w:r>
      <w:r w:rsidR="000C283E" w:rsidRPr="00FE6148">
        <w:rPr>
          <w:bCs/>
          <w:kern w:val="22"/>
          <w:szCs w:val="22"/>
        </w:rPr>
        <w:t xml:space="preserve">on traditional knowledge and customary sustainable use prepared for the Ad Hoc Open-ended Working Group on Article 8(j) and related provisions and the Subsidiary Body on Implementation. </w:t>
      </w:r>
      <w:r w:rsidRPr="00FE6148">
        <w:rPr>
          <w:bCs/>
          <w:kern w:val="22"/>
          <w:szCs w:val="22"/>
        </w:rPr>
        <w:t xml:space="preserve">Related </w:t>
      </w:r>
      <w:r w:rsidRPr="00FE6148">
        <w:rPr>
          <w:bCs/>
          <w:kern w:val="22"/>
          <w:szCs w:val="22"/>
        </w:rPr>
        <w:lastRenderedPageBreak/>
        <w:t xml:space="preserve">to this, the Secretariat chairs the </w:t>
      </w:r>
      <w:r w:rsidR="00981D65" w:rsidRPr="00FE6148">
        <w:rPr>
          <w:bCs/>
          <w:kern w:val="22"/>
          <w:szCs w:val="22"/>
        </w:rPr>
        <w:t xml:space="preserve">working group on indicators relevant to indigenous peoples of the </w:t>
      </w:r>
      <w:r w:rsidRPr="00FE6148">
        <w:rPr>
          <w:bCs/>
          <w:kern w:val="22"/>
          <w:szCs w:val="22"/>
        </w:rPr>
        <w:t>United Nations Inter-Agency Support Group on Indigenous Peoples</w:t>
      </w:r>
      <w:r w:rsidR="00AA0B81" w:rsidRPr="00FE6148">
        <w:rPr>
          <w:bCs/>
          <w:kern w:val="22"/>
          <w:szCs w:val="22"/>
        </w:rPr>
        <w:t>’</w:t>
      </w:r>
      <w:r w:rsidRPr="00FE6148">
        <w:rPr>
          <w:bCs/>
          <w:kern w:val="22"/>
          <w:szCs w:val="22"/>
        </w:rPr>
        <w:t xml:space="preserve"> Issues (IASG).</w:t>
      </w:r>
    </w:p>
    <w:p w14:paraId="57472EAB" w14:textId="6BD4649D" w:rsidR="00332AC0" w:rsidRPr="00FE6148" w:rsidRDefault="00852D47" w:rsidP="00FE6148">
      <w:pPr>
        <w:keepNext/>
        <w:suppressLineNumbers/>
        <w:tabs>
          <w:tab w:val="left" w:pos="426"/>
        </w:tabs>
        <w:suppressAutoHyphens/>
        <w:spacing w:before="120" w:after="120"/>
        <w:jc w:val="center"/>
        <w:outlineLvl w:val="2"/>
        <w:rPr>
          <w:bCs/>
          <w:i/>
          <w:kern w:val="22"/>
          <w:szCs w:val="22"/>
        </w:rPr>
      </w:pPr>
      <w:r w:rsidRPr="00FE6148">
        <w:rPr>
          <w:bCs/>
          <w:i/>
          <w:kern w:val="22"/>
          <w:szCs w:val="22"/>
        </w:rPr>
        <w:t>2.</w:t>
      </w:r>
      <w:r w:rsidRPr="00FE6148">
        <w:rPr>
          <w:bCs/>
          <w:i/>
          <w:kern w:val="22"/>
          <w:szCs w:val="22"/>
        </w:rPr>
        <w:tab/>
      </w:r>
      <w:bookmarkStart w:id="8" w:name="_Hlk44357709"/>
      <w:r w:rsidR="00DD2314" w:rsidRPr="00FE6148">
        <w:rPr>
          <w:bCs/>
          <w:i/>
          <w:kern w:val="22"/>
          <w:szCs w:val="22"/>
        </w:rPr>
        <w:t xml:space="preserve">Indicator - </w:t>
      </w:r>
      <w:r w:rsidR="00DD2314" w:rsidRPr="00FE6148">
        <w:rPr>
          <w:i/>
          <w:kern w:val="22"/>
          <w:szCs w:val="22"/>
        </w:rPr>
        <w:t>Trends in land use and tenure</w:t>
      </w:r>
      <w:bookmarkEnd w:id="8"/>
      <w:r w:rsidR="00DD2314" w:rsidRPr="00FE6148">
        <w:rPr>
          <w:i/>
          <w:kern w:val="22"/>
          <w:szCs w:val="22"/>
        </w:rPr>
        <w:t>, on the traditional territories of indigenous peoples</w:t>
      </w:r>
    </w:p>
    <w:p w14:paraId="60D62FBC" w14:textId="2657D372"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Regarding “trends in </w:t>
      </w:r>
      <w:bookmarkStart w:id="9" w:name="OLE_LINK1"/>
      <w:bookmarkStart w:id="10" w:name="OLE_LINK2"/>
      <w:r w:rsidRPr="00FE6148">
        <w:rPr>
          <w:kern w:val="22"/>
          <w:szCs w:val="22"/>
        </w:rPr>
        <w:t>land use and tenure</w:t>
      </w:r>
      <w:bookmarkEnd w:id="9"/>
      <w:bookmarkEnd w:id="10"/>
      <w:r w:rsidRPr="00FE6148">
        <w:rPr>
          <w:kern w:val="22"/>
          <w:szCs w:val="22"/>
        </w:rPr>
        <w:t xml:space="preserve">”, IASG during its </w:t>
      </w:r>
      <w:r w:rsidR="003B3D28" w:rsidRPr="00FE6148">
        <w:rPr>
          <w:kern w:val="22"/>
          <w:szCs w:val="22"/>
        </w:rPr>
        <w:t xml:space="preserve">2019 </w:t>
      </w:r>
      <w:r w:rsidRPr="00FE6148">
        <w:rPr>
          <w:kern w:val="22"/>
          <w:szCs w:val="22"/>
        </w:rPr>
        <w:t>annual meeting</w:t>
      </w:r>
      <w:r w:rsidR="008E510F" w:rsidRPr="00FE6148">
        <w:rPr>
          <w:kern w:val="22"/>
          <w:szCs w:val="22"/>
        </w:rPr>
        <w:t xml:space="preserve"> </w:t>
      </w:r>
      <w:r w:rsidR="003B3D28" w:rsidRPr="00FE6148">
        <w:rPr>
          <w:kern w:val="22"/>
          <w:szCs w:val="22"/>
        </w:rPr>
        <w:t>(</w:t>
      </w:r>
      <w:r w:rsidR="00DD2314" w:rsidRPr="00FE6148">
        <w:rPr>
          <w:kern w:val="22"/>
          <w:szCs w:val="22"/>
        </w:rPr>
        <w:t xml:space="preserve">Geneva, </w:t>
      </w:r>
      <w:r w:rsidRPr="00FE6148">
        <w:rPr>
          <w:kern w:val="22"/>
          <w:szCs w:val="22"/>
        </w:rPr>
        <w:t>10-13 September 20</w:t>
      </w:r>
      <w:r w:rsidR="005553A9" w:rsidRPr="00FE6148">
        <w:rPr>
          <w:kern w:val="22"/>
          <w:szCs w:val="22"/>
        </w:rPr>
        <w:t>19</w:t>
      </w:r>
      <w:r w:rsidR="003B3D28" w:rsidRPr="00FE6148">
        <w:rPr>
          <w:kern w:val="22"/>
          <w:szCs w:val="22"/>
        </w:rPr>
        <w:t>)</w:t>
      </w:r>
      <w:r w:rsidRPr="00FE6148">
        <w:rPr>
          <w:kern w:val="22"/>
          <w:szCs w:val="22"/>
        </w:rPr>
        <w:t xml:space="preserve">, held a panel </w:t>
      </w:r>
      <w:r w:rsidR="006206DD" w:rsidRPr="00FE6148">
        <w:rPr>
          <w:kern w:val="22"/>
          <w:szCs w:val="22"/>
        </w:rPr>
        <w:t>discussion</w:t>
      </w:r>
      <w:r w:rsidR="00DD2314" w:rsidRPr="00FE6148">
        <w:rPr>
          <w:kern w:val="22"/>
          <w:szCs w:val="22"/>
        </w:rPr>
        <w:t xml:space="preserve"> on operationalizing and using trends in land use and tenure as a multipurpose indicator for indigenous peoples’ well-being</w:t>
      </w:r>
      <w:r w:rsidRPr="00FE6148">
        <w:rPr>
          <w:kern w:val="22"/>
          <w:szCs w:val="22"/>
        </w:rPr>
        <w:t>. The panel included</w:t>
      </w:r>
      <w:r w:rsidR="00305C53" w:rsidRPr="00FE6148">
        <w:rPr>
          <w:kern w:val="22"/>
          <w:szCs w:val="22"/>
        </w:rPr>
        <w:t>:</w:t>
      </w:r>
      <w:r w:rsidRPr="00FE6148">
        <w:rPr>
          <w:kern w:val="22"/>
          <w:szCs w:val="22"/>
        </w:rPr>
        <w:t xml:space="preserve"> </w:t>
      </w:r>
      <w:r w:rsidR="00305C53" w:rsidRPr="00FE6148">
        <w:rPr>
          <w:kern w:val="22"/>
          <w:szCs w:val="22"/>
        </w:rPr>
        <w:t>(a)</w:t>
      </w:r>
      <w:r w:rsidR="0090723D" w:rsidRPr="00FE6148">
        <w:rPr>
          <w:kern w:val="22"/>
          <w:szCs w:val="22"/>
        </w:rPr>
        <w:t xml:space="preserve"> </w:t>
      </w:r>
      <w:r w:rsidR="00FE53DB" w:rsidRPr="00FE6148">
        <w:rPr>
          <w:kern w:val="22"/>
          <w:szCs w:val="22"/>
        </w:rPr>
        <w:t xml:space="preserve">members of the United Nations Permanent Forum </w:t>
      </w:r>
      <w:r w:rsidR="003A75D2" w:rsidRPr="00FE6148">
        <w:rPr>
          <w:kern w:val="22"/>
          <w:szCs w:val="22"/>
        </w:rPr>
        <w:t>on</w:t>
      </w:r>
      <w:r w:rsidR="00D1051A" w:rsidRPr="00FE6148">
        <w:rPr>
          <w:kern w:val="22"/>
          <w:szCs w:val="22"/>
        </w:rPr>
        <w:t xml:space="preserve"> Indigenous Issues</w:t>
      </w:r>
      <w:r w:rsidR="001A7643" w:rsidRPr="00FE6148">
        <w:rPr>
          <w:kern w:val="22"/>
          <w:szCs w:val="22"/>
        </w:rPr>
        <w:t>;</w:t>
      </w:r>
      <w:r w:rsidRPr="00FE6148">
        <w:rPr>
          <w:kern w:val="22"/>
          <w:szCs w:val="22"/>
        </w:rPr>
        <w:t xml:space="preserve"> </w:t>
      </w:r>
      <w:r w:rsidR="0090723D" w:rsidRPr="00FE6148">
        <w:rPr>
          <w:kern w:val="22"/>
          <w:szCs w:val="22"/>
        </w:rPr>
        <w:t xml:space="preserve">(b) </w:t>
      </w:r>
      <w:r w:rsidR="00D1051A" w:rsidRPr="00FE6148">
        <w:rPr>
          <w:kern w:val="22"/>
          <w:szCs w:val="22"/>
        </w:rPr>
        <w:t xml:space="preserve">members of </w:t>
      </w:r>
      <w:r w:rsidRPr="00FE6148">
        <w:rPr>
          <w:kern w:val="22"/>
          <w:szCs w:val="22"/>
        </w:rPr>
        <w:t xml:space="preserve">IASG working on </w:t>
      </w:r>
      <w:r w:rsidR="00652DCD" w:rsidRPr="00FE6148">
        <w:rPr>
          <w:kern w:val="22"/>
          <w:szCs w:val="22"/>
        </w:rPr>
        <w:t>“</w:t>
      </w:r>
      <w:r w:rsidRPr="00FE6148">
        <w:rPr>
          <w:kern w:val="22"/>
          <w:szCs w:val="22"/>
        </w:rPr>
        <w:t>land</w:t>
      </w:r>
      <w:r w:rsidR="00652DCD" w:rsidRPr="00FE6148">
        <w:rPr>
          <w:kern w:val="22"/>
          <w:szCs w:val="22"/>
        </w:rPr>
        <w:t>”</w:t>
      </w:r>
      <w:r w:rsidR="00E02643" w:rsidRPr="00FE6148">
        <w:rPr>
          <w:kern w:val="22"/>
          <w:szCs w:val="22"/>
        </w:rPr>
        <w:t>,</w:t>
      </w:r>
      <w:r w:rsidRPr="00FE6148">
        <w:rPr>
          <w:kern w:val="22"/>
          <w:szCs w:val="22"/>
        </w:rPr>
        <w:t xml:space="preserve"> including </w:t>
      </w:r>
      <w:r w:rsidR="00652DCD" w:rsidRPr="00FE6148">
        <w:rPr>
          <w:kern w:val="22"/>
          <w:szCs w:val="22"/>
        </w:rPr>
        <w:t>the Food and Agriculture Organization of the United Nations (</w:t>
      </w:r>
      <w:r w:rsidRPr="00FE6148">
        <w:rPr>
          <w:kern w:val="22"/>
          <w:szCs w:val="22"/>
        </w:rPr>
        <w:t>FAO</w:t>
      </w:r>
      <w:r w:rsidR="00652DCD" w:rsidRPr="00FE6148">
        <w:rPr>
          <w:kern w:val="22"/>
          <w:szCs w:val="22"/>
        </w:rPr>
        <w:t>)</w:t>
      </w:r>
      <w:r w:rsidRPr="00FE6148">
        <w:rPr>
          <w:kern w:val="22"/>
          <w:szCs w:val="22"/>
        </w:rPr>
        <w:t xml:space="preserve">, </w:t>
      </w:r>
      <w:r w:rsidR="00B278BE" w:rsidRPr="00FE6148">
        <w:rPr>
          <w:kern w:val="22"/>
          <w:szCs w:val="22"/>
        </w:rPr>
        <w:t>the International Fund for Agriculture Development (</w:t>
      </w:r>
      <w:r w:rsidRPr="00FE6148">
        <w:rPr>
          <w:kern w:val="22"/>
          <w:szCs w:val="22"/>
        </w:rPr>
        <w:t>IFAD</w:t>
      </w:r>
      <w:r w:rsidR="00B278BE" w:rsidRPr="00FE6148">
        <w:rPr>
          <w:kern w:val="22"/>
          <w:szCs w:val="22"/>
        </w:rPr>
        <w:t>)</w:t>
      </w:r>
      <w:r w:rsidR="00522317" w:rsidRPr="00FE6148">
        <w:rPr>
          <w:kern w:val="22"/>
          <w:szCs w:val="22"/>
        </w:rPr>
        <w:t>,</w:t>
      </w:r>
      <w:r w:rsidR="006C3DF1" w:rsidRPr="00FE6148">
        <w:rPr>
          <w:kern w:val="22"/>
          <w:szCs w:val="22"/>
        </w:rPr>
        <w:t xml:space="preserve"> and</w:t>
      </w:r>
      <w:r w:rsidRPr="00FE6148">
        <w:rPr>
          <w:kern w:val="22"/>
          <w:szCs w:val="22"/>
        </w:rPr>
        <w:t xml:space="preserve"> </w:t>
      </w:r>
      <w:r w:rsidR="0021395D" w:rsidRPr="00FE6148">
        <w:rPr>
          <w:kern w:val="22"/>
          <w:szCs w:val="22"/>
        </w:rPr>
        <w:t>the International Land Coalition Secretariat (</w:t>
      </w:r>
      <w:r w:rsidRPr="00FE6148">
        <w:rPr>
          <w:kern w:val="22"/>
          <w:szCs w:val="22"/>
        </w:rPr>
        <w:t>ILC</w:t>
      </w:r>
      <w:r w:rsidR="0021395D" w:rsidRPr="00FE6148">
        <w:rPr>
          <w:kern w:val="22"/>
          <w:szCs w:val="22"/>
        </w:rPr>
        <w:t>)</w:t>
      </w:r>
      <w:r w:rsidR="006C3DF1" w:rsidRPr="00FE6148">
        <w:rPr>
          <w:kern w:val="22"/>
          <w:szCs w:val="22"/>
        </w:rPr>
        <w:t>;</w:t>
      </w:r>
      <w:r w:rsidRPr="00FE6148">
        <w:rPr>
          <w:kern w:val="22"/>
          <w:szCs w:val="22"/>
        </w:rPr>
        <w:t xml:space="preserve"> </w:t>
      </w:r>
      <w:r w:rsidR="0090723D" w:rsidRPr="00FE6148">
        <w:rPr>
          <w:kern w:val="22"/>
          <w:szCs w:val="22"/>
        </w:rPr>
        <w:t xml:space="preserve">(c) </w:t>
      </w:r>
      <w:r w:rsidR="00316814" w:rsidRPr="00FE6148">
        <w:rPr>
          <w:kern w:val="22"/>
          <w:szCs w:val="22"/>
        </w:rPr>
        <w:t>r</w:t>
      </w:r>
      <w:r w:rsidRPr="00FE6148">
        <w:rPr>
          <w:kern w:val="22"/>
          <w:szCs w:val="22"/>
        </w:rPr>
        <w:t>epresentatives of land initiatives, including the ICCA Consortium</w:t>
      </w:r>
      <w:r w:rsidR="006C3DF1" w:rsidRPr="00FE6148">
        <w:rPr>
          <w:kern w:val="22"/>
          <w:szCs w:val="22"/>
        </w:rPr>
        <w:t>;</w:t>
      </w:r>
      <w:r w:rsidRPr="00FE6148">
        <w:rPr>
          <w:kern w:val="22"/>
          <w:szCs w:val="22"/>
        </w:rPr>
        <w:t xml:space="preserve"> and </w:t>
      </w:r>
      <w:r w:rsidR="0090723D" w:rsidRPr="00FE6148">
        <w:rPr>
          <w:kern w:val="22"/>
          <w:szCs w:val="22"/>
        </w:rPr>
        <w:t xml:space="preserve">(d) </w:t>
      </w:r>
      <w:r w:rsidR="00316814" w:rsidRPr="00FE6148">
        <w:rPr>
          <w:kern w:val="22"/>
          <w:szCs w:val="22"/>
        </w:rPr>
        <w:t>i</w:t>
      </w:r>
      <w:r w:rsidRPr="00FE6148">
        <w:rPr>
          <w:kern w:val="22"/>
          <w:szCs w:val="22"/>
        </w:rPr>
        <w:t xml:space="preserve">ndigenous </w:t>
      </w:r>
      <w:r w:rsidR="00316814" w:rsidRPr="00FE6148">
        <w:rPr>
          <w:kern w:val="22"/>
          <w:szCs w:val="22"/>
        </w:rPr>
        <w:t>experts</w:t>
      </w:r>
      <w:r w:rsidRPr="00FE6148">
        <w:rPr>
          <w:kern w:val="22"/>
          <w:szCs w:val="22"/>
        </w:rPr>
        <w:t xml:space="preserve"> working directly on land tenure.</w:t>
      </w:r>
      <w:r w:rsidR="00316814" w:rsidRPr="00FE6148">
        <w:rPr>
          <w:kern w:val="22"/>
          <w:szCs w:val="22"/>
        </w:rPr>
        <w:t xml:space="preserve"> The panel was chaired by the Secretariat of the Convention on Biological Diversity.</w:t>
      </w:r>
    </w:p>
    <w:p w14:paraId="13F2226E" w14:textId="4BEE77BE"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As an </w:t>
      </w:r>
      <w:r w:rsidRPr="00FE6148">
        <w:rPr>
          <w:color w:val="000000"/>
          <w:kern w:val="22"/>
        </w:rPr>
        <w:t>overarching</w:t>
      </w:r>
      <w:r w:rsidRPr="00FE6148">
        <w:rPr>
          <w:kern w:val="22"/>
          <w:szCs w:val="22"/>
        </w:rPr>
        <w:t xml:space="preserve"> framework, the panel considered the </w:t>
      </w:r>
      <w:r w:rsidR="00004341" w:rsidRPr="00FE6148">
        <w:rPr>
          <w:kern w:val="22"/>
          <w:szCs w:val="22"/>
        </w:rPr>
        <w:t>Sustainable Development Goals</w:t>
      </w:r>
      <w:r w:rsidR="00974A7B" w:rsidRPr="00FE6148">
        <w:rPr>
          <w:kern w:val="22"/>
          <w:szCs w:val="22"/>
        </w:rPr>
        <w:t xml:space="preserve"> </w:t>
      </w:r>
      <w:r w:rsidRPr="00FE6148">
        <w:rPr>
          <w:kern w:val="22"/>
          <w:szCs w:val="22"/>
        </w:rPr>
        <w:t xml:space="preserve">and </w:t>
      </w:r>
      <w:r w:rsidR="00364772" w:rsidRPr="00FE6148">
        <w:rPr>
          <w:kern w:val="22"/>
          <w:szCs w:val="22"/>
        </w:rPr>
        <w:t xml:space="preserve">their use of </w:t>
      </w:r>
      <w:r w:rsidRPr="00FE6148">
        <w:rPr>
          <w:kern w:val="22"/>
          <w:szCs w:val="22"/>
        </w:rPr>
        <w:t>land indicators</w:t>
      </w:r>
      <w:r w:rsidR="00FA0F7A" w:rsidRPr="00FE6148">
        <w:rPr>
          <w:kern w:val="22"/>
          <w:szCs w:val="22"/>
        </w:rPr>
        <w:t>, as well as</w:t>
      </w:r>
      <w:r w:rsidR="00364772" w:rsidRPr="00FE6148">
        <w:rPr>
          <w:kern w:val="22"/>
          <w:szCs w:val="22"/>
        </w:rPr>
        <w:t xml:space="preserve"> </w:t>
      </w:r>
      <w:r w:rsidR="007E6F56" w:rsidRPr="00FE6148">
        <w:rPr>
          <w:kern w:val="22"/>
          <w:szCs w:val="22"/>
        </w:rPr>
        <w:t xml:space="preserve">an </w:t>
      </w:r>
      <w:r w:rsidRPr="00FE6148">
        <w:rPr>
          <w:kern w:val="22"/>
          <w:szCs w:val="22"/>
        </w:rPr>
        <w:t xml:space="preserve">array of land initiatives </w:t>
      </w:r>
      <w:r w:rsidR="00364772" w:rsidRPr="00FE6148">
        <w:rPr>
          <w:kern w:val="22"/>
          <w:szCs w:val="22"/>
        </w:rPr>
        <w:t>of relevance to indigenous peoples</w:t>
      </w:r>
      <w:r w:rsidR="00FA0F7A" w:rsidRPr="00FE6148">
        <w:rPr>
          <w:kern w:val="22"/>
          <w:szCs w:val="22"/>
        </w:rPr>
        <w:t xml:space="preserve"> and local communities</w:t>
      </w:r>
      <w:r w:rsidR="00364772" w:rsidRPr="00FE6148">
        <w:rPr>
          <w:kern w:val="22"/>
          <w:szCs w:val="22"/>
        </w:rPr>
        <w:t xml:space="preserve">, including </w:t>
      </w:r>
      <w:r w:rsidRPr="00FE6148">
        <w:rPr>
          <w:kern w:val="22"/>
          <w:szCs w:val="22"/>
        </w:rPr>
        <w:t>the Indigenous Navigator, the</w:t>
      </w:r>
      <w:r w:rsidR="00DA6828" w:rsidRPr="00FE6148">
        <w:rPr>
          <w:kern w:val="22"/>
          <w:szCs w:val="22"/>
        </w:rPr>
        <w:t xml:space="preserve"> registry of indigenous and community conserved areas (ICCA Registry)</w:t>
      </w:r>
      <w:r w:rsidR="00316C9E" w:rsidRPr="00FE6148">
        <w:rPr>
          <w:rStyle w:val="FootnoteReference"/>
          <w:kern w:val="22"/>
          <w:szCs w:val="22"/>
        </w:rPr>
        <w:footnoteReference w:id="9"/>
      </w:r>
      <w:r w:rsidRPr="00FE6148">
        <w:rPr>
          <w:kern w:val="22"/>
          <w:szCs w:val="22"/>
        </w:rPr>
        <w:t xml:space="preserve"> and the </w:t>
      </w:r>
      <w:r w:rsidR="00364772" w:rsidRPr="00FE6148">
        <w:rPr>
          <w:kern w:val="22"/>
          <w:szCs w:val="22"/>
        </w:rPr>
        <w:t xml:space="preserve">work of the </w:t>
      </w:r>
      <w:r w:rsidRPr="00FE6148">
        <w:rPr>
          <w:kern w:val="22"/>
          <w:szCs w:val="22"/>
        </w:rPr>
        <w:t>International Land Coalition.</w:t>
      </w:r>
    </w:p>
    <w:p w14:paraId="4B1F955A" w14:textId="33B70284"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As a result of the </w:t>
      </w:r>
      <w:r w:rsidR="00C43FAE" w:rsidRPr="00FE6148">
        <w:rPr>
          <w:kern w:val="22"/>
          <w:szCs w:val="22"/>
        </w:rPr>
        <w:t>above</w:t>
      </w:r>
      <w:r w:rsidR="00985AB2" w:rsidRPr="00FE6148">
        <w:rPr>
          <w:kern w:val="22"/>
          <w:szCs w:val="22"/>
        </w:rPr>
        <w:t>-</w:t>
      </w:r>
      <w:r w:rsidR="00C43FAE" w:rsidRPr="00FE6148">
        <w:rPr>
          <w:kern w:val="22"/>
          <w:szCs w:val="22"/>
        </w:rPr>
        <w:t xml:space="preserve">mentioned </w:t>
      </w:r>
      <w:r w:rsidRPr="00FE6148">
        <w:rPr>
          <w:kern w:val="22"/>
          <w:szCs w:val="22"/>
        </w:rPr>
        <w:t xml:space="preserve">panel discussion, the IASG, in its annual report, has invited the </w:t>
      </w:r>
      <w:r w:rsidR="00101451" w:rsidRPr="00FE6148">
        <w:rPr>
          <w:kern w:val="22"/>
          <w:szCs w:val="22"/>
        </w:rPr>
        <w:t>United Nations Permanent Forum on Indigenous Issues</w:t>
      </w:r>
      <w:r w:rsidR="00101451" w:rsidRPr="00FE6148" w:rsidDel="00101451">
        <w:rPr>
          <w:kern w:val="22"/>
          <w:szCs w:val="22"/>
        </w:rPr>
        <w:t xml:space="preserve"> </w:t>
      </w:r>
      <w:r w:rsidRPr="00FE6148">
        <w:rPr>
          <w:kern w:val="22"/>
          <w:szCs w:val="22"/>
        </w:rPr>
        <w:t xml:space="preserve">and </w:t>
      </w:r>
      <w:r w:rsidR="00F45DC8" w:rsidRPr="00FE6148">
        <w:rPr>
          <w:kern w:val="22"/>
          <w:szCs w:val="22"/>
        </w:rPr>
        <w:t>a</w:t>
      </w:r>
      <w:r w:rsidRPr="00FE6148">
        <w:rPr>
          <w:kern w:val="22"/>
          <w:szCs w:val="22"/>
        </w:rPr>
        <w:t>gencies to consider holding a one</w:t>
      </w:r>
      <w:r w:rsidR="00ED3DBA" w:rsidRPr="00FE6148">
        <w:rPr>
          <w:kern w:val="22"/>
          <w:szCs w:val="22"/>
        </w:rPr>
        <w:t>-</w:t>
      </w:r>
      <w:r w:rsidRPr="00FE6148">
        <w:rPr>
          <w:kern w:val="22"/>
          <w:szCs w:val="22"/>
        </w:rPr>
        <w:t xml:space="preserve">day closed meeting on </w:t>
      </w:r>
      <w:r w:rsidR="00F86A2D" w:rsidRPr="00FE6148">
        <w:rPr>
          <w:kern w:val="22"/>
          <w:szCs w:val="22"/>
        </w:rPr>
        <w:t xml:space="preserve">the indicator on </w:t>
      </w:r>
      <w:r w:rsidRPr="00FE6148">
        <w:rPr>
          <w:kern w:val="22"/>
          <w:szCs w:val="22"/>
        </w:rPr>
        <w:t xml:space="preserve">land tenure and changes in land use at a future session. Additionally, the </w:t>
      </w:r>
      <w:r w:rsidR="00101451" w:rsidRPr="00FE6148">
        <w:rPr>
          <w:kern w:val="22"/>
          <w:szCs w:val="22"/>
        </w:rPr>
        <w:t xml:space="preserve">Forum </w:t>
      </w:r>
      <w:r w:rsidRPr="00FE6148">
        <w:rPr>
          <w:kern w:val="22"/>
          <w:szCs w:val="22"/>
        </w:rPr>
        <w:t xml:space="preserve">may wish to consider, as a topic for </w:t>
      </w:r>
      <w:r w:rsidR="00540BEB" w:rsidRPr="00FE6148">
        <w:rPr>
          <w:kern w:val="22"/>
          <w:szCs w:val="22"/>
        </w:rPr>
        <w:t xml:space="preserve">its annual </w:t>
      </w:r>
      <w:r w:rsidR="004A3CB3" w:rsidRPr="00FE6148">
        <w:rPr>
          <w:kern w:val="22"/>
          <w:szCs w:val="22"/>
        </w:rPr>
        <w:t xml:space="preserve">three-day </w:t>
      </w:r>
      <w:r w:rsidRPr="00FE6148">
        <w:rPr>
          <w:kern w:val="22"/>
          <w:szCs w:val="22"/>
        </w:rPr>
        <w:t xml:space="preserve">expert meeting </w:t>
      </w:r>
      <w:r w:rsidR="00050F39" w:rsidRPr="00FE6148">
        <w:rPr>
          <w:kern w:val="22"/>
          <w:szCs w:val="22"/>
        </w:rPr>
        <w:t xml:space="preserve">to be held </w:t>
      </w:r>
      <w:r w:rsidRPr="00FE6148">
        <w:rPr>
          <w:kern w:val="22"/>
          <w:szCs w:val="22"/>
        </w:rPr>
        <w:t>in 2021</w:t>
      </w:r>
      <w:r w:rsidR="004A3CB3" w:rsidRPr="00FE6148">
        <w:rPr>
          <w:kern w:val="22"/>
          <w:szCs w:val="22"/>
        </w:rPr>
        <w:t xml:space="preserve"> or 20</w:t>
      </w:r>
      <w:r w:rsidRPr="00FE6148">
        <w:rPr>
          <w:kern w:val="22"/>
          <w:szCs w:val="22"/>
        </w:rPr>
        <w:t xml:space="preserve">22, the topic of </w:t>
      </w:r>
      <w:r w:rsidR="00850B94" w:rsidRPr="00FE6148">
        <w:rPr>
          <w:kern w:val="22"/>
          <w:szCs w:val="22"/>
        </w:rPr>
        <w:t xml:space="preserve">trends in land use and tenure, as a multipurpose indicator for </w:t>
      </w:r>
      <w:r w:rsidR="00B52DB4" w:rsidRPr="00FE6148">
        <w:rPr>
          <w:kern w:val="22"/>
          <w:szCs w:val="22"/>
        </w:rPr>
        <w:t xml:space="preserve">the well-being of </w:t>
      </w:r>
      <w:r w:rsidR="00850B94" w:rsidRPr="00FE6148">
        <w:rPr>
          <w:kern w:val="22"/>
          <w:szCs w:val="22"/>
        </w:rPr>
        <w:t>indigenous peoples.</w:t>
      </w:r>
    </w:p>
    <w:p w14:paraId="15B16ACD" w14:textId="47A7D6DB"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The expert meeting </w:t>
      </w:r>
      <w:r w:rsidR="00101451" w:rsidRPr="00FE6148">
        <w:rPr>
          <w:kern w:val="22"/>
          <w:szCs w:val="22"/>
        </w:rPr>
        <w:t xml:space="preserve">of the United Nations Permanent Forum on Indigenous Issues </w:t>
      </w:r>
      <w:r w:rsidRPr="00FE6148">
        <w:rPr>
          <w:kern w:val="22"/>
          <w:szCs w:val="22"/>
        </w:rPr>
        <w:t xml:space="preserve">could define goals, including </w:t>
      </w:r>
      <w:r w:rsidR="0072690F" w:rsidRPr="00FE6148">
        <w:rPr>
          <w:kern w:val="22"/>
          <w:szCs w:val="22"/>
        </w:rPr>
        <w:t xml:space="preserve">for the </w:t>
      </w:r>
      <w:r w:rsidRPr="00FE6148">
        <w:rPr>
          <w:kern w:val="22"/>
          <w:szCs w:val="22"/>
        </w:rPr>
        <w:t>short, medium and long term</w:t>
      </w:r>
      <w:r w:rsidR="0072690F" w:rsidRPr="00FE6148">
        <w:rPr>
          <w:kern w:val="22"/>
          <w:szCs w:val="22"/>
        </w:rPr>
        <w:t>,</w:t>
      </w:r>
      <w:r w:rsidRPr="00FE6148">
        <w:rPr>
          <w:kern w:val="22"/>
          <w:szCs w:val="22"/>
        </w:rPr>
        <w:t xml:space="preserve"> and next steps forward</w:t>
      </w:r>
      <w:r w:rsidR="00966A54" w:rsidRPr="00FE6148">
        <w:rPr>
          <w:kern w:val="22"/>
          <w:szCs w:val="22"/>
        </w:rPr>
        <w:t>,</w:t>
      </w:r>
      <w:r w:rsidRPr="00FE6148">
        <w:rPr>
          <w:kern w:val="22"/>
          <w:szCs w:val="22"/>
        </w:rPr>
        <w:t xml:space="preserve"> focusing on some initial steps that would be successful (such as identifying indigenous peoples</w:t>
      </w:r>
      <w:r w:rsidR="00322F1D" w:rsidRPr="00FE6148">
        <w:rPr>
          <w:kern w:val="22"/>
          <w:szCs w:val="22"/>
        </w:rPr>
        <w:t>’</w:t>
      </w:r>
      <w:r w:rsidRPr="00FE6148">
        <w:rPr>
          <w:kern w:val="22"/>
          <w:szCs w:val="22"/>
        </w:rPr>
        <w:t xml:space="preserve"> traditional territories in protected areas) and the spectrum of possibilities for </w:t>
      </w:r>
      <w:r w:rsidR="00850B94" w:rsidRPr="00FE6148">
        <w:rPr>
          <w:kern w:val="22"/>
          <w:szCs w:val="22"/>
        </w:rPr>
        <w:t xml:space="preserve">land </w:t>
      </w:r>
      <w:r w:rsidRPr="00FE6148">
        <w:rPr>
          <w:kern w:val="22"/>
          <w:szCs w:val="22"/>
        </w:rPr>
        <w:t>tenure</w:t>
      </w:r>
      <w:r w:rsidR="00850B94" w:rsidRPr="00FE6148">
        <w:rPr>
          <w:kern w:val="22"/>
          <w:szCs w:val="22"/>
        </w:rPr>
        <w:t>,</w:t>
      </w:r>
      <w:r w:rsidRPr="00FE6148">
        <w:rPr>
          <w:kern w:val="22"/>
          <w:szCs w:val="22"/>
        </w:rPr>
        <w:t xml:space="preserve"> </w:t>
      </w:r>
      <w:r w:rsidR="00850B94" w:rsidRPr="00FE6148">
        <w:rPr>
          <w:kern w:val="22"/>
          <w:szCs w:val="22"/>
        </w:rPr>
        <w:t>as well as</w:t>
      </w:r>
      <w:r w:rsidRPr="00FE6148">
        <w:rPr>
          <w:kern w:val="22"/>
          <w:szCs w:val="22"/>
        </w:rPr>
        <w:t xml:space="preserve"> land management. Another vital step forward (after the expert meeting) may be a legislative mapping </w:t>
      </w:r>
      <w:r w:rsidR="00850B94" w:rsidRPr="00FE6148">
        <w:rPr>
          <w:kern w:val="22"/>
          <w:szCs w:val="22"/>
        </w:rPr>
        <w:t xml:space="preserve">of land law that includes </w:t>
      </w:r>
      <w:r w:rsidRPr="00FE6148">
        <w:rPr>
          <w:kern w:val="22"/>
          <w:szCs w:val="22"/>
        </w:rPr>
        <w:t>countries that have addressed traditional tenure.</w:t>
      </w:r>
    </w:p>
    <w:p w14:paraId="525AEA6D" w14:textId="7C74DAA5"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These steps could </w:t>
      </w:r>
      <w:r w:rsidR="00625639" w:rsidRPr="00FE6148">
        <w:rPr>
          <w:bCs/>
          <w:kern w:val="22"/>
          <w:szCs w:val="22"/>
        </w:rPr>
        <w:t xml:space="preserve">contribute to </w:t>
      </w:r>
      <w:r w:rsidR="00625639" w:rsidRPr="00FE6148">
        <w:rPr>
          <w:kern w:val="22"/>
          <w:szCs w:val="22"/>
        </w:rPr>
        <w:t xml:space="preserve">operationalizing </w:t>
      </w:r>
      <w:r w:rsidR="00625639" w:rsidRPr="00FE6148">
        <w:rPr>
          <w:bCs/>
          <w:kern w:val="22"/>
          <w:szCs w:val="22"/>
        </w:rPr>
        <w:t xml:space="preserve">trends in land use </w:t>
      </w:r>
      <w:r w:rsidR="00E71178" w:rsidRPr="00FE6148">
        <w:rPr>
          <w:bCs/>
          <w:kern w:val="22"/>
          <w:szCs w:val="22"/>
        </w:rPr>
        <w:t xml:space="preserve">change </w:t>
      </w:r>
      <w:r w:rsidR="00625639" w:rsidRPr="00FE6148">
        <w:rPr>
          <w:bCs/>
          <w:kern w:val="22"/>
          <w:szCs w:val="22"/>
        </w:rPr>
        <w:t>and tenure as an indicator for traditional knowledge under the Convention on Biological Diversity, and could also</w:t>
      </w:r>
      <w:r w:rsidR="00625639" w:rsidRPr="00FE6148">
        <w:rPr>
          <w:kern w:val="22"/>
          <w:szCs w:val="22"/>
        </w:rPr>
        <w:t xml:space="preserve"> </w:t>
      </w:r>
      <w:r w:rsidRPr="00FE6148">
        <w:rPr>
          <w:kern w:val="22"/>
          <w:szCs w:val="22"/>
        </w:rPr>
        <w:t>help to operational</w:t>
      </w:r>
      <w:r w:rsidR="00230E60" w:rsidRPr="00FE6148">
        <w:rPr>
          <w:kern w:val="22"/>
          <w:szCs w:val="22"/>
        </w:rPr>
        <w:t>ize</w:t>
      </w:r>
      <w:r w:rsidRPr="00FE6148">
        <w:rPr>
          <w:kern w:val="22"/>
          <w:szCs w:val="22"/>
        </w:rPr>
        <w:t xml:space="preserve"> </w:t>
      </w:r>
      <w:r w:rsidRPr="00FE6148">
        <w:rPr>
          <w:bCs/>
          <w:kern w:val="22"/>
          <w:szCs w:val="22"/>
        </w:rPr>
        <w:t xml:space="preserve">land as an indicator under the </w:t>
      </w:r>
      <w:r w:rsidR="004D24EC" w:rsidRPr="00FE6148">
        <w:rPr>
          <w:kern w:val="22"/>
          <w:szCs w:val="22"/>
        </w:rPr>
        <w:t>Sustainable Development Goals</w:t>
      </w:r>
      <w:r w:rsidRPr="00FE6148">
        <w:rPr>
          <w:bCs/>
          <w:kern w:val="22"/>
          <w:szCs w:val="22"/>
        </w:rPr>
        <w:t xml:space="preserve"> and. The Secretariat will continue to report on developments on this matter.</w:t>
      </w:r>
    </w:p>
    <w:p w14:paraId="04E03B08" w14:textId="29F4E600" w:rsidR="00332AC0" w:rsidRPr="00FE6148" w:rsidRDefault="00852D47" w:rsidP="00FE6148">
      <w:pPr>
        <w:keepNext/>
        <w:suppressLineNumbers/>
        <w:tabs>
          <w:tab w:val="left" w:pos="426"/>
        </w:tabs>
        <w:suppressAutoHyphens/>
        <w:spacing w:before="120" w:after="120"/>
        <w:jc w:val="center"/>
        <w:outlineLvl w:val="2"/>
        <w:rPr>
          <w:bCs/>
          <w:i/>
          <w:kern w:val="22"/>
          <w:szCs w:val="22"/>
        </w:rPr>
      </w:pPr>
      <w:r w:rsidRPr="00FE6148">
        <w:rPr>
          <w:i/>
          <w:iCs/>
          <w:kern w:val="22"/>
        </w:rPr>
        <w:t>3.</w:t>
      </w:r>
      <w:r w:rsidRPr="00FE6148">
        <w:rPr>
          <w:i/>
          <w:iCs/>
          <w:kern w:val="22"/>
        </w:rPr>
        <w:tab/>
      </w:r>
      <w:hyperlink r:id="rId30" w:history="1">
        <w:r w:rsidR="00332AC0" w:rsidRPr="00FE6148">
          <w:rPr>
            <w:i/>
            <w:kern w:val="22"/>
            <w:szCs w:val="22"/>
          </w:rPr>
          <w:t xml:space="preserve">Trends </w:t>
        </w:r>
        <w:r w:rsidR="00837AB9" w:rsidRPr="00FE6148">
          <w:rPr>
            <w:i/>
            <w:kern w:val="22"/>
            <w:szCs w:val="22"/>
          </w:rPr>
          <w:t>in</w:t>
        </w:r>
        <w:r w:rsidR="00332AC0" w:rsidRPr="00FE6148">
          <w:rPr>
            <w:i/>
            <w:kern w:val="22"/>
            <w:szCs w:val="22"/>
          </w:rPr>
          <w:t xml:space="preserve"> linguistic diversity and numbers of speakers of indigenous languages</w:t>
        </w:r>
      </w:hyperlink>
    </w:p>
    <w:p w14:paraId="641FFFD0" w14:textId="5F334FD9" w:rsidR="00332AC0" w:rsidRPr="00FE6148" w:rsidRDefault="00F92B33" w:rsidP="00FE6148">
      <w:pPr>
        <w:numPr>
          <w:ilvl w:val="0"/>
          <w:numId w:val="10"/>
        </w:numPr>
        <w:suppressLineNumbers/>
        <w:pBdr>
          <w:top w:val="nil"/>
          <w:left w:val="nil"/>
          <w:bottom w:val="nil"/>
          <w:right w:val="nil"/>
          <w:between w:val="nil"/>
        </w:pBdr>
        <w:suppressAutoHyphens/>
        <w:spacing w:before="120" w:after="120"/>
        <w:rPr>
          <w:bCs/>
          <w:kern w:val="22"/>
          <w:szCs w:val="22"/>
        </w:rPr>
      </w:pPr>
      <w:r w:rsidRPr="00FE6148">
        <w:rPr>
          <w:bCs/>
          <w:kern w:val="22"/>
          <w:szCs w:val="22"/>
        </w:rPr>
        <w:t xml:space="preserve">The years </w:t>
      </w:r>
      <w:r w:rsidR="00332AC0" w:rsidRPr="00FE6148">
        <w:rPr>
          <w:bCs/>
          <w:kern w:val="22"/>
          <w:szCs w:val="22"/>
        </w:rPr>
        <w:t>2019 and 2020 ha</w:t>
      </w:r>
      <w:r w:rsidRPr="00FE6148">
        <w:rPr>
          <w:bCs/>
          <w:kern w:val="22"/>
          <w:szCs w:val="22"/>
        </w:rPr>
        <w:t>ve</w:t>
      </w:r>
      <w:r w:rsidR="00332AC0" w:rsidRPr="00FE6148">
        <w:rPr>
          <w:bCs/>
          <w:kern w:val="22"/>
          <w:szCs w:val="22"/>
        </w:rPr>
        <w:t xml:space="preserve"> seen an acceleration of activities </w:t>
      </w:r>
      <w:r w:rsidR="00316814" w:rsidRPr="00FE6148">
        <w:rPr>
          <w:bCs/>
          <w:kern w:val="22"/>
          <w:szCs w:val="22"/>
        </w:rPr>
        <w:t>around indigenous languages</w:t>
      </w:r>
      <w:r w:rsidR="00BA7707" w:rsidRPr="00FE6148">
        <w:rPr>
          <w:bCs/>
          <w:kern w:val="22"/>
          <w:szCs w:val="22"/>
        </w:rPr>
        <w:t xml:space="preserve"> </w:t>
      </w:r>
      <w:r w:rsidR="00316814" w:rsidRPr="00FE6148">
        <w:rPr>
          <w:bCs/>
          <w:kern w:val="22"/>
          <w:szCs w:val="22"/>
        </w:rPr>
        <w:t xml:space="preserve">that is </w:t>
      </w:r>
      <w:r w:rsidR="00332AC0" w:rsidRPr="00FE6148">
        <w:rPr>
          <w:bCs/>
          <w:kern w:val="22"/>
          <w:szCs w:val="22"/>
        </w:rPr>
        <w:t>relevant to the indicator on “linguistic diversity”. I</w:t>
      </w:r>
      <w:r w:rsidR="00332AC0" w:rsidRPr="00FE6148">
        <w:rPr>
          <w:kern w:val="22"/>
          <w:szCs w:val="22"/>
        </w:rPr>
        <w:t>n 2016, the United Nations General Assembly in its resolution 71/178, on the rights of indigenous peoples</w:t>
      </w:r>
      <w:r w:rsidR="007A7989" w:rsidRPr="00FE6148">
        <w:rPr>
          <w:kern w:val="22"/>
          <w:szCs w:val="22"/>
        </w:rPr>
        <w:t>,</w:t>
      </w:r>
      <w:r w:rsidR="00332AC0" w:rsidRPr="00FE6148">
        <w:rPr>
          <w:kern w:val="22"/>
          <w:szCs w:val="22"/>
        </w:rPr>
        <w:t xml:space="preserve"> proclaimed 2019 the International Year of Indigenous Languages.</w:t>
      </w:r>
    </w:p>
    <w:p w14:paraId="3AA5CCBE" w14:textId="38BDA04C"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The two main objectives of the International Year </w:t>
      </w:r>
      <w:r w:rsidR="003D2FF7" w:rsidRPr="00FE6148">
        <w:rPr>
          <w:kern w:val="22"/>
          <w:szCs w:val="22"/>
        </w:rPr>
        <w:t>were</w:t>
      </w:r>
      <w:r w:rsidR="00C67EA8" w:rsidRPr="00FE6148">
        <w:rPr>
          <w:kern w:val="22"/>
          <w:szCs w:val="22"/>
        </w:rPr>
        <w:t>:</w:t>
      </w:r>
      <w:r w:rsidRPr="00FE6148">
        <w:rPr>
          <w:kern w:val="22"/>
          <w:szCs w:val="22"/>
        </w:rPr>
        <w:t xml:space="preserve"> (a)</w:t>
      </w:r>
      <w:r w:rsidR="00244AC2" w:rsidRPr="00FE6148">
        <w:rPr>
          <w:kern w:val="22"/>
          <w:szCs w:val="22"/>
        </w:rPr>
        <w:t> </w:t>
      </w:r>
      <w:r w:rsidRPr="00FE6148">
        <w:rPr>
          <w:kern w:val="22"/>
          <w:szCs w:val="22"/>
        </w:rPr>
        <w:t>to draw attention to the critical loss of indigenous languages and the urgent need to preserve, revitalize and promote indigenous languages; and (b)</w:t>
      </w:r>
      <w:r w:rsidR="00591CB2" w:rsidRPr="00FE6148">
        <w:rPr>
          <w:kern w:val="22"/>
          <w:szCs w:val="22"/>
        </w:rPr>
        <w:t> </w:t>
      </w:r>
      <w:r w:rsidRPr="00FE6148">
        <w:rPr>
          <w:kern w:val="22"/>
          <w:szCs w:val="22"/>
        </w:rPr>
        <w:t xml:space="preserve">to take further urgent steps at the national and international levels. </w:t>
      </w:r>
      <w:r w:rsidR="008369C7" w:rsidRPr="00FE6148">
        <w:rPr>
          <w:kern w:val="22"/>
          <w:szCs w:val="22"/>
        </w:rPr>
        <w:t xml:space="preserve">The </w:t>
      </w:r>
      <w:r w:rsidR="008369C7" w:rsidRPr="00FE6148">
        <w:rPr>
          <w:rStyle w:val="Policepardfaut"/>
          <w:kern w:val="22"/>
        </w:rPr>
        <w:t>United Nations Educational, Scientific and Cultural Organization (</w:t>
      </w:r>
      <w:r w:rsidRPr="00FE6148">
        <w:rPr>
          <w:kern w:val="22"/>
          <w:szCs w:val="22"/>
        </w:rPr>
        <w:t>UNESCO</w:t>
      </w:r>
      <w:r w:rsidR="008369C7" w:rsidRPr="00FE6148">
        <w:rPr>
          <w:kern w:val="22"/>
          <w:szCs w:val="22"/>
        </w:rPr>
        <w:t>)</w:t>
      </w:r>
      <w:r w:rsidRPr="00FE6148">
        <w:rPr>
          <w:kern w:val="22"/>
          <w:szCs w:val="22"/>
        </w:rPr>
        <w:t xml:space="preserve">, in consultation with the </w:t>
      </w:r>
      <w:r w:rsidR="00114721" w:rsidRPr="00FE6148">
        <w:rPr>
          <w:kern w:val="22"/>
          <w:szCs w:val="22"/>
        </w:rPr>
        <w:t xml:space="preserve">United Nations </w:t>
      </w:r>
      <w:r w:rsidRPr="00FE6148">
        <w:rPr>
          <w:kern w:val="22"/>
          <w:szCs w:val="22"/>
        </w:rPr>
        <w:t xml:space="preserve">Department of Economic and Social Affairs, prepared an </w:t>
      </w:r>
      <w:r w:rsidR="00975734" w:rsidRPr="00FE6148">
        <w:rPr>
          <w:kern w:val="22"/>
        </w:rPr>
        <w:t>a</w:t>
      </w:r>
      <w:r w:rsidR="00514DCE" w:rsidRPr="00FE6148">
        <w:rPr>
          <w:kern w:val="22"/>
        </w:rPr>
        <w:t xml:space="preserve">ction </w:t>
      </w:r>
      <w:r w:rsidR="00975734" w:rsidRPr="00FE6148">
        <w:rPr>
          <w:kern w:val="22"/>
        </w:rPr>
        <w:t>p</w:t>
      </w:r>
      <w:r w:rsidR="00514DCE" w:rsidRPr="00FE6148">
        <w:rPr>
          <w:kern w:val="22"/>
        </w:rPr>
        <w:t>lan</w:t>
      </w:r>
      <w:r w:rsidRPr="00FE6148">
        <w:rPr>
          <w:kern w:val="22"/>
          <w:szCs w:val="22"/>
        </w:rPr>
        <w:t xml:space="preserve"> for organizing the </w:t>
      </w:r>
      <w:r w:rsidR="007625DA" w:rsidRPr="00FE6148">
        <w:rPr>
          <w:kern w:val="22"/>
          <w:szCs w:val="22"/>
        </w:rPr>
        <w:t xml:space="preserve">2019 International </w:t>
      </w:r>
      <w:r w:rsidRPr="00FE6148">
        <w:rPr>
          <w:kern w:val="22"/>
          <w:szCs w:val="22"/>
        </w:rPr>
        <w:t>Year</w:t>
      </w:r>
      <w:r w:rsidR="007625DA" w:rsidRPr="00FE6148">
        <w:rPr>
          <w:kern w:val="22"/>
          <w:szCs w:val="22"/>
        </w:rPr>
        <w:t xml:space="preserve"> of Indigenous Languages</w:t>
      </w:r>
      <w:r w:rsidR="00975734" w:rsidRPr="00FE6148">
        <w:rPr>
          <w:kern w:val="22"/>
          <w:szCs w:val="22"/>
        </w:rPr>
        <w:t>,</w:t>
      </w:r>
      <w:r w:rsidR="007625DA" w:rsidRPr="00FE6148">
        <w:rPr>
          <w:rStyle w:val="FootnoteReference"/>
          <w:kern w:val="22"/>
          <w:szCs w:val="22"/>
        </w:rPr>
        <w:footnoteReference w:id="10"/>
      </w:r>
      <w:r w:rsidRPr="00FE6148">
        <w:rPr>
          <w:kern w:val="22"/>
          <w:szCs w:val="22"/>
        </w:rPr>
        <w:t xml:space="preserve"> taking into account the recommendations of the interested </w:t>
      </w:r>
      <w:r w:rsidR="00E55187" w:rsidRPr="00FE6148">
        <w:rPr>
          <w:kern w:val="22"/>
          <w:szCs w:val="22"/>
        </w:rPr>
        <w:t>M</w:t>
      </w:r>
      <w:r w:rsidRPr="00FE6148">
        <w:rPr>
          <w:kern w:val="22"/>
          <w:szCs w:val="22"/>
        </w:rPr>
        <w:t>ember States, indigenous peoples, United Nations system agencies, funds and programmes, and the United Nations Permanent Forum</w:t>
      </w:r>
      <w:r w:rsidR="00B74F47" w:rsidRPr="00FE6148">
        <w:rPr>
          <w:kern w:val="22"/>
          <w:szCs w:val="22"/>
        </w:rPr>
        <w:t xml:space="preserve"> on Indigenous Issues</w:t>
      </w:r>
      <w:r w:rsidRPr="00FE6148">
        <w:rPr>
          <w:kern w:val="22"/>
          <w:szCs w:val="22"/>
        </w:rPr>
        <w:t>, the Expert Mechanism on the Rights of Indigenous Peoples</w:t>
      </w:r>
      <w:r w:rsidR="00B74F47" w:rsidRPr="00FE6148">
        <w:rPr>
          <w:kern w:val="22"/>
          <w:szCs w:val="22"/>
        </w:rPr>
        <w:t>,</w:t>
      </w:r>
      <w:r w:rsidRPr="00FE6148">
        <w:rPr>
          <w:kern w:val="22"/>
          <w:szCs w:val="22"/>
        </w:rPr>
        <w:t xml:space="preserve"> and </w:t>
      </w:r>
      <w:r w:rsidRPr="00FE6148">
        <w:rPr>
          <w:kern w:val="22"/>
          <w:szCs w:val="22"/>
        </w:rPr>
        <w:lastRenderedPageBreak/>
        <w:t>the Special Rapporteur on the rights of indigenous peoples. The action plan set out a comprehensive overview of key objectives, principles and actions to be taken during the International Year and after.</w:t>
      </w:r>
    </w:p>
    <w:p w14:paraId="0F5CB7CF" w14:textId="2024A814" w:rsidR="00603D08" w:rsidRPr="00FE6148" w:rsidRDefault="00332AC0" w:rsidP="00452F66">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The Year </w:t>
      </w:r>
      <w:r w:rsidRPr="00FE6148">
        <w:rPr>
          <w:color w:val="000000"/>
          <w:kern w:val="22"/>
        </w:rPr>
        <w:t>greatly</w:t>
      </w:r>
      <w:r w:rsidRPr="00FE6148">
        <w:rPr>
          <w:kern w:val="22"/>
          <w:szCs w:val="22"/>
        </w:rPr>
        <w:t xml:space="preserve"> benefited from the generous support provided by Member States, government organizations, indigenous peoples’ organizations, broader civil society and academic organizations, and other public and private partners. </w:t>
      </w:r>
      <w:r w:rsidR="007E31AB" w:rsidRPr="00FE6148">
        <w:rPr>
          <w:kern w:val="22"/>
          <w:szCs w:val="22"/>
        </w:rPr>
        <w:t>As noted in the summary report</w:t>
      </w:r>
      <w:r w:rsidR="00F547D7" w:rsidRPr="00FE6148">
        <w:rPr>
          <w:kern w:val="22"/>
          <w:szCs w:val="22"/>
        </w:rPr>
        <w:t>:</w:t>
      </w:r>
    </w:p>
    <w:p w14:paraId="05AC6A5F" w14:textId="144F2932" w:rsidR="00332AC0" w:rsidRPr="00FE6148" w:rsidRDefault="007E31AB" w:rsidP="00FE6148">
      <w:pPr>
        <w:suppressLineNumbers/>
        <w:pBdr>
          <w:top w:val="nil"/>
          <w:left w:val="nil"/>
          <w:bottom w:val="nil"/>
          <w:right w:val="nil"/>
          <w:between w:val="nil"/>
        </w:pBdr>
        <w:suppressAutoHyphens/>
        <w:spacing w:before="120" w:after="120"/>
        <w:ind w:left="567" w:right="284"/>
        <w:rPr>
          <w:kern w:val="22"/>
          <w:szCs w:val="22"/>
        </w:rPr>
      </w:pPr>
      <w:r w:rsidRPr="00FE6148">
        <w:rPr>
          <w:kern w:val="22"/>
          <w:szCs w:val="22"/>
        </w:rPr>
        <w:t>“</w:t>
      </w:r>
      <w:r w:rsidR="00681AE8" w:rsidRPr="00FE6148">
        <w:rPr>
          <w:kern w:val="22"/>
          <w:szCs w:val="22"/>
        </w:rPr>
        <w:t>O</w:t>
      </w:r>
      <w:r w:rsidRPr="00FE6148">
        <w:rPr>
          <w:kern w:val="22"/>
        </w:rPr>
        <w:t>ne of the key recommendations regarding future action was to make additional efforts to seek extrabudgetary resources, including by examining the feasibility of establishing a multi-donor financial mechanism for the implementation of language-related initiatives and concrete projects</w:t>
      </w:r>
      <w:bookmarkStart w:id="11" w:name="_Hlk44354613"/>
      <w:r w:rsidRPr="00FE6148">
        <w:rPr>
          <w:kern w:val="22"/>
        </w:rPr>
        <w:t>, including in follow-up to the Year and to the International Decade of Indigenous Languages (2022–2032).”</w:t>
      </w:r>
      <w:r w:rsidRPr="00FE6148">
        <w:rPr>
          <w:kern w:val="22"/>
          <w:vertAlign w:val="superscript"/>
        </w:rPr>
        <w:footnoteReference w:id="11"/>
      </w:r>
      <w:bookmarkEnd w:id="11"/>
    </w:p>
    <w:p w14:paraId="42796DB7" w14:textId="3BEC2660" w:rsidR="00332AC0" w:rsidRPr="00FE6148" w:rsidRDefault="00C037A9" w:rsidP="00FE6148">
      <w:pPr>
        <w:keepNext/>
        <w:suppressLineNumbers/>
        <w:suppressAutoHyphens/>
        <w:spacing w:before="120" w:after="120"/>
        <w:outlineLvl w:val="3"/>
        <w:rPr>
          <w:bCs/>
          <w:i/>
          <w:kern w:val="22"/>
          <w:szCs w:val="22"/>
        </w:rPr>
      </w:pPr>
      <w:r w:rsidRPr="00FE6148">
        <w:rPr>
          <w:bCs/>
          <w:iCs/>
          <w:kern w:val="22"/>
          <w:szCs w:val="22"/>
        </w:rPr>
        <w:t>(a)</w:t>
      </w:r>
      <w:r w:rsidRPr="00FE6148">
        <w:rPr>
          <w:bCs/>
          <w:i/>
          <w:kern w:val="22"/>
          <w:szCs w:val="22"/>
        </w:rPr>
        <w:t xml:space="preserve"> </w:t>
      </w:r>
      <w:r w:rsidR="00FD2B82" w:rsidRPr="00FE6148">
        <w:rPr>
          <w:bCs/>
          <w:i/>
          <w:kern w:val="22"/>
          <w:szCs w:val="22"/>
        </w:rPr>
        <w:t xml:space="preserve">Activities of the 2019 </w:t>
      </w:r>
      <w:r w:rsidR="00C03664" w:rsidRPr="00FE6148">
        <w:rPr>
          <w:bCs/>
          <w:i/>
          <w:kern w:val="22"/>
          <w:szCs w:val="22"/>
        </w:rPr>
        <w:t>International Year of Indigenous Languages</w:t>
      </w:r>
    </w:p>
    <w:p w14:paraId="4772EFF4" w14:textId="3D0844AE"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To </w:t>
      </w:r>
      <w:r w:rsidRPr="00FE6148">
        <w:rPr>
          <w:kern w:val="22"/>
        </w:rPr>
        <w:t>foster</w:t>
      </w:r>
      <w:r w:rsidRPr="00FE6148">
        <w:rPr>
          <w:kern w:val="22"/>
          <w:szCs w:val="22"/>
        </w:rPr>
        <w:t xml:space="preserve"> synergies, </w:t>
      </w:r>
      <w:proofErr w:type="gramStart"/>
      <w:r w:rsidRPr="00FE6148">
        <w:rPr>
          <w:kern w:val="22"/>
          <w:szCs w:val="22"/>
        </w:rPr>
        <w:t>a large number of</w:t>
      </w:r>
      <w:proofErr w:type="gramEnd"/>
      <w:r w:rsidRPr="00FE6148">
        <w:rPr>
          <w:kern w:val="22"/>
          <w:szCs w:val="22"/>
        </w:rPr>
        <w:t xml:space="preserve"> activities were implemented by various partners by building on the strengths of multi-stakeholder partnerships at all levels, thus laying the groundwork for the continuation of activities going forward. A database was set up, based on voluntary reporting, to map, monitor and evaluate the activities and events organized by various partners around the world.</w:t>
      </w:r>
    </w:p>
    <w:p w14:paraId="1F6C41C1" w14:textId="43CBAAFC"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bCs/>
          <w:kern w:val="22"/>
          <w:szCs w:val="22"/>
        </w:rPr>
      </w:pPr>
      <w:r w:rsidRPr="00FE6148">
        <w:rPr>
          <w:kern w:val="22"/>
        </w:rPr>
        <w:t>Throughout</w:t>
      </w:r>
      <w:r w:rsidRPr="00FE6148">
        <w:rPr>
          <w:kern w:val="22"/>
          <w:szCs w:val="22"/>
        </w:rPr>
        <w:t xml:space="preserve"> 2019, </w:t>
      </w:r>
      <w:r w:rsidR="00CB7327" w:rsidRPr="00FE6148">
        <w:rPr>
          <w:kern w:val="22"/>
          <w:szCs w:val="22"/>
        </w:rPr>
        <w:t xml:space="preserve">a total of </w:t>
      </w:r>
      <w:r w:rsidR="00915433" w:rsidRPr="00FE6148">
        <w:rPr>
          <w:bCs/>
          <w:kern w:val="22"/>
          <w:szCs w:val="22"/>
        </w:rPr>
        <w:t xml:space="preserve">882 </w:t>
      </w:r>
      <w:r w:rsidRPr="00FE6148">
        <w:rPr>
          <w:bCs/>
          <w:kern w:val="22"/>
          <w:szCs w:val="22"/>
        </w:rPr>
        <w:t>registered initiatives and targeted events took place in 78</w:t>
      </w:r>
      <w:r w:rsidR="00835A62" w:rsidRPr="00FE6148">
        <w:rPr>
          <w:bCs/>
          <w:kern w:val="22"/>
          <w:szCs w:val="22"/>
        </w:rPr>
        <w:t> </w:t>
      </w:r>
      <w:r w:rsidRPr="00FE6148">
        <w:rPr>
          <w:bCs/>
          <w:kern w:val="22"/>
          <w:szCs w:val="22"/>
        </w:rPr>
        <w:t>countries within the framework of the International Year</w:t>
      </w:r>
      <w:r w:rsidR="00C32EDF" w:rsidRPr="00FE6148">
        <w:rPr>
          <w:bCs/>
          <w:kern w:val="22"/>
          <w:szCs w:val="22"/>
        </w:rPr>
        <w:t xml:space="preserve"> of Indigenous Languages</w:t>
      </w:r>
      <w:r w:rsidRPr="00FE6148">
        <w:rPr>
          <w:bCs/>
          <w:kern w:val="22"/>
          <w:szCs w:val="22"/>
        </w:rPr>
        <w:t xml:space="preserve">. These and other relevant statistics are reported in the </w:t>
      </w:r>
      <w:r w:rsidR="00850B94" w:rsidRPr="00FE6148">
        <w:rPr>
          <w:kern w:val="22"/>
        </w:rPr>
        <w:t>summary</w:t>
      </w:r>
      <w:r w:rsidR="00A02F27" w:rsidRPr="00FE6148">
        <w:rPr>
          <w:kern w:val="22"/>
        </w:rPr>
        <w:t xml:space="preserve"> </w:t>
      </w:r>
      <w:r w:rsidR="00B44E2B" w:rsidRPr="00FE6148">
        <w:rPr>
          <w:bCs/>
          <w:kern w:val="22"/>
          <w:szCs w:val="22"/>
        </w:rPr>
        <w:t>r</w:t>
      </w:r>
      <w:r w:rsidR="00A02F27" w:rsidRPr="00FE6148">
        <w:rPr>
          <w:kern w:val="22"/>
        </w:rPr>
        <w:t>eport o</w:t>
      </w:r>
      <w:r w:rsidR="00CD5A10" w:rsidRPr="00FE6148">
        <w:rPr>
          <w:kern w:val="22"/>
        </w:rPr>
        <w:t>n</w:t>
      </w:r>
      <w:r w:rsidR="00A02F27" w:rsidRPr="00FE6148">
        <w:rPr>
          <w:kern w:val="22"/>
        </w:rPr>
        <w:t xml:space="preserve"> the International Year</w:t>
      </w:r>
      <w:r w:rsidRPr="00FE6148">
        <w:rPr>
          <w:bCs/>
          <w:kern w:val="22"/>
          <w:szCs w:val="22"/>
        </w:rPr>
        <w:t>.</w:t>
      </w:r>
      <w:r w:rsidR="004C48DE" w:rsidRPr="00FE6148">
        <w:rPr>
          <w:rStyle w:val="FootnoteReference"/>
          <w:bCs/>
          <w:kern w:val="22"/>
          <w:szCs w:val="22"/>
        </w:rPr>
        <w:footnoteReference w:id="12"/>
      </w:r>
      <w:r w:rsidRPr="00FE6148">
        <w:rPr>
          <w:bCs/>
          <w:kern w:val="22"/>
          <w:szCs w:val="22"/>
        </w:rPr>
        <w:t xml:space="preserve"> Overall, 94 countries were involved in the International Year, including researchers from 63 countries </w:t>
      </w:r>
      <w:r w:rsidR="00412E90" w:rsidRPr="00FE6148">
        <w:rPr>
          <w:bCs/>
          <w:kern w:val="22"/>
          <w:szCs w:val="22"/>
        </w:rPr>
        <w:t>who</w:t>
      </w:r>
      <w:r w:rsidR="006E458D" w:rsidRPr="00FE6148">
        <w:rPr>
          <w:bCs/>
          <w:kern w:val="22"/>
          <w:szCs w:val="22"/>
        </w:rPr>
        <w:t xml:space="preserve"> </w:t>
      </w:r>
      <w:r w:rsidRPr="00FE6148">
        <w:rPr>
          <w:bCs/>
          <w:kern w:val="22"/>
          <w:szCs w:val="22"/>
        </w:rPr>
        <w:t xml:space="preserve">submitted 284 papers focusing on different topics </w:t>
      </w:r>
      <w:r w:rsidR="00B74DE3" w:rsidRPr="00FE6148">
        <w:rPr>
          <w:bCs/>
          <w:kern w:val="22"/>
          <w:szCs w:val="22"/>
        </w:rPr>
        <w:t xml:space="preserve">in response </w:t>
      </w:r>
      <w:r w:rsidRPr="00FE6148">
        <w:rPr>
          <w:bCs/>
          <w:kern w:val="22"/>
          <w:szCs w:val="22"/>
        </w:rPr>
        <w:t xml:space="preserve">to the </w:t>
      </w:r>
      <w:r w:rsidR="00F116CA" w:rsidRPr="00FE6148">
        <w:rPr>
          <w:rStyle w:val="Hyperlink"/>
          <w:bCs/>
          <w:color w:val="auto"/>
          <w:kern w:val="22"/>
          <w:sz w:val="22"/>
          <w:szCs w:val="22"/>
        </w:rPr>
        <w:t>g</w:t>
      </w:r>
      <w:r w:rsidR="00F116CA" w:rsidRPr="00FE6148">
        <w:rPr>
          <w:kern w:val="22"/>
        </w:rPr>
        <w:t xml:space="preserve">lobal </w:t>
      </w:r>
      <w:r w:rsidR="003D3ABC" w:rsidRPr="00FE6148">
        <w:rPr>
          <w:kern w:val="22"/>
        </w:rPr>
        <w:t>c</w:t>
      </w:r>
      <w:r w:rsidR="00F116CA" w:rsidRPr="00FE6148">
        <w:rPr>
          <w:kern w:val="22"/>
        </w:rPr>
        <w:t xml:space="preserve">all for </w:t>
      </w:r>
      <w:r w:rsidR="003D3ABC" w:rsidRPr="00FE6148">
        <w:rPr>
          <w:kern w:val="22"/>
        </w:rPr>
        <w:t>r</w:t>
      </w:r>
      <w:r w:rsidR="00F116CA" w:rsidRPr="00FE6148">
        <w:rPr>
          <w:kern w:val="22"/>
        </w:rPr>
        <w:t xml:space="preserve">esearch </w:t>
      </w:r>
      <w:r w:rsidR="003D3ABC" w:rsidRPr="00FE6148">
        <w:rPr>
          <w:kern w:val="22"/>
        </w:rPr>
        <w:t>p</w:t>
      </w:r>
      <w:r w:rsidR="00F116CA" w:rsidRPr="00FE6148">
        <w:rPr>
          <w:kern w:val="22"/>
        </w:rPr>
        <w:t>apers</w:t>
      </w:r>
      <w:r w:rsidR="00EA1762" w:rsidRPr="00FE6148">
        <w:rPr>
          <w:rStyle w:val="FootnoteReference"/>
          <w:bCs/>
          <w:kern w:val="22"/>
          <w:szCs w:val="22"/>
        </w:rPr>
        <w:footnoteReference w:id="13"/>
      </w:r>
      <w:r w:rsidRPr="00FE6148">
        <w:rPr>
          <w:bCs/>
          <w:kern w:val="22"/>
          <w:szCs w:val="22"/>
        </w:rPr>
        <w:t xml:space="preserve"> launched by UNESCO in December 2018.</w:t>
      </w:r>
    </w:p>
    <w:p w14:paraId="4A338851" w14:textId="6D49D9BA" w:rsidR="00332AC0" w:rsidRPr="00FE6148" w:rsidRDefault="00A82F8E" w:rsidP="00FE6148">
      <w:pPr>
        <w:numPr>
          <w:ilvl w:val="0"/>
          <w:numId w:val="10"/>
        </w:numPr>
        <w:suppressLineNumbers/>
        <w:pBdr>
          <w:top w:val="nil"/>
          <w:left w:val="nil"/>
          <w:bottom w:val="nil"/>
          <w:right w:val="nil"/>
          <w:between w:val="nil"/>
        </w:pBdr>
        <w:suppressAutoHyphens/>
        <w:spacing w:before="120" w:after="120"/>
        <w:rPr>
          <w:kern w:val="22"/>
        </w:rPr>
      </w:pPr>
      <w:bookmarkStart w:id="12" w:name="_Hlk44352712"/>
      <w:r w:rsidRPr="00FE6148">
        <w:rPr>
          <w:rStyle w:val="Policepardfaut"/>
          <w:kern w:val="22"/>
        </w:rPr>
        <w:t>During 2019, people from all over the world joined the global online community to discuss “indigenous languages for development, peace-building and reconciliation” created by UNESCO for the 2019</w:t>
      </w:r>
      <w:r w:rsidR="00640065" w:rsidRPr="00FE6148">
        <w:t xml:space="preserve"> </w:t>
      </w:r>
      <w:r w:rsidR="00640065" w:rsidRPr="00FE6148">
        <w:rPr>
          <w:rStyle w:val="Policepardfaut"/>
          <w:kern w:val="22"/>
        </w:rPr>
        <w:t>International Year of Indigenous Languages</w:t>
      </w:r>
      <w:r w:rsidRPr="00FE6148">
        <w:rPr>
          <w:rStyle w:val="Policepardfaut"/>
          <w:kern w:val="22"/>
        </w:rPr>
        <w:t>.</w:t>
      </w:r>
      <w:r w:rsidRPr="00FE6148">
        <w:rPr>
          <w:rStyle w:val="FootnoteReference"/>
          <w:kern w:val="22"/>
        </w:rPr>
        <w:footnoteReference w:id="14"/>
      </w:r>
      <w:r w:rsidRPr="00FE6148">
        <w:rPr>
          <w:rStyle w:val="Policepardfaut"/>
          <w:kern w:val="22"/>
        </w:rPr>
        <w:t xml:space="preserve"> The site received more than </w:t>
      </w:r>
      <w:r w:rsidR="005F256A" w:rsidRPr="00FE6148">
        <w:rPr>
          <w:rStyle w:val="Policepardfaut"/>
          <w:kern w:val="22"/>
        </w:rPr>
        <w:t>1</w:t>
      </w:r>
      <w:r w:rsidRPr="00FE6148">
        <w:rPr>
          <w:rStyle w:val="Policepardfaut"/>
          <w:kern w:val="22"/>
        </w:rPr>
        <w:t xml:space="preserve"> million visits and 10 million page-views, and more through social media. </w:t>
      </w:r>
      <w:bookmarkEnd w:id="12"/>
      <w:r w:rsidR="00332AC0" w:rsidRPr="00FE6148">
        <w:rPr>
          <w:bCs/>
          <w:kern w:val="22"/>
        </w:rPr>
        <w:t>Global media widely covered the IYIL2019</w:t>
      </w:r>
      <w:r w:rsidR="001B0CA7" w:rsidRPr="00FE6148">
        <w:rPr>
          <w:bCs/>
          <w:kern w:val="22"/>
        </w:rPr>
        <w:t xml:space="preserve"> widely, with a</w:t>
      </w:r>
      <w:r w:rsidR="00332AC0" w:rsidRPr="00FE6148">
        <w:rPr>
          <w:bCs/>
          <w:kern w:val="22"/>
        </w:rPr>
        <w:t>t least 4</w:t>
      </w:r>
      <w:r w:rsidR="00600FDD" w:rsidRPr="00FE6148">
        <w:rPr>
          <w:bCs/>
          <w:kern w:val="22"/>
        </w:rPr>
        <w:t>,</w:t>
      </w:r>
      <w:r w:rsidR="00332AC0" w:rsidRPr="00FE6148">
        <w:rPr>
          <w:bCs/>
          <w:kern w:val="22"/>
        </w:rPr>
        <w:t xml:space="preserve">000 articles </w:t>
      </w:r>
      <w:r w:rsidR="001D438D" w:rsidRPr="00FE6148">
        <w:rPr>
          <w:bCs/>
          <w:kern w:val="22"/>
        </w:rPr>
        <w:t xml:space="preserve">published </w:t>
      </w:r>
      <w:r w:rsidR="00332AC0" w:rsidRPr="00FE6148">
        <w:rPr>
          <w:bCs/>
          <w:kern w:val="22"/>
        </w:rPr>
        <w:t xml:space="preserve">in </w:t>
      </w:r>
      <w:r w:rsidR="003A3683" w:rsidRPr="00FE6148">
        <w:rPr>
          <w:bCs/>
          <w:kern w:val="22"/>
        </w:rPr>
        <w:t xml:space="preserve">the </w:t>
      </w:r>
      <w:r w:rsidR="00332AC0" w:rsidRPr="00FE6148">
        <w:rPr>
          <w:bCs/>
          <w:kern w:val="22"/>
        </w:rPr>
        <w:t xml:space="preserve">six </w:t>
      </w:r>
      <w:r w:rsidR="003A3683" w:rsidRPr="00FE6148">
        <w:rPr>
          <w:bCs/>
          <w:kern w:val="22"/>
        </w:rPr>
        <w:t xml:space="preserve">United Nations </w:t>
      </w:r>
      <w:r w:rsidR="00332AC0" w:rsidRPr="00FE6148">
        <w:rPr>
          <w:bCs/>
          <w:kern w:val="22"/>
        </w:rPr>
        <w:t>languages</w:t>
      </w:r>
      <w:r w:rsidR="001B0CA7" w:rsidRPr="00FE6148">
        <w:rPr>
          <w:rStyle w:val="FootnoteReference"/>
          <w:bCs/>
          <w:kern w:val="22"/>
        </w:rPr>
        <w:footnoteReference w:id="15"/>
      </w:r>
      <w:r w:rsidR="00332AC0" w:rsidRPr="00FE6148">
        <w:rPr>
          <w:bCs/>
          <w:kern w:val="22"/>
        </w:rPr>
        <w:t xml:space="preserve"> reaching a large audience around the world as a part of the global communication and awareness campaign.</w:t>
      </w:r>
    </w:p>
    <w:p w14:paraId="2FB16290" w14:textId="2DFEA675"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Throughout</w:t>
      </w:r>
      <w:r w:rsidRPr="00FE6148">
        <w:rPr>
          <w:rStyle w:val="Policepardfaut"/>
          <w:kern w:val="22"/>
        </w:rPr>
        <w:t xml:space="preserve"> 2019, UNESCO carried out a series of regional consultations to identify recommendations for future actions</w:t>
      </w:r>
      <w:r w:rsidR="009E66E1" w:rsidRPr="00FE6148">
        <w:rPr>
          <w:rStyle w:val="Policepardfaut"/>
          <w:kern w:val="22"/>
        </w:rPr>
        <w:t xml:space="preserve">; the recommendations </w:t>
      </w:r>
      <w:r w:rsidRPr="00FE6148">
        <w:rPr>
          <w:rStyle w:val="Policepardfaut"/>
          <w:kern w:val="22"/>
        </w:rPr>
        <w:t xml:space="preserve">have been integrated in the </w:t>
      </w:r>
      <w:r w:rsidR="002061B8" w:rsidRPr="00FE6148">
        <w:rPr>
          <w:kern w:val="22"/>
          <w:szCs w:val="22"/>
        </w:rPr>
        <w:t>g</w:t>
      </w:r>
      <w:r w:rsidR="002061B8" w:rsidRPr="00FE6148">
        <w:rPr>
          <w:kern w:val="22"/>
        </w:rPr>
        <w:t xml:space="preserve">lobal Strategic Outcome Document </w:t>
      </w:r>
      <w:r w:rsidR="002061B8" w:rsidRPr="00FE6148">
        <w:rPr>
          <w:kern w:val="22"/>
          <w:szCs w:val="22"/>
        </w:rPr>
        <w:t>of</w:t>
      </w:r>
      <w:r w:rsidR="002061B8" w:rsidRPr="00FE6148">
        <w:rPr>
          <w:kern w:val="22"/>
        </w:rPr>
        <w:t xml:space="preserve"> the </w:t>
      </w:r>
      <w:r w:rsidR="002061B8" w:rsidRPr="00FE6148">
        <w:rPr>
          <w:kern w:val="22"/>
          <w:szCs w:val="22"/>
        </w:rPr>
        <w:t xml:space="preserve">2019 </w:t>
      </w:r>
      <w:r w:rsidR="002061B8" w:rsidRPr="00FE6148">
        <w:rPr>
          <w:kern w:val="22"/>
        </w:rPr>
        <w:t>International Year of Indigenous Languages</w:t>
      </w:r>
      <w:r w:rsidRPr="00FE6148">
        <w:rPr>
          <w:rStyle w:val="Policepardfaut"/>
          <w:kern w:val="22"/>
        </w:rPr>
        <w:t>,</w:t>
      </w:r>
      <w:r w:rsidR="004C48DE" w:rsidRPr="00FE6148">
        <w:rPr>
          <w:rStyle w:val="FootnoteReference"/>
          <w:kern w:val="22"/>
        </w:rPr>
        <w:footnoteReference w:id="16"/>
      </w:r>
      <w:r w:rsidRPr="00FE6148">
        <w:rPr>
          <w:rStyle w:val="Policepardfaut"/>
          <w:kern w:val="22"/>
        </w:rPr>
        <w:t xml:space="preserve"> endorsed at the 40th </w:t>
      </w:r>
      <w:r w:rsidR="00B91A64" w:rsidRPr="00FE6148">
        <w:rPr>
          <w:rStyle w:val="Policepardfaut"/>
          <w:kern w:val="22"/>
        </w:rPr>
        <w:t xml:space="preserve">session of the </w:t>
      </w:r>
      <w:r w:rsidRPr="00FE6148">
        <w:rPr>
          <w:rStyle w:val="Policepardfaut"/>
          <w:kern w:val="22"/>
        </w:rPr>
        <w:t>General Conference</w:t>
      </w:r>
      <w:r w:rsidR="001E78AC" w:rsidRPr="00FE6148">
        <w:rPr>
          <w:rStyle w:val="Policepardfaut"/>
          <w:kern w:val="22"/>
        </w:rPr>
        <w:t xml:space="preserve"> of </w:t>
      </w:r>
      <w:r w:rsidR="00193069" w:rsidRPr="00FE6148">
        <w:rPr>
          <w:rStyle w:val="Policepardfaut"/>
          <w:kern w:val="22"/>
        </w:rPr>
        <w:t>UNESCO</w:t>
      </w:r>
      <w:r w:rsidR="00B91A64" w:rsidRPr="00FE6148">
        <w:rPr>
          <w:rStyle w:val="Policepardfaut"/>
          <w:kern w:val="22"/>
        </w:rPr>
        <w:t xml:space="preserve">, </w:t>
      </w:r>
      <w:r w:rsidR="00DE130F" w:rsidRPr="00FE6148">
        <w:rPr>
          <w:rStyle w:val="Policepardfaut"/>
          <w:kern w:val="22"/>
        </w:rPr>
        <w:t xml:space="preserve">held </w:t>
      </w:r>
      <w:r w:rsidR="00B91A64" w:rsidRPr="00FE6148">
        <w:rPr>
          <w:rStyle w:val="Policepardfaut"/>
          <w:kern w:val="22"/>
        </w:rPr>
        <w:t>in November 2019</w:t>
      </w:r>
      <w:r w:rsidRPr="00FE6148">
        <w:rPr>
          <w:rStyle w:val="Policepardfaut"/>
          <w:kern w:val="22"/>
        </w:rPr>
        <w:t xml:space="preserve">. </w:t>
      </w:r>
      <w:r w:rsidR="005871AE" w:rsidRPr="00FE6148">
        <w:rPr>
          <w:rStyle w:val="Policepardfaut"/>
          <w:kern w:val="22"/>
        </w:rPr>
        <w:t>This document</w:t>
      </w:r>
      <w:r w:rsidRPr="00FE6148">
        <w:rPr>
          <w:rStyle w:val="Policepardfaut"/>
          <w:kern w:val="22"/>
        </w:rPr>
        <w:t xml:space="preserve"> represents one of the main outcomes of the International Year, as it contributes to the development of long-term plans in the area of indigenous languages, in relation to peacebuilding, sustainable development, protection of biodiversity, reconciliation, and other</w:t>
      </w:r>
      <w:r w:rsidR="00513520" w:rsidRPr="00FE6148">
        <w:rPr>
          <w:rStyle w:val="Policepardfaut"/>
          <w:kern w:val="22"/>
        </w:rPr>
        <w:t xml:space="preserve"> areas</w:t>
      </w:r>
      <w:r w:rsidRPr="00FE6148">
        <w:rPr>
          <w:rStyle w:val="Policepardfaut"/>
          <w:kern w:val="22"/>
        </w:rPr>
        <w:t>, throughout the upcoming decade.</w:t>
      </w:r>
    </w:p>
    <w:p w14:paraId="1516198C" w14:textId="17422BAB" w:rsidR="00332AC0" w:rsidRPr="00FE6148" w:rsidRDefault="00A9532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An i</w:t>
      </w:r>
      <w:r w:rsidR="00332AC0" w:rsidRPr="00FE6148">
        <w:rPr>
          <w:kern w:val="22"/>
        </w:rPr>
        <w:t xml:space="preserve">nternational </w:t>
      </w:r>
      <w:r w:rsidR="004E56B4" w:rsidRPr="00FE6148">
        <w:rPr>
          <w:kern w:val="22"/>
        </w:rPr>
        <w:t>c</w:t>
      </w:r>
      <w:r w:rsidR="00332AC0" w:rsidRPr="00FE6148">
        <w:rPr>
          <w:kern w:val="22"/>
        </w:rPr>
        <w:t>onference on the theme of language technology (Language Technolog</w:t>
      </w:r>
      <w:r w:rsidR="001443DB" w:rsidRPr="00FE6148">
        <w:rPr>
          <w:kern w:val="22"/>
        </w:rPr>
        <w:t>ies for</w:t>
      </w:r>
      <w:r w:rsidR="00772718" w:rsidRPr="00FE6148">
        <w:rPr>
          <w:kern w:val="22"/>
        </w:rPr>
        <w:t> </w:t>
      </w:r>
      <w:r w:rsidR="001443DB" w:rsidRPr="00FE6148">
        <w:rPr>
          <w:kern w:val="22"/>
        </w:rPr>
        <w:t>All</w:t>
      </w:r>
      <w:r w:rsidR="006955D9" w:rsidRPr="00FE6148">
        <w:rPr>
          <w:kern w:val="22"/>
        </w:rPr>
        <w:t>,</w:t>
      </w:r>
      <w:r w:rsidR="001443DB" w:rsidRPr="00FE6148">
        <w:rPr>
          <w:kern w:val="22"/>
        </w:rPr>
        <w:t xml:space="preserve"> </w:t>
      </w:r>
      <w:r w:rsidR="006955D9" w:rsidRPr="00FE6148">
        <w:rPr>
          <w:kern w:val="22"/>
        </w:rPr>
        <w:t xml:space="preserve">or </w:t>
      </w:r>
      <w:r w:rsidR="001443DB" w:rsidRPr="00FE6148">
        <w:rPr>
          <w:kern w:val="22"/>
        </w:rPr>
        <w:t>LT</w:t>
      </w:r>
      <w:r w:rsidR="00332AC0" w:rsidRPr="00FE6148">
        <w:rPr>
          <w:kern w:val="22"/>
        </w:rPr>
        <w:t>4A</w:t>
      </w:r>
      <w:r w:rsidR="001443DB" w:rsidRPr="00FE6148">
        <w:rPr>
          <w:kern w:val="22"/>
        </w:rPr>
        <w:t>ll</w:t>
      </w:r>
      <w:r w:rsidR="00332AC0" w:rsidRPr="00FE6148">
        <w:rPr>
          <w:kern w:val="22"/>
        </w:rPr>
        <w:t xml:space="preserve">) was </w:t>
      </w:r>
      <w:r w:rsidR="002A2DC3" w:rsidRPr="00FE6148">
        <w:rPr>
          <w:kern w:val="22"/>
        </w:rPr>
        <w:t xml:space="preserve">convened </w:t>
      </w:r>
      <w:r w:rsidR="00332AC0" w:rsidRPr="00FE6148">
        <w:rPr>
          <w:kern w:val="22"/>
        </w:rPr>
        <w:t xml:space="preserve">at UNESCO Headquarters </w:t>
      </w:r>
      <w:r w:rsidR="005B1D9F" w:rsidRPr="00FE6148">
        <w:rPr>
          <w:kern w:val="22"/>
        </w:rPr>
        <w:t xml:space="preserve">in </w:t>
      </w:r>
      <w:r w:rsidR="00332AC0" w:rsidRPr="00FE6148">
        <w:rPr>
          <w:kern w:val="22"/>
        </w:rPr>
        <w:t xml:space="preserve">December 2019. </w:t>
      </w:r>
      <w:r w:rsidR="00E67675" w:rsidRPr="00FE6148">
        <w:rPr>
          <w:kern w:val="22"/>
        </w:rPr>
        <w:t>Earlier</w:t>
      </w:r>
      <w:r w:rsidR="009743E3" w:rsidRPr="00FE6148">
        <w:rPr>
          <w:kern w:val="22"/>
        </w:rPr>
        <w:t xml:space="preserve">, </w:t>
      </w:r>
      <w:r w:rsidR="00332AC0" w:rsidRPr="00FE6148">
        <w:rPr>
          <w:kern w:val="22"/>
        </w:rPr>
        <w:t xml:space="preserve">International Mother Language </w:t>
      </w:r>
      <w:r w:rsidR="004D644B" w:rsidRPr="00FE6148">
        <w:rPr>
          <w:kern w:val="22"/>
        </w:rPr>
        <w:t xml:space="preserve">Day </w:t>
      </w:r>
      <w:r w:rsidR="00332AC0" w:rsidRPr="00FE6148">
        <w:rPr>
          <w:kern w:val="22"/>
        </w:rPr>
        <w:t>was celebrated on 21 February at UNESCO Headquarters, and a global social media campaign was launched for the celebration of the International Day of the World’s Indigenous Peoples on 9 August</w:t>
      </w:r>
      <w:r w:rsidR="003E1245" w:rsidRPr="00FE6148">
        <w:rPr>
          <w:kern w:val="22"/>
        </w:rPr>
        <w:t>,</w:t>
      </w:r>
      <w:r w:rsidR="00332AC0" w:rsidRPr="00FE6148">
        <w:rPr>
          <w:kern w:val="22"/>
        </w:rPr>
        <w:t xml:space="preserve"> including a special event organized by </w:t>
      </w:r>
      <w:r w:rsidR="00152484" w:rsidRPr="00FE6148">
        <w:rPr>
          <w:kern w:val="22"/>
        </w:rPr>
        <w:t xml:space="preserve">the United Nations Department of Economic and </w:t>
      </w:r>
      <w:r w:rsidR="002E3FE5" w:rsidRPr="00FE6148">
        <w:rPr>
          <w:kern w:val="22"/>
        </w:rPr>
        <w:t>Social Affairs</w:t>
      </w:r>
      <w:r w:rsidR="00332AC0" w:rsidRPr="00FE6148">
        <w:rPr>
          <w:kern w:val="22"/>
        </w:rPr>
        <w:t xml:space="preserve"> in New York.</w:t>
      </w:r>
    </w:p>
    <w:p w14:paraId="0BDEC211" w14:textId="53455DA2"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lastRenderedPageBreak/>
        <w:t xml:space="preserve">Throughout the International Year, UNESCO </w:t>
      </w:r>
      <w:r w:rsidR="00FB7B4A" w:rsidRPr="00FE6148">
        <w:rPr>
          <w:kern w:val="22"/>
        </w:rPr>
        <w:t>f</w:t>
      </w:r>
      <w:r w:rsidRPr="00FE6148">
        <w:rPr>
          <w:kern w:val="22"/>
        </w:rPr>
        <w:t xml:space="preserve">ield </w:t>
      </w:r>
      <w:r w:rsidR="00FB7B4A" w:rsidRPr="00FE6148">
        <w:rPr>
          <w:kern w:val="22"/>
        </w:rPr>
        <w:t>o</w:t>
      </w:r>
      <w:r w:rsidRPr="00FE6148">
        <w:rPr>
          <w:kern w:val="22"/>
        </w:rPr>
        <w:t>ffices organized several relevant activities</w:t>
      </w:r>
      <w:r w:rsidR="00E6084D" w:rsidRPr="00FE6148">
        <w:rPr>
          <w:kern w:val="22"/>
        </w:rPr>
        <w:t>; t</w:t>
      </w:r>
      <w:r w:rsidRPr="00FE6148">
        <w:rPr>
          <w:kern w:val="22"/>
        </w:rPr>
        <w:t>his include</w:t>
      </w:r>
      <w:r w:rsidR="00DD1E87" w:rsidRPr="00FE6148">
        <w:rPr>
          <w:kern w:val="22"/>
        </w:rPr>
        <w:t>d</w:t>
      </w:r>
      <w:r w:rsidRPr="00FE6148">
        <w:rPr>
          <w:kern w:val="22"/>
        </w:rPr>
        <w:t xml:space="preserve"> </w:t>
      </w:r>
      <w:r w:rsidR="00E6084D" w:rsidRPr="00FE6148">
        <w:rPr>
          <w:kern w:val="22"/>
        </w:rPr>
        <w:t>o</w:t>
      </w:r>
      <w:r w:rsidRPr="00FE6148">
        <w:rPr>
          <w:kern w:val="22"/>
        </w:rPr>
        <w:t>ffices in Addis Ababa, Bangkok, Guatemala</w:t>
      </w:r>
      <w:r w:rsidR="002716C1" w:rsidRPr="00FE6148">
        <w:rPr>
          <w:kern w:val="22"/>
        </w:rPr>
        <w:t xml:space="preserve"> City</w:t>
      </w:r>
      <w:r w:rsidRPr="00FE6148">
        <w:rPr>
          <w:kern w:val="22"/>
        </w:rPr>
        <w:t xml:space="preserve">, Lima, Quito, </w:t>
      </w:r>
      <w:r w:rsidR="00E6084D" w:rsidRPr="00FE6148">
        <w:rPr>
          <w:kern w:val="22"/>
        </w:rPr>
        <w:t xml:space="preserve">and </w:t>
      </w:r>
      <w:r w:rsidRPr="00FE6148">
        <w:rPr>
          <w:kern w:val="22"/>
        </w:rPr>
        <w:t xml:space="preserve">San Jose. Other relevant initiatives </w:t>
      </w:r>
      <w:r w:rsidR="00702639" w:rsidRPr="00FE6148">
        <w:rPr>
          <w:kern w:val="22"/>
        </w:rPr>
        <w:t>were</w:t>
      </w:r>
      <w:r w:rsidRPr="00FE6148">
        <w:rPr>
          <w:kern w:val="22"/>
        </w:rPr>
        <w:t xml:space="preserve"> carried out in cooperation </w:t>
      </w:r>
      <w:r w:rsidR="007536F4" w:rsidRPr="00FE6148">
        <w:rPr>
          <w:kern w:val="22"/>
        </w:rPr>
        <w:t xml:space="preserve">with </w:t>
      </w:r>
      <w:r w:rsidRPr="00FE6148">
        <w:rPr>
          <w:kern w:val="22"/>
        </w:rPr>
        <w:t>U</w:t>
      </w:r>
      <w:r w:rsidR="00971DBE" w:rsidRPr="00FE6148">
        <w:rPr>
          <w:kern w:val="22"/>
        </w:rPr>
        <w:t xml:space="preserve">nited </w:t>
      </w:r>
      <w:r w:rsidRPr="00FE6148">
        <w:rPr>
          <w:kern w:val="22"/>
        </w:rPr>
        <w:t>N</w:t>
      </w:r>
      <w:r w:rsidR="00971DBE" w:rsidRPr="00FE6148">
        <w:rPr>
          <w:kern w:val="22"/>
        </w:rPr>
        <w:t xml:space="preserve">ations </w:t>
      </w:r>
      <w:r w:rsidR="00654CA3" w:rsidRPr="00FE6148">
        <w:rPr>
          <w:kern w:val="22"/>
        </w:rPr>
        <w:t>entities</w:t>
      </w:r>
      <w:r w:rsidR="002716C1" w:rsidRPr="00FE6148">
        <w:rPr>
          <w:kern w:val="22"/>
        </w:rPr>
        <w:t>,</w:t>
      </w:r>
      <w:r w:rsidRPr="00FE6148">
        <w:rPr>
          <w:kern w:val="22"/>
        </w:rPr>
        <w:t xml:space="preserve"> such as </w:t>
      </w:r>
      <w:r w:rsidR="00F57CE9" w:rsidRPr="00FE6148">
        <w:rPr>
          <w:kern w:val="22"/>
        </w:rPr>
        <w:t>the United Nations Department of Economic and Social Affairs</w:t>
      </w:r>
      <w:r w:rsidRPr="00FE6148">
        <w:rPr>
          <w:kern w:val="22"/>
        </w:rPr>
        <w:t xml:space="preserve">, </w:t>
      </w:r>
      <w:r w:rsidR="00BF592B" w:rsidRPr="00FE6148">
        <w:rPr>
          <w:kern w:val="22"/>
        </w:rPr>
        <w:t>the World Intellectual Property Organization (</w:t>
      </w:r>
      <w:r w:rsidRPr="00FE6148">
        <w:rPr>
          <w:kern w:val="22"/>
        </w:rPr>
        <w:t>WIPO</w:t>
      </w:r>
      <w:r w:rsidR="00BF592B" w:rsidRPr="00FE6148">
        <w:rPr>
          <w:kern w:val="22"/>
        </w:rPr>
        <w:t>)</w:t>
      </w:r>
      <w:r w:rsidRPr="00FE6148">
        <w:rPr>
          <w:kern w:val="22"/>
        </w:rPr>
        <w:t xml:space="preserve">, </w:t>
      </w:r>
      <w:r w:rsidR="00675258" w:rsidRPr="00FE6148">
        <w:rPr>
          <w:kern w:val="22"/>
        </w:rPr>
        <w:t xml:space="preserve">the International </w:t>
      </w:r>
      <w:r w:rsidR="00C831EF" w:rsidRPr="00FE6148">
        <w:rPr>
          <w:kern w:val="22"/>
        </w:rPr>
        <w:t>Telecommunication Union (</w:t>
      </w:r>
      <w:r w:rsidRPr="00FE6148">
        <w:rPr>
          <w:kern w:val="22"/>
        </w:rPr>
        <w:t>ITU</w:t>
      </w:r>
      <w:r w:rsidR="00C831EF" w:rsidRPr="00FE6148">
        <w:rPr>
          <w:kern w:val="22"/>
        </w:rPr>
        <w:t>)</w:t>
      </w:r>
      <w:r w:rsidRPr="00FE6148">
        <w:rPr>
          <w:kern w:val="22"/>
        </w:rPr>
        <w:t xml:space="preserve">, FAO, </w:t>
      </w:r>
      <w:r w:rsidR="00654CA3" w:rsidRPr="00FE6148">
        <w:rPr>
          <w:kern w:val="22"/>
        </w:rPr>
        <w:t xml:space="preserve">and </w:t>
      </w:r>
      <w:r w:rsidR="00303B03" w:rsidRPr="00FE6148">
        <w:rPr>
          <w:kern w:val="22"/>
        </w:rPr>
        <w:t>the Expert Mechanism on the Rights of Indigenous Peoples</w:t>
      </w:r>
      <w:r w:rsidR="00654CA3" w:rsidRPr="00FE6148">
        <w:rPr>
          <w:kern w:val="22"/>
        </w:rPr>
        <w:t>,</w:t>
      </w:r>
      <w:r w:rsidRPr="00FE6148">
        <w:rPr>
          <w:kern w:val="22"/>
        </w:rPr>
        <w:t xml:space="preserve"> as well as other partners.</w:t>
      </w:r>
    </w:p>
    <w:p w14:paraId="7BC7AE1C" w14:textId="23CA2C52"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UNESCO is planning to launch</w:t>
      </w:r>
      <w:r w:rsidR="00C673C2" w:rsidRPr="00FE6148">
        <w:rPr>
          <w:kern w:val="22"/>
        </w:rPr>
        <w:t>,</w:t>
      </w:r>
      <w:r w:rsidRPr="00FE6148">
        <w:rPr>
          <w:kern w:val="22"/>
        </w:rPr>
        <w:t xml:space="preserve"> </w:t>
      </w:r>
      <w:r w:rsidR="00C673C2" w:rsidRPr="00FE6148">
        <w:rPr>
          <w:kern w:val="22"/>
        </w:rPr>
        <w:t xml:space="preserve">in 2020, </w:t>
      </w:r>
      <w:r w:rsidRPr="00FE6148">
        <w:rPr>
          <w:kern w:val="22"/>
        </w:rPr>
        <w:t>an online platform for the World Atlas of Languages,</w:t>
      </w:r>
      <w:r w:rsidR="001B0CA7" w:rsidRPr="00FE6148">
        <w:rPr>
          <w:rStyle w:val="FootnoteReference"/>
          <w:kern w:val="22"/>
        </w:rPr>
        <w:footnoteReference w:id="17"/>
      </w:r>
      <w:r w:rsidRPr="00FE6148">
        <w:rPr>
          <w:kern w:val="22"/>
        </w:rPr>
        <w:t xml:space="preserve"> a repository for linguistic diversity and multilingualism. A global data collection</w:t>
      </w:r>
      <w:r w:rsidR="005C7FD3" w:rsidRPr="00FE6148">
        <w:rPr>
          <w:kern w:val="22"/>
        </w:rPr>
        <w:t xml:space="preserve"> process</w:t>
      </w:r>
      <w:r w:rsidR="00ED0550" w:rsidRPr="00FE6148">
        <w:rPr>
          <w:kern w:val="22"/>
        </w:rPr>
        <w:t>,</w:t>
      </w:r>
      <w:r w:rsidRPr="00FE6148">
        <w:rPr>
          <w:kern w:val="22"/>
        </w:rPr>
        <w:t xml:space="preserve"> </w:t>
      </w:r>
      <w:r w:rsidR="005C7FD3" w:rsidRPr="00FE6148">
        <w:rPr>
          <w:kern w:val="22"/>
        </w:rPr>
        <w:t xml:space="preserve">the UNESCO </w:t>
      </w:r>
      <w:r w:rsidRPr="00FE6148">
        <w:rPr>
          <w:kern w:val="22"/>
        </w:rPr>
        <w:t>Survey of World Languages</w:t>
      </w:r>
      <w:r w:rsidR="00ED0550" w:rsidRPr="00FE6148">
        <w:rPr>
          <w:kern w:val="22"/>
        </w:rPr>
        <w:t>,</w:t>
      </w:r>
      <w:r w:rsidRPr="00FE6148">
        <w:rPr>
          <w:kern w:val="22"/>
        </w:rPr>
        <w:t xml:space="preserve"> was initiated </w:t>
      </w:r>
      <w:r w:rsidR="005C7FD3" w:rsidRPr="00FE6148">
        <w:rPr>
          <w:kern w:val="22"/>
        </w:rPr>
        <w:t xml:space="preserve">in 2018 </w:t>
      </w:r>
      <w:r w:rsidRPr="00FE6148">
        <w:rPr>
          <w:kern w:val="22"/>
        </w:rPr>
        <w:t xml:space="preserve">by the UNESCO Institute of Statistics (UIS) </w:t>
      </w:r>
      <w:r w:rsidR="00D73EC3" w:rsidRPr="00FE6148">
        <w:rPr>
          <w:kern w:val="22"/>
        </w:rPr>
        <w:t xml:space="preserve">in </w:t>
      </w:r>
      <w:r w:rsidR="00DC513A" w:rsidRPr="00FE6148">
        <w:rPr>
          <w:kern w:val="22"/>
        </w:rPr>
        <w:t xml:space="preserve">collaboration with the UNESCO Communication and Information Sector </w:t>
      </w:r>
      <w:r w:rsidRPr="00FE6148">
        <w:rPr>
          <w:kern w:val="22"/>
        </w:rPr>
        <w:t>and leading experts.</w:t>
      </w:r>
    </w:p>
    <w:p w14:paraId="366F6142" w14:textId="57D8BDC8"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The Secretariat</w:t>
      </w:r>
      <w:r w:rsidR="00513520" w:rsidRPr="00FE6148">
        <w:rPr>
          <w:kern w:val="22"/>
        </w:rPr>
        <w:t xml:space="preserve"> of UNESCO</w:t>
      </w:r>
      <w:r w:rsidRPr="00FE6148">
        <w:rPr>
          <w:kern w:val="22"/>
        </w:rPr>
        <w:t xml:space="preserve">, together with an international editorial group of experts, is involved in the preparation of the UNESCO World Report of Languages, </w:t>
      </w:r>
      <w:r w:rsidR="00E34D39" w:rsidRPr="00FE6148">
        <w:rPr>
          <w:kern w:val="22"/>
        </w:rPr>
        <w:t>which</w:t>
      </w:r>
      <w:r w:rsidRPr="00FE6148">
        <w:rPr>
          <w:kern w:val="22"/>
        </w:rPr>
        <w:t xml:space="preserve"> will provide a situation analysis of linguistic diversity</w:t>
      </w:r>
      <w:r w:rsidR="001C698B" w:rsidRPr="00FE6148">
        <w:rPr>
          <w:kern w:val="22"/>
        </w:rPr>
        <w:t xml:space="preserve"> and </w:t>
      </w:r>
      <w:r w:rsidRPr="00FE6148">
        <w:rPr>
          <w:kern w:val="22"/>
        </w:rPr>
        <w:t>measures taken to support, access and promote linguistic diversity and multilingualism.</w:t>
      </w:r>
    </w:p>
    <w:p w14:paraId="69F2E8D5" w14:textId="545EAB02" w:rsidR="00332AC0" w:rsidRPr="00FE6148" w:rsidRDefault="00C037A9" w:rsidP="00FE6148">
      <w:pPr>
        <w:keepNext/>
        <w:suppressLineNumbers/>
        <w:suppressAutoHyphens/>
        <w:spacing w:before="120" w:after="120"/>
        <w:outlineLvl w:val="3"/>
        <w:rPr>
          <w:bCs/>
          <w:i/>
          <w:kern w:val="22"/>
          <w:szCs w:val="22"/>
        </w:rPr>
      </w:pPr>
      <w:r w:rsidRPr="00FE6148">
        <w:rPr>
          <w:bCs/>
          <w:iCs/>
          <w:kern w:val="22"/>
          <w:szCs w:val="22"/>
        </w:rPr>
        <w:t>(b)</w:t>
      </w:r>
      <w:r w:rsidRPr="00FE6148">
        <w:rPr>
          <w:bCs/>
          <w:i/>
          <w:kern w:val="22"/>
          <w:szCs w:val="22"/>
        </w:rPr>
        <w:t xml:space="preserve"> </w:t>
      </w:r>
      <w:r w:rsidR="00D61B14" w:rsidRPr="00FE6148">
        <w:rPr>
          <w:bCs/>
          <w:i/>
          <w:kern w:val="22"/>
          <w:szCs w:val="22"/>
        </w:rPr>
        <w:t>Road</w:t>
      </w:r>
      <w:r w:rsidR="000B5D1F" w:rsidRPr="00FE6148">
        <w:rPr>
          <w:bCs/>
          <w:i/>
          <w:kern w:val="22"/>
          <w:szCs w:val="22"/>
        </w:rPr>
        <w:t> </w:t>
      </w:r>
      <w:r w:rsidR="00D61B14" w:rsidRPr="00FE6148">
        <w:rPr>
          <w:bCs/>
          <w:i/>
          <w:kern w:val="22"/>
          <w:szCs w:val="22"/>
        </w:rPr>
        <w:t>map to the</w:t>
      </w:r>
      <w:r w:rsidR="004116C4" w:rsidRPr="00FE6148">
        <w:rPr>
          <w:i/>
          <w:kern w:val="22"/>
          <w:szCs w:val="22"/>
        </w:rPr>
        <w:t xml:space="preserve"> International Decade of Indigenous Languages</w:t>
      </w:r>
    </w:p>
    <w:p w14:paraId="26DB14A3" w14:textId="778B95D2"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The </w:t>
      </w:r>
      <w:r w:rsidR="00F34D43" w:rsidRPr="00FE6148">
        <w:rPr>
          <w:kern w:val="22"/>
          <w:szCs w:val="22"/>
        </w:rPr>
        <w:t>2019 International Year of Indigenous Languages</w:t>
      </w:r>
      <w:r w:rsidRPr="00FE6148">
        <w:rPr>
          <w:kern w:val="22"/>
          <w:szCs w:val="22"/>
        </w:rPr>
        <w:t xml:space="preserve"> culminated in the proclamation of the International Decade </w:t>
      </w:r>
      <w:r w:rsidR="00CF6298" w:rsidRPr="00FE6148">
        <w:rPr>
          <w:kern w:val="22"/>
          <w:szCs w:val="22"/>
        </w:rPr>
        <w:t>of</w:t>
      </w:r>
      <w:r w:rsidRPr="00FE6148">
        <w:rPr>
          <w:kern w:val="22"/>
          <w:szCs w:val="22"/>
        </w:rPr>
        <w:t xml:space="preserve"> Indigenous Languages (2022-2032) by the United Nations General Assembly on 18 December 2019 (resolution 74/135)</w:t>
      </w:r>
      <w:r w:rsidR="000830CD" w:rsidRPr="00FE6148">
        <w:rPr>
          <w:kern w:val="22"/>
          <w:szCs w:val="22"/>
        </w:rPr>
        <w:t xml:space="preserve">; </w:t>
      </w:r>
      <w:r w:rsidR="00AC1F3C" w:rsidRPr="00FE6148">
        <w:rPr>
          <w:kern w:val="22"/>
          <w:szCs w:val="22"/>
        </w:rPr>
        <w:t xml:space="preserve">it </w:t>
      </w:r>
      <w:r w:rsidR="000830CD" w:rsidRPr="00FE6148">
        <w:rPr>
          <w:kern w:val="22"/>
          <w:szCs w:val="22"/>
        </w:rPr>
        <w:t>would begin on 1 January 2022</w:t>
      </w:r>
      <w:r w:rsidRPr="00FE6148">
        <w:rPr>
          <w:kern w:val="22"/>
          <w:szCs w:val="22"/>
        </w:rPr>
        <w:t>. An immediate start is needed to initiate the preparatory process for the organization of the International Decade of Indigenous Languages.</w:t>
      </w:r>
    </w:p>
    <w:p w14:paraId="59BA32B7" w14:textId="7A09A69C" w:rsidR="00AC1F3C"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rPr>
        <w:t>UNESCO</w:t>
      </w:r>
      <w:r w:rsidRPr="00FE6148">
        <w:rPr>
          <w:kern w:val="22"/>
          <w:szCs w:val="22"/>
        </w:rPr>
        <w:t xml:space="preserve"> and the Government of Mexico, in cooperation with a range of national, regional and international partners, organized a </w:t>
      </w:r>
      <w:r w:rsidR="001475D6" w:rsidRPr="00FE6148">
        <w:rPr>
          <w:kern w:val="22"/>
          <w:szCs w:val="22"/>
        </w:rPr>
        <w:t>h</w:t>
      </w:r>
      <w:r w:rsidRPr="00FE6148">
        <w:rPr>
          <w:kern w:val="22"/>
          <w:szCs w:val="22"/>
        </w:rPr>
        <w:t>igh-level event</w:t>
      </w:r>
      <w:r w:rsidR="00EB6E75" w:rsidRPr="00FE6148">
        <w:rPr>
          <w:kern w:val="22"/>
          <w:szCs w:val="22"/>
        </w:rPr>
        <w:t>,</w:t>
      </w:r>
      <w:r w:rsidRPr="00FE6148">
        <w:rPr>
          <w:kern w:val="22"/>
          <w:szCs w:val="22"/>
        </w:rPr>
        <w:t xml:space="preserve"> “Making a Decade of Action for Indigenous Languages”, that </w:t>
      </w:r>
      <w:r w:rsidR="006C023A" w:rsidRPr="00FE6148">
        <w:rPr>
          <w:kern w:val="22"/>
          <w:szCs w:val="22"/>
        </w:rPr>
        <w:t>was held</w:t>
      </w:r>
      <w:r w:rsidRPr="00FE6148">
        <w:rPr>
          <w:kern w:val="22"/>
          <w:szCs w:val="22"/>
        </w:rPr>
        <w:t xml:space="preserve"> </w:t>
      </w:r>
      <w:r w:rsidR="0047238B" w:rsidRPr="00FE6148">
        <w:rPr>
          <w:kern w:val="22"/>
          <w:szCs w:val="22"/>
        </w:rPr>
        <w:t>on</w:t>
      </w:r>
      <w:r w:rsidRPr="00FE6148">
        <w:rPr>
          <w:kern w:val="22"/>
          <w:szCs w:val="22"/>
        </w:rPr>
        <w:t xml:space="preserve"> 27 </w:t>
      </w:r>
      <w:r w:rsidR="0047238B" w:rsidRPr="00FE6148">
        <w:rPr>
          <w:kern w:val="22"/>
          <w:szCs w:val="22"/>
        </w:rPr>
        <w:t>and</w:t>
      </w:r>
      <w:r w:rsidRPr="00FE6148">
        <w:rPr>
          <w:kern w:val="22"/>
          <w:szCs w:val="22"/>
        </w:rPr>
        <w:t xml:space="preserve"> 28 February 2020, on the margins of the International Congress on Languages at Risk</w:t>
      </w:r>
      <w:r w:rsidR="009E5AFC" w:rsidRPr="00FE6148">
        <w:rPr>
          <w:kern w:val="22"/>
          <w:szCs w:val="22"/>
        </w:rPr>
        <w:t>,</w:t>
      </w:r>
      <w:r w:rsidRPr="00FE6148">
        <w:rPr>
          <w:kern w:val="22"/>
          <w:szCs w:val="22"/>
        </w:rPr>
        <w:t xml:space="preserve"> </w:t>
      </w:r>
      <w:r w:rsidR="009E5AFC" w:rsidRPr="00FE6148">
        <w:rPr>
          <w:kern w:val="22"/>
          <w:szCs w:val="22"/>
        </w:rPr>
        <w:t xml:space="preserve">held </w:t>
      </w:r>
      <w:r w:rsidR="00E6348C" w:rsidRPr="00FE6148">
        <w:rPr>
          <w:kern w:val="22"/>
          <w:szCs w:val="22"/>
        </w:rPr>
        <w:t>in Mexico City</w:t>
      </w:r>
      <w:r w:rsidR="0047238B" w:rsidRPr="00FE6148">
        <w:rPr>
          <w:kern w:val="22"/>
          <w:szCs w:val="22"/>
        </w:rPr>
        <w:t xml:space="preserve"> on </w:t>
      </w:r>
      <w:r w:rsidRPr="00FE6148">
        <w:rPr>
          <w:kern w:val="22"/>
          <w:szCs w:val="22"/>
        </w:rPr>
        <w:t xml:space="preserve">25 </w:t>
      </w:r>
      <w:r w:rsidR="0047238B" w:rsidRPr="00FE6148">
        <w:rPr>
          <w:kern w:val="22"/>
          <w:szCs w:val="22"/>
        </w:rPr>
        <w:t xml:space="preserve">and </w:t>
      </w:r>
      <w:r w:rsidRPr="00FE6148">
        <w:rPr>
          <w:kern w:val="22"/>
          <w:szCs w:val="22"/>
        </w:rPr>
        <w:t xml:space="preserve">26 February 2020. </w:t>
      </w:r>
      <w:r w:rsidR="00D27348" w:rsidRPr="00FE6148">
        <w:rPr>
          <w:kern w:val="22"/>
          <w:szCs w:val="22"/>
        </w:rPr>
        <w:t xml:space="preserve">The high-level event generated </w:t>
      </w:r>
      <w:r w:rsidR="00B27AC6" w:rsidRPr="00FE6148">
        <w:rPr>
          <w:kern w:val="22"/>
          <w:szCs w:val="22"/>
        </w:rPr>
        <w:t>an outcome document called the</w:t>
      </w:r>
      <w:r w:rsidR="00D27348" w:rsidRPr="00FE6148">
        <w:rPr>
          <w:kern w:val="22"/>
          <w:szCs w:val="22"/>
        </w:rPr>
        <w:t xml:space="preserve"> Los </w:t>
      </w:r>
      <w:proofErr w:type="spellStart"/>
      <w:r w:rsidR="00D27348" w:rsidRPr="00FE6148">
        <w:rPr>
          <w:kern w:val="22"/>
          <w:szCs w:val="22"/>
        </w:rPr>
        <w:t>Pinos</w:t>
      </w:r>
      <w:proofErr w:type="spellEnd"/>
      <w:r w:rsidR="00D27348" w:rsidRPr="00FE6148">
        <w:rPr>
          <w:kern w:val="22"/>
          <w:szCs w:val="22"/>
        </w:rPr>
        <w:t xml:space="preserve"> Declaration that present</w:t>
      </w:r>
      <w:r w:rsidR="00B27AC6" w:rsidRPr="00FE6148">
        <w:rPr>
          <w:kern w:val="22"/>
          <w:szCs w:val="22"/>
        </w:rPr>
        <w:t>ed</w:t>
      </w:r>
      <w:r w:rsidR="00D27348" w:rsidRPr="00FE6148">
        <w:rPr>
          <w:kern w:val="22"/>
          <w:szCs w:val="22"/>
        </w:rPr>
        <w:t xml:space="preserve"> the milestones </w:t>
      </w:r>
      <w:r w:rsidR="006C1E61" w:rsidRPr="00FE6148">
        <w:rPr>
          <w:kern w:val="22"/>
          <w:szCs w:val="22"/>
        </w:rPr>
        <w:t>for</w:t>
      </w:r>
      <w:r w:rsidR="00D27348" w:rsidRPr="00FE6148">
        <w:rPr>
          <w:kern w:val="22"/>
          <w:szCs w:val="22"/>
        </w:rPr>
        <w:t xml:space="preserve"> the elaboration of the future </w:t>
      </w:r>
      <w:r w:rsidR="006C1E61" w:rsidRPr="00FE6148">
        <w:rPr>
          <w:kern w:val="22"/>
          <w:szCs w:val="22"/>
        </w:rPr>
        <w:t>g</w:t>
      </w:r>
      <w:r w:rsidR="00D27348" w:rsidRPr="00FE6148">
        <w:rPr>
          <w:kern w:val="22"/>
          <w:szCs w:val="22"/>
        </w:rPr>
        <w:t xml:space="preserve">lobal </w:t>
      </w:r>
      <w:r w:rsidR="006C1E61" w:rsidRPr="00FE6148">
        <w:rPr>
          <w:kern w:val="22"/>
          <w:szCs w:val="22"/>
        </w:rPr>
        <w:t>p</w:t>
      </w:r>
      <w:r w:rsidR="00D27348" w:rsidRPr="00FE6148">
        <w:rPr>
          <w:kern w:val="22"/>
          <w:szCs w:val="22"/>
        </w:rPr>
        <w:t xml:space="preserve">lan of </w:t>
      </w:r>
      <w:r w:rsidR="006C1E61" w:rsidRPr="00FE6148">
        <w:rPr>
          <w:kern w:val="22"/>
          <w:szCs w:val="22"/>
        </w:rPr>
        <w:t>a</w:t>
      </w:r>
      <w:r w:rsidR="00D27348" w:rsidRPr="00FE6148">
        <w:rPr>
          <w:kern w:val="22"/>
          <w:szCs w:val="22"/>
        </w:rPr>
        <w:t>ction for the International Decade of Indigenous Languages.</w:t>
      </w:r>
    </w:p>
    <w:p w14:paraId="3DB38236" w14:textId="44645B70" w:rsidR="00332AC0" w:rsidRPr="00FE6148" w:rsidRDefault="00332AC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Detailed analysis of the Year’s outcomes provided a solid basis for the prioritization </w:t>
      </w:r>
      <w:r w:rsidR="00F64539" w:rsidRPr="00FE6148">
        <w:rPr>
          <w:kern w:val="22"/>
          <w:szCs w:val="22"/>
        </w:rPr>
        <w:t xml:space="preserve">and </w:t>
      </w:r>
      <w:r w:rsidRPr="00FE6148">
        <w:rPr>
          <w:kern w:val="22"/>
          <w:szCs w:val="22"/>
        </w:rPr>
        <w:t xml:space="preserve">identification of future strategies and working modalities, </w:t>
      </w:r>
      <w:r w:rsidR="00F64539" w:rsidRPr="00FE6148">
        <w:rPr>
          <w:kern w:val="22"/>
          <w:szCs w:val="22"/>
        </w:rPr>
        <w:t xml:space="preserve">and for </w:t>
      </w:r>
      <w:r w:rsidRPr="00FE6148">
        <w:rPr>
          <w:kern w:val="22"/>
          <w:szCs w:val="22"/>
        </w:rPr>
        <w:t>securing the commitment of key stakeholders and funding.</w:t>
      </w:r>
    </w:p>
    <w:p w14:paraId="6E512C90" w14:textId="65184C75" w:rsidR="00D52814" w:rsidRPr="00FE6148" w:rsidRDefault="00172AD0" w:rsidP="00FE6148">
      <w:pPr>
        <w:numPr>
          <w:ilvl w:val="0"/>
          <w:numId w:val="10"/>
        </w:numPr>
        <w:suppressLineNumbers/>
        <w:pBdr>
          <w:top w:val="nil"/>
          <w:left w:val="nil"/>
          <w:bottom w:val="nil"/>
          <w:right w:val="nil"/>
          <w:between w:val="nil"/>
        </w:pBdr>
        <w:suppressAutoHyphens/>
        <w:spacing w:before="120" w:after="120"/>
        <w:rPr>
          <w:kern w:val="22"/>
          <w:szCs w:val="22"/>
        </w:rPr>
      </w:pPr>
      <w:r w:rsidRPr="00FE6148">
        <w:rPr>
          <w:kern w:val="22"/>
          <w:szCs w:val="22"/>
        </w:rPr>
        <w:t xml:space="preserve">In the context of </w:t>
      </w:r>
      <w:r w:rsidR="00332AC0" w:rsidRPr="00FE6148">
        <w:rPr>
          <w:kern w:val="22"/>
          <w:szCs w:val="22"/>
        </w:rPr>
        <w:t xml:space="preserve">the operationalization of the </w:t>
      </w:r>
      <w:r w:rsidR="00111980" w:rsidRPr="00FE6148">
        <w:rPr>
          <w:kern w:val="22"/>
          <w:szCs w:val="22"/>
        </w:rPr>
        <w:t xml:space="preserve">Convention </w:t>
      </w:r>
      <w:r w:rsidR="00332AC0" w:rsidRPr="00FE6148">
        <w:rPr>
          <w:kern w:val="22"/>
          <w:szCs w:val="22"/>
        </w:rPr>
        <w:t>indicator</w:t>
      </w:r>
      <w:r w:rsidR="004B566D" w:rsidRPr="00FE6148">
        <w:rPr>
          <w:kern w:val="22"/>
          <w:szCs w:val="22"/>
        </w:rPr>
        <w:t xml:space="preserve"> on</w:t>
      </w:r>
      <w:r w:rsidR="00332AC0" w:rsidRPr="00FE6148">
        <w:rPr>
          <w:kern w:val="22"/>
          <w:szCs w:val="22"/>
        </w:rPr>
        <w:t xml:space="preserve"> </w:t>
      </w:r>
      <w:r w:rsidR="000C2A7E" w:rsidRPr="00FE6148">
        <w:rPr>
          <w:kern w:val="22"/>
          <w:szCs w:val="22"/>
        </w:rPr>
        <w:t xml:space="preserve">trends </w:t>
      </w:r>
      <w:r w:rsidR="000723B5" w:rsidRPr="00FE6148">
        <w:rPr>
          <w:kern w:val="22"/>
          <w:szCs w:val="22"/>
        </w:rPr>
        <w:t xml:space="preserve">in </w:t>
      </w:r>
      <w:r w:rsidR="000C2A7E" w:rsidRPr="00FE6148">
        <w:rPr>
          <w:kern w:val="22"/>
          <w:szCs w:val="22"/>
        </w:rPr>
        <w:t>linguistic diversity and numbers of speakers of indigenous languages</w:t>
      </w:r>
      <w:r w:rsidR="00332AC0" w:rsidRPr="00FE6148">
        <w:rPr>
          <w:kern w:val="22"/>
          <w:szCs w:val="22"/>
        </w:rPr>
        <w:t>, the UNESCO</w:t>
      </w:r>
      <w:r w:rsidR="00FE6CAC" w:rsidRPr="00FE6148">
        <w:rPr>
          <w:kern w:val="22"/>
          <w:szCs w:val="22"/>
        </w:rPr>
        <w:t>-</w:t>
      </w:r>
      <w:r w:rsidR="00332AC0" w:rsidRPr="00FE6148">
        <w:rPr>
          <w:kern w:val="22"/>
          <w:szCs w:val="22"/>
        </w:rPr>
        <w:t>led initiatives</w:t>
      </w:r>
      <w:r w:rsidR="003F32B2" w:rsidRPr="00FE6148">
        <w:rPr>
          <w:kern w:val="22"/>
          <w:szCs w:val="22"/>
        </w:rPr>
        <w:t xml:space="preserve"> described above</w:t>
      </w:r>
      <w:r w:rsidR="00332AC0" w:rsidRPr="00FE6148">
        <w:rPr>
          <w:kern w:val="22"/>
          <w:szCs w:val="22"/>
        </w:rPr>
        <w:t xml:space="preserve">, including the online platform for the World Atlas of Languages, </w:t>
      </w:r>
      <w:r w:rsidR="003F32B2" w:rsidRPr="00FE6148">
        <w:rPr>
          <w:kern w:val="22"/>
          <w:szCs w:val="22"/>
        </w:rPr>
        <w:t xml:space="preserve">the </w:t>
      </w:r>
      <w:r w:rsidR="00332AC0" w:rsidRPr="00FE6148">
        <w:rPr>
          <w:kern w:val="22"/>
          <w:szCs w:val="22"/>
        </w:rPr>
        <w:t xml:space="preserve">“Survey of World Languages”, </w:t>
      </w:r>
      <w:r w:rsidR="000E0238" w:rsidRPr="00FE6148">
        <w:rPr>
          <w:kern w:val="22"/>
          <w:szCs w:val="22"/>
        </w:rPr>
        <w:t xml:space="preserve">and </w:t>
      </w:r>
      <w:r w:rsidR="00332AC0" w:rsidRPr="00FE6148">
        <w:rPr>
          <w:kern w:val="22"/>
          <w:szCs w:val="22"/>
        </w:rPr>
        <w:t xml:space="preserve">the preparation of the UNESCO World Report of Languages, are significant contributions to realizing this indicator. In due course these materials will be made available </w:t>
      </w:r>
      <w:r w:rsidR="00F82367" w:rsidRPr="00FE6148">
        <w:rPr>
          <w:kern w:val="22"/>
          <w:szCs w:val="22"/>
        </w:rPr>
        <w:t xml:space="preserve">and will help </w:t>
      </w:r>
      <w:r w:rsidR="00332AC0" w:rsidRPr="00FE6148">
        <w:rPr>
          <w:kern w:val="22"/>
          <w:szCs w:val="22"/>
        </w:rPr>
        <w:t xml:space="preserve">the Parties </w:t>
      </w:r>
      <w:r w:rsidR="00C61912" w:rsidRPr="00FE6148">
        <w:rPr>
          <w:kern w:val="22"/>
          <w:szCs w:val="22"/>
        </w:rPr>
        <w:t>to</w:t>
      </w:r>
      <w:r w:rsidR="00332AC0" w:rsidRPr="00FE6148">
        <w:rPr>
          <w:kern w:val="22"/>
          <w:szCs w:val="22"/>
        </w:rPr>
        <w:t xml:space="preserve"> the Convention to determine status and t</w:t>
      </w:r>
      <w:r w:rsidR="003A415A" w:rsidRPr="00FE6148">
        <w:rPr>
          <w:kern w:val="22"/>
          <w:szCs w:val="22"/>
        </w:rPr>
        <w:t>r</w:t>
      </w:r>
      <w:r w:rsidR="00332AC0" w:rsidRPr="00FE6148">
        <w:rPr>
          <w:kern w:val="22"/>
          <w:szCs w:val="22"/>
        </w:rPr>
        <w:t>ends in linguistic diversity and numbers of speakers of indigenous language.</w:t>
      </w:r>
    </w:p>
    <w:p w14:paraId="57D3280A" w14:textId="500853E2" w:rsidR="00117549" w:rsidRPr="00FE6148" w:rsidRDefault="009E261C" w:rsidP="00FE6148">
      <w:pPr>
        <w:pStyle w:val="HEADINGNOTFORTOC"/>
        <w:suppressLineNumbers/>
        <w:tabs>
          <w:tab w:val="clear" w:pos="720"/>
          <w:tab w:val="left" w:pos="426"/>
        </w:tabs>
        <w:suppressAutoHyphens/>
        <w:spacing w:before="120"/>
        <w:rPr>
          <w:rFonts w:ascii="Times New Roman Bold" w:hAnsi="Times New Roman Bold"/>
          <w:kern w:val="22"/>
        </w:rPr>
      </w:pPr>
      <w:r w:rsidRPr="00FE6148">
        <w:rPr>
          <w:rFonts w:ascii="Times New Roman Bold" w:hAnsi="Times New Roman Bold"/>
          <w:kern w:val="22"/>
        </w:rPr>
        <w:t>III.</w:t>
      </w:r>
      <w:r w:rsidR="00625C9C" w:rsidRPr="00FE6148">
        <w:rPr>
          <w:rFonts w:ascii="Times New Roman Bold" w:hAnsi="Times New Roman Bold"/>
          <w:kern w:val="22"/>
        </w:rPr>
        <w:tab/>
        <w:t>Conclusion</w:t>
      </w:r>
    </w:p>
    <w:p w14:paraId="33C4D3CC" w14:textId="00FB2CCD" w:rsidR="00D52814"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 xml:space="preserve">Based on the information presented above, significant progress towards Aichi Biodiversity Target 18 of the Strategic Plan for Biodiversity 2011-2020 has been </w:t>
      </w:r>
      <w:r w:rsidR="00703998" w:rsidRPr="00FE6148">
        <w:rPr>
          <w:kern w:val="22"/>
        </w:rPr>
        <w:t>achieved</w:t>
      </w:r>
      <w:r w:rsidR="00433EE1" w:rsidRPr="00FE6148">
        <w:rPr>
          <w:kern w:val="22"/>
        </w:rPr>
        <w:t xml:space="preserve"> </w:t>
      </w:r>
      <w:r w:rsidRPr="00FE6148">
        <w:rPr>
          <w:kern w:val="22"/>
        </w:rPr>
        <w:t>during the current biennium. However, it is unlikely that all aspects of the target will be met.</w:t>
      </w:r>
    </w:p>
    <w:p w14:paraId="39732093" w14:textId="446A1352" w:rsidR="00BA7707" w:rsidRPr="00FE6148" w:rsidRDefault="00BA7707"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Significant challenges remain in measuring progress at the national level</w:t>
      </w:r>
      <w:r w:rsidR="00246EF1" w:rsidRPr="00FE6148">
        <w:rPr>
          <w:kern w:val="22"/>
        </w:rPr>
        <w:t>,</w:t>
      </w:r>
      <w:r w:rsidRPr="00FE6148">
        <w:rPr>
          <w:kern w:val="22"/>
        </w:rPr>
        <w:t xml:space="preserve"> as </w:t>
      </w:r>
      <w:r w:rsidRPr="00FE6148">
        <w:rPr>
          <w:kern w:val="22"/>
          <w:szCs w:val="22"/>
        </w:rPr>
        <w:t xml:space="preserve">very few Parties have addressed all elements of the global </w:t>
      </w:r>
      <w:r w:rsidR="00002CA7" w:rsidRPr="00FE6148">
        <w:rPr>
          <w:kern w:val="22"/>
          <w:szCs w:val="22"/>
        </w:rPr>
        <w:t xml:space="preserve">Aichi Biodiversity </w:t>
      </w:r>
      <w:r w:rsidRPr="00FE6148">
        <w:rPr>
          <w:kern w:val="22"/>
          <w:szCs w:val="22"/>
        </w:rPr>
        <w:t>Target 18 in designing their related national target</w:t>
      </w:r>
      <w:r w:rsidR="00002CA7" w:rsidRPr="00FE6148">
        <w:rPr>
          <w:kern w:val="22"/>
          <w:szCs w:val="22"/>
        </w:rPr>
        <w:t>(</w:t>
      </w:r>
      <w:r w:rsidRPr="00FE6148">
        <w:rPr>
          <w:kern w:val="22"/>
          <w:szCs w:val="22"/>
        </w:rPr>
        <w:t>s</w:t>
      </w:r>
      <w:r w:rsidR="00002CA7" w:rsidRPr="00FE6148">
        <w:rPr>
          <w:kern w:val="22"/>
          <w:szCs w:val="22"/>
        </w:rPr>
        <w:t>)</w:t>
      </w:r>
      <w:r w:rsidRPr="00FE6148">
        <w:rPr>
          <w:kern w:val="22"/>
          <w:szCs w:val="22"/>
        </w:rPr>
        <w:t>. Further to this, Parties have not adopted nationally specific indicators related to the four indicators adopted for traditional knowledge</w:t>
      </w:r>
      <w:r w:rsidR="00D74B82" w:rsidRPr="00FE6148">
        <w:rPr>
          <w:kern w:val="22"/>
          <w:szCs w:val="22"/>
        </w:rPr>
        <w:t>,</w:t>
      </w:r>
      <w:r w:rsidRPr="00FE6148">
        <w:rPr>
          <w:kern w:val="22"/>
          <w:szCs w:val="22"/>
        </w:rPr>
        <w:t xml:space="preserve"> in order to measure progress on the elements of </w:t>
      </w:r>
      <w:r w:rsidR="00246EF1" w:rsidRPr="00FE6148">
        <w:rPr>
          <w:kern w:val="22"/>
          <w:szCs w:val="22"/>
        </w:rPr>
        <w:t xml:space="preserve">Aichi </w:t>
      </w:r>
      <w:r w:rsidR="00FE3B35" w:rsidRPr="00FE6148">
        <w:rPr>
          <w:kern w:val="22"/>
          <w:szCs w:val="22"/>
        </w:rPr>
        <w:t xml:space="preserve">Biodiversity </w:t>
      </w:r>
      <w:r w:rsidRPr="00FE6148">
        <w:rPr>
          <w:kern w:val="22"/>
          <w:szCs w:val="22"/>
        </w:rPr>
        <w:t>Target 18 at the national level.</w:t>
      </w:r>
    </w:p>
    <w:p w14:paraId="49C515A2" w14:textId="4FF1516B" w:rsidR="00D52814"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 xml:space="preserve">On a positive note, in comparison with the fifth national reports, the recent sixth national reports show a significant increase in information about the implementation of Aichi Target 18 and the contribution of traditional knowledge and collective actions to the achievement of other </w:t>
      </w:r>
      <w:r w:rsidR="00635DD7" w:rsidRPr="00FE6148">
        <w:rPr>
          <w:kern w:val="22"/>
        </w:rPr>
        <w:t>targets. This</w:t>
      </w:r>
      <w:r w:rsidR="00087D53" w:rsidRPr="00FE6148">
        <w:rPr>
          <w:kern w:val="22"/>
        </w:rPr>
        <w:t xml:space="preserve"> information </w:t>
      </w:r>
      <w:r w:rsidRPr="00FE6148">
        <w:rPr>
          <w:kern w:val="22"/>
        </w:rPr>
        <w:lastRenderedPageBreak/>
        <w:t xml:space="preserve">provides a basis to conclude that significant progress has been made towards this </w:t>
      </w:r>
      <w:r w:rsidR="00087D53" w:rsidRPr="00FE6148">
        <w:rPr>
          <w:kern w:val="22"/>
        </w:rPr>
        <w:t>target; s</w:t>
      </w:r>
      <w:r w:rsidR="00077F6F" w:rsidRPr="00FE6148">
        <w:rPr>
          <w:kern w:val="22"/>
        </w:rPr>
        <w:t>till</w:t>
      </w:r>
      <w:r w:rsidR="00AB0AFC" w:rsidRPr="00FE6148">
        <w:rPr>
          <w:kern w:val="22"/>
        </w:rPr>
        <w:t>,</w:t>
      </w:r>
      <w:r w:rsidR="00077F6F" w:rsidRPr="00FE6148">
        <w:rPr>
          <w:kern w:val="22"/>
        </w:rPr>
        <w:t xml:space="preserve"> </w:t>
      </w:r>
      <w:r w:rsidR="00443B4D" w:rsidRPr="00FE6148">
        <w:rPr>
          <w:kern w:val="22"/>
        </w:rPr>
        <w:t xml:space="preserve">this </w:t>
      </w:r>
      <w:r w:rsidR="00AB0AFC" w:rsidRPr="00FE6148">
        <w:rPr>
          <w:kern w:val="22"/>
        </w:rPr>
        <w:t>progress</w:t>
      </w:r>
      <w:r w:rsidRPr="00FE6148">
        <w:rPr>
          <w:kern w:val="22"/>
        </w:rPr>
        <w:t xml:space="preserve"> may be insufficient to achieve </w:t>
      </w:r>
      <w:r w:rsidR="00AB0AFC" w:rsidRPr="00FE6148">
        <w:rPr>
          <w:kern w:val="22"/>
        </w:rPr>
        <w:t xml:space="preserve">the target </w:t>
      </w:r>
      <w:r w:rsidRPr="00FE6148">
        <w:rPr>
          <w:kern w:val="22"/>
        </w:rPr>
        <w:t>by 2020.</w:t>
      </w:r>
    </w:p>
    <w:p w14:paraId="53CDC1F7" w14:textId="3273D9B5" w:rsidR="00FE3FD7" w:rsidRPr="00FE6148" w:rsidRDefault="00C52807"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 xml:space="preserve">Whereas </w:t>
      </w:r>
      <w:r w:rsidR="002E5767" w:rsidRPr="00FE6148">
        <w:rPr>
          <w:kern w:val="22"/>
        </w:rPr>
        <w:t>o</w:t>
      </w:r>
      <w:r w:rsidR="004A1965" w:rsidRPr="00FE6148">
        <w:rPr>
          <w:kern w:val="22"/>
        </w:rPr>
        <w:t xml:space="preserve">nly 27 per cent of the fifth national reports mentioned indigenous peoples and local communities, </w:t>
      </w:r>
      <w:r w:rsidR="003B31CC" w:rsidRPr="00FE6148">
        <w:rPr>
          <w:kern w:val="22"/>
        </w:rPr>
        <w:t>59</w:t>
      </w:r>
      <w:r w:rsidR="00AD3073" w:rsidRPr="00FE6148">
        <w:rPr>
          <w:kern w:val="22"/>
        </w:rPr>
        <w:t xml:space="preserve"> </w:t>
      </w:r>
      <w:r w:rsidR="004A1965" w:rsidRPr="00FE6148">
        <w:rPr>
          <w:kern w:val="22"/>
        </w:rPr>
        <w:t>per cent of the sixth national reports submitted by 2</w:t>
      </w:r>
      <w:r w:rsidR="003B31CC" w:rsidRPr="00FE6148">
        <w:rPr>
          <w:kern w:val="22"/>
        </w:rPr>
        <w:t>6 March</w:t>
      </w:r>
      <w:r w:rsidR="00461B6C" w:rsidRPr="00FE6148">
        <w:rPr>
          <w:kern w:val="22"/>
        </w:rPr>
        <w:t xml:space="preserve"> </w:t>
      </w:r>
      <w:r w:rsidR="004A1965" w:rsidRPr="00FE6148">
        <w:rPr>
          <w:kern w:val="22"/>
        </w:rPr>
        <w:t xml:space="preserve">2020 included information related to indigenous peoples, local communities, traditional knowledge, customary use, </w:t>
      </w:r>
      <w:r w:rsidR="00461B6C" w:rsidRPr="00FE6148">
        <w:rPr>
          <w:kern w:val="22"/>
        </w:rPr>
        <w:t xml:space="preserve">or </w:t>
      </w:r>
      <w:r w:rsidR="004A1965" w:rsidRPr="00FE6148">
        <w:rPr>
          <w:kern w:val="22"/>
        </w:rPr>
        <w:t>traditional agricultural practices. This represents a threefold increase in reporting on the collective actions of indigenous peoples and local communities through the national reports. However, only 1</w:t>
      </w:r>
      <w:r w:rsidR="003B31CC" w:rsidRPr="00FE6148">
        <w:rPr>
          <w:kern w:val="22"/>
        </w:rPr>
        <w:t>0</w:t>
      </w:r>
      <w:r w:rsidR="004A1965" w:rsidRPr="00FE6148">
        <w:rPr>
          <w:kern w:val="22"/>
        </w:rPr>
        <w:t xml:space="preserve"> per cent </w:t>
      </w:r>
      <w:r w:rsidR="00C1318F" w:rsidRPr="00FE6148">
        <w:rPr>
          <w:kern w:val="22"/>
        </w:rPr>
        <w:t xml:space="preserve">of the sixth national reports </w:t>
      </w:r>
      <w:r w:rsidR="004A1965" w:rsidRPr="00FE6148">
        <w:rPr>
          <w:kern w:val="22"/>
        </w:rPr>
        <w:t>mention</w:t>
      </w:r>
      <w:r w:rsidR="002C13AC" w:rsidRPr="00FE6148">
        <w:rPr>
          <w:kern w:val="22"/>
        </w:rPr>
        <w:t xml:space="preserve"> the</w:t>
      </w:r>
      <w:r w:rsidR="004A1965" w:rsidRPr="00FE6148">
        <w:rPr>
          <w:kern w:val="22"/>
        </w:rPr>
        <w:t xml:space="preserve"> </w:t>
      </w:r>
      <w:r w:rsidR="002C13AC" w:rsidRPr="00FE6148">
        <w:rPr>
          <w:kern w:val="22"/>
        </w:rPr>
        <w:t xml:space="preserve">engagement of </w:t>
      </w:r>
      <w:r w:rsidR="00AE77F1" w:rsidRPr="00FE6148">
        <w:rPr>
          <w:kern w:val="22"/>
        </w:rPr>
        <w:t xml:space="preserve">indigenous peoples and local communities </w:t>
      </w:r>
      <w:r w:rsidR="004A1965" w:rsidRPr="00FE6148">
        <w:rPr>
          <w:kern w:val="22"/>
        </w:rPr>
        <w:t>in NBSAP processes</w:t>
      </w:r>
      <w:r w:rsidR="003721DF" w:rsidRPr="00FE6148">
        <w:rPr>
          <w:kern w:val="22"/>
        </w:rPr>
        <w:t>.</w:t>
      </w:r>
    </w:p>
    <w:p w14:paraId="27C77AA5" w14:textId="72E62D98" w:rsidR="001E57BE" w:rsidRPr="00FE6148" w:rsidRDefault="004A1965" w:rsidP="00FE6148">
      <w:pPr>
        <w:numPr>
          <w:ilvl w:val="0"/>
          <w:numId w:val="10"/>
        </w:numPr>
        <w:suppressLineNumbers/>
        <w:pBdr>
          <w:top w:val="nil"/>
          <w:left w:val="nil"/>
          <w:bottom w:val="nil"/>
          <w:right w:val="nil"/>
          <w:between w:val="nil"/>
        </w:pBdr>
        <w:suppressAutoHyphens/>
        <w:spacing w:before="120" w:after="120"/>
        <w:rPr>
          <w:kern w:val="22"/>
        </w:rPr>
      </w:pPr>
      <w:r w:rsidRPr="00FE6148">
        <w:rPr>
          <w:kern w:val="22"/>
        </w:rPr>
        <w:t>There is also ample evidence that capacity</w:t>
      </w:r>
      <w:r w:rsidR="002C13AC" w:rsidRPr="00FE6148">
        <w:rPr>
          <w:kern w:val="22"/>
        </w:rPr>
        <w:noBreakHyphen/>
      </w:r>
      <w:r w:rsidRPr="00FE6148">
        <w:rPr>
          <w:kern w:val="22"/>
        </w:rPr>
        <w:t>building programmes with a focus on traditional knowledge, bringing together Parties with indigenous peoples and local communities, have contributed to raising awareness about the contribution of indigenous peoples and local communities</w:t>
      </w:r>
      <w:r w:rsidR="00161981" w:rsidRPr="00FE6148">
        <w:rPr>
          <w:kern w:val="22"/>
        </w:rPr>
        <w:t>,</w:t>
      </w:r>
      <w:r w:rsidRPr="00FE6148">
        <w:rPr>
          <w:kern w:val="22"/>
        </w:rPr>
        <w:t xml:space="preserve"> and </w:t>
      </w:r>
      <w:r w:rsidR="00161981" w:rsidRPr="00FE6148">
        <w:rPr>
          <w:kern w:val="22"/>
        </w:rPr>
        <w:t xml:space="preserve">have </w:t>
      </w:r>
      <w:r w:rsidRPr="00FE6148">
        <w:rPr>
          <w:kern w:val="22"/>
        </w:rPr>
        <w:t>assisted in the implementation of Aichi Target 18 at the national and local levels.</w:t>
      </w:r>
    </w:p>
    <w:p w14:paraId="0E0FF57B" w14:textId="047A0BF6" w:rsidR="00117549" w:rsidRPr="00FE6148" w:rsidRDefault="003B31CC" w:rsidP="00FE6148">
      <w:pPr>
        <w:numPr>
          <w:ilvl w:val="0"/>
          <w:numId w:val="10"/>
        </w:numPr>
        <w:suppressLineNumbers/>
        <w:pBdr>
          <w:top w:val="nil"/>
          <w:left w:val="nil"/>
          <w:bottom w:val="nil"/>
          <w:right w:val="nil"/>
          <w:between w:val="nil"/>
        </w:pBdr>
        <w:suppressAutoHyphens/>
        <w:spacing w:before="120" w:after="120"/>
        <w:rPr>
          <w:color w:val="000000"/>
          <w:kern w:val="22"/>
        </w:rPr>
      </w:pPr>
      <w:r w:rsidRPr="00FE6148">
        <w:rPr>
          <w:kern w:val="22"/>
          <w:szCs w:val="22"/>
        </w:rPr>
        <w:t xml:space="preserve">While there has been some improvement in national reports mentioning </w:t>
      </w:r>
      <w:r w:rsidR="007B152B" w:rsidRPr="00FE6148">
        <w:rPr>
          <w:kern w:val="22"/>
          <w:szCs w:val="22"/>
        </w:rPr>
        <w:t xml:space="preserve">indigenous peoples and local communities </w:t>
      </w:r>
      <w:r w:rsidRPr="00FE6148">
        <w:rPr>
          <w:kern w:val="22"/>
          <w:szCs w:val="22"/>
        </w:rPr>
        <w:t xml:space="preserve">since </w:t>
      </w:r>
      <w:r w:rsidR="006F076C" w:rsidRPr="00FE6148">
        <w:rPr>
          <w:kern w:val="22"/>
          <w:szCs w:val="22"/>
        </w:rPr>
        <w:t xml:space="preserve">the first edition of </w:t>
      </w:r>
      <w:r w:rsidR="006F076C" w:rsidRPr="00FE6148">
        <w:rPr>
          <w:i/>
          <w:iCs/>
          <w:kern w:val="22"/>
          <w:szCs w:val="22"/>
        </w:rPr>
        <w:t>Local Biodiversity Outlook</w:t>
      </w:r>
      <w:r w:rsidR="0093551D" w:rsidRPr="00FE6148">
        <w:rPr>
          <w:i/>
          <w:iCs/>
          <w:kern w:val="22"/>
          <w:szCs w:val="22"/>
        </w:rPr>
        <w:t>s</w:t>
      </w:r>
      <w:r w:rsidRPr="00FE6148">
        <w:rPr>
          <w:kern w:val="22"/>
          <w:szCs w:val="22"/>
        </w:rPr>
        <w:t xml:space="preserve"> in 2016, there has not been any progress in </w:t>
      </w:r>
      <w:r w:rsidR="006F076C" w:rsidRPr="00FE6148">
        <w:rPr>
          <w:kern w:val="22"/>
          <w:szCs w:val="22"/>
        </w:rPr>
        <w:t xml:space="preserve">the </w:t>
      </w:r>
      <w:r w:rsidRPr="00FE6148">
        <w:rPr>
          <w:kern w:val="22"/>
          <w:szCs w:val="22"/>
        </w:rPr>
        <w:t xml:space="preserve">participation </w:t>
      </w:r>
      <w:r w:rsidR="006F076C" w:rsidRPr="00FE6148">
        <w:rPr>
          <w:kern w:val="22"/>
          <w:szCs w:val="22"/>
        </w:rPr>
        <w:t xml:space="preserve">of indigenous peoples and local communities </w:t>
      </w:r>
      <w:r w:rsidRPr="00FE6148">
        <w:rPr>
          <w:kern w:val="22"/>
          <w:szCs w:val="22"/>
        </w:rPr>
        <w:t xml:space="preserve">in NBSAP processes, so much </w:t>
      </w:r>
      <w:r w:rsidR="001C08DD">
        <w:rPr>
          <w:kern w:val="22"/>
          <w:szCs w:val="22"/>
        </w:rPr>
        <w:t xml:space="preserve">remains </w:t>
      </w:r>
      <w:r w:rsidRPr="00FE6148">
        <w:rPr>
          <w:kern w:val="22"/>
          <w:szCs w:val="22"/>
        </w:rPr>
        <w:t xml:space="preserve">to </w:t>
      </w:r>
      <w:r w:rsidR="00F078F5" w:rsidRPr="00FE6148">
        <w:rPr>
          <w:kern w:val="22"/>
          <w:szCs w:val="22"/>
        </w:rPr>
        <w:t xml:space="preserve">be </w:t>
      </w:r>
      <w:r w:rsidRPr="00FE6148">
        <w:rPr>
          <w:kern w:val="22"/>
          <w:szCs w:val="22"/>
        </w:rPr>
        <w:t>do</w:t>
      </w:r>
      <w:r w:rsidR="00F078F5" w:rsidRPr="00FE6148">
        <w:rPr>
          <w:kern w:val="22"/>
          <w:szCs w:val="22"/>
        </w:rPr>
        <w:t>ne</w:t>
      </w:r>
      <w:r w:rsidRPr="00FE6148">
        <w:rPr>
          <w:kern w:val="22"/>
          <w:szCs w:val="22"/>
        </w:rPr>
        <w:t xml:space="preserve"> </w:t>
      </w:r>
      <w:r w:rsidR="001C08DD">
        <w:rPr>
          <w:kern w:val="22"/>
          <w:szCs w:val="22"/>
        </w:rPr>
        <w:t xml:space="preserve">to </w:t>
      </w:r>
      <w:r w:rsidR="00DE717E" w:rsidRPr="00FE6148">
        <w:rPr>
          <w:kern w:val="22"/>
          <w:szCs w:val="22"/>
        </w:rPr>
        <w:t xml:space="preserve">ensure that the development of </w:t>
      </w:r>
      <w:r w:rsidRPr="00FE6148">
        <w:rPr>
          <w:kern w:val="22"/>
          <w:szCs w:val="22"/>
        </w:rPr>
        <w:t>NBSAPs truly participatory.</w:t>
      </w:r>
    </w:p>
    <w:p w14:paraId="04901413" w14:textId="77777777" w:rsidR="00117549" w:rsidRPr="00FE6148" w:rsidRDefault="004A1965" w:rsidP="00FE6148">
      <w:pPr>
        <w:suppressLineNumbers/>
        <w:pBdr>
          <w:top w:val="nil"/>
          <w:left w:val="nil"/>
          <w:bottom w:val="nil"/>
          <w:right w:val="nil"/>
          <w:between w:val="nil"/>
        </w:pBdr>
        <w:suppressAutoHyphens/>
        <w:spacing w:before="120" w:after="120"/>
        <w:jc w:val="center"/>
        <w:rPr>
          <w:kern w:val="22"/>
        </w:rPr>
      </w:pPr>
      <w:r w:rsidRPr="00FE6148">
        <w:rPr>
          <w:kern w:val="22"/>
        </w:rPr>
        <w:br w:type="page"/>
      </w:r>
    </w:p>
    <w:p w14:paraId="1D13FA6F" w14:textId="77777777" w:rsidR="00117549" w:rsidRPr="00FE6148" w:rsidRDefault="004A1965" w:rsidP="00FE6148">
      <w:pPr>
        <w:suppressLineNumbers/>
        <w:pBdr>
          <w:top w:val="nil"/>
          <w:left w:val="nil"/>
          <w:bottom w:val="nil"/>
          <w:right w:val="nil"/>
          <w:between w:val="nil"/>
        </w:pBdr>
        <w:suppressAutoHyphens/>
        <w:spacing w:after="120"/>
        <w:jc w:val="center"/>
        <w:outlineLvl w:val="2"/>
        <w:rPr>
          <w:bCs/>
          <w:i/>
          <w:iCs/>
          <w:kern w:val="22"/>
        </w:rPr>
      </w:pPr>
      <w:r w:rsidRPr="00FE6148">
        <w:rPr>
          <w:bCs/>
          <w:i/>
          <w:iCs/>
          <w:kern w:val="22"/>
        </w:rPr>
        <w:lastRenderedPageBreak/>
        <w:t>Annex</w:t>
      </w:r>
    </w:p>
    <w:p w14:paraId="227B2328" w14:textId="15818A9A" w:rsidR="00117549" w:rsidRPr="00FE6148" w:rsidRDefault="00EE5167" w:rsidP="00FE6148">
      <w:pPr>
        <w:pStyle w:val="HEADINGNOTFORTOC"/>
        <w:suppressLineNumbers/>
        <w:suppressAutoHyphens/>
        <w:spacing w:before="120"/>
        <w:rPr>
          <w:rFonts w:ascii="Times New Roman Bold" w:hAnsi="Times New Roman Bold"/>
          <w:kern w:val="22"/>
        </w:rPr>
      </w:pPr>
      <w:r w:rsidRPr="00FE6148">
        <w:rPr>
          <w:rFonts w:ascii="Times New Roman Bold" w:hAnsi="Times New Roman Bold"/>
          <w:kern w:val="22"/>
        </w:rPr>
        <w:t>C</w:t>
      </w:r>
      <w:r w:rsidR="004A1965" w:rsidRPr="00FE6148">
        <w:rPr>
          <w:rFonts w:ascii="Times New Roman Bold" w:hAnsi="Times New Roman Bold"/>
          <w:kern w:val="22"/>
        </w:rPr>
        <w:t xml:space="preserve">ontributions </w:t>
      </w:r>
      <w:r w:rsidR="004211BC" w:rsidRPr="00FE6148">
        <w:rPr>
          <w:rFonts w:ascii="Times New Roman Bold" w:hAnsi="Times New Roman Bold"/>
          <w:kern w:val="22"/>
        </w:rPr>
        <w:t xml:space="preserve">of indigenous peoples and local communities </w:t>
      </w:r>
      <w:r w:rsidR="004A1965" w:rsidRPr="00FE6148">
        <w:rPr>
          <w:rFonts w:ascii="Times New Roman Bold" w:hAnsi="Times New Roman Bold"/>
          <w:kern w:val="22"/>
        </w:rPr>
        <w:t xml:space="preserve">to the </w:t>
      </w:r>
      <w:r w:rsidR="00204F86" w:rsidRPr="00FE6148">
        <w:rPr>
          <w:rFonts w:ascii="Times New Roman Bold" w:hAnsi="Times New Roman Bold"/>
          <w:kern w:val="22"/>
        </w:rPr>
        <w:t>p</w:t>
      </w:r>
      <w:r w:rsidR="004A1965" w:rsidRPr="00FE6148">
        <w:rPr>
          <w:rFonts w:ascii="Times New Roman Bold" w:hAnsi="Times New Roman Bold"/>
          <w:kern w:val="22"/>
        </w:rPr>
        <w:t>ost-2020 global biodiversity framework</w:t>
      </w:r>
    </w:p>
    <w:p w14:paraId="69007D29" w14:textId="1928AAA5" w:rsidR="00117549" w:rsidRPr="00FE6148" w:rsidRDefault="004A1965" w:rsidP="00FE6148">
      <w:pPr>
        <w:keepNext/>
        <w:suppressLineNumbers/>
        <w:suppressAutoHyphens/>
        <w:spacing w:before="120" w:after="120"/>
        <w:jc w:val="left"/>
        <w:rPr>
          <w:b/>
          <w:kern w:val="22"/>
        </w:rPr>
      </w:pPr>
      <w:r w:rsidRPr="00FE6148">
        <w:rPr>
          <w:b/>
          <w:kern w:val="22"/>
        </w:rPr>
        <w:t>Overarching principles</w:t>
      </w:r>
      <w:r w:rsidR="009862A8" w:rsidRPr="00FE6148">
        <w:rPr>
          <w:rStyle w:val="FootnoteReference"/>
          <w:bCs/>
          <w:kern w:val="22"/>
        </w:rPr>
        <w:footnoteReference w:id="18"/>
      </w:r>
    </w:p>
    <w:p w14:paraId="52CE809C" w14:textId="4343BC06" w:rsidR="00117549" w:rsidRPr="00FE6148" w:rsidRDefault="004A1965" w:rsidP="00FE6148">
      <w:pPr>
        <w:suppressLineNumbers/>
        <w:suppressAutoHyphens/>
        <w:spacing w:before="120" w:after="120"/>
        <w:rPr>
          <w:kern w:val="22"/>
        </w:rPr>
      </w:pPr>
      <w:r w:rsidRPr="00FE6148">
        <w:rPr>
          <w:kern w:val="22"/>
        </w:rPr>
        <w:t xml:space="preserve">The post-2020 </w:t>
      </w:r>
      <w:r w:rsidR="003656E4" w:rsidRPr="00FE6148">
        <w:rPr>
          <w:kern w:val="22"/>
        </w:rPr>
        <w:t xml:space="preserve">global biodiversity </w:t>
      </w:r>
      <w:r w:rsidRPr="00FE6148">
        <w:rPr>
          <w:kern w:val="22"/>
        </w:rPr>
        <w:t>framework should:</w:t>
      </w:r>
    </w:p>
    <w:p w14:paraId="5728BE08" w14:textId="25AEF530" w:rsidR="00117549" w:rsidRPr="00FE6148" w:rsidRDefault="004A1965" w:rsidP="00FE6148">
      <w:pPr>
        <w:numPr>
          <w:ilvl w:val="0"/>
          <w:numId w:val="14"/>
        </w:numPr>
        <w:suppressLineNumbers/>
        <w:suppressAutoHyphens/>
        <w:spacing w:after="120"/>
        <w:ind w:left="0" w:firstLine="720"/>
        <w:rPr>
          <w:kern w:val="22"/>
        </w:rPr>
      </w:pPr>
      <w:r w:rsidRPr="00FE6148">
        <w:rPr>
          <w:kern w:val="22"/>
        </w:rPr>
        <w:t>Use a human</w:t>
      </w:r>
      <w:r w:rsidR="000638A6" w:rsidRPr="00FE6148">
        <w:rPr>
          <w:kern w:val="22"/>
        </w:rPr>
        <w:t>-</w:t>
      </w:r>
      <w:r w:rsidRPr="00FE6148">
        <w:rPr>
          <w:kern w:val="22"/>
        </w:rPr>
        <w:t>rights-based approach</w:t>
      </w:r>
      <w:r w:rsidR="005777A0" w:rsidRPr="00FE6148">
        <w:rPr>
          <w:kern w:val="22"/>
        </w:rPr>
        <w:t>;</w:t>
      </w:r>
    </w:p>
    <w:p w14:paraId="510F1F2F" w14:textId="34B91EE0" w:rsidR="00117549" w:rsidRPr="00FE6148" w:rsidRDefault="004A1965" w:rsidP="00FE6148">
      <w:pPr>
        <w:numPr>
          <w:ilvl w:val="0"/>
          <w:numId w:val="14"/>
        </w:numPr>
        <w:suppressLineNumbers/>
        <w:suppressAutoHyphens/>
        <w:spacing w:after="120"/>
        <w:ind w:left="0" w:firstLine="720"/>
        <w:rPr>
          <w:kern w:val="22"/>
        </w:rPr>
      </w:pPr>
      <w:r w:rsidRPr="00FE6148">
        <w:rPr>
          <w:kern w:val="22"/>
        </w:rPr>
        <w:t>Implement equitable governance</w:t>
      </w:r>
      <w:r w:rsidR="005777A0" w:rsidRPr="00FE6148">
        <w:rPr>
          <w:kern w:val="22"/>
        </w:rPr>
        <w:t>;</w:t>
      </w:r>
    </w:p>
    <w:p w14:paraId="4C2C2597" w14:textId="2DD7462C" w:rsidR="00117549" w:rsidRPr="00FE6148" w:rsidRDefault="004A1965" w:rsidP="00FE6148">
      <w:pPr>
        <w:numPr>
          <w:ilvl w:val="0"/>
          <w:numId w:val="14"/>
        </w:numPr>
        <w:suppressLineNumbers/>
        <w:suppressAutoHyphens/>
        <w:spacing w:after="120"/>
        <w:ind w:left="0" w:firstLine="720"/>
        <w:rPr>
          <w:kern w:val="22"/>
        </w:rPr>
      </w:pPr>
      <w:r w:rsidRPr="00FE6148">
        <w:rPr>
          <w:kern w:val="22"/>
        </w:rPr>
        <w:t xml:space="preserve">Be evidence-based (IPBES </w:t>
      </w:r>
      <w:r w:rsidRPr="00FE6148">
        <w:rPr>
          <w:i/>
          <w:iCs/>
          <w:kern w:val="22"/>
        </w:rPr>
        <w:t>Global Assessment</w:t>
      </w:r>
      <w:r w:rsidRPr="00FE6148">
        <w:rPr>
          <w:kern w:val="22"/>
        </w:rPr>
        <w:t xml:space="preserve">, </w:t>
      </w:r>
      <w:r w:rsidR="00B75D0D" w:rsidRPr="00FE6148">
        <w:rPr>
          <w:i/>
          <w:iCs/>
          <w:kern w:val="22"/>
        </w:rPr>
        <w:t>Global Biodiversity Outlook</w:t>
      </w:r>
      <w:r w:rsidR="00B75D0D" w:rsidRPr="00FE6148">
        <w:rPr>
          <w:kern w:val="22"/>
        </w:rPr>
        <w:t xml:space="preserve"> </w:t>
      </w:r>
      <w:r w:rsidRPr="00FE6148">
        <w:rPr>
          <w:kern w:val="22"/>
        </w:rPr>
        <w:t xml:space="preserve">and </w:t>
      </w:r>
      <w:r w:rsidR="00B75D0D" w:rsidRPr="00FE6148">
        <w:rPr>
          <w:i/>
          <w:iCs/>
          <w:kern w:val="22"/>
        </w:rPr>
        <w:t>Local Biodiversity Outlook</w:t>
      </w:r>
      <w:r w:rsidR="0093551D" w:rsidRPr="00FE6148">
        <w:rPr>
          <w:i/>
          <w:iCs/>
          <w:kern w:val="22"/>
        </w:rPr>
        <w:t>s</w:t>
      </w:r>
      <w:r w:rsidRPr="00FE6148">
        <w:rPr>
          <w:kern w:val="22"/>
        </w:rPr>
        <w:t>)</w:t>
      </w:r>
      <w:r w:rsidR="005777A0" w:rsidRPr="00FE6148">
        <w:rPr>
          <w:kern w:val="22"/>
        </w:rPr>
        <w:t>;</w:t>
      </w:r>
    </w:p>
    <w:p w14:paraId="54AAF1B0" w14:textId="4AE28BEE" w:rsidR="00117549" w:rsidRPr="00FE6148" w:rsidRDefault="004A1965" w:rsidP="00FE6148">
      <w:pPr>
        <w:numPr>
          <w:ilvl w:val="0"/>
          <w:numId w:val="14"/>
        </w:numPr>
        <w:suppressLineNumbers/>
        <w:suppressAutoHyphens/>
        <w:spacing w:after="120"/>
        <w:ind w:left="0" w:firstLine="720"/>
        <w:rPr>
          <w:kern w:val="22"/>
        </w:rPr>
      </w:pPr>
      <w:r w:rsidRPr="00FE6148">
        <w:rPr>
          <w:kern w:val="22"/>
        </w:rPr>
        <w:t>Ensure coherence and synergy across the United Nations system</w:t>
      </w:r>
      <w:r w:rsidR="005777A0" w:rsidRPr="00FE6148">
        <w:rPr>
          <w:kern w:val="22"/>
        </w:rPr>
        <w:t>;</w:t>
      </w:r>
    </w:p>
    <w:p w14:paraId="3D06D2FE" w14:textId="36ABD5EF" w:rsidR="00117549" w:rsidRPr="00FE6148" w:rsidRDefault="004A1965" w:rsidP="00FE6148">
      <w:pPr>
        <w:numPr>
          <w:ilvl w:val="0"/>
          <w:numId w:val="14"/>
        </w:numPr>
        <w:suppressLineNumbers/>
        <w:suppressAutoHyphens/>
        <w:spacing w:after="120"/>
        <w:ind w:left="0" w:firstLine="720"/>
        <w:rPr>
          <w:kern w:val="22"/>
        </w:rPr>
      </w:pPr>
      <w:r w:rsidRPr="00FE6148">
        <w:rPr>
          <w:kern w:val="22"/>
        </w:rPr>
        <w:t xml:space="preserve">Align its structure with the Sustainable Development </w:t>
      </w:r>
      <w:r w:rsidR="00622B81" w:rsidRPr="00FE6148">
        <w:rPr>
          <w:kern w:val="22"/>
        </w:rPr>
        <w:t>G</w:t>
      </w:r>
      <w:r w:rsidRPr="00FE6148">
        <w:rPr>
          <w:kern w:val="22"/>
        </w:rPr>
        <w:t>oals</w:t>
      </w:r>
      <w:r w:rsidR="005777A0" w:rsidRPr="00FE6148">
        <w:rPr>
          <w:kern w:val="22"/>
        </w:rPr>
        <w:t>.</w:t>
      </w:r>
    </w:p>
    <w:p w14:paraId="49D91CE2" w14:textId="77777777" w:rsidR="00117549" w:rsidRPr="00FE6148" w:rsidRDefault="004A1965" w:rsidP="00FE6148">
      <w:pPr>
        <w:keepNext/>
        <w:suppressLineNumbers/>
        <w:suppressAutoHyphens/>
        <w:spacing w:before="120" w:after="120"/>
        <w:jc w:val="left"/>
        <w:rPr>
          <w:b/>
          <w:kern w:val="22"/>
        </w:rPr>
      </w:pPr>
      <w:r w:rsidRPr="00FE6148">
        <w:rPr>
          <w:b/>
          <w:kern w:val="22"/>
        </w:rPr>
        <w:t>Overarching enabling conditions</w:t>
      </w:r>
    </w:p>
    <w:p w14:paraId="2935F64D" w14:textId="1C453911" w:rsidR="00117549" w:rsidRPr="00FE6148" w:rsidRDefault="004A1965" w:rsidP="00FE6148">
      <w:pPr>
        <w:numPr>
          <w:ilvl w:val="0"/>
          <w:numId w:val="15"/>
        </w:numPr>
        <w:suppressLineNumbers/>
        <w:suppressAutoHyphens/>
        <w:spacing w:after="120"/>
        <w:ind w:left="0" w:firstLine="720"/>
        <w:rPr>
          <w:kern w:val="22"/>
        </w:rPr>
      </w:pPr>
      <w:r w:rsidRPr="00FE6148">
        <w:rPr>
          <w:kern w:val="22"/>
        </w:rPr>
        <w:t>Awareness-raising on biodiversity loss and degradation</w:t>
      </w:r>
      <w:r w:rsidR="00494679" w:rsidRPr="00FE6148">
        <w:rPr>
          <w:kern w:val="22"/>
        </w:rPr>
        <w:t>;</w:t>
      </w:r>
    </w:p>
    <w:p w14:paraId="1636A68A" w14:textId="49ACD011" w:rsidR="00117549" w:rsidRPr="00FE6148" w:rsidRDefault="004A1965" w:rsidP="00FE6148">
      <w:pPr>
        <w:numPr>
          <w:ilvl w:val="0"/>
          <w:numId w:val="15"/>
        </w:numPr>
        <w:suppressLineNumbers/>
        <w:suppressAutoHyphens/>
        <w:spacing w:after="120"/>
        <w:ind w:left="0" w:firstLine="720"/>
        <w:rPr>
          <w:kern w:val="22"/>
        </w:rPr>
      </w:pPr>
      <w:r w:rsidRPr="00FE6148">
        <w:rPr>
          <w:kern w:val="22"/>
        </w:rPr>
        <w:t>Taking a human rights-based approach</w:t>
      </w:r>
      <w:r w:rsidR="00494679" w:rsidRPr="00FE6148">
        <w:rPr>
          <w:kern w:val="22"/>
        </w:rPr>
        <w:t>.</w:t>
      </w:r>
    </w:p>
    <w:p w14:paraId="499FC94F" w14:textId="793B0464" w:rsidR="00117549" w:rsidRPr="00FE6148" w:rsidRDefault="004A1965" w:rsidP="00FE6148">
      <w:pPr>
        <w:keepNext/>
        <w:suppressLineNumbers/>
        <w:suppressAutoHyphens/>
        <w:spacing w:before="120" w:after="120"/>
        <w:jc w:val="left"/>
        <w:rPr>
          <w:b/>
          <w:kern w:val="22"/>
        </w:rPr>
      </w:pPr>
      <w:r w:rsidRPr="00FE6148">
        <w:rPr>
          <w:b/>
          <w:kern w:val="22"/>
        </w:rPr>
        <w:t>Overarching means of implementation</w:t>
      </w:r>
    </w:p>
    <w:p w14:paraId="11FAB8FD" w14:textId="6F78674F" w:rsidR="00117549" w:rsidRPr="00FE6148" w:rsidRDefault="004A1965" w:rsidP="00FE6148">
      <w:pPr>
        <w:suppressLineNumbers/>
        <w:suppressAutoHyphens/>
        <w:spacing w:before="120" w:after="120"/>
        <w:ind w:firstLine="720"/>
        <w:rPr>
          <w:kern w:val="22"/>
        </w:rPr>
      </w:pPr>
      <w:r w:rsidRPr="00FE6148">
        <w:rPr>
          <w:kern w:val="22"/>
        </w:rPr>
        <w:t>Robust implementation mechanism that addresses criminalization of environment defenders</w:t>
      </w:r>
      <w:r w:rsidR="008622B3" w:rsidRPr="00FE6148">
        <w:rPr>
          <w:kern w:val="22"/>
        </w:rPr>
        <w:t>.</w:t>
      </w:r>
    </w:p>
    <w:p w14:paraId="5A977ADB" w14:textId="682476F9" w:rsidR="00117549" w:rsidRPr="00FE6148" w:rsidRDefault="004A1965" w:rsidP="00FE6148">
      <w:pPr>
        <w:keepNext/>
        <w:suppressLineNumbers/>
        <w:suppressAutoHyphens/>
        <w:spacing w:before="120" w:after="120"/>
        <w:jc w:val="left"/>
        <w:rPr>
          <w:b/>
          <w:kern w:val="22"/>
        </w:rPr>
      </w:pPr>
      <w:r w:rsidRPr="00FE6148">
        <w:rPr>
          <w:b/>
          <w:kern w:val="22"/>
        </w:rPr>
        <w:t>Overarching indicators</w:t>
      </w:r>
    </w:p>
    <w:p w14:paraId="0050FF33" w14:textId="2AA7C220" w:rsidR="00117549" w:rsidRPr="00FE6148" w:rsidRDefault="004A1965" w:rsidP="00FE6148">
      <w:pPr>
        <w:numPr>
          <w:ilvl w:val="0"/>
          <w:numId w:val="16"/>
        </w:numPr>
        <w:suppressLineNumbers/>
        <w:suppressAutoHyphens/>
        <w:spacing w:after="120"/>
        <w:ind w:left="0" w:firstLine="720"/>
        <w:rPr>
          <w:kern w:val="22"/>
        </w:rPr>
      </w:pPr>
      <w:r w:rsidRPr="00FE6148">
        <w:rPr>
          <w:kern w:val="22"/>
        </w:rPr>
        <w:t xml:space="preserve">Number of countries that implement the United Nations Declaration on the Rights of Indigenous </w:t>
      </w:r>
      <w:r w:rsidR="001734FD" w:rsidRPr="00FE6148">
        <w:rPr>
          <w:kern w:val="22"/>
        </w:rPr>
        <w:t>P</w:t>
      </w:r>
      <w:r w:rsidRPr="00FE6148">
        <w:rPr>
          <w:kern w:val="22"/>
        </w:rPr>
        <w:t>eoples</w:t>
      </w:r>
      <w:r w:rsidR="00017FCE" w:rsidRPr="00FE6148">
        <w:rPr>
          <w:kern w:val="22"/>
        </w:rPr>
        <w:t>;</w:t>
      </w:r>
    </w:p>
    <w:p w14:paraId="7A6A30E0" w14:textId="63B97436" w:rsidR="009B3130" w:rsidRPr="00FE6148" w:rsidRDefault="004A1965" w:rsidP="00FE6148">
      <w:pPr>
        <w:numPr>
          <w:ilvl w:val="0"/>
          <w:numId w:val="16"/>
        </w:numPr>
        <w:suppressLineNumbers/>
        <w:suppressAutoHyphens/>
        <w:spacing w:after="120"/>
        <w:ind w:left="0" w:firstLine="720"/>
        <w:rPr>
          <w:kern w:val="22"/>
        </w:rPr>
      </w:pPr>
      <w:r w:rsidRPr="00FE6148">
        <w:rPr>
          <w:kern w:val="22"/>
        </w:rPr>
        <w:t xml:space="preserve">Adopt and strengthen </w:t>
      </w:r>
      <w:r w:rsidR="00017FCE" w:rsidRPr="00FE6148">
        <w:rPr>
          <w:kern w:val="22"/>
        </w:rPr>
        <w:t xml:space="preserve">four </w:t>
      </w:r>
      <w:r w:rsidRPr="00FE6148">
        <w:rPr>
          <w:kern w:val="22"/>
        </w:rPr>
        <w:t xml:space="preserve">traditional knowledge indicators, and invite the International Labour Organization (ILO), the United Nations Educational, Scientific and Cultural Organization (UNESCO), and the International </w:t>
      </w:r>
      <w:r w:rsidR="003656E4" w:rsidRPr="00FE6148">
        <w:rPr>
          <w:kern w:val="22"/>
        </w:rPr>
        <w:t>Land Coalition</w:t>
      </w:r>
      <w:r w:rsidRPr="00FE6148">
        <w:rPr>
          <w:kern w:val="22"/>
        </w:rPr>
        <w:t xml:space="preserve"> (ILC) to </w:t>
      </w:r>
      <w:r w:rsidR="008627D4" w:rsidRPr="00FE6148">
        <w:rPr>
          <w:kern w:val="22"/>
        </w:rPr>
        <w:t>assist in their further development and operationalization</w:t>
      </w:r>
      <w:r w:rsidR="009B3130" w:rsidRPr="00FE6148">
        <w:rPr>
          <w:kern w:val="22"/>
        </w:rPr>
        <w:t>.</w:t>
      </w:r>
    </w:p>
    <w:p w14:paraId="3F12F901" w14:textId="77777777" w:rsidR="00081C4E" w:rsidRPr="00FE6148" w:rsidRDefault="00081C4E" w:rsidP="00FE6148">
      <w:pPr>
        <w:suppressLineNumbers/>
        <w:suppressAutoHyphens/>
        <w:jc w:val="left"/>
        <w:rPr>
          <w:kern w:val="22"/>
          <w:szCs w:val="22"/>
          <w:lang w:eastAsia="ja-JP"/>
        </w:rPr>
      </w:pPr>
    </w:p>
    <w:tbl>
      <w:tblPr>
        <w:tblW w:w="9346" w:type="dxa"/>
        <w:jc w:val="center"/>
        <w:tblLayout w:type="fixed"/>
        <w:tblCellMar>
          <w:top w:w="15" w:type="dxa"/>
          <w:left w:w="15" w:type="dxa"/>
          <w:bottom w:w="15" w:type="dxa"/>
          <w:right w:w="15" w:type="dxa"/>
        </w:tblCellMar>
        <w:tblLook w:val="04A0" w:firstRow="1" w:lastRow="0" w:firstColumn="1" w:lastColumn="0" w:noHBand="0" w:noVBand="1"/>
      </w:tblPr>
      <w:tblGrid>
        <w:gridCol w:w="1975"/>
        <w:gridCol w:w="1843"/>
        <w:gridCol w:w="2835"/>
        <w:gridCol w:w="2693"/>
      </w:tblGrid>
      <w:tr w:rsidR="00EF5492" w:rsidRPr="00FE6148" w14:paraId="458C35B6" w14:textId="77777777" w:rsidTr="00EF5492">
        <w:trPr>
          <w:tblHeader/>
          <w:jc w:val="center"/>
        </w:trPr>
        <w:tc>
          <w:tcPr>
            <w:tcW w:w="1975" w:type="dxa"/>
            <w:tcBorders>
              <w:top w:val="single" w:sz="8" w:space="0" w:color="000000"/>
              <w:left w:val="single" w:sz="8" w:space="0" w:color="000000"/>
              <w:bottom w:val="single" w:sz="8" w:space="0" w:color="000000"/>
              <w:right w:val="single" w:sz="8" w:space="0" w:color="000000"/>
            </w:tcBorders>
          </w:tcPr>
          <w:p w14:paraId="2BC30825" w14:textId="77777777" w:rsidR="00EF5492" w:rsidRPr="00FE6148" w:rsidRDefault="00EF5492" w:rsidP="00FE6148">
            <w:pPr>
              <w:suppressLineNumbers/>
              <w:suppressAutoHyphens/>
              <w:ind w:left="68" w:right="45"/>
              <w:jc w:val="center"/>
              <w:rPr>
                <w:i/>
                <w:kern w:val="22"/>
                <w:szCs w:val="22"/>
                <w:lang w:eastAsia="ja-JP"/>
              </w:rPr>
            </w:pPr>
            <w:r w:rsidRPr="00FE6148">
              <w:rPr>
                <w:i/>
                <w:color w:val="000000"/>
                <w:kern w:val="22"/>
                <w:szCs w:val="22"/>
                <w:lang w:eastAsia="ja-JP"/>
              </w:rPr>
              <w:t>Main message</w:t>
            </w:r>
          </w:p>
        </w:tc>
        <w:tc>
          <w:tcPr>
            <w:tcW w:w="1843" w:type="dxa"/>
            <w:tcBorders>
              <w:top w:val="single" w:sz="8" w:space="0" w:color="000000"/>
              <w:left w:val="single" w:sz="8" w:space="0" w:color="000000"/>
              <w:bottom w:val="single" w:sz="8" w:space="0" w:color="000000"/>
              <w:right w:val="single" w:sz="8" w:space="0" w:color="000000"/>
            </w:tcBorders>
          </w:tcPr>
          <w:p w14:paraId="741C4A48" w14:textId="77777777" w:rsidR="00EF5492" w:rsidRPr="00FE6148" w:rsidRDefault="00EF5492" w:rsidP="00FE6148">
            <w:pPr>
              <w:suppressLineNumbers/>
              <w:suppressAutoHyphens/>
              <w:ind w:left="85" w:right="57"/>
              <w:jc w:val="center"/>
              <w:rPr>
                <w:i/>
                <w:color w:val="000000"/>
                <w:kern w:val="22"/>
                <w:szCs w:val="22"/>
                <w:lang w:eastAsia="ja-JP"/>
              </w:rPr>
            </w:pPr>
            <w:r w:rsidRPr="00FE6148">
              <w:rPr>
                <w:i/>
                <w:color w:val="000000"/>
                <w:kern w:val="22"/>
                <w:szCs w:val="22"/>
                <w:lang w:eastAsia="ja-JP"/>
              </w:rPr>
              <w:t>Goal</w:t>
            </w:r>
          </w:p>
        </w:tc>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5A99FF" w14:textId="77777777" w:rsidR="00EF5492" w:rsidRPr="00FE6148" w:rsidRDefault="00EF5492" w:rsidP="00FE6148">
            <w:pPr>
              <w:suppressLineNumbers/>
              <w:suppressAutoHyphens/>
              <w:jc w:val="center"/>
              <w:rPr>
                <w:i/>
                <w:kern w:val="22"/>
                <w:szCs w:val="22"/>
                <w:lang w:eastAsia="ja-JP"/>
              </w:rPr>
            </w:pPr>
            <w:r w:rsidRPr="00FE6148">
              <w:rPr>
                <w:i/>
                <w:color w:val="000000"/>
                <w:kern w:val="22"/>
                <w:szCs w:val="22"/>
                <w:lang w:eastAsia="ja-JP"/>
              </w:rPr>
              <w:t>Enabling conditions</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D2D6EE" w14:textId="77777777" w:rsidR="00EF5492" w:rsidRPr="00FE6148" w:rsidRDefault="00EF5492" w:rsidP="00FE6148">
            <w:pPr>
              <w:suppressLineNumbers/>
              <w:suppressAutoHyphens/>
              <w:jc w:val="center"/>
              <w:rPr>
                <w:i/>
                <w:kern w:val="22"/>
                <w:szCs w:val="22"/>
                <w:lang w:eastAsia="ja-JP"/>
              </w:rPr>
            </w:pPr>
            <w:r w:rsidRPr="00FE6148">
              <w:rPr>
                <w:i/>
                <w:color w:val="000000"/>
                <w:kern w:val="22"/>
                <w:szCs w:val="22"/>
                <w:lang w:eastAsia="ja-JP"/>
              </w:rPr>
              <w:t>Means of implementation</w:t>
            </w:r>
          </w:p>
        </w:tc>
      </w:tr>
      <w:tr w:rsidR="00EF5492" w:rsidRPr="00FE6148" w14:paraId="46AF75A3"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2EF56B5F" w14:textId="55EA3FAF"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t>Conservation of biodiversity can only be achieved by full recognition of IPLC</w:t>
            </w:r>
            <w:r w:rsidR="00192790" w:rsidRPr="00FE6148">
              <w:rPr>
                <w:rStyle w:val="FootnoteReference"/>
                <w:color w:val="000000"/>
                <w:kern w:val="22"/>
                <w:szCs w:val="22"/>
                <w:lang w:eastAsia="ja-JP"/>
              </w:rPr>
              <w:footnoteReference w:id="19"/>
            </w:r>
            <w:r w:rsidRPr="00FE6148">
              <w:rPr>
                <w:color w:val="000000"/>
                <w:kern w:val="22"/>
                <w:szCs w:val="22"/>
                <w:lang w:eastAsia="ja-JP"/>
              </w:rPr>
              <w:t xml:space="preserve"> territories and their efforts to govern, manage, protect and conserve IPLCs’ collective territories on their own terms, </w:t>
            </w:r>
            <w:r w:rsidRPr="00FE6148">
              <w:rPr>
                <w:color w:val="000000"/>
                <w:kern w:val="22"/>
                <w:szCs w:val="22"/>
                <w:lang w:eastAsia="ja-JP"/>
              </w:rPr>
              <w:lastRenderedPageBreak/>
              <w:t>including through self-determined governance institutions, customary laws and protocols, and systems of indigenous and local knowledge and customary sustainable use.</w:t>
            </w:r>
          </w:p>
        </w:tc>
        <w:tc>
          <w:tcPr>
            <w:tcW w:w="1843" w:type="dxa"/>
            <w:tcBorders>
              <w:top w:val="single" w:sz="8" w:space="0" w:color="000000"/>
              <w:left w:val="single" w:sz="8" w:space="0" w:color="000000"/>
              <w:bottom w:val="single" w:sz="8" w:space="0" w:color="000000"/>
              <w:right w:val="single" w:sz="8" w:space="0" w:color="000000"/>
            </w:tcBorders>
          </w:tcPr>
          <w:p w14:paraId="1824F6B4" w14:textId="77777777" w:rsidR="00EF5492" w:rsidRPr="00FE6148" w:rsidRDefault="00EF5492" w:rsidP="00FE6148">
            <w:pPr>
              <w:suppressLineNumbers/>
              <w:suppressAutoHyphens/>
              <w:ind w:left="85" w:right="57"/>
              <w:jc w:val="left"/>
              <w:rPr>
                <w:kern w:val="22"/>
                <w:szCs w:val="22"/>
                <w:lang w:eastAsia="ja-JP"/>
              </w:rPr>
            </w:pPr>
            <w:r w:rsidRPr="00FE6148">
              <w:rPr>
                <w:color w:val="000000"/>
                <w:kern w:val="22"/>
                <w:szCs w:val="22"/>
                <w:lang w:eastAsia="ja-JP"/>
              </w:rPr>
              <w:lastRenderedPageBreak/>
              <w:t>Conservation:</w:t>
            </w:r>
          </w:p>
          <w:p w14:paraId="5D190D0A"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100% recognition and protection of our land and territories, as well as their 100% sustainable use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61492" w14:textId="169A0C72" w:rsidR="00EF5492" w:rsidRPr="00FE6148" w:rsidRDefault="00EF549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Appropriate recognition of IPLC land tenure (ancestral domains and existing territories of life</w:t>
            </w:r>
            <w:r w:rsidRPr="00FE6148">
              <w:rPr>
                <w:rStyle w:val="FootnoteReference"/>
                <w:color w:val="000000"/>
                <w:kern w:val="22"/>
                <w:szCs w:val="22"/>
                <w:lang w:eastAsia="ja-JP"/>
              </w:rPr>
              <w:footnoteReference w:id="20"/>
            </w:r>
            <w:r w:rsidRPr="00FE6148">
              <w:rPr>
                <w:color w:val="000000"/>
                <w:kern w:val="22"/>
                <w:szCs w:val="22"/>
                <w:lang w:eastAsia="ja-JP"/>
              </w:rPr>
              <w:t>)</w:t>
            </w:r>
          </w:p>
          <w:p w14:paraId="5B1FFA02" w14:textId="77777777" w:rsidR="00EF5492" w:rsidRPr="00FE6148" w:rsidRDefault="00EF549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Revitalizing conservation practices by IPLCs using their own governance systems (quality and vitality)</w:t>
            </w:r>
          </w:p>
          <w:p w14:paraId="74C6F7D0" w14:textId="2EDC2C29" w:rsidR="00EF5492" w:rsidRPr="00FE6148" w:rsidRDefault="00EF549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 xml:space="preserve">Enhancing awareness of IPLCs’ contributions to </w:t>
            </w:r>
            <w:r w:rsidRPr="00FE6148">
              <w:rPr>
                <w:color w:val="000000"/>
                <w:kern w:val="22"/>
                <w:szCs w:val="22"/>
                <w:lang w:eastAsia="ja-JP"/>
              </w:rPr>
              <w:lastRenderedPageBreak/>
              <w:t>conservation through their knowledge</w:t>
            </w:r>
          </w:p>
          <w:p w14:paraId="101DE5A5" w14:textId="77777777" w:rsidR="00EF5492" w:rsidRPr="00FE6148" w:rsidRDefault="00EF549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Resource mobilization</w:t>
            </w:r>
          </w:p>
          <w:p w14:paraId="65FFA0D0" w14:textId="77777777" w:rsidR="00EF5492" w:rsidRPr="00FE6148" w:rsidRDefault="00EF5492" w:rsidP="00FE6148">
            <w:pPr>
              <w:numPr>
                <w:ilvl w:val="0"/>
                <w:numId w:val="17"/>
              </w:numPr>
              <w:suppressLineNumbers/>
              <w:tabs>
                <w:tab w:val="clear" w:pos="720"/>
                <w:tab w:val="left" w:pos="255"/>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Rights-based approach</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93C68" w14:textId="6AB3F748"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lastRenderedPageBreak/>
              <w:t xml:space="preserve">This can only be achieved by recognizing and respecting </w:t>
            </w:r>
            <w:r w:rsidR="00A7431E" w:rsidRPr="00FE6148">
              <w:rPr>
                <w:color w:val="000000"/>
                <w:kern w:val="22"/>
                <w:szCs w:val="22"/>
                <w:lang w:eastAsia="ja-JP"/>
              </w:rPr>
              <w:t>IPLCs’</w:t>
            </w:r>
            <w:r w:rsidRPr="00FE6148">
              <w:rPr>
                <w:color w:val="000000"/>
                <w:kern w:val="22"/>
                <w:szCs w:val="22"/>
                <w:lang w:eastAsia="ja-JP"/>
              </w:rPr>
              <w:t xml:space="preserve"> and communities’ rights, the contributions of their collective lands and territories of life to conservation, and a diversity of governance </w:t>
            </w:r>
            <w:r w:rsidRPr="00FE6148">
              <w:rPr>
                <w:color w:val="000000"/>
                <w:kern w:val="22"/>
                <w:szCs w:val="22"/>
                <w:lang w:eastAsia="ja-JP"/>
              </w:rPr>
              <w:lastRenderedPageBreak/>
              <w:t>types and management categories</w:t>
            </w:r>
          </w:p>
          <w:p w14:paraId="351F2A63"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Revitalizing language and knowledge, and enhancing traditional practices</w:t>
            </w:r>
          </w:p>
          <w:p w14:paraId="07A9F22F"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Self-monitoring, assessment and documenting of the ecosystem services</w:t>
            </w:r>
          </w:p>
          <w:p w14:paraId="1DBC9CDD"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Dedicated resources for capacity-building and the implementation of indigenous-led conservation and restoration practices</w:t>
            </w:r>
          </w:p>
          <w:p w14:paraId="67DA8F11"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Incentives for implementation of best practices (preservation, sustainable use and restoration)</w:t>
            </w:r>
          </w:p>
        </w:tc>
      </w:tr>
      <w:tr w:rsidR="00EF5492" w:rsidRPr="00FE6148" w14:paraId="65F36C9C"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5440CEB9" w14:textId="152277B9"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lastRenderedPageBreak/>
              <w:t>The protection of IPLCs and their traditional knowledge, innovations and practices is part of the solution to achieve the objectives of the Convention and its Protocols. Parties must commit to accepting traditional knowledge in the entire processes of the Convention at the local, subnational, national and international levels.</w:t>
            </w:r>
          </w:p>
        </w:tc>
        <w:tc>
          <w:tcPr>
            <w:tcW w:w="1843" w:type="dxa"/>
            <w:tcBorders>
              <w:top w:val="single" w:sz="8" w:space="0" w:color="000000"/>
              <w:left w:val="single" w:sz="8" w:space="0" w:color="000000"/>
              <w:bottom w:val="single" w:sz="8" w:space="0" w:color="000000"/>
              <w:right w:val="single" w:sz="8" w:space="0" w:color="000000"/>
            </w:tcBorders>
          </w:tcPr>
          <w:p w14:paraId="5547673F"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IPLCs have the right to maintain control of, protect and develop their traditional knowledge and practices, and to develop the intellectual property rights for traditional knowledge, practices and innovations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0C623" w14:textId="6657C3A1"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Recognition, respect, trust and increased understanding between nation States, western science and IPLCs, are essential elements and top priorities to ensure the exchange of knowledge</w:t>
            </w:r>
          </w:p>
          <w:p w14:paraId="48CDF5EB"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Control mechanisms are in place to protect indigenous languages and traditional knowledge, practices and values</w:t>
            </w:r>
          </w:p>
          <w:p w14:paraId="206023F8"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The education system is supported to transfer knowledge and indigenous languages to younger generations, in order to ensure revitalization</w:t>
            </w:r>
          </w:p>
          <w:p w14:paraId="2350B4A4"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Recognizing traditional knowledge as a separate and distinct knowledge system</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EBF5B"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Education and training for those working with IPLCs</w:t>
            </w:r>
          </w:p>
          <w:p w14:paraId="1E7006B6"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The use of community protocols that set out protections and terms of use for indigenous knowledge, consistent with intellectual and communal property rights</w:t>
            </w:r>
          </w:p>
          <w:p w14:paraId="4ABE493C" w14:textId="1A9CB17F"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The education systems will support indigenous curricula which will include indigenous languages, traditions and values, and the knowledge transfer from Elders</w:t>
            </w:r>
          </w:p>
          <w:p w14:paraId="010C69D4"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Funding support for indigenous communities and institutions to refine methodologies and protocol development</w:t>
            </w:r>
          </w:p>
          <w:p w14:paraId="54449420"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 xml:space="preserve">Documentation for protection and data sharing agreements, </w:t>
            </w:r>
            <w:proofErr w:type="gramStart"/>
            <w:r w:rsidRPr="00FE6148">
              <w:rPr>
                <w:color w:val="000000"/>
                <w:kern w:val="22"/>
                <w:szCs w:val="22"/>
                <w:lang w:eastAsia="ja-JP"/>
              </w:rPr>
              <w:t>taking into account</w:t>
            </w:r>
            <w:proofErr w:type="gramEnd"/>
            <w:r w:rsidRPr="00FE6148">
              <w:rPr>
                <w:color w:val="000000"/>
                <w:kern w:val="22"/>
                <w:szCs w:val="22"/>
                <w:lang w:eastAsia="ja-JP"/>
              </w:rPr>
              <w:t xml:space="preserve"> guidelines created </w:t>
            </w:r>
            <w:r w:rsidRPr="00FE6148">
              <w:rPr>
                <w:color w:val="000000"/>
                <w:kern w:val="22"/>
                <w:szCs w:val="22"/>
                <w:lang w:eastAsia="ja-JP"/>
              </w:rPr>
              <w:lastRenderedPageBreak/>
              <w:t>under IPBES needed for co-production activities of knowledge</w:t>
            </w:r>
          </w:p>
        </w:tc>
      </w:tr>
      <w:tr w:rsidR="00EF5492" w:rsidRPr="00FE6148" w14:paraId="60DC3FB7"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469A91EF" w14:textId="6098321E"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lastRenderedPageBreak/>
              <w:t>IPLCs are guardians of global biodiversity. With this in mind, we urge Parties to ensure a participatory approach that enables IPLCs to contribute to the NBSAPs. Parties’ support must reflect the meaningful recognition of IPLCs’ rights, role and responsibilities, gender inclusion, and ensure participation of IPLCs at all levels.</w:t>
            </w:r>
          </w:p>
        </w:tc>
        <w:tc>
          <w:tcPr>
            <w:tcW w:w="1843" w:type="dxa"/>
            <w:tcBorders>
              <w:top w:val="single" w:sz="8" w:space="0" w:color="000000"/>
              <w:left w:val="single" w:sz="8" w:space="0" w:color="000000"/>
              <w:bottom w:val="single" w:sz="8" w:space="0" w:color="000000"/>
              <w:right w:val="single" w:sz="8" w:space="0" w:color="000000"/>
            </w:tcBorders>
          </w:tcPr>
          <w:p w14:paraId="32DD61EE"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Ensure a participatory approach that enables IPLCs to contribute to the revision, development and implementation of the NBSAPs (IPLCs are consulted through a two-way sharing of information)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2B4B6"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Recognition of IPLC rights, roles and responsibilities</w:t>
            </w:r>
          </w:p>
          <w:p w14:paraId="6CDB8E5E" w14:textId="49C791F3"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 xml:space="preserve">Enforcement of existing legislations </w:t>
            </w:r>
            <w:proofErr w:type="gramStart"/>
            <w:r w:rsidRPr="00FE6148">
              <w:rPr>
                <w:color w:val="000000"/>
                <w:kern w:val="22"/>
                <w:szCs w:val="22"/>
                <w:lang w:eastAsia="ja-JP"/>
              </w:rPr>
              <w:t>with regard to</w:t>
            </w:r>
            <w:proofErr w:type="gramEnd"/>
            <w:r w:rsidRPr="00FE6148">
              <w:rPr>
                <w:color w:val="000000"/>
                <w:kern w:val="22"/>
                <w:szCs w:val="22"/>
                <w:lang w:eastAsia="ja-JP"/>
              </w:rPr>
              <w:t xml:space="preserve"> IPLCs</w:t>
            </w:r>
          </w:p>
          <w:p w14:paraId="3DF1ADDA" w14:textId="719FD7FB"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Processes for IPLCs to engage with all levels (design, planning, implementation, monitoring and evaluation)</w:t>
            </w:r>
          </w:p>
          <w:p w14:paraId="7BA747DA"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Enabling environment for IPLC participation (through respect of the principle of free, prior and informed consent (FPIC))</w:t>
            </w:r>
          </w:p>
          <w:p w14:paraId="5B7C7738"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Indigenous/local communities’ women’s representation</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69774"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IPLCs are a part of the national committee (nomination by community)</w:t>
            </w:r>
          </w:p>
          <w:p w14:paraId="1F1D1D80"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Education, awareness and outreach on law and legislation</w:t>
            </w:r>
          </w:p>
          <w:p w14:paraId="3B01819B"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Building alliances and collaboration to assist with the education and outreach</w:t>
            </w:r>
          </w:p>
          <w:p w14:paraId="43D5E370"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Use different platforms for communications (e.g. folk media/ listening groups/ social media, etc., made available in local languages)</w:t>
            </w:r>
          </w:p>
          <w:p w14:paraId="7F830824"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Proactive participation of IPLCs</w:t>
            </w:r>
          </w:p>
        </w:tc>
      </w:tr>
      <w:tr w:rsidR="00EF5492" w:rsidRPr="00FE6148" w14:paraId="4CEC1666"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7C854C62" w14:textId="5332AE3F"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t>Structural change is needed which supports equitable integration of IPLCs throughout the Convention, a permanent IPLC body, and recognition of IPLCs as partners in the implementation of the Convention. This will be achieved through a human-rights based approach, enhanced IPLC participation, capacity-building, recognition of IPLC values, knowledge and governance, and equity between generations and genders.</w:t>
            </w:r>
          </w:p>
        </w:tc>
        <w:tc>
          <w:tcPr>
            <w:tcW w:w="1843" w:type="dxa"/>
            <w:tcBorders>
              <w:top w:val="single" w:sz="8" w:space="0" w:color="000000"/>
              <w:left w:val="single" w:sz="8" w:space="0" w:color="000000"/>
              <w:bottom w:val="single" w:sz="8" w:space="0" w:color="000000"/>
              <w:right w:val="single" w:sz="8" w:space="0" w:color="000000"/>
            </w:tcBorders>
          </w:tcPr>
          <w:p w14:paraId="20D043F0" w14:textId="5A538778" w:rsidR="00EF5492" w:rsidRPr="00FE6148" w:rsidDel="00C70D9D"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Enabling condition:</w:t>
            </w:r>
            <w:r w:rsidRPr="00FE6148">
              <w:rPr>
                <w:color w:val="000000"/>
                <w:kern w:val="22"/>
                <w:szCs w:val="22"/>
                <w:lang w:eastAsia="ja-JP"/>
              </w:rPr>
              <w:br/>
              <w:t>IPLCs are partners in the implementation of the Convention, to equitably mainstream IPLCs throughout the Convention</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CB1D3C"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Equity, trust and respect of traditional and local knowledge, throughout generations and genders and between Parties and IPLCs</w:t>
            </w:r>
          </w:p>
          <w:p w14:paraId="3B2D78D7" w14:textId="58F52B12"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Establishment of a permanent body to enhance and strengthen the participation of IPLCs in the work of the Convention</w:t>
            </w:r>
          </w:p>
          <w:p w14:paraId="5A819543"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Capacity-building of IPLCs and Parties</w:t>
            </w:r>
          </w:p>
          <w:p w14:paraId="38481E48"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Secure and recognize IPLC tenure rights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E7C0F" w14:textId="1205EDD2"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Full integration of IPLCs throughout the processes of the Convention (through enhanced participation, and through co-production of knowledge)</w:t>
            </w:r>
          </w:p>
          <w:p w14:paraId="43AA255D" w14:textId="645CEC2C"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Implementation of UNDRIP in the Convention (FPIC to be respected in Convention processes and at national level)</w:t>
            </w:r>
          </w:p>
          <w:p w14:paraId="7168396C"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Resources</w:t>
            </w:r>
          </w:p>
          <w:p w14:paraId="466FDFDE"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Education and communication</w:t>
            </w:r>
          </w:p>
        </w:tc>
      </w:tr>
      <w:tr w:rsidR="00EF5492" w:rsidRPr="00FE6148" w14:paraId="5810587D"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18241D3A" w14:textId="51E88A28"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lastRenderedPageBreak/>
              <w:t>Indigenous peoples and local communities call for the establishment of a permanent body to further enhance their full and effective participation, mindful of genuine inclusion of women and youth, in the Convention and all its facets. This will build on the accomplishments of the current Working Group on Article 8(j) and should also support participation in national processes.</w:t>
            </w:r>
          </w:p>
        </w:tc>
        <w:tc>
          <w:tcPr>
            <w:tcW w:w="1843" w:type="dxa"/>
            <w:tcBorders>
              <w:top w:val="single" w:sz="8" w:space="0" w:color="000000"/>
              <w:left w:val="single" w:sz="8" w:space="0" w:color="000000"/>
              <w:bottom w:val="single" w:sz="8" w:space="0" w:color="000000"/>
              <w:right w:val="single" w:sz="8" w:space="0" w:color="000000"/>
            </w:tcBorders>
          </w:tcPr>
          <w:p w14:paraId="3C81E933"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Full and effective participation of IPLCs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C2D08"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Recognition of UNDRIP as an overarching framework for participation of IPLCs</w:t>
            </w:r>
          </w:p>
          <w:p w14:paraId="3FB86E23" w14:textId="6108FE31"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Establishment of a permanent body in the Convention to enhance and strengthen the participation of IPLCs, and creating synergies with other sectors</w:t>
            </w:r>
          </w:p>
          <w:p w14:paraId="21661394"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Strengthening mechanisms for IPLC participation in national processes, particularly national focus points</w:t>
            </w:r>
          </w:p>
          <w:p w14:paraId="6409C697"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Development of policies that support IPLC participation</w:t>
            </w:r>
          </w:p>
          <w:p w14:paraId="6614870A"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Establishment and recognition of mechanisms to enable women and youth to participate at all levels</w:t>
            </w:r>
          </w:p>
          <w:p w14:paraId="3C8D71F6"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Recognition of devolved systems for the governance and management of biodiversity</w:t>
            </w:r>
          </w:p>
          <w:p w14:paraId="1959B05A"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Recognition of management practices of IPLCs based on FPIC</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F3933" w14:textId="77777777" w:rsidR="00EF5492" w:rsidRPr="00FE6148" w:rsidRDefault="00EF5492" w:rsidP="00FE6148">
            <w:pPr>
              <w:numPr>
                <w:ilvl w:val="0"/>
                <w:numId w:val="17"/>
              </w:numPr>
              <w:suppressLineNumbers/>
              <w:tabs>
                <w:tab w:val="clear" w:pos="720"/>
                <w:tab w:val="left" w:pos="305"/>
              </w:tabs>
              <w:suppressAutoHyphens/>
              <w:ind w:left="71" w:hanging="82"/>
              <w:jc w:val="left"/>
              <w:textAlignment w:val="baseline"/>
              <w:rPr>
                <w:color w:val="000000"/>
                <w:kern w:val="22"/>
                <w:szCs w:val="22"/>
                <w:lang w:eastAsia="ja-JP"/>
              </w:rPr>
            </w:pPr>
            <w:r w:rsidRPr="00FE6148">
              <w:rPr>
                <w:color w:val="000000"/>
                <w:kern w:val="22"/>
                <w:szCs w:val="22"/>
                <w:lang w:eastAsia="ja-JP"/>
              </w:rPr>
              <w:t>Self-selection of IPLC representatives in national delegations</w:t>
            </w:r>
          </w:p>
          <w:p w14:paraId="48D21E76"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Development of gender and youth action plans</w:t>
            </w:r>
          </w:p>
          <w:p w14:paraId="3FE772E7"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Enhanced capacity for IPLCs in the national and global level</w:t>
            </w:r>
          </w:p>
          <w:p w14:paraId="20B843DE" w14:textId="310C799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eastAsia="ja-JP"/>
              </w:rPr>
            </w:pPr>
            <w:r w:rsidRPr="00FE6148">
              <w:rPr>
                <w:color w:val="000000"/>
                <w:kern w:val="22"/>
                <w:szCs w:val="22"/>
                <w:lang w:eastAsia="ja-JP"/>
              </w:rPr>
              <w:t>Ensuring participation of IPLCs in the development and updating of NBSAPs as well as in national reporting</w:t>
            </w:r>
          </w:p>
        </w:tc>
      </w:tr>
      <w:tr w:rsidR="00EF5492" w:rsidRPr="00FE6148" w14:paraId="3DC2CEBA"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061FA023" w14:textId="77777777"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t xml:space="preserve">Cultural diversity and its links to biodiversity should be a cross-cutting element in the post-2020 framework. Measures should be taken to build understanding on the links between nature and culture, promote the respect and recognition of the value of traditional knowledge systems and practices to biodiversity, address </w:t>
            </w:r>
            <w:r w:rsidRPr="00FE6148">
              <w:rPr>
                <w:color w:val="000000"/>
                <w:kern w:val="22"/>
                <w:szCs w:val="22"/>
                <w:lang w:eastAsia="ja-JP"/>
              </w:rPr>
              <w:lastRenderedPageBreak/>
              <w:t>language loss, and facilitate intergenerational transfer of knowledge.</w:t>
            </w:r>
          </w:p>
        </w:tc>
        <w:tc>
          <w:tcPr>
            <w:tcW w:w="1843" w:type="dxa"/>
            <w:tcBorders>
              <w:top w:val="single" w:sz="8" w:space="0" w:color="000000"/>
              <w:left w:val="single" w:sz="8" w:space="0" w:color="000000"/>
              <w:bottom w:val="single" w:sz="8" w:space="0" w:color="000000"/>
              <w:right w:val="single" w:sz="8" w:space="0" w:color="000000"/>
            </w:tcBorders>
          </w:tcPr>
          <w:p w14:paraId="064F0156"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lastRenderedPageBreak/>
              <w:t>Nature-culture approach and cultural diversity as a cross-cutting element in the post-2020 framework, with IPLCs as proponents of biodiversity and cultural diversity</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2F093" w14:textId="7D6899C0"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Synergy with other conventions, institutions and frameworks (e.g. 2030 Agenda for Sustainable Development, UNESCO, the International Council on Monuments and Sites (ICOMOS), the International Union for Conservation of Nature (IUCN), UNDRIP, ILO 169)</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F0F2" w14:textId="6F8F7B4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Build understanding on the links between nature and culture</w:t>
            </w:r>
          </w:p>
          <w:p w14:paraId="203F60F0"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Measures to promote the respect and recognition for the value of traditional cultures to biodiversity</w:t>
            </w:r>
          </w:p>
          <w:p w14:paraId="3A7695AE"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Measures to address the loss of languages</w:t>
            </w:r>
          </w:p>
          <w:p w14:paraId="5A8BBC47" w14:textId="6E7940DC"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kern w:val="22"/>
                <w:szCs w:val="22"/>
                <w:lang w:eastAsia="ja-JP"/>
              </w:rPr>
            </w:pPr>
            <w:r w:rsidRPr="00FE6148">
              <w:rPr>
                <w:color w:val="000000"/>
                <w:kern w:val="22"/>
                <w:szCs w:val="22"/>
                <w:lang w:eastAsia="ja-JP"/>
              </w:rPr>
              <w:t>Facilitation of intergenerational knowledge transfer</w:t>
            </w:r>
          </w:p>
        </w:tc>
      </w:tr>
      <w:tr w:rsidR="00EF5492" w:rsidRPr="00FE6148" w14:paraId="479521B2" w14:textId="77777777" w:rsidTr="00EF5492">
        <w:trPr>
          <w:jc w:val="center"/>
        </w:trPr>
        <w:tc>
          <w:tcPr>
            <w:tcW w:w="1975" w:type="dxa"/>
            <w:tcBorders>
              <w:top w:val="single" w:sz="8" w:space="0" w:color="000000"/>
              <w:left w:val="single" w:sz="8" w:space="0" w:color="000000"/>
              <w:bottom w:val="single" w:sz="8" w:space="0" w:color="000000"/>
              <w:right w:val="single" w:sz="8" w:space="0" w:color="000000"/>
            </w:tcBorders>
          </w:tcPr>
          <w:p w14:paraId="758194BA" w14:textId="7E34F75D"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t xml:space="preserve">Community-based monitoring and information systems (CBMIS), reflecting nature-culture values and indicators relevant for IPLCs, are indispensable tools for equitable and transparent environmental governance at all levels. CBMIS supports the monitoring of post-2020 targets and complements reports on national implementation, through </w:t>
            </w:r>
            <w:r w:rsidRPr="00FE6148">
              <w:rPr>
                <w:i/>
                <w:color w:val="000000"/>
                <w:kern w:val="22"/>
                <w:szCs w:val="22"/>
                <w:lang w:eastAsia="ja-JP"/>
              </w:rPr>
              <w:t>Local Biodiversity Outlooks</w:t>
            </w:r>
            <w:r w:rsidRPr="00FE6148">
              <w:rPr>
                <w:color w:val="000000"/>
                <w:kern w:val="22"/>
                <w:szCs w:val="22"/>
                <w:lang w:eastAsia="ja-JP"/>
              </w:rPr>
              <w:t>, and other global monitoring and reporting processes.</w:t>
            </w:r>
          </w:p>
        </w:tc>
        <w:tc>
          <w:tcPr>
            <w:tcW w:w="1843" w:type="dxa"/>
            <w:tcBorders>
              <w:top w:val="single" w:sz="8" w:space="0" w:color="000000"/>
              <w:left w:val="single" w:sz="8" w:space="0" w:color="000000"/>
              <w:bottom w:val="single" w:sz="8" w:space="0" w:color="000000"/>
              <w:right w:val="single" w:sz="8" w:space="0" w:color="000000"/>
            </w:tcBorders>
          </w:tcPr>
          <w:p w14:paraId="073397A3"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Indicators</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D09A0" w14:textId="5102A7EA"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 xml:space="preserve">Indicator monitoring mechanism (through community-based monitoring, with all IPLCs to report data independently, ensuring that it is aggregated, </w:t>
            </w:r>
            <w:r w:rsidR="00B77F21" w:rsidRPr="00FE6148">
              <w:rPr>
                <w:color w:val="000000"/>
                <w:kern w:val="22"/>
                <w:szCs w:val="22"/>
                <w:lang w:eastAsia="ja-JP"/>
              </w:rPr>
              <w:t>and</w:t>
            </w:r>
            <w:r w:rsidRPr="00FE6148">
              <w:rPr>
                <w:color w:val="000000"/>
                <w:kern w:val="22"/>
                <w:szCs w:val="22"/>
                <w:lang w:eastAsia="ja-JP"/>
              </w:rPr>
              <w:t xml:space="preserve"> with the support of organization-based monitoring)</w:t>
            </w:r>
          </w:p>
          <w:p w14:paraId="63772EEB"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Need for data that is accessible to capture for IPLCs</w:t>
            </w:r>
          </w:p>
          <w:p w14:paraId="6E4FC782" w14:textId="77777777" w:rsidR="00EF5492" w:rsidRPr="00FE6148" w:rsidRDefault="00EF5492" w:rsidP="00FE6148">
            <w:pPr>
              <w:suppressLineNumbers/>
              <w:suppressAutoHyphens/>
              <w:jc w:val="left"/>
              <w:rPr>
                <w:kern w:val="22"/>
                <w:szCs w:val="22"/>
                <w:lang w:eastAsia="ja-JP"/>
              </w:rPr>
            </w:pPr>
            <w:r w:rsidRPr="00FE6148">
              <w:rPr>
                <w:color w:val="000000"/>
                <w:kern w:val="22"/>
                <w:szCs w:val="22"/>
                <w:lang w:eastAsia="ja-JP"/>
              </w:rPr>
              <w:t>Examples of indicators</w:t>
            </w:r>
          </w:p>
          <w:p w14:paraId="05A5B3C7"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Number of supporting organizations working in partnership with communities and organizations</w:t>
            </w:r>
          </w:p>
          <w:p w14:paraId="40EE7BFC"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Number of partnerships between government and indigenous communities on CBMIS</w:t>
            </w:r>
          </w:p>
          <w:p w14:paraId="18175036"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Number of support organizations working in partnership with communities and organizations</w:t>
            </w:r>
          </w:p>
          <w:p w14:paraId="516CDD0A"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Number of national reports supporting community-based monitoring</w:t>
            </w:r>
          </w:p>
          <w:p w14:paraId="5868B607"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Number of IPLCs reporting through the LBO and GBO</w:t>
            </w:r>
          </w:p>
          <w:p w14:paraId="441C0BE0" w14:textId="6DF0A308"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Leverage indicators (e.g. quantitative and qualitative in the SDGs), on land tenure, livelihoods (under SDGs), and aggregated data (indigenous origin and ethnicity, collected by IPLCs)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006858" w14:textId="75FDD77C"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Establish a new working group on indicators (e.g. ad hoc technical indicator group relevant to IPLCs)</w:t>
            </w:r>
          </w:p>
          <w:p w14:paraId="41AFB4E3"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Establish a direct funding mechanism for IPLCs</w:t>
            </w:r>
          </w:p>
          <w:p w14:paraId="0CBB35CC"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Integrate agenda on climate, biodiversity and SDGs (discussion is necessary about where to integrate this in the Convention)</w:t>
            </w:r>
          </w:p>
          <w:p w14:paraId="050B889D" w14:textId="77777777" w:rsidR="00EF5492" w:rsidRPr="00FE6148" w:rsidRDefault="00EF5492" w:rsidP="00FE6148">
            <w:pPr>
              <w:suppressLineNumbers/>
              <w:suppressAutoHyphens/>
              <w:jc w:val="left"/>
              <w:rPr>
                <w:kern w:val="22"/>
                <w:szCs w:val="22"/>
                <w:lang w:eastAsia="ja-JP"/>
              </w:rPr>
            </w:pPr>
          </w:p>
          <w:p w14:paraId="268496AD" w14:textId="77777777" w:rsidR="00EF5492" w:rsidRPr="00FE6148" w:rsidRDefault="00EF5492" w:rsidP="00FE6148">
            <w:pPr>
              <w:suppressLineNumbers/>
              <w:suppressAutoHyphens/>
              <w:jc w:val="left"/>
              <w:rPr>
                <w:kern w:val="22"/>
                <w:szCs w:val="22"/>
                <w:lang w:eastAsia="ja-JP"/>
              </w:rPr>
            </w:pPr>
            <w:r w:rsidRPr="00FE6148">
              <w:rPr>
                <w:color w:val="000000"/>
                <w:kern w:val="22"/>
                <w:szCs w:val="22"/>
                <w:lang w:eastAsia="ja-JP"/>
              </w:rPr>
              <w:t>→ indicators are subject to change according to the goals</w:t>
            </w:r>
          </w:p>
        </w:tc>
      </w:tr>
      <w:tr w:rsidR="00EF5492" w:rsidRPr="00FE6148" w14:paraId="05850087" w14:textId="77777777" w:rsidTr="00394D40">
        <w:trPr>
          <w:jc w:val="center"/>
        </w:trPr>
        <w:tc>
          <w:tcPr>
            <w:tcW w:w="1975" w:type="dxa"/>
            <w:tcBorders>
              <w:top w:val="single" w:sz="8" w:space="0" w:color="000000"/>
              <w:left w:val="single" w:sz="8" w:space="0" w:color="000000"/>
              <w:bottom w:val="single" w:sz="8" w:space="0" w:color="000000"/>
              <w:right w:val="single" w:sz="8" w:space="0" w:color="000000"/>
            </w:tcBorders>
          </w:tcPr>
          <w:p w14:paraId="3F3A8201" w14:textId="77777777" w:rsidR="00EF5492" w:rsidRPr="00FE6148" w:rsidRDefault="00EF5492" w:rsidP="00FE6148">
            <w:pPr>
              <w:suppressLineNumbers/>
              <w:suppressAutoHyphens/>
              <w:ind w:left="68" w:right="45"/>
              <w:jc w:val="left"/>
              <w:rPr>
                <w:kern w:val="22"/>
                <w:szCs w:val="22"/>
                <w:lang w:eastAsia="ja-JP"/>
              </w:rPr>
            </w:pPr>
            <w:r w:rsidRPr="00FE6148">
              <w:rPr>
                <w:color w:val="000000"/>
                <w:kern w:val="22"/>
                <w:szCs w:val="22"/>
                <w:lang w:eastAsia="ja-JP"/>
              </w:rPr>
              <w:lastRenderedPageBreak/>
              <w:t>Establish equitable and sustainable financing arrangements, including dedicated and mainstreamed mechanisms and budgetary allocations across all levels (subnational, national and international) for IPLCs’ programmes, to facilitate the realization of land tenure security, technical capacity on financial management, indigenous peoples’ self-determination and access to benefits so as to ensure a harmonious relationship with nature.</w:t>
            </w:r>
          </w:p>
        </w:tc>
        <w:tc>
          <w:tcPr>
            <w:tcW w:w="1843" w:type="dxa"/>
            <w:tcBorders>
              <w:top w:val="single" w:sz="8" w:space="0" w:color="000000"/>
              <w:left w:val="single" w:sz="8" w:space="0" w:color="000000"/>
              <w:bottom w:val="single" w:sz="8" w:space="0" w:color="000000"/>
              <w:right w:val="single" w:sz="8" w:space="0" w:color="000000"/>
            </w:tcBorders>
          </w:tcPr>
          <w:p w14:paraId="429A401F" w14:textId="77777777" w:rsidR="00EF5492" w:rsidRPr="00FE6148" w:rsidRDefault="00EF5492" w:rsidP="00FE6148">
            <w:pPr>
              <w:suppressLineNumbers/>
              <w:suppressAutoHyphens/>
              <w:ind w:left="85" w:right="57"/>
              <w:jc w:val="left"/>
              <w:rPr>
                <w:color w:val="000000"/>
                <w:kern w:val="22"/>
                <w:szCs w:val="22"/>
                <w:lang w:eastAsia="ja-JP"/>
              </w:rPr>
            </w:pPr>
            <w:r w:rsidRPr="00FE6148">
              <w:rPr>
                <w:color w:val="000000"/>
                <w:kern w:val="22"/>
                <w:szCs w:val="22"/>
                <w:lang w:eastAsia="ja-JP"/>
              </w:rPr>
              <w:t>Establish equitable and sustainable financing mechanisms and arrangements for IPLCs to ensure a harmonious relationship with nature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AC459" w14:textId="264096A0"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Affirmative action mechanisms should be enacted across all levels (subnational, national and international), including a dedicated, sustained and mainstreamed national budgetary allocation for IPLC programmes (Global Environment Facility, international funding bodies and national/ subnational levels)</w:t>
            </w:r>
          </w:p>
          <w:p w14:paraId="766B5110"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Land tenure rights are fully recognized</w:t>
            </w:r>
          </w:p>
          <w:p w14:paraId="0E11BEA3"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Enhanced technical capacity building for IPLCs on finance and budgeting</w:t>
            </w:r>
          </w:p>
          <w:p w14:paraId="59CB3560"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Guaranteed self-determination for indigenous peoples (to ensure there will be no imposition)</w:t>
            </w:r>
          </w:p>
          <w:p w14:paraId="63CB8C9F" w14:textId="0E6F9864"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kern w:val="22"/>
                <w:szCs w:val="22"/>
              </w:rPr>
            </w:pPr>
            <w:r w:rsidRPr="00FE6148">
              <w:rPr>
                <w:kern w:val="22"/>
                <w:szCs w:val="22"/>
              </w:rPr>
              <w:t xml:space="preserve">The establishment of dedicated funding mechanisms or financial windows to </w:t>
            </w:r>
            <w:r w:rsidRPr="00FE6148">
              <w:rPr>
                <w:color w:val="000000"/>
                <w:kern w:val="22"/>
                <w:szCs w:val="22"/>
                <w:lang w:eastAsia="ja-JP"/>
              </w:rPr>
              <w:t>support</w:t>
            </w:r>
            <w:r w:rsidRPr="00FE6148">
              <w:rPr>
                <w:kern w:val="22"/>
                <w:szCs w:val="22"/>
              </w:rPr>
              <w:t xml:space="preserve"> the collective actions of indigenous peoples and local communities on conservation, customary sustainable use, access and benefit sharing, restoration, and local biodiversity strategies and action plans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DEAD6B" w14:textId="6A35F164"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Incentivize indigenous peoples and local community owned and driven enterprises</w:t>
            </w:r>
          </w:p>
          <w:p w14:paraId="03AFACCE" w14:textId="77777777" w:rsidR="00EF5492" w:rsidRPr="00FE6148" w:rsidRDefault="00EF5492" w:rsidP="00FE6148">
            <w:pPr>
              <w:numPr>
                <w:ilvl w:val="0"/>
                <w:numId w:val="17"/>
              </w:numPr>
              <w:suppressLineNumbers/>
              <w:tabs>
                <w:tab w:val="clear" w:pos="720"/>
                <w:tab w:val="left" w:pos="305"/>
              </w:tabs>
              <w:suppressAutoHyphens/>
              <w:spacing w:after="60"/>
              <w:ind w:left="68" w:hanging="79"/>
              <w:jc w:val="left"/>
              <w:textAlignment w:val="baseline"/>
              <w:rPr>
                <w:color w:val="000000"/>
                <w:kern w:val="22"/>
                <w:szCs w:val="22"/>
                <w:lang w:eastAsia="ja-JP"/>
              </w:rPr>
            </w:pPr>
            <w:r w:rsidRPr="00FE6148">
              <w:rPr>
                <w:color w:val="000000"/>
                <w:kern w:val="22"/>
                <w:szCs w:val="22"/>
                <w:lang w:eastAsia="ja-JP"/>
              </w:rPr>
              <w:t>Open and accessible decision-making processes regarding financing that includes the full and effective participation of IPLCs</w:t>
            </w:r>
          </w:p>
        </w:tc>
      </w:tr>
      <w:tr w:rsidR="00394D40" w:rsidRPr="00FE6148" w14:paraId="307521A3" w14:textId="77777777" w:rsidTr="00394D40">
        <w:trPr>
          <w:jc w:val="center"/>
        </w:trPr>
        <w:tc>
          <w:tcPr>
            <w:tcW w:w="1975" w:type="dxa"/>
            <w:vMerge w:val="restart"/>
            <w:tcBorders>
              <w:top w:val="single" w:sz="8" w:space="0" w:color="000000"/>
              <w:left w:val="single" w:sz="8" w:space="0" w:color="000000"/>
              <w:right w:val="single" w:sz="8" w:space="0" w:color="000000"/>
            </w:tcBorders>
          </w:tcPr>
          <w:p w14:paraId="78910D78" w14:textId="327A8AF5" w:rsidR="00394D40" w:rsidRPr="00FE6148" w:rsidRDefault="00394D40" w:rsidP="00FE6148">
            <w:pPr>
              <w:suppressLineNumbers/>
              <w:suppressAutoHyphens/>
              <w:spacing w:before="120" w:after="120"/>
              <w:ind w:left="68" w:right="45"/>
              <w:jc w:val="left"/>
              <w:rPr>
                <w:color w:val="000000"/>
                <w:kern w:val="22"/>
                <w:szCs w:val="22"/>
                <w:lang w:eastAsia="ja-JP"/>
              </w:rPr>
            </w:pPr>
            <w:r w:rsidRPr="00FE6148">
              <w:rPr>
                <w:color w:val="000000"/>
                <w:kern w:val="22"/>
                <w:szCs w:val="22"/>
                <w:lang w:eastAsia="ja-JP"/>
              </w:rPr>
              <w:t>(Latin America</w:t>
            </w:r>
            <w:r w:rsidR="006D0967" w:rsidRPr="00FE6148">
              <w:rPr>
                <w:color w:val="000000"/>
                <w:kern w:val="22"/>
                <w:szCs w:val="22"/>
                <w:lang w:eastAsia="ja-JP"/>
              </w:rPr>
              <w:t>n</w:t>
            </w:r>
            <w:r w:rsidRPr="00FE6148">
              <w:rPr>
                <w:color w:val="000000"/>
                <w:kern w:val="22"/>
                <w:szCs w:val="22"/>
                <w:lang w:eastAsia="ja-JP"/>
              </w:rPr>
              <w:t xml:space="preserve"> group)</w:t>
            </w:r>
          </w:p>
          <w:p w14:paraId="5A71FC87" w14:textId="53AEEB98" w:rsidR="00394D40" w:rsidRPr="00FE6148" w:rsidRDefault="00394D40" w:rsidP="00FE6148">
            <w:pPr>
              <w:suppressLineNumbers/>
              <w:suppressAutoHyphens/>
              <w:spacing w:before="120" w:after="120"/>
              <w:ind w:left="68" w:right="45"/>
              <w:jc w:val="left"/>
              <w:rPr>
                <w:kern w:val="22"/>
                <w:szCs w:val="22"/>
                <w:lang w:eastAsia="ja-JP"/>
              </w:rPr>
            </w:pPr>
            <w:r w:rsidRPr="00FE6148">
              <w:rPr>
                <w:color w:val="000000"/>
                <w:kern w:val="22"/>
                <w:szCs w:val="22"/>
                <w:lang w:eastAsia="ja-JP"/>
              </w:rPr>
              <w:t xml:space="preserve">The post-2020 framework shall strengthen indigenous governance and systems that contribute to the conservation and sustainable use of biodiversity and natural resources, </w:t>
            </w:r>
            <w:r w:rsidRPr="00FE6148">
              <w:rPr>
                <w:color w:val="000000"/>
                <w:kern w:val="22"/>
                <w:szCs w:val="22"/>
                <w:lang w:eastAsia="ja-JP"/>
              </w:rPr>
              <w:lastRenderedPageBreak/>
              <w:t>based on indigenous traditional knowledge, practices and innovations, with the full and effective participation of indigenous women and youth.</w:t>
            </w:r>
          </w:p>
        </w:tc>
        <w:tc>
          <w:tcPr>
            <w:tcW w:w="1843" w:type="dxa"/>
            <w:tcBorders>
              <w:top w:val="single" w:sz="8" w:space="0" w:color="000000"/>
              <w:left w:val="single" w:sz="8" w:space="0" w:color="000000"/>
              <w:right w:val="single" w:sz="8" w:space="0" w:color="000000"/>
            </w:tcBorders>
          </w:tcPr>
          <w:p w14:paraId="0A1851A4" w14:textId="301A9A48" w:rsidR="00394D40" w:rsidRPr="00FE6148" w:rsidRDefault="00C03EDC" w:rsidP="00FE6148">
            <w:pPr>
              <w:suppressLineNumbers/>
              <w:suppressAutoHyphens/>
              <w:spacing w:after="120"/>
              <w:ind w:left="85" w:right="57"/>
              <w:jc w:val="left"/>
              <w:rPr>
                <w:color w:val="000000"/>
                <w:kern w:val="22"/>
                <w:szCs w:val="22"/>
                <w:lang w:eastAsia="ja-JP"/>
              </w:rPr>
            </w:pPr>
            <w:r w:rsidRPr="00FE6148">
              <w:rPr>
                <w:color w:val="000000"/>
                <w:kern w:val="22"/>
                <w:szCs w:val="22"/>
                <w:lang w:eastAsia="ja-JP"/>
              </w:rPr>
              <w:lastRenderedPageBreak/>
              <w:t>(</w:t>
            </w:r>
            <w:r w:rsidR="00394D40" w:rsidRPr="00FE6148">
              <w:rPr>
                <w:color w:val="000000"/>
                <w:kern w:val="22"/>
                <w:szCs w:val="22"/>
                <w:lang w:eastAsia="ja-JP"/>
              </w:rPr>
              <w:t>1) Integrate the indigenous vision on the customary sustainable use of plants and animals for biodiversity conservation in indigenous lands and territories</w:t>
            </w:r>
          </w:p>
        </w:tc>
        <w:tc>
          <w:tcPr>
            <w:tcW w:w="2835"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6F406289" w14:textId="079D945A" w:rsidR="00394D40" w:rsidRPr="00FE6148" w:rsidRDefault="00C03EDC" w:rsidP="00FE6148">
            <w:pPr>
              <w:suppressLineNumbers/>
              <w:suppressAutoHyphens/>
              <w:spacing w:after="120"/>
              <w:jc w:val="left"/>
              <w:rPr>
                <w:kern w:val="22"/>
                <w:szCs w:val="22"/>
                <w:lang w:eastAsia="ja-JP"/>
              </w:rPr>
            </w:pPr>
            <w:r w:rsidRPr="00FE6148">
              <w:rPr>
                <w:color w:val="000000"/>
                <w:kern w:val="22"/>
                <w:szCs w:val="22"/>
                <w:lang w:eastAsia="ja-JP"/>
              </w:rPr>
              <w:t>(</w:t>
            </w:r>
            <w:r w:rsidR="00394D40" w:rsidRPr="00FE6148">
              <w:rPr>
                <w:color w:val="000000"/>
                <w:kern w:val="22"/>
                <w:szCs w:val="22"/>
                <w:lang w:eastAsia="ja-JP"/>
              </w:rPr>
              <w:t>1) The recognition, respect and promotion of indigenous peoples’ own systems for the customary sustainable use of their plants and animals</w:t>
            </w:r>
          </w:p>
        </w:tc>
        <w:tc>
          <w:tcPr>
            <w:tcW w:w="2693"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14:paraId="27C44AC5" w14:textId="2231959F" w:rsidR="00394D40" w:rsidRPr="00FE6148" w:rsidRDefault="00C03EDC" w:rsidP="00FE6148">
            <w:pPr>
              <w:suppressLineNumbers/>
              <w:suppressAutoHyphens/>
              <w:spacing w:after="120"/>
              <w:jc w:val="left"/>
              <w:rPr>
                <w:kern w:val="22"/>
                <w:szCs w:val="22"/>
                <w:lang w:eastAsia="ja-JP"/>
              </w:rPr>
            </w:pPr>
            <w:r w:rsidRPr="00FE6148">
              <w:rPr>
                <w:color w:val="000000"/>
                <w:kern w:val="22"/>
                <w:szCs w:val="22"/>
                <w:lang w:eastAsia="ja-JP"/>
              </w:rPr>
              <w:t>(</w:t>
            </w:r>
            <w:r w:rsidR="00394D40" w:rsidRPr="00FE6148">
              <w:rPr>
                <w:color w:val="000000"/>
                <w:kern w:val="22"/>
                <w:szCs w:val="22"/>
                <w:lang w:eastAsia="ja-JP"/>
              </w:rPr>
              <w:t>1) Promote laws and policies. Specific programmes. Studies and report writing</w:t>
            </w:r>
          </w:p>
        </w:tc>
      </w:tr>
      <w:tr w:rsidR="00394D40" w:rsidRPr="00FE6148" w14:paraId="0C477A68" w14:textId="77777777" w:rsidTr="00394D40">
        <w:trPr>
          <w:jc w:val="center"/>
        </w:trPr>
        <w:tc>
          <w:tcPr>
            <w:tcW w:w="1975" w:type="dxa"/>
            <w:vMerge/>
            <w:tcBorders>
              <w:left w:val="single" w:sz="8" w:space="0" w:color="000000"/>
              <w:right w:val="single" w:sz="8" w:space="0" w:color="000000"/>
            </w:tcBorders>
          </w:tcPr>
          <w:p w14:paraId="70E544D2" w14:textId="77777777" w:rsidR="00394D40" w:rsidRPr="00FE6148" w:rsidRDefault="00394D40" w:rsidP="00FE6148">
            <w:pPr>
              <w:suppressLineNumbers/>
              <w:suppressAutoHyphens/>
              <w:spacing w:before="120" w:after="120"/>
              <w:ind w:left="68" w:right="45"/>
              <w:jc w:val="left"/>
              <w:rPr>
                <w:color w:val="000000"/>
                <w:kern w:val="22"/>
                <w:szCs w:val="22"/>
                <w:lang w:eastAsia="ja-JP"/>
              </w:rPr>
            </w:pPr>
          </w:p>
        </w:tc>
        <w:tc>
          <w:tcPr>
            <w:tcW w:w="1843" w:type="dxa"/>
            <w:tcBorders>
              <w:left w:val="single" w:sz="8" w:space="0" w:color="000000"/>
              <w:right w:val="single" w:sz="8" w:space="0" w:color="000000"/>
            </w:tcBorders>
          </w:tcPr>
          <w:p w14:paraId="268E230D" w14:textId="12807B7F" w:rsidR="00394D40" w:rsidRPr="00FE6148" w:rsidRDefault="00C03EDC" w:rsidP="00FE6148">
            <w:pPr>
              <w:suppressLineNumbers/>
              <w:suppressAutoHyphens/>
              <w:ind w:left="85" w:right="57"/>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 xml:space="preserve">2) Strengthen indigenous peoples’ own institutional </w:t>
            </w:r>
            <w:r w:rsidR="00394D40" w:rsidRPr="00FE6148">
              <w:rPr>
                <w:color w:val="000000"/>
                <w:kern w:val="22"/>
                <w:szCs w:val="22"/>
                <w:lang w:eastAsia="ja-JP"/>
              </w:rPr>
              <w:lastRenderedPageBreak/>
              <w:t>systems for biodiversity management and natural resources</w:t>
            </w:r>
          </w:p>
        </w:tc>
        <w:tc>
          <w:tcPr>
            <w:tcW w:w="2835" w:type="dxa"/>
            <w:tcBorders>
              <w:left w:val="single" w:sz="8" w:space="0" w:color="000000"/>
              <w:right w:val="single" w:sz="8" w:space="0" w:color="000000"/>
            </w:tcBorders>
            <w:tcMar>
              <w:top w:w="100" w:type="dxa"/>
              <w:left w:w="100" w:type="dxa"/>
              <w:bottom w:w="100" w:type="dxa"/>
              <w:right w:w="100" w:type="dxa"/>
            </w:tcMar>
          </w:tcPr>
          <w:p w14:paraId="35E37FD1" w14:textId="6345CC93" w:rsidR="00394D40" w:rsidRPr="00FE6148" w:rsidRDefault="00C03EDC" w:rsidP="00FE6148">
            <w:pPr>
              <w:suppressLineNumbers/>
              <w:suppressAutoHyphens/>
              <w:jc w:val="left"/>
              <w:rPr>
                <w:color w:val="000000"/>
                <w:kern w:val="22"/>
                <w:szCs w:val="22"/>
                <w:lang w:eastAsia="ja-JP"/>
              </w:rPr>
            </w:pPr>
            <w:r w:rsidRPr="00FE6148">
              <w:rPr>
                <w:color w:val="000000"/>
                <w:kern w:val="22"/>
                <w:szCs w:val="22"/>
                <w:lang w:eastAsia="ja-JP"/>
              </w:rPr>
              <w:lastRenderedPageBreak/>
              <w:t>(</w:t>
            </w:r>
            <w:r w:rsidR="00394D40" w:rsidRPr="00FE6148">
              <w:rPr>
                <w:color w:val="000000"/>
                <w:kern w:val="22"/>
                <w:szCs w:val="22"/>
                <w:lang w:eastAsia="ja-JP"/>
              </w:rPr>
              <w:t>2) The institutions and decision-making structures of indigenous peoples are respected</w:t>
            </w:r>
          </w:p>
        </w:tc>
        <w:tc>
          <w:tcPr>
            <w:tcW w:w="2693" w:type="dxa"/>
            <w:tcBorders>
              <w:left w:val="single" w:sz="8" w:space="0" w:color="000000"/>
              <w:right w:val="single" w:sz="8" w:space="0" w:color="000000"/>
            </w:tcBorders>
            <w:tcMar>
              <w:top w:w="100" w:type="dxa"/>
              <w:left w:w="100" w:type="dxa"/>
              <w:bottom w:w="100" w:type="dxa"/>
              <w:right w:w="100" w:type="dxa"/>
            </w:tcMar>
          </w:tcPr>
          <w:p w14:paraId="73AB4373" w14:textId="77D41F21" w:rsidR="00394D40" w:rsidRPr="00FE6148" w:rsidRDefault="00C03EDC" w:rsidP="00FE6148">
            <w:pPr>
              <w:suppressLineNumbers/>
              <w:suppressAutoHyphens/>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2) Institutional capacity</w:t>
            </w:r>
            <w:r w:rsidR="00394D40" w:rsidRPr="00FE6148">
              <w:rPr>
                <w:color w:val="000000"/>
                <w:kern w:val="22"/>
                <w:szCs w:val="22"/>
                <w:lang w:eastAsia="ja-JP"/>
              </w:rPr>
              <w:noBreakHyphen/>
              <w:t>building and State-focused awareness programmes</w:t>
            </w:r>
          </w:p>
        </w:tc>
      </w:tr>
      <w:tr w:rsidR="00394D40" w:rsidRPr="00FE6148" w14:paraId="4320EB0B" w14:textId="77777777" w:rsidTr="00394D40">
        <w:trPr>
          <w:jc w:val="center"/>
        </w:trPr>
        <w:tc>
          <w:tcPr>
            <w:tcW w:w="1975" w:type="dxa"/>
            <w:vMerge/>
            <w:tcBorders>
              <w:left w:val="single" w:sz="8" w:space="0" w:color="000000"/>
              <w:right w:val="single" w:sz="8" w:space="0" w:color="000000"/>
            </w:tcBorders>
          </w:tcPr>
          <w:p w14:paraId="30C4796F" w14:textId="77777777" w:rsidR="00394D40" w:rsidRPr="00FE6148" w:rsidRDefault="00394D40" w:rsidP="00FE6148">
            <w:pPr>
              <w:suppressLineNumbers/>
              <w:suppressAutoHyphens/>
              <w:spacing w:before="120" w:after="120"/>
              <w:ind w:left="68" w:right="45"/>
              <w:jc w:val="left"/>
              <w:rPr>
                <w:color w:val="000000"/>
                <w:kern w:val="22"/>
                <w:szCs w:val="22"/>
                <w:lang w:eastAsia="ja-JP"/>
              </w:rPr>
            </w:pPr>
          </w:p>
        </w:tc>
        <w:tc>
          <w:tcPr>
            <w:tcW w:w="1843" w:type="dxa"/>
            <w:tcBorders>
              <w:left w:val="single" w:sz="8" w:space="0" w:color="000000"/>
              <w:right w:val="single" w:sz="8" w:space="0" w:color="000000"/>
            </w:tcBorders>
          </w:tcPr>
          <w:p w14:paraId="7C736300" w14:textId="11C67E41" w:rsidR="00394D40" w:rsidRPr="00FE6148" w:rsidRDefault="00E52747" w:rsidP="00FE6148">
            <w:pPr>
              <w:suppressLineNumbers/>
              <w:suppressAutoHyphens/>
              <w:ind w:left="85" w:right="57"/>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3) Respect and recognize the sacred and holistic approach that indigenous peoples have to nature and biodiversity</w:t>
            </w:r>
          </w:p>
        </w:tc>
        <w:tc>
          <w:tcPr>
            <w:tcW w:w="2835" w:type="dxa"/>
            <w:tcBorders>
              <w:left w:val="single" w:sz="8" w:space="0" w:color="000000"/>
              <w:right w:val="single" w:sz="8" w:space="0" w:color="000000"/>
            </w:tcBorders>
            <w:tcMar>
              <w:top w:w="100" w:type="dxa"/>
              <w:left w:w="100" w:type="dxa"/>
              <w:bottom w:w="100" w:type="dxa"/>
              <w:right w:w="100" w:type="dxa"/>
            </w:tcMar>
          </w:tcPr>
          <w:p w14:paraId="552E6D2C" w14:textId="30DF4CDE" w:rsidR="00394D40" w:rsidRPr="00FE6148" w:rsidRDefault="00E52747" w:rsidP="00FE6148">
            <w:pPr>
              <w:suppressLineNumbers/>
              <w:suppressAutoHyphens/>
              <w:spacing w:after="60"/>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3) Respect for indigenous peoples’ own governance systems;</w:t>
            </w:r>
          </w:p>
          <w:p w14:paraId="71A9E25F" w14:textId="1FBB3977" w:rsidR="00394D40" w:rsidRPr="00FE6148" w:rsidRDefault="00394D40" w:rsidP="00FE6148">
            <w:pPr>
              <w:suppressLineNumbers/>
              <w:suppressAutoHyphens/>
              <w:jc w:val="left"/>
              <w:rPr>
                <w:color w:val="000000"/>
                <w:kern w:val="22"/>
                <w:szCs w:val="22"/>
                <w:lang w:eastAsia="ja-JP"/>
              </w:rPr>
            </w:pPr>
            <w:r w:rsidRPr="00FE6148">
              <w:rPr>
                <w:color w:val="000000"/>
                <w:kern w:val="22"/>
                <w:szCs w:val="22"/>
                <w:lang w:eastAsia="ja-JP"/>
              </w:rPr>
              <w:t>Recognition of indigenous peoples’ own customary laws and statutes</w:t>
            </w:r>
          </w:p>
        </w:tc>
        <w:tc>
          <w:tcPr>
            <w:tcW w:w="2693" w:type="dxa"/>
            <w:tcBorders>
              <w:left w:val="single" w:sz="8" w:space="0" w:color="000000"/>
              <w:right w:val="single" w:sz="8" w:space="0" w:color="000000"/>
            </w:tcBorders>
            <w:tcMar>
              <w:top w:w="100" w:type="dxa"/>
              <w:left w:w="100" w:type="dxa"/>
              <w:bottom w:w="100" w:type="dxa"/>
              <w:right w:w="100" w:type="dxa"/>
            </w:tcMar>
          </w:tcPr>
          <w:p w14:paraId="04F366CC" w14:textId="4AADEA14" w:rsidR="00394D40" w:rsidRPr="00FE6148" w:rsidRDefault="00E52747" w:rsidP="00FE6148">
            <w:pPr>
              <w:suppressLineNumbers/>
              <w:suppressAutoHyphens/>
              <w:jc w:val="left"/>
              <w:rPr>
                <w:kern w:val="22"/>
                <w:szCs w:val="22"/>
                <w:lang w:eastAsia="ja-JP"/>
              </w:rPr>
            </w:pPr>
            <w:r w:rsidRPr="00FE6148">
              <w:rPr>
                <w:color w:val="000000"/>
                <w:kern w:val="22"/>
                <w:szCs w:val="22"/>
                <w:lang w:eastAsia="ja-JP"/>
              </w:rPr>
              <w:t>(</w:t>
            </w:r>
            <w:r w:rsidR="00394D40" w:rsidRPr="00FE6148">
              <w:rPr>
                <w:color w:val="000000"/>
                <w:kern w:val="22"/>
                <w:szCs w:val="22"/>
                <w:lang w:eastAsia="ja-JP"/>
              </w:rPr>
              <w:t>3) Institutional strengthening for indigenous peoples;</w:t>
            </w:r>
          </w:p>
          <w:p w14:paraId="08BB4713" w14:textId="6C984319" w:rsidR="00394D40" w:rsidRPr="00FE6148" w:rsidRDefault="00394D40" w:rsidP="00FE6148">
            <w:pPr>
              <w:suppressLineNumbers/>
              <w:suppressAutoHyphens/>
              <w:jc w:val="left"/>
              <w:rPr>
                <w:kern w:val="22"/>
                <w:szCs w:val="22"/>
                <w:lang w:eastAsia="ja-JP"/>
              </w:rPr>
            </w:pPr>
            <w:r w:rsidRPr="00FE6148">
              <w:rPr>
                <w:color w:val="000000"/>
                <w:kern w:val="22"/>
                <w:szCs w:val="22"/>
                <w:lang w:eastAsia="ja-JP"/>
              </w:rPr>
              <w:t>Generation of intercultural programmes;</w:t>
            </w:r>
          </w:p>
          <w:p w14:paraId="1D5E3B98" w14:textId="5281A007" w:rsidR="00394D40" w:rsidRPr="00FE6148" w:rsidRDefault="00394D40" w:rsidP="00FE6148">
            <w:pPr>
              <w:suppressLineNumbers/>
              <w:suppressAutoHyphens/>
              <w:jc w:val="left"/>
              <w:rPr>
                <w:color w:val="000000"/>
                <w:kern w:val="22"/>
                <w:szCs w:val="22"/>
                <w:lang w:eastAsia="ja-JP"/>
              </w:rPr>
            </w:pPr>
            <w:r w:rsidRPr="00FE6148">
              <w:rPr>
                <w:color w:val="000000"/>
                <w:kern w:val="22"/>
                <w:szCs w:val="22"/>
                <w:lang w:eastAsia="ja-JP"/>
              </w:rPr>
              <w:t>Exchange of experiences</w:t>
            </w:r>
          </w:p>
        </w:tc>
      </w:tr>
      <w:tr w:rsidR="00394D40" w:rsidRPr="00FE6148" w14:paraId="085906F7" w14:textId="77777777" w:rsidTr="00394D40">
        <w:trPr>
          <w:jc w:val="center"/>
        </w:trPr>
        <w:tc>
          <w:tcPr>
            <w:tcW w:w="1975" w:type="dxa"/>
            <w:vMerge/>
            <w:tcBorders>
              <w:left w:val="single" w:sz="8" w:space="0" w:color="000000"/>
              <w:right w:val="single" w:sz="8" w:space="0" w:color="000000"/>
            </w:tcBorders>
          </w:tcPr>
          <w:p w14:paraId="4EA57ADA" w14:textId="77777777" w:rsidR="00394D40" w:rsidRPr="00FE6148" w:rsidRDefault="00394D40" w:rsidP="00FE6148">
            <w:pPr>
              <w:suppressLineNumbers/>
              <w:suppressAutoHyphens/>
              <w:spacing w:before="120" w:after="120"/>
              <w:ind w:left="68" w:right="45"/>
              <w:jc w:val="left"/>
              <w:rPr>
                <w:color w:val="000000"/>
                <w:kern w:val="22"/>
                <w:szCs w:val="22"/>
                <w:lang w:eastAsia="ja-JP"/>
              </w:rPr>
            </w:pPr>
          </w:p>
        </w:tc>
        <w:tc>
          <w:tcPr>
            <w:tcW w:w="1843" w:type="dxa"/>
            <w:tcBorders>
              <w:left w:val="single" w:sz="8" w:space="0" w:color="000000"/>
              <w:right w:val="single" w:sz="8" w:space="0" w:color="000000"/>
            </w:tcBorders>
          </w:tcPr>
          <w:p w14:paraId="3D66D131" w14:textId="0CF9CB39" w:rsidR="00394D40" w:rsidRPr="00FE6148" w:rsidRDefault="00E52747" w:rsidP="00FE6148">
            <w:pPr>
              <w:suppressLineNumbers/>
              <w:suppressAutoHyphens/>
              <w:ind w:left="85" w:right="57"/>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4) Consolidate the role of indigenous women as generators and for the conservation and sustainable use of natural resources</w:t>
            </w:r>
          </w:p>
        </w:tc>
        <w:tc>
          <w:tcPr>
            <w:tcW w:w="2835" w:type="dxa"/>
            <w:tcBorders>
              <w:left w:val="single" w:sz="8" w:space="0" w:color="000000"/>
              <w:right w:val="single" w:sz="8" w:space="0" w:color="000000"/>
            </w:tcBorders>
            <w:tcMar>
              <w:top w:w="100" w:type="dxa"/>
              <w:left w:w="100" w:type="dxa"/>
              <w:bottom w:w="100" w:type="dxa"/>
              <w:right w:w="100" w:type="dxa"/>
            </w:tcMar>
          </w:tcPr>
          <w:p w14:paraId="2C741008" w14:textId="65F607E5" w:rsidR="00394D40" w:rsidRPr="00FE6148" w:rsidRDefault="00E52747" w:rsidP="00FE6148">
            <w:pPr>
              <w:suppressLineNumbers/>
              <w:suppressAutoHyphens/>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4) To recover the social roles of indigenous men and women from the base of balance, duality and complementarity</w:t>
            </w:r>
          </w:p>
        </w:tc>
        <w:tc>
          <w:tcPr>
            <w:tcW w:w="2693" w:type="dxa"/>
            <w:tcBorders>
              <w:left w:val="single" w:sz="8" w:space="0" w:color="000000"/>
              <w:right w:val="single" w:sz="8" w:space="0" w:color="000000"/>
            </w:tcBorders>
            <w:tcMar>
              <w:top w:w="100" w:type="dxa"/>
              <w:left w:w="100" w:type="dxa"/>
              <w:bottom w:w="100" w:type="dxa"/>
              <w:right w:w="100" w:type="dxa"/>
            </w:tcMar>
          </w:tcPr>
          <w:p w14:paraId="7B97C477" w14:textId="2A99D341" w:rsidR="00394D40" w:rsidRPr="00FE6148" w:rsidRDefault="00E52747" w:rsidP="00FE6148">
            <w:pPr>
              <w:suppressLineNumbers/>
              <w:suppressAutoHyphens/>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4) Establish capacity</w:t>
            </w:r>
            <w:r w:rsidR="00394D40" w:rsidRPr="00FE6148">
              <w:rPr>
                <w:color w:val="000000"/>
                <w:kern w:val="22"/>
                <w:szCs w:val="22"/>
                <w:lang w:eastAsia="ja-JP"/>
              </w:rPr>
              <w:noBreakHyphen/>
              <w:t>building programmes for indigenous women and youth on biodiversity and natural resource management issues</w:t>
            </w:r>
          </w:p>
        </w:tc>
      </w:tr>
      <w:tr w:rsidR="00394D40" w:rsidRPr="00FE6148" w14:paraId="4B3C4397" w14:textId="77777777" w:rsidTr="00394D40">
        <w:trPr>
          <w:jc w:val="center"/>
        </w:trPr>
        <w:tc>
          <w:tcPr>
            <w:tcW w:w="1975" w:type="dxa"/>
            <w:vMerge/>
            <w:tcBorders>
              <w:left w:val="single" w:sz="8" w:space="0" w:color="000000"/>
              <w:bottom w:val="single" w:sz="8" w:space="0" w:color="000000"/>
              <w:right w:val="single" w:sz="8" w:space="0" w:color="000000"/>
            </w:tcBorders>
          </w:tcPr>
          <w:p w14:paraId="5A6CDD6A" w14:textId="77777777" w:rsidR="00394D40" w:rsidRPr="00FE6148" w:rsidRDefault="00394D40" w:rsidP="00FE6148">
            <w:pPr>
              <w:suppressLineNumbers/>
              <w:suppressAutoHyphens/>
              <w:spacing w:before="120" w:after="120"/>
              <w:ind w:left="68" w:right="45"/>
              <w:jc w:val="left"/>
              <w:rPr>
                <w:color w:val="000000"/>
                <w:kern w:val="22"/>
                <w:szCs w:val="22"/>
                <w:lang w:eastAsia="ja-JP"/>
              </w:rPr>
            </w:pPr>
          </w:p>
        </w:tc>
        <w:tc>
          <w:tcPr>
            <w:tcW w:w="1843" w:type="dxa"/>
            <w:tcBorders>
              <w:left w:val="single" w:sz="8" w:space="0" w:color="000000"/>
              <w:bottom w:val="single" w:sz="8" w:space="0" w:color="000000"/>
              <w:right w:val="single" w:sz="8" w:space="0" w:color="000000"/>
            </w:tcBorders>
          </w:tcPr>
          <w:p w14:paraId="1D770161" w14:textId="6A4A3024" w:rsidR="00394D40" w:rsidRPr="00FE6148" w:rsidRDefault="00E52747" w:rsidP="00FE6148">
            <w:pPr>
              <w:suppressLineNumbers/>
              <w:suppressAutoHyphens/>
              <w:ind w:left="85" w:right="57"/>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5) Promote the intergenerational transmission of indigenous knowledge and biodiversity</w:t>
            </w:r>
          </w:p>
        </w:tc>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97C9FDB" w14:textId="3B25B284" w:rsidR="00394D40" w:rsidRPr="00FE6148" w:rsidRDefault="00E52747" w:rsidP="00FE6148">
            <w:pPr>
              <w:suppressLineNumbers/>
              <w:suppressAutoHyphens/>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5) Create spaces for exchanges between wise men, wise women and young indigenous peoples</w:t>
            </w:r>
          </w:p>
        </w:tc>
        <w:tc>
          <w:tcPr>
            <w:tcW w:w="26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D0D888C" w14:textId="2853111E" w:rsidR="00394D40" w:rsidRPr="00FE6148" w:rsidRDefault="00E52747" w:rsidP="00FE6148">
            <w:pPr>
              <w:suppressLineNumbers/>
              <w:suppressAutoHyphens/>
              <w:jc w:val="left"/>
              <w:rPr>
                <w:color w:val="000000"/>
                <w:kern w:val="22"/>
                <w:szCs w:val="22"/>
                <w:lang w:eastAsia="ja-JP"/>
              </w:rPr>
            </w:pPr>
            <w:r w:rsidRPr="00FE6148">
              <w:rPr>
                <w:color w:val="000000"/>
                <w:kern w:val="22"/>
                <w:szCs w:val="22"/>
                <w:lang w:eastAsia="ja-JP"/>
              </w:rPr>
              <w:t>(</w:t>
            </w:r>
            <w:r w:rsidR="00394D40" w:rsidRPr="00FE6148">
              <w:rPr>
                <w:color w:val="000000"/>
                <w:kern w:val="22"/>
                <w:szCs w:val="22"/>
                <w:lang w:eastAsia="ja-JP"/>
              </w:rPr>
              <w:t>5) Prepare studies on ecosystem services, based on the contributions of indigenous traditional knowledge, indigenous women and youth</w:t>
            </w:r>
          </w:p>
        </w:tc>
      </w:tr>
    </w:tbl>
    <w:p w14:paraId="4353E085" w14:textId="77777777" w:rsidR="00081C4E" w:rsidRPr="00FE6148" w:rsidRDefault="00081C4E" w:rsidP="00FE6148">
      <w:pPr>
        <w:suppressLineNumbers/>
        <w:suppressAutoHyphens/>
        <w:rPr>
          <w:kern w:val="22"/>
          <w:szCs w:val="22"/>
        </w:rPr>
      </w:pPr>
    </w:p>
    <w:p w14:paraId="1793BD1A" w14:textId="4C5BE8D1" w:rsidR="00081C4E" w:rsidRPr="00FE6148" w:rsidRDefault="00511349" w:rsidP="00FE6148">
      <w:pPr>
        <w:keepNext/>
        <w:suppressLineNumbers/>
        <w:suppressAutoHyphens/>
        <w:spacing w:before="240" w:after="120"/>
        <w:jc w:val="center"/>
        <w:outlineLvl w:val="0"/>
        <w:rPr>
          <w:b/>
          <w:caps/>
          <w:kern w:val="22"/>
          <w:szCs w:val="22"/>
        </w:rPr>
      </w:pPr>
      <w:r w:rsidRPr="00FE6148">
        <w:rPr>
          <w:b/>
          <w:caps/>
          <w:kern w:val="22"/>
          <w:szCs w:val="22"/>
        </w:rPr>
        <w:t>Other ideas</w:t>
      </w:r>
      <w:r w:rsidR="0033457E" w:rsidRPr="00494A86">
        <w:rPr>
          <w:rStyle w:val="FootnoteReference"/>
          <w:bCs/>
          <w:caps/>
          <w:kern w:val="22"/>
          <w:szCs w:val="22"/>
        </w:rPr>
        <w:footnoteReference w:id="21"/>
      </w:r>
    </w:p>
    <w:p w14:paraId="03439EE3" w14:textId="7CFF733D" w:rsidR="00081C4E" w:rsidRPr="00FE6148" w:rsidRDefault="00081C4E" w:rsidP="00494A86">
      <w:pPr>
        <w:suppressLineNumbers/>
        <w:suppressAutoHyphens/>
        <w:spacing w:before="120" w:after="120"/>
        <w:rPr>
          <w:kern w:val="22"/>
          <w:szCs w:val="22"/>
        </w:rPr>
      </w:pPr>
      <w:r w:rsidRPr="00FE6148">
        <w:rPr>
          <w:kern w:val="22"/>
          <w:szCs w:val="22"/>
        </w:rPr>
        <w:t xml:space="preserve">The establishment of community protocols related to the access to traditional knowledge, associated with genetic resources, within the framework of the Nagoya Protocol on Access to Genetic Resources and the Fair and Equitable Sharing of Benefits Arising from </w:t>
      </w:r>
      <w:r w:rsidR="00603C64" w:rsidRPr="00FE6148">
        <w:rPr>
          <w:kern w:val="22"/>
          <w:szCs w:val="22"/>
        </w:rPr>
        <w:t>t</w:t>
      </w:r>
      <w:r w:rsidRPr="00FE6148">
        <w:rPr>
          <w:kern w:val="22"/>
          <w:szCs w:val="22"/>
        </w:rPr>
        <w:t>heir Utilization.</w:t>
      </w:r>
    </w:p>
    <w:p w14:paraId="05F32722" w14:textId="4E6C33E1" w:rsidR="00117549" w:rsidRPr="00FE6148" w:rsidRDefault="0033457E" w:rsidP="00FE6148">
      <w:pPr>
        <w:suppressLineNumbers/>
        <w:suppressAutoHyphens/>
        <w:spacing w:before="120" w:after="120"/>
        <w:jc w:val="center"/>
        <w:rPr>
          <w:kern w:val="22"/>
        </w:rPr>
      </w:pPr>
      <w:r w:rsidRPr="00FE6148">
        <w:rPr>
          <w:kern w:val="22"/>
        </w:rPr>
        <w:t>__________</w:t>
      </w:r>
    </w:p>
    <w:sectPr w:rsidR="00117549" w:rsidRPr="00FE6148" w:rsidSect="00CA56BC">
      <w:headerReference w:type="even" r:id="rId31"/>
      <w:headerReference w:type="default" r:id="rId32"/>
      <w:footerReference w:type="even" r:id="rId33"/>
      <w:footerReference w:type="default" r:id="rId34"/>
      <w:headerReference w:type="first" r:id="rId35"/>
      <w:pgSz w:w="12240" w:h="15840" w:code="1"/>
      <w:pgMar w:top="993"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D3239" w14:textId="77777777" w:rsidR="005665AD" w:rsidRDefault="005665AD">
      <w:r>
        <w:separator/>
      </w:r>
    </w:p>
  </w:endnote>
  <w:endnote w:type="continuationSeparator" w:id="0">
    <w:p w14:paraId="2947ED49" w14:textId="77777777" w:rsidR="005665AD" w:rsidRDefault="005665AD">
      <w:r>
        <w:continuationSeparator/>
      </w:r>
    </w:p>
  </w:endnote>
  <w:endnote w:type="continuationNotice" w:id="1">
    <w:p w14:paraId="4BE04F23" w14:textId="77777777" w:rsidR="005665AD" w:rsidRDefault="00566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90195" w14:textId="77777777" w:rsidR="00EF5492" w:rsidRDefault="00EF5492" w:rsidP="00CA56BC">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F452" w14:textId="77777777" w:rsidR="00EF5492" w:rsidRDefault="00EF5492" w:rsidP="00CA56B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ED99" w14:textId="77777777" w:rsidR="005665AD" w:rsidRDefault="005665AD">
      <w:r>
        <w:separator/>
      </w:r>
    </w:p>
  </w:footnote>
  <w:footnote w:type="continuationSeparator" w:id="0">
    <w:p w14:paraId="69A4CBE7" w14:textId="77777777" w:rsidR="005665AD" w:rsidRDefault="005665AD">
      <w:r>
        <w:continuationSeparator/>
      </w:r>
    </w:p>
  </w:footnote>
  <w:footnote w:type="continuationNotice" w:id="1">
    <w:p w14:paraId="197F74B4" w14:textId="77777777" w:rsidR="005665AD" w:rsidRDefault="005665AD"/>
  </w:footnote>
  <w:footnote w:id="2">
    <w:p w14:paraId="457AEFDE" w14:textId="5319E3AB"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vertAlign w:val="baseline"/>
        </w:rPr>
        <w:t>*</w:t>
      </w:r>
      <w:r w:rsidRPr="00FE6148">
        <w:rPr>
          <w:kern w:val="18"/>
          <w:szCs w:val="18"/>
        </w:rPr>
        <w:t xml:space="preserve"> CBD/SBI/3/1.</w:t>
      </w:r>
    </w:p>
  </w:footnote>
  <w:footnote w:id="3">
    <w:p w14:paraId="5EA33DB1" w14:textId="6A32B13A" w:rsidR="00EF5492" w:rsidRPr="00FE6148" w:rsidRDefault="00EF5492" w:rsidP="00FE6148">
      <w:pPr>
        <w:keepLines/>
        <w:suppressLineNumbers/>
        <w:suppressAutoHyphens/>
        <w:spacing w:after="60"/>
        <w:jc w:val="left"/>
        <w:rPr>
          <w:kern w:val="18"/>
          <w:szCs w:val="18"/>
        </w:rPr>
      </w:pPr>
      <w:r w:rsidRPr="00FE6148">
        <w:rPr>
          <w:rStyle w:val="FootnoteReference"/>
          <w:kern w:val="18"/>
          <w:sz w:val="18"/>
          <w:szCs w:val="18"/>
        </w:rPr>
        <w:footnoteRef/>
      </w:r>
      <w:r w:rsidRPr="00FE6148">
        <w:rPr>
          <w:kern w:val="18"/>
          <w:sz w:val="18"/>
          <w:szCs w:val="18"/>
        </w:rPr>
        <w:t xml:space="preserve"> Aichi Biodiversity Target 18: “By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footnote>
  <w:footnote w:id="4">
    <w:p w14:paraId="1A55406F" w14:textId="22706169" w:rsidR="00EF5492" w:rsidRPr="00FE6148" w:rsidRDefault="00EF5492" w:rsidP="00FE6148">
      <w:pPr>
        <w:keepLines/>
        <w:suppressLineNumbers/>
        <w:suppressAutoHyphens/>
        <w:spacing w:after="60"/>
        <w:jc w:val="left"/>
        <w:rPr>
          <w:kern w:val="18"/>
          <w:sz w:val="18"/>
          <w:szCs w:val="18"/>
        </w:rPr>
      </w:pPr>
      <w:r w:rsidRPr="00FE6148">
        <w:rPr>
          <w:kern w:val="18"/>
          <w:sz w:val="18"/>
          <w:szCs w:val="18"/>
          <w:vertAlign w:val="superscript"/>
        </w:rPr>
        <w:footnoteRef/>
      </w:r>
      <w:r w:rsidRPr="00FE6148">
        <w:rPr>
          <w:kern w:val="18"/>
          <w:sz w:val="18"/>
          <w:szCs w:val="18"/>
        </w:rPr>
        <w:t xml:space="preserve"> </w:t>
      </w:r>
      <w:hyperlink r:id="rId1">
        <w:r w:rsidRPr="00FE6148">
          <w:rPr>
            <w:color w:val="1155CC"/>
            <w:kern w:val="18"/>
            <w:sz w:val="18"/>
            <w:szCs w:val="18"/>
            <w:u w:val="single"/>
          </w:rPr>
          <w:t>https://www.cbd.int/sp/targets/rationale/target-18/</w:t>
        </w:r>
      </w:hyperlink>
      <w:r w:rsidRPr="00FE6148">
        <w:rPr>
          <w:kern w:val="18"/>
          <w:sz w:val="18"/>
          <w:szCs w:val="18"/>
        </w:rPr>
        <w:t>.</w:t>
      </w:r>
    </w:p>
  </w:footnote>
  <w:footnote w:id="5">
    <w:p w14:paraId="7AAC93B7" w14:textId="0DE04088"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The full report of the Global Thematic Dialogue, along with the main messages, is available as </w:t>
      </w:r>
      <w:hyperlink r:id="rId2" w:history="1">
        <w:r w:rsidRPr="00FE6148">
          <w:rPr>
            <w:rStyle w:val="Hyperlink"/>
            <w:kern w:val="18"/>
            <w:szCs w:val="18"/>
          </w:rPr>
          <w:t>CBD/POST2020/WS/2019/12/2</w:t>
        </w:r>
      </w:hyperlink>
      <w:r w:rsidRPr="00FE6148">
        <w:rPr>
          <w:kern w:val="18"/>
          <w:szCs w:val="18"/>
        </w:rPr>
        <w:t>.</w:t>
      </w:r>
    </w:p>
  </w:footnote>
  <w:footnote w:id="6">
    <w:p w14:paraId="4DBB4936" w14:textId="14D90421"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“Access” to genetic resources and associated traditional knowledge, under the Nagoya Protocol, is based on prior informed consent, and “utilization” based on mutually agreed terms, ensuring a fair and equitable sharing of benefits, arising from their utilization (Nagoya Protocol, Article</w:t>
      </w:r>
      <w:r w:rsidR="00D47F4B">
        <w:rPr>
          <w:kern w:val="18"/>
          <w:szCs w:val="18"/>
        </w:rPr>
        <w:t> </w:t>
      </w:r>
      <w:r w:rsidRPr="00FE6148">
        <w:rPr>
          <w:kern w:val="18"/>
          <w:szCs w:val="18"/>
        </w:rPr>
        <w:t>5).</w:t>
      </w:r>
    </w:p>
  </w:footnote>
  <w:footnote w:id="7">
    <w:p w14:paraId="68B1502E" w14:textId="33863440"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r w:rsidR="00DC7470">
        <w:rPr>
          <w:kern w:val="18"/>
          <w:szCs w:val="18"/>
        </w:rPr>
        <w:t>S</w:t>
      </w:r>
      <w:r w:rsidRPr="00FE6148">
        <w:rPr>
          <w:kern w:val="18"/>
          <w:szCs w:val="18"/>
        </w:rPr>
        <w:t>ee</w:t>
      </w:r>
      <w:r w:rsidR="00DC7470">
        <w:rPr>
          <w:kern w:val="18"/>
          <w:szCs w:val="18"/>
        </w:rPr>
        <w:t>, for example,</w:t>
      </w:r>
      <w:r w:rsidRPr="00FE6148">
        <w:rPr>
          <w:kern w:val="18"/>
          <w:szCs w:val="18"/>
        </w:rPr>
        <w:t xml:space="preserve"> </w:t>
      </w:r>
      <w:hyperlink r:id="rId3" w:history="1">
        <w:r w:rsidRPr="00FE6148">
          <w:rPr>
            <w:rStyle w:val="Hyperlink"/>
            <w:kern w:val="18"/>
            <w:szCs w:val="18"/>
          </w:rPr>
          <w:t>https://en.wikipedia.org/wiki/Agroecology</w:t>
        </w:r>
      </w:hyperlink>
      <w:r w:rsidRPr="00FE6148">
        <w:rPr>
          <w:kern w:val="18"/>
          <w:szCs w:val="18"/>
        </w:rPr>
        <w:t>.</w:t>
      </w:r>
    </w:p>
  </w:footnote>
  <w:footnote w:id="8">
    <w:p w14:paraId="5395B2A5" w14:textId="5A5B6498" w:rsidR="00EF5492" w:rsidRPr="00FE6148" w:rsidRDefault="00EF5492" w:rsidP="00FE6148">
      <w:pPr>
        <w:keepLines/>
        <w:suppressLineNumbers/>
        <w:suppressAutoHyphens/>
        <w:spacing w:after="60"/>
        <w:jc w:val="left"/>
        <w:rPr>
          <w:kern w:val="18"/>
          <w:sz w:val="18"/>
          <w:szCs w:val="18"/>
        </w:rPr>
      </w:pPr>
      <w:r w:rsidRPr="00FE6148">
        <w:rPr>
          <w:kern w:val="18"/>
          <w:sz w:val="18"/>
          <w:szCs w:val="18"/>
          <w:vertAlign w:val="superscript"/>
        </w:rPr>
        <w:footnoteRef/>
      </w:r>
      <w:r w:rsidRPr="00FE6148">
        <w:rPr>
          <w:kern w:val="18"/>
          <w:sz w:val="18"/>
          <w:szCs w:val="18"/>
        </w:rPr>
        <w:t xml:space="preserve"> (a) First meeting of the Open-ended Working Group on the Post-2020 Global Biodiversity Framework (Nairobi, 27-30 August 2019) (9 funded); (b) eleventh meeting of the Working Group on Article 8(j) and Related Provisions (Montreal, Canada, 20-22 November 2019) and twenty-third meeting of the Subsidiary Body on Scientific, Technical and Technological Advice (Montreal, Canada, 25-29 November 2019</w:t>
      </w:r>
      <w:r w:rsidRPr="00FE6148" w:rsidDel="00AF4360">
        <w:rPr>
          <w:kern w:val="18"/>
          <w:sz w:val="18"/>
          <w:szCs w:val="18"/>
        </w:rPr>
        <w:t xml:space="preserve"> </w:t>
      </w:r>
      <w:r w:rsidRPr="00FE6148">
        <w:rPr>
          <w:kern w:val="18"/>
          <w:sz w:val="18"/>
          <w:szCs w:val="18"/>
        </w:rPr>
        <w:t>(21 funded); (c) Second meeting of the Open-ended Working Group on the Post-2020 Global Biodiversity Framework (Rome, 24-29 February 2020) (13 funded).</w:t>
      </w:r>
    </w:p>
  </w:footnote>
  <w:footnote w:id="9">
    <w:p w14:paraId="05EC3E8B" w14:textId="3950BB57"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The ICCA Registry is maintained by the United Nations Environment Programme World Conservation Monitoring Centre (UNEP-WCMC).</w:t>
      </w:r>
    </w:p>
  </w:footnote>
  <w:footnote w:id="10">
    <w:p w14:paraId="6B855059" w14:textId="7E716199" w:rsidR="00EF5492" w:rsidRPr="001C08DD" w:rsidRDefault="00EF5492"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hyperlink r:id="rId4" w:history="1">
        <w:r w:rsidRPr="001C08DD">
          <w:rPr>
            <w:rStyle w:val="Hyperlink"/>
            <w:kern w:val="18"/>
            <w:szCs w:val="18"/>
            <w:lang w:val="es-419"/>
          </w:rPr>
          <w:t>E/C.19/2018/8</w:t>
        </w:r>
      </w:hyperlink>
      <w:r w:rsidRPr="001C08DD">
        <w:rPr>
          <w:kern w:val="18"/>
          <w:szCs w:val="18"/>
          <w:lang w:val="es-419"/>
        </w:rPr>
        <w:t>.</w:t>
      </w:r>
    </w:p>
  </w:footnote>
  <w:footnote w:id="11">
    <w:p w14:paraId="64B88F71" w14:textId="1005C44A" w:rsidR="00EF5492" w:rsidRPr="001C08DD" w:rsidRDefault="00EF5492"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proofErr w:type="spellStart"/>
      <w:r w:rsidR="005F256A" w:rsidRPr="001C08DD">
        <w:rPr>
          <w:kern w:val="18"/>
          <w:szCs w:val="18"/>
          <w:lang w:val="es-419"/>
        </w:rPr>
        <w:t>See</w:t>
      </w:r>
      <w:proofErr w:type="spellEnd"/>
      <w:r w:rsidRPr="001C08DD">
        <w:rPr>
          <w:kern w:val="18"/>
          <w:szCs w:val="18"/>
          <w:lang w:val="es-419"/>
        </w:rPr>
        <w:t xml:space="preserve"> </w:t>
      </w:r>
      <w:hyperlink r:id="rId5" w:history="1">
        <w:r w:rsidR="005F256A" w:rsidRPr="001C08DD">
          <w:rPr>
            <w:rStyle w:val="Hyperlink"/>
            <w:kern w:val="18"/>
            <w:szCs w:val="18"/>
            <w:lang w:val="es-419"/>
          </w:rPr>
          <w:t>E/C.19/2020/9</w:t>
        </w:r>
      </w:hyperlink>
      <w:r w:rsidRPr="001C08DD">
        <w:rPr>
          <w:rStyle w:val="Hyperlink"/>
          <w:kern w:val="18"/>
          <w:szCs w:val="18"/>
          <w:lang w:val="es-419"/>
        </w:rPr>
        <w:t>.</w:t>
      </w:r>
    </w:p>
  </w:footnote>
  <w:footnote w:id="12">
    <w:p w14:paraId="104186FC" w14:textId="0DB9584E" w:rsidR="00EF5492" w:rsidRPr="001C08DD" w:rsidRDefault="00EF5492"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hyperlink r:id="rId6" w:history="1">
        <w:r w:rsidR="00CD5A10" w:rsidRPr="001C08DD">
          <w:rPr>
            <w:rStyle w:val="Hyperlink"/>
            <w:kern w:val="18"/>
            <w:szCs w:val="18"/>
            <w:lang w:val="es-419"/>
          </w:rPr>
          <w:t>Ibid</w:t>
        </w:r>
      </w:hyperlink>
      <w:r w:rsidRPr="001C08DD">
        <w:rPr>
          <w:kern w:val="18"/>
          <w:szCs w:val="18"/>
          <w:lang w:val="es-419"/>
        </w:rPr>
        <w:t>.</w:t>
      </w:r>
    </w:p>
  </w:footnote>
  <w:footnote w:id="13">
    <w:p w14:paraId="6F21001E" w14:textId="63F79854" w:rsidR="00EF5492" w:rsidRPr="001C08DD" w:rsidRDefault="00EF5492" w:rsidP="00FE6148">
      <w:pPr>
        <w:pStyle w:val="FootnoteText"/>
        <w:suppressLineNumbers/>
        <w:suppressAutoHyphens/>
        <w:ind w:firstLine="0"/>
        <w:jc w:val="left"/>
        <w:rPr>
          <w:kern w:val="18"/>
          <w:szCs w:val="18"/>
          <w:lang w:val="es-419"/>
        </w:rPr>
      </w:pPr>
      <w:r w:rsidRPr="00FE6148">
        <w:rPr>
          <w:rStyle w:val="FootnoteReference"/>
          <w:kern w:val="18"/>
          <w:sz w:val="18"/>
          <w:szCs w:val="18"/>
        </w:rPr>
        <w:footnoteRef/>
      </w:r>
      <w:r w:rsidRPr="001C08DD">
        <w:rPr>
          <w:kern w:val="18"/>
          <w:szCs w:val="18"/>
          <w:lang w:val="es-419"/>
        </w:rPr>
        <w:t xml:space="preserve"> </w:t>
      </w:r>
      <w:r w:rsidR="005665AD">
        <w:fldChar w:fldCharType="begin"/>
      </w:r>
      <w:r w:rsidR="005665AD" w:rsidRPr="001A2C2D">
        <w:rPr>
          <w:lang w:val="es-419"/>
        </w:rPr>
        <w:instrText xml:space="preserve"> HYPERLINK "https://en.unesco.org/feedback/call-research-papers-within-context-2019-international-year-indigenous-languages" </w:instrText>
      </w:r>
      <w:r w:rsidR="005665AD">
        <w:fldChar w:fldCharType="separate"/>
      </w:r>
      <w:r w:rsidRPr="001C08DD">
        <w:rPr>
          <w:rStyle w:val="Hyperlink"/>
          <w:kern w:val="18"/>
          <w:szCs w:val="18"/>
          <w:lang w:val="es-419"/>
        </w:rPr>
        <w:t>https://en.unesco.org/feedback/call-research-papers-within-context-2019-international-year-indigenous-languages</w:t>
      </w:r>
      <w:r w:rsidR="005665AD">
        <w:rPr>
          <w:rStyle w:val="Hyperlink"/>
          <w:kern w:val="18"/>
          <w:szCs w:val="18"/>
          <w:lang w:val="es-419"/>
        </w:rPr>
        <w:fldChar w:fldCharType="end"/>
      </w:r>
      <w:r w:rsidRPr="001C08DD">
        <w:rPr>
          <w:kern w:val="18"/>
          <w:szCs w:val="18"/>
          <w:lang w:val="es-419"/>
        </w:rPr>
        <w:t>.</w:t>
      </w:r>
    </w:p>
  </w:footnote>
  <w:footnote w:id="14">
    <w:p w14:paraId="10DF65C4" w14:textId="4FD0F5D0"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r w:rsidR="005F256A">
        <w:rPr>
          <w:kern w:val="18"/>
          <w:szCs w:val="18"/>
        </w:rPr>
        <w:t xml:space="preserve">See </w:t>
      </w:r>
      <w:hyperlink r:id="rId7" w:history="1">
        <w:r w:rsidR="005F256A" w:rsidRPr="00FE6148">
          <w:rPr>
            <w:rStyle w:val="Hyperlink"/>
            <w:kern w:val="18"/>
            <w:szCs w:val="18"/>
          </w:rPr>
          <w:t>https://en.iyil2019.org/</w:t>
        </w:r>
      </w:hyperlink>
      <w:r w:rsidRPr="00FE6148">
        <w:rPr>
          <w:kern w:val="18"/>
          <w:szCs w:val="18"/>
        </w:rPr>
        <w:t>.</w:t>
      </w:r>
    </w:p>
  </w:footnote>
  <w:footnote w:id="15">
    <w:p w14:paraId="2FF1C4C5" w14:textId="1A7D4FAD"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Refer to: </w:t>
      </w:r>
      <w:hyperlink r:id="rId8" w:history="1">
        <w:r w:rsidRPr="00FE6148">
          <w:rPr>
            <w:rStyle w:val="Hyperlink"/>
            <w:kern w:val="18"/>
            <w:szCs w:val="18"/>
          </w:rPr>
          <w:t>https://en.unesco.org/news/taking-stock-iyil2019-78-countries-actively-promoted-indigenous-languages</w:t>
        </w:r>
      </w:hyperlink>
      <w:r w:rsidRPr="00FE6148">
        <w:rPr>
          <w:kern w:val="18"/>
          <w:szCs w:val="18"/>
        </w:rPr>
        <w:t>.</w:t>
      </w:r>
    </w:p>
  </w:footnote>
  <w:footnote w:id="16">
    <w:p w14:paraId="038FD3BA" w14:textId="119A3533"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hyperlink r:id="rId9" w:history="1">
        <w:r w:rsidRPr="00FE6148">
          <w:rPr>
            <w:rStyle w:val="Hyperlink"/>
            <w:kern w:val="18"/>
            <w:szCs w:val="18"/>
          </w:rPr>
          <w:t>https://en.iyil2019.org/release-of-the-strategic-outcome-document-of-the-iyil2019-2/</w:t>
        </w:r>
      </w:hyperlink>
      <w:r w:rsidRPr="00FE6148">
        <w:rPr>
          <w:kern w:val="18"/>
          <w:szCs w:val="18"/>
        </w:rPr>
        <w:t>.</w:t>
      </w:r>
    </w:p>
  </w:footnote>
  <w:footnote w:id="17">
    <w:p w14:paraId="5383CD94" w14:textId="76AB30E5"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Refer to </w:t>
      </w:r>
      <w:hyperlink r:id="rId10" w:history="1">
        <w:r w:rsidRPr="00FE6148">
          <w:rPr>
            <w:rStyle w:val="Hyperlink"/>
            <w:kern w:val="18"/>
            <w:szCs w:val="18"/>
          </w:rPr>
          <w:t>https://en.unesco.org/news/towards-unesco-s-world-atlas-languages-final-recommendations-action-plan</w:t>
        </w:r>
      </w:hyperlink>
      <w:r w:rsidRPr="00FE6148">
        <w:rPr>
          <w:kern w:val="18"/>
          <w:szCs w:val="18"/>
        </w:rPr>
        <w:t>.</w:t>
      </w:r>
    </w:p>
  </w:footnote>
  <w:footnote w:id="18">
    <w:p w14:paraId="4827478B" w14:textId="207FC5D1"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bookmarkStart w:id="13" w:name="_Hlk42112335"/>
      <w:r w:rsidRPr="00FE6148">
        <w:rPr>
          <w:kern w:val="18"/>
          <w:szCs w:val="18"/>
        </w:rPr>
        <w:t>The overarching principles, enabling conditions, means of implementation, and indicators, as well as the table, are based on annex I (“Main messages as provided by indigenous peoples and local communities participating in the Dialogue”) to the Report of the Global Thematic Dialogue for Indigenous Peoples and Local Communities on the Post-2020 Global Biodiversity Framework, Montreal, Canada, 17-18 November 2019 (CBD/POST2020/WS/2019/12/2).</w:t>
      </w:r>
      <w:bookmarkEnd w:id="13"/>
    </w:p>
  </w:footnote>
  <w:footnote w:id="19">
    <w:p w14:paraId="7254301C" w14:textId="1A2145BB" w:rsidR="00192790" w:rsidRPr="00FE6148" w:rsidRDefault="00192790"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IPLC = indigenous peoples and local communities.</w:t>
      </w:r>
    </w:p>
  </w:footnote>
  <w:footnote w:id="20">
    <w:p w14:paraId="4E940F71" w14:textId="427C56C1"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w:t>
      </w:r>
      <w:r w:rsidR="00021CB0" w:rsidRPr="001D7CEA">
        <w:rPr>
          <w:color w:val="000000"/>
          <w:kern w:val="18"/>
          <w:szCs w:val="18"/>
          <w:shd w:val="clear" w:color="auto" w:fill="FFFFFF" w:themeFill="background1"/>
        </w:rPr>
        <w:t>“Territories for life” is sometimes used to refer to “territories and areas conserved by indigenous peoples and local communities” or ICCAs; see</w:t>
      </w:r>
      <w:r w:rsidR="00021CB0" w:rsidRPr="00FE6148">
        <w:rPr>
          <w:color w:val="000000"/>
          <w:kern w:val="18"/>
          <w:szCs w:val="18"/>
          <w:shd w:val="clear" w:color="auto" w:fill="F2F2F2"/>
        </w:rPr>
        <w:t xml:space="preserve"> </w:t>
      </w:r>
      <w:hyperlink r:id="rId11" w:history="1">
        <w:r w:rsidRPr="00FE6148">
          <w:rPr>
            <w:rStyle w:val="Hyperlink"/>
            <w:kern w:val="18"/>
            <w:szCs w:val="18"/>
          </w:rPr>
          <w:t>https://www.iccaconsortium.org/index.php/discover/</w:t>
        </w:r>
      </w:hyperlink>
      <w:r w:rsidRPr="00FE6148">
        <w:rPr>
          <w:kern w:val="18"/>
          <w:szCs w:val="18"/>
        </w:rPr>
        <w:t>.</w:t>
      </w:r>
    </w:p>
  </w:footnote>
  <w:footnote w:id="21">
    <w:p w14:paraId="772389D2" w14:textId="3718F6D7" w:rsidR="00EF5492" w:rsidRPr="00FE6148" w:rsidRDefault="00EF5492" w:rsidP="00FE6148">
      <w:pPr>
        <w:pStyle w:val="FootnoteText"/>
        <w:suppressLineNumbers/>
        <w:suppressAutoHyphens/>
        <w:ind w:firstLine="0"/>
        <w:jc w:val="left"/>
        <w:rPr>
          <w:kern w:val="18"/>
          <w:szCs w:val="18"/>
        </w:rPr>
      </w:pPr>
      <w:r w:rsidRPr="00FE6148">
        <w:rPr>
          <w:rStyle w:val="FootnoteReference"/>
          <w:kern w:val="18"/>
          <w:sz w:val="18"/>
          <w:szCs w:val="18"/>
        </w:rPr>
        <w:footnoteRef/>
      </w:r>
      <w:r w:rsidRPr="00FE6148">
        <w:rPr>
          <w:kern w:val="18"/>
          <w:szCs w:val="18"/>
        </w:rPr>
        <w:t xml:space="preserve"> From annex II, “Other ideas”, of the above-mentioned report of the Global Thematic Dialogue (CBD/POST2020/WS/2019/12/2).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85698C6A57A84D698CC9045AB3764755"/>
      </w:placeholder>
      <w:dataBinding w:prefixMappings="xmlns:ns0='http://purl.org/dc/elements/1.1/' xmlns:ns1='http://schemas.openxmlformats.org/package/2006/metadata/core-properties' " w:xpath="/ns1:coreProperties[1]/ns0:subject[1]" w:storeItemID="{6C3C8BC8-F283-45AE-878A-BAB7291924A1}"/>
      <w:text/>
    </w:sdtPr>
    <w:sdtEndPr/>
    <w:sdtContent>
      <w:p w14:paraId="543324AF" w14:textId="6C0C8ADC" w:rsidR="00EF5492" w:rsidRPr="00212028" w:rsidRDefault="00EF5492" w:rsidP="00FE6148">
        <w:pPr>
          <w:pStyle w:val="Header"/>
          <w:keepLines/>
          <w:suppressLineNumbers/>
          <w:tabs>
            <w:tab w:val="clear" w:pos="4320"/>
            <w:tab w:val="clear" w:pos="8640"/>
          </w:tabs>
          <w:suppressAutoHyphens/>
          <w:spacing w:line="240" w:lineRule="auto"/>
          <w:rPr>
            <w:noProof/>
            <w:kern w:val="22"/>
          </w:rPr>
        </w:pPr>
        <w:r>
          <w:rPr>
            <w:noProof/>
            <w:kern w:val="22"/>
          </w:rPr>
          <w:t>CBD/SBI/3/2/Add.4</w:t>
        </w:r>
      </w:p>
    </w:sdtContent>
  </w:sdt>
  <w:p w14:paraId="49132C96" w14:textId="77777777" w:rsidR="00EF5492" w:rsidRPr="00212028" w:rsidRDefault="00EF5492" w:rsidP="00FE6148">
    <w:pPr>
      <w:pStyle w:val="Header"/>
      <w:keepLines/>
      <w:suppressLineNumbers/>
      <w:tabs>
        <w:tab w:val="clear" w:pos="4320"/>
        <w:tab w:val="clear" w:pos="8640"/>
      </w:tabs>
      <w:suppressAutoHyphens/>
      <w:spacing w:line="240" w:lineRule="auto"/>
      <w:rPr>
        <w:noProof/>
        <w:kern w:val="22"/>
      </w:rPr>
    </w:pPr>
    <w:r w:rsidRPr="00212028">
      <w:rPr>
        <w:noProof/>
        <w:kern w:val="22"/>
      </w:rPr>
      <w:t xml:space="preserve">Page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Pr>
        <w:noProof/>
        <w:kern w:val="22"/>
      </w:rPr>
      <w:t>2</w:t>
    </w:r>
    <w:r w:rsidRPr="00212028">
      <w:rPr>
        <w:noProof/>
        <w:kern w:val="22"/>
      </w:rPr>
      <w:fldChar w:fldCharType="end"/>
    </w:r>
  </w:p>
  <w:p w14:paraId="7FA24D41" w14:textId="77777777" w:rsidR="00EF5492" w:rsidRPr="00212028" w:rsidRDefault="00EF5492" w:rsidP="00FE6148">
    <w:pPr>
      <w:pStyle w:val="Header"/>
      <w:keepLines/>
      <w:suppressLineNumbers/>
      <w:tabs>
        <w:tab w:val="clear" w:pos="4320"/>
        <w:tab w:val="clear" w:pos="8640"/>
      </w:tabs>
      <w:suppressAutoHyphens/>
      <w:spacing w:line="240" w:lineRule="auto"/>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ED438B06C60F42F0A9F36D2C6BDA93BC"/>
      </w:placeholder>
      <w:dataBinding w:prefixMappings="xmlns:ns0='http://purl.org/dc/elements/1.1/' xmlns:ns1='http://schemas.openxmlformats.org/package/2006/metadata/core-properties' " w:xpath="/ns1:coreProperties[1]/ns0:subject[1]" w:storeItemID="{6C3C8BC8-F283-45AE-878A-BAB7291924A1}"/>
      <w:text/>
    </w:sdtPr>
    <w:sdtEndPr/>
    <w:sdtContent>
      <w:p w14:paraId="50B86B2B" w14:textId="40C2D65A" w:rsidR="00EF5492" w:rsidRPr="00212028" w:rsidRDefault="00EF5492" w:rsidP="00FE6148">
        <w:pPr>
          <w:pStyle w:val="Header"/>
          <w:keepLines/>
          <w:suppressLineNumbers/>
          <w:tabs>
            <w:tab w:val="clear" w:pos="4320"/>
            <w:tab w:val="clear" w:pos="8640"/>
          </w:tabs>
          <w:suppressAutoHyphens/>
          <w:spacing w:line="240" w:lineRule="auto"/>
          <w:jc w:val="right"/>
          <w:rPr>
            <w:noProof/>
            <w:kern w:val="22"/>
          </w:rPr>
        </w:pPr>
        <w:r>
          <w:rPr>
            <w:noProof/>
            <w:kern w:val="22"/>
          </w:rPr>
          <w:t>CBD/SBI/3/2/Add.4</w:t>
        </w:r>
      </w:p>
    </w:sdtContent>
  </w:sdt>
  <w:p w14:paraId="4DF43CD1" w14:textId="77777777" w:rsidR="00EF5492" w:rsidRPr="00212028" w:rsidRDefault="00EF5492" w:rsidP="00FE6148">
    <w:pPr>
      <w:pStyle w:val="Header"/>
      <w:keepLines/>
      <w:suppressLineNumbers/>
      <w:tabs>
        <w:tab w:val="clear" w:pos="4320"/>
        <w:tab w:val="clear" w:pos="8640"/>
      </w:tabs>
      <w:suppressAutoHyphens/>
      <w:spacing w:line="240" w:lineRule="auto"/>
      <w:jc w:val="right"/>
      <w:rPr>
        <w:noProof/>
        <w:kern w:val="22"/>
      </w:rPr>
    </w:pPr>
    <w:r w:rsidRPr="00212028">
      <w:rPr>
        <w:noProof/>
        <w:kern w:val="22"/>
      </w:rPr>
      <w:t xml:space="preserve">Page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Pr>
        <w:noProof/>
        <w:kern w:val="22"/>
      </w:rPr>
      <w:t>3</w:t>
    </w:r>
    <w:r w:rsidRPr="00212028">
      <w:rPr>
        <w:noProof/>
        <w:kern w:val="22"/>
      </w:rPr>
      <w:fldChar w:fldCharType="end"/>
    </w:r>
  </w:p>
  <w:p w14:paraId="2DCE02DB" w14:textId="77777777" w:rsidR="00EF5492" w:rsidRPr="00212028" w:rsidRDefault="00EF5492" w:rsidP="00FE6148">
    <w:pPr>
      <w:pStyle w:val="Header"/>
      <w:keepLines/>
      <w:suppressLineNumbers/>
      <w:tabs>
        <w:tab w:val="clear" w:pos="4320"/>
        <w:tab w:val="clear" w:pos="8640"/>
      </w:tabs>
      <w:suppressAutoHyphens/>
      <w:spacing w:line="240" w:lineRule="auto"/>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57132" w14:textId="0B8E9568" w:rsidR="00EF5492" w:rsidRPr="003750D4" w:rsidRDefault="00EF5492" w:rsidP="00CA56BC">
    <w:pPr>
      <w:pStyle w:val="Header"/>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5BF"/>
    <w:multiLevelType w:val="hybridMultilevel"/>
    <w:tmpl w:val="FFD2A40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883"/>
    <w:multiLevelType w:val="hybridMultilevel"/>
    <w:tmpl w:val="5A224EB8"/>
    <w:lvl w:ilvl="0" w:tplc="AA22894A">
      <w:numFmt w:val="bullet"/>
      <w:lvlText w:val="·"/>
      <w:lvlJc w:val="left"/>
      <w:pPr>
        <w:ind w:left="420" w:hanging="360"/>
      </w:pPr>
      <w:rPr>
        <w:rFonts w:ascii="Times New Roman" w:eastAsia="Times New Roman" w:hAnsi="Times New Roman" w:cs="Times New Roman" w:hint="default"/>
        <w:sz w:val="2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0AC264C0"/>
    <w:multiLevelType w:val="multilevel"/>
    <w:tmpl w:val="C6DA5060"/>
    <w:lvl w:ilvl="0">
      <w:start w:val="1"/>
      <w:numFmt w:val="decimal"/>
      <w:lvlText w:val="%1."/>
      <w:lvlJc w:val="left"/>
      <w:pPr>
        <w:ind w:left="0" w:firstLine="0"/>
      </w:pPr>
      <w:rPr>
        <w:rFonts w:ascii="Times New Roman" w:eastAsia="Times New Roman" w:hAnsi="Times New Roman" w:cs="Times New Roman"/>
        <w:b w:val="0"/>
        <w:i w:val="0"/>
        <w:sz w:val="22"/>
        <w:szCs w:val="22"/>
      </w:rPr>
    </w:lvl>
    <w:lvl w:ilvl="1">
      <w:start w:val="1"/>
      <w:numFmt w:val="lowerLetter"/>
      <w:lvlText w:val="(%2)"/>
      <w:lvlJc w:val="left"/>
      <w:pPr>
        <w:ind w:left="0" w:firstLine="720"/>
      </w:pPr>
      <w:rPr>
        <w:b w:val="0"/>
        <w:i w:val="0"/>
      </w:rPr>
    </w:lvl>
    <w:lvl w:ilvl="2">
      <w:start w:val="1"/>
      <w:numFmt w:val="lowerRoman"/>
      <w:lvlText w:val="(%3)"/>
      <w:lvlJc w:val="right"/>
      <w:pPr>
        <w:ind w:left="1985" w:hanging="545"/>
      </w:pPr>
      <w:rPr>
        <w:rFonts w:ascii="Times New Roman" w:eastAsia="Times New Roman" w:hAnsi="Times New Roman" w:cs="Times New Roman"/>
      </w:rPr>
    </w:lvl>
    <w:lvl w:ilvl="3">
      <w:start w:val="1"/>
      <w:numFmt w:val="bullet"/>
      <w:lvlText w:val="●"/>
      <w:lvlJc w:val="left"/>
      <w:pPr>
        <w:ind w:left="2160" w:hanging="720"/>
      </w:pPr>
      <w:rPr>
        <w:rFonts w:ascii="Noto Sans Symbols" w:eastAsia="Noto Sans Symbols" w:hAnsi="Noto Sans Symbols" w:cs="Noto Sans Symbols"/>
        <w:color w:val="000000"/>
        <w:sz w:val="28"/>
        <w:szCs w:val="28"/>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29923EC"/>
    <w:multiLevelType w:val="multilevel"/>
    <w:tmpl w:val="7FAA2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9C3493"/>
    <w:multiLevelType w:val="multilevel"/>
    <w:tmpl w:val="3A9A7B4E"/>
    <w:lvl w:ilvl="0">
      <w:start w:val="1"/>
      <w:numFmt w:val="decimal"/>
      <w:pStyle w:val="Para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802A2"/>
    <w:multiLevelType w:val="hybridMultilevel"/>
    <w:tmpl w:val="6AE0B564"/>
    <w:lvl w:ilvl="0" w:tplc="58D2F5F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18736EC"/>
    <w:multiLevelType w:val="multilevel"/>
    <w:tmpl w:val="61603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6883F97"/>
    <w:multiLevelType w:val="multilevel"/>
    <w:tmpl w:val="727C7B0E"/>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9C3CD5"/>
    <w:multiLevelType w:val="multilevel"/>
    <w:tmpl w:val="D9346098"/>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40747A8"/>
    <w:multiLevelType w:val="multilevel"/>
    <w:tmpl w:val="5C7A2154"/>
    <w:lvl w:ilvl="0">
      <w:start w:val="1"/>
      <w:numFmt w:val="bullet"/>
      <w:pStyle w:val="Para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7E41EEA"/>
    <w:multiLevelType w:val="multilevel"/>
    <w:tmpl w:val="6C705DA4"/>
    <w:lvl w:ilvl="0">
      <w:start w:val="1"/>
      <w:numFmt w:val="bullet"/>
      <w:pStyle w:val="Para1-Annex"/>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261D25"/>
    <w:multiLevelType w:val="multilevel"/>
    <w:tmpl w:val="89C6FE14"/>
    <w:lvl w:ilvl="0">
      <w:start w:val="1"/>
      <w:numFmt w:val="lowerLetter"/>
      <w:lvlText w:val="(%1)"/>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717100"/>
    <w:multiLevelType w:val="multilevel"/>
    <w:tmpl w:val="B10EECDA"/>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pStyle w:val="Para2"/>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B20242"/>
    <w:multiLevelType w:val="multilevel"/>
    <w:tmpl w:val="843EE11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para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B61099"/>
    <w:multiLevelType w:val="multilevel"/>
    <w:tmpl w:val="CE7ADA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72B971AD"/>
    <w:multiLevelType w:val="hybridMultilevel"/>
    <w:tmpl w:val="A7FAD47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C8C4DDF"/>
    <w:multiLevelType w:val="multilevel"/>
    <w:tmpl w:val="630C4586"/>
    <w:lvl w:ilvl="0">
      <w:start w:val="1"/>
      <w:numFmt w:val="lowerLetter"/>
      <w:lvlText w:val="(%1)"/>
      <w:lvlJc w:val="left"/>
      <w:pPr>
        <w:ind w:left="1080" w:hanging="1170"/>
      </w:pPr>
      <w:rPr>
        <w:b w:val="0"/>
      </w:rPr>
    </w:lvl>
    <w:lvl w:ilvl="1">
      <w:start w:val="1"/>
      <w:numFmt w:val="bullet"/>
      <w:lvlText w:val="o"/>
      <w:lvlJc w:val="left"/>
      <w:pPr>
        <w:ind w:left="1800" w:hanging="360"/>
      </w:pPr>
      <w:rPr>
        <w:rFonts w:ascii="Courier New" w:eastAsia="Courier New" w:hAnsi="Courier New" w:cs="Courier New"/>
      </w:rPr>
    </w:lvl>
    <w:lvl w:ilvl="2">
      <w:start w:val="1"/>
      <w:numFmt w:val="bullet"/>
      <w:pStyle w:val="Para3"/>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4"/>
  </w:num>
  <w:num w:numId="2">
    <w:abstractNumId w:val="11"/>
  </w:num>
  <w:num w:numId="3">
    <w:abstractNumId w:val="13"/>
  </w:num>
  <w:num w:numId="4">
    <w:abstractNumId w:val="17"/>
  </w:num>
  <w:num w:numId="5">
    <w:abstractNumId w:val="10"/>
  </w:num>
  <w:num w:numId="6">
    <w:abstractNumId w:val="15"/>
  </w:num>
  <w:num w:numId="7">
    <w:abstractNumId w:val="5"/>
  </w:num>
  <w:num w:numId="8">
    <w:abstractNumId w:val="14"/>
  </w:num>
  <w:num w:numId="9">
    <w:abstractNumId w:val="7"/>
  </w:num>
  <w:num w:numId="10">
    <w:abstractNumId w:val="3"/>
  </w:num>
  <w:num w:numId="11">
    <w:abstractNumId w:val="16"/>
  </w:num>
  <w:num w:numId="12">
    <w:abstractNumId w:val="0"/>
  </w:num>
  <w:num w:numId="13">
    <w:abstractNumId w:val="2"/>
  </w:num>
  <w:num w:numId="14">
    <w:abstractNumId w:val="9"/>
  </w:num>
  <w:num w:numId="15">
    <w:abstractNumId w:val="12"/>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NjI0MDAwNTI1NzdW0lEKTi0uzszPAykwrgUAMhUQYywAAAA="/>
  </w:docVars>
  <w:rsids>
    <w:rsidRoot w:val="00117549"/>
    <w:rsid w:val="00002CA7"/>
    <w:rsid w:val="00003C72"/>
    <w:rsid w:val="00004341"/>
    <w:rsid w:val="000043A6"/>
    <w:rsid w:val="00006901"/>
    <w:rsid w:val="000077A4"/>
    <w:rsid w:val="0001562F"/>
    <w:rsid w:val="00016170"/>
    <w:rsid w:val="00017FCE"/>
    <w:rsid w:val="000206B2"/>
    <w:rsid w:val="00020E00"/>
    <w:rsid w:val="00021CB0"/>
    <w:rsid w:val="00025DE2"/>
    <w:rsid w:val="0002630D"/>
    <w:rsid w:val="00026CB6"/>
    <w:rsid w:val="00027840"/>
    <w:rsid w:val="0003031E"/>
    <w:rsid w:val="00030C8F"/>
    <w:rsid w:val="000328BE"/>
    <w:rsid w:val="00033DDC"/>
    <w:rsid w:val="000358D9"/>
    <w:rsid w:val="00035A66"/>
    <w:rsid w:val="00036693"/>
    <w:rsid w:val="00040383"/>
    <w:rsid w:val="00041878"/>
    <w:rsid w:val="0004289E"/>
    <w:rsid w:val="0004578E"/>
    <w:rsid w:val="00045972"/>
    <w:rsid w:val="000463DC"/>
    <w:rsid w:val="00050F39"/>
    <w:rsid w:val="000515E5"/>
    <w:rsid w:val="00053BAD"/>
    <w:rsid w:val="00055087"/>
    <w:rsid w:val="00056D7E"/>
    <w:rsid w:val="00057AE2"/>
    <w:rsid w:val="00060771"/>
    <w:rsid w:val="000623BF"/>
    <w:rsid w:val="00062756"/>
    <w:rsid w:val="000638A6"/>
    <w:rsid w:val="00065BED"/>
    <w:rsid w:val="00065E5B"/>
    <w:rsid w:val="00066F13"/>
    <w:rsid w:val="00070114"/>
    <w:rsid w:val="000723B5"/>
    <w:rsid w:val="00072F64"/>
    <w:rsid w:val="000746D2"/>
    <w:rsid w:val="000763D8"/>
    <w:rsid w:val="00077F69"/>
    <w:rsid w:val="00077F6F"/>
    <w:rsid w:val="00080995"/>
    <w:rsid w:val="000811D6"/>
    <w:rsid w:val="00081C4E"/>
    <w:rsid w:val="000830CD"/>
    <w:rsid w:val="000841A0"/>
    <w:rsid w:val="00084EAF"/>
    <w:rsid w:val="000864A7"/>
    <w:rsid w:val="000876B7"/>
    <w:rsid w:val="00087B0E"/>
    <w:rsid w:val="00087D53"/>
    <w:rsid w:val="00087D9E"/>
    <w:rsid w:val="000907D9"/>
    <w:rsid w:val="000924F8"/>
    <w:rsid w:val="00092612"/>
    <w:rsid w:val="00093E7D"/>
    <w:rsid w:val="00094496"/>
    <w:rsid w:val="00094E3A"/>
    <w:rsid w:val="00094FBE"/>
    <w:rsid w:val="00095275"/>
    <w:rsid w:val="00095B38"/>
    <w:rsid w:val="00096B64"/>
    <w:rsid w:val="000A024A"/>
    <w:rsid w:val="000A4080"/>
    <w:rsid w:val="000A4394"/>
    <w:rsid w:val="000A79B5"/>
    <w:rsid w:val="000A7C69"/>
    <w:rsid w:val="000B032A"/>
    <w:rsid w:val="000B2D78"/>
    <w:rsid w:val="000B49D2"/>
    <w:rsid w:val="000B5CE6"/>
    <w:rsid w:val="000B5D1F"/>
    <w:rsid w:val="000B5F6B"/>
    <w:rsid w:val="000B7A91"/>
    <w:rsid w:val="000C18C3"/>
    <w:rsid w:val="000C283E"/>
    <w:rsid w:val="000C2A7E"/>
    <w:rsid w:val="000C2AA2"/>
    <w:rsid w:val="000C2AE4"/>
    <w:rsid w:val="000D0F1D"/>
    <w:rsid w:val="000D6895"/>
    <w:rsid w:val="000E0238"/>
    <w:rsid w:val="000E1025"/>
    <w:rsid w:val="000E2BA9"/>
    <w:rsid w:val="000E3BB6"/>
    <w:rsid w:val="000E4350"/>
    <w:rsid w:val="000E48A2"/>
    <w:rsid w:val="000E509F"/>
    <w:rsid w:val="000E5A12"/>
    <w:rsid w:val="000F1FD4"/>
    <w:rsid w:val="000F38B2"/>
    <w:rsid w:val="000F38DD"/>
    <w:rsid w:val="000F5C77"/>
    <w:rsid w:val="000F5DF7"/>
    <w:rsid w:val="000F6B78"/>
    <w:rsid w:val="000F7C94"/>
    <w:rsid w:val="0010035C"/>
    <w:rsid w:val="00101451"/>
    <w:rsid w:val="0010166D"/>
    <w:rsid w:val="0010263A"/>
    <w:rsid w:val="001061C3"/>
    <w:rsid w:val="001075F6"/>
    <w:rsid w:val="00107DB7"/>
    <w:rsid w:val="0011050B"/>
    <w:rsid w:val="00110D66"/>
    <w:rsid w:val="001111A1"/>
    <w:rsid w:val="00111980"/>
    <w:rsid w:val="00111DA9"/>
    <w:rsid w:val="00114721"/>
    <w:rsid w:val="00114FD8"/>
    <w:rsid w:val="00117549"/>
    <w:rsid w:val="001235A3"/>
    <w:rsid w:val="00123893"/>
    <w:rsid w:val="0012487B"/>
    <w:rsid w:val="001254C7"/>
    <w:rsid w:val="0012553F"/>
    <w:rsid w:val="00126491"/>
    <w:rsid w:val="00130336"/>
    <w:rsid w:val="00131BC9"/>
    <w:rsid w:val="0013226E"/>
    <w:rsid w:val="00132E30"/>
    <w:rsid w:val="00133DBB"/>
    <w:rsid w:val="00135E48"/>
    <w:rsid w:val="00140957"/>
    <w:rsid w:val="00140C28"/>
    <w:rsid w:val="00141F5F"/>
    <w:rsid w:val="001423C9"/>
    <w:rsid w:val="00143E1A"/>
    <w:rsid w:val="001443DB"/>
    <w:rsid w:val="00147394"/>
    <w:rsid w:val="001475D6"/>
    <w:rsid w:val="00150173"/>
    <w:rsid w:val="0015063D"/>
    <w:rsid w:val="00152484"/>
    <w:rsid w:val="00154040"/>
    <w:rsid w:val="00155F3E"/>
    <w:rsid w:val="00156020"/>
    <w:rsid w:val="00156980"/>
    <w:rsid w:val="001573FC"/>
    <w:rsid w:val="0016053E"/>
    <w:rsid w:val="00161981"/>
    <w:rsid w:val="00162003"/>
    <w:rsid w:val="00162981"/>
    <w:rsid w:val="00166FDB"/>
    <w:rsid w:val="0017036C"/>
    <w:rsid w:val="00172AD0"/>
    <w:rsid w:val="0017302B"/>
    <w:rsid w:val="001734FD"/>
    <w:rsid w:val="0017365B"/>
    <w:rsid w:val="00175DBD"/>
    <w:rsid w:val="001764D6"/>
    <w:rsid w:val="00176AB8"/>
    <w:rsid w:val="00180CEB"/>
    <w:rsid w:val="00181370"/>
    <w:rsid w:val="001825AD"/>
    <w:rsid w:val="00183D93"/>
    <w:rsid w:val="001854BC"/>
    <w:rsid w:val="00185A00"/>
    <w:rsid w:val="00185E55"/>
    <w:rsid w:val="00186038"/>
    <w:rsid w:val="00190972"/>
    <w:rsid w:val="00190D89"/>
    <w:rsid w:val="00192790"/>
    <w:rsid w:val="00193069"/>
    <w:rsid w:val="00194934"/>
    <w:rsid w:val="00197B34"/>
    <w:rsid w:val="001A1C68"/>
    <w:rsid w:val="001A2AAE"/>
    <w:rsid w:val="001A2C2D"/>
    <w:rsid w:val="001A5670"/>
    <w:rsid w:val="001A7643"/>
    <w:rsid w:val="001B0718"/>
    <w:rsid w:val="001B0CA7"/>
    <w:rsid w:val="001B11A2"/>
    <w:rsid w:val="001B2924"/>
    <w:rsid w:val="001B3C6F"/>
    <w:rsid w:val="001B476D"/>
    <w:rsid w:val="001B4955"/>
    <w:rsid w:val="001B618D"/>
    <w:rsid w:val="001B6329"/>
    <w:rsid w:val="001B7920"/>
    <w:rsid w:val="001C061E"/>
    <w:rsid w:val="001C08DD"/>
    <w:rsid w:val="001C23C5"/>
    <w:rsid w:val="001C2764"/>
    <w:rsid w:val="001C3A81"/>
    <w:rsid w:val="001C41A9"/>
    <w:rsid w:val="001C5187"/>
    <w:rsid w:val="001C693A"/>
    <w:rsid w:val="001C698B"/>
    <w:rsid w:val="001C6FEE"/>
    <w:rsid w:val="001D1FFE"/>
    <w:rsid w:val="001D438D"/>
    <w:rsid w:val="001D6B33"/>
    <w:rsid w:val="001D7CEA"/>
    <w:rsid w:val="001E57BE"/>
    <w:rsid w:val="001E78AC"/>
    <w:rsid w:val="001E78E0"/>
    <w:rsid w:val="001F5321"/>
    <w:rsid w:val="001F5ED4"/>
    <w:rsid w:val="0020072A"/>
    <w:rsid w:val="00202703"/>
    <w:rsid w:val="00204C00"/>
    <w:rsid w:val="00204F86"/>
    <w:rsid w:val="00205307"/>
    <w:rsid w:val="0020555C"/>
    <w:rsid w:val="00205B98"/>
    <w:rsid w:val="00205D4D"/>
    <w:rsid w:val="002061B8"/>
    <w:rsid w:val="0020678A"/>
    <w:rsid w:val="00207784"/>
    <w:rsid w:val="0021171D"/>
    <w:rsid w:val="00212671"/>
    <w:rsid w:val="00213667"/>
    <w:rsid w:val="0021395D"/>
    <w:rsid w:val="0021520F"/>
    <w:rsid w:val="002153E5"/>
    <w:rsid w:val="002162CC"/>
    <w:rsid w:val="00224B3E"/>
    <w:rsid w:val="002258D1"/>
    <w:rsid w:val="00226536"/>
    <w:rsid w:val="002273C4"/>
    <w:rsid w:val="002275E5"/>
    <w:rsid w:val="00227FE5"/>
    <w:rsid w:val="00230A79"/>
    <w:rsid w:val="00230E60"/>
    <w:rsid w:val="00232352"/>
    <w:rsid w:val="002339A5"/>
    <w:rsid w:val="00235D1F"/>
    <w:rsid w:val="002365C0"/>
    <w:rsid w:val="0023686E"/>
    <w:rsid w:val="00243ADA"/>
    <w:rsid w:val="00244AC2"/>
    <w:rsid w:val="00246EF1"/>
    <w:rsid w:val="002512F1"/>
    <w:rsid w:val="002537C5"/>
    <w:rsid w:val="00253BE5"/>
    <w:rsid w:val="002568AD"/>
    <w:rsid w:val="00262B21"/>
    <w:rsid w:val="00263A7D"/>
    <w:rsid w:val="00265693"/>
    <w:rsid w:val="00265C10"/>
    <w:rsid w:val="002716C1"/>
    <w:rsid w:val="0027332A"/>
    <w:rsid w:val="00274161"/>
    <w:rsid w:val="00274963"/>
    <w:rsid w:val="00274B97"/>
    <w:rsid w:val="00274DE0"/>
    <w:rsid w:val="002753EC"/>
    <w:rsid w:val="0027680B"/>
    <w:rsid w:val="00280280"/>
    <w:rsid w:val="00280514"/>
    <w:rsid w:val="00281D5A"/>
    <w:rsid w:val="002852B3"/>
    <w:rsid w:val="0028545A"/>
    <w:rsid w:val="00286E22"/>
    <w:rsid w:val="0029307F"/>
    <w:rsid w:val="00294DB3"/>
    <w:rsid w:val="002970C6"/>
    <w:rsid w:val="002976D2"/>
    <w:rsid w:val="002A18A1"/>
    <w:rsid w:val="002A210D"/>
    <w:rsid w:val="002A2725"/>
    <w:rsid w:val="002A2DC3"/>
    <w:rsid w:val="002A3566"/>
    <w:rsid w:val="002A775F"/>
    <w:rsid w:val="002B14BD"/>
    <w:rsid w:val="002B236F"/>
    <w:rsid w:val="002B30E2"/>
    <w:rsid w:val="002C13AC"/>
    <w:rsid w:val="002C19A4"/>
    <w:rsid w:val="002C2105"/>
    <w:rsid w:val="002C29E4"/>
    <w:rsid w:val="002C2F15"/>
    <w:rsid w:val="002C4766"/>
    <w:rsid w:val="002C6A87"/>
    <w:rsid w:val="002C6AAD"/>
    <w:rsid w:val="002C6FAE"/>
    <w:rsid w:val="002D16AA"/>
    <w:rsid w:val="002D1858"/>
    <w:rsid w:val="002D18E3"/>
    <w:rsid w:val="002D21BC"/>
    <w:rsid w:val="002D32D5"/>
    <w:rsid w:val="002D3346"/>
    <w:rsid w:val="002D4390"/>
    <w:rsid w:val="002D4C7C"/>
    <w:rsid w:val="002D63CB"/>
    <w:rsid w:val="002D6794"/>
    <w:rsid w:val="002D6BFC"/>
    <w:rsid w:val="002D6E76"/>
    <w:rsid w:val="002D749D"/>
    <w:rsid w:val="002E186C"/>
    <w:rsid w:val="002E3FE5"/>
    <w:rsid w:val="002E4850"/>
    <w:rsid w:val="002E5767"/>
    <w:rsid w:val="002E7A8B"/>
    <w:rsid w:val="002F2597"/>
    <w:rsid w:val="002F2CC8"/>
    <w:rsid w:val="002F3F9B"/>
    <w:rsid w:val="002F4001"/>
    <w:rsid w:val="002F4C96"/>
    <w:rsid w:val="002F6162"/>
    <w:rsid w:val="002F708E"/>
    <w:rsid w:val="002F74AA"/>
    <w:rsid w:val="0030149C"/>
    <w:rsid w:val="00303B03"/>
    <w:rsid w:val="00305C53"/>
    <w:rsid w:val="003070F4"/>
    <w:rsid w:val="003112D5"/>
    <w:rsid w:val="0031139E"/>
    <w:rsid w:val="00311BB4"/>
    <w:rsid w:val="0031380D"/>
    <w:rsid w:val="00316814"/>
    <w:rsid w:val="00316C9E"/>
    <w:rsid w:val="00320741"/>
    <w:rsid w:val="003219BD"/>
    <w:rsid w:val="00322F1D"/>
    <w:rsid w:val="00325751"/>
    <w:rsid w:val="003273CF"/>
    <w:rsid w:val="00332AC0"/>
    <w:rsid w:val="00333946"/>
    <w:rsid w:val="0033457E"/>
    <w:rsid w:val="003348D0"/>
    <w:rsid w:val="003350FF"/>
    <w:rsid w:val="0034340D"/>
    <w:rsid w:val="00343E41"/>
    <w:rsid w:val="0034579F"/>
    <w:rsid w:val="00346CCD"/>
    <w:rsid w:val="00347577"/>
    <w:rsid w:val="00351741"/>
    <w:rsid w:val="00352BF7"/>
    <w:rsid w:val="00355EAB"/>
    <w:rsid w:val="003561C3"/>
    <w:rsid w:val="003629CA"/>
    <w:rsid w:val="00364772"/>
    <w:rsid w:val="003656E4"/>
    <w:rsid w:val="00365772"/>
    <w:rsid w:val="00366ED0"/>
    <w:rsid w:val="003721DF"/>
    <w:rsid w:val="00372853"/>
    <w:rsid w:val="00373145"/>
    <w:rsid w:val="00373F42"/>
    <w:rsid w:val="00374FEC"/>
    <w:rsid w:val="0037645A"/>
    <w:rsid w:val="00376E22"/>
    <w:rsid w:val="00381FDD"/>
    <w:rsid w:val="00384264"/>
    <w:rsid w:val="00384A46"/>
    <w:rsid w:val="00384D9E"/>
    <w:rsid w:val="00386AC7"/>
    <w:rsid w:val="00387CFA"/>
    <w:rsid w:val="0039370B"/>
    <w:rsid w:val="00394D40"/>
    <w:rsid w:val="00395B2D"/>
    <w:rsid w:val="00396469"/>
    <w:rsid w:val="003979CB"/>
    <w:rsid w:val="003A06CE"/>
    <w:rsid w:val="003A2B9B"/>
    <w:rsid w:val="003A3683"/>
    <w:rsid w:val="003A415A"/>
    <w:rsid w:val="003A664A"/>
    <w:rsid w:val="003A6E7F"/>
    <w:rsid w:val="003A75D2"/>
    <w:rsid w:val="003A77B5"/>
    <w:rsid w:val="003B0BAE"/>
    <w:rsid w:val="003B31CC"/>
    <w:rsid w:val="003B3D28"/>
    <w:rsid w:val="003B467B"/>
    <w:rsid w:val="003C0D81"/>
    <w:rsid w:val="003C0F8C"/>
    <w:rsid w:val="003C302B"/>
    <w:rsid w:val="003C52C4"/>
    <w:rsid w:val="003C6555"/>
    <w:rsid w:val="003C6D3E"/>
    <w:rsid w:val="003D16B1"/>
    <w:rsid w:val="003D1DC4"/>
    <w:rsid w:val="003D2FF7"/>
    <w:rsid w:val="003D3ABC"/>
    <w:rsid w:val="003D71D5"/>
    <w:rsid w:val="003E026E"/>
    <w:rsid w:val="003E1245"/>
    <w:rsid w:val="003E185B"/>
    <w:rsid w:val="003E1C5A"/>
    <w:rsid w:val="003E2E21"/>
    <w:rsid w:val="003E5583"/>
    <w:rsid w:val="003E6BF2"/>
    <w:rsid w:val="003E6CCB"/>
    <w:rsid w:val="003F1ED7"/>
    <w:rsid w:val="003F299C"/>
    <w:rsid w:val="003F3033"/>
    <w:rsid w:val="003F3105"/>
    <w:rsid w:val="003F32B2"/>
    <w:rsid w:val="003F38CA"/>
    <w:rsid w:val="003F67EE"/>
    <w:rsid w:val="00404DCA"/>
    <w:rsid w:val="004101B2"/>
    <w:rsid w:val="00410ABA"/>
    <w:rsid w:val="004116C4"/>
    <w:rsid w:val="004129B2"/>
    <w:rsid w:val="00412E90"/>
    <w:rsid w:val="00413602"/>
    <w:rsid w:val="00414A93"/>
    <w:rsid w:val="00416B5E"/>
    <w:rsid w:val="004173D4"/>
    <w:rsid w:val="004207BB"/>
    <w:rsid w:val="0042087F"/>
    <w:rsid w:val="004211BC"/>
    <w:rsid w:val="00421C04"/>
    <w:rsid w:val="00424F09"/>
    <w:rsid w:val="0042603B"/>
    <w:rsid w:val="00426097"/>
    <w:rsid w:val="00426F81"/>
    <w:rsid w:val="004307D3"/>
    <w:rsid w:val="00430892"/>
    <w:rsid w:val="004312A2"/>
    <w:rsid w:val="004314F6"/>
    <w:rsid w:val="00433660"/>
    <w:rsid w:val="00433EE1"/>
    <w:rsid w:val="004365FC"/>
    <w:rsid w:val="0044132A"/>
    <w:rsid w:val="00443B4D"/>
    <w:rsid w:val="004469F5"/>
    <w:rsid w:val="00450261"/>
    <w:rsid w:val="00452AB7"/>
    <w:rsid w:val="00452D7D"/>
    <w:rsid w:val="00452F66"/>
    <w:rsid w:val="00453030"/>
    <w:rsid w:val="00461B6C"/>
    <w:rsid w:val="00464045"/>
    <w:rsid w:val="00464CE0"/>
    <w:rsid w:val="00467A4F"/>
    <w:rsid w:val="004709CC"/>
    <w:rsid w:val="00470D77"/>
    <w:rsid w:val="004720E2"/>
    <w:rsid w:val="0047238B"/>
    <w:rsid w:val="0047271A"/>
    <w:rsid w:val="00472725"/>
    <w:rsid w:val="0047456F"/>
    <w:rsid w:val="00475C4F"/>
    <w:rsid w:val="00476828"/>
    <w:rsid w:val="00476BC9"/>
    <w:rsid w:val="00480519"/>
    <w:rsid w:val="00480C63"/>
    <w:rsid w:val="004812BE"/>
    <w:rsid w:val="0048130F"/>
    <w:rsid w:val="00482EE7"/>
    <w:rsid w:val="0048482F"/>
    <w:rsid w:val="00485809"/>
    <w:rsid w:val="00487196"/>
    <w:rsid w:val="004871AA"/>
    <w:rsid w:val="0048747D"/>
    <w:rsid w:val="00490467"/>
    <w:rsid w:val="00492113"/>
    <w:rsid w:val="00492DE1"/>
    <w:rsid w:val="00493B5D"/>
    <w:rsid w:val="00493D96"/>
    <w:rsid w:val="00494679"/>
    <w:rsid w:val="00494A86"/>
    <w:rsid w:val="004965AB"/>
    <w:rsid w:val="004969B4"/>
    <w:rsid w:val="004971CB"/>
    <w:rsid w:val="00497E32"/>
    <w:rsid w:val="004A1965"/>
    <w:rsid w:val="004A279E"/>
    <w:rsid w:val="004A3CB3"/>
    <w:rsid w:val="004A484A"/>
    <w:rsid w:val="004A7AF5"/>
    <w:rsid w:val="004B566D"/>
    <w:rsid w:val="004B5A34"/>
    <w:rsid w:val="004B6030"/>
    <w:rsid w:val="004B672F"/>
    <w:rsid w:val="004B697D"/>
    <w:rsid w:val="004B7DB5"/>
    <w:rsid w:val="004C0C29"/>
    <w:rsid w:val="004C40F5"/>
    <w:rsid w:val="004C429B"/>
    <w:rsid w:val="004C48DE"/>
    <w:rsid w:val="004C4D44"/>
    <w:rsid w:val="004C67BA"/>
    <w:rsid w:val="004C7A58"/>
    <w:rsid w:val="004D0512"/>
    <w:rsid w:val="004D0E37"/>
    <w:rsid w:val="004D1279"/>
    <w:rsid w:val="004D129C"/>
    <w:rsid w:val="004D1938"/>
    <w:rsid w:val="004D23BE"/>
    <w:rsid w:val="004D24EC"/>
    <w:rsid w:val="004D3C17"/>
    <w:rsid w:val="004D644B"/>
    <w:rsid w:val="004D6B5B"/>
    <w:rsid w:val="004D74C8"/>
    <w:rsid w:val="004D76B3"/>
    <w:rsid w:val="004E0AF9"/>
    <w:rsid w:val="004E0B5C"/>
    <w:rsid w:val="004E16B5"/>
    <w:rsid w:val="004E3152"/>
    <w:rsid w:val="004E3B3B"/>
    <w:rsid w:val="004E4A1F"/>
    <w:rsid w:val="004E56B4"/>
    <w:rsid w:val="004E735C"/>
    <w:rsid w:val="004F0458"/>
    <w:rsid w:val="004F0993"/>
    <w:rsid w:val="004F2A3D"/>
    <w:rsid w:val="004F3C54"/>
    <w:rsid w:val="004F63C1"/>
    <w:rsid w:val="004F6DD3"/>
    <w:rsid w:val="004F70D7"/>
    <w:rsid w:val="004F7F58"/>
    <w:rsid w:val="00500C20"/>
    <w:rsid w:val="00502601"/>
    <w:rsid w:val="00503345"/>
    <w:rsid w:val="005036BC"/>
    <w:rsid w:val="00505668"/>
    <w:rsid w:val="00506A1E"/>
    <w:rsid w:val="00507511"/>
    <w:rsid w:val="00510892"/>
    <w:rsid w:val="00511349"/>
    <w:rsid w:val="00511713"/>
    <w:rsid w:val="00513520"/>
    <w:rsid w:val="00513B02"/>
    <w:rsid w:val="00514DCE"/>
    <w:rsid w:val="0051583B"/>
    <w:rsid w:val="0051663E"/>
    <w:rsid w:val="005221AC"/>
    <w:rsid w:val="00522317"/>
    <w:rsid w:val="0052287E"/>
    <w:rsid w:val="00522984"/>
    <w:rsid w:val="005247F1"/>
    <w:rsid w:val="0052734A"/>
    <w:rsid w:val="005304AF"/>
    <w:rsid w:val="00532364"/>
    <w:rsid w:val="005326C0"/>
    <w:rsid w:val="0053313F"/>
    <w:rsid w:val="00534E26"/>
    <w:rsid w:val="0053539F"/>
    <w:rsid w:val="00540BEB"/>
    <w:rsid w:val="00541532"/>
    <w:rsid w:val="00541BBC"/>
    <w:rsid w:val="00544756"/>
    <w:rsid w:val="00544FEC"/>
    <w:rsid w:val="0054535A"/>
    <w:rsid w:val="00545876"/>
    <w:rsid w:val="00546BB3"/>
    <w:rsid w:val="005506D0"/>
    <w:rsid w:val="00551F58"/>
    <w:rsid w:val="0055361B"/>
    <w:rsid w:val="005553A9"/>
    <w:rsid w:val="00556478"/>
    <w:rsid w:val="00556713"/>
    <w:rsid w:val="00557744"/>
    <w:rsid w:val="0056153C"/>
    <w:rsid w:val="00562176"/>
    <w:rsid w:val="00563FF7"/>
    <w:rsid w:val="0056619E"/>
    <w:rsid w:val="005665AD"/>
    <w:rsid w:val="005674AD"/>
    <w:rsid w:val="005716EF"/>
    <w:rsid w:val="00572FD9"/>
    <w:rsid w:val="00573426"/>
    <w:rsid w:val="00573E6A"/>
    <w:rsid w:val="00575802"/>
    <w:rsid w:val="005777A0"/>
    <w:rsid w:val="00581514"/>
    <w:rsid w:val="005828AB"/>
    <w:rsid w:val="005834D9"/>
    <w:rsid w:val="005871AE"/>
    <w:rsid w:val="005905C9"/>
    <w:rsid w:val="00591CB2"/>
    <w:rsid w:val="0059225C"/>
    <w:rsid w:val="00593F5F"/>
    <w:rsid w:val="005A166B"/>
    <w:rsid w:val="005A16F5"/>
    <w:rsid w:val="005A2607"/>
    <w:rsid w:val="005A35C7"/>
    <w:rsid w:val="005A3C65"/>
    <w:rsid w:val="005A5074"/>
    <w:rsid w:val="005B1D9F"/>
    <w:rsid w:val="005B2D6F"/>
    <w:rsid w:val="005B3239"/>
    <w:rsid w:val="005B49D4"/>
    <w:rsid w:val="005B4FA8"/>
    <w:rsid w:val="005C0482"/>
    <w:rsid w:val="005C202C"/>
    <w:rsid w:val="005C3893"/>
    <w:rsid w:val="005C71C9"/>
    <w:rsid w:val="005C74C7"/>
    <w:rsid w:val="005C7FD3"/>
    <w:rsid w:val="005D2E79"/>
    <w:rsid w:val="005D4A67"/>
    <w:rsid w:val="005D5909"/>
    <w:rsid w:val="005D5DBF"/>
    <w:rsid w:val="005E06E7"/>
    <w:rsid w:val="005E097F"/>
    <w:rsid w:val="005E0F2E"/>
    <w:rsid w:val="005E2B1B"/>
    <w:rsid w:val="005E33A0"/>
    <w:rsid w:val="005E5EF9"/>
    <w:rsid w:val="005F1341"/>
    <w:rsid w:val="005F157C"/>
    <w:rsid w:val="005F16A8"/>
    <w:rsid w:val="005F256A"/>
    <w:rsid w:val="005F5356"/>
    <w:rsid w:val="005F5CAE"/>
    <w:rsid w:val="005F60D9"/>
    <w:rsid w:val="005F6434"/>
    <w:rsid w:val="00600906"/>
    <w:rsid w:val="00600FDD"/>
    <w:rsid w:val="006023F7"/>
    <w:rsid w:val="006029BD"/>
    <w:rsid w:val="006030EE"/>
    <w:rsid w:val="00603C64"/>
    <w:rsid w:val="00603D08"/>
    <w:rsid w:val="00607645"/>
    <w:rsid w:val="0060799C"/>
    <w:rsid w:val="00607CDB"/>
    <w:rsid w:val="0061042B"/>
    <w:rsid w:val="0061141D"/>
    <w:rsid w:val="00615499"/>
    <w:rsid w:val="00617171"/>
    <w:rsid w:val="00617936"/>
    <w:rsid w:val="006206DD"/>
    <w:rsid w:val="006228E2"/>
    <w:rsid w:val="00622B81"/>
    <w:rsid w:val="006245AC"/>
    <w:rsid w:val="006250EB"/>
    <w:rsid w:val="00625639"/>
    <w:rsid w:val="00625948"/>
    <w:rsid w:val="006259C0"/>
    <w:rsid w:val="00625C9C"/>
    <w:rsid w:val="006305A8"/>
    <w:rsid w:val="006310B2"/>
    <w:rsid w:val="00631712"/>
    <w:rsid w:val="00631FCE"/>
    <w:rsid w:val="00633336"/>
    <w:rsid w:val="006335CB"/>
    <w:rsid w:val="006337CA"/>
    <w:rsid w:val="00635DD7"/>
    <w:rsid w:val="0063620D"/>
    <w:rsid w:val="00640065"/>
    <w:rsid w:val="00642197"/>
    <w:rsid w:val="006457DF"/>
    <w:rsid w:val="006468E3"/>
    <w:rsid w:val="00650F48"/>
    <w:rsid w:val="006511D0"/>
    <w:rsid w:val="00651A21"/>
    <w:rsid w:val="00652DCD"/>
    <w:rsid w:val="00654CA3"/>
    <w:rsid w:val="00655873"/>
    <w:rsid w:val="00655EF1"/>
    <w:rsid w:val="00656773"/>
    <w:rsid w:val="00661DD1"/>
    <w:rsid w:val="00662224"/>
    <w:rsid w:val="00665D96"/>
    <w:rsid w:val="0066629B"/>
    <w:rsid w:val="00670352"/>
    <w:rsid w:val="0067292C"/>
    <w:rsid w:val="00673AC8"/>
    <w:rsid w:val="00675258"/>
    <w:rsid w:val="00680336"/>
    <w:rsid w:val="00681A38"/>
    <w:rsid w:val="00681AE8"/>
    <w:rsid w:val="00682A90"/>
    <w:rsid w:val="006900BB"/>
    <w:rsid w:val="00690273"/>
    <w:rsid w:val="006906D3"/>
    <w:rsid w:val="006917CC"/>
    <w:rsid w:val="00691970"/>
    <w:rsid w:val="0069519B"/>
    <w:rsid w:val="006955D9"/>
    <w:rsid w:val="00697287"/>
    <w:rsid w:val="006A0818"/>
    <w:rsid w:val="006A1122"/>
    <w:rsid w:val="006A2BF9"/>
    <w:rsid w:val="006A5DB2"/>
    <w:rsid w:val="006A6F0F"/>
    <w:rsid w:val="006A7682"/>
    <w:rsid w:val="006B1200"/>
    <w:rsid w:val="006B25D0"/>
    <w:rsid w:val="006B2EE5"/>
    <w:rsid w:val="006B3AC7"/>
    <w:rsid w:val="006B5699"/>
    <w:rsid w:val="006B7DB6"/>
    <w:rsid w:val="006B7DF9"/>
    <w:rsid w:val="006C023A"/>
    <w:rsid w:val="006C1B2D"/>
    <w:rsid w:val="006C1E61"/>
    <w:rsid w:val="006C2F9A"/>
    <w:rsid w:val="006C3DF1"/>
    <w:rsid w:val="006C4674"/>
    <w:rsid w:val="006C5B06"/>
    <w:rsid w:val="006C663B"/>
    <w:rsid w:val="006C6A11"/>
    <w:rsid w:val="006C7E35"/>
    <w:rsid w:val="006C7FEC"/>
    <w:rsid w:val="006D0967"/>
    <w:rsid w:val="006D15CC"/>
    <w:rsid w:val="006D166B"/>
    <w:rsid w:val="006D25D7"/>
    <w:rsid w:val="006D2623"/>
    <w:rsid w:val="006D2D9E"/>
    <w:rsid w:val="006D5CEE"/>
    <w:rsid w:val="006E011F"/>
    <w:rsid w:val="006E0697"/>
    <w:rsid w:val="006E14EA"/>
    <w:rsid w:val="006E19E7"/>
    <w:rsid w:val="006E1E6C"/>
    <w:rsid w:val="006E347B"/>
    <w:rsid w:val="006E398A"/>
    <w:rsid w:val="006E458D"/>
    <w:rsid w:val="006E5D17"/>
    <w:rsid w:val="006E6375"/>
    <w:rsid w:val="006E6594"/>
    <w:rsid w:val="006F076C"/>
    <w:rsid w:val="006F31A8"/>
    <w:rsid w:val="006F3BF6"/>
    <w:rsid w:val="006F5A8F"/>
    <w:rsid w:val="006F69D5"/>
    <w:rsid w:val="006F6BEE"/>
    <w:rsid w:val="006F7A86"/>
    <w:rsid w:val="00700806"/>
    <w:rsid w:val="00702639"/>
    <w:rsid w:val="00703519"/>
    <w:rsid w:val="00703998"/>
    <w:rsid w:val="007051B7"/>
    <w:rsid w:val="007075F9"/>
    <w:rsid w:val="00707C75"/>
    <w:rsid w:val="00710501"/>
    <w:rsid w:val="00710972"/>
    <w:rsid w:val="00710C1A"/>
    <w:rsid w:val="00711D99"/>
    <w:rsid w:val="007122A6"/>
    <w:rsid w:val="00713304"/>
    <w:rsid w:val="00715AE1"/>
    <w:rsid w:val="007174C2"/>
    <w:rsid w:val="00722871"/>
    <w:rsid w:val="00725B47"/>
    <w:rsid w:val="00725CC8"/>
    <w:rsid w:val="0072690F"/>
    <w:rsid w:val="00727576"/>
    <w:rsid w:val="0073095E"/>
    <w:rsid w:val="00730E19"/>
    <w:rsid w:val="00732894"/>
    <w:rsid w:val="00733022"/>
    <w:rsid w:val="00733B00"/>
    <w:rsid w:val="00733CF0"/>
    <w:rsid w:val="007344E3"/>
    <w:rsid w:val="007346EA"/>
    <w:rsid w:val="00734E86"/>
    <w:rsid w:val="00735100"/>
    <w:rsid w:val="007359CE"/>
    <w:rsid w:val="00735D9C"/>
    <w:rsid w:val="0074033F"/>
    <w:rsid w:val="00742BA1"/>
    <w:rsid w:val="00744C58"/>
    <w:rsid w:val="00745692"/>
    <w:rsid w:val="007536F4"/>
    <w:rsid w:val="007543A2"/>
    <w:rsid w:val="007561CF"/>
    <w:rsid w:val="007569BA"/>
    <w:rsid w:val="0075754B"/>
    <w:rsid w:val="00757BE7"/>
    <w:rsid w:val="0076018F"/>
    <w:rsid w:val="007603E4"/>
    <w:rsid w:val="00761324"/>
    <w:rsid w:val="007625DA"/>
    <w:rsid w:val="00765E5E"/>
    <w:rsid w:val="00765ED2"/>
    <w:rsid w:val="0076617C"/>
    <w:rsid w:val="00767D19"/>
    <w:rsid w:val="00767DCF"/>
    <w:rsid w:val="0077077C"/>
    <w:rsid w:val="00770AF9"/>
    <w:rsid w:val="00772718"/>
    <w:rsid w:val="0077548D"/>
    <w:rsid w:val="00775F6A"/>
    <w:rsid w:val="00780799"/>
    <w:rsid w:val="00781D83"/>
    <w:rsid w:val="00782075"/>
    <w:rsid w:val="007878A2"/>
    <w:rsid w:val="00791294"/>
    <w:rsid w:val="0079422D"/>
    <w:rsid w:val="00795015"/>
    <w:rsid w:val="00795495"/>
    <w:rsid w:val="00795E68"/>
    <w:rsid w:val="0079687A"/>
    <w:rsid w:val="007969FC"/>
    <w:rsid w:val="007A0C1B"/>
    <w:rsid w:val="007A6CDF"/>
    <w:rsid w:val="007A74FE"/>
    <w:rsid w:val="007A7989"/>
    <w:rsid w:val="007B152B"/>
    <w:rsid w:val="007B2C0A"/>
    <w:rsid w:val="007B499A"/>
    <w:rsid w:val="007B5A80"/>
    <w:rsid w:val="007B5C83"/>
    <w:rsid w:val="007B6802"/>
    <w:rsid w:val="007B7687"/>
    <w:rsid w:val="007B7AE6"/>
    <w:rsid w:val="007B7C7F"/>
    <w:rsid w:val="007C0834"/>
    <w:rsid w:val="007C0EEE"/>
    <w:rsid w:val="007C3E39"/>
    <w:rsid w:val="007C48B7"/>
    <w:rsid w:val="007C63E6"/>
    <w:rsid w:val="007D25BE"/>
    <w:rsid w:val="007D2F3D"/>
    <w:rsid w:val="007D6020"/>
    <w:rsid w:val="007D66CE"/>
    <w:rsid w:val="007D69E7"/>
    <w:rsid w:val="007D7157"/>
    <w:rsid w:val="007D7BEB"/>
    <w:rsid w:val="007E1B43"/>
    <w:rsid w:val="007E31AB"/>
    <w:rsid w:val="007E535B"/>
    <w:rsid w:val="007E6F56"/>
    <w:rsid w:val="007E74A6"/>
    <w:rsid w:val="007F2B82"/>
    <w:rsid w:val="007F2F2B"/>
    <w:rsid w:val="007F4FBF"/>
    <w:rsid w:val="007F76C4"/>
    <w:rsid w:val="008001E8"/>
    <w:rsid w:val="00801EA9"/>
    <w:rsid w:val="00803DFB"/>
    <w:rsid w:val="008075AE"/>
    <w:rsid w:val="00807649"/>
    <w:rsid w:val="008109C6"/>
    <w:rsid w:val="008118BF"/>
    <w:rsid w:val="0081381F"/>
    <w:rsid w:val="00816C5A"/>
    <w:rsid w:val="0082032C"/>
    <w:rsid w:val="00821853"/>
    <w:rsid w:val="008218E0"/>
    <w:rsid w:val="00825A7C"/>
    <w:rsid w:val="00825CE4"/>
    <w:rsid w:val="00825D9A"/>
    <w:rsid w:val="008269E8"/>
    <w:rsid w:val="00827180"/>
    <w:rsid w:val="00827CC0"/>
    <w:rsid w:val="00834CB6"/>
    <w:rsid w:val="00834F64"/>
    <w:rsid w:val="00835A62"/>
    <w:rsid w:val="008369C7"/>
    <w:rsid w:val="00837AB9"/>
    <w:rsid w:val="00840D65"/>
    <w:rsid w:val="00842F07"/>
    <w:rsid w:val="008448CF"/>
    <w:rsid w:val="00844B45"/>
    <w:rsid w:val="00850B94"/>
    <w:rsid w:val="00850F7B"/>
    <w:rsid w:val="00852D47"/>
    <w:rsid w:val="008531CF"/>
    <w:rsid w:val="008535B4"/>
    <w:rsid w:val="008558DE"/>
    <w:rsid w:val="00856045"/>
    <w:rsid w:val="008569EB"/>
    <w:rsid w:val="008622B3"/>
    <w:rsid w:val="008627D4"/>
    <w:rsid w:val="00862820"/>
    <w:rsid w:val="00862944"/>
    <w:rsid w:val="00862A42"/>
    <w:rsid w:val="0086456B"/>
    <w:rsid w:val="00872339"/>
    <w:rsid w:val="00872653"/>
    <w:rsid w:val="00873229"/>
    <w:rsid w:val="00875909"/>
    <w:rsid w:val="00876201"/>
    <w:rsid w:val="00876F38"/>
    <w:rsid w:val="00885893"/>
    <w:rsid w:val="00886F6E"/>
    <w:rsid w:val="0088787E"/>
    <w:rsid w:val="00890583"/>
    <w:rsid w:val="0089147B"/>
    <w:rsid w:val="008926E0"/>
    <w:rsid w:val="008A003C"/>
    <w:rsid w:val="008A1D14"/>
    <w:rsid w:val="008B1D01"/>
    <w:rsid w:val="008B267B"/>
    <w:rsid w:val="008B3DCD"/>
    <w:rsid w:val="008B64DF"/>
    <w:rsid w:val="008B66B6"/>
    <w:rsid w:val="008B7B56"/>
    <w:rsid w:val="008C2A77"/>
    <w:rsid w:val="008C43D6"/>
    <w:rsid w:val="008C46CF"/>
    <w:rsid w:val="008C6410"/>
    <w:rsid w:val="008C6707"/>
    <w:rsid w:val="008D0B3F"/>
    <w:rsid w:val="008D2620"/>
    <w:rsid w:val="008D316D"/>
    <w:rsid w:val="008D341B"/>
    <w:rsid w:val="008D47F9"/>
    <w:rsid w:val="008D58CE"/>
    <w:rsid w:val="008E2965"/>
    <w:rsid w:val="008E4D6C"/>
    <w:rsid w:val="008E510F"/>
    <w:rsid w:val="008E68B8"/>
    <w:rsid w:val="008F0481"/>
    <w:rsid w:val="008F05C7"/>
    <w:rsid w:val="008F2BB4"/>
    <w:rsid w:val="008F3DA0"/>
    <w:rsid w:val="008F4476"/>
    <w:rsid w:val="008F69D5"/>
    <w:rsid w:val="00903F80"/>
    <w:rsid w:val="00904D53"/>
    <w:rsid w:val="00905C42"/>
    <w:rsid w:val="0090602D"/>
    <w:rsid w:val="009060F3"/>
    <w:rsid w:val="0090723D"/>
    <w:rsid w:val="00910C85"/>
    <w:rsid w:val="00911C69"/>
    <w:rsid w:val="00911E3C"/>
    <w:rsid w:val="00912905"/>
    <w:rsid w:val="00912907"/>
    <w:rsid w:val="0091313F"/>
    <w:rsid w:val="009145FB"/>
    <w:rsid w:val="00915433"/>
    <w:rsid w:val="00920806"/>
    <w:rsid w:val="00920B0B"/>
    <w:rsid w:val="00921372"/>
    <w:rsid w:val="00922EA1"/>
    <w:rsid w:val="00925EDF"/>
    <w:rsid w:val="009279F4"/>
    <w:rsid w:val="009303B1"/>
    <w:rsid w:val="00930CEC"/>
    <w:rsid w:val="00931C2D"/>
    <w:rsid w:val="00931E7C"/>
    <w:rsid w:val="00933AAC"/>
    <w:rsid w:val="00934092"/>
    <w:rsid w:val="0093551D"/>
    <w:rsid w:val="009405A0"/>
    <w:rsid w:val="00941101"/>
    <w:rsid w:val="009412B4"/>
    <w:rsid w:val="009422BC"/>
    <w:rsid w:val="00943A76"/>
    <w:rsid w:val="009446EC"/>
    <w:rsid w:val="0094561E"/>
    <w:rsid w:val="00947A1D"/>
    <w:rsid w:val="0095243D"/>
    <w:rsid w:val="00953D04"/>
    <w:rsid w:val="00953D43"/>
    <w:rsid w:val="00955F9E"/>
    <w:rsid w:val="00956029"/>
    <w:rsid w:val="009560A8"/>
    <w:rsid w:val="009607D7"/>
    <w:rsid w:val="009608B8"/>
    <w:rsid w:val="00960C43"/>
    <w:rsid w:val="00961B3D"/>
    <w:rsid w:val="00962D42"/>
    <w:rsid w:val="00963130"/>
    <w:rsid w:val="00964CEE"/>
    <w:rsid w:val="00965FF7"/>
    <w:rsid w:val="00966A54"/>
    <w:rsid w:val="00966E2E"/>
    <w:rsid w:val="00970D98"/>
    <w:rsid w:val="00971DBE"/>
    <w:rsid w:val="00973D42"/>
    <w:rsid w:val="009743E3"/>
    <w:rsid w:val="00974A7B"/>
    <w:rsid w:val="00975734"/>
    <w:rsid w:val="009804AF"/>
    <w:rsid w:val="00980905"/>
    <w:rsid w:val="00981D24"/>
    <w:rsid w:val="00981D65"/>
    <w:rsid w:val="0098342E"/>
    <w:rsid w:val="0098437C"/>
    <w:rsid w:val="00984BE3"/>
    <w:rsid w:val="00984F5E"/>
    <w:rsid w:val="00985AB2"/>
    <w:rsid w:val="009862A8"/>
    <w:rsid w:val="00986DFB"/>
    <w:rsid w:val="00986E06"/>
    <w:rsid w:val="00986F2B"/>
    <w:rsid w:val="00990103"/>
    <w:rsid w:val="009955D4"/>
    <w:rsid w:val="00995B8B"/>
    <w:rsid w:val="00996AB0"/>
    <w:rsid w:val="009A1577"/>
    <w:rsid w:val="009A2608"/>
    <w:rsid w:val="009A2F42"/>
    <w:rsid w:val="009A363A"/>
    <w:rsid w:val="009A48BF"/>
    <w:rsid w:val="009A4C4A"/>
    <w:rsid w:val="009A6675"/>
    <w:rsid w:val="009A695D"/>
    <w:rsid w:val="009A7341"/>
    <w:rsid w:val="009B1D81"/>
    <w:rsid w:val="009B3130"/>
    <w:rsid w:val="009B33B8"/>
    <w:rsid w:val="009B359E"/>
    <w:rsid w:val="009B51D4"/>
    <w:rsid w:val="009B565F"/>
    <w:rsid w:val="009B615C"/>
    <w:rsid w:val="009B7321"/>
    <w:rsid w:val="009B7BA0"/>
    <w:rsid w:val="009C076D"/>
    <w:rsid w:val="009C0D64"/>
    <w:rsid w:val="009C2764"/>
    <w:rsid w:val="009C458B"/>
    <w:rsid w:val="009C5509"/>
    <w:rsid w:val="009C7652"/>
    <w:rsid w:val="009D0069"/>
    <w:rsid w:val="009D1BDE"/>
    <w:rsid w:val="009D30F6"/>
    <w:rsid w:val="009D3BB6"/>
    <w:rsid w:val="009D4007"/>
    <w:rsid w:val="009D6CAA"/>
    <w:rsid w:val="009D7476"/>
    <w:rsid w:val="009E0CEF"/>
    <w:rsid w:val="009E261C"/>
    <w:rsid w:val="009E343E"/>
    <w:rsid w:val="009E3E55"/>
    <w:rsid w:val="009E466F"/>
    <w:rsid w:val="009E5AFC"/>
    <w:rsid w:val="009E66E1"/>
    <w:rsid w:val="009E69A7"/>
    <w:rsid w:val="009E6EB3"/>
    <w:rsid w:val="009F0448"/>
    <w:rsid w:val="009F192C"/>
    <w:rsid w:val="009F336C"/>
    <w:rsid w:val="009F3888"/>
    <w:rsid w:val="009F4ED8"/>
    <w:rsid w:val="009F6567"/>
    <w:rsid w:val="009F6BB9"/>
    <w:rsid w:val="009F6D2A"/>
    <w:rsid w:val="009F709A"/>
    <w:rsid w:val="00A02F27"/>
    <w:rsid w:val="00A061BF"/>
    <w:rsid w:val="00A07133"/>
    <w:rsid w:val="00A076FB"/>
    <w:rsid w:val="00A1332B"/>
    <w:rsid w:val="00A13C50"/>
    <w:rsid w:val="00A1763A"/>
    <w:rsid w:val="00A2288A"/>
    <w:rsid w:val="00A23E62"/>
    <w:rsid w:val="00A2523C"/>
    <w:rsid w:val="00A25530"/>
    <w:rsid w:val="00A25D66"/>
    <w:rsid w:val="00A25FEC"/>
    <w:rsid w:val="00A26CC0"/>
    <w:rsid w:val="00A3122D"/>
    <w:rsid w:val="00A31307"/>
    <w:rsid w:val="00A32BA5"/>
    <w:rsid w:val="00A3686B"/>
    <w:rsid w:val="00A40500"/>
    <w:rsid w:val="00A40C70"/>
    <w:rsid w:val="00A424D7"/>
    <w:rsid w:val="00A42A27"/>
    <w:rsid w:val="00A45EF1"/>
    <w:rsid w:val="00A46530"/>
    <w:rsid w:val="00A51000"/>
    <w:rsid w:val="00A5156D"/>
    <w:rsid w:val="00A518EF"/>
    <w:rsid w:val="00A53EC4"/>
    <w:rsid w:val="00A542B8"/>
    <w:rsid w:val="00A60A1D"/>
    <w:rsid w:val="00A613F5"/>
    <w:rsid w:val="00A62B09"/>
    <w:rsid w:val="00A62E60"/>
    <w:rsid w:val="00A6452A"/>
    <w:rsid w:val="00A645D0"/>
    <w:rsid w:val="00A64CF1"/>
    <w:rsid w:val="00A651E2"/>
    <w:rsid w:val="00A66A12"/>
    <w:rsid w:val="00A72804"/>
    <w:rsid w:val="00A73804"/>
    <w:rsid w:val="00A73C24"/>
    <w:rsid w:val="00A74197"/>
    <w:rsid w:val="00A7431E"/>
    <w:rsid w:val="00A76E32"/>
    <w:rsid w:val="00A82F8E"/>
    <w:rsid w:val="00A83481"/>
    <w:rsid w:val="00A84938"/>
    <w:rsid w:val="00A8591C"/>
    <w:rsid w:val="00A85F34"/>
    <w:rsid w:val="00A90F7E"/>
    <w:rsid w:val="00A9282A"/>
    <w:rsid w:val="00A93513"/>
    <w:rsid w:val="00A95325"/>
    <w:rsid w:val="00A961D7"/>
    <w:rsid w:val="00A976E2"/>
    <w:rsid w:val="00A977C8"/>
    <w:rsid w:val="00AA0AAF"/>
    <w:rsid w:val="00AA0B81"/>
    <w:rsid w:val="00AA214F"/>
    <w:rsid w:val="00AA2790"/>
    <w:rsid w:val="00AA5B2E"/>
    <w:rsid w:val="00AA7DB0"/>
    <w:rsid w:val="00AA7DD3"/>
    <w:rsid w:val="00AB0127"/>
    <w:rsid w:val="00AB0AFC"/>
    <w:rsid w:val="00AB1399"/>
    <w:rsid w:val="00AB2471"/>
    <w:rsid w:val="00AB4444"/>
    <w:rsid w:val="00AC01D0"/>
    <w:rsid w:val="00AC067C"/>
    <w:rsid w:val="00AC0B29"/>
    <w:rsid w:val="00AC1B45"/>
    <w:rsid w:val="00AC1F3C"/>
    <w:rsid w:val="00AC6337"/>
    <w:rsid w:val="00AC6E5E"/>
    <w:rsid w:val="00AD172B"/>
    <w:rsid w:val="00AD1C99"/>
    <w:rsid w:val="00AD3073"/>
    <w:rsid w:val="00AD397A"/>
    <w:rsid w:val="00AD51F8"/>
    <w:rsid w:val="00AD6469"/>
    <w:rsid w:val="00AE0D3A"/>
    <w:rsid w:val="00AE13F9"/>
    <w:rsid w:val="00AE16D6"/>
    <w:rsid w:val="00AE3B96"/>
    <w:rsid w:val="00AE5791"/>
    <w:rsid w:val="00AE77F1"/>
    <w:rsid w:val="00AF0989"/>
    <w:rsid w:val="00AF41F1"/>
    <w:rsid w:val="00AF430A"/>
    <w:rsid w:val="00AF4360"/>
    <w:rsid w:val="00AF58E7"/>
    <w:rsid w:val="00AF6F6E"/>
    <w:rsid w:val="00AF7103"/>
    <w:rsid w:val="00B01768"/>
    <w:rsid w:val="00B036B4"/>
    <w:rsid w:val="00B05A31"/>
    <w:rsid w:val="00B05FC7"/>
    <w:rsid w:val="00B06894"/>
    <w:rsid w:val="00B14A1F"/>
    <w:rsid w:val="00B207ED"/>
    <w:rsid w:val="00B23B5C"/>
    <w:rsid w:val="00B255F2"/>
    <w:rsid w:val="00B278BE"/>
    <w:rsid w:val="00B27AC6"/>
    <w:rsid w:val="00B32617"/>
    <w:rsid w:val="00B33919"/>
    <w:rsid w:val="00B34240"/>
    <w:rsid w:val="00B35761"/>
    <w:rsid w:val="00B358B8"/>
    <w:rsid w:val="00B35DA6"/>
    <w:rsid w:val="00B36874"/>
    <w:rsid w:val="00B370DA"/>
    <w:rsid w:val="00B420C2"/>
    <w:rsid w:val="00B44903"/>
    <w:rsid w:val="00B44E2B"/>
    <w:rsid w:val="00B51CE8"/>
    <w:rsid w:val="00B52DB4"/>
    <w:rsid w:val="00B5361D"/>
    <w:rsid w:val="00B547C9"/>
    <w:rsid w:val="00B55157"/>
    <w:rsid w:val="00B55730"/>
    <w:rsid w:val="00B576D9"/>
    <w:rsid w:val="00B61C1C"/>
    <w:rsid w:val="00B62796"/>
    <w:rsid w:val="00B66773"/>
    <w:rsid w:val="00B66B25"/>
    <w:rsid w:val="00B66E45"/>
    <w:rsid w:val="00B67B85"/>
    <w:rsid w:val="00B7012B"/>
    <w:rsid w:val="00B70E91"/>
    <w:rsid w:val="00B73FB6"/>
    <w:rsid w:val="00B74DE3"/>
    <w:rsid w:val="00B74F47"/>
    <w:rsid w:val="00B75D0D"/>
    <w:rsid w:val="00B77DFC"/>
    <w:rsid w:val="00B77F21"/>
    <w:rsid w:val="00B828FD"/>
    <w:rsid w:val="00B82EF8"/>
    <w:rsid w:val="00B8357F"/>
    <w:rsid w:val="00B836FB"/>
    <w:rsid w:val="00B84A10"/>
    <w:rsid w:val="00B86ABC"/>
    <w:rsid w:val="00B87923"/>
    <w:rsid w:val="00B91A64"/>
    <w:rsid w:val="00B9260C"/>
    <w:rsid w:val="00B93C8C"/>
    <w:rsid w:val="00B947DD"/>
    <w:rsid w:val="00B96D49"/>
    <w:rsid w:val="00B96E48"/>
    <w:rsid w:val="00B97842"/>
    <w:rsid w:val="00B978B7"/>
    <w:rsid w:val="00B97B35"/>
    <w:rsid w:val="00B97D02"/>
    <w:rsid w:val="00BA28D1"/>
    <w:rsid w:val="00BA4C0F"/>
    <w:rsid w:val="00BA5B8E"/>
    <w:rsid w:val="00BA6241"/>
    <w:rsid w:val="00BA67B5"/>
    <w:rsid w:val="00BA74AA"/>
    <w:rsid w:val="00BA7707"/>
    <w:rsid w:val="00BA77C0"/>
    <w:rsid w:val="00BA7CA4"/>
    <w:rsid w:val="00BB1251"/>
    <w:rsid w:val="00BB1E3C"/>
    <w:rsid w:val="00BB2CC2"/>
    <w:rsid w:val="00BB3027"/>
    <w:rsid w:val="00BB348A"/>
    <w:rsid w:val="00BB3B06"/>
    <w:rsid w:val="00BB5B85"/>
    <w:rsid w:val="00BB6A6E"/>
    <w:rsid w:val="00BB6D1D"/>
    <w:rsid w:val="00BB7045"/>
    <w:rsid w:val="00BB7FEB"/>
    <w:rsid w:val="00BC16E5"/>
    <w:rsid w:val="00BC24D2"/>
    <w:rsid w:val="00BC3C98"/>
    <w:rsid w:val="00BC5C9E"/>
    <w:rsid w:val="00BC60F3"/>
    <w:rsid w:val="00BC6AF5"/>
    <w:rsid w:val="00BC71B3"/>
    <w:rsid w:val="00BD08E8"/>
    <w:rsid w:val="00BD1A16"/>
    <w:rsid w:val="00BD297F"/>
    <w:rsid w:val="00BD477E"/>
    <w:rsid w:val="00BD4F31"/>
    <w:rsid w:val="00BD516A"/>
    <w:rsid w:val="00BD628B"/>
    <w:rsid w:val="00BD6D26"/>
    <w:rsid w:val="00BD6F8B"/>
    <w:rsid w:val="00BE0FFB"/>
    <w:rsid w:val="00BE1455"/>
    <w:rsid w:val="00BE25CB"/>
    <w:rsid w:val="00BE334E"/>
    <w:rsid w:val="00BE36F7"/>
    <w:rsid w:val="00BE3F3D"/>
    <w:rsid w:val="00BE512E"/>
    <w:rsid w:val="00BE5604"/>
    <w:rsid w:val="00BE5DC0"/>
    <w:rsid w:val="00BF1005"/>
    <w:rsid w:val="00BF28E7"/>
    <w:rsid w:val="00BF4433"/>
    <w:rsid w:val="00BF4897"/>
    <w:rsid w:val="00BF4B0D"/>
    <w:rsid w:val="00BF52F9"/>
    <w:rsid w:val="00BF592B"/>
    <w:rsid w:val="00BF77AF"/>
    <w:rsid w:val="00C00192"/>
    <w:rsid w:val="00C026EE"/>
    <w:rsid w:val="00C03664"/>
    <w:rsid w:val="00C037A9"/>
    <w:rsid w:val="00C03844"/>
    <w:rsid w:val="00C03EDC"/>
    <w:rsid w:val="00C05ACE"/>
    <w:rsid w:val="00C11706"/>
    <w:rsid w:val="00C124E5"/>
    <w:rsid w:val="00C1318F"/>
    <w:rsid w:val="00C13914"/>
    <w:rsid w:val="00C1428F"/>
    <w:rsid w:val="00C16663"/>
    <w:rsid w:val="00C20310"/>
    <w:rsid w:val="00C2057B"/>
    <w:rsid w:val="00C2090A"/>
    <w:rsid w:val="00C25028"/>
    <w:rsid w:val="00C25046"/>
    <w:rsid w:val="00C25060"/>
    <w:rsid w:val="00C25F1E"/>
    <w:rsid w:val="00C26247"/>
    <w:rsid w:val="00C30A7F"/>
    <w:rsid w:val="00C30F4F"/>
    <w:rsid w:val="00C31337"/>
    <w:rsid w:val="00C31B62"/>
    <w:rsid w:val="00C31E92"/>
    <w:rsid w:val="00C323C9"/>
    <w:rsid w:val="00C32EDF"/>
    <w:rsid w:val="00C35955"/>
    <w:rsid w:val="00C40A07"/>
    <w:rsid w:val="00C43FAE"/>
    <w:rsid w:val="00C45018"/>
    <w:rsid w:val="00C476C0"/>
    <w:rsid w:val="00C5016E"/>
    <w:rsid w:val="00C5075D"/>
    <w:rsid w:val="00C51DBC"/>
    <w:rsid w:val="00C5246C"/>
    <w:rsid w:val="00C52718"/>
    <w:rsid w:val="00C52807"/>
    <w:rsid w:val="00C5384C"/>
    <w:rsid w:val="00C544A8"/>
    <w:rsid w:val="00C5503A"/>
    <w:rsid w:val="00C554FC"/>
    <w:rsid w:val="00C56484"/>
    <w:rsid w:val="00C61912"/>
    <w:rsid w:val="00C6213F"/>
    <w:rsid w:val="00C621D4"/>
    <w:rsid w:val="00C673C2"/>
    <w:rsid w:val="00C67EA8"/>
    <w:rsid w:val="00C70D9D"/>
    <w:rsid w:val="00C721CF"/>
    <w:rsid w:val="00C73BEC"/>
    <w:rsid w:val="00C73CFE"/>
    <w:rsid w:val="00C770F6"/>
    <w:rsid w:val="00C8003B"/>
    <w:rsid w:val="00C80D7E"/>
    <w:rsid w:val="00C825CE"/>
    <w:rsid w:val="00C82FC3"/>
    <w:rsid w:val="00C831EF"/>
    <w:rsid w:val="00C83C98"/>
    <w:rsid w:val="00C841BC"/>
    <w:rsid w:val="00C844C1"/>
    <w:rsid w:val="00C84EB4"/>
    <w:rsid w:val="00C86D21"/>
    <w:rsid w:val="00C93EBD"/>
    <w:rsid w:val="00C95A57"/>
    <w:rsid w:val="00C97118"/>
    <w:rsid w:val="00C9790E"/>
    <w:rsid w:val="00CA2C79"/>
    <w:rsid w:val="00CA3A7D"/>
    <w:rsid w:val="00CA4339"/>
    <w:rsid w:val="00CA56BC"/>
    <w:rsid w:val="00CA5B87"/>
    <w:rsid w:val="00CB09E8"/>
    <w:rsid w:val="00CB1001"/>
    <w:rsid w:val="00CB2AD5"/>
    <w:rsid w:val="00CB3167"/>
    <w:rsid w:val="00CB50AC"/>
    <w:rsid w:val="00CB641F"/>
    <w:rsid w:val="00CB6FA7"/>
    <w:rsid w:val="00CB7327"/>
    <w:rsid w:val="00CC149D"/>
    <w:rsid w:val="00CC15D1"/>
    <w:rsid w:val="00CC3F0E"/>
    <w:rsid w:val="00CC44F0"/>
    <w:rsid w:val="00CC56EB"/>
    <w:rsid w:val="00CD1B9C"/>
    <w:rsid w:val="00CD24D5"/>
    <w:rsid w:val="00CD262F"/>
    <w:rsid w:val="00CD5A10"/>
    <w:rsid w:val="00CD6CD2"/>
    <w:rsid w:val="00CE220B"/>
    <w:rsid w:val="00CE2E18"/>
    <w:rsid w:val="00CE3249"/>
    <w:rsid w:val="00CE5372"/>
    <w:rsid w:val="00CE5C28"/>
    <w:rsid w:val="00CE65F4"/>
    <w:rsid w:val="00CE68BA"/>
    <w:rsid w:val="00CF06D1"/>
    <w:rsid w:val="00CF10B6"/>
    <w:rsid w:val="00CF3069"/>
    <w:rsid w:val="00CF354F"/>
    <w:rsid w:val="00CF3A7F"/>
    <w:rsid w:val="00CF3DAD"/>
    <w:rsid w:val="00CF461D"/>
    <w:rsid w:val="00CF53C0"/>
    <w:rsid w:val="00CF603C"/>
    <w:rsid w:val="00CF6298"/>
    <w:rsid w:val="00CF735C"/>
    <w:rsid w:val="00CF782B"/>
    <w:rsid w:val="00D0018F"/>
    <w:rsid w:val="00D011F0"/>
    <w:rsid w:val="00D01449"/>
    <w:rsid w:val="00D05817"/>
    <w:rsid w:val="00D0770E"/>
    <w:rsid w:val="00D1051A"/>
    <w:rsid w:val="00D1078B"/>
    <w:rsid w:val="00D117B4"/>
    <w:rsid w:val="00D11B82"/>
    <w:rsid w:val="00D16C4F"/>
    <w:rsid w:val="00D17DAA"/>
    <w:rsid w:val="00D20F8A"/>
    <w:rsid w:val="00D22051"/>
    <w:rsid w:val="00D22613"/>
    <w:rsid w:val="00D22A5D"/>
    <w:rsid w:val="00D24426"/>
    <w:rsid w:val="00D272F2"/>
    <w:rsid w:val="00D27348"/>
    <w:rsid w:val="00D31016"/>
    <w:rsid w:val="00D336CF"/>
    <w:rsid w:val="00D33990"/>
    <w:rsid w:val="00D40656"/>
    <w:rsid w:val="00D4232D"/>
    <w:rsid w:val="00D4512F"/>
    <w:rsid w:val="00D45843"/>
    <w:rsid w:val="00D47722"/>
    <w:rsid w:val="00D47F4B"/>
    <w:rsid w:val="00D50E8D"/>
    <w:rsid w:val="00D52814"/>
    <w:rsid w:val="00D53838"/>
    <w:rsid w:val="00D53D27"/>
    <w:rsid w:val="00D5667D"/>
    <w:rsid w:val="00D575D9"/>
    <w:rsid w:val="00D60092"/>
    <w:rsid w:val="00D61B14"/>
    <w:rsid w:val="00D6538F"/>
    <w:rsid w:val="00D67E65"/>
    <w:rsid w:val="00D70675"/>
    <w:rsid w:val="00D70C1E"/>
    <w:rsid w:val="00D70D4F"/>
    <w:rsid w:val="00D711DC"/>
    <w:rsid w:val="00D73EC3"/>
    <w:rsid w:val="00D74B82"/>
    <w:rsid w:val="00D80271"/>
    <w:rsid w:val="00D806EA"/>
    <w:rsid w:val="00D80C3B"/>
    <w:rsid w:val="00D82A1C"/>
    <w:rsid w:val="00D82B1C"/>
    <w:rsid w:val="00D837B0"/>
    <w:rsid w:val="00D8413A"/>
    <w:rsid w:val="00D845C4"/>
    <w:rsid w:val="00D87491"/>
    <w:rsid w:val="00D91E82"/>
    <w:rsid w:val="00D925C6"/>
    <w:rsid w:val="00D93616"/>
    <w:rsid w:val="00D938AE"/>
    <w:rsid w:val="00D94C71"/>
    <w:rsid w:val="00D97568"/>
    <w:rsid w:val="00DA5F3C"/>
    <w:rsid w:val="00DA6828"/>
    <w:rsid w:val="00DA69FA"/>
    <w:rsid w:val="00DA6E4E"/>
    <w:rsid w:val="00DB05A4"/>
    <w:rsid w:val="00DB1493"/>
    <w:rsid w:val="00DB3FD7"/>
    <w:rsid w:val="00DB7A30"/>
    <w:rsid w:val="00DC46C0"/>
    <w:rsid w:val="00DC513A"/>
    <w:rsid w:val="00DC5EE4"/>
    <w:rsid w:val="00DC6029"/>
    <w:rsid w:val="00DC6430"/>
    <w:rsid w:val="00DC7223"/>
    <w:rsid w:val="00DC7470"/>
    <w:rsid w:val="00DD0765"/>
    <w:rsid w:val="00DD16FF"/>
    <w:rsid w:val="00DD1E87"/>
    <w:rsid w:val="00DD2314"/>
    <w:rsid w:val="00DD29B3"/>
    <w:rsid w:val="00DD3778"/>
    <w:rsid w:val="00DD3F02"/>
    <w:rsid w:val="00DD43FD"/>
    <w:rsid w:val="00DD717D"/>
    <w:rsid w:val="00DE130F"/>
    <w:rsid w:val="00DE23D4"/>
    <w:rsid w:val="00DE34BA"/>
    <w:rsid w:val="00DE3E98"/>
    <w:rsid w:val="00DE42CB"/>
    <w:rsid w:val="00DE514B"/>
    <w:rsid w:val="00DE6236"/>
    <w:rsid w:val="00DE717E"/>
    <w:rsid w:val="00DE7791"/>
    <w:rsid w:val="00DF163B"/>
    <w:rsid w:val="00DF24D3"/>
    <w:rsid w:val="00DF2AF8"/>
    <w:rsid w:val="00DF33FA"/>
    <w:rsid w:val="00DF4F90"/>
    <w:rsid w:val="00DF5929"/>
    <w:rsid w:val="00E0097F"/>
    <w:rsid w:val="00E02643"/>
    <w:rsid w:val="00E05533"/>
    <w:rsid w:val="00E069A1"/>
    <w:rsid w:val="00E07A06"/>
    <w:rsid w:val="00E1006F"/>
    <w:rsid w:val="00E116BC"/>
    <w:rsid w:val="00E13266"/>
    <w:rsid w:val="00E14474"/>
    <w:rsid w:val="00E151DC"/>
    <w:rsid w:val="00E175A8"/>
    <w:rsid w:val="00E230FE"/>
    <w:rsid w:val="00E2379A"/>
    <w:rsid w:val="00E23BCD"/>
    <w:rsid w:val="00E278FD"/>
    <w:rsid w:val="00E30DDC"/>
    <w:rsid w:val="00E3191C"/>
    <w:rsid w:val="00E326F1"/>
    <w:rsid w:val="00E329CD"/>
    <w:rsid w:val="00E32A19"/>
    <w:rsid w:val="00E34D39"/>
    <w:rsid w:val="00E34F81"/>
    <w:rsid w:val="00E35043"/>
    <w:rsid w:val="00E37602"/>
    <w:rsid w:val="00E431DC"/>
    <w:rsid w:val="00E440E9"/>
    <w:rsid w:val="00E47097"/>
    <w:rsid w:val="00E50C0B"/>
    <w:rsid w:val="00E51F0D"/>
    <w:rsid w:val="00E51FFD"/>
    <w:rsid w:val="00E52747"/>
    <w:rsid w:val="00E55187"/>
    <w:rsid w:val="00E57BFC"/>
    <w:rsid w:val="00E6084D"/>
    <w:rsid w:val="00E61820"/>
    <w:rsid w:val="00E62BE9"/>
    <w:rsid w:val="00E6348C"/>
    <w:rsid w:val="00E63D2A"/>
    <w:rsid w:val="00E67675"/>
    <w:rsid w:val="00E71178"/>
    <w:rsid w:val="00E71B6A"/>
    <w:rsid w:val="00E75D32"/>
    <w:rsid w:val="00E75DAC"/>
    <w:rsid w:val="00E81001"/>
    <w:rsid w:val="00E811AB"/>
    <w:rsid w:val="00E8586B"/>
    <w:rsid w:val="00E859FE"/>
    <w:rsid w:val="00E90CA6"/>
    <w:rsid w:val="00E910B5"/>
    <w:rsid w:val="00E912E3"/>
    <w:rsid w:val="00E92213"/>
    <w:rsid w:val="00E97C49"/>
    <w:rsid w:val="00EA00BC"/>
    <w:rsid w:val="00EA01D4"/>
    <w:rsid w:val="00EA06C2"/>
    <w:rsid w:val="00EA1293"/>
    <w:rsid w:val="00EA1762"/>
    <w:rsid w:val="00EA19CE"/>
    <w:rsid w:val="00EA266B"/>
    <w:rsid w:val="00EB03CE"/>
    <w:rsid w:val="00EB060E"/>
    <w:rsid w:val="00EB078B"/>
    <w:rsid w:val="00EB0D76"/>
    <w:rsid w:val="00EB3D77"/>
    <w:rsid w:val="00EB6974"/>
    <w:rsid w:val="00EB6E75"/>
    <w:rsid w:val="00EB74E0"/>
    <w:rsid w:val="00EC1F27"/>
    <w:rsid w:val="00EC74D6"/>
    <w:rsid w:val="00EC78F8"/>
    <w:rsid w:val="00ED0550"/>
    <w:rsid w:val="00ED279A"/>
    <w:rsid w:val="00ED3DBA"/>
    <w:rsid w:val="00ED7C58"/>
    <w:rsid w:val="00EE1DD8"/>
    <w:rsid w:val="00EE276A"/>
    <w:rsid w:val="00EE28C8"/>
    <w:rsid w:val="00EE3CCE"/>
    <w:rsid w:val="00EE5167"/>
    <w:rsid w:val="00EE55C1"/>
    <w:rsid w:val="00EE6613"/>
    <w:rsid w:val="00EE6F0B"/>
    <w:rsid w:val="00EE7FC0"/>
    <w:rsid w:val="00EF2303"/>
    <w:rsid w:val="00EF302C"/>
    <w:rsid w:val="00EF4203"/>
    <w:rsid w:val="00EF4D64"/>
    <w:rsid w:val="00EF5492"/>
    <w:rsid w:val="00EF600A"/>
    <w:rsid w:val="00EF6C2E"/>
    <w:rsid w:val="00EF722A"/>
    <w:rsid w:val="00F001FB"/>
    <w:rsid w:val="00F02039"/>
    <w:rsid w:val="00F02800"/>
    <w:rsid w:val="00F033F8"/>
    <w:rsid w:val="00F0410C"/>
    <w:rsid w:val="00F047DC"/>
    <w:rsid w:val="00F04811"/>
    <w:rsid w:val="00F06360"/>
    <w:rsid w:val="00F06BD3"/>
    <w:rsid w:val="00F078F5"/>
    <w:rsid w:val="00F1025F"/>
    <w:rsid w:val="00F10C0F"/>
    <w:rsid w:val="00F11613"/>
    <w:rsid w:val="00F116CA"/>
    <w:rsid w:val="00F12EFB"/>
    <w:rsid w:val="00F17723"/>
    <w:rsid w:val="00F20709"/>
    <w:rsid w:val="00F21335"/>
    <w:rsid w:val="00F227A1"/>
    <w:rsid w:val="00F2344D"/>
    <w:rsid w:val="00F23E23"/>
    <w:rsid w:val="00F242DD"/>
    <w:rsid w:val="00F24DD9"/>
    <w:rsid w:val="00F2685B"/>
    <w:rsid w:val="00F268C9"/>
    <w:rsid w:val="00F3056D"/>
    <w:rsid w:val="00F3428D"/>
    <w:rsid w:val="00F34D43"/>
    <w:rsid w:val="00F367B8"/>
    <w:rsid w:val="00F4103B"/>
    <w:rsid w:val="00F4448D"/>
    <w:rsid w:val="00F45B7E"/>
    <w:rsid w:val="00F45DC8"/>
    <w:rsid w:val="00F46C1C"/>
    <w:rsid w:val="00F46D94"/>
    <w:rsid w:val="00F46E2D"/>
    <w:rsid w:val="00F479AB"/>
    <w:rsid w:val="00F51911"/>
    <w:rsid w:val="00F5445B"/>
    <w:rsid w:val="00F547D7"/>
    <w:rsid w:val="00F55CD0"/>
    <w:rsid w:val="00F563B4"/>
    <w:rsid w:val="00F56B5A"/>
    <w:rsid w:val="00F56C4B"/>
    <w:rsid w:val="00F57229"/>
    <w:rsid w:val="00F57CE9"/>
    <w:rsid w:val="00F57F04"/>
    <w:rsid w:val="00F61B73"/>
    <w:rsid w:val="00F624EB"/>
    <w:rsid w:val="00F62545"/>
    <w:rsid w:val="00F64539"/>
    <w:rsid w:val="00F658A3"/>
    <w:rsid w:val="00F67E91"/>
    <w:rsid w:val="00F7093A"/>
    <w:rsid w:val="00F74CC9"/>
    <w:rsid w:val="00F7695F"/>
    <w:rsid w:val="00F76BDD"/>
    <w:rsid w:val="00F77A6D"/>
    <w:rsid w:val="00F813B4"/>
    <w:rsid w:val="00F82367"/>
    <w:rsid w:val="00F82EAB"/>
    <w:rsid w:val="00F83EA1"/>
    <w:rsid w:val="00F8484A"/>
    <w:rsid w:val="00F84875"/>
    <w:rsid w:val="00F84D1B"/>
    <w:rsid w:val="00F854DF"/>
    <w:rsid w:val="00F86A2D"/>
    <w:rsid w:val="00F8753F"/>
    <w:rsid w:val="00F9028F"/>
    <w:rsid w:val="00F904ED"/>
    <w:rsid w:val="00F92B33"/>
    <w:rsid w:val="00F95AE2"/>
    <w:rsid w:val="00FA0F7A"/>
    <w:rsid w:val="00FA329A"/>
    <w:rsid w:val="00FB02D0"/>
    <w:rsid w:val="00FB03AD"/>
    <w:rsid w:val="00FB0445"/>
    <w:rsid w:val="00FB0A13"/>
    <w:rsid w:val="00FB1235"/>
    <w:rsid w:val="00FB145F"/>
    <w:rsid w:val="00FB290B"/>
    <w:rsid w:val="00FB3000"/>
    <w:rsid w:val="00FB300B"/>
    <w:rsid w:val="00FB3D5F"/>
    <w:rsid w:val="00FB570F"/>
    <w:rsid w:val="00FB5E2F"/>
    <w:rsid w:val="00FB7B4A"/>
    <w:rsid w:val="00FC3EB9"/>
    <w:rsid w:val="00FC601D"/>
    <w:rsid w:val="00FC793B"/>
    <w:rsid w:val="00FD2B82"/>
    <w:rsid w:val="00FD30D0"/>
    <w:rsid w:val="00FD364E"/>
    <w:rsid w:val="00FD43C0"/>
    <w:rsid w:val="00FD4A79"/>
    <w:rsid w:val="00FD4C28"/>
    <w:rsid w:val="00FD5182"/>
    <w:rsid w:val="00FD51A3"/>
    <w:rsid w:val="00FD6BCC"/>
    <w:rsid w:val="00FE2BCD"/>
    <w:rsid w:val="00FE3B0E"/>
    <w:rsid w:val="00FE3B35"/>
    <w:rsid w:val="00FE3FD7"/>
    <w:rsid w:val="00FE490D"/>
    <w:rsid w:val="00FE53DB"/>
    <w:rsid w:val="00FE56FF"/>
    <w:rsid w:val="00FE6148"/>
    <w:rsid w:val="00FE6CAC"/>
    <w:rsid w:val="00FE7403"/>
    <w:rsid w:val="00FF41B7"/>
    <w:rsid w:val="00FF42F7"/>
    <w:rsid w:val="00FF473A"/>
    <w:rsid w:val="00FF53BD"/>
    <w:rsid w:val="00FF76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95D68"/>
  <w15:docId w15:val="{FC281FD3-D51A-41AF-B6A9-FEAADDB3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CA"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Cs w:val="24"/>
      <w:lang w:eastAsia="en-US"/>
    </w:rPr>
  </w:style>
  <w:style w:type="paragraph" w:styleId="Heading1">
    <w:name w:val="heading 1"/>
    <w:basedOn w:val="Normal"/>
    <w:next w:val="Heading2"/>
    <w:uiPriority w:val="9"/>
    <w:qFormat/>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unhideWhenUsed/>
    <w:qFormat/>
    <w:pPr>
      <w:keepNext/>
      <w:tabs>
        <w:tab w:val="left" w:pos="720"/>
      </w:tabs>
      <w:spacing w:before="120" w:after="120"/>
      <w:jc w:val="center"/>
      <w:outlineLvl w:val="1"/>
    </w:pPr>
    <w:rPr>
      <w:b/>
      <w:bCs/>
      <w:i/>
      <w:iCs/>
      <w:lang w:val="x-none"/>
    </w:rPr>
  </w:style>
  <w:style w:type="paragraph" w:styleId="Heading3">
    <w:name w:val="heading 3"/>
    <w:basedOn w:val="Normal"/>
    <w:next w:val="Normal"/>
    <w:uiPriority w:val="9"/>
    <w:unhideWhenUsed/>
    <w:qFormat/>
    <w:pPr>
      <w:keepNext/>
      <w:tabs>
        <w:tab w:val="left" w:pos="567"/>
      </w:tabs>
      <w:spacing w:before="120" w:after="120"/>
      <w:jc w:val="center"/>
      <w:outlineLvl w:val="2"/>
    </w:pPr>
    <w:rPr>
      <w:i/>
      <w:iCs/>
    </w:rPr>
  </w:style>
  <w:style w:type="paragraph" w:styleId="Heading4">
    <w:name w:val="heading 4"/>
    <w:basedOn w:val="Normal"/>
    <w:uiPriority w:val="9"/>
    <w:semiHidden/>
    <w:unhideWhenUsed/>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uiPriority w:val="9"/>
    <w:semiHidden/>
    <w:unhideWhenUsed/>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uiPriority w:val="9"/>
    <w:semiHidden/>
    <w:unhideWhenUsed/>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Footer">
    <w:name w:val="footer"/>
    <w:basedOn w:val="Normal"/>
    <w:link w:val="FooterChar"/>
    <w:pPr>
      <w:tabs>
        <w:tab w:val="center" w:pos="4320"/>
        <w:tab w:val="right" w:pos="8640"/>
      </w:tabs>
      <w:ind w:firstLine="720"/>
      <w:jc w:val="right"/>
    </w:pPr>
    <w:rPr>
      <w:lang w:val="x-none"/>
    </w:rPr>
  </w:style>
  <w:style w:type="paragraph" w:customStyle="1" w:styleId="Para1">
    <w:name w:val="Para1"/>
    <w:basedOn w:val="Normal"/>
    <w:link w:val="Para1Char"/>
    <w:pPr>
      <w:numPr>
        <w:numId w:val="7"/>
      </w:numPr>
      <w:spacing w:before="120" w:after="120"/>
    </w:pPr>
    <w:rPr>
      <w:snapToGrid w:val="0"/>
      <w:szCs w:val="18"/>
      <w:lang w:eastAsia="x-none"/>
    </w:rPr>
  </w:style>
  <w:style w:type="paragraph" w:customStyle="1" w:styleId="Para2">
    <w:name w:val="Para2"/>
    <w:basedOn w:val="Para1"/>
    <w:pPr>
      <w:numPr>
        <w:ilvl w:val="2"/>
        <w:numId w:val="3"/>
      </w:numPr>
      <w:autoSpaceDE w:val="0"/>
      <w:autoSpaceDN w:val="0"/>
    </w:pPr>
  </w:style>
  <w:style w:type="paragraph" w:customStyle="1" w:styleId="Para3">
    <w:name w:val="Para3"/>
    <w:basedOn w:val="Normal"/>
    <w:pPr>
      <w:numPr>
        <w:ilvl w:val="2"/>
        <w:numId w:val="4"/>
      </w:numPr>
      <w:tabs>
        <w:tab w:val="num" w:pos="360"/>
      </w:tabs>
      <w:spacing w:before="80" w:after="80"/>
      <w:ind w:left="0" w:firstLine="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1840E0"/>
    <w:rPr>
      <w:rFonts w:ascii="Times New Roman" w:hAnsi="Times New Roman"/>
      <w:sz w:val="22"/>
      <w:u w:val="none"/>
      <w:vertAlign w:val="superscript"/>
    </w:rPr>
  </w:style>
  <w:style w:type="paragraph" w:styleId="TOC4">
    <w:name w:val="toc 4"/>
    <w:basedOn w:val="Normal"/>
    <w:next w:val="Normal"/>
    <w:autoRedefine/>
    <w:semiHidden/>
    <w:pPr>
      <w:ind w:left="660"/>
      <w:jc w:val="left"/>
    </w:pPr>
    <w:rPr>
      <w:rFonts w:ascii="Cambria" w:hAnsi="Cambria"/>
      <w:sz w:val="20"/>
      <w:szCs w:val="20"/>
    </w:rPr>
  </w:style>
  <w:style w:type="paragraph" w:customStyle="1" w:styleId="Para1-Annex">
    <w:name w:val="Para1-Annex"/>
    <w:basedOn w:val="Normal"/>
    <w:pPr>
      <w:numPr>
        <w:numId w:val="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5">
    <w:name w:val="toc 5"/>
    <w:basedOn w:val="Normal"/>
    <w:next w:val="Normal"/>
    <w:autoRedefine/>
    <w:semiHidden/>
    <w:pPr>
      <w:ind w:left="880"/>
      <w:jc w:val="left"/>
    </w:pPr>
    <w:rPr>
      <w:rFonts w:ascii="Cambria" w:hAnsi="Cambria"/>
      <w:sz w:val="20"/>
      <w:szCs w:val="20"/>
    </w:rPr>
  </w:style>
  <w:style w:type="paragraph" w:styleId="TOC1">
    <w:name w:val="toc 1"/>
    <w:basedOn w:val="Normal"/>
    <w:next w:val="Normal"/>
    <w:autoRedefine/>
    <w:uiPriority w:val="39"/>
    <w:pPr>
      <w:spacing w:before="120"/>
      <w:jc w:val="left"/>
    </w:pPr>
    <w:rPr>
      <w:rFonts w:ascii="Cambria" w:hAnsi="Cambria"/>
      <w:b/>
      <w:sz w:val="24"/>
    </w:rPr>
  </w:style>
  <w:style w:type="paragraph" w:styleId="TOC2">
    <w:name w:val="toc 2"/>
    <w:basedOn w:val="Normal"/>
    <w:next w:val="Normal"/>
    <w:autoRedefine/>
    <w:uiPriority w:val="39"/>
    <w:pPr>
      <w:ind w:left="220"/>
      <w:jc w:val="left"/>
    </w:pPr>
    <w:rPr>
      <w:rFonts w:ascii="Cambria" w:hAnsi="Cambria"/>
      <w:b/>
      <w:szCs w:val="22"/>
    </w:rPr>
  </w:style>
  <w:style w:type="paragraph" w:styleId="TOC3">
    <w:name w:val="toc 3"/>
    <w:basedOn w:val="Normal"/>
    <w:next w:val="Normal"/>
    <w:autoRedefine/>
    <w:uiPriority w:val="39"/>
    <w:pPr>
      <w:ind w:left="440"/>
      <w:jc w:val="left"/>
    </w:pPr>
    <w:rPr>
      <w:rFonts w:ascii="Cambria" w:hAnsi="Cambria"/>
      <w:szCs w:val="22"/>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paragraph" w:customStyle="1" w:styleId="Paragraph">
    <w:name w:val="Paragraph"/>
    <w:basedOn w:val="Normal"/>
    <w:pPr>
      <w:spacing w:before="120" w:after="120"/>
    </w:pPr>
  </w:style>
  <w:style w:type="paragraph" w:styleId="TOC6">
    <w:name w:val="toc 6"/>
    <w:basedOn w:val="Normal"/>
    <w:next w:val="Normal"/>
    <w:autoRedefine/>
    <w:semiHidden/>
    <w:pPr>
      <w:ind w:left="1100"/>
      <w:jc w:val="left"/>
    </w:pPr>
    <w:rPr>
      <w:rFonts w:ascii="Cambria" w:hAnsi="Cambria"/>
      <w:sz w:val="20"/>
      <w:szCs w:val="20"/>
    </w:rPr>
  </w:style>
  <w:style w:type="paragraph" w:styleId="TOC7">
    <w:name w:val="toc 7"/>
    <w:basedOn w:val="Normal"/>
    <w:next w:val="Normal"/>
    <w:autoRedefine/>
    <w:semiHidden/>
    <w:pPr>
      <w:ind w:left="1320"/>
      <w:jc w:val="left"/>
    </w:pPr>
    <w:rPr>
      <w:rFonts w:ascii="Cambria" w:hAnsi="Cambria"/>
      <w:sz w:val="20"/>
      <w:szCs w:val="20"/>
    </w:rPr>
  </w:style>
  <w:style w:type="paragraph" w:styleId="TOC8">
    <w:name w:val="toc 8"/>
    <w:basedOn w:val="Normal"/>
    <w:next w:val="Normal"/>
    <w:autoRedefine/>
    <w:semiHidden/>
    <w:pPr>
      <w:ind w:left="1540"/>
      <w:jc w:val="left"/>
    </w:pPr>
    <w:rPr>
      <w:rFonts w:ascii="Cambria" w:hAnsi="Cambria"/>
      <w:sz w:val="20"/>
      <w:szCs w:val="20"/>
    </w:rPr>
  </w:style>
  <w:style w:type="paragraph" w:styleId="TOC9">
    <w:name w:val="toc 9"/>
    <w:basedOn w:val="Normal"/>
    <w:next w:val="Normal"/>
    <w:autoRedefine/>
    <w:semiHidden/>
    <w:pPr>
      <w:ind w:left="1760"/>
      <w:jc w:val="left"/>
    </w:pPr>
    <w:rPr>
      <w:rFonts w:ascii="Cambria" w:hAnsi="Cambria"/>
      <w:sz w:val="20"/>
      <w:szCs w:val="20"/>
    </w:rPr>
  </w:style>
  <w:style w:type="paragraph" w:customStyle="1" w:styleId="Cornernotation">
    <w:name w:val="Corner notation"/>
    <w:basedOn w:val="Normal"/>
    <w:pPr>
      <w:ind w:left="284" w:right="4398" w:hanging="284"/>
      <w:jc w:val="left"/>
    </w:pPr>
  </w:style>
  <w:style w:type="paragraph" w:customStyle="1" w:styleId="Title1">
    <w:name w:val="Title1"/>
    <w:basedOn w:val="Heading1"/>
  </w:style>
  <w:style w:type="paragraph" w:styleId="BodyText">
    <w:name w:val="Body Text"/>
    <w:basedOn w:val="Normal"/>
    <w:pPr>
      <w:jc w:val="center"/>
    </w:pPr>
    <w:rPr>
      <w:b/>
      <w:bCs/>
      <w:sz w:val="24"/>
      <w:lang w:val="en-CA"/>
    </w:rPr>
  </w:style>
  <w:style w:type="paragraph" w:styleId="BodyTextIndent">
    <w:name w:val="Body Text Indent"/>
    <w:basedOn w:val="Normal"/>
    <w:link w:val="BodyTextIndentChar"/>
    <w:pPr>
      <w:ind w:firstLine="360"/>
    </w:pPr>
    <w:rPr>
      <w:sz w:val="24"/>
      <w:lang w:val="en-CA"/>
    </w:rPr>
  </w:style>
  <w:style w:type="paragraph" w:styleId="BodyTextIndent2">
    <w:name w:val="Body Text Indent 2"/>
    <w:basedOn w:val="Normal"/>
    <w:pPr>
      <w:ind w:left="855"/>
      <w:jc w:val="left"/>
    </w:pPr>
    <w:rPr>
      <w:sz w:val="24"/>
      <w:lang w:val="en-CA"/>
    </w:rPr>
  </w:style>
  <w:style w:type="paragraph" w:styleId="BodyTextIndent3">
    <w:name w:val="Body Text Indent 3"/>
    <w:basedOn w:val="Normal"/>
    <w:pPr>
      <w:ind w:left="720"/>
      <w:jc w:val="left"/>
    </w:pPr>
    <w:rPr>
      <w:sz w:val="24"/>
      <w:lang w:val="en-CA"/>
    </w:rPr>
  </w:style>
  <w:style w:type="paragraph" w:styleId="BodyText2">
    <w:name w:val="Body Text 2"/>
    <w:basedOn w:val="Normal"/>
    <w:pPr>
      <w:jc w:val="left"/>
    </w:pPr>
    <w:rPr>
      <w:lang w:val="en-CA"/>
    </w:rPr>
  </w:style>
  <w:style w:type="paragraph" w:styleId="NormalWeb">
    <w:name w:val="Normal (Web)"/>
    <w:basedOn w:val="Normal"/>
    <w:uiPriority w:val="99"/>
    <w:pPr>
      <w:spacing w:before="100" w:beforeAutospacing="1" w:after="100" w:afterAutospacing="1"/>
      <w:jc w:val="left"/>
    </w:pPr>
    <w:rPr>
      <w:rFonts w:ascii="Verdana" w:eastAsia="Arial Unicode MS" w:hAnsi="Verdana"/>
      <w:color w:val="000000"/>
      <w:sz w:val="18"/>
      <w:szCs w:val="18"/>
      <w:lang w:val="en-US"/>
    </w:rPr>
  </w:style>
  <w:style w:type="paragraph" w:customStyle="1" w:styleId="List-sbstta">
    <w:name w:val="List-sbstta"/>
    <w:basedOn w:val="Normal"/>
    <w:pPr>
      <w:spacing w:before="120" w:after="120"/>
      <w:ind w:left="1701" w:hanging="850"/>
    </w:pPr>
    <w:rPr>
      <w:szCs w:val="22"/>
    </w:rPr>
  </w:style>
  <w:style w:type="paragraph" w:customStyle="1" w:styleId="goal">
    <w:name w:val="goal"/>
    <w:basedOn w:val="BodyText2"/>
    <w:pPr>
      <w:spacing w:after="120"/>
      <w:jc w:val="both"/>
    </w:pPr>
    <w:rPr>
      <w:rFonts w:ascii="Times New Roman Bold" w:hAnsi="Times New Roman Bold"/>
      <w:b/>
      <w:bCs/>
      <w:lang w:val="en-GB"/>
    </w:rPr>
  </w:style>
  <w:style w:type="paragraph" w:customStyle="1" w:styleId="ProgElemt">
    <w:name w:val="ProgElemt"/>
    <w:basedOn w:val="Normal"/>
    <w:pPr>
      <w:keepNext/>
      <w:tabs>
        <w:tab w:val="left" w:pos="720"/>
      </w:tabs>
      <w:spacing w:before="240" w:after="120"/>
      <w:jc w:val="center"/>
      <w:outlineLvl w:val="0"/>
    </w:pPr>
    <w:rPr>
      <w:b/>
      <w:caps/>
    </w:rPr>
  </w:style>
  <w:style w:type="paragraph" w:styleId="BlockText">
    <w:name w:val="Block Text"/>
    <w:basedOn w:val="Normal"/>
    <w:pPr>
      <w:ind w:left="720" w:right="720"/>
    </w:pPr>
  </w:style>
  <w:style w:type="paragraph" w:styleId="PlainText">
    <w:name w:val="Plain Text"/>
    <w:basedOn w:val="Normal"/>
    <w:link w:val="PlainTextChar"/>
    <w:uiPriority w:val="99"/>
    <w:pPr>
      <w:jc w:val="left"/>
    </w:pPr>
    <w:rPr>
      <w:szCs w:val="22"/>
      <w:lang w:val="en-CA" w:eastAsia="x-none"/>
    </w:rPr>
  </w:style>
  <w:style w:type="paragraph" w:styleId="BodyText3">
    <w:name w:val="Body Text 3"/>
    <w:basedOn w:val="Normal"/>
    <w:pPr>
      <w:spacing w:before="120" w:after="120"/>
    </w:pPr>
    <w:rPr>
      <w:iCs/>
    </w:rPr>
  </w:style>
  <w:style w:type="paragraph" w:customStyle="1" w:styleId="Para10">
    <w:name w:val="Para 1"/>
    <w:basedOn w:val="BodyText"/>
    <w:pPr>
      <w:numPr>
        <w:numId w:val="5"/>
      </w:numPr>
      <w:spacing w:before="120" w:after="120"/>
      <w:jc w:val="both"/>
    </w:pPr>
    <w:rPr>
      <w:rFonts w:eastAsia="MS Mincho"/>
      <w:b w:val="0"/>
      <w:bCs w:val="0"/>
      <w:sz w:val="22"/>
      <w:szCs w:val="22"/>
      <w:lang w:val="en-GB"/>
    </w:rPr>
  </w:style>
  <w:style w:type="character" w:styleId="Hyperlink">
    <w:name w:val="Hyperlink"/>
    <w:rPr>
      <w:color w:val="0000FF"/>
      <w:sz w:val="18"/>
      <w:u w:val="single"/>
    </w:rPr>
  </w:style>
  <w:style w:type="paragraph" w:customStyle="1" w:styleId="Heading2multiline">
    <w:name w:val="Heading 2 (multiline)"/>
    <w:basedOn w:val="Heading1"/>
    <w:next w:val="Normal"/>
    <w:pPr>
      <w:spacing w:before="120"/>
      <w:ind w:left="1843" w:right="998" w:hanging="567"/>
      <w:jc w:val="left"/>
    </w:pPr>
    <w:rPr>
      <w:i/>
      <w:iCs/>
      <w:caps w:val="0"/>
    </w:rPr>
  </w:style>
  <w:style w:type="character" w:styleId="Strong">
    <w:name w:val="Strong"/>
    <w:uiPriority w:val="22"/>
    <w:qFormat/>
    <w:rPr>
      <w:b/>
      <w:bCs/>
    </w:r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styleId="CommentReference">
    <w:name w:val="annotation reference"/>
    <w:semiHidden/>
    <w:rPr>
      <w:sz w:val="16"/>
      <w:szCs w:val="16"/>
    </w:rPr>
  </w:style>
  <w:style w:type="paragraph" w:styleId="CommentText">
    <w:name w:val="annotation text"/>
    <w:basedOn w:val="Normal"/>
    <w:semiHidden/>
    <w:pPr>
      <w:jc w:val="left"/>
    </w:pPr>
    <w:rPr>
      <w:sz w:val="20"/>
      <w:szCs w:val="20"/>
      <w:lang w:val="en-US"/>
    </w:rPr>
  </w:style>
  <w:style w:type="paragraph" w:styleId="CommentSubject">
    <w:name w:val="annotation subject"/>
    <w:basedOn w:val="CommentText"/>
    <w:next w:val="CommentText"/>
    <w:semiHidden/>
    <w:pPr>
      <w:jc w:val="both"/>
    </w:pPr>
    <w:rPr>
      <w:b/>
      <w:bCs/>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B474E2"/>
    <w:rPr>
      <w:sz w:val="18"/>
      <w:szCs w:val="24"/>
      <w:lang w:val="en-GB" w:eastAsia="en-US" w:bidi="ar-SA"/>
    </w:rPr>
  </w:style>
  <w:style w:type="paragraph" w:customStyle="1" w:styleId="para11">
    <w:name w:val="para1"/>
    <w:basedOn w:val="Normal"/>
    <w:uiPriority w:val="99"/>
    <w:rsid w:val="00754F06"/>
    <w:pPr>
      <w:snapToGrid w:val="0"/>
      <w:spacing w:before="120" w:after="120"/>
    </w:pPr>
    <w:rPr>
      <w:szCs w:val="22"/>
      <w:lang w:val="en-US"/>
    </w:rPr>
  </w:style>
  <w:style w:type="paragraph" w:customStyle="1" w:styleId="para100">
    <w:name w:val="para10"/>
    <w:basedOn w:val="Normal"/>
    <w:rsid w:val="00754F06"/>
    <w:pPr>
      <w:spacing w:before="120" w:after="120"/>
    </w:pPr>
    <w:rPr>
      <w:szCs w:val="22"/>
      <w:lang w:val="en-US"/>
    </w:rPr>
  </w:style>
  <w:style w:type="paragraph" w:customStyle="1" w:styleId="listparagraph">
    <w:name w:val="listparagraph"/>
    <w:basedOn w:val="Normal"/>
    <w:rsid w:val="0098360E"/>
    <w:pPr>
      <w:ind w:left="720"/>
      <w:jc w:val="left"/>
    </w:pPr>
    <w:rPr>
      <w:sz w:val="20"/>
      <w:szCs w:val="20"/>
      <w:lang w:val="en-US"/>
    </w:rPr>
  </w:style>
  <w:style w:type="character" w:customStyle="1" w:styleId="fnChar1">
    <w:name w:val="fn Char1"/>
    <w:aliases w:val="Geneva 9 Char2,Font: Geneva 9 Char2,Boston 10 Char2,f Char2,ft Char2,Fotnotstext Char Char1,ft Char Char1,single space Char1,footnote text Char1,FOOTNOTES Char1,ADB Char1,single space1 Char1,footnote text1 Char1,FOOTNOTES1 Char1,fn1 Char1"/>
    <w:semiHidden/>
    <w:rsid w:val="00DA5305"/>
    <w:rPr>
      <w:sz w:val="18"/>
      <w:szCs w:val="24"/>
      <w:lang w:val="en-GB" w:eastAsia="ar-SA" w:bidi="ar-SA"/>
    </w:rPr>
  </w:style>
  <w:style w:type="character" w:customStyle="1" w:styleId="FootnoteCharacters">
    <w:name w:val="Footnote Characters"/>
    <w:rsid w:val="00DA5305"/>
    <w:rPr>
      <w:position w:val="0"/>
      <w:sz w:val="18"/>
      <w:u w:val="single"/>
      <w:vertAlign w:val="baseline"/>
    </w:rPr>
  </w:style>
  <w:style w:type="paragraph" w:customStyle="1" w:styleId="Default">
    <w:name w:val="Default"/>
    <w:rsid w:val="00211FBC"/>
    <w:pPr>
      <w:autoSpaceDE w:val="0"/>
      <w:autoSpaceDN w:val="0"/>
      <w:adjustRightInd w:val="0"/>
    </w:pPr>
    <w:rPr>
      <w:rFonts w:ascii="Arial Rounded MT Bold" w:hAnsi="Arial Rounded MT Bold" w:cs="Arial Rounded MT Bold"/>
      <w:color w:val="000000"/>
      <w:sz w:val="24"/>
      <w:szCs w:val="24"/>
      <w:lang w:val="en-US" w:eastAsia="en-US"/>
    </w:rPr>
  </w:style>
  <w:style w:type="character" w:customStyle="1" w:styleId="longtext">
    <w:name w:val="long_text"/>
    <w:basedOn w:val="DefaultParagraphFont"/>
    <w:rsid w:val="00211FBC"/>
  </w:style>
  <w:style w:type="character" w:customStyle="1" w:styleId="hps">
    <w:name w:val="hps"/>
    <w:basedOn w:val="DefaultParagraphFont"/>
    <w:rsid w:val="00211FBC"/>
  </w:style>
  <w:style w:type="character" w:customStyle="1" w:styleId="hpsatn">
    <w:name w:val="hps atn"/>
    <w:basedOn w:val="DefaultParagraphFont"/>
    <w:rsid w:val="00211FBC"/>
  </w:style>
  <w:style w:type="character" w:customStyle="1" w:styleId="atn">
    <w:name w:val="atn"/>
    <w:basedOn w:val="DefaultParagraphFont"/>
    <w:rsid w:val="00211FBC"/>
  </w:style>
  <w:style w:type="table" w:styleId="TableGrid">
    <w:name w:val="Table Grid"/>
    <w:basedOn w:val="TableNormal"/>
    <w:uiPriority w:val="59"/>
    <w:rsid w:val="00164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C57FF8"/>
  </w:style>
  <w:style w:type="character" w:styleId="FollowedHyperlink">
    <w:name w:val="FollowedHyperlink"/>
    <w:uiPriority w:val="99"/>
    <w:rsid w:val="0096567B"/>
    <w:rPr>
      <w:color w:val="800080"/>
      <w:u w:val="single"/>
    </w:rPr>
  </w:style>
  <w:style w:type="paragraph" w:customStyle="1" w:styleId="Heading1longmultiline">
    <w:name w:val="Heading 1 (long multiline)"/>
    <w:basedOn w:val="Heading1"/>
    <w:rsid w:val="00A31564"/>
    <w:pPr>
      <w:ind w:left="1843" w:hanging="1134"/>
      <w:jc w:val="left"/>
    </w:pPr>
  </w:style>
  <w:style w:type="paragraph" w:customStyle="1" w:styleId="Heading2longmultiline">
    <w:name w:val="Heading 2 (long multiline)"/>
    <w:basedOn w:val="Heading2multiline"/>
    <w:rsid w:val="00A31564"/>
    <w:pPr>
      <w:ind w:left="2127" w:hanging="1276"/>
    </w:pPr>
  </w:style>
  <w:style w:type="paragraph" w:styleId="TOCHeading">
    <w:name w:val="TOC Heading"/>
    <w:basedOn w:val="Heading1"/>
    <w:next w:val="Normal"/>
    <w:uiPriority w:val="39"/>
    <w:unhideWhenUsed/>
    <w:qFormat/>
    <w:rsid w:val="00115BB4"/>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customStyle="1" w:styleId="LightList-Accent31">
    <w:name w:val="Light List - Accent 31"/>
    <w:hidden/>
    <w:uiPriority w:val="99"/>
    <w:semiHidden/>
    <w:rsid w:val="00D53541"/>
    <w:rPr>
      <w:szCs w:val="24"/>
      <w:lang w:eastAsia="en-US"/>
    </w:rPr>
  </w:style>
  <w:style w:type="character" w:customStyle="1" w:styleId="Heading2Char">
    <w:name w:val="Heading 2 Char"/>
    <w:link w:val="Heading2"/>
    <w:rsid w:val="000D6504"/>
    <w:rPr>
      <w:b/>
      <w:bCs/>
      <w:i/>
      <w:iCs/>
      <w:sz w:val="22"/>
      <w:szCs w:val="24"/>
      <w:lang w:eastAsia="en-US"/>
    </w:rPr>
  </w:style>
  <w:style w:type="character" w:customStyle="1" w:styleId="BodyTextIndentChar">
    <w:name w:val="Body Text Indent Char"/>
    <w:link w:val="BodyTextIndent"/>
    <w:rsid w:val="000D6504"/>
    <w:rPr>
      <w:sz w:val="24"/>
      <w:szCs w:val="24"/>
      <w:lang w:val="en-CA" w:eastAsia="en-US"/>
    </w:rPr>
  </w:style>
  <w:style w:type="paragraph" w:customStyle="1" w:styleId="ColorfulList-Accent11">
    <w:name w:val="Colorful List - Accent 11"/>
    <w:basedOn w:val="Normal"/>
    <w:uiPriority w:val="72"/>
    <w:qFormat/>
    <w:rsid w:val="00502805"/>
    <w:pPr>
      <w:ind w:left="720"/>
    </w:pPr>
  </w:style>
  <w:style w:type="character" w:customStyle="1" w:styleId="FooterChar">
    <w:name w:val="Footer Char"/>
    <w:link w:val="Footer"/>
    <w:rsid w:val="001C0B5C"/>
    <w:rPr>
      <w:sz w:val="22"/>
      <w:szCs w:val="24"/>
      <w:lang w:eastAsia="en-US"/>
    </w:rPr>
  </w:style>
  <w:style w:type="paragraph" w:customStyle="1" w:styleId="ColorfulList-Accent12">
    <w:name w:val="Colorful List - Accent 12"/>
    <w:basedOn w:val="Normal"/>
    <w:uiPriority w:val="34"/>
    <w:qFormat/>
    <w:rsid w:val="00A90141"/>
    <w:pPr>
      <w:ind w:left="720"/>
    </w:pPr>
  </w:style>
  <w:style w:type="paragraph" w:customStyle="1" w:styleId="para4">
    <w:name w:val="para4"/>
    <w:basedOn w:val="Normal"/>
    <w:rsid w:val="00560097"/>
    <w:pPr>
      <w:numPr>
        <w:ilvl w:val="3"/>
        <w:numId w:val="8"/>
      </w:numPr>
      <w:tabs>
        <w:tab w:val="num" w:pos="2160"/>
      </w:tabs>
      <w:overflowPunct w:val="0"/>
      <w:autoSpaceDE w:val="0"/>
      <w:autoSpaceDN w:val="0"/>
      <w:adjustRightInd w:val="0"/>
      <w:spacing w:after="120" w:line="240" w:lineRule="atLeast"/>
      <w:ind w:left="2160" w:hanging="720"/>
      <w:textAlignment w:val="baseline"/>
    </w:pPr>
    <w:rPr>
      <w:rFonts w:ascii="Courier" w:eastAsia="Malgun Gothic" w:hAnsi="Courier"/>
      <w:color w:val="000000"/>
      <w:sz w:val="20"/>
      <w:szCs w:val="20"/>
    </w:rPr>
  </w:style>
  <w:style w:type="paragraph" w:customStyle="1" w:styleId="heading-rec-multi">
    <w:name w:val="heading-rec-multi"/>
    <w:basedOn w:val="Heading2multiline"/>
    <w:qFormat/>
    <w:rsid w:val="007F4805"/>
    <w:rPr>
      <w:rFonts w:ascii="Times New Roman Bold" w:hAnsi="Times New Roman Bold"/>
    </w:rPr>
  </w:style>
  <w:style w:type="paragraph" w:customStyle="1" w:styleId="recommendationheaderlong">
    <w:name w:val="recommendation header long"/>
    <w:basedOn w:val="Heading2longmultiline"/>
    <w:qFormat/>
    <w:rsid w:val="00A50B9D"/>
    <w:rPr>
      <w:rFonts w:ascii="Times New Roman Bold" w:hAnsi="Times New Roman Bold"/>
      <w:smallCaps/>
    </w:rPr>
  </w:style>
  <w:style w:type="paragraph" w:customStyle="1" w:styleId="HEADING">
    <w:name w:val="HEADING"/>
    <w:basedOn w:val="Normal"/>
    <w:rsid w:val="0084290F"/>
    <w:pPr>
      <w:keepNext/>
      <w:spacing w:before="120" w:after="120"/>
      <w:jc w:val="center"/>
    </w:pPr>
    <w:rPr>
      <w:rFonts w:ascii="Times New Roman Bold" w:eastAsia="Calibri" w:hAnsi="Times New Roman Bold"/>
      <w:b/>
      <w:bCs/>
      <w:caps/>
      <w:szCs w:val="22"/>
      <w:lang w:eastAsia="en-GB"/>
    </w:rPr>
  </w:style>
  <w:style w:type="paragraph" w:customStyle="1" w:styleId="ColorfulShading-Accent11">
    <w:name w:val="Colorful Shading - Accent 11"/>
    <w:hidden/>
    <w:uiPriority w:val="99"/>
    <w:semiHidden/>
    <w:rsid w:val="00617631"/>
    <w:rPr>
      <w:szCs w:val="24"/>
      <w:lang w:eastAsia="en-US"/>
    </w:rPr>
  </w:style>
  <w:style w:type="character" w:customStyle="1" w:styleId="Para1Char">
    <w:name w:val="Para1 Char"/>
    <w:link w:val="Para1"/>
    <w:locked/>
    <w:rsid w:val="00E93BA2"/>
    <w:rPr>
      <w:snapToGrid w:val="0"/>
      <w:sz w:val="22"/>
      <w:szCs w:val="18"/>
      <w:lang w:val="en-GB" w:eastAsia="x-none"/>
    </w:rPr>
  </w:style>
  <w:style w:type="character" w:customStyle="1" w:styleId="PlainTextChar">
    <w:name w:val="Plain Text Char"/>
    <w:link w:val="PlainText"/>
    <w:uiPriority w:val="99"/>
    <w:rsid w:val="00EF13B4"/>
    <w:rPr>
      <w:sz w:val="22"/>
      <w:szCs w:val="22"/>
      <w:lang w:val="en-CA"/>
    </w:rPr>
  </w:style>
  <w:style w:type="paragraph" w:styleId="Revision">
    <w:name w:val="Revision"/>
    <w:hidden/>
    <w:uiPriority w:val="99"/>
    <w:semiHidden/>
    <w:rsid w:val="004C37EA"/>
    <w:rPr>
      <w:szCs w:val="24"/>
      <w:lang w:eastAsia="en-US"/>
    </w:rPr>
  </w:style>
  <w:style w:type="paragraph" w:styleId="ListParagraph0">
    <w:name w:val="List Paragraph"/>
    <w:basedOn w:val="Normal"/>
    <w:uiPriority w:val="34"/>
    <w:qFormat/>
    <w:rsid w:val="00302F08"/>
    <w:pPr>
      <w:ind w:left="720"/>
    </w:pPr>
  </w:style>
  <w:style w:type="character" w:customStyle="1" w:styleId="Mencinsinresolver1">
    <w:name w:val="Mención sin resolver1"/>
    <w:uiPriority w:val="99"/>
    <w:semiHidden/>
    <w:unhideWhenUsed/>
    <w:rsid w:val="00514945"/>
    <w:rPr>
      <w:color w:val="605E5C"/>
      <w:shd w:val="clear" w:color="auto" w:fill="E1DFDD"/>
    </w:rPr>
  </w:style>
  <w:style w:type="paragraph" w:customStyle="1" w:styleId="Para26pt">
    <w:name w:val="Para2 + 6 pt"/>
    <w:basedOn w:val="Normal"/>
    <w:rsid w:val="00804F1F"/>
    <w:pPr>
      <w:spacing w:before="120" w:after="120"/>
    </w:pPr>
    <w:rPr>
      <w:rFonts w:cs="Angsana New"/>
    </w:rPr>
  </w:style>
  <w:style w:type="character" w:customStyle="1" w:styleId="ng-binding">
    <w:name w:val="ng-binding"/>
    <w:rsid w:val="008C1DB5"/>
  </w:style>
  <w:style w:type="character" w:styleId="PlaceholderText">
    <w:name w:val="Placeholder Text"/>
    <w:basedOn w:val="DefaultParagraphFont"/>
    <w:uiPriority w:val="67"/>
    <w:rsid w:val="00241216"/>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character" w:customStyle="1" w:styleId="Policepardfaut">
    <w:name w:val="Police par défaut"/>
    <w:rsid w:val="00332AC0"/>
  </w:style>
  <w:style w:type="paragraph" w:customStyle="1" w:styleId="Paragraphedeliste">
    <w:name w:val="Paragraphe de liste"/>
    <w:basedOn w:val="Normal"/>
    <w:rsid w:val="00332AC0"/>
    <w:pPr>
      <w:suppressAutoHyphens/>
      <w:autoSpaceDN w:val="0"/>
      <w:spacing w:after="160" w:line="247" w:lineRule="auto"/>
      <w:ind w:left="720"/>
      <w:jc w:val="left"/>
      <w:textAlignment w:val="baseline"/>
    </w:pPr>
    <w:rPr>
      <w:rFonts w:ascii="Calibri" w:eastAsia="DengXian" w:hAnsi="Calibri" w:cs="Arial"/>
      <w:szCs w:val="22"/>
      <w:lang w:val="fr-FR" w:eastAsia="zh-CN"/>
    </w:rPr>
  </w:style>
  <w:style w:type="character" w:customStyle="1" w:styleId="Lienhypertexte">
    <w:name w:val="Lien hypertexte"/>
    <w:basedOn w:val="Policepardfaut"/>
    <w:rsid w:val="00332AC0"/>
    <w:rPr>
      <w:color w:val="0000FF"/>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A7707"/>
    <w:pPr>
      <w:spacing w:after="160" w:line="240" w:lineRule="exact"/>
      <w:jc w:val="left"/>
    </w:pPr>
    <w:rPr>
      <w:szCs w:val="22"/>
      <w:vertAlign w:val="superscript"/>
      <w:lang w:eastAsia="en-CA"/>
    </w:rPr>
  </w:style>
  <w:style w:type="table" w:customStyle="1" w:styleId="TableGrid1">
    <w:name w:val="Table Grid1"/>
    <w:basedOn w:val="TableNormal"/>
    <w:next w:val="TableGrid"/>
    <w:uiPriority w:val="59"/>
    <w:rsid w:val="00680336"/>
    <w:pPr>
      <w:jc w:val="left"/>
    </w:pPr>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35D1F"/>
    <w:rPr>
      <w:color w:val="605E5C"/>
      <w:shd w:val="clear" w:color="auto" w:fill="E1DFDD"/>
    </w:rPr>
  </w:style>
  <w:style w:type="character" w:customStyle="1" w:styleId="HeaderChar">
    <w:name w:val="Header Char"/>
    <w:link w:val="Header"/>
    <w:rsid w:val="00081C4E"/>
    <w:rPr>
      <w:szCs w:val="20"/>
      <w:lang w:eastAsia="en-US"/>
    </w:rPr>
  </w:style>
  <w:style w:type="character" w:customStyle="1" w:styleId="apple-converted-space">
    <w:name w:val="apple-converted-space"/>
    <w:basedOn w:val="DefaultParagraphFont"/>
    <w:rsid w:val="00B8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1310">
      <w:bodyDiv w:val="1"/>
      <w:marLeft w:val="0"/>
      <w:marRight w:val="0"/>
      <w:marTop w:val="0"/>
      <w:marBottom w:val="0"/>
      <w:divBdr>
        <w:top w:val="none" w:sz="0" w:space="0" w:color="auto"/>
        <w:left w:val="none" w:sz="0" w:space="0" w:color="auto"/>
        <w:bottom w:val="none" w:sz="0" w:space="0" w:color="auto"/>
        <w:right w:val="none" w:sz="0" w:space="0" w:color="auto"/>
      </w:divBdr>
    </w:div>
    <w:div w:id="297954723">
      <w:bodyDiv w:val="1"/>
      <w:marLeft w:val="0"/>
      <w:marRight w:val="0"/>
      <w:marTop w:val="0"/>
      <w:marBottom w:val="0"/>
      <w:divBdr>
        <w:top w:val="none" w:sz="0" w:space="0" w:color="auto"/>
        <w:left w:val="none" w:sz="0" w:space="0" w:color="auto"/>
        <w:bottom w:val="none" w:sz="0" w:space="0" w:color="auto"/>
        <w:right w:val="none" w:sz="0" w:space="0" w:color="auto"/>
      </w:divBdr>
    </w:div>
    <w:div w:id="696320260">
      <w:bodyDiv w:val="1"/>
      <w:marLeft w:val="0"/>
      <w:marRight w:val="0"/>
      <w:marTop w:val="0"/>
      <w:marBottom w:val="0"/>
      <w:divBdr>
        <w:top w:val="none" w:sz="0" w:space="0" w:color="auto"/>
        <w:left w:val="none" w:sz="0" w:space="0" w:color="auto"/>
        <w:bottom w:val="none" w:sz="0" w:space="0" w:color="auto"/>
        <w:right w:val="none" w:sz="0" w:space="0" w:color="auto"/>
      </w:divBdr>
      <w:divsChild>
        <w:div w:id="2097552293">
          <w:marLeft w:val="0"/>
          <w:marRight w:val="0"/>
          <w:marTop w:val="0"/>
          <w:marBottom w:val="0"/>
          <w:divBdr>
            <w:top w:val="none" w:sz="0" w:space="0" w:color="auto"/>
            <w:left w:val="none" w:sz="0" w:space="0" w:color="auto"/>
            <w:bottom w:val="none" w:sz="0" w:space="0" w:color="auto"/>
            <w:right w:val="none" w:sz="0" w:space="0" w:color="auto"/>
          </w:divBdr>
          <w:divsChild>
            <w:div w:id="692732012">
              <w:marLeft w:val="0"/>
              <w:marRight w:val="0"/>
              <w:marTop w:val="0"/>
              <w:marBottom w:val="0"/>
              <w:divBdr>
                <w:top w:val="none" w:sz="0" w:space="0" w:color="auto"/>
                <w:left w:val="none" w:sz="0" w:space="0" w:color="auto"/>
                <w:bottom w:val="none" w:sz="0" w:space="0" w:color="auto"/>
                <w:right w:val="none" w:sz="0" w:space="0" w:color="auto"/>
              </w:divBdr>
              <w:divsChild>
                <w:div w:id="2049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174">
      <w:bodyDiv w:val="1"/>
      <w:marLeft w:val="0"/>
      <w:marRight w:val="0"/>
      <w:marTop w:val="0"/>
      <w:marBottom w:val="0"/>
      <w:divBdr>
        <w:top w:val="none" w:sz="0" w:space="0" w:color="auto"/>
        <w:left w:val="none" w:sz="0" w:space="0" w:color="auto"/>
        <w:bottom w:val="none" w:sz="0" w:space="0" w:color="auto"/>
        <w:right w:val="none" w:sz="0" w:space="0" w:color="auto"/>
      </w:divBdr>
    </w:div>
    <w:div w:id="1202934377">
      <w:bodyDiv w:val="1"/>
      <w:marLeft w:val="0"/>
      <w:marRight w:val="0"/>
      <w:marTop w:val="0"/>
      <w:marBottom w:val="0"/>
      <w:divBdr>
        <w:top w:val="none" w:sz="0" w:space="0" w:color="auto"/>
        <w:left w:val="none" w:sz="0" w:space="0" w:color="auto"/>
        <w:bottom w:val="none" w:sz="0" w:space="0" w:color="auto"/>
        <w:right w:val="none" w:sz="0" w:space="0" w:color="auto"/>
      </w:divBdr>
    </w:div>
    <w:div w:id="188613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yperlink" Target="https://www.cbd.int/doc/c/53e0/a73d/03f29240a75c817fbf9fd1db/wg8j-11-02-en.pdf" TargetMode="External"/><Relationship Id="rId26" Type="http://schemas.openxmlformats.org/officeDocument/2006/relationships/hyperlink" Target="https://www.cbd.int/doc/publications/8j-cbd-mootz-kuxtal-es.pdf" TargetMode="External"/><Relationship Id="rId3" Type="http://schemas.openxmlformats.org/officeDocument/2006/relationships/customXml" Target="../customXml/item3.xml"/><Relationship Id="rId21" Type="http://schemas.openxmlformats.org/officeDocument/2006/relationships/hyperlink" Target="https://www.cbd.int/doc/guidelines/cbd-RutzolijirisaxikGuidelines-fr.pdf" TargetMode="External"/><Relationship Id="rId34"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cbd.int/doc/c/53e0/a73d/03f29240a75c817fbf9fd1db/wg8j-11-02-en.pdf" TargetMode="External"/><Relationship Id="rId25" Type="http://schemas.openxmlformats.org/officeDocument/2006/relationships/hyperlink" Target="https://www.cbd.int/doc/publications/8j-cbd-mootz-kuxtal-en.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cop-14/cop-14-dec-01-en.pdf" TargetMode="External"/><Relationship Id="rId20" Type="http://schemas.openxmlformats.org/officeDocument/2006/relationships/hyperlink" Target="https://www.cbd.int/doc/guidelines/cbd-RutzolijirisaxikGuidelines-es.pdf" TargetMode="External"/><Relationship Id="rId29" Type="http://schemas.openxmlformats.org/officeDocument/2006/relationships/hyperlink" Target="https://www.cbd.int/doc/decisions/cop-13/cop-13-dec-28-en.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bd.int/doc/guidelines/cbd-8j-GlossaryArticle-fr.pdf" TargetMode="External"/><Relationship Id="rId32" Type="http://schemas.openxmlformats.org/officeDocument/2006/relationships/header" Target="header2.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cbd.int/doc/guidelines/cbd-8j-GlossaryArticle-es.pdf" TargetMode="External"/><Relationship Id="rId28" Type="http://schemas.openxmlformats.org/officeDocument/2006/relationships/hyperlink" Target="https://www.cbd.int/doc/decisions/cop-14/cop-14-dec-17-en.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cbd.int/doc/guidelines/cbd-RutzolijirisaxikGuidelines-en.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cbd.int/doc/guidelines/cbd-8j-GlossaryArticle-en.pdf" TargetMode="External"/><Relationship Id="rId27" Type="http://schemas.openxmlformats.org/officeDocument/2006/relationships/hyperlink" Target="https://www.cbd.int/doc/publications/8j-cbd-mootz-kuxtal-fr.pdf" TargetMode="External"/><Relationship Id="rId30" Type="http://schemas.openxmlformats.org/officeDocument/2006/relationships/hyperlink" Target="https://www.cbd.int/sp/indicators/factsheets/?id=88"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en.unesco.org/news/taking-stock-iyil2019-78-countries-actively-promoted-indigenous-languages" TargetMode="External"/><Relationship Id="rId3" Type="http://schemas.openxmlformats.org/officeDocument/2006/relationships/hyperlink" Target="https://en.wikipedia.org/wiki/Agroecology" TargetMode="External"/><Relationship Id="rId7" Type="http://schemas.openxmlformats.org/officeDocument/2006/relationships/hyperlink" Target="https://en.iyil2019.org/" TargetMode="External"/><Relationship Id="rId2" Type="http://schemas.openxmlformats.org/officeDocument/2006/relationships/hyperlink" Target="https://www.cbd.int/doc/c/245c/aee3/33cabfb2c1daa9c539b3c5ed/post2020-ws-2019-12-02-en.pdf" TargetMode="External"/><Relationship Id="rId1" Type="http://schemas.openxmlformats.org/officeDocument/2006/relationships/hyperlink" Target="https://www.cbd.int/sp/targets/rationale/target-18/" TargetMode="External"/><Relationship Id="rId6" Type="http://schemas.openxmlformats.org/officeDocument/2006/relationships/hyperlink" Target="https://undocs.org/en/E/C.19/2020/9" TargetMode="External"/><Relationship Id="rId11" Type="http://schemas.openxmlformats.org/officeDocument/2006/relationships/hyperlink" Target="https://www.iccaconsortium.org/index.php/discover/" TargetMode="External"/><Relationship Id="rId5" Type="http://schemas.openxmlformats.org/officeDocument/2006/relationships/hyperlink" Target="https://undocs.org/en/E/C.19/2020/9" TargetMode="External"/><Relationship Id="rId10" Type="http://schemas.openxmlformats.org/officeDocument/2006/relationships/hyperlink" Target="https://en.unesco.org/news/towards-unesco-s-world-atlas-languages-final-recommendations-action-plan" TargetMode="External"/><Relationship Id="rId4" Type="http://schemas.openxmlformats.org/officeDocument/2006/relationships/hyperlink" Target="https://en.iyil2019.org/wp-content/uploads/2018/09/N1804802.pdf" TargetMode="External"/><Relationship Id="rId9" Type="http://schemas.openxmlformats.org/officeDocument/2006/relationships/hyperlink" Target="https://en.iyil2019.org/release-of-the-strategic-outcome-document-of-the-iyil201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698C6A57A84D698CC9045AB3764755"/>
        <w:category>
          <w:name w:val="General"/>
          <w:gallery w:val="placeholder"/>
        </w:category>
        <w:types>
          <w:type w:val="bbPlcHdr"/>
        </w:types>
        <w:behaviors>
          <w:behavior w:val="content"/>
        </w:behaviors>
        <w:guid w:val="{412FB30E-491C-4CA6-B778-DF1818F9A495}"/>
      </w:docPartPr>
      <w:docPartBody>
        <w:p w:rsidR="002B0968" w:rsidRDefault="00137C75">
          <w:r w:rsidRPr="00557B07">
            <w:rPr>
              <w:rStyle w:val="PlaceholderText"/>
            </w:rPr>
            <w:t>[Title]</w:t>
          </w:r>
        </w:p>
      </w:docPartBody>
    </w:docPart>
    <w:docPart>
      <w:docPartPr>
        <w:name w:val="ED438B06C60F42F0A9F36D2C6BDA93BC"/>
        <w:category>
          <w:name w:val="General"/>
          <w:gallery w:val="placeholder"/>
        </w:category>
        <w:types>
          <w:type w:val="bbPlcHdr"/>
        </w:types>
        <w:behaviors>
          <w:behavior w:val="content"/>
        </w:behaviors>
        <w:guid w:val="{B097DF10-A1BB-46F4-A66C-582B2B976934}"/>
      </w:docPartPr>
      <w:docPartBody>
        <w:p w:rsidR="004E1E96" w:rsidRDefault="001708CC" w:rsidP="001708CC">
          <w:pPr>
            <w:pStyle w:val="ED438B06C60F42F0A9F36D2C6BDA93BC"/>
          </w:pPr>
          <w:r w:rsidRPr="007E02EB">
            <w:rPr>
              <w:rStyle w:val="PlaceholderText"/>
            </w:rPr>
            <w:t>[Status]</w:t>
          </w:r>
        </w:p>
      </w:docPartBody>
    </w:docPart>
    <w:docPart>
      <w:docPartPr>
        <w:name w:val="A1582E56A3E8460A8673B071CED83F28"/>
        <w:category>
          <w:name w:val="General"/>
          <w:gallery w:val="placeholder"/>
        </w:category>
        <w:types>
          <w:type w:val="bbPlcHdr"/>
        </w:types>
        <w:behaviors>
          <w:behavior w:val="content"/>
        </w:behaviors>
        <w:guid w:val="{A34545C6-8CC9-46D9-A7A0-50C61E418725}"/>
      </w:docPartPr>
      <w:docPartBody>
        <w:p w:rsidR="004E1E96" w:rsidRDefault="001708CC" w:rsidP="001708CC">
          <w:pPr>
            <w:pStyle w:val="A1582E56A3E8460A8673B071CED83F28"/>
          </w:pPr>
          <w:r w:rsidRPr="007E02EB">
            <w:rPr>
              <w:rStyle w:val="PlaceholderText"/>
            </w:rPr>
            <w:t>[Subject]</w:t>
          </w:r>
        </w:p>
      </w:docPartBody>
    </w:docPart>
    <w:docPart>
      <w:docPartPr>
        <w:name w:val="D15338042E704DB5AD75A275895B4487"/>
        <w:category>
          <w:name w:val="General"/>
          <w:gallery w:val="placeholder"/>
        </w:category>
        <w:types>
          <w:type w:val="bbPlcHdr"/>
        </w:types>
        <w:behaviors>
          <w:behavior w:val="content"/>
        </w:behaviors>
        <w:guid w:val="{1770C494-4EA7-450C-8FFE-FB9E14055BBD}"/>
      </w:docPartPr>
      <w:docPartBody>
        <w:p w:rsidR="004E1E96" w:rsidRDefault="001708CC" w:rsidP="001708CC">
          <w:pPr>
            <w:pStyle w:val="D15338042E704DB5AD75A275895B4487"/>
          </w:pPr>
          <w:r w:rsidRPr="007E02EB">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75"/>
    <w:rsid w:val="00137C75"/>
    <w:rsid w:val="001708CC"/>
    <w:rsid w:val="00170BAB"/>
    <w:rsid w:val="001E7C61"/>
    <w:rsid w:val="0021384C"/>
    <w:rsid w:val="00223F94"/>
    <w:rsid w:val="0023718C"/>
    <w:rsid w:val="002B0968"/>
    <w:rsid w:val="00303B41"/>
    <w:rsid w:val="00345922"/>
    <w:rsid w:val="003B0A0A"/>
    <w:rsid w:val="003C3CF8"/>
    <w:rsid w:val="00424D33"/>
    <w:rsid w:val="00437B94"/>
    <w:rsid w:val="004E1E96"/>
    <w:rsid w:val="00564F73"/>
    <w:rsid w:val="00624453"/>
    <w:rsid w:val="006D3177"/>
    <w:rsid w:val="006F701D"/>
    <w:rsid w:val="00720145"/>
    <w:rsid w:val="00783F3E"/>
    <w:rsid w:val="007B5BBF"/>
    <w:rsid w:val="007D2BAE"/>
    <w:rsid w:val="00905865"/>
    <w:rsid w:val="00991E49"/>
    <w:rsid w:val="00993AAE"/>
    <w:rsid w:val="009E2855"/>
    <w:rsid w:val="00A31B4C"/>
    <w:rsid w:val="00AA1BA4"/>
    <w:rsid w:val="00B94BAB"/>
    <w:rsid w:val="00BB1EA4"/>
    <w:rsid w:val="00CE4C62"/>
    <w:rsid w:val="00D514E1"/>
    <w:rsid w:val="00D53505"/>
    <w:rsid w:val="00E91E2B"/>
    <w:rsid w:val="00EC45FD"/>
    <w:rsid w:val="00EF51C0"/>
    <w:rsid w:val="00FE25D9"/>
    <w:rsid w:val="00FF04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A1BA4"/>
    <w:rPr>
      <w:color w:val="808080"/>
    </w:rPr>
  </w:style>
  <w:style w:type="paragraph" w:customStyle="1" w:styleId="ED438B06C60F42F0A9F36D2C6BDA93BC">
    <w:name w:val="ED438B06C60F42F0A9F36D2C6BDA93BC"/>
    <w:rsid w:val="001708CC"/>
  </w:style>
  <w:style w:type="paragraph" w:customStyle="1" w:styleId="A1582E56A3E8460A8673B071CED83F28">
    <w:name w:val="A1582E56A3E8460A8673B071CED83F28"/>
    <w:rsid w:val="001708CC"/>
  </w:style>
  <w:style w:type="paragraph" w:customStyle="1" w:styleId="D15338042E704DB5AD75A275895B4487">
    <w:name w:val="D15338042E704DB5AD75A275895B4487"/>
    <w:rsid w:val="001708CC"/>
  </w:style>
  <w:style w:type="paragraph" w:customStyle="1" w:styleId="6B59CDD30E0A4B0CA85F10DCAC1CABC2">
    <w:name w:val="6B59CDD30E0A4B0CA85F10DCAC1CABC2"/>
    <w:rsid w:val="001708CC"/>
  </w:style>
  <w:style w:type="paragraph" w:customStyle="1" w:styleId="0D7AE7CE01AA4382B5B534F4019CD7DF">
    <w:name w:val="0D7AE7CE01AA4382B5B534F4019CD7DF"/>
    <w:rsid w:val="001708CC"/>
  </w:style>
  <w:style w:type="paragraph" w:customStyle="1" w:styleId="B9AA87D47E844CF6B4B6F50A3ED8438A">
    <w:name w:val="B9AA87D47E844CF6B4B6F50A3ED8438A"/>
    <w:rsid w:val="00AA1B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2020-04-16T00:00:00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PSbRqGA6B0fxbat+not4H9BAW/Q==">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</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37D34F-0FC4-42A2-BB12-98782C70FC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4261030-6995-4FEB-9206-E8F0E9FF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2BFB446-604A-448E-A892-CA2221884FB4}">
  <ds:schemaRefs>
    <ds:schemaRef ds:uri="http://schemas.microsoft.com/sharepoint/v3/contenttype/forms"/>
  </ds:schemaRefs>
</ds:datastoreItem>
</file>

<file path=customXml/itemProps6.xml><?xml version="1.0" encoding="utf-8"?>
<ds:datastoreItem xmlns:ds="http://schemas.openxmlformats.org/officeDocument/2006/customXml" ds:itemID="{617E131C-64BA-4D83-AB9E-ADB2E3D0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6642</Words>
  <Characters>37864</Characters>
  <Application>Microsoft Office Word</Application>
  <DocSecurity>0</DocSecurity>
  <Lines>315</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Progress towards Aichi Biodiversity Target 18 on traditional knowledge and customary sustainable use of biodiversity</vt:lpstr>
      <vt:lpstr/>
    </vt:vector>
  </TitlesOfParts>
  <Company>SCBD</Company>
  <LinksUpToDate>false</LinksUpToDate>
  <CharactersWithSpaces>44418</CharactersWithSpaces>
  <SharedDoc>false</SharedDoc>
  <HLinks>
    <vt:vector size="186" baseType="variant">
      <vt:variant>
        <vt:i4>7995488</vt:i4>
      </vt:variant>
      <vt:variant>
        <vt:i4>54</vt:i4>
      </vt:variant>
      <vt:variant>
        <vt:i4>0</vt:i4>
      </vt:variant>
      <vt:variant>
        <vt:i4>5</vt:i4>
      </vt:variant>
      <vt:variant>
        <vt:lpwstr>https://www.cbd.int/sp/indicators/factsheets/?id=88</vt:lpwstr>
      </vt:variant>
      <vt:variant>
        <vt:lpwstr/>
      </vt:variant>
      <vt:variant>
        <vt:i4>79</vt:i4>
      </vt:variant>
      <vt:variant>
        <vt:i4>39</vt:i4>
      </vt:variant>
      <vt:variant>
        <vt:i4>0</vt:i4>
      </vt:variant>
      <vt:variant>
        <vt:i4>5</vt:i4>
      </vt:variant>
      <vt:variant>
        <vt:lpwstr>https://www.cbd.int/doc/decisions/cop-13/cop-13-dec-28-en.pdf</vt:lpwstr>
      </vt:variant>
      <vt:variant>
        <vt:lpwstr/>
      </vt:variant>
      <vt:variant>
        <vt:i4>524363</vt:i4>
      </vt:variant>
      <vt:variant>
        <vt:i4>33</vt:i4>
      </vt:variant>
      <vt:variant>
        <vt:i4>0</vt:i4>
      </vt:variant>
      <vt:variant>
        <vt:i4>5</vt:i4>
      </vt:variant>
      <vt:variant>
        <vt:lpwstr>https://www.cbd.int/doc/decisions/cop-14/cop-14-dec-17-en.pdf</vt:lpwstr>
      </vt:variant>
      <vt:variant>
        <vt:lpwstr/>
      </vt:variant>
      <vt:variant>
        <vt:i4>3801127</vt:i4>
      </vt:variant>
      <vt:variant>
        <vt:i4>30</vt:i4>
      </vt:variant>
      <vt:variant>
        <vt:i4>0</vt:i4>
      </vt:variant>
      <vt:variant>
        <vt:i4>5</vt:i4>
      </vt:variant>
      <vt:variant>
        <vt:lpwstr>https://www.cbd.int/doc/publications/8j-cbd-mootz-kuxtal-fr.pdf</vt:lpwstr>
      </vt:variant>
      <vt:variant>
        <vt:lpwstr/>
      </vt:variant>
      <vt:variant>
        <vt:i4>3735590</vt:i4>
      </vt:variant>
      <vt:variant>
        <vt:i4>27</vt:i4>
      </vt:variant>
      <vt:variant>
        <vt:i4>0</vt:i4>
      </vt:variant>
      <vt:variant>
        <vt:i4>5</vt:i4>
      </vt:variant>
      <vt:variant>
        <vt:lpwstr>https://www.cbd.int/doc/publications/8j-cbd-mootz-kuxtal-es.pdf</vt:lpwstr>
      </vt:variant>
      <vt:variant>
        <vt:lpwstr/>
      </vt:variant>
      <vt:variant>
        <vt:i4>3735611</vt:i4>
      </vt:variant>
      <vt:variant>
        <vt:i4>24</vt:i4>
      </vt:variant>
      <vt:variant>
        <vt:i4>0</vt:i4>
      </vt:variant>
      <vt:variant>
        <vt:i4>5</vt:i4>
      </vt:variant>
      <vt:variant>
        <vt:lpwstr>https://www.cbd.int/doc/publications/8j-cbd-mootz-kuxtal-en.pdf</vt:lpwstr>
      </vt:variant>
      <vt:variant>
        <vt:lpwstr/>
      </vt:variant>
      <vt:variant>
        <vt:i4>5111814</vt:i4>
      </vt:variant>
      <vt:variant>
        <vt:i4>21</vt:i4>
      </vt:variant>
      <vt:variant>
        <vt:i4>0</vt:i4>
      </vt:variant>
      <vt:variant>
        <vt:i4>5</vt:i4>
      </vt:variant>
      <vt:variant>
        <vt:lpwstr>https://www.cbd.int/doc/guidelines/cbd-8j-GlossaryArticle-fr.pdf</vt:lpwstr>
      </vt:variant>
      <vt:variant>
        <vt:lpwstr/>
      </vt:variant>
      <vt:variant>
        <vt:i4>5177349</vt:i4>
      </vt:variant>
      <vt:variant>
        <vt:i4>18</vt:i4>
      </vt:variant>
      <vt:variant>
        <vt:i4>0</vt:i4>
      </vt:variant>
      <vt:variant>
        <vt:i4>5</vt:i4>
      </vt:variant>
      <vt:variant>
        <vt:lpwstr>https://www.cbd.int/doc/guidelines/cbd-8j-GlossaryArticle-es.pdf</vt:lpwstr>
      </vt:variant>
      <vt:variant>
        <vt:lpwstr/>
      </vt:variant>
      <vt:variant>
        <vt:i4>5373957</vt:i4>
      </vt:variant>
      <vt:variant>
        <vt:i4>15</vt:i4>
      </vt:variant>
      <vt:variant>
        <vt:i4>0</vt:i4>
      </vt:variant>
      <vt:variant>
        <vt:i4>5</vt:i4>
      </vt:variant>
      <vt:variant>
        <vt:lpwstr>https://www.cbd.int/doc/guidelines/cbd-8j-GlossaryArticle-en.pdf</vt:lpwstr>
      </vt:variant>
      <vt:variant>
        <vt:lpwstr/>
      </vt:variant>
      <vt:variant>
        <vt:i4>4456461</vt:i4>
      </vt:variant>
      <vt:variant>
        <vt:i4>12</vt:i4>
      </vt:variant>
      <vt:variant>
        <vt:i4>0</vt:i4>
      </vt:variant>
      <vt:variant>
        <vt:i4>5</vt:i4>
      </vt:variant>
      <vt:variant>
        <vt:lpwstr>https://www.cbd.int/doc/guidelines/cbd-RutzolijirisaxikGuidelines-fr.pdf</vt:lpwstr>
      </vt:variant>
      <vt:variant>
        <vt:lpwstr/>
      </vt:variant>
      <vt:variant>
        <vt:i4>4521998</vt:i4>
      </vt:variant>
      <vt:variant>
        <vt:i4>9</vt:i4>
      </vt:variant>
      <vt:variant>
        <vt:i4>0</vt:i4>
      </vt:variant>
      <vt:variant>
        <vt:i4>5</vt:i4>
      </vt:variant>
      <vt:variant>
        <vt:lpwstr>https://www.cbd.int/doc/guidelines/cbd-RutzolijirisaxikGuidelines-es.pdf</vt:lpwstr>
      </vt:variant>
      <vt:variant>
        <vt:lpwstr/>
      </vt:variant>
      <vt:variant>
        <vt:i4>5767182</vt:i4>
      </vt:variant>
      <vt:variant>
        <vt:i4>6</vt:i4>
      </vt:variant>
      <vt:variant>
        <vt:i4>0</vt:i4>
      </vt:variant>
      <vt:variant>
        <vt:i4>5</vt:i4>
      </vt:variant>
      <vt:variant>
        <vt:lpwstr>https://www.cbd.int/doc/guidelines/cbd-RutzolijirisaxikGuidelines-en.pdf</vt:lpwstr>
      </vt:variant>
      <vt:variant>
        <vt:lpwstr/>
      </vt:variant>
      <vt:variant>
        <vt:i4>917578</vt:i4>
      </vt:variant>
      <vt:variant>
        <vt:i4>0</vt:i4>
      </vt:variant>
      <vt:variant>
        <vt:i4>0</vt:i4>
      </vt:variant>
      <vt:variant>
        <vt:i4>5</vt:i4>
      </vt:variant>
      <vt:variant>
        <vt:lpwstr>https://www.cbd.int/doc/decisions/cop-14/cop-14-dec-01-en.pdf</vt:lpwstr>
      </vt:variant>
      <vt:variant>
        <vt:lpwstr/>
      </vt:variant>
      <vt:variant>
        <vt:i4>7995488</vt:i4>
      </vt:variant>
      <vt:variant>
        <vt:i4>63</vt:i4>
      </vt:variant>
      <vt:variant>
        <vt:i4>0</vt:i4>
      </vt:variant>
      <vt:variant>
        <vt:i4>5</vt:i4>
      </vt:variant>
      <vt:variant>
        <vt:lpwstr>https://www.cbd.int/sp/indicators/factsheets/?id=87</vt:lpwstr>
      </vt:variant>
      <vt:variant>
        <vt:lpwstr/>
      </vt:variant>
      <vt:variant>
        <vt:i4>7667808</vt:i4>
      </vt:variant>
      <vt:variant>
        <vt:i4>57</vt:i4>
      </vt:variant>
      <vt:variant>
        <vt:i4>0</vt:i4>
      </vt:variant>
      <vt:variant>
        <vt:i4>5</vt:i4>
      </vt:variant>
      <vt:variant>
        <vt:lpwstr>https://www.cbd.int/sp/indicators/factsheets/?id=71</vt:lpwstr>
      </vt:variant>
      <vt:variant>
        <vt:lpwstr/>
      </vt:variant>
      <vt:variant>
        <vt:i4>7667808</vt:i4>
      </vt:variant>
      <vt:variant>
        <vt:i4>51</vt:i4>
      </vt:variant>
      <vt:variant>
        <vt:i4>0</vt:i4>
      </vt:variant>
      <vt:variant>
        <vt:i4>5</vt:i4>
      </vt:variant>
      <vt:variant>
        <vt:lpwstr>https://www.cbd.int/sp/indicators/factsheets/?id=70</vt:lpwstr>
      </vt:variant>
      <vt:variant>
        <vt:lpwstr/>
      </vt:variant>
      <vt:variant>
        <vt:i4>7995488</vt:i4>
      </vt:variant>
      <vt:variant>
        <vt:i4>45</vt:i4>
      </vt:variant>
      <vt:variant>
        <vt:i4>0</vt:i4>
      </vt:variant>
      <vt:variant>
        <vt:i4>5</vt:i4>
      </vt:variant>
      <vt:variant>
        <vt:lpwstr>https://www.cbd.int/sp/indicators/factsheets/?id=88</vt:lpwstr>
      </vt:variant>
      <vt:variant>
        <vt:lpwstr/>
      </vt:variant>
      <vt:variant>
        <vt:i4>7995488</vt:i4>
      </vt:variant>
      <vt:variant>
        <vt:i4>39</vt:i4>
      </vt:variant>
      <vt:variant>
        <vt:i4>0</vt:i4>
      </vt:variant>
      <vt:variant>
        <vt:i4>5</vt:i4>
      </vt:variant>
      <vt:variant>
        <vt:lpwstr>https://www.cbd.int/sp/indicators/factsheets/?id=88</vt:lpwstr>
      </vt:variant>
      <vt:variant>
        <vt:lpwstr/>
      </vt:variant>
      <vt:variant>
        <vt:i4>1638466</vt:i4>
      </vt:variant>
      <vt:variant>
        <vt:i4>36</vt:i4>
      </vt:variant>
      <vt:variant>
        <vt:i4>0</vt:i4>
      </vt:variant>
      <vt:variant>
        <vt:i4>5</vt:i4>
      </vt:variant>
      <vt:variant>
        <vt:lpwstr>https://en.iyil2019.org/release-of-the-strategic-outcome-document-of-the-iyil2019-2/</vt:lpwstr>
      </vt:variant>
      <vt:variant>
        <vt:lpwstr/>
      </vt:variant>
      <vt:variant>
        <vt:i4>983071</vt:i4>
      </vt:variant>
      <vt:variant>
        <vt:i4>33</vt:i4>
      </vt:variant>
      <vt:variant>
        <vt:i4>0</vt:i4>
      </vt:variant>
      <vt:variant>
        <vt:i4>5</vt:i4>
      </vt:variant>
      <vt:variant>
        <vt:lpwstr>https://en.iyil2019.org/</vt:lpwstr>
      </vt:variant>
      <vt:variant>
        <vt:lpwstr/>
      </vt:variant>
      <vt:variant>
        <vt:i4>3473462</vt:i4>
      </vt:variant>
      <vt:variant>
        <vt:i4>30</vt:i4>
      </vt:variant>
      <vt:variant>
        <vt:i4>0</vt:i4>
      </vt:variant>
      <vt:variant>
        <vt:i4>5</vt:i4>
      </vt:variant>
      <vt:variant>
        <vt:lpwstr>https://en.unesco.org/feedback/call-research-papers-within-context-2019-international-year-indigenous-languages</vt:lpwstr>
      </vt:variant>
      <vt:variant>
        <vt:lpwstr/>
      </vt:variant>
      <vt:variant>
        <vt:i4>3538999</vt:i4>
      </vt:variant>
      <vt:variant>
        <vt:i4>27</vt:i4>
      </vt:variant>
      <vt:variant>
        <vt:i4>0</vt:i4>
      </vt:variant>
      <vt:variant>
        <vt:i4>5</vt:i4>
      </vt:variant>
      <vt:variant>
        <vt:lpwstr>https://undocs.org/en/E/C.19/2020/9</vt:lpwstr>
      </vt:variant>
      <vt:variant>
        <vt:lpwstr/>
      </vt:variant>
      <vt:variant>
        <vt:i4>6619175</vt:i4>
      </vt:variant>
      <vt:variant>
        <vt:i4>24</vt:i4>
      </vt:variant>
      <vt:variant>
        <vt:i4>0</vt:i4>
      </vt:variant>
      <vt:variant>
        <vt:i4>5</vt:i4>
      </vt:variant>
      <vt:variant>
        <vt:lpwstr>https://en.iyil2019.org/wp-content/uploads/2018/09/N1804802.pdf</vt:lpwstr>
      </vt:variant>
      <vt:variant>
        <vt:lpwstr/>
      </vt:variant>
      <vt:variant>
        <vt:i4>7995488</vt:i4>
      </vt:variant>
      <vt:variant>
        <vt:i4>21</vt:i4>
      </vt:variant>
      <vt:variant>
        <vt:i4>0</vt:i4>
      </vt:variant>
      <vt:variant>
        <vt:i4>5</vt:i4>
      </vt:variant>
      <vt:variant>
        <vt:lpwstr>https://www.cbd.int/sp/indicators/factsheets/?id=87</vt:lpwstr>
      </vt:variant>
      <vt:variant>
        <vt:lpwstr/>
      </vt:variant>
      <vt:variant>
        <vt:i4>7667808</vt:i4>
      </vt:variant>
      <vt:variant>
        <vt:i4>18</vt:i4>
      </vt:variant>
      <vt:variant>
        <vt:i4>0</vt:i4>
      </vt:variant>
      <vt:variant>
        <vt:i4>5</vt:i4>
      </vt:variant>
      <vt:variant>
        <vt:lpwstr>https://www.cbd.int/sp/indicators/factsheets/?id=71</vt:lpwstr>
      </vt:variant>
      <vt:variant>
        <vt:lpwstr/>
      </vt:variant>
      <vt:variant>
        <vt:i4>7667808</vt:i4>
      </vt:variant>
      <vt:variant>
        <vt:i4>15</vt:i4>
      </vt:variant>
      <vt:variant>
        <vt:i4>0</vt:i4>
      </vt:variant>
      <vt:variant>
        <vt:i4>5</vt:i4>
      </vt:variant>
      <vt:variant>
        <vt:lpwstr>https://www.cbd.int/sp/indicators/factsheets/?id=70</vt:lpwstr>
      </vt:variant>
      <vt:variant>
        <vt:lpwstr/>
      </vt:variant>
      <vt:variant>
        <vt:i4>7995488</vt:i4>
      </vt:variant>
      <vt:variant>
        <vt:i4>12</vt:i4>
      </vt:variant>
      <vt:variant>
        <vt:i4>0</vt:i4>
      </vt:variant>
      <vt:variant>
        <vt:i4>5</vt:i4>
      </vt:variant>
      <vt:variant>
        <vt:lpwstr>https://www.cbd.int/sp/indicators/factsheets/?id=88</vt:lpwstr>
      </vt:variant>
      <vt:variant>
        <vt:lpwstr/>
      </vt:variant>
      <vt:variant>
        <vt:i4>7536676</vt:i4>
      </vt:variant>
      <vt:variant>
        <vt:i4>9</vt:i4>
      </vt:variant>
      <vt:variant>
        <vt:i4>0</vt:i4>
      </vt:variant>
      <vt:variant>
        <vt:i4>5</vt:i4>
      </vt:variant>
      <vt:variant>
        <vt:lpwstr>https://www.cbd.int/doc/c/245c/aee3/33cabfb2c1daa9c539b3c5ed/post2020-ws-2019-12-02-en.pdf</vt:lpwstr>
      </vt:variant>
      <vt:variant>
        <vt:lpwstr/>
      </vt:variant>
      <vt:variant>
        <vt:i4>7536676</vt:i4>
      </vt:variant>
      <vt:variant>
        <vt:i4>6</vt:i4>
      </vt:variant>
      <vt:variant>
        <vt:i4>0</vt:i4>
      </vt:variant>
      <vt:variant>
        <vt:i4>5</vt:i4>
      </vt:variant>
      <vt:variant>
        <vt:lpwstr>https://www.cbd.int/doc/c/245c/aee3/33cabfb2c1daa9c539b3c5ed/post2020-ws-2019-12-02-en.pdf</vt:lpwstr>
      </vt:variant>
      <vt:variant>
        <vt:lpwstr/>
      </vt:variant>
      <vt:variant>
        <vt:i4>4063293</vt:i4>
      </vt:variant>
      <vt:variant>
        <vt:i4>3</vt:i4>
      </vt:variant>
      <vt:variant>
        <vt:i4>0</vt:i4>
      </vt:variant>
      <vt:variant>
        <vt:i4>5</vt:i4>
      </vt:variant>
      <vt:variant>
        <vt:lpwstr>https://www.cbd.int/sp/targets/rationale/target-18/</vt:lpwstr>
      </vt:variant>
      <vt:variant>
        <vt:lpwstr/>
      </vt:variant>
      <vt:variant>
        <vt:i4>3211370</vt:i4>
      </vt:variant>
      <vt:variant>
        <vt:i4>0</vt:i4>
      </vt:variant>
      <vt:variant>
        <vt:i4>0</vt:i4>
      </vt:variant>
      <vt:variant>
        <vt:i4>5</vt:i4>
      </vt:variant>
      <vt:variant>
        <vt:lpwstr>https://www.cbd.int/doc/c/53e0/a73d/03f29240a75c817fbf9fd1db/wg8j-11-02-en.pdf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towards Aichi Biodiversity Target 18 on traditional knowledge and customary sustainable use of biodiversity</dc:title>
  <dc:subject>CBD/SBI/3/2/Add.4</dc:subject>
  <dc:creator>SCBD</dc:creator>
  <cp:keywords>Subsidiary Body on Implementation, third meeting, Convention on Biological Diversity</cp:keywords>
  <cp:lastModifiedBy>Veronique Lefebvre</cp:lastModifiedBy>
  <cp:revision>5</cp:revision>
  <cp:lastPrinted>2020-06-04T04:28:00Z</cp:lastPrinted>
  <dcterms:created xsi:type="dcterms:W3CDTF">2020-07-08T19:08:00Z</dcterms:created>
  <dcterms:modified xsi:type="dcterms:W3CDTF">2020-07-08T19:12:00Z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