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Layout w:type="fixed"/>
        <w:tblLook w:val="00A0"/>
      </w:tblPr>
      <w:tblGrid>
        <w:gridCol w:w="976"/>
        <w:gridCol w:w="5141"/>
        <w:gridCol w:w="4090"/>
      </w:tblGrid>
      <w:tr w:rsidR="000359C1" w:rsidRPr="008515EE">
        <w:trPr>
          <w:trHeight w:val="851"/>
        </w:trPr>
        <w:tc>
          <w:tcPr>
            <w:tcW w:w="976" w:type="dxa"/>
            <w:tcBorders>
              <w:bottom w:val="single" w:sz="12" w:space="0" w:color="auto"/>
            </w:tcBorders>
          </w:tcPr>
          <w:p w:rsidR="000359C1" w:rsidRPr="008515EE" w:rsidRDefault="0093311B">
            <w:pPr>
              <w:rPr>
                <w:rFonts w:eastAsia="Times New Roman"/>
                <w:kern w:val="22"/>
                <w:lang w:val="es-ES"/>
              </w:rPr>
            </w:pPr>
            <w:r w:rsidRPr="008515EE">
              <w:rPr>
                <w:rFonts w:eastAsia="Times New Roman"/>
                <w:snapToGrid/>
                <w:kern w:val="22"/>
                <w:lang w:val="es-ES"/>
              </w:rPr>
              <w:drawing>
                <wp:inline distT="0" distB="0" distL="0" distR="0">
                  <wp:extent cx="426720" cy="36195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srcRect/>
                          <a:stretch>
                            <a:fillRect/>
                          </a:stretch>
                        </pic:blipFill>
                        <pic:spPr bwMode="auto">
                          <a:xfrm>
                            <a:off x="0" y="0"/>
                            <a:ext cx="426720" cy="361950"/>
                          </a:xfrm>
                          <a:prstGeom prst="rect">
                            <a:avLst/>
                          </a:prstGeom>
                          <a:noFill/>
                          <a:ln w="9525">
                            <a:noFill/>
                            <a:miter lim="800000"/>
                            <a:headEnd/>
                            <a:tailEnd/>
                          </a:ln>
                        </pic:spPr>
                      </pic:pic>
                    </a:graphicData>
                  </a:graphic>
                </wp:inline>
              </w:drawing>
            </w:r>
          </w:p>
        </w:tc>
        <w:tc>
          <w:tcPr>
            <w:tcW w:w="5141" w:type="dxa"/>
            <w:tcBorders>
              <w:bottom w:val="single" w:sz="12" w:space="0" w:color="auto"/>
            </w:tcBorders>
            <w:tcFitText/>
          </w:tcPr>
          <w:p w:rsidR="000359C1" w:rsidRPr="008515EE" w:rsidRDefault="0093311B">
            <w:pPr>
              <w:rPr>
                <w:rFonts w:eastAsia="Times New Roman"/>
                <w:kern w:val="22"/>
                <w:lang w:val="es-ES"/>
              </w:rPr>
            </w:pPr>
            <w:r w:rsidRPr="008515EE">
              <w:rPr>
                <w:snapToGrid/>
                <w:lang w:val="es-ES"/>
              </w:rPr>
              <w:drawing>
                <wp:anchor distT="0" distB="0" distL="114300" distR="114300" simplePos="0" relativeHeight="251657728" behindDoc="0" locked="0" layoutInCell="1" allowOverlap="1">
                  <wp:simplePos x="0" y="0"/>
                  <wp:positionH relativeFrom="column">
                    <wp:posOffset>-193040</wp:posOffset>
                  </wp:positionH>
                  <wp:positionV relativeFrom="paragraph">
                    <wp:posOffset>3175</wp:posOffset>
                  </wp:positionV>
                  <wp:extent cx="668020" cy="390525"/>
                  <wp:effectExtent l="1905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srcRect/>
                          <a:stretch>
                            <a:fillRect/>
                          </a:stretch>
                        </pic:blipFill>
                        <pic:spPr bwMode="auto">
                          <a:xfrm>
                            <a:off x="0" y="0"/>
                            <a:ext cx="668020" cy="390525"/>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rsidR="000359C1" w:rsidRPr="008515EE" w:rsidRDefault="000359C1">
            <w:pPr>
              <w:jc w:val="right"/>
              <w:rPr>
                <w:rFonts w:ascii="Arial" w:eastAsia="Times New Roman" w:hAnsi="Arial" w:cs="Arial"/>
                <w:b/>
                <w:bCs/>
                <w:kern w:val="22"/>
                <w:sz w:val="32"/>
                <w:szCs w:val="32"/>
                <w:lang w:val="es-ES"/>
              </w:rPr>
            </w:pPr>
            <w:r w:rsidRPr="008515EE">
              <w:rPr>
                <w:rFonts w:ascii="Arial" w:eastAsia="Times New Roman" w:hAnsi="Arial" w:cs="Arial"/>
                <w:b/>
                <w:bCs/>
                <w:kern w:val="22"/>
                <w:sz w:val="32"/>
                <w:szCs w:val="32"/>
                <w:lang w:val="es-ES"/>
              </w:rPr>
              <w:t>CBD</w:t>
            </w:r>
          </w:p>
        </w:tc>
      </w:tr>
      <w:tr w:rsidR="000359C1" w:rsidRPr="008515EE">
        <w:tc>
          <w:tcPr>
            <w:tcW w:w="6117" w:type="dxa"/>
            <w:gridSpan w:val="2"/>
            <w:tcBorders>
              <w:top w:val="single" w:sz="12" w:space="0" w:color="auto"/>
              <w:bottom w:val="single" w:sz="36" w:space="0" w:color="auto"/>
            </w:tcBorders>
            <w:vAlign w:val="center"/>
          </w:tcPr>
          <w:p w:rsidR="000359C1" w:rsidRPr="008515EE" w:rsidRDefault="0093311B">
            <w:pPr>
              <w:rPr>
                <w:rFonts w:eastAsia="Times New Roman"/>
                <w:kern w:val="22"/>
                <w:lang w:val="es-ES"/>
              </w:rPr>
            </w:pPr>
            <w:r w:rsidRPr="008515EE">
              <w:rPr>
                <w:rFonts w:eastAsia="Times New Roman"/>
                <w:snapToGrid/>
                <w:kern w:val="22"/>
                <w:lang w:val="es-ES"/>
              </w:rPr>
              <w:drawing>
                <wp:inline distT="0" distB="0" distL="0" distR="0">
                  <wp:extent cx="2903220" cy="107823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srcRect/>
                          <a:stretch>
                            <a:fillRect/>
                          </a:stretch>
                        </pic:blipFill>
                        <pic:spPr bwMode="auto">
                          <a:xfrm>
                            <a:off x="0" y="0"/>
                            <a:ext cx="2903220" cy="107823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0359C1" w:rsidRPr="008515EE" w:rsidRDefault="000359C1">
            <w:pPr>
              <w:ind w:left="1215"/>
              <w:rPr>
                <w:rFonts w:eastAsia="Times New Roman"/>
                <w:kern w:val="22"/>
                <w:lang w:val="es-ES"/>
              </w:rPr>
            </w:pPr>
            <w:r w:rsidRPr="008515EE">
              <w:rPr>
                <w:rFonts w:eastAsia="Times New Roman"/>
                <w:kern w:val="22"/>
                <w:lang w:val="es-ES"/>
              </w:rPr>
              <w:t>Distr.</w:t>
            </w:r>
          </w:p>
          <w:p w:rsidR="000359C1" w:rsidRPr="008515EE" w:rsidRDefault="000359C1">
            <w:pPr>
              <w:ind w:left="1215"/>
              <w:rPr>
                <w:rFonts w:eastAsia="Times New Roman"/>
                <w:kern w:val="22"/>
                <w:lang w:val="es-ES"/>
              </w:rPr>
            </w:pPr>
            <w:r w:rsidRPr="008515EE">
              <w:rPr>
                <w:rFonts w:eastAsia="Times New Roman"/>
                <w:caps/>
                <w:kern w:val="22"/>
                <w:lang w:val="es-ES"/>
              </w:rPr>
              <w:t>GENERAL</w:t>
            </w:r>
          </w:p>
          <w:p w:rsidR="000359C1" w:rsidRPr="008515EE" w:rsidRDefault="000359C1">
            <w:pPr>
              <w:ind w:left="1215"/>
              <w:rPr>
                <w:rFonts w:eastAsia="Times New Roman"/>
                <w:kern w:val="22"/>
                <w:lang w:val="es-ES"/>
              </w:rPr>
            </w:pPr>
          </w:p>
          <w:p w:rsidR="000359C1" w:rsidRPr="008515EE" w:rsidRDefault="000359C1">
            <w:pPr>
              <w:ind w:left="1215"/>
              <w:rPr>
                <w:rFonts w:eastAsia="Times New Roman"/>
                <w:kern w:val="22"/>
                <w:lang w:val="es-ES"/>
              </w:rPr>
            </w:pPr>
            <w:r w:rsidRPr="008515EE">
              <w:rPr>
                <w:rFonts w:eastAsia="Times New Roman"/>
                <w:kern w:val="22"/>
                <w:lang w:val="es-ES"/>
              </w:rPr>
              <w:t>CBD/CP/MOP/10/11</w:t>
            </w:r>
          </w:p>
          <w:p w:rsidR="000359C1" w:rsidRPr="008515EE" w:rsidRDefault="000359C1">
            <w:pPr>
              <w:ind w:left="1215"/>
              <w:rPr>
                <w:rFonts w:eastAsia="Times New Roman"/>
                <w:kern w:val="22"/>
                <w:lang w:val="es-ES"/>
              </w:rPr>
            </w:pPr>
            <w:r w:rsidRPr="008515EE">
              <w:rPr>
                <w:rFonts w:eastAsia="Times New Roman"/>
                <w:kern w:val="22"/>
                <w:lang w:val="es-ES"/>
              </w:rPr>
              <w:t>14 de diciembre de 2021</w:t>
            </w:r>
          </w:p>
          <w:p w:rsidR="000359C1" w:rsidRPr="008515EE" w:rsidRDefault="000359C1">
            <w:pPr>
              <w:ind w:left="1215"/>
              <w:rPr>
                <w:rFonts w:eastAsia="Times New Roman"/>
                <w:kern w:val="22"/>
                <w:lang w:val="es-ES"/>
              </w:rPr>
            </w:pPr>
          </w:p>
          <w:p w:rsidR="000359C1" w:rsidRPr="008515EE" w:rsidRDefault="000359C1">
            <w:pPr>
              <w:ind w:left="1215"/>
              <w:rPr>
                <w:rFonts w:eastAsia="Times New Roman"/>
                <w:kern w:val="22"/>
                <w:lang w:val="es-ES"/>
              </w:rPr>
            </w:pPr>
            <w:r w:rsidRPr="008515EE">
              <w:rPr>
                <w:rFonts w:eastAsia="Times New Roman"/>
                <w:kern w:val="22"/>
                <w:lang w:val="es-ES"/>
              </w:rPr>
              <w:t>ESPAÑOL</w:t>
            </w:r>
          </w:p>
          <w:p w:rsidR="000359C1" w:rsidRPr="008515EE" w:rsidRDefault="000359C1">
            <w:pPr>
              <w:ind w:left="1215"/>
              <w:rPr>
                <w:rFonts w:eastAsia="Times New Roman"/>
                <w:kern w:val="22"/>
                <w:lang w:val="es-ES"/>
              </w:rPr>
            </w:pPr>
            <w:r w:rsidRPr="008515EE">
              <w:rPr>
                <w:rFonts w:eastAsia="Times New Roman"/>
                <w:kern w:val="22"/>
                <w:lang w:val="es-ES"/>
              </w:rPr>
              <w:t>ORIGINAL: INGLÉS</w:t>
            </w:r>
          </w:p>
          <w:p w:rsidR="000359C1" w:rsidRPr="008515EE" w:rsidRDefault="000359C1">
            <w:pPr>
              <w:rPr>
                <w:rFonts w:eastAsia="Times New Roman"/>
                <w:kern w:val="22"/>
                <w:lang w:val="es-ES"/>
              </w:rPr>
            </w:pPr>
          </w:p>
        </w:tc>
      </w:tr>
    </w:tbl>
    <w:p w:rsidR="000359C1" w:rsidRPr="008515EE" w:rsidRDefault="000359C1">
      <w:pPr>
        <w:pStyle w:val="Cornernotation"/>
        <w:kinsoku w:val="0"/>
        <w:overflowPunct w:val="0"/>
        <w:autoSpaceDE w:val="0"/>
        <w:autoSpaceDN w:val="0"/>
        <w:spacing w:before="60"/>
        <w:ind w:left="227" w:right="4302" w:hanging="227"/>
        <w:rPr>
          <w:rFonts w:eastAsia="Times New Roman"/>
          <w:kern w:val="22"/>
          <w:lang w:val="es-ES"/>
        </w:rPr>
      </w:pPr>
      <w:r w:rsidRPr="008515EE">
        <w:rPr>
          <w:rFonts w:eastAsia="Times New Roman"/>
          <w:kern w:val="22"/>
          <w:lang w:val="es-ES"/>
        </w:rPr>
        <w:t>CONFERENCIA DE LAS PARTES EN EL CONVENIO SOBRE LA DIVERSIDAD BIOLÓGICA QUE ACTÚA COMO REUNIÓN DE LAS PARTES EN EL PROTOCOLO DE CARTAGENA SOBRE SEGURIDAD DE LA BIOTECNOLOGÍA</w:t>
      </w:r>
    </w:p>
    <w:p w:rsidR="000359C1" w:rsidRPr="008515EE" w:rsidRDefault="000359C1">
      <w:pPr>
        <w:ind w:left="284" w:hanging="284"/>
        <w:jc w:val="left"/>
        <w:rPr>
          <w:rFonts w:eastAsia="Times New Roman"/>
          <w:kern w:val="22"/>
          <w:lang w:val="es-ES"/>
        </w:rPr>
      </w:pPr>
      <w:r w:rsidRPr="008515EE">
        <w:rPr>
          <w:rFonts w:eastAsia="Times New Roman"/>
          <w:kern w:val="22"/>
          <w:lang w:val="es-ES"/>
        </w:rPr>
        <w:t>Décima reunión (continuación)</w:t>
      </w:r>
    </w:p>
    <w:p w:rsidR="000359C1" w:rsidRPr="008515EE" w:rsidRDefault="000359C1">
      <w:pPr>
        <w:ind w:left="284" w:hanging="284"/>
        <w:jc w:val="left"/>
        <w:rPr>
          <w:rFonts w:eastAsia="Times New Roman"/>
          <w:kern w:val="22"/>
          <w:lang w:val="es-ES"/>
        </w:rPr>
      </w:pPr>
      <w:r w:rsidRPr="008515EE">
        <w:rPr>
          <w:rFonts w:eastAsia="Times New Roman"/>
          <w:kern w:val="22"/>
          <w:lang w:val="es-ES"/>
        </w:rPr>
        <w:t>Kunming (China), fechas por determinar</w:t>
      </w:r>
    </w:p>
    <w:p w:rsidR="000359C1" w:rsidRPr="008515EE" w:rsidRDefault="000359C1">
      <w:pPr>
        <w:rPr>
          <w:rFonts w:eastAsia="Times New Roman"/>
          <w:kern w:val="22"/>
          <w:lang w:val="es-ES"/>
        </w:rPr>
      </w:pPr>
      <w:r w:rsidRPr="008515EE">
        <w:rPr>
          <w:rFonts w:eastAsia="Times New Roman"/>
          <w:kern w:val="22"/>
          <w:lang w:val="es-ES"/>
        </w:rPr>
        <w:t>Tema 16 del programa</w:t>
      </w:r>
    </w:p>
    <w:p w:rsidR="000359C1" w:rsidRPr="008515EE" w:rsidRDefault="000359C1">
      <w:pPr>
        <w:pStyle w:val="HEADINGNOTFORTOC"/>
        <w:outlineLvl w:val="9"/>
        <w:rPr>
          <w:rFonts w:eastAsia="Times New Roman"/>
          <w:kern w:val="22"/>
          <w:lang w:val="es-ES"/>
        </w:rPr>
      </w:pPr>
      <w:r w:rsidRPr="008515EE">
        <w:rPr>
          <w:rFonts w:eastAsia="Times New Roman"/>
          <w:kern w:val="22"/>
          <w:lang w:val="es-ES"/>
        </w:rPr>
        <w:t>Consideraciones socioeconómicas (artículo 26)</w:t>
      </w:r>
    </w:p>
    <w:p w:rsidR="000359C1" w:rsidRPr="008515EE" w:rsidRDefault="000359C1">
      <w:pPr>
        <w:pStyle w:val="Style1"/>
        <w:outlineLvl w:val="9"/>
        <w:rPr>
          <w:rFonts w:eastAsia="Times New Roman"/>
          <w:b w:val="0"/>
          <w:bCs w:val="0"/>
          <w:kern w:val="22"/>
          <w:lang w:val="es-ES"/>
        </w:rPr>
      </w:pPr>
      <w:r w:rsidRPr="008515EE">
        <w:rPr>
          <w:rFonts w:eastAsia="Times New Roman"/>
          <w:b w:val="0"/>
          <w:bCs w:val="0"/>
          <w:kern w:val="22"/>
          <w:lang w:val="es-ES"/>
        </w:rPr>
        <w:t>Nota de la Secretaria Ejecutiva</w:t>
      </w:r>
    </w:p>
    <w:p w:rsidR="000359C1" w:rsidRPr="008515EE" w:rsidRDefault="000359C1">
      <w:pPr>
        <w:pStyle w:val="Heading1"/>
        <w:numPr>
          <w:ilvl w:val="0"/>
          <w:numId w:val="14"/>
        </w:numPr>
        <w:rPr>
          <w:rFonts w:eastAsia="Times New Roman"/>
          <w:kern w:val="22"/>
          <w:lang w:val="es-ES"/>
        </w:rPr>
      </w:pPr>
      <w:r w:rsidRPr="008515EE">
        <w:rPr>
          <w:rFonts w:eastAsia="Times New Roman"/>
          <w:kern w:val="22"/>
          <w:lang w:val="es-ES"/>
        </w:rPr>
        <w:t>Introducción</w:t>
      </w:r>
    </w:p>
    <w:p w:rsidR="000359C1" w:rsidRPr="008515EE" w:rsidRDefault="000359C1">
      <w:pPr>
        <w:pStyle w:val="Para1"/>
        <w:rPr>
          <w:rFonts w:eastAsia="Times New Roman"/>
          <w:kern w:val="22"/>
          <w:lang w:val="es-ES"/>
        </w:rPr>
      </w:pPr>
      <w:r w:rsidRPr="008515EE">
        <w:rPr>
          <w:rFonts w:eastAsia="Times New Roman"/>
          <w:kern w:val="22"/>
          <w:lang w:val="es-ES"/>
        </w:rPr>
        <w:t xml:space="preserve">En la decisión </w:t>
      </w:r>
      <w:hyperlink r:id="rId10" w:history="1">
        <w:r w:rsidRPr="008515EE">
          <w:rPr>
            <w:rFonts w:eastAsia="Times New Roman"/>
            <w:color w:val="0000FF"/>
            <w:kern w:val="22"/>
            <w:u w:val="single"/>
            <w:lang w:val="es-ES"/>
          </w:rPr>
          <w:t>CP-9/14</w:t>
        </w:r>
      </w:hyperlink>
      <w:r w:rsidRPr="008515EE">
        <w:rPr>
          <w:rFonts w:eastAsia="Times New Roman"/>
          <w:kern w:val="22"/>
          <w:lang w:val="es-ES"/>
        </w:rPr>
        <w:t xml:space="preserve">, la Conferencia de las Partes que actúa como reunión de las Partes en el Protocolo de Cartagena tomó nota de la “Orientación para la evaluación de consideraciones socioeconómicas en el contexto del artículo 26 del Protocolo de Cartagena sobre Seguridad de la Biotecnología” (Orientación), de carácter voluntario, que figura en el documento </w:t>
      </w:r>
      <w:hyperlink r:id="rId11" w:history="1">
        <w:r w:rsidRPr="008515EE">
          <w:rPr>
            <w:rFonts w:eastAsia="Times New Roman"/>
            <w:color w:val="0000FF"/>
            <w:kern w:val="22"/>
            <w:u w:val="single"/>
            <w:lang w:val="es-ES"/>
          </w:rPr>
          <w:t>CBD/CP/MOP/9/10, anexo</w:t>
        </w:r>
      </w:hyperlink>
      <w:r w:rsidRPr="008515EE">
        <w:rPr>
          <w:rStyle w:val="FootnoteReference"/>
          <w:rFonts w:eastAsia="Times New Roman"/>
          <w:kern w:val="22"/>
          <w:lang w:val="es-ES"/>
        </w:rPr>
        <w:footnoteReference w:id="2"/>
      </w:r>
      <w:r w:rsidRPr="008515EE">
        <w:rPr>
          <w:rFonts w:eastAsia="Times New Roman"/>
          <w:kern w:val="22"/>
          <w:lang w:val="es-ES"/>
        </w:rPr>
        <w:t>.</w:t>
      </w:r>
    </w:p>
    <w:p w:rsidR="000359C1" w:rsidRPr="008515EE" w:rsidRDefault="000359C1">
      <w:pPr>
        <w:pStyle w:val="Para1"/>
        <w:rPr>
          <w:rFonts w:eastAsia="Times New Roman"/>
          <w:lang w:val="es-ES"/>
        </w:rPr>
      </w:pPr>
      <w:r w:rsidRPr="008515EE">
        <w:rPr>
          <w:rFonts w:eastAsia="Times New Roman"/>
          <w:kern w:val="22"/>
          <w:lang w:val="es-ES"/>
        </w:rPr>
        <w:t xml:space="preserve">En la misma decisión, la Conferencia de las Partes que actúa como reunión de las Partes en el Protocolo de Cartagena invitó a que se presentaran aportes dando cuenta de experiencias preliminares en las que se hubiera utilizado la Orientación voluntaria, así como ejemplos de metodologías y aplicaciones de consideraciones socioeconómicas. </w:t>
      </w:r>
      <w:r w:rsidR="00800A6E" w:rsidRPr="008515EE">
        <w:rPr>
          <w:rFonts w:eastAsia="Times New Roman"/>
          <w:kern w:val="22"/>
          <w:lang w:val="es-ES"/>
        </w:rPr>
        <w:t>Se</w:t>
      </w:r>
      <w:r w:rsidRPr="008515EE">
        <w:rPr>
          <w:rFonts w:eastAsia="Times New Roman"/>
          <w:kern w:val="22"/>
          <w:lang w:val="es-ES"/>
        </w:rPr>
        <w:t xml:space="preserve"> estableció </w:t>
      </w:r>
      <w:r w:rsidR="00800A6E" w:rsidRPr="008515EE">
        <w:rPr>
          <w:rFonts w:eastAsia="Times New Roman"/>
          <w:kern w:val="22"/>
          <w:lang w:val="es-ES"/>
        </w:rPr>
        <w:t xml:space="preserve">además </w:t>
      </w:r>
      <w:r w:rsidRPr="008515EE">
        <w:rPr>
          <w:rFonts w:eastAsia="Times New Roman"/>
          <w:kern w:val="22"/>
          <w:lang w:val="es-ES"/>
        </w:rPr>
        <w:t xml:space="preserve">un foro en línea sobre consideraciones socioeconómicas y </w:t>
      </w:r>
      <w:r w:rsidR="00800A6E" w:rsidRPr="008515EE">
        <w:rPr>
          <w:rFonts w:eastAsia="Times New Roman"/>
          <w:kern w:val="22"/>
          <w:lang w:val="es-ES"/>
        </w:rPr>
        <w:t xml:space="preserve">se </w:t>
      </w:r>
      <w:r w:rsidRPr="008515EE">
        <w:rPr>
          <w:rFonts w:eastAsia="Times New Roman"/>
          <w:kern w:val="22"/>
          <w:lang w:val="es-ES"/>
        </w:rPr>
        <w:t>pidió a la Secretaría que organizara debates del foro en línea, dirigidos por moderadores, para comentar y opinar sobre l</w:t>
      </w:r>
      <w:r w:rsidR="00800A6E" w:rsidRPr="008515EE">
        <w:rPr>
          <w:rFonts w:eastAsia="Times New Roman"/>
          <w:kern w:val="22"/>
          <w:lang w:val="es-ES"/>
        </w:rPr>
        <w:t>o</w:t>
      </w:r>
      <w:r w:rsidRPr="008515EE">
        <w:rPr>
          <w:rFonts w:eastAsia="Times New Roman"/>
          <w:kern w:val="22"/>
          <w:lang w:val="es-ES"/>
        </w:rPr>
        <w:t>s aportes presentados. Asimismo,</w:t>
      </w:r>
      <w:r w:rsidR="00800A6E" w:rsidRPr="008515EE">
        <w:rPr>
          <w:rFonts w:eastAsia="Times New Roman"/>
          <w:kern w:val="22"/>
          <w:lang w:val="es-ES"/>
        </w:rPr>
        <w:t xml:space="preserve"> se</w:t>
      </w:r>
      <w:r w:rsidRPr="008515EE">
        <w:rPr>
          <w:rFonts w:eastAsia="Times New Roman"/>
          <w:kern w:val="22"/>
          <w:lang w:val="es-ES"/>
        </w:rPr>
        <w:t xml:space="preserve"> amplió la actuación del Grupo Especial de Expertos Técnicos en Consideraciones Socioeconómicas (GEET) a fin de que</w:t>
      </w:r>
      <w:r w:rsidR="00800A6E" w:rsidRPr="008515EE">
        <w:rPr>
          <w:rFonts w:eastAsia="Times New Roman"/>
          <w:kern w:val="22"/>
          <w:lang w:val="es-ES"/>
        </w:rPr>
        <w:t xml:space="preserve"> este</w:t>
      </w:r>
      <w:r w:rsidRPr="008515EE">
        <w:rPr>
          <w:rFonts w:eastAsia="Times New Roman"/>
          <w:kern w:val="22"/>
          <w:lang w:val="es-ES"/>
        </w:rPr>
        <w:t xml:space="preserve"> pudiera reunirse en forma presencial para examinar los aportes recibidos y las conclusiones de los debates en línea dirigidos por moderadores y utilizara la información obtenida para complementar la Orientación de carácter voluntario, indicando para qué fase</w:t>
      </w:r>
      <w:r w:rsidR="00800A6E" w:rsidRPr="008515EE">
        <w:rPr>
          <w:rFonts w:eastAsia="Times New Roman"/>
          <w:kern w:val="22"/>
          <w:lang w:val="es-ES"/>
        </w:rPr>
        <w:t>s</w:t>
      </w:r>
      <w:r w:rsidRPr="008515EE">
        <w:rPr>
          <w:rFonts w:eastAsia="Times New Roman"/>
          <w:kern w:val="22"/>
          <w:lang w:val="es-ES"/>
        </w:rPr>
        <w:t xml:space="preserve"> del proceso de evaluación descrito en la Orientación de carácter voluntario podría resultar pertinente esa información. En la decisión se pidió que el informe sobre la labor del GEET se presentara a la Conferencia de las Partes que actúa como reunión de las Partes en el Protocolo de Cartagena para que esta lo considerara en su décima reunión.</w:t>
      </w:r>
    </w:p>
    <w:p w:rsidR="000359C1" w:rsidRPr="008515EE" w:rsidRDefault="000359C1">
      <w:pPr>
        <w:pStyle w:val="Para1"/>
        <w:rPr>
          <w:rFonts w:eastAsia="Times New Roman"/>
          <w:lang w:val="es-ES"/>
        </w:rPr>
      </w:pPr>
      <w:r w:rsidRPr="008515EE">
        <w:rPr>
          <w:rFonts w:eastAsia="Times New Roman"/>
          <w:kern w:val="22"/>
          <w:lang w:val="es-ES"/>
        </w:rPr>
        <w:t>En la sección II de la presente nota se brinda un resumen de las actividades realizadas entre períodos de sesiones en respuesta a la decisión CP-9/14 y en la sección III se proporciona información sobre consideraciones socioeconómicas obtenida de los informes nacionales, la evaluación y revisión y la evaluación final del Plan Estratégico para el Protocolo de Cartagena sobre Seguridad de la Biotecnología. La sección IV contiene sugerencias para un proyecto de decisión de la Conferencia de las Partes que actúa como reunión de las Partes en el Protocolo de Cartagena.</w:t>
      </w:r>
    </w:p>
    <w:p w:rsidR="000359C1" w:rsidRPr="008515EE" w:rsidRDefault="000359C1">
      <w:pPr>
        <w:pStyle w:val="Heading1"/>
        <w:keepLines/>
        <w:numPr>
          <w:ilvl w:val="0"/>
          <w:numId w:val="14"/>
        </w:numPr>
        <w:ind w:left="1077"/>
        <w:rPr>
          <w:rFonts w:eastAsia="Times New Roman"/>
          <w:kern w:val="22"/>
          <w:lang w:val="es-ES"/>
        </w:rPr>
      </w:pPr>
      <w:r w:rsidRPr="008515EE">
        <w:rPr>
          <w:rFonts w:eastAsia="Times New Roman"/>
          <w:kern w:val="22"/>
          <w:lang w:val="es-ES"/>
        </w:rPr>
        <w:lastRenderedPageBreak/>
        <w:t>activiDADes REALIZADAS ENTRE PERÍODOS DE SESIONES EN</w:t>
      </w:r>
      <w:r w:rsidR="00800A6E" w:rsidRPr="008515EE">
        <w:rPr>
          <w:rFonts w:eastAsia="Times New Roman"/>
          <w:kern w:val="22"/>
          <w:lang w:val="es-ES"/>
        </w:rPr>
        <w:t> </w:t>
      </w:r>
      <w:r w:rsidRPr="008515EE">
        <w:rPr>
          <w:rFonts w:eastAsia="Times New Roman"/>
          <w:kern w:val="22"/>
          <w:lang w:val="es-ES"/>
        </w:rPr>
        <w:t>RESPUESTA</w:t>
      </w:r>
      <w:r w:rsidR="00800A6E" w:rsidRPr="008515EE">
        <w:rPr>
          <w:rFonts w:eastAsia="Times New Roman"/>
          <w:kern w:val="22"/>
          <w:lang w:val="es-ES"/>
        </w:rPr>
        <w:t> </w:t>
      </w:r>
      <w:r w:rsidRPr="008515EE">
        <w:rPr>
          <w:rFonts w:eastAsia="Times New Roman"/>
          <w:kern w:val="22"/>
          <w:lang w:val="es-ES"/>
        </w:rPr>
        <w:t>A</w:t>
      </w:r>
      <w:r w:rsidR="00800A6E" w:rsidRPr="008515EE">
        <w:rPr>
          <w:rFonts w:eastAsia="Times New Roman"/>
          <w:kern w:val="22"/>
          <w:lang w:val="es-ES"/>
        </w:rPr>
        <w:t> </w:t>
      </w:r>
      <w:r w:rsidRPr="008515EE">
        <w:rPr>
          <w:rFonts w:eastAsia="Times New Roman"/>
          <w:kern w:val="22"/>
          <w:lang w:val="es-ES"/>
        </w:rPr>
        <w:t xml:space="preserve">LA decisiÓn </w:t>
      </w:r>
      <w:r w:rsidRPr="008515EE">
        <w:rPr>
          <w:rFonts w:eastAsia="Times New Roman"/>
          <w:caps w:val="0"/>
          <w:kern w:val="22"/>
          <w:lang w:val="es-ES"/>
        </w:rPr>
        <w:t>CP</w:t>
      </w:r>
      <w:r w:rsidRPr="008515EE">
        <w:rPr>
          <w:rFonts w:eastAsia="Times New Roman"/>
          <w:kern w:val="22"/>
          <w:lang w:val="es-ES"/>
        </w:rPr>
        <w:t>-9/14</w:t>
      </w:r>
    </w:p>
    <w:p w:rsidR="000359C1" w:rsidRPr="008515EE" w:rsidRDefault="000359C1">
      <w:pPr>
        <w:pStyle w:val="Para1"/>
        <w:rPr>
          <w:rFonts w:eastAsia="Times New Roman"/>
          <w:lang w:val="es-ES"/>
        </w:rPr>
      </w:pPr>
      <w:r w:rsidRPr="008515EE">
        <w:rPr>
          <w:rFonts w:eastAsia="Times New Roman"/>
          <w:kern w:val="22"/>
          <w:lang w:val="es-ES"/>
        </w:rPr>
        <w:t>La Secretaria Ejecutiva invitó a las Partes, otros Gobiernos, organizaciones pertinentes y pueblos indígenas y comunidades locales a que presentaran experiencias preliminares en l</w:t>
      </w:r>
      <w:r w:rsidR="00800A6E" w:rsidRPr="008515EE">
        <w:rPr>
          <w:rFonts w:eastAsia="Times New Roman"/>
          <w:kern w:val="22"/>
          <w:lang w:val="es-ES"/>
        </w:rPr>
        <w:t>as que hubieran</w:t>
      </w:r>
      <w:r w:rsidRPr="008515EE">
        <w:rPr>
          <w:rFonts w:eastAsia="Times New Roman"/>
          <w:kern w:val="22"/>
          <w:lang w:val="es-ES"/>
        </w:rPr>
        <w:t xml:space="preserve"> us</w:t>
      </w:r>
      <w:r w:rsidR="00800A6E" w:rsidRPr="008515EE">
        <w:rPr>
          <w:rFonts w:eastAsia="Times New Roman"/>
          <w:kern w:val="22"/>
          <w:lang w:val="es-ES"/>
        </w:rPr>
        <w:t>ad</w:t>
      </w:r>
      <w:r w:rsidRPr="008515EE">
        <w:rPr>
          <w:rFonts w:eastAsia="Times New Roman"/>
          <w:kern w:val="22"/>
          <w:lang w:val="es-ES"/>
        </w:rPr>
        <w:t>o la Orientación de carácter voluntario, así como ejemplos de metodologías y aplicaciones de consideraciones socioeconómicas que tuvieran en cuenta los elementos de la Orientación de carácter voluntario, preferentemente en forma de estudios de casos</w:t>
      </w:r>
      <w:r w:rsidRPr="008515EE">
        <w:rPr>
          <w:rStyle w:val="FootnoteReference"/>
          <w:rFonts w:eastAsia="Times New Roman"/>
          <w:kern w:val="22"/>
          <w:lang w:val="es-ES"/>
        </w:rPr>
        <w:footnoteReference w:id="3"/>
      </w:r>
      <w:r w:rsidRPr="008515EE">
        <w:rPr>
          <w:rFonts w:eastAsia="Times New Roman"/>
          <w:kern w:val="22"/>
          <w:lang w:val="es-ES"/>
        </w:rPr>
        <w:t>. Se recibieron 16</w:t>
      </w:r>
      <w:r w:rsidR="00800A6E" w:rsidRPr="008515EE">
        <w:rPr>
          <w:rFonts w:eastAsia="Times New Roman"/>
          <w:kern w:val="22"/>
          <w:lang w:val="es-ES"/>
        </w:rPr>
        <w:t> </w:t>
      </w:r>
      <w:r w:rsidRPr="008515EE">
        <w:rPr>
          <w:rFonts w:eastAsia="Times New Roman"/>
          <w:kern w:val="22"/>
          <w:lang w:val="es-ES"/>
        </w:rPr>
        <w:t>aportes en total, de los cuales</w:t>
      </w:r>
      <w:r w:rsidR="00800A6E" w:rsidRPr="008515EE">
        <w:rPr>
          <w:rFonts w:eastAsia="Times New Roman"/>
          <w:kern w:val="22"/>
          <w:lang w:val="es-ES"/>
        </w:rPr>
        <w:t> </w:t>
      </w:r>
      <w:r w:rsidRPr="008515EE">
        <w:rPr>
          <w:rFonts w:eastAsia="Times New Roman"/>
          <w:kern w:val="22"/>
          <w:lang w:val="es-ES"/>
        </w:rPr>
        <w:t>14</w:t>
      </w:r>
      <w:r w:rsidR="00800A6E" w:rsidRPr="008515EE">
        <w:rPr>
          <w:rFonts w:eastAsia="Times New Roman"/>
          <w:kern w:val="22"/>
          <w:lang w:val="es-ES"/>
        </w:rPr>
        <w:t> </w:t>
      </w:r>
      <w:r w:rsidRPr="008515EE">
        <w:rPr>
          <w:rFonts w:eastAsia="Times New Roman"/>
          <w:kern w:val="22"/>
          <w:lang w:val="es-ES"/>
        </w:rPr>
        <w:t>eran de Partes, 1 de un Estado que no es Parte y 1 de una organización</w:t>
      </w:r>
      <w:r w:rsidRPr="008515EE">
        <w:rPr>
          <w:rStyle w:val="FootnoteReference"/>
          <w:rFonts w:eastAsia="Times New Roman"/>
          <w:kern w:val="22"/>
          <w:lang w:val="es-ES"/>
        </w:rPr>
        <w:footnoteReference w:id="4"/>
      </w:r>
      <w:r w:rsidRPr="008515EE">
        <w:rPr>
          <w:rFonts w:eastAsia="Times New Roman"/>
          <w:kern w:val="22"/>
          <w:lang w:val="es-ES"/>
        </w:rPr>
        <w:t>.</w:t>
      </w:r>
    </w:p>
    <w:p w:rsidR="000359C1" w:rsidRPr="008515EE" w:rsidRDefault="000359C1">
      <w:pPr>
        <w:pStyle w:val="Para1"/>
        <w:rPr>
          <w:rFonts w:eastAsia="Times New Roman"/>
          <w:lang w:val="es-ES"/>
        </w:rPr>
      </w:pPr>
      <w:r w:rsidRPr="008515EE">
        <w:rPr>
          <w:rFonts w:eastAsia="Times New Roman"/>
          <w:kern w:val="22"/>
          <w:lang w:val="es-ES"/>
        </w:rPr>
        <w:t>A raíz de la decisión CP-9/14, se creó un espacio dedicado en el Centro de Intercambio de Información sobre Seguridad de la Biotecnología (CIISB) para alojar el foro en línea sobre consideraciones socio-económicas</w:t>
      </w:r>
      <w:r w:rsidRPr="008515EE">
        <w:rPr>
          <w:rStyle w:val="FootnoteReference"/>
          <w:rFonts w:eastAsia="Times New Roman"/>
          <w:kern w:val="22"/>
          <w:lang w:val="es-ES"/>
        </w:rPr>
        <w:footnoteReference w:id="5"/>
      </w:r>
      <w:r w:rsidRPr="008515EE">
        <w:rPr>
          <w:rFonts w:eastAsia="Times New Roman"/>
          <w:kern w:val="22"/>
          <w:lang w:val="es-ES"/>
        </w:rPr>
        <w:t>. Un total de 61</w:t>
      </w:r>
      <w:r w:rsidR="00800A6E" w:rsidRPr="008515EE">
        <w:rPr>
          <w:rFonts w:eastAsia="Times New Roman"/>
          <w:kern w:val="22"/>
          <w:lang w:val="es-ES"/>
        </w:rPr>
        <w:t> </w:t>
      </w:r>
      <w:r w:rsidRPr="008515EE">
        <w:rPr>
          <w:rFonts w:eastAsia="Times New Roman"/>
          <w:kern w:val="22"/>
          <w:lang w:val="es-ES"/>
        </w:rPr>
        <w:t>participantes de Partes, 3</w:t>
      </w:r>
      <w:r w:rsidR="00800A6E" w:rsidRPr="008515EE">
        <w:rPr>
          <w:rFonts w:eastAsia="Times New Roman"/>
          <w:kern w:val="22"/>
          <w:lang w:val="es-ES"/>
        </w:rPr>
        <w:t> </w:t>
      </w:r>
      <w:r w:rsidRPr="008515EE">
        <w:rPr>
          <w:rFonts w:eastAsia="Times New Roman"/>
          <w:kern w:val="22"/>
          <w:lang w:val="es-ES"/>
        </w:rPr>
        <w:t>participantes de otros Gobiernos y 11</w:t>
      </w:r>
      <w:r w:rsidR="00800A6E" w:rsidRPr="008515EE">
        <w:rPr>
          <w:rFonts w:eastAsia="Times New Roman"/>
          <w:kern w:val="22"/>
          <w:lang w:val="es-ES"/>
        </w:rPr>
        <w:t> </w:t>
      </w:r>
      <w:r w:rsidRPr="008515EE">
        <w:rPr>
          <w:rFonts w:eastAsia="Times New Roman"/>
          <w:kern w:val="22"/>
          <w:lang w:val="es-ES"/>
        </w:rPr>
        <w:t>participantes de organizaciones fueron nominados y se inscribieron para participar de l</w:t>
      </w:r>
      <w:r w:rsidR="00800A6E" w:rsidRPr="008515EE">
        <w:rPr>
          <w:rFonts w:eastAsia="Times New Roman"/>
          <w:kern w:val="22"/>
          <w:lang w:val="es-ES"/>
        </w:rPr>
        <w:t>o</w:t>
      </w:r>
      <w:r w:rsidRPr="008515EE">
        <w:rPr>
          <w:rFonts w:eastAsia="Times New Roman"/>
          <w:kern w:val="22"/>
          <w:lang w:val="es-ES"/>
        </w:rPr>
        <w:t>s d</w:t>
      </w:r>
      <w:r w:rsidR="00800A6E" w:rsidRPr="008515EE">
        <w:rPr>
          <w:rFonts w:eastAsia="Times New Roman"/>
          <w:kern w:val="22"/>
          <w:lang w:val="es-ES"/>
        </w:rPr>
        <w:t>ebat</w:t>
      </w:r>
      <w:r w:rsidRPr="008515EE">
        <w:rPr>
          <w:rFonts w:eastAsia="Times New Roman"/>
          <w:kern w:val="22"/>
          <w:lang w:val="es-ES"/>
        </w:rPr>
        <w:t>es en línea</w:t>
      </w:r>
      <w:r w:rsidRPr="008515EE">
        <w:rPr>
          <w:rStyle w:val="FootnoteReference"/>
          <w:rFonts w:eastAsia="Times New Roman"/>
          <w:kern w:val="22"/>
          <w:lang w:val="es-ES"/>
        </w:rPr>
        <w:footnoteReference w:id="6"/>
      </w:r>
      <w:r w:rsidRPr="008515EE">
        <w:rPr>
          <w:rFonts w:eastAsia="Times New Roman"/>
          <w:kern w:val="22"/>
          <w:lang w:val="es-ES"/>
        </w:rPr>
        <w:t>.</w:t>
      </w:r>
    </w:p>
    <w:p w:rsidR="000359C1" w:rsidRPr="008515EE" w:rsidRDefault="000359C1">
      <w:pPr>
        <w:pStyle w:val="Para1"/>
        <w:rPr>
          <w:rFonts w:eastAsia="Times New Roman"/>
          <w:kern w:val="22"/>
          <w:lang w:val="es-ES"/>
        </w:rPr>
      </w:pPr>
      <w:r w:rsidRPr="008515EE">
        <w:rPr>
          <w:rFonts w:eastAsia="Times New Roman"/>
          <w:kern w:val="22"/>
          <w:lang w:val="es-ES"/>
        </w:rPr>
        <w:t>Los relatores prepararon un informe de los debates del foro en línea sobre consideraciones socioeconómicas que incluye un resumen de las opiniones y comentarios formulados por los participantes en los debates en línea y las conclusiones de esos debates. El informe se puso a disposición del GEET como documento de información (CBD/CP/SEC/AHTEG/2019/1/INF/1).</w:t>
      </w:r>
    </w:p>
    <w:p w:rsidR="000359C1" w:rsidRPr="008515EE" w:rsidRDefault="000359C1">
      <w:pPr>
        <w:pStyle w:val="Para1"/>
        <w:rPr>
          <w:rFonts w:eastAsia="Times New Roman"/>
          <w:kern w:val="22"/>
          <w:lang w:val="es-ES"/>
        </w:rPr>
      </w:pPr>
      <w:r w:rsidRPr="008515EE">
        <w:rPr>
          <w:rFonts w:eastAsia="Times New Roman"/>
          <w:kern w:val="22"/>
          <w:lang w:val="es-ES"/>
        </w:rPr>
        <w:t>En su decisión CP-9/14, la Conferencia de las Partes que actúa como reunión de las Partes en el Protocolo de Cartagena ampl</w:t>
      </w:r>
      <w:r w:rsidR="00800A6E" w:rsidRPr="008515EE">
        <w:rPr>
          <w:rFonts w:eastAsia="Times New Roman"/>
          <w:kern w:val="22"/>
          <w:lang w:val="es-ES"/>
        </w:rPr>
        <w:t>ió</w:t>
      </w:r>
      <w:r w:rsidRPr="008515EE">
        <w:rPr>
          <w:rFonts w:eastAsia="Times New Roman"/>
          <w:kern w:val="22"/>
          <w:lang w:val="es-ES"/>
        </w:rPr>
        <w:t xml:space="preserve"> la actuación del GEET para que examinara las conclusiones del foro en línea</w:t>
      </w:r>
      <w:r w:rsidR="00800A6E" w:rsidRPr="008515EE">
        <w:rPr>
          <w:rFonts w:eastAsia="Times New Roman"/>
          <w:kern w:val="22"/>
          <w:lang w:val="es-ES"/>
        </w:rPr>
        <w:t xml:space="preserve"> conforme al mandato que figur</w:t>
      </w:r>
      <w:r w:rsidRPr="008515EE">
        <w:rPr>
          <w:rFonts w:eastAsia="Times New Roman"/>
          <w:kern w:val="22"/>
          <w:lang w:val="es-ES"/>
        </w:rPr>
        <w:t>a en el anexo de la decisión y pidió a la Secretaria Ejecutiva que, con sujeción a la disponibilidad de recursos, convocara una reunión presencial del Grupo.</w:t>
      </w:r>
    </w:p>
    <w:p w:rsidR="000359C1" w:rsidRPr="008515EE" w:rsidRDefault="000359C1">
      <w:pPr>
        <w:pStyle w:val="Para1"/>
        <w:rPr>
          <w:rFonts w:eastAsia="Times New Roman"/>
          <w:kern w:val="22"/>
          <w:lang w:val="es-ES"/>
        </w:rPr>
      </w:pPr>
      <w:r w:rsidRPr="008515EE">
        <w:rPr>
          <w:rFonts w:eastAsia="Times New Roman"/>
          <w:kern w:val="22"/>
          <w:lang w:val="es-ES"/>
        </w:rPr>
        <w:t>Tras el ofrecimiento del Gobierno de Austria para oficiar de anfitrión de la reunión, y con el generoso apoyo financiero de la Unión Europea y el Gobierno de Noruega, la reunión del GEET se celebró en Viena del</w:t>
      </w:r>
      <w:r w:rsidR="00AA6E0A" w:rsidRPr="008515EE">
        <w:rPr>
          <w:rFonts w:eastAsia="Times New Roman"/>
          <w:kern w:val="22"/>
          <w:lang w:val="es-ES"/>
        </w:rPr>
        <w:t xml:space="preserve"> 10 al 13 de diciembre de 2019.</w:t>
      </w:r>
    </w:p>
    <w:p w:rsidR="000359C1" w:rsidRPr="008515EE" w:rsidRDefault="000359C1">
      <w:pPr>
        <w:pStyle w:val="Para1"/>
        <w:rPr>
          <w:rFonts w:eastAsia="Times New Roman"/>
          <w:lang w:val="es-ES"/>
        </w:rPr>
      </w:pPr>
      <w:r w:rsidRPr="008515EE">
        <w:rPr>
          <w:rFonts w:eastAsia="Times New Roman"/>
          <w:kern w:val="22"/>
          <w:lang w:val="es-ES"/>
        </w:rPr>
        <w:t>De acuerdo con su mandato, el GEET examinó los aportes recibidos en respuesta a la decisión CP-9/14, así como las conclusiones de los debates en línea dirigidos por moderadores. Utilizó la información para complementar la Orientación de carácter voluntario, indicando para qué fases del proceso de evaluación descrit</w:t>
      </w:r>
      <w:r w:rsidR="00AA6E0A" w:rsidRPr="008515EE">
        <w:rPr>
          <w:rFonts w:eastAsia="Times New Roman"/>
          <w:kern w:val="22"/>
          <w:lang w:val="es-ES"/>
        </w:rPr>
        <w:t>o</w:t>
      </w:r>
      <w:r w:rsidRPr="008515EE">
        <w:rPr>
          <w:rFonts w:eastAsia="Times New Roman"/>
          <w:kern w:val="22"/>
          <w:lang w:val="es-ES"/>
        </w:rPr>
        <w:t xml:space="preserve"> en la Orientación de carácter voluntario podría resultar pertinente la información.</w:t>
      </w:r>
    </w:p>
    <w:p w:rsidR="000359C1" w:rsidRPr="008515EE" w:rsidRDefault="000359C1">
      <w:pPr>
        <w:pStyle w:val="Para1"/>
        <w:rPr>
          <w:rFonts w:eastAsia="Times New Roman"/>
          <w:lang w:val="es-ES"/>
        </w:rPr>
      </w:pPr>
      <w:r w:rsidRPr="008515EE">
        <w:rPr>
          <w:rFonts w:eastAsia="Times New Roman"/>
          <w:kern w:val="22"/>
          <w:lang w:val="es-ES"/>
        </w:rPr>
        <w:t xml:space="preserve">En el anexo I se exponen los principales puntos surgidos en las deliberaciones </w:t>
      </w:r>
      <w:r w:rsidR="00AA6E0A" w:rsidRPr="008515EE">
        <w:rPr>
          <w:rFonts w:eastAsia="Times New Roman"/>
          <w:kern w:val="22"/>
          <w:lang w:val="es-ES"/>
        </w:rPr>
        <w:t>sustantivas</w:t>
      </w:r>
      <w:r w:rsidRPr="008515EE">
        <w:rPr>
          <w:rFonts w:eastAsia="Times New Roman"/>
          <w:kern w:val="22"/>
          <w:lang w:val="es-ES"/>
        </w:rPr>
        <w:t xml:space="preserve"> del GEET. Las preguntas empleadas por el GEET para llevar a cabo su examen se presentan en el anexo II, mientras que las conclusiones del examen se recogen en el anexo III.</w:t>
      </w:r>
    </w:p>
    <w:p w:rsidR="000359C1" w:rsidRPr="008515EE" w:rsidRDefault="000359C1">
      <w:pPr>
        <w:pStyle w:val="Heading1"/>
        <w:numPr>
          <w:ilvl w:val="0"/>
          <w:numId w:val="14"/>
        </w:numPr>
        <w:tabs>
          <w:tab w:val="clear" w:pos="720"/>
          <w:tab w:val="left" w:pos="1276"/>
        </w:tabs>
        <w:ind w:left="1276" w:right="713" w:hanging="850"/>
        <w:jc w:val="left"/>
        <w:rPr>
          <w:rFonts w:eastAsia="Times New Roman"/>
          <w:kern w:val="22"/>
          <w:lang w:val="es-ES"/>
        </w:rPr>
      </w:pPr>
      <w:r w:rsidRPr="008515EE">
        <w:rPr>
          <w:rFonts w:eastAsia="Times New Roman"/>
          <w:kern w:val="22"/>
          <w:lang w:val="es-ES"/>
        </w:rPr>
        <w:t>InformaCiÓn SoBRE consIderaCionEs socioeconÓmicAS OBTENIDA DE LOS INFORMES naCionalES, LA EVALUACIÓN Y REVISIÓN Y LA EVALUACIÓN final Del PLAN EstratÉgicO PARA EL protocolo De cartagena SOBRE SEGURIDAD DE LA biotECNOLOGÍA</w:t>
      </w:r>
    </w:p>
    <w:p w:rsidR="000359C1" w:rsidRPr="008515EE" w:rsidRDefault="000359C1">
      <w:pPr>
        <w:pStyle w:val="Para1"/>
        <w:rPr>
          <w:rFonts w:eastAsia="Times New Roman"/>
          <w:kern w:val="22"/>
          <w:lang w:val="es-ES"/>
        </w:rPr>
      </w:pPr>
      <w:r w:rsidRPr="008515EE">
        <w:rPr>
          <w:rFonts w:eastAsia="Times New Roman"/>
          <w:kern w:val="22"/>
          <w:lang w:val="es-ES"/>
        </w:rPr>
        <w:t xml:space="preserve">En el tiempo </w:t>
      </w:r>
      <w:r w:rsidR="00AA6E0A" w:rsidRPr="008515EE">
        <w:rPr>
          <w:rFonts w:eastAsia="Times New Roman"/>
          <w:kern w:val="22"/>
          <w:lang w:val="es-ES"/>
        </w:rPr>
        <w:t xml:space="preserve">transcurrido </w:t>
      </w:r>
      <w:r w:rsidRPr="008515EE">
        <w:rPr>
          <w:rFonts w:eastAsia="Times New Roman"/>
          <w:kern w:val="22"/>
          <w:lang w:val="es-ES"/>
        </w:rPr>
        <w:t>entre períodos de sesiones desde la novena reunión de las Partes en el Protocolo, el tema de las consideraciones socioeconómicas en el marco del Protocolo de Cartagena también se trató como parte de la evaluación y revisión de la eficacia del Protocolo y la evaluación final del Plan Estratégico para el Protocolo para el período 2011-2020.</w:t>
      </w:r>
    </w:p>
    <w:p w:rsidR="000359C1" w:rsidRPr="008515EE" w:rsidRDefault="000359C1">
      <w:pPr>
        <w:pStyle w:val="Para1"/>
        <w:rPr>
          <w:rFonts w:eastAsia="Times New Roman"/>
          <w:lang w:val="es-ES"/>
        </w:rPr>
      </w:pPr>
      <w:r w:rsidRPr="008515EE">
        <w:rPr>
          <w:rFonts w:eastAsia="Times New Roman"/>
          <w:kern w:val="22"/>
          <w:lang w:val="es-ES"/>
        </w:rPr>
        <w:lastRenderedPageBreak/>
        <w:t>El plazo para la presentación de los cuartos informes nacionales sobre la aplicación del Protocolo vencía el 1 de octubre de 2019. Las preguntas 162 a 166 del formato para la presentación de informes se referían al artículo 26 del Protocolo. En el análisis de información preparado para la evaluación y revisión de la eficacia del Protocolo y la evaluación final del Plan Estratégico se utilizó información obtenida de los cuartos informes nacionales. Tanto el documento de análisis preparado para la tercera reunión del Órgano Subsidiario sobre la Aplicación (CBD/SBI/3/3/Add.1) (véase en particular la sección III.G) como la herramienta en línea de análisis de informes nacionales (</w:t>
      </w:r>
      <w:hyperlink r:id="rId12" w:history="1">
        <w:r w:rsidRPr="008515EE">
          <w:rPr>
            <w:rStyle w:val="Hyperlink"/>
            <w:rFonts w:eastAsia="Times New Roman"/>
            <w:kern w:val="22"/>
            <w:sz w:val="22"/>
            <w:szCs w:val="22"/>
            <w:lang w:val="es-ES"/>
          </w:rPr>
          <w:t>https://bch.cbd.int/es/reports</w:t>
        </w:r>
      </w:hyperlink>
      <w:r w:rsidRPr="008515EE">
        <w:rPr>
          <w:rFonts w:eastAsia="Times New Roman"/>
          <w:kern w:val="22"/>
          <w:lang w:val="es-ES"/>
        </w:rPr>
        <w:t xml:space="preserve">) brindan información detallada. </w:t>
      </w:r>
    </w:p>
    <w:p w:rsidR="000359C1" w:rsidRPr="008515EE" w:rsidRDefault="000359C1">
      <w:pPr>
        <w:pStyle w:val="Para1"/>
        <w:rPr>
          <w:rFonts w:eastAsia="Times New Roman"/>
          <w:lang w:val="es-ES"/>
        </w:rPr>
      </w:pPr>
      <w:r w:rsidRPr="008515EE">
        <w:rPr>
          <w:rFonts w:eastAsia="Times New Roman"/>
          <w:kern w:val="22"/>
          <w:lang w:val="es-ES"/>
        </w:rPr>
        <w:t>El Órgano Subsidiario sobre la Aplicación consideró el análisis en su tercera reunión y elaboró un proyecto de decisión que será considerado por la Conferencia de las Partes que actúa como reunión de las Partes en el Protocolo en su décima reunión (véase la recopilación de proyectos de decisión en el documento CBD/CP/MOP/10/1/Add.5).</w:t>
      </w:r>
    </w:p>
    <w:p w:rsidR="000359C1" w:rsidRPr="008515EE" w:rsidRDefault="005C6F79">
      <w:pPr>
        <w:pStyle w:val="Heading1"/>
        <w:numPr>
          <w:ilvl w:val="0"/>
          <w:numId w:val="14"/>
        </w:numPr>
        <w:ind w:left="0" w:firstLine="0"/>
        <w:rPr>
          <w:rFonts w:eastAsia="Times New Roman"/>
          <w:kern w:val="22"/>
          <w:lang w:val="es-ES"/>
        </w:rPr>
      </w:pPr>
      <w:bookmarkStart w:id="0" w:name="_Hlk86156651"/>
      <w:r w:rsidRPr="008515EE">
        <w:rPr>
          <w:rFonts w:eastAsia="Times New Roman"/>
          <w:kern w:val="22"/>
          <w:lang w:val="es-ES"/>
        </w:rPr>
        <w:t xml:space="preserve">PROPUESTA DE </w:t>
      </w:r>
      <w:r w:rsidR="000359C1" w:rsidRPr="008515EE">
        <w:rPr>
          <w:rFonts w:eastAsia="Times New Roman"/>
          <w:kern w:val="22"/>
          <w:lang w:val="es-ES"/>
        </w:rPr>
        <w:t>ELEMENTOS PARA UN PROYECTO DE DECISIÓN</w:t>
      </w:r>
    </w:p>
    <w:bookmarkEnd w:id="0"/>
    <w:p w:rsidR="000359C1" w:rsidRPr="008515EE" w:rsidRDefault="000359C1">
      <w:pPr>
        <w:pStyle w:val="Para1"/>
        <w:rPr>
          <w:rFonts w:eastAsia="Times New Roman"/>
          <w:lang w:val="es-ES"/>
        </w:rPr>
      </w:pPr>
      <w:r w:rsidRPr="008515EE">
        <w:rPr>
          <w:rFonts w:eastAsia="Times New Roman"/>
          <w:kern w:val="22"/>
          <w:lang w:val="es-ES"/>
        </w:rPr>
        <w:t>La</w:t>
      </w:r>
      <w:r w:rsidRPr="008515EE">
        <w:rPr>
          <w:rFonts w:eastAsia="Times New Roman"/>
          <w:color w:val="000000"/>
          <w:kern w:val="22"/>
          <w:lang w:val="es-ES"/>
        </w:rPr>
        <w:t xml:space="preserve"> Conferencia de las Partes que actúa como reunión de las Partes en el Protocolo podría estimar oportuno examinar las conclusiones de la reunión del GEET y adoptar una decisión del siguiente tenor:</w:t>
      </w:r>
    </w:p>
    <w:p w:rsidR="000359C1" w:rsidRPr="008515EE" w:rsidRDefault="000359C1">
      <w:pPr>
        <w:pStyle w:val="ListParagraph"/>
        <w:spacing w:before="120" w:after="120"/>
        <w:ind w:left="0" w:firstLine="720"/>
        <w:rPr>
          <w:rFonts w:eastAsia="Times New Roman"/>
          <w:kern w:val="22"/>
          <w:lang w:val="es-ES"/>
        </w:rPr>
      </w:pPr>
      <w:r w:rsidRPr="008515EE">
        <w:rPr>
          <w:rFonts w:eastAsia="Times New Roman"/>
          <w:i/>
          <w:iCs/>
          <w:kern w:val="22"/>
          <w:lang w:val="es-ES"/>
        </w:rPr>
        <w:t>La Conferencia de las Partes que actúa como reunión de las Partes en el Protocolo de Cartagena sobre Seguridad de la Biotecnología,</w:t>
      </w:r>
    </w:p>
    <w:p w:rsidR="000359C1" w:rsidRPr="008515EE" w:rsidRDefault="000359C1">
      <w:pPr>
        <w:pStyle w:val="ListParagraph"/>
        <w:spacing w:before="120" w:after="120"/>
        <w:ind w:left="0" w:firstLine="720"/>
        <w:rPr>
          <w:rFonts w:eastAsia="Times New Roman"/>
          <w:kern w:val="22"/>
          <w:lang w:val="es-ES"/>
        </w:rPr>
      </w:pPr>
      <w:r w:rsidRPr="008515EE">
        <w:rPr>
          <w:rFonts w:eastAsia="Times New Roman"/>
          <w:i/>
          <w:iCs/>
          <w:kern w:val="22"/>
          <w:lang w:val="es-ES"/>
        </w:rPr>
        <w:t>Recordando</w:t>
      </w:r>
      <w:r w:rsidRPr="008515EE">
        <w:rPr>
          <w:rFonts w:eastAsia="Times New Roman"/>
          <w:kern w:val="22"/>
          <w:lang w:val="es-ES"/>
        </w:rPr>
        <w:t xml:space="preserve"> la “Orientación para la evaluación de las consideraciones socioeconómicas en el contexto del artículo 26 del Protocolo de Cartagena sobre Seguridad de la Biotecnología”</w:t>
      </w:r>
      <w:r w:rsidR="005C6F79" w:rsidRPr="008515EE">
        <w:rPr>
          <w:rFonts w:eastAsia="Times New Roman"/>
          <w:kern w:val="22"/>
          <w:lang w:val="es-ES"/>
        </w:rPr>
        <w:t>,</w:t>
      </w:r>
      <w:r w:rsidRPr="008515EE">
        <w:rPr>
          <w:rFonts w:eastAsia="Times New Roman"/>
          <w:kern w:val="22"/>
          <w:lang w:val="es-ES"/>
        </w:rPr>
        <w:t xml:space="preserve"> de la que tomó nota en la decisión CP-9/14,</w:t>
      </w:r>
    </w:p>
    <w:p w:rsidR="000359C1" w:rsidRPr="008515EE" w:rsidRDefault="000359C1">
      <w:pPr>
        <w:spacing w:before="120" w:after="120"/>
        <w:ind w:firstLine="720"/>
        <w:rPr>
          <w:rFonts w:eastAsia="Times New Roman"/>
          <w:kern w:val="22"/>
          <w:lang w:val="es-ES"/>
        </w:rPr>
      </w:pPr>
      <w:r w:rsidRPr="008515EE">
        <w:rPr>
          <w:rFonts w:eastAsia="Times New Roman"/>
          <w:i/>
          <w:iCs/>
          <w:kern w:val="22"/>
          <w:lang w:val="es-ES"/>
        </w:rPr>
        <w:t xml:space="preserve">Reconociendo </w:t>
      </w:r>
      <w:r w:rsidRPr="008515EE">
        <w:rPr>
          <w:rFonts w:eastAsia="Times New Roman"/>
          <w:kern w:val="22"/>
          <w:lang w:val="es-ES"/>
        </w:rPr>
        <w:t>el tiempo limitado que han tenido las Partes, otros Gobiernos, organizaciones pertinentes y otros interesados para hacer uso de la Orie</w:t>
      </w:r>
      <w:r w:rsidR="005C6F79" w:rsidRPr="008515EE">
        <w:rPr>
          <w:rFonts w:eastAsia="Times New Roman"/>
          <w:kern w:val="22"/>
          <w:lang w:val="es-ES"/>
        </w:rPr>
        <w:t>ntación de carácter voluntario,</w:t>
      </w:r>
    </w:p>
    <w:p w:rsidR="000359C1" w:rsidRPr="008515EE" w:rsidRDefault="000359C1">
      <w:pPr>
        <w:spacing w:before="120" w:after="120"/>
        <w:rPr>
          <w:rFonts w:eastAsia="Times New Roman"/>
          <w:kern w:val="22"/>
          <w:lang w:val="es-ES"/>
        </w:rPr>
      </w:pPr>
      <w:r w:rsidRPr="008515EE">
        <w:rPr>
          <w:rFonts w:eastAsia="Times New Roman"/>
          <w:i/>
          <w:iCs/>
          <w:kern w:val="22"/>
          <w:lang w:val="es-ES"/>
        </w:rPr>
        <w:tab/>
        <w:t xml:space="preserve">Reconociendo </w:t>
      </w:r>
      <w:r w:rsidRPr="008515EE">
        <w:rPr>
          <w:rFonts w:eastAsia="Times New Roman"/>
          <w:kern w:val="22"/>
          <w:lang w:val="es-ES"/>
        </w:rPr>
        <w:t>la necesidad de reunir y compartir más información sobre metodologías y enfoques,</w:t>
      </w:r>
    </w:p>
    <w:p w:rsidR="000359C1" w:rsidRPr="008515EE" w:rsidRDefault="000359C1">
      <w:pPr>
        <w:spacing w:before="120" w:after="120"/>
        <w:ind w:firstLine="720"/>
        <w:rPr>
          <w:rFonts w:eastAsia="Times New Roman"/>
          <w:kern w:val="22"/>
          <w:lang w:val="es-ES"/>
        </w:rPr>
      </w:pPr>
      <w:r w:rsidRPr="008515EE">
        <w:rPr>
          <w:rFonts w:eastAsia="Times New Roman"/>
          <w:i/>
          <w:iCs/>
          <w:kern w:val="22"/>
          <w:lang w:val="es-ES"/>
        </w:rPr>
        <w:t xml:space="preserve">Tomando nota </w:t>
      </w:r>
      <w:r w:rsidRPr="008515EE">
        <w:rPr>
          <w:rFonts w:eastAsia="Times New Roman"/>
          <w:kern w:val="22"/>
          <w:lang w:val="es-ES"/>
        </w:rPr>
        <w:t xml:space="preserve">de la información proporcionada por las Partes en sus cuartos informes nacionales en relación con el artículo 26 del Protocolo de Cartagena sobre Seguridad de la Biotecnología, y </w:t>
      </w:r>
      <w:r w:rsidRPr="008515EE">
        <w:rPr>
          <w:rFonts w:eastAsia="Times New Roman"/>
          <w:i/>
          <w:iCs/>
          <w:kern w:val="22"/>
          <w:lang w:val="es-ES"/>
        </w:rPr>
        <w:t xml:space="preserve">reconociendo </w:t>
      </w:r>
      <w:r w:rsidRPr="008515EE">
        <w:rPr>
          <w:rFonts w:eastAsia="Times New Roman"/>
          <w:kern w:val="22"/>
          <w:lang w:val="es-ES"/>
        </w:rPr>
        <w:t>las conclusiones sobre consideraciones socioeconómicas de la cuarta evaluación y revisión de la eficacia del Protocolo y de la evaluación final del Plan Estratégico para el Protocolo de Cartagena para el período 2011-2020, que se exponen en la decisión CP-10/--;</w:t>
      </w:r>
    </w:p>
    <w:p w:rsidR="000359C1" w:rsidRPr="008515EE" w:rsidRDefault="000359C1">
      <w:pPr>
        <w:spacing w:before="120" w:after="120"/>
        <w:ind w:firstLine="720"/>
        <w:rPr>
          <w:rFonts w:eastAsia="Times New Roman"/>
          <w:i/>
          <w:iCs/>
          <w:kern w:val="22"/>
          <w:lang w:val="es-ES"/>
        </w:rPr>
      </w:pPr>
      <w:r w:rsidRPr="008515EE">
        <w:rPr>
          <w:rFonts w:eastAsia="Times New Roman"/>
          <w:i/>
          <w:iCs/>
          <w:kern w:val="22"/>
          <w:lang w:val="es-ES"/>
        </w:rPr>
        <w:t xml:space="preserve">Observando </w:t>
      </w:r>
      <w:r w:rsidRPr="008515EE">
        <w:rPr>
          <w:rFonts w:eastAsia="Times New Roman"/>
          <w:kern w:val="22"/>
          <w:lang w:val="es-ES"/>
        </w:rPr>
        <w:t>el objetivo y las actividades de creación de capacidad relacionad</w:t>
      </w:r>
      <w:r w:rsidR="005C6F79" w:rsidRPr="008515EE">
        <w:rPr>
          <w:rFonts w:eastAsia="Times New Roman"/>
          <w:kern w:val="22"/>
          <w:lang w:val="es-ES"/>
        </w:rPr>
        <w:t>a</w:t>
      </w:r>
      <w:r w:rsidRPr="008515EE">
        <w:rPr>
          <w:rFonts w:eastAsia="Times New Roman"/>
          <w:kern w:val="22"/>
          <w:lang w:val="es-ES"/>
        </w:rPr>
        <w:t xml:space="preserve">s del plan de aplicación y el plan de acción sobre creación de capacidad para el Protocolo de Cartagena sobre Seguridad de la Biotecnología que tienen que ver con el artículo 26 del Protocolo de Cartagena, y </w:t>
      </w:r>
      <w:r w:rsidRPr="008515EE">
        <w:rPr>
          <w:rFonts w:eastAsia="Times New Roman"/>
          <w:i/>
          <w:iCs/>
          <w:kern w:val="22"/>
          <w:lang w:val="es-ES"/>
        </w:rPr>
        <w:t xml:space="preserve">reconociendo </w:t>
      </w:r>
      <w:r w:rsidRPr="008515EE">
        <w:rPr>
          <w:rFonts w:eastAsia="Times New Roman"/>
          <w:kern w:val="22"/>
          <w:lang w:val="es-ES"/>
        </w:rPr>
        <w:t xml:space="preserve">la importancia de la creación de capacidad y la cooperación regional y subregional en </w:t>
      </w:r>
      <w:r w:rsidR="005C6F79" w:rsidRPr="008515EE">
        <w:rPr>
          <w:rFonts w:eastAsia="Times New Roman"/>
          <w:kern w:val="22"/>
          <w:lang w:val="es-ES"/>
        </w:rPr>
        <w:t>materia</w:t>
      </w:r>
      <w:r w:rsidRPr="008515EE">
        <w:rPr>
          <w:rFonts w:eastAsia="Times New Roman"/>
          <w:kern w:val="22"/>
          <w:lang w:val="es-ES"/>
        </w:rPr>
        <w:t xml:space="preserve"> de consideraciones socioeconómicas,</w:t>
      </w:r>
    </w:p>
    <w:p w:rsidR="000359C1" w:rsidRPr="008515EE" w:rsidRDefault="000359C1">
      <w:pPr>
        <w:pStyle w:val="ListParagraph"/>
        <w:numPr>
          <w:ilvl w:val="6"/>
          <w:numId w:val="23"/>
        </w:numPr>
        <w:tabs>
          <w:tab w:val="clear" w:pos="2520"/>
        </w:tabs>
        <w:spacing w:before="120" w:after="120"/>
        <w:ind w:left="0" w:firstLine="720"/>
        <w:rPr>
          <w:rFonts w:eastAsia="Times New Roman"/>
          <w:kern w:val="22"/>
          <w:lang w:val="es-ES"/>
        </w:rPr>
      </w:pPr>
      <w:r w:rsidRPr="008515EE">
        <w:rPr>
          <w:rFonts w:eastAsia="Times New Roman"/>
          <w:i/>
          <w:iCs/>
          <w:kern w:val="22"/>
          <w:lang w:val="es-ES"/>
        </w:rPr>
        <w:t xml:space="preserve">Acoge con satisfacción </w:t>
      </w:r>
      <w:r w:rsidRPr="008515EE">
        <w:rPr>
          <w:rFonts w:eastAsia="Times New Roman"/>
          <w:kern w:val="22"/>
          <w:lang w:val="es-ES"/>
        </w:rPr>
        <w:t>las conclusiones de</w:t>
      </w:r>
      <w:r w:rsidR="005C6F79" w:rsidRPr="008515EE">
        <w:rPr>
          <w:rFonts w:eastAsia="Times New Roman"/>
          <w:kern w:val="22"/>
          <w:lang w:val="es-ES"/>
        </w:rPr>
        <w:t xml:space="preserve"> </w:t>
      </w:r>
      <w:r w:rsidRPr="008515EE">
        <w:rPr>
          <w:rFonts w:eastAsia="Times New Roman"/>
          <w:kern w:val="22"/>
          <w:lang w:val="es-ES"/>
        </w:rPr>
        <w:t>l</w:t>
      </w:r>
      <w:r w:rsidR="005C6F79" w:rsidRPr="008515EE">
        <w:rPr>
          <w:rFonts w:eastAsia="Times New Roman"/>
          <w:kern w:val="22"/>
          <w:lang w:val="es-ES"/>
        </w:rPr>
        <w:t>a</w:t>
      </w:r>
      <w:r w:rsidRPr="008515EE">
        <w:rPr>
          <w:rFonts w:eastAsia="Times New Roman"/>
          <w:kern w:val="22"/>
          <w:lang w:val="es-ES"/>
        </w:rPr>
        <w:t xml:space="preserve"> </w:t>
      </w:r>
      <w:r w:rsidR="005C6F79" w:rsidRPr="008515EE">
        <w:rPr>
          <w:rFonts w:eastAsia="Times New Roman"/>
          <w:kern w:val="22"/>
          <w:lang w:val="es-ES"/>
        </w:rPr>
        <w:t>l</w:t>
      </w:r>
      <w:r w:rsidRPr="008515EE">
        <w:rPr>
          <w:rFonts w:eastAsia="Times New Roman"/>
          <w:kern w:val="22"/>
          <w:lang w:val="es-ES"/>
        </w:rPr>
        <w:t>abo</w:t>
      </w:r>
      <w:r w:rsidR="005C6F79" w:rsidRPr="008515EE">
        <w:rPr>
          <w:rFonts w:eastAsia="Times New Roman"/>
          <w:kern w:val="22"/>
          <w:lang w:val="es-ES"/>
        </w:rPr>
        <w:t>r</w:t>
      </w:r>
      <w:r w:rsidRPr="008515EE">
        <w:rPr>
          <w:rFonts w:eastAsia="Times New Roman"/>
          <w:kern w:val="22"/>
          <w:lang w:val="es-ES"/>
        </w:rPr>
        <w:t xml:space="preserve"> del Grupo Especial de Expertos Técnicos en Consideraciones Socioeconómicas</w:t>
      </w:r>
      <w:r w:rsidRPr="008515EE">
        <w:rPr>
          <w:rStyle w:val="FootnoteReference"/>
          <w:rFonts w:eastAsia="Times New Roman"/>
          <w:kern w:val="22"/>
          <w:lang w:val="es-ES"/>
        </w:rPr>
        <w:footnoteReference w:id="7"/>
      </w:r>
      <w:r w:rsidRPr="008515EE">
        <w:rPr>
          <w:rFonts w:eastAsia="Times New Roman"/>
          <w:kern w:val="22"/>
          <w:lang w:val="es-ES"/>
        </w:rPr>
        <w:t>;</w:t>
      </w:r>
    </w:p>
    <w:p w:rsidR="000359C1" w:rsidRPr="008515EE" w:rsidRDefault="000359C1">
      <w:pPr>
        <w:pStyle w:val="ListParagraph"/>
        <w:numPr>
          <w:ilvl w:val="6"/>
          <w:numId w:val="23"/>
        </w:numPr>
        <w:tabs>
          <w:tab w:val="clear" w:pos="2520"/>
        </w:tabs>
        <w:spacing w:before="120"/>
        <w:ind w:left="0" w:firstLine="720"/>
        <w:rPr>
          <w:rFonts w:eastAsia="Times New Roman"/>
          <w:kern w:val="22"/>
          <w:lang w:val="es-ES"/>
        </w:rPr>
      </w:pPr>
      <w:r w:rsidRPr="008515EE">
        <w:rPr>
          <w:rFonts w:eastAsia="Times New Roman"/>
          <w:i/>
          <w:iCs/>
          <w:kern w:val="22"/>
          <w:lang w:val="es-ES"/>
        </w:rPr>
        <w:t xml:space="preserve">Alienta </w:t>
      </w:r>
      <w:r w:rsidRPr="008515EE">
        <w:rPr>
          <w:rFonts w:eastAsia="Times New Roman"/>
          <w:kern w:val="22"/>
          <w:lang w:val="es-ES"/>
        </w:rPr>
        <w:t xml:space="preserve">a las Partes, otros Gobiernos, organizaciones pertinentes y otros interesados a que cooperen y compartan experiencias pertinentes </w:t>
      </w:r>
      <w:r w:rsidR="005C6F79" w:rsidRPr="008515EE">
        <w:rPr>
          <w:rFonts w:eastAsia="Times New Roman"/>
          <w:kern w:val="22"/>
          <w:lang w:val="es-ES"/>
        </w:rPr>
        <w:t>en lo que respecta</w:t>
      </w:r>
      <w:r w:rsidRPr="008515EE">
        <w:rPr>
          <w:rFonts w:eastAsia="Times New Roman"/>
          <w:kern w:val="22"/>
          <w:lang w:val="es-ES"/>
        </w:rPr>
        <w:t xml:space="preserve"> a tener en cuenta consideraciones socioeconómicas en la toma de decisiones sobre organismos vivos modificados de conformidad con el artículo 26 del Protocolo, incluido a nivel regional y subregional;</w:t>
      </w:r>
    </w:p>
    <w:p w:rsidR="000359C1" w:rsidRPr="008515EE" w:rsidRDefault="000359C1">
      <w:pPr>
        <w:pStyle w:val="ListParagraph"/>
        <w:numPr>
          <w:ilvl w:val="6"/>
          <w:numId w:val="23"/>
        </w:numPr>
        <w:tabs>
          <w:tab w:val="clear" w:pos="2520"/>
        </w:tabs>
        <w:spacing w:before="120"/>
        <w:ind w:left="0" w:firstLine="720"/>
        <w:rPr>
          <w:rStyle w:val="CommentReference"/>
          <w:rFonts w:eastAsia="Times New Roman"/>
          <w:kern w:val="22"/>
          <w:sz w:val="22"/>
          <w:szCs w:val="22"/>
          <w:lang w:val="es-ES"/>
        </w:rPr>
      </w:pPr>
      <w:r w:rsidRPr="008515EE">
        <w:rPr>
          <w:rFonts w:eastAsia="Times New Roman"/>
          <w:i/>
          <w:iCs/>
          <w:kern w:val="22"/>
          <w:lang w:val="es-ES"/>
        </w:rPr>
        <w:t xml:space="preserve">Invita </w:t>
      </w:r>
      <w:r w:rsidRPr="008515EE">
        <w:rPr>
          <w:rFonts w:eastAsia="Times New Roman"/>
          <w:kern w:val="22"/>
          <w:lang w:val="es-ES"/>
        </w:rPr>
        <w:t>a las Partes, otros Gobiernos, organizaciones pertinentes y otros interesados, según proceda, a utilizar la Orientación de carácter voluntario y presentar experiencias en las que hayan usado la Orientación, así como ejemplos de metodologías y aplicaciones de consideraciones socioeconómicas que tengan en cuenta los elementos de la Orientación de carácter voluntario;</w:t>
      </w:r>
    </w:p>
    <w:p w:rsidR="000359C1" w:rsidRPr="008515EE" w:rsidRDefault="000359C1">
      <w:pPr>
        <w:pStyle w:val="ListParagraph"/>
        <w:numPr>
          <w:ilvl w:val="6"/>
          <w:numId w:val="23"/>
        </w:numPr>
        <w:tabs>
          <w:tab w:val="clear" w:pos="2520"/>
        </w:tabs>
        <w:spacing w:before="120"/>
        <w:ind w:left="0" w:firstLine="720"/>
        <w:rPr>
          <w:rFonts w:eastAsia="Times New Roman"/>
          <w:kern w:val="22"/>
          <w:lang w:val="es-ES"/>
        </w:rPr>
      </w:pPr>
      <w:r w:rsidRPr="008515EE">
        <w:rPr>
          <w:rFonts w:eastAsia="Times New Roman"/>
          <w:i/>
          <w:iCs/>
          <w:kern w:val="22"/>
          <w:lang w:val="es-ES"/>
        </w:rPr>
        <w:lastRenderedPageBreak/>
        <w:t xml:space="preserve">Pide </w:t>
      </w:r>
      <w:r w:rsidRPr="008515EE">
        <w:rPr>
          <w:rFonts w:eastAsia="Times New Roman"/>
          <w:kern w:val="22"/>
          <w:lang w:val="es-ES"/>
        </w:rPr>
        <w:t xml:space="preserve">a la Secretaria Ejecutiva que contacte a aquellas Partes que, en su cuarto informe nacional, hayan indicado que tienen enfoques o requisitos específicos que facilitan </w:t>
      </w:r>
      <w:r w:rsidR="005C6F79" w:rsidRPr="008515EE">
        <w:rPr>
          <w:rFonts w:eastAsia="Times New Roman"/>
          <w:kern w:val="22"/>
          <w:lang w:val="es-ES"/>
        </w:rPr>
        <w:t>el</w:t>
      </w:r>
      <w:r w:rsidRPr="008515EE">
        <w:rPr>
          <w:rFonts w:eastAsia="Times New Roman"/>
          <w:kern w:val="22"/>
          <w:lang w:val="es-ES"/>
        </w:rPr>
        <w:t xml:space="preserve"> tener en cuenta consideraciones socioeconómicas en la toma de decisiones sobre organismos vivos modificados, o que han tenido en cuenta consideraciones socioeconómicas surgidas a raíz del impacto de organismos vivos modificados, y las invite a compartir esos enfoques, requisitos y descripciones de tales aplicaciones;</w:t>
      </w:r>
    </w:p>
    <w:p w:rsidR="000359C1" w:rsidRPr="008515EE" w:rsidRDefault="000359C1">
      <w:pPr>
        <w:pStyle w:val="ListParagraph"/>
        <w:numPr>
          <w:ilvl w:val="6"/>
          <w:numId w:val="23"/>
        </w:numPr>
        <w:tabs>
          <w:tab w:val="clear" w:pos="2520"/>
        </w:tabs>
        <w:spacing w:before="120"/>
        <w:ind w:left="0" w:firstLine="720"/>
        <w:rPr>
          <w:rFonts w:eastAsia="Times New Roman"/>
          <w:kern w:val="22"/>
          <w:lang w:val="es-ES"/>
        </w:rPr>
      </w:pPr>
      <w:r w:rsidRPr="008515EE">
        <w:rPr>
          <w:rFonts w:eastAsia="Times New Roman"/>
          <w:i/>
          <w:iCs/>
          <w:kern w:val="22"/>
          <w:lang w:val="es-ES"/>
        </w:rPr>
        <w:t>Pide</w:t>
      </w:r>
      <w:r w:rsidRPr="008515EE">
        <w:rPr>
          <w:rFonts w:eastAsia="Times New Roman"/>
          <w:kern w:val="22"/>
          <w:lang w:val="es-ES"/>
        </w:rPr>
        <w:t xml:space="preserve"> a la Secretaria Ejecutiva que recopile la información recogida en respuesta a los párrafos</w:t>
      </w:r>
      <w:r w:rsidR="005C6F79" w:rsidRPr="008515EE">
        <w:rPr>
          <w:rFonts w:eastAsia="Times New Roman"/>
          <w:kern w:val="22"/>
          <w:lang w:val="es-ES"/>
        </w:rPr>
        <w:t> </w:t>
      </w:r>
      <w:r w:rsidRPr="008515EE">
        <w:rPr>
          <w:rFonts w:eastAsia="Times New Roman"/>
          <w:kern w:val="22"/>
          <w:lang w:val="es-ES"/>
        </w:rPr>
        <w:t>3</w:t>
      </w:r>
      <w:r w:rsidR="005C6F79" w:rsidRPr="008515EE">
        <w:rPr>
          <w:rFonts w:eastAsia="Times New Roman"/>
          <w:kern w:val="22"/>
          <w:lang w:val="es-ES"/>
        </w:rPr>
        <w:t> </w:t>
      </w:r>
      <w:r w:rsidRPr="008515EE">
        <w:rPr>
          <w:rFonts w:eastAsia="Times New Roman"/>
          <w:kern w:val="22"/>
          <w:lang w:val="es-ES"/>
        </w:rPr>
        <w:t>y</w:t>
      </w:r>
      <w:r w:rsidR="005C6F79" w:rsidRPr="008515EE">
        <w:rPr>
          <w:rFonts w:eastAsia="Times New Roman"/>
          <w:kern w:val="22"/>
          <w:lang w:val="es-ES"/>
        </w:rPr>
        <w:t> </w:t>
      </w:r>
      <w:r w:rsidRPr="008515EE">
        <w:rPr>
          <w:rFonts w:eastAsia="Times New Roman"/>
          <w:kern w:val="22"/>
          <w:lang w:val="es-ES"/>
        </w:rPr>
        <w:t>4 y presente esa síntesis a la Conferencia de las Partes que actúa como reunión de las Partes en el Protocolo de Cartagena para que la considere en su 11ª reunión, con miras a determinar si es necesario seguir trabajando sobre esto.</w:t>
      </w:r>
    </w:p>
    <w:p w:rsidR="000359C1" w:rsidRPr="008515EE" w:rsidRDefault="000359C1">
      <w:pPr>
        <w:pStyle w:val="ListParagraph"/>
        <w:spacing w:before="120"/>
        <w:ind w:left="0"/>
        <w:jc w:val="center"/>
        <w:rPr>
          <w:rFonts w:eastAsia="Times New Roman"/>
          <w:i/>
          <w:iCs/>
          <w:kern w:val="22"/>
          <w:lang w:val="es-ES"/>
        </w:rPr>
      </w:pPr>
      <w:bookmarkStart w:id="1" w:name="_Hlk78360105"/>
      <w:r w:rsidRPr="008515EE">
        <w:rPr>
          <w:rFonts w:eastAsia="Times New Roman"/>
          <w:kern w:val="22"/>
          <w:lang w:val="es-ES"/>
        </w:rPr>
        <w:br w:type="page"/>
      </w:r>
      <w:r w:rsidRPr="008515EE">
        <w:rPr>
          <w:rFonts w:eastAsia="Times New Roman"/>
          <w:i/>
          <w:iCs/>
          <w:kern w:val="22"/>
          <w:lang w:val="es-ES"/>
        </w:rPr>
        <w:lastRenderedPageBreak/>
        <w:t>Anexo I</w:t>
      </w:r>
    </w:p>
    <w:bookmarkEnd w:id="1"/>
    <w:p w:rsidR="000359C1" w:rsidRPr="008515EE" w:rsidRDefault="000359C1">
      <w:pPr>
        <w:keepNext/>
        <w:suppressLineNumbers/>
        <w:suppressAutoHyphens/>
        <w:spacing w:before="120" w:after="120"/>
        <w:jc w:val="center"/>
        <w:outlineLvl w:val="0"/>
        <w:rPr>
          <w:rFonts w:eastAsia="Times New Roman"/>
          <w:caps/>
          <w:kern w:val="22"/>
          <w:lang w:val="es-ES"/>
        </w:rPr>
      </w:pPr>
      <w:r w:rsidRPr="008515EE">
        <w:rPr>
          <w:rFonts w:eastAsia="Times New Roman"/>
          <w:b/>
          <w:bCs/>
          <w:caps/>
          <w:kern w:val="22"/>
          <w:lang w:val="es-ES"/>
        </w:rPr>
        <w:t>ExTRActo DeL INFOrMe DE LA REUNIÓN DEL GRUPO ESPECIAL DE EXPERTOS TÉCNICOS EN ConsideraCionEs SocioeconÓmicAS, Viena,</w:t>
      </w:r>
      <w:r w:rsidR="00E14D4C" w:rsidRPr="008515EE">
        <w:rPr>
          <w:rFonts w:eastAsia="Times New Roman"/>
          <w:b/>
          <w:bCs/>
          <w:caps/>
          <w:kern w:val="22"/>
          <w:lang w:val="es-ES"/>
        </w:rPr>
        <w:t> </w:t>
      </w:r>
      <w:r w:rsidRPr="008515EE">
        <w:rPr>
          <w:rFonts w:eastAsia="Times New Roman"/>
          <w:b/>
          <w:bCs/>
          <w:caps/>
          <w:kern w:val="22"/>
          <w:lang w:val="es-ES"/>
        </w:rPr>
        <w:t>10 A 13 De DIcIembrE DE 2019</w:t>
      </w:r>
    </w:p>
    <w:p w:rsidR="000359C1" w:rsidRPr="008515EE" w:rsidRDefault="000359C1">
      <w:pPr>
        <w:rPr>
          <w:rFonts w:eastAsia="Times New Roman"/>
          <w:i/>
          <w:iCs/>
          <w:kern w:val="22"/>
          <w:lang w:val="es-ES"/>
        </w:rPr>
      </w:pPr>
      <w:r w:rsidRPr="008515EE">
        <w:rPr>
          <w:rFonts w:eastAsia="Times New Roman"/>
          <w:i/>
          <w:iCs/>
          <w:kern w:val="22"/>
          <w:lang w:val="es-ES"/>
        </w:rPr>
        <w:t>El informe completo está disponible como documento CBD/CP/SEC/AHTEG/2019/1/3.</w:t>
      </w:r>
    </w:p>
    <w:p w:rsidR="000359C1" w:rsidRPr="008515EE" w:rsidRDefault="00E14D4C">
      <w:pPr>
        <w:suppressLineNumbers/>
        <w:tabs>
          <w:tab w:val="left" w:pos="798"/>
        </w:tabs>
        <w:suppressAutoHyphens/>
        <w:adjustRightInd w:val="0"/>
        <w:snapToGrid w:val="0"/>
        <w:spacing w:before="120" w:after="120"/>
        <w:rPr>
          <w:rFonts w:eastAsia="Times New Roman"/>
          <w:kern w:val="22"/>
          <w:lang w:val="es-ES"/>
        </w:rPr>
      </w:pPr>
      <w:r w:rsidRPr="008515EE">
        <w:rPr>
          <w:rFonts w:eastAsia="Times New Roman"/>
          <w:kern w:val="22"/>
          <w:lang w:val="es-ES"/>
        </w:rPr>
        <w:t>[…]</w:t>
      </w:r>
    </w:p>
    <w:p w:rsidR="000359C1" w:rsidRPr="008515EE" w:rsidRDefault="000359C1">
      <w:pPr>
        <w:numPr>
          <w:ilvl w:val="0"/>
          <w:numId w:val="36"/>
        </w:numPr>
        <w:suppressLineNumbers/>
        <w:tabs>
          <w:tab w:val="clear" w:pos="360"/>
        </w:tabs>
        <w:suppressAutoHyphens/>
        <w:adjustRightInd w:val="0"/>
        <w:snapToGrid w:val="0"/>
        <w:spacing w:before="120" w:after="120"/>
        <w:rPr>
          <w:rFonts w:eastAsia="Times New Roman"/>
          <w:lang w:val="es-ES"/>
        </w:rPr>
      </w:pPr>
      <w:r w:rsidRPr="008515EE">
        <w:rPr>
          <w:rFonts w:eastAsia="Times New Roman"/>
          <w:kern w:val="22"/>
          <w:lang w:val="es-ES"/>
        </w:rPr>
        <w:t>El GEET reconoció que las Partes habían tenido poco tiempo para adquirir experiencia preliminar en el uso de la Orientación y que, por consiguiente, los aportes realizados se referían a experiencias anteriores a la Orientación. El Grupo señaló que se habían recibido solo</w:t>
      </w:r>
      <w:r w:rsidR="00E14D4C" w:rsidRPr="008515EE">
        <w:rPr>
          <w:rFonts w:eastAsia="Times New Roman"/>
          <w:kern w:val="22"/>
          <w:lang w:val="es-ES"/>
        </w:rPr>
        <w:t xml:space="preserve"> </w:t>
      </w:r>
      <w:r w:rsidRPr="008515EE">
        <w:rPr>
          <w:rFonts w:eastAsia="Times New Roman"/>
          <w:kern w:val="22"/>
          <w:lang w:val="es-ES"/>
        </w:rPr>
        <w:t>16</w:t>
      </w:r>
      <w:r w:rsidR="00E14D4C" w:rsidRPr="008515EE">
        <w:rPr>
          <w:rFonts w:eastAsia="Times New Roman"/>
          <w:kern w:val="22"/>
          <w:lang w:val="es-ES"/>
        </w:rPr>
        <w:t> </w:t>
      </w:r>
      <w:r w:rsidRPr="008515EE">
        <w:rPr>
          <w:rFonts w:eastAsia="Times New Roman"/>
          <w:kern w:val="22"/>
          <w:lang w:val="es-ES"/>
        </w:rPr>
        <w:t xml:space="preserve">aportes y que estos no se basaban en experiencias en las que se utilizó la Orientación. El Grupo deliberó sobre si un enfoque más estructurado </w:t>
      </w:r>
      <w:r w:rsidR="00E14D4C" w:rsidRPr="008515EE">
        <w:rPr>
          <w:rFonts w:eastAsia="Times New Roman"/>
          <w:kern w:val="22"/>
          <w:lang w:val="es-ES"/>
        </w:rPr>
        <w:t>p</w:t>
      </w:r>
      <w:r w:rsidRPr="008515EE">
        <w:rPr>
          <w:rFonts w:eastAsia="Times New Roman"/>
          <w:kern w:val="22"/>
          <w:lang w:val="es-ES"/>
        </w:rPr>
        <w:t>o</w:t>
      </w:r>
      <w:r w:rsidR="00E14D4C" w:rsidRPr="008515EE">
        <w:rPr>
          <w:rFonts w:eastAsia="Times New Roman"/>
          <w:kern w:val="22"/>
          <w:lang w:val="es-ES"/>
        </w:rPr>
        <w:t>dría</w:t>
      </w:r>
      <w:r w:rsidRPr="008515EE">
        <w:rPr>
          <w:rFonts w:eastAsia="Times New Roman"/>
          <w:kern w:val="22"/>
          <w:lang w:val="es-ES"/>
        </w:rPr>
        <w:t xml:space="preserve"> hab</w:t>
      </w:r>
      <w:r w:rsidR="00E14D4C" w:rsidRPr="008515EE">
        <w:rPr>
          <w:rFonts w:eastAsia="Times New Roman"/>
          <w:kern w:val="22"/>
          <w:lang w:val="es-ES"/>
        </w:rPr>
        <w:t>e</w:t>
      </w:r>
      <w:r w:rsidRPr="008515EE">
        <w:rPr>
          <w:rFonts w:eastAsia="Times New Roman"/>
          <w:kern w:val="22"/>
          <w:lang w:val="es-ES"/>
        </w:rPr>
        <w:t>r l</w:t>
      </w:r>
      <w:r w:rsidR="00E14D4C" w:rsidRPr="008515EE">
        <w:rPr>
          <w:rFonts w:eastAsia="Times New Roman"/>
          <w:kern w:val="22"/>
          <w:lang w:val="es-ES"/>
        </w:rPr>
        <w:t>lev</w:t>
      </w:r>
      <w:r w:rsidRPr="008515EE">
        <w:rPr>
          <w:rFonts w:eastAsia="Times New Roman"/>
          <w:kern w:val="22"/>
          <w:lang w:val="es-ES"/>
        </w:rPr>
        <w:t xml:space="preserve">ado </w:t>
      </w:r>
      <w:r w:rsidR="00E14D4C" w:rsidRPr="008515EE">
        <w:rPr>
          <w:rFonts w:eastAsia="Times New Roman"/>
          <w:kern w:val="22"/>
          <w:lang w:val="es-ES"/>
        </w:rPr>
        <w:t xml:space="preserve">a </w:t>
      </w:r>
      <w:r w:rsidRPr="008515EE">
        <w:rPr>
          <w:rFonts w:eastAsia="Times New Roman"/>
          <w:kern w:val="22"/>
          <w:lang w:val="es-ES"/>
        </w:rPr>
        <w:t xml:space="preserve">que se presentaran más aportes basados en la Orientación. Según la opinión del Grupo, los aportes realizados no son representativos del conjunto de experiencias y metodologías existentes. No obstante, el Grupo señaló que los aportes y las conclusiones de los debates en línea brindan información útil sobre experiencias con consideraciones socioeconómicas que </w:t>
      </w:r>
      <w:r w:rsidR="00E14D4C" w:rsidRPr="008515EE">
        <w:rPr>
          <w:rFonts w:eastAsia="Times New Roman"/>
          <w:kern w:val="22"/>
          <w:lang w:val="es-ES"/>
        </w:rPr>
        <w:t>resulta</w:t>
      </w:r>
      <w:r w:rsidRPr="008515EE">
        <w:rPr>
          <w:rFonts w:eastAsia="Times New Roman"/>
          <w:kern w:val="22"/>
          <w:lang w:val="es-ES"/>
        </w:rPr>
        <w:t xml:space="preserve"> pertinentes para </w:t>
      </w:r>
      <w:r w:rsidR="00E14D4C" w:rsidRPr="008515EE">
        <w:rPr>
          <w:rFonts w:eastAsia="Times New Roman"/>
          <w:kern w:val="22"/>
          <w:lang w:val="es-ES"/>
        </w:rPr>
        <w:t xml:space="preserve">las </w:t>
      </w:r>
      <w:r w:rsidRPr="008515EE">
        <w:rPr>
          <w:rFonts w:eastAsia="Times New Roman"/>
          <w:kern w:val="22"/>
          <w:lang w:val="es-ES"/>
        </w:rPr>
        <w:t>distintas fases y pasos del proceso de evaluación delineado en la Orientación. El Grupo opinó que se precisaría más tiempo para que las Partes y otros interesados pertinentes pudieran adquirir experiencia utilizando la Orientación, lo que posibilitaría una mayor complementación de la Orientación. Algunos expertos opinaron que otro elemento que podría haber incidido en la cantidad de aportes recibidos e</w:t>
      </w:r>
      <w:r w:rsidR="00E14D4C" w:rsidRPr="008515EE">
        <w:rPr>
          <w:rFonts w:eastAsia="Times New Roman"/>
          <w:kern w:val="22"/>
          <w:lang w:val="es-ES"/>
        </w:rPr>
        <w:t>s</w:t>
      </w:r>
      <w:r w:rsidRPr="008515EE">
        <w:rPr>
          <w:rFonts w:eastAsia="Times New Roman"/>
          <w:kern w:val="22"/>
          <w:lang w:val="es-ES"/>
        </w:rPr>
        <w:t xml:space="preserve"> la falta de capacidad.</w:t>
      </w:r>
    </w:p>
    <w:p w:rsidR="000359C1" w:rsidRPr="008515EE" w:rsidRDefault="000359C1">
      <w:pPr>
        <w:numPr>
          <w:ilvl w:val="0"/>
          <w:numId w:val="36"/>
        </w:numPr>
        <w:suppressLineNumbers/>
        <w:tabs>
          <w:tab w:val="clear" w:pos="360"/>
        </w:tabs>
        <w:suppressAutoHyphens/>
        <w:adjustRightInd w:val="0"/>
        <w:snapToGrid w:val="0"/>
        <w:spacing w:after="120"/>
        <w:rPr>
          <w:rFonts w:eastAsia="Times New Roman"/>
          <w:lang w:val="es-ES"/>
        </w:rPr>
      </w:pPr>
      <w:r w:rsidRPr="008515EE">
        <w:rPr>
          <w:rFonts w:eastAsia="Times New Roman"/>
          <w:kern w:val="22"/>
          <w:lang w:val="es-ES"/>
        </w:rPr>
        <w:t xml:space="preserve">El Grupo examinó los aportes y las conclusiones de los debates </w:t>
      </w:r>
      <w:r w:rsidR="008515EE" w:rsidRPr="008515EE">
        <w:rPr>
          <w:rFonts w:eastAsia="Times New Roman"/>
          <w:kern w:val="22"/>
          <w:lang w:val="es-ES"/>
        </w:rPr>
        <w:t>cotejándolos</w:t>
      </w:r>
      <w:r w:rsidRPr="008515EE">
        <w:rPr>
          <w:rFonts w:eastAsia="Times New Roman"/>
          <w:kern w:val="22"/>
          <w:lang w:val="es-ES"/>
        </w:rPr>
        <w:t xml:space="preserve"> con las fases del proceso de evaluación delineado en la Orientación, </w:t>
      </w:r>
      <w:r w:rsidR="00635239" w:rsidRPr="008515EE">
        <w:rPr>
          <w:rFonts w:eastAsia="Times New Roman"/>
          <w:kern w:val="22"/>
          <w:lang w:val="es-ES"/>
        </w:rPr>
        <w:t>guiándose por</w:t>
      </w:r>
      <w:r w:rsidRPr="008515EE">
        <w:rPr>
          <w:rFonts w:eastAsia="Times New Roman"/>
          <w:kern w:val="22"/>
          <w:lang w:val="es-ES"/>
        </w:rPr>
        <w:t xml:space="preserve"> las preguntas que figuran en el anexo II</w:t>
      </w:r>
      <w:r w:rsidRPr="008515EE">
        <w:rPr>
          <w:rStyle w:val="FootnoteReference"/>
          <w:rFonts w:eastAsia="Times New Roman"/>
          <w:kern w:val="22"/>
          <w:lang w:val="es-ES"/>
        </w:rPr>
        <w:footnoteReference w:id="8"/>
      </w:r>
      <w:r w:rsidRPr="008515EE">
        <w:rPr>
          <w:rFonts w:eastAsia="Times New Roman"/>
          <w:kern w:val="22"/>
          <w:lang w:val="es-ES"/>
        </w:rPr>
        <w:t>. Utilizó esa información para complementar la Orientación indicando las fases del proceso de evaluación para las que podría resultar pertinente la información. Las conclusiones se exponen en el anexo III</w:t>
      </w:r>
      <w:r w:rsidRPr="008515EE">
        <w:rPr>
          <w:rStyle w:val="FootnoteReference"/>
          <w:rFonts w:eastAsia="Times New Roman"/>
          <w:kern w:val="22"/>
          <w:lang w:val="es-ES"/>
        </w:rPr>
        <w:footnoteReference w:id="9"/>
      </w:r>
      <w:r w:rsidRPr="008515EE">
        <w:rPr>
          <w:rFonts w:eastAsia="Times New Roman"/>
          <w:kern w:val="22"/>
          <w:lang w:val="es-ES"/>
        </w:rPr>
        <w:t>.</w:t>
      </w:r>
    </w:p>
    <w:p w:rsidR="000359C1" w:rsidRPr="008515EE" w:rsidRDefault="000359C1">
      <w:pPr>
        <w:numPr>
          <w:ilvl w:val="0"/>
          <w:numId w:val="36"/>
        </w:numPr>
        <w:suppressLineNumbers/>
        <w:tabs>
          <w:tab w:val="clear" w:pos="360"/>
        </w:tabs>
        <w:suppressAutoHyphens/>
        <w:adjustRightInd w:val="0"/>
        <w:snapToGrid w:val="0"/>
        <w:spacing w:after="120"/>
        <w:rPr>
          <w:rFonts w:eastAsia="Times New Roman"/>
          <w:kern w:val="22"/>
          <w:lang w:val="es-ES"/>
        </w:rPr>
      </w:pPr>
      <w:r w:rsidRPr="008515EE">
        <w:rPr>
          <w:rFonts w:eastAsia="Times New Roman"/>
          <w:kern w:val="22"/>
          <w:lang w:val="es-ES"/>
        </w:rPr>
        <w:t xml:space="preserve">Al examinar la información, el Grupo constató que los aportes brindan ejemplos de distintos enfoques </w:t>
      </w:r>
      <w:r w:rsidR="00635239" w:rsidRPr="008515EE">
        <w:rPr>
          <w:rFonts w:eastAsia="Times New Roman"/>
          <w:kern w:val="22"/>
          <w:lang w:val="es-ES"/>
        </w:rPr>
        <w:t>par</w:t>
      </w:r>
      <w:r w:rsidRPr="008515EE">
        <w:rPr>
          <w:rFonts w:eastAsia="Times New Roman"/>
          <w:kern w:val="22"/>
          <w:lang w:val="es-ES"/>
        </w:rPr>
        <w:t>a la aplicación de consideraciones socioeconómicas que no se habían desarrollado necesariamente en el marco del párrafo 1 del artículo 26, sino que reflejaban prácticas nacionales.</w:t>
      </w:r>
    </w:p>
    <w:p w:rsidR="000359C1" w:rsidRPr="008515EE" w:rsidRDefault="000359C1">
      <w:pPr>
        <w:numPr>
          <w:ilvl w:val="0"/>
          <w:numId w:val="36"/>
        </w:numPr>
        <w:suppressLineNumbers/>
        <w:tabs>
          <w:tab w:val="clear" w:pos="360"/>
        </w:tabs>
        <w:suppressAutoHyphens/>
        <w:adjustRightInd w:val="0"/>
        <w:snapToGrid w:val="0"/>
        <w:spacing w:after="120"/>
        <w:rPr>
          <w:rFonts w:eastAsia="Times New Roman"/>
          <w:lang w:val="es-ES"/>
        </w:rPr>
      </w:pPr>
      <w:bookmarkStart w:id="2" w:name="_Ref94269970"/>
      <w:r w:rsidRPr="008515EE">
        <w:rPr>
          <w:rFonts w:eastAsia="Times New Roman"/>
          <w:kern w:val="22"/>
          <w:lang w:val="es-ES"/>
        </w:rPr>
        <w:t>Al indicar para qué fases del proceso de evaluación era pertinente la información proporcionada en los aportes y los debates en línea, y además de la información reflejada en el anexo III</w:t>
      </w:r>
      <w:r w:rsidRPr="008515EE">
        <w:rPr>
          <w:rStyle w:val="FootnoteReference"/>
          <w:rFonts w:eastAsia="Times New Roman"/>
          <w:kern w:val="22"/>
          <w:lang w:val="es-ES"/>
        </w:rPr>
        <w:footnoteReference w:id="10"/>
      </w:r>
      <w:r w:rsidRPr="008515EE">
        <w:rPr>
          <w:rFonts w:eastAsia="Times New Roman"/>
          <w:kern w:val="22"/>
          <w:lang w:val="es-ES"/>
        </w:rPr>
        <w:t>, los expertos también deliberaron sobre lo siguiente: la evaluación de los valores que reviste la diversidad biológica para los pueblos indígenas y la</w:t>
      </w:r>
      <w:r w:rsidR="00635239" w:rsidRPr="008515EE">
        <w:rPr>
          <w:rFonts w:eastAsia="Times New Roman"/>
          <w:kern w:val="22"/>
          <w:lang w:val="es-ES"/>
        </w:rPr>
        <w:t>s</w:t>
      </w:r>
      <w:r w:rsidRPr="008515EE">
        <w:rPr>
          <w:rFonts w:eastAsia="Times New Roman"/>
          <w:kern w:val="22"/>
          <w:lang w:val="es-ES"/>
        </w:rPr>
        <w:t xml:space="preserve"> comunidades locales; y la utilización de una variedad de métodos para evaluar aspectos y valores sociales, culturales, éticos, monetarios y no monetarios, dadas las limitaciones de las distintas metodologías. Los expertos también trataron el tema de la disponibilidad de datos pertinentes y la necesidad de contar con más información sobre procesos de examen y vigilancia.</w:t>
      </w:r>
      <w:bookmarkEnd w:id="2"/>
    </w:p>
    <w:p w:rsidR="000359C1" w:rsidRPr="008515EE" w:rsidRDefault="000359C1" w:rsidP="00635239">
      <w:pPr>
        <w:numPr>
          <w:ilvl w:val="0"/>
          <w:numId w:val="36"/>
        </w:numPr>
        <w:suppressLineNumbers/>
        <w:tabs>
          <w:tab w:val="clear" w:pos="360"/>
        </w:tabs>
        <w:suppressAutoHyphens/>
        <w:adjustRightInd w:val="0"/>
        <w:snapToGrid w:val="0"/>
        <w:spacing w:after="120"/>
        <w:rPr>
          <w:rFonts w:eastAsia="Times New Roman"/>
          <w:lang w:val="es-ES"/>
        </w:rPr>
      </w:pPr>
      <w:r w:rsidRPr="008515EE">
        <w:rPr>
          <w:rFonts w:eastAsia="Times New Roman"/>
          <w:kern w:val="22"/>
          <w:lang w:val="es-ES"/>
        </w:rPr>
        <w:t xml:space="preserve">Algunos expertos señalaron que el trabajo en materia de consideraciones socioeconómicas había contribuido al logro del objetivo operacional 1.7 del Plan Estratégico para el Protocolo de Cartagena y que la Orientación facilitaría la aplicación del artículo 26 del Protocolo. El Grupo reconoció que el tema de las consideraciones socioeconómicas se abordaba en el proyecto de plan de aplicación posterior a 2020 para el Protocolo de Cartagena y </w:t>
      </w:r>
      <w:r w:rsidR="00635239" w:rsidRPr="008515EE">
        <w:rPr>
          <w:rFonts w:eastAsia="Times New Roman"/>
          <w:kern w:val="22"/>
          <w:lang w:val="es-ES"/>
        </w:rPr>
        <w:t xml:space="preserve">en el </w:t>
      </w:r>
      <w:r w:rsidRPr="008515EE">
        <w:rPr>
          <w:rFonts w:eastAsia="Times New Roman"/>
          <w:kern w:val="22"/>
          <w:lang w:val="es-ES"/>
        </w:rPr>
        <w:t>plan de acción para la creación de capacidad.</w:t>
      </w:r>
    </w:p>
    <w:p w:rsidR="000359C1" w:rsidRPr="008515EE" w:rsidRDefault="000359C1">
      <w:pPr>
        <w:numPr>
          <w:ilvl w:val="0"/>
          <w:numId w:val="36"/>
        </w:numPr>
        <w:suppressLineNumbers/>
        <w:tabs>
          <w:tab w:val="clear" w:pos="360"/>
        </w:tabs>
        <w:suppressAutoHyphens/>
        <w:adjustRightInd w:val="0"/>
        <w:snapToGrid w:val="0"/>
        <w:spacing w:after="120"/>
        <w:rPr>
          <w:rFonts w:eastAsia="Times New Roman"/>
          <w:lang w:val="es-ES"/>
        </w:rPr>
      </w:pPr>
      <w:r w:rsidRPr="008515EE">
        <w:rPr>
          <w:rFonts w:eastAsia="Times New Roman"/>
          <w:kern w:val="22"/>
          <w:lang w:val="es-ES"/>
        </w:rPr>
        <w:t xml:space="preserve">El Grupo deliberó sobre los próximos pasos en la labor sobre consideraciones socioeconómicas en el marco del Protocolo y definió una serie de posibles opciones. Según opinó el Grupo, las Partes precisaban más tiempo para utilizar la Orientación. En cuanto a la facilitación de la recopilación de experiencias e información pertinentes, el Grupo deliberó sobre la utilidad de un proceso estructurado, por ejemplo, a través de un cuestionario basado en la Orientación en el contexto del artículo 26. Esa </w:t>
      </w:r>
      <w:r w:rsidRPr="008515EE">
        <w:rPr>
          <w:rFonts w:eastAsia="Times New Roman"/>
          <w:kern w:val="22"/>
          <w:lang w:val="es-ES"/>
        </w:rPr>
        <w:lastRenderedPageBreak/>
        <w:t>información podría proporcionarse mediante un proceso de presentación de aportes, una encuesta o a través del portal en línea sobre consideraciones socioeconómicas en el Centro de Intercambio de Información sobre Seguridad de la Biotecnología. También se sugirió que debía recopilarse y compartirse más información sobre una variedad de metodologías, según lo indicado en el párrafo</w:t>
      </w:r>
      <w:r w:rsidR="00EE50FF" w:rsidRPr="008515EE">
        <w:rPr>
          <w:rFonts w:eastAsia="Times New Roman"/>
          <w:kern w:val="22"/>
          <w:lang w:val="es-ES"/>
        </w:rPr>
        <w:t xml:space="preserve"> </w:t>
      </w:r>
      <w:r w:rsidR="00EE50FF" w:rsidRPr="008515EE">
        <w:rPr>
          <w:rFonts w:eastAsia="Times New Roman"/>
          <w:kern w:val="22"/>
          <w:lang w:val="es-ES"/>
        </w:rPr>
        <w:fldChar w:fldCharType="begin"/>
      </w:r>
      <w:r w:rsidR="00EE50FF" w:rsidRPr="008515EE">
        <w:rPr>
          <w:rFonts w:eastAsia="Times New Roman"/>
          <w:kern w:val="22"/>
          <w:lang w:val="es-ES"/>
        </w:rPr>
        <w:instrText xml:space="preserve"> REF _Ref94269970 \r \h </w:instrText>
      </w:r>
      <w:r w:rsidR="00EE50FF" w:rsidRPr="008515EE">
        <w:rPr>
          <w:rFonts w:eastAsia="Times New Roman"/>
          <w:kern w:val="22"/>
          <w:lang w:val="es-ES"/>
        </w:rPr>
      </w:r>
      <w:r w:rsidR="00EE50FF" w:rsidRPr="008515EE">
        <w:rPr>
          <w:rFonts w:eastAsia="Times New Roman"/>
          <w:kern w:val="22"/>
          <w:lang w:val="es-ES"/>
        </w:rPr>
        <w:fldChar w:fldCharType="separate"/>
      </w:r>
      <w:r w:rsidR="00EE50FF" w:rsidRPr="008515EE">
        <w:rPr>
          <w:rFonts w:eastAsia="Times New Roman"/>
          <w:kern w:val="22"/>
          <w:lang w:val="es-ES"/>
        </w:rPr>
        <w:t>1</w:t>
      </w:r>
      <w:r w:rsidR="00EE50FF" w:rsidRPr="008515EE">
        <w:rPr>
          <w:rFonts w:eastAsia="Times New Roman"/>
          <w:kern w:val="22"/>
          <w:lang w:val="es-ES"/>
        </w:rPr>
        <w:t>7</w:t>
      </w:r>
      <w:r w:rsidR="00EE50FF" w:rsidRPr="008515EE">
        <w:rPr>
          <w:rFonts w:eastAsia="Times New Roman"/>
          <w:kern w:val="22"/>
          <w:lang w:val="es-ES"/>
        </w:rPr>
        <w:fldChar w:fldCharType="end"/>
      </w:r>
      <w:r w:rsidRPr="008515EE">
        <w:rPr>
          <w:rFonts w:eastAsia="Times New Roman"/>
          <w:kern w:val="22"/>
          <w:lang w:val="es-ES"/>
        </w:rPr>
        <w:t xml:space="preserve"> anterior. Asimismo se sugirió que la cooperación regional y subregional en materia de consideraciones socioeconómicas podría ser útil.</w:t>
      </w:r>
    </w:p>
    <w:p w:rsidR="000359C1" w:rsidRPr="008515EE" w:rsidRDefault="000359C1">
      <w:pPr>
        <w:numPr>
          <w:ilvl w:val="0"/>
          <w:numId w:val="36"/>
        </w:numPr>
        <w:suppressLineNumbers/>
        <w:tabs>
          <w:tab w:val="clear" w:pos="360"/>
        </w:tabs>
        <w:suppressAutoHyphens/>
        <w:adjustRightInd w:val="0"/>
        <w:snapToGrid w:val="0"/>
        <w:spacing w:after="120"/>
        <w:rPr>
          <w:rFonts w:eastAsia="Times New Roman"/>
          <w:kern w:val="22"/>
          <w:lang w:val="es-ES"/>
        </w:rPr>
      </w:pPr>
      <w:r w:rsidRPr="008515EE">
        <w:rPr>
          <w:rFonts w:eastAsia="Times New Roman"/>
          <w:kern w:val="22"/>
          <w:lang w:val="es-ES"/>
        </w:rPr>
        <w:t>Algunos expertos detectaron la necesidad de crear capacidad para apoyar a las Partes en la realización de evaluaciones socioeconómicas utilizando la Orientación y para la comunicación de los resultados.</w:t>
      </w:r>
    </w:p>
    <w:p w:rsidR="000359C1" w:rsidRPr="008515EE" w:rsidRDefault="000359C1">
      <w:pPr>
        <w:numPr>
          <w:ilvl w:val="0"/>
          <w:numId w:val="36"/>
        </w:numPr>
        <w:suppressLineNumbers/>
        <w:tabs>
          <w:tab w:val="clear" w:pos="360"/>
        </w:tabs>
        <w:suppressAutoHyphens/>
        <w:adjustRightInd w:val="0"/>
        <w:snapToGrid w:val="0"/>
        <w:spacing w:after="120"/>
        <w:rPr>
          <w:rFonts w:eastAsia="Times New Roman"/>
          <w:kern w:val="22"/>
          <w:lang w:val="es-ES"/>
        </w:rPr>
      </w:pPr>
      <w:r w:rsidRPr="008515EE">
        <w:rPr>
          <w:rFonts w:eastAsia="Times New Roman"/>
          <w:kern w:val="22"/>
          <w:lang w:val="es-ES"/>
        </w:rPr>
        <w:t xml:space="preserve">Algunos expertos señalaron los vínculos entre las consideraciones socioeconómicas según lo dispuesto en el artículo 26 del Protocolo de Cartagena y las áreas de trabajo en el marco del Convenio sobre la Diversidad Biológica, así como trabajo relacionado en materia de consideraciones socioeconómicas desarrollado bajo los auspicios de la Organización de las Naciones Unidas para la Alimentación y la Agricultura </w:t>
      </w:r>
      <w:r w:rsidR="00635239" w:rsidRPr="008515EE">
        <w:rPr>
          <w:rFonts w:eastAsia="Times New Roman"/>
          <w:kern w:val="22"/>
          <w:lang w:val="es-ES"/>
        </w:rPr>
        <w:t xml:space="preserve">y </w:t>
      </w:r>
      <w:r w:rsidRPr="008515EE">
        <w:rPr>
          <w:rFonts w:eastAsia="Times New Roman"/>
          <w:kern w:val="22"/>
          <w:lang w:val="es-ES"/>
        </w:rPr>
        <w:t>la Plataforma Intergubernamental Científico-Normativa sobre Diversidad Biológica y Servicios de los Ecosistemas.</w:t>
      </w:r>
    </w:p>
    <w:p w:rsidR="000359C1" w:rsidRPr="008515EE" w:rsidRDefault="000359C1">
      <w:pPr>
        <w:jc w:val="left"/>
        <w:rPr>
          <w:rFonts w:eastAsia="Times New Roman"/>
          <w:lang w:val="es-ES"/>
        </w:rPr>
      </w:pPr>
      <w:bookmarkStart w:id="3" w:name="_Hlk78360123"/>
      <w:r w:rsidRPr="008515EE">
        <w:rPr>
          <w:rFonts w:eastAsia="Times New Roman"/>
          <w:kern w:val="22"/>
          <w:lang w:val="es-ES"/>
        </w:rPr>
        <w:t>[…]</w:t>
      </w:r>
      <w:r w:rsidRPr="008515EE">
        <w:rPr>
          <w:rFonts w:eastAsia="Times New Roman"/>
          <w:kern w:val="22"/>
          <w:lang w:val="es-ES"/>
        </w:rPr>
        <w:br w:type="page"/>
      </w:r>
    </w:p>
    <w:bookmarkEnd w:id="3"/>
    <w:p w:rsidR="000359C1" w:rsidRPr="008515EE" w:rsidRDefault="000359C1">
      <w:pPr>
        <w:pStyle w:val="Style1"/>
        <w:outlineLvl w:val="2"/>
        <w:rPr>
          <w:rFonts w:eastAsia="Times New Roman"/>
          <w:i w:val="0"/>
          <w:iCs w:val="0"/>
          <w:kern w:val="22"/>
          <w:lang w:val="es-ES"/>
        </w:rPr>
      </w:pPr>
      <w:r w:rsidRPr="008515EE">
        <w:rPr>
          <w:rFonts w:eastAsia="Times New Roman"/>
          <w:b w:val="0"/>
          <w:bCs w:val="0"/>
          <w:kern w:val="22"/>
          <w:lang w:val="es-ES"/>
        </w:rPr>
        <w:lastRenderedPageBreak/>
        <w:t>Anexo II</w:t>
      </w:r>
    </w:p>
    <w:p w:rsidR="000359C1" w:rsidRPr="008515EE" w:rsidRDefault="000359C1">
      <w:pPr>
        <w:pStyle w:val="Heading1"/>
        <w:rPr>
          <w:rFonts w:eastAsia="Times New Roman"/>
          <w:kern w:val="22"/>
          <w:lang w:val="es-ES"/>
        </w:rPr>
      </w:pPr>
      <w:r w:rsidRPr="008515EE">
        <w:rPr>
          <w:rFonts w:eastAsia="Times New Roman"/>
          <w:kern w:val="22"/>
          <w:lang w:val="es-ES"/>
        </w:rPr>
        <w:t>PREGuNtAs USADAS POR EL GRUPO ESPECIAL DE EXPERTOS TÉCNICOS PArA</w:t>
      </w:r>
      <w:r w:rsidR="00231E2A" w:rsidRPr="008515EE">
        <w:rPr>
          <w:rFonts w:eastAsia="Times New Roman"/>
          <w:kern w:val="22"/>
          <w:lang w:val="es-ES"/>
        </w:rPr>
        <w:t> </w:t>
      </w:r>
      <w:r w:rsidRPr="008515EE">
        <w:rPr>
          <w:rFonts w:eastAsia="Times New Roman"/>
          <w:kern w:val="22"/>
          <w:lang w:val="es-ES"/>
        </w:rPr>
        <w:t>EXAMINAR LOS APORTES PRESENTADOS Y LAS CONCLUSIONES DE LOS</w:t>
      </w:r>
      <w:r w:rsidR="00231E2A" w:rsidRPr="008515EE">
        <w:rPr>
          <w:rFonts w:eastAsia="Times New Roman"/>
          <w:kern w:val="22"/>
          <w:lang w:val="es-ES"/>
        </w:rPr>
        <w:t> </w:t>
      </w:r>
      <w:r w:rsidRPr="008515EE">
        <w:rPr>
          <w:rFonts w:eastAsia="Times New Roman"/>
          <w:kern w:val="22"/>
          <w:lang w:val="es-ES"/>
        </w:rPr>
        <w:t>DEBATES EN LÍNEA</w:t>
      </w:r>
    </w:p>
    <w:p w:rsidR="000359C1" w:rsidRPr="008515EE" w:rsidRDefault="000359C1">
      <w:pPr>
        <w:keepNext/>
        <w:suppressLineNumbers/>
        <w:suppressAutoHyphens/>
        <w:spacing w:before="120" w:after="120"/>
        <w:rPr>
          <w:rFonts w:eastAsia="Times New Roman"/>
          <w:lang w:val="es-ES"/>
        </w:rPr>
      </w:pPr>
      <w:r w:rsidRPr="008515EE">
        <w:rPr>
          <w:rFonts w:eastAsia="Times New Roman"/>
          <w:b/>
          <w:bCs/>
          <w:kern w:val="22"/>
          <w:lang w:val="es-ES"/>
        </w:rPr>
        <w:t>Fase A: Preparación para la evaluación</w:t>
      </w:r>
    </w:p>
    <w:p w:rsidR="000359C1" w:rsidRPr="008515EE" w:rsidRDefault="000359C1">
      <w:pPr>
        <w:suppressLineNumbers/>
        <w:suppressAutoHyphens/>
        <w:spacing w:before="120" w:after="120"/>
        <w:rPr>
          <w:rFonts w:eastAsia="Times New Roman"/>
          <w:kern w:val="22"/>
          <w:lang w:val="es-ES"/>
        </w:rPr>
      </w:pPr>
      <w:r w:rsidRPr="008515EE">
        <w:rPr>
          <w:rFonts w:eastAsia="Times New Roman"/>
          <w:i/>
          <w:iCs/>
          <w:kern w:val="22"/>
          <w:lang w:val="es-ES"/>
        </w:rPr>
        <w:t>¿Los aportes y las conclusiones de los debates en línea proporcionan información sobre el proceso preparatorio, o bien remiten a documentación en la que se puede obtener esa información?</w:t>
      </w:r>
    </w:p>
    <w:p w:rsidR="000359C1" w:rsidRPr="008515EE" w:rsidRDefault="000359C1">
      <w:pPr>
        <w:suppressLineNumbers/>
        <w:suppressAutoHyphens/>
        <w:spacing w:before="120" w:after="120"/>
        <w:rPr>
          <w:rFonts w:eastAsia="Times New Roman"/>
          <w:i/>
          <w:iCs/>
          <w:kern w:val="22"/>
          <w:lang w:val="es-ES"/>
        </w:rPr>
      </w:pPr>
      <w:r w:rsidRPr="008515EE">
        <w:rPr>
          <w:rFonts w:eastAsia="Times New Roman"/>
          <w:i/>
          <w:iCs/>
          <w:kern w:val="22"/>
          <w:lang w:val="es-ES"/>
        </w:rPr>
        <w:t>¿Proporcionan información sobre alguna de las siguientes actividades?</w:t>
      </w:r>
      <w:r w:rsidR="00231E2A" w:rsidRPr="008515EE">
        <w:rPr>
          <w:rFonts w:eastAsia="Times New Roman"/>
          <w:i/>
          <w:iCs/>
          <w:kern w:val="22"/>
          <w:lang w:val="es-ES"/>
        </w:rPr>
        <w:t>:</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Identifica</w:t>
      </w:r>
      <w:r w:rsidR="00231E2A" w:rsidRPr="008515EE">
        <w:rPr>
          <w:rFonts w:eastAsia="Times New Roman"/>
          <w:kern w:val="22"/>
          <w:lang w:val="es-ES"/>
        </w:rPr>
        <w:t>ción de</w:t>
      </w:r>
      <w:r w:rsidRPr="008515EE">
        <w:rPr>
          <w:rFonts w:eastAsia="Times New Roman"/>
          <w:kern w:val="22"/>
          <w:lang w:val="es-ES"/>
        </w:rPr>
        <w:t xml:space="preserve"> los instrumentos normativos y jurídicos nacionales pertinentes, así como las responsabilidades, las metas de protección y los objetivos socioeconómicos;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Deriva</w:t>
      </w:r>
      <w:r w:rsidR="00231E2A" w:rsidRPr="008515EE">
        <w:rPr>
          <w:rFonts w:eastAsia="Times New Roman"/>
          <w:kern w:val="22"/>
          <w:lang w:val="es-ES"/>
        </w:rPr>
        <w:t>ción de</w:t>
      </w:r>
      <w:r w:rsidRPr="008515EE">
        <w:rPr>
          <w:rFonts w:eastAsia="Times New Roman"/>
          <w:kern w:val="22"/>
          <w:lang w:val="es-ES"/>
        </w:rPr>
        <w:t xml:space="preserve"> metas de protección pertinentes a nivel nacional </w:t>
      </w:r>
      <w:r w:rsidR="009114AD" w:rsidRPr="008515EE">
        <w:rPr>
          <w:rFonts w:eastAsia="Times New Roman"/>
          <w:kern w:val="22"/>
          <w:lang w:val="es-ES"/>
        </w:rPr>
        <w:t xml:space="preserve">a partir </w:t>
      </w:r>
      <w:r w:rsidRPr="008515EE">
        <w:rPr>
          <w:rFonts w:eastAsia="Times New Roman"/>
          <w:kern w:val="22"/>
          <w:lang w:val="es-ES"/>
        </w:rPr>
        <w:t>de instrumentos regionales e internacionales;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Identifica</w:t>
      </w:r>
      <w:r w:rsidR="009114AD" w:rsidRPr="008515EE">
        <w:rPr>
          <w:rFonts w:eastAsia="Times New Roman"/>
          <w:kern w:val="22"/>
          <w:lang w:val="es-ES"/>
        </w:rPr>
        <w:t>ción de</w:t>
      </w:r>
      <w:r w:rsidRPr="008515EE">
        <w:rPr>
          <w:rFonts w:eastAsia="Times New Roman"/>
          <w:kern w:val="22"/>
          <w:lang w:val="es-ES"/>
        </w:rPr>
        <w:t xml:space="preserve"> cómo se relacionan las metas de protección nacionales con los objetivos socioeconómicos;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Determina</w:t>
      </w:r>
      <w:r w:rsidR="009114AD" w:rsidRPr="008515EE">
        <w:rPr>
          <w:rFonts w:eastAsia="Times New Roman"/>
          <w:kern w:val="22"/>
          <w:lang w:val="es-ES"/>
        </w:rPr>
        <w:t>ción de la</w:t>
      </w:r>
      <w:r w:rsidRPr="008515EE">
        <w:rPr>
          <w:rFonts w:eastAsia="Times New Roman"/>
          <w:kern w:val="22"/>
          <w:lang w:val="es-ES"/>
        </w:rPr>
        <w:t xml:space="preserve"> información </w:t>
      </w:r>
      <w:r w:rsidR="009114AD" w:rsidRPr="008515EE">
        <w:rPr>
          <w:rFonts w:eastAsia="Times New Roman"/>
          <w:kern w:val="22"/>
          <w:lang w:val="es-ES"/>
        </w:rPr>
        <w:t xml:space="preserve">que </w:t>
      </w:r>
      <w:r w:rsidRPr="008515EE">
        <w:rPr>
          <w:rFonts w:eastAsia="Times New Roman"/>
          <w:kern w:val="22"/>
          <w:lang w:val="es-ES"/>
        </w:rPr>
        <w:t>se necesita para llevar a cabo la evaluación</w:t>
      </w:r>
      <w:r w:rsidR="009114AD" w:rsidRPr="008515EE">
        <w:rPr>
          <w:rFonts w:eastAsia="Times New Roman"/>
          <w:kern w:val="22"/>
          <w:lang w:val="es-ES"/>
        </w:rPr>
        <w:t>,</w:t>
      </w:r>
      <w:r w:rsidRPr="008515EE">
        <w:rPr>
          <w:rFonts w:eastAsia="Times New Roman"/>
          <w:kern w:val="22"/>
          <w:lang w:val="es-ES"/>
        </w:rPr>
        <w:t xml:space="preserve"> como base para determinar </w:t>
      </w:r>
      <w:r w:rsidR="006E6483" w:rsidRPr="008515EE">
        <w:rPr>
          <w:rFonts w:eastAsia="Times New Roman"/>
          <w:kern w:val="22"/>
          <w:lang w:val="es-ES"/>
        </w:rPr>
        <w:t>la</w:t>
      </w:r>
      <w:r w:rsidRPr="008515EE">
        <w:rPr>
          <w:rFonts w:eastAsia="Times New Roman"/>
          <w:kern w:val="22"/>
          <w:lang w:val="es-ES"/>
        </w:rPr>
        <w:t xml:space="preserve"> información </w:t>
      </w:r>
      <w:r w:rsidR="006E6483" w:rsidRPr="008515EE">
        <w:rPr>
          <w:rFonts w:eastAsia="Times New Roman"/>
          <w:kern w:val="22"/>
          <w:lang w:val="es-ES"/>
        </w:rPr>
        <w:t xml:space="preserve">que </w:t>
      </w:r>
      <w:r w:rsidRPr="008515EE">
        <w:rPr>
          <w:rFonts w:eastAsia="Times New Roman"/>
          <w:kern w:val="22"/>
          <w:lang w:val="es-ES"/>
        </w:rPr>
        <w:t xml:space="preserve">existe y </w:t>
      </w:r>
      <w:r w:rsidR="006E6483" w:rsidRPr="008515EE">
        <w:rPr>
          <w:rFonts w:eastAsia="Times New Roman"/>
          <w:kern w:val="22"/>
          <w:lang w:val="es-ES"/>
        </w:rPr>
        <w:t xml:space="preserve">la </w:t>
      </w:r>
      <w:r w:rsidRPr="008515EE">
        <w:rPr>
          <w:rFonts w:eastAsia="Times New Roman"/>
          <w:kern w:val="22"/>
          <w:lang w:val="es-ES"/>
        </w:rPr>
        <w:t>qu</w:t>
      </w:r>
      <w:r w:rsidR="006E6483" w:rsidRPr="008515EE">
        <w:rPr>
          <w:rFonts w:eastAsia="Times New Roman"/>
          <w:kern w:val="22"/>
          <w:lang w:val="es-ES"/>
        </w:rPr>
        <w:t>e</w:t>
      </w:r>
      <w:r w:rsidRPr="008515EE">
        <w:rPr>
          <w:rFonts w:eastAsia="Times New Roman"/>
          <w:kern w:val="22"/>
          <w:lang w:val="es-ES"/>
        </w:rPr>
        <w:t xml:space="preserve"> falta;</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Identifica</w:t>
      </w:r>
      <w:r w:rsidR="006E6483" w:rsidRPr="008515EE">
        <w:rPr>
          <w:rFonts w:eastAsia="Times New Roman"/>
          <w:kern w:val="22"/>
          <w:lang w:val="es-ES"/>
        </w:rPr>
        <w:t>ción de los</w:t>
      </w:r>
      <w:r w:rsidRPr="008515EE">
        <w:rPr>
          <w:rFonts w:eastAsia="Times New Roman"/>
          <w:kern w:val="22"/>
          <w:lang w:val="es-ES"/>
        </w:rPr>
        <w:t xml:space="preserve"> actores pertinentes que participarán en la evaluación, incluido en la delineación de flujos de información entre distintos actores y en la determinación de mecanismos de participación del público.</w:t>
      </w:r>
    </w:p>
    <w:p w:rsidR="000359C1" w:rsidRPr="008515EE" w:rsidRDefault="000359C1">
      <w:pPr>
        <w:keepNext/>
        <w:suppressLineNumbers/>
        <w:suppressAutoHyphens/>
        <w:adjustRightInd w:val="0"/>
        <w:snapToGrid w:val="0"/>
        <w:spacing w:before="120" w:after="120"/>
        <w:rPr>
          <w:rFonts w:eastAsia="Times New Roman"/>
          <w:lang w:val="es-ES"/>
        </w:rPr>
      </w:pPr>
      <w:r w:rsidRPr="008515EE">
        <w:rPr>
          <w:rFonts w:eastAsia="Times New Roman"/>
          <w:b/>
          <w:bCs/>
          <w:kern w:val="22"/>
          <w:lang w:val="es-ES"/>
        </w:rPr>
        <w:t>Fase B, Paso 1: Determinación del alcance</w:t>
      </w:r>
    </w:p>
    <w:p w:rsidR="000359C1" w:rsidRPr="008515EE" w:rsidRDefault="000359C1">
      <w:pPr>
        <w:keepNext/>
        <w:suppressLineNumbers/>
        <w:suppressAutoHyphens/>
        <w:adjustRightInd w:val="0"/>
        <w:snapToGrid w:val="0"/>
        <w:spacing w:before="120" w:after="120"/>
        <w:rPr>
          <w:rFonts w:eastAsia="Times New Roman"/>
          <w:i/>
          <w:iCs/>
          <w:kern w:val="22"/>
          <w:lang w:val="es-ES"/>
        </w:rPr>
      </w:pPr>
      <w:r w:rsidRPr="008515EE">
        <w:rPr>
          <w:rFonts w:eastAsia="Times New Roman"/>
          <w:i/>
          <w:iCs/>
          <w:kern w:val="22"/>
          <w:lang w:val="es-ES"/>
        </w:rPr>
        <w:t>¿Los aportes y las conclusiones de los debates en línea proporcionan información sobre el paso de determinación del alcance, o bien remiten a documentación en la que se puede obtener esa información?</w:t>
      </w:r>
    </w:p>
    <w:p w:rsidR="000359C1" w:rsidRPr="008515EE" w:rsidRDefault="000359C1">
      <w:pPr>
        <w:keepNext/>
        <w:suppressLineNumbers/>
        <w:suppressAutoHyphens/>
        <w:adjustRightInd w:val="0"/>
        <w:snapToGrid w:val="0"/>
        <w:spacing w:before="120" w:after="120"/>
        <w:rPr>
          <w:rFonts w:eastAsia="Times New Roman"/>
          <w:i/>
          <w:iCs/>
          <w:kern w:val="22"/>
          <w:lang w:val="es-ES"/>
        </w:rPr>
      </w:pPr>
      <w:r w:rsidRPr="008515EE">
        <w:rPr>
          <w:rFonts w:eastAsia="Times New Roman"/>
          <w:i/>
          <w:iCs/>
          <w:kern w:val="22"/>
          <w:lang w:val="es-ES"/>
        </w:rPr>
        <w:t>¿Se proporciona información sobre la determinación del alcance que aborde alguna de las siguientes áreas de evaluación?:</w:t>
      </w:r>
    </w:p>
    <w:p w:rsidR="000359C1" w:rsidRPr="008515EE" w:rsidRDefault="000359C1">
      <w:pPr>
        <w:numPr>
          <w:ilvl w:val="0"/>
          <w:numId w:val="29"/>
        </w:numPr>
        <w:suppressLineNumbers/>
        <w:suppressAutoHyphens/>
        <w:adjustRightInd w:val="0"/>
        <w:snapToGrid w:val="0"/>
        <w:spacing w:before="120" w:after="120"/>
        <w:ind w:left="1080"/>
        <w:rPr>
          <w:rFonts w:eastAsia="Times New Roman"/>
          <w:lang w:val="es-ES"/>
        </w:rPr>
      </w:pPr>
      <w:r w:rsidRPr="008515EE">
        <w:rPr>
          <w:rFonts w:eastAsia="Times New Roman"/>
          <w:kern w:val="22"/>
          <w:lang w:val="es-ES"/>
        </w:rPr>
        <w:t>Económica: p. ej., efectos en los ingresos;</w:t>
      </w:r>
    </w:p>
    <w:p w:rsidR="000359C1" w:rsidRPr="008515EE" w:rsidRDefault="000359C1">
      <w:pPr>
        <w:numPr>
          <w:ilvl w:val="0"/>
          <w:numId w:val="29"/>
        </w:numPr>
        <w:suppressLineNumbers/>
        <w:suppressAutoHyphens/>
        <w:adjustRightInd w:val="0"/>
        <w:snapToGrid w:val="0"/>
        <w:spacing w:before="120" w:after="120"/>
        <w:ind w:left="1080"/>
        <w:rPr>
          <w:rFonts w:eastAsia="Times New Roman"/>
          <w:lang w:val="es-ES"/>
        </w:rPr>
      </w:pPr>
      <w:r w:rsidRPr="008515EE">
        <w:rPr>
          <w:rFonts w:eastAsia="Times New Roman"/>
          <w:kern w:val="22"/>
          <w:lang w:val="es-ES"/>
        </w:rPr>
        <w:t>Social: p. ej., efectos en la seguridad alimentaria;</w:t>
      </w:r>
    </w:p>
    <w:p w:rsidR="000359C1" w:rsidRPr="008515EE" w:rsidRDefault="000359C1">
      <w:pPr>
        <w:numPr>
          <w:ilvl w:val="0"/>
          <w:numId w:val="29"/>
        </w:numPr>
        <w:suppressLineNumbers/>
        <w:suppressAutoHyphens/>
        <w:adjustRightInd w:val="0"/>
        <w:snapToGrid w:val="0"/>
        <w:spacing w:before="120" w:after="120"/>
        <w:ind w:left="1080"/>
        <w:rPr>
          <w:rFonts w:eastAsia="Times New Roman"/>
          <w:lang w:val="es-ES"/>
        </w:rPr>
      </w:pPr>
      <w:r w:rsidRPr="008515EE">
        <w:rPr>
          <w:rFonts w:eastAsia="Times New Roman"/>
          <w:kern w:val="22"/>
          <w:lang w:val="es-ES"/>
        </w:rPr>
        <w:t>Ecológica: p. ej., efectos en las funciones de los ecosistemas;</w:t>
      </w:r>
    </w:p>
    <w:p w:rsidR="000359C1" w:rsidRPr="008515EE" w:rsidRDefault="000359C1">
      <w:pPr>
        <w:numPr>
          <w:ilvl w:val="0"/>
          <w:numId w:val="29"/>
        </w:numPr>
        <w:suppressLineNumbers/>
        <w:suppressAutoHyphens/>
        <w:adjustRightInd w:val="0"/>
        <w:snapToGrid w:val="0"/>
        <w:spacing w:before="120" w:after="120"/>
        <w:ind w:left="1080"/>
        <w:rPr>
          <w:rFonts w:eastAsia="Times New Roman"/>
          <w:lang w:val="es-ES"/>
        </w:rPr>
      </w:pPr>
      <w:r w:rsidRPr="008515EE">
        <w:rPr>
          <w:rFonts w:eastAsia="Times New Roman"/>
          <w:kern w:val="22"/>
          <w:lang w:val="es-ES"/>
        </w:rPr>
        <w:t>Cultural</w:t>
      </w:r>
      <w:r w:rsidR="006E6483" w:rsidRPr="008515EE">
        <w:rPr>
          <w:rFonts w:eastAsia="Times New Roman"/>
          <w:kern w:val="22"/>
          <w:lang w:val="es-ES"/>
        </w:rPr>
        <w:t> </w:t>
      </w:r>
      <w:r w:rsidRPr="008515EE">
        <w:rPr>
          <w:rFonts w:eastAsia="Times New Roman"/>
          <w:kern w:val="22"/>
          <w:lang w:val="es-ES"/>
        </w:rPr>
        <w:t>/</w:t>
      </w:r>
      <w:r w:rsidR="006E6483" w:rsidRPr="008515EE">
        <w:rPr>
          <w:rFonts w:eastAsia="Times New Roman"/>
          <w:kern w:val="22"/>
          <w:lang w:val="es-ES"/>
        </w:rPr>
        <w:t> </w:t>
      </w:r>
      <w:r w:rsidRPr="008515EE">
        <w:rPr>
          <w:rFonts w:eastAsia="Times New Roman"/>
          <w:kern w:val="22"/>
          <w:lang w:val="es-ES"/>
        </w:rPr>
        <w:t>tradiciona</w:t>
      </w:r>
      <w:r w:rsidR="006E6483" w:rsidRPr="008515EE">
        <w:rPr>
          <w:rFonts w:eastAsia="Times New Roman"/>
          <w:kern w:val="22"/>
          <w:lang w:val="es-ES"/>
        </w:rPr>
        <w:t>l </w:t>
      </w:r>
      <w:r w:rsidRPr="008515EE">
        <w:rPr>
          <w:rFonts w:eastAsia="Times New Roman"/>
          <w:kern w:val="22"/>
          <w:lang w:val="es-ES"/>
        </w:rPr>
        <w:t>/</w:t>
      </w:r>
      <w:r w:rsidR="006E6483" w:rsidRPr="008515EE">
        <w:rPr>
          <w:rFonts w:eastAsia="Times New Roman"/>
          <w:kern w:val="22"/>
          <w:lang w:val="es-ES"/>
        </w:rPr>
        <w:t> </w:t>
      </w:r>
      <w:r w:rsidRPr="008515EE">
        <w:rPr>
          <w:rFonts w:eastAsia="Times New Roman"/>
          <w:kern w:val="22"/>
          <w:lang w:val="es-ES"/>
        </w:rPr>
        <w:t>religiosa</w:t>
      </w:r>
      <w:r w:rsidR="006E6483" w:rsidRPr="008515EE">
        <w:rPr>
          <w:rFonts w:eastAsia="Times New Roman"/>
          <w:kern w:val="22"/>
          <w:lang w:val="es-ES"/>
        </w:rPr>
        <w:t> </w:t>
      </w:r>
      <w:r w:rsidRPr="008515EE">
        <w:rPr>
          <w:rFonts w:eastAsia="Times New Roman"/>
          <w:kern w:val="22"/>
          <w:lang w:val="es-ES"/>
        </w:rPr>
        <w:t>/</w:t>
      </w:r>
      <w:r w:rsidR="006E6483" w:rsidRPr="008515EE">
        <w:rPr>
          <w:rFonts w:eastAsia="Times New Roman"/>
          <w:kern w:val="22"/>
          <w:lang w:val="es-ES"/>
        </w:rPr>
        <w:t> </w:t>
      </w:r>
      <w:r w:rsidRPr="008515EE">
        <w:rPr>
          <w:rFonts w:eastAsia="Times New Roman"/>
          <w:kern w:val="22"/>
          <w:lang w:val="es-ES"/>
        </w:rPr>
        <w:t>ética:</w:t>
      </w:r>
      <w:r w:rsidR="006E6483" w:rsidRPr="008515EE">
        <w:rPr>
          <w:rFonts w:eastAsia="Times New Roman"/>
          <w:kern w:val="22"/>
          <w:lang w:val="es-ES"/>
        </w:rPr>
        <w:t> </w:t>
      </w:r>
      <w:r w:rsidRPr="008515EE">
        <w:rPr>
          <w:rFonts w:eastAsia="Times New Roman"/>
          <w:kern w:val="22"/>
          <w:lang w:val="es-ES"/>
        </w:rPr>
        <w:t>p. ej., efectos en las prácticas de conservación e intercambio de semillas;</w:t>
      </w:r>
    </w:p>
    <w:p w:rsidR="000359C1" w:rsidRPr="008515EE" w:rsidRDefault="000359C1">
      <w:pPr>
        <w:numPr>
          <w:ilvl w:val="0"/>
          <w:numId w:val="29"/>
        </w:numPr>
        <w:suppressLineNumbers/>
        <w:suppressAutoHyphens/>
        <w:adjustRightInd w:val="0"/>
        <w:snapToGrid w:val="0"/>
        <w:spacing w:before="120" w:after="120"/>
        <w:ind w:left="1080"/>
        <w:rPr>
          <w:rFonts w:eastAsia="Times New Roman"/>
          <w:lang w:val="es-ES"/>
        </w:rPr>
      </w:pPr>
      <w:r w:rsidRPr="008515EE">
        <w:rPr>
          <w:rFonts w:eastAsia="Times New Roman"/>
          <w:kern w:val="22"/>
          <w:lang w:val="es-ES"/>
        </w:rPr>
        <w:t>Relacionada con la salud humana: p. ej., efectos en la situación nutricional.</w:t>
      </w:r>
    </w:p>
    <w:p w:rsidR="000359C1" w:rsidRPr="008515EE" w:rsidRDefault="000359C1">
      <w:pPr>
        <w:keepNext/>
        <w:suppressLineNumbers/>
        <w:suppressAutoHyphens/>
        <w:adjustRightInd w:val="0"/>
        <w:snapToGrid w:val="0"/>
        <w:spacing w:before="120" w:after="120"/>
        <w:rPr>
          <w:rFonts w:eastAsia="Times New Roman"/>
          <w:lang w:val="es-ES"/>
        </w:rPr>
      </w:pPr>
      <w:r w:rsidRPr="008515EE">
        <w:rPr>
          <w:rFonts w:eastAsia="Times New Roman"/>
          <w:i/>
          <w:iCs/>
          <w:kern w:val="22"/>
          <w:lang w:val="es-ES"/>
        </w:rPr>
        <w:t>¿Los aportes y las conclusiones de los debates en línea proporcionan información sobre los límites de la evaluación? ¿Proporcionan información sobre alguno de los siguientes aspectos?: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Usos del organismo vivo modificado (p. ej., intencional, esperado);</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Alternativas para abordar el problema planteado;</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Escala temporal;</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Escala geográfica;</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Nivel de evaluación (p.</w:t>
      </w:r>
      <w:r w:rsidR="006E6483" w:rsidRPr="008515EE">
        <w:rPr>
          <w:rFonts w:eastAsia="Times New Roman"/>
          <w:kern w:val="22"/>
          <w:lang w:val="es-ES"/>
        </w:rPr>
        <w:t> </w:t>
      </w:r>
      <w:r w:rsidRPr="008515EE">
        <w:rPr>
          <w:rFonts w:eastAsia="Times New Roman"/>
          <w:kern w:val="22"/>
          <w:lang w:val="es-ES"/>
        </w:rPr>
        <w:t>ej.,</w:t>
      </w:r>
      <w:r w:rsidR="006E6483" w:rsidRPr="008515EE">
        <w:rPr>
          <w:rFonts w:eastAsia="Times New Roman"/>
          <w:kern w:val="22"/>
          <w:lang w:val="es-ES"/>
        </w:rPr>
        <w:t> </w:t>
      </w:r>
      <w:r w:rsidRPr="008515EE">
        <w:rPr>
          <w:rFonts w:eastAsia="Times New Roman"/>
          <w:kern w:val="22"/>
          <w:lang w:val="es-ES"/>
        </w:rPr>
        <w:t>macroeconómico o microeconómico, escala de explotación agrícola, la totalidad de la cadena de suministro);</w:t>
      </w:r>
    </w:p>
    <w:p w:rsidR="000359C1" w:rsidRPr="008515EE" w:rsidRDefault="000359C1" w:rsidP="006E6483">
      <w:pPr>
        <w:keepNext/>
        <w:keepLines/>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lastRenderedPageBreak/>
        <w:t>Efectos directos o indirectos;</w:t>
      </w:r>
    </w:p>
    <w:p w:rsidR="000359C1" w:rsidRPr="008515EE" w:rsidRDefault="000359C1" w:rsidP="006E6483">
      <w:pPr>
        <w:keepNext/>
        <w:keepLines/>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Interesados pertinentes.</w:t>
      </w:r>
    </w:p>
    <w:p w:rsidR="000359C1" w:rsidRPr="008515EE" w:rsidRDefault="000359C1">
      <w:pPr>
        <w:keepNext/>
        <w:suppressLineNumbers/>
        <w:suppressAutoHyphens/>
        <w:spacing w:before="120" w:after="120"/>
        <w:rPr>
          <w:rFonts w:eastAsia="Times New Roman"/>
          <w:lang w:val="es-ES"/>
        </w:rPr>
      </w:pPr>
      <w:r w:rsidRPr="008515EE">
        <w:rPr>
          <w:rFonts w:eastAsia="Times New Roman"/>
          <w:b/>
          <w:bCs/>
          <w:kern w:val="22"/>
          <w:lang w:val="es-ES"/>
        </w:rPr>
        <w:t>Fase B, Paso 2: Evaluación</w:t>
      </w:r>
    </w:p>
    <w:p w:rsidR="000359C1" w:rsidRPr="008515EE" w:rsidRDefault="000359C1">
      <w:pPr>
        <w:suppressLineNumbers/>
        <w:suppressAutoHyphens/>
        <w:spacing w:before="120" w:after="120"/>
        <w:rPr>
          <w:rFonts w:eastAsia="Times New Roman"/>
          <w:i/>
          <w:iCs/>
          <w:kern w:val="22"/>
          <w:lang w:val="es-ES"/>
        </w:rPr>
      </w:pPr>
      <w:r w:rsidRPr="008515EE">
        <w:rPr>
          <w:rFonts w:eastAsia="Times New Roman"/>
          <w:i/>
          <w:iCs/>
          <w:kern w:val="22"/>
          <w:lang w:val="es-ES"/>
        </w:rPr>
        <w:t>¿Los aportes y las conclusiones de los debates en línea proporcionan información sobre el paso de evaluación?</w:t>
      </w:r>
    </w:p>
    <w:p w:rsidR="000359C1" w:rsidRPr="008515EE" w:rsidRDefault="000359C1">
      <w:pPr>
        <w:suppressLineNumbers/>
        <w:suppressAutoHyphens/>
        <w:spacing w:before="120" w:after="120"/>
        <w:rPr>
          <w:rFonts w:eastAsia="Times New Roman"/>
          <w:lang w:val="es-ES"/>
        </w:rPr>
      </w:pPr>
      <w:r w:rsidRPr="008515EE">
        <w:rPr>
          <w:rFonts w:eastAsia="Times New Roman"/>
          <w:i/>
          <w:iCs/>
          <w:kern w:val="22"/>
          <w:lang w:val="es-ES"/>
        </w:rPr>
        <w:t>¿Se proporciona información sobre metodología y datos? ¿Se abordó alguno de los siguientes aspectos?: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¿Se llevó a cabo una evaluación?</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¿Quién llevó a cabo la evaluación?</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¿Participaron interesados?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 xml:space="preserve">¿La descripción indica si la evaluación se llevó a cabo </w:t>
      </w:r>
      <w:r w:rsidRPr="008515EE">
        <w:rPr>
          <w:rFonts w:eastAsia="Times New Roman"/>
          <w:i/>
          <w:iCs/>
          <w:kern w:val="22"/>
          <w:lang w:val="es-ES"/>
        </w:rPr>
        <w:t>ex ante</w:t>
      </w:r>
      <w:r w:rsidRPr="008515EE">
        <w:rPr>
          <w:rFonts w:eastAsia="Times New Roman"/>
          <w:kern w:val="22"/>
          <w:lang w:val="es-ES"/>
        </w:rPr>
        <w:t xml:space="preserve"> o </w:t>
      </w:r>
      <w:r w:rsidRPr="008515EE">
        <w:rPr>
          <w:rFonts w:eastAsia="Times New Roman"/>
          <w:i/>
          <w:iCs/>
          <w:kern w:val="22"/>
          <w:lang w:val="es-ES"/>
        </w:rPr>
        <w:t>ex post</w:t>
      </w:r>
      <w:r w:rsidRPr="008515EE">
        <w:rPr>
          <w:rFonts w:eastAsia="Times New Roman"/>
          <w:kern w:val="22"/>
          <w:lang w:val="es-ES"/>
        </w:rPr>
        <w:t>?</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¿Los métodos de evaluación que se usaron eran científicos y de base empírica</w:t>
      </w:r>
      <w:r w:rsidR="006E6483" w:rsidRPr="008515EE">
        <w:rPr>
          <w:rFonts w:eastAsia="Times New Roman"/>
          <w:kern w:val="22"/>
          <w:lang w:val="es-ES"/>
        </w:rPr>
        <w:t>,</w:t>
      </w:r>
      <w:r w:rsidRPr="008515EE">
        <w:rPr>
          <w:rFonts w:eastAsia="Times New Roman"/>
          <w:kern w:val="22"/>
          <w:lang w:val="es-ES"/>
        </w:rPr>
        <w:t xml:space="preserve"> o</w:t>
      </w:r>
      <w:r w:rsidR="006E6483" w:rsidRPr="008515EE">
        <w:rPr>
          <w:rFonts w:eastAsia="Times New Roman"/>
          <w:kern w:val="22"/>
          <w:lang w:val="es-ES"/>
        </w:rPr>
        <w:t xml:space="preserve"> bien,</w:t>
      </w:r>
      <w:r w:rsidRPr="008515EE">
        <w:rPr>
          <w:rFonts w:eastAsia="Times New Roman"/>
          <w:kern w:val="22"/>
          <w:lang w:val="es-ES"/>
        </w:rPr>
        <w:t xml:space="preserve"> </w:t>
      </w:r>
      <w:r w:rsidR="006E6483" w:rsidRPr="008515EE">
        <w:rPr>
          <w:rFonts w:eastAsia="Times New Roman"/>
          <w:kern w:val="22"/>
          <w:lang w:val="es-ES"/>
        </w:rPr>
        <w:t xml:space="preserve">en aquellos casos en que no eran aplicables métodos científicos, </w:t>
      </w:r>
      <w:r w:rsidRPr="008515EE">
        <w:rPr>
          <w:rFonts w:eastAsia="Times New Roman"/>
          <w:kern w:val="22"/>
          <w:lang w:val="es-ES"/>
        </w:rPr>
        <w:t>estaban basados en otros enfoques aceptados?</w:t>
      </w:r>
    </w:p>
    <w:p w:rsidR="000359C1" w:rsidRPr="008515EE" w:rsidRDefault="000359C1">
      <w:pPr>
        <w:suppressLineNumbers/>
        <w:suppressAutoHyphens/>
        <w:spacing w:before="120" w:after="120"/>
        <w:rPr>
          <w:rFonts w:eastAsia="Times New Roman"/>
          <w:kern w:val="22"/>
          <w:lang w:val="es-ES"/>
        </w:rPr>
      </w:pPr>
      <w:r w:rsidRPr="008515EE">
        <w:rPr>
          <w:rFonts w:eastAsia="Times New Roman"/>
          <w:i/>
          <w:iCs/>
          <w:kern w:val="22"/>
          <w:lang w:val="es-ES"/>
        </w:rPr>
        <w:t>¿Los aportes y las conclusiones de los debates en línea proporcionan información sobre alguno de los siguientes aspectos?: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relación entre el impacto del organismo vivo modificado y los efectos socioeconómicos;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El carácter beneficioso o adverso de los efectos;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probabilidad de que se produzcan efectos;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intensidad o magnitud de los efectos;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Los posibles efectos en las fases posteriores y los efectos acumulativos;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reversibilidad de los efectos;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mitigación de los efectos;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Los efectos en las distintas comunidades y grupos, en particular en grupos vulnerables o marginados y pueblos indígenas y comunidades locales;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aparición y duración previstas de los efectos (p. ej., sostenibilidad y persistencia).</w:t>
      </w:r>
    </w:p>
    <w:p w:rsidR="000359C1" w:rsidRPr="008515EE" w:rsidRDefault="000359C1">
      <w:pPr>
        <w:suppressLineNumbers/>
        <w:suppressAutoHyphens/>
        <w:spacing w:before="120" w:after="120"/>
        <w:rPr>
          <w:rFonts w:eastAsia="Times New Roman"/>
          <w:u w:val="single"/>
          <w:lang w:val="es-ES"/>
        </w:rPr>
      </w:pPr>
      <w:r w:rsidRPr="008515EE">
        <w:rPr>
          <w:rFonts w:eastAsia="Times New Roman"/>
          <w:b/>
          <w:bCs/>
          <w:kern w:val="22"/>
          <w:lang w:val="es-ES"/>
        </w:rPr>
        <w:t>Fase B, Paso 3: Evaluación de los resultados y extracción de conclusiones</w:t>
      </w:r>
    </w:p>
    <w:p w:rsidR="000359C1" w:rsidRPr="008515EE" w:rsidRDefault="000359C1">
      <w:pPr>
        <w:suppressLineNumbers/>
        <w:suppressAutoHyphens/>
        <w:spacing w:before="120" w:after="120"/>
        <w:rPr>
          <w:rFonts w:eastAsia="Times New Roman"/>
          <w:lang w:val="es-ES"/>
        </w:rPr>
      </w:pPr>
      <w:r w:rsidRPr="008515EE">
        <w:rPr>
          <w:rFonts w:eastAsia="Times New Roman"/>
          <w:i/>
          <w:iCs/>
          <w:kern w:val="22"/>
          <w:lang w:val="es-ES"/>
        </w:rPr>
        <w:t>¿Los aportes y las conclusiones de los debates en línea proporcionan información sobre cómo se evaluaron los resultados de la evaluación y qué conclusiones se extrajeron?</w:t>
      </w:r>
    </w:p>
    <w:p w:rsidR="000359C1" w:rsidRPr="008515EE" w:rsidRDefault="000359C1">
      <w:pPr>
        <w:suppressLineNumbers/>
        <w:suppressAutoHyphens/>
        <w:spacing w:before="120" w:after="120"/>
        <w:rPr>
          <w:rFonts w:eastAsia="Times New Roman"/>
          <w:kern w:val="22"/>
          <w:lang w:val="es-ES"/>
        </w:rPr>
      </w:pPr>
      <w:r w:rsidRPr="008515EE">
        <w:rPr>
          <w:rFonts w:eastAsia="Times New Roman"/>
          <w:i/>
          <w:iCs/>
          <w:kern w:val="22"/>
          <w:lang w:val="es-ES"/>
        </w:rPr>
        <w:t>¿Proporcionan información sobre alguno de los siguientes aspectos?: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importancia de los efectos evaluados;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distribución de los efectos entre los interesados;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Las limitaciones de los métodos aplicados;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Incertidumbres;</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comparación con las alternativas dispon</w:t>
      </w:r>
      <w:r w:rsidR="007E0AF7" w:rsidRPr="008515EE">
        <w:rPr>
          <w:rFonts w:eastAsia="Times New Roman"/>
          <w:kern w:val="22"/>
          <w:lang w:val="es-ES"/>
        </w:rPr>
        <w:t>ibl</w:t>
      </w:r>
      <w:r w:rsidRPr="008515EE">
        <w:rPr>
          <w:rFonts w:eastAsia="Times New Roman"/>
          <w:kern w:val="22"/>
          <w:lang w:val="es-ES"/>
        </w:rPr>
        <w:t>e</w:t>
      </w:r>
      <w:r w:rsidR="007E0AF7" w:rsidRPr="008515EE">
        <w:rPr>
          <w:rFonts w:eastAsia="Times New Roman"/>
          <w:kern w:val="22"/>
          <w:lang w:val="es-ES"/>
        </w:rPr>
        <w:t>s</w:t>
      </w:r>
      <w:r w:rsidRPr="008515EE">
        <w:rPr>
          <w:rFonts w:eastAsia="Times New Roman"/>
          <w:kern w:val="22"/>
          <w:lang w:val="es-ES"/>
        </w:rPr>
        <w:t xml:space="preserve"> para el organismo vivo modificado;</w:t>
      </w:r>
    </w:p>
    <w:p w:rsidR="000359C1" w:rsidRPr="008515EE" w:rsidRDefault="000359C1">
      <w:pPr>
        <w:numPr>
          <w:ilvl w:val="0"/>
          <w:numId w:val="29"/>
        </w:numPr>
        <w:suppressLineNumbers/>
        <w:suppressAutoHyphens/>
        <w:adjustRightInd w:val="0"/>
        <w:snapToGrid w:val="0"/>
        <w:spacing w:before="120" w:after="120"/>
        <w:ind w:left="1080"/>
        <w:rPr>
          <w:rFonts w:eastAsia="Times New Roman"/>
          <w:kern w:val="22"/>
          <w:lang w:val="es-ES"/>
        </w:rPr>
      </w:pPr>
      <w:r w:rsidRPr="008515EE">
        <w:rPr>
          <w:rFonts w:eastAsia="Times New Roman"/>
          <w:kern w:val="22"/>
          <w:lang w:val="es-ES"/>
        </w:rPr>
        <w:t>La validez de los beneficios y daños que se aducen.</w:t>
      </w:r>
    </w:p>
    <w:p w:rsidR="000359C1" w:rsidRPr="008515EE" w:rsidRDefault="000359C1">
      <w:pPr>
        <w:suppressLineNumbers/>
        <w:suppressAutoHyphens/>
        <w:spacing w:before="120" w:after="120"/>
        <w:rPr>
          <w:rFonts w:eastAsia="Times New Roman"/>
          <w:kern w:val="22"/>
          <w:lang w:val="es-ES"/>
        </w:rPr>
      </w:pPr>
      <w:r w:rsidRPr="008515EE">
        <w:rPr>
          <w:rFonts w:eastAsia="Times New Roman"/>
          <w:i/>
          <w:iCs/>
          <w:kern w:val="22"/>
          <w:lang w:val="es-ES"/>
        </w:rPr>
        <w:lastRenderedPageBreak/>
        <w:t>¿Los aportes y las conclusiones de los debates en línea proporcionan información sobre si se comunicaron los resultados de la evaluación a los interesados para que estos los comentaran, o si los comentarios de los interesados se incluyeron en el resultado final?</w:t>
      </w:r>
    </w:p>
    <w:p w:rsidR="000359C1" w:rsidRPr="008515EE" w:rsidRDefault="000359C1">
      <w:pPr>
        <w:suppressLineNumbers/>
        <w:suppressAutoHyphens/>
        <w:spacing w:before="120" w:after="120"/>
        <w:jc w:val="left"/>
        <w:rPr>
          <w:rFonts w:eastAsia="Times New Roman"/>
          <w:lang w:val="es-ES"/>
        </w:rPr>
      </w:pPr>
      <w:r w:rsidRPr="008515EE">
        <w:rPr>
          <w:rFonts w:eastAsia="Times New Roman"/>
          <w:b/>
          <w:bCs/>
          <w:kern w:val="22"/>
          <w:lang w:val="es-ES"/>
        </w:rPr>
        <w:t>Fase C: Examen y vigilancia</w:t>
      </w:r>
    </w:p>
    <w:p w:rsidR="000359C1" w:rsidRPr="008515EE" w:rsidRDefault="000359C1">
      <w:pPr>
        <w:pStyle w:val="Para1"/>
        <w:numPr>
          <w:ilvl w:val="0"/>
          <w:numId w:val="0"/>
        </w:numPr>
        <w:rPr>
          <w:rFonts w:eastAsia="Times New Roman"/>
          <w:kern w:val="22"/>
          <w:lang w:val="es-ES"/>
        </w:rPr>
      </w:pPr>
      <w:bookmarkStart w:id="4" w:name="_Hlk78360140"/>
      <w:r w:rsidRPr="008515EE">
        <w:rPr>
          <w:rFonts w:eastAsia="Times New Roman"/>
          <w:i/>
          <w:iCs/>
          <w:kern w:val="22"/>
          <w:lang w:val="es-ES"/>
        </w:rPr>
        <w:t>¿Los aportes proporcionan información sobre si se revaloraron los resultados de la evaluación o sobre la vigilancia de los efectos socioeconómicos del organismo vivo modificado a lo largo del tiempo, o bien remiten a documentación en la que se proporciona esa información</w:t>
      </w:r>
      <w:r w:rsidRPr="008515EE">
        <w:rPr>
          <w:rFonts w:eastAsia="Times New Roman"/>
          <w:kern w:val="22"/>
          <w:lang w:val="es-ES"/>
        </w:rPr>
        <w:t>?</w:t>
      </w:r>
    </w:p>
    <w:bookmarkEnd w:id="4"/>
    <w:p w:rsidR="000359C1" w:rsidRPr="008515EE" w:rsidRDefault="000359C1">
      <w:pPr>
        <w:jc w:val="left"/>
        <w:rPr>
          <w:rFonts w:eastAsia="Times New Roman"/>
          <w:i/>
          <w:iCs/>
          <w:kern w:val="22"/>
          <w:lang w:val="es-ES"/>
        </w:rPr>
      </w:pPr>
      <w:r w:rsidRPr="008515EE">
        <w:rPr>
          <w:rFonts w:eastAsia="Times New Roman"/>
          <w:i/>
          <w:iCs/>
          <w:kern w:val="22"/>
          <w:lang w:val="es-ES"/>
        </w:rPr>
        <w:br w:type="page"/>
      </w:r>
    </w:p>
    <w:p w:rsidR="000359C1" w:rsidRPr="008515EE" w:rsidRDefault="000359C1">
      <w:pPr>
        <w:pStyle w:val="Style1"/>
        <w:outlineLvl w:val="2"/>
        <w:rPr>
          <w:rFonts w:eastAsia="Times New Roman"/>
          <w:i w:val="0"/>
          <w:iCs w:val="0"/>
          <w:kern w:val="22"/>
          <w:lang w:val="es-ES"/>
        </w:rPr>
      </w:pPr>
      <w:r w:rsidRPr="008515EE">
        <w:rPr>
          <w:rFonts w:eastAsia="Times New Roman"/>
          <w:b w:val="0"/>
          <w:bCs w:val="0"/>
          <w:kern w:val="22"/>
          <w:lang w:val="es-ES"/>
        </w:rPr>
        <w:lastRenderedPageBreak/>
        <w:t>Anexo III</w:t>
      </w:r>
    </w:p>
    <w:p w:rsidR="000359C1" w:rsidRPr="008515EE" w:rsidRDefault="000359C1">
      <w:pPr>
        <w:pStyle w:val="Heading1"/>
        <w:rPr>
          <w:rFonts w:eastAsia="Times New Roman"/>
          <w:b w:val="0"/>
          <w:bCs w:val="0"/>
          <w:caps w:val="0"/>
          <w:kern w:val="22"/>
          <w:lang w:val="es-ES"/>
        </w:rPr>
      </w:pPr>
      <w:r w:rsidRPr="008515EE">
        <w:rPr>
          <w:rFonts w:eastAsia="Times New Roman"/>
          <w:kern w:val="22"/>
          <w:lang w:val="es-ES"/>
        </w:rPr>
        <w:t>EXAMEN DEl Grupo Especial de Expertos Técnicos en Consideraciones Socioeconómicas CONFORME A LA DECISIÓN CP-9/14</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lang w:val="es-ES"/>
        </w:rPr>
      </w:pPr>
      <w:r w:rsidRPr="008515EE">
        <w:rPr>
          <w:rFonts w:eastAsia="Times New Roman"/>
          <w:kern w:val="22"/>
          <w:lang w:val="es-ES"/>
        </w:rPr>
        <w:t>Este examen fue preparado por el Grupo Especial de Expertos Técnicos (GEET) en Consideraciones Socioeconómicas en su reunión celebrada en Viena del 10 al 13 de diciembre de 2019. El GEET realizó su trabajo conforme a la decisión CP-9/14 de la Conferencia de las Partes que actúa como reunión de las Partes en el Protocolo de Cartagena sobre Seguridad de la Biotecnología.</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lang w:val="es-ES"/>
        </w:rPr>
      </w:pPr>
      <w:r w:rsidRPr="008515EE">
        <w:rPr>
          <w:rFonts w:eastAsia="Times New Roman"/>
          <w:kern w:val="22"/>
          <w:lang w:val="es-ES"/>
        </w:rPr>
        <w:t>El GEET trabajó sobre la base de aportes</w:t>
      </w:r>
      <w:r w:rsidRPr="008515EE">
        <w:rPr>
          <w:rFonts w:eastAsia="Times New Roman"/>
          <w:kern w:val="22"/>
          <w:vertAlign w:val="superscript"/>
          <w:lang w:val="es-ES"/>
        </w:rPr>
        <w:footnoteReference w:id="11"/>
      </w:r>
      <w:r w:rsidRPr="008515EE">
        <w:rPr>
          <w:rFonts w:eastAsia="Times New Roman"/>
          <w:kern w:val="22"/>
          <w:lang w:val="es-ES"/>
        </w:rPr>
        <w:t xml:space="preserve"> presentados en respuesta a la decisión CP-9/14, en la que se invitó a las Partes, otros Gobiernos, organizaciones pertinentes y otros interesados a que aportaran experiencias preliminares en las que utilizaron la Orientación de carácter voluntario</w:t>
      </w:r>
      <w:r w:rsidRPr="008515EE">
        <w:rPr>
          <w:rFonts w:eastAsia="Times New Roman"/>
          <w:kern w:val="22"/>
          <w:vertAlign w:val="superscript"/>
          <w:lang w:val="es-ES"/>
        </w:rPr>
        <w:footnoteReference w:id="12"/>
      </w:r>
      <w:r w:rsidRPr="008515EE">
        <w:rPr>
          <w:rFonts w:eastAsia="Times New Roman"/>
          <w:kern w:val="22"/>
          <w:lang w:val="es-ES"/>
        </w:rPr>
        <w:t>, así como ejemplos de metodologías y aplicaciones de consideraciones socioeconómica</w:t>
      </w:r>
      <w:r w:rsidR="001E3A02" w:rsidRPr="008515EE">
        <w:rPr>
          <w:rFonts w:eastAsia="Times New Roman"/>
          <w:kern w:val="22"/>
          <w:lang w:val="es-ES"/>
        </w:rPr>
        <w:t>s</w:t>
      </w:r>
      <w:r w:rsidRPr="008515EE">
        <w:rPr>
          <w:rFonts w:eastAsia="Times New Roman"/>
          <w:kern w:val="22"/>
          <w:lang w:val="es-ES"/>
        </w:rPr>
        <w:t xml:space="preserve"> teniendo en cuenta los elementos de la Orientación de carácter voluntario, preferentemente en forma de estudios de caso. El GEET también trabajó sobre la base de las conclusiones de l</w:t>
      </w:r>
      <w:r w:rsidR="001E3A02" w:rsidRPr="008515EE">
        <w:rPr>
          <w:rFonts w:eastAsia="Times New Roman"/>
          <w:kern w:val="22"/>
          <w:lang w:val="es-ES"/>
        </w:rPr>
        <w:t>o</w:t>
      </w:r>
      <w:r w:rsidRPr="008515EE">
        <w:rPr>
          <w:rFonts w:eastAsia="Times New Roman"/>
          <w:kern w:val="22"/>
          <w:lang w:val="es-ES"/>
        </w:rPr>
        <w:t xml:space="preserve">s debates moderados del foro en línea sobre consideraciones socioeconómicas (debates en línea), cuya realización se había solicitado para que </w:t>
      </w:r>
      <w:r w:rsidR="001E3A02" w:rsidRPr="008515EE">
        <w:rPr>
          <w:rFonts w:eastAsia="Times New Roman"/>
          <w:kern w:val="22"/>
          <w:lang w:val="es-ES"/>
        </w:rPr>
        <w:t xml:space="preserve">se </w:t>
      </w:r>
      <w:r w:rsidRPr="008515EE">
        <w:rPr>
          <w:rFonts w:eastAsia="Times New Roman"/>
          <w:kern w:val="22"/>
          <w:lang w:val="es-ES"/>
        </w:rPr>
        <w:t>formularan comentarios y se contribuyeran opiniones para el examen de la recopilación de aportes</w:t>
      </w:r>
      <w:r w:rsidRPr="008515EE">
        <w:rPr>
          <w:rFonts w:eastAsia="Times New Roman"/>
          <w:kern w:val="22"/>
          <w:vertAlign w:val="superscript"/>
          <w:lang w:val="es-ES"/>
        </w:rPr>
        <w:footnoteReference w:id="13"/>
      </w:r>
      <w:r w:rsidRPr="008515EE">
        <w:rPr>
          <w:rFonts w:eastAsia="Times New Roman"/>
          <w:kern w:val="22"/>
          <w:lang w:val="es-ES"/>
        </w:rPr>
        <w:t>.</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Este examen se presenta haciendo la salvedad de que el número de aportes recibido fue limitado.</w:t>
      </w:r>
    </w:p>
    <w:p w:rsidR="000359C1" w:rsidRPr="008515EE" w:rsidRDefault="000359C1">
      <w:pPr>
        <w:keepNext/>
        <w:suppressLineNumbers/>
        <w:suppressAutoHyphens/>
        <w:spacing w:before="120" w:after="120"/>
        <w:rPr>
          <w:rFonts w:eastAsia="Times New Roman"/>
          <w:b/>
          <w:bCs/>
          <w:kern w:val="22"/>
          <w:lang w:val="es-ES"/>
        </w:rPr>
      </w:pPr>
      <w:r w:rsidRPr="008515EE">
        <w:rPr>
          <w:rFonts w:eastAsia="Times New Roman"/>
          <w:b/>
          <w:bCs/>
          <w:kern w:val="22"/>
          <w:lang w:val="es-ES"/>
        </w:rPr>
        <w:t>Fase A – Preparación para la evaluación</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lang w:val="es-ES"/>
        </w:rPr>
      </w:pPr>
      <w:r w:rsidRPr="008515EE">
        <w:rPr>
          <w:rFonts w:eastAsia="Times New Roman"/>
          <w:kern w:val="22"/>
          <w:lang w:val="es-ES"/>
        </w:rPr>
        <w:t xml:space="preserve">En algunos aportes se indica que se identificaron instrumentos normativos y jurídicos nacionales pertinentes, así como responsabilidades, metas de protección y objetivos socioeconómicos. </w:t>
      </w:r>
      <w:r w:rsidR="00FA5842" w:rsidRPr="008515EE">
        <w:rPr>
          <w:rFonts w:eastAsia="Times New Roman"/>
          <w:kern w:val="22"/>
          <w:lang w:val="es-ES"/>
        </w:rPr>
        <w:t>En a</w:t>
      </w:r>
      <w:r w:rsidRPr="008515EE">
        <w:rPr>
          <w:rFonts w:eastAsia="Times New Roman"/>
          <w:kern w:val="22"/>
          <w:lang w:val="es-ES"/>
        </w:rPr>
        <w:t xml:space="preserve">lgunos aportes </w:t>
      </w:r>
      <w:r w:rsidR="00FA5842" w:rsidRPr="008515EE">
        <w:rPr>
          <w:rFonts w:eastAsia="Times New Roman"/>
          <w:kern w:val="22"/>
          <w:lang w:val="es-ES"/>
        </w:rPr>
        <w:t xml:space="preserve">se </w:t>
      </w:r>
      <w:r w:rsidRPr="008515EE">
        <w:rPr>
          <w:rFonts w:eastAsia="Times New Roman"/>
          <w:kern w:val="22"/>
          <w:lang w:val="es-ES"/>
        </w:rPr>
        <w:t>indica que se definieron metas de protección pertinentes a nivel nacional a partir de instrumentos regionales e internacionales;</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lang w:val="es-ES"/>
        </w:rPr>
      </w:pPr>
      <w:r w:rsidRPr="008515EE">
        <w:rPr>
          <w:rFonts w:eastAsia="Times New Roman"/>
          <w:kern w:val="22"/>
          <w:lang w:val="es-ES"/>
        </w:rPr>
        <w:t>Algunos aportes describen un enfoque amplio a</w:t>
      </w:r>
      <w:r w:rsidR="00FA5842" w:rsidRPr="008515EE">
        <w:rPr>
          <w:rFonts w:eastAsia="Times New Roman"/>
          <w:kern w:val="22"/>
          <w:lang w:val="es-ES"/>
        </w:rPr>
        <w:t>doptado respecto de</w:t>
      </w:r>
      <w:r w:rsidRPr="008515EE">
        <w:rPr>
          <w:rFonts w:eastAsia="Times New Roman"/>
          <w:kern w:val="22"/>
          <w:lang w:val="es-ES"/>
        </w:rPr>
        <w:t xml:space="preserve"> la relación entre metas de protección nacionales y objetivos socioeconómicos. Por ejemplo, en un enfoque, se considera la sostenibilidad en términos de dimensiones sociales, culturales, éticas, ambientales, sanitarias, territoriales y agronómicas. En ese caso, en el proceso de evaluación se consideraron soluciones alternativas y posibles trayectorias de innovación para resolver el problema que se pretendía abordar con el organismo vivo modificado (OVM). En un aporte también se destaca la necesidad de preservar los medios de vida de pueblos indígenas y comunidades locales y en los debates en línea </w:t>
      </w:r>
      <w:r w:rsidR="00FA5842" w:rsidRPr="008515EE">
        <w:rPr>
          <w:rFonts w:eastAsia="Times New Roman"/>
          <w:kern w:val="22"/>
          <w:lang w:val="es-ES"/>
        </w:rPr>
        <w:t xml:space="preserve">esto </w:t>
      </w:r>
      <w:r w:rsidRPr="008515EE">
        <w:rPr>
          <w:rFonts w:eastAsia="Times New Roman"/>
          <w:kern w:val="22"/>
          <w:lang w:val="es-ES"/>
        </w:rPr>
        <w:t>se planteó como una meta de protección nacional.</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lang w:val="es-ES"/>
        </w:rPr>
      </w:pPr>
      <w:r w:rsidRPr="008515EE">
        <w:rPr>
          <w:rFonts w:eastAsia="Times New Roman"/>
          <w:kern w:val="22"/>
          <w:lang w:val="es-ES"/>
        </w:rPr>
        <w:t xml:space="preserve">Con respecto a la determinación de la información que se precisa para la evaluación, en un aporte se indica que se utilizaron los resultados de actividades de investigación, mientras que otro aporte explica que </w:t>
      </w:r>
      <w:r w:rsidR="00FA5842" w:rsidRPr="008515EE">
        <w:rPr>
          <w:rFonts w:eastAsia="Times New Roman"/>
          <w:kern w:val="22"/>
          <w:lang w:val="es-ES"/>
        </w:rPr>
        <w:t xml:space="preserve">las necesidades de información </w:t>
      </w:r>
      <w:r w:rsidRPr="008515EE">
        <w:rPr>
          <w:rFonts w:eastAsia="Times New Roman"/>
          <w:kern w:val="22"/>
          <w:lang w:val="es-ES"/>
        </w:rPr>
        <w:t>e</w:t>
      </w:r>
      <w:r w:rsidR="00FA5842" w:rsidRPr="008515EE">
        <w:rPr>
          <w:rFonts w:eastAsia="Times New Roman"/>
          <w:kern w:val="22"/>
          <w:lang w:val="es-ES"/>
        </w:rPr>
        <w:t>stán</w:t>
      </w:r>
      <w:r w:rsidRPr="008515EE">
        <w:rPr>
          <w:rFonts w:eastAsia="Times New Roman"/>
          <w:kern w:val="22"/>
          <w:lang w:val="es-ES"/>
        </w:rPr>
        <w:t xml:space="preserve"> defin</w:t>
      </w:r>
      <w:r w:rsidR="00FA5842" w:rsidRPr="008515EE">
        <w:rPr>
          <w:rFonts w:eastAsia="Times New Roman"/>
          <w:kern w:val="22"/>
          <w:lang w:val="es-ES"/>
        </w:rPr>
        <w:t>idas</w:t>
      </w:r>
      <w:r w:rsidRPr="008515EE">
        <w:rPr>
          <w:rFonts w:eastAsia="Times New Roman"/>
          <w:kern w:val="22"/>
          <w:lang w:val="es-ES"/>
        </w:rPr>
        <w:t xml:space="preserve"> en su legislación nacional. En un aporte </w:t>
      </w:r>
      <w:r w:rsidR="00FA5842" w:rsidRPr="008515EE">
        <w:rPr>
          <w:rFonts w:eastAsia="Times New Roman"/>
          <w:kern w:val="22"/>
          <w:lang w:val="es-ES"/>
        </w:rPr>
        <w:t>y en las conclusiones de</w:t>
      </w:r>
      <w:r w:rsidRPr="008515EE">
        <w:rPr>
          <w:rFonts w:eastAsia="Times New Roman"/>
          <w:kern w:val="22"/>
          <w:lang w:val="es-ES"/>
        </w:rPr>
        <w:t xml:space="preserve"> los debates en línea</w:t>
      </w:r>
      <w:r w:rsidR="00FA5842" w:rsidRPr="008515EE">
        <w:rPr>
          <w:rFonts w:eastAsia="Times New Roman"/>
          <w:kern w:val="22"/>
          <w:lang w:val="es-ES"/>
        </w:rPr>
        <w:t xml:space="preserve"> se sugiere</w:t>
      </w:r>
      <w:r w:rsidRPr="008515EE">
        <w:rPr>
          <w:rFonts w:eastAsia="Times New Roman"/>
          <w:kern w:val="22"/>
          <w:lang w:val="es-ES"/>
        </w:rPr>
        <w:t xml:space="preserve"> que existen distintos enfoques para la recopilación de la información necesaria para llevar a cabo una evaluación comparativa, entre otras cosas con respecto a diferentes valores de referencia (comparar la situación actual / comparar soluciones alternativas). Algunos aportes señalan la dificultad de determinar las necesidades de datos, así como la escasez de datos, particularmente en países en los que no se cultiva ni se importan OVM.</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Con re</w:t>
      </w:r>
      <w:r w:rsidR="00FA5842" w:rsidRPr="008515EE">
        <w:rPr>
          <w:rFonts w:eastAsia="Times New Roman"/>
          <w:kern w:val="22"/>
          <w:lang w:val="es-ES"/>
        </w:rPr>
        <w:t>specto a la identificación de ac</w:t>
      </w:r>
      <w:r w:rsidRPr="008515EE">
        <w:rPr>
          <w:rFonts w:eastAsia="Times New Roman"/>
          <w:kern w:val="22"/>
          <w:lang w:val="es-ES"/>
        </w:rPr>
        <w:t>t</w:t>
      </w:r>
      <w:r w:rsidR="00FA5842" w:rsidRPr="008515EE">
        <w:rPr>
          <w:rFonts w:eastAsia="Times New Roman"/>
          <w:kern w:val="22"/>
          <w:lang w:val="es-ES"/>
        </w:rPr>
        <w:t>or</w:t>
      </w:r>
      <w:r w:rsidRPr="008515EE">
        <w:rPr>
          <w:rFonts w:eastAsia="Times New Roman"/>
          <w:kern w:val="22"/>
          <w:lang w:val="es-ES"/>
        </w:rPr>
        <w:t>es pertinentes que participen en la evaluación, algunos aportes subrayan la importancia de la participación del público durante y después del proceso de toma de decisiones, incluida la participación de órganos consultivos, pueblos indígenas y comunidades locales, organizaciones de consumidores, organizaciones de la sociedad civil, el sector privado y otros expertos en campos pertinentes, como los campos jurídico, social, cultural y económico.</w:t>
      </w:r>
    </w:p>
    <w:p w:rsidR="000359C1" w:rsidRPr="008515EE" w:rsidRDefault="000359C1">
      <w:pPr>
        <w:keepNext/>
        <w:suppressLineNumbers/>
        <w:suppressAutoHyphens/>
        <w:spacing w:before="120" w:after="120"/>
        <w:rPr>
          <w:rFonts w:eastAsia="Times New Roman"/>
          <w:b/>
          <w:bCs/>
          <w:kern w:val="22"/>
          <w:lang w:val="es-ES"/>
        </w:rPr>
      </w:pPr>
      <w:r w:rsidRPr="008515EE">
        <w:rPr>
          <w:rFonts w:eastAsia="Times New Roman"/>
          <w:b/>
          <w:bCs/>
          <w:kern w:val="22"/>
          <w:lang w:val="es-ES"/>
        </w:rPr>
        <w:lastRenderedPageBreak/>
        <w:t>Fase B – Evaluación y valoración</w:t>
      </w:r>
    </w:p>
    <w:p w:rsidR="000359C1" w:rsidRPr="008515EE" w:rsidRDefault="000359C1">
      <w:pPr>
        <w:keepNext/>
        <w:suppressLineNumbers/>
        <w:suppressAutoHyphens/>
        <w:spacing w:before="120" w:after="120"/>
        <w:rPr>
          <w:rFonts w:eastAsia="Times New Roman"/>
          <w:lang w:val="es-ES"/>
        </w:rPr>
      </w:pPr>
      <w:r w:rsidRPr="008515EE">
        <w:rPr>
          <w:rFonts w:eastAsia="Times New Roman"/>
          <w:b/>
          <w:bCs/>
          <w:kern w:val="22"/>
          <w:lang w:val="es-ES"/>
        </w:rPr>
        <w:t>Paso 1: Determinación del alcance</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En los aportes y</w:t>
      </w:r>
      <w:r w:rsidR="008515EE" w:rsidRPr="008515EE">
        <w:rPr>
          <w:rFonts w:eastAsia="Times New Roman"/>
          <w:kern w:val="22"/>
          <w:lang w:val="es-ES"/>
        </w:rPr>
        <w:t xml:space="preserve"> las</w:t>
      </w:r>
      <w:r w:rsidRPr="008515EE">
        <w:rPr>
          <w:rFonts w:eastAsia="Times New Roman"/>
          <w:kern w:val="22"/>
          <w:lang w:val="es-ES"/>
        </w:rPr>
        <w:t xml:space="preserve"> </w:t>
      </w:r>
      <w:r w:rsidR="008515EE" w:rsidRPr="008515EE">
        <w:rPr>
          <w:rFonts w:eastAsia="Times New Roman"/>
          <w:kern w:val="22"/>
          <w:lang w:val="es-ES"/>
        </w:rPr>
        <w:t xml:space="preserve">conclusiones de los </w:t>
      </w:r>
      <w:r w:rsidRPr="008515EE">
        <w:rPr>
          <w:rFonts w:eastAsia="Times New Roman"/>
          <w:kern w:val="22"/>
          <w:lang w:val="es-ES"/>
        </w:rPr>
        <w:t xml:space="preserve">debates en línea se proporcionan otros ejemplos para la evaluación de los efectos económicos, sociales, ecológicos, culturales y </w:t>
      </w:r>
      <w:r w:rsidR="008515EE" w:rsidRPr="008515EE">
        <w:rPr>
          <w:rFonts w:eastAsia="Times New Roman"/>
          <w:kern w:val="22"/>
          <w:lang w:val="es-ES"/>
        </w:rPr>
        <w:t>s</w:t>
      </w:r>
      <w:r w:rsidRPr="008515EE">
        <w:rPr>
          <w:rFonts w:eastAsia="Times New Roman"/>
          <w:kern w:val="22"/>
          <w:lang w:val="es-ES"/>
        </w:rPr>
        <w:t>a</w:t>
      </w:r>
      <w:r w:rsidR="008515EE" w:rsidRPr="008515EE">
        <w:rPr>
          <w:rFonts w:eastAsia="Times New Roman"/>
          <w:kern w:val="22"/>
          <w:lang w:val="es-ES"/>
        </w:rPr>
        <w:t>nitarios</w:t>
      </w:r>
      <w:r w:rsidRPr="008515EE">
        <w:rPr>
          <w:rFonts w:eastAsia="Times New Roman"/>
          <w:kern w:val="22"/>
          <w:lang w:val="es-ES"/>
        </w:rPr>
        <w:t>, a saber:</w:t>
      </w:r>
    </w:p>
    <w:p w:rsidR="000359C1" w:rsidRPr="008515EE" w:rsidRDefault="000359C1" w:rsidP="00EE50FF">
      <w:pPr>
        <w:numPr>
          <w:ilvl w:val="0"/>
          <w:numId w:val="3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 xml:space="preserve">Económicos: evaluación del costo de los efectos </w:t>
      </w:r>
      <w:r w:rsidR="008515EE" w:rsidRPr="008515EE">
        <w:rPr>
          <w:rFonts w:eastAsia="Times New Roman"/>
          <w:kern w:val="22"/>
          <w:lang w:val="es-ES"/>
        </w:rPr>
        <w:t>relacionados con la salud</w:t>
      </w:r>
      <w:r w:rsidRPr="008515EE">
        <w:rPr>
          <w:rFonts w:eastAsia="Times New Roman"/>
          <w:kern w:val="22"/>
          <w:lang w:val="es-ES"/>
        </w:rPr>
        <w:t xml:space="preserve"> en la diversidad biológica;</w:t>
      </w:r>
    </w:p>
    <w:p w:rsidR="000359C1" w:rsidRPr="008515EE" w:rsidRDefault="000359C1" w:rsidP="00EE50FF">
      <w:pPr>
        <w:numPr>
          <w:ilvl w:val="0"/>
          <w:numId w:val="3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Sociales: evaluación del desarrollo sostenible;</w:t>
      </w:r>
    </w:p>
    <w:p w:rsidR="000359C1" w:rsidRPr="008515EE" w:rsidRDefault="000359C1" w:rsidP="00EE50FF">
      <w:pPr>
        <w:numPr>
          <w:ilvl w:val="0"/>
          <w:numId w:val="3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Ecológicos: evaluación de cambios en plagas secundarias;</w:t>
      </w:r>
    </w:p>
    <w:p w:rsidR="000359C1" w:rsidRPr="008515EE" w:rsidRDefault="000359C1" w:rsidP="00EE50FF">
      <w:pPr>
        <w:numPr>
          <w:ilvl w:val="0"/>
          <w:numId w:val="3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Culturales / tradicionales / religios</w:t>
      </w:r>
      <w:r w:rsidR="008515EE" w:rsidRPr="008515EE">
        <w:rPr>
          <w:rFonts w:eastAsia="Times New Roman"/>
          <w:kern w:val="22"/>
          <w:lang w:val="es-ES"/>
        </w:rPr>
        <w:t>o</w:t>
      </w:r>
      <w:r w:rsidRPr="008515EE">
        <w:rPr>
          <w:rFonts w:eastAsia="Times New Roman"/>
          <w:kern w:val="22"/>
          <w:lang w:val="es-ES"/>
        </w:rPr>
        <w:t>s / étic</w:t>
      </w:r>
      <w:r w:rsidR="008515EE" w:rsidRPr="008515EE">
        <w:rPr>
          <w:rFonts w:eastAsia="Times New Roman"/>
          <w:kern w:val="22"/>
          <w:lang w:val="es-ES"/>
        </w:rPr>
        <w:t>o</w:t>
      </w:r>
      <w:r w:rsidRPr="008515EE">
        <w:rPr>
          <w:rFonts w:eastAsia="Times New Roman"/>
          <w:kern w:val="22"/>
          <w:lang w:val="es-ES"/>
        </w:rPr>
        <w:t>s: Evaluación de creencias étnicas, aspectos éticos, derechos humanos, el valor de los ecosistemas para pueblos indígenas y comunidades locales, pertinencia de centros de origen y diversidad genética para pueblos indígenas y comunidades locales;</w:t>
      </w:r>
    </w:p>
    <w:p w:rsidR="000359C1" w:rsidRPr="008515EE" w:rsidRDefault="000359C1" w:rsidP="00EE50FF">
      <w:pPr>
        <w:numPr>
          <w:ilvl w:val="0"/>
          <w:numId w:val="3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Sanitarios: p. ej., efectos relacionados con la salud humana.</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 xml:space="preserve">Los aportes y </w:t>
      </w:r>
      <w:r w:rsidR="008515EE" w:rsidRPr="008515EE">
        <w:rPr>
          <w:rFonts w:eastAsia="Times New Roman"/>
          <w:kern w:val="22"/>
          <w:lang w:val="es-ES"/>
        </w:rPr>
        <w:t xml:space="preserve">las conclusiones de los </w:t>
      </w:r>
      <w:r w:rsidRPr="008515EE">
        <w:rPr>
          <w:rFonts w:eastAsia="Times New Roman"/>
          <w:kern w:val="22"/>
          <w:lang w:val="es-ES"/>
        </w:rPr>
        <w:t>debates en línea también proporcionan otros ejemplos que pueden ser tenidos en cuenta para determinar los límites de una evaluación, a saber:</w:t>
      </w:r>
    </w:p>
    <w:p w:rsidR="000359C1" w:rsidRPr="008515EE" w:rsidRDefault="000359C1" w:rsidP="00EE50FF">
      <w:pPr>
        <w:numPr>
          <w:ilvl w:val="0"/>
          <w:numId w:val="4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Alternativas para abordar el problema planteado</w:t>
      </w:r>
      <w:r w:rsidR="008515EE" w:rsidRPr="008515EE">
        <w:rPr>
          <w:rFonts w:eastAsia="Times New Roman"/>
          <w:kern w:val="22"/>
          <w:lang w:val="es-ES"/>
        </w:rPr>
        <w:t>:</w:t>
      </w:r>
      <w:r w:rsidRPr="008515EE">
        <w:rPr>
          <w:rFonts w:eastAsia="Times New Roman"/>
          <w:kern w:val="22"/>
          <w:lang w:val="es-ES"/>
        </w:rPr>
        <w:t xml:space="preserve"> </w:t>
      </w:r>
      <w:r w:rsidR="008515EE" w:rsidRPr="008515EE">
        <w:rPr>
          <w:rFonts w:eastAsia="Times New Roman"/>
          <w:kern w:val="22"/>
          <w:lang w:val="es-ES"/>
        </w:rPr>
        <w:t>u</w:t>
      </w:r>
      <w:r w:rsidR="00EE50FF" w:rsidRPr="008515EE">
        <w:rPr>
          <w:rFonts w:eastAsia="Times New Roman"/>
          <w:kern w:val="22"/>
          <w:lang w:val="es-ES"/>
        </w:rPr>
        <w:t>so</w:t>
      </w:r>
      <w:r w:rsidRPr="008515EE">
        <w:rPr>
          <w:rFonts w:eastAsia="Times New Roman"/>
          <w:kern w:val="22"/>
          <w:lang w:val="es-ES"/>
        </w:rPr>
        <w:t xml:space="preserve"> versus no u</w:t>
      </w:r>
      <w:r w:rsidR="00EE50FF" w:rsidRPr="008515EE">
        <w:rPr>
          <w:rFonts w:eastAsia="Times New Roman"/>
          <w:kern w:val="22"/>
          <w:lang w:val="es-ES"/>
        </w:rPr>
        <w:t>so</w:t>
      </w:r>
      <w:r w:rsidRPr="008515EE">
        <w:rPr>
          <w:rFonts w:eastAsia="Times New Roman"/>
          <w:kern w:val="22"/>
          <w:lang w:val="es-ES"/>
        </w:rPr>
        <w:t xml:space="preserve"> de un OVM;</w:t>
      </w:r>
    </w:p>
    <w:p w:rsidR="000359C1" w:rsidRPr="008515EE" w:rsidRDefault="000359C1" w:rsidP="00EE50FF">
      <w:pPr>
        <w:numPr>
          <w:ilvl w:val="0"/>
          <w:numId w:val="4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 xml:space="preserve">Escala temporal: </w:t>
      </w:r>
      <w:r w:rsidR="008515EE" w:rsidRPr="008515EE">
        <w:rPr>
          <w:rFonts w:eastAsia="Times New Roman"/>
          <w:kern w:val="22"/>
          <w:lang w:val="es-ES"/>
        </w:rPr>
        <w:t>e</w:t>
      </w:r>
      <w:r w:rsidRPr="008515EE">
        <w:rPr>
          <w:rFonts w:eastAsia="Times New Roman"/>
          <w:kern w:val="22"/>
          <w:lang w:val="es-ES"/>
        </w:rPr>
        <w:t>valuación de la trayectoria de un OVM y su innovación;</w:t>
      </w:r>
    </w:p>
    <w:p w:rsidR="000359C1" w:rsidRPr="008515EE" w:rsidRDefault="000359C1" w:rsidP="00EE50FF">
      <w:pPr>
        <w:numPr>
          <w:ilvl w:val="0"/>
          <w:numId w:val="4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Nivel de evaluación: pruebas de campo, nivel</w:t>
      </w:r>
      <w:r w:rsidR="008515EE" w:rsidRPr="008515EE">
        <w:rPr>
          <w:rFonts w:eastAsia="Times New Roman"/>
          <w:kern w:val="22"/>
          <w:lang w:val="es-ES"/>
        </w:rPr>
        <w:t>es</w:t>
      </w:r>
      <w:r w:rsidRPr="008515EE">
        <w:rPr>
          <w:rFonts w:eastAsia="Times New Roman"/>
          <w:kern w:val="22"/>
          <w:lang w:val="es-ES"/>
        </w:rPr>
        <w:t xml:space="preserve"> sectorial, nacional y mundial;</w:t>
      </w:r>
    </w:p>
    <w:p w:rsidR="000359C1" w:rsidRPr="008515EE" w:rsidRDefault="000359C1" w:rsidP="00EE50FF">
      <w:pPr>
        <w:numPr>
          <w:ilvl w:val="0"/>
          <w:numId w:val="4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Efectos directos o indirectos: impactos en los polinizadores;</w:t>
      </w:r>
    </w:p>
    <w:p w:rsidR="000359C1" w:rsidRPr="008515EE" w:rsidRDefault="000359C1" w:rsidP="00EE50FF">
      <w:pPr>
        <w:numPr>
          <w:ilvl w:val="0"/>
          <w:numId w:val="40"/>
        </w:numPr>
        <w:suppressLineNumbers/>
        <w:tabs>
          <w:tab w:val="clear" w:pos="0"/>
        </w:tabs>
        <w:suppressAutoHyphens/>
        <w:spacing w:before="120" w:after="120"/>
        <w:ind w:left="0" w:firstLine="720"/>
        <w:rPr>
          <w:rFonts w:eastAsia="Times New Roman"/>
          <w:lang w:val="es-ES"/>
        </w:rPr>
      </w:pPr>
      <w:r w:rsidRPr="008515EE">
        <w:rPr>
          <w:rFonts w:eastAsia="Times New Roman"/>
          <w:kern w:val="22"/>
          <w:lang w:val="es-ES"/>
        </w:rPr>
        <w:t>Interesados pertinentes:</w:t>
      </w:r>
      <w:r w:rsidR="008515EE" w:rsidRPr="008515EE">
        <w:rPr>
          <w:rFonts w:eastAsia="Times New Roman"/>
          <w:kern w:val="22"/>
          <w:lang w:val="es-ES"/>
        </w:rPr>
        <w:t> </w:t>
      </w:r>
      <w:r w:rsidRPr="008515EE">
        <w:rPr>
          <w:rFonts w:eastAsia="Times New Roman"/>
          <w:kern w:val="22"/>
          <w:lang w:val="es-ES"/>
        </w:rPr>
        <w:t>p</w:t>
      </w:r>
      <w:r w:rsidR="008515EE" w:rsidRPr="008515EE">
        <w:rPr>
          <w:rFonts w:eastAsia="Times New Roman"/>
          <w:kern w:val="22"/>
          <w:lang w:val="es-ES"/>
        </w:rPr>
        <w:t>.</w:t>
      </w:r>
      <w:r w:rsidR="008515EE" w:rsidRPr="008515EE">
        <w:rPr>
          <w:lang w:val="es-ES"/>
        </w:rPr>
        <w:t> </w:t>
      </w:r>
      <w:r w:rsidRPr="008515EE">
        <w:rPr>
          <w:rFonts w:eastAsia="Times New Roman"/>
          <w:kern w:val="22"/>
          <w:lang w:val="es-ES"/>
        </w:rPr>
        <w:t>ej</w:t>
      </w:r>
      <w:r w:rsidR="008515EE" w:rsidRPr="008515EE">
        <w:rPr>
          <w:rFonts w:eastAsia="Times New Roman"/>
          <w:kern w:val="22"/>
          <w:lang w:val="es-ES"/>
        </w:rPr>
        <w:t>.</w:t>
      </w:r>
      <w:r w:rsidRPr="008515EE">
        <w:rPr>
          <w:rFonts w:eastAsia="Times New Roman"/>
          <w:kern w:val="22"/>
          <w:lang w:val="es-ES"/>
        </w:rPr>
        <w:t>, usuarios y no usuarios de OVM, consumidores, pueblos indígenas y comunidades locales.</w:t>
      </w:r>
    </w:p>
    <w:p w:rsidR="000359C1" w:rsidRPr="008515EE" w:rsidRDefault="000359C1">
      <w:pPr>
        <w:suppressLineNumbers/>
        <w:suppressAutoHyphens/>
        <w:spacing w:before="120" w:after="120"/>
        <w:rPr>
          <w:rFonts w:eastAsia="Times New Roman"/>
          <w:lang w:val="es-ES"/>
        </w:rPr>
      </w:pPr>
      <w:r w:rsidRPr="008515EE">
        <w:rPr>
          <w:rFonts w:eastAsia="Times New Roman"/>
          <w:b/>
          <w:bCs/>
          <w:kern w:val="22"/>
          <w:lang w:val="es-ES"/>
        </w:rPr>
        <w:t>Paso 2: Evaluación</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lang w:val="es-ES"/>
        </w:rPr>
      </w:pPr>
      <w:r w:rsidRPr="008515EE">
        <w:rPr>
          <w:rFonts w:eastAsia="Times New Roman"/>
          <w:kern w:val="22"/>
          <w:lang w:val="es-ES"/>
        </w:rPr>
        <w:t xml:space="preserve">En los aportes se brindan ejemplos de evaluaciones socioeconómicas </w:t>
      </w:r>
      <w:r w:rsidRPr="008515EE">
        <w:rPr>
          <w:rFonts w:eastAsia="Times New Roman"/>
          <w:i/>
          <w:iCs/>
          <w:kern w:val="22"/>
          <w:lang w:val="es-ES"/>
        </w:rPr>
        <w:t>ex ante</w:t>
      </w:r>
      <w:r w:rsidRPr="008515EE">
        <w:rPr>
          <w:rFonts w:eastAsia="Times New Roman"/>
          <w:kern w:val="22"/>
          <w:lang w:val="es-ES"/>
        </w:rPr>
        <w:t xml:space="preserve">. También hay un aporte que brinda resultados de investigación sobre la base de evaluaciones socioeconómicas </w:t>
      </w:r>
      <w:r w:rsidRPr="008515EE">
        <w:rPr>
          <w:rFonts w:eastAsia="Times New Roman"/>
          <w:i/>
          <w:iCs/>
          <w:kern w:val="22"/>
          <w:lang w:val="es-ES"/>
        </w:rPr>
        <w:t>ex post</w:t>
      </w:r>
      <w:r w:rsidRPr="008515EE">
        <w:rPr>
          <w:rFonts w:eastAsia="Times New Roman"/>
          <w:kern w:val="22"/>
          <w:lang w:val="es-ES"/>
        </w:rPr>
        <w:t>.</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lang w:val="es-ES"/>
        </w:rPr>
      </w:pPr>
      <w:r w:rsidRPr="008515EE">
        <w:rPr>
          <w:rFonts w:eastAsia="Times New Roman"/>
          <w:kern w:val="22"/>
          <w:lang w:val="es-ES"/>
        </w:rPr>
        <w:t>Los aportes muestran que participaron diversos actores en la realización de evaluaciones socioeconómicas, entre ellos comités consultores, grupos de expertos y reguladores. Los aportes también muestran que participó una diversidad de interesados, entre ellos el sector privado, organizaciones de agricultores y organizaciones no gubernamentales. El nivel de participación varió, abarcando desde consultas hasta participación en el proceso de toma de decisiones. Algunos aportes muestran que se han establecido mecanismos para tener cuenta los intereses de los pueblos indígenas y las comunidades locales.</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En cuanto a los métodos elegidos para la evaluación, los aportes brindan ejemplos de la utilización de métodos científicos y de base empírica que se complementan con otros enfoques, como deliberaciones o consultas sobre aspectos sociales y éticos.</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Algunos aportes abordan los siguientes aspectos de la evaluación:</w:t>
      </w:r>
    </w:p>
    <w:p w:rsidR="000359C1" w:rsidRPr="008515EE" w:rsidRDefault="000359C1" w:rsidP="00EE50FF">
      <w:pPr>
        <w:numPr>
          <w:ilvl w:val="0"/>
          <w:numId w:val="42"/>
        </w:numPr>
        <w:suppressLineNumbers/>
        <w:suppressAutoHyphens/>
        <w:spacing w:before="120" w:after="120"/>
        <w:ind w:left="0" w:firstLine="720"/>
        <w:rPr>
          <w:rFonts w:eastAsia="Times New Roman"/>
          <w:kern w:val="22"/>
          <w:lang w:val="es-ES"/>
        </w:rPr>
      </w:pPr>
      <w:r w:rsidRPr="008515EE">
        <w:rPr>
          <w:rFonts w:eastAsia="Times New Roman"/>
          <w:kern w:val="22"/>
          <w:lang w:val="es-ES"/>
        </w:rPr>
        <w:t>La relación entre el impacto del OVM y los efectos socioeconómicos;</w:t>
      </w:r>
    </w:p>
    <w:p w:rsidR="000359C1" w:rsidRPr="008515EE" w:rsidRDefault="000359C1" w:rsidP="00EE50FF">
      <w:pPr>
        <w:numPr>
          <w:ilvl w:val="0"/>
          <w:numId w:val="42"/>
        </w:numPr>
        <w:suppressLineNumbers/>
        <w:suppressAutoHyphens/>
        <w:spacing w:before="120" w:after="120"/>
        <w:ind w:left="0" w:firstLine="720"/>
        <w:rPr>
          <w:rFonts w:eastAsia="Times New Roman"/>
          <w:kern w:val="22"/>
          <w:lang w:val="es-ES"/>
        </w:rPr>
      </w:pPr>
      <w:r w:rsidRPr="008515EE">
        <w:rPr>
          <w:rFonts w:eastAsia="Times New Roman"/>
          <w:kern w:val="22"/>
          <w:lang w:val="es-ES"/>
        </w:rPr>
        <w:t>El carácter beneficioso o adverso de los efectos;</w:t>
      </w:r>
    </w:p>
    <w:p w:rsidR="000359C1" w:rsidRPr="008515EE" w:rsidRDefault="000359C1" w:rsidP="00EE50FF">
      <w:pPr>
        <w:numPr>
          <w:ilvl w:val="0"/>
          <w:numId w:val="42"/>
        </w:numPr>
        <w:suppressLineNumbers/>
        <w:suppressAutoHyphens/>
        <w:spacing w:before="120" w:after="120"/>
        <w:ind w:left="0" w:firstLine="720"/>
        <w:rPr>
          <w:rFonts w:eastAsia="Times New Roman"/>
          <w:kern w:val="22"/>
          <w:lang w:val="es-ES"/>
        </w:rPr>
      </w:pPr>
      <w:r w:rsidRPr="008515EE">
        <w:rPr>
          <w:rFonts w:eastAsia="Times New Roman"/>
          <w:kern w:val="22"/>
          <w:lang w:val="es-ES"/>
        </w:rPr>
        <w:t>Los posibles efectos en las fases tempranas y en las fases posteriores y los efectos acumulativos;</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En los aportes también se abordan la reversibilidad y la mitigación de los efectos, en particular a través de enfoques tales como la planificación de escenarios y consideraciones éticas.</w:t>
      </w:r>
    </w:p>
    <w:p w:rsidR="000359C1" w:rsidRPr="008515EE" w:rsidRDefault="000359C1">
      <w:pPr>
        <w:keepNext/>
        <w:suppressLineNumbers/>
        <w:suppressAutoHyphens/>
        <w:spacing w:before="120" w:after="120"/>
        <w:rPr>
          <w:rFonts w:eastAsia="Times New Roman"/>
          <w:lang w:val="es-ES"/>
        </w:rPr>
      </w:pPr>
      <w:r w:rsidRPr="008515EE">
        <w:rPr>
          <w:rFonts w:eastAsia="Times New Roman"/>
          <w:b/>
          <w:bCs/>
          <w:kern w:val="22"/>
          <w:lang w:val="es-ES"/>
        </w:rPr>
        <w:lastRenderedPageBreak/>
        <w:t>Paso 3: Análisis de los resultados</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En varios aportes y en las conclusiones de los debates en línea se indica que la valoración de los resultados de la evaluación se bas</w:t>
      </w:r>
      <w:r w:rsidR="008515EE" w:rsidRPr="008515EE">
        <w:rPr>
          <w:rFonts w:eastAsia="Times New Roman"/>
          <w:kern w:val="22"/>
          <w:lang w:val="es-ES"/>
        </w:rPr>
        <w:t>ó</w:t>
      </w:r>
      <w:r w:rsidRPr="008515EE">
        <w:rPr>
          <w:rFonts w:eastAsia="Times New Roman"/>
          <w:kern w:val="22"/>
          <w:lang w:val="es-ES"/>
        </w:rPr>
        <w:t xml:space="preserve"> en lo siguiente:</w:t>
      </w:r>
    </w:p>
    <w:p w:rsidR="000359C1" w:rsidRPr="008515EE" w:rsidRDefault="000359C1" w:rsidP="00EE50FF">
      <w:pPr>
        <w:numPr>
          <w:ilvl w:val="0"/>
          <w:numId w:val="44"/>
        </w:numPr>
        <w:suppressLineNumbers/>
        <w:tabs>
          <w:tab w:val="clear" w:pos="0"/>
        </w:tabs>
        <w:suppressAutoHyphens/>
        <w:spacing w:before="120" w:after="120"/>
        <w:ind w:left="0" w:firstLine="720"/>
        <w:rPr>
          <w:rFonts w:eastAsia="Times New Roman"/>
          <w:kern w:val="22"/>
          <w:lang w:val="es-ES"/>
        </w:rPr>
      </w:pPr>
      <w:r w:rsidRPr="008515EE">
        <w:rPr>
          <w:rFonts w:eastAsia="Times New Roman"/>
          <w:kern w:val="22"/>
          <w:lang w:val="es-ES"/>
        </w:rPr>
        <w:t>La importancia de los efectos evaluados;</w:t>
      </w:r>
    </w:p>
    <w:p w:rsidR="000359C1" w:rsidRPr="008515EE" w:rsidRDefault="000359C1">
      <w:pPr>
        <w:numPr>
          <w:ilvl w:val="0"/>
          <w:numId w:val="44"/>
        </w:numPr>
        <w:suppressLineNumbers/>
        <w:suppressAutoHyphens/>
        <w:spacing w:before="120" w:after="120"/>
        <w:ind w:left="1440" w:hanging="720"/>
        <w:rPr>
          <w:rFonts w:eastAsia="Times New Roman"/>
          <w:kern w:val="22"/>
          <w:lang w:val="es-ES"/>
        </w:rPr>
      </w:pPr>
      <w:r w:rsidRPr="008515EE">
        <w:rPr>
          <w:rFonts w:eastAsia="Times New Roman"/>
          <w:kern w:val="22"/>
          <w:lang w:val="es-ES"/>
        </w:rPr>
        <w:t>La distribución de los efectos entre los interesados;</w:t>
      </w:r>
    </w:p>
    <w:p w:rsidR="000359C1" w:rsidRPr="008515EE" w:rsidRDefault="000359C1">
      <w:pPr>
        <w:numPr>
          <w:ilvl w:val="0"/>
          <w:numId w:val="44"/>
        </w:numPr>
        <w:suppressLineNumbers/>
        <w:suppressAutoHyphens/>
        <w:spacing w:before="120" w:after="120"/>
        <w:ind w:left="1440" w:hanging="720"/>
        <w:rPr>
          <w:rFonts w:eastAsia="Times New Roman"/>
          <w:kern w:val="22"/>
          <w:lang w:val="es-ES"/>
        </w:rPr>
      </w:pPr>
      <w:r w:rsidRPr="008515EE">
        <w:rPr>
          <w:rFonts w:eastAsia="Times New Roman"/>
          <w:kern w:val="22"/>
          <w:lang w:val="es-ES"/>
        </w:rPr>
        <w:t>La comparación con las alternativas que existen para el OVM;</w:t>
      </w:r>
    </w:p>
    <w:p w:rsidR="000359C1" w:rsidRPr="008515EE" w:rsidRDefault="000359C1">
      <w:pPr>
        <w:numPr>
          <w:ilvl w:val="0"/>
          <w:numId w:val="44"/>
        </w:numPr>
        <w:suppressLineNumbers/>
        <w:suppressAutoHyphens/>
        <w:spacing w:before="120" w:after="120"/>
        <w:ind w:left="1440" w:hanging="720"/>
        <w:rPr>
          <w:rFonts w:eastAsia="Times New Roman"/>
          <w:kern w:val="22"/>
          <w:lang w:val="es-ES"/>
        </w:rPr>
      </w:pPr>
      <w:r w:rsidRPr="008515EE">
        <w:rPr>
          <w:rFonts w:eastAsia="Times New Roman"/>
          <w:kern w:val="22"/>
          <w:lang w:val="es-ES"/>
        </w:rPr>
        <w:t>Las limitaciones de los métodos aplicados.</w:t>
      </w:r>
    </w:p>
    <w:p w:rsidR="000359C1" w:rsidRPr="008515EE" w:rsidRDefault="000359C1">
      <w:pPr>
        <w:keepNext/>
        <w:suppressLineNumbers/>
        <w:suppressAutoHyphens/>
        <w:spacing w:before="120" w:after="120"/>
        <w:rPr>
          <w:rFonts w:eastAsia="Times New Roman"/>
          <w:lang w:val="es-ES"/>
        </w:rPr>
      </w:pPr>
      <w:r w:rsidRPr="008515EE">
        <w:rPr>
          <w:rFonts w:eastAsia="Times New Roman"/>
          <w:b/>
          <w:bCs/>
          <w:kern w:val="22"/>
          <w:lang w:val="es-ES"/>
        </w:rPr>
        <w:t>Fase C: Examen y vigilancia</w:t>
      </w:r>
    </w:p>
    <w:p w:rsidR="000359C1" w:rsidRPr="008515EE" w:rsidRDefault="000359C1">
      <w:pPr>
        <w:numPr>
          <w:ilvl w:val="6"/>
          <w:numId w:val="36"/>
        </w:numPr>
        <w:suppressLineNumbers/>
        <w:tabs>
          <w:tab w:val="clear" w:pos="2520"/>
        </w:tabs>
        <w:suppressAutoHyphens/>
        <w:spacing w:before="120" w:after="120"/>
        <w:ind w:left="0" w:firstLine="0"/>
        <w:rPr>
          <w:rFonts w:eastAsia="Times New Roman"/>
          <w:kern w:val="22"/>
          <w:lang w:val="es-ES"/>
        </w:rPr>
      </w:pPr>
      <w:r w:rsidRPr="008515EE">
        <w:rPr>
          <w:rFonts w:eastAsia="Times New Roman"/>
          <w:kern w:val="22"/>
          <w:lang w:val="es-ES"/>
        </w:rPr>
        <w:t>En algunos aportes se indica que se han establecido mecanismos de revisión de las evaluaciones socioeconómicas que se aplican ante el surgimiento de información nueva u otros avances, por ejemplo, cambios en las políticas nacionales o en los objetivos de protección.</w:t>
      </w:r>
    </w:p>
    <w:p w:rsidR="000359C1" w:rsidRPr="008515EE" w:rsidRDefault="000359C1">
      <w:pPr>
        <w:jc w:val="center"/>
        <w:rPr>
          <w:rFonts w:eastAsia="Times New Roman"/>
          <w:kern w:val="22"/>
          <w:lang w:val="es-ES"/>
        </w:rPr>
      </w:pPr>
      <w:r w:rsidRPr="008515EE">
        <w:rPr>
          <w:rFonts w:eastAsia="Times New Roman"/>
          <w:kern w:val="22"/>
          <w:lang w:val="es-ES"/>
        </w:rPr>
        <w:t>__________</w:t>
      </w:r>
    </w:p>
    <w:sectPr w:rsidR="000359C1" w:rsidRPr="008515EE">
      <w:headerReference w:type="even" r:id="rId13"/>
      <w:headerReference w:type="default" r:id="rId14"/>
      <w:pgSz w:w="12240" w:h="15840" w:code="1"/>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064" w:rsidRDefault="00816064">
      <w:pPr>
        <w:rPr>
          <w:rFonts w:eastAsia="Times New Roman"/>
        </w:rPr>
      </w:pPr>
      <w:r>
        <w:rPr>
          <w:rFonts w:eastAsia="Times New Roman"/>
        </w:rPr>
        <w:separator/>
      </w:r>
    </w:p>
  </w:endnote>
  <w:endnote w:type="continuationSeparator" w:id="1">
    <w:p w:rsidR="00816064" w:rsidRDefault="00816064">
      <w:pPr>
        <w:rPr>
          <w:rFonts w:eastAsia="Times New Roman"/>
        </w:rPr>
      </w:pPr>
      <w:r>
        <w:rPr>
          <w:rFonts w:eastAsia="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064" w:rsidRDefault="00816064">
      <w:pPr>
        <w:rPr>
          <w:rFonts w:eastAsia="Times New Roman"/>
        </w:rPr>
      </w:pPr>
      <w:r>
        <w:rPr>
          <w:rFonts w:eastAsia="Times New Roman"/>
        </w:rPr>
        <w:separator/>
      </w:r>
    </w:p>
  </w:footnote>
  <w:footnote w:type="continuationSeparator" w:id="1">
    <w:p w:rsidR="00816064" w:rsidRDefault="00816064">
      <w:pPr>
        <w:rPr>
          <w:rFonts w:eastAsia="Times New Roman"/>
        </w:rPr>
      </w:pPr>
      <w:r>
        <w:rPr>
          <w:rFonts w:eastAsia="Times New Roman"/>
        </w:rPr>
        <w:continuationSeparator/>
      </w:r>
    </w:p>
  </w:footnote>
  <w:footnote w:id="2">
    <w:p w:rsidR="000359C1" w:rsidRPr="008515EE" w:rsidRDefault="000359C1">
      <w:pPr>
        <w:pStyle w:val="FootnoteText"/>
        <w:spacing w:after="0"/>
        <w:ind w:firstLine="0"/>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w:t>
      </w:r>
      <w:r w:rsidR="00800A6E" w:rsidRPr="008515EE">
        <w:rPr>
          <w:rFonts w:eastAsia="Times New Roman"/>
          <w:lang w:val="es-ES"/>
        </w:rPr>
        <w:t>Reproducida</w:t>
      </w:r>
      <w:r w:rsidRPr="008515EE">
        <w:rPr>
          <w:rFonts w:eastAsia="Times New Roman"/>
          <w:lang w:val="es-ES"/>
        </w:rPr>
        <w:t xml:space="preserve"> como documento de información para la décima reunión de la Conferencia de las Partes que actúa como reunión de las Partes en </w:t>
      </w:r>
      <w:r w:rsidR="00800A6E" w:rsidRPr="008515EE">
        <w:rPr>
          <w:rFonts w:eastAsia="Times New Roman"/>
          <w:lang w:val="es-ES"/>
        </w:rPr>
        <w:t>e</w:t>
      </w:r>
      <w:r w:rsidRPr="008515EE">
        <w:rPr>
          <w:rFonts w:eastAsia="Times New Roman"/>
          <w:lang w:val="es-ES"/>
        </w:rPr>
        <w:t xml:space="preserve">l Protocolo. </w:t>
      </w:r>
    </w:p>
  </w:footnote>
  <w:footnote w:id="3">
    <w:p w:rsidR="000359C1" w:rsidRPr="008515EE" w:rsidRDefault="000359C1">
      <w:pPr>
        <w:pStyle w:val="FootnoteText"/>
        <w:spacing w:after="0"/>
        <w:ind w:firstLine="0"/>
        <w:jc w:val="left"/>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Notificación 2019-031, enviada el 6 de marzo de 2019.</w:t>
      </w:r>
    </w:p>
  </w:footnote>
  <w:footnote w:id="4">
    <w:p w:rsidR="000359C1" w:rsidRPr="008515EE" w:rsidRDefault="000359C1">
      <w:pPr>
        <w:pStyle w:val="FootnoteText"/>
        <w:spacing w:after="0"/>
        <w:ind w:firstLine="0"/>
        <w:jc w:val="left"/>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Los aportes pueden consultarse en: </w:t>
      </w:r>
      <w:hyperlink r:id="rId1" w:history="1">
        <w:r w:rsidRPr="008515EE">
          <w:rPr>
            <w:rStyle w:val="Hyperlink"/>
            <w:rFonts w:eastAsia="Times New Roman"/>
            <w:lang w:val="es-ES"/>
          </w:rPr>
          <w:t>http://bch.cbd.int/onlineconferences/portal_art26/Submissions2019.shtml</w:t>
        </w:r>
      </w:hyperlink>
      <w:r w:rsidRPr="008515EE">
        <w:rPr>
          <w:rFonts w:eastAsia="Times New Roman"/>
          <w:kern w:val="18"/>
          <w:lang w:val="es-ES"/>
        </w:rPr>
        <w:t>.</w:t>
      </w:r>
    </w:p>
  </w:footnote>
  <w:footnote w:id="5">
    <w:p w:rsidR="000359C1" w:rsidRPr="008515EE" w:rsidRDefault="000359C1">
      <w:pPr>
        <w:pStyle w:val="FootnoteText"/>
        <w:spacing w:after="0"/>
        <w:ind w:firstLine="0"/>
        <w:jc w:val="left"/>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El foro en línea sobre consideraciones socioeconómicas está alojado en el CIISB en: </w:t>
      </w:r>
      <w:hyperlink r:id="rId2" w:history="1">
        <w:r w:rsidRPr="008515EE">
          <w:rPr>
            <w:rStyle w:val="Hyperlink"/>
            <w:rFonts w:eastAsia="Times New Roman"/>
            <w:lang w:val="es-ES"/>
          </w:rPr>
          <w:t>https://bch.cbd.int/onlineconferences/portal_art26/Forum2019.shtml</w:t>
        </w:r>
      </w:hyperlink>
      <w:r w:rsidRPr="008515EE">
        <w:rPr>
          <w:rFonts w:eastAsia="Times New Roman"/>
          <w:kern w:val="18"/>
          <w:lang w:val="es-ES"/>
        </w:rPr>
        <w:t>.</w:t>
      </w:r>
    </w:p>
  </w:footnote>
  <w:footnote w:id="6">
    <w:p w:rsidR="000359C1" w:rsidRPr="008515EE" w:rsidRDefault="000359C1">
      <w:pPr>
        <w:pStyle w:val="FootnoteText"/>
        <w:spacing w:after="0"/>
        <w:ind w:firstLine="0"/>
        <w:jc w:val="left"/>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Notificación 2019-031, enviada el 6 de marzo de 2019. La lista de participantes puede consultarse en: </w:t>
      </w:r>
      <w:hyperlink r:id="rId3" w:history="1">
        <w:r w:rsidRPr="008515EE">
          <w:rPr>
            <w:rStyle w:val="Hyperlink"/>
            <w:rFonts w:eastAsia="Times New Roman"/>
            <w:lang w:val="es-ES"/>
          </w:rPr>
          <w:t>http://bch.cbd.int/onlineconferences/portal_art26/participants.shtml</w:t>
        </w:r>
      </w:hyperlink>
      <w:r w:rsidRPr="008515EE">
        <w:rPr>
          <w:rFonts w:eastAsia="Times New Roman"/>
          <w:kern w:val="18"/>
          <w:lang w:val="es-ES"/>
        </w:rPr>
        <w:t>.</w:t>
      </w:r>
    </w:p>
  </w:footnote>
  <w:footnote w:id="7">
    <w:p w:rsidR="000359C1" w:rsidRPr="008515EE" w:rsidRDefault="000359C1">
      <w:pPr>
        <w:pStyle w:val="FootnoteText"/>
        <w:spacing w:after="0"/>
        <w:ind w:firstLine="0"/>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Expuestas en el documento CBD/CP/MOP/10/11, anexos II y III.</w:t>
      </w:r>
    </w:p>
  </w:footnote>
  <w:footnote w:id="8">
    <w:p w:rsidR="000359C1" w:rsidRPr="008515EE" w:rsidRDefault="000359C1">
      <w:pPr>
        <w:pStyle w:val="FootnoteText"/>
        <w:spacing w:after="0"/>
        <w:ind w:firstLine="0"/>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Reproducidas en el anexo II de la presente nota.</w:t>
      </w:r>
    </w:p>
  </w:footnote>
  <w:footnote w:id="9">
    <w:p w:rsidR="000359C1" w:rsidRPr="008515EE" w:rsidRDefault="000359C1">
      <w:pPr>
        <w:pStyle w:val="FootnoteText"/>
        <w:spacing w:after="0"/>
        <w:ind w:firstLine="0"/>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Reproducidas en el anexo III de la presente nota. </w:t>
      </w:r>
    </w:p>
  </w:footnote>
  <w:footnote w:id="10">
    <w:p w:rsidR="000359C1" w:rsidRPr="008515EE" w:rsidRDefault="000359C1">
      <w:pPr>
        <w:pStyle w:val="FootnoteText"/>
        <w:spacing w:after="0"/>
        <w:ind w:firstLine="0"/>
        <w:rPr>
          <w:rFonts w:eastAsia="Times New Roman"/>
          <w:lang w:val="es-ES"/>
        </w:rPr>
      </w:pPr>
      <w:r w:rsidRPr="008515EE">
        <w:rPr>
          <w:rStyle w:val="FootnoteReference"/>
          <w:rFonts w:eastAsia="Times New Roman"/>
          <w:sz w:val="18"/>
          <w:szCs w:val="18"/>
          <w:lang w:val="es-ES"/>
        </w:rPr>
        <w:footnoteRef/>
      </w:r>
      <w:r w:rsidRPr="008515EE">
        <w:rPr>
          <w:rFonts w:eastAsia="Times New Roman"/>
          <w:lang w:val="es-ES"/>
        </w:rPr>
        <w:t xml:space="preserve"> </w:t>
      </w:r>
      <w:r w:rsidR="00635239" w:rsidRPr="008515EE">
        <w:rPr>
          <w:rFonts w:eastAsia="Times New Roman"/>
          <w:lang w:val="es-ES"/>
        </w:rPr>
        <w:t>Reproducido</w:t>
      </w:r>
      <w:r w:rsidRPr="008515EE">
        <w:rPr>
          <w:rFonts w:eastAsia="Times New Roman"/>
          <w:lang w:val="es-ES"/>
        </w:rPr>
        <w:t xml:space="preserve"> en el anexo III de la presente nota.</w:t>
      </w:r>
    </w:p>
  </w:footnote>
  <w:footnote w:id="11">
    <w:p w:rsidR="000359C1" w:rsidRPr="008515EE" w:rsidRDefault="000359C1">
      <w:pPr>
        <w:pStyle w:val="FootnoteText"/>
        <w:suppressLineNumbers/>
        <w:suppressAutoHyphens/>
        <w:spacing w:after="0"/>
        <w:ind w:firstLine="0"/>
        <w:jc w:val="left"/>
        <w:rPr>
          <w:rFonts w:eastAsia="Times New Roman"/>
          <w:lang w:val="es-ES"/>
        </w:rPr>
      </w:pPr>
      <w:r w:rsidRPr="008515EE">
        <w:rPr>
          <w:rStyle w:val="FootnoteReference"/>
          <w:rFonts w:eastAsia="Times New Roman"/>
          <w:kern w:val="18"/>
          <w:sz w:val="18"/>
          <w:szCs w:val="18"/>
          <w:lang w:val="es-ES"/>
        </w:rPr>
        <w:footnoteRef/>
      </w:r>
      <w:r w:rsidRPr="008515EE">
        <w:rPr>
          <w:rFonts w:eastAsia="Times New Roman"/>
          <w:kern w:val="18"/>
          <w:lang w:val="es-ES"/>
        </w:rPr>
        <w:t xml:space="preserve"> </w:t>
      </w:r>
      <w:hyperlink r:id="rId4" w:history="1">
        <w:r w:rsidRPr="008515EE">
          <w:rPr>
            <w:rStyle w:val="Hyperlink"/>
            <w:rFonts w:eastAsia="Times New Roman"/>
            <w:kern w:val="18"/>
            <w:lang w:val="es-ES"/>
          </w:rPr>
          <w:t>http://bch.cbd.int/onlineconferences/portal_art26/Submissions2019.shtml</w:t>
        </w:r>
      </w:hyperlink>
      <w:r w:rsidRPr="008515EE">
        <w:rPr>
          <w:rFonts w:eastAsia="Times New Roman"/>
          <w:kern w:val="18"/>
          <w:lang w:val="es-ES"/>
        </w:rPr>
        <w:t>.</w:t>
      </w:r>
    </w:p>
  </w:footnote>
  <w:footnote w:id="12">
    <w:p w:rsidR="000359C1" w:rsidRPr="008515EE" w:rsidRDefault="000359C1">
      <w:pPr>
        <w:pStyle w:val="FootnoteText"/>
        <w:suppressLineNumbers/>
        <w:suppressAutoHyphens/>
        <w:spacing w:after="0"/>
        <w:ind w:firstLine="0"/>
        <w:jc w:val="left"/>
        <w:rPr>
          <w:rFonts w:eastAsia="Times New Roman"/>
          <w:lang w:val="es-ES"/>
        </w:rPr>
      </w:pPr>
      <w:r w:rsidRPr="008515EE">
        <w:rPr>
          <w:rStyle w:val="FootnoteReference"/>
          <w:rFonts w:eastAsia="Times New Roman"/>
          <w:kern w:val="18"/>
          <w:sz w:val="18"/>
          <w:szCs w:val="18"/>
          <w:lang w:val="es-ES"/>
        </w:rPr>
        <w:footnoteRef/>
      </w:r>
      <w:r w:rsidRPr="008515EE">
        <w:rPr>
          <w:rFonts w:eastAsia="Times New Roman"/>
          <w:kern w:val="18"/>
          <w:lang w:val="es-ES"/>
        </w:rPr>
        <w:t xml:space="preserve"> “Orientación para la evaluación de las consideraciones socioeconómicas en el contexto del artículo 26 del Protocolo de Cartagena sobre Seguridad de la Biotecnología” (CBD/CP/MOP/9/10, anexo).</w:t>
      </w:r>
    </w:p>
  </w:footnote>
  <w:footnote w:id="13">
    <w:p w:rsidR="000359C1" w:rsidRPr="008515EE" w:rsidRDefault="000359C1">
      <w:pPr>
        <w:pStyle w:val="FootnoteText"/>
        <w:suppressLineNumbers/>
        <w:suppressAutoHyphens/>
        <w:spacing w:after="0"/>
        <w:ind w:firstLine="0"/>
        <w:jc w:val="left"/>
        <w:rPr>
          <w:rFonts w:eastAsia="Times New Roman"/>
          <w:lang w:val="es-ES"/>
        </w:rPr>
      </w:pPr>
      <w:r w:rsidRPr="008515EE">
        <w:rPr>
          <w:rStyle w:val="FootnoteReference"/>
          <w:rFonts w:eastAsia="Times New Roman"/>
          <w:kern w:val="18"/>
          <w:sz w:val="18"/>
          <w:szCs w:val="18"/>
          <w:lang w:val="es-ES"/>
        </w:rPr>
        <w:footnoteRef/>
      </w:r>
      <w:r w:rsidRPr="008515EE">
        <w:rPr>
          <w:rFonts w:eastAsia="Times New Roman"/>
          <w:kern w:val="18"/>
          <w:lang w:val="es-ES"/>
        </w:rPr>
        <w:t xml:space="preserve"> El informe de los debates en línea está disponible como documento CBD/CP/SEC/AHTEG/2019/1/INF/1.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C1" w:rsidRDefault="000359C1">
    <w:pPr>
      <w:pStyle w:val="Header"/>
      <w:rPr>
        <w:rFonts w:eastAsia="Times New Roman"/>
        <w:lang/>
      </w:rPr>
    </w:pPr>
    <w:r>
      <w:rPr>
        <w:rFonts w:eastAsia="Times New Roman"/>
        <w:noProof/>
        <w:lang/>
      </w:rPr>
      <w:t>CBD/CP/MOP/10/11</w:t>
    </w:r>
  </w:p>
  <w:p w:rsidR="000359C1" w:rsidRDefault="000359C1">
    <w:pPr>
      <w:pStyle w:val="Header"/>
      <w:rPr>
        <w:rFonts w:eastAsia="Times New Roman"/>
        <w:lang/>
      </w:rPr>
    </w:pPr>
    <w:r>
      <w:rPr>
        <w:rFonts w:eastAsia="Times New Roman"/>
        <w:lang/>
      </w:rPr>
      <w:t xml:space="preserve">Página </w:t>
    </w:r>
    <w:r>
      <w:rPr>
        <w:rFonts w:eastAsia="Times New Roman"/>
        <w:lang/>
      </w:rPr>
      <w:fldChar w:fldCharType="begin"/>
    </w:r>
    <w:r>
      <w:rPr>
        <w:rFonts w:eastAsia="Times New Roman"/>
        <w:lang/>
      </w:rPr>
      <w:instrText xml:space="preserve"> PAGE   \* MERGEFORMAT </w:instrText>
    </w:r>
    <w:r>
      <w:rPr>
        <w:rFonts w:eastAsia="Times New Roman"/>
        <w:lang/>
      </w:rPr>
      <w:fldChar w:fldCharType="separate"/>
    </w:r>
    <w:r w:rsidR="008515EE" w:rsidRPr="008515EE">
      <w:rPr>
        <w:rFonts w:eastAsia="Times New Roman"/>
        <w:noProof/>
      </w:rPr>
      <w:t>2</w:t>
    </w:r>
    <w:r>
      <w:rPr>
        <w:rFonts w:eastAsia="Times New Roman"/>
        <w:lang/>
      </w:rPr>
      <w:fldChar w:fldCharType="end"/>
    </w:r>
  </w:p>
  <w:p w:rsidR="000359C1" w:rsidRDefault="000359C1">
    <w:pPr>
      <w:pStyle w:val="Header"/>
      <w:rPr>
        <w:rFonts w:eastAsia="Times New Roman"/>
        <w:lang/>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C1" w:rsidRDefault="000359C1">
    <w:pPr>
      <w:pStyle w:val="Header"/>
      <w:jc w:val="right"/>
      <w:rPr>
        <w:rFonts w:eastAsia="Times New Roman"/>
        <w:lang/>
      </w:rPr>
    </w:pPr>
    <w:r>
      <w:rPr>
        <w:rFonts w:eastAsia="Times New Roman"/>
        <w:noProof/>
        <w:lang/>
      </w:rPr>
      <w:t>CBD/CP/MOP/10/11</w:t>
    </w:r>
  </w:p>
  <w:p w:rsidR="000359C1" w:rsidRDefault="000359C1">
    <w:pPr>
      <w:pStyle w:val="Header"/>
      <w:jc w:val="right"/>
      <w:rPr>
        <w:rFonts w:eastAsia="Times New Roman"/>
        <w:lang/>
      </w:rPr>
    </w:pPr>
    <w:r>
      <w:rPr>
        <w:rFonts w:eastAsia="Times New Roman"/>
        <w:lang/>
      </w:rPr>
      <w:t xml:space="preserve">Página </w:t>
    </w:r>
    <w:r>
      <w:rPr>
        <w:rFonts w:eastAsia="Times New Roman"/>
        <w:lang/>
      </w:rPr>
      <w:fldChar w:fldCharType="begin"/>
    </w:r>
    <w:r>
      <w:rPr>
        <w:rFonts w:eastAsia="Times New Roman"/>
        <w:lang/>
      </w:rPr>
      <w:instrText xml:space="preserve"> PAGE   \* MERGEFORMAT </w:instrText>
    </w:r>
    <w:r>
      <w:rPr>
        <w:rFonts w:eastAsia="Times New Roman"/>
        <w:lang/>
      </w:rPr>
      <w:fldChar w:fldCharType="separate"/>
    </w:r>
    <w:r w:rsidR="008515EE" w:rsidRPr="008515EE">
      <w:rPr>
        <w:rFonts w:eastAsia="Times New Roman"/>
        <w:noProof/>
      </w:rPr>
      <w:t>11</w:t>
    </w:r>
    <w:r>
      <w:rPr>
        <w:rFonts w:eastAsia="Times New Roman"/>
        <w:lang/>
      </w:rPr>
      <w:fldChar w:fldCharType="end"/>
    </w:r>
  </w:p>
  <w:p w:rsidR="000359C1" w:rsidRDefault="000359C1">
    <w:pPr>
      <w:pStyle w:val="Header"/>
      <w:rPr>
        <w:rFonts w:eastAsia="Times New Roman"/>
        <w:lan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1855"/>
    <w:multiLevelType w:val="hybridMultilevel"/>
    <w:tmpl w:val="15CA4350"/>
    <w:lvl w:ilvl="0" w:tplc="C358B9DC">
      <w:start w:val="1"/>
      <w:numFmt w:val="lowerLetter"/>
      <w:lvlText w:val="%1)"/>
      <w:lvlJc w:val="left"/>
      <w:pPr>
        <w:tabs>
          <w:tab w:val="num" w:pos="0"/>
        </w:tabs>
        <w:ind w:left="720" w:hanging="360"/>
      </w:pPr>
      <w:rPr>
        <w:rFonts w:hint="default"/>
        <w:b w:val="0"/>
        <w:bCs w:val="0"/>
        <w:i w:val="0"/>
        <w:iCs w:val="0"/>
        <w:caps w:val="0"/>
        <w:strike w:val="0"/>
        <w:dstrike w:val="0"/>
        <w:vanish w:val="0"/>
        <w:color w:val="auto"/>
        <w:sz w:val="22"/>
        <w:szCs w:val="22"/>
        <w:vertAlign w:val="baseline"/>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BD92CFE"/>
    <w:multiLevelType w:val="hybridMultilevel"/>
    <w:tmpl w:val="77904A40"/>
    <w:lvl w:ilvl="0" w:tplc="C358B9DC">
      <w:start w:val="1"/>
      <w:numFmt w:val="lowerLetter"/>
      <w:lvlText w:val="%1)"/>
      <w:lvlJc w:val="left"/>
      <w:pPr>
        <w:tabs>
          <w:tab w:val="num" w:pos="0"/>
        </w:tabs>
        <w:ind w:left="72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0C135991"/>
    <w:multiLevelType w:val="multilevel"/>
    <w:tmpl w:val="556A266A"/>
    <w:lvl w:ilvl="0">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CCF138A"/>
    <w:multiLevelType w:val="hybridMultilevel"/>
    <w:tmpl w:val="456EEF8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0D150F30"/>
    <w:multiLevelType w:val="multilevel"/>
    <w:tmpl w:val="4E18595C"/>
    <w:lvl w:ilvl="0">
      <w:start w:val="1"/>
      <w:numFmt w:val="decimal"/>
      <w:lvlText w:val="%1."/>
      <w:lvlJc w:val="left"/>
      <w:pPr>
        <w:tabs>
          <w:tab w:val="num" w:pos="3240"/>
        </w:tabs>
        <w:ind w:left="3240" w:hanging="360"/>
      </w:pPr>
      <w:rPr>
        <w:b w:val="0"/>
        <w:bCs w:val="0"/>
        <w:i w:val="0"/>
        <w:iCs w:val="0"/>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pPr>
      <w:rPr>
        <w:rFonts w:hint="default"/>
      </w:r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7">
    <w:nsid w:val="0D38445D"/>
    <w:multiLevelType w:val="hybridMultilevel"/>
    <w:tmpl w:val="14A45FD6"/>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nsid w:val="1DB60366"/>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3E2531B"/>
    <w:multiLevelType w:val="multilevel"/>
    <w:tmpl w:val="556A266A"/>
    <w:lvl w:ilvl="0">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2">
    <w:nsid w:val="359541C8"/>
    <w:multiLevelType w:val="multilevel"/>
    <w:tmpl w:val="556A266A"/>
    <w:lvl w:ilvl="0">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7C24E58"/>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8A42CDE"/>
    <w:multiLevelType w:val="hybridMultilevel"/>
    <w:tmpl w:val="DB96A1D4"/>
    <w:lvl w:ilvl="0" w:tplc="4BFC5A32">
      <w:start w:val="1"/>
      <w:numFmt w:val="lowerLetter"/>
      <w:lvlText w:val="(%1)"/>
      <w:lvlJc w:val="left"/>
      <w:pPr>
        <w:ind w:left="1134" w:hanging="360"/>
      </w:pPr>
      <w:rPr>
        <w:rFonts w:hint="default"/>
      </w:rPr>
    </w:lvl>
    <w:lvl w:ilvl="1" w:tplc="08090019">
      <w:start w:val="1"/>
      <w:numFmt w:val="lowerLetter"/>
      <w:lvlText w:val="%2."/>
      <w:lvlJc w:val="left"/>
      <w:pPr>
        <w:ind w:left="1854" w:hanging="360"/>
      </w:pPr>
    </w:lvl>
    <w:lvl w:ilvl="2" w:tplc="0809001B">
      <w:start w:val="1"/>
      <w:numFmt w:val="lowerRoman"/>
      <w:lvlText w:val="%3."/>
      <w:lvlJc w:val="right"/>
      <w:pPr>
        <w:ind w:left="2574" w:hanging="180"/>
      </w:pPr>
    </w:lvl>
    <w:lvl w:ilvl="3" w:tplc="0809000F">
      <w:start w:val="1"/>
      <w:numFmt w:val="decimal"/>
      <w:lvlText w:val="%4."/>
      <w:lvlJc w:val="left"/>
      <w:pPr>
        <w:ind w:left="3294" w:hanging="360"/>
      </w:pPr>
    </w:lvl>
    <w:lvl w:ilvl="4" w:tplc="08090019">
      <w:start w:val="1"/>
      <w:numFmt w:val="lowerLetter"/>
      <w:lvlText w:val="%5."/>
      <w:lvlJc w:val="left"/>
      <w:pPr>
        <w:ind w:left="4014" w:hanging="360"/>
      </w:pPr>
    </w:lvl>
    <w:lvl w:ilvl="5" w:tplc="0809001B">
      <w:start w:val="1"/>
      <w:numFmt w:val="lowerRoman"/>
      <w:lvlText w:val="%6."/>
      <w:lvlJc w:val="right"/>
      <w:pPr>
        <w:ind w:left="4734" w:hanging="180"/>
      </w:pPr>
    </w:lvl>
    <w:lvl w:ilvl="6" w:tplc="0809000F">
      <w:start w:val="1"/>
      <w:numFmt w:val="decimal"/>
      <w:lvlText w:val="%7."/>
      <w:lvlJc w:val="left"/>
      <w:pPr>
        <w:ind w:left="5454" w:hanging="360"/>
      </w:pPr>
    </w:lvl>
    <w:lvl w:ilvl="7" w:tplc="08090019">
      <w:start w:val="1"/>
      <w:numFmt w:val="lowerLetter"/>
      <w:lvlText w:val="%8."/>
      <w:lvlJc w:val="left"/>
      <w:pPr>
        <w:ind w:left="6174" w:hanging="360"/>
      </w:pPr>
    </w:lvl>
    <w:lvl w:ilvl="8" w:tplc="0809001B">
      <w:start w:val="1"/>
      <w:numFmt w:val="lowerRoman"/>
      <w:lvlText w:val="%9."/>
      <w:lvlJc w:val="right"/>
      <w:pPr>
        <w:ind w:left="6894" w:hanging="180"/>
      </w:pPr>
    </w:lvl>
  </w:abstractNum>
  <w:abstractNum w:abstractNumId="15">
    <w:nsid w:val="3C303CFA"/>
    <w:multiLevelType w:val="hybridMultilevel"/>
    <w:tmpl w:val="EDECF69C"/>
    <w:lvl w:ilvl="0" w:tplc="10090001">
      <w:start w:val="1"/>
      <w:numFmt w:val="bullet"/>
      <w:lvlText w:val=""/>
      <w:lvlJc w:val="left"/>
      <w:pPr>
        <w:ind w:left="775" w:hanging="360"/>
      </w:pPr>
      <w:rPr>
        <w:rFonts w:ascii="Symbol" w:hAnsi="Symbol" w:cs="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6">
    <w:nsid w:val="421C65D1"/>
    <w:multiLevelType w:val="multilevel"/>
    <w:tmpl w:val="B59CD9DE"/>
    <w:lvl w:ilvl="0">
      <w:start w:val="14"/>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080"/>
        </w:tabs>
        <w:ind w:firstLine="720"/>
      </w:pPr>
      <w:rPr>
        <w:rFonts w:hint="default"/>
        <w:b w:val="0"/>
        <w:bCs w:val="0"/>
        <w:i w:val="0"/>
        <w:iCs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8">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BF66062"/>
    <w:multiLevelType w:val="hybridMultilevel"/>
    <w:tmpl w:val="DBACFAFE"/>
    <w:lvl w:ilvl="0" w:tplc="C358B9DC">
      <w:start w:val="1"/>
      <w:numFmt w:val="lowerLetter"/>
      <w:lvlText w:val="%1)"/>
      <w:lvlJc w:val="left"/>
      <w:pPr>
        <w:tabs>
          <w:tab w:val="num" w:pos="0"/>
        </w:tabs>
        <w:ind w:left="72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E45680C"/>
    <w:multiLevelType w:val="hybridMultilevel"/>
    <w:tmpl w:val="B61CEEDE"/>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nsid w:val="53047C5A"/>
    <w:multiLevelType w:val="hybridMultilevel"/>
    <w:tmpl w:val="556A266A"/>
    <w:lvl w:ilvl="0" w:tplc="CEE4876E">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nsid w:val="57D310DE"/>
    <w:multiLevelType w:val="hybridMultilevel"/>
    <w:tmpl w:val="556A266A"/>
    <w:lvl w:ilvl="0" w:tplc="CEE4876E">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C975246"/>
    <w:multiLevelType w:val="hybridMultilevel"/>
    <w:tmpl w:val="E48A32E8"/>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353408E"/>
    <w:multiLevelType w:val="hybridMultilevel"/>
    <w:tmpl w:val="9A7275DE"/>
    <w:lvl w:ilvl="0" w:tplc="C358B9DC">
      <w:start w:val="1"/>
      <w:numFmt w:val="lowerLetter"/>
      <w:lvlText w:val="%1)"/>
      <w:lvlJc w:val="left"/>
      <w:pPr>
        <w:tabs>
          <w:tab w:val="num" w:pos="0"/>
        </w:tabs>
        <w:ind w:left="72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nsid w:val="669947B8"/>
    <w:multiLevelType w:val="hybridMultilevel"/>
    <w:tmpl w:val="7C6E1AD8"/>
    <w:lvl w:ilvl="0" w:tplc="545242D0">
      <w:start w:val="7"/>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29">
    <w:nsid w:val="669C3866"/>
    <w:multiLevelType w:val="multilevel"/>
    <w:tmpl w:val="B59CD9DE"/>
    <w:lvl w:ilvl="0">
      <w:start w:val="14"/>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080"/>
        </w:tabs>
        <w:ind w:firstLine="720"/>
      </w:pPr>
      <w:rPr>
        <w:rFonts w:hint="default"/>
        <w:b w:val="0"/>
        <w:bCs w:val="0"/>
        <w:i w:val="0"/>
        <w:iCs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6E2E245A"/>
    <w:multiLevelType w:val="hybridMultilevel"/>
    <w:tmpl w:val="8B46A5C2"/>
    <w:lvl w:ilvl="0" w:tplc="10090001">
      <w:start w:val="1"/>
      <w:numFmt w:val="bullet"/>
      <w:lvlText w:val=""/>
      <w:lvlJc w:val="left"/>
      <w:pPr>
        <w:ind w:left="720" w:hanging="360"/>
      </w:pPr>
      <w:rPr>
        <w:rFonts w:ascii="Symbol" w:hAnsi="Symbol" w:cs="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31">
    <w:nsid w:val="6E895D50"/>
    <w:multiLevelType w:val="multilevel"/>
    <w:tmpl w:val="556A266A"/>
    <w:lvl w:ilvl="0">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33">
    <w:nsid w:val="6EE23244"/>
    <w:multiLevelType w:val="multilevel"/>
    <w:tmpl w:val="B59CD9DE"/>
    <w:lvl w:ilvl="0">
      <w:start w:val="14"/>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080"/>
        </w:tabs>
        <w:ind w:firstLine="720"/>
      </w:pPr>
      <w:rPr>
        <w:rFonts w:hint="default"/>
        <w:b w:val="0"/>
        <w:bCs w:val="0"/>
        <w:i w:val="0"/>
        <w:iCs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7466309C"/>
    <w:multiLevelType w:val="hybridMultilevel"/>
    <w:tmpl w:val="556A266A"/>
    <w:lvl w:ilvl="0" w:tplc="CEE4876E">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6">
    <w:nsid w:val="7B617DFD"/>
    <w:multiLevelType w:val="hybridMultilevel"/>
    <w:tmpl w:val="171CD0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1"/>
  </w:num>
  <w:num w:numId="2">
    <w:abstractNumId w:val="20"/>
  </w:num>
  <w:num w:numId="3">
    <w:abstractNumId w:val="17"/>
  </w:num>
  <w:num w:numId="4">
    <w:abstractNumId w:val="20"/>
  </w:num>
  <w:num w:numId="5">
    <w:abstractNumId w:val="18"/>
  </w:num>
  <w:num w:numId="6">
    <w:abstractNumId w:val="1"/>
  </w:num>
  <w:num w:numId="7">
    <w:abstractNumId w:val="8"/>
  </w:num>
  <w:num w:numId="8">
    <w:abstractNumId w:val="17"/>
    <w:lvlOverride w:ilvl="0">
      <w:startOverride w:val="1"/>
    </w:lvlOverride>
  </w:num>
  <w:num w:numId="9">
    <w:abstractNumId w:val="32"/>
  </w:num>
  <w:num w:numId="10">
    <w:abstractNumId w:val="17"/>
    <w:lvlOverride w:ilvl="0">
      <w:startOverride w:val="1"/>
    </w:lvlOverride>
  </w:num>
  <w:num w:numId="11">
    <w:abstractNumId w:val="17"/>
    <w:lvlOverride w:ilvl="0">
      <w:startOverride w:val="1"/>
    </w:lvlOverride>
  </w:num>
  <w:num w:numId="12">
    <w:abstractNumId w:val="17"/>
    <w:lvlOverride w:ilvl="0">
      <w:startOverride w:val="1"/>
    </w:lvlOverride>
  </w:num>
  <w:num w:numId="13">
    <w:abstractNumId w:val="17"/>
    <w:lvlOverride w:ilvl="0">
      <w:startOverride w:val="1"/>
    </w:lvlOverride>
  </w:num>
  <w:num w:numId="14">
    <w:abstractNumId w:val="26"/>
  </w:num>
  <w:num w:numId="15">
    <w:abstractNumId w:val="24"/>
  </w:num>
  <w:num w:numId="16">
    <w:abstractNumId w:val="2"/>
  </w:num>
  <w:num w:numId="17">
    <w:abstractNumId w:val="34"/>
  </w:num>
  <w:num w:numId="18">
    <w:abstractNumId w:val="36"/>
  </w:num>
  <w:num w:numId="19">
    <w:abstractNumId w:val="5"/>
  </w:num>
  <w:num w:numId="20">
    <w:abstractNumId w:val="13"/>
  </w:num>
  <w:num w:numId="21">
    <w:abstractNumId w:val="9"/>
  </w:num>
  <w:num w:numId="22">
    <w:abstractNumId w:val="7"/>
  </w:num>
  <w:num w:numId="23">
    <w:abstractNumId w:val="33"/>
  </w:num>
  <w:num w:numId="24">
    <w:abstractNumId w:val="25"/>
  </w:num>
  <w:num w:numId="25">
    <w:abstractNumId w:val="15"/>
  </w:num>
  <w:num w:numId="26">
    <w:abstractNumId w:val="30"/>
  </w:num>
  <w:num w:numId="27">
    <w:abstractNumId w:val="14"/>
  </w:num>
  <w:num w:numId="28">
    <w:abstractNumId w:val="21"/>
  </w:num>
  <w:num w:numId="2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23"/>
  </w:num>
  <w:num w:numId="32">
    <w:abstractNumId w:val="35"/>
  </w:num>
  <w:num w:numId="33">
    <w:abstractNumId w:val="22"/>
  </w:num>
  <w:num w:numId="34">
    <w:abstractNumId w:val="28"/>
  </w:num>
  <w:num w:numId="35">
    <w:abstractNumId w:val="6"/>
  </w:num>
  <w:num w:numId="36">
    <w:abstractNumId w:val="29"/>
  </w:num>
  <w:num w:numId="37">
    <w:abstractNumId w:val="16"/>
  </w:num>
  <w:num w:numId="38">
    <w:abstractNumId w:val="31"/>
  </w:num>
  <w:num w:numId="39">
    <w:abstractNumId w:val="4"/>
  </w:num>
  <w:num w:numId="40">
    <w:abstractNumId w:val="19"/>
  </w:num>
  <w:num w:numId="41">
    <w:abstractNumId w:val="10"/>
  </w:num>
  <w:num w:numId="42">
    <w:abstractNumId w:val="3"/>
  </w:num>
  <w:num w:numId="43">
    <w:abstractNumId w:val="12"/>
  </w:num>
  <w:num w:numId="4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doNotHyphenateCaps/>
  <w:evenAndOddHeaders/>
  <w:characterSpacingControl w:val="doNotCompress"/>
  <w:doNotValidateAgainstSchema/>
  <w:doNotDemarcateInvalidXml/>
  <w:footnotePr>
    <w:footnote w:id="0"/>
    <w:footnote w:id="1"/>
  </w:footnotePr>
  <w:endnotePr>
    <w:endnote w:id="0"/>
    <w:endnote w:id="1"/>
  </w:endnotePr>
  <w:compat/>
  <w:rsids>
    <w:rsidRoot w:val="00C9161D"/>
    <w:rsid w:val="00000397"/>
    <w:rsid w:val="00002172"/>
    <w:rsid w:val="00006E37"/>
    <w:rsid w:val="00015E40"/>
    <w:rsid w:val="00020115"/>
    <w:rsid w:val="00025276"/>
    <w:rsid w:val="0003017C"/>
    <w:rsid w:val="00031D86"/>
    <w:rsid w:val="00032FD5"/>
    <w:rsid w:val="000359C1"/>
    <w:rsid w:val="00037DE2"/>
    <w:rsid w:val="00044088"/>
    <w:rsid w:val="00054C57"/>
    <w:rsid w:val="00055DD0"/>
    <w:rsid w:val="000614E0"/>
    <w:rsid w:val="00065897"/>
    <w:rsid w:val="0007171B"/>
    <w:rsid w:val="000724D8"/>
    <w:rsid w:val="00076131"/>
    <w:rsid w:val="00076400"/>
    <w:rsid w:val="00076AAD"/>
    <w:rsid w:val="00080574"/>
    <w:rsid w:val="000866CD"/>
    <w:rsid w:val="000933A7"/>
    <w:rsid w:val="00096DDC"/>
    <w:rsid w:val="0009763C"/>
    <w:rsid w:val="00097F9F"/>
    <w:rsid w:val="000A3BBC"/>
    <w:rsid w:val="000C1B48"/>
    <w:rsid w:val="000C4A34"/>
    <w:rsid w:val="000C507E"/>
    <w:rsid w:val="000C59AA"/>
    <w:rsid w:val="000C7665"/>
    <w:rsid w:val="000C79A5"/>
    <w:rsid w:val="000D4CA0"/>
    <w:rsid w:val="000D5B6B"/>
    <w:rsid w:val="000D7649"/>
    <w:rsid w:val="000D7EA7"/>
    <w:rsid w:val="000E5261"/>
    <w:rsid w:val="000E673A"/>
    <w:rsid w:val="000F1496"/>
    <w:rsid w:val="000F1B58"/>
    <w:rsid w:val="000F3F24"/>
    <w:rsid w:val="000F43A5"/>
    <w:rsid w:val="000F561E"/>
    <w:rsid w:val="000F5A5C"/>
    <w:rsid w:val="000F6A8D"/>
    <w:rsid w:val="000F74F5"/>
    <w:rsid w:val="000F7924"/>
    <w:rsid w:val="00100F37"/>
    <w:rsid w:val="00102AEF"/>
    <w:rsid w:val="00104B8F"/>
    <w:rsid w:val="00105372"/>
    <w:rsid w:val="00105F66"/>
    <w:rsid w:val="00106DE8"/>
    <w:rsid w:val="00107EBD"/>
    <w:rsid w:val="00112FAC"/>
    <w:rsid w:val="0011302A"/>
    <w:rsid w:val="001136F3"/>
    <w:rsid w:val="001141B2"/>
    <w:rsid w:val="001141FD"/>
    <w:rsid w:val="00120118"/>
    <w:rsid w:val="00121F4B"/>
    <w:rsid w:val="0012474A"/>
    <w:rsid w:val="001312AD"/>
    <w:rsid w:val="00131B97"/>
    <w:rsid w:val="00131E7A"/>
    <w:rsid w:val="00134846"/>
    <w:rsid w:val="00136037"/>
    <w:rsid w:val="00146990"/>
    <w:rsid w:val="00146DC0"/>
    <w:rsid w:val="001514BB"/>
    <w:rsid w:val="00151766"/>
    <w:rsid w:val="00153D5D"/>
    <w:rsid w:val="00161044"/>
    <w:rsid w:val="0016119F"/>
    <w:rsid w:val="00161B9B"/>
    <w:rsid w:val="00165742"/>
    <w:rsid w:val="00167B0D"/>
    <w:rsid w:val="0017181B"/>
    <w:rsid w:val="00172AF6"/>
    <w:rsid w:val="00176CEE"/>
    <w:rsid w:val="00180D89"/>
    <w:rsid w:val="001868A4"/>
    <w:rsid w:val="00186DD8"/>
    <w:rsid w:val="00192560"/>
    <w:rsid w:val="001A7146"/>
    <w:rsid w:val="001B13FE"/>
    <w:rsid w:val="001B4028"/>
    <w:rsid w:val="001C39D4"/>
    <w:rsid w:val="001C3F4E"/>
    <w:rsid w:val="001D405C"/>
    <w:rsid w:val="001E17FC"/>
    <w:rsid w:val="001E3A02"/>
    <w:rsid w:val="001E70E4"/>
    <w:rsid w:val="00201B73"/>
    <w:rsid w:val="00205E8D"/>
    <w:rsid w:val="00205EC0"/>
    <w:rsid w:val="00213131"/>
    <w:rsid w:val="00215465"/>
    <w:rsid w:val="002171AC"/>
    <w:rsid w:val="0022519D"/>
    <w:rsid w:val="00225251"/>
    <w:rsid w:val="0022613A"/>
    <w:rsid w:val="00230071"/>
    <w:rsid w:val="00231E2A"/>
    <w:rsid w:val="002430B8"/>
    <w:rsid w:val="00246A7D"/>
    <w:rsid w:val="002470B3"/>
    <w:rsid w:val="00252B74"/>
    <w:rsid w:val="0025625C"/>
    <w:rsid w:val="00263ADC"/>
    <w:rsid w:val="002770EA"/>
    <w:rsid w:val="00283156"/>
    <w:rsid w:val="00286826"/>
    <w:rsid w:val="002876F3"/>
    <w:rsid w:val="00290984"/>
    <w:rsid w:val="00295361"/>
    <w:rsid w:val="002A3844"/>
    <w:rsid w:val="002A3AEB"/>
    <w:rsid w:val="002B1750"/>
    <w:rsid w:val="002B246E"/>
    <w:rsid w:val="002B5AAE"/>
    <w:rsid w:val="002C5093"/>
    <w:rsid w:val="002C5FE0"/>
    <w:rsid w:val="002C756C"/>
    <w:rsid w:val="002D6C50"/>
    <w:rsid w:val="002D7BF1"/>
    <w:rsid w:val="002E246E"/>
    <w:rsid w:val="002E50BD"/>
    <w:rsid w:val="002E7F44"/>
    <w:rsid w:val="002F2014"/>
    <w:rsid w:val="002F7A5E"/>
    <w:rsid w:val="0030169D"/>
    <w:rsid w:val="00301BBF"/>
    <w:rsid w:val="00303951"/>
    <w:rsid w:val="00305996"/>
    <w:rsid w:val="003060EB"/>
    <w:rsid w:val="0031114F"/>
    <w:rsid w:val="00311E95"/>
    <w:rsid w:val="003153EB"/>
    <w:rsid w:val="00321985"/>
    <w:rsid w:val="00332EF3"/>
    <w:rsid w:val="003335BC"/>
    <w:rsid w:val="00334878"/>
    <w:rsid w:val="00335C2D"/>
    <w:rsid w:val="0034047D"/>
    <w:rsid w:val="0034323F"/>
    <w:rsid w:val="0034364A"/>
    <w:rsid w:val="00344664"/>
    <w:rsid w:val="00344FAC"/>
    <w:rsid w:val="00351205"/>
    <w:rsid w:val="00352B9F"/>
    <w:rsid w:val="00353467"/>
    <w:rsid w:val="00353C5A"/>
    <w:rsid w:val="00360FF5"/>
    <w:rsid w:val="00372F74"/>
    <w:rsid w:val="00382F0C"/>
    <w:rsid w:val="00387B00"/>
    <w:rsid w:val="00392609"/>
    <w:rsid w:val="003928F9"/>
    <w:rsid w:val="00392A0A"/>
    <w:rsid w:val="003A14EE"/>
    <w:rsid w:val="003A2255"/>
    <w:rsid w:val="003A2844"/>
    <w:rsid w:val="003A6360"/>
    <w:rsid w:val="003B0DAD"/>
    <w:rsid w:val="003B210A"/>
    <w:rsid w:val="003C07D9"/>
    <w:rsid w:val="003C0F6E"/>
    <w:rsid w:val="003C23B6"/>
    <w:rsid w:val="003C2B85"/>
    <w:rsid w:val="003C75F8"/>
    <w:rsid w:val="003D73C1"/>
    <w:rsid w:val="003F33BA"/>
    <w:rsid w:val="003F6F06"/>
    <w:rsid w:val="003F7224"/>
    <w:rsid w:val="00402127"/>
    <w:rsid w:val="00412DD2"/>
    <w:rsid w:val="0041694E"/>
    <w:rsid w:val="00423A4B"/>
    <w:rsid w:val="00426F77"/>
    <w:rsid w:val="00427D21"/>
    <w:rsid w:val="0043210B"/>
    <w:rsid w:val="004326B4"/>
    <w:rsid w:val="00444A57"/>
    <w:rsid w:val="00444D97"/>
    <w:rsid w:val="004463A6"/>
    <w:rsid w:val="00453A3B"/>
    <w:rsid w:val="004618F9"/>
    <w:rsid w:val="004641CF"/>
    <w:rsid w:val="004644C2"/>
    <w:rsid w:val="00465306"/>
    <w:rsid w:val="00466BCA"/>
    <w:rsid w:val="004673CB"/>
    <w:rsid w:val="00467F9C"/>
    <w:rsid w:val="00475506"/>
    <w:rsid w:val="004778C1"/>
    <w:rsid w:val="00482B39"/>
    <w:rsid w:val="004849DC"/>
    <w:rsid w:val="00484F82"/>
    <w:rsid w:val="00491C39"/>
    <w:rsid w:val="004B6204"/>
    <w:rsid w:val="004C105D"/>
    <w:rsid w:val="004C1BBA"/>
    <w:rsid w:val="004C2182"/>
    <w:rsid w:val="004C4F0F"/>
    <w:rsid w:val="004C5E54"/>
    <w:rsid w:val="004C6AC9"/>
    <w:rsid w:val="004D20B4"/>
    <w:rsid w:val="004D26F7"/>
    <w:rsid w:val="004E04B3"/>
    <w:rsid w:val="004E2886"/>
    <w:rsid w:val="004E499B"/>
    <w:rsid w:val="004E64B4"/>
    <w:rsid w:val="004F76D7"/>
    <w:rsid w:val="005046D4"/>
    <w:rsid w:val="00510547"/>
    <w:rsid w:val="00511BF1"/>
    <w:rsid w:val="00512480"/>
    <w:rsid w:val="00516829"/>
    <w:rsid w:val="00534681"/>
    <w:rsid w:val="00541359"/>
    <w:rsid w:val="005413F7"/>
    <w:rsid w:val="005435E9"/>
    <w:rsid w:val="005437B2"/>
    <w:rsid w:val="005449E6"/>
    <w:rsid w:val="00550690"/>
    <w:rsid w:val="00557AF5"/>
    <w:rsid w:val="00562342"/>
    <w:rsid w:val="00562EAB"/>
    <w:rsid w:val="00563442"/>
    <w:rsid w:val="00565B42"/>
    <w:rsid w:val="00566838"/>
    <w:rsid w:val="00575C3B"/>
    <w:rsid w:val="0057738A"/>
    <w:rsid w:val="0059151E"/>
    <w:rsid w:val="005A07B4"/>
    <w:rsid w:val="005A3524"/>
    <w:rsid w:val="005B47F9"/>
    <w:rsid w:val="005B736E"/>
    <w:rsid w:val="005C4CE6"/>
    <w:rsid w:val="005C6F79"/>
    <w:rsid w:val="005D45A7"/>
    <w:rsid w:val="005F08E4"/>
    <w:rsid w:val="005F155D"/>
    <w:rsid w:val="005F268A"/>
    <w:rsid w:val="005F358F"/>
    <w:rsid w:val="005F3598"/>
    <w:rsid w:val="006051DF"/>
    <w:rsid w:val="006122BA"/>
    <w:rsid w:val="006126BD"/>
    <w:rsid w:val="00613792"/>
    <w:rsid w:val="00614F00"/>
    <w:rsid w:val="0061776F"/>
    <w:rsid w:val="00624995"/>
    <w:rsid w:val="00634E75"/>
    <w:rsid w:val="00635239"/>
    <w:rsid w:val="00635468"/>
    <w:rsid w:val="00635C58"/>
    <w:rsid w:val="00636D75"/>
    <w:rsid w:val="00644171"/>
    <w:rsid w:val="00654342"/>
    <w:rsid w:val="0065505A"/>
    <w:rsid w:val="00655651"/>
    <w:rsid w:val="006563B3"/>
    <w:rsid w:val="00656EF8"/>
    <w:rsid w:val="00657410"/>
    <w:rsid w:val="006631FF"/>
    <w:rsid w:val="00664DE0"/>
    <w:rsid w:val="006650DC"/>
    <w:rsid w:val="00665727"/>
    <w:rsid w:val="00672435"/>
    <w:rsid w:val="00674A3E"/>
    <w:rsid w:val="00676124"/>
    <w:rsid w:val="00677C56"/>
    <w:rsid w:val="00683299"/>
    <w:rsid w:val="00684F40"/>
    <w:rsid w:val="006A324A"/>
    <w:rsid w:val="006A6425"/>
    <w:rsid w:val="006B2290"/>
    <w:rsid w:val="006B2F31"/>
    <w:rsid w:val="006B4DDE"/>
    <w:rsid w:val="006B547B"/>
    <w:rsid w:val="006B7663"/>
    <w:rsid w:val="006C3FB4"/>
    <w:rsid w:val="006C3FD5"/>
    <w:rsid w:val="006C5F96"/>
    <w:rsid w:val="006C79F8"/>
    <w:rsid w:val="006D1FF0"/>
    <w:rsid w:val="006D4175"/>
    <w:rsid w:val="006D6B66"/>
    <w:rsid w:val="006E18D3"/>
    <w:rsid w:val="006E6483"/>
    <w:rsid w:val="006E7535"/>
    <w:rsid w:val="006E7C61"/>
    <w:rsid w:val="006F0830"/>
    <w:rsid w:val="006F22C4"/>
    <w:rsid w:val="00700694"/>
    <w:rsid w:val="00700849"/>
    <w:rsid w:val="007043DC"/>
    <w:rsid w:val="00715E57"/>
    <w:rsid w:val="00715F26"/>
    <w:rsid w:val="00717D88"/>
    <w:rsid w:val="00724171"/>
    <w:rsid w:val="00734E93"/>
    <w:rsid w:val="00736358"/>
    <w:rsid w:val="00740D8D"/>
    <w:rsid w:val="007464F5"/>
    <w:rsid w:val="00747C33"/>
    <w:rsid w:val="00753F11"/>
    <w:rsid w:val="00756455"/>
    <w:rsid w:val="00757427"/>
    <w:rsid w:val="007630F6"/>
    <w:rsid w:val="007672F7"/>
    <w:rsid w:val="00772992"/>
    <w:rsid w:val="00776256"/>
    <w:rsid w:val="00780473"/>
    <w:rsid w:val="00780A16"/>
    <w:rsid w:val="0078390E"/>
    <w:rsid w:val="0078516A"/>
    <w:rsid w:val="0078581B"/>
    <w:rsid w:val="00786056"/>
    <w:rsid w:val="007927C9"/>
    <w:rsid w:val="007940C4"/>
    <w:rsid w:val="007942D3"/>
    <w:rsid w:val="007A1B63"/>
    <w:rsid w:val="007A2200"/>
    <w:rsid w:val="007A5C20"/>
    <w:rsid w:val="007A6F88"/>
    <w:rsid w:val="007A75D3"/>
    <w:rsid w:val="007A76E2"/>
    <w:rsid w:val="007B107A"/>
    <w:rsid w:val="007B2099"/>
    <w:rsid w:val="007B6C09"/>
    <w:rsid w:val="007B7741"/>
    <w:rsid w:val="007C0F04"/>
    <w:rsid w:val="007C1CFA"/>
    <w:rsid w:val="007C2C08"/>
    <w:rsid w:val="007C6B69"/>
    <w:rsid w:val="007D00C1"/>
    <w:rsid w:val="007D18C5"/>
    <w:rsid w:val="007D613C"/>
    <w:rsid w:val="007E09DA"/>
    <w:rsid w:val="007E0AF7"/>
    <w:rsid w:val="007F0D39"/>
    <w:rsid w:val="007F1A80"/>
    <w:rsid w:val="00800A6E"/>
    <w:rsid w:val="008070A7"/>
    <w:rsid w:val="00807DDA"/>
    <w:rsid w:val="00811465"/>
    <w:rsid w:val="00816064"/>
    <w:rsid w:val="008161E7"/>
    <w:rsid w:val="0081752A"/>
    <w:rsid w:val="00817632"/>
    <w:rsid w:val="008178B6"/>
    <w:rsid w:val="00817AAE"/>
    <w:rsid w:val="00821520"/>
    <w:rsid w:val="008246D6"/>
    <w:rsid w:val="0082505C"/>
    <w:rsid w:val="00827A3C"/>
    <w:rsid w:val="008314C2"/>
    <w:rsid w:val="00841B5F"/>
    <w:rsid w:val="00845635"/>
    <w:rsid w:val="00845840"/>
    <w:rsid w:val="00847BBE"/>
    <w:rsid w:val="008515EE"/>
    <w:rsid w:val="008534B8"/>
    <w:rsid w:val="00861B43"/>
    <w:rsid w:val="00864DDD"/>
    <w:rsid w:val="00865B74"/>
    <w:rsid w:val="0087640F"/>
    <w:rsid w:val="008909D9"/>
    <w:rsid w:val="008974F0"/>
    <w:rsid w:val="008A08AC"/>
    <w:rsid w:val="008A1907"/>
    <w:rsid w:val="008A6B79"/>
    <w:rsid w:val="008B012A"/>
    <w:rsid w:val="008B1E8C"/>
    <w:rsid w:val="008D2159"/>
    <w:rsid w:val="008D2ECE"/>
    <w:rsid w:val="008D6F86"/>
    <w:rsid w:val="008F188C"/>
    <w:rsid w:val="008F1B74"/>
    <w:rsid w:val="008F3DF9"/>
    <w:rsid w:val="009057BE"/>
    <w:rsid w:val="00905B72"/>
    <w:rsid w:val="00906E17"/>
    <w:rsid w:val="009114AD"/>
    <w:rsid w:val="00914A35"/>
    <w:rsid w:val="00923AC1"/>
    <w:rsid w:val="0092504D"/>
    <w:rsid w:val="00930BA1"/>
    <w:rsid w:val="0093169E"/>
    <w:rsid w:val="0093311B"/>
    <w:rsid w:val="00933D50"/>
    <w:rsid w:val="00942AEC"/>
    <w:rsid w:val="0094405F"/>
    <w:rsid w:val="00945C33"/>
    <w:rsid w:val="00946C8C"/>
    <w:rsid w:val="00950078"/>
    <w:rsid w:val="009505C9"/>
    <w:rsid w:val="00950752"/>
    <w:rsid w:val="00950CEB"/>
    <w:rsid w:val="00950FF1"/>
    <w:rsid w:val="00951DC9"/>
    <w:rsid w:val="009553D1"/>
    <w:rsid w:val="0095611A"/>
    <w:rsid w:val="0095670A"/>
    <w:rsid w:val="009571DA"/>
    <w:rsid w:val="00957517"/>
    <w:rsid w:val="00962A2C"/>
    <w:rsid w:val="00966424"/>
    <w:rsid w:val="00966FC0"/>
    <w:rsid w:val="00970454"/>
    <w:rsid w:val="009711AA"/>
    <w:rsid w:val="0098537A"/>
    <w:rsid w:val="00986DAD"/>
    <w:rsid w:val="00995553"/>
    <w:rsid w:val="009964EF"/>
    <w:rsid w:val="0099794E"/>
    <w:rsid w:val="009A30B6"/>
    <w:rsid w:val="009B2C6B"/>
    <w:rsid w:val="009B5D6A"/>
    <w:rsid w:val="009B67AF"/>
    <w:rsid w:val="009C2DE6"/>
    <w:rsid w:val="009C313C"/>
    <w:rsid w:val="009C32F9"/>
    <w:rsid w:val="009C7EB2"/>
    <w:rsid w:val="009D7738"/>
    <w:rsid w:val="009E0CAC"/>
    <w:rsid w:val="009E0F36"/>
    <w:rsid w:val="009E1EE5"/>
    <w:rsid w:val="009E69E3"/>
    <w:rsid w:val="009E75EB"/>
    <w:rsid w:val="009F1B04"/>
    <w:rsid w:val="009F33A4"/>
    <w:rsid w:val="00A04469"/>
    <w:rsid w:val="00A21271"/>
    <w:rsid w:val="00A233BC"/>
    <w:rsid w:val="00A24954"/>
    <w:rsid w:val="00A367F3"/>
    <w:rsid w:val="00A4309A"/>
    <w:rsid w:val="00A45A21"/>
    <w:rsid w:val="00A47FE9"/>
    <w:rsid w:val="00A53BDD"/>
    <w:rsid w:val="00A65450"/>
    <w:rsid w:val="00A65BAA"/>
    <w:rsid w:val="00A73034"/>
    <w:rsid w:val="00A8076F"/>
    <w:rsid w:val="00A834D3"/>
    <w:rsid w:val="00A9358A"/>
    <w:rsid w:val="00A9736E"/>
    <w:rsid w:val="00A97B67"/>
    <w:rsid w:val="00AA19C8"/>
    <w:rsid w:val="00AA22D4"/>
    <w:rsid w:val="00AA6E0A"/>
    <w:rsid w:val="00AA6F92"/>
    <w:rsid w:val="00AB47E2"/>
    <w:rsid w:val="00AB6934"/>
    <w:rsid w:val="00AC5835"/>
    <w:rsid w:val="00AC58D9"/>
    <w:rsid w:val="00AD27B5"/>
    <w:rsid w:val="00AD3796"/>
    <w:rsid w:val="00AD59D8"/>
    <w:rsid w:val="00AE4028"/>
    <w:rsid w:val="00AE5B6F"/>
    <w:rsid w:val="00AE63A1"/>
    <w:rsid w:val="00AE7673"/>
    <w:rsid w:val="00AF42DE"/>
    <w:rsid w:val="00AF4ECE"/>
    <w:rsid w:val="00B01738"/>
    <w:rsid w:val="00B0234F"/>
    <w:rsid w:val="00B02406"/>
    <w:rsid w:val="00B036E3"/>
    <w:rsid w:val="00B1256F"/>
    <w:rsid w:val="00B16387"/>
    <w:rsid w:val="00B213FF"/>
    <w:rsid w:val="00B23BB7"/>
    <w:rsid w:val="00B24ADE"/>
    <w:rsid w:val="00B263C4"/>
    <w:rsid w:val="00B3369F"/>
    <w:rsid w:val="00B343F0"/>
    <w:rsid w:val="00B34B8F"/>
    <w:rsid w:val="00B36262"/>
    <w:rsid w:val="00B430EA"/>
    <w:rsid w:val="00B52CCA"/>
    <w:rsid w:val="00B54B57"/>
    <w:rsid w:val="00B621DA"/>
    <w:rsid w:val="00B67B49"/>
    <w:rsid w:val="00B70FC3"/>
    <w:rsid w:val="00B755B7"/>
    <w:rsid w:val="00B75FFD"/>
    <w:rsid w:val="00B81DC7"/>
    <w:rsid w:val="00B82CAF"/>
    <w:rsid w:val="00B83073"/>
    <w:rsid w:val="00B86180"/>
    <w:rsid w:val="00B94E6C"/>
    <w:rsid w:val="00BA0797"/>
    <w:rsid w:val="00BA3F60"/>
    <w:rsid w:val="00BB4606"/>
    <w:rsid w:val="00BB4B4F"/>
    <w:rsid w:val="00BB66B6"/>
    <w:rsid w:val="00BB7BEF"/>
    <w:rsid w:val="00BC5481"/>
    <w:rsid w:val="00BC62E3"/>
    <w:rsid w:val="00BC6904"/>
    <w:rsid w:val="00BD1746"/>
    <w:rsid w:val="00BD3C8E"/>
    <w:rsid w:val="00BD6B0B"/>
    <w:rsid w:val="00BE3273"/>
    <w:rsid w:val="00BE615C"/>
    <w:rsid w:val="00BF1053"/>
    <w:rsid w:val="00BF157A"/>
    <w:rsid w:val="00C0091B"/>
    <w:rsid w:val="00C128C7"/>
    <w:rsid w:val="00C15DDE"/>
    <w:rsid w:val="00C206A8"/>
    <w:rsid w:val="00C20B68"/>
    <w:rsid w:val="00C23D2F"/>
    <w:rsid w:val="00C25F53"/>
    <w:rsid w:val="00C266E6"/>
    <w:rsid w:val="00C3552F"/>
    <w:rsid w:val="00C379D3"/>
    <w:rsid w:val="00C40E9D"/>
    <w:rsid w:val="00C42021"/>
    <w:rsid w:val="00C42647"/>
    <w:rsid w:val="00C4356D"/>
    <w:rsid w:val="00C443BD"/>
    <w:rsid w:val="00C451C5"/>
    <w:rsid w:val="00C45EAB"/>
    <w:rsid w:val="00C461F1"/>
    <w:rsid w:val="00C55840"/>
    <w:rsid w:val="00C56D72"/>
    <w:rsid w:val="00C7753B"/>
    <w:rsid w:val="00C81EF3"/>
    <w:rsid w:val="00C8288A"/>
    <w:rsid w:val="00C840D5"/>
    <w:rsid w:val="00C84F7B"/>
    <w:rsid w:val="00C9161D"/>
    <w:rsid w:val="00C92F0C"/>
    <w:rsid w:val="00C97992"/>
    <w:rsid w:val="00CA0C1D"/>
    <w:rsid w:val="00CA2315"/>
    <w:rsid w:val="00CA33DA"/>
    <w:rsid w:val="00CA6D55"/>
    <w:rsid w:val="00CA739F"/>
    <w:rsid w:val="00CA7E57"/>
    <w:rsid w:val="00CB2653"/>
    <w:rsid w:val="00CB6C17"/>
    <w:rsid w:val="00CB6C5F"/>
    <w:rsid w:val="00CB7672"/>
    <w:rsid w:val="00CB7B68"/>
    <w:rsid w:val="00CC07A0"/>
    <w:rsid w:val="00CC0DE3"/>
    <w:rsid w:val="00CC10D3"/>
    <w:rsid w:val="00CC114D"/>
    <w:rsid w:val="00CC789A"/>
    <w:rsid w:val="00CD06E8"/>
    <w:rsid w:val="00CD13CA"/>
    <w:rsid w:val="00CD4D93"/>
    <w:rsid w:val="00CE0F5F"/>
    <w:rsid w:val="00CE542B"/>
    <w:rsid w:val="00CE55A4"/>
    <w:rsid w:val="00CE5D73"/>
    <w:rsid w:val="00CE7E68"/>
    <w:rsid w:val="00CF1848"/>
    <w:rsid w:val="00CF43B6"/>
    <w:rsid w:val="00CF7B7A"/>
    <w:rsid w:val="00CF7FB2"/>
    <w:rsid w:val="00D002E0"/>
    <w:rsid w:val="00D02661"/>
    <w:rsid w:val="00D03C76"/>
    <w:rsid w:val="00D07D85"/>
    <w:rsid w:val="00D12044"/>
    <w:rsid w:val="00D1474C"/>
    <w:rsid w:val="00D23C3D"/>
    <w:rsid w:val="00D25067"/>
    <w:rsid w:val="00D33EFC"/>
    <w:rsid w:val="00D40DBC"/>
    <w:rsid w:val="00D44EEF"/>
    <w:rsid w:val="00D46AC0"/>
    <w:rsid w:val="00D500CD"/>
    <w:rsid w:val="00D5265A"/>
    <w:rsid w:val="00D53B1E"/>
    <w:rsid w:val="00D61768"/>
    <w:rsid w:val="00D61E17"/>
    <w:rsid w:val="00D62991"/>
    <w:rsid w:val="00D6377E"/>
    <w:rsid w:val="00D64CCC"/>
    <w:rsid w:val="00D67562"/>
    <w:rsid w:val="00D7042E"/>
    <w:rsid w:val="00D71029"/>
    <w:rsid w:val="00D7422A"/>
    <w:rsid w:val="00D76A18"/>
    <w:rsid w:val="00D80849"/>
    <w:rsid w:val="00D82E8F"/>
    <w:rsid w:val="00D96BCD"/>
    <w:rsid w:val="00D97C7C"/>
    <w:rsid w:val="00DA1DB2"/>
    <w:rsid w:val="00DA2347"/>
    <w:rsid w:val="00DB1C6E"/>
    <w:rsid w:val="00DB472D"/>
    <w:rsid w:val="00DC0B08"/>
    <w:rsid w:val="00DC1E94"/>
    <w:rsid w:val="00DD118C"/>
    <w:rsid w:val="00DD46AB"/>
    <w:rsid w:val="00DE0381"/>
    <w:rsid w:val="00DE339F"/>
    <w:rsid w:val="00DE4C3F"/>
    <w:rsid w:val="00DE5DA4"/>
    <w:rsid w:val="00DE6EBD"/>
    <w:rsid w:val="00DF05D7"/>
    <w:rsid w:val="00DF0FA8"/>
    <w:rsid w:val="00DF7FD9"/>
    <w:rsid w:val="00E01BDD"/>
    <w:rsid w:val="00E048E7"/>
    <w:rsid w:val="00E0531C"/>
    <w:rsid w:val="00E05BB9"/>
    <w:rsid w:val="00E14D4C"/>
    <w:rsid w:val="00E20F63"/>
    <w:rsid w:val="00E3220B"/>
    <w:rsid w:val="00E35E5D"/>
    <w:rsid w:val="00E41A14"/>
    <w:rsid w:val="00E41FB4"/>
    <w:rsid w:val="00E453AC"/>
    <w:rsid w:val="00E46BE8"/>
    <w:rsid w:val="00E55969"/>
    <w:rsid w:val="00E566FA"/>
    <w:rsid w:val="00E574CD"/>
    <w:rsid w:val="00E57974"/>
    <w:rsid w:val="00E6594B"/>
    <w:rsid w:val="00E66235"/>
    <w:rsid w:val="00E83320"/>
    <w:rsid w:val="00E83C24"/>
    <w:rsid w:val="00E83FD5"/>
    <w:rsid w:val="00E90ADC"/>
    <w:rsid w:val="00E9318D"/>
    <w:rsid w:val="00EA05B6"/>
    <w:rsid w:val="00EB0B7E"/>
    <w:rsid w:val="00EB0D39"/>
    <w:rsid w:val="00EB330E"/>
    <w:rsid w:val="00EB4055"/>
    <w:rsid w:val="00EB5B99"/>
    <w:rsid w:val="00EB6F10"/>
    <w:rsid w:val="00EC7612"/>
    <w:rsid w:val="00ED3A91"/>
    <w:rsid w:val="00EE50FF"/>
    <w:rsid w:val="00EF4AF8"/>
    <w:rsid w:val="00EF5A01"/>
    <w:rsid w:val="00EF6FD6"/>
    <w:rsid w:val="00F07C3E"/>
    <w:rsid w:val="00F160CD"/>
    <w:rsid w:val="00F16274"/>
    <w:rsid w:val="00F26485"/>
    <w:rsid w:val="00F33E3B"/>
    <w:rsid w:val="00F37019"/>
    <w:rsid w:val="00F41752"/>
    <w:rsid w:val="00F53193"/>
    <w:rsid w:val="00F5357E"/>
    <w:rsid w:val="00F54D79"/>
    <w:rsid w:val="00F55648"/>
    <w:rsid w:val="00F55FDA"/>
    <w:rsid w:val="00F61405"/>
    <w:rsid w:val="00F6463C"/>
    <w:rsid w:val="00F6586C"/>
    <w:rsid w:val="00F70245"/>
    <w:rsid w:val="00F76E7C"/>
    <w:rsid w:val="00F82AF7"/>
    <w:rsid w:val="00F8601F"/>
    <w:rsid w:val="00F91878"/>
    <w:rsid w:val="00F92E65"/>
    <w:rsid w:val="00F94774"/>
    <w:rsid w:val="00F94A64"/>
    <w:rsid w:val="00FA1056"/>
    <w:rsid w:val="00FA1D05"/>
    <w:rsid w:val="00FA2FF5"/>
    <w:rsid w:val="00FA3341"/>
    <w:rsid w:val="00FA5842"/>
    <w:rsid w:val="00FA63C3"/>
    <w:rsid w:val="00FA663B"/>
    <w:rsid w:val="00FB05C1"/>
    <w:rsid w:val="00FB3849"/>
    <w:rsid w:val="00FB78ED"/>
    <w:rsid w:val="00FC354E"/>
    <w:rsid w:val="00FC53DB"/>
    <w:rsid w:val="00FE20C9"/>
    <w:rsid w:val="00FE2FCE"/>
    <w:rsid w:val="00FE6D77"/>
    <w:rsid w:val="00FF2262"/>
    <w:rsid w:val="00FF5B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Courier New"/>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locked="1"/>
    <w:lsdException w:name="footer" w:locked="1"/>
    <w:lsdException w:name="caption" w:locked="1" w:qFormat="1"/>
    <w:lsdException w:name="footnote reference" w:locked="1"/>
    <w:lsdException w:name="annotation reference" w:locked="1"/>
    <w:lsdException w:name="page number" w:locked="1"/>
    <w:lsdException w:name="endnote reference" w:locked="1"/>
    <w:lsdException w:name="endnote text" w:locked="1"/>
    <w:lsdException w:name="toa heading" w:locked="1"/>
    <w:lsdException w:name="Title" w:locked="1" w:qFormat="1"/>
    <w:lsdException w:name="Default Paragraph Font" w:locked="1"/>
    <w:lsdException w:name="Body Text" w:locked="1"/>
    <w:lsdException w:name="Body Text Indent" w:locked="1"/>
    <w:lsdException w:name="Subtitle" w:locked="1" w:qFormat="1"/>
    <w:lsdException w:name="FollowedHyperlink" w:locked="1"/>
    <w:lsdException w:name="Strong" w:locked="1" w:qFormat="1"/>
    <w:lsdException w:name="Emphasis" w:locked="1" w:qFormat="1"/>
    <w:lsdException w:name="No Lis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link w:val="Heading8Char"/>
    <w:qFormat/>
    <w:pPr>
      <w:jc w:val="both"/>
    </w:pPr>
    <w:rPr>
      <w:rFonts w:eastAsia="MS Mincho" w:cs="Times New Roman"/>
      <w:snapToGrid w:val="0"/>
      <w:sz w:val="22"/>
      <w:szCs w:val="22"/>
      <w:lang w:val="en-GB"/>
    </w:rPr>
  </w:style>
  <w:style w:type="paragraph" w:styleId="Heading1">
    <w:name w:val="heading 1"/>
    <w:basedOn w:val="Normal"/>
    <w:next w:val="Heading2"/>
    <w:qFormat/>
    <w:pPr>
      <w:keepNext/>
      <w:tabs>
        <w:tab w:val="left" w:pos="720"/>
      </w:tabs>
      <w:spacing w:before="240" w:after="120"/>
      <w:jc w:val="center"/>
      <w:outlineLvl w:val="0"/>
    </w:pPr>
    <w:rPr>
      <w:b/>
      <w:bCs/>
      <w:caps/>
    </w:rPr>
  </w:style>
  <w:style w:type="paragraph" w:styleId="Heading2">
    <w:name w:val="heading 2"/>
    <w:basedOn w:val="Normal"/>
    <w:next w:val="Normal"/>
    <w:link w:val="PlaceholderText"/>
    <w:qFormat/>
    <w:pPr>
      <w:keepNext/>
      <w:tabs>
        <w:tab w:val="left" w:pos="720"/>
      </w:tabs>
      <w:spacing w:before="120" w:after="120"/>
      <w:jc w:val="center"/>
      <w:outlineLvl w:val="1"/>
    </w:pPr>
    <w:rPr>
      <w:b/>
      <w:b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Times New Roman"/>
      <w:b/>
      <w:bCs/>
      <w:i/>
      <w:iCs/>
    </w:rPr>
  </w:style>
  <w:style w:type="paragraph" w:styleId="Heading5">
    <w:name w:val="heading 5"/>
    <w:basedOn w:val="Normal"/>
    <w:next w:val="Normal"/>
    <w:qFormat/>
    <w:pPr>
      <w:keepNext/>
      <w:numPr>
        <w:ilvl w:val="4"/>
        <w:numId w:val="1"/>
      </w:numPr>
      <w:spacing w:before="120" w:after="120"/>
      <w:jc w:val="left"/>
      <w:outlineLvl w:val="4"/>
    </w:pPr>
    <w:rPr>
      <w:i/>
      <w:iCs/>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b/>
      <w:bCs/>
      <w:sz w:val="28"/>
      <w:szCs w:val="28"/>
    </w:rPr>
  </w:style>
  <w:style w:type="paragraph" w:styleId="Heading8">
    <w:name w:val="heading 8"/>
    <w:basedOn w:val="Normal"/>
    <w:next w:val="Normal"/>
    <w:qFormat/>
    <w:pPr>
      <w:keepNext/>
      <w:jc w:val="right"/>
      <w:outlineLvl w:val="7"/>
    </w:pPr>
    <w:rPr>
      <w:b/>
      <w:bCs/>
      <w:sz w:val="32"/>
      <w:szCs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Pr>
      <w:rFonts w:eastAsia="MS Mincho" w:cs="Times New Roma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1"/>
    <w:semiHidden/>
    <w:rPr>
      <w:sz w:val="18"/>
      <w:szCs w:val="18"/>
    </w:rPr>
  </w:style>
  <w:style w:type="character" w:customStyle="1" w:styleId="BalloonTextChar">
    <w:name w:val="Balloon Text Char"/>
    <w:basedOn w:val="DefaultParagraphFont"/>
    <w:semiHidden/>
    <w:locked/>
    <w:rPr>
      <w:rFonts w:ascii="Times New Roman" w:hAnsi="Times New Roman" w:cs="Times New Roman"/>
      <w:sz w:val="18"/>
      <w:szCs w:val="18"/>
      <w:lang w:val="en-US"/>
    </w:rPr>
  </w:style>
  <w:style w:type="character" w:styleId="PlaceholderText">
    <w:name w:val="Placeholder Text"/>
    <w:aliases w:val="Heading 2 Char1"/>
    <w:basedOn w:val="DefaultParagraphFont"/>
    <w:link w:val="Heading2"/>
    <w:semiHidden/>
    <w:rPr>
      <w:color w:val="808080"/>
    </w:rPr>
  </w:style>
  <w:style w:type="paragraph" w:styleId="Header">
    <w:name w:val="header"/>
    <w:basedOn w:val="Normal"/>
    <w:pPr>
      <w:tabs>
        <w:tab w:val="center" w:pos="4320"/>
        <w:tab w:val="right" w:pos="8640"/>
      </w:tabs>
    </w:pPr>
  </w:style>
  <w:style w:type="character" w:customStyle="1" w:styleId="HeaderChar">
    <w:name w:val="Header Char"/>
    <w:basedOn w:val="DefaultParagraphFont"/>
    <w:locked/>
    <w:rPr>
      <w:rFonts w:ascii="Times New Roman" w:hAnsi="Times New Roman" w:cs="Times New Roman"/>
      <w:sz w:val="22"/>
      <w:szCs w:val="22"/>
      <w:lang w:val="en-GB"/>
    </w:rPr>
  </w:style>
  <w:style w:type="paragraph" w:styleId="Footer">
    <w:name w:val="footer"/>
    <w:basedOn w:val="Normal"/>
    <w:pPr>
      <w:tabs>
        <w:tab w:val="center" w:pos="4320"/>
        <w:tab w:val="right" w:pos="8640"/>
      </w:tabs>
      <w:ind w:firstLine="720"/>
      <w:jc w:val="right"/>
    </w:pPr>
  </w:style>
  <w:style w:type="character" w:customStyle="1" w:styleId="FooterChar">
    <w:name w:val="Footer Char"/>
    <w:basedOn w:val="DefaultParagraphFont"/>
    <w:locked/>
    <w:rPr>
      <w:rFonts w:ascii="Times New Roman" w:hAnsi="Times New Roman" w:cs="Times New Roman"/>
      <w:sz w:val="22"/>
      <w:szCs w:val="22"/>
      <w:lang w:val="en-GB"/>
    </w:rPr>
  </w:style>
  <w:style w:type="paragraph" w:customStyle="1" w:styleId="meetingname">
    <w:name w:val="meeting name"/>
    <w:basedOn w:val="Normal"/>
    <w:pPr>
      <w:ind w:left="142" w:right="4218" w:hanging="142"/>
    </w:pPr>
    <w:rPr>
      <w:caps/>
    </w:rPr>
  </w:style>
  <w:style w:type="paragraph" w:styleId="Title">
    <w:name w:val="Title"/>
    <w:basedOn w:val="Normal"/>
    <w:next w:val="Normal"/>
    <w:qFormat/>
    <w:pPr>
      <w:pBdr>
        <w:bottom w:val="single" w:sz="8" w:space="4" w:color="4F81BD"/>
      </w:pBdr>
      <w:spacing w:after="300"/>
    </w:pPr>
    <w:rPr>
      <w:rFonts w:eastAsia="Times New Roman"/>
      <w:color w:val="17365D"/>
      <w:spacing w:val="5"/>
      <w:kern w:val="28"/>
      <w:sz w:val="52"/>
      <w:szCs w:val="52"/>
    </w:rPr>
  </w:style>
  <w:style w:type="character" w:customStyle="1" w:styleId="TitleChar">
    <w:name w:val="Title Char"/>
    <w:basedOn w:val="DefaultParagraphFont"/>
    <w:locked/>
    <w:rPr>
      <w:rFonts w:ascii="Times New Roman" w:eastAsia="Times New Roman" w:hAnsi="Times New Roman" w:cs="Times New Roman"/>
      <w:color w:val="17365D"/>
      <w:spacing w:val="5"/>
      <w:kern w:val="28"/>
      <w:sz w:val="52"/>
      <w:szCs w:val="52"/>
      <w:lang w:val="en-US"/>
    </w:rPr>
  </w:style>
  <w:style w:type="paragraph" w:styleId="Subtitle">
    <w:name w:val="Subtitle"/>
    <w:basedOn w:val="Normal"/>
    <w:next w:val="Normal"/>
    <w:qFormat/>
    <w:pPr>
      <w:numPr>
        <w:ilvl w:val="1"/>
      </w:numPr>
    </w:pPr>
    <w:rPr>
      <w:rFonts w:eastAsia="Times New Roman"/>
      <w:i/>
      <w:iCs/>
      <w:color w:val="4F81BD"/>
      <w:spacing w:val="15"/>
      <w:sz w:val="24"/>
      <w:szCs w:val="24"/>
    </w:rPr>
  </w:style>
  <w:style w:type="character" w:customStyle="1" w:styleId="SubtitleChar">
    <w:name w:val="Subtitle Char"/>
    <w:basedOn w:val="DefaultParagraphFont"/>
    <w:locked/>
    <w:rPr>
      <w:rFonts w:ascii="Times New Roman" w:eastAsia="Times New Roman" w:hAnsi="Times New Roman" w:cs="Times New Roman"/>
      <w:i/>
      <w:iCs/>
      <w:color w:val="4F81BD"/>
      <w:spacing w:val="15"/>
      <w:lang w:val="en-US"/>
    </w:rPr>
  </w:style>
  <w:style w:type="character" w:customStyle="1" w:styleId="Heading1Char">
    <w:name w:val="Heading 1 Char"/>
    <w:basedOn w:val="DefaultParagraphFont"/>
    <w:locked/>
    <w:rPr>
      <w:rFonts w:ascii="Times New Roman" w:hAnsi="Times New Roman" w:cs="Times New Roman"/>
      <w:b/>
      <w:bCs/>
      <w:caps/>
      <w:sz w:val="22"/>
      <w:szCs w:val="22"/>
      <w:lang w:val="en-GB"/>
    </w:rPr>
  </w:style>
  <w:style w:type="paragraph" w:styleId="BodyText">
    <w:name w:val="Body Text"/>
    <w:basedOn w:val="Normal"/>
    <w:pPr>
      <w:spacing w:before="120" w:after="120"/>
      <w:ind w:firstLine="720"/>
    </w:pPr>
  </w:style>
  <w:style w:type="character" w:customStyle="1" w:styleId="BalloonTextChar1">
    <w:name w:val="Balloon Text Char1"/>
    <w:basedOn w:val="DefaultParagraphFont"/>
    <w:link w:val="BalloonText"/>
    <w:locked/>
    <w:rPr>
      <w:rFonts w:ascii="Times New Roman" w:hAnsi="Times New Roman" w:cs="Times New Roman"/>
      <w:sz w:val="22"/>
      <w:szCs w:val="22"/>
      <w:lang w:val="en-GB"/>
    </w:rPr>
  </w:style>
  <w:style w:type="paragraph" w:styleId="BodyTextIndent">
    <w:name w:val="Body Text Indent"/>
    <w:basedOn w:val="Normal"/>
    <w:pPr>
      <w:spacing w:before="120" w:after="120"/>
      <w:ind w:left="1440" w:hanging="720"/>
      <w:jc w:val="left"/>
    </w:pPr>
  </w:style>
  <w:style w:type="character" w:customStyle="1" w:styleId="BodyTextIndentChar">
    <w:name w:val="Body Text Indent Char"/>
    <w:basedOn w:val="DefaultParagraphFont"/>
    <w:locked/>
    <w:rPr>
      <w:rFonts w:ascii="Times New Roman" w:hAnsi="Times New Roman" w:cs="Times New Roman"/>
      <w:sz w:val="22"/>
      <w:szCs w:val="22"/>
      <w:lang w:val="en-GB"/>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spacing w:after="120" w:line="240" w:lineRule="exact"/>
    </w:pPr>
  </w:style>
  <w:style w:type="character" w:customStyle="1" w:styleId="CommentTextChar">
    <w:name w:val="Comment Text Char"/>
    <w:basedOn w:val="DefaultParagraphFont"/>
    <w:locked/>
    <w:rPr>
      <w:rFonts w:ascii="Times New Roman" w:hAnsi="Times New Roman" w:cs="Times New Roman"/>
      <w:sz w:val="22"/>
      <w:szCs w:val="22"/>
      <w:lang w:val="en-GB"/>
    </w:rPr>
  </w:style>
  <w:style w:type="paragraph" w:customStyle="1" w:styleId="Cornernotation">
    <w:name w:val="Corner notation"/>
    <w:basedOn w:val="Normal"/>
    <w:pPr>
      <w:ind w:left="170" w:right="3119" w:hanging="170"/>
      <w:jc w:val="left"/>
    </w:pPr>
  </w:style>
  <w:style w:type="character" w:styleId="EndnoteReference">
    <w:name w:val="endnote reference"/>
    <w:basedOn w:val="DefaultParagraphFont"/>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semiHidden/>
    <w:locked/>
    <w:rPr>
      <w:rFonts w:ascii="Courier New" w:hAnsi="Courier New" w:cs="Courier New"/>
      <w:sz w:val="22"/>
      <w:szCs w:val="22"/>
      <w:lang w:val="en-GB"/>
    </w:rPr>
  </w:style>
  <w:style w:type="character" w:styleId="FollowedHyperlink">
    <w:name w:val="FollowedHyperlink"/>
    <w:basedOn w:val="DefaultParagraphFont"/>
    <w:rPr>
      <w:color w:val="800080"/>
      <w:u w:val="single"/>
    </w:rPr>
  </w:style>
  <w:style w:type="character" w:styleId="FootnoteReference">
    <w:name w:val="footnote reference"/>
    <w:basedOn w:val="DefaultParagraphFont"/>
    <w:semiHidden/>
    <w:rPr>
      <w:sz w:val="22"/>
      <w:szCs w:val="22"/>
      <w:u w:val="none"/>
      <w:vertAlign w:val="superscript"/>
    </w:rPr>
  </w:style>
  <w:style w:type="paragraph" w:styleId="FootnoteText">
    <w:name w:val="footnote text"/>
    <w:basedOn w:val="Normal"/>
    <w:semiHidden/>
    <w:pPr>
      <w:keepLines/>
      <w:spacing w:after="60"/>
      <w:ind w:firstLine="720"/>
    </w:pPr>
    <w:rPr>
      <w:sz w:val="18"/>
      <w:szCs w:val="18"/>
    </w:rPr>
  </w:style>
  <w:style w:type="character" w:customStyle="1" w:styleId="FootnoteTextChar">
    <w:name w:val="Footnote Text Char"/>
    <w:basedOn w:val="DefaultParagraphFont"/>
    <w:semiHidden/>
    <w:locked/>
    <w:rPr>
      <w:rFonts w:ascii="Times New Roman" w:hAnsi="Times New Roman" w:cs="Times New Roman"/>
      <w:sz w:val="18"/>
      <w:szCs w:val="18"/>
      <w:lang w:val="en-GB"/>
    </w:rPr>
  </w:style>
  <w:style w:type="paragraph" w:customStyle="1" w:styleId="HEADING">
    <w:name w:val="HEADING"/>
    <w:basedOn w:val="Normal"/>
    <w:pPr>
      <w:keepNext/>
      <w:spacing w:before="240" w:after="120"/>
      <w:jc w:val="center"/>
    </w:pPr>
    <w:rPr>
      <w:b/>
      <w:bCs/>
      <w:caps/>
    </w:rPr>
  </w:style>
  <w:style w:type="character" w:customStyle="1" w:styleId="Heading2Char">
    <w:name w:val="Heading 2 Char"/>
    <w:basedOn w:val="DefaultParagraphFont"/>
    <w:locked/>
    <w:rPr>
      <w:rFonts w:ascii="Times New Roman" w:hAnsi="Times New Roman" w:cs="Times New Roman"/>
      <w:b/>
      <w:bCs/>
      <w:sz w:val="22"/>
      <w:szCs w:val="22"/>
      <w:lang w:val="en-GB"/>
    </w:rPr>
  </w:style>
  <w:style w:type="paragraph" w:customStyle="1" w:styleId="HEADINGNOTFORTOC">
    <w:name w:val="HEADING (NOT FOR TOC)"/>
    <w:basedOn w:val="Heading1"/>
    <w:next w:val="Heading2"/>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character" w:customStyle="1" w:styleId="Heading3Char">
    <w:name w:val="Heading 3 Char"/>
    <w:basedOn w:val="DefaultParagraphFont"/>
    <w:locked/>
    <w:rPr>
      <w:rFonts w:ascii="Times New Roman" w:hAnsi="Times New Roman" w:cs="Times New Roman"/>
      <w:i/>
      <w:iCs/>
      <w:sz w:val="22"/>
      <w:szCs w:val="22"/>
      <w:lang w:val="en-GB"/>
    </w:rPr>
  </w:style>
  <w:style w:type="paragraph" w:customStyle="1" w:styleId="heading2notforTOC">
    <w:name w:val="heading 2 not for TOC"/>
    <w:basedOn w:val="Heading3"/>
  </w:style>
  <w:style w:type="paragraph" w:customStyle="1" w:styleId="Heading3multiline">
    <w:name w:val="Heading 3 (multiline)"/>
    <w:basedOn w:val="Heading3"/>
    <w:next w:val="Normal"/>
    <w:pPr>
      <w:ind w:left="1418" w:hanging="425"/>
      <w:jc w:val="left"/>
    </w:pPr>
  </w:style>
  <w:style w:type="character" w:customStyle="1" w:styleId="Heading4Char">
    <w:name w:val="Heading 4 Char"/>
    <w:basedOn w:val="DefaultParagraphFont"/>
    <w:locked/>
    <w:rPr>
      <w:rFonts w:ascii="Times New Roman" w:eastAsia="Times New Roman" w:hAnsi="Times New Roman" w:cs="Times New Roman"/>
      <w:b/>
      <w:bCs/>
      <w:i/>
      <w:i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basedOn w:val="DefaultParagraphFont"/>
    <w:locked/>
    <w:rPr>
      <w:rFonts w:ascii="Times New Roman" w:hAnsi="Times New Roman" w:cs="Times New Roman"/>
      <w:i/>
      <w:iCs/>
      <w:sz w:val="26"/>
      <w:szCs w:val="26"/>
      <w:lang w:val="en-CA"/>
    </w:rPr>
  </w:style>
  <w:style w:type="character" w:customStyle="1" w:styleId="Heading6Char">
    <w:name w:val="Heading 6 Char"/>
    <w:basedOn w:val="DefaultParagraphFont"/>
    <w:locked/>
    <w:rPr>
      <w:rFonts w:ascii="Times New Roman" w:hAnsi="Times New Roman" w:cs="Times New Roman"/>
      <w:sz w:val="22"/>
      <w:szCs w:val="22"/>
      <w:u w:val="single"/>
      <w:lang w:val="en-GB"/>
    </w:rPr>
  </w:style>
  <w:style w:type="character" w:customStyle="1" w:styleId="Heading7Char">
    <w:name w:val="Heading 7 Char"/>
    <w:basedOn w:val="DefaultParagraphFont"/>
    <w:locked/>
    <w:rPr>
      <w:rFonts w:ascii="Times New Roman" w:hAnsi="Times New Roman" w:cs="Times New Roman"/>
      <w:b/>
      <w:bCs/>
      <w:sz w:val="28"/>
      <w:szCs w:val="28"/>
      <w:lang w:val="en-GB"/>
    </w:rPr>
  </w:style>
  <w:style w:type="character" w:customStyle="1" w:styleId="Heading8Char">
    <w:name w:val="Heading 8 Char"/>
    <w:basedOn w:val="DefaultParagraphFont"/>
    <w:locked/>
    <w:rPr>
      <w:rFonts w:ascii="Times New Roman" w:hAnsi="Times New Roman" w:cs="Times New Roman"/>
      <w:b/>
      <w:bCs/>
      <w:sz w:val="32"/>
      <w:szCs w:val="32"/>
      <w:lang w:val="en-GB"/>
    </w:rPr>
  </w:style>
  <w:style w:type="character" w:customStyle="1" w:styleId="Heading9Char">
    <w:name w:val="Heading 9 Char"/>
    <w:basedOn w:val="DefaultParagraphFont"/>
    <w:locked/>
    <w:rPr>
      <w:rFonts w:ascii="Times New Roman" w:hAnsi="Times New Roman" w:cs="Times New Roman"/>
      <w:i/>
      <w:iCs/>
      <w:sz w:val="22"/>
      <w:szCs w:val="22"/>
      <w:lang w:val="en-GB"/>
    </w:rPr>
  </w:style>
  <w:style w:type="character" w:styleId="PageNumber">
    <w:name w:val="page number"/>
    <w:basedOn w:val="DefaultParagraphFont"/>
    <w:rPr>
      <w:rFonts w:ascii="Times New Roman" w:hAnsi="Times New Roman" w:cs="Times New Roman"/>
      <w:sz w:val="22"/>
      <w:szCs w:val="22"/>
    </w:rPr>
  </w:style>
  <w:style w:type="paragraph" w:customStyle="1" w:styleId="Para1">
    <w:name w:val="Para1"/>
    <w:basedOn w:val="Normal"/>
    <w:pPr>
      <w:numPr>
        <w:numId w:val="4"/>
      </w:numPr>
      <w:tabs>
        <w:tab w:val="clear" w:pos="360"/>
      </w:tabs>
      <w:spacing w:before="120" w:after="120"/>
    </w:pPr>
  </w:style>
  <w:style w:type="paragraph" w:customStyle="1" w:styleId="Para2">
    <w:name w:val="Para2"/>
    <w:basedOn w:val="Para1"/>
    <w:pPr>
      <w:numPr>
        <w:numId w:val="0"/>
      </w:numPr>
      <w:autoSpaceDE w:val="0"/>
      <w:autoSpaceDN w:val="0"/>
    </w:pPr>
  </w:style>
  <w:style w:type="paragraph" w:customStyle="1" w:styleId="Para3">
    <w:name w:val="Para3"/>
    <w:basedOn w:val="Normal"/>
    <w:pPr>
      <w:numPr>
        <w:ilvl w:val="3"/>
        <w:numId w:val="5"/>
      </w:numPr>
      <w:tabs>
        <w:tab w:val="left" w:pos="1980"/>
      </w:tabs>
      <w:spacing w:before="80" w:after="80"/>
    </w:pPr>
  </w:style>
  <w:style w:type="paragraph" w:customStyle="1" w:styleId="para4">
    <w:name w:val="para4"/>
    <w:basedOn w:val="Normal"/>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pPr>
      <w:spacing w:before="120" w:after="120"/>
      <w:ind w:left="720" w:right="720"/>
    </w:pPr>
  </w:style>
  <w:style w:type="paragraph" w:customStyle="1" w:styleId="recommendationheader">
    <w:name w:val="recommendation header"/>
    <w:basedOn w:val="Heading2"/>
  </w:style>
  <w:style w:type="paragraph" w:customStyle="1" w:styleId="recommendationheaderlong">
    <w:name w:val="recommendation header long"/>
    <w:basedOn w:val="Heading2longmultiline"/>
  </w:style>
  <w:style w:type="paragraph" w:customStyle="1" w:styleId="reference">
    <w:name w:val="reference"/>
    <w:basedOn w:val="Heading9"/>
    <w:rPr>
      <w:i w:val="0"/>
      <w:iCs w:val="0"/>
      <w:sz w:val="18"/>
      <w:szCs w:val="18"/>
    </w:rPr>
  </w:style>
  <w:style w:type="character" w:customStyle="1" w:styleId="StyleFootnoteReferenceNounderline">
    <w:name w:val="Style Footnote Reference + No underline"/>
    <w:rPr>
      <w:sz w:val="18"/>
      <w:szCs w:val="18"/>
      <w:u w:val="none"/>
      <w:vertAlign w:val="baseline"/>
    </w:rPr>
  </w:style>
  <w:style w:type="paragraph" w:customStyle="1" w:styleId="tabletitle">
    <w:name w:val="table title"/>
    <w:basedOn w:val="Heading2"/>
    <w:pPr>
      <w:jc w:val="left"/>
      <w:outlineLvl w:val="9"/>
    </w:pPr>
    <w:rPr>
      <w:i/>
      <w:iCs/>
    </w:rPr>
  </w:style>
  <w:style w:type="paragraph" w:styleId="TOAHeading">
    <w:name w:val="toa heading"/>
    <w:basedOn w:val="Normal"/>
    <w:next w:val="Normal"/>
    <w:semiHidden/>
    <w:pPr>
      <w:spacing w:before="120"/>
    </w:pPr>
    <w:rPr>
      <w:b/>
      <w:bCs/>
      <w:sz w:val="24"/>
      <w:szCs w:val="24"/>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lang w:val="en-US"/>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TOC9">
    <w:name w:val="toc 9"/>
    <w:basedOn w:val="Normal"/>
    <w:next w:val="Normal"/>
    <w:autoRedefine/>
    <w:semiHidden/>
    <w:pPr>
      <w:spacing w:before="120" w:after="120"/>
      <w:ind w:left="1760"/>
      <w:jc w:val="left"/>
    </w:pPr>
  </w:style>
  <w:style w:type="character" w:styleId="Hyperlink">
    <w:name w:val="Hyperlink"/>
    <w:basedOn w:val="DefaultParagraphFont"/>
    <w:rPr>
      <w:color w:val="0000FF"/>
      <w:sz w:val="18"/>
      <w:szCs w:val="18"/>
      <w:u w:val="single"/>
    </w:rPr>
  </w:style>
  <w:style w:type="character" w:customStyle="1" w:styleId="Para1Char">
    <w:name w:val="Para1 Char"/>
    <w:locked/>
    <w:rPr>
      <w:rFonts w:ascii="Times New Roman" w:hAnsi="Times New Roman" w:cs="Times New Roman"/>
      <w:snapToGrid w:val="0"/>
      <w:sz w:val="18"/>
      <w:szCs w:val="18"/>
      <w:lang w:val="en-GB"/>
    </w:rPr>
  </w:style>
  <w:style w:type="paragraph" w:customStyle="1" w:styleId="CBD-Doc-Type">
    <w:name w:val="CBD-Doc-Type"/>
    <w:basedOn w:val="Normal"/>
    <w:pPr>
      <w:keepLines/>
      <w:spacing w:before="240" w:after="120"/>
    </w:pPr>
    <w:rPr>
      <w:b/>
      <w:bCs/>
      <w:i/>
      <w:iCs/>
      <w:sz w:val="24"/>
      <w:szCs w:val="24"/>
    </w:rPr>
  </w:style>
  <w:style w:type="paragraph" w:customStyle="1" w:styleId="CBD-Doc">
    <w:name w:val="CBD-Doc"/>
    <w:basedOn w:val="Normal"/>
    <w:pPr>
      <w:keepLines/>
      <w:numPr>
        <w:numId w:val="9"/>
      </w:numPr>
      <w:spacing w:after="120"/>
    </w:pPr>
  </w:style>
  <w:style w:type="paragraph" w:styleId="ListParagraph">
    <w:name w:val="List Paragraph"/>
    <w:basedOn w:val="Normal"/>
    <w:qFormat/>
    <w:pPr>
      <w:ind w:left="720"/>
    </w:pPr>
  </w:style>
  <w:style w:type="paragraph" w:styleId="Caption">
    <w:name w:val="caption"/>
    <w:basedOn w:val="Normal"/>
    <w:next w:val="Normal"/>
    <w:qFormat/>
    <w:pPr>
      <w:keepNext/>
      <w:keepLines/>
      <w:spacing w:after="200"/>
    </w:pPr>
    <w:rPr>
      <w:b/>
      <w:bCs/>
    </w:rPr>
  </w:style>
  <w:style w:type="paragraph" w:customStyle="1" w:styleId="Style1">
    <w:name w:val="Style1"/>
    <w:basedOn w:val="Heading2"/>
    <w:rPr>
      <w:i/>
      <w:iCs/>
    </w:rPr>
  </w:style>
  <w:style w:type="paragraph" w:styleId="CommentSubject">
    <w:name w:val="annotation subject"/>
    <w:basedOn w:val="CommentText"/>
    <w:next w:val="CommentText"/>
    <w:semiHidden/>
    <w:pPr>
      <w:spacing w:after="0" w:line="240" w:lineRule="auto"/>
    </w:pPr>
    <w:rPr>
      <w:b/>
      <w:bCs/>
      <w:sz w:val="20"/>
      <w:szCs w:val="20"/>
    </w:rPr>
  </w:style>
  <w:style w:type="character" w:customStyle="1" w:styleId="CommentSubjectChar">
    <w:name w:val="Comment Subject Char"/>
    <w:basedOn w:val="CommentTextChar"/>
    <w:semiHidden/>
    <w:locked/>
    <w:rPr>
      <w:b/>
      <w:bCs/>
      <w:sz w:val="20"/>
      <w:szCs w:val="20"/>
    </w:rPr>
  </w:style>
  <w:style w:type="paragraph" w:styleId="Revision">
    <w:name w:val="Revision"/>
    <w:hidden/>
    <w:semiHidden/>
    <w:rPr>
      <w:rFonts w:eastAsia="MS Mincho" w:cs="Times New Roman"/>
      <w:snapToGrid w:val="0"/>
      <w:sz w:val="22"/>
      <w:szCs w:val="22"/>
      <w:lang w:val="en-GB"/>
    </w:rPr>
  </w:style>
  <w:style w:type="character" w:customStyle="1" w:styleId="UnresolvedMention">
    <w:name w:val="Unresolved Mention"/>
    <w:basedOn w:val="DefaultParagraphFont"/>
    <w:semiHidden/>
    <w:rPr>
      <w:color w:val="auto"/>
      <w:shd w:val="clear" w:color="auto" w:fill="auto"/>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bch.cbd.int/es/repor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c/812c/6bb1/4de7040fa0c19a055116ccba/cp-mop-09-10-es.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decisions/cp-mop-09/cp-mop-09-dec-14-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onlineconferences/portal_art26/participants.shtml" TargetMode="External"/><Relationship Id="rId2" Type="http://schemas.openxmlformats.org/officeDocument/2006/relationships/hyperlink" Target="https://bch.cbd.int/onlineconferences/portal_art26/Forum2019.shtml" TargetMode="External"/><Relationship Id="rId1" Type="http://schemas.openxmlformats.org/officeDocument/2006/relationships/hyperlink" Target="http://bch.cbd.int/onlineconferences/portal_art26/Submissions2019.shtml" TargetMode="External"/><Relationship Id="rId4" Type="http://schemas.openxmlformats.org/officeDocument/2006/relationships/hyperlink" Target="http://bch.cbd.int/onlineconferences/portal_art26/Submissions2019.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12</Pages>
  <Words>4342</Words>
  <Characters>24015</Characters>
  <Application>Microsoft Office Word</Application>
  <DocSecurity>0</DocSecurity>
  <Lines>381</Lines>
  <Paragraphs>180</Paragraphs>
  <ScaleCrop>false</ScaleCrop>
  <HeadingPairs>
    <vt:vector size="2" baseType="variant">
      <vt:variant>
        <vt:lpstr>Title</vt:lpstr>
      </vt:variant>
      <vt:variant>
        <vt:i4>1</vt:i4>
      </vt:variant>
    </vt:vector>
  </HeadingPairs>
  <TitlesOfParts>
    <vt:vector size="1" baseType="lpstr">
      <vt:lpstr>Socio-economic considerations (Article 26)</vt:lpstr>
    </vt:vector>
  </TitlesOfParts>
  <Company>SCBD</Company>
  <LinksUpToDate>false</LinksUpToDate>
  <CharactersWithSpaces>28177</CharactersWithSpaces>
  <SharedDoc>false</SharedDoc>
  <HLinks>
    <vt:vector size="48" baseType="variant">
      <vt:variant>
        <vt:i4>2162788</vt:i4>
      </vt:variant>
      <vt:variant>
        <vt:i4>6</vt:i4>
      </vt:variant>
      <vt:variant>
        <vt:i4>0</vt:i4>
      </vt:variant>
      <vt:variant>
        <vt:i4>5</vt:i4>
      </vt:variant>
      <vt:variant>
        <vt:lpwstr>https://bch.cbd.int/es/reports</vt:lpwstr>
      </vt:variant>
      <vt:variant>
        <vt:lpwstr/>
      </vt:variant>
      <vt:variant>
        <vt:i4>1966167</vt:i4>
      </vt:variant>
      <vt:variant>
        <vt:i4>3</vt:i4>
      </vt:variant>
      <vt:variant>
        <vt:i4>0</vt:i4>
      </vt:variant>
      <vt:variant>
        <vt:i4>5</vt:i4>
      </vt:variant>
      <vt:variant>
        <vt:lpwstr>https://www.cbd.int/doc/c/812c/6bb1/4de7040fa0c19a055116ccba/cp-mop-09-10-es.pdf</vt:lpwstr>
      </vt:variant>
      <vt:variant>
        <vt:lpwstr/>
      </vt:variant>
      <vt:variant>
        <vt:i4>7340077</vt:i4>
      </vt:variant>
      <vt:variant>
        <vt:i4>0</vt:i4>
      </vt:variant>
      <vt:variant>
        <vt:i4>0</vt:i4>
      </vt:variant>
      <vt:variant>
        <vt:i4>5</vt:i4>
      </vt:variant>
      <vt:variant>
        <vt:lpwstr>https://www.cbd.int/doc/decisions/cp-mop-09/cp-mop-09-dec-14-es.pdf</vt:lpwstr>
      </vt:variant>
      <vt:variant>
        <vt:lpwstr/>
      </vt:variant>
      <vt:variant>
        <vt:i4>6029369</vt:i4>
      </vt:variant>
      <vt:variant>
        <vt:i4>12</vt:i4>
      </vt:variant>
      <vt:variant>
        <vt:i4>0</vt:i4>
      </vt:variant>
      <vt:variant>
        <vt:i4>5</vt:i4>
      </vt:variant>
      <vt:variant>
        <vt:lpwstr>http://bch.cbd.int/onlineconferences/portal_art26/Submissions2019.shtml</vt:lpwstr>
      </vt:variant>
      <vt:variant>
        <vt:lpwstr/>
      </vt:variant>
      <vt:variant>
        <vt:i4>6815772</vt:i4>
      </vt:variant>
      <vt:variant>
        <vt:i4>9</vt:i4>
      </vt:variant>
      <vt:variant>
        <vt:i4>0</vt:i4>
      </vt:variant>
      <vt:variant>
        <vt:i4>5</vt:i4>
      </vt:variant>
      <vt:variant>
        <vt:lpwstr>http://bch.cbd.int/onlineconferences/portal_art26/participants.shtml</vt:lpwstr>
      </vt:variant>
      <vt:variant>
        <vt:lpwstr/>
      </vt:variant>
      <vt:variant>
        <vt:i4>5111814</vt:i4>
      </vt:variant>
      <vt:variant>
        <vt:i4>6</vt:i4>
      </vt:variant>
      <vt:variant>
        <vt:i4>0</vt:i4>
      </vt:variant>
      <vt:variant>
        <vt:i4>5</vt:i4>
      </vt:variant>
      <vt:variant>
        <vt:lpwstr>https://www.cbd.int/doc/notifications/2019/ntf-2019-031-bs-en.pdf</vt:lpwstr>
      </vt:variant>
      <vt:variant>
        <vt:lpwstr/>
      </vt:variant>
      <vt:variant>
        <vt:i4>2293825</vt:i4>
      </vt:variant>
      <vt:variant>
        <vt:i4>3</vt:i4>
      </vt:variant>
      <vt:variant>
        <vt:i4>0</vt:i4>
      </vt:variant>
      <vt:variant>
        <vt:i4>5</vt:i4>
      </vt:variant>
      <vt:variant>
        <vt:lpwstr>https://bch.cbd.int/onlineconferences/portal_art26/Forum2019.shtml</vt:lpwstr>
      </vt:variant>
      <vt:variant>
        <vt:lpwstr/>
      </vt:variant>
      <vt:variant>
        <vt:i4>6029369</vt:i4>
      </vt:variant>
      <vt:variant>
        <vt:i4>0</vt:i4>
      </vt:variant>
      <vt:variant>
        <vt:i4>0</vt:i4>
      </vt:variant>
      <vt:variant>
        <vt:i4>5</vt:i4>
      </vt:variant>
      <vt:variant>
        <vt:lpwstr>http://bch.cbd.int/onlineconferences/portal_art26/Submissions2019.shtml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 (Article 26)</dc:title>
  <dc:subject>CBD/CP/MOP/10/11</dc:subject>
  <dc:creator>SCBD</dc:creator>
  <cp:keywords>Conference of the Parties to the Convention on Biological Diversity serving as the meeting of the Parties to the Cartagena Protocol on Biosafety, tenth meeting (Part II)</cp:keywords>
  <cp:lastModifiedBy>Laura Perez</cp:lastModifiedBy>
  <cp:revision>13</cp:revision>
  <cp:lastPrinted>2022-01-28T11:39:00Z</cp:lastPrinted>
  <dcterms:created xsi:type="dcterms:W3CDTF">2022-01-28T16:38:00Z</dcterms:created>
  <dcterms:modified xsi:type="dcterms:W3CDTF">2022-01-28T18:09:00Z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