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16A34" w14:paraId="6AC55BB4" w14:textId="77777777" w:rsidTr="008A1499">
        <w:trPr>
          <w:trHeight w:val="850"/>
        </w:trPr>
        <w:tc>
          <w:tcPr>
            <w:tcW w:w="975" w:type="dxa"/>
            <w:vAlign w:val="bottom"/>
          </w:tcPr>
          <w:p w14:paraId="528843E6" w14:textId="77777777" w:rsidR="008A1499" w:rsidRPr="00C16A34" w:rsidRDefault="008A1499" w:rsidP="008A1499">
            <w:pPr>
              <w:pStyle w:val="AASmallLogo"/>
              <w:rPr>
                <w:lang w:val="es-419"/>
              </w:rPr>
            </w:pPr>
            <w:r w:rsidRPr="00C16A34">
              <w:rPr>
                <w:noProof/>
                <w:lang w:val="en-US"/>
              </w:rPr>
              <w:drawing>
                <wp:inline distT="0" distB="0" distL="0" distR="0" wp14:anchorId="61DC45CD" wp14:editId="5A6EAD3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50A1A4A6" w14:textId="77777777" w:rsidR="008A1499" w:rsidRPr="00C16A34" w:rsidRDefault="008A1499" w:rsidP="008A1499">
            <w:pPr>
              <w:pStyle w:val="AASmallLogo"/>
              <w:rPr>
                <w:lang w:val="es-419"/>
              </w:rPr>
            </w:pPr>
          </w:p>
        </w:tc>
        <w:tc>
          <w:tcPr>
            <w:tcW w:w="1434" w:type="dxa"/>
            <w:noWrap/>
            <w:vAlign w:val="bottom"/>
          </w:tcPr>
          <w:p w14:paraId="643642D4" w14:textId="77777777" w:rsidR="008A1499" w:rsidRPr="00C16A34" w:rsidRDefault="004671B8" w:rsidP="008A1499">
            <w:pPr>
              <w:pStyle w:val="AASmallLogo"/>
              <w:rPr>
                <w:lang w:val="es-419"/>
              </w:rPr>
            </w:pPr>
            <w:r w:rsidRPr="00C16A34">
              <w:rPr>
                <w:noProof/>
                <w:lang w:val="en-US"/>
              </w:rPr>
              <w:drawing>
                <wp:inline distT="0" distB="0" distL="0" distR="0" wp14:anchorId="62F774A9" wp14:editId="4A437041">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10AEA6A5" w14:textId="77777777" w:rsidR="008A1499" w:rsidRPr="00C16A34" w:rsidRDefault="008A1499" w:rsidP="008A1499">
            <w:pPr>
              <w:pStyle w:val="AASmallLogo"/>
              <w:rPr>
                <w:lang w:val="es-419"/>
              </w:rPr>
            </w:pPr>
          </w:p>
        </w:tc>
        <w:tc>
          <w:tcPr>
            <w:tcW w:w="8073" w:type="dxa"/>
            <w:vAlign w:val="bottom"/>
          </w:tcPr>
          <w:p w14:paraId="173BC370" w14:textId="14678169" w:rsidR="008A1499" w:rsidRPr="00C16A34" w:rsidRDefault="008A1499" w:rsidP="00C16A34">
            <w:pPr>
              <w:pStyle w:val="ABSymbol"/>
              <w:rPr>
                <w:lang w:val="es-419"/>
              </w:rPr>
            </w:pPr>
            <w:r w:rsidRPr="00C16A34">
              <w:rPr>
                <w:sz w:val="40"/>
                <w:lang w:val="es-419"/>
              </w:rPr>
              <w:t>CBD</w:t>
            </w:r>
            <w:r w:rsidRPr="00C16A34">
              <w:rPr>
                <w:lang w:val="es-419"/>
              </w:rPr>
              <w:t>/</w:t>
            </w:r>
            <w:r w:rsidR="00F041E5" w:rsidRPr="00C16A34">
              <w:rPr>
                <w:lang w:val="es-419"/>
              </w:rPr>
              <w:t>C</w:t>
            </w:r>
            <w:r w:rsidR="00975047" w:rsidRPr="00C16A34">
              <w:rPr>
                <w:lang w:val="es-419"/>
              </w:rPr>
              <w:t>P</w:t>
            </w:r>
            <w:r w:rsidRPr="00C16A34">
              <w:rPr>
                <w:lang w:val="es-419"/>
              </w:rPr>
              <w:t>/</w:t>
            </w:r>
            <w:r w:rsidR="00975047" w:rsidRPr="00C16A34">
              <w:rPr>
                <w:lang w:val="es-419"/>
              </w:rPr>
              <w:t>MOP/</w:t>
            </w:r>
            <w:r w:rsidR="00F041E5" w:rsidRPr="00C16A34">
              <w:rPr>
                <w:lang w:val="es-419"/>
              </w:rPr>
              <w:t>12</w:t>
            </w:r>
            <w:r w:rsidR="00975047" w:rsidRPr="00C16A34">
              <w:rPr>
                <w:lang w:val="es-419"/>
              </w:rPr>
              <w:t>/</w:t>
            </w:r>
            <w:r w:rsidR="00C16A34" w:rsidRPr="00C16A34">
              <w:rPr>
                <w:lang w:val="es-419"/>
              </w:rPr>
              <w:t>L</w:t>
            </w:r>
            <w:r w:rsidR="001643E3" w:rsidRPr="00C16A34">
              <w:rPr>
                <w:lang w:val="es-419"/>
              </w:rPr>
              <w:t>.</w:t>
            </w:r>
            <w:r w:rsidR="00430684">
              <w:rPr>
                <w:lang w:val="es-419"/>
              </w:rPr>
              <w:t>3</w:t>
            </w:r>
          </w:p>
        </w:tc>
      </w:tr>
    </w:tbl>
    <w:p w14:paraId="305BF530" w14:textId="77777777" w:rsidR="008A1499" w:rsidRPr="00C16A34"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16A34" w14:paraId="3E07EE61" w14:textId="77777777" w:rsidTr="008A1499">
        <w:trPr>
          <w:trHeight w:val="1814"/>
        </w:trPr>
        <w:tc>
          <w:tcPr>
            <w:tcW w:w="7370" w:type="dxa"/>
          </w:tcPr>
          <w:p w14:paraId="52DA0263" w14:textId="77777777" w:rsidR="008A1499" w:rsidRPr="00C16A34" w:rsidRDefault="004671B8" w:rsidP="008A1499">
            <w:pPr>
              <w:pStyle w:val="ACLargeLogo"/>
              <w:rPr>
                <w:lang w:val="es-419"/>
              </w:rPr>
            </w:pPr>
            <w:r w:rsidRPr="00C16A34">
              <w:rPr>
                <w:noProof/>
                <w:lang w:val="en-US"/>
              </w:rPr>
              <w:drawing>
                <wp:inline distT="0" distB="0" distL="0" distR="0" wp14:anchorId="183646EE" wp14:editId="754BDFB7">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p w14:paraId="109A628A" w14:textId="77777777" w:rsidR="008A1499" w:rsidRPr="00C16A34" w:rsidRDefault="008A1499" w:rsidP="008A1499">
            <w:pPr>
              <w:pStyle w:val="ACLargeLogo"/>
              <w:rPr>
                <w:lang w:val="es-419"/>
              </w:rPr>
            </w:pPr>
          </w:p>
        </w:tc>
        <w:tc>
          <w:tcPr>
            <w:tcW w:w="3112" w:type="dxa"/>
          </w:tcPr>
          <w:p w14:paraId="0DC3020E" w14:textId="77777777" w:rsidR="008A1499" w:rsidRPr="00C16A34" w:rsidRDefault="008A1499" w:rsidP="008A1499">
            <w:pPr>
              <w:pStyle w:val="AEDistrNormal"/>
              <w:rPr>
                <w:lang w:val="es-419"/>
              </w:rPr>
            </w:pPr>
            <w:r w:rsidRPr="00C16A34">
              <w:rPr>
                <w:lang w:val="es-419"/>
              </w:rPr>
              <w:t>Distr.</w:t>
            </w:r>
            <w:r w:rsidR="004671B8" w:rsidRPr="00C16A34">
              <w:rPr>
                <w:lang w:val="es-419"/>
              </w:rPr>
              <w:t xml:space="preserve"> limitada</w:t>
            </w:r>
          </w:p>
          <w:p w14:paraId="0D32963A" w14:textId="77777777" w:rsidR="008A1499" w:rsidRPr="00C16A34" w:rsidRDefault="00922A8F" w:rsidP="008A1499">
            <w:pPr>
              <w:pStyle w:val="AEDistrNormal"/>
              <w:rPr>
                <w:lang w:val="es-419"/>
              </w:rPr>
            </w:pPr>
            <w:r w:rsidRPr="00C16A34">
              <w:rPr>
                <w:lang w:val="es-419"/>
              </w:rPr>
              <w:t>2</w:t>
            </w:r>
            <w:r w:rsidR="00C16A34" w:rsidRPr="00C16A34">
              <w:rPr>
                <w:lang w:val="es-419"/>
              </w:rPr>
              <w:t>2</w:t>
            </w:r>
            <w:r w:rsidRPr="00C16A34">
              <w:rPr>
                <w:lang w:val="es-419"/>
              </w:rPr>
              <w:t xml:space="preserve"> </w:t>
            </w:r>
            <w:r w:rsidR="004671B8" w:rsidRPr="00C16A34">
              <w:rPr>
                <w:lang w:val="es-419"/>
              </w:rPr>
              <w:t>de octubre de</w:t>
            </w:r>
            <w:r w:rsidR="008D41D3" w:rsidRPr="00C16A34">
              <w:rPr>
                <w:lang w:val="es-419"/>
              </w:rPr>
              <w:t xml:space="preserve"> 2026</w:t>
            </w:r>
          </w:p>
          <w:p w14:paraId="68B9D8F4" w14:textId="77777777" w:rsidR="004671B8" w:rsidRPr="00C16A34" w:rsidRDefault="004671B8" w:rsidP="004671B8">
            <w:pPr>
              <w:pStyle w:val="AEDistrNormal"/>
              <w:rPr>
                <w:lang w:val="es-419"/>
              </w:rPr>
            </w:pPr>
            <w:r w:rsidRPr="00C16A34">
              <w:rPr>
                <w:lang w:val="es-419"/>
              </w:rPr>
              <w:t>Español</w:t>
            </w:r>
          </w:p>
          <w:p w14:paraId="3CC4F716" w14:textId="77777777" w:rsidR="008A1499" w:rsidRPr="00C16A34" w:rsidRDefault="008A1499" w:rsidP="004671B8">
            <w:pPr>
              <w:pStyle w:val="AEDistrNormal"/>
              <w:rPr>
                <w:lang w:val="es-419"/>
              </w:rPr>
            </w:pPr>
            <w:r w:rsidRPr="00C16A34">
              <w:rPr>
                <w:lang w:val="es-419"/>
              </w:rPr>
              <w:t xml:space="preserve">Original: </w:t>
            </w:r>
            <w:r w:rsidR="004671B8" w:rsidRPr="00C16A34">
              <w:rPr>
                <w:lang w:val="es-419"/>
              </w:rPr>
              <w:t>inglés</w:t>
            </w:r>
            <w:r w:rsidRPr="00C16A34">
              <w:rPr>
                <w:lang w:val="es-419"/>
              </w:rPr>
              <w:t xml:space="preserve"> </w:t>
            </w:r>
          </w:p>
          <w:p w14:paraId="6B47D6CA" w14:textId="77777777" w:rsidR="008A1499" w:rsidRPr="00C16A34" w:rsidRDefault="008A1499" w:rsidP="008A1499">
            <w:pPr>
              <w:pStyle w:val="AEDistrNormal6pt"/>
              <w:rPr>
                <w:lang w:val="es-419"/>
              </w:rPr>
            </w:pPr>
          </w:p>
        </w:tc>
      </w:tr>
    </w:tbl>
    <w:p w14:paraId="5150E7C3" w14:textId="77777777" w:rsidR="008A1499" w:rsidRPr="00C16A34"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30684" w14:paraId="1CD5F6DE" w14:textId="77777777" w:rsidTr="00AC5AF4">
        <w:trPr>
          <w:trHeight w:val="2455"/>
        </w:trPr>
        <w:tc>
          <w:tcPr>
            <w:tcW w:w="6094" w:type="dxa"/>
          </w:tcPr>
          <w:p w14:paraId="27D80C97" w14:textId="77777777" w:rsidR="008A1499" w:rsidRPr="00C16A34" w:rsidRDefault="004671B8" w:rsidP="008A1499">
            <w:pPr>
              <w:pStyle w:val="AFCorN12Bold"/>
              <w:rPr>
                <w:lang w:val="es-419"/>
              </w:rPr>
            </w:pPr>
            <w:r w:rsidRPr="00C16A34">
              <w:rPr>
                <w:lang w:val="es-419"/>
              </w:rPr>
              <w:t>Conferencia de las Partes en el Convenio sobre la Diversidad Biológica que actúa como reunión de las Partes en el Protocolo de Cartagena sobre Seguridad de la Biotecnología</w:t>
            </w:r>
          </w:p>
          <w:p w14:paraId="2667D426" w14:textId="77777777" w:rsidR="008A1499" w:rsidRPr="00C16A34" w:rsidRDefault="004671B8" w:rsidP="008A1499">
            <w:pPr>
              <w:pStyle w:val="AFCorNBold"/>
              <w:rPr>
                <w:lang w:val="es-419"/>
              </w:rPr>
            </w:pPr>
            <w:r w:rsidRPr="00C16A34">
              <w:rPr>
                <w:lang w:val="es-419"/>
              </w:rPr>
              <w:t>12ª reunión</w:t>
            </w:r>
            <w:r w:rsidR="008A1499" w:rsidRPr="00C16A34">
              <w:rPr>
                <w:lang w:val="es-419"/>
              </w:rPr>
              <w:t xml:space="preserve"> </w:t>
            </w:r>
          </w:p>
          <w:p w14:paraId="784280BB" w14:textId="77777777" w:rsidR="008A1499" w:rsidRPr="00C16A34" w:rsidRDefault="004671B8" w:rsidP="008A1499">
            <w:pPr>
              <w:pStyle w:val="AFCorNNormal"/>
              <w:rPr>
                <w:lang w:val="es-419"/>
              </w:rPr>
            </w:pPr>
            <w:r w:rsidRPr="00C16A34">
              <w:rPr>
                <w:lang w:val="es-419"/>
              </w:rPr>
              <w:t>Ereván, 19 a 30 de octubre de 2026</w:t>
            </w:r>
          </w:p>
          <w:p w14:paraId="2A51785A" w14:textId="77777777" w:rsidR="008A1499" w:rsidRPr="00C16A34" w:rsidRDefault="004671B8" w:rsidP="008A1499">
            <w:pPr>
              <w:pStyle w:val="AFCorNNormal"/>
              <w:rPr>
                <w:lang w:val="es-419"/>
              </w:rPr>
            </w:pPr>
            <w:r w:rsidRPr="00C16A34">
              <w:rPr>
                <w:lang w:val="es-419"/>
              </w:rPr>
              <w:t>Tema 17 del programa</w:t>
            </w:r>
          </w:p>
          <w:p w14:paraId="1282D643" w14:textId="77777777" w:rsidR="0027049E" w:rsidRPr="00C16A34" w:rsidRDefault="004671B8" w:rsidP="00C16A34">
            <w:pPr>
              <w:pStyle w:val="AFCorNBold"/>
              <w:rPr>
                <w:lang w:val="es-419"/>
              </w:rPr>
            </w:pPr>
            <w:r w:rsidRPr="00C16A34">
              <w:rPr>
                <w:lang w:val="es-419"/>
              </w:rPr>
              <w:t>Protocolo Suplementario de Nagoya-Kuala Lumpur sobre Responsabilidad y Compensación</w:t>
            </w:r>
          </w:p>
        </w:tc>
        <w:tc>
          <w:tcPr>
            <w:tcW w:w="4388" w:type="dxa"/>
          </w:tcPr>
          <w:p w14:paraId="40627958" w14:textId="77777777" w:rsidR="008A1499" w:rsidRPr="00C16A34" w:rsidRDefault="008A1499" w:rsidP="008A1499">
            <w:pPr>
              <w:pStyle w:val="CBDNormal"/>
              <w:jc w:val="left"/>
              <w:rPr>
                <w:lang w:val="es-419"/>
              </w:rPr>
            </w:pPr>
          </w:p>
        </w:tc>
      </w:tr>
    </w:tbl>
    <w:p w14:paraId="576C6A94" w14:textId="77777777" w:rsidR="00C9161D" w:rsidRPr="00C16A34" w:rsidRDefault="00EC3BC0" w:rsidP="00A111D1">
      <w:pPr>
        <w:pStyle w:val="CBDTitle"/>
        <w:rPr>
          <w:caps/>
          <w:lang w:val="es-419"/>
        </w:rPr>
      </w:pPr>
      <w:sdt>
        <w:sdtPr>
          <w:rPr>
            <w:sz w:val="26"/>
            <w:szCs w:val="26"/>
            <w:lang w:val="es-419"/>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4671B8" w:rsidRPr="00C16A34">
            <w:rPr>
              <w:sz w:val="26"/>
              <w:szCs w:val="26"/>
              <w:lang w:val="es-419"/>
            </w:rPr>
            <w:t xml:space="preserve">Protocolo Suplementario de </w:t>
          </w:r>
          <w:r w:rsidR="00651D4C" w:rsidRPr="00C16A34">
            <w:rPr>
              <w:sz w:val="26"/>
              <w:szCs w:val="26"/>
              <w:lang w:val="es-419"/>
            </w:rPr>
            <w:t xml:space="preserve">Nagoya-Kuala Lumpur </w:t>
          </w:r>
          <w:r w:rsidR="004671B8" w:rsidRPr="00C16A34">
            <w:rPr>
              <w:sz w:val="26"/>
              <w:szCs w:val="26"/>
              <w:lang w:val="es-419"/>
            </w:rPr>
            <w:t>sobre Responsabilidad y Compensación</w:t>
          </w:r>
        </w:sdtContent>
      </w:sdt>
    </w:p>
    <w:p w14:paraId="17443DBE" w14:textId="77777777" w:rsidR="00F6586C" w:rsidRPr="00C16A34" w:rsidRDefault="004671B8" w:rsidP="00A111D1">
      <w:pPr>
        <w:pStyle w:val="CBDSubTitle"/>
        <w:rPr>
          <w:lang w:val="es-419"/>
        </w:rPr>
      </w:pPr>
      <w:r w:rsidRPr="00C16A34">
        <w:rPr>
          <w:lang w:val="es-419"/>
        </w:rPr>
        <w:t xml:space="preserve">Proyecto de decisión presentado por la Presidencia del Grupo de </w:t>
      </w:r>
      <w:r w:rsidR="009C1EC7">
        <w:rPr>
          <w:lang w:val="es-419"/>
        </w:rPr>
        <w:t>T</w:t>
      </w:r>
      <w:r w:rsidRPr="00C16A34">
        <w:rPr>
          <w:lang w:val="es-419"/>
        </w:rPr>
        <w:t xml:space="preserve">rabajo </w:t>
      </w:r>
      <w:r w:rsidR="0027049E" w:rsidRPr="00C16A34">
        <w:rPr>
          <w:lang w:val="es-419"/>
        </w:rPr>
        <w:t>II</w:t>
      </w:r>
    </w:p>
    <w:p w14:paraId="300165FC" w14:textId="77777777" w:rsidR="00647135" w:rsidRPr="00C16A34" w:rsidRDefault="004671B8" w:rsidP="00647135">
      <w:pPr>
        <w:pStyle w:val="Para10"/>
        <w:tabs>
          <w:tab w:val="clear" w:pos="1134"/>
        </w:tabs>
        <w:ind w:firstLine="567"/>
        <w:rPr>
          <w:lang w:val="es-419"/>
        </w:rPr>
      </w:pPr>
      <w:r w:rsidRPr="00C16A34">
        <w:rPr>
          <w:i/>
          <w:iCs/>
          <w:lang w:val="es-419"/>
        </w:rPr>
        <w:t>La Conferencia de las Partes que actúa como reunión de las Partes en el Protocolo de Cartagena y que también actúa como reunión de las Partes en el Protocolo Suplementario de Nagoya-Kuala Lumpur</w:t>
      </w:r>
      <w:r w:rsidR="00647135" w:rsidRPr="00C16A34">
        <w:rPr>
          <w:rStyle w:val="FootnoteReference"/>
          <w:lang w:val="es-419"/>
        </w:rPr>
        <w:footnoteReference w:id="1"/>
      </w:r>
      <w:r w:rsidRPr="00C16A34">
        <w:rPr>
          <w:lang w:val="es-419"/>
        </w:rPr>
        <w:t>,</w:t>
      </w:r>
    </w:p>
    <w:p w14:paraId="12032E53" w14:textId="77777777" w:rsidR="00647135" w:rsidRPr="00C16A34" w:rsidRDefault="00647135" w:rsidP="00647135">
      <w:pPr>
        <w:pStyle w:val="Para10"/>
        <w:tabs>
          <w:tab w:val="clear" w:pos="1134"/>
        </w:tabs>
        <w:ind w:firstLine="567"/>
        <w:rPr>
          <w:rFonts w:asciiTheme="majorBidi" w:eastAsiaTheme="minorEastAsia" w:hAnsiTheme="majorBidi" w:cstheme="majorBidi"/>
          <w:lang w:val="es-419"/>
        </w:rPr>
      </w:pPr>
      <w:r w:rsidRPr="00C16A34">
        <w:rPr>
          <w:rFonts w:asciiTheme="majorBidi" w:eastAsiaTheme="minorEastAsia" w:hAnsiTheme="majorBidi" w:cstheme="majorBidi"/>
          <w:i/>
          <w:iCs/>
          <w:lang w:val="es-419"/>
        </w:rPr>
        <w:t>R</w:t>
      </w:r>
      <w:r w:rsidR="004671B8" w:rsidRPr="00C16A34">
        <w:rPr>
          <w:i/>
          <w:lang w:val="es-419"/>
        </w:rPr>
        <w:t>ecordando</w:t>
      </w:r>
      <w:r w:rsidR="004671B8" w:rsidRPr="00C16A34">
        <w:rPr>
          <w:lang w:val="es-419"/>
        </w:rPr>
        <w:t xml:space="preserve"> el artículo</w:t>
      </w:r>
      <w:r w:rsidR="009C1EC7">
        <w:rPr>
          <w:lang w:val="es-419"/>
        </w:rPr>
        <w:t> </w:t>
      </w:r>
      <w:r w:rsidR="004671B8" w:rsidRPr="00C16A34">
        <w:rPr>
          <w:lang w:val="es-419"/>
        </w:rPr>
        <w:t>13 del Protocolo de Nagoya-Kuala Lumpur sobre Responsabilidad y Compensación Suplementario al Protocolo de Cartagena sobre Seguridad de la Biotecnología</w:t>
      </w:r>
      <w:r w:rsidRPr="00C16A34">
        <w:rPr>
          <w:rStyle w:val="FootnoteReference"/>
          <w:rFonts w:asciiTheme="majorBidi" w:eastAsiaTheme="minorEastAsia" w:hAnsiTheme="majorBidi" w:cstheme="majorBidi"/>
          <w:lang w:val="es-419"/>
        </w:rPr>
        <w:footnoteReference w:id="2"/>
      </w:r>
      <w:r w:rsidR="004671B8" w:rsidRPr="00C16A34">
        <w:rPr>
          <w:lang w:val="es-419"/>
        </w:rPr>
        <w:t>,</w:t>
      </w:r>
    </w:p>
    <w:p w14:paraId="7D0AB160" w14:textId="77777777" w:rsidR="00647135" w:rsidRPr="00C16A34" w:rsidRDefault="004671B8" w:rsidP="00647135">
      <w:pPr>
        <w:pStyle w:val="Para10"/>
        <w:tabs>
          <w:tab w:val="clear" w:pos="1134"/>
        </w:tabs>
        <w:ind w:firstLine="567"/>
        <w:rPr>
          <w:rFonts w:asciiTheme="majorBidi" w:eastAsiaTheme="minorEastAsia" w:hAnsiTheme="majorBidi" w:cstheme="majorBidi"/>
          <w:lang w:val="es-419"/>
        </w:rPr>
      </w:pPr>
      <w:r w:rsidRPr="00C16A34">
        <w:rPr>
          <w:i/>
          <w:lang w:val="es-419"/>
        </w:rPr>
        <w:t>Recordando también</w:t>
      </w:r>
      <w:r w:rsidRPr="00C16A34">
        <w:rPr>
          <w:lang w:val="es-419"/>
        </w:rPr>
        <w:t xml:space="preserve"> la meta A.10 del plan de aplicació</w:t>
      </w:r>
      <w:r w:rsidR="00647135" w:rsidRPr="00C16A34">
        <w:rPr>
          <w:rFonts w:asciiTheme="majorBidi" w:hAnsiTheme="majorBidi" w:cstheme="majorBidi"/>
          <w:lang w:val="es-419"/>
        </w:rPr>
        <w:t>n</w:t>
      </w:r>
      <w:r w:rsidR="00647135" w:rsidRPr="00C16A34">
        <w:rPr>
          <w:rStyle w:val="FootnoteReference"/>
          <w:rFonts w:asciiTheme="majorBidi" w:hAnsiTheme="majorBidi" w:cstheme="majorBidi"/>
          <w:lang w:val="es-419"/>
        </w:rPr>
        <w:footnoteReference w:id="3"/>
      </w:r>
      <w:r w:rsidR="00647135" w:rsidRPr="00C16A34">
        <w:rPr>
          <w:rFonts w:asciiTheme="majorBidi" w:eastAsiaTheme="minorEastAsia" w:hAnsiTheme="majorBidi" w:cstheme="majorBidi"/>
          <w:lang w:val="es-419"/>
        </w:rPr>
        <w:t xml:space="preserve"> </w:t>
      </w:r>
      <w:r w:rsidRPr="00C16A34">
        <w:rPr>
          <w:rFonts w:asciiTheme="majorBidi" w:eastAsiaTheme="minorEastAsia" w:hAnsiTheme="majorBidi" w:cstheme="majorBidi"/>
          <w:lang w:val="es-419"/>
        </w:rPr>
        <w:t xml:space="preserve">y </w:t>
      </w:r>
      <w:r w:rsidRPr="00C16A34">
        <w:rPr>
          <w:lang w:val="es-419"/>
        </w:rPr>
        <w:t>el plan de acción para la creación de capacidad</w:t>
      </w:r>
      <w:r w:rsidR="00647135" w:rsidRPr="00C16A34">
        <w:rPr>
          <w:rStyle w:val="FootnoteReference"/>
          <w:rFonts w:asciiTheme="majorBidi" w:eastAsiaTheme="minorEastAsia" w:hAnsiTheme="majorBidi" w:cstheme="majorBidi"/>
          <w:lang w:val="es-419"/>
        </w:rPr>
        <w:footnoteReference w:id="4"/>
      </w:r>
      <w:r w:rsidR="00647135" w:rsidRPr="00C16A34">
        <w:rPr>
          <w:rFonts w:asciiTheme="majorBidi" w:eastAsiaTheme="minorEastAsia" w:hAnsiTheme="majorBidi" w:cstheme="majorBidi"/>
          <w:lang w:val="es-419"/>
        </w:rPr>
        <w:t xml:space="preserve"> </w:t>
      </w:r>
      <w:r w:rsidRPr="00C16A34">
        <w:rPr>
          <w:rFonts w:asciiTheme="majorBidi" w:eastAsiaTheme="minorEastAsia" w:hAnsiTheme="majorBidi" w:cstheme="majorBidi"/>
          <w:lang w:val="es-419"/>
        </w:rPr>
        <w:t xml:space="preserve">para </w:t>
      </w:r>
      <w:r w:rsidRPr="00C16A34">
        <w:rPr>
          <w:lang w:val="es-419"/>
        </w:rPr>
        <w:t>el Protocolo de Cartagena sobre Seguridad de la Biotecnología</w:t>
      </w:r>
      <w:r w:rsidR="00647135" w:rsidRPr="00C16A34">
        <w:rPr>
          <w:rStyle w:val="FootnoteReference"/>
          <w:rFonts w:asciiTheme="majorBidi" w:eastAsiaTheme="minorEastAsia" w:hAnsiTheme="majorBidi" w:cstheme="majorBidi"/>
          <w:lang w:val="es-419"/>
        </w:rPr>
        <w:footnoteReference w:id="5"/>
      </w:r>
      <w:r w:rsidRPr="00C16A34">
        <w:rPr>
          <w:rFonts w:asciiTheme="majorBidi" w:eastAsiaTheme="minorEastAsia" w:hAnsiTheme="majorBidi" w:cstheme="majorBidi"/>
          <w:lang w:val="es-419"/>
        </w:rPr>
        <w:t>,</w:t>
      </w:r>
    </w:p>
    <w:p w14:paraId="44E7D93A" w14:textId="77777777" w:rsidR="00647135" w:rsidRPr="00C16A34" w:rsidRDefault="004671B8" w:rsidP="00647135">
      <w:pPr>
        <w:pStyle w:val="Para10"/>
        <w:tabs>
          <w:tab w:val="clear" w:pos="1134"/>
        </w:tabs>
        <w:ind w:firstLine="567"/>
        <w:rPr>
          <w:rFonts w:asciiTheme="majorBidi" w:eastAsiaTheme="minorEastAsia" w:hAnsiTheme="majorBidi" w:cstheme="majorBidi"/>
          <w:lang w:val="es-419"/>
        </w:rPr>
      </w:pPr>
      <w:r w:rsidRPr="00C16A34">
        <w:rPr>
          <w:i/>
          <w:lang w:val="es-419"/>
        </w:rPr>
        <w:t>Tomando nota</w:t>
      </w:r>
      <w:r w:rsidRPr="00C16A34">
        <w:rPr>
          <w:lang w:val="es-419"/>
        </w:rPr>
        <w:t xml:space="preserve"> de la información </w:t>
      </w:r>
      <w:r w:rsidR="00452980">
        <w:rPr>
          <w:lang w:val="es-419"/>
        </w:rPr>
        <w:t>apor</w:t>
      </w:r>
      <w:r w:rsidRPr="00C16A34">
        <w:rPr>
          <w:lang w:val="es-419"/>
        </w:rPr>
        <w:t>tada para la primera evaluación y revisión del Protocolo Suplementario de Nagoya-Kuala Lumpur</w:t>
      </w:r>
      <w:r w:rsidR="00647135" w:rsidRPr="00C16A34">
        <w:rPr>
          <w:rFonts w:ascii="Times" w:hAnsi="Times" w:cs="Times"/>
          <w:lang w:val="es-419"/>
        </w:rPr>
        <w:t>,</w:t>
      </w:r>
    </w:p>
    <w:p w14:paraId="0D856D40" w14:textId="77777777" w:rsidR="00647135" w:rsidRPr="00C16A34" w:rsidRDefault="00647135" w:rsidP="00647135">
      <w:pPr>
        <w:pStyle w:val="CBDNormalNoNumber"/>
        <w:ind w:firstLine="567"/>
        <w:rPr>
          <w:lang w:val="es-419"/>
        </w:rPr>
      </w:pPr>
      <w:r w:rsidRPr="00C16A34">
        <w:rPr>
          <w:iCs/>
          <w:lang w:val="es-419"/>
        </w:rPr>
        <w:t>1.</w:t>
      </w:r>
      <w:r w:rsidRPr="00C16A34">
        <w:rPr>
          <w:i/>
          <w:lang w:val="es-419"/>
        </w:rPr>
        <w:tab/>
      </w:r>
      <w:r w:rsidR="004671B8" w:rsidRPr="00C16A34">
        <w:rPr>
          <w:i/>
          <w:lang w:val="es-419"/>
        </w:rPr>
        <w:t>Acoge con satisfacción</w:t>
      </w:r>
      <w:r w:rsidR="004671B8" w:rsidRPr="00C16A34">
        <w:rPr>
          <w:lang w:val="es-419"/>
        </w:rPr>
        <w:t xml:space="preserve"> el instrumento adicional de adhesión al Protocolo de Nagoya Kuala Lumpur sobre Responsabilidad y Compensación Suplementario al Protocolo de Cartagena sobre Seguridad de la Biotecnología que se deposit</w:t>
      </w:r>
      <w:r w:rsidR="00452980">
        <w:rPr>
          <w:lang w:val="es-419"/>
        </w:rPr>
        <w:t>ó</w:t>
      </w:r>
      <w:r w:rsidR="004671B8" w:rsidRPr="00C16A34">
        <w:rPr>
          <w:lang w:val="es-419"/>
        </w:rPr>
        <w:t xml:space="preserve"> desde la adopción de la decisión</w:t>
      </w:r>
      <w:r w:rsidRPr="00C16A34">
        <w:rPr>
          <w:lang w:val="es-419"/>
        </w:rPr>
        <w:t xml:space="preserve"> </w:t>
      </w:r>
      <w:hyperlink r:id="rId15" w:history="1">
        <w:r w:rsidRPr="00C16A34">
          <w:rPr>
            <w:rStyle w:val="Hyperlink"/>
            <w:lang w:val="es-419"/>
          </w:rPr>
          <w:t>CP-11/10</w:t>
        </w:r>
      </w:hyperlink>
      <w:r w:rsidR="004671B8" w:rsidRPr="00C16A34">
        <w:rPr>
          <w:lang w:val="es-419"/>
        </w:rPr>
        <w:t>, de 25 de octubre de 2024</w:t>
      </w:r>
      <w:r w:rsidRPr="00C16A34">
        <w:rPr>
          <w:lang w:val="es-419"/>
        </w:rPr>
        <w:t>;</w:t>
      </w:r>
    </w:p>
    <w:p w14:paraId="52BCE84C" w14:textId="77777777" w:rsidR="00647135" w:rsidRPr="00C16A34" w:rsidRDefault="00647135" w:rsidP="00647135">
      <w:pPr>
        <w:pStyle w:val="CBDNormalNoNumber"/>
        <w:ind w:firstLine="567"/>
        <w:rPr>
          <w:lang w:val="es-419"/>
        </w:rPr>
      </w:pPr>
      <w:r w:rsidRPr="00C16A34">
        <w:rPr>
          <w:iCs/>
          <w:lang w:val="es-419"/>
        </w:rPr>
        <w:t>2.</w:t>
      </w:r>
      <w:r w:rsidRPr="00C16A34">
        <w:rPr>
          <w:i/>
          <w:lang w:val="es-419"/>
        </w:rPr>
        <w:tab/>
        <w:t>I</w:t>
      </w:r>
      <w:r w:rsidR="004671B8" w:rsidRPr="00C16A34">
        <w:rPr>
          <w:i/>
          <w:lang w:val="es-419"/>
        </w:rPr>
        <w:t>nvita</w:t>
      </w:r>
      <w:r w:rsidR="004671B8" w:rsidRPr="00C16A34">
        <w:rPr>
          <w:lang w:val="es-419"/>
        </w:rPr>
        <w:t xml:space="preserve"> a todas las Partes en el Protocolo de Cartagena que aún no lo hayan hecho a que depositen un instrumento de ratificación, aceptación, aprobación o adhesión al Protocolo Suplementario de Nagoya-Kuala Lumpur lo antes posible</w:t>
      </w:r>
      <w:r w:rsidRPr="00C16A34">
        <w:rPr>
          <w:lang w:val="es-419"/>
        </w:rPr>
        <w:t>;</w:t>
      </w:r>
    </w:p>
    <w:p w14:paraId="3428805B" w14:textId="77777777" w:rsidR="00647135" w:rsidRPr="00C16A34" w:rsidRDefault="00647135" w:rsidP="00647135">
      <w:pPr>
        <w:pStyle w:val="CBDNormalNoNumber"/>
        <w:ind w:firstLine="567"/>
        <w:rPr>
          <w:iCs/>
          <w:lang w:val="es-419"/>
        </w:rPr>
      </w:pPr>
      <w:r w:rsidRPr="00C16A34">
        <w:rPr>
          <w:lang w:val="es-419"/>
        </w:rPr>
        <w:t>3.</w:t>
      </w:r>
      <w:r w:rsidRPr="00C16A34">
        <w:rPr>
          <w:lang w:val="es-419"/>
        </w:rPr>
        <w:tab/>
      </w:r>
      <w:r w:rsidR="004D4AA2" w:rsidRPr="00C16A34">
        <w:rPr>
          <w:i/>
          <w:iCs/>
          <w:lang w:val="es-419"/>
        </w:rPr>
        <w:t>A</w:t>
      </w:r>
      <w:r w:rsidR="004D4AA2" w:rsidRPr="00C16A34">
        <w:rPr>
          <w:i/>
          <w:lang w:val="es-419"/>
        </w:rPr>
        <w:t>coge con satisfacción</w:t>
      </w:r>
      <w:r w:rsidR="004D4AA2" w:rsidRPr="00C16A34">
        <w:rPr>
          <w:lang w:val="es-419"/>
        </w:rPr>
        <w:t xml:space="preserve"> el hecho de que casi todas las Partes en el Protocolo Suplementario de Nagoya-Kuala Lumpur hayan comunicado la designación de una autoridad </w:t>
      </w:r>
      <w:r w:rsidR="004D4AA2" w:rsidRPr="00C16A34">
        <w:rPr>
          <w:lang w:val="es-419"/>
        </w:rPr>
        <w:lastRenderedPageBreak/>
        <w:t xml:space="preserve">competente para desempeñar las funciones establecidas en el artículo 5 del Protocolo Suplementario, pero expresa su preocupación </w:t>
      </w:r>
      <w:r w:rsidR="00042450">
        <w:rPr>
          <w:lang w:val="es-419"/>
        </w:rPr>
        <w:t>ante las</w:t>
      </w:r>
      <w:r w:rsidR="004D4AA2" w:rsidRPr="00C16A34">
        <w:rPr>
          <w:lang w:val="es-419"/>
        </w:rPr>
        <w:t xml:space="preserve"> relativamente pocas Partes que han facilitado información sobre dichas autoridades a través del Centro de Intercambio de Información sobre Seguridad de la Biotecnología, y alienta a las Partes a que actualicen y mantengan </w:t>
      </w:r>
      <w:r w:rsidR="00042450" w:rsidRPr="00C16A34">
        <w:rPr>
          <w:lang w:val="es-419"/>
        </w:rPr>
        <w:t xml:space="preserve">en </w:t>
      </w:r>
      <w:r w:rsidR="00042450">
        <w:rPr>
          <w:lang w:val="es-419"/>
        </w:rPr>
        <w:t>el</w:t>
      </w:r>
      <w:r w:rsidR="00042450" w:rsidRPr="00C16A34">
        <w:rPr>
          <w:lang w:val="es-419"/>
        </w:rPr>
        <w:t xml:space="preserve"> Centro de Intercambio de Información</w:t>
      </w:r>
      <w:r w:rsidR="00042450">
        <w:rPr>
          <w:lang w:val="es-419"/>
        </w:rPr>
        <w:t xml:space="preserve"> sobre Seguridad de la Biotecnología</w:t>
      </w:r>
      <w:r w:rsidR="00042450" w:rsidRPr="00C16A34">
        <w:rPr>
          <w:lang w:val="es-419"/>
        </w:rPr>
        <w:t xml:space="preserve"> </w:t>
      </w:r>
      <w:r w:rsidR="004D4AA2" w:rsidRPr="00C16A34">
        <w:rPr>
          <w:lang w:val="es-419"/>
        </w:rPr>
        <w:t>la información sobre sus autoridades competentes</w:t>
      </w:r>
      <w:r w:rsidRPr="00C16A34">
        <w:rPr>
          <w:iCs/>
          <w:lang w:val="es-419"/>
        </w:rPr>
        <w:t>;</w:t>
      </w:r>
    </w:p>
    <w:p w14:paraId="10D0E73F" w14:textId="77777777" w:rsidR="00647135" w:rsidRPr="00C16A34" w:rsidRDefault="00647135" w:rsidP="00647135">
      <w:pPr>
        <w:pStyle w:val="CBDNormalNoNumber"/>
        <w:ind w:firstLine="567"/>
        <w:rPr>
          <w:iCs/>
          <w:lang w:val="es-419"/>
        </w:rPr>
      </w:pPr>
      <w:r w:rsidRPr="00C16A34">
        <w:rPr>
          <w:iCs/>
          <w:lang w:val="es-419"/>
        </w:rPr>
        <w:t>4.</w:t>
      </w:r>
      <w:r w:rsidRPr="00C16A34">
        <w:rPr>
          <w:i/>
          <w:lang w:val="es-419"/>
        </w:rPr>
        <w:tab/>
      </w:r>
      <w:r w:rsidR="004D4AA2" w:rsidRPr="00C16A34">
        <w:rPr>
          <w:i/>
          <w:lang w:val="es-419"/>
        </w:rPr>
        <w:t>Acoge con satisfacción también</w:t>
      </w:r>
      <w:r w:rsidR="004D4AA2" w:rsidRPr="00C16A34">
        <w:rPr>
          <w:lang w:val="es-419"/>
        </w:rPr>
        <w:t xml:space="preserve"> la información relativa a la aplicación del Protocolo Suplementario de Nagoya-Kuala Lumpur facilitada por las Partes en el </w:t>
      </w:r>
      <w:r w:rsidR="00042450">
        <w:rPr>
          <w:lang w:val="es-419"/>
        </w:rPr>
        <w:t xml:space="preserve">Protocolo </w:t>
      </w:r>
      <w:r w:rsidR="00250DFC">
        <w:rPr>
          <w:lang w:val="es-419"/>
        </w:rPr>
        <w:t xml:space="preserve">Suplementario </w:t>
      </w:r>
      <w:r w:rsidR="004D4AA2" w:rsidRPr="00C16A34">
        <w:rPr>
          <w:lang w:val="es-419"/>
        </w:rPr>
        <w:t xml:space="preserve">y por otros Gobiernos </w:t>
      </w:r>
      <w:r w:rsidR="00250DFC">
        <w:rPr>
          <w:lang w:val="es-419"/>
        </w:rPr>
        <w:t>a través de</w:t>
      </w:r>
      <w:r w:rsidR="004D4AA2" w:rsidRPr="00C16A34">
        <w:rPr>
          <w:lang w:val="es-419"/>
        </w:rPr>
        <w:t xml:space="preserve"> sus quintos informes nacionales en virtud del Protocolo de Cartagena, </w:t>
      </w:r>
      <w:r w:rsidR="00042450">
        <w:rPr>
          <w:lang w:val="es-419"/>
        </w:rPr>
        <w:t xml:space="preserve">la </w:t>
      </w:r>
      <w:r w:rsidR="004D4AA2" w:rsidRPr="00C16A34">
        <w:rPr>
          <w:lang w:val="es-419"/>
        </w:rPr>
        <w:t>que ha servido de base para la primera evaluación y revisión de la eficacia del Protocolo Suplementario</w:t>
      </w:r>
      <w:r w:rsidRPr="00C16A34">
        <w:rPr>
          <w:iCs/>
          <w:lang w:val="es-419"/>
        </w:rPr>
        <w:t>;</w:t>
      </w:r>
    </w:p>
    <w:p w14:paraId="39441A9A" w14:textId="77777777" w:rsidR="00647135" w:rsidRPr="00C16A34" w:rsidRDefault="00647135" w:rsidP="00647135">
      <w:pPr>
        <w:pStyle w:val="CBDNormalNoNumber"/>
        <w:ind w:firstLine="567"/>
        <w:rPr>
          <w:lang w:val="es-419"/>
        </w:rPr>
      </w:pPr>
      <w:r w:rsidRPr="00C16A34">
        <w:rPr>
          <w:iCs/>
          <w:lang w:val="es-419"/>
        </w:rPr>
        <w:t>5.</w:t>
      </w:r>
      <w:r w:rsidRPr="00C16A34">
        <w:rPr>
          <w:iCs/>
          <w:lang w:val="es-419"/>
        </w:rPr>
        <w:tab/>
      </w:r>
      <w:r w:rsidR="004D4AA2" w:rsidRPr="00C16A34">
        <w:rPr>
          <w:i/>
          <w:lang w:val="es-419"/>
        </w:rPr>
        <w:t>Acoge con satisfacción asimismo</w:t>
      </w:r>
      <w:r w:rsidR="004D4AA2" w:rsidRPr="00C16A34">
        <w:rPr>
          <w:lang w:val="es-419"/>
        </w:rPr>
        <w:t xml:space="preserve"> las medidas adoptadas por las Partes en el Protocolo Suplementario de Nagoya-Kuala Lumpur </w:t>
      </w:r>
      <w:r w:rsidR="00250DFC">
        <w:rPr>
          <w:lang w:val="es-419"/>
        </w:rPr>
        <w:t>tendientes</w:t>
      </w:r>
      <w:r w:rsidR="004D4AA2" w:rsidRPr="00C16A34">
        <w:rPr>
          <w:lang w:val="es-419"/>
        </w:rPr>
        <w:t xml:space="preserve"> a su aplicación, al tiempo que reconoce que hay </w:t>
      </w:r>
      <w:r w:rsidR="00042450">
        <w:rPr>
          <w:lang w:val="es-419"/>
        </w:rPr>
        <w:t>aspectos</w:t>
      </w:r>
      <w:r w:rsidR="004D4AA2" w:rsidRPr="00C16A34">
        <w:rPr>
          <w:lang w:val="es-419"/>
        </w:rPr>
        <w:t xml:space="preserve"> en los que es necesario reforzar dicha aplicación</w:t>
      </w:r>
      <w:r w:rsidRPr="00C16A34">
        <w:rPr>
          <w:lang w:val="es-419"/>
        </w:rPr>
        <w:t>;</w:t>
      </w:r>
    </w:p>
    <w:p w14:paraId="04BD6110" w14:textId="77777777" w:rsidR="00647135" w:rsidRPr="00C16A34" w:rsidRDefault="00647135" w:rsidP="00647135">
      <w:pPr>
        <w:pStyle w:val="CBDNormalNoNumber"/>
        <w:ind w:firstLine="567"/>
        <w:rPr>
          <w:iCs/>
          <w:lang w:val="es-419"/>
        </w:rPr>
      </w:pPr>
      <w:r w:rsidRPr="00C16A34">
        <w:rPr>
          <w:iCs/>
          <w:lang w:val="es-419"/>
        </w:rPr>
        <w:t>6.</w:t>
      </w:r>
      <w:r w:rsidRPr="00C16A34">
        <w:rPr>
          <w:iCs/>
          <w:lang w:val="es-419"/>
        </w:rPr>
        <w:tab/>
      </w:r>
      <w:r w:rsidR="004D4AA2" w:rsidRPr="00C16A34">
        <w:rPr>
          <w:i/>
          <w:lang w:val="es-419"/>
        </w:rPr>
        <w:t>Reconoce</w:t>
      </w:r>
      <w:r w:rsidR="004D4AA2" w:rsidRPr="00C16A34">
        <w:rPr>
          <w:lang w:val="es-419"/>
        </w:rPr>
        <w:t xml:space="preserve"> que las medidas de </w:t>
      </w:r>
      <w:r w:rsidR="00042450">
        <w:rPr>
          <w:lang w:val="es-419"/>
        </w:rPr>
        <w:t>garantía</w:t>
      </w:r>
      <w:r w:rsidR="004D4AA2" w:rsidRPr="00C16A34">
        <w:rPr>
          <w:lang w:val="es-419"/>
        </w:rPr>
        <w:t xml:space="preserve"> financiera relativas a daños, según </w:t>
      </w:r>
      <w:r w:rsidR="00042450">
        <w:rPr>
          <w:lang w:val="es-419"/>
        </w:rPr>
        <w:t>la</w:t>
      </w:r>
      <w:r w:rsidR="004D4AA2" w:rsidRPr="00C16A34">
        <w:rPr>
          <w:lang w:val="es-419"/>
        </w:rPr>
        <w:t xml:space="preserve"> defin</w:t>
      </w:r>
      <w:r w:rsidR="00042450">
        <w:rPr>
          <w:lang w:val="es-419"/>
        </w:rPr>
        <w:t>ició</w:t>
      </w:r>
      <w:r w:rsidR="004D4AA2" w:rsidRPr="00C16A34">
        <w:rPr>
          <w:lang w:val="es-419"/>
        </w:rPr>
        <w:t xml:space="preserve">n </w:t>
      </w:r>
      <w:r w:rsidR="00042450">
        <w:rPr>
          <w:lang w:val="es-419"/>
        </w:rPr>
        <w:t xml:space="preserve">dada </w:t>
      </w:r>
      <w:r w:rsidR="004D4AA2" w:rsidRPr="00C16A34">
        <w:rPr>
          <w:lang w:val="es-419"/>
        </w:rPr>
        <w:t>en el Protocolo Suplementario de Nagoya-Kuala Lumpur, siguen siendo limitadas entre las Partes en el Protocolo</w:t>
      </w:r>
      <w:r w:rsidRPr="00C16A34">
        <w:rPr>
          <w:iCs/>
          <w:lang w:val="es-419"/>
        </w:rPr>
        <w:t>;</w:t>
      </w:r>
    </w:p>
    <w:p w14:paraId="7041517D" w14:textId="77777777" w:rsidR="00647135" w:rsidRPr="00C16A34" w:rsidRDefault="00647135" w:rsidP="00647135">
      <w:pPr>
        <w:pStyle w:val="CBDNormalNoNumber"/>
        <w:ind w:firstLine="567"/>
        <w:rPr>
          <w:lang w:val="es-419"/>
        </w:rPr>
      </w:pPr>
      <w:r w:rsidRPr="00C16A34">
        <w:rPr>
          <w:iCs/>
          <w:lang w:val="es-419"/>
        </w:rPr>
        <w:t>7</w:t>
      </w:r>
      <w:r w:rsidRPr="00C16A34">
        <w:rPr>
          <w:lang w:val="es-419"/>
        </w:rPr>
        <w:t>.</w:t>
      </w:r>
      <w:r w:rsidRPr="00C16A34">
        <w:rPr>
          <w:lang w:val="es-419"/>
        </w:rPr>
        <w:tab/>
      </w:r>
      <w:r w:rsidR="000D698F" w:rsidRPr="00C16A34">
        <w:rPr>
          <w:i/>
          <w:iCs/>
          <w:lang w:val="es-419"/>
        </w:rPr>
        <w:t>R</w:t>
      </w:r>
      <w:r w:rsidR="000D698F" w:rsidRPr="00C16A34">
        <w:rPr>
          <w:i/>
          <w:lang w:val="es-419"/>
        </w:rPr>
        <w:t>econoce también</w:t>
      </w:r>
      <w:r w:rsidR="000D698F" w:rsidRPr="00C16A34">
        <w:rPr>
          <w:lang w:val="es-419"/>
        </w:rPr>
        <w:t xml:space="preserve"> que muchas Partes en el Protocolo Suplementario de Nagoya-Kuala Lumpur </w:t>
      </w:r>
      <w:r w:rsidR="00042450">
        <w:rPr>
          <w:lang w:val="es-419"/>
        </w:rPr>
        <w:t>recurr</w:t>
      </w:r>
      <w:r w:rsidR="000D698F" w:rsidRPr="00C16A34">
        <w:rPr>
          <w:lang w:val="es-419"/>
        </w:rPr>
        <w:t xml:space="preserve">en </w:t>
      </w:r>
      <w:r w:rsidR="00042450">
        <w:rPr>
          <w:lang w:val="es-419"/>
        </w:rPr>
        <w:t xml:space="preserve">a </w:t>
      </w:r>
      <w:r w:rsidR="000D698F" w:rsidRPr="00C16A34">
        <w:rPr>
          <w:lang w:val="es-419"/>
        </w:rPr>
        <w:t>marcos de responsabilidad ambiental, administrativa o civil para abordar la responsabilidad por daños resultantes de organismos vivos modificados</w:t>
      </w:r>
      <w:r w:rsidRPr="00C16A34">
        <w:rPr>
          <w:iCs/>
          <w:lang w:val="es-419"/>
        </w:rPr>
        <w:t>;</w:t>
      </w:r>
    </w:p>
    <w:p w14:paraId="14E02ED6" w14:textId="77777777" w:rsidR="00647135" w:rsidRPr="00C16A34" w:rsidRDefault="00647135" w:rsidP="00647135">
      <w:pPr>
        <w:pStyle w:val="CBDNormalNoNumber"/>
        <w:ind w:firstLine="567"/>
        <w:rPr>
          <w:iCs/>
          <w:lang w:val="es-419"/>
        </w:rPr>
      </w:pPr>
      <w:r w:rsidRPr="00C16A34">
        <w:rPr>
          <w:iCs/>
          <w:lang w:val="es-419"/>
        </w:rPr>
        <w:t>8.</w:t>
      </w:r>
      <w:r w:rsidRPr="00C16A34">
        <w:rPr>
          <w:iCs/>
          <w:lang w:val="es-419"/>
        </w:rPr>
        <w:tab/>
      </w:r>
      <w:r w:rsidR="000D698F" w:rsidRPr="00C16A34">
        <w:rPr>
          <w:i/>
          <w:lang w:val="es-419"/>
        </w:rPr>
        <w:t>Alienta</w:t>
      </w:r>
      <w:r w:rsidR="000D698F" w:rsidRPr="00C16A34">
        <w:rPr>
          <w:lang w:val="es-419"/>
        </w:rPr>
        <w:t xml:space="preserve"> a las Partes en el Protocolo Suplementario de Nagoya-Kuala Lumpur a desarrollar o facilitar el acceso a garantías financieras, de conformidad con su artículo 10, y a elaborar o aplicar normas y procedimientos </w:t>
      </w:r>
      <w:r w:rsidR="00042450">
        <w:rPr>
          <w:lang w:val="es-419"/>
        </w:rPr>
        <w:t>en materia de</w:t>
      </w:r>
      <w:r w:rsidR="000D698F" w:rsidRPr="00C16A34">
        <w:rPr>
          <w:lang w:val="es-419"/>
        </w:rPr>
        <w:t xml:space="preserve"> responsabilidad civil que </w:t>
      </w:r>
      <w:r w:rsidR="00042450">
        <w:rPr>
          <w:lang w:val="es-419"/>
        </w:rPr>
        <w:t>se ocupen</w:t>
      </w:r>
      <w:r w:rsidR="000D698F" w:rsidRPr="00C16A34">
        <w:rPr>
          <w:lang w:val="es-419"/>
        </w:rPr>
        <w:t xml:space="preserve"> </w:t>
      </w:r>
      <w:r w:rsidR="00452980">
        <w:rPr>
          <w:lang w:val="es-419"/>
        </w:rPr>
        <w:t xml:space="preserve">de </w:t>
      </w:r>
      <w:r w:rsidR="000D698F" w:rsidRPr="00C16A34">
        <w:rPr>
          <w:lang w:val="es-419"/>
        </w:rPr>
        <w:t>los daños, de conformidad con el artículo 12</w:t>
      </w:r>
      <w:r w:rsidRPr="00C16A34">
        <w:rPr>
          <w:iCs/>
          <w:lang w:val="es-419"/>
        </w:rPr>
        <w:t>;</w:t>
      </w:r>
    </w:p>
    <w:p w14:paraId="7771761F" w14:textId="77777777" w:rsidR="00647135" w:rsidRPr="00C16A34" w:rsidRDefault="00647135" w:rsidP="00647135">
      <w:pPr>
        <w:pStyle w:val="CBDNormalNoNumber"/>
        <w:ind w:firstLine="567"/>
        <w:rPr>
          <w:iCs/>
          <w:lang w:val="es-419"/>
        </w:rPr>
      </w:pPr>
      <w:r w:rsidRPr="00C16A34">
        <w:rPr>
          <w:iCs/>
          <w:lang w:val="es-419"/>
        </w:rPr>
        <w:t>9</w:t>
      </w:r>
      <w:r w:rsidRPr="00C16A34">
        <w:rPr>
          <w:i/>
          <w:lang w:val="es-419"/>
        </w:rPr>
        <w:t>.</w:t>
      </w:r>
      <w:r w:rsidRPr="00C16A34">
        <w:rPr>
          <w:i/>
          <w:lang w:val="es-419"/>
        </w:rPr>
        <w:tab/>
      </w:r>
      <w:r w:rsidR="000D698F" w:rsidRPr="00C16A34">
        <w:rPr>
          <w:i/>
          <w:lang w:val="es-419"/>
        </w:rPr>
        <w:t>Alienta también</w:t>
      </w:r>
      <w:r w:rsidR="000D698F" w:rsidRPr="00C16A34">
        <w:rPr>
          <w:lang w:val="es-419"/>
        </w:rPr>
        <w:t xml:space="preserve"> a las Partes en el Protocolo Suplementario de Nagoya-Kuala Lumpur a proseguir </w:t>
      </w:r>
      <w:r w:rsidR="00452980">
        <w:rPr>
          <w:lang w:val="es-419"/>
        </w:rPr>
        <w:t xml:space="preserve">con </w:t>
      </w:r>
      <w:r w:rsidR="000D698F" w:rsidRPr="00C16A34">
        <w:rPr>
          <w:lang w:val="es-419"/>
        </w:rPr>
        <w:t xml:space="preserve">sus esfuerzos encaminados a la aplicación </w:t>
      </w:r>
      <w:r w:rsidR="00452980" w:rsidRPr="00C16A34">
        <w:rPr>
          <w:lang w:val="es-419"/>
        </w:rPr>
        <w:t xml:space="preserve">plena </w:t>
      </w:r>
      <w:r w:rsidR="000D698F" w:rsidRPr="00C16A34">
        <w:rPr>
          <w:lang w:val="es-419"/>
        </w:rPr>
        <w:t>del Protocolo Suplementario</w:t>
      </w:r>
      <w:r w:rsidRPr="00C16A34">
        <w:rPr>
          <w:iCs/>
          <w:lang w:val="es-419"/>
        </w:rPr>
        <w:t>;</w:t>
      </w:r>
    </w:p>
    <w:p w14:paraId="56CD6DCF" w14:textId="77777777" w:rsidR="00647135" w:rsidRPr="00C16A34" w:rsidRDefault="00647135" w:rsidP="00647135">
      <w:pPr>
        <w:pStyle w:val="CBDNormalNoNumber"/>
        <w:ind w:firstLine="567"/>
        <w:rPr>
          <w:iCs/>
          <w:lang w:val="es-419"/>
        </w:rPr>
      </w:pPr>
      <w:r w:rsidRPr="00C16A34">
        <w:rPr>
          <w:iCs/>
          <w:lang w:val="es-419"/>
        </w:rPr>
        <w:t>10.</w:t>
      </w:r>
      <w:r w:rsidRPr="00C16A34">
        <w:rPr>
          <w:iCs/>
          <w:lang w:val="es-419"/>
        </w:rPr>
        <w:tab/>
      </w:r>
      <w:r w:rsidR="000D698F" w:rsidRPr="00C16A34">
        <w:rPr>
          <w:i/>
          <w:lang w:val="es-419"/>
        </w:rPr>
        <w:t>Invita</w:t>
      </w:r>
      <w:r w:rsidR="00452980">
        <w:rPr>
          <w:lang w:val="es-419"/>
        </w:rPr>
        <w:t xml:space="preserve"> a las Partes y </w:t>
      </w:r>
      <w:r w:rsidR="000D698F" w:rsidRPr="00C16A34">
        <w:rPr>
          <w:lang w:val="es-419"/>
        </w:rPr>
        <w:t xml:space="preserve">otros Gobiernos a publicar información sobre </w:t>
      </w:r>
      <w:r w:rsidR="00452980">
        <w:rPr>
          <w:lang w:val="es-419"/>
        </w:rPr>
        <w:t>adelantos</w:t>
      </w:r>
      <w:r w:rsidR="000D698F" w:rsidRPr="00C16A34">
        <w:rPr>
          <w:lang w:val="es-419"/>
        </w:rPr>
        <w:t xml:space="preserve"> relacionados con la aplicación del Protocolo Suplementario de Nagoya-Kuala Lumpur a través de la biblioteca virtual del Centro de Intercambio de Información sobre Seguridad de la Biotecnología, con miras a compartir experiencias al respecto</w:t>
      </w:r>
      <w:r w:rsidRPr="00C16A34">
        <w:rPr>
          <w:iCs/>
          <w:lang w:val="es-419"/>
        </w:rPr>
        <w:t>;</w:t>
      </w:r>
    </w:p>
    <w:p w14:paraId="21FA836E" w14:textId="77777777" w:rsidR="00973B04" w:rsidRPr="00C16A34" w:rsidRDefault="00647135" w:rsidP="00647135">
      <w:pPr>
        <w:pStyle w:val="CBDNormalNoNumber"/>
        <w:ind w:firstLine="567"/>
        <w:rPr>
          <w:iCs/>
          <w:lang w:val="es-419"/>
        </w:rPr>
      </w:pPr>
      <w:r w:rsidRPr="00C16A34">
        <w:rPr>
          <w:iCs/>
          <w:lang w:val="es-419"/>
        </w:rPr>
        <w:t>11.</w:t>
      </w:r>
      <w:r w:rsidRPr="00C16A34">
        <w:rPr>
          <w:iCs/>
          <w:lang w:val="es-419"/>
        </w:rPr>
        <w:tab/>
      </w:r>
      <w:r w:rsidR="000D698F" w:rsidRPr="00C16A34">
        <w:rPr>
          <w:i/>
          <w:lang w:val="es-419"/>
        </w:rPr>
        <w:t xml:space="preserve">Invita </w:t>
      </w:r>
      <w:r w:rsidR="00C16A34" w:rsidRPr="00C16A34">
        <w:rPr>
          <w:lang w:val="es-419"/>
        </w:rPr>
        <w:t xml:space="preserve">a las Partes, </w:t>
      </w:r>
      <w:r w:rsidR="000D698F" w:rsidRPr="00C16A34">
        <w:rPr>
          <w:lang w:val="es-419"/>
        </w:rPr>
        <w:t xml:space="preserve">otros Gobiernos y organizaciones pertinentes a seguir apoyando actividades de creación de capacidad en favor de la aplicación efectiva del Protocolo Suplementario de Nagoya-Kuala Lumpur, y alienta a los donantes a proporcionar los recursos necesarios a este respecto, con </w:t>
      </w:r>
      <w:r w:rsidR="00250DFC">
        <w:rPr>
          <w:lang w:val="es-419"/>
        </w:rPr>
        <w:t>miras</w:t>
      </w:r>
      <w:r w:rsidR="000D698F" w:rsidRPr="00C16A34">
        <w:rPr>
          <w:lang w:val="es-419"/>
        </w:rPr>
        <w:t xml:space="preserve"> a </w:t>
      </w:r>
      <w:r w:rsidR="00C16A34" w:rsidRPr="00C16A34">
        <w:rPr>
          <w:lang w:val="es-419"/>
        </w:rPr>
        <w:t>lograr</w:t>
      </w:r>
      <w:r w:rsidR="000D698F" w:rsidRPr="00C16A34">
        <w:rPr>
          <w:lang w:val="es-419"/>
        </w:rPr>
        <w:t xml:space="preserve"> la meta A.10 del plan de aplicación y el plan de acción para la creación de capacidad para el Protocolo de Cartagena</w:t>
      </w:r>
      <w:r w:rsidR="00973B04" w:rsidRPr="00C16A34">
        <w:rPr>
          <w:iCs/>
          <w:lang w:val="es-419"/>
        </w:rPr>
        <w:t>;</w:t>
      </w:r>
    </w:p>
    <w:p w14:paraId="2290D5A6" w14:textId="77777777" w:rsidR="00647135" w:rsidRPr="00C16A34" w:rsidRDefault="00973B04" w:rsidP="007F4C20">
      <w:pPr>
        <w:pStyle w:val="CBDNormalNoNumber"/>
        <w:ind w:firstLine="567"/>
        <w:rPr>
          <w:lang w:val="es-419"/>
        </w:rPr>
      </w:pPr>
      <w:r w:rsidRPr="00C16A34">
        <w:rPr>
          <w:iCs/>
          <w:lang w:val="es-419"/>
        </w:rPr>
        <w:t>12.</w:t>
      </w:r>
      <w:r w:rsidRPr="00C16A34">
        <w:rPr>
          <w:iCs/>
          <w:lang w:val="es-419"/>
        </w:rPr>
        <w:tab/>
      </w:r>
      <w:r w:rsidR="000D698F" w:rsidRPr="00C16A34">
        <w:rPr>
          <w:i/>
          <w:lang w:val="es-419"/>
        </w:rPr>
        <w:t>Pide</w:t>
      </w:r>
      <w:r w:rsidR="000D698F" w:rsidRPr="00C16A34">
        <w:rPr>
          <w:iCs/>
          <w:lang w:val="es-419"/>
        </w:rPr>
        <w:t xml:space="preserve"> a la Secretaria Ejecutiva</w:t>
      </w:r>
      <w:r w:rsidR="00C16A34" w:rsidRPr="00C16A34">
        <w:rPr>
          <w:iCs/>
          <w:lang w:val="es-419"/>
        </w:rPr>
        <w:t xml:space="preserve">, en consonancia con la decisión </w:t>
      </w:r>
      <w:hyperlink r:id="rId16" w:history="1">
        <w:r w:rsidR="00C16A34" w:rsidRPr="00C16A34">
          <w:rPr>
            <w:rStyle w:val="Hyperlink"/>
            <w:iCs/>
            <w:lang w:val="es-419"/>
          </w:rPr>
          <w:t>CP-12/</w:t>
        </w:r>
      </w:hyperlink>
      <w:r w:rsidR="00C16A34" w:rsidRPr="00C16A34">
        <w:rPr>
          <w:iCs/>
          <w:lang w:val="es-419"/>
        </w:rPr>
        <w:t xml:space="preserve">-- sobre </w:t>
      </w:r>
      <w:r w:rsidR="0027757E">
        <w:rPr>
          <w:iCs/>
          <w:lang w:val="es-419"/>
        </w:rPr>
        <w:t>asuntos</w:t>
      </w:r>
      <w:r w:rsidR="00C16A34" w:rsidRPr="00C16A34">
        <w:rPr>
          <w:iCs/>
          <w:lang w:val="es-419"/>
        </w:rPr>
        <w:t xml:space="preserve"> relacionados</w:t>
      </w:r>
      <w:r w:rsidR="00C16A34">
        <w:rPr>
          <w:iCs/>
          <w:lang w:val="es-419"/>
        </w:rPr>
        <w:t xml:space="preserve"> con el mecanismo financiero y los recursos</w:t>
      </w:r>
      <w:r w:rsidR="00FF5094">
        <w:rPr>
          <w:iCs/>
          <w:lang w:val="es-419"/>
        </w:rPr>
        <w:t xml:space="preserve"> financieros</w:t>
      </w:r>
      <w:r w:rsidR="00C16A34">
        <w:rPr>
          <w:iCs/>
          <w:lang w:val="es-419"/>
        </w:rPr>
        <w:t>,</w:t>
      </w:r>
      <w:r w:rsidR="00C16A34" w:rsidRPr="00C16A34">
        <w:rPr>
          <w:iCs/>
          <w:lang w:val="es-419"/>
        </w:rPr>
        <w:t xml:space="preserve"> </w:t>
      </w:r>
      <w:r w:rsidR="000D698F" w:rsidRPr="00C16A34">
        <w:rPr>
          <w:iCs/>
          <w:lang w:val="es-419"/>
        </w:rPr>
        <w:t xml:space="preserve">que </w:t>
      </w:r>
      <w:r w:rsidR="00C16A34">
        <w:rPr>
          <w:iCs/>
          <w:lang w:val="es-419"/>
        </w:rPr>
        <w:t xml:space="preserve">continúe </w:t>
      </w:r>
      <w:r w:rsidR="00452980">
        <w:rPr>
          <w:iCs/>
          <w:lang w:val="es-419"/>
        </w:rPr>
        <w:t xml:space="preserve">prestando </w:t>
      </w:r>
      <w:r w:rsidR="000D698F" w:rsidRPr="00C16A34">
        <w:rPr>
          <w:iCs/>
          <w:lang w:val="es-419"/>
        </w:rPr>
        <w:t>apoy</w:t>
      </w:r>
      <w:r w:rsidR="00452980">
        <w:rPr>
          <w:iCs/>
          <w:lang w:val="es-419"/>
        </w:rPr>
        <w:t>o a</w:t>
      </w:r>
      <w:r w:rsidR="000D698F" w:rsidRPr="00C16A34">
        <w:rPr>
          <w:iCs/>
          <w:lang w:val="es-419"/>
        </w:rPr>
        <w:t xml:space="preserve"> esfuerzos de movilización de recursos para la aplicación efectiva del Protocolo Suplementario de Nagoya-Kuala Lumpur;</w:t>
      </w:r>
    </w:p>
    <w:p w14:paraId="29610E1C" w14:textId="77777777" w:rsidR="002849A9" w:rsidRPr="00C16A34" w:rsidRDefault="00647135" w:rsidP="0045605A">
      <w:pPr>
        <w:pStyle w:val="CBDNormalNoNumber"/>
        <w:ind w:firstLine="567"/>
        <w:rPr>
          <w:i/>
          <w:lang w:val="es-419"/>
        </w:rPr>
      </w:pPr>
      <w:r w:rsidRPr="00C16A34">
        <w:rPr>
          <w:rFonts w:ascii="Times" w:hAnsi="Times" w:cs="Times"/>
          <w:lang w:val="es-419"/>
        </w:rPr>
        <w:t>1</w:t>
      </w:r>
      <w:r w:rsidR="004F6AB5" w:rsidRPr="00C16A34">
        <w:rPr>
          <w:rFonts w:ascii="Times" w:hAnsi="Times" w:cs="Times"/>
          <w:lang w:val="es-419"/>
        </w:rPr>
        <w:t>3</w:t>
      </w:r>
      <w:r w:rsidRPr="00C16A34">
        <w:rPr>
          <w:rFonts w:ascii="Times" w:hAnsi="Times" w:cs="Times"/>
          <w:lang w:val="es-419"/>
        </w:rPr>
        <w:t>.</w:t>
      </w:r>
      <w:r w:rsidRPr="00C16A34">
        <w:rPr>
          <w:rFonts w:ascii="Times" w:hAnsi="Times" w:cs="Times"/>
          <w:i/>
          <w:iCs/>
          <w:lang w:val="es-419"/>
        </w:rPr>
        <w:tab/>
      </w:r>
      <w:r w:rsidR="000D698F" w:rsidRPr="00C16A34">
        <w:rPr>
          <w:rFonts w:ascii="Times" w:hAnsi="Times" w:cs="Times"/>
          <w:i/>
          <w:iCs/>
          <w:lang w:val="es-419"/>
        </w:rPr>
        <w:t xml:space="preserve">Pide también </w:t>
      </w:r>
      <w:r w:rsidR="000D698F" w:rsidRPr="00C16A34">
        <w:rPr>
          <w:lang w:val="es-419"/>
        </w:rPr>
        <w:t xml:space="preserve">a la Secretaria Ejecutiva que </w:t>
      </w:r>
      <w:r w:rsidR="00250DFC">
        <w:rPr>
          <w:lang w:val="es-419"/>
        </w:rPr>
        <w:t>dé seguimiento</w:t>
      </w:r>
      <w:r w:rsidR="00452980">
        <w:rPr>
          <w:lang w:val="es-419"/>
        </w:rPr>
        <w:t xml:space="preserve"> a</w:t>
      </w:r>
      <w:r w:rsidR="000D698F" w:rsidRPr="00C16A34">
        <w:rPr>
          <w:lang w:val="es-419"/>
        </w:rPr>
        <w:t xml:space="preserve"> las Partes en el Protocolo Suplementario de Nagoya-Kuala Lumpur que hayan comunicado la designación de una autoridad competente pero que aún no hayan publicado sus datos de contacto </w:t>
      </w:r>
      <w:r w:rsidR="00452980">
        <w:rPr>
          <w:lang w:val="es-419"/>
        </w:rPr>
        <w:t xml:space="preserve">en </w:t>
      </w:r>
      <w:r w:rsidR="000D698F" w:rsidRPr="00C16A34">
        <w:rPr>
          <w:lang w:val="es-419"/>
        </w:rPr>
        <w:t xml:space="preserve">el Centro de Intercambio de Información </w:t>
      </w:r>
      <w:r w:rsidR="000D698F" w:rsidRPr="00452980">
        <w:rPr>
          <w:lang w:val="es-419"/>
        </w:rPr>
        <w:t>sobre Seguridad de la Biotecnología</w:t>
      </w:r>
      <w:r w:rsidRPr="00452980">
        <w:rPr>
          <w:lang w:val="es-419"/>
        </w:rPr>
        <w:t>;</w:t>
      </w:r>
    </w:p>
    <w:p w14:paraId="0B67029F" w14:textId="77777777" w:rsidR="00647135" w:rsidRPr="00C16A34" w:rsidRDefault="00647135" w:rsidP="00647135">
      <w:pPr>
        <w:pStyle w:val="CBDNormalNoNumber"/>
        <w:ind w:firstLine="567"/>
        <w:rPr>
          <w:iCs/>
          <w:lang w:val="es-419"/>
        </w:rPr>
      </w:pPr>
      <w:r w:rsidRPr="00C16A34">
        <w:rPr>
          <w:i/>
          <w:iCs/>
          <w:lang w:val="es-419"/>
        </w:rPr>
        <w:t>1</w:t>
      </w:r>
      <w:r w:rsidR="00973B04" w:rsidRPr="00C16A34">
        <w:rPr>
          <w:i/>
          <w:iCs/>
          <w:lang w:val="es-419"/>
        </w:rPr>
        <w:t>4</w:t>
      </w:r>
      <w:r w:rsidRPr="00C16A34">
        <w:rPr>
          <w:i/>
          <w:iCs/>
          <w:lang w:val="es-419"/>
        </w:rPr>
        <w:t>.</w:t>
      </w:r>
      <w:r w:rsidRPr="00C16A34">
        <w:rPr>
          <w:i/>
          <w:iCs/>
          <w:lang w:val="es-419"/>
        </w:rPr>
        <w:tab/>
      </w:r>
      <w:r w:rsidR="000D698F" w:rsidRPr="00C16A34">
        <w:rPr>
          <w:i/>
          <w:lang w:val="es-419"/>
        </w:rPr>
        <w:t>Pide asimismo</w:t>
      </w:r>
      <w:r w:rsidR="000D698F" w:rsidRPr="00C16A34">
        <w:rPr>
          <w:lang w:val="es-419"/>
        </w:rPr>
        <w:t xml:space="preserve"> a la Secretaria Ejecutiva que siga promoviendo el Protocolo Suplementario de Nagoya-Kuala Lumpur con </w:t>
      </w:r>
      <w:r w:rsidR="00452980">
        <w:rPr>
          <w:lang w:val="es-419"/>
        </w:rPr>
        <w:t>m</w:t>
      </w:r>
      <w:r w:rsidR="000D698F" w:rsidRPr="00C16A34">
        <w:rPr>
          <w:lang w:val="es-419"/>
        </w:rPr>
        <w:t>i</w:t>
      </w:r>
      <w:r w:rsidR="00452980">
        <w:rPr>
          <w:lang w:val="es-419"/>
        </w:rPr>
        <w:t>r</w:t>
      </w:r>
      <w:r w:rsidR="000D698F" w:rsidRPr="00C16A34">
        <w:rPr>
          <w:lang w:val="es-419"/>
        </w:rPr>
        <w:t xml:space="preserve">as a apoyar su ratificación y que, con sujeción a la disponibilidad de recursos, lleve a cabo actividades de creación de capacidad, divulgación y </w:t>
      </w:r>
      <w:r w:rsidR="00452980">
        <w:rPr>
          <w:lang w:val="es-419"/>
        </w:rPr>
        <w:t>s</w:t>
      </w:r>
      <w:r w:rsidR="000D698F" w:rsidRPr="00C16A34">
        <w:rPr>
          <w:lang w:val="es-419"/>
        </w:rPr>
        <w:t>en</w:t>
      </w:r>
      <w:r w:rsidR="00452980">
        <w:rPr>
          <w:lang w:val="es-419"/>
        </w:rPr>
        <w:t>s</w:t>
      </w:r>
      <w:r w:rsidR="000D698F" w:rsidRPr="00C16A34">
        <w:rPr>
          <w:lang w:val="es-419"/>
        </w:rPr>
        <w:t>i</w:t>
      </w:r>
      <w:r w:rsidR="00452980">
        <w:rPr>
          <w:lang w:val="es-419"/>
        </w:rPr>
        <w:t>biliz</w:t>
      </w:r>
      <w:r w:rsidR="000D698F" w:rsidRPr="00C16A34">
        <w:rPr>
          <w:lang w:val="es-419"/>
        </w:rPr>
        <w:t xml:space="preserve">ación en relación con </w:t>
      </w:r>
      <w:r w:rsidR="00452980">
        <w:rPr>
          <w:lang w:val="es-419"/>
        </w:rPr>
        <w:t>el</w:t>
      </w:r>
      <w:r w:rsidR="000D698F" w:rsidRPr="00C16A34">
        <w:rPr>
          <w:lang w:val="es-419"/>
        </w:rPr>
        <w:t xml:space="preserve"> Protocolo</w:t>
      </w:r>
      <w:r w:rsidR="00452980">
        <w:rPr>
          <w:lang w:val="es-419"/>
        </w:rPr>
        <w:t xml:space="preserve"> Suplementario</w:t>
      </w:r>
      <w:r w:rsidRPr="00C16A34">
        <w:rPr>
          <w:iCs/>
          <w:lang w:val="es-419"/>
        </w:rPr>
        <w:t>.</w:t>
      </w:r>
    </w:p>
    <w:p w14:paraId="09DC34F4" w14:textId="77777777" w:rsidR="00A111D1" w:rsidRPr="00C16A34" w:rsidRDefault="00A111D1" w:rsidP="00975047">
      <w:pPr>
        <w:pStyle w:val="Para1"/>
        <w:numPr>
          <w:ilvl w:val="0"/>
          <w:numId w:val="0"/>
        </w:numPr>
        <w:ind w:left="567"/>
        <w:jc w:val="center"/>
        <w:rPr>
          <w:lang w:val="es-419"/>
        </w:rPr>
      </w:pPr>
      <w:r w:rsidRPr="00C16A34">
        <w:rPr>
          <w:lang w:val="es-419"/>
        </w:rPr>
        <w:t>_______</w:t>
      </w:r>
      <w:r w:rsidR="004B60B3" w:rsidRPr="00C16A34">
        <w:rPr>
          <w:lang w:val="es-419"/>
        </w:rPr>
        <w:t>___</w:t>
      </w:r>
    </w:p>
    <w:sectPr w:rsidR="00A111D1" w:rsidRPr="00C16A34" w:rsidSect="00C72AAE">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76F0" w14:textId="77777777" w:rsidR="00EC3BC0" w:rsidRPr="003F1A75" w:rsidRDefault="00EC3BC0" w:rsidP="00CF1848">
      <w:r w:rsidRPr="003F1A75">
        <w:separator/>
      </w:r>
    </w:p>
  </w:endnote>
  <w:endnote w:type="continuationSeparator" w:id="0">
    <w:p w14:paraId="3100F2A8" w14:textId="77777777" w:rsidR="00EC3BC0" w:rsidRPr="003F1A75" w:rsidRDefault="00EC3BC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EBCDDDF" w14:textId="77777777" w:rsidR="00D75CA6" w:rsidRPr="003F1A75" w:rsidRDefault="006C6608" w:rsidP="00D75CA6">
            <w:pPr>
              <w:pStyle w:val="Footer"/>
              <w:jc w:val="left"/>
            </w:pPr>
            <w:r w:rsidRPr="00E521BD">
              <w:rPr>
                <w:szCs w:val="20"/>
              </w:rPr>
              <w:fldChar w:fldCharType="begin"/>
            </w:r>
            <w:r w:rsidR="00D75CA6" w:rsidRPr="00E521BD">
              <w:rPr>
                <w:szCs w:val="20"/>
              </w:rPr>
              <w:instrText xml:space="preserve"> PAGE </w:instrText>
            </w:r>
            <w:r w:rsidRPr="00E521BD">
              <w:rPr>
                <w:szCs w:val="20"/>
              </w:rPr>
              <w:fldChar w:fldCharType="separate"/>
            </w:r>
            <w:r w:rsidR="00250DFC">
              <w:rPr>
                <w:noProof/>
                <w:szCs w:val="20"/>
              </w:rPr>
              <w:t>2</w:t>
            </w:r>
            <w:r w:rsidRPr="00E521BD">
              <w:rPr>
                <w:szCs w:val="20"/>
              </w:rPr>
              <w:fldChar w:fldCharType="end"/>
            </w:r>
            <w:r w:rsidR="00D75CA6" w:rsidRPr="00E521BD">
              <w:rPr>
                <w:szCs w:val="20"/>
              </w:rPr>
              <w:t>/</w:t>
            </w:r>
            <w:r w:rsidRPr="00E521BD">
              <w:rPr>
                <w:szCs w:val="20"/>
              </w:rPr>
              <w:fldChar w:fldCharType="begin"/>
            </w:r>
            <w:r w:rsidR="00D75CA6" w:rsidRPr="00E521BD">
              <w:rPr>
                <w:szCs w:val="20"/>
              </w:rPr>
              <w:instrText xml:space="preserve"> NUMPAGES  </w:instrText>
            </w:r>
            <w:r w:rsidRPr="00E521BD">
              <w:rPr>
                <w:szCs w:val="20"/>
              </w:rPr>
              <w:fldChar w:fldCharType="separate"/>
            </w:r>
            <w:r w:rsidR="00250DFC">
              <w:rPr>
                <w:noProof/>
                <w:szCs w:val="20"/>
              </w:rPr>
              <w:t>2</w:t>
            </w:r>
            <w:r w:rsidRPr="00E521B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E4D0CF1" w14:textId="77777777" w:rsidR="00D75CA6" w:rsidRPr="003F1A75" w:rsidRDefault="006C6608" w:rsidP="00D75CA6">
        <w:pPr>
          <w:pStyle w:val="Footer"/>
        </w:pPr>
        <w:r w:rsidRPr="003F1A75">
          <w:rPr>
            <w:b/>
            <w:bCs/>
            <w:szCs w:val="20"/>
          </w:rPr>
          <w:fldChar w:fldCharType="begin"/>
        </w:r>
        <w:r w:rsidR="00D75CA6" w:rsidRPr="003F1A75">
          <w:rPr>
            <w:b/>
            <w:bCs/>
            <w:szCs w:val="20"/>
          </w:rPr>
          <w:instrText xml:space="preserve"> PAGE </w:instrText>
        </w:r>
        <w:r w:rsidRPr="003F1A75">
          <w:rPr>
            <w:b/>
            <w:bCs/>
            <w:szCs w:val="20"/>
          </w:rPr>
          <w:fldChar w:fldCharType="separate"/>
        </w:r>
        <w:r w:rsidR="00250DFC">
          <w:rPr>
            <w:b/>
            <w:bCs/>
            <w:noProof/>
            <w:szCs w:val="20"/>
          </w:rPr>
          <w:t>3</w:t>
        </w:r>
        <w:r w:rsidRPr="003F1A75">
          <w:rPr>
            <w:b/>
            <w:bCs/>
            <w:szCs w:val="20"/>
          </w:rPr>
          <w:fldChar w:fldCharType="end"/>
        </w:r>
        <w:r w:rsidR="00D75CA6" w:rsidRPr="003F1A75">
          <w:rPr>
            <w:szCs w:val="20"/>
          </w:rPr>
          <w:t>/</w:t>
        </w:r>
        <w:r w:rsidRPr="003F1A75">
          <w:rPr>
            <w:b/>
            <w:bCs/>
            <w:szCs w:val="20"/>
          </w:rPr>
          <w:fldChar w:fldCharType="begin"/>
        </w:r>
        <w:r w:rsidR="00D75CA6" w:rsidRPr="003F1A75">
          <w:rPr>
            <w:b/>
            <w:bCs/>
            <w:szCs w:val="20"/>
          </w:rPr>
          <w:instrText xml:space="preserve"> NUMPAGES  </w:instrText>
        </w:r>
        <w:r w:rsidRPr="003F1A75">
          <w:rPr>
            <w:b/>
            <w:bCs/>
            <w:szCs w:val="20"/>
          </w:rPr>
          <w:fldChar w:fldCharType="separate"/>
        </w:r>
        <w:r w:rsidR="00250DFC">
          <w:rPr>
            <w:b/>
            <w:bCs/>
            <w:noProof/>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06C45" w14:textId="77777777" w:rsidR="00EC3BC0" w:rsidRPr="003F1A75" w:rsidRDefault="00EC3BC0" w:rsidP="00CF1848">
      <w:r w:rsidRPr="003F1A75">
        <w:separator/>
      </w:r>
    </w:p>
  </w:footnote>
  <w:footnote w:type="continuationSeparator" w:id="0">
    <w:p w14:paraId="31FE6C73" w14:textId="77777777" w:rsidR="00EC3BC0" w:rsidRPr="003F1A75" w:rsidRDefault="00EC3BC0" w:rsidP="00CF1848">
      <w:r w:rsidRPr="003F1A75">
        <w:continuationSeparator/>
      </w:r>
    </w:p>
  </w:footnote>
  <w:footnote w:id="1">
    <w:p w14:paraId="1BD629E6" w14:textId="77777777" w:rsidR="00647135" w:rsidRPr="004671B8" w:rsidRDefault="00647135" w:rsidP="00647135">
      <w:pPr>
        <w:pStyle w:val="FootnoteText"/>
        <w:rPr>
          <w:szCs w:val="18"/>
          <w:lang w:val="es-ES"/>
        </w:rPr>
      </w:pPr>
      <w:r w:rsidRPr="00B55C49">
        <w:rPr>
          <w:rStyle w:val="FootnoteReference"/>
          <w:szCs w:val="18"/>
        </w:rPr>
        <w:footnoteRef/>
      </w:r>
      <w:r w:rsidR="00452980">
        <w:rPr>
          <w:szCs w:val="18"/>
          <w:lang w:val="es-ES"/>
        </w:rPr>
        <w:t> </w:t>
      </w:r>
      <w:r w:rsidR="004671B8" w:rsidRPr="00452980">
        <w:rPr>
          <w:spacing w:val="-2"/>
          <w:szCs w:val="18"/>
          <w:lang w:val="es-ES"/>
        </w:rPr>
        <w:t xml:space="preserve">De </w:t>
      </w:r>
      <w:r w:rsidR="004671B8" w:rsidRPr="00452980">
        <w:rPr>
          <w:spacing w:val="-2"/>
          <w:lang w:val="es-ES"/>
        </w:rPr>
        <w:t>conformidad con el párrafo</w:t>
      </w:r>
      <w:r w:rsidR="00452980" w:rsidRPr="00452980">
        <w:rPr>
          <w:spacing w:val="-2"/>
          <w:lang w:val="es-ES"/>
        </w:rPr>
        <w:t> </w:t>
      </w:r>
      <w:r w:rsidR="004671B8" w:rsidRPr="00452980">
        <w:rPr>
          <w:spacing w:val="-2"/>
          <w:lang w:val="es-ES"/>
        </w:rPr>
        <w:t>1 del artículo</w:t>
      </w:r>
      <w:r w:rsidR="00452980" w:rsidRPr="00452980">
        <w:rPr>
          <w:spacing w:val="-2"/>
          <w:lang w:val="es-ES"/>
        </w:rPr>
        <w:t> </w:t>
      </w:r>
      <w:r w:rsidR="004671B8" w:rsidRPr="00452980">
        <w:rPr>
          <w:spacing w:val="-2"/>
          <w:lang w:val="es-ES"/>
        </w:rPr>
        <w:t>14 del Protocolo Suplementario, y sujeto a lo estipulado en el párrafo 2 del artículo</w:t>
      </w:r>
      <w:r w:rsidR="00452980" w:rsidRPr="00452980">
        <w:rPr>
          <w:spacing w:val="-2"/>
          <w:lang w:val="es-ES"/>
        </w:rPr>
        <w:t> </w:t>
      </w:r>
      <w:r w:rsidR="004671B8" w:rsidRPr="00452980">
        <w:rPr>
          <w:spacing w:val="-2"/>
          <w:lang w:val="es-ES"/>
        </w:rPr>
        <w:t>32</w:t>
      </w:r>
      <w:r w:rsidR="004671B8" w:rsidRPr="004671B8">
        <w:rPr>
          <w:lang w:val="es-ES"/>
        </w:rPr>
        <w:t xml:space="preserve"> del Convenio sobre la Diversidad Biológica, la Conferencia de las Partes que actúa como reunión de las Partes en el Protocolo actúa como reunión de las Partes en el Protocolo Suplementario. Por consiguiente, la presente decisión ha sido adoptada por las Partes en el Protocolo Suplementario</w:t>
      </w:r>
      <w:r w:rsidRPr="004671B8">
        <w:rPr>
          <w:szCs w:val="18"/>
          <w:lang w:val="es-ES"/>
        </w:rPr>
        <w:t>.</w:t>
      </w:r>
    </w:p>
  </w:footnote>
  <w:footnote w:id="2">
    <w:p w14:paraId="02122278" w14:textId="77777777" w:rsidR="00647135" w:rsidRPr="004671B8" w:rsidRDefault="00647135" w:rsidP="00647135">
      <w:pPr>
        <w:pStyle w:val="FootnoteText"/>
        <w:rPr>
          <w:lang w:val="es-ES"/>
        </w:rPr>
      </w:pPr>
      <w:r>
        <w:rPr>
          <w:rStyle w:val="FootnoteReference"/>
        </w:rPr>
        <w:footnoteRef/>
      </w:r>
      <w:r w:rsidR="00452980">
        <w:rPr>
          <w:lang w:val="es-ES"/>
        </w:rPr>
        <w:t xml:space="preserve"> </w:t>
      </w:r>
      <w:r w:rsidRPr="004671B8">
        <w:rPr>
          <w:lang w:val="es-ES"/>
        </w:rPr>
        <w:t>Decisi</w:t>
      </w:r>
      <w:r w:rsidR="004671B8" w:rsidRPr="004671B8">
        <w:rPr>
          <w:lang w:val="es-ES"/>
        </w:rPr>
        <w:t>ó</w:t>
      </w:r>
      <w:r w:rsidRPr="004671B8">
        <w:rPr>
          <w:lang w:val="es-ES"/>
        </w:rPr>
        <w:t xml:space="preserve">n </w:t>
      </w:r>
      <w:hyperlink r:id="rId1" w:history="1">
        <w:r w:rsidRPr="004671B8">
          <w:rPr>
            <w:rStyle w:val="Hyperlink"/>
            <w:lang w:val="es-ES"/>
          </w:rPr>
          <w:t>BS-V/11</w:t>
        </w:r>
      </w:hyperlink>
      <w:r w:rsidRPr="004671B8">
        <w:rPr>
          <w:lang w:val="es-ES"/>
        </w:rPr>
        <w:t>, an</w:t>
      </w:r>
      <w:r w:rsidR="004671B8" w:rsidRPr="004671B8">
        <w:rPr>
          <w:lang w:val="es-ES"/>
        </w:rPr>
        <w:t>exo</w:t>
      </w:r>
      <w:r w:rsidRPr="004671B8">
        <w:rPr>
          <w:lang w:val="es-ES"/>
        </w:rPr>
        <w:t>.</w:t>
      </w:r>
    </w:p>
  </w:footnote>
  <w:footnote w:id="3">
    <w:p w14:paraId="0CC0F4C4" w14:textId="77777777" w:rsidR="00647135" w:rsidRPr="004671B8" w:rsidRDefault="00647135" w:rsidP="00647135">
      <w:pPr>
        <w:pStyle w:val="FootnoteText"/>
        <w:rPr>
          <w:lang w:val="es-ES"/>
        </w:rPr>
      </w:pPr>
      <w:r w:rsidRPr="00B55C49">
        <w:rPr>
          <w:rStyle w:val="FootnoteReference"/>
        </w:rPr>
        <w:footnoteRef/>
      </w:r>
      <w:r w:rsidR="00452980">
        <w:rPr>
          <w:rFonts w:asciiTheme="majorBidi" w:eastAsiaTheme="minorEastAsia" w:hAnsiTheme="majorBidi" w:cstheme="majorBidi"/>
          <w:szCs w:val="22"/>
          <w:lang w:val="es-ES"/>
        </w:rPr>
        <w:t xml:space="preserve"> </w:t>
      </w:r>
      <w:r w:rsidRPr="004671B8">
        <w:rPr>
          <w:rFonts w:asciiTheme="majorBidi" w:eastAsiaTheme="minorEastAsia" w:hAnsiTheme="majorBidi" w:cstheme="majorBidi"/>
          <w:szCs w:val="22"/>
          <w:lang w:val="es-ES"/>
        </w:rPr>
        <w:t>Decisi</w:t>
      </w:r>
      <w:r w:rsidR="004671B8" w:rsidRPr="004671B8">
        <w:rPr>
          <w:rFonts w:asciiTheme="majorBidi" w:eastAsiaTheme="minorEastAsia" w:hAnsiTheme="majorBidi" w:cstheme="majorBidi"/>
          <w:szCs w:val="22"/>
          <w:lang w:val="es-ES"/>
        </w:rPr>
        <w:t>ó</w:t>
      </w:r>
      <w:r w:rsidRPr="004671B8">
        <w:rPr>
          <w:rFonts w:asciiTheme="majorBidi" w:eastAsiaTheme="minorEastAsia" w:hAnsiTheme="majorBidi" w:cstheme="majorBidi"/>
          <w:szCs w:val="22"/>
          <w:lang w:val="es-ES"/>
        </w:rPr>
        <w:t xml:space="preserve">n </w:t>
      </w:r>
      <w:hyperlink r:id="rId2" w:history="1">
        <w:r w:rsidRPr="004671B8">
          <w:rPr>
            <w:rStyle w:val="Hyperlink"/>
            <w:rFonts w:asciiTheme="majorBidi" w:eastAsiaTheme="minorEastAsia" w:hAnsiTheme="majorBidi" w:cstheme="majorBidi"/>
            <w:szCs w:val="22"/>
            <w:lang w:val="es-ES"/>
          </w:rPr>
          <w:t>CP-10/3</w:t>
        </w:r>
      </w:hyperlink>
      <w:r w:rsidRPr="004671B8">
        <w:rPr>
          <w:rFonts w:asciiTheme="majorBidi" w:eastAsiaTheme="minorEastAsia" w:hAnsiTheme="majorBidi" w:cstheme="majorBidi"/>
          <w:szCs w:val="22"/>
          <w:lang w:val="es-ES"/>
        </w:rPr>
        <w:t>, an</w:t>
      </w:r>
      <w:r w:rsidR="004671B8" w:rsidRPr="004671B8">
        <w:rPr>
          <w:rFonts w:asciiTheme="majorBidi" w:eastAsiaTheme="minorEastAsia" w:hAnsiTheme="majorBidi" w:cstheme="majorBidi"/>
          <w:szCs w:val="22"/>
          <w:lang w:val="es-ES"/>
        </w:rPr>
        <w:t>e</w:t>
      </w:r>
      <w:r w:rsidR="004671B8">
        <w:rPr>
          <w:rFonts w:asciiTheme="majorBidi" w:eastAsiaTheme="minorEastAsia" w:hAnsiTheme="majorBidi" w:cstheme="majorBidi"/>
          <w:szCs w:val="22"/>
          <w:lang w:val="es-ES"/>
        </w:rPr>
        <w:t>xo</w:t>
      </w:r>
      <w:r w:rsidRPr="004671B8">
        <w:rPr>
          <w:rFonts w:asciiTheme="majorBidi" w:eastAsiaTheme="minorEastAsia" w:hAnsiTheme="majorBidi" w:cstheme="majorBidi"/>
          <w:szCs w:val="22"/>
          <w:lang w:val="es-ES"/>
        </w:rPr>
        <w:t>.</w:t>
      </w:r>
    </w:p>
  </w:footnote>
  <w:footnote w:id="4">
    <w:p w14:paraId="617ACC42" w14:textId="77777777" w:rsidR="00647135" w:rsidRPr="004671B8" w:rsidRDefault="00647135" w:rsidP="00647135">
      <w:pPr>
        <w:pStyle w:val="FootnoteText"/>
        <w:rPr>
          <w:lang w:val="es-ES"/>
        </w:rPr>
      </w:pPr>
      <w:r w:rsidRPr="00B55C49">
        <w:rPr>
          <w:rStyle w:val="FootnoteReference"/>
        </w:rPr>
        <w:footnoteRef/>
      </w:r>
      <w:r w:rsidR="00452980">
        <w:rPr>
          <w:rFonts w:asciiTheme="majorBidi" w:eastAsiaTheme="minorEastAsia" w:hAnsiTheme="majorBidi" w:cstheme="majorBidi"/>
          <w:szCs w:val="22"/>
          <w:lang w:val="es-ES"/>
        </w:rPr>
        <w:t xml:space="preserve"> </w:t>
      </w:r>
      <w:r w:rsidRPr="004671B8">
        <w:rPr>
          <w:rFonts w:asciiTheme="majorBidi" w:eastAsiaTheme="minorEastAsia" w:hAnsiTheme="majorBidi" w:cstheme="majorBidi"/>
          <w:szCs w:val="22"/>
          <w:lang w:val="es-ES"/>
        </w:rPr>
        <w:t>Decisi</w:t>
      </w:r>
      <w:r w:rsidR="004671B8" w:rsidRPr="004671B8">
        <w:rPr>
          <w:rFonts w:asciiTheme="majorBidi" w:eastAsiaTheme="minorEastAsia" w:hAnsiTheme="majorBidi" w:cstheme="majorBidi"/>
          <w:szCs w:val="22"/>
          <w:lang w:val="es-ES"/>
        </w:rPr>
        <w:t>ó</w:t>
      </w:r>
      <w:r w:rsidRPr="004671B8">
        <w:rPr>
          <w:rFonts w:asciiTheme="majorBidi" w:eastAsiaTheme="minorEastAsia" w:hAnsiTheme="majorBidi" w:cstheme="majorBidi"/>
          <w:szCs w:val="22"/>
          <w:lang w:val="es-ES"/>
        </w:rPr>
        <w:t xml:space="preserve">n </w:t>
      </w:r>
      <w:hyperlink r:id="rId3" w:history="1">
        <w:r w:rsidRPr="004671B8">
          <w:rPr>
            <w:rStyle w:val="Hyperlink"/>
            <w:rFonts w:asciiTheme="majorBidi" w:eastAsiaTheme="minorEastAsia" w:hAnsiTheme="majorBidi" w:cstheme="majorBidi"/>
            <w:szCs w:val="22"/>
            <w:lang w:val="es-ES"/>
          </w:rPr>
          <w:t>CP-10/4</w:t>
        </w:r>
      </w:hyperlink>
      <w:r w:rsidRPr="004671B8">
        <w:rPr>
          <w:rFonts w:asciiTheme="majorBidi" w:eastAsiaTheme="minorEastAsia" w:hAnsiTheme="majorBidi" w:cstheme="majorBidi"/>
          <w:szCs w:val="22"/>
          <w:lang w:val="es-ES"/>
        </w:rPr>
        <w:t>, anex</w:t>
      </w:r>
      <w:r w:rsidR="004671B8" w:rsidRPr="004671B8">
        <w:rPr>
          <w:rFonts w:asciiTheme="majorBidi" w:eastAsiaTheme="minorEastAsia" w:hAnsiTheme="majorBidi" w:cstheme="majorBidi"/>
          <w:szCs w:val="22"/>
          <w:lang w:val="es-ES"/>
        </w:rPr>
        <w:t>o</w:t>
      </w:r>
      <w:r w:rsidRPr="004671B8">
        <w:rPr>
          <w:rFonts w:asciiTheme="majorBidi" w:eastAsiaTheme="minorEastAsia" w:hAnsiTheme="majorBidi" w:cstheme="majorBidi"/>
          <w:szCs w:val="22"/>
          <w:lang w:val="es-ES"/>
        </w:rPr>
        <w:t>.</w:t>
      </w:r>
    </w:p>
  </w:footnote>
  <w:footnote w:id="5">
    <w:p w14:paraId="3EFAF4A2" w14:textId="77777777" w:rsidR="00647135" w:rsidRPr="004671B8" w:rsidRDefault="00647135" w:rsidP="00647135">
      <w:pPr>
        <w:pStyle w:val="FootnoteText"/>
        <w:rPr>
          <w:lang w:val="es-ES"/>
        </w:rPr>
      </w:pPr>
      <w:r w:rsidRPr="00B55C49">
        <w:rPr>
          <w:rStyle w:val="FootnoteReference"/>
        </w:rPr>
        <w:footnoteRef/>
      </w:r>
      <w:r w:rsidR="00452980">
        <w:rPr>
          <w:lang w:val="es-ES"/>
        </w:rPr>
        <w:t xml:space="preserve"> </w:t>
      </w:r>
      <w:r w:rsidR="004671B8" w:rsidRPr="004671B8">
        <w:rPr>
          <w:lang w:val="es-ES"/>
        </w:rPr>
        <w:t>Naciones Unidas</w:t>
      </w:r>
      <w:r w:rsidRPr="004671B8">
        <w:rPr>
          <w:lang w:val="es-ES"/>
        </w:rPr>
        <w:t xml:space="preserve">, </w:t>
      </w:r>
      <w:r w:rsidRPr="004671B8">
        <w:rPr>
          <w:i/>
          <w:iCs/>
          <w:lang w:val="es-ES"/>
        </w:rPr>
        <w:t>Treaty Series</w:t>
      </w:r>
      <w:r w:rsidRPr="004671B8">
        <w:rPr>
          <w:lang w:val="es-ES"/>
        </w:rPr>
        <w:t xml:space="preserve">, vol. 2226, </w:t>
      </w:r>
      <w:r w:rsidR="004671B8">
        <w:rPr>
          <w:lang w:val="es-ES"/>
        </w:rPr>
        <w:t>núm</w:t>
      </w:r>
      <w:r w:rsidRPr="004671B8">
        <w:rPr>
          <w:lang w:val="es-ES"/>
        </w:rPr>
        <w:t>. 30619</w:t>
      </w:r>
      <w:r w:rsidRPr="004671B8">
        <w:rPr>
          <w:rFonts w:asciiTheme="majorBidi" w:eastAsiaTheme="minorEastAsia" w:hAnsiTheme="majorBidi" w:cstheme="majorBidi"/>
          <w:szCs w:val="22"/>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854F8B3" w14:textId="77777777" w:rsidR="00534681" w:rsidRPr="003F1A75" w:rsidRDefault="00922A8F" w:rsidP="007C4951">
        <w:pPr>
          <w:pStyle w:val="Header"/>
          <w:spacing w:after="240"/>
          <w:rPr>
            <w:szCs w:val="20"/>
          </w:rPr>
        </w:pPr>
        <w:r>
          <w:rPr>
            <w:szCs w:val="20"/>
          </w:rPr>
          <w:t>CBD/CP/MOP/12/</w:t>
        </w:r>
        <w:r w:rsidR="0027757E">
          <w:rPr>
            <w:szCs w:val="20"/>
          </w:rPr>
          <w:t>L</w:t>
        </w:r>
        <w:r>
          <w:rPr>
            <w:szCs w:val="20"/>
          </w:rPr>
          <w:t>.</w:t>
        </w:r>
        <w:r w:rsidR="0027757E">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A7B23FD" w14:textId="77777777" w:rsidR="009505C9" w:rsidRPr="003F1A75" w:rsidRDefault="0027757E" w:rsidP="007C4951">
        <w:pPr>
          <w:pStyle w:val="Header"/>
          <w:spacing w:after="240"/>
          <w:jc w:val="right"/>
        </w:pPr>
        <w:r>
          <w:t>CBD/CP/MOP/12/L.3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826045272">
    <w:abstractNumId w:val="2"/>
  </w:num>
  <w:num w:numId="2" w16cid:durableId="1719819653">
    <w:abstractNumId w:val="0"/>
  </w:num>
  <w:num w:numId="3" w16cid:durableId="1169515195">
    <w:abstractNumId w:val="6"/>
  </w:num>
  <w:num w:numId="4" w16cid:durableId="965627619">
    <w:abstractNumId w:val="7"/>
  </w:num>
  <w:num w:numId="5" w16cid:durableId="1279222161">
    <w:abstractNumId w:val="1"/>
  </w:num>
  <w:num w:numId="6" w16cid:durableId="991563227">
    <w:abstractNumId w:val="5"/>
  </w:num>
  <w:num w:numId="7" w16cid:durableId="208886597">
    <w:abstractNumId w:val="3"/>
  </w:num>
  <w:num w:numId="8" w16cid:durableId="145058819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735D"/>
    <w:rsid w:val="00007B8B"/>
    <w:rsid w:val="00013CA9"/>
    <w:rsid w:val="00042450"/>
    <w:rsid w:val="00056811"/>
    <w:rsid w:val="0007171B"/>
    <w:rsid w:val="00082CE2"/>
    <w:rsid w:val="000B680D"/>
    <w:rsid w:val="000D0F68"/>
    <w:rsid w:val="000D698F"/>
    <w:rsid w:val="000E28FE"/>
    <w:rsid w:val="000E673A"/>
    <w:rsid w:val="000F1725"/>
    <w:rsid w:val="000F6945"/>
    <w:rsid w:val="000F74F5"/>
    <w:rsid w:val="000F78FC"/>
    <w:rsid w:val="000F7946"/>
    <w:rsid w:val="001031DF"/>
    <w:rsid w:val="00105372"/>
    <w:rsid w:val="001054A6"/>
    <w:rsid w:val="001078A1"/>
    <w:rsid w:val="001243C9"/>
    <w:rsid w:val="00130D0E"/>
    <w:rsid w:val="001312AD"/>
    <w:rsid w:val="00131E7A"/>
    <w:rsid w:val="00134846"/>
    <w:rsid w:val="00151944"/>
    <w:rsid w:val="001643E3"/>
    <w:rsid w:val="00172AF6"/>
    <w:rsid w:val="00175727"/>
    <w:rsid w:val="00176CEE"/>
    <w:rsid w:val="00186DD8"/>
    <w:rsid w:val="001939CE"/>
    <w:rsid w:val="001A35EC"/>
    <w:rsid w:val="001A5872"/>
    <w:rsid w:val="001B13FE"/>
    <w:rsid w:val="001C16A0"/>
    <w:rsid w:val="001C6960"/>
    <w:rsid w:val="001F3264"/>
    <w:rsid w:val="00227D0F"/>
    <w:rsid w:val="0023080C"/>
    <w:rsid w:val="00246E6D"/>
    <w:rsid w:val="00250DFC"/>
    <w:rsid w:val="00254EB5"/>
    <w:rsid w:val="00267AEB"/>
    <w:rsid w:val="0027049E"/>
    <w:rsid w:val="0027757E"/>
    <w:rsid w:val="0028234D"/>
    <w:rsid w:val="002849A9"/>
    <w:rsid w:val="002862E9"/>
    <w:rsid w:val="002D0E1D"/>
    <w:rsid w:val="003008FE"/>
    <w:rsid w:val="0030169D"/>
    <w:rsid w:val="003060EB"/>
    <w:rsid w:val="003153EB"/>
    <w:rsid w:val="0032136E"/>
    <w:rsid w:val="00321985"/>
    <w:rsid w:val="0032558F"/>
    <w:rsid w:val="003268DD"/>
    <w:rsid w:val="00351205"/>
    <w:rsid w:val="00362434"/>
    <w:rsid w:val="00372F74"/>
    <w:rsid w:val="003C3801"/>
    <w:rsid w:val="003F1A75"/>
    <w:rsid w:val="003F7224"/>
    <w:rsid w:val="004215F1"/>
    <w:rsid w:val="00427D21"/>
    <w:rsid w:val="00430684"/>
    <w:rsid w:val="00443470"/>
    <w:rsid w:val="00447F4A"/>
    <w:rsid w:val="00451146"/>
    <w:rsid w:val="00452980"/>
    <w:rsid w:val="00453073"/>
    <w:rsid w:val="0045605A"/>
    <w:rsid w:val="00456F67"/>
    <w:rsid w:val="004644C2"/>
    <w:rsid w:val="00466473"/>
    <w:rsid w:val="004671B8"/>
    <w:rsid w:val="00467F9C"/>
    <w:rsid w:val="004A4BF6"/>
    <w:rsid w:val="004B60B3"/>
    <w:rsid w:val="004D4AA2"/>
    <w:rsid w:val="004D6711"/>
    <w:rsid w:val="004F01A9"/>
    <w:rsid w:val="004F6AB5"/>
    <w:rsid w:val="0051006C"/>
    <w:rsid w:val="00530313"/>
    <w:rsid w:val="00534681"/>
    <w:rsid w:val="0055499A"/>
    <w:rsid w:val="0056068E"/>
    <w:rsid w:val="00563442"/>
    <w:rsid w:val="0056348E"/>
    <w:rsid w:val="00565B42"/>
    <w:rsid w:val="00591A85"/>
    <w:rsid w:val="005B35E2"/>
    <w:rsid w:val="005C4CE6"/>
    <w:rsid w:val="006122BA"/>
    <w:rsid w:val="006255CD"/>
    <w:rsid w:val="0064174C"/>
    <w:rsid w:val="006423AF"/>
    <w:rsid w:val="00647135"/>
    <w:rsid w:val="006478BF"/>
    <w:rsid w:val="00651D4C"/>
    <w:rsid w:val="006778D4"/>
    <w:rsid w:val="006A73C1"/>
    <w:rsid w:val="006B2290"/>
    <w:rsid w:val="006B73DC"/>
    <w:rsid w:val="006C6608"/>
    <w:rsid w:val="006E036E"/>
    <w:rsid w:val="006E70F4"/>
    <w:rsid w:val="00705A88"/>
    <w:rsid w:val="00717D88"/>
    <w:rsid w:val="00720DC3"/>
    <w:rsid w:val="00726A43"/>
    <w:rsid w:val="00726DEC"/>
    <w:rsid w:val="00732DB4"/>
    <w:rsid w:val="007373D7"/>
    <w:rsid w:val="00786056"/>
    <w:rsid w:val="00787C9F"/>
    <w:rsid w:val="007942D3"/>
    <w:rsid w:val="007B2099"/>
    <w:rsid w:val="007B6C09"/>
    <w:rsid w:val="007B7741"/>
    <w:rsid w:val="007C3C82"/>
    <w:rsid w:val="007C4353"/>
    <w:rsid w:val="007C4951"/>
    <w:rsid w:val="007C7196"/>
    <w:rsid w:val="007D1E1A"/>
    <w:rsid w:val="007E09DA"/>
    <w:rsid w:val="007E0F8A"/>
    <w:rsid w:val="007F4C20"/>
    <w:rsid w:val="007F718D"/>
    <w:rsid w:val="00801FAD"/>
    <w:rsid w:val="008142F0"/>
    <w:rsid w:val="0081746C"/>
    <w:rsid w:val="008178B6"/>
    <w:rsid w:val="00822723"/>
    <w:rsid w:val="00865B74"/>
    <w:rsid w:val="00866063"/>
    <w:rsid w:val="00870B3A"/>
    <w:rsid w:val="00871456"/>
    <w:rsid w:val="00894106"/>
    <w:rsid w:val="008974F0"/>
    <w:rsid w:val="008A1499"/>
    <w:rsid w:val="008B012A"/>
    <w:rsid w:val="008C0B65"/>
    <w:rsid w:val="008D41D3"/>
    <w:rsid w:val="008E69BB"/>
    <w:rsid w:val="008F3FFB"/>
    <w:rsid w:val="00906E17"/>
    <w:rsid w:val="0091186C"/>
    <w:rsid w:val="00913699"/>
    <w:rsid w:val="00922A8F"/>
    <w:rsid w:val="00930BA1"/>
    <w:rsid w:val="0093169E"/>
    <w:rsid w:val="009505C9"/>
    <w:rsid w:val="00950752"/>
    <w:rsid w:val="00966424"/>
    <w:rsid w:val="00973B04"/>
    <w:rsid w:val="00975047"/>
    <w:rsid w:val="0099214E"/>
    <w:rsid w:val="00995C1D"/>
    <w:rsid w:val="009C1EC7"/>
    <w:rsid w:val="009C2DE6"/>
    <w:rsid w:val="00A111D1"/>
    <w:rsid w:val="00A26427"/>
    <w:rsid w:val="00A42F30"/>
    <w:rsid w:val="00AA6F92"/>
    <w:rsid w:val="00AB2B6A"/>
    <w:rsid w:val="00AB6934"/>
    <w:rsid w:val="00AC5AF4"/>
    <w:rsid w:val="00AD38EF"/>
    <w:rsid w:val="00AE1597"/>
    <w:rsid w:val="00AF42DE"/>
    <w:rsid w:val="00B3369F"/>
    <w:rsid w:val="00B337BC"/>
    <w:rsid w:val="00B45263"/>
    <w:rsid w:val="00B50A42"/>
    <w:rsid w:val="00B51FC6"/>
    <w:rsid w:val="00B573CF"/>
    <w:rsid w:val="00B87964"/>
    <w:rsid w:val="00B94E6C"/>
    <w:rsid w:val="00BB4606"/>
    <w:rsid w:val="00BB632D"/>
    <w:rsid w:val="00BC5BA9"/>
    <w:rsid w:val="00BC7F7F"/>
    <w:rsid w:val="00BE64EE"/>
    <w:rsid w:val="00BF4633"/>
    <w:rsid w:val="00C16A34"/>
    <w:rsid w:val="00C23D2F"/>
    <w:rsid w:val="00C36279"/>
    <w:rsid w:val="00C443BD"/>
    <w:rsid w:val="00C451C5"/>
    <w:rsid w:val="00C72AAE"/>
    <w:rsid w:val="00C76273"/>
    <w:rsid w:val="00C82A15"/>
    <w:rsid w:val="00C9161D"/>
    <w:rsid w:val="00CA0C1D"/>
    <w:rsid w:val="00CB2178"/>
    <w:rsid w:val="00CF1848"/>
    <w:rsid w:val="00CF7E93"/>
    <w:rsid w:val="00D12044"/>
    <w:rsid w:val="00D15F34"/>
    <w:rsid w:val="00D170D9"/>
    <w:rsid w:val="00D33EFC"/>
    <w:rsid w:val="00D40DBC"/>
    <w:rsid w:val="00D61C85"/>
    <w:rsid w:val="00D718CC"/>
    <w:rsid w:val="00D75CA6"/>
    <w:rsid w:val="00D76A18"/>
    <w:rsid w:val="00D80849"/>
    <w:rsid w:val="00D82E8F"/>
    <w:rsid w:val="00DA2343"/>
    <w:rsid w:val="00DB07C7"/>
    <w:rsid w:val="00DB5E0F"/>
    <w:rsid w:val="00DD118C"/>
    <w:rsid w:val="00DD7C84"/>
    <w:rsid w:val="00DE765C"/>
    <w:rsid w:val="00E073BA"/>
    <w:rsid w:val="00E11282"/>
    <w:rsid w:val="00E13E53"/>
    <w:rsid w:val="00E17F1F"/>
    <w:rsid w:val="00E30761"/>
    <w:rsid w:val="00E41F8F"/>
    <w:rsid w:val="00E521BD"/>
    <w:rsid w:val="00E53FD8"/>
    <w:rsid w:val="00E56C3B"/>
    <w:rsid w:val="00E66235"/>
    <w:rsid w:val="00E7095E"/>
    <w:rsid w:val="00E83C24"/>
    <w:rsid w:val="00E90E66"/>
    <w:rsid w:val="00E9318D"/>
    <w:rsid w:val="00E93F3E"/>
    <w:rsid w:val="00EA71AC"/>
    <w:rsid w:val="00EC3BC0"/>
    <w:rsid w:val="00F041E5"/>
    <w:rsid w:val="00F063C2"/>
    <w:rsid w:val="00F32041"/>
    <w:rsid w:val="00F34373"/>
    <w:rsid w:val="00F53193"/>
    <w:rsid w:val="00F5357E"/>
    <w:rsid w:val="00F6586C"/>
    <w:rsid w:val="00F7514D"/>
    <w:rsid w:val="00F9038B"/>
    <w:rsid w:val="00F94774"/>
    <w:rsid w:val="00FA663B"/>
    <w:rsid w:val="00FB56E2"/>
    <w:rsid w:val="00FC4BBC"/>
    <w:rsid w:val="00FC53DB"/>
    <w:rsid w:val="00FF50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B3E85C"/>
  <w15:docId w15:val="{EB938181-4E35-4D44-A0CF-F5B5D2E0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F1A75"/>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647135"/>
    <w:pPr>
      <w:tabs>
        <w:tab w:val="clear" w:pos="567"/>
        <w:tab w:val="clear" w:pos="1701"/>
        <w:tab w:val="clear" w:pos="2268"/>
      </w:tabs>
      <w:spacing w:before="120" w:after="120"/>
      <w:ind w:left="567"/>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id=123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B5918"/>
    <w:rsid w:val="000554E2"/>
    <w:rsid w:val="000E70A2"/>
    <w:rsid w:val="00130D0E"/>
    <w:rsid w:val="001C7BCC"/>
    <w:rsid w:val="001F642B"/>
    <w:rsid w:val="0025135C"/>
    <w:rsid w:val="00254EB5"/>
    <w:rsid w:val="00265B6C"/>
    <w:rsid w:val="00267AEB"/>
    <w:rsid w:val="00290366"/>
    <w:rsid w:val="00291C10"/>
    <w:rsid w:val="003268DD"/>
    <w:rsid w:val="004E3A72"/>
    <w:rsid w:val="00520873"/>
    <w:rsid w:val="006B0882"/>
    <w:rsid w:val="00720DC3"/>
    <w:rsid w:val="007373D7"/>
    <w:rsid w:val="007525AD"/>
    <w:rsid w:val="007C5884"/>
    <w:rsid w:val="0084239B"/>
    <w:rsid w:val="00922A81"/>
    <w:rsid w:val="009B5918"/>
    <w:rsid w:val="009D777B"/>
    <w:rsid w:val="00A94030"/>
    <w:rsid w:val="00AB25CF"/>
    <w:rsid w:val="00AE59BD"/>
    <w:rsid w:val="00BF4633"/>
    <w:rsid w:val="00CB2178"/>
    <w:rsid w:val="00DA2343"/>
    <w:rsid w:val="00DC06B3"/>
    <w:rsid w:val="00E30761"/>
    <w:rsid w:val="00E4070A"/>
    <w:rsid w:val="00FE6D1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5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25CF"/>
    <w:rPr>
      <w:color w:val="808080"/>
    </w:rPr>
  </w:style>
  <w:style w:type="paragraph" w:customStyle="1" w:styleId="23832C2DC0C54EDEB535C8533C124D97">
    <w:name w:val="23832C2DC0C54EDEB535C8533C124D97"/>
    <w:rsid w:val="00AB25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3AB527-F121-4FB1-979A-9E2DA5A23B41}">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3BC890D-7993-4116-B096-E94040390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31</TotalTime>
  <Pages>2</Pages>
  <Words>879</Words>
  <Characters>5013</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Protocolo Suplementario de Nagoya-Kuala Lumpur sobre Responsabilidad y Compensación</vt:lpstr>
      <vt:lpstr>Nagoya-Kuala Lumpur Supplementary Protocol on Liability and Redress</vt:lpstr>
    </vt:vector>
  </TitlesOfParts>
  <Company>SCBD</Company>
  <LinksUpToDate>false</LinksUpToDate>
  <CharactersWithSpaces>5881</CharactersWithSpaces>
  <SharedDoc>false</SharedDoc>
  <HLinks>
    <vt:vector size="24" baseType="variant">
      <vt:variant>
        <vt:i4>7340081</vt:i4>
      </vt:variant>
      <vt:variant>
        <vt:i4>0</vt:i4>
      </vt:variant>
      <vt:variant>
        <vt:i4>0</vt:i4>
      </vt:variant>
      <vt:variant>
        <vt:i4>5</vt:i4>
      </vt:variant>
      <vt:variant>
        <vt:lpwstr>https://www.cbd.int/doc/decisions/cp-mop-10/cp-mop-10-dec-04-en.pdf</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3473515</vt:i4>
      </vt:variant>
      <vt:variant>
        <vt:i4>0</vt:i4>
      </vt:variant>
      <vt:variant>
        <vt:i4>0</vt:i4>
      </vt:variant>
      <vt:variant>
        <vt:i4>5</vt:i4>
      </vt:variant>
      <vt:variant>
        <vt:lpwstr>https://www.cbd.int/decisions/?id=12324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Suplementario de Nagoya-Kuala Lumpur sobre Responsabilidad y Compensación</dc:title>
  <dc:subject>CBD/CP/MOP/12/L.3</dc:subject>
  <dc:creator>Veronique Lefebvre</dc:creator>
  <cp:keywords>Convention on Biological Diversity</cp:keywords>
  <cp:lastModifiedBy>Giovanna Sabatini</cp:lastModifiedBy>
  <cp:revision>8</cp:revision>
  <cp:lastPrinted>2020-01-22T04:56:00Z</cp:lastPrinted>
  <dcterms:created xsi:type="dcterms:W3CDTF">2026-10-22T16:41:00Z</dcterms:created>
  <dcterms:modified xsi:type="dcterms:W3CDTF">2026-10-23T06:26:00Z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