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tblInd w:w="-284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1244"/>
        <w:gridCol w:w="2620"/>
        <w:gridCol w:w="1586"/>
        <w:gridCol w:w="3876"/>
      </w:tblGrid>
      <w:tr w:rsidR="002B2B83" w:rsidRPr="00A86922" w14:paraId="1157493F" w14:textId="77777777" w:rsidTr="008E259D">
        <w:trPr>
          <w:trHeight w:hRule="exact" w:val="709"/>
        </w:trPr>
        <w:tc>
          <w:tcPr>
            <w:tcW w:w="1038" w:type="dxa"/>
            <w:tcBorders>
              <w:top w:val="nil"/>
              <w:bottom w:val="single" w:sz="12" w:space="0" w:color="000000"/>
            </w:tcBorders>
          </w:tcPr>
          <w:p w14:paraId="1157493C" w14:textId="77777777" w:rsidR="00783359" w:rsidRPr="008E259D" w:rsidRDefault="00783359" w:rsidP="008E259D">
            <w:pPr>
              <w:pStyle w:val="BodyText2"/>
              <w:suppressLineNumber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rPr>
                <w:kern w:val="22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11574A2C" wp14:editId="11574A2D">
                  <wp:extent cx="476494" cy="403200"/>
                  <wp:effectExtent l="0" t="0" r="6350" b="3810"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Borders>
              <w:top w:val="nil"/>
              <w:bottom w:val="single" w:sz="12" w:space="0" w:color="000000"/>
            </w:tcBorders>
          </w:tcPr>
          <w:p w14:paraId="1157493D" w14:textId="19689028" w:rsidR="00783359" w:rsidRPr="008E259D" w:rsidRDefault="00B72E85" w:rsidP="008E25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 w:rsidRPr="009B1628">
              <w:rPr>
                <w:noProof/>
                <w:snapToGrid w:val="0"/>
                <w:lang w:val="en-US"/>
              </w:rPr>
              <w:drawing>
                <wp:inline distT="0" distB="0" distL="0" distR="0" wp14:anchorId="5B6EFD96" wp14:editId="4C034007">
                  <wp:extent cx="388620" cy="42672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2" w:type="dxa"/>
            <w:gridSpan w:val="3"/>
            <w:tcBorders>
              <w:top w:val="nil"/>
              <w:bottom w:val="single" w:sz="12" w:space="0" w:color="000000"/>
            </w:tcBorders>
          </w:tcPr>
          <w:p w14:paraId="1157493E" w14:textId="77777777" w:rsidR="00783359" w:rsidRPr="008E259D" w:rsidRDefault="00783359" w:rsidP="008E259D">
            <w:pPr>
              <w:suppressLineNumbers/>
              <w:tabs>
                <w:tab w:val="left" w:pos="6815"/>
                <w:tab w:val="right" w:pos="761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Univers" w:hAnsi="Univers"/>
                <w:b/>
                <w:kern w:val="22"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CBD</w:t>
            </w:r>
          </w:p>
        </w:tc>
      </w:tr>
      <w:tr w:rsidR="00736BC2" w:rsidRPr="00A86922" w14:paraId="11574949" w14:textId="77777777" w:rsidTr="008E259D">
        <w:trPr>
          <w:trHeight w:val="1693"/>
        </w:trPr>
        <w:tc>
          <w:tcPr>
            <w:tcW w:w="4902" w:type="dxa"/>
            <w:gridSpan w:val="3"/>
            <w:tcBorders>
              <w:top w:val="nil"/>
              <w:bottom w:val="single" w:sz="36" w:space="0" w:color="000000"/>
            </w:tcBorders>
          </w:tcPr>
          <w:p w14:paraId="11574940" w14:textId="008FFDD2" w:rsidR="00736BC2" w:rsidRPr="008E259D" w:rsidRDefault="00795034" w:rsidP="008E25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kern w:val="22"/>
                <w:sz w:val="32"/>
              </w:rPr>
            </w:pPr>
            <w:r w:rsidRPr="009B1628">
              <w:rPr>
                <w:noProof/>
                <w:snapToGrid w:val="0"/>
                <w:lang w:val="en-US"/>
              </w:rPr>
              <w:drawing>
                <wp:inline distT="0" distB="0" distL="0" distR="0" wp14:anchorId="2F09185D" wp14:editId="0AF86EAC">
                  <wp:extent cx="2623185" cy="1077595"/>
                  <wp:effectExtent l="19050" t="0" r="5715" b="0"/>
                  <wp:docPr id="3" name="Рисунок 2" descr="CBD_logo_ru-CMYK-black [Converted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  <w:tcBorders>
              <w:top w:val="nil"/>
              <w:bottom w:val="single" w:sz="36" w:space="0" w:color="000000"/>
            </w:tcBorders>
          </w:tcPr>
          <w:p w14:paraId="11574941" w14:textId="77777777" w:rsidR="00736BC2" w:rsidRPr="008E259D" w:rsidRDefault="00736BC2" w:rsidP="008E259D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sz w:val="32"/>
              </w:rPr>
            </w:pPr>
          </w:p>
        </w:tc>
        <w:tc>
          <w:tcPr>
            <w:tcW w:w="3876" w:type="dxa"/>
            <w:tcBorders>
              <w:top w:val="nil"/>
              <w:bottom w:val="single" w:sz="36" w:space="0" w:color="000000"/>
            </w:tcBorders>
          </w:tcPr>
          <w:p w14:paraId="11574942" w14:textId="77777777" w:rsidR="00736BC2" w:rsidRPr="008E259D" w:rsidRDefault="00736BC2" w:rsidP="008E25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t>Distr.</w:t>
            </w:r>
          </w:p>
          <w:p w14:paraId="11574943" w14:textId="77777777" w:rsidR="00736BC2" w:rsidRPr="008E259D" w:rsidRDefault="00736BC2" w:rsidP="008E25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>
              <w:t>GENERAL</w:t>
            </w:r>
          </w:p>
          <w:p w14:paraId="11574944" w14:textId="77777777" w:rsidR="00736BC2" w:rsidRPr="008E259D" w:rsidRDefault="00736BC2" w:rsidP="008E25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</w:p>
          <w:p w14:paraId="11574945" w14:textId="77777777" w:rsidR="00150C94" w:rsidRPr="008E259D" w:rsidRDefault="00150C94" w:rsidP="008E25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-21"/>
              <w:rPr>
                <w:kern w:val="22"/>
              </w:rPr>
            </w:pPr>
            <w:r>
              <w:t>CBD/CP/RARM/CB/2018/2/1/Add.1</w:t>
            </w:r>
          </w:p>
          <w:p w14:paraId="11574946" w14:textId="77777777" w:rsidR="00736BC2" w:rsidRPr="008E259D" w:rsidRDefault="000A3784" w:rsidP="008E25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-21"/>
              <w:rPr>
                <w:kern w:val="22"/>
              </w:rPr>
            </w:pPr>
            <w:r>
              <w:t>10 July 2018</w:t>
            </w:r>
          </w:p>
          <w:p w14:paraId="11574947" w14:textId="77777777" w:rsidR="00736BC2" w:rsidRPr="00A86922" w:rsidRDefault="00736BC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szCs w:val="22"/>
              </w:rPr>
            </w:pPr>
          </w:p>
          <w:p w14:paraId="11574948" w14:textId="77777777" w:rsidR="00736BC2" w:rsidRPr="008E259D" w:rsidRDefault="00154404" w:rsidP="008E25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u w:val="single"/>
              </w:rPr>
            </w:pPr>
            <w:r>
              <w:t xml:space="preserve">RUSSIAN </w:t>
            </w:r>
            <w:r>
              <w:br/>
              <w:t>ORIGINAL: ENGLISH</w:t>
            </w:r>
          </w:p>
        </w:tc>
      </w:tr>
    </w:tbl>
    <w:p w14:paraId="1157494A" w14:textId="77777777" w:rsidR="00150C94" w:rsidRPr="008E259D" w:rsidRDefault="00A65AF8" w:rsidP="008E259D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5040" w:hanging="284"/>
        <w:rPr>
          <w:rFonts w:eastAsia="Calibri"/>
          <w:kern w:val="22"/>
          <w:szCs w:val="22"/>
        </w:rPr>
      </w:pPr>
      <w:bookmarkStart w:id="1" w:name="OLE_LINK5"/>
      <w:bookmarkStart w:id="2" w:name="OLE_LINK6"/>
      <w:r>
        <w:t>УЧЕБНЫЙ КУРС ПО ОЦЕНКЕ РИСКОВ В ОТНОШЕНИИ ЖИВЫХ ИЗМЕНЕННЫХ ОРГАНИЗМОВ ДЛЯ РЕГИОНА ЦЕНТРАЛЬНОЙ И ВОСТОЧНОЙ ЕВРОПЫ</w:t>
      </w:r>
    </w:p>
    <w:p w14:paraId="1157494B" w14:textId="77777777" w:rsidR="00150C94" w:rsidRPr="008E259D" w:rsidRDefault="00890F1C" w:rsidP="008E259D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right="5040" w:hanging="284"/>
        <w:rPr>
          <w:rFonts w:eastAsia="Calibri"/>
          <w:kern w:val="22"/>
          <w:szCs w:val="22"/>
        </w:rPr>
      </w:pPr>
      <w:r>
        <w:t>Минск, 24-28 сентября 2018 года</w:t>
      </w:r>
    </w:p>
    <w:p w14:paraId="1157494C" w14:textId="77777777" w:rsidR="00995278" w:rsidRPr="008E259D" w:rsidRDefault="00995278" w:rsidP="008E259D">
      <w:pPr>
        <w:pStyle w:val="Heading-plain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240"/>
        <w:rPr>
          <w:i w:val="0"/>
          <w:caps/>
          <w:kern w:val="22"/>
          <w:szCs w:val="22"/>
        </w:rPr>
      </w:pPr>
      <w:r>
        <w:rPr>
          <w:i w:val="0"/>
          <w:caps/>
          <w:szCs w:val="22"/>
        </w:rPr>
        <w:t>Аннотированная предварительная повестка дня</w:t>
      </w:r>
    </w:p>
    <w:bookmarkEnd w:id="1"/>
    <w:bookmarkEnd w:id="2"/>
    <w:p w14:paraId="1157494D" w14:textId="77777777" w:rsidR="00995278" w:rsidRPr="008E259D" w:rsidRDefault="007240D1" w:rsidP="008E259D">
      <w:pPr>
        <w:pStyle w:val="HEADINGNOTFORTOC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kern w:val="22"/>
          <w:szCs w:val="22"/>
        </w:rPr>
      </w:pPr>
      <w:r>
        <w:t>Введение</w:t>
      </w:r>
    </w:p>
    <w:p w14:paraId="1157494E" w14:textId="67362A3D" w:rsidR="00B607E2" w:rsidRPr="00A86922" w:rsidRDefault="00A42DF6" w:rsidP="008E259D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/>
          <w:kern w:val="22"/>
          <w:szCs w:val="22"/>
        </w:rPr>
      </w:pPr>
      <w:r>
        <w:rPr>
          <w:snapToGrid/>
          <w:szCs w:val="22"/>
        </w:rPr>
        <w:t>На своем восьмом совещании в решении</w:t>
      </w:r>
      <w:r w:rsidR="00692B7C" w:rsidRPr="00AB3479">
        <w:rPr>
          <w:snapToGrid/>
          <w:szCs w:val="22"/>
        </w:rPr>
        <w:t xml:space="preserve"> </w:t>
      </w:r>
      <w:hyperlink r:id="rId11" w:history="1">
        <w:r>
          <w:rPr>
            <w:rStyle w:val="Hyperlink"/>
            <w:snapToGrid/>
            <w:szCs w:val="22"/>
          </w:rPr>
          <w:t>BS-VIII/12</w:t>
        </w:r>
      </w:hyperlink>
      <w:r w:rsidR="00692B7C" w:rsidRPr="00AB3479">
        <w:rPr>
          <w:rStyle w:val="Hyperlink"/>
          <w:snapToGrid/>
          <w:szCs w:val="22"/>
        </w:rPr>
        <w:t xml:space="preserve"> </w:t>
      </w:r>
      <w:r>
        <w:rPr>
          <w:snapToGrid/>
          <w:szCs w:val="22"/>
        </w:rPr>
        <w:t>Стороны Картахенского протокола по биобезопасности поручили Исполнительному секретарю при условии наличия ресурсов оказывать поддержку в проведении региональных и субрегиональных мероприятий по созданию потенциала в области оценки рисков в отношении живых измененных организмов.</w:t>
      </w:r>
    </w:p>
    <w:p w14:paraId="1157494F" w14:textId="77777777" w:rsidR="009B60F6" w:rsidRPr="00A86922" w:rsidRDefault="00B607E2" w:rsidP="008E259D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/>
          <w:kern w:val="22"/>
          <w:szCs w:val="22"/>
        </w:rPr>
      </w:pPr>
      <w:r>
        <w:t xml:space="preserve">Кроме того, в своем решении </w:t>
      </w:r>
      <w:hyperlink r:id="rId12" w:history="1">
        <w:r>
          <w:rPr>
            <w:rStyle w:val="Hyperlink"/>
            <w:snapToGrid/>
            <w:szCs w:val="22"/>
          </w:rPr>
          <w:t>VIII/3</w:t>
        </w:r>
      </w:hyperlink>
      <w:r>
        <w:t xml:space="preserve">, посвященном созданию потенциала, </w:t>
      </w:r>
      <w:r>
        <w:rPr>
          <w:snapToGrid/>
          <w:szCs w:val="22"/>
        </w:rPr>
        <w:t xml:space="preserve">Стороны </w:t>
      </w:r>
      <w:r>
        <w:t xml:space="preserve">также поручили Исполнительному секретарю способствовать реализации приоритетных мероприятий по созданию потенциала в поддержку осуществления </w:t>
      </w:r>
      <w:hyperlink r:id="rId13" w:history="1">
        <w:r>
          <w:rPr>
            <w:rStyle w:val="Hyperlink"/>
          </w:rPr>
          <w:t>Картахенского протокола</w:t>
        </w:r>
      </w:hyperlink>
      <w:r>
        <w:t>.</w:t>
      </w:r>
    </w:p>
    <w:p w14:paraId="11574950" w14:textId="433C8B53" w:rsidR="0014598E" w:rsidRPr="008E259D" w:rsidRDefault="00A42DF6" w:rsidP="008E259D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pacing w:val="-3"/>
          <w:kern w:val="22"/>
          <w:szCs w:val="22"/>
        </w:rPr>
      </w:pPr>
      <w:r>
        <w:t xml:space="preserve">При поддержке правительства Республики Корея в рамках корейской инициативы по созданию потенциала в области биобезопасности и в сотрудничестве с </w:t>
      </w:r>
      <w:hyperlink r:id="rId14" w:history="1">
        <w:r>
          <w:rPr>
            <w:rStyle w:val="Hyperlink"/>
          </w:rPr>
          <w:t>Институтом генетики и цитологии Беларуси</w:t>
        </w:r>
      </w:hyperlink>
      <w:r>
        <w:t xml:space="preserve"> </w:t>
      </w:r>
      <w:r w:rsidR="006A1702">
        <w:t>с</w:t>
      </w:r>
      <w:r>
        <w:t>екретариат Конвенции о биологическом разнообразии организует семинар по оценке рисков в отношении живых измененных организмов для региона Центральной и Восточной Европы, который состоится в Минске 24-28 сентября 2018 года.</w:t>
      </w:r>
    </w:p>
    <w:p w14:paraId="11574951" w14:textId="77777777" w:rsidR="00890F1C" w:rsidRPr="008E259D" w:rsidRDefault="0014598E" w:rsidP="008E259D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pacing w:val="-2"/>
          <w:kern w:val="22"/>
          <w:szCs w:val="22"/>
        </w:rPr>
      </w:pPr>
      <w:r>
        <w:rPr>
          <w:snapToGrid/>
          <w:szCs w:val="22"/>
        </w:rPr>
        <w:t>Целью семинара являются теоретическая и практическая подготовка участников по следующим вопросам:</w:t>
      </w:r>
    </w:p>
    <w:p w14:paraId="11574952" w14:textId="1825C6A6" w:rsidR="00890F1C" w:rsidRPr="008E259D" w:rsidRDefault="00890F1C" w:rsidP="008E259D">
      <w:pPr>
        <w:pStyle w:val="NormalWe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beforeAutospacing="0" w:after="120" w:afterAutospacing="0"/>
        <w:ind w:firstLine="720"/>
        <w:jc w:val="both"/>
        <w:rPr>
          <w:kern w:val="22"/>
          <w:sz w:val="22"/>
          <w:szCs w:val="22"/>
        </w:rPr>
      </w:pPr>
      <w:r>
        <w:rPr>
          <w:sz w:val="22"/>
          <w:szCs w:val="22"/>
        </w:rPr>
        <w:t>а)</w:t>
      </w:r>
      <w:r w:rsidR="00280D5F">
        <w:rPr>
          <w:sz w:val="22"/>
          <w:szCs w:val="22"/>
        </w:rPr>
        <w:tab/>
      </w:r>
      <w:r>
        <w:rPr>
          <w:sz w:val="22"/>
          <w:szCs w:val="22"/>
        </w:rPr>
        <w:t>процесс оценки рисков (концепции, этапы, методика, ключевые вопросы для рассмотрения);</w:t>
      </w:r>
    </w:p>
    <w:p w14:paraId="11574953" w14:textId="1CA61779" w:rsidR="0014598E" w:rsidRPr="008E259D" w:rsidRDefault="00890F1C" w:rsidP="008E259D">
      <w:pPr>
        <w:pStyle w:val="NormalWe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beforeAutospacing="0" w:after="120" w:afterAutospacing="0"/>
        <w:ind w:firstLine="720"/>
        <w:jc w:val="both"/>
        <w:rPr>
          <w:kern w:val="22"/>
          <w:sz w:val="22"/>
          <w:szCs w:val="22"/>
        </w:rPr>
      </w:pPr>
      <w:r>
        <w:rPr>
          <w:sz w:val="22"/>
          <w:szCs w:val="22"/>
        </w:rPr>
        <w:t>b)</w:t>
      </w:r>
      <w:r w:rsidR="00280D5F">
        <w:rPr>
          <w:sz w:val="22"/>
          <w:szCs w:val="22"/>
        </w:rPr>
        <w:tab/>
      </w:r>
      <w:r>
        <w:rPr>
          <w:sz w:val="22"/>
          <w:szCs w:val="22"/>
        </w:rPr>
        <w:t xml:space="preserve">практическая подготовка по </w:t>
      </w:r>
      <w:r w:rsidR="005E6EAE">
        <w:rPr>
          <w:sz w:val="22"/>
          <w:szCs w:val="22"/>
        </w:rPr>
        <w:t>анализу</w:t>
      </w:r>
      <w:r>
        <w:rPr>
          <w:sz w:val="22"/>
          <w:szCs w:val="22"/>
        </w:rPr>
        <w:t xml:space="preserve"> тематических исследований в отношении живых измененных организмов в перспективе их высвобождения в окружающую среду, определению целей защиты и применению методики оценки рисков для разработки сценариев риска для его оценки.</w:t>
      </w:r>
    </w:p>
    <w:p w14:paraId="11574954" w14:textId="412FF42E" w:rsidR="00F86A21" w:rsidRPr="008E259D" w:rsidRDefault="00F86A21" w:rsidP="008E259D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rPr>
          <w:snapToGrid/>
          <w:szCs w:val="22"/>
        </w:rPr>
        <w:t>Семинар будет проходить на</w:t>
      </w:r>
      <w:r>
        <w:t xml:space="preserve"> английском и русском языках с устным переводом на английский/русский языки в форме пленарных заседаний и работы в группах.</w:t>
      </w:r>
      <w:r>
        <w:rPr>
          <w:snapToGrid/>
          <w:szCs w:val="22"/>
        </w:rPr>
        <w:t xml:space="preserve"> Документы для семинара будут размещены по адресу</w:t>
      </w:r>
      <w:r w:rsidR="00280D5F" w:rsidRPr="00AB3479">
        <w:rPr>
          <w:snapToGrid/>
          <w:szCs w:val="22"/>
        </w:rPr>
        <w:t xml:space="preserve"> </w:t>
      </w:r>
      <w:hyperlink r:id="rId15" w:history="1">
        <w:r w:rsidR="00280D5F" w:rsidRPr="00373CF2">
          <w:rPr>
            <w:rStyle w:val="Hyperlink"/>
          </w:rPr>
          <w:t>https://www.cbd.int/meetings/CP-RARM-CB-2018-02</w:t>
        </w:r>
      </w:hyperlink>
      <w:r>
        <w:t>.</w:t>
      </w:r>
      <w:r>
        <w:rPr>
          <w:snapToGrid/>
          <w:szCs w:val="22"/>
        </w:rPr>
        <w:t xml:space="preserve"> Участникам предлагается по возможности принести свои экземпляры документов в электронной форме, чтобы свести к минимуму воздействие семинара на окружающую среду.</w:t>
      </w:r>
    </w:p>
    <w:p w14:paraId="11574955" w14:textId="77777777" w:rsidR="00142D42" w:rsidRPr="00A86922" w:rsidRDefault="00142D42" w:rsidP="008E259D">
      <w:pPr>
        <w:keepNext/>
        <w:suppressLineNumbers/>
        <w:tabs>
          <w:tab w:val="left" w:pos="99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outlineLvl w:val="0"/>
        <w:rPr>
          <w:b/>
          <w:caps/>
          <w:kern w:val="22"/>
          <w:szCs w:val="22"/>
        </w:rPr>
      </w:pPr>
      <w:r>
        <w:rPr>
          <w:b/>
          <w:caps/>
          <w:szCs w:val="22"/>
        </w:rPr>
        <w:lastRenderedPageBreak/>
        <w:t>ПУНКТ 1.</w:t>
      </w:r>
      <w:r>
        <w:rPr>
          <w:b/>
          <w:caps/>
          <w:szCs w:val="22"/>
        </w:rPr>
        <w:tab/>
        <w:t>Открытие семинара:</w:t>
      </w:r>
    </w:p>
    <w:p w14:paraId="11574956" w14:textId="77777777" w:rsidR="00310E70" w:rsidRPr="008E259D" w:rsidRDefault="00310E70" w:rsidP="008E259D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outlineLvl w:val="0"/>
        <w:rPr>
          <w:b/>
          <w:kern w:val="22"/>
          <w:szCs w:val="22"/>
        </w:rPr>
      </w:pPr>
      <w:r>
        <w:rPr>
          <w:b/>
          <w:szCs w:val="22"/>
        </w:rPr>
        <w:t>1.1. Приветственное заявление</w:t>
      </w:r>
    </w:p>
    <w:p w14:paraId="11574957" w14:textId="54A5AFE9" w:rsidR="00142D42" w:rsidRPr="00A86922" w:rsidRDefault="00142D42" w:rsidP="008E259D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/>
          <w:kern w:val="22"/>
          <w:szCs w:val="22"/>
        </w:rPr>
      </w:pPr>
      <w:r>
        <w:t xml:space="preserve">Семинар откроет представитель </w:t>
      </w:r>
      <w:hyperlink r:id="rId16" w:history="1">
        <w:r>
          <w:rPr>
            <w:rStyle w:val="Hyperlink"/>
          </w:rPr>
          <w:t>Министерства природных ресурсов и охраны окружающей среды</w:t>
        </w:r>
      </w:hyperlink>
      <w:r>
        <w:t xml:space="preserve"> в </w:t>
      </w:r>
      <w:r w:rsidR="00160A1B" w:rsidRPr="00AB3479">
        <w:t>9</w:t>
      </w:r>
      <w:r>
        <w:t xml:space="preserve">:00 в понедельник, 24 сентября 2018 года. Со вступительным словом также выступят представители Национальной академии наук, Института генетики и цитологии и </w:t>
      </w:r>
      <w:r w:rsidR="00C06430">
        <w:t>секретариата</w:t>
      </w:r>
      <w:r>
        <w:t xml:space="preserve"> Конвенции о биологическом разнообразии.</w:t>
      </w:r>
    </w:p>
    <w:p w14:paraId="11574958" w14:textId="77777777" w:rsidR="00310E70" w:rsidRPr="00A86922" w:rsidRDefault="00310E70" w:rsidP="008E259D">
      <w:pPr>
        <w:pStyle w:val="Para1"/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ind w:firstLine="720"/>
        <w:rPr>
          <w:b/>
          <w:snapToGrid/>
          <w:kern w:val="22"/>
          <w:szCs w:val="22"/>
        </w:rPr>
      </w:pPr>
      <w:r>
        <w:rPr>
          <w:b/>
          <w:snapToGrid/>
          <w:szCs w:val="22"/>
        </w:rPr>
        <w:t>1.2. Представление участников</w:t>
      </w:r>
    </w:p>
    <w:p w14:paraId="11574959" w14:textId="120BDC85" w:rsidR="00F91711" w:rsidRPr="00A86922" w:rsidRDefault="00F91711" w:rsidP="008E259D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/>
          <w:kern w:val="22"/>
          <w:szCs w:val="22"/>
        </w:rPr>
      </w:pPr>
      <w:r>
        <w:rPr>
          <w:snapToGrid/>
          <w:szCs w:val="22"/>
        </w:rPr>
        <w:t>Участникам семинара будет предложено представиться и крат</w:t>
      </w:r>
      <w:r w:rsidR="000C377E">
        <w:rPr>
          <w:snapToGrid/>
          <w:szCs w:val="22"/>
        </w:rPr>
        <w:t>к</w:t>
      </w:r>
      <w:r>
        <w:rPr>
          <w:snapToGrid/>
          <w:szCs w:val="22"/>
        </w:rPr>
        <w:t>о изложить свой опыт и текущую деятельность в области оценки рисков в отношении живых измененных организмов, а также свои ожидания от семинара.</w:t>
      </w:r>
    </w:p>
    <w:p w14:paraId="1157495A" w14:textId="77777777" w:rsidR="00310E70" w:rsidRPr="00A86922" w:rsidRDefault="00310E70" w:rsidP="008E259D">
      <w:pPr>
        <w:pStyle w:val="Para1"/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ind w:firstLine="720"/>
        <w:rPr>
          <w:b/>
          <w:snapToGrid/>
          <w:kern w:val="22"/>
          <w:szCs w:val="22"/>
        </w:rPr>
      </w:pPr>
      <w:r>
        <w:rPr>
          <w:b/>
          <w:snapToGrid/>
          <w:szCs w:val="22"/>
        </w:rPr>
        <w:t>1.3. Организация работы</w:t>
      </w:r>
    </w:p>
    <w:p w14:paraId="1157495B" w14:textId="77777777" w:rsidR="00142D42" w:rsidRPr="00A86922" w:rsidRDefault="00142D42" w:rsidP="008E259D">
      <w:pPr>
        <w:pStyle w:val="Para1"/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/>
          <w:kern w:val="22"/>
          <w:szCs w:val="22"/>
        </w:rPr>
      </w:pPr>
      <w:r>
        <w:rPr>
          <w:snapToGrid/>
          <w:szCs w:val="22"/>
        </w:rPr>
        <w:t>После представления участников представитель секретариата разъяснит цели семинара и организационные вопросы.</w:t>
      </w:r>
    </w:p>
    <w:p w14:paraId="1157495C" w14:textId="77777777" w:rsidR="00142D42" w:rsidRPr="008E259D" w:rsidRDefault="00B9501A" w:rsidP="008E259D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728" w:hanging="1008"/>
        <w:jc w:val="left"/>
        <w:outlineLvl w:val="0"/>
        <w:rPr>
          <w:b/>
          <w:kern w:val="22"/>
          <w:szCs w:val="22"/>
        </w:rPr>
      </w:pPr>
      <w:r>
        <w:rPr>
          <w:b/>
          <w:szCs w:val="22"/>
        </w:rPr>
        <w:t>ПУНКТ 2.</w:t>
      </w:r>
      <w:r>
        <w:rPr>
          <w:b/>
          <w:szCs w:val="22"/>
        </w:rPr>
        <w:tab/>
        <w:t>ОБЗОР КОНЦЕПЦИИ БИОБЕЗОПАСНОСТИ И КАРТАХЕНСКОГО ПРОТОКОЛА ПО БИОБЕЗОПАСНОСТИ</w:t>
      </w:r>
    </w:p>
    <w:p w14:paraId="1157495D" w14:textId="7F56C017" w:rsidR="006F63C5" w:rsidRPr="00A86922" w:rsidRDefault="006F63C5" w:rsidP="008E259D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szCs w:val="22"/>
        </w:rPr>
      </w:pPr>
      <w:r>
        <w:t xml:space="preserve">В рамках этого пункта повестки дня участники рассмотрят общие </w:t>
      </w:r>
      <w:r w:rsidR="00486F87">
        <w:t>концепции</w:t>
      </w:r>
      <w:r>
        <w:t>, связанные с биобезопасностью и Картахенским протоколом по биобезопасности, включая следующие аспекты:</w:t>
      </w:r>
    </w:p>
    <w:p w14:paraId="1157495E" w14:textId="77777777" w:rsidR="006F63C5" w:rsidRPr="00A86922" w:rsidRDefault="0049414C" w:rsidP="00F77F21">
      <w:pPr>
        <w:numPr>
          <w:ilvl w:val="0"/>
          <w:numId w:val="4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hanging="11"/>
        <w:rPr>
          <w:rFonts w:eastAsia="Calibri"/>
          <w:kern w:val="22"/>
          <w:szCs w:val="22"/>
        </w:rPr>
      </w:pPr>
      <w:r>
        <w:t>история Протокола и основные положения;</w:t>
      </w:r>
    </w:p>
    <w:p w14:paraId="1157495F" w14:textId="77777777" w:rsidR="00E3580A" w:rsidRPr="00A86922" w:rsidRDefault="00E3580A" w:rsidP="00F77F21">
      <w:pPr>
        <w:numPr>
          <w:ilvl w:val="0"/>
          <w:numId w:val="4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hanging="11"/>
        <w:rPr>
          <w:rFonts w:eastAsia="Calibri"/>
          <w:kern w:val="22"/>
          <w:szCs w:val="22"/>
        </w:rPr>
      </w:pPr>
      <w:r>
        <w:t xml:space="preserve">соответствующие решения Конференции Сторон, выступающей в качестве Совещания Сторон Картахенского протокола, и </w:t>
      </w:r>
      <w:hyperlink r:id="rId17" w:history="1">
        <w:r>
          <w:rPr>
            <w:rStyle w:val="Hyperlink"/>
          </w:rPr>
          <w:t>Стратегический план для Картахенского протокола по биобезопасности на период 2011-2020 годов</w:t>
        </w:r>
      </w:hyperlink>
      <w:r>
        <w:t>;</w:t>
      </w:r>
    </w:p>
    <w:p w14:paraId="11574960" w14:textId="69206FF3" w:rsidR="006F63C5" w:rsidRPr="00A86922" w:rsidRDefault="00A92BB5" w:rsidP="00F77F21">
      <w:pPr>
        <w:numPr>
          <w:ilvl w:val="0"/>
          <w:numId w:val="4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hanging="11"/>
        <w:rPr>
          <w:rFonts w:eastAsia="Calibri"/>
          <w:kern w:val="22"/>
          <w:szCs w:val="22"/>
        </w:rPr>
      </w:pPr>
      <w:r>
        <w:t>м</w:t>
      </w:r>
      <w:r w:rsidR="0049414C">
        <w:t>етоды, используемые в современной биотехнологии;</w:t>
      </w:r>
    </w:p>
    <w:p w14:paraId="11574961" w14:textId="1C590A77" w:rsidR="00FF0D4F" w:rsidRPr="00A86922" w:rsidRDefault="00A92BB5" w:rsidP="00F77F21">
      <w:pPr>
        <w:numPr>
          <w:ilvl w:val="0"/>
          <w:numId w:val="4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hanging="11"/>
        <w:rPr>
          <w:rFonts w:eastAsia="Calibri"/>
          <w:kern w:val="22"/>
          <w:szCs w:val="22"/>
        </w:rPr>
      </w:pPr>
      <w:r>
        <w:t>с</w:t>
      </w:r>
      <w:r w:rsidR="0049414C">
        <w:t>интетическая биология и биобезопасность.</w:t>
      </w:r>
    </w:p>
    <w:p w14:paraId="11574962" w14:textId="77777777" w:rsidR="00FF0D4F" w:rsidRPr="008E259D" w:rsidRDefault="00CB66A6" w:rsidP="008E259D">
      <w:pPr>
        <w:keepNext/>
        <w:suppressLineNumbers/>
        <w:tabs>
          <w:tab w:val="left" w:pos="9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outlineLvl w:val="0"/>
        <w:rPr>
          <w:b/>
          <w:kern w:val="22"/>
          <w:szCs w:val="22"/>
        </w:rPr>
      </w:pPr>
      <w:r>
        <w:rPr>
          <w:b/>
          <w:szCs w:val="22"/>
        </w:rPr>
        <w:t>ПУНКТ 3.</w:t>
      </w:r>
      <w:r>
        <w:rPr>
          <w:b/>
          <w:szCs w:val="22"/>
        </w:rPr>
        <w:tab/>
        <w:t>ОПЫТ ОЦЕНКИ РИСКОВ В РЕГИОНЕ</w:t>
      </w:r>
    </w:p>
    <w:p w14:paraId="11574963" w14:textId="77777777" w:rsidR="00FF0D4F" w:rsidRPr="008E259D" w:rsidRDefault="00FF0D4F" w:rsidP="008E259D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700" w:hanging="562"/>
        <w:rPr>
          <w:b/>
          <w:kern w:val="22"/>
          <w:szCs w:val="22"/>
        </w:rPr>
      </w:pPr>
      <w:r>
        <w:rPr>
          <w:b/>
          <w:szCs w:val="22"/>
        </w:rPr>
        <w:t>3.1.</w:t>
      </w:r>
      <w:r>
        <w:rPr>
          <w:b/>
          <w:szCs w:val="22"/>
        </w:rPr>
        <w:tab/>
        <w:t>Опыт Беларуси в области оценки рисков и системы регулирования в отношении живых измененных организмов</w:t>
      </w:r>
    </w:p>
    <w:p w14:paraId="11574964" w14:textId="18BD76EE" w:rsidR="00FF0D4F" w:rsidRPr="008E259D" w:rsidRDefault="006D7AEF" w:rsidP="008E259D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/>
          <w:kern w:val="22"/>
          <w:szCs w:val="22"/>
        </w:rPr>
      </w:pPr>
      <w:r>
        <w:t xml:space="preserve">Представитель Беларуси представит национальную систему биобезопасности, включая описание основных компонентов и </w:t>
      </w:r>
      <w:r w:rsidR="00680C22">
        <w:t>мероприятий</w:t>
      </w:r>
      <w:r>
        <w:t>, связанных с осуществлением Картахенского протокола, в частности с оценкой рисков.</w:t>
      </w:r>
    </w:p>
    <w:p w14:paraId="11574965" w14:textId="77777777" w:rsidR="00FF0D4F" w:rsidRPr="008E259D" w:rsidRDefault="006D7AEF" w:rsidP="008E259D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700" w:hanging="562"/>
        <w:rPr>
          <w:b/>
          <w:kern w:val="22"/>
          <w:szCs w:val="22"/>
        </w:rPr>
      </w:pPr>
      <w:r>
        <w:rPr>
          <w:b/>
          <w:szCs w:val="22"/>
        </w:rPr>
        <w:t>3.2.</w:t>
      </w:r>
      <w:r>
        <w:rPr>
          <w:b/>
          <w:szCs w:val="22"/>
        </w:rPr>
        <w:tab/>
        <w:t>Выступления участников: национальный опыт в области оценки рисков и применения положений Картахенского протокола</w:t>
      </w:r>
    </w:p>
    <w:p w14:paraId="11574966" w14:textId="77777777" w:rsidR="00FF0D4F" w:rsidRPr="008E259D" w:rsidRDefault="006D7AEF" w:rsidP="008E259D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szCs w:val="22"/>
        </w:rPr>
      </w:pPr>
      <w:r>
        <w:t>Участники кратко представят (по 5-10 минут на выступление), каким образом проводится оценка рисков в их странах, обозначив основные проблемы и сильные стороны.</w:t>
      </w:r>
    </w:p>
    <w:p w14:paraId="11574967" w14:textId="7FBF412D" w:rsidR="00FF0D4F" w:rsidRPr="008E259D" w:rsidRDefault="006D7AEF" w:rsidP="008E259D">
      <w:pPr>
        <w:tabs>
          <w:tab w:val="left" w:pos="450"/>
        </w:tabs>
        <w:jc w:val="center"/>
        <w:rPr>
          <w:b/>
          <w:kern w:val="22"/>
          <w:szCs w:val="22"/>
        </w:rPr>
      </w:pPr>
      <w:r>
        <w:rPr>
          <w:b/>
          <w:szCs w:val="22"/>
        </w:rPr>
        <w:t>3.3.</w:t>
      </w:r>
      <w:r>
        <w:rPr>
          <w:b/>
          <w:szCs w:val="22"/>
        </w:rPr>
        <w:tab/>
        <w:t>Экскурсия по Институту генетики и цитологии</w:t>
      </w:r>
    </w:p>
    <w:p w14:paraId="11574968" w14:textId="77777777" w:rsidR="00FF0D4F" w:rsidRPr="008E259D" w:rsidRDefault="006D7AEF" w:rsidP="008E259D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/>
          <w:kern w:val="22"/>
          <w:szCs w:val="22"/>
        </w:rPr>
      </w:pPr>
      <w:r>
        <w:t>Представитель Института генетики и цитологии проведет групповую экскурсию, в ходе которой участники ознакомятся с работой, проделанной учреждением, в котором проходит семинар.</w:t>
      </w:r>
    </w:p>
    <w:p w14:paraId="11574969" w14:textId="45203471" w:rsidR="00FF0D4F" w:rsidRPr="008E259D" w:rsidRDefault="00C95592" w:rsidP="008E259D">
      <w:pPr>
        <w:keepNext/>
        <w:suppressLineNumbers/>
        <w:tabs>
          <w:tab w:val="left" w:pos="9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outlineLvl w:val="0"/>
        <w:rPr>
          <w:b/>
          <w:kern w:val="22"/>
          <w:szCs w:val="22"/>
        </w:rPr>
      </w:pPr>
      <w:r>
        <w:rPr>
          <w:b/>
          <w:szCs w:val="22"/>
        </w:rPr>
        <w:lastRenderedPageBreak/>
        <w:t>ПУНКТ 4.</w:t>
      </w:r>
      <w:r>
        <w:rPr>
          <w:b/>
          <w:szCs w:val="22"/>
        </w:rPr>
        <w:tab/>
        <w:t>НАЦИОНАЛЬНЫЕ МЕХАНИЗМЫ ПО ОБЕСПЕЧЕНИЮ БИОБЕЗОПАСНОСТИ</w:t>
      </w:r>
    </w:p>
    <w:p w14:paraId="1157496A" w14:textId="06862391" w:rsidR="00FF0D4F" w:rsidRPr="008E259D" w:rsidRDefault="00A21563" w:rsidP="008E259D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kern w:val="22"/>
          <w:szCs w:val="22"/>
        </w:rPr>
      </w:pPr>
      <w:r>
        <w:rPr>
          <w:b/>
          <w:szCs w:val="22"/>
        </w:rPr>
        <w:t>4.1.</w:t>
      </w:r>
      <w:r>
        <w:rPr>
          <w:b/>
          <w:szCs w:val="22"/>
        </w:rPr>
        <w:tab/>
        <w:t>Компетентные национальные органы, практика и принципы</w:t>
      </w:r>
    </w:p>
    <w:p w14:paraId="1157496B" w14:textId="77777777" w:rsidR="00A21563" w:rsidRPr="008E259D" w:rsidRDefault="00A21563" w:rsidP="008E259D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szCs w:val="22"/>
        </w:rPr>
      </w:pPr>
      <w:r>
        <w:t>Обзор структуры и роли национальных механизмов по обеспечению биобезопасности, включая определение компетентных национальных органов и примеры механизмов по обеспечению биобезопасности в различных странах.</w:t>
      </w:r>
    </w:p>
    <w:p w14:paraId="1157496C" w14:textId="630F19C3" w:rsidR="00A21563" w:rsidRPr="008E259D" w:rsidRDefault="00A21563" w:rsidP="008E259D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kern w:val="22"/>
          <w:szCs w:val="22"/>
        </w:rPr>
      </w:pPr>
      <w:r>
        <w:rPr>
          <w:b/>
          <w:szCs w:val="22"/>
        </w:rPr>
        <w:t>4.2.</w:t>
      </w:r>
      <w:r>
        <w:rPr>
          <w:b/>
          <w:szCs w:val="22"/>
        </w:rPr>
        <w:tab/>
        <w:t>Экспертные консультации и роль специалистов по оценке рисков</w:t>
      </w:r>
    </w:p>
    <w:p w14:paraId="1157496D" w14:textId="77777777" w:rsidR="00A21563" w:rsidRPr="00A86922" w:rsidRDefault="00A21563" w:rsidP="008E259D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szCs w:val="22"/>
        </w:rPr>
      </w:pPr>
      <w:r>
        <w:t>Будет представлена информация о роли регулирующих и научных консультативных органов, включая такие аспекты, как обязанности специалистов по оценке рисков, реестр экспертов по вопросам биобезопасности и участие общественности.</w:t>
      </w:r>
    </w:p>
    <w:p w14:paraId="1157496E" w14:textId="77777777" w:rsidR="0018469C" w:rsidRPr="008E259D" w:rsidRDefault="00496D91" w:rsidP="008E259D">
      <w:pPr>
        <w:keepNext/>
        <w:suppressLineNumbers/>
        <w:tabs>
          <w:tab w:val="left" w:pos="9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outlineLvl w:val="0"/>
        <w:rPr>
          <w:b/>
          <w:kern w:val="22"/>
          <w:szCs w:val="22"/>
        </w:rPr>
      </w:pPr>
      <w:r>
        <w:rPr>
          <w:b/>
          <w:szCs w:val="22"/>
        </w:rPr>
        <w:t>ПУНКТ 5.</w:t>
      </w:r>
      <w:r>
        <w:rPr>
          <w:b/>
          <w:szCs w:val="22"/>
        </w:rPr>
        <w:tab/>
        <w:t>ОБЗОР ОЦЕНКИ РИСКОВ</w:t>
      </w:r>
    </w:p>
    <w:p w14:paraId="1157496F" w14:textId="77777777" w:rsidR="0018469C" w:rsidRPr="008E259D" w:rsidRDefault="0018469C" w:rsidP="008E259D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kern w:val="22"/>
          <w:szCs w:val="22"/>
        </w:rPr>
      </w:pPr>
      <w:r>
        <w:rPr>
          <w:b/>
          <w:szCs w:val="22"/>
        </w:rPr>
        <w:t>5.1.</w:t>
      </w:r>
      <w:r>
        <w:rPr>
          <w:b/>
          <w:szCs w:val="22"/>
        </w:rPr>
        <w:tab/>
        <w:t>Методика</w:t>
      </w:r>
    </w:p>
    <w:p w14:paraId="11574970" w14:textId="323F3BCD" w:rsidR="0018469C" w:rsidRPr="00A86922" w:rsidRDefault="0018469C" w:rsidP="008E259D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szCs w:val="22"/>
        </w:rPr>
      </w:pPr>
      <w:r>
        <w:t>Будет представлен обзор методики оценки рисков, включая такие вопросы, как национальные цели защиты, конечные объекты оценки, практика и принципы оценки, а также определение таких терминов, как неблагоприятные последствия, воздействие и определение характеристик.</w:t>
      </w:r>
    </w:p>
    <w:p w14:paraId="11574971" w14:textId="6E45CAE8" w:rsidR="0018469C" w:rsidRPr="008E259D" w:rsidRDefault="0018469C" w:rsidP="008E259D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0"/>
        <w:rPr>
          <w:b/>
          <w:kern w:val="22"/>
          <w:szCs w:val="22"/>
        </w:rPr>
      </w:pPr>
      <w:r>
        <w:rPr>
          <w:b/>
          <w:szCs w:val="22"/>
        </w:rPr>
        <w:t>5.2.</w:t>
      </w:r>
      <w:r>
        <w:rPr>
          <w:b/>
          <w:szCs w:val="22"/>
        </w:rPr>
        <w:tab/>
        <w:t>Основные вопросы (качество и актуальность информации, факторы неопределенности)</w:t>
      </w:r>
    </w:p>
    <w:p w14:paraId="11574972" w14:textId="77777777" w:rsidR="00F26F85" w:rsidRPr="00A86922" w:rsidRDefault="00F26F85" w:rsidP="008E259D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szCs w:val="22"/>
        </w:rPr>
      </w:pPr>
      <w:r>
        <w:t>Будет представлена информация о качестве и актуальности информации, а также о выявлении и учете факторов неопределенности.</w:t>
      </w:r>
    </w:p>
    <w:p w14:paraId="11574973" w14:textId="6734473E" w:rsidR="0018469C" w:rsidRPr="008E259D" w:rsidRDefault="0018469C" w:rsidP="008E259D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0"/>
        <w:rPr>
          <w:b/>
          <w:kern w:val="22"/>
          <w:szCs w:val="22"/>
        </w:rPr>
      </w:pPr>
      <w:r>
        <w:rPr>
          <w:b/>
          <w:szCs w:val="22"/>
        </w:rPr>
        <w:t>5.3.</w:t>
      </w:r>
      <w:r>
        <w:rPr>
          <w:b/>
          <w:szCs w:val="22"/>
        </w:rPr>
        <w:tab/>
        <w:t>Этап планирования (контекст и сфера охвата, конечные объекты оценки, выбор организмов для сравнения)</w:t>
      </w:r>
    </w:p>
    <w:p w14:paraId="11574974" w14:textId="65D9EC4E" w:rsidR="00F26F85" w:rsidRPr="00A86922" w:rsidRDefault="00F26F85" w:rsidP="008E259D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szCs w:val="22"/>
        </w:rPr>
      </w:pPr>
      <w:r>
        <w:t>Этот пункт будет посвящен определению контекста и сферы охвата, выбору соответствующих конечных объектов оценки или репрезентативных видов, установлению базовых параметров для оценки риска, а также выбору подходящих организмов для сравнения и выработке гипотез риска.</w:t>
      </w:r>
    </w:p>
    <w:p w14:paraId="11574975" w14:textId="667FF8AC" w:rsidR="0018469C" w:rsidRPr="008E259D" w:rsidRDefault="0018469C" w:rsidP="008E259D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40" w:hanging="720"/>
        <w:jc w:val="left"/>
        <w:outlineLvl w:val="0"/>
        <w:rPr>
          <w:b/>
          <w:kern w:val="22"/>
          <w:szCs w:val="22"/>
        </w:rPr>
      </w:pPr>
      <w:r>
        <w:rPr>
          <w:b/>
          <w:szCs w:val="22"/>
        </w:rPr>
        <w:t>5.4.</w:t>
      </w:r>
      <w:r>
        <w:rPr>
          <w:b/>
          <w:szCs w:val="22"/>
        </w:rPr>
        <w:tab/>
        <w:t xml:space="preserve">Проведение оценки рисков (выявление новых характеристик, оценка вероятности возникновения и последствий, </w:t>
      </w:r>
      <w:r w:rsidR="00D76764" w:rsidRPr="00D76764">
        <w:rPr>
          <w:b/>
          <w:szCs w:val="22"/>
        </w:rPr>
        <w:t xml:space="preserve">оценивание </w:t>
      </w:r>
      <w:r>
        <w:rPr>
          <w:b/>
          <w:szCs w:val="22"/>
        </w:rPr>
        <w:t>совокупного риска, приемлемость риска)</w:t>
      </w:r>
    </w:p>
    <w:p w14:paraId="11574976" w14:textId="0D6D152D" w:rsidR="00F26F85" w:rsidRPr="00A86922" w:rsidRDefault="00F26F85" w:rsidP="008E259D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szCs w:val="22"/>
        </w:rPr>
      </w:pPr>
      <w:r>
        <w:t>В рамках этого пункта будет представлена основная информация о проведени</w:t>
      </w:r>
      <w:r w:rsidR="003C3162">
        <w:t>и</w:t>
      </w:r>
      <w:r>
        <w:t xml:space="preserve"> оценки риска. В частности, будут рассматриваться вопросы выявления новых характеристик живых измененных организмов, методов оценки вероятности возникновения неблагоприятного воздействия и возможных последствий, а также оцен</w:t>
      </w:r>
      <w:r w:rsidR="00752D97">
        <w:t>ивания</w:t>
      </w:r>
      <w:r>
        <w:t xml:space="preserve"> совокупного риска. В </w:t>
      </w:r>
      <w:r w:rsidR="0062671F">
        <w:t>данной</w:t>
      </w:r>
      <w:r>
        <w:t xml:space="preserve"> теме будут </w:t>
      </w:r>
      <w:r w:rsidR="00BD1971">
        <w:t>освещены</w:t>
      </w:r>
      <w:r>
        <w:t xml:space="preserve"> такие понятия, как поток генов, аллергенность и принимающая среда.</w:t>
      </w:r>
    </w:p>
    <w:p w14:paraId="11574977" w14:textId="5B9E04F1" w:rsidR="0018469C" w:rsidRPr="00AB3479" w:rsidRDefault="0018469C" w:rsidP="008E259D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0"/>
        <w:rPr>
          <w:b/>
          <w:kern w:val="22"/>
          <w:szCs w:val="22"/>
        </w:rPr>
      </w:pPr>
      <w:r>
        <w:rPr>
          <w:b/>
          <w:szCs w:val="22"/>
        </w:rPr>
        <w:t>5.5.</w:t>
      </w:r>
      <w:r>
        <w:rPr>
          <w:b/>
          <w:szCs w:val="22"/>
        </w:rPr>
        <w:tab/>
        <w:t>Подготовка доклада об оценке рисков и рекомендации</w:t>
      </w:r>
    </w:p>
    <w:p w14:paraId="11574978" w14:textId="00CB5F42" w:rsidR="008D5428" w:rsidRPr="00A86922" w:rsidRDefault="00896D42" w:rsidP="008E259D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szCs w:val="22"/>
        </w:rPr>
      </w:pPr>
      <w:r>
        <w:t>Данный</w:t>
      </w:r>
      <w:r w:rsidR="008D5428">
        <w:t xml:space="preserve"> пункт будет посвящен важным аспектам, которые необходимо учитывать при подготовке докладов об оценке рисков. Доклад, представленный в хорошо структурированной форме, будет не только содействовать об</w:t>
      </w:r>
      <w:r w:rsidR="00080B97">
        <w:t>с</w:t>
      </w:r>
      <w:r w:rsidR="008D5428">
        <w:t>уждению директивных органов, но и способствовать обмену информацией и опытом. Презентация будет включать в себя информацию об истории вопроса и масштабах оценки рисков, определении характеристик и оценивани</w:t>
      </w:r>
      <w:r w:rsidR="00BA2991">
        <w:t>и</w:t>
      </w:r>
      <w:r w:rsidR="008D5428">
        <w:t xml:space="preserve"> рисков, а также описание стратегий управления и мониторинга рисков.</w:t>
      </w:r>
    </w:p>
    <w:p w14:paraId="11574979" w14:textId="77777777" w:rsidR="007E60D7" w:rsidRPr="008E259D" w:rsidRDefault="00496D91" w:rsidP="008E259D">
      <w:pPr>
        <w:keepNext/>
        <w:suppressLineNumbers/>
        <w:tabs>
          <w:tab w:val="left" w:pos="9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outlineLvl w:val="0"/>
        <w:rPr>
          <w:b/>
          <w:kern w:val="22"/>
          <w:szCs w:val="22"/>
        </w:rPr>
      </w:pPr>
      <w:r>
        <w:rPr>
          <w:b/>
          <w:szCs w:val="22"/>
        </w:rPr>
        <w:lastRenderedPageBreak/>
        <w:t>ПУНКТ 6.</w:t>
      </w:r>
      <w:r>
        <w:rPr>
          <w:b/>
          <w:szCs w:val="22"/>
        </w:rPr>
        <w:tab/>
        <w:t>ТЕМАТИЧЕСКИЕ ИССЛЕДОВАНИЯ</w:t>
      </w:r>
    </w:p>
    <w:p w14:paraId="1157497A" w14:textId="77777777" w:rsidR="00A019A1" w:rsidRPr="00A86922" w:rsidRDefault="00B6557B" w:rsidP="008E259D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0"/>
        <w:rPr>
          <w:b/>
          <w:kern w:val="22"/>
          <w:szCs w:val="22"/>
        </w:rPr>
      </w:pPr>
      <w:r>
        <w:rPr>
          <w:b/>
          <w:szCs w:val="22"/>
        </w:rPr>
        <w:t>6.1.</w:t>
      </w:r>
      <w:r>
        <w:rPr>
          <w:b/>
          <w:szCs w:val="22"/>
        </w:rPr>
        <w:tab/>
        <w:t xml:space="preserve">Презентация тематического исследования 1 </w:t>
      </w:r>
    </w:p>
    <w:p w14:paraId="1157497B" w14:textId="7E7DD646" w:rsidR="00142D42" w:rsidRPr="00A86922" w:rsidRDefault="00B6557B" w:rsidP="008E259D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szCs w:val="22"/>
        </w:rPr>
      </w:pPr>
      <w:r>
        <w:t>В ходе пленарно</w:t>
      </w:r>
      <w:r w:rsidR="001B28E5">
        <w:t>го</w:t>
      </w:r>
      <w:r>
        <w:t xml:space="preserve"> заседания будет представлено тематическое исследование, и группе будет продемонстрировано, каким образом можно провести оценку конкретного тематического исследования на основе концепций и методик, представленных ранее в рамках других пунктов повестки дня. Цель этого упражнения заключается в том, чтобы предоставить участникам возможность увидеть, как применяются эти концепции. Ожидается, что </w:t>
      </w:r>
      <w:r w:rsidR="00916149">
        <w:t>оно</w:t>
      </w:r>
      <w:r>
        <w:t xml:space="preserve"> поможет выполнению следующего упражнения, в ходе которого участники проанализируют еще одно тематическое исследование.</w:t>
      </w:r>
    </w:p>
    <w:p w14:paraId="1157497C" w14:textId="77777777" w:rsidR="00A019A1" w:rsidRPr="00A86922" w:rsidRDefault="00A019A1" w:rsidP="008E259D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0"/>
        <w:rPr>
          <w:b/>
          <w:kern w:val="22"/>
          <w:szCs w:val="22"/>
        </w:rPr>
      </w:pPr>
      <w:r>
        <w:rPr>
          <w:b/>
          <w:szCs w:val="22"/>
        </w:rPr>
        <w:t>6.2.</w:t>
      </w:r>
      <w:r>
        <w:rPr>
          <w:b/>
          <w:szCs w:val="22"/>
        </w:rPr>
        <w:tab/>
        <w:t>Презентация тематического исследования 2</w:t>
      </w:r>
    </w:p>
    <w:p w14:paraId="1157497D" w14:textId="113AFBB9" w:rsidR="00A019A1" w:rsidRPr="00A86922" w:rsidRDefault="00A019A1" w:rsidP="008E259D">
      <w:pPr>
        <w:numPr>
          <w:ilvl w:val="0"/>
          <w:numId w:val="6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szCs w:val="22"/>
        </w:rPr>
      </w:pPr>
      <w:r>
        <w:t>На пленарном заседании будет пред</w:t>
      </w:r>
      <w:r w:rsidR="00A06959">
        <w:t>ст</w:t>
      </w:r>
      <w:r>
        <w:t>авлено второе тематическое исследование, затем участники разобьются на группы и проведут оценку информации, представленной по тематическому исследованию. Участникам будет предложено сформулировать гипотезы, определить цели защиты и конечные объекты оценки, а также применить методику оценки рисков. В конце заседания каждая группа изложит пленарному заседанию свою оценку, после чего состоится групповое обсуждение.</w:t>
      </w:r>
    </w:p>
    <w:p w14:paraId="1157497E" w14:textId="4CBC5DBA" w:rsidR="00981E3C" w:rsidRPr="008E259D" w:rsidRDefault="00981E3C" w:rsidP="008E259D">
      <w:pPr>
        <w:keepNext/>
        <w:suppressLineNumbers/>
        <w:tabs>
          <w:tab w:val="left" w:pos="9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outlineLvl w:val="0"/>
        <w:rPr>
          <w:b/>
          <w:kern w:val="22"/>
          <w:szCs w:val="22"/>
        </w:rPr>
      </w:pPr>
      <w:bookmarkStart w:id="3" w:name="_Hlk514236589"/>
      <w:r>
        <w:rPr>
          <w:b/>
          <w:szCs w:val="22"/>
        </w:rPr>
        <w:t>ПУНКТ 7.</w:t>
      </w:r>
      <w:r>
        <w:rPr>
          <w:b/>
          <w:szCs w:val="22"/>
        </w:rPr>
        <w:tab/>
        <w:t>МОБИЛИЗАЦИЯ РЕСУРСОВ И МЕХАНИЗМ ПОСРЕДНИЧЕСТВА ПО БИОБЕЗОПАСНОСТ</w:t>
      </w:r>
      <w:r w:rsidR="00041950">
        <w:rPr>
          <w:b/>
          <w:szCs w:val="22"/>
        </w:rPr>
        <w:t>И</w:t>
      </w:r>
    </w:p>
    <w:bookmarkEnd w:id="3"/>
    <w:p w14:paraId="1157497F" w14:textId="77777777" w:rsidR="00981E3C" w:rsidRPr="008E259D" w:rsidRDefault="00981E3C" w:rsidP="008E259D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0"/>
        <w:rPr>
          <w:b/>
          <w:kern w:val="22"/>
          <w:szCs w:val="22"/>
        </w:rPr>
      </w:pPr>
      <w:r>
        <w:rPr>
          <w:b/>
          <w:szCs w:val="22"/>
        </w:rPr>
        <w:t>7.1.</w:t>
      </w:r>
      <w:r>
        <w:rPr>
          <w:b/>
          <w:szCs w:val="22"/>
        </w:rPr>
        <w:tab/>
        <w:t>Мобилизация ресурсов в интересах обеспечения биобезопасности;</w:t>
      </w:r>
    </w:p>
    <w:p w14:paraId="11574980" w14:textId="7E64DAF4" w:rsidR="00981E3C" w:rsidRPr="00A86922" w:rsidRDefault="00981E3C" w:rsidP="008E259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outlineLvl w:val="0"/>
        <w:rPr>
          <w:kern w:val="22"/>
          <w:szCs w:val="22"/>
        </w:rPr>
      </w:pPr>
      <w:r>
        <w:t>22.</w:t>
      </w:r>
      <w:r>
        <w:tab/>
        <w:t xml:space="preserve">Будет представлена информация о том, как получить доступ к финансированию </w:t>
      </w:r>
      <w:r w:rsidRPr="00A66934">
        <w:t>Глобального экологического фонда</w:t>
      </w:r>
      <w:r>
        <w:t xml:space="preserve"> для проектов в области обеспечения биобезопасности.</w:t>
      </w:r>
    </w:p>
    <w:p w14:paraId="11574981" w14:textId="77777777" w:rsidR="007E60D7" w:rsidRPr="008E259D" w:rsidRDefault="00981E3C" w:rsidP="008E259D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0"/>
        <w:rPr>
          <w:b/>
          <w:kern w:val="22"/>
          <w:szCs w:val="22"/>
        </w:rPr>
      </w:pPr>
      <w:r>
        <w:rPr>
          <w:b/>
          <w:szCs w:val="22"/>
        </w:rPr>
        <w:t>7.2.</w:t>
      </w:r>
      <w:r>
        <w:rPr>
          <w:b/>
          <w:szCs w:val="22"/>
        </w:rPr>
        <w:tab/>
        <w:t>Механизм посредничества по биобезопасности</w:t>
      </w:r>
    </w:p>
    <w:p w14:paraId="11574982" w14:textId="77777777" w:rsidR="0028460C" w:rsidRPr="00A86922" w:rsidRDefault="00981E3C" w:rsidP="008E259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outlineLvl w:val="0"/>
        <w:rPr>
          <w:kern w:val="22"/>
          <w:szCs w:val="22"/>
        </w:rPr>
      </w:pPr>
      <w:r>
        <w:t>23.</w:t>
      </w:r>
      <w:r>
        <w:tab/>
        <w:t xml:space="preserve">Будет представлена информация об использовании </w:t>
      </w:r>
      <w:hyperlink r:id="rId18" w:history="1">
        <w:r>
          <w:rPr>
            <w:rStyle w:val="Hyperlink"/>
          </w:rPr>
          <w:t>Механизма посредничества по Биобезопасности</w:t>
        </w:r>
      </w:hyperlink>
      <w:r>
        <w:t>.</w:t>
      </w:r>
    </w:p>
    <w:p w14:paraId="11574983" w14:textId="77777777" w:rsidR="00981E3C" w:rsidRPr="008E259D" w:rsidRDefault="00981E3C" w:rsidP="008E259D">
      <w:pPr>
        <w:keepNext/>
        <w:suppressLineNumbers/>
        <w:tabs>
          <w:tab w:val="left" w:pos="9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outlineLvl w:val="0"/>
        <w:rPr>
          <w:b/>
          <w:kern w:val="22"/>
          <w:szCs w:val="22"/>
        </w:rPr>
      </w:pPr>
      <w:r>
        <w:rPr>
          <w:b/>
          <w:szCs w:val="22"/>
        </w:rPr>
        <w:t>ПУНКТ 8.</w:t>
      </w:r>
      <w:r>
        <w:rPr>
          <w:b/>
          <w:szCs w:val="22"/>
        </w:rPr>
        <w:tab/>
        <w:t>ЗАКЛЮЧЕНИЕ И РЕКОМЕНДАЦИИ</w:t>
      </w:r>
    </w:p>
    <w:p w14:paraId="11574984" w14:textId="77777777" w:rsidR="00981E3C" w:rsidRPr="008E259D" w:rsidRDefault="00981E3C" w:rsidP="008E259D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0"/>
        <w:rPr>
          <w:b/>
          <w:kern w:val="22"/>
          <w:szCs w:val="22"/>
        </w:rPr>
      </w:pPr>
      <w:r>
        <w:rPr>
          <w:b/>
          <w:szCs w:val="22"/>
        </w:rPr>
        <w:t>8.1.</w:t>
      </w:r>
      <w:r>
        <w:rPr>
          <w:b/>
          <w:szCs w:val="22"/>
        </w:rPr>
        <w:tab/>
        <w:t>Оценка семинара</w:t>
      </w:r>
    </w:p>
    <w:p w14:paraId="11574985" w14:textId="77777777" w:rsidR="00981E3C" w:rsidRPr="00A86922" w:rsidRDefault="00310E70" w:rsidP="008E259D">
      <w:pPr>
        <w:pStyle w:val="StylePara1Before0pt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/>
          <w:kern w:val="22"/>
          <w:szCs w:val="22"/>
        </w:rPr>
      </w:pPr>
      <w:r>
        <w:rPr>
          <w:snapToGrid/>
          <w:szCs w:val="22"/>
        </w:rPr>
        <w:t>24.</w:t>
      </w:r>
      <w:r>
        <w:rPr>
          <w:snapToGrid/>
          <w:szCs w:val="22"/>
        </w:rPr>
        <w:tab/>
        <w:t>Участникам будет предложено заполнить формуляр оценки для ознакомления с их мнением о семинаре.</w:t>
      </w:r>
    </w:p>
    <w:p w14:paraId="11574986" w14:textId="77777777" w:rsidR="00310E70" w:rsidRPr="008E259D" w:rsidRDefault="00981E3C" w:rsidP="008E259D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0"/>
        <w:rPr>
          <w:b/>
          <w:kern w:val="22"/>
          <w:szCs w:val="22"/>
        </w:rPr>
      </w:pPr>
      <w:r>
        <w:rPr>
          <w:b/>
          <w:szCs w:val="22"/>
        </w:rPr>
        <w:t>8.2.</w:t>
      </w:r>
      <w:r>
        <w:rPr>
          <w:b/>
          <w:szCs w:val="22"/>
        </w:rPr>
        <w:tab/>
        <w:t>Закрытие семинара</w:t>
      </w:r>
    </w:p>
    <w:p w14:paraId="11574987" w14:textId="77777777" w:rsidR="00695C7F" w:rsidRPr="00A86922" w:rsidRDefault="00310E70" w:rsidP="008E259D">
      <w:pPr>
        <w:pStyle w:val="StylePara1Before0pt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/>
          <w:kern w:val="22"/>
          <w:szCs w:val="22"/>
        </w:rPr>
      </w:pPr>
      <w:r>
        <w:rPr>
          <w:snapToGrid/>
          <w:szCs w:val="22"/>
        </w:rPr>
        <w:t>25.</w:t>
      </w:r>
      <w:r>
        <w:rPr>
          <w:snapToGrid/>
          <w:szCs w:val="22"/>
        </w:rPr>
        <w:tab/>
        <w:t>Семинар планируется завершить в 13:00 в пятницу, 28 сентября 2018 года.</w:t>
      </w:r>
    </w:p>
    <w:p w14:paraId="11574988" w14:textId="77777777" w:rsidR="00FE2DEE" w:rsidRPr="00A86922" w:rsidRDefault="00FE2DEE" w:rsidP="008E259D">
      <w:pPr>
        <w:pStyle w:val="StylePara1Before0pt"/>
        <w:keepNext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jc w:val="center"/>
        <w:rPr>
          <w:i/>
          <w:iCs/>
          <w:snapToGrid/>
          <w:kern w:val="22"/>
          <w:szCs w:val="22"/>
        </w:rPr>
      </w:pPr>
      <w:r>
        <w:br w:type="page"/>
      </w:r>
      <w:r>
        <w:rPr>
          <w:i/>
          <w:iCs/>
          <w:snapToGrid/>
          <w:szCs w:val="22"/>
        </w:rPr>
        <w:lastRenderedPageBreak/>
        <w:t>Приложение</w:t>
      </w:r>
    </w:p>
    <w:p w14:paraId="11574989" w14:textId="77777777" w:rsidR="00FE2DEE" w:rsidRPr="008E259D" w:rsidRDefault="00C91022" w:rsidP="008E259D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rPr>
          <w:b/>
          <w:caps/>
          <w:kern w:val="22"/>
          <w:szCs w:val="22"/>
        </w:rPr>
      </w:pPr>
      <w:r>
        <w:rPr>
          <w:b/>
          <w:caps/>
          <w:szCs w:val="22"/>
        </w:rPr>
        <w:t>ПРОГРАММА РАБОТЫ УЧЕБНОГО КУРСА ПО ОЦЕНКЕ РИСКОВ В ОТНОШЕНИИ ЖИВЫХ ИЗМЕНЕННЫХ ОРГАНИЗМОВ ДЛЯ РЕГИОНА ЦЕНТРАЛЬНОЙ И ВОСТОЧНОЙ ЕВРОПЫ</w:t>
      </w:r>
    </w:p>
    <w:tbl>
      <w:tblPr>
        <w:tblStyle w:val="TableGrid"/>
        <w:tblW w:w="992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612"/>
      </w:tblGrid>
      <w:tr w:rsidR="00FF3916" w:rsidRPr="008E259D" w14:paraId="1157498C" w14:textId="77777777" w:rsidTr="00497923">
        <w:trPr>
          <w:cantSplit/>
          <w:tblHeader/>
          <w:jc w:val="center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8A" w14:textId="77777777" w:rsidR="00FF3916" w:rsidRPr="008E259D" w:rsidRDefault="00FF39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outlineLvl w:val="3"/>
              <w:rPr>
                <w:rFonts w:ascii="Times New Roman" w:eastAsia="Arial Unicode MS" w:hAnsi="Times New Roman" w:cs="Times New Roman"/>
                <w:i/>
                <w:iCs/>
                <w:kern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Cs w:val="22"/>
              </w:rPr>
              <w:t>Дата</w:t>
            </w:r>
          </w:p>
        </w:tc>
        <w:tc>
          <w:tcPr>
            <w:tcW w:w="7612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8B" w14:textId="77777777" w:rsidR="00FF3916" w:rsidRPr="008E259D" w:rsidRDefault="00FF39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outlineLvl w:val="3"/>
              <w:rPr>
                <w:rFonts w:ascii="Times New Roman" w:eastAsia="Arial Unicode MS" w:hAnsi="Times New Roman" w:cs="Times New Roman"/>
                <w:i/>
                <w:iCs/>
                <w:kern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Cs w:val="22"/>
              </w:rPr>
              <w:t>Мероприятие</w:t>
            </w:r>
          </w:p>
        </w:tc>
      </w:tr>
      <w:tr w:rsidR="00FF3916" w:rsidRPr="008E259D" w14:paraId="1157498E" w14:textId="77777777" w:rsidTr="00497923">
        <w:trPr>
          <w:cantSplit/>
          <w:jc w:val="center"/>
        </w:trPr>
        <w:tc>
          <w:tcPr>
            <w:tcW w:w="9928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8D" w14:textId="77777777" w:rsidR="00FF3916" w:rsidRPr="008E259D" w:rsidRDefault="002A4DE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outlineLvl w:val="3"/>
              <w:rPr>
                <w:rFonts w:ascii="Times New Roman" w:eastAsia="Arial Unicode MS" w:hAnsi="Times New Roman" w:cs="Times New Roman"/>
                <w:b/>
                <w:bCs/>
                <w:kern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Понедельник, 24 сентября 2018 года</w:t>
            </w:r>
          </w:p>
        </w:tc>
      </w:tr>
      <w:tr w:rsidR="00FF3916" w:rsidRPr="008E259D" w14:paraId="11574991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8F" w14:textId="77777777" w:rsidR="00FF3916" w:rsidRPr="008E259D" w:rsidRDefault="00FF39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outlineLvl w:val="3"/>
              <w:rPr>
                <w:rFonts w:ascii="Times New Roman" w:eastAsia="Arial Unicode MS" w:hAnsi="Times New Roman" w:cs="Times New Roman"/>
                <w:bCs/>
                <w:iCs/>
                <w:kern w:val="22"/>
                <w:szCs w:val="22"/>
              </w:rPr>
            </w:pP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90" w14:textId="77777777" w:rsidR="00FF3916" w:rsidRPr="008E259D" w:rsidRDefault="00AD152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outlineLvl w:val="3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1.</w:t>
            </w:r>
            <w:r>
              <w:rPr>
                <w:rFonts w:ascii="Times New Roman" w:hAnsi="Times New Roman"/>
                <w:szCs w:val="22"/>
              </w:rPr>
              <w:tab/>
              <w:t>Открытие семинара:</w:t>
            </w:r>
          </w:p>
        </w:tc>
      </w:tr>
      <w:tr w:rsidR="00FF3916" w:rsidRPr="008E259D" w14:paraId="11574994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92" w14:textId="26457EE3" w:rsidR="00FF3916" w:rsidRPr="00AB3479" w:rsidRDefault="00160A1B" w:rsidP="00160A1B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8.3</w:t>
            </w:r>
            <w:r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en-US"/>
              </w:rPr>
              <w:t>-9.00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93" w14:textId="77777777" w:rsidR="00FF3916" w:rsidRPr="008E259D" w:rsidRDefault="00FF3916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Регистрация участников</w:t>
            </w:r>
          </w:p>
        </w:tc>
      </w:tr>
      <w:tr w:rsidR="00FF3916" w:rsidRPr="008E259D" w14:paraId="11574997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95" w14:textId="5321A44E" w:rsidR="00FF3916" w:rsidRPr="00AB3479" w:rsidRDefault="00160A1B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9.00-9.45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96" w14:textId="77777777" w:rsidR="00FF3916" w:rsidRPr="008E259D" w:rsidRDefault="00AD152C">
            <w:pPr>
              <w:suppressLineNumbers/>
              <w:tabs>
                <w:tab w:val="left" w:pos="91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1.2.</w:t>
            </w:r>
            <w:r>
              <w:rPr>
                <w:rFonts w:ascii="Times New Roman" w:hAnsi="Times New Roman"/>
                <w:szCs w:val="22"/>
              </w:rPr>
              <w:tab/>
              <w:t>Приветственное заявление, организация работы и представление участников</w:t>
            </w:r>
          </w:p>
        </w:tc>
      </w:tr>
      <w:tr w:rsidR="00FF3916" w:rsidRPr="008E259D" w14:paraId="1157499A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98" w14:textId="4CA91602" w:rsidR="00FF3916" w:rsidRPr="00AB3479" w:rsidRDefault="00160A1B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9.45-10.15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99" w14:textId="77777777" w:rsidR="00FF3916" w:rsidRPr="008E259D" w:rsidRDefault="00FF3916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Перерыв на кофе/чай</w:t>
            </w:r>
          </w:p>
        </w:tc>
      </w:tr>
      <w:tr w:rsidR="00FF3916" w:rsidRPr="008E259D" w14:paraId="1157499D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9B" w14:textId="77777777" w:rsidR="00FF3916" w:rsidRPr="008E259D" w:rsidRDefault="00FF3916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i/>
                <w:kern w:val="22"/>
                <w:szCs w:val="22"/>
              </w:rPr>
            </w:pP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9C" w14:textId="77777777" w:rsidR="00FF3916" w:rsidRPr="008E259D" w:rsidRDefault="00AD152C">
            <w:pPr>
              <w:suppressLineNumbers/>
              <w:tabs>
                <w:tab w:val="left" w:pos="91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2.</w:t>
            </w:r>
            <w:r>
              <w:rPr>
                <w:rFonts w:ascii="Times New Roman" w:hAnsi="Times New Roman"/>
                <w:szCs w:val="22"/>
              </w:rPr>
              <w:tab/>
              <w:t>Обзор концепции биобезопасности и Картахенского протокола по биобезопасности:</w:t>
            </w:r>
          </w:p>
        </w:tc>
      </w:tr>
      <w:tr w:rsidR="00FF3916" w:rsidRPr="008E259D" w14:paraId="115749A0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9E" w14:textId="0DBE241F" w:rsidR="00FF3916" w:rsidRPr="00AB3479" w:rsidRDefault="00160A1B">
            <w:pPr>
              <w:suppressLineNumbers/>
              <w:tabs>
                <w:tab w:val="left" w:pos="1560"/>
                <w:tab w:val="left" w:pos="2552"/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10.15-10.45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9F" w14:textId="2A601D28" w:rsidR="00FF3916" w:rsidRPr="008E259D" w:rsidRDefault="00F70A0C">
            <w:pPr>
              <w:suppressLineNumbers/>
              <w:tabs>
                <w:tab w:val="left" w:pos="91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2.1.</w:t>
            </w:r>
            <w:r>
              <w:rPr>
                <w:rFonts w:ascii="Times New Roman" w:hAnsi="Times New Roman"/>
                <w:szCs w:val="22"/>
              </w:rPr>
              <w:tab/>
              <w:t>История Протокола и основные положения</w:t>
            </w:r>
          </w:p>
        </w:tc>
      </w:tr>
      <w:tr w:rsidR="00FF3916" w:rsidRPr="008E259D" w14:paraId="115749A3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A1" w14:textId="527C611F" w:rsidR="00FF3916" w:rsidRPr="00AB3479" w:rsidRDefault="00160A1B">
            <w:pPr>
              <w:suppressLineNumbers/>
              <w:tabs>
                <w:tab w:val="right" w:pos="8640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10.45-11.30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A2" w14:textId="444B5468" w:rsidR="00FF3916" w:rsidRPr="008E259D" w:rsidRDefault="00F70A0C">
            <w:pPr>
              <w:suppressLineNumbers/>
              <w:tabs>
                <w:tab w:val="left" w:pos="91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2.2.</w:t>
            </w:r>
            <w:r>
              <w:rPr>
                <w:rFonts w:ascii="Times New Roman" w:hAnsi="Times New Roman"/>
                <w:szCs w:val="22"/>
              </w:rPr>
              <w:tab/>
              <w:t>Методы, используемые в современной биотехнологии</w:t>
            </w:r>
          </w:p>
        </w:tc>
      </w:tr>
      <w:tr w:rsidR="00FF3916" w:rsidRPr="008E259D" w14:paraId="115749A6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A4" w14:textId="08A6D462" w:rsidR="00FF3916" w:rsidRPr="00AB3479" w:rsidRDefault="00160A1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11.30-12.15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A5" w14:textId="77777777" w:rsidR="00FF3916" w:rsidRPr="008E259D" w:rsidRDefault="003E0475">
            <w:pPr>
              <w:suppressLineNumbers/>
              <w:tabs>
                <w:tab w:val="left" w:pos="91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3.1.</w:t>
            </w:r>
            <w:r>
              <w:rPr>
                <w:rFonts w:ascii="Times New Roman" w:hAnsi="Times New Roman"/>
                <w:szCs w:val="22"/>
              </w:rPr>
              <w:tab/>
              <w:t>Опыт оценки рисков в регионе: опыт Беларуси в области оценки рисков и системы регулирования в отношении живых измененных организмов</w:t>
            </w:r>
          </w:p>
        </w:tc>
      </w:tr>
      <w:tr w:rsidR="00FF3916" w:rsidRPr="008E259D" w14:paraId="115749A9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A7" w14:textId="032E5938" w:rsidR="00FF3916" w:rsidRPr="00AB3479" w:rsidRDefault="00160A1B" w:rsidP="00160A1B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12.15-13.45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A8" w14:textId="77777777" w:rsidR="00FF3916" w:rsidRPr="008E259D" w:rsidRDefault="00FF3916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Перерыв на обед</w:t>
            </w:r>
          </w:p>
        </w:tc>
      </w:tr>
      <w:tr w:rsidR="00C14777" w:rsidRPr="008E259D" w14:paraId="115749AC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AA" w14:textId="242173DD" w:rsidR="00C14777" w:rsidRPr="00AB3479" w:rsidRDefault="00160A1B" w:rsidP="00160A1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i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13.45-14.15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AB" w14:textId="77777777" w:rsidR="00C14777" w:rsidRPr="008E259D" w:rsidRDefault="00C14777">
            <w:pPr>
              <w:suppressLineNumbers/>
              <w:tabs>
                <w:tab w:val="left" w:pos="91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iCs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3.1. (</w:t>
            </w:r>
            <w:r>
              <w:rPr>
                <w:rFonts w:ascii="Times New Roman" w:hAnsi="Times New Roman"/>
                <w:i/>
                <w:iCs/>
                <w:szCs w:val="22"/>
              </w:rPr>
              <w:t>продолжение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FF3916" w:rsidRPr="008E259D" w14:paraId="115749AF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AD" w14:textId="3266B9CF" w:rsidR="00FF3916" w:rsidRPr="00AB3479" w:rsidRDefault="00160A1B" w:rsidP="00160A1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14.15-15.45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AE" w14:textId="77777777" w:rsidR="00FF3916" w:rsidRPr="008E259D" w:rsidRDefault="009175E8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3.2.</w:t>
            </w:r>
            <w:r>
              <w:rPr>
                <w:rFonts w:ascii="Times New Roman" w:hAnsi="Times New Roman"/>
                <w:szCs w:val="22"/>
              </w:rPr>
              <w:tab/>
              <w:t>Выступления участников: национальный опыт в области оценки рисков и применения положений Картахенского протокола</w:t>
            </w:r>
          </w:p>
        </w:tc>
      </w:tr>
      <w:tr w:rsidR="00FF3916" w:rsidRPr="008E259D" w14:paraId="115749B2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B0" w14:textId="29F3007C" w:rsidR="00FF3916" w:rsidRPr="00AB3479" w:rsidRDefault="00160A1B" w:rsidP="00160A1B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15.45-16.00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B1" w14:textId="77777777" w:rsidR="00FF3916" w:rsidRPr="008E259D" w:rsidRDefault="00FF3916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Перерыв на кофе/чай</w:t>
            </w:r>
          </w:p>
        </w:tc>
      </w:tr>
      <w:tr w:rsidR="00FF3916" w:rsidRPr="008E259D" w14:paraId="115749B5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B3" w14:textId="6A66570E" w:rsidR="00FF3916" w:rsidRPr="00AB3479" w:rsidRDefault="00160A1B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16.00-17.00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B4" w14:textId="77777777" w:rsidR="00FF3916" w:rsidRPr="008E259D" w:rsidRDefault="00437BC1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3.2. (</w:t>
            </w:r>
            <w:r>
              <w:rPr>
                <w:rFonts w:ascii="Times New Roman" w:hAnsi="Times New Roman"/>
                <w:i/>
                <w:iCs/>
                <w:szCs w:val="22"/>
              </w:rPr>
              <w:t>продолжение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FF3916" w:rsidRPr="008E259D" w14:paraId="115749B7" w14:textId="77777777" w:rsidTr="00497923">
        <w:trPr>
          <w:cantSplit/>
          <w:jc w:val="center"/>
        </w:trPr>
        <w:tc>
          <w:tcPr>
            <w:tcW w:w="9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B6" w14:textId="77777777" w:rsidR="00FF3916" w:rsidRPr="008E259D" w:rsidRDefault="002A4DE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kern w:val="22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Вторник, 25 сентября 2018 года</w:t>
            </w:r>
          </w:p>
        </w:tc>
      </w:tr>
      <w:tr w:rsidR="00FF3916" w:rsidRPr="008E259D" w14:paraId="115749BA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B8" w14:textId="77777777" w:rsidR="00FF3916" w:rsidRPr="008E259D" w:rsidRDefault="00FF39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i/>
                <w:kern w:val="22"/>
                <w:szCs w:val="22"/>
              </w:rPr>
            </w:pP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B9" w14:textId="0CDB9915" w:rsidR="00FF3916" w:rsidRPr="008E259D" w:rsidRDefault="009543B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iCs/>
                <w:kern w:val="22"/>
                <w:szCs w:val="22"/>
              </w:rPr>
            </w:pPr>
            <w:r>
              <w:rPr>
                <w:rFonts w:ascii="Times New Roman" w:hAnsi="Times New Roman"/>
                <w:iCs/>
                <w:szCs w:val="22"/>
              </w:rPr>
              <w:t>Пункт 4.</w:t>
            </w:r>
            <w:r>
              <w:rPr>
                <w:rFonts w:ascii="Times New Roman" w:hAnsi="Times New Roman"/>
                <w:iCs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>Национальные механизмы</w:t>
            </w:r>
            <w:r w:rsidR="00831C88">
              <w:rPr>
                <w:rFonts w:ascii="Times New Roman" w:hAnsi="Times New Roman"/>
                <w:szCs w:val="22"/>
              </w:rPr>
              <w:t xml:space="preserve"> по</w:t>
            </w:r>
            <w:r>
              <w:rPr>
                <w:rFonts w:ascii="Times New Roman" w:hAnsi="Times New Roman"/>
                <w:szCs w:val="22"/>
              </w:rPr>
              <w:t xml:space="preserve"> обеспечени</w:t>
            </w:r>
            <w:r w:rsidR="00831C88">
              <w:rPr>
                <w:rFonts w:ascii="Times New Roman" w:hAnsi="Times New Roman"/>
                <w:szCs w:val="22"/>
              </w:rPr>
              <w:t>ю</w:t>
            </w:r>
            <w:r>
              <w:rPr>
                <w:rFonts w:ascii="Times New Roman" w:hAnsi="Times New Roman"/>
                <w:szCs w:val="22"/>
              </w:rPr>
              <w:t xml:space="preserve"> биобезопасности</w:t>
            </w:r>
          </w:p>
        </w:tc>
      </w:tr>
      <w:tr w:rsidR="00FF3916" w:rsidRPr="008E259D" w14:paraId="115749BD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BB" w14:textId="7326B542" w:rsidR="00FF3916" w:rsidRPr="00AB3479" w:rsidRDefault="00160A1B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9.00-9.30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BC" w14:textId="77777777" w:rsidR="00FF3916" w:rsidRPr="008E259D" w:rsidRDefault="008842C5" w:rsidP="00E5010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4.1.</w:t>
            </w:r>
            <w:r>
              <w:rPr>
                <w:rFonts w:ascii="Times New Roman" w:hAnsi="Times New Roman"/>
                <w:szCs w:val="22"/>
              </w:rPr>
              <w:tab/>
              <w:t>Компетентные национальные органы, практика и принципы</w:t>
            </w:r>
          </w:p>
        </w:tc>
      </w:tr>
      <w:tr w:rsidR="00FF3916" w:rsidRPr="008E259D" w14:paraId="115749C0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BE" w14:textId="2F04AAE0" w:rsidR="00FF3916" w:rsidRPr="00AB3479" w:rsidRDefault="00160A1B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9.30-10.00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BF" w14:textId="273B9F32" w:rsidR="00FF3916" w:rsidRPr="008E259D" w:rsidRDefault="00900CA9" w:rsidP="00E5010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4.2.</w:t>
            </w:r>
            <w:r>
              <w:rPr>
                <w:rFonts w:ascii="Times New Roman" w:hAnsi="Times New Roman"/>
                <w:szCs w:val="22"/>
              </w:rPr>
              <w:tab/>
              <w:t>Экспертные консультации и роль специалистов по оценке рисков</w:t>
            </w:r>
          </w:p>
        </w:tc>
      </w:tr>
      <w:tr w:rsidR="00FF3916" w:rsidRPr="008E259D" w14:paraId="115749C3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C1" w14:textId="77777777" w:rsidR="00FF3916" w:rsidRPr="008E259D" w:rsidRDefault="00FF39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i/>
                <w:kern w:val="22"/>
                <w:szCs w:val="22"/>
              </w:rPr>
            </w:pP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C2" w14:textId="77777777" w:rsidR="00FF3916" w:rsidRPr="008E259D" w:rsidRDefault="009543B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iCs/>
                <w:kern w:val="22"/>
                <w:szCs w:val="22"/>
              </w:rPr>
            </w:pPr>
            <w:r>
              <w:rPr>
                <w:rFonts w:ascii="Times New Roman" w:hAnsi="Times New Roman"/>
                <w:iCs/>
                <w:szCs w:val="22"/>
              </w:rPr>
              <w:t>Пункт 5.</w:t>
            </w:r>
            <w:r>
              <w:rPr>
                <w:rFonts w:ascii="Times New Roman" w:hAnsi="Times New Roman"/>
                <w:iCs/>
                <w:szCs w:val="22"/>
              </w:rPr>
              <w:tab/>
              <w:t>Обзор оценки рисков</w:t>
            </w:r>
          </w:p>
        </w:tc>
      </w:tr>
      <w:tr w:rsidR="00FF3916" w:rsidRPr="008E259D" w14:paraId="115749C6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C4" w14:textId="611C1DA1" w:rsidR="00FF3916" w:rsidRPr="00AB3479" w:rsidRDefault="00160A1B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10.10-10.15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C5" w14:textId="77777777" w:rsidR="00FF3916" w:rsidRPr="008E259D" w:rsidRDefault="00A204C0">
            <w:pPr>
              <w:suppressLineNumbers/>
              <w:tabs>
                <w:tab w:val="left" w:pos="91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5.1.</w:t>
            </w:r>
            <w:r>
              <w:rPr>
                <w:rFonts w:ascii="Times New Roman" w:hAnsi="Times New Roman"/>
                <w:szCs w:val="22"/>
              </w:rPr>
              <w:tab/>
              <w:t>Методика</w:t>
            </w:r>
          </w:p>
        </w:tc>
      </w:tr>
      <w:tr w:rsidR="00FF3916" w:rsidRPr="008E259D" w14:paraId="115749C9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C7" w14:textId="18289ECD" w:rsidR="00FF3916" w:rsidRPr="00AB3479" w:rsidRDefault="00160A1B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10.15-11.15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C8" w14:textId="77777777" w:rsidR="00FF3916" w:rsidRPr="008E259D" w:rsidRDefault="00FF3916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Перерыв на кофе/чай</w:t>
            </w:r>
          </w:p>
        </w:tc>
      </w:tr>
      <w:tr w:rsidR="00FF3916" w:rsidRPr="008E259D" w14:paraId="115749CC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CA" w14:textId="6960EB7F" w:rsidR="00FF3916" w:rsidRPr="00AB3479" w:rsidRDefault="00160A1B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11.15-12.00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0EA323" w14:textId="77777777" w:rsidR="00E15BF0" w:rsidRDefault="00E645A8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5.2.</w:t>
            </w:r>
            <w:r>
              <w:rPr>
                <w:rFonts w:ascii="Times New Roman" w:hAnsi="Times New Roman"/>
                <w:szCs w:val="22"/>
              </w:rPr>
              <w:tab/>
              <w:t xml:space="preserve">Основные вопросы </w:t>
            </w:r>
          </w:p>
          <w:p w14:paraId="115749CB" w14:textId="61035CDE" w:rsidR="00FF3916" w:rsidRPr="008E259D" w:rsidRDefault="00E645A8" w:rsidP="00E15BF0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551" w:firstLine="141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Качество и актуальность информации, вопросы неопределенности</w:t>
            </w:r>
          </w:p>
        </w:tc>
      </w:tr>
      <w:tr w:rsidR="00FF3916" w:rsidRPr="008E259D" w14:paraId="115749CF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CD" w14:textId="46375CD9" w:rsidR="00FF3916" w:rsidRPr="00AB3479" w:rsidRDefault="00160A1B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12.00-13.45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CE" w14:textId="77777777" w:rsidR="00FF3916" w:rsidRPr="008E259D" w:rsidRDefault="00FF3916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Перерыв на обед</w:t>
            </w:r>
          </w:p>
        </w:tc>
      </w:tr>
      <w:tr w:rsidR="00FF3916" w:rsidRPr="008E259D" w14:paraId="115749D2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D0" w14:textId="54F1D862" w:rsidR="00FF3916" w:rsidRPr="00AB3479" w:rsidRDefault="00160A1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13.45-14.30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185B57" w14:textId="77777777" w:rsidR="007B5E54" w:rsidRDefault="00B314D3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5.3.</w:t>
            </w:r>
            <w:r>
              <w:rPr>
                <w:rFonts w:ascii="Times New Roman" w:hAnsi="Times New Roman"/>
                <w:szCs w:val="22"/>
              </w:rPr>
              <w:tab/>
              <w:t xml:space="preserve">Этап планирования </w:t>
            </w:r>
          </w:p>
          <w:p w14:paraId="115749D1" w14:textId="76BBAE3D" w:rsidR="00FF3916" w:rsidRPr="008E259D" w:rsidRDefault="00B314D3" w:rsidP="007B5E54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692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Контекст и сфера охвата, конечные объекты оценки, выбор организмов для сравнения</w:t>
            </w:r>
            <w:r w:rsidR="007B5E54">
              <w:rPr>
                <w:rFonts w:ascii="Times New Roman" w:hAnsi="Times New Roman"/>
                <w:szCs w:val="22"/>
              </w:rPr>
              <w:t>, гипотеза риска</w:t>
            </w:r>
          </w:p>
        </w:tc>
      </w:tr>
      <w:tr w:rsidR="00FF3916" w:rsidRPr="008E259D" w14:paraId="115749D5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D3" w14:textId="77777777" w:rsidR="00FF3916" w:rsidRPr="008E259D" w:rsidRDefault="00FF391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14:30 – 15:30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F69D68" w14:textId="77777777" w:rsidR="007B5E54" w:rsidRDefault="00B314D3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5.4.</w:t>
            </w:r>
            <w:r>
              <w:rPr>
                <w:rFonts w:ascii="Times New Roman" w:hAnsi="Times New Roman"/>
                <w:szCs w:val="22"/>
              </w:rPr>
              <w:tab/>
              <w:t xml:space="preserve">Проведение оценки рисков </w:t>
            </w:r>
          </w:p>
          <w:p w14:paraId="115749D4" w14:textId="0AF375B0" w:rsidR="00FF3916" w:rsidRPr="008E259D" w:rsidRDefault="00B314D3" w:rsidP="007B5E54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692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Выявление новых характеристик, оценка вероятности возникновения и последствий, оценка совокупного риска, приемлемость риска</w:t>
            </w:r>
          </w:p>
        </w:tc>
      </w:tr>
      <w:tr w:rsidR="00FF3916" w:rsidRPr="008E259D" w14:paraId="115749D8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D6" w14:textId="77777777" w:rsidR="00FF3916" w:rsidRPr="008E259D" w:rsidRDefault="00FF3916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15:30 – 16:00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D7" w14:textId="77777777" w:rsidR="00FF3916" w:rsidRPr="008E259D" w:rsidRDefault="00FF3916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Перерыв на кофе/чай</w:t>
            </w:r>
          </w:p>
        </w:tc>
      </w:tr>
      <w:tr w:rsidR="00FF3916" w:rsidRPr="008E259D" w14:paraId="115749DB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D9" w14:textId="77777777" w:rsidR="00FF3916" w:rsidRPr="008E259D" w:rsidRDefault="00FF3916">
            <w:pPr>
              <w:suppressLineNumbers/>
              <w:tabs>
                <w:tab w:val="left" w:pos="2552"/>
                <w:tab w:val="left" w:pos="2835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16:00 – 17:00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DA" w14:textId="77777777" w:rsidR="00FF3916" w:rsidRPr="008E259D" w:rsidRDefault="00AF6755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Экскурсия по Институту генетики и цитологии</w:t>
            </w:r>
          </w:p>
        </w:tc>
      </w:tr>
      <w:tr w:rsidR="00FF3916" w:rsidRPr="008E259D" w14:paraId="115749DD" w14:textId="77777777" w:rsidTr="00497923">
        <w:trPr>
          <w:cantSplit/>
          <w:jc w:val="center"/>
        </w:trPr>
        <w:tc>
          <w:tcPr>
            <w:tcW w:w="9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DC" w14:textId="77777777" w:rsidR="00FF3916" w:rsidRPr="008E259D" w:rsidRDefault="00FF3916">
            <w:pPr>
              <w:keepNext/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kern w:val="22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Среда, 26 сентября 2018 года</w:t>
            </w:r>
          </w:p>
        </w:tc>
      </w:tr>
      <w:tr w:rsidR="000D4A83" w:rsidRPr="008E259D" w14:paraId="115749E0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DE" w14:textId="77777777" w:rsidR="000D4A83" w:rsidRPr="008E259D" w:rsidRDefault="002C51FC">
            <w:pPr>
              <w:keepNext/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hAnsi="Times New Roman" w:cs="Times New Roman"/>
                <w:iCs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09:00 – 09:45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DF" w14:textId="77777777" w:rsidR="000D4A83" w:rsidRPr="008E259D" w:rsidRDefault="000D4A83" w:rsidP="008E259D">
            <w:pPr>
              <w:suppressLineNumbers/>
              <w:tabs>
                <w:tab w:val="left" w:pos="91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5.5.</w:t>
            </w:r>
            <w:r>
              <w:rPr>
                <w:rFonts w:ascii="Times New Roman" w:hAnsi="Times New Roman"/>
                <w:szCs w:val="22"/>
              </w:rPr>
              <w:tab/>
              <w:t>Подготовка доклада об оценке рисков и рекомендации</w:t>
            </w:r>
          </w:p>
        </w:tc>
      </w:tr>
      <w:tr w:rsidR="000D4A83" w:rsidRPr="008E259D" w14:paraId="115749E3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E1" w14:textId="77777777" w:rsidR="000D4A83" w:rsidRPr="008E259D" w:rsidRDefault="000D4A83">
            <w:pPr>
              <w:keepNext/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iCs/>
                <w:kern w:val="22"/>
                <w:szCs w:val="22"/>
              </w:rPr>
            </w:pP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E2" w14:textId="3FDA9C3B" w:rsidR="000D4A83" w:rsidRPr="008E259D" w:rsidRDefault="000D4A83">
            <w:pPr>
              <w:keepNext/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iCs/>
                <w:kern w:val="22"/>
                <w:szCs w:val="22"/>
              </w:rPr>
            </w:pPr>
            <w:r>
              <w:rPr>
                <w:rFonts w:ascii="Times New Roman" w:hAnsi="Times New Roman"/>
                <w:iCs/>
                <w:szCs w:val="22"/>
              </w:rPr>
              <w:t>Пункт 6.</w:t>
            </w:r>
            <w:r w:rsidR="00CC19FA">
              <w:rPr>
                <w:rFonts w:ascii="Times New Roman" w:hAnsi="Times New Roman"/>
                <w:iCs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Cs w:val="22"/>
              </w:rPr>
              <w:t>Тематические исследования</w:t>
            </w:r>
          </w:p>
        </w:tc>
      </w:tr>
      <w:tr w:rsidR="000D4A83" w:rsidRPr="008E259D" w14:paraId="115749E6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E4" w14:textId="77777777" w:rsidR="000D4A83" w:rsidRPr="008E259D" w:rsidRDefault="0078578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09:45 – 10:30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32267B" w14:textId="77777777" w:rsidR="0007056B" w:rsidRDefault="000D4A83" w:rsidP="00CC19FA">
            <w:pPr>
              <w:suppressLineNumbers/>
              <w:tabs>
                <w:tab w:val="left" w:pos="154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6.1.</w:t>
            </w:r>
            <w:r>
              <w:rPr>
                <w:rFonts w:ascii="Times New Roman" w:hAnsi="Times New Roman"/>
                <w:szCs w:val="22"/>
              </w:rPr>
              <w:tab/>
              <w:t xml:space="preserve">Презентация тематического исследования 1 </w:t>
            </w:r>
          </w:p>
          <w:p w14:paraId="115749E5" w14:textId="627C1049" w:rsidR="000D4A83" w:rsidRPr="008E259D" w:rsidRDefault="000D4A83" w:rsidP="00CC19FA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551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Пленарное заседание, посвященное демонстрации применения </w:t>
            </w:r>
            <w:r w:rsidR="00C40527">
              <w:rPr>
                <w:rFonts w:ascii="Times New Roman" w:hAnsi="Times New Roman"/>
                <w:szCs w:val="22"/>
              </w:rPr>
              <w:t>метод</w:t>
            </w:r>
            <w:r w:rsidR="00C40527">
              <w:rPr>
                <w:szCs w:val="22"/>
              </w:rPr>
              <w:t>ики</w:t>
            </w:r>
            <w:r w:rsidR="00C40527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оценки рисков</w:t>
            </w:r>
          </w:p>
        </w:tc>
      </w:tr>
      <w:tr w:rsidR="00AC469E" w:rsidRPr="008E259D" w14:paraId="115749E9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E7" w14:textId="77777777" w:rsidR="00AC469E" w:rsidRPr="008E259D" w:rsidRDefault="00AC469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10:30 – 11:00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E8" w14:textId="77777777" w:rsidR="00AC469E" w:rsidRPr="008E259D" w:rsidRDefault="00AC469E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Перерыв на кофе/чай</w:t>
            </w:r>
          </w:p>
        </w:tc>
      </w:tr>
      <w:tr w:rsidR="000D4A83" w:rsidRPr="008E259D" w14:paraId="115749EC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EA" w14:textId="77777777" w:rsidR="000D4A83" w:rsidRPr="008E259D" w:rsidRDefault="00AC469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11:00 - 12:00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CD2B3" w14:textId="77777777" w:rsidR="00E763B2" w:rsidRDefault="000D4A83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6.1. (</w:t>
            </w:r>
            <w:r>
              <w:rPr>
                <w:rFonts w:ascii="Times New Roman" w:hAnsi="Times New Roman"/>
                <w:i/>
                <w:iCs/>
                <w:szCs w:val="22"/>
              </w:rPr>
              <w:t>продолжение</w:t>
            </w:r>
            <w:r>
              <w:rPr>
                <w:rFonts w:ascii="Times New Roman" w:hAnsi="Times New Roman"/>
                <w:szCs w:val="22"/>
              </w:rPr>
              <w:t xml:space="preserve">) </w:t>
            </w:r>
          </w:p>
          <w:p w14:paraId="115749EB" w14:textId="7CFCB1C5" w:rsidR="000D4A83" w:rsidRPr="008E259D" w:rsidRDefault="000D4A83" w:rsidP="00E763B2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551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Пленарное заседание по анализу тематического исследования 1: определение целей защиты, оперативных целей защиты и конечных объектов оценки</w:t>
            </w:r>
          </w:p>
        </w:tc>
      </w:tr>
      <w:tr w:rsidR="00BE2DAF" w:rsidRPr="008E259D" w14:paraId="115749EF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ED" w14:textId="5D07027D" w:rsidR="00BE2DAF" w:rsidRPr="00AB3479" w:rsidRDefault="00BE2DAF" w:rsidP="00160A1B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12:00 – 13:</w:t>
            </w:r>
            <w:r w:rsidR="00160A1B">
              <w:rPr>
                <w:rFonts w:ascii="Times New Roman" w:hAnsi="Times New Roman"/>
                <w:szCs w:val="22"/>
                <w:lang w:val="en-US"/>
              </w:rPr>
              <w:t>45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EE" w14:textId="77777777" w:rsidR="00BE2DAF" w:rsidRPr="008E259D" w:rsidRDefault="00BE2DAF">
            <w:pPr>
              <w:suppressLineNumbers/>
              <w:tabs>
                <w:tab w:val="left" w:pos="2552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Перерыв на обед</w:t>
            </w:r>
          </w:p>
        </w:tc>
      </w:tr>
      <w:tr w:rsidR="000D4A83" w:rsidRPr="008E259D" w14:paraId="115749F2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F0" w14:textId="70F75BE9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13:</w:t>
            </w:r>
            <w:r w:rsidR="00160A1B">
              <w:rPr>
                <w:rFonts w:ascii="Times New Roman" w:hAnsi="Times New Roman"/>
                <w:szCs w:val="22"/>
                <w:lang w:val="en-US"/>
              </w:rPr>
              <w:t>45</w:t>
            </w:r>
            <w:r>
              <w:rPr>
                <w:rFonts w:ascii="Times New Roman" w:hAnsi="Times New Roman"/>
                <w:szCs w:val="22"/>
              </w:rPr>
              <w:t xml:space="preserve"> – 15:30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679F3" w14:textId="77777777" w:rsidR="00E763B2" w:rsidRDefault="000D4A83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6.1. (</w:t>
            </w:r>
            <w:r>
              <w:rPr>
                <w:rFonts w:ascii="Times New Roman" w:hAnsi="Times New Roman"/>
                <w:i/>
                <w:iCs/>
                <w:szCs w:val="22"/>
              </w:rPr>
              <w:t>продолжение</w:t>
            </w:r>
            <w:r>
              <w:rPr>
                <w:rFonts w:ascii="Times New Roman" w:hAnsi="Times New Roman"/>
                <w:szCs w:val="22"/>
              </w:rPr>
              <w:t xml:space="preserve">) </w:t>
            </w:r>
          </w:p>
          <w:p w14:paraId="115749F1" w14:textId="4A9D30AF" w:rsidR="000D4A83" w:rsidRPr="008E259D" w:rsidRDefault="000D4A83" w:rsidP="00E763B2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551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Пленарное заседание по анализу тематического исследования 1: выработка гипотезы риска, тестирование гипотез</w:t>
            </w:r>
            <w:r w:rsidR="00E35C87">
              <w:rPr>
                <w:rFonts w:ascii="Times New Roman" w:hAnsi="Times New Roman"/>
                <w:szCs w:val="22"/>
              </w:rPr>
              <w:t>ы</w:t>
            </w:r>
            <w:r>
              <w:rPr>
                <w:rFonts w:ascii="Times New Roman" w:hAnsi="Times New Roman"/>
                <w:szCs w:val="22"/>
              </w:rPr>
              <w:t xml:space="preserve"> и сценариев риска (направления неблагоприятного воздействия), оценивание рисков</w:t>
            </w:r>
          </w:p>
        </w:tc>
      </w:tr>
      <w:tr w:rsidR="000D4A83" w:rsidRPr="008E259D" w14:paraId="115749F5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F3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15:30 – 16:00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F4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Перерыв на кофе/чай</w:t>
            </w:r>
          </w:p>
        </w:tc>
      </w:tr>
      <w:tr w:rsidR="000D4A83" w:rsidRPr="008E259D" w14:paraId="115749F8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F6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16:00 – 17:00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E2BD35" w14:textId="77777777" w:rsidR="00E763B2" w:rsidRDefault="000D4A83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6.1. (</w:t>
            </w:r>
            <w:r>
              <w:rPr>
                <w:rFonts w:ascii="Times New Roman" w:hAnsi="Times New Roman"/>
                <w:i/>
                <w:iCs/>
                <w:szCs w:val="22"/>
              </w:rPr>
              <w:t>продолжение</w:t>
            </w:r>
            <w:r>
              <w:rPr>
                <w:rFonts w:ascii="Times New Roman" w:hAnsi="Times New Roman"/>
                <w:szCs w:val="22"/>
              </w:rPr>
              <w:t xml:space="preserve">) </w:t>
            </w:r>
          </w:p>
          <w:p w14:paraId="115749F7" w14:textId="7FBE557E" w:rsidR="000D4A83" w:rsidRPr="008E259D" w:rsidRDefault="000D4A83" w:rsidP="00E763B2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551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Пленарное заседание по анализу тематического исследования 1: выводы и информация для доклада об оценке рисков</w:t>
            </w:r>
          </w:p>
        </w:tc>
      </w:tr>
      <w:tr w:rsidR="000D4A83" w:rsidRPr="008E259D" w14:paraId="115749FA" w14:textId="77777777" w:rsidTr="00497923">
        <w:trPr>
          <w:cantSplit/>
          <w:jc w:val="center"/>
        </w:trPr>
        <w:tc>
          <w:tcPr>
            <w:tcW w:w="9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F9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kern w:val="22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Четверг, 27 сентября 2018 года</w:t>
            </w:r>
          </w:p>
        </w:tc>
      </w:tr>
      <w:tr w:rsidR="000D4A83" w:rsidRPr="008E259D" w14:paraId="115749FD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FB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09:00 – 09:45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FC" w14:textId="77777777" w:rsidR="000D4A83" w:rsidRPr="008E259D" w:rsidRDefault="000D4A83" w:rsidP="00860A82">
            <w:pPr>
              <w:suppressLineNumbers/>
              <w:tabs>
                <w:tab w:val="left" w:pos="1401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6.2.</w:t>
            </w:r>
            <w:r>
              <w:rPr>
                <w:rFonts w:ascii="Times New Roman" w:hAnsi="Times New Roman"/>
                <w:szCs w:val="22"/>
              </w:rPr>
              <w:tab/>
              <w:t>Презентация тематического исследования 2</w:t>
            </w:r>
          </w:p>
        </w:tc>
      </w:tr>
      <w:tr w:rsidR="000D4A83" w:rsidRPr="008E259D" w14:paraId="11574A00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9FE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09:45 – 10:30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BA1E0E" w14:textId="77777777" w:rsidR="00860A82" w:rsidRDefault="000D4A83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6.2. (</w:t>
            </w:r>
            <w:r>
              <w:rPr>
                <w:rFonts w:ascii="Times New Roman" w:hAnsi="Times New Roman"/>
                <w:i/>
                <w:iCs/>
                <w:szCs w:val="22"/>
              </w:rPr>
              <w:t>продолжение</w:t>
            </w:r>
            <w:r>
              <w:rPr>
                <w:rFonts w:ascii="Times New Roman" w:hAnsi="Times New Roman"/>
                <w:szCs w:val="22"/>
              </w:rPr>
              <w:t xml:space="preserve">) </w:t>
            </w:r>
          </w:p>
          <w:p w14:paraId="115749FF" w14:textId="3F300199" w:rsidR="000D4A83" w:rsidRPr="008E259D" w:rsidRDefault="000D4A83" w:rsidP="00860A82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551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Работа в группах: определение целей защиты, оперативных целей защиты и конечных объектов оценки</w:t>
            </w:r>
          </w:p>
        </w:tc>
      </w:tr>
      <w:tr w:rsidR="000D4A83" w:rsidRPr="008E259D" w14:paraId="11574A03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01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10:30 – 11:00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02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Перерыв на кофе/чай</w:t>
            </w:r>
          </w:p>
        </w:tc>
      </w:tr>
      <w:tr w:rsidR="000D4A83" w:rsidRPr="008E259D" w14:paraId="11574A06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04" w14:textId="7425EA5F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  <w:r w:rsidR="00CD4E42">
              <w:rPr>
                <w:rFonts w:ascii="Times New Roman" w:hAnsi="Times New Roman"/>
                <w:szCs w:val="22"/>
              </w:rPr>
              <w:t>:00</w:t>
            </w:r>
            <w:r>
              <w:rPr>
                <w:rFonts w:ascii="Times New Roman" w:hAnsi="Times New Roman"/>
                <w:szCs w:val="22"/>
              </w:rPr>
              <w:t xml:space="preserve"> – 12:00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AF2365" w14:textId="77777777" w:rsidR="00094D4E" w:rsidRDefault="000D4A83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6.2. (</w:t>
            </w:r>
            <w:r>
              <w:rPr>
                <w:rFonts w:ascii="Times New Roman" w:hAnsi="Times New Roman"/>
                <w:i/>
                <w:iCs/>
                <w:szCs w:val="22"/>
              </w:rPr>
              <w:t>продолжение</w:t>
            </w:r>
            <w:r>
              <w:rPr>
                <w:rFonts w:ascii="Times New Roman" w:hAnsi="Times New Roman"/>
                <w:szCs w:val="22"/>
              </w:rPr>
              <w:t xml:space="preserve">) </w:t>
            </w:r>
          </w:p>
          <w:p w14:paraId="11574A05" w14:textId="6A95B0DE" w:rsidR="000D4A83" w:rsidRPr="008E259D" w:rsidRDefault="000D4A83" w:rsidP="00094D4E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551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Работа в группах: выработка гипотезы риска</w:t>
            </w:r>
          </w:p>
        </w:tc>
      </w:tr>
      <w:tr w:rsidR="000D4A83" w:rsidRPr="008E259D" w14:paraId="11574A09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07" w14:textId="5C8DE610" w:rsidR="000D4A83" w:rsidRPr="00AB3479" w:rsidRDefault="000D4A83" w:rsidP="00160A1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12:00 – 13:</w:t>
            </w:r>
            <w:r w:rsidR="00160A1B">
              <w:rPr>
                <w:rFonts w:ascii="Times New Roman" w:hAnsi="Times New Roman"/>
                <w:szCs w:val="22"/>
                <w:lang w:val="en-US"/>
              </w:rPr>
              <w:t>45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08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Перерыв на обед</w:t>
            </w:r>
          </w:p>
        </w:tc>
      </w:tr>
      <w:tr w:rsidR="000D4A83" w:rsidRPr="008E259D" w14:paraId="11574A0C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0A" w14:textId="4ABFEDB8" w:rsidR="000D4A83" w:rsidRPr="008E259D" w:rsidRDefault="000D4A83" w:rsidP="00160A1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13:</w:t>
            </w:r>
            <w:r w:rsidR="00160A1B">
              <w:rPr>
                <w:rFonts w:ascii="Times New Roman" w:hAnsi="Times New Roman"/>
                <w:szCs w:val="22"/>
                <w:lang w:val="en-US"/>
              </w:rPr>
              <w:t>45</w:t>
            </w:r>
            <w:r w:rsidR="00160A1B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– 15:30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E05A19" w14:textId="77777777" w:rsidR="00094D4E" w:rsidRDefault="000D4A83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6.2. (</w:t>
            </w:r>
            <w:r>
              <w:rPr>
                <w:rFonts w:ascii="Times New Roman" w:hAnsi="Times New Roman"/>
                <w:i/>
                <w:iCs/>
                <w:szCs w:val="22"/>
              </w:rPr>
              <w:t>продолжение</w:t>
            </w:r>
            <w:r>
              <w:rPr>
                <w:rFonts w:ascii="Times New Roman" w:hAnsi="Times New Roman"/>
                <w:szCs w:val="22"/>
              </w:rPr>
              <w:t xml:space="preserve">) </w:t>
            </w:r>
          </w:p>
          <w:p w14:paraId="11574A0B" w14:textId="0E5C8ED6" w:rsidR="000D4A83" w:rsidRPr="008E259D" w:rsidRDefault="000D4A83" w:rsidP="00094D4E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976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Работа в группах: разработка и тестирования сценариев риска</w:t>
            </w:r>
          </w:p>
        </w:tc>
      </w:tr>
      <w:tr w:rsidR="000D4A83" w:rsidRPr="008E259D" w14:paraId="11574A0F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0D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15:30 – 16:00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0E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Перерыв на кофе/чай</w:t>
            </w:r>
          </w:p>
        </w:tc>
      </w:tr>
      <w:tr w:rsidR="000D4A83" w:rsidRPr="008E259D" w14:paraId="11574A12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10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16:00 – 17:00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2E0F" w14:textId="77777777" w:rsidR="00094D4E" w:rsidRDefault="000D4A83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6.2. (</w:t>
            </w:r>
            <w:r>
              <w:rPr>
                <w:rFonts w:ascii="Times New Roman" w:hAnsi="Times New Roman"/>
                <w:i/>
                <w:iCs/>
                <w:szCs w:val="22"/>
              </w:rPr>
              <w:t>продолжение</w:t>
            </w:r>
            <w:r>
              <w:rPr>
                <w:rFonts w:ascii="Times New Roman" w:hAnsi="Times New Roman"/>
                <w:szCs w:val="22"/>
              </w:rPr>
              <w:t xml:space="preserve">) </w:t>
            </w:r>
          </w:p>
          <w:p w14:paraId="11574A11" w14:textId="512FF412" w:rsidR="000D4A83" w:rsidRPr="008E259D" w:rsidRDefault="000D4A83" w:rsidP="00094D4E">
            <w:pPr>
              <w:suppressLineNumbers/>
              <w:tabs>
                <w:tab w:val="left" w:pos="1003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551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Пленарное заседание по анализу тематического исследования 1: доклад групп о проведенном анализе</w:t>
            </w:r>
          </w:p>
        </w:tc>
      </w:tr>
      <w:tr w:rsidR="000D4A83" w:rsidRPr="008E259D" w14:paraId="11574A14" w14:textId="77777777" w:rsidTr="00497923">
        <w:trPr>
          <w:cantSplit/>
          <w:jc w:val="center"/>
        </w:trPr>
        <w:tc>
          <w:tcPr>
            <w:tcW w:w="9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13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kern w:val="22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Пятница, 28 сентября 2018 года</w:t>
            </w:r>
          </w:p>
        </w:tc>
      </w:tr>
      <w:tr w:rsidR="000D4A83" w:rsidRPr="008E259D" w14:paraId="11574A17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15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i/>
                <w:kern w:val="22"/>
                <w:szCs w:val="22"/>
              </w:rPr>
            </w:pP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16" w14:textId="345590A4" w:rsidR="000D4A83" w:rsidRPr="008E259D" w:rsidRDefault="000D4A83">
            <w:pPr>
              <w:keepNext/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iCs/>
                <w:kern w:val="22"/>
                <w:szCs w:val="22"/>
              </w:rPr>
            </w:pPr>
            <w:r>
              <w:rPr>
                <w:rFonts w:ascii="Times New Roman" w:hAnsi="Times New Roman"/>
                <w:iCs/>
                <w:szCs w:val="22"/>
              </w:rPr>
              <w:t>Пункт 7.</w:t>
            </w:r>
            <w:r w:rsidR="00F126BF">
              <w:rPr>
                <w:rFonts w:ascii="Times New Roman" w:hAnsi="Times New Roman"/>
                <w:iCs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Cs w:val="22"/>
              </w:rPr>
              <w:t>Мобилизация ресурсов и Механизм посредничества по биобезопасности</w:t>
            </w:r>
          </w:p>
        </w:tc>
      </w:tr>
      <w:tr w:rsidR="000D4A83" w:rsidRPr="008E259D" w14:paraId="11574A1A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18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09:00 – 09:45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19" w14:textId="77777777" w:rsidR="000D4A83" w:rsidRPr="008E259D" w:rsidRDefault="000D4A83" w:rsidP="00F126BF">
            <w:pPr>
              <w:suppressLineNumbers/>
              <w:tabs>
                <w:tab w:val="left" w:pos="1401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7.1.</w:t>
            </w:r>
            <w:r>
              <w:rPr>
                <w:rFonts w:ascii="Times New Roman" w:hAnsi="Times New Roman"/>
                <w:szCs w:val="22"/>
              </w:rPr>
              <w:tab/>
              <w:t>Мобилизация ресурсов в интересах обеспечения биобезопасности</w:t>
            </w:r>
          </w:p>
        </w:tc>
      </w:tr>
      <w:tr w:rsidR="000D4A83" w:rsidRPr="008E259D" w14:paraId="11574A1D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1B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09:45 – 10:30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1C" w14:textId="77777777" w:rsidR="000D4A83" w:rsidRPr="008E259D" w:rsidRDefault="000D4A83" w:rsidP="00F126BF">
            <w:pPr>
              <w:suppressLineNumbers/>
              <w:tabs>
                <w:tab w:val="left" w:pos="1401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7.2.</w:t>
            </w:r>
            <w:r>
              <w:rPr>
                <w:rFonts w:ascii="Times New Roman" w:hAnsi="Times New Roman"/>
                <w:szCs w:val="22"/>
              </w:rPr>
              <w:tab/>
              <w:t>Механизм посредничества по биобезопасности</w:t>
            </w:r>
          </w:p>
        </w:tc>
      </w:tr>
      <w:tr w:rsidR="000D4A83" w:rsidRPr="008E259D" w14:paraId="11574A20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1E" w14:textId="77777777" w:rsidR="000D4A83" w:rsidRPr="008E259D" w:rsidRDefault="000D4A83">
            <w:pPr>
              <w:suppressLineNumbers/>
              <w:tabs>
                <w:tab w:val="left" w:pos="2835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10:30 – 11:00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1F" w14:textId="77777777" w:rsidR="000D4A83" w:rsidRPr="008E259D" w:rsidRDefault="000D4A83">
            <w:pPr>
              <w:suppressLineNumbers/>
              <w:tabs>
                <w:tab w:val="left" w:pos="2835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Перерыв на кофе/чай</w:t>
            </w:r>
          </w:p>
        </w:tc>
      </w:tr>
      <w:tr w:rsidR="000D4A83" w:rsidRPr="008E259D" w14:paraId="11574A23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21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i/>
                <w:kern w:val="22"/>
                <w:szCs w:val="22"/>
              </w:rPr>
            </w:pP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22" w14:textId="52FAA8AC" w:rsidR="000D4A83" w:rsidRPr="008E259D" w:rsidRDefault="000D4A83">
            <w:pPr>
              <w:keepNext/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iCs/>
                <w:kern w:val="22"/>
                <w:szCs w:val="22"/>
              </w:rPr>
            </w:pPr>
            <w:r>
              <w:rPr>
                <w:rFonts w:ascii="Times New Roman" w:hAnsi="Times New Roman"/>
                <w:iCs/>
                <w:szCs w:val="22"/>
              </w:rPr>
              <w:t>Пункт 8.</w:t>
            </w:r>
            <w:r w:rsidR="00F126BF">
              <w:rPr>
                <w:rFonts w:ascii="Times New Roman" w:hAnsi="Times New Roman"/>
                <w:iCs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Cs w:val="22"/>
              </w:rPr>
              <w:t>Выводы и рекомендации семинара</w:t>
            </w:r>
          </w:p>
        </w:tc>
      </w:tr>
      <w:tr w:rsidR="000D4A83" w:rsidRPr="008E259D" w14:paraId="11574A26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24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Calibri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11:00 - 12:00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25" w14:textId="77777777" w:rsidR="000D4A83" w:rsidRPr="008E259D" w:rsidRDefault="000D4A83" w:rsidP="00A14846">
            <w:pPr>
              <w:suppressLineNumbers/>
              <w:tabs>
                <w:tab w:val="left" w:pos="1401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8.1.</w:t>
            </w:r>
            <w:r>
              <w:rPr>
                <w:rFonts w:ascii="Times New Roman" w:hAnsi="Times New Roman"/>
                <w:szCs w:val="22"/>
              </w:rPr>
              <w:tab/>
              <w:t>Оценка семинара</w:t>
            </w:r>
          </w:p>
        </w:tc>
      </w:tr>
      <w:tr w:rsidR="000D4A83" w:rsidRPr="008E259D" w14:paraId="11574A29" w14:textId="77777777" w:rsidTr="00497923">
        <w:trPr>
          <w:cantSplit/>
          <w:jc w:val="center"/>
        </w:trPr>
        <w:tc>
          <w:tcPr>
            <w:tcW w:w="23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27" w14:textId="77777777" w:rsidR="000D4A83" w:rsidRPr="008E259D" w:rsidRDefault="000D4A8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12:00 – 13:00</w:t>
            </w:r>
          </w:p>
        </w:tc>
        <w:tc>
          <w:tcPr>
            <w:tcW w:w="76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74A28" w14:textId="77777777" w:rsidR="000D4A83" w:rsidRPr="008E259D" w:rsidRDefault="000D4A83" w:rsidP="00A14846">
            <w:pPr>
              <w:suppressLineNumbers/>
              <w:tabs>
                <w:tab w:val="left" w:pos="1401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ind w:left="360" w:hanging="360"/>
              <w:jc w:val="left"/>
              <w:rPr>
                <w:rFonts w:ascii="Times New Roman" w:eastAsia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Пункт 8.2.</w:t>
            </w:r>
            <w:r>
              <w:rPr>
                <w:rFonts w:ascii="Times New Roman" w:hAnsi="Times New Roman"/>
                <w:szCs w:val="22"/>
              </w:rPr>
              <w:tab/>
              <w:t>Закрытие семинара</w:t>
            </w:r>
          </w:p>
        </w:tc>
      </w:tr>
    </w:tbl>
    <w:p w14:paraId="11574A2A" w14:textId="77777777" w:rsidR="0086048B" w:rsidRPr="00A86922" w:rsidRDefault="0086048B">
      <w:pPr>
        <w:suppressLineNumbers/>
        <w:tabs>
          <w:tab w:val="right" w:pos="86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00" w:after="100"/>
        <w:jc w:val="center"/>
        <w:rPr>
          <w:rFonts w:eastAsia="Arial Unicode MS"/>
          <w:b/>
          <w:bCs/>
          <w:kern w:val="22"/>
          <w:szCs w:val="22"/>
        </w:rPr>
      </w:pPr>
    </w:p>
    <w:p w14:paraId="11574A2B" w14:textId="77777777" w:rsidR="00736BC2" w:rsidRPr="00A64DFC" w:rsidRDefault="00DF79B4" w:rsidP="008E259D">
      <w:pPr>
        <w:suppressLineNumbers/>
        <w:tabs>
          <w:tab w:val="right" w:pos="864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  <w:szCs w:val="22"/>
        </w:rPr>
      </w:pPr>
      <w:r>
        <w:t>______</w:t>
      </w:r>
    </w:p>
    <w:sectPr w:rsidR="00736BC2" w:rsidRPr="00A64DFC" w:rsidSect="008E259D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type w:val="continuous"/>
      <w:pgSz w:w="12240" w:h="15840" w:code="1"/>
      <w:pgMar w:top="822" w:right="1440" w:bottom="1134" w:left="144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3A32" w14:textId="77777777" w:rsidR="00120206" w:rsidRDefault="00120206">
      <w:r>
        <w:separator/>
      </w:r>
    </w:p>
  </w:endnote>
  <w:endnote w:type="continuationSeparator" w:id="0">
    <w:p w14:paraId="2DC26856" w14:textId="77777777" w:rsidR="00120206" w:rsidRDefault="00120206">
      <w:r>
        <w:continuationSeparator/>
      </w:r>
    </w:p>
  </w:endnote>
  <w:endnote w:type="continuationNotice" w:id="1">
    <w:p w14:paraId="4EB2ED07" w14:textId="77777777" w:rsidR="00120206" w:rsidRDefault="00120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4A3E" w14:textId="77777777" w:rsidR="00B108BD" w:rsidRDefault="00B108BD" w:rsidP="00765929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4A3F" w14:textId="77777777" w:rsidR="00101F0F" w:rsidRDefault="00101F0F" w:rsidP="00765929">
    <w:pPr>
      <w:pStyle w:val="Footer"/>
      <w:tabs>
        <w:tab w:val="clear" w:pos="4320"/>
        <w:tab w:val="clear" w:pos="864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4A40" w14:textId="77777777" w:rsidR="00B108BD" w:rsidRDefault="00B108BD" w:rsidP="00765929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C18C3" w14:textId="77777777" w:rsidR="00120206" w:rsidRDefault="00120206">
      <w:r>
        <w:separator/>
      </w:r>
    </w:p>
  </w:footnote>
  <w:footnote w:type="continuationSeparator" w:id="0">
    <w:p w14:paraId="5D6FA35F" w14:textId="77777777" w:rsidR="00120206" w:rsidRDefault="00120206">
      <w:r>
        <w:continuationSeparator/>
      </w:r>
    </w:p>
  </w:footnote>
  <w:footnote w:type="continuationNotice" w:id="1">
    <w:p w14:paraId="626656FF" w14:textId="77777777" w:rsidR="00120206" w:rsidRDefault="00120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4A38" w14:textId="77777777" w:rsidR="00DF79B4" w:rsidRPr="00765929" w:rsidRDefault="00DF79B4" w:rsidP="00DE00E3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>
      <w:t>CBD/CP/RARM/CB/2018/2/1</w:t>
    </w:r>
  </w:p>
  <w:p w14:paraId="11574A39" w14:textId="77777777" w:rsidR="00DF79B4" w:rsidRPr="00765929" w:rsidRDefault="00DF79B4" w:rsidP="008E259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rStyle w:val="PageNumber"/>
        <w:noProof/>
        <w:kern w:val="22"/>
      </w:rPr>
    </w:pPr>
    <w:r>
      <w:t xml:space="preserve">Страница </w:t>
    </w:r>
    <w:r w:rsidRPr="00765929">
      <w:rPr>
        <w:rStyle w:val="PageNumber"/>
      </w:rPr>
      <w:fldChar w:fldCharType="begin"/>
    </w:r>
    <w:r w:rsidRPr="00765929">
      <w:rPr>
        <w:rStyle w:val="PageNumber"/>
      </w:rPr>
      <w:instrText xml:space="preserve"> PAGE </w:instrText>
    </w:r>
    <w:r w:rsidRPr="00765929">
      <w:rPr>
        <w:rStyle w:val="PageNumber"/>
      </w:rPr>
      <w:fldChar w:fldCharType="separate"/>
    </w:r>
    <w:r w:rsidR="00160A1B">
      <w:rPr>
        <w:rStyle w:val="PageNumber"/>
        <w:noProof/>
      </w:rPr>
      <w:t>2</w:t>
    </w:r>
    <w:r w:rsidRPr="00765929">
      <w:rPr>
        <w:rStyle w:val="PageNumber"/>
      </w:rPr>
      <w:fldChar w:fldCharType="end"/>
    </w:r>
  </w:p>
  <w:p w14:paraId="11574A3A" w14:textId="77777777" w:rsidR="00FE2DEE" w:rsidRPr="00765929" w:rsidRDefault="00FE2DEE" w:rsidP="008E259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4A3B" w14:textId="77777777" w:rsidR="00B22705" w:rsidRPr="00765929" w:rsidRDefault="00B22705" w:rsidP="008E259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  <w:r>
      <w:t>CBD/CP/RARM/CB/2018/2/1</w:t>
    </w:r>
  </w:p>
  <w:p w14:paraId="11574A3C" w14:textId="77777777" w:rsidR="00FE2DEE" w:rsidRPr="00765929" w:rsidRDefault="00FE2DEE" w:rsidP="008E259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rStyle w:val="PageNumber"/>
        <w:noProof/>
        <w:kern w:val="22"/>
      </w:rPr>
    </w:pPr>
    <w:r>
      <w:t xml:space="preserve">Страница </w:t>
    </w:r>
    <w:r w:rsidRPr="00765929">
      <w:rPr>
        <w:rStyle w:val="PageNumber"/>
      </w:rPr>
      <w:fldChar w:fldCharType="begin"/>
    </w:r>
    <w:r w:rsidRPr="00765929">
      <w:rPr>
        <w:rStyle w:val="PageNumber"/>
      </w:rPr>
      <w:instrText xml:space="preserve"> PAGE </w:instrText>
    </w:r>
    <w:r w:rsidRPr="00765929">
      <w:rPr>
        <w:rStyle w:val="PageNumber"/>
      </w:rPr>
      <w:fldChar w:fldCharType="separate"/>
    </w:r>
    <w:r w:rsidR="00160A1B">
      <w:rPr>
        <w:rStyle w:val="PageNumber"/>
        <w:noProof/>
      </w:rPr>
      <w:t>3</w:t>
    </w:r>
    <w:r w:rsidRPr="00765929">
      <w:rPr>
        <w:rStyle w:val="PageNumber"/>
      </w:rPr>
      <w:fldChar w:fldCharType="end"/>
    </w:r>
  </w:p>
  <w:p w14:paraId="11574A3D" w14:textId="77777777" w:rsidR="00736BC2" w:rsidRPr="00765929" w:rsidRDefault="00736BC2" w:rsidP="008E259D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0AD"/>
    <w:multiLevelType w:val="hybridMultilevel"/>
    <w:tmpl w:val="E25EDC5A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53C"/>
    <w:multiLevelType w:val="hybridMultilevel"/>
    <w:tmpl w:val="CF8E1E76"/>
    <w:lvl w:ilvl="0" w:tplc="B5A4C5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644356">
      <w:start w:val="4"/>
      <w:numFmt w:val="decimal"/>
      <w:lvlText w:val="2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D2AEF706">
      <w:numFmt w:val="none"/>
      <w:lvlText w:val=""/>
      <w:lvlJc w:val="left"/>
      <w:pPr>
        <w:tabs>
          <w:tab w:val="num" w:pos="360"/>
        </w:tabs>
      </w:pPr>
    </w:lvl>
    <w:lvl w:ilvl="3" w:tplc="680022DA">
      <w:numFmt w:val="none"/>
      <w:lvlText w:val=""/>
      <w:lvlJc w:val="left"/>
      <w:pPr>
        <w:tabs>
          <w:tab w:val="num" w:pos="360"/>
        </w:tabs>
      </w:pPr>
    </w:lvl>
    <w:lvl w:ilvl="4" w:tplc="8DB85C38">
      <w:numFmt w:val="none"/>
      <w:lvlText w:val=""/>
      <w:lvlJc w:val="left"/>
      <w:pPr>
        <w:tabs>
          <w:tab w:val="num" w:pos="360"/>
        </w:tabs>
      </w:pPr>
    </w:lvl>
    <w:lvl w:ilvl="5" w:tplc="297825F8">
      <w:numFmt w:val="none"/>
      <w:lvlText w:val=""/>
      <w:lvlJc w:val="left"/>
      <w:pPr>
        <w:tabs>
          <w:tab w:val="num" w:pos="360"/>
        </w:tabs>
      </w:pPr>
    </w:lvl>
    <w:lvl w:ilvl="6" w:tplc="F81AA03A">
      <w:numFmt w:val="none"/>
      <w:lvlText w:val=""/>
      <w:lvlJc w:val="left"/>
      <w:pPr>
        <w:tabs>
          <w:tab w:val="num" w:pos="360"/>
        </w:tabs>
      </w:pPr>
    </w:lvl>
    <w:lvl w:ilvl="7" w:tplc="6DB06782">
      <w:numFmt w:val="none"/>
      <w:lvlText w:val=""/>
      <w:lvlJc w:val="left"/>
      <w:pPr>
        <w:tabs>
          <w:tab w:val="num" w:pos="360"/>
        </w:tabs>
      </w:pPr>
    </w:lvl>
    <w:lvl w:ilvl="8" w:tplc="6F5476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DC027A"/>
    <w:multiLevelType w:val="hybridMultilevel"/>
    <w:tmpl w:val="120CB320"/>
    <w:lvl w:ilvl="0" w:tplc="53AA2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64D0"/>
    <w:multiLevelType w:val="hybridMultilevel"/>
    <w:tmpl w:val="B0E0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1182BA0"/>
    <w:multiLevelType w:val="hybridMultilevel"/>
    <w:tmpl w:val="AF782414"/>
    <w:lvl w:ilvl="0" w:tplc="DDF806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D32CE"/>
    <w:multiLevelType w:val="hybridMultilevel"/>
    <w:tmpl w:val="7E66A95A"/>
    <w:lvl w:ilvl="0" w:tplc="DDF806A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3ED244DA"/>
    <w:multiLevelType w:val="multilevel"/>
    <w:tmpl w:val="37063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8" w15:restartNumberingAfterBreak="0">
    <w:nsid w:val="3F0B5694"/>
    <w:multiLevelType w:val="multilevel"/>
    <w:tmpl w:val="41A02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40FA6F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5977518"/>
    <w:multiLevelType w:val="hybridMultilevel"/>
    <w:tmpl w:val="D8409864"/>
    <w:lvl w:ilvl="0" w:tplc="6C88371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88A12B6"/>
    <w:multiLevelType w:val="hybridMultilevel"/>
    <w:tmpl w:val="20DC21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2"/>
  </w:num>
  <w:num w:numId="5">
    <w:abstractNumId w:val="12"/>
  </w:num>
  <w:num w:numId="6">
    <w:abstractNumId w:val="26"/>
  </w:num>
  <w:num w:numId="7">
    <w:abstractNumId w:val="20"/>
  </w:num>
  <w:num w:numId="8">
    <w:abstractNumId w:val="15"/>
  </w:num>
  <w:num w:numId="9">
    <w:abstractNumId w:val="26"/>
  </w:num>
  <w:num w:numId="10">
    <w:abstractNumId w:val="25"/>
  </w:num>
  <w:num w:numId="11">
    <w:abstractNumId w:val="16"/>
  </w:num>
  <w:num w:numId="12">
    <w:abstractNumId w:val="6"/>
  </w:num>
  <w:num w:numId="13">
    <w:abstractNumId w:val="23"/>
  </w:num>
  <w:num w:numId="14">
    <w:abstractNumId w:val="3"/>
  </w:num>
  <w:num w:numId="15">
    <w:abstractNumId w:val="33"/>
  </w:num>
  <w:num w:numId="16">
    <w:abstractNumId w:val="28"/>
  </w:num>
  <w:num w:numId="17">
    <w:abstractNumId w:val="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4"/>
  </w:num>
  <w:num w:numId="21">
    <w:abstractNumId w:val="29"/>
  </w:num>
  <w:num w:numId="22">
    <w:abstractNumId w:val="27"/>
  </w:num>
  <w:num w:numId="23">
    <w:abstractNumId w:val="8"/>
  </w:num>
  <w:num w:numId="24">
    <w:abstractNumId w:val="30"/>
  </w:num>
  <w:num w:numId="25">
    <w:abstractNumId w:val="31"/>
  </w:num>
  <w:num w:numId="26">
    <w:abstractNumId w:val="22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1"/>
  </w:num>
  <w:num w:numId="32">
    <w:abstractNumId w:val="18"/>
  </w:num>
  <w:num w:numId="33">
    <w:abstractNumId w:val="14"/>
  </w:num>
  <w:num w:numId="34">
    <w:abstractNumId w:val="13"/>
  </w:num>
  <w:num w:numId="35">
    <w:abstractNumId w:val="0"/>
  </w:num>
  <w:num w:numId="36">
    <w:abstractNumId w:val="19"/>
  </w:num>
  <w:num w:numId="37">
    <w:abstractNumId w:val="21"/>
  </w:num>
  <w:num w:numId="38">
    <w:abstractNumId w:val="7"/>
  </w:num>
  <w:num w:numId="39">
    <w:abstractNumId w:val="2"/>
  </w:num>
  <w:num w:numId="40">
    <w:abstractNumId w:val="1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CB"/>
    <w:rsid w:val="0000450F"/>
    <w:rsid w:val="000050CA"/>
    <w:rsid w:val="0001674E"/>
    <w:rsid w:val="00020BDA"/>
    <w:rsid w:val="00020FF9"/>
    <w:rsid w:val="0003391B"/>
    <w:rsid w:val="00034EA3"/>
    <w:rsid w:val="0003573F"/>
    <w:rsid w:val="00041950"/>
    <w:rsid w:val="00044DC2"/>
    <w:rsid w:val="000548BB"/>
    <w:rsid w:val="00055B52"/>
    <w:rsid w:val="00056F05"/>
    <w:rsid w:val="00063577"/>
    <w:rsid w:val="00065329"/>
    <w:rsid w:val="00065D0A"/>
    <w:rsid w:val="0007056B"/>
    <w:rsid w:val="00077533"/>
    <w:rsid w:val="00080A03"/>
    <w:rsid w:val="00080B97"/>
    <w:rsid w:val="000912D6"/>
    <w:rsid w:val="0009261E"/>
    <w:rsid w:val="0009489D"/>
    <w:rsid w:val="00094D4E"/>
    <w:rsid w:val="000961EF"/>
    <w:rsid w:val="000A3784"/>
    <w:rsid w:val="000A5DB2"/>
    <w:rsid w:val="000A6CA0"/>
    <w:rsid w:val="000B19AC"/>
    <w:rsid w:val="000B19D4"/>
    <w:rsid w:val="000B5024"/>
    <w:rsid w:val="000B58DB"/>
    <w:rsid w:val="000B6184"/>
    <w:rsid w:val="000C28C9"/>
    <w:rsid w:val="000C377E"/>
    <w:rsid w:val="000C5CD4"/>
    <w:rsid w:val="000D00EE"/>
    <w:rsid w:val="000D2968"/>
    <w:rsid w:val="000D4A83"/>
    <w:rsid w:val="000D4C27"/>
    <w:rsid w:val="000D7D09"/>
    <w:rsid w:val="000E1619"/>
    <w:rsid w:val="000E1EDB"/>
    <w:rsid w:val="000E4E5F"/>
    <w:rsid w:val="000F1909"/>
    <w:rsid w:val="000F227B"/>
    <w:rsid w:val="000F3AAA"/>
    <w:rsid w:val="000F3DC0"/>
    <w:rsid w:val="000F63AB"/>
    <w:rsid w:val="000F770B"/>
    <w:rsid w:val="001002A2"/>
    <w:rsid w:val="00100B5A"/>
    <w:rsid w:val="00101F0F"/>
    <w:rsid w:val="0010434D"/>
    <w:rsid w:val="00106F59"/>
    <w:rsid w:val="00110E45"/>
    <w:rsid w:val="00112FAF"/>
    <w:rsid w:val="001159FD"/>
    <w:rsid w:val="00116421"/>
    <w:rsid w:val="001165F2"/>
    <w:rsid w:val="00120206"/>
    <w:rsid w:val="00122AF7"/>
    <w:rsid w:val="0012446D"/>
    <w:rsid w:val="00127394"/>
    <w:rsid w:val="00131B8C"/>
    <w:rsid w:val="00134452"/>
    <w:rsid w:val="00142D42"/>
    <w:rsid w:val="0014598E"/>
    <w:rsid w:val="00150C94"/>
    <w:rsid w:val="001523A4"/>
    <w:rsid w:val="0015258B"/>
    <w:rsid w:val="00154229"/>
    <w:rsid w:val="00154404"/>
    <w:rsid w:val="00160A1B"/>
    <w:rsid w:val="00162DEE"/>
    <w:rsid w:val="00165FFC"/>
    <w:rsid w:val="00166F6E"/>
    <w:rsid w:val="00172B83"/>
    <w:rsid w:val="00174772"/>
    <w:rsid w:val="00177ED6"/>
    <w:rsid w:val="0018469C"/>
    <w:rsid w:val="0018492A"/>
    <w:rsid w:val="00197374"/>
    <w:rsid w:val="00197D0B"/>
    <w:rsid w:val="001B0E2F"/>
    <w:rsid w:val="001B28E5"/>
    <w:rsid w:val="001B499C"/>
    <w:rsid w:val="001B61DE"/>
    <w:rsid w:val="001B62F2"/>
    <w:rsid w:val="001B6DCC"/>
    <w:rsid w:val="001C17D1"/>
    <w:rsid w:val="001D004E"/>
    <w:rsid w:val="001D04B1"/>
    <w:rsid w:val="001D2C41"/>
    <w:rsid w:val="001D312A"/>
    <w:rsid w:val="001D4A12"/>
    <w:rsid w:val="001E225E"/>
    <w:rsid w:val="001E51E4"/>
    <w:rsid w:val="001E7153"/>
    <w:rsid w:val="001F022F"/>
    <w:rsid w:val="001F2FFF"/>
    <w:rsid w:val="001F740C"/>
    <w:rsid w:val="00200AD1"/>
    <w:rsid w:val="0020172E"/>
    <w:rsid w:val="00205BFC"/>
    <w:rsid w:val="00213977"/>
    <w:rsid w:val="0022313B"/>
    <w:rsid w:val="0022586E"/>
    <w:rsid w:val="00231074"/>
    <w:rsid w:val="0023281E"/>
    <w:rsid w:val="00240CFA"/>
    <w:rsid w:val="00240F7A"/>
    <w:rsid w:val="00241595"/>
    <w:rsid w:val="00242771"/>
    <w:rsid w:val="00243AC8"/>
    <w:rsid w:val="00243DDC"/>
    <w:rsid w:val="00244CBB"/>
    <w:rsid w:val="002545CE"/>
    <w:rsid w:val="002555EB"/>
    <w:rsid w:val="00266849"/>
    <w:rsid w:val="00266D37"/>
    <w:rsid w:val="002729B2"/>
    <w:rsid w:val="002745E9"/>
    <w:rsid w:val="00276DE8"/>
    <w:rsid w:val="00280D5F"/>
    <w:rsid w:val="0028460C"/>
    <w:rsid w:val="00291578"/>
    <w:rsid w:val="00292DF4"/>
    <w:rsid w:val="00293A51"/>
    <w:rsid w:val="0029407F"/>
    <w:rsid w:val="00297323"/>
    <w:rsid w:val="002A4DE5"/>
    <w:rsid w:val="002A58BF"/>
    <w:rsid w:val="002A6621"/>
    <w:rsid w:val="002B260A"/>
    <w:rsid w:val="002B2B83"/>
    <w:rsid w:val="002B7212"/>
    <w:rsid w:val="002C044F"/>
    <w:rsid w:val="002C25BB"/>
    <w:rsid w:val="002C51FC"/>
    <w:rsid w:val="002C5275"/>
    <w:rsid w:val="002C5B20"/>
    <w:rsid w:val="002C6E28"/>
    <w:rsid w:val="002C70CA"/>
    <w:rsid w:val="002D16D4"/>
    <w:rsid w:val="002D24AA"/>
    <w:rsid w:val="002D4321"/>
    <w:rsid w:val="002E7747"/>
    <w:rsid w:val="002F0774"/>
    <w:rsid w:val="002F19CB"/>
    <w:rsid w:val="003006E8"/>
    <w:rsid w:val="003016EB"/>
    <w:rsid w:val="00301827"/>
    <w:rsid w:val="00303C0D"/>
    <w:rsid w:val="00303FBA"/>
    <w:rsid w:val="00306F1E"/>
    <w:rsid w:val="00310E70"/>
    <w:rsid w:val="00314DBD"/>
    <w:rsid w:val="00315604"/>
    <w:rsid w:val="00325BC9"/>
    <w:rsid w:val="00337582"/>
    <w:rsid w:val="00342381"/>
    <w:rsid w:val="003438A8"/>
    <w:rsid w:val="0034460C"/>
    <w:rsid w:val="00344EE1"/>
    <w:rsid w:val="003464CC"/>
    <w:rsid w:val="0035188F"/>
    <w:rsid w:val="0035306D"/>
    <w:rsid w:val="00353613"/>
    <w:rsid w:val="003548FE"/>
    <w:rsid w:val="00361231"/>
    <w:rsid w:val="0036196B"/>
    <w:rsid w:val="00361ADA"/>
    <w:rsid w:val="0036267C"/>
    <w:rsid w:val="003637F9"/>
    <w:rsid w:val="0036792F"/>
    <w:rsid w:val="003829D0"/>
    <w:rsid w:val="00384655"/>
    <w:rsid w:val="003871E0"/>
    <w:rsid w:val="00387A8E"/>
    <w:rsid w:val="0039278A"/>
    <w:rsid w:val="003A3FFD"/>
    <w:rsid w:val="003A523D"/>
    <w:rsid w:val="003B493B"/>
    <w:rsid w:val="003B54B7"/>
    <w:rsid w:val="003C017A"/>
    <w:rsid w:val="003C0802"/>
    <w:rsid w:val="003C26C1"/>
    <w:rsid w:val="003C2CC6"/>
    <w:rsid w:val="003C3162"/>
    <w:rsid w:val="003D1B95"/>
    <w:rsid w:val="003D73CA"/>
    <w:rsid w:val="003E0475"/>
    <w:rsid w:val="003E6887"/>
    <w:rsid w:val="003F2998"/>
    <w:rsid w:val="00402FB8"/>
    <w:rsid w:val="00405310"/>
    <w:rsid w:val="00405EAF"/>
    <w:rsid w:val="004106FA"/>
    <w:rsid w:val="00413B09"/>
    <w:rsid w:val="00414FDA"/>
    <w:rsid w:val="00415F54"/>
    <w:rsid w:val="004247D3"/>
    <w:rsid w:val="00426A85"/>
    <w:rsid w:val="00432FEE"/>
    <w:rsid w:val="00437BC1"/>
    <w:rsid w:val="00441EF5"/>
    <w:rsid w:val="0044298B"/>
    <w:rsid w:val="00443296"/>
    <w:rsid w:val="00450874"/>
    <w:rsid w:val="00451B22"/>
    <w:rsid w:val="004541F0"/>
    <w:rsid w:val="0045642D"/>
    <w:rsid w:val="00456586"/>
    <w:rsid w:val="00475FE9"/>
    <w:rsid w:val="00476BCD"/>
    <w:rsid w:val="00476CE3"/>
    <w:rsid w:val="00481805"/>
    <w:rsid w:val="00482D67"/>
    <w:rsid w:val="00486F87"/>
    <w:rsid w:val="004920A7"/>
    <w:rsid w:val="00492E80"/>
    <w:rsid w:val="0049414C"/>
    <w:rsid w:val="0049648F"/>
    <w:rsid w:val="00496A67"/>
    <w:rsid w:val="00496D91"/>
    <w:rsid w:val="00497923"/>
    <w:rsid w:val="004A2EB1"/>
    <w:rsid w:val="004A3D16"/>
    <w:rsid w:val="004B7CF1"/>
    <w:rsid w:val="004C43C8"/>
    <w:rsid w:val="004D1556"/>
    <w:rsid w:val="004D4967"/>
    <w:rsid w:val="004E4B6E"/>
    <w:rsid w:val="004E6B63"/>
    <w:rsid w:val="004F1416"/>
    <w:rsid w:val="004F23B7"/>
    <w:rsid w:val="005018E1"/>
    <w:rsid w:val="00502CC5"/>
    <w:rsid w:val="005128A6"/>
    <w:rsid w:val="00540063"/>
    <w:rsid w:val="00540488"/>
    <w:rsid w:val="005460ED"/>
    <w:rsid w:val="00550384"/>
    <w:rsid w:val="0055794D"/>
    <w:rsid w:val="00560AA8"/>
    <w:rsid w:val="00585B12"/>
    <w:rsid w:val="0059186F"/>
    <w:rsid w:val="0059648B"/>
    <w:rsid w:val="00596738"/>
    <w:rsid w:val="005A2918"/>
    <w:rsid w:val="005A7037"/>
    <w:rsid w:val="005C38A6"/>
    <w:rsid w:val="005C713B"/>
    <w:rsid w:val="005D1385"/>
    <w:rsid w:val="005D1554"/>
    <w:rsid w:val="005D2425"/>
    <w:rsid w:val="005D38DE"/>
    <w:rsid w:val="005D4A21"/>
    <w:rsid w:val="005D58CA"/>
    <w:rsid w:val="005E369E"/>
    <w:rsid w:val="005E5F85"/>
    <w:rsid w:val="005E6B0C"/>
    <w:rsid w:val="005E6EAE"/>
    <w:rsid w:val="005E7346"/>
    <w:rsid w:val="005F203C"/>
    <w:rsid w:val="005F3433"/>
    <w:rsid w:val="005F4DB2"/>
    <w:rsid w:val="006020DE"/>
    <w:rsid w:val="00602A27"/>
    <w:rsid w:val="00604F20"/>
    <w:rsid w:val="00606733"/>
    <w:rsid w:val="00607AFA"/>
    <w:rsid w:val="006127CD"/>
    <w:rsid w:val="00617A22"/>
    <w:rsid w:val="00620CDA"/>
    <w:rsid w:val="0062146E"/>
    <w:rsid w:val="00622E99"/>
    <w:rsid w:val="00624318"/>
    <w:rsid w:val="0062671F"/>
    <w:rsid w:val="00630C64"/>
    <w:rsid w:val="00635950"/>
    <w:rsid w:val="00636F98"/>
    <w:rsid w:val="00637EC5"/>
    <w:rsid w:val="006405A0"/>
    <w:rsid w:val="00641491"/>
    <w:rsid w:val="0064285C"/>
    <w:rsid w:val="00643091"/>
    <w:rsid w:val="00651ED2"/>
    <w:rsid w:val="00652A9B"/>
    <w:rsid w:val="00652E78"/>
    <w:rsid w:val="006544E0"/>
    <w:rsid w:val="00655410"/>
    <w:rsid w:val="00655B47"/>
    <w:rsid w:val="0065633D"/>
    <w:rsid w:val="00663136"/>
    <w:rsid w:val="0067091B"/>
    <w:rsid w:val="00670ED2"/>
    <w:rsid w:val="00673F65"/>
    <w:rsid w:val="00680C22"/>
    <w:rsid w:val="00686ACF"/>
    <w:rsid w:val="00687866"/>
    <w:rsid w:val="00692A7C"/>
    <w:rsid w:val="00692B7C"/>
    <w:rsid w:val="0069457E"/>
    <w:rsid w:val="00695C7F"/>
    <w:rsid w:val="006A1702"/>
    <w:rsid w:val="006A572E"/>
    <w:rsid w:val="006B1100"/>
    <w:rsid w:val="006B17AC"/>
    <w:rsid w:val="006B206A"/>
    <w:rsid w:val="006B4B96"/>
    <w:rsid w:val="006C18C1"/>
    <w:rsid w:val="006C2CAF"/>
    <w:rsid w:val="006D3DFB"/>
    <w:rsid w:val="006D6948"/>
    <w:rsid w:val="006D7AEF"/>
    <w:rsid w:val="006E1155"/>
    <w:rsid w:val="006E1899"/>
    <w:rsid w:val="006E52A2"/>
    <w:rsid w:val="006E5A86"/>
    <w:rsid w:val="006F4511"/>
    <w:rsid w:val="006F63C5"/>
    <w:rsid w:val="00705262"/>
    <w:rsid w:val="0070665B"/>
    <w:rsid w:val="00706E70"/>
    <w:rsid w:val="00711042"/>
    <w:rsid w:val="00716424"/>
    <w:rsid w:val="00716DF7"/>
    <w:rsid w:val="007240D1"/>
    <w:rsid w:val="00727514"/>
    <w:rsid w:val="0073060B"/>
    <w:rsid w:val="00730AE3"/>
    <w:rsid w:val="00736BC2"/>
    <w:rsid w:val="00737E69"/>
    <w:rsid w:val="00740633"/>
    <w:rsid w:val="0074085B"/>
    <w:rsid w:val="00746DD5"/>
    <w:rsid w:val="00752D97"/>
    <w:rsid w:val="00760F7B"/>
    <w:rsid w:val="00762864"/>
    <w:rsid w:val="00765526"/>
    <w:rsid w:val="00765929"/>
    <w:rsid w:val="0077035C"/>
    <w:rsid w:val="007729D0"/>
    <w:rsid w:val="00772AB4"/>
    <w:rsid w:val="00774910"/>
    <w:rsid w:val="00775990"/>
    <w:rsid w:val="007819EF"/>
    <w:rsid w:val="007832CC"/>
    <w:rsid w:val="00783359"/>
    <w:rsid w:val="0078578A"/>
    <w:rsid w:val="00786D83"/>
    <w:rsid w:val="00794B79"/>
    <w:rsid w:val="00795034"/>
    <w:rsid w:val="007A183D"/>
    <w:rsid w:val="007A614E"/>
    <w:rsid w:val="007B4508"/>
    <w:rsid w:val="007B5E54"/>
    <w:rsid w:val="007C7382"/>
    <w:rsid w:val="007E0C18"/>
    <w:rsid w:val="007E2E04"/>
    <w:rsid w:val="007E60D7"/>
    <w:rsid w:val="007F2B5A"/>
    <w:rsid w:val="007F391A"/>
    <w:rsid w:val="007F43C1"/>
    <w:rsid w:val="007F7DFD"/>
    <w:rsid w:val="00800353"/>
    <w:rsid w:val="00802996"/>
    <w:rsid w:val="00805FC1"/>
    <w:rsid w:val="0081038C"/>
    <w:rsid w:val="0081297D"/>
    <w:rsid w:val="008173E3"/>
    <w:rsid w:val="008206FA"/>
    <w:rsid w:val="0082346D"/>
    <w:rsid w:val="0082384D"/>
    <w:rsid w:val="008262F3"/>
    <w:rsid w:val="00831C88"/>
    <w:rsid w:val="00831D96"/>
    <w:rsid w:val="00831FE3"/>
    <w:rsid w:val="00846352"/>
    <w:rsid w:val="0085070D"/>
    <w:rsid w:val="0085538D"/>
    <w:rsid w:val="0086048B"/>
    <w:rsid w:val="00860A82"/>
    <w:rsid w:val="0086246D"/>
    <w:rsid w:val="00866610"/>
    <w:rsid w:val="00866CA2"/>
    <w:rsid w:val="00873C98"/>
    <w:rsid w:val="008741C5"/>
    <w:rsid w:val="008758CF"/>
    <w:rsid w:val="008842C5"/>
    <w:rsid w:val="00890F1C"/>
    <w:rsid w:val="00893E90"/>
    <w:rsid w:val="008956D2"/>
    <w:rsid w:val="00896D42"/>
    <w:rsid w:val="008A04BF"/>
    <w:rsid w:val="008A266A"/>
    <w:rsid w:val="008A64A4"/>
    <w:rsid w:val="008A7586"/>
    <w:rsid w:val="008B2068"/>
    <w:rsid w:val="008B5211"/>
    <w:rsid w:val="008C7C9F"/>
    <w:rsid w:val="008D5428"/>
    <w:rsid w:val="008D5A44"/>
    <w:rsid w:val="008D7EDA"/>
    <w:rsid w:val="008E259D"/>
    <w:rsid w:val="008E5E91"/>
    <w:rsid w:val="008E7034"/>
    <w:rsid w:val="008F22FB"/>
    <w:rsid w:val="00900CA9"/>
    <w:rsid w:val="00904472"/>
    <w:rsid w:val="00916149"/>
    <w:rsid w:val="0091644E"/>
    <w:rsid w:val="009175E8"/>
    <w:rsid w:val="00920732"/>
    <w:rsid w:val="00923FAF"/>
    <w:rsid w:val="00926050"/>
    <w:rsid w:val="00926908"/>
    <w:rsid w:val="009319A8"/>
    <w:rsid w:val="00931B99"/>
    <w:rsid w:val="00932183"/>
    <w:rsid w:val="00932EC1"/>
    <w:rsid w:val="00934E68"/>
    <w:rsid w:val="00940A6B"/>
    <w:rsid w:val="00941AA1"/>
    <w:rsid w:val="00942B30"/>
    <w:rsid w:val="00943D70"/>
    <w:rsid w:val="00945BCB"/>
    <w:rsid w:val="009543B5"/>
    <w:rsid w:val="009557A4"/>
    <w:rsid w:val="009674CF"/>
    <w:rsid w:val="00967EAB"/>
    <w:rsid w:val="0097159A"/>
    <w:rsid w:val="00973B21"/>
    <w:rsid w:val="00981E3C"/>
    <w:rsid w:val="009845C9"/>
    <w:rsid w:val="009857D5"/>
    <w:rsid w:val="00986735"/>
    <w:rsid w:val="00986C2D"/>
    <w:rsid w:val="00993995"/>
    <w:rsid w:val="00993CE8"/>
    <w:rsid w:val="00993EEB"/>
    <w:rsid w:val="00995278"/>
    <w:rsid w:val="009974FB"/>
    <w:rsid w:val="009A397B"/>
    <w:rsid w:val="009A7B3B"/>
    <w:rsid w:val="009B0864"/>
    <w:rsid w:val="009B3B47"/>
    <w:rsid w:val="009B60F6"/>
    <w:rsid w:val="009B7807"/>
    <w:rsid w:val="009C023C"/>
    <w:rsid w:val="009C20DF"/>
    <w:rsid w:val="009C4F4A"/>
    <w:rsid w:val="009D05E7"/>
    <w:rsid w:val="009D7D99"/>
    <w:rsid w:val="009E5A3A"/>
    <w:rsid w:val="009F0FBF"/>
    <w:rsid w:val="009F18C7"/>
    <w:rsid w:val="009F3D41"/>
    <w:rsid w:val="009F6E31"/>
    <w:rsid w:val="00A019A1"/>
    <w:rsid w:val="00A052E5"/>
    <w:rsid w:val="00A06959"/>
    <w:rsid w:val="00A14846"/>
    <w:rsid w:val="00A204C0"/>
    <w:rsid w:val="00A204D9"/>
    <w:rsid w:val="00A21563"/>
    <w:rsid w:val="00A239E9"/>
    <w:rsid w:val="00A26C9B"/>
    <w:rsid w:val="00A32355"/>
    <w:rsid w:val="00A3250C"/>
    <w:rsid w:val="00A3641F"/>
    <w:rsid w:val="00A37422"/>
    <w:rsid w:val="00A408B8"/>
    <w:rsid w:val="00A42539"/>
    <w:rsid w:val="00A42DF6"/>
    <w:rsid w:val="00A46538"/>
    <w:rsid w:val="00A526C3"/>
    <w:rsid w:val="00A60F05"/>
    <w:rsid w:val="00A6222C"/>
    <w:rsid w:val="00A627B1"/>
    <w:rsid w:val="00A6321B"/>
    <w:rsid w:val="00A64DFC"/>
    <w:rsid w:val="00A65AF8"/>
    <w:rsid w:val="00A66934"/>
    <w:rsid w:val="00A66C89"/>
    <w:rsid w:val="00A74BCF"/>
    <w:rsid w:val="00A8643D"/>
    <w:rsid w:val="00A86922"/>
    <w:rsid w:val="00A900F0"/>
    <w:rsid w:val="00A90764"/>
    <w:rsid w:val="00A92BB5"/>
    <w:rsid w:val="00A94F90"/>
    <w:rsid w:val="00AA0091"/>
    <w:rsid w:val="00AB00B9"/>
    <w:rsid w:val="00AB0ADF"/>
    <w:rsid w:val="00AB2A6E"/>
    <w:rsid w:val="00AB3479"/>
    <w:rsid w:val="00AB4ACC"/>
    <w:rsid w:val="00AB54AB"/>
    <w:rsid w:val="00AC015F"/>
    <w:rsid w:val="00AC368D"/>
    <w:rsid w:val="00AC469E"/>
    <w:rsid w:val="00AC4EF7"/>
    <w:rsid w:val="00AC601D"/>
    <w:rsid w:val="00AD152C"/>
    <w:rsid w:val="00AD4146"/>
    <w:rsid w:val="00AE46D6"/>
    <w:rsid w:val="00AE50C4"/>
    <w:rsid w:val="00AE5A76"/>
    <w:rsid w:val="00AF14E3"/>
    <w:rsid w:val="00AF2EFE"/>
    <w:rsid w:val="00AF6755"/>
    <w:rsid w:val="00B01E3D"/>
    <w:rsid w:val="00B02E9B"/>
    <w:rsid w:val="00B03ECD"/>
    <w:rsid w:val="00B077AC"/>
    <w:rsid w:val="00B108BD"/>
    <w:rsid w:val="00B13AC7"/>
    <w:rsid w:val="00B13B8C"/>
    <w:rsid w:val="00B16B75"/>
    <w:rsid w:val="00B212D7"/>
    <w:rsid w:val="00B22106"/>
    <w:rsid w:val="00B22705"/>
    <w:rsid w:val="00B23FA8"/>
    <w:rsid w:val="00B314D3"/>
    <w:rsid w:val="00B365E4"/>
    <w:rsid w:val="00B47F4C"/>
    <w:rsid w:val="00B521A3"/>
    <w:rsid w:val="00B55D03"/>
    <w:rsid w:val="00B6016D"/>
    <w:rsid w:val="00B60251"/>
    <w:rsid w:val="00B607E2"/>
    <w:rsid w:val="00B62E1B"/>
    <w:rsid w:val="00B6557B"/>
    <w:rsid w:val="00B66ED7"/>
    <w:rsid w:val="00B72E85"/>
    <w:rsid w:val="00B738A7"/>
    <w:rsid w:val="00B77C31"/>
    <w:rsid w:val="00B80B88"/>
    <w:rsid w:val="00B8219D"/>
    <w:rsid w:val="00B842E8"/>
    <w:rsid w:val="00B84F41"/>
    <w:rsid w:val="00B8557D"/>
    <w:rsid w:val="00B860E4"/>
    <w:rsid w:val="00B90A14"/>
    <w:rsid w:val="00B92163"/>
    <w:rsid w:val="00B9501A"/>
    <w:rsid w:val="00BA2991"/>
    <w:rsid w:val="00BA422E"/>
    <w:rsid w:val="00BB3DAC"/>
    <w:rsid w:val="00BC1B8B"/>
    <w:rsid w:val="00BC21E4"/>
    <w:rsid w:val="00BC2ED4"/>
    <w:rsid w:val="00BC3CBF"/>
    <w:rsid w:val="00BC3DB9"/>
    <w:rsid w:val="00BC4589"/>
    <w:rsid w:val="00BC5183"/>
    <w:rsid w:val="00BC5D66"/>
    <w:rsid w:val="00BC6008"/>
    <w:rsid w:val="00BC6069"/>
    <w:rsid w:val="00BD12DB"/>
    <w:rsid w:val="00BD1971"/>
    <w:rsid w:val="00BE032B"/>
    <w:rsid w:val="00BE09FC"/>
    <w:rsid w:val="00BE2DAF"/>
    <w:rsid w:val="00BE6861"/>
    <w:rsid w:val="00BE6E46"/>
    <w:rsid w:val="00BF0B52"/>
    <w:rsid w:val="00BF1BCB"/>
    <w:rsid w:val="00BF4F3E"/>
    <w:rsid w:val="00BF73D3"/>
    <w:rsid w:val="00C015EB"/>
    <w:rsid w:val="00C0522E"/>
    <w:rsid w:val="00C06430"/>
    <w:rsid w:val="00C1065C"/>
    <w:rsid w:val="00C12168"/>
    <w:rsid w:val="00C14777"/>
    <w:rsid w:val="00C1521A"/>
    <w:rsid w:val="00C15A9C"/>
    <w:rsid w:val="00C27978"/>
    <w:rsid w:val="00C30849"/>
    <w:rsid w:val="00C33F51"/>
    <w:rsid w:val="00C347C4"/>
    <w:rsid w:val="00C34906"/>
    <w:rsid w:val="00C35CB3"/>
    <w:rsid w:val="00C40527"/>
    <w:rsid w:val="00C40534"/>
    <w:rsid w:val="00C41FE5"/>
    <w:rsid w:val="00C45E03"/>
    <w:rsid w:val="00C46604"/>
    <w:rsid w:val="00C47CA3"/>
    <w:rsid w:val="00C60349"/>
    <w:rsid w:val="00C70CE3"/>
    <w:rsid w:val="00C75B5F"/>
    <w:rsid w:val="00C77C2D"/>
    <w:rsid w:val="00C9099D"/>
    <w:rsid w:val="00C91022"/>
    <w:rsid w:val="00C918AE"/>
    <w:rsid w:val="00C92D64"/>
    <w:rsid w:val="00C940A7"/>
    <w:rsid w:val="00C949D0"/>
    <w:rsid w:val="00C95592"/>
    <w:rsid w:val="00CA2A79"/>
    <w:rsid w:val="00CB66A6"/>
    <w:rsid w:val="00CB6A27"/>
    <w:rsid w:val="00CB6C5A"/>
    <w:rsid w:val="00CC19FA"/>
    <w:rsid w:val="00CD20CF"/>
    <w:rsid w:val="00CD258D"/>
    <w:rsid w:val="00CD3245"/>
    <w:rsid w:val="00CD4A59"/>
    <w:rsid w:val="00CD4E42"/>
    <w:rsid w:val="00CD7EDE"/>
    <w:rsid w:val="00CE2CEF"/>
    <w:rsid w:val="00CE3253"/>
    <w:rsid w:val="00CE3872"/>
    <w:rsid w:val="00CE5299"/>
    <w:rsid w:val="00CE6D6A"/>
    <w:rsid w:val="00CF0AC5"/>
    <w:rsid w:val="00CF6D67"/>
    <w:rsid w:val="00D0728C"/>
    <w:rsid w:val="00D1269F"/>
    <w:rsid w:val="00D1772C"/>
    <w:rsid w:val="00D21B60"/>
    <w:rsid w:val="00D22599"/>
    <w:rsid w:val="00D23C8A"/>
    <w:rsid w:val="00D247C7"/>
    <w:rsid w:val="00D3269D"/>
    <w:rsid w:val="00D35F01"/>
    <w:rsid w:val="00D36894"/>
    <w:rsid w:val="00D42C17"/>
    <w:rsid w:val="00D43B73"/>
    <w:rsid w:val="00D55DE8"/>
    <w:rsid w:val="00D618CD"/>
    <w:rsid w:val="00D679F5"/>
    <w:rsid w:val="00D708D0"/>
    <w:rsid w:val="00D71893"/>
    <w:rsid w:val="00D76764"/>
    <w:rsid w:val="00D7726E"/>
    <w:rsid w:val="00D80848"/>
    <w:rsid w:val="00D873DC"/>
    <w:rsid w:val="00D918FC"/>
    <w:rsid w:val="00D97B01"/>
    <w:rsid w:val="00DA4339"/>
    <w:rsid w:val="00DA4FC0"/>
    <w:rsid w:val="00DB1037"/>
    <w:rsid w:val="00DB527C"/>
    <w:rsid w:val="00DB7AD9"/>
    <w:rsid w:val="00DB7F44"/>
    <w:rsid w:val="00DC2D39"/>
    <w:rsid w:val="00DC58D3"/>
    <w:rsid w:val="00DC5EB4"/>
    <w:rsid w:val="00DD2F2F"/>
    <w:rsid w:val="00DD7546"/>
    <w:rsid w:val="00DE00E3"/>
    <w:rsid w:val="00DE6DB9"/>
    <w:rsid w:val="00DF1BA0"/>
    <w:rsid w:val="00DF79B4"/>
    <w:rsid w:val="00E025AE"/>
    <w:rsid w:val="00E06C3B"/>
    <w:rsid w:val="00E105C5"/>
    <w:rsid w:val="00E14CBF"/>
    <w:rsid w:val="00E15BF0"/>
    <w:rsid w:val="00E23BF4"/>
    <w:rsid w:val="00E265E5"/>
    <w:rsid w:val="00E3506D"/>
    <w:rsid w:val="00E3580A"/>
    <w:rsid w:val="00E35C87"/>
    <w:rsid w:val="00E3609E"/>
    <w:rsid w:val="00E376B6"/>
    <w:rsid w:val="00E409B5"/>
    <w:rsid w:val="00E44323"/>
    <w:rsid w:val="00E50101"/>
    <w:rsid w:val="00E502D2"/>
    <w:rsid w:val="00E5416B"/>
    <w:rsid w:val="00E5438A"/>
    <w:rsid w:val="00E55196"/>
    <w:rsid w:val="00E551C9"/>
    <w:rsid w:val="00E555F8"/>
    <w:rsid w:val="00E55607"/>
    <w:rsid w:val="00E62055"/>
    <w:rsid w:val="00E645A8"/>
    <w:rsid w:val="00E734B8"/>
    <w:rsid w:val="00E756E5"/>
    <w:rsid w:val="00E763B2"/>
    <w:rsid w:val="00E77D13"/>
    <w:rsid w:val="00E811EF"/>
    <w:rsid w:val="00E83874"/>
    <w:rsid w:val="00E8447E"/>
    <w:rsid w:val="00E87ECF"/>
    <w:rsid w:val="00E92FF1"/>
    <w:rsid w:val="00E97BB9"/>
    <w:rsid w:val="00EA4573"/>
    <w:rsid w:val="00EA7525"/>
    <w:rsid w:val="00EB1DA8"/>
    <w:rsid w:val="00EC6DDD"/>
    <w:rsid w:val="00ED10BA"/>
    <w:rsid w:val="00ED6F21"/>
    <w:rsid w:val="00EE3219"/>
    <w:rsid w:val="00EE3BFD"/>
    <w:rsid w:val="00EE4802"/>
    <w:rsid w:val="00EE5F87"/>
    <w:rsid w:val="00EE7A2B"/>
    <w:rsid w:val="00EF2E97"/>
    <w:rsid w:val="00EF5882"/>
    <w:rsid w:val="00F00529"/>
    <w:rsid w:val="00F05B8D"/>
    <w:rsid w:val="00F07F98"/>
    <w:rsid w:val="00F11AB3"/>
    <w:rsid w:val="00F126BF"/>
    <w:rsid w:val="00F23DAE"/>
    <w:rsid w:val="00F24912"/>
    <w:rsid w:val="00F24B8E"/>
    <w:rsid w:val="00F26F85"/>
    <w:rsid w:val="00F340AE"/>
    <w:rsid w:val="00F36C7D"/>
    <w:rsid w:val="00F41B5D"/>
    <w:rsid w:val="00F4375F"/>
    <w:rsid w:val="00F46FAB"/>
    <w:rsid w:val="00F471DF"/>
    <w:rsid w:val="00F511B1"/>
    <w:rsid w:val="00F52A5F"/>
    <w:rsid w:val="00F52B09"/>
    <w:rsid w:val="00F52E5C"/>
    <w:rsid w:val="00F55B32"/>
    <w:rsid w:val="00F566E0"/>
    <w:rsid w:val="00F62A47"/>
    <w:rsid w:val="00F62DFC"/>
    <w:rsid w:val="00F65850"/>
    <w:rsid w:val="00F70A0C"/>
    <w:rsid w:val="00F70D06"/>
    <w:rsid w:val="00F7756D"/>
    <w:rsid w:val="00F77F21"/>
    <w:rsid w:val="00F861D0"/>
    <w:rsid w:val="00F86A21"/>
    <w:rsid w:val="00F86C5C"/>
    <w:rsid w:val="00F91711"/>
    <w:rsid w:val="00F924BB"/>
    <w:rsid w:val="00F958D2"/>
    <w:rsid w:val="00F95F78"/>
    <w:rsid w:val="00FC2D85"/>
    <w:rsid w:val="00FC4BFE"/>
    <w:rsid w:val="00FD2D8F"/>
    <w:rsid w:val="00FD6563"/>
    <w:rsid w:val="00FD77A2"/>
    <w:rsid w:val="00FE03D3"/>
    <w:rsid w:val="00FE1FE9"/>
    <w:rsid w:val="00FE2DEE"/>
    <w:rsid w:val="00FE3DBC"/>
    <w:rsid w:val="00FF0D4F"/>
    <w:rsid w:val="00FF261C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7493C"/>
  <w15:docId w15:val="{A0311910-1DE7-4B20-854C-55256E58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1"/>
    <w:p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uiPriority w:val="99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pPr>
      <w:suppressAutoHyphens/>
      <w:spacing w:after="120" w:line="240" w:lineRule="exact"/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Pr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pPr>
      <w:ind w:left="720"/>
      <w:outlineLvl w:val="9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tabs>
        <w:tab w:val="left" w:pos="1980"/>
      </w:tabs>
      <w:spacing w:before="80" w:after="80"/>
    </w:pPr>
    <w:rPr>
      <w:szCs w:val="20"/>
    </w:rPr>
  </w:style>
  <w:style w:type="paragraph" w:customStyle="1" w:styleId="Heading2-center">
    <w:name w:val="Heading 2-center"/>
    <w:basedOn w:val="Heading2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BodyText3">
    <w:name w:val="Body Text 3"/>
    <w:basedOn w:val="Normal"/>
    <w:pPr>
      <w:spacing w:before="120" w:after="1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">
    <w:name w:val="Heading4"/>
    <w:basedOn w:val="Normal"/>
    <w:pPr>
      <w:keepNext/>
      <w:numPr>
        <w:numId w:val="2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Pr>
      <w:rFonts w:ascii="Courier" w:hAnsi="Courier"/>
      <w:sz w:val="2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styleId="ListParagraph">
    <w:name w:val="List Paragraph"/>
    <w:basedOn w:val="Normal"/>
    <w:uiPriority w:val="34"/>
    <w:qFormat/>
    <w:rsid w:val="00BF1B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AA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F3AAA"/>
    <w:rPr>
      <w:rFonts w:ascii="Tahoma" w:hAnsi="Tahoma" w:cs="Tahoma"/>
      <w:sz w:val="16"/>
      <w:szCs w:val="16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7E60D7"/>
    <w:pPr>
      <w:spacing w:after="0"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E60D7"/>
    <w:rPr>
      <w:sz w:val="22"/>
      <w:szCs w:val="24"/>
      <w:lang w:eastAsia="en-US"/>
    </w:rPr>
  </w:style>
  <w:style w:type="character" w:customStyle="1" w:styleId="CommentSubjectChar">
    <w:name w:val="Comment Subject Char"/>
    <w:link w:val="CommentSubject"/>
    <w:rsid w:val="007E60D7"/>
    <w:rPr>
      <w:b/>
      <w:bCs/>
      <w:sz w:val="22"/>
      <w:szCs w:val="24"/>
      <w:lang w:eastAsia="en-US"/>
    </w:rPr>
  </w:style>
  <w:style w:type="paragraph" w:customStyle="1" w:styleId="Heading-plain">
    <w:name w:val="Heading - plain"/>
    <w:basedOn w:val="Heading2"/>
    <w:next w:val="BodyText"/>
    <w:rsid w:val="00995278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995278"/>
    <w:rPr>
      <w:sz w:val="18"/>
      <w:szCs w:val="24"/>
      <w:lang w:eastAsia="en-US"/>
    </w:rPr>
  </w:style>
  <w:style w:type="character" w:styleId="Hyperlink">
    <w:name w:val="Hyperlink"/>
    <w:uiPriority w:val="99"/>
    <w:unhideWhenUsed/>
    <w:rsid w:val="00995278"/>
    <w:rPr>
      <w:color w:val="0000FF"/>
      <w:u w:val="single"/>
    </w:rPr>
  </w:style>
  <w:style w:type="character" w:customStyle="1" w:styleId="Para1Char1">
    <w:name w:val="Para1 Char1"/>
    <w:link w:val="Para1"/>
    <w:rsid w:val="00995278"/>
    <w:rPr>
      <w:snapToGrid w:val="0"/>
      <w:sz w:val="22"/>
      <w:szCs w:val="18"/>
      <w:lang w:eastAsia="en-US"/>
    </w:rPr>
  </w:style>
  <w:style w:type="paragraph" w:customStyle="1" w:styleId="StylePara1Before0pt">
    <w:name w:val="Style Para1 + Before:  0 pt"/>
    <w:basedOn w:val="Para1"/>
    <w:rsid w:val="00A90764"/>
    <w:pPr>
      <w:tabs>
        <w:tab w:val="num" w:pos="360"/>
      </w:tabs>
    </w:pPr>
    <w:rPr>
      <w:szCs w:val="20"/>
    </w:rPr>
  </w:style>
  <w:style w:type="paragraph" w:styleId="NormalWeb">
    <w:name w:val="Normal (Web)"/>
    <w:basedOn w:val="Normal"/>
    <w:uiPriority w:val="99"/>
    <w:unhideWhenUsed/>
    <w:rsid w:val="00890F1C"/>
    <w:pPr>
      <w:spacing w:before="100" w:beforeAutospacing="1" w:after="100" w:afterAutospacing="1"/>
      <w:jc w:val="left"/>
    </w:pPr>
    <w:rPr>
      <w:sz w:val="24"/>
    </w:rPr>
  </w:style>
  <w:style w:type="character" w:customStyle="1" w:styleId="Mentionnonrsolue1">
    <w:name w:val="Mention non résolue1"/>
    <w:uiPriority w:val="99"/>
    <w:semiHidden/>
    <w:unhideWhenUsed/>
    <w:rsid w:val="000A378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8335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4511"/>
    <w:rPr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ch.cbd.int/protocol/text/" TargetMode="External"/><Relationship Id="rId18" Type="http://schemas.openxmlformats.org/officeDocument/2006/relationships/hyperlink" Target="http://bch.cbd.in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ch.cbd.int/protocol/decisions/?decisionID=13550" TargetMode="External"/><Relationship Id="rId17" Type="http://schemas.openxmlformats.org/officeDocument/2006/relationships/hyperlink" Target="https://www.cbd.int/doc/decisions/mop-05/full/mop-05-dec-ru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inpriroda.gov.by/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ch.cbd.int/protocol/decisions/?decisionID=1352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bd.int/meetings/CP-RARM-CB-2018-02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gc.by/en/main-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AA31-EC10-441B-8ABC-93D81835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1971</Words>
  <Characters>11238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Annotated provisional agenda</vt:lpstr>
      <vt:lpstr>Annotations to the provisional agenda</vt:lpstr>
    </vt:vector>
  </TitlesOfParts>
  <Company>SCBD</Company>
  <LinksUpToDate>false</LinksUpToDate>
  <CharactersWithSpaces>13183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https://www.cbd.int/meetings/CP-RARM-CB-2018-01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provisional agenda</dc:title>
  <dc:subject>WORKSHOP OF THE NETWORK OF LABORATORIES FOR THE DETECTION AND IDENTIFICATION OF LIVING MODIFIED ORGANISMS</dc:subject>
  <dc:creator>SCBD</dc:creator>
  <cp:lastModifiedBy>Veronique Lefebvre</cp:lastModifiedBy>
  <cp:revision>3</cp:revision>
  <cp:lastPrinted>2018-05-24T15:23:00Z</cp:lastPrinted>
  <dcterms:created xsi:type="dcterms:W3CDTF">2018-09-24T14:04:00Z</dcterms:created>
  <dcterms:modified xsi:type="dcterms:W3CDTF">2018-09-24T14:05:00Z</dcterms:modified>
</cp:coreProperties>
</file>