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EA442C" w14:paraId="45305DE6" w14:textId="77777777" w:rsidTr="0024069D">
        <w:trPr>
          <w:trHeight w:val="851"/>
        </w:trPr>
        <w:tc>
          <w:tcPr>
            <w:tcW w:w="478" w:type="pct"/>
            <w:tcBorders>
              <w:bottom w:val="single" w:sz="8" w:space="0" w:color="auto"/>
            </w:tcBorders>
            <w:vAlign w:val="bottom"/>
          </w:tcPr>
          <w:p w14:paraId="6842EE67" w14:textId="77777777" w:rsidR="00A96B21" w:rsidRPr="00550DCE" w:rsidRDefault="00A96B21" w:rsidP="00B60E5F">
            <w:pPr>
              <w:spacing w:after="120"/>
              <w:jc w:val="left"/>
            </w:pPr>
            <w:bookmarkStart w:id="0" w:name="_Hlk137651738"/>
            <w:r w:rsidRPr="00550DCE">
              <w:rPr>
                <w:noProof/>
              </w:rPr>
              <w:drawing>
                <wp:inline distT="0" distB="0" distL="0" distR="0" wp14:anchorId="1ABA097D" wp14:editId="6E0ABE6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AC0C33A" w14:textId="77777777" w:rsidR="00A96B21" w:rsidRPr="00550DCE" w:rsidRDefault="00A96B21" w:rsidP="00B60E5F">
            <w:pPr>
              <w:spacing w:after="120"/>
              <w:jc w:val="left"/>
            </w:pPr>
            <w:r w:rsidRPr="00550DCE">
              <w:rPr>
                <w:noProof/>
              </w:rPr>
              <w:drawing>
                <wp:inline distT="0" distB="0" distL="0" distR="0" wp14:anchorId="2D364B08" wp14:editId="16E949F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000E71CC" w14:textId="1479BFD0" w:rsidR="00A96B21" w:rsidRPr="00550DCE" w:rsidRDefault="00A96B21" w:rsidP="00184909">
            <w:pPr>
              <w:spacing w:after="120"/>
              <w:ind w:left="2021"/>
              <w:jc w:val="right"/>
              <w:rPr>
                <w:szCs w:val="22"/>
              </w:rPr>
            </w:pPr>
            <w:r w:rsidRPr="00550DCE">
              <w:rPr>
                <w:sz w:val="40"/>
                <w:szCs w:val="40"/>
              </w:rPr>
              <w:t>CBD</w:t>
            </w:r>
            <w:r w:rsidRPr="00550DCE">
              <w:rPr>
                <w:szCs w:val="22"/>
              </w:rPr>
              <w:t>/</w:t>
            </w:r>
            <w:r w:rsidR="00435A96">
              <w:rPr>
                <w:szCs w:val="22"/>
              </w:rPr>
              <w:t>SBSTTA/2</w:t>
            </w:r>
            <w:r w:rsidR="003F428E">
              <w:rPr>
                <w:szCs w:val="22"/>
              </w:rPr>
              <w:t>6</w:t>
            </w:r>
            <w:r w:rsidR="00435A96">
              <w:rPr>
                <w:szCs w:val="22"/>
              </w:rPr>
              <w:t>/</w:t>
            </w:r>
            <w:r w:rsidR="00E0191D">
              <w:rPr>
                <w:szCs w:val="22"/>
              </w:rPr>
              <w:t>INF</w:t>
            </w:r>
            <w:r w:rsidR="00700A07">
              <w:rPr>
                <w:szCs w:val="22"/>
              </w:rPr>
              <w:t>/</w:t>
            </w:r>
            <w:r w:rsidR="00E0191D">
              <w:rPr>
                <w:szCs w:val="22"/>
              </w:rPr>
              <w:t>18</w:t>
            </w:r>
          </w:p>
        </w:tc>
      </w:tr>
      <w:tr w:rsidR="00A96B21" w:rsidRPr="00EA442C" w14:paraId="7F2A36E6" w14:textId="77777777" w:rsidTr="0024069D">
        <w:tc>
          <w:tcPr>
            <w:tcW w:w="2361" w:type="pct"/>
            <w:gridSpan w:val="2"/>
            <w:tcBorders>
              <w:top w:val="single" w:sz="8" w:space="0" w:color="auto"/>
              <w:bottom w:val="single" w:sz="12" w:space="0" w:color="auto"/>
            </w:tcBorders>
          </w:tcPr>
          <w:p w14:paraId="6B8F22A3" w14:textId="77777777" w:rsidR="00A96B21" w:rsidRPr="00550DCE" w:rsidRDefault="00A96B21" w:rsidP="00B60E5F">
            <w:pPr>
              <w:pStyle w:val="Cornernotation"/>
              <w:suppressLineNumbers/>
              <w:suppressAutoHyphens/>
              <w:spacing w:before="120" w:after="120"/>
              <w:ind w:right="0"/>
            </w:pPr>
            <w:r w:rsidRPr="00550DCE">
              <w:rPr>
                <w:b w:val="0"/>
                <w:bCs/>
                <w:noProof/>
              </w:rPr>
              <w:drawing>
                <wp:inline distT="0" distB="0" distL="0" distR="0" wp14:anchorId="0EC6B32A" wp14:editId="77D41B7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6D30A5C6" w14:textId="77777777" w:rsidR="00A96B21" w:rsidRPr="003C6F10" w:rsidRDefault="00A96B21" w:rsidP="003C6F10">
            <w:pPr>
              <w:ind w:left="2584"/>
              <w:rPr>
                <w:sz w:val="22"/>
                <w:szCs w:val="22"/>
              </w:rPr>
            </w:pPr>
            <w:r w:rsidRPr="003C6F10">
              <w:rPr>
                <w:sz w:val="22"/>
                <w:szCs w:val="22"/>
              </w:rPr>
              <w:t>Distr.: General</w:t>
            </w:r>
          </w:p>
          <w:p w14:paraId="7E547FC2" w14:textId="551F7B28" w:rsidR="00A96B21" w:rsidRPr="003C6F10" w:rsidRDefault="00A85929" w:rsidP="003C6F10">
            <w:pPr>
              <w:ind w:left="2584"/>
              <w:rPr>
                <w:sz w:val="22"/>
                <w:szCs w:val="22"/>
              </w:rPr>
            </w:pPr>
            <w:r>
              <w:rPr>
                <w:sz w:val="22"/>
                <w:szCs w:val="22"/>
              </w:rPr>
              <w:t>11 April</w:t>
            </w:r>
            <w:r w:rsidR="00A96B21" w:rsidRPr="003C6F10">
              <w:rPr>
                <w:sz w:val="22"/>
                <w:szCs w:val="22"/>
              </w:rPr>
              <w:t xml:space="preserve"> 202</w:t>
            </w:r>
            <w:r w:rsidR="00C92BFD">
              <w:rPr>
                <w:sz w:val="22"/>
                <w:szCs w:val="22"/>
              </w:rPr>
              <w:t>4</w:t>
            </w:r>
          </w:p>
          <w:p w14:paraId="0AB625CC" w14:textId="77777777" w:rsidR="00A96B21" w:rsidRPr="003C6F10" w:rsidRDefault="00A96B21" w:rsidP="003C6F10">
            <w:pPr>
              <w:ind w:left="2584"/>
              <w:rPr>
                <w:sz w:val="22"/>
                <w:szCs w:val="22"/>
              </w:rPr>
            </w:pPr>
          </w:p>
          <w:p w14:paraId="08D4C161" w14:textId="64B8655A" w:rsidR="00A96B21" w:rsidRPr="003C6F10" w:rsidRDefault="00A96B21" w:rsidP="003C6F10">
            <w:pPr>
              <w:ind w:left="2584"/>
              <w:rPr>
                <w:sz w:val="22"/>
                <w:szCs w:val="22"/>
              </w:rPr>
            </w:pPr>
            <w:r w:rsidRPr="003C6F10">
              <w:rPr>
                <w:sz w:val="22"/>
                <w:szCs w:val="22"/>
              </w:rPr>
              <w:t>English</w:t>
            </w:r>
            <w:r w:rsidR="004765DF">
              <w:rPr>
                <w:sz w:val="22"/>
                <w:szCs w:val="22"/>
              </w:rPr>
              <w:t xml:space="preserve"> only</w:t>
            </w:r>
          </w:p>
          <w:p w14:paraId="650B578A" w14:textId="77777777" w:rsidR="00A96B21" w:rsidRPr="00550DCE" w:rsidRDefault="00A96B21" w:rsidP="00B60E5F"/>
        </w:tc>
      </w:tr>
    </w:tbl>
    <w:p w14:paraId="118919BB" w14:textId="77777777" w:rsidR="00874541" w:rsidRDefault="00BF60B0" w:rsidP="00202BFD">
      <w:pPr>
        <w:pStyle w:val="Cornernotation"/>
        <w:ind w:right="5249"/>
        <w:rPr>
          <w:bCs/>
        </w:rPr>
      </w:pPr>
      <w:r w:rsidRPr="00BF60B0">
        <w:rPr>
          <w:bCs/>
        </w:rPr>
        <w:t>Subsidiary Body on Scientific, Technical and Technological Advice</w:t>
      </w:r>
    </w:p>
    <w:p w14:paraId="53ACDE4B" w14:textId="77777777" w:rsidR="00A96B21" w:rsidRPr="004765DF" w:rsidRDefault="00D163F5" w:rsidP="00A96B21">
      <w:pPr>
        <w:pStyle w:val="Cornernotation"/>
        <w:rPr>
          <w:bCs/>
          <w:sz w:val="22"/>
          <w:szCs w:val="22"/>
        </w:rPr>
      </w:pPr>
      <w:r w:rsidRPr="0024069D">
        <w:rPr>
          <w:bCs/>
          <w:sz w:val="22"/>
          <w:szCs w:val="22"/>
        </w:rPr>
        <w:t>Twenty-</w:t>
      </w:r>
      <w:r w:rsidR="003F428E" w:rsidRPr="0024069D">
        <w:rPr>
          <w:bCs/>
          <w:sz w:val="22"/>
          <w:szCs w:val="22"/>
        </w:rPr>
        <w:t>sixth</w:t>
      </w:r>
      <w:r w:rsidRPr="0024069D">
        <w:rPr>
          <w:bCs/>
          <w:sz w:val="22"/>
          <w:szCs w:val="22"/>
        </w:rPr>
        <w:t xml:space="preserve"> </w:t>
      </w:r>
      <w:r w:rsidR="00A96B21" w:rsidRPr="004765DF">
        <w:rPr>
          <w:bCs/>
          <w:sz w:val="22"/>
          <w:szCs w:val="22"/>
        </w:rPr>
        <w:t xml:space="preserve">meeting </w:t>
      </w:r>
    </w:p>
    <w:p w14:paraId="29D8C867" w14:textId="77777777" w:rsidR="00A96B21" w:rsidRPr="00935461" w:rsidRDefault="00435A96" w:rsidP="00A96B21">
      <w:pPr>
        <w:pStyle w:val="Venuedate"/>
        <w:rPr>
          <w:lang w:val="en-CA"/>
        </w:rPr>
      </w:pPr>
      <w:r w:rsidRPr="00435A96">
        <w:rPr>
          <w:lang w:val="en-CA"/>
        </w:rPr>
        <w:t>Nairobi, 1</w:t>
      </w:r>
      <w:r w:rsidR="003F428E">
        <w:rPr>
          <w:lang w:val="en-CA"/>
        </w:rPr>
        <w:t>3</w:t>
      </w:r>
      <w:r w:rsidRPr="00435A96">
        <w:rPr>
          <w:lang w:val="en-CA"/>
        </w:rPr>
        <w:t>–</w:t>
      </w:r>
      <w:r w:rsidR="003F428E">
        <w:rPr>
          <w:lang w:val="en-CA"/>
        </w:rPr>
        <w:t>18</w:t>
      </w:r>
      <w:r w:rsidRPr="00435A96">
        <w:rPr>
          <w:lang w:val="en-CA"/>
        </w:rPr>
        <w:t xml:space="preserve"> </w:t>
      </w:r>
      <w:r w:rsidR="003F428E">
        <w:rPr>
          <w:lang w:val="en-CA"/>
        </w:rPr>
        <w:t>May</w:t>
      </w:r>
      <w:r w:rsidRPr="00435A96">
        <w:rPr>
          <w:lang w:val="en-CA"/>
        </w:rPr>
        <w:t xml:space="preserve"> 202</w:t>
      </w:r>
      <w:r w:rsidR="003F428E">
        <w:rPr>
          <w:lang w:val="en-CA"/>
        </w:rPr>
        <w:t>4</w:t>
      </w:r>
    </w:p>
    <w:p w14:paraId="7C8CD322" w14:textId="088289F1" w:rsidR="00A96B21" w:rsidRPr="007A7247" w:rsidRDefault="00A96B21" w:rsidP="00A96B21">
      <w:pPr>
        <w:pStyle w:val="Cornernotation-Item"/>
        <w:rPr>
          <w:b w:val="0"/>
          <w:bCs w:val="0"/>
        </w:rPr>
      </w:pPr>
      <w:r w:rsidRPr="007A7247">
        <w:rPr>
          <w:b w:val="0"/>
          <w:bCs w:val="0"/>
        </w:rPr>
        <w:t xml:space="preserve">Item </w:t>
      </w:r>
      <w:r w:rsidR="00666190">
        <w:rPr>
          <w:b w:val="0"/>
          <w:bCs w:val="0"/>
        </w:rPr>
        <w:t>3</w:t>
      </w:r>
      <w:r w:rsidRPr="007A7247">
        <w:rPr>
          <w:b w:val="0"/>
          <w:bCs w:val="0"/>
        </w:rPr>
        <w:t xml:space="preserve"> of the provisional agenda</w:t>
      </w:r>
      <w:r w:rsidRPr="007A7247">
        <w:rPr>
          <w:rStyle w:val="FootnoteReference"/>
          <w:b w:val="0"/>
          <w:bCs w:val="0"/>
        </w:rPr>
        <w:footnoteReference w:customMarkFollows="1" w:id="2"/>
        <w:t>*</w:t>
      </w:r>
    </w:p>
    <w:p w14:paraId="418CB6A3" w14:textId="24D9C7EB" w:rsidR="00A96B21" w:rsidRDefault="00001265" w:rsidP="0024069D">
      <w:pPr>
        <w:pStyle w:val="Cornernotation-Item"/>
        <w:ind w:right="5674"/>
      </w:pPr>
      <w:r w:rsidRPr="00001265">
        <w:t xml:space="preserve">Monitoring framework for the Kunming-Montreal Global Biodiversity Framework </w:t>
      </w:r>
    </w:p>
    <w:bookmarkEnd w:id="0"/>
    <w:p w14:paraId="4E476BA6" w14:textId="3915DF01" w:rsidR="00A96B21" w:rsidRDefault="001317A5" w:rsidP="0024069D">
      <w:pPr>
        <w:pStyle w:val="Title"/>
        <w:jc w:val="left"/>
      </w:pPr>
      <w:sdt>
        <w:sdtPr>
          <w:alias w:val="Title"/>
          <w:tag w:val=""/>
          <w:id w:val="-1975355689"/>
          <w:placeholder>
            <w:docPart w:val="D72DF72677CC4F26B2EA7D68FA9ABCD2"/>
          </w:placeholder>
          <w:dataBinding w:prefixMappings="xmlns:ns0='http://purl.org/dc/elements/1.1/' xmlns:ns1='http://schemas.openxmlformats.org/package/2006/metadata/core-properties' " w:xpath="/ns1:coreProperties[1]/ns0:title[1]" w:storeItemID="{6C3C8BC8-F283-45AE-878A-BAB7291924A1}"/>
          <w:text/>
        </w:sdtPr>
        <w:sdtContent>
          <w:r w:rsidRPr="00754886">
            <w:t xml:space="preserve">Report of the </w:t>
          </w:r>
          <w:r>
            <w:t>e</w:t>
          </w:r>
          <w:r w:rsidRPr="00754886">
            <w:t xml:space="preserve">xpert meeting on developing a methodology for </w:t>
          </w:r>
          <w:r>
            <w:t>h</w:t>
          </w:r>
          <w:r w:rsidRPr="00754886">
            <w:t>eadline indicator 7.2 under the monitoring framework of the Kunming-Montreal Global Biodiversity Framework</w:t>
          </w:r>
        </w:sdtContent>
      </w:sdt>
    </w:p>
    <w:p w14:paraId="24F99061"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2270D4BC" w14:textId="35A8330C" w:rsidR="006A29F2" w:rsidRDefault="006A29F2" w:rsidP="006A29F2">
      <w:pPr>
        <w:pStyle w:val="Para1"/>
      </w:pPr>
      <w:r w:rsidRPr="006A29F2">
        <w:t>The Executive Secretary circulates herewith, for the information of participants in the twenty-</w:t>
      </w:r>
      <w:r>
        <w:t>six</w:t>
      </w:r>
      <w:r w:rsidRPr="006A29F2">
        <w:t xml:space="preserve">th meeting of the Subsidiary Body on Scientific, Technical and Technological Advice, a report prepared by the Food and Agriculture Organization of the United Nations (FAO) on the </w:t>
      </w:r>
      <w:r w:rsidR="00DB0ED5">
        <w:t xml:space="preserve">results of the </w:t>
      </w:r>
      <w:r w:rsidR="008120A9">
        <w:t>e</w:t>
      </w:r>
      <w:r w:rsidR="008120A9" w:rsidRPr="00754886">
        <w:t xml:space="preserve">xpert meeting on developing a methodology for </w:t>
      </w:r>
      <w:r w:rsidR="00F85656">
        <w:t>h</w:t>
      </w:r>
      <w:r w:rsidR="008120A9" w:rsidRPr="00754886">
        <w:t>eadline indicator 7.2 under the monitoring framework of the Kunming-Montreal Global Biodiversity Framework</w:t>
      </w:r>
      <w:r w:rsidR="007C4C14" w:rsidRPr="007C4C14">
        <w:t xml:space="preserve"> </w:t>
      </w:r>
      <w:r w:rsidR="00DE2B8A">
        <w:t>co-</w:t>
      </w:r>
      <w:r w:rsidR="007C4C14">
        <w:t>organized by</w:t>
      </w:r>
      <w:r w:rsidR="007C4C14" w:rsidRPr="00C72A3D">
        <w:t xml:space="preserve"> </w:t>
      </w:r>
      <w:r w:rsidR="007C4C14">
        <w:t xml:space="preserve">the Secretariat </w:t>
      </w:r>
      <w:r w:rsidR="00733905">
        <w:t xml:space="preserve">of the Convention on Biological Diversity </w:t>
      </w:r>
      <w:r w:rsidR="00242BE3">
        <w:t>and</w:t>
      </w:r>
      <w:r w:rsidR="007C4C14" w:rsidRPr="00C72A3D">
        <w:t xml:space="preserve"> FAO </w:t>
      </w:r>
      <w:r w:rsidR="00DE2B8A">
        <w:t>and held from</w:t>
      </w:r>
      <w:r w:rsidR="007C4C14" w:rsidRPr="00C72A3D">
        <w:t xml:space="preserve"> 23 </w:t>
      </w:r>
      <w:r w:rsidR="00DE2B8A">
        <w:t xml:space="preserve">to </w:t>
      </w:r>
      <w:r w:rsidR="007C4C14" w:rsidRPr="00C72A3D">
        <w:t>24 January 2024 at FAO Headquarters</w:t>
      </w:r>
      <w:r w:rsidR="00DB0ED5">
        <w:t>.</w:t>
      </w:r>
    </w:p>
    <w:p w14:paraId="623E5BAC" w14:textId="1A3A2E6D" w:rsidR="006A29F2" w:rsidRDefault="006A29F2" w:rsidP="00330243">
      <w:pPr>
        <w:pStyle w:val="Para1"/>
      </w:pPr>
      <w:r w:rsidRPr="006A29F2">
        <w:t xml:space="preserve">The present document </w:t>
      </w:r>
      <w:r w:rsidR="005A2FE3">
        <w:t>was</w:t>
      </w:r>
      <w:r w:rsidRPr="006A29F2">
        <w:t xml:space="preserve"> </w:t>
      </w:r>
      <w:r w:rsidR="00DB0ED5">
        <w:t>prepared</w:t>
      </w:r>
      <w:r w:rsidRPr="006A29F2">
        <w:t xml:space="preserve"> to </w:t>
      </w:r>
      <w:r w:rsidR="00DB0ED5">
        <w:t>inform</w:t>
      </w:r>
      <w:r w:rsidRPr="006A29F2">
        <w:t xml:space="preserve"> the </w:t>
      </w:r>
      <w:r w:rsidR="00AE75DC">
        <w:t>A</w:t>
      </w:r>
      <w:r w:rsidR="00D54632" w:rsidRPr="00D54632">
        <w:t xml:space="preserve">d </w:t>
      </w:r>
      <w:r w:rsidR="00AE75DC">
        <w:t>H</w:t>
      </w:r>
      <w:r w:rsidR="00D54632" w:rsidRPr="00D54632">
        <w:t xml:space="preserve">oc </w:t>
      </w:r>
      <w:r w:rsidR="00AE75DC">
        <w:t>T</w:t>
      </w:r>
      <w:r w:rsidR="00D54632" w:rsidRPr="00D54632">
        <w:t xml:space="preserve">echnical </w:t>
      </w:r>
      <w:r w:rsidR="00AE75DC">
        <w:t>E</w:t>
      </w:r>
      <w:r w:rsidR="00D54632" w:rsidRPr="00D54632">
        <w:t xml:space="preserve">xpert </w:t>
      </w:r>
      <w:r w:rsidR="00AE75DC">
        <w:t>G</w:t>
      </w:r>
      <w:r w:rsidR="00D54632" w:rsidRPr="00D54632">
        <w:t xml:space="preserve">roup on </w:t>
      </w:r>
      <w:r w:rsidR="00AE75DC">
        <w:t>I</w:t>
      </w:r>
      <w:r w:rsidR="00D54632" w:rsidRPr="00D54632">
        <w:t xml:space="preserve">ndicators for the </w:t>
      </w:r>
      <w:r w:rsidR="000D4932">
        <w:t xml:space="preserve">Kunming-Montreal Global Biodiversity </w:t>
      </w:r>
      <w:r w:rsidR="00D54632" w:rsidRPr="00D54632">
        <w:t>Framework</w:t>
      </w:r>
      <w:r w:rsidR="00D54632" w:rsidRPr="00D54632" w:rsidDel="00995674">
        <w:t xml:space="preserve"> </w:t>
      </w:r>
      <w:r w:rsidR="00E23815">
        <w:t xml:space="preserve">of </w:t>
      </w:r>
      <w:r w:rsidR="00C72A3D" w:rsidRPr="00C72A3D">
        <w:t>the</w:t>
      </w:r>
      <w:r w:rsidR="00C72A3D">
        <w:t xml:space="preserve"> results of the expert meeting</w:t>
      </w:r>
      <w:r w:rsidR="00DE2B8A">
        <w:t xml:space="preserve"> and </w:t>
      </w:r>
      <w:r w:rsidR="003F20E7">
        <w:t xml:space="preserve">supports the </w:t>
      </w:r>
      <w:r w:rsidR="00DE2B8A">
        <w:t xml:space="preserve">consideration of the pre-session document </w:t>
      </w:r>
      <w:r w:rsidR="00330243">
        <w:t>CBD/SBSTTA/26/</w:t>
      </w:r>
      <w:r w:rsidR="008F2385">
        <w:t>2</w:t>
      </w:r>
      <w:r w:rsidR="00330243">
        <w:t xml:space="preserve"> Monitoring framework for the Kunming-Montreal Global Biodiversity Framework.</w:t>
      </w:r>
      <w:r w:rsidRPr="006A29F2">
        <w:t xml:space="preserve"> </w:t>
      </w:r>
    </w:p>
    <w:p w14:paraId="394AB6B8" w14:textId="4513D939" w:rsidR="006A29F2" w:rsidRPr="004701EE" w:rsidRDefault="006A29F2" w:rsidP="006A29F2">
      <w:pPr>
        <w:pStyle w:val="Para1"/>
      </w:pPr>
      <w:r w:rsidRPr="006A29F2">
        <w:t xml:space="preserve">This document is </w:t>
      </w:r>
      <w:r w:rsidR="00351641">
        <w:t>being issued</w:t>
      </w:r>
      <w:r w:rsidR="00351641" w:rsidRPr="006A29F2">
        <w:t xml:space="preserve"> </w:t>
      </w:r>
      <w:r w:rsidRPr="006A29F2">
        <w:t xml:space="preserve">in the form and language in which it was received by the Secretariat.  </w:t>
      </w:r>
    </w:p>
    <w:p w14:paraId="45B0625B" w14:textId="364C4210" w:rsidR="000A19D2" w:rsidRDefault="000A19D2">
      <w:pPr>
        <w:spacing w:after="160" w:line="259" w:lineRule="auto"/>
        <w:jc w:val="left"/>
        <w:rPr>
          <w:lang w:val="en-CA"/>
        </w:rPr>
      </w:pPr>
      <w:r>
        <w:br w:type="page"/>
      </w:r>
    </w:p>
    <w:p w14:paraId="20B1E60C" w14:textId="77777777" w:rsidR="00CE2DD6" w:rsidRPr="00CE2DD6" w:rsidRDefault="00CE2DD6" w:rsidP="00CE2DD6">
      <w:pPr>
        <w:spacing w:after="200"/>
        <w:jc w:val="left"/>
        <w:rPr>
          <w:rFonts w:ascii="Palatino Linotype" w:eastAsia="Palatino Linotype" w:hAnsi="Palatino Linotype" w:cs="Palatino Linotype"/>
          <w:b/>
          <w:color w:val="000000"/>
          <w:sz w:val="24"/>
          <w:lang w:val="en-US"/>
        </w:rPr>
      </w:pPr>
      <w:r w:rsidRPr="00CE2DD6">
        <w:rPr>
          <w:rFonts w:ascii="Palatino Linotype" w:eastAsia="Palatino Linotype" w:hAnsi="Palatino Linotype" w:cs="Palatino Linotype"/>
          <w:b/>
          <w:color w:val="000000"/>
          <w:sz w:val="24"/>
          <w:lang w:val="en-US"/>
        </w:rPr>
        <w:lastRenderedPageBreak/>
        <w:t>Report of the Expert meeting on developing a methodology for Headline indicator 7.2 under the monitoring framework of the Kunming-Montreal Global Biodiversity Framework</w:t>
      </w:r>
    </w:p>
    <w:p w14:paraId="63D33120"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r w:rsidRPr="00CE2DD6">
        <w:rPr>
          <w:rFonts w:ascii="Palatino Linotype" w:eastAsia="Palatino Linotype" w:hAnsi="Palatino Linotype" w:cs="Palatino Linotype"/>
          <w:b/>
          <w:sz w:val="18"/>
          <w:szCs w:val="18"/>
          <w:lang w:val="en-US"/>
        </w:rPr>
        <w:t>Food and Agriculture Organization Headquarters, Rome (Italy), 23-24 January 2024</w:t>
      </w:r>
    </w:p>
    <w:p w14:paraId="38107F81"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1 BACKGROUND TO THE EXPERT MEETING</w:t>
      </w:r>
    </w:p>
    <w:p w14:paraId="6BF83A66"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r w:rsidRPr="00CE2DD6">
        <w:rPr>
          <w:rFonts w:ascii="Palatino Linotype" w:eastAsia="Palatino Linotype" w:hAnsi="Palatino Linotype" w:cs="Palatino Linotype"/>
          <w:sz w:val="18"/>
          <w:szCs w:val="18"/>
          <w:lang w:val="en-US"/>
        </w:rPr>
        <w:t>The Kunming-Montreal Global Biodiversity Framework (GBF [decision 15/4</w:t>
      </w:r>
      <w:proofErr w:type="gramStart"/>
      <w:r w:rsidRPr="00CE2DD6">
        <w:rPr>
          <w:rFonts w:ascii="Palatino Linotype" w:eastAsia="Palatino Linotype" w:hAnsi="Palatino Linotype" w:cs="Palatino Linotype"/>
          <w:sz w:val="18"/>
          <w:szCs w:val="18"/>
          <w:lang w:val="en-US"/>
        </w:rPr>
        <w:t>])[</w:t>
      </w:r>
      <w:proofErr w:type="gramEnd"/>
      <w:r w:rsidRPr="00CE2DD6">
        <w:rPr>
          <w:rFonts w:ascii="Palatino Linotype" w:eastAsia="Palatino Linotype" w:hAnsi="Palatino Linotype" w:cs="Palatino Linotype"/>
          <w:sz w:val="18"/>
          <w:szCs w:val="18"/>
          <w:lang w:val="en-US"/>
        </w:rPr>
        <w:t>1] was adopted during the 15</w:t>
      </w:r>
      <w:r w:rsidRPr="00CE2DD6">
        <w:rPr>
          <w:rFonts w:ascii="Palatino Linotype" w:eastAsia="Palatino Linotype" w:hAnsi="Palatino Linotype" w:cs="Palatino Linotype"/>
          <w:sz w:val="18"/>
          <w:szCs w:val="18"/>
          <w:vertAlign w:val="superscript"/>
          <w:lang w:val="en-US"/>
        </w:rPr>
        <w:t>th</w:t>
      </w:r>
      <w:r w:rsidRPr="00CE2DD6">
        <w:rPr>
          <w:rFonts w:ascii="Palatino Linotype" w:eastAsia="Palatino Linotype" w:hAnsi="Palatino Linotype" w:cs="Palatino Linotype"/>
          <w:sz w:val="18"/>
          <w:szCs w:val="18"/>
          <w:lang w:val="en-US"/>
        </w:rPr>
        <w:t xml:space="preserve"> meeting of the Conference of Parties (COP15) to the Convention on Biodiversity (CBD). The GBF includes 4 goals with 23 targets for 2030. Among the 23 targets, Target 7 is of </w:t>
      </w:r>
      <w:proofErr w:type="gramStart"/>
      <w:r w:rsidRPr="00CE2DD6">
        <w:rPr>
          <w:rFonts w:ascii="Palatino Linotype" w:eastAsia="Palatino Linotype" w:hAnsi="Palatino Linotype" w:cs="Palatino Linotype"/>
          <w:sz w:val="18"/>
          <w:szCs w:val="18"/>
          <w:lang w:val="en-US"/>
        </w:rPr>
        <w:t>particular relevance</w:t>
      </w:r>
      <w:proofErr w:type="gramEnd"/>
      <w:r w:rsidRPr="00CE2DD6">
        <w:rPr>
          <w:rFonts w:ascii="Palatino Linotype" w:eastAsia="Palatino Linotype" w:hAnsi="Palatino Linotype" w:cs="Palatino Linotype"/>
          <w:sz w:val="18"/>
          <w:szCs w:val="18"/>
          <w:lang w:val="en-US"/>
        </w:rPr>
        <w:t xml:space="preserve"> to agriculture as it calls for a reduction in risks to biodiversity from agricultural inputs including pesticides (part 7b of the target).</w:t>
      </w:r>
    </w:p>
    <w:p w14:paraId="2CE54049" w14:textId="77777777" w:rsidR="00CE2DD6" w:rsidRPr="00CE2DD6" w:rsidRDefault="00CE2DD6" w:rsidP="00CE2DD6">
      <w:pPr>
        <w:spacing w:after="200" w:line="276" w:lineRule="auto"/>
        <w:jc w:val="left"/>
        <w:rPr>
          <w:rFonts w:ascii="Palatino Linotype" w:eastAsia="Palatino Linotype" w:hAnsi="Palatino Linotype" w:cs="Palatino Linotype"/>
          <w:i/>
          <w:sz w:val="18"/>
          <w:szCs w:val="18"/>
          <w:lang w:val="en-US"/>
        </w:rPr>
      </w:pPr>
      <w:r w:rsidRPr="00CE2DD6">
        <w:rPr>
          <w:rFonts w:ascii="Palatino Linotype" w:eastAsia="Palatino Linotype" w:hAnsi="Palatino Linotype" w:cs="Palatino Linotype"/>
          <w:i/>
          <w:sz w:val="18"/>
          <w:szCs w:val="18"/>
          <w:lang w:val="en-US"/>
        </w:rPr>
        <w:t xml:space="preserve">Target 7: Reduce pollution risks and the negative impacts of pollution from all sources by 2030, to levels that are not harmful to biodiversity and ecosystem functions and services, considering cumulative effects, including: …… (b) by reducing the overall risk from pesticides and highly hazardous chemicals by at least half, including through integrated pest management, based on science, taking into account food security and livelihoods </w:t>
      </w:r>
      <w:r w:rsidRPr="00CE2DD6">
        <w:rPr>
          <w:rFonts w:ascii="Palatino Linotype" w:eastAsia="Palatino Linotype" w:hAnsi="Palatino Linotype" w:cs="Palatino Linotype"/>
          <w:sz w:val="18"/>
          <w:szCs w:val="18"/>
          <w:lang w:val="en-US"/>
        </w:rPr>
        <w:t>[1].</w:t>
      </w:r>
    </w:p>
    <w:p w14:paraId="71DFF347" w14:textId="77777777" w:rsidR="00CE2DD6" w:rsidRPr="00CE2DD6" w:rsidRDefault="00CE2DD6" w:rsidP="00CE2DD6">
      <w:pPr>
        <w:spacing w:after="200" w:line="276" w:lineRule="auto"/>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The GBF is accompanied by a detailed </w:t>
      </w:r>
      <w:r w:rsidRPr="00CE2DD6">
        <w:rPr>
          <w:rFonts w:ascii="Palatino Linotype" w:eastAsia="Calibri" w:hAnsi="Palatino Linotype" w:cs="Calibri"/>
          <w:sz w:val="18"/>
          <w:szCs w:val="18"/>
          <w:lang w:val="en-US"/>
        </w:rPr>
        <w:t>monitoring framework</w:t>
      </w:r>
      <w:r w:rsidRPr="00CE2DD6">
        <w:rPr>
          <w:rFonts w:ascii="Palatino Linotype" w:eastAsia="Palatino Linotype" w:hAnsi="Palatino Linotype" w:cs="Palatino Linotype"/>
          <w:sz w:val="18"/>
          <w:szCs w:val="18"/>
          <w:lang w:val="en-US"/>
        </w:rPr>
        <w:t> comprised of a set of agreed indicators for tracking progress towards the Goals and Targets of the Framework [decision 15/5][2]. An Ad Hoc Technical Expert Group (AHTEG) was established to advise on the operationalization of the monitoring framework. At its third meeting, the AHTEG noted that:</w:t>
      </w:r>
    </w:p>
    <w:p w14:paraId="3784E4ED" w14:textId="77777777" w:rsidR="00CE2DD6" w:rsidRPr="00CE2DD6" w:rsidRDefault="00CE2DD6" w:rsidP="00CE2DD6">
      <w:pPr>
        <w:spacing w:after="200" w:line="276" w:lineRule="auto"/>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i/>
          <w:sz w:val="18"/>
          <w:szCs w:val="18"/>
          <w:lang w:val="en-US"/>
        </w:rPr>
        <w:t xml:space="preserve">For the indicators on …… Target 7.2, on pesticide environment concentration, there is not an international entity which is developing an indicator on pesticides. A collaboration with FAO could provide a way to progress this indicator which could be explored by the Secretariat. Testing of this indicator would be needed </w:t>
      </w:r>
      <w:proofErr w:type="gramStart"/>
      <w:r w:rsidRPr="00CE2DD6">
        <w:rPr>
          <w:rFonts w:ascii="Palatino Linotype" w:eastAsia="Palatino Linotype" w:hAnsi="Palatino Linotype" w:cs="Palatino Linotype"/>
          <w:i/>
          <w:sz w:val="18"/>
          <w:szCs w:val="18"/>
          <w:lang w:val="en-US"/>
        </w:rPr>
        <w:t>in order to</w:t>
      </w:r>
      <w:proofErr w:type="gramEnd"/>
      <w:r w:rsidRPr="00CE2DD6">
        <w:rPr>
          <w:rFonts w:ascii="Palatino Linotype" w:eastAsia="Palatino Linotype" w:hAnsi="Palatino Linotype" w:cs="Palatino Linotype"/>
          <w:i/>
          <w:sz w:val="18"/>
          <w:szCs w:val="18"/>
          <w:lang w:val="en-US"/>
        </w:rPr>
        <w:t xml:space="preserve"> ensure that it captures the impact on biodiversity.</w:t>
      </w:r>
      <w:r w:rsidRPr="00CE2DD6">
        <w:rPr>
          <w:rFonts w:ascii="Palatino Linotype" w:eastAsia="Palatino Linotype" w:hAnsi="Palatino Linotype" w:cs="Palatino Linotype"/>
          <w:sz w:val="18"/>
          <w:szCs w:val="18"/>
          <w:lang w:val="en-US"/>
        </w:rPr>
        <w:t>[3]</w:t>
      </w:r>
    </w:p>
    <w:p w14:paraId="004F34F0" w14:textId="77777777" w:rsidR="00CE2DD6" w:rsidRPr="00CE2DD6" w:rsidRDefault="00CE2DD6" w:rsidP="00CE2DD6">
      <w:pPr>
        <w:spacing w:after="200" w:line="276" w:lineRule="auto"/>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In response to the AHTEG’s recommendation</w:t>
      </w:r>
      <w:bookmarkStart w:id="1" w:name="_Hlk162874562"/>
      <w:r w:rsidRPr="00CE2DD6">
        <w:rPr>
          <w:rFonts w:ascii="Palatino Linotype" w:eastAsia="Palatino Linotype" w:hAnsi="Palatino Linotype" w:cs="Palatino Linotype"/>
          <w:sz w:val="18"/>
          <w:szCs w:val="18"/>
          <w:lang w:val="en-US"/>
        </w:rPr>
        <w:t xml:space="preserve">, the CBD in collaboration with FAO convened an expert meeting on 23 and 24 January 2024 at FAO Headquarters in Rome (Italy) to define a suitable headline indicator 7.2 (pesticides) for Target 7 </w:t>
      </w:r>
      <w:bookmarkEnd w:id="1"/>
      <w:r w:rsidRPr="00CE2DD6">
        <w:rPr>
          <w:rFonts w:ascii="Palatino Linotype" w:eastAsia="Palatino Linotype" w:hAnsi="Palatino Linotype" w:cs="Palatino Linotype"/>
          <w:sz w:val="18"/>
          <w:szCs w:val="18"/>
          <w:lang w:val="en-US"/>
        </w:rPr>
        <w:t xml:space="preserve">[4,5]. Twenty-experts attended the meeting (a list of attending experts and their affiliations is available in Annex I). The expert meeting had four main outcomes: (1) a feasible indicator of pesticide risks for biodiversity was selected; (2) the indicator’s data requirements and the availability of data were assessed; (3) the requirements for operationalization of the indicator were assessed; and (4) a list of recommendations was made to further develop the headline and related </w:t>
      </w:r>
      <w:proofErr w:type="gramStart"/>
      <w:r w:rsidRPr="00CE2DD6">
        <w:rPr>
          <w:rFonts w:ascii="Palatino Linotype" w:eastAsia="Palatino Linotype" w:hAnsi="Palatino Linotype" w:cs="Palatino Linotype"/>
          <w:sz w:val="18"/>
          <w:szCs w:val="18"/>
          <w:lang w:val="en-US"/>
        </w:rPr>
        <w:t>indicators</w:t>
      </w:r>
      <w:proofErr w:type="gramEnd"/>
    </w:p>
    <w:p w14:paraId="79AE90A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2 </w:t>
      </w:r>
      <w:proofErr w:type="gramStart"/>
      <w:r w:rsidRPr="00CE2DD6">
        <w:rPr>
          <w:rFonts w:ascii="Palatino Linotype" w:eastAsia="Palatino Linotype" w:hAnsi="Palatino Linotype" w:cs="Palatino Linotype"/>
          <w:sz w:val="18"/>
          <w:szCs w:val="18"/>
          <w:lang w:val="en-US"/>
        </w:rPr>
        <w:t>SELECTION</w:t>
      </w:r>
      <w:proofErr w:type="gramEnd"/>
      <w:r w:rsidRPr="00CE2DD6">
        <w:rPr>
          <w:rFonts w:ascii="Palatino Linotype" w:eastAsia="Palatino Linotype" w:hAnsi="Palatino Linotype" w:cs="Palatino Linotype"/>
          <w:sz w:val="18"/>
          <w:szCs w:val="18"/>
          <w:lang w:val="en-US"/>
        </w:rPr>
        <w:t xml:space="preserve"> OF A FEASIBLE INDICATOR OF PESTICIDE RISKS TO BIODIVERSITY</w:t>
      </w:r>
    </w:p>
    <w:p w14:paraId="38F17DF1" w14:textId="25814071"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To support negotiations for the K-M GBF, the </w:t>
      </w:r>
      <w:r w:rsidR="00387D3B">
        <w:rPr>
          <w:rFonts w:ascii="Palatino Linotype" w:eastAsia="Palatino Linotype" w:hAnsi="Palatino Linotype" w:cs="Palatino Linotype"/>
          <w:sz w:val="18"/>
          <w:szCs w:val="18"/>
          <w:lang w:val="en-US"/>
        </w:rPr>
        <w:pgNum/>
      </w:r>
      <w:proofErr w:type="spellStart"/>
      <w:r w:rsidR="00387D3B">
        <w:rPr>
          <w:rFonts w:ascii="Palatino Linotype" w:eastAsia="Palatino Linotype" w:hAnsi="Palatino Linotype" w:cs="Palatino Linotype"/>
          <w:sz w:val="18"/>
          <w:szCs w:val="18"/>
          <w:lang w:val="en-US"/>
        </w:rPr>
        <w:t>éveloppemen</w:t>
      </w:r>
      <w:proofErr w:type="spellEnd"/>
      <w:r w:rsidRPr="00CE2DD6">
        <w:rPr>
          <w:rFonts w:ascii="Palatino Linotype" w:eastAsia="Palatino Linotype" w:hAnsi="Palatino Linotype" w:cs="Palatino Linotype"/>
          <w:sz w:val="18"/>
          <w:szCs w:val="18"/>
          <w:lang w:val="en-US"/>
        </w:rPr>
        <w:t xml:space="preserve"> program of Future Earth and the Secretariat of the Group on Earth Observations Biodiversity Observation Network (GEO BON) convened groups of experts to prepare scientific briefs on Targets 1, 2, 3, 7, 8 and 10, among other topics [6,7]. Monitoring and indicators for Target 7 were addressed in the brief and circulated at the fourth meeting of the Open-Ended Working Group on the Post-2020 GBF [6,7]. The brief was also circulated among the group of experts prior to the meeting in Rome and a short survey on pesticide indicators and available data was distributed to the experts. </w:t>
      </w:r>
    </w:p>
    <w:p w14:paraId="23794BDD"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The survey results indicated that: (a) Whereas experts preferred indicators that directly measure pesticide impacts on biodiversity and ecosystem functions; they agreed that input and risk indicators would be more feasible based on data availability. (b) </w:t>
      </w:r>
      <w:proofErr w:type="gramStart"/>
      <w:r w:rsidRPr="00CE2DD6">
        <w:rPr>
          <w:rFonts w:ascii="Palatino Linotype" w:eastAsia="Palatino Linotype" w:hAnsi="Palatino Linotype" w:cs="Palatino Linotype"/>
          <w:sz w:val="18"/>
          <w:szCs w:val="18"/>
          <w:lang w:val="en-US"/>
        </w:rPr>
        <w:t>A majority of</w:t>
      </w:r>
      <w:proofErr w:type="gramEnd"/>
      <w:r w:rsidRPr="00CE2DD6">
        <w:rPr>
          <w:rFonts w:ascii="Palatino Linotype" w:eastAsia="Palatino Linotype" w:hAnsi="Palatino Linotype" w:cs="Palatino Linotype"/>
          <w:sz w:val="18"/>
          <w:szCs w:val="18"/>
          <w:lang w:val="en-US"/>
        </w:rPr>
        <w:t xml:space="preserve"> experts indicated that comprehensive data that represents lower administrative units in their home countries are available for yields, registered pesticides and their associated toxicities; whereas exposure, contamination and impact data are mainly available for specific sites and at limited time scales. (c) </w:t>
      </w:r>
      <w:proofErr w:type="gramStart"/>
      <w:r w:rsidRPr="00CE2DD6">
        <w:rPr>
          <w:rFonts w:ascii="Palatino Linotype" w:eastAsia="Palatino Linotype" w:hAnsi="Palatino Linotype" w:cs="Palatino Linotype"/>
          <w:sz w:val="18"/>
          <w:szCs w:val="18"/>
          <w:lang w:val="en-US"/>
        </w:rPr>
        <w:t>A majority of</w:t>
      </w:r>
      <w:proofErr w:type="gramEnd"/>
      <w:r w:rsidRPr="00CE2DD6">
        <w:rPr>
          <w:rFonts w:ascii="Palatino Linotype" w:eastAsia="Palatino Linotype" w:hAnsi="Palatino Linotype" w:cs="Palatino Linotype"/>
          <w:sz w:val="18"/>
          <w:szCs w:val="18"/>
          <w:lang w:val="en-US"/>
        </w:rPr>
        <w:t xml:space="preserve"> experts indicated that data on pesticide trade, toxicity and usage are currently available for their countries, but may not be for other countries. (d) </w:t>
      </w:r>
      <w:proofErr w:type="gramStart"/>
      <w:r w:rsidRPr="00CE2DD6">
        <w:rPr>
          <w:rFonts w:ascii="Palatino Linotype" w:eastAsia="Palatino Linotype" w:hAnsi="Palatino Linotype" w:cs="Palatino Linotype"/>
          <w:sz w:val="18"/>
          <w:szCs w:val="18"/>
          <w:lang w:val="en-US"/>
        </w:rPr>
        <w:t>A majority of</w:t>
      </w:r>
      <w:proofErr w:type="gramEnd"/>
      <w:r w:rsidRPr="00CE2DD6">
        <w:rPr>
          <w:rFonts w:ascii="Palatino Linotype" w:eastAsia="Palatino Linotype" w:hAnsi="Palatino Linotype" w:cs="Palatino Linotype"/>
          <w:sz w:val="18"/>
          <w:szCs w:val="18"/>
          <w:lang w:val="en-US"/>
        </w:rPr>
        <w:t xml:space="preserve"> experts indicated that open-source information is available in their countries on currently registered pesticides and related toxicities, on national biodiversity (i.e., </w:t>
      </w:r>
      <w:r w:rsidRPr="00CE2DD6">
        <w:rPr>
          <w:rFonts w:ascii="Palatino Linotype" w:eastAsia="Palatino Linotype" w:hAnsi="Palatino Linotype" w:cs="Palatino Linotype"/>
          <w:sz w:val="18"/>
          <w:szCs w:val="18"/>
          <w:lang w:val="en-US"/>
        </w:rPr>
        <w:lastRenderedPageBreak/>
        <w:t>species richness), and water quality.</w:t>
      </w:r>
      <w:r w:rsidRPr="00CE2DD6">
        <w:rPr>
          <w:rFonts w:ascii="Palatino Linotype" w:eastAsia="Palatino Linotype" w:hAnsi="Palatino Linotype" w:cs="Palatino Linotype"/>
          <w:b/>
          <w:sz w:val="18"/>
          <w:szCs w:val="18"/>
          <w:lang w:val="en-US"/>
        </w:rPr>
        <w:t xml:space="preserve"> </w:t>
      </w:r>
      <w:r w:rsidRPr="00CE2DD6">
        <w:rPr>
          <w:rFonts w:ascii="Palatino Linotype" w:eastAsia="Palatino Linotype" w:hAnsi="Palatino Linotype" w:cs="Palatino Linotype"/>
          <w:sz w:val="18"/>
          <w:szCs w:val="18"/>
          <w:lang w:val="en-US"/>
        </w:rPr>
        <w:t xml:space="preserve">It was further noted that science struggles to link pesticides with biodiversity; experimental toxicology studies are easier to reproduce and allow possibilities to determine causality, meanwhile, field monitoring and meta-analyses are challenged by complexity, </w:t>
      </w:r>
      <w:proofErr w:type="gramStart"/>
      <w:r w:rsidRPr="00CE2DD6">
        <w:rPr>
          <w:rFonts w:ascii="Palatino Linotype" w:eastAsia="Palatino Linotype" w:hAnsi="Palatino Linotype" w:cs="Palatino Linotype"/>
          <w:sz w:val="18"/>
          <w:szCs w:val="18"/>
          <w:lang w:val="en-US"/>
        </w:rPr>
        <w:t>uncertainty</w:t>
      </w:r>
      <w:proofErr w:type="gramEnd"/>
      <w:r w:rsidRPr="00CE2DD6">
        <w:rPr>
          <w:rFonts w:ascii="Palatino Linotype" w:eastAsia="Palatino Linotype" w:hAnsi="Palatino Linotype" w:cs="Palatino Linotype"/>
          <w:sz w:val="18"/>
          <w:szCs w:val="18"/>
          <w:lang w:val="en-US"/>
        </w:rPr>
        <w:t xml:space="preserve"> and relevance. As such indicators of risk are most feasible for field-scale inferences.</w:t>
      </w:r>
    </w:p>
    <w:p w14:paraId="7F60116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Brief information on a range of pesticide impact indicators was given during presentations by the experts. Many of the indicators were noted to be comprehensive but complex, often relying on data that is difficult to attain. </w:t>
      </w:r>
      <w:r w:rsidRPr="00CE2DD6">
        <w:rPr>
          <w:rFonts w:ascii="Palatino Linotype" w:eastAsia="Palatino Linotype" w:hAnsi="Palatino Linotype" w:cs="Palatino Linotype"/>
          <w:color w:val="000000"/>
          <w:sz w:val="18"/>
          <w:szCs w:val="18"/>
          <w:lang w:val="en-US"/>
        </w:rPr>
        <w:t xml:space="preserve">It was noted that any globally applicable </w:t>
      </w:r>
      <w:r w:rsidRPr="00CE2DD6">
        <w:rPr>
          <w:rFonts w:ascii="Palatino Linotype" w:eastAsia="Palatino Linotype" w:hAnsi="Palatino Linotype" w:cs="Palatino Linotype"/>
          <w:sz w:val="18"/>
          <w:szCs w:val="18"/>
          <w:lang w:val="en-US"/>
        </w:rPr>
        <w:t xml:space="preserve">pesticide indicator must be science-based (in terms of the underlying data and responsiveness) but simple (because of data requirements and to support transparency). Furthermore, </w:t>
      </w:r>
      <w:r w:rsidRPr="00CE2DD6">
        <w:rPr>
          <w:rFonts w:ascii="Palatino Linotype" w:eastAsia="Palatino Linotype" w:hAnsi="Palatino Linotype" w:cs="Palatino Linotype"/>
          <w:color w:val="000000"/>
          <w:sz w:val="18"/>
          <w:szCs w:val="18"/>
          <w:highlight w:val="white"/>
          <w:lang w:val="en-US"/>
        </w:rPr>
        <w:t xml:space="preserve">simpler models were recommended where data is lacking and to prevent accumulated errors based on multiple assumptions. </w:t>
      </w:r>
      <w:r w:rsidRPr="00CE2DD6">
        <w:rPr>
          <w:rFonts w:ascii="Palatino Linotype" w:eastAsia="Palatino Linotype" w:hAnsi="Palatino Linotype" w:cs="Palatino Linotype"/>
          <w:sz w:val="18"/>
          <w:szCs w:val="18"/>
          <w:lang w:val="en-US"/>
        </w:rPr>
        <w:t xml:space="preserve">On this basis, many of the more complex indicators were deemed more suitable for local or farm-level risk assessments, or for modeling risk reduction and the impacts of mitigation measures [8-10]; these could be included as complementary indicators for pesticide risks and impacts on biodiversity. </w:t>
      </w:r>
    </w:p>
    <w:p w14:paraId="2389B95A" w14:textId="66AF584B"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The experts concurred with the recommendations of the Science Brief [6,7] that the focus should be on those indicators that used widely available data such as</w:t>
      </w:r>
      <w:r w:rsidRPr="00CE2DD6">
        <w:rPr>
          <w:rFonts w:ascii="Palatino Linotype" w:eastAsia="Palatino Linotype" w:hAnsi="Palatino Linotype" w:cs="Palatino Linotype"/>
          <w:color w:val="FF0000"/>
          <w:sz w:val="18"/>
          <w:szCs w:val="18"/>
          <w:lang w:val="en-US"/>
        </w:rPr>
        <w:t xml:space="preserve"> </w:t>
      </w:r>
      <w:r w:rsidRPr="00CE2DD6">
        <w:rPr>
          <w:rFonts w:ascii="Palatino Linotype" w:eastAsia="Palatino Linotype" w:hAnsi="Palatino Linotype" w:cs="Palatino Linotype"/>
          <w:color w:val="000000"/>
          <w:sz w:val="18"/>
          <w:szCs w:val="18"/>
          <w:lang w:val="en-US"/>
        </w:rPr>
        <w:t xml:space="preserve">sales data by active ingredient (AI), application rates by AI (based on the label/product database), and pesticide properties (including the results of toxicity tests). </w:t>
      </w:r>
      <w:r w:rsidRPr="00CE2DD6">
        <w:rPr>
          <w:rFonts w:ascii="Palatino Linotype" w:eastAsia="Palatino Linotype" w:hAnsi="Palatino Linotype" w:cs="Palatino Linotype"/>
          <w:sz w:val="18"/>
          <w:szCs w:val="18"/>
          <w:lang w:val="en-US"/>
        </w:rPr>
        <w:t>Among the more suitable indicators that are currently in operation at country levels</w:t>
      </w:r>
      <w:r w:rsidRPr="00CE2DD6">
        <w:rPr>
          <w:rFonts w:ascii="Palatino Linotype" w:eastAsia="Palatino Linotype" w:hAnsi="Palatino Linotype" w:cs="Palatino Linotype"/>
          <w:color w:val="FF0000"/>
          <w:sz w:val="18"/>
          <w:szCs w:val="18"/>
          <w:lang w:val="en-US"/>
        </w:rPr>
        <w:t xml:space="preserve"> </w:t>
      </w:r>
      <w:r w:rsidRPr="00CE2DD6">
        <w:rPr>
          <w:rFonts w:ascii="Palatino Linotype" w:eastAsia="Palatino Linotype" w:hAnsi="Palatino Linotype" w:cs="Palatino Linotype"/>
          <w:sz w:val="18"/>
          <w:szCs w:val="18"/>
          <w:lang w:val="en-US"/>
        </w:rPr>
        <w:t xml:space="preserve">were Pesticide Environmental Concentration (PEC) </w:t>
      </w:r>
      <w:r w:rsidRPr="00CE2DD6">
        <w:rPr>
          <w:rFonts w:ascii="Palatino Linotype" w:eastAsia="Palatino Linotype" w:hAnsi="Palatino Linotype" w:cs="Palatino Linotype"/>
          <w:sz w:val="18"/>
          <w:szCs w:val="18"/>
          <w:lang w:val="en-US"/>
        </w:rPr>
        <w:fldChar w:fldCharType="begin"/>
      </w:r>
      <w:r w:rsidRPr="00CE2DD6">
        <w:rPr>
          <w:rFonts w:ascii="Palatino Linotype" w:eastAsia="Palatino Linotype" w:hAnsi="Palatino Linotype" w:cs="Palatino Linotype"/>
          <w:sz w:val="18"/>
          <w:szCs w:val="18"/>
          <w:lang w:val="en-US"/>
        </w:rPr>
        <w:instrText xml:space="preserve"> ADDIN EN.CITE &lt;EndNote&gt;&lt;Cite&gt;&lt;Author&gt;Tang&lt;/Author&gt;&lt;Year&gt;2021&lt;/Year&gt;&lt;RecNum&gt;23&lt;/RecNum&gt;&lt;DisplayText&gt;&lt;style size="10"&gt;[1]&lt;/style&gt;&lt;/DisplayText&gt;&lt;record&gt;&lt;rec-number&gt;23&lt;/rec-number&gt;&lt;foreign-keys&gt;&lt;key app="EN" db-id="zvexaff970a5ehextp6vd2xy9d0s0d95sp05" timestamp="1699825305"&gt;23&lt;/key&gt;&lt;/foreign-keys&gt;&lt;ref-type name="Journal Article"&gt;17&lt;/ref-type&gt;&lt;contributors&gt;&lt;authors&gt;&lt;author&gt;Tang, Fiona H. M.&lt;/author&gt;&lt;author&gt;Lenzen, Manfred&lt;/author&gt;&lt;author&gt;McBratney, Alexander&lt;/author&gt;&lt;author&gt;Maggi, Federico&lt;/author&gt;&lt;/authors&gt;&lt;/contributors&gt;&lt;titles&gt;&lt;title&gt;Risk of pesticide pollution at the global scale&lt;/title&gt;&lt;secondary-title&gt;Nature Geoscience&lt;/secondary-title&gt;&lt;/titles&gt;&lt;periodical&gt;&lt;full-title&gt;Nature Geoscience&lt;/full-title&gt;&lt;/periodical&gt;&lt;pages&gt;206-210&lt;/pages&gt;&lt;volume&gt;14&lt;/volume&gt;&lt;number&gt;4&lt;/number&gt;&lt;dates&gt;&lt;year&gt;2021&lt;/year&gt;&lt;pub-dates&gt;&lt;date&gt;2021/04/01&lt;/date&gt;&lt;/pub-dates&gt;&lt;/dates&gt;&lt;isbn&gt;1752-0908&lt;/isbn&gt;&lt;urls&gt;&lt;related-urls&gt;&lt;url&gt;https://doi.org/10.1038/s41561-021-00712-5&lt;/url&gt;&lt;/related-urls&gt;&lt;/urls&gt;&lt;electronic-resource-num&gt;10.1038/s41561-021-00712-5&lt;/electronic-resource-num&gt;&lt;/record&gt;&lt;/Cite&gt;&lt;/EndNote&gt;</w:instrText>
      </w:r>
      <w:r w:rsidRPr="00CE2DD6">
        <w:rPr>
          <w:rFonts w:ascii="Palatino Linotype" w:eastAsia="Palatino Linotype" w:hAnsi="Palatino Linotype" w:cs="Palatino Linotype"/>
          <w:sz w:val="18"/>
          <w:szCs w:val="18"/>
          <w:lang w:val="en-US"/>
        </w:rPr>
        <w:fldChar w:fldCharType="separate"/>
      </w:r>
      <w:r w:rsidRPr="00CE2DD6">
        <w:rPr>
          <w:rFonts w:ascii="Palatino Linotype" w:eastAsia="Palatino Linotype" w:hAnsi="Palatino Linotype" w:cs="Palatino Linotype"/>
          <w:noProof/>
          <w:sz w:val="18"/>
          <w:szCs w:val="18"/>
          <w:lang w:val="en-US"/>
        </w:rPr>
        <w:t>[1]</w:t>
      </w:r>
      <w:r w:rsidRPr="00CE2DD6">
        <w:rPr>
          <w:rFonts w:ascii="Palatino Linotype" w:eastAsia="Palatino Linotype" w:hAnsi="Palatino Linotype" w:cs="Palatino Linotype"/>
          <w:sz w:val="18"/>
          <w:szCs w:val="18"/>
          <w:lang w:val="en-US"/>
        </w:rPr>
        <w:fldChar w:fldCharType="end"/>
      </w:r>
      <w:r w:rsidRPr="00CE2DD6">
        <w:rPr>
          <w:rFonts w:ascii="Palatino Linotype" w:eastAsia="Palatino Linotype" w:hAnsi="Palatino Linotype" w:cs="Palatino Linotype"/>
          <w:sz w:val="18"/>
          <w:szCs w:val="18"/>
          <w:lang w:val="en-US"/>
        </w:rPr>
        <w:t xml:space="preserve">; the Danish Pesticide Load Indicator (PLI) [13] and its adaptation for UK policy needs and environment [14-16], and Total Applied </w:t>
      </w:r>
      <w:r w:rsidR="00387D3B" w:rsidRPr="00CE2DD6">
        <w:rPr>
          <w:rFonts w:ascii="Palatino Linotype" w:eastAsia="Palatino Linotype" w:hAnsi="Palatino Linotype" w:cs="Palatino Linotype"/>
          <w:sz w:val="18"/>
          <w:szCs w:val="18"/>
          <w:lang w:val="en-US"/>
        </w:rPr>
        <w:t>t</w:t>
      </w:r>
      <w:r w:rsidRPr="00CE2DD6">
        <w:rPr>
          <w:rFonts w:ascii="Palatino Linotype" w:eastAsia="Palatino Linotype" w:hAnsi="Palatino Linotype" w:cs="Palatino Linotype"/>
          <w:sz w:val="18"/>
          <w:szCs w:val="18"/>
          <w:lang w:val="en-US"/>
        </w:rPr>
        <w:t>oxicity (TAT) [17]. Based on the formulas to calculate each of these indicators, risks to biodiversity can be reduced either by reducing mass (i.e., applications) or by reducing the toxicity of the A</w:t>
      </w:r>
      <w:r w:rsidR="00387D3B" w:rsidRPr="00CE2DD6">
        <w:rPr>
          <w:rFonts w:ascii="Palatino Linotype" w:eastAsia="Palatino Linotype" w:hAnsi="Palatino Linotype" w:cs="Palatino Linotype"/>
          <w:sz w:val="18"/>
          <w:szCs w:val="18"/>
          <w:lang w:val="en-US"/>
        </w:rPr>
        <w:t>i</w:t>
      </w:r>
      <w:r w:rsidRPr="00CE2DD6">
        <w:rPr>
          <w:rFonts w:ascii="Palatino Linotype" w:eastAsia="Palatino Linotype" w:hAnsi="Palatino Linotype" w:cs="Palatino Linotype"/>
          <w:sz w:val="18"/>
          <w:szCs w:val="18"/>
          <w:lang w:val="en-US"/>
        </w:rPr>
        <w:t>s [18] or both.</w:t>
      </w:r>
    </w:p>
    <w:p w14:paraId="75986611"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The computation of PEC was explained with possible derived indicators including the Pesticide Hazard Load (PHL), Risk Point (RP) and Risk Score (RS). The PEC uses a range of available data including predicted active ingredient (AI) applications rates (using PEST-CHEMGRIDS [11] and CROPGRIDS [12]), soil conditions, and hydrometeorological conditions; with exposure limits based on reported toxicities for selected species [19]. When calculated using pesticide mass (the mass of AI accumulated in the environment) and the regulatory threshold limits for the AI in question, the PHL is equivalent to the indicator Total Applied Toxicity (TAT) [17]. The data requirements for PEC and some of the derived indicators may represent a challenge for many countries as the models rely on environmental, </w:t>
      </w:r>
      <w:proofErr w:type="gramStart"/>
      <w:r w:rsidRPr="00CE2DD6">
        <w:rPr>
          <w:rFonts w:ascii="Palatino Linotype" w:eastAsia="Palatino Linotype" w:hAnsi="Palatino Linotype" w:cs="Palatino Linotype"/>
          <w:sz w:val="18"/>
          <w:szCs w:val="18"/>
          <w:lang w:val="en-US"/>
        </w:rPr>
        <w:t>agricultural</w:t>
      </w:r>
      <w:proofErr w:type="gramEnd"/>
      <w:r w:rsidRPr="00CE2DD6">
        <w:rPr>
          <w:rFonts w:ascii="Palatino Linotype" w:eastAsia="Palatino Linotype" w:hAnsi="Palatino Linotype" w:cs="Palatino Linotype"/>
          <w:sz w:val="18"/>
          <w:szCs w:val="18"/>
          <w:lang w:val="en-US"/>
        </w:rPr>
        <w:t xml:space="preserve"> and geological data with relatively high spatial resolution, and personnel would require at least moderate training in geographic information systems and geospatial data analyzes to operationalize the indicator. As a complementary indicator, the PEC was highly recommended for further development and possible inclusion in future capacity building programs aimed at monitoring pollution risks. </w:t>
      </w:r>
    </w:p>
    <w:p w14:paraId="7290991A"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PLI, TAT and derived indicators are based on pesticide use by active ingredient and pesticide properties, including the results of toxicity tests. For example, the UK PLI uses pesticide type and amount applied from UK pesticide usage surveys [PUS]. The PUS data is then combined with data from the Pesticide Properties </w:t>
      </w:r>
      <w:proofErr w:type="spellStart"/>
      <w:r w:rsidRPr="00CE2DD6">
        <w:rPr>
          <w:rFonts w:ascii="Palatino Linotype" w:eastAsia="Palatino Linotype" w:hAnsi="Palatino Linotype" w:cs="Palatino Linotype"/>
          <w:sz w:val="18"/>
          <w:szCs w:val="18"/>
          <w:lang w:val="en-US"/>
        </w:rPr>
        <w:t>DataBase</w:t>
      </w:r>
      <w:proofErr w:type="spellEnd"/>
      <w:r w:rsidRPr="00CE2DD6">
        <w:rPr>
          <w:rFonts w:ascii="Palatino Linotype" w:eastAsia="Palatino Linotype" w:hAnsi="Palatino Linotype" w:cs="Palatino Linotype"/>
          <w:sz w:val="18"/>
          <w:szCs w:val="18"/>
          <w:lang w:val="en-US"/>
        </w:rPr>
        <w:t xml:space="preserve"> (PPDB) [20] to derive load values for 20 metrics (i.e., Fate: persistence (soil DT50), surface water motility (</w:t>
      </w:r>
      <w:proofErr w:type="spellStart"/>
      <w:r w:rsidRPr="00CE2DD6">
        <w:rPr>
          <w:rFonts w:ascii="Palatino Linotype" w:eastAsia="Palatino Linotype" w:hAnsi="Palatino Linotype" w:cs="Palatino Linotype"/>
          <w:sz w:val="18"/>
          <w:szCs w:val="18"/>
          <w:lang w:val="en-US"/>
        </w:rPr>
        <w:t>Kfoc</w:t>
      </w:r>
      <w:proofErr w:type="spellEnd"/>
      <w:r w:rsidRPr="00CE2DD6">
        <w:rPr>
          <w:rFonts w:ascii="Palatino Linotype" w:eastAsia="Palatino Linotype" w:hAnsi="Palatino Linotype" w:cs="Palatino Linotype"/>
          <w:sz w:val="18"/>
          <w:szCs w:val="18"/>
          <w:lang w:val="en-US"/>
        </w:rPr>
        <w:t>/</w:t>
      </w:r>
      <w:proofErr w:type="spellStart"/>
      <w:r w:rsidRPr="00CE2DD6">
        <w:rPr>
          <w:rFonts w:ascii="Palatino Linotype" w:eastAsia="Palatino Linotype" w:hAnsi="Palatino Linotype" w:cs="Palatino Linotype"/>
          <w:sz w:val="18"/>
          <w:szCs w:val="18"/>
          <w:lang w:val="en-US"/>
        </w:rPr>
        <w:t>Koc</w:t>
      </w:r>
      <w:proofErr w:type="spellEnd"/>
      <w:r w:rsidRPr="00CE2DD6">
        <w:rPr>
          <w:rFonts w:ascii="Palatino Linotype" w:eastAsia="Palatino Linotype" w:hAnsi="Palatino Linotype" w:cs="Palatino Linotype"/>
          <w:sz w:val="18"/>
          <w:szCs w:val="18"/>
          <w:lang w:val="en-US"/>
        </w:rPr>
        <w:t>), groundwater motility (GUS), bio-concentration factor (BCF); Ecotoxicity: algae acute (EC50), aquatic plants acute (EC</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xml:space="preserve">), </w:t>
      </w:r>
      <w:r w:rsidRPr="00CE2DD6">
        <w:rPr>
          <w:rFonts w:ascii="Palatino Linotype" w:eastAsia="Palatino Linotype" w:hAnsi="Palatino Linotype" w:cs="Palatino Linotype"/>
          <w:i/>
          <w:sz w:val="18"/>
          <w:szCs w:val="18"/>
          <w:lang w:val="en-US"/>
        </w:rPr>
        <w:t xml:space="preserve">Daphnia </w:t>
      </w:r>
      <w:r w:rsidRPr="00CE2DD6">
        <w:rPr>
          <w:rFonts w:ascii="Palatino Linotype" w:eastAsia="Palatino Linotype" w:hAnsi="Palatino Linotype" w:cs="Palatino Linotype"/>
          <w:sz w:val="18"/>
          <w:szCs w:val="18"/>
          <w:lang w:val="en-US"/>
        </w:rPr>
        <w:t>acute (EC</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xml:space="preserve">), </w:t>
      </w:r>
      <w:r w:rsidRPr="00CE2DD6">
        <w:rPr>
          <w:rFonts w:ascii="Palatino Linotype" w:eastAsia="Palatino Linotype" w:hAnsi="Palatino Linotype" w:cs="Palatino Linotype"/>
          <w:i/>
          <w:sz w:val="18"/>
          <w:szCs w:val="18"/>
          <w:lang w:val="en-US"/>
        </w:rPr>
        <w:t xml:space="preserve">Daphnia </w:t>
      </w:r>
      <w:r w:rsidRPr="00CE2DD6">
        <w:rPr>
          <w:rFonts w:ascii="Palatino Linotype" w:eastAsia="Palatino Linotype" w:hAnsi="Palatino Linotype" w:cs="Palatino Linotype"/>
          <w:sz w:val="18"/>
          <w:szCs w:val="18"/>
          <w:lang w:val="en-US"/>
        </w:rPr>
        <w:t>chronic (NOEC), fish acute (LD</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fish chronic (NOEL), birds acute (LD</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birds chronic (NOEL), worms acute (LC</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worms chronic (NOEC), bees contact (EC</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bees oral (LD</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mammals acute (LD</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mammals chronic (NOAEL), parasitic wasps (LR</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predatory mites (LR</w:t>
      </w:r>
      <w:r w:rsidRPr="00CE2DD6">
        <w:rPr>
          <w:rFonts w:ascii="Palatino Linotype" w:eastAsia="Palatino Linotype" w:hAnsi="Palatino Linotype" w:cs="Palatino Linotype"/>
          <w:sz w:val="18"/>
          <w:szCs w:val="18"/>
          <w:vertAlign w:val="subscript"/>
          <w:lang w:val="en-US"/>
        </w:rPr>
        <w:t>50</w:t>
      </w:r>
      <w:r w:rsidRPr="00CE2DD6">
        <w:rPr>
          <w:rFonts w:ascii="Palatino Linotype" w:eastAsia="Palatino Linotype" w:hAnsi="Palatino Linotype" w:cs="Palatino Linotype"/>
          <w:sz w:val="18"/>
          <w:szCs w:val="18"/>
          <w:lang w:val="en-US"/>
        </w:rPr>
        <w:t xml:space="preserve">)). </w:t>
      </w:r>
    </w:p>
    <w:p w14:paraId="304E6F43" w14:textId="4220ADB1" w:rsidR="00CE2DD6" w:rsidRPr="00CE2DD6" w:rsidRDefault="00CE2DD6" w:rsidP="00CE2DD6">
      <w:pPr>
        <w:spacing w:after="200"/>
        <w:jc w:val="left"/>
        <w:rPr>
          <w:rFonts w:ascii="Palatino Linotype" w:eastAsia="Palatino Linotype" w:hAnsi="Palatino Linotype" w:cs="Palatino Linotype"/>
          <w:color w:val="000000"/>
          <w:sz w:val="18"/>
          <w:szCs w:val="18"/>
          <w:highlight w:val="white"/>
          <w:lang w:val="en-US"/>
        </w:rPr>
      </w:pPr>
      <w:r w:rsidRPr="00CE2DD6">
        <w:rPr>
          <w:rFonts w:ascii="Palatino Linotype" w:eastAsia="Palatino Linotype" w:hAnsi="Palatino Linotype" w:cs="Palatino Linotype"/>
          <w:sz w:val="18"/>
          <w:szCs w:val="18"/>
          <w:lang w:val="en-US"/>
        </w:rPr>
        <w:t xml:space="preserve">The TAT is </w:t>
      </w:r>
      <w:proofErr w:type="gramStart"/>
      <w:r w:rsidRPr="00CE2DD6">
        <w:rPr>
          <w:rFonts w:ascii="Palatino Linotype" w:eastAsia="Palatino Linotype" w:hAnsi="Palatino Linotype" w:cs="Palatino Linotype"/>
          <w:sz w:val="18"/>
          <w:szCs w:val="18"/>
          <w:lang w:val="en-US"/>
        </w:rPr>
        <w:t>similar to</w:t>
      </w:r>
      <w:proofErr w:type="gramEnd"/>
      <w:r w:rsidRPr="00CE2DD6">
        <w:rPr>
          <w:rFonts w:ascii="Palatino Linotype" w:eastAsia="Palatino Linotype" w:hAnsi="Palatino Linotype" w:cs="Palatino Linotype"/>
          <w:sz w:val="18"/>
          <w:szCs w:val="18"/>
          <w:lang w:val="en-US"/>
        </w:rPr>
        <w:t xml:space="preserve"> the PLI in that it uses pesticide use data, but it limits the pesticide properties to only consider toxicities to species or species groups and limits the number of groups to about nine. The TAT can be used as a relatively simple metric to examine trends over time and detect differences in the impacts on taxa based on the types of A</w:t>
      </w:r>
      <w:r w:rsidR="00387D3B" w:rsidRPr="00CE2DD6">
        <w:rPr>
          <w:rFonts w:ascii="Palatino Linotype" w:eastAsia="Palatino Linotype" w:hAnsi="Palatino Linotype" w:cs="Palatino Linotype"/>
          <w:sz w:val="18"/>
          <w:szCs w:val="18"/>
          <w:lang w:val="en-US"/>
        </w:rPr>
        <w:t>i</w:t>
      </w:r>
      <w:r w:rsidRPr="00CE2DD6">
        <w:rPr>
          <w:rFonts w:ascii="Palatino Linotype" w:eastAsia="Palatino Linotype" w:hAnsi="Palatino Linotype" w:cs="Palatino Linotype"/>
          <w:sz w:val="18"/>
          <w:szCs w:val="18"/>
          <w:lang w:val="en-US"/>
        </w:rPr>
        <w:t>s used in different countries (Figure 1). By using toxicity data from laboratory-based toxicology studies, risks can be determined across countries and regions to assess progress in achieving the global target for reducing risks to biodiversity.</w:t>
      </w:r>
    </w:p>
    <w:p w14:paraId="4C0F17B5"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p>
    <w:p w14:paraId="7A0D67B2"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noProof/>
          <w:sz w:val="18"/>
          <w:szCs w:val="18"/>
          <w:lang w:val="en-US"/>
        </w:rPr>
        <w:lastRenderedPageBreak/>
        <w:drawing>
          <wp:inline distT="0" distB="0" distL="0" distR="0" wp14:anchorId="289E694E" wp14:editId="603AA356">
            <wp:extent cx="5943600" cy="3410585"/>
            <wp:effectExtent l="0" t="0" r="0" b="0"/>
            <wp:docPr id="1" name="image1.png" descr="A close-up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close-up of a graph&#10;&#10;Description automatically generated"/>
                    <pic:cNvPicPr preferRelativeResize="0"/>
                  </pic:nvPicPr>
                  <pic:blipFill>
                    <a:blip r:embed="rId14"/>
                    <a:srcRect/>
                    <a:stretch>
                      <a:fillRect/>
                    </a:stretch>
                  </pic:blipFill>
                  <pic:spPr>
                    <a:xfrm>
                      <a:off x="0" y="0"/>
                      <a:ext cx="5943600" cy="3410585"/>
                    </a:xfrm>
                    <a:prstGeom prst="rect">
                      <a:avLst/>
                    </a:prstGeom>
                    <a:ln/>
                  </pic:spPr>
                </pic:pic>
              </a:graphicData>
            </a:graphic>
          </wp:inline>
        </w:drawing>
      </w:r>
    </w:p>
    <w:p w14:paraId="6F501BE9" w14:textId="77777777" w:rsidR="00CE2DD6" w:rsidRPr="00CE2DD6" w:rsidRDefault="00CE2DD6" w:rsidP="00CE2DD6">
      <w:pPr>
        <w:spacing w:after="200"/>
        <w:jc w:val="left"/>
        <w:rPr>
          <w:rFonts w:ascii="Palatino Linotype" w:eastAsia="Palatino Linotype" w:hAnsi="Palatino Linotype" w:cs="Palatino Linotype"/>
          <w:i/>
          <w:sz w:val="18"/>
          <w:szCs w:val="18"/>
          <w:lang w:val="en-US"/>
        </w:rPr>
      </w:pPr>
      <w:r w:rsidRPr="00CE2DD6">
        <w:rPr>
          <w:rFonts w:ascii="Palatino Linotype" w:eastAsia="Palatino Linotype" w:hAnsi="Palatino Linotype" w:cs="Palatino Linotype"/>
          <w:b/>
          <w:i/>
          <w:sz w:val="18"/>
          <w:szCs w:val="18"/>
          <w:lang w:val="en-US"/>
        </w:rPr>
        <w:t>Figure 1:</w:t>
      </w:r>
      <w:r w:rsidRPr="00CE2DD6">
        <w:rPr>
          <w:rFonts w:ascii="Palatino Linotype" w:eastAsia="Palatino Linotype" w:hAnsi="Palatino Linotype" w:cs="Palatino Linotype"/>
          <w:i/>
          <w:sz w:val="18"/>
          <w:szCs w:val="18"/>
          <w:lang w:val="en-US"/>
        </w:rPr>
        <w:t xml:space="preserve"> TAT estimates for fish in the USA and Germany from 1995 to 2019 [17,19]</w:t>
      </w:r>
    </w:p>
    <w:p w14:paraId="6F4BAA69" w14:textId="77777777" w:rsidR="00CE2DD6" w:rsidRPr="00CE2DD6" w:rsidRDefault="00CE2DD6" w:rsidP="00CE2DD6">
      <w:pPr>
        <w:spacing w:after="200"/>
        <w:jc w:val="left"/>
        <w:rPr>
          <w:rFonts w:ascii="Palatino Linotype" w:eastAsia="Palatino Linotype" w:hAnsi="Palatino Linotype" w:cs="Palatino Linotype"/>
          <w:sz w:val="18"/>
          <w:szCs w:val="18"/>
          <w:highlight w:val="white"/>
          <w:lang w:val="en-US"/>
        </w:rPr>
      </w:pPr>
      <w:r w:rsidRPr="00CE2DD6">
        <w:rPr>
          <w:rFonts w:ascii="Palatino Linotype" w:eastAsia="Palatino Linotype" w:hAnsi="Palatino Linotype" w:cs="Palatino Linotype"/>
          <w:sz w:val="18"/>
          <w:szCs w:val="18"/>
          <w:lang w:val="en-US"/>
        </w:rPr>
        <w:t>Several experts indicated the challenges for PLI and TAT of adequately weighting toxicities based on exposures of different test species: for example, based on weighting and the test results used to estimate pesticide loads, indicators can give opposite trends over time for the same pesticide use data. Such contrasting trends in pesticide risk indicators were explored across a range of test species using the Julius Kühn Institute’s pesticide trends database explorer [21]. A limited availability of data on application rates, usage and sales of pesticides was also highlighted among the current challenges for applying these indicators in risk assessments. Pesticide use data is often available only at a low spatial resolution or as aggregated usage</w:t>
      </w:r>
      <w:r w:rsidRPr="00CE2DD6">
        <w:rPr>
          <w:rFonts w:ascii="Palatino Linotype" w:eastAsia="Palatino Linotype" w:hAnsi="Palatino Linotype" w:cs="Palatino Linotype"/>
          <w:color w:val="000000"/>
          <w:sz w:val="18"/>
          <w:szCs w:val="18"/>
          <w:lang w:val="en-US"/>
        </w:rPr>
        <w:t xml:space="preserve">. </w:t>
      </w:r>
    </w:p>
    <w:p w14:paraId="44D56638" w14:textId="77777777" w:rsidR="00CE2DD6" w:rsidRPr="00CE2DD6" w:rsidRDefault="00CE2DD6" w:rsidP="00CE2DD6">
      <w:pP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b/>
          <w:bCs/>
          <w:color w:val="000000"/>
          <w:sz w:val="18"/>
          <w:szCs w:val="18"/>
          <w:highlight w:val="white"/>
          <w:lang w:val="en-US"/>
        </w:rPr>
        <w:t>The experts proposed that TAT be used to assess pesticide risks to biodiversity.</w:t>
      </w:r>
      <w:r w:rsidRPr="00CE2DD6">
        <w:rPr>
          <w:rFonts w:ascii="Palatino Linotype" w:eastAsia="Palatino Linotype" w:hAnsi="Palatino Linotype" w:cs="Palatino Linotype"/>
          <w:color w:val="000000"/>
          <w:sz w:val="18"/>
          <w:szCs w:val="18"/>
          <w:highlight w:val="white"/>
          <w:lang w:val="en-US"/>
        </w:rPr>
        <w:t xml:space="preserve"> To incorporate exposure, experts proposed developing multiple tiers of </w:t>
      </w:r>
      <w:r w:rsidRPr="00CE2DD6">
        <w:rPr>
          <w:rFonts w:ascii="Palatino Linotype" w:eastAsia="Palatino Linotype" w:hAnsi="Palatino Linotype" w:cs="Palatino Linotype"/>
          <w:sz w:val="18"/>
          <w:szCs w:val="18"/>
          <w:highlight w:val="white"/>
          <w:lang w:val="en-US"/>
        </w:rPr>
        <w:t>indicators</w:t>
      </w:r>
      <w:r w:rsidRPr="00CE2DD6">
        <w:rPr>
          <w:rFonts w:ascii="Palatino Linotype" w:eastAsia="Palatino Linotype" w:hAnsi="Palatino Linotype" w:cs="Palatino Linotype"/>
          <w:color w:val="000000"/>
          <w:sz w:val="18"/>
          <w:szCs w:val="18"/>
          <w:highlight w:val="white"/>
          <w:lang w:val="en-US"/>
        </w:rPr>
        <w:t xml:space="preserve"> based on TAT. Tier 1 is the original TAT as outlined by Schulz et al (</w:t>
      </w:r>
      <w:proofErr w:type="gramStart"/>
      <w:r w:rsidRPr="00CE2DD6">
        <w:rPr>
          <w:rFonts w:ascii="Palatino Linotype" w:eastAsia="Palatino Linotype" w:hAnsi="Palatino Linotype" w:cs="Palatino Linotype"/>
          <w:color w:val="000000"/>
          <w:sz w:val="18"/>
          <w:szCs w:val="18"/>
          <w:highlight w:val="white"/>
          <w:lang w:val="en-US"/>
        </w:rPr>
        <w:t>2021)[</w:t>
      </w:r>
      <w:proofErr w:type="gramEnd"/>
      <w:r w:rsidRPr="00CE2DD6">
        <w:rPr>
          <w:rFonts w:ascii="Palatino Linotype" w:eastAsia="Palatino Linotype" w:hAnsi="Palatino Linotype" w:cs="Palatino Linotype"/>
          <w:color w:val="000000"/>
          <w:sz w:val="18"/>
          <w:szCs w:val="18"/>
          <w:highlight w:val="white"/>
          <w:lang w:val="en-US"/>
        </w:rPr>
        <w:t xml:space="preserve">17]. Tier 2 would combine TATs for individual species or species groups into a single </w:t>
      </w:r>
      <w:r w:rsidRPr="00CE2DD6">
        <w:rPr>
          <w:rFonts w:ascii="Palatino Linotype" w:eastAsia="Palatino Linotype" w:hAnsi="Palatino Linotype" w:cs="Palatino Linotype"/>
          <w:sz w:val="18"/>
          <w:szCs w:val="18"/>
          <w:highlight w:val="white"/>
          <w:lang w:val="en-US"/>
        </w:rPr>
        <w:t xml:space="preserve">indicator and normalize exposure by application area. </w:t>
      </w:r>
      <w:r w:rsidRPr="00CE2DD6">
        <w:rPr>
          <w:rFonts w:ascii="Palatino Linotype" w:eastAsia="Palatino Linotype" w:hAnsi="Palatino Linotype" w:cs="Palatino Linotype"/>
          <w:b/>
          <w:bCs/>
          <w:color w:val="000000"/>
          <w:sz w:val="18"/>
          <w:szCs w:val="18"/>
          <w:highlight w:val="white"/>
          <w:lang w:val="en-US"/>
        </w:rPr>
        <w:t>To function as a headline indicator, TATs for different species or species groups must be aggregated into a single number for each country (i.e., Aggregated TATs – ATATs); because ATATs need to be comparative across countries and years, the calculations require some normalization for pesticide applied areas (see equation 1).</w:t>
      </w:r>
      <w:r w:rsidRPr="00CE2DD6">
        <w:rPr>
          <w:rFonts w:ascii="Palatino Linotype" w:eastAsia="Palatino Linotype" w:hAnsi="Palatino Linotype" w:cs="Palatino Linotype"/>
          <w:color w:val="000000"/>
          <w:sz w:val="18"/>
          <w:szCs w:val="18"/>
          <w:highlight w:val="white"/>
          <w:lang w:val="en-US"/>
        </w:rPr>
        <w:t xml:space="preserve"> </w:t>
      </w:r>
      <w:r w:rsidRPr="00CE2DD6">
        <w:rPr>
          <w:rFonts w:ascii="Palatino Linotype" w:eastAsia="Palatino Linotype" w:hAnsi="Palatino Linotype" w:cs="Palatino Linotype"/>
          <w:b/>
          <w:bCs/>
          <w:color w:val="000000"/>
          <w:sz w:val="18"/>
          <w:szCs w:val="18"/>
          <w:lang w:val="en-US"/>
        </w:rPr>
        <w:t xml:space="preserve">Tier 3 would assess risks by including some differential measure of exposure (which has not yet been </w:t>
      </w:r>
      <w:proofErr w:type="gramStart"/>
      <w:r w:rsidRPr="00CE2DD6">
        <w:rPr>
          <w:rFonts w:ascii="Palatino Linotype" w:eastAsia="Palatino Linotype" w:hAnsi="Palatino Linotype" w:cs="Palatino Linotype"/>
          <w:b/>
          <w:bCs/>
          <w:color w:val="000000"/>
          <w:sz w:val="18"/>
          <w:szCs w:val="18"/>
          <w:lang w:val="en-US"/>
        </w:rPr>
        <w:t>defined, but</w:t>
      </w:r>
      <w:proofErr w:type="gramEnd"/>
      <w:r w:rsidRPr="00CE2DD6">
        <w:rPr>
          <w:rFonts w:ascii="Palatino Linotype" w:eastAsia="Palatino Linotype" w:hAnsi="Palatino Linotype" w:cs="Palatino Linotype"/>
          <w:b/>
          <w:bCs/>
          <w:color w:val="000000"/>
          <w:sz w:val="18"/>
          <w:szCs w:val="18"/>
          <w:lang w:val="en-US"/>
        </w:rPr>
        <w:t xml:space="preserve"> relates to species richness or endemism).</w:t>
      </w:r>
      <w:r w:rsidRPr="00CE2DD6">
        <w:rPr>
          <w:rFonts w:ascii="Palatino Linotype" w:eastAsia="Palatino Linotype" w:hAnsi="Palatino Linotype" w:cs="Palatino Linotype"/>
          <w:color w:val="000000"/>
          <w:sz w:val="18"/>
          <w:szCs w:val="18"/>
          <w:lang w:val="en-US"/>
        </w:rPr>
        <w:t xml:space="preserve"> </w:t>
      </w:r>
      <w:r w:rsidRPr="00CE2DD6">
        <w:rPr>
          <w:rFonts w:ascii="Palatino Linotype" w:eastAsia="Palatino Linotype" w:hAnsi="Palatino Linotype" w:cs="Palatino Linotype"/>
          <w:b/>
          <w:bCs/>
          <w:color w:val="000000"/>
          <w:sz w:val="18"/>
          <w:szCs w:val="18"/>
          <w:lang w:val="en-US"/>
        </w:rPr>
        <w:t>Methodologies for Tiers 2 and 3 need to be further defined and tested.</w:t>
      </w:r>
      <w:r w:rsidRPr="00CE2DD6">
        <w:rPr>
          <w:rFonts w:ascii="Palatino Linotype" w:eastAsia="Palatino Linotype" w:hAnsi="Palatino Linotype" w:cs="Palatino Linotype"/>
          <w:color w:val="000000"/>
          <w:sz w:val="18"/>
          <w:szCs w:val="18"/>
          <w:lang w:val="en-US"/>
        </w:rPr>
        <w:t xml:space="preserve"> Tiers 4 and 5 would include disaggregated data on crop locations and biodiversity, respectivel</w:t>
      </w:r>
      <w:r w:rsidRPr="00CE2DD6">
        <w:rPr>
          <w:rFonts w:ascii="Palatino Linotype" w:eastAsia="Palatino Linotype" w:hAnsi="Palatino Linotype" w:cs="Palatino Linotype"/>
          <w:sz w:val="18"/>
          <w:szCs w:val="18"/>
          <w:lang w:val="en-US"/>
        </w:rPr>
        <w:t>y</w:t>
      </w:r>
      <w:r w:rsidRPr="00CE2DD6">
        <w:rPr>
          <w:rFonts w:ascii="Palatino Linotype" w:eastAsia="Palatino Linotype" w:hAnsi="Palatino Linotype" w:cs="Palatino Linotype"/>
          <w:color w:val="000000"/>
          <w:sz w:val="18"/>
          <w:szCs w:val="18"/>
          <w:lang w:val="en-US"/>
        </w:rPr>
        <w:t xml:space="preserve">. These latter two are </w:t>
      </w:r>
      <w:proofErr w:type="gramStart"/>
      <w:r w:rsidRPr="00CE2DD6">
        <w:rPr>
          <w:rFonts w:ascii="Palatino Linotype" w:eastAsia="Palatino Linotype" w:hAnsi="Palatino Linotype" w:cs="Palatino Linotype"/>
          <w:color w:val="000000"/>
          <w:sz w:val="18"/>
          <w:szCs w:val="18"/>
          <w:lang w:val="en-US"/>
        </w:rPr>
        <w:t>similar to</w:t>
      </w:r>
      <w:proofErr w:type="gramEnd"/>
      <w:r w:rsidRPr="00CE2DD6">
        <w:rPr>
          <w:rFonts w:ascii="Palatino Linotype" w:eastAsia="Palatino Linotype" w:hAnsi="Palatino Linotype" w:cs="Palatino Linotype"/>
          <w:color w:val="000000"/>
          <w:sz w:val="18"/>
          <w:szCs w:val="18"/>
          <w:lang w:val="en-US"/>
        </w:rPr>
        <w:t xml:space="preserve"> the PEC and would likely be included as complementary indicators. Furthermore, more complex, higher tier indicators might account for long half-life times in soil and water, additional human exposure routes and/or additional information </w:t>
      </w:r>
      <w:proofErr w:type="gramStart"/>
      <w:r w:rsidRPr="00CE2DD6">
        <w:rPr>
          <w:rFonts w:ascii="Palatino Linotype" w:eastAsia="Palatino Linotype" w:hAnsi="Palatino Linotype" w:cs="Palatino Linotype"/>
          <w:color w:val="000000"/>
          <w:sz w:val="18"/>
          <w:szCs w:val="18"/>
          <w:lang w:val="en-US"/>
        </w:rPr>
        <w:t>with regard to</w:t>
      </w:r>
      <w:proofErr w:type="gramEnd"/>
      <w:r w:rsidRPr="00CE2DD6">
        <w:rPr>
          <w:rFonts w:ascii="Palatino Linotype" w:eastAsia="Palatino Linotype" w:hAnsi="Palatino Linotype" w:cs="Palatino Linotype"/>
          <w:color w:val="000000"/>
          <w:sz w:val="18"/>
          <w:szCs w:val="18"/>
          <w:lang w:val="en-US"/>
        </w:rPr>
        <w:t xml:space="preserve"> biodiversity characteristics.</w:t>
      </w:r>
    </w:p>
    <w:p w14:paraId="49BF57B9" w14:textId="77777777" w:rsidR="00CE2DD6" w:rsidRPr="00CE2DD6" w:rsidRDefault="00CE2DD6" w:rsidP="00CE2DD6">
      <w:pPr>
        <w:spacing w:before="100" w:beforeAutospacing="1" w:after="100" w:afterAutospacing="1"/>
        <w:jc w:val="left"/>
        <w:rPr>
          <w:rFonts w:ascii="Palatino Linotype" w:hAnsi="Palatino Linotype"/>
          <w:sz w:val="18"/>
          <w:szCs w:val="18"/>
          <w:lang w:val="en-US"/>
        </w:rPr>
      </w:pPr>
      <m:oMath>
        <m:r>
          <w:rPr>
            <w:rFonts w:ascii="Cambria Math" w:hAnsi="Cambria Math"/>
            <w:sz w:val="18"/>
            <w:szCs w:val="18"/>
            <w:lang w:val="en-US"/>
          </w:rPr>
          <m:t>ATA</m:t>
        </m:r>
        <m:sSub>
          <m:sSubPr>
            <m:ctrlPr>
              <w:rPr>
                <w:rFonts w:ascii="Cambria Math" w:hAnsi="Cambria Math"/>
                <w:i/>
                <w:sz w:val="18"/>
                <w:szCs w:val="18"/>
                <w:lang w:val="en-US"/>
              </w:rPr>
            </m:ctrlPr>
          </m:sSubPr>
          <m:e>
            <m:r>
              <w:rPr>
                <w:rFonts w:ascii="Cambria Math" w:hAnsi="Cambria Math"/>
                <w:sz w:val="18"/>
                <w:szCs w:val="18"/>
                <w:lang w:val="en-US"/>
              </w:rPr>
              <m:t>T</m:t>
            </m:r>
          </m:e>
          <m:sub>
            <m:r>
              <w:rPr>
                <w:rFonts w:ascii="Cambria Math" w:hAnsi="Cambria Math"/>
                <w:sz w:val="18"/>
                <w:szCs w:val="18"/>
                <w:lang w:val="en-US"/>
              </w:rPr>
              <m:t>s,sp,t</m:t>
            </m:r>
          </m:sub>
        </m:sSub>
        <m:r>
          <w:rPr>
            <w:rFonts w:ascii="Cambria Math" w:hAnsi="Cambria Math"/>
            <w:sz w:val="18"/>
            <w:szCs w:val="18"/>
            <w:lang w:val="en-US"/>
          </w:rPr>
          <m:t>=</m:t>
        </m:r>
        <m:nary>
          <m:naryPr>
            <m:chr m:val="∑"/>
            <m:limLoc m:val="subSup"/>
            <m:grow m:val="1"/>
            <m:ctrlPr>
              <w:rPr>
                <w:rFonts w:ascii="Cambria Math" w:hAnsi="Cambria Math"/>
                <w:i/>
                <w:sz w:val="18"/>
                <w:szCs w:val="18"/>
                <w:lang w:val="en-US"/>
              </w:rPr>
            </m:ctrlPr>
          </m:naryPr>
          <m:sub>
            <m:r>
              <w:rPr>
                <w:rFonts w:ascii="Cambria Math" w:hAnsi="Cambria Math"/>
                <w:sz w:val="18"/>
                <w:szCs w:val="18"/>
                <w:lang w:val="en-US"/>
              </w:rPr>
              <m:t>s=n</m:t>
            </m:r>
          </m:sub>
          <m:sup>
            <m:r>
              <w:rPr>
                <w:rFonts w:ascii="Cambria Math" w:hAnsi="Cambria Math"/>
                <w:sz w:val="18"/>
                <w:szCs w:val="18"/>
                <w:lang w:val="en-US"/>
              </w:rPr>
              <m:t>s</m:t>
            </m:r>
          </m:sup>
          <m:e>
            <m:d>
              <m:dPr>
                <m:ctrlPr>
                  <w:rPr>
                    <w:rFonts w:ascii="Cambria Math" w:hAnsi="Cambria Math"/>
                    <w:i/>
                    <w:sz w:val="18"/>
                    <w:szCs w:val="18"/>
                    <w:lang w:val="en-US"/>
                  </w:rPr>
                </m:ctrlPr>
              </m:dPr>
              <m:e>
                <m:f>
                  <m:fPr>
                    <m:ctrlPr>
                      <w:rPr>
                        <w:rFonts w:ascii="Cambria Math" w:hAnsi="Cambria Math"/>
                        <w:i/>
                        <w:sz w:val="18"/>
                        <w:szCs w:val="18"/>
                        <w:lang w:val="en-US"/>
                      </w:rPr>
                    </m:ctrlPr>
                  </m:fPr>
                  <m:num>
                    <m:sSub>
                      <m:sSubPr>
                        <m:ctrlPr>
                          <w:rPr>
                            <w:rFonts w:ascii="Cambria Math" w:hAnsi="Cambria Math"/>
                            <w:i/>
                            <w:sz w:val="18"/>
                            <w:szCs w:val="18"/>
                            <w:lang w:val="en-US"/>
                          </w:rPr>
                        </m:ctrlPr>
                      </m:sSubPr>
                      <m:e>
                        <m:r>
                          <w:rPr>
                            <w:rFonts w:ascii="Cambria Math" w:hAnsi="Cambria Math"/>
                            <w:sz w:val="18"/>
                            <w:szCs w:val="18"/>
                            <w:lang w:val="en-US"/>
                          </w:rPr>
                          <m:t>m</m:t>
                        </m:r>
                      </m:e>
                      <m:sub>
                        <m:r>
                          <w:rPr>
                            <w:rFonts w:ascii="Cambria Math" w:hAnsi="Cambria Math"/>
                            <w:sz w:val="18"/>
                            <w:szCs w:val="18"/>
                            <w:lang w:val="en-US"/>
                          </w:rPr>
                          <m:t>s,t,</m:t>
                        </m:r>
                      </m:sub>
                    </m:sSub>
                    <m:r>
                      <w:rPr>
                        <w:rFonts w:ascii="Cambria Math" w:hAnsi="Cambria Math"/>
                        <w:sz w:val="18"/>
                        <w:szCs w:val="18"/>
                        <w:lang w:val="en-US"/>
                      </w:rPr>
                      <m:t>b</m:t>
                    </m:r>
                  </m:num>
                  <m:den>
                    <m:d>
                      <m:dPr>
                        <m:ctrlPr>
                          <w:rPr>
                            <w:rFonts w:ascii="Cambria Math" w:hAnsi="Cambria Math"/>
                            <w:i/>
                            <w:sz w:val="18"/>
                            <w:szCs w:val="18"/>
                            <w:lang w:val="en-US"/>
                          </w:rPr>
                        </m:ctrlPr>
                      </m:dPr>
                      <m:e>
                        <m:r>
                          <w:rPr>
                            <w:rFonts w:ascii="Cambria Math" w:hAnsi="Cambria Math"/>
                            <w:sz w:val="18"/>
                            <w:szCs w:val="18"/>
                            <w:lang w:val="en-US"/>
                          </w:rPr>
                          <m:t>RT</m:t>
                        </m:r>
                        <m:sSub>
                          <m:sSubPr>
                            <m:ctrlPr>
                              <w:rPr>
                                <w:rFonts w:ascii="Cambria Math" w:hAnsi="Cambria Math"/>
                                <w:i/>
                                <w:sz w:val="18"/>
                                <w:szCs w:val="18"/>
                                <w:lang w:val="en-US"/>
                              </w:rPr>
                            </m:ctrlPr>
                          </m:sSubPr>
                          <m:e>
                            <m:r>
                              <w:rPr>
                                <w:rFonts w:ascii="Cambria Math" w:hAnsi="Cambria Math"/>
                                <w:sz w:val="18"/>
                                <w:szCs w:val="18"/>
                                <w:lang w:val="en-US"/>
                              </w:rPr>
                              <m:t>L</m:t>
                            </m:r>
                          </m:e>
                          <m:sub>
                            <m:r>
                              <w:rPr>
                                <w:rFonts w:ascii="Cambria Math" w:hAnsi="Cambria Math"/>
                                <w:sz w:val="18"/>
                                <w:szCs w:val="18"/>
                                <w:lang w:val="en-US"/>
                              </w:rPr>
                              <m:t>s,sp</m:t>
                            </m:r>
                          </m:sub>
                        </m:sSub>
                      </m:e>
                    </m:d>
                  </m:den>
                </m:f>
              </m:e>
            </m:d>
          </m:e>
        </m:nary>
        <m:r>
          <w:rPr>
            <w:rFonts w:ascii="Cambria Math" w:hAnsi="Cambria Math"/>
            <w:sz w:val="18"/>
            <w:szCs w:val="18"/>
            <w:lang w:val="en-US"/>
          </w:rPr>
          <m:t>∕</m:t>
        </m:r>
        <m:sSub>
          <m:sSubPr>
            <m:ctrlPr>
              <w:rPr>
                <w:rFonts w:ascii="Cambria Math" w:hAnsi="Cambria Math"/>
                <w:i/>
                <w:sz w:val="18"/>
                <w:szCs w:val="18"/>
                <w:lang w:val="en-US"/>
              </w:rPr>
            </m:ctrlPr>
          </m:sSubPr>
          <m:e>
            <m:r>
              <w:rPr>
                <w:rFonts w:ascii="Cambria Math" w:hAnsi="Cambria Math"/>
                <w:sz w:val="18"/>
                <w:szCs w:val="18"/>
                <w:lang w:val="en-US"/>
              </w:rPr>
              <m:t>a</m:t>
            </m:r>
          </m:e>
          <m:sub/>
        </m:sSub>
      </m:oMath>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r>
      <w:r w:rsidRPr="00CE2DD6">
        <w:rPr>
          <w:rFonts w:ascii="Palatino Linotype" w:hAnsi="Palatino Linotype"/>
          <w:sz w:val="18"/>
          <w:szCs w:val="18"/>
          <w:lang w:val="en-US"/>
        </w:rPr>
        <w:tab/>
        <w:t>(equation 1)</w:t>
      </w:r>
    </w:p>
    <w:p w14:paraId="4C9524D4" w14:textId="77777777" w:rsidR="00CE2DD6" w:rsidRPr="00CE2DD6" w:rsidRDefault="00CE2DD6" w:rsidP="00CE2DD6">
      <w:pPr>
        <w:spacing w:before="100" w:beforeAutospacing="1" w:after="100" w:afterAutospacing="1"/>
        <w:jc w:val="left"/>
        <w:rPr>
          <w:rFonts w:ascii="Palatino Linotype" w:hAnsi="Palatino Linotype"/>
          <w:sz w:val="18"/>
          <w:szCs w:val="18"/>
          <w:lang w:val="en-US"/>
        </w:rPr>
      </w:pPr>
    </w:p>
    <w:p w14:paraId="10B2C3F1" w14:textId="77777777" w:rsidR="00CE2DD6" w:rsidRPr="00CE2DD6" w:rsidRDefault="00CE2DD6" w:rsidP="00CE2DD6">
      <w:pPr>
        <w:spacing w:before="100" w:beforeAutospacing="1" w:after="100" w:afterAutospacing="1"/>
        <w:jc w:val="left"/>
        <w:rPr>
          <w:rFonts w:ascii="Palatino Linotype" w:hAnsi="Palatino Linotype"/>
          <w:sz w:val="18"/>
          <w:szCs w:val="18"/>
          <w:lang w:val="en-US"/>
        </w:rPr>
      </w:pPr>
    </w:p>
    <w:p w14:paraId="3513AFB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3 ASSESSMENT OF DATA REQUIREMENTS AND THE AVAILABILITY OF DATA</w:t>
      </w:r>
    </w:p>
    <w:p w14:paraId="4F49F8E5"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r w:rsidRPr="00CE2DD6">
        <w:rPr>
          <w:rFonts w:ascii="Palatino Linotype" w:eastAsia="Palatino Linotype" w:hAnsi="Palatino Linotype" w:cs="Palatino Linotype"/>
          <w:sz w:val="18"/>
          <w:szCs w:val="18"/>
          <w:lang w:val="en-US"/>
        </w:rPr>
        <w:lastRenderedPageBreak/>
        <w:t xml:space="preserve">The experts indicated several sources of pesticide property data. Among the largest databases is the Pesticide Properties </w:t>
      </w:r>
      <w:proofErr w:type="spellStart"/>
      <w:r w:rsidRPr="00CE2DD6">
        <w:rPr>
          <w:rFonts w:ascii="Palatino Linotype" w:eastAsia="Palatino Linotype" w:hAnsi="Palatino Linotype" w:cs="Palatino Linotype"/>
          <w:sz w:val="18"/>
          <w:szCs w:val="18"/>
          <w:lang w:val="en-US"/>
        </w:rPr>
        <w:t>DataBase</w:t>
      </w:r>
      <w:proofErr w:type="spellEnd"/>
      <w:r w:rsidRPr="00CE2DD6">
        <w:rPr>
          <w:rFonts w:ascii="Palatino Linotype" w:eastAsia="Palatino Linotype" w:hAnsi="Palatino Linotype" w:cs="Palatino Linotype"/>
          <w:sz w:val="18"/>
          <w:szCs w:val="18"/>
          <w:lang w:val="en-US"/>
        </w:rPr>
        <w:t xml:space="preserve"> (PPDB); this database holds data for ca 2500 pesticide active substances and over 700 metabolites, with ca 320 parameters (e.g., toxicity, biodiversity risk assessments, etc.) stored for each substance [22]. The PPDB was developed by the University of Hertfordshire and is publicly available [20]. The database is used worldwide to support pesticide risk assessments, models and indicators, policy focused monitoring exercises, and general research. </w:t>
      </w:r>
    </w:p>
    <w:p w14:paraId="63DE401B"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Data on pesticide sales and usage is available for some countries. For example, t</w:t>
      </w:r>
      <w:r w:rsidRPr="00CE2DD6">
        <w:rPr>
          <w:rFonts w:ascii="Palatino Linotype" w:eastAsia="Palatino Linotype" w:hAnsi="Palatino Linotype" w:cs="Palatino Linotype"/>
          <w:color w:val="333333"/>
          <w:sz w:val="18"/>
          <w:szCs w:val="18"/>
          <w:highlight w:val="white"/>
          <w:lang w:val="en-US"/>
        </w:rPr>
        <w:t xml:space="preserve">he National Agricultural Statistics Service (NASS) Agricultural Chemical Use Program is the USDA’s official source of statistics about on-farm chemical use and pest management practices. Since 1990, NASS has surveyed U.S. farmers to collect information on the chemicals they apply to agricultural commodities through fertilizers and pesticides. Surveys can be completed online [23]. </w:t>
      </w:r>
      <w:r w:rsidRPr="00CE2DD6">
        <w:rPr>
          <w:rFonts w:ascii="Palatino Linotype" w:eastAsia="Palatino Linotype" w:hAnsi="Palatino Linotype" w:cs="Palatino Linotype"/>
          <w:color w:val="000000"/>
          <w:sz w:val="18"/>
          <w:szCs w:val="18"/>
          <w:lang w:val="en-US"/>
        </w:rPr>
        <w:t xml:space="preserve">However, it was noted that there are trade-offs between the costs of data collection and the type, </w:t>
      </w:r>
      <w:proofErr w:type="gramStart"/>
      <w:r w:rsidRPr="00CE2DD6">
        <w:rPr>
          <w:rFonts w:ascii="Palatino Linotype" w:eastAsia="Palatino Linotype" w:hAnsi="Palatino Linotype" w:cs="Palatino Linotype"/>
          <w:color w:val="000000"/>
          <w:sz w:val="18"/>
          <w:szCs w:val="18"/>
          <w:lang w:val="en-US"/>
        </w:rPr>
        <w:t>quality</w:t>
      </w:r>
      <w:proofErr w:type="gramEnd"/>
      <w:r w:rsidRPr="00CE2DD6">
        <w:rPr>
          <w:rFonts w:ascii="Palatino Linotype" w:eastAsia="Palatino Linotype" w:hAnsi="Palatino Linotype" w:cs="Palatino Linotype"/>
          <w:color w:val="000000"/>
          <w:sz w:val="18"/>
          <w:szCs w:val="18"/>
          <w:lang w:val="en-US"/>
        </w:rPr>
        <w:t xml:space="preserve"> and coverage of the data. As regards usage data, it was noted that the more openly accessible usage data is (particularly if based on farm surveys), the more unreliable it can become. It was further noted that for some Lower and Mid-Income Countries (LMICs), pesticide registration is mainly based on analogy and that chemical manufacturers are slow to share information. </w:t>
      </w:r>
      <w:r w:rsidRPr="00CE2DD6">
        <w:rPr>
          <w:rFonts w:ascii="Palatino Linotype" w:eastAsia="Palatino Linotype" w:hAnsi="Palatino Linotype" w:cs="Palatino Linotype"/>
          <w:sz w:val="18"/>
          <w:szCs w:val="18"/>
          <w:lang w:val="en-US"/>
        </w:rPr>
        <w:t xml:space="preserve">Therefore, many countries aggregate sales or usage data at national, </w:t>
      </w:r>
      <w:proofErr w:type="gramStart"/>
      <w:r w:rsidRPr="00CE2DD6">
        <w:rPr>
          <w:rFonts w:ascii="Palatino Linotype" w:eastAsia="Palatino Linotype" w:hAnsi="Palatino Linotype" w:cs="Palatino Linotype"/>
          <w:sz w:val="18"/>
          <w:szCs w:val="18"/>
          <w:lang w:val="en-US"/>
        </w:rPr>
        <w:t>state</w:t>
      </w:r>
      <w:proofErr w:type="gramEnd"/>
      <w:r w:rsidRPr="00CE2DD6">
        <w:rPr>
          <w:rFonts w:ascii="Palatino Linotype" w:eastAsia="Palatino Linotype" w:hAnsi="Palatino Linotype" w:cs="Palatino Linotype"/>
          <w:sz w:val="18"/>
          <w:szCs w:val="18"/>
          <w:lang w:val="en-US"/>
        </w:rPr>
        <w:t xml:space="preserve"> or provincial levels, or, if sales/usage data are unavailable, countries may only have access to pesticide trade data. W</w:t>
      </w:r>
      <w:r w:rsidRPr="00CE2DD6">
        <w:rPr>
          <w:rFonts w:ascii="Palatino Linotype" w:eastAsia="Palatino Linotype" w:hAnsi="Palatino Linotype" w:cs="Palatino Linotype"/>
          <w:color w:val="000000"/>
          <w:sz w:val="18"/>
          <w:szCs w:val="18"/>
          <w:lang w:val="en-US"/>
        </w:rPr>
        <w:t>hereas data on pesticide trade is available in most cases, it is often not available in the required format o</w:t>
      </w:r>
      <w:r w:rsidRPr="00CE2DD6">
        <w:rPr>
          <w:rFonts w:ascii="Palatino Linotype" w:eastAsia="Palatino Linotype" w:hAnsi="Palatino Linotype" w:cs="Palatino Linotype"/>
          <w:sz w:val="18"/>
          <w:szCs w:val="18"/>
          <w:lang w:val="en-US"/>
        </w:rPr>
        <w:t>r openly accessible</w:t>
      </w:r>
      <w:r w:rsidRPr="00CE2DD6">
        <w:rPr>
          <w:rFonts w:ascii="Palatino Linotype" w:eastAsia="Palatino Linotype" w:hAnsi="Palatino Linotype" w:cs="Palatino Linotype"/>
          <w:color w:val="000000"/>
          <w:sz w:val="18"/>
          <w:szCs w:val="18"/>
          <w:lang w:val="en-US"/>
        </w:rPr>
        <w:t>. FAOSTAT is of limited use because its data on pesticides is aggregated. In some cases, information from data</w:t>
      </w:r>
      <w:r w:rsidRPr="00CE2DD6">
        <w:rPr>
          <w:rFonts w:ascii="Palatino Linotype" w:eastAsia="Palatino Linotype" w:hAnsi="Palatino Linotype" w:cs="Palatino Linotype"/>
          <w:sz w:val="18"/>
          <w:szCs w:val="18"/>
          <w:lang w:val="en-US"/>
        </w:rPr>
        <w:t>-</w:t>
      </w:r>
      <w:r w:rsidRPr="00CE2DD6">
        <w:rPr>
          <w:rFonts w:ascii="Palatino Linotype" w:eastAsia="Palatino Linotype" w:hAnsi="Palatino Linotype" w:cs="Palatino Linotype"/>
          <w:color w:val="000000"/>
          <w:sz w:val="18"/>
          <w:szCs w:val="18"/>
          <w:lang w:val="en-US"/>
        </w:rPr>
        <w:t>rich environments can be used to infer for relatively data</w:t>
      </w:r>
      <w:r w:rsidRPr="00CE2DD6">
        <w:rPr>
          <w:rFonts w:ascii="Palatino Linotype" w:eastAsia="Palatino Linotype" w:hAnsi="Palatino Linotype" w:cs="Palatino Linotype"/>
          <w:sz w:val="18"/>
          <w:szCs w:val="18"/>
          <w:lang w:val="en-US"/>
        </w:rPr>
        <w:t>-</w:t>
      </w:r>
      <w:r w:rsidRPr="00CE2DD6">
        <w:rPr>
          <w:rFonts w:ascii="Palatino Linotype" w:eastAsia="Palatino Linotype" w:hAnsi="Palatino Linotype" w:cs="Palatino Linotype"/>
          <w:color w:val="000000"/>
          <w:sz w:val="18"/>
          <w:szCs w:val="18"/>
          <w:lang w:val="en-US"/>
        </w:rPr>
        <w:t>poor environments as has been proposed by using PEST</w:t>
      </w:r>
      <w:r w:rsidRPr="00CE2DD6">
        <w:rPr>
          <w:rFonts w:ascii="Palatino Linotype" w:eastAsia="Palatino Linotype" w:hAnsi="Palatino Linotype" w:cs="Palatino Linotype"/>
          <w:sz w:val="18"/>
          <w:szCs w:val="18"/>
          <w:lang w:val="en-US"/>
        </w:rPr>
        <w:t>-</w:t>
      </w:r>
      <w:r w:rsidRPr="00CE2DD6">
        <w:rPr>
          <w:rFonts w:ascii="Palatino Linotype" w:eastAsia="Palatino Linotype" w:hAnsi="Palatino Linotype" w:cs="Palatino Linotype"/>
          <w:color w:val="000000"/>
          <w:sz w:val="18"/>
          <w:szCs w:val="18"/>
          <w:lang w:val="en-US"/>
        </w:rPr>
        <w:t xml:space="preserve">CHEMGRIDS [11]. </w:t>
      </w:r>
    </w:p>
    <w:p w14:paraId="604E409F"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Experts noted the need for data validation, they indicated that some countries may have embargoes on data, and </w:t>
      </w:r>
      <w:r w:rsidRPr="00CE2DD6">
        <w:rPr>
          <w:rFonts w:ascii="Palatino Linotype" w:eastAsia="Palatino Linotype" w:hAnsi="Palatino Linotype" w:cs="Palatino Linotype"/>
          <w:sz w:val="18"/>
          <w:szCs w:val="18"/>
          <w:lang w:val="en-US"/>
        </w:rPr>
        <w:t>that</w:t>
      </w:r>
      <w:r w:rsidRPr="00CE2DD6">
        <w:rPr>
          <w:rFonts w:ascii="Palatino Linotype" w:eastAsia="Palatino Linotype" w:hAnsi="Palatino Linotype" w:cs="Palatino Linotype"/>
          <w:color w:val="000000"/>
          <w:sz w:val="18"/>
          <w:szCs w:val="18"/>
          <w:lang w:val="en-US"/>
        </w:rPr>
        <w:t xml:space="preserve"> data ownership needs to be addressed in the context of the indicator. Furthermore, experts discussed the need to resolve whether validation should be part of the testing and/or built into the methodology. Potential barriers to data validation and sharing may require institutionalized data collection (including provision of attendant budgets) and incentives for different agents and agencies to invest in data collection, validation and sharing. </w:t>
      </w:r>
      <w:r w:rsidRPr="00CE2DD6">
        <w:rPr>
          <w:rFonts w:ascii="Palatino Linotype" w:eastAsia="Palatino Linotype" w:hAnsi="Palatino Linotype" w:cs="Palatino Linotype"/>
          <w:sz w:val="18"/>
          <w:szCs w:val="18"/>
          <w:lang w:val="en-US"/>
        </w:rPr>
        <w:t>Some experts noted that i</w:t>
      </w:r>
      <w:r w:rsidRPr="00CE2DD6">
        <w:rPr>
          <w:rFonts w:ascii="Palatino Linotype" w:eastAsia="Palatino Linotype" w:hAnsi="Palatino Linotype" w:cs="Palatino Linotype"/>
          <w:color w:val="000000"/>
          <w:sz w:val="18"/>
          <w:szCs w:val="18"/>
          <w:lang w:val="en-US"/>
        </w:rPr>
        <w:t>ntegrating data from different ministries remains challenging in several countries, but using different data sets from different ministries also represents an opportunity for data validation.</w:t>
      </w:r>
    </w:p>
    <w:p w14:paraId="3511F46C"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The experts conducted a SWOT analysis on the proposed indicator (ATAT) and its underlying data, the results of which are presented in Table 1.</w:t>
      </w:r>
    </w:p>
    <w:p w14:paraId="0CDA92DA"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i/>
          <w:color w:val="000000"/>
          <w:sz w:val="18"/>
          <w:szCs w:val="18"/>
          <w:lang w:val="en-US"/>
        </w:rPr>
      </w:pPr>
      <w:r w:rsidRPr="00CE2DD6">
        <w:rPr>
          <w:rFonts w:ascii="Palatino Linotype" w:eastAsia="Palatino Linotype" w:hAnsi="Palatino Linotype" w:cs="Palatino Linotype"/>
          <w:b/>
          <w:i/>
          <w:color w:val="000000"/>
          <w:sz w:val="18"/>
          <w:szCs w:val="18"/>
          <w:lang w:val="en-US"/>
        </w:rPr>
        <w:t>Table 1:</w:t>
      </w:r>
      <w:r w:rsidRPr="00CE2DD6">
        <w:rPr>
          <w:rFonts w:ascii="Palatino Linotype" w:eastAsia="Palatino Linotype" w:hAnsi="Palatino Linotype" w:cs="Palatino Linotype"/>
          <w:i/>
          <w:color w:val="000000"/>
          <w:sz w:val="18"/>
          <w:szCs w:val="18"/>
          <w:lang w:val="en-US"/>
        </w:rPr>
        <w:t xml:space="preserve"> SWOT analysis of headline indicator 7.2 – ATAT -as based on pesticide availability and a selected suite of toxicities that represents countries.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4"/>
        <w:gridCol w:w="2317"/>
        <w:gridCol w:w="2398"/>
        <w:gridCol w:w="2321"/>
      </w:tblGrid>
      <w:tr w:rsidR="00CE2DD6" w:rsidRPr="00CE2DD6" w14:paraId="5502AA6A" w14:textId="77777777" w:rsidTr="0096292D">
        <w:tc>
          <w:tcPr>
            <w:tcW w:w="2314" w:type="dxa"/>
          </w:tcPr>
          <w:p w14:paraId="384070D7"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Strengths</w:t>
            </w:r>
          </w:p>
        </w:tc>
        <w:tc>
          <w:tcPr>
            <w:tcW w:w="2317" w:type="dxa"/>
          </w:tcPr>
          <w:p w14:paraId="1B35B210"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Weaknesses</w:t>
            </w:r>
          </w:p>
        </w:tc>
        <w:tc>
          <w:tcPr>
            <w:tcW w:w="2398" w:type="dxa"/>
          </w:tcPr>
          <w:p w14:paraId="75FCCE00"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Opportunities</w:t>
            </w:r>
          </w:p>
        </w:tc>
        <w:tc>
          <w:tcPr>
            <w:tcW w:w="2321" w:type="dxa"/>
          </w:tcPr>
          <w:p w14:paraId="7E77CD0F"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Threats</w:t>
            </w:r>
          </w:p>
        </w:tc>
      </w:tr>
      <w:tr w:rsidR="00CE2DD6" w:rsidRPr="00CE2DD6" w14:paraId="43B8BAC1" w14:textId="77777777" w:rsidTr="0096292D">
        <w:tc>
          <w:tcPr>
            <w:tcW w:w="2314" w:type="dxa"/>
          </w:tcPr>
          <w:p w14:paraId="625088FC"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The indicator is relatively simple to calculate and understand</w:t>
            </w:r>
          </w:p>
        </w:tc>
        <w:tc>
          <w:tcPr>
            <w:tcW w:w="2317" w:type="dxa"/>
          </w:tcPr>
          <w:p w14:paraId="46A41BA4"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It is based only on the amount and properties of the pesticide applied and lacks information on risk mitigation, biodiversity exposure, lag time, etc.; the indicator will lose resolution where lead metrics are combined to generate a single indicator value; does not track pesticide use through the environment</w:t>
            </w:r>
          </w:p>
        </w:tc>
        <w:tc>
          <w:tcPr>
            <w:tcW w:w="2398" w:type="dxa"/>
          </w:tcPr>
          <w:p w14:paraId="20C5323B"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The Global Framework on Chemicals requires similar indicators; a similar indicator could be used to assess human health risks thereby demanding that pesticide availability or use data be made available; PEST-CHEMGRIDS/CROPGRIDS and similar models can support countries to estimate pesticide use where data is not available</w:t>
            </w:r>
          </w:p>
        </w:tc>
        <w:tc>
          <w:tcPr>
            <w:tcW w:w="2321" w:type="dxa"/>
          </w:tcPr>
          <w:p w14:paraId="4824B82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There is currently no centralized repository of pesticide trade or use data that could facilitate use of the indicator in some data-poor countries; FAOSTAT data is currently aggregated by pesticide type; many countries are currently understaffed to report the indicator or provide supporting data for the indicator </w:t>
            </w:r>
          </w:p>
        </w:tc>
      </w:tr>
      <w:tr w:rsidR="00CE2DD6" w:rsidRPr="00CE2DD6" w14:paraId="5FEF60A4" w14:textId="77777777" w:rsidTr="0096292D">
        <w:tc>
          <w:tcPr>
            <w:tcW w:w="2314" w:type="dxa"/>
          </w:tcPr>
          <w:p w14:paraId="20E1661E"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The indicator is fit for purpose (i.e., it will allow </w:t>
            </w:r>
            <w:r w:rsidRPr="00CE2DD6">
              <w:rPr>
                <w:rFonts w:ascii="Palatino Linotype" w:eastAsia="Palatino Linotype" w:hAnsi="Palatino Linotype" w:cs="Palatino Linotype"/>
                <w:color w:val="000000"/>
                <w:sz w:val="18"/>
                <w:szCs w:val="18"/>
                <w:lang w:val="en-US"/>
              </w:rPr>
              <w:lastRenderedPageBreak/>
              <w:t>comparisons between countries and monitor trends over time)</w:t>
            </w:r>
          </w:p>
        </w:tc>
        <w:tc>
          <w:tcPr>
            <w:tcW w:w="2317" w:type="dxa"/>
          </w:tcPr>
          <w:p w14:paraId="021744E0"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lastRenderedPageBreak/>
              <w:t xml:space="preserve">To implement changes and reduce pesticide </w:t>
            </w:r>
            <w:r w:rsidRPr="00CE2DD6">
              <w:rPr>
                <w:rFonts w:ascii="Palatino Linotype" w:eastAsia="Palatino Linotype" w:hAnsi="Palatino Linotype" w:cs="Palatino Linotype"/>
                <w:color w:val="000000"/>
                <w:sz w:val="18"/>
                <w:szCs w:val="18"/>
                <w:lang w:val="en-US"/>
              </w:rPr>
              <w:lastRenderedPageBreak/>
              <w:t>impacts on biodiversity, data should be disaggregated by crop, region, climate, etc., within countries – particularly larger countries</w:t>
            </w:r>
          </w:p>
        </w:tc>
        <w:tc>
          <w:tcPr>
            <w:tcW w:w="2398" w:type="dxa"/>
          </w:tcPr>
          <w:p w14:paraId="51B9ECC9"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lastRenderedPageBreak/>
              <w:t xml:space="preserve">Models based on high-resolution crop and </w:t>
            </w:r>
            <w:r w:rsidRPr="00CE2DD6">
              <w:rPr>
                <w:rFonts w:ascii="Palatino Linotype" w:eastAsia="Palatino Linotype" w:hAnsi="Palatino Linotype" w:cs="Palatino Linotype"/>
                <w:color w:val="000000"/>
                <w:sz w:val="18"/>
                <w:szCs w:val="18"/>
                <w:lang w:val="en-US"/>
              </w:rPr>
              <w:lastRenderedPageBreak/>
              <w:t>pesticide use data are available to permit some measure of disaggregation that informs conservation and resource management in countries</w:t>
            </w:r>
          </w:p>
        </w:tc>
        <w:tc>
          <w:tcPr>
            <w:tcW w:w="2321" w:type="dxa"/>
          </w:tcPr>
          <w:p w14:paraId="64BDC9B0" w14:textId="6A91F5A2"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lastRenderedPageBreak/>
              <w:t xml:space="preserve">It will be challenging to upscale use of currently </w:t>
            </w:r>
            <w:r w:rsidRPr="00CE2DD6">
              <w:rPr>
                <w:rFonts w:ascii="Palatino Linotype" w:eastAsia="Palatino Linotype" w:hAnsi="Palatino Linotype" w:cs="Palatino Linotype"/>
                <w:color w:val="000000"/>
                <w:sz w:val="18"/>
                <w:szCs w:val="18"/>
                <w:lang w:val="en-US"/>
              </w:rPr>
              <w:lastRenderedPageBreak/>
              <w:t xml:space="preserve">applied and related indicators without capacity building programs </w:t>
            </w:r>
            <w:r w:rsidR="00387D3B">
              <w:rPr>
                <w:rFonts w:ascii="Palatino Linotype" w:eastAsia="Palatino Linotype" w:hAnsi="Palatino Linotype" w:cs="Palatino Linotype"/>
                <w:color w:val="000000"/>
                <w:sz w:val="18"/>
                <w:szCs w:val="18"/>
                <w:lang w:val="en-US"/>
              </w:rPr>
              <w:t>–</w:t>
            </w:r>
            <w:r w:rsidRPr="00CE2DD6">
              <w:rPr>
                <w:rFonts w:ascii="Palatino Linotype" w:eastAsia="Palatino Linotype" w:hAnsi="Palatino Linotype" w:cs="Palatino Linotype"/>
                <w:color w:val="000000"/>
                <w:sz w:val="18"/>
                <w:szCs w:val="18"/>
                <w:lang w:val="en-US"/>
              </w:rPr>
              <w:t xml:space="preserve"> particularly for some LMICs</w:t>
            </w:r>
          </w:p>
        </w:tc>
      </w:tr>
      <w:tr w:rsidR="00CE2DD6" w:rsidRPr="00CE2DD6" w14:paraId="5509C2D6" w14:textId="77777777" w:rsidTr="0096292D">
        <w:tc>
          <w:tcPr>
            <w:tcW w:w="2314" w:type="dxa"/>
          </w:tcPr>
          <w:p w14:paraId="7D5B6F8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lastRenderedPageBreak/>
              <w:t>All component indicators are available for many countries (i.e., import/export data; PPDB)</w:t>
            </w:r>
          </w:p>
        </w:tc>
        <w:tc>
          <w:tcPr>
            <w:tcW w:w="2317" w:type="dxa"/>
          </w:tcPr>
          <w:p w14:paraId="37D1B8B3"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Pesticide sales and use data are preferred but not available for many countries; Load metrics are influenced by worst-case substances that may differ between countries and over time; no basis </w:t>
            </w:r>
            <w:proofErr w:type="gramStart"/>
            <w:r w:rsidRPr="00CE2DD6">
              <w:rPr>
                <w:rFonts w:ascii="Palatino Linotype" w:eastAsia="Palatino Linotype" w:hAnsi="Palatino Linotype" w:cs="Palatino Linotype"/>
                <w:color w:val="000000"/>
                <w:sz w:val="18"/>
                <w:szCs w:val="18"/>
                <w:lang w:val="en-US"/>
              </w:rPr>
              <w:t>as yet</w:t>
            </w:r>
            <w:proofErr w:type="gramEnd"/>
            <w:r w:rsidRPr="00CE2DD6">
              <w:rPr>
                <w:rFonts w:ascii="Palatino Linotype" w:eastAsia="Palatino Linotype" w:hAnsi="Palatino Linotype" w:cs="Palatino Linotype"/>
                <w:color w:val="000000"/>
                <w:sz w:val="18"/>
                <w:szCs w:val="18"/>
                <w:lang w:val="en-US"/>
              </w:rPr>
              <w:t xml:space="preserve"> for selecting indicator metrics/species; the indicator doesn’t take into account environmental fate</w:t>
            </w:r>
          </w:p>
        </w:tc>
        <w:tc>
          <w:tcPr>
            <w:tcW w:w="2398" w:type="dxa"/>
          </w:tcPr>
          <w:p w14:paraId="03A78937"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Toxicity parameters for active ingredients can be shared between countries for those countries that lack toxicity data</w:t>
            </w:r>
          </w:p>
        </w:tc>
        <w:tc>
          <w:tcPr>
            <w:tcW w:w="2321" w:type="dxa"/>
          </w:tcPr>
          <w:p w14:paraId="4D47C2D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For some countries, data is not available or held-up at ministries; data is made available only gradually with time lags that can be greater than 5 years</w:t>
            </w:r>
          </w:p>
        </w:tc>
      </w:tr>
      <w:tr w:rsidR="00CE2DD6" w:rsidRPr="00CE2DD6" w14:paraId="45822D0C" w14:textId="77777777" w:rsidTr="0096292D">
        <w:tc>
          <w:tcPr>
            <w:tcW w:w="2314" w:type="dxa"/>
          </w:tcPr>
          <w:p w14:paraId="72846FB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Although the indicator is simple – the data it demands will be openly available for parallel studies of pesticide impacts</w:t>
            </w:r>
          </w:p>
        </w:tc>
        <w:tc>
          <w:tcPr>
            <w:tcW w:w="2317" w:type="dxa"/>
          </w:tcPr>
          <w:p w14:paraId="5DBDE557"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Open-source data is subject to politically motivated screening and reporting that may reduce accuracy</w:t>
            </w:r>
          </w:p>
        </w:tc>
        <w:tc>
          <w:tcPr>
            <w:tcW w:w="2398" w:type="dxa"/>
          </w:tcPr>
          <w:p w14:paraId="5914272D"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Regional strategies for pesticide management and to restrict illegal trade increasingly share pesticide trade data</w:t>
            </w:r>
          </w:p>
        </w:tc>
        <w:tc>
          <w:tcPr>
            <w:tcW w:w="2321" w:type="dxa"/>
          </w:tcPr>
          <w:p w14:paraId="752FCAC0"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Countries may be opposed to open availability of data on pesticide availability</w:t>
            </w:r>
          </w:p>
        </w:tc>
      </w:tr>
      <w:tr w:rsidR="00CE2DD6" w:rsidRPr="00CE2DD6" w14:paraId="29D4BEE7" w14:textId="77777777" w:rsidTr="0096292D">
        <w:tc>
          <w:tcPr>
            <w:tcW w:w="2314" w:type="dxa"/>
          </w:tcPr>
          <w:p w14:paraId="2E070498"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Baseline values (2011-2020) can be generated using historical records of pesticide availability and current information in PPDB</w:t>
            </w:r>
          </w:p>
        </w:tc>
        <w:tc>
          <w:tcPr>
            <w:tcW w:w="2317" w:type="dxa"/>
          </w:tcPr>
          <w:p w14:paraId="5E480FE3"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Historical records of pesticide availability are only available in some countries</w:t>
            </w:r>
          </w:p>
        </w:tc>
        <w:tc>
          <w:tcPr>
            <w:tcW w:w="2398" w:type="dxa"/>
          </w:tcPr>
          <w:p w14:paraId="0D965B0C"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FAOSTAT has been collecting pesticide trade and use data since the 1960s; although this is aggregated by pesticide types, disaggregation can be achieved using crop data, yield data and household and farmer surveys in some cases</w:t>
            </w:r>
          </w:p>
        </w:tc>
        <w:tc>
          <w:tcPr>
            <w:tcW w:w="2321" w:type="dxa"/>
          </w:tcPr>
          <w:p w14:paraId="5C2F9E3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Highly hazardous pesticides used before 2020 but now de-registered may skew pesticide loads in some countries and result in disproportionate loads across countries</w:t>
            </w:r>
          </w:p>
        </w:tc>
      </w:tr>
      <w:tr w:rsidR="00CE2DD6" w:rsidRPr="00CE2DD6" w14:paraId="1D51BACF" w14:textId="77777777" w:rsidTr="0096292D">
        <w:tc>
          <w:tcPr>
            <w:tcW w:w="2314" w:type="dxa"/>
          </w:tcPr>
          <w:p w14:paraId="61AC7C7B"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The indicator accounts for multiple organisms</w:t>
            </w:r>
          </w:p>
        </w:tc>
        <w:tc>
          <w:tcPr>
            <w:tcW w:w="2317" w:type="dxa"/>
          </w:tcPr>
          <w:p w14:paraId="31306F59"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A single suite of organisms is unlikely to represent all countries equally; Ecosystems are complex and fitting test species to account for impacts on </w:t>
            </w:r>
            <w:r w:rsidRPr="00CE2DD6">
              <w:rPr>
                <w:rFonts w:ascii="Palatino Linotype" w:eastAsia="Palatino Linotype" w:hAnsi="Palatino Linotype" w:cs="Palatino Linotype"/>
                <w:sz w:val="18"/>
                <w:szCs w:val="18"/>
                <w:lang w:val="en-US"/>
              </w:rPr>
              <w:t>ecosystems</w:t>
            </w:r>
            <w:r w:rsidRPr="00CE2DD6">
              <w:rPr>
                <w:rFonts w:ascii="Palatino Linotype" w:eastAsia="Palatino Linotype" w:hAnsi="Palatino Linotype" w:cs="Palatino Linotype"/>
                <w:color w:val="000000"/>
                <w:sz w:val="18"/>
                <w:szCs w:val="18"/>
                <w:lang w:val="en-US"/>
              </w:rPr>
              <w:t xml:space="preserve"> is challenging; does not account for species </w:t>
            </w:r>
            <w:r w:rsidRPr="00CE2DD6">
              <w:rPr>
                <w:rFonts w:ascii="Palatino Linotype" w:eastAsia="Palatino Linotype" w:hAnsi="Palatino Linotype" w:cs="Palatino Linotype"/>
                <w:color w:val="000000"/>
                <w:sz w:val="18"/>
                <w:szCs w:val="18"/>
                <w:lang w:val="en-US"/>
              </w:rPr>
              <w:lastRenderedPageBreak/>
              <w:t>idiosyncrasies – for example rarity, conservation status, etc.</w:t>
            </w:r>
          </w:p>
        </w:tc>
        <w:tc>
          <w:tcPr>
            <w:tcW w:w="2398" w:type="dxa"/>
          </w:tcPr>
          <w:p w14:paraId="2A2C7C0E"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lastRenderedPageBreak/>
              <w:t>Biodiversity inventories are available for most countries and can be used to calibrate exposure</w:t>
            </w:r>
          </w:p>
        </w:tc>
        <w:tc>
          <w:tcPr>
            <w:tcW w:w="2321" w:type="dxa"/>
          </w:tcPr>
          <w:p w14:paraId="079FECF2" w14:textId="77777777" w:rsidR="00CE2DD6" w:rsidRPr="00CE2DD6" w:rsidRDefault="00CE2DD6" w:rsidP="00CE2DD6">
            <w:pPr>
              <w:pBdr>
                <w:top w:val="nil"/>
                <w:left w:val="nil"/>
                <w:bottom w:val="nil"/>
                <w:right w:val="nil"/>
                <w:between w:val="nil"/>
              </w:pBdr>
              <w:spacing w:after="200" w:line="276" w:lineRule="auto"/>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Biodiversity inventories generally underrepresent certain taxa, including plants, arthropods, microbiota; relations between species richness and ecosystem function are poorly understood;</w:t>
            </w:r>
          </w:p>
        </w:tc>
      </w:tr>
    </w:tbl>
    <w:p w14:paraId="63786832"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sz w:val="18"/>
          <w:szCs w:val="18"/>
          <w:lang w:val="en-US"/>
        </w:rPr>
      </w:pPr>
    </w:p>
    <w:p w14:paraId="1D422D91"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4 </w:t>
      </w:r>
      <w:proofErr w:type="gramStart"/>
      <w:r w:rsidRPr="00CE2DD6">
        <w:rPr>
          <w:rFonts w:ascii="Palatino Linotype" w:eastAsia="Palatino Linotype" w:hAnsi="Palatino Linotype" w:cs="Palatino Linotype"/>
          <w:color w:val="000000"/>
          <w:sz w:val="18"/>
          <w:szCs w:val="18"/>
          <w:lang w:val="en-US"/>
        </w:rPr>
        <w:t>ASSESSMENT</w:t>
      </w:r>
      <w:proofErr w:type="gramEnd"/>
      <w:r w:rsidRPr="00CE2DD6">
        <w:rPr>
          <w:rFonts w:ascii="Palatino Linotype" w:eastAsia="Palatino Linotype" w:hAnsi="Palatino Linotype" w:cs="Palatino Linotype"/>
          <w:color w:val="000000"/>
          <w:sz w:val="18"/>
          <w:szCs w:val="18"/>
          <w:lang w:val="en-US"/>
        </w:rPr>
        <w:t xml:space="preserve"> OF OPERATIONALIZATION OF THE INDICATOR WITH SUGGESTED ACTIONS</w:t>
      </w:r>
    </w:p>
    <w:p w14:paraId="0EDAE0A1"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b/>
          <w:color w:val="000000"/>
          <w:sz w:val="18"/>
          <w:szCs w:val="18"/>
          <w:lang w:val="en-US"/>
        </w:rPr>
      </w:pPr>
      <w:r w:rsidRPr="00CE2DD6">
        <w:rPr>
          <w:rFonts w:ascii="Palatino Linotype" w:eastAsia="Palatino Linotype" w:hAnsi="Palatino Linotype" w:cs="Palatino Linotype"/>
          <w:color w:val="000000"/>
          <w:sz w:val="18"/>
          <w:szCs w:val="18"/>
          <w:lang w:val="en-US"/>
        </w:rPr>
        <w:t xml:space="preserve">A poll was conducted among the experts to assess </w:t>
      </w:r>
      <w:proofErr w:type="gramStart"/>
      <w:r w:rsidRPr="00CE2DD6">
        <w:rPr>
          <w:rFonts w:ascii="Palatino Linotype" w:eastAsia="Palatino Linotype" w:hAnsi="Palatino Linotype" w:cs="Palatino Linotype"/>
          <w:color w:val="000000"/>
          <w:sz w:val="18"/>
          <w:szCs w:val="18"/>
          <w:lang w:val="en-US"/>
        </w:rPr>
        <w:t>operationalization</w:t>
      </w:r>
      <w:proofErr w:type="gramEnd"/>
      <w:r w:rsidRPr="00CE2DD6">
        <w:rPr>
          <w:rFonts w:ascii="Palatino Linotype" w:eastAsia="Palatino Linotype" w:hAnsi="Palatino Linotype" w:cs="Palatino Linotype"/>
          <w:color w:val="000000"/>
          <w:sz w:val="18"/>
          <w:szCs w:val="18"/>
          <w:lang w:val="en-US"/>
        </w:rPr>
        <w:t xml:space="preserve"> of the indicator. According to the results, several experts felt that limited resources and the lack of a sufficiently enabling environment would slow progress on applying the indicator; for many members, operationalization would take more than a year and, in some cases, up to two years. The experts felt that further work is required for progress on the indicator.</w:t>
      </w:r>
    </w:p>
    <w:p w14:paraId="7DE848DE"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As regards the indicator, whereas several component and complementary indicators have sufficient supporting data and are currently operational in some countries, the headline indicator requires further development and testing. This testing may include the generation for some countries of baseline (2011-2020) indicator values using historical data. Data validation and issues around data ownership and sharing can be included as part of the testing. Furthermore, testing and validation will need to address a range of countries with distinct geographical, sociopolitical, </w:t>
      </w:r>
      <w:proofErr w:type="gramStart"/>
      <w:r w:rsidRPr="00CE2DD6">
        <w:rPr>
          <w:rFonts w:ascii="Palatino Linotype" w:eastAsia="Palatino Linotype" w:hAnsi="Palatino Linotype" w:cs="Palatino Linotype"/>
          <w:color w:val="000000"/>
          <w:sz w:val="18"/>
          <w:szCs w:val="18"/>
          <w:lang w:val="en-US"/>
        </w:rPr>
        <w:t>ecological</w:t>
      </w:r>
      <w:proofErr w:type="gramEnd"/>
      <w:r w:rsidRPr="00CE2DD6">
        <w:rPr>
          <w:rFonts w:ascii="Palatino Linotype" w:eastAsia="Palatino Linotype" w:hAnsi="Palatino Linotype" w:cs="Palatino Linotype"/>
          <w:color w:val="000000"/>
          <w:sz w:val="18"/>
          <w:szCs w:val="18"/>
          <w:lang w:val="en-US"/>
        </w:rPr>
        <w:t xml:space="preserve"> and agricultural backgrounds. Several of the experts conduct research on pesticide impacts and indicators of pesticide related risks and continue to actively publish on these topics in scientific journals. These academic experts may be consulted to further progress the indicator for use in global risk assessments. </w:t>
      </w:r>
    </w:p>
    <w:p w14:paraId="53405852"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 xml:space="preserve">The capture </w:t>
      </w:r>
      <w:r w:rsidRPr="00CE2DD6">
        <w:rPr>
          <w:rFonts w:ascii="Palatino Linotype" w:eastAsia="Palatino Linotype" w:hAnsi="Palatino Linotype" w:cs="Palatino Linotype"/>
          <w:sz w:val="18"/>
          <w:szCs w:val="18"/>
          <w:lang w:val="en-US"/>
        </w:rPr>
        <w:t>of data</w:t>
      </w:r>
      <w:r w:rsidRPr="00CE2DD6">
        <w:rPr>
          <w:rFonts w:ascii="Palatino Linotype" w:eastAsia="Palatino Linotype" w:hAnsi="Palatino Linotype" w:cs="Palatino Linotype"/>
          <w:color w:val="000000"/>
          <w:sz w:val="18"/>
          <w:szCs w:val="18"/>
          <w:lang w:val="en-US"/>
        </w:rPr>
        <w:t xml:space="preserve"> on pesticide trade, </w:t>
      </w:r>
      <w:proofErr w:type="gramStart"/>
      <w:r w:rsidRPr="00CE2DD6">
        <w:rPr>
          <w:rFonts w:ascii="Palatino Linotype" w:eastAsia="Palatino Linotype" w:hAnsi="Palatino Linotype" w:cs="Palatino Linotype"/>
          <w:color w:val="000000"/>
          <w:sz w:val="18"/>
          <w:szCs w:val="18"/>
          <w:lang w:val="en-US"/>
        </w:rPr>
        <w:t>sales</w:t>
      </w:r>
      <w:proofErr w:type="gramEnd"/>
      <w:r w:rsidRPr="00CE2DD6">
        <w:rPr>
          <w:rFonts w:ascii="Palatino Linotype" w:eastAsia="Palatino Linotype" w:hAnsi="Palatino Linotype" w:cs="Palatino Linotype"/>
          <w:color w:val="000000"/>
          <w:sz w:val="18"/>
          <w:szCs w:val="18"/>
          <w:lang w:val="en-US"/>
        </w:rPr>
        <w:t xml:space="preserve"> and usage, particularly for LMICs needs to be addressed; and priority for structural development and capacity building given to the most biodiverse countries to operationalize the indicator. Current systems of data collection, reporting and sharing should be assessed for a wide range of countries based on reporting trends apparent from FAOSTAT and other databases, and surveys or stakeholder interviews conducted to assess the legal, </w:t>
      </w:r>
      <w:proofErr w:type="gramStart"/>
      <w:r w:rsidRPr="00CE2DD6">
        <w:rPr>
          <w:rFonts w:ascii="Palatino Linotype" w:eastAsia="Palatino Linotype" w:hAnsi="Palatino Linotype" w:cs="Palatino Linotype"/>
          <w:color w:val="000000"/>
          <w:sz w:val="18"/>
          <w:szCs w:val="18"/>
          <w:lang w:val="en-US"/>
        </w:rPr>
        <w:t>structural</w:t>
      </w:r>
      <w:proofErr w:type="gramEnd"/>
      <w:r w:rsidRPr="00CE2DD6">
        <w:rPr>
          <w:rFonts w:ascii="Palatino Linotype" w:eastAsia="Palatino Linotype" w:hAnsi="Palatino Linotype" w:cs="Palatino Linotype"/>
          <w:color w:val="000000"/>
          <w:sz w:val="18"/>
          <w:szCs w:val="18"/>
          <w:lang w:val="en-US"/>
        </w:rPr>
        <w:t xml:space="preserve"> and technical requirements to advance reporting. This exercise will further highlight countries, institutes and </w:t>
      </w:r>
      <w:proofErr w:type="gramStart"/>
      <w:r w:rsidRPr="00CE2DD6">
        <w:rPr>
          <w:rFonts w:ascii="Palatino Linotype" w:eastAsia="Palatino Linotype" w:hAnsi="Palatino Linotype" w:cs="Palatino Linotype"/>
          <w:color w:val="000000"/>
          <w:sz w:val="18"/>
          <w:szCs w:val="18"/>
          <w:lang w:val="en-US"/>
        </w:rPr>
        <w:t>persons</w:t>
      </w:r>
      <w:proofErr w:type="gramEnd"/>
      <w:r w:rsidRPr="00CE2DD6">
        <w:rPr>
          <w:rFonts w:ascii="Palatino Linotype" w:eastAsia="Palatino Linotype" w:hAnsi="Palatino Linotype" w:cs="Palatino Linotype"/>
          <w:color w:val="000000"/>
          <w:sz w:val="18"/>
          <w:szCs w:val="18"/>
          <w:lang w:val="en-US"/>
        </w:rPr>
        <w:t xml:space="preserve"> that should be prioritized for capacity building. Experts can work with FAO and FAOSTAT to further improve data collection and management on pesticide trade and use.</w:t>
      </w:r>
    </w:p>
    <w:p w14:paraId="66891C60"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color w:val="000000"/>
          <w:sz w:val="18"/>
          <w:szCs w:val="18"/>
          <w:lang w:val="en-US"/>
        </w:rPr>
        <w:t>5 SUMMARY AND RECOMMENDATIONS</w:t>
      </w:r>
    </w:p>
    <w:p w14:paraId="35127FDE"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b/>
          <w:color w:val="000000"/>
          <w:sz w:val="18"/>
          <w:szCs w:val="18"/>
          <w:lang w:val="en-US"/>
        </w:rPr>
      </w:pPr>
      <w:r w:rsidRPr="00CE2DD6">
        <w:rPr>
          <w:rFonts w:ascii="Palatino Linotype" w:eastAsia="Palatino Linotype" w:hAnsi="Palatino Linotype" w:cs="Palatino Linotype"/>
          <w:b/>
          <w:sz w:val="18"/>
          <w:szCs w:val="18"/>
          <w:lang w:val="en-US"/>
        </w:rPr>
        <w:t>Use pesticide sales or usage data (one dataset for each country) for each AI and for all years beginning in 2011.</w:t>
      </w:r>
      <w:r w:rsidRPr="00CE2DD6">
        <w:rPr>
          <w:rFonts w:ascii="Palatino Linotype" w:eastAsia="Palatino Linotype" w:hAnsi="Palatino Linotype" w:cs="Palatino Linotype"/>
          <w:sz w:val="18"/>
          <w:szCs w:val="18"/>
          <w:lang w:val="en-US"/>
        </w:rPr>
        <w:t xml:space="preserve"> Pesticides</w:t>
      </w:r>
      <w:r w:rsidRPr="00CE2DD6">
        <w:rPr>
          <w:rFonts w:ascii="Palatino Linotype" w:eastAsia="Palatino Linotype" w:hAnsi="Palatino Linotype" w:cs="Palatino Linotype"/>
          <w:color w:val="000000"/>
          <w:sz w:val="18"/>
          <w:szCs w:val="18"/>
          <w:lang w:val="en-US"/>
        </w:rPr>
        <w:t xml:space="preserve"> us</w:t>
      </w:r>
      <w:r w:rsidRPr="00CE2DD6">
        <w:rPr>
          <w:rFonts w:ascii="Palatino Linotype" w:eastAsia="Palatino Linotype" w:hAnsi="Palatino Linotype" w:cs="Palatino Linotype"/>
          <w:sz w:val="18"/>
          <w:szCs w:val="18"/>
          <w:lang w:val="en-US"/>
        </w:rPr>
        <w:t>ed</w:t>
      </w:r>
      <w:r w:rsidRPr="00CE2DD6">
        <w:rPr>
          <w:rFonts w:ascii="Palatino Linotype" w:eastAsia="Palatino Linotype" w:hAnsi="Palatino Linotype" w:cs="Palatino Linotype"/>
          <w:color w:val="000000"/>
          <w:sz w:val="18"/>
          <w:szCs w:val="18"/>
          <w:lang w:val="en-US"/>
        </w:rPr>
        <w:t xml:space="preserve"> in all sectors (forestry, veterinary, public health) will be included because trade data includes all sectors – certain sectors may be disaggregated based on pesticides’ registered uses in countries. All active ingredients will be included (i.e., not based on any subsets of pesticides) but only for pesticides considered for outdoor use; however, GMO crops will not be included as a pesticide type; and microbial biopesticides, biological control agents and </w:t>
      </w:r>
      <w:proofErr w:type="spellStart"/>
      <w:r w:rsidRPr="00CE2DD6">
        <w:rPr>
          <w:rFonts w:ascii="Palatino Linotype" w:eastAsia="Palatino Linotype" w:hAnsi="Palatino Linotype" w:cs="Palatino Linotype"/>
          <w:color w:val="000000"/>
          <w:sz w:val="18"/>
          <w:szCs w:val="18"/>
          <w:lang w:val="en-US"/>
        </w:rPr>
        <w:t>nanopesticides</w:t>
      </w:r>
      <w:proofErr w:type="spellEnd"/>
      <w:r w:rsidRPr="00CE2DD6">
        <w:rPr>
          <w:rFonts w:ascii="Palatino Linotype" w:eastAsia="Palatino Linotype" w:hAnsi="Palatino Linotype" w:cs="Palatino Linotype"/>
          <w:color w:val="000000"/>
          <w:sz w:val="18"/>
          <w:szCs w:val="18"/>
          <w:lang w:val="en-US"/>
        </w:rPr>
        <w:t xml:space="preserve"> will not be included as pesticide types. Where possible, toxic adjuvants, solvents or industrial contaminants should be included. Pesticide availability will consider import, </w:t>
      </w:r>
      <w:proofErr w:type="gramStart"/>
      <w:r w:rsidRPr="00CE2DD6">
        <w:rPr>
          <w:rFonts w:ascii="Palatino Linotype" w:eastAsia="Palatino Linotype" w:hAnsi="Palatino Linotype" w:cs="Palatino Linotype"/>
          <w:color w:val="000000"/>
          <w:sz w:val="18"/>
          <w:szCs w:val="18"/>
          <w:lang w:val="en-US"/>
        </w:rPr>
        <w:t>export</w:t>
      </w:r>
      <w:proofErr w:type="gramEnd"/>
      <w:r w:rsidRPr="00CE2DD6">
        <w:rPr>
          <w:rFonts w:ascii="Palatino Linotype" w:eastAsia="Palatino Linotype" w:hAnsi="Palatino Linotype" w:cs="Palatino Linotype"/>
          <w:color w:val="000000"/>
          <w:sz w:val="18"/>
          <w:szCs w:val="18"/>
          <w:lang w:val="en-US"/>
        </w:rPr>
        <w:t xml:space="preserve"> and local production; it will not attempt to include illegally traded products – because country data on illegal pesticides is often missing or difficult to verify. </w:t>
      </w:r>
    </w:p>
    <w:p w14:paraId="21C03E31"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b/>
          <w:color w:val="000000"/>
          <w:sz w:val="18"/>
          <w:szCs w:val="18"/>
          <w:lang w:val="en-US"/>
        </w:rPr>
      </w:pPr>
      <w:r w:rsidRPr="00CE2DD6">
        <w:rPr>
          <w:rFonts w:ascii="Palatino Linotype" w:eastAsia="Palatino Linotype" w:hAnsi="Palatino Linotype" w:cs="Palatino Linotype"/>
          <w:b/>
          <w:color w:val="000000"/>
          <w:sz w:val="18"/>
          <w:szCs w:val="18"/>
          <w:lang w:val="en-US"/>
        </w:rPr>
        <w:t>Total Applied Toxicity (TAT) is a suitable indicator for reducing the effects of pesticides on key biota.</w:t>
      </w:r>
      <w:r w:rsidRPr="00CE2DD6">
        <w:rPr>
          <w:rFonts w:ascii="Palatino Linotype" w:eastAsia="Palatino Linotype" w:hAnsi="Palatino Linotype" w:cs="Palatino Linotype"/>
          <w:color w:val="000000"/>
          <w:sz w:val="18"/>
          <w:szCs w:val="18"/>
          <w:lang w:val="en-US"/>
        </w:rPr>
        <w:t xml:space="preserve"> It relies on widely available data and is simple to calculate while addressing underlying processes in pesticide impacts on biodiversity. The proposed indicator in its published form can be regarded as a component indicator; </w:t>
      </w:r>
      <w:r w:rsidRPr="00CE2DD6">
        <w:rPr>
          <w:rFonts w:ascii="Palatino Linotype" w:eastAsia="Palatino Linotype" w:hAnsi="Palatino Linotype" w:cs="Palatino Linotype"/>
          <w:b/>
          <w:color w:val="000000"/>
          <w:sz w:val="18"/>
          <w:szCs w:val="18"/>
          <w:lang w:val="en-US"/>
        </w:rPr>
        <w:t>but it requires some development and testing to derive a suitable headline indicator and to use this indicator to monitor progress on achieving the GBF targets for risk reduction.</w:t>
      </w:r>
      <w:r w:rsidRPr="00CE2DD6">
        <w:rPr>
          <w:rFonts w:ascii="Palatino Linotype" w:eastAsia="Palatino Linotype" w:hAnsi="Palatino Linotype" w:cs="Palatino Linotype"/>
          <w:color w:val="000000"/>
          <w:sz w:val="18"/>
          <w:szCs w:val="18"/>
          <w:lang w:val="en-US"/>
        </w:rPr>
        <w:t xml:space="preserve"> For further development, the TAT should be normalized by application area (e.g., the area of crop land receiving pesticide applications), it requires a mechanism to aggregate toxicities for different species and species groups into a single value. Such a headline indicator could be called ATAT. </w:t>
      </w:r>
      <w:r w:rsidRPr="00CE2DD6">
        <w:rPr>
          <w:rFonts w:ascii="Palatino Linotype" w:eastAsia="Palatino Linotype" w:hAnsi="Palatino Linotype" w:cs="Palatino Linotype"/>
          <w:b/>
          <w:color w:val="000000"/>
          <w:sz w:val="18"/>
          <w:szCs w:val="18"/>
          <w:lang w:val="en-US"/>
        </w:rPr>
        <w:t>The expert group will submit the metadata for an indicator based on TAT, noting the need for its further development. The expert group further invites FAO to establish an inclusive working group on target 7b to advise on implementation and monitoring of the target.</w:t>
      </w:r>
    </w:p>
    <w:p w14:paraId="671EAFC5"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b/>
          <w:color w:val="000000"/>
          <w:sz w:val="18"/>
          <w:szCs w:val="18"/>
          <w:lang w:val="en-US"/>
        </w:rPr>
        <w:t>Data on pesticide properties are currently widely available on open-source platforms and are sufficiently detailed to permit calculation of TAT and several complementary indicators.</w:t>
      </w:r>
      <w:r w:rsidRPr="00CE2DD6">
        <w:rPr>
          <w:rFonts w:ascii="Palatino Linotype" w:eastAsia="Palatino Linotype" w:hAnsi="Palatino Linotype" w:cs="Palatino Linotype"/>
          <w:color w:val="000000"/>
          <w:sz w:val="18"/>
          <w:szCs w:val="18"/>
          <w:lang w:val="en-US"/>
        </w:rPr>
        <w:t xml:space="preserve"> Decisions </w:t>
      </w:r>
      <w:proofErr w:type="gramStart"/>
      <w:r w:rsidRPr="00CE2DD6">
        <w:rPr>
          <w:rFonts w:ascii="Palatino Linotype" w:eastAsia="Palatino Linotype" w:hAnsi="Palatino Linotype" w:cs="Palatino Linotype"/>
          <w:color w:val="000000"/>
          <w:sz w:val="18"/>
          <w:szCs w:val="18"/>
          <w:lang w:val="en-US"/>
        </w:rPr>
        <w:t>have to</w:t>
      </w:r>
      <w:proofErr w:type="gramEnd"/>
      <w:r w:rsidRPr="00CE2DD6">
        <w:rPr>
          <w:rFonts w:ascii="Palatino Linotype" w:eastAsia="Palatino Linotype" w:hAnsi="Palatino Linotype" w:cs="Palatino Linotype"/>
          <w:color w:val="000000"/>
          <w:sz w:val="18"/>
          <w:szCs w:val="18"/>
          <w:lang w:val="en-US"/>
        </w:rPr>
        <w:t xml:space="preserve"> be made about which load indicators (i.e., species of species groups) should be used to calculate TAT and which standard data sources can be </w:t>
      </w:r>
      <w:r w:rsidRPr="00CE2DD6">
        <w:rPr>
          <w:rFonts w:ascii="Palatino Linotype" w:eastAsia="Palatino Linotype" w:hAnsi="Palatino Linotype" w:cs="Palatino Linotype"/>
          <w:color w:val="000000"/>
          <w:sz w:val="18"/>
          <w:szCs w:val="18"/>
          <w:lang w:val="en-US"/>
        </w:rPr>
        <w:lastRenderedPageBreak/>
        <w:t xml:space="preserve">recommended for all countries. Pesticide toxicity should entail a single, global data set based on 9 groups of organisms (aquatic invertebrates, terrestrial invertebrates, pollinators, aquatic plants, terrestrial plants, fish, mammals (humans), birds, and soil organisms). Acute and, if available, chronic toxicity data should be used for the nine groups of organisms (based on lab studies using OECD guidelines) and applying respective regulatory threshold levels (=RTL). </w:t>
      </w:r>
      <w:r w:rsidRPr="00CE2DD6">
        <w:rPr>
          <w:rFonts w:ascii="Palatino Linotype" w:eastAsia="Arial" w:hAnsi="Palatino Linotype" w:cs="Arial"/>
          <w:color w:val="000000"/>
          <w:sz w:val="18"/>
          <w:szCs w:val="18"/>
          <w:lang w:val="en-US"/>
        </w:rPr>
        <w:t xml:space="preserve">Chronic toxicity can be adjusted using persistence values for the substance (as is done in the Danish and UK PLI) to provide a more accurate picture of ecotoxicity. </w:t>
      </w:r>
      <w:r w:rsidRPr="00CE2DD6">
        <w:rPr>
          <w:rFonts w:ascii="Palatino Linotype" w:eastAsia="Palatino Linotype" w:hAnsi="Palatino Linotype" w:cs="Palatino Linotype"/>
          <w:color w:val="000000"/>
          <w:sz w:val="18"/>
          <w:szCs w:val="18"/>
          <w:lang w:val="en-US"/>
        </w:rPr>
        <w:t>Means of RTLs for each compound and species group could be calculated – this would result in ca 15 acute and chronic RTL values for 400-600 pesticides. A suitable protocol for calculating RTLs should be provided.</w:t>
      </w:r>
    </w:p>
    <w:p w14:paraId="1F4A0DD5"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color w:val="000000"/>
          <w:sz w:val="18"/>
          <w:szCs w:val="18"/>
          <w:lang w:val="en-US"/>
        </w:rPr>
      </w:pPr>
      <w:r w:rsidRPr="00CE2DD6">
        <w:rPr>
          <w:rFonts w:ascii="Palatino Linotype" w:eastAsia="Palatino Linotype" w:hAnsi="Palatino Linotype" w:cs="Palatino Linotype"/>
          <w:b/>
          <w:color w:val="000000"/>
          <w:sz w:val="18"/>
          <w:szCs w:val="18"/>
          <w:lang w:val="en-US"/>
        </w:rPr>
        <w:t>Data on crop areas and agricultural and forestry production are available from relevant agriculture and trade ministries in most countries</w:t>
      </w:r>
      <w:r w:rsidRPr="00CE2DD6">
        <w:rPr>
          <w:rFonts w:ascii="Palatino Linotype" w:eastAsia="Palatino Linotype" w:hAnsi="Palatino Linotype" w:cs="Palatino Linotype"/>
          <w:color w:val="000000"/>
          <w:sz w:val="18"/>
          <w:szCs w:val="18"/>
          <w:lang w:val="en-US"/>
        </w:rPr>
        <w:t xml:space="preserve"> and historical data is available through FAOSTAT in sufficient detail to normalize the indicator. </w:t>
      </w:r>
      <w:r w:rsidRPr="00CE2DD6">
        <w:rPr>
          <w:rFonts w:ascii="Palatino Linotype" w:eastAsia="Palatino Linotype" w:hAnsi="Palatino Linotype" w:cs="Palatino Linotype"/>
          <w:b/>
          <w:color w:val="000000"/>
          <w:sz w:val="18"/>
          <w:szCs w:val="18"/>
          <w:lang w:val="en-US"/>
        </w:rPr>
        <w:t>Data on species richness, endemism and the spatial distribution of species or species groups is generally available</w:t>
      </w:r>
      <w:r w:rsidRPr="00CE2DD6">
        <w:rPr>
          <w:rFonts w:ascii="Palatino Linotype" w:eastAsia="Palatino Linotype" w:hAnsi="Palatino Linotype" w:cs="Palatino Linotype"/>
          <w:color w:val="000000"/>
          <w:sz w:val="18"/>
          <w:szCs w:val="18"/>
          <w:lang w:val="en-US"/>
        </w:rPr>
        <w:t xml:space="preserve"> from national biodiversity databases or based on published records. </w:t>
      </w:r>
    </w:p>
    <w:p w14:paraId="7701621E" w14:textId="77777777" w:rsidR="00CE2DD6" w:rsidRPr="00CE2DD6" w:rsidRDefault="00CE2DD6" w:rsidP="00CE2DD6">
      <w:pPr>
        <w:pBdr>
          <w:top w:val="nil"/>
          <w:left w:val="nil"/>
          <w:bottom w:val="nil"/>
          <w:right w:val="nil"/>
          <w:between w:val="nil"/>
        </w:pBdr>
        <w:spacing w:after="200"/>
        <w:jc w:val="left"/>
        <w:rPr>
          <w:rFonts w:ascii="Palatino Linotype" w:eastAsia="Palatino Linotype" w:hAnsi="Palatino Linotype" w:cs="Palatino Linotype"/>
          <w:b/>
          <w:color w:val="000000"/>
          <w:sz w:val="18"/>
          <w:szCs w:val="18"/>
          <w:lang w:val="en-US"/>
        </w:rPr>
      </w:pPr>
      <w:r w:rsidRPr="00CE2DD6">
        <w:rPr>
          <w:rFonts w:ascii="Palatino Linotype" w:eastAsia="Palatino Linotype" w:hAnsi="Palatino Linotype" w:cs="Palatino Linotype"/>
          <w:b/>
          <w:color w:val="000000"/>
          <w:sz w:val="18"/>
          <w:szCs w:val="18"/>
          <w:lang w:val="en-US"/>
        </w:rPr>
        <w:t xml:space="preserve">Data on pesticide sales and usage, although </w:t>
      </w:r>
      <w:r w:rsidRPr="00CE2DD6">
        <w:rPr>
          <w:rFonts w:ascii="Palatino Linotype" w:eastAsia="Palatino Linotype" w:hAnsi="Palatino Linotype" w:cs="Palatino Linotype"/>
          <w:b/>
          <w:sz w:val="18"/>
          <w:szCs w:val="18"/>
          <w:lang w:val="en-US"/>
        </w:rPr>
        <w:t>it</w:t>
      </w:r>
      <w:r w:rsidRPr="00CE2DD6">
        <w:rPr>
          <w:rFonts w:ascii="Palatino Linotype" w:eastAsia="Palatino Linotype" w:hAnsi="Palatino Linotype" w:cs="Palatino Linotype"/>
          <w:b/>
          <w:color w:val="000000"/>
          <w:sz w:val="18"/>
          <w:szCs w:val="18"/>
          <w:lang w:val="en-US"/>
        </w:rPr>
        <w:t xml:space="preserve"> exists for most countries, may not always be accessible or sufficiently disaggregated to support computation of TAT.</w:t>
      </w:r>
      <w:r w:rsidRPr="00CE2DD6">
        <w:rPr>
          <w:rFonts w:ascii="Palatino Linotype" w:eastAsia="Palatino Linotype" w:hAnsi="Palatino Linotype" w:cs="Palatino Linotype"/>
          <w:color w:val="000000"/>
          <w:sz w:val="18"/>
          <w:szCs w:val="18"/>
          <w:lang w:val="en-US"/>
        </w:rPr>
        <w:t xml:space="preserve"> Trade data are more widely available than sales or usage data and can be used to calibrate models that estimate usage based on crops, acreage, and recommended application rates. In the absence of available, disaggregated data on usage, and until countries have developed adequate reporting systems for pesticide use, PEST-CHEMGRIDs or other similar models can be used to estimate usage. </w:t>
      </w:r>
      <w:r w:rsidRPr="00CE2DD6">
        <w:rPr>
          <w:rFonts w:ascii="Palatino Linotype" w:eastAsia="Palatino Linotype" w:hAnsi="Palatino Linotype" w:cs="Palatino Linotype"/>
          <w:b/>
          <w:color w:val="000000"/>
          <w:sz w:val="18"/>
          <w:szCs w:val="18"/>
          <w:lang w:val="en-US"/>
        </w:rPr>
        <w:t xml:space="preserve">Where sales or use data is unavailable for countries, usage can be estimated based on crop composition (up to 100 main crops or at least crop groups), pesticide label information (application rates, etc.), and basing usage on data </w:t>
      </w:r>
      <w:r w:rsidRPr="00CE2DD6">
        <w:rPr>
          <w:rFonts w:ascii="Palatino Linotype" w:eastAsia="Palatino Linotype" w:hAnsi="Palatino Linotype" w:cs="Palatino Linotype"/>
          <w:b/>
          <w:sz w:val="18"/>
          <w:szCs w:val="18"/>
          <w:lang w:val="en-US"/>
        </w:rPr>
        <w:t>from</w:t>
      </w:r>
      <w:r w:rsidRPr="00CE2DD6">
        <w:rPr>
          <w:rFonts w:ascii="Palatino Linotype" w:eastAsia="Palatino Linotype" w:hAnsi="Palatino Linotype" w:cs="Palatino Linotype"/>
          <w:b/>
          <w:color w:val="000000"/>
          <w:sz w:val="18"/>
          <w:szCs w:val="18"/>
          <w:lang w:val="en-US"/>
        </w:rPr>
        <w:t xml:space="preserve"> similar countries.</w:t>
      </w:r>
      <w:r w:rsidRPr="00CE2DD6">
        <w:rPr>
          <w:rFonts w:ascii="Palatino Linotype" w:eastAsia="Palatino Linotype" w:hAnsi="Palatino Linotype" w:cs="Palatino Linotype"/>
          <w:color w:val="000000"/>
          <w:sz w:val="18"/>
          <w:szCs w:val="18"/>
          <w:lang w:val="en-US"/>
        </w:rPr>
        <w:t xml:space="preserve"> Resources and training are required to support countries to inventory pesticide trade with sufficient detail that allows risk assessment and to monitor pesticide use by sector, </w:t>
      </w:r>
      <w:proofErr w:type="gramStart"/>
      <w:r w:rsidRPr="00CE2DD6">
        <w:rPr>
          <w:rFonts w:ascii="Palatino Linotype" w:eastAsia="Palatino Linotype" w:hAnsi="Palatino Linotype" w:cs="Palatino Linotype"/>
          <w:color w:val="000000"/>
          <w:sz w:val="18"/>
          <w:szCs w:val="18"/>
          <w:lang w:val="en-US"/>
        </w:rPr>
        <w:t>crop</w:t>
      </w:r>
      <w:proofErr w:type="gramEnd"/>
      <w:r w:rsidRPr="00CE2DD6">
        <w:rPr>
          <w:rFonts w:ascii="Palatino Linotype" w:eastAsia="Palatino Linotype" w:hAnsi="Palatino Linotype" w:cs="Palatino Linotype"/>
          <w:color w:val="000000"/>
          <w:sz w:val="18"/>
          <w:szCs w:val="18"/>
          <w:lang w:val="en-US"/>
        </w:rPr>
        <w:t xml:space="preserve"> and </w:t>
      </w:r>
      <w:r w:rsidRPr="00CE2DD6">
        <w:rPr>
          <w:rFonts w:ascii="Palatino Linotype" w:eastAsia="Palatino Linotype" w:hAnsi="Palatino Linotype" w:cs="Palatino Linotype"/>
          <w:sz w:val="18"/>
          <w:szCs w:val="18"/>
          <w:lang w:val="en-US"/>
        </w:rPr>
        <w:t>administrative units</w:t>
      </w:r>
      <w:r w:rsidRPr="00CE2DD6">
        <w:rPr>
          <w:rFonts w:ascii="Palatino Linotype" w:eastAsia="Palatino Linotype" w:hAnsi="Palatino Linotype" w:cs="Palatino Linotype"/>
          <w:color w:val="000000"/>
          <w:sz w:val="18"/>
          <w:szCs w:val="18"/>
          <w:lang w:val="en-US"/>
        </w:rPr>
        <w:t xml:space="preserve">. To this end, the expert group </w:t>
      </w:r>
      <w:r w:rsidRPr="00CE2DD6">
        <w:rPr>
          <w:rFonts w:ascii="Palatino Linotype" w:eastAsia="Palatino Linotype" w:hAnsi="Palatino Linotype" w:cs="Palatino Linotype"/>
          <w:b/>
          <w:color w:val="000000"/>
          <w:sz w:val="18"/>
          <w:szCs w:val="18"/>
          <w:lang w:val="en-US"/>
        </w:rPr>
        <w:t xml:space="preserve">invites FAO to lead/establish a mechanism for the indicator methodology, testing, and supporting implementation of target 7b, including through capacity building and data collection and </w:t>
      </w:r>
      <w:proofErr w:type="gramStart"/>
      <w:r w:rsidRPr="00CE2DD6">
        <w:rPr>
          <w:rFonts w:ascii="Palatino Linotype" w:eastAsia="Palatino Linotype" w:hAnsi="Palatino Linotype" w:cs="Palatino Linotype"/>
          <w:b/>
          <w:color w:val="000000"/>
          <w:sz w:val="18"/>
          <w:szCs w:val="18"/>
          <w:lang w:val="en-US"/>
        </w:rPr>
        <w:t>management</w:t>
      </w:r>
      <w:proofErr w:type="gramEnd"/>
    </w:p>
    <w:p w14:paraId="0B1E0C84" w14:textId="77777777" w:rsidR="00CE2DD6" w:rsidRPr="00CE2DD6" w:rsidRDefault="00CE2DD6" w:rsidP="00CE2DD6">
      <w:pPr>
        <w:tabs>
          <w:tab w:val="left" w:pos="1711"/>
        </w:tabs>
        <w:spacing w:after="200" w:line="276" w:lineRule="auto"/>
        <w:jc w:val="left"/>
        <w:rPr>
          <w:rFonts w:ascii="Palatino Linotype" w:eastAsia="Palatino Linotype" w:hAnsi="Palatino Linotype" w:cs="Palatino Linotype"/>
          <w:b/>
          <w:sz w:val="18"/>
          <w:szCs w:val="18"/>
          <w:lang w:val="en-US"/>
        </w:rPr>
      </w:pPr>
      <w:r w:rsidRPr="00CE2DD6">
        <w:rPr>
          <w:rFonts w:ascii="Palatino Linotype" w:eastAsia="Palatino Linotype" w:hAnsi="Palatino Linotype" w:cs="Palatino Linotype"/>
          <w:sz w:val="18"/>
          <w:szCs w:val="18"/>
          <w:lang w:val="en-US"/>
        </w:rPr>
        <w:t>RESOURCES</w:t>
      </w:r>
      <w:r w:rsidRPr="00CE2DD6">
        <w:rPr>
          <w:rFonts w:ascii="Palatino Linotype" w:eastAsia="Palatino Linotype" w:hAnsi="Palatino Linotype" w:cs="Palatino Linotype"/>
          <w:sz w:val="18"/>
          <w:szCs w:val="18"/>
          <w:lang w:val="en-US"/>
        </w:rPr>
        <w:tab/>
      </w:r>
    </w:p>
    <w:p w14:paraId="1AD2E1EC"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w:t>
      </w:r>
      <w:r w:rsidRPr="00CE2DD6">
        <w:rPr>
          <w:rFonts w:ascii="Palatino Linotype" w:eastAsia="Palatino Linotype" w:hAnsi="Palatino Linotype" w:cs="Palatino Linotype"/>
          <w:sz w:val="16"/>
          <w:szCs w:val="16"/>
          <w:lang w:val="en-US"/>
        </w:rPr>
        <w:tab/>
        <w:t>Convention on Biodiversity. Decision adopted by the Conference of the Parties to the Convention on Biodiversity: 15/4 Kunming-Montreal Global Biodiversity Framework. Available online: https://</w:t>
      </w:r>
      <w:hyperlink r:id="rId15">
        <w:r w:rsidRPr="00CE2DD6">
          <w:rPr>
            <w:rFonts w:ascii="Palatino Linotype" w:eastAsia="Palatino Linotype" w:hAnsi="Palatino Linotype" w:cs="Palatino Linotype"/>
            <w:sz w:val="16"/>
            <w:szCs w:val="16"/>
            <w:lang w:val="en-US"/>
          </w:rPr>
          <w:t>www.cbd.int/doc/decisions/cop-15/cop-15-dec-04-en.pdf</w:t>
        </w:r>
      </w:hyperlink>
      <w:r w:rsidRPr="00CE2DD6">
        <w:rPr>
          <w:rFonts w:ascii="Palatino Linotype" w:eastAsia="Palatino Linotype" w:hAnsi="Palatino Linotype" w:cs="Palatino Linotype"/>
          <w:sz w:val="16"/>
          <w:szCs w:val="16"/>
          <w:lang w:val="en-US"/>
        </w:rPr>
        <w:t xml:space="preserve"> (accessed on 15 February 2024)</w:t>
      </w:r>
    </w:p>
    <w:p w14:paraId="2731D687"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2.</w:t>
      </w:r>
      <w:r w:rsidRPr="00CE2DD6">
        <w:rPr>
          <w:rFonts w:ascii="Palatino Linotype" w:eastAsia="Palatino Linotype" w:hAnsi="Palatino Linotype" w:cs="Palatino Linotype"/>
          <w:sz w:val="16"/>
          <w:szCs w:val="16"/>
          <w:lang w:val="en-US"/>
        </w:rPr>
        <w:tab/>
        <w:t>Convention on Biodiversity. Monitoring framework for the Kunming-Montreal Global Biodiversity Framework. Available online: https://</w:t>
      </w:r>
      <w:hyperlink r:id="rId16">
        <w:r w:rsidRPr="00CE2DD6">
          <w:rPr>
            <w:rFonts w:ascii="Palatino Linotype" w:eastAsia="Palatino Linotype" w:hAnsi="Palatino Linotype" w:cs="Palatino Linotype"/>
            <w:sz w:val="16"/>
            <w:szCs w:val="16"/>
            <w:lang w:val="en-US"/>
          </w:rPr>
          <w:t>www.cbd.int/doc/decisions/cop-15/cop-15-dec-05-en.pdf</w:t>
        </w:r>
      </w:hyperlink>
      <w:r w:rsidRPr="00CE2DD6">
        <w:rPr>
          <w:rFonts w:ascii="Palatino Linotype" w:eastAsia="Palatino Linotype" w:hAnsi="Palatino Linotype" w:cs="Palatino Linotype"/>
          <w:sz w:val="16"/>
          <w:szCs w:val="16"/>
          <w:lang w:val="en-US"/>
        </w:rPr>
        <w:t xml:space="preserve"> (accessed on 15 February 2024)</w:t>
      </w:r>
    </w:p>
    <w:p w14:paraId="3DFFD0EF"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3.</w:t>
      </w:r>
      <w:r w:rsidRPr="00CE2DD6">
        <w:rPr>
          <w:rFonts w:ascii="Palatino Linotype" w:eastAsia="Palatino Linotype" w:hAnsi="Palatino Linotype" w:cs="Palatino Linotype"/>
          <w:sz w:val="16"/>
          <w:szCs w:val="16"/>
          <w:lang w:val="en-US"/>
        </w:rPr>
        <w:tab/>
        <w:t>Convention on Biodiversity. Report of the Ad Hoc Technical Expert Group on Indicators for the Kunming-Montreal Global Biodiversity Framework on its third meeting. Available online: https://</w:t>
      </w:r>
      <w:hyperlink r:id="rId17">
        <w:r w:rsidRPr="00CE2DD6">
          <w:rPr>
            <w:rFonts w:ascii="Palatino Linotype" w:eastAsia="Palatino Linotype" w:hAnsi="Palatino Linotype" w:cs="Palatino Linotype"/>
            <w:sz w:val="16"/>
            <w:szCs w:val="16"/>
            <w:lang w:val="en-US"/>
          </w:rPr>
          <w:t>www.cbd.int/doc/c/f22d/ab58/236acdd54779ab58b97aecf1/ind-ahteg-2023-03-02-en.pdf</w:t>
        </w:r>
      </w:hyperlink>
      <w:r w:rsidRPr="00CE2DD6">
        <w:rPr>
          <w:rFonts w:ascii="Palatino Linotype" w:eastAsia="Palatino Linotype" w:hAnsi="Palatino Linotype" w:cs="Palatino Linotype"/>
          <w:sz w:val="16"/>
          <w:szCs w:val="16"/>
          <w:lang w:val="en-US"/>
        </w:rPr>
        <w:t xml:space="preserve"> (accessed on 15 February 2024)</w:t>
      </w:r>
    </w:p>
    <w:p w14:paraId="19FF3D23"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4.</w:t>
      </w:r>
      <w:r w:rsidRPr="00CE2DD6">
        <w:rPr>
          <w:rFonts w:ascii="Palatino Linotype" w:eastAsia="Palatino Linotype" w:hAnsi="Palatino Linotype" w:cs="Palatino Linotype"/>
          <w:sz w:val="16"/>
          <w:szCs w:val="16"/>
          <w:lang w:val="en-US"/>
        </w:rPr>
        <w:tab/>
        <w:t>Convention on Biodiversity. Call for nominations of experts for a meeting to develop a methodology for Headline indicator 7.2 (pesticide environmental concentration) under the monitoring framework of the Kunming-Montreal Global Biodiversity Framework, 23-24 January 2024 – Rome, Italy. Available online: https://</w:t>
      </w:r>
      <w:hyperlink r:id="rId18">
        <w:r w:rsidRPr="00CE2DD6">
          <w:rPr>
            <w:rFonts w:ascii="Palatino Linotype" w:eastAsia="Palatino Linotype" w:hAnsi="Palatino Linotype" w:cs="Palatino Linotype"/>
            <w:sz w:val="16"/>
            <w:szCs w:val="16"/>
            <w:lang w:val="en-US"/>
          </w:rPr>
          <w:t>www.cbd.int/doc/notifications/2023/ntf-2023-123-agriculture-en.pdf</w:t>
        </w:r>
      </w:hyperlink>
      <w:r w:rsidRPr="00CE2DD6">
        <w:rPr>
          <w:rFonts w:ascii="Palatino Linotype" w:eastAsia="Palatino Linotype" w:hAnsi="Palatino Linotype" w:cs="Palatino Linotype"/>
          <w:sz w:val="16"/>
          <w:szCs w:val="16"/>
          <w:lang w:val="en-US"/>
        </w:rPr>
        <w:t xml:space="preserve"> (accessed on 15 February 2024)</w:t>
      </w:r>
    </w:p>
    <w:p w14:paraId="6FD93929"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5.</w:t>
      </w:r>
      <w:r w:rsidRPr="00CE2DD6">
        <w:rPr>
          <w:rFonts w:ascii="Palatino Linotype" w:eastAsia="Palatino Linotype" w:hAnsi="Palatino Linotype" w:cs="Palatino Linotype"/>
          <w:sz w:val="16"/>
          <w:szCs w:val="16"/>
          <w:lang w:val="en-US"/>
        </w:rPr>
        <w:tab/>
        <w:t>Convention on Biodiversity. Extension of deadline: Call for nominations of experts for a meeting to develop a methodology for Headline indicator 7.2 (pesticide environmental concentration) under the monitoring framework of the Kunming-Montreal Global Biodiversity Framework, 23-24 January 2024 – Rome, Italy. Available online: https://</w:t>
      </w:r>
      <w:hyperlink r:id="rId19">
        <w:r w:rsidRPr="00CE2DD6">
          <w:rPr>
            <w:rFonts w:ascii="Palatino Linotype" w:eastAsia="Palatino Linotype" w:hAnsi="Palatino Linotype" w:cs="Palatino Linotype"/>
            <w:sz w:val="16"/>
            <w:szCs w:val="16"/>
            <w:lang w:val="en-US"/>
          </w:rPr>
          <w:t>www.cbd.int/notifications/2023-127</w:t>
        </w:r>
      </w:hyperlink>
      <w:r w:rsidRPr="00CE2DD6">
        <w:rPr>
          <w:rFonts w:ascii="Palatino Linotype" w:eastAsia="Palatino Linotype" w:hAnsi="Palatino Linotype" w:cs="Palatino Linotype"/>
          <w:sz w:val="16"/>
          <w:szCs w:val="16"/>
          <w:lang w:val="en-US"/>
        </w:rPr>
        <w:t xml:space="preserve"> (accessed on 15 February 2024)</w:t>
      </w:r>
    </w:p>
    <w:p w14:paraId="7B72C4BD"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6.</w:t>
      </w:r>
      <w:r w:rsidRPr="00CE2DD6">
        <w:rPr>
          <w:rFonts w:ascii="Palatino Linotype" w:eastAsia="Palatino Linotype" w:hAnsi="Palatino Linotype" w:cs="Palatino Linotype"/>
          <w:sz w:val="16"/>
          <w:szCs w:val="16"/>
          <w:lang w:val="en-US"/>
        </w:rPr>
        <w:tab/>
        <w:t>Kanter, D.; Möhring, N.; Leadley, P.; Aziz, T.; Castro, I.; Maggi, F.; Schulz, R.; Schulte-Uebbing, L.; Tang, F.; Zhang, X. Science briefs for target 7 of the post-2020 Global Biodiversity Framework. Available online: https://geobon.org/wp-content/uploads/2022/06/T7_brief.pdf (accessed on 15 February 2024)</w:t>
      </w:r>
    </w:p>
    <w:p w14:paraId="7CF287C2"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7.</w:t>
      </w:r>
      <w:r w:rsidRPr="00CE2DD6">
        <w:rPr>
          <w:rFonts w:ascii="Palatino Linotype" w:eastAsia="Palatino Linotype" w:hAnsi="Palatino Linotype" w:cs="Palatino Linotype"/>
          <w:sz w:val="16"/>
          <w:szCs w:val="16"/>
          <w:lang w:val="en-US"/>
        </w:rPr>
        <w:tab/>
        <w:t xml:space="preserve">Convention on Biodiversity. Science briefs on targets, </w:t>
      </w:r>
      <w:proofErr w:type="gramStart"/>
      <w:r w:rsidRPr="00CE2DD6">
        <w:rPr>
          <w:rFonts w:ascii="Palatino Linotype" w:eastAsia="Palatino Linotype" w:hAnsi="Palatino Linotype" w:cs="Palatino Linotype"/>
          <w:sz w:val="16"/>
          <w:szCs w:val="16"/>
          <w:lang w:val="en-US"/>
        </w:rPr>
        <w:t>goals</w:t>
      </w:r>
      <w:proofErr w:type="gramEnd"/>
      <w:r w:rsidRPr="00CE2DD6">
        <w:rPr>
          <w:rFonts w:ascii="Palatino Linotype" w:eastAsia="Palatino Linotype" w:hAnsi="Palatino Linotype" w:cs="Palatino Linotype"/>
          <w:sz w:val="16"/>
          <w:szCs w:val="16"/>
          <w:lang w:val="en-US"/>
        </w:rPr>
        <w:t xml:space="preserve"> and monitoring in support of the post-2020 Global Biodiversity Framework negotiations. Available online: https://</w:t>
      </w:r>
      <w:hyperlink r:id="rId20">
        <w:r w:rsidRPr="00CE2DD6">
          <w:rPr>
            <w:rFonts w:ascii="Palatino Linotype" w:eastAsia="Palatino Linotype" w:hAnsi="Palatino Linotype" w:cs="Palatino Linotype"/>
            <w:sz w:val="16"/>
            <w:szCs w:val="16"/>
            <w:lang w:val="en-US"/>
          </w:rPr>
          <w:t>www.cbd.int/doc/c/c874/6eb7/813f0201cd67299c9eb10a4a/wg2020-04-inf-02-rev-02-en.pdf</w:t>
        </w:r>
      </w:hyperlink>
      <w:r w:rsidRPr="00CE2DD6">
        <w:rPr>
          <w:rFonts w:ascii="Palatino Linotype" w:eastAsia="Palatino Linotype" w:hAnsi="Palatino Linotype" w:cs="Palatino Linotype"/>
          <w:sz w:val="16"/>
          <w:szCs w:val="16"/>
          <w:lang w:val="en-US"/>
        </w:rPr>
        <w:t xml:space="preserve"> (accessed on 15 February 2024)</w:t>
      </w:r>
    </w:p>
    <w:p w14:paraId="7F4F1C7A"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8.</w:t>
      </w:r>
      <w:r w:rsidRPr="00CE2DD6">
        <w:rPr>
          <w:rFonts w:ascii="Palatino Linotype" w:eastAsia="Palatino Linotype" w:hAnsi="Palatino Linotype" w:cs="Palatino Linotype"/>
          <w:sz w:val="16"/>
          <w:szCs w:val="16"/>
          <w:lang w:val="en-US"/>
        </w:rPr>
        <w:tab/>
        <w:t xml:space="preserve">Brown, C.; Hart, A.; Lewis, K.; Dubus, I. p-EMA (I): simulating the environmental fate of pesticides for a farm-level risk assessment system. </w:t>
      </w:r>
      <w:proofErr w:type="spellStart"/>
      <w:r w:rsidRPr="00CE2DD6">
        <w:rPr>
          <w:rFonts w:ascii="Palatino Linotype" w:eastAsia="Palatino Linotype" w:hAnsi="Palatino Linotype" w:cs="Palatino Linotype"/>
          <w:i/>
          <w:sz w:val="16"/>
          <w:szCs w:val="16"/>
          <w:lang w:val="en-US"/>
        </w:rPr>
        <w:t>Agronomie</w:t>
      </w:r>
      <w:proofErr w:type="spellEnd"/>
      <w:r w:rsidRPr="00CE2DD6">
        <w:rPr>
          <w:rFonts w:ascii="Palatino Linotype" w:eastAsia="Palatino Linotype" w:hAnsi="Palatino Linotype" w:cs="Palatino Linotype"/>
          <w:i/>
          <w:sz w:val="16"/>
          <w:szCs w:val="16"/>
          <w:lang w:val="en-US"/>
        </w:rPr>
        <w:t xml:space="preserve"> </w:t>
      </w:r>
      <w:r w:rsidRPr="00CE2DD6">
        <w:rPr>
          <w:rFonts w:ascii="Palatino Linotype" w:eastAsia="Palatino Linotype" w:hAnsi="Palatino Linotype" w:cs="Palatino Linotype"/>
          <w:b/>
          <w:sz w:val="16"/>
          <w:szCs w:val="16"/>
          <w:lang w:val="en-US"/>
        </w:rPr>
        <w:t>2003</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23</w:t>
      </w:r>
      <w:r w:rsidRPr="00CE2DD6">
        <w:rPr>
          <w:rFonts w:ascii="Palatino Linotype" w:eastAsia="Palatino Linotype" w:hAnsi="Palatino Linotype" w:cs="Palatino Linotype"/>
          <w:sz w:val="16"/>
          <w:szCs w:val="16"/>
          <w:lang w:val="en-US"/>
        </w:rPr>
        <w:t>, 67-74.</w:t>
      </w:r>
    </w:p>
    <w:p w14:paraId="19047008"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9.</w:t>
      </w:r>
      <w:r w:rsidRPr="00CE2DD6">
        <w:rPr>
          <w:rFonts w:ascii="Palatino Linotype" w:eastAsia="Palatino Linotype" w:hAnsi="Palatino Linotype" w:cs="Palatino Linotype"/>
          <w:sz w:val="16"/>
          <w:szCs w:val="16"/>
          <w:lang w:val="en-US"/>
        </w:rPr>
        <w:tab/>
        <w:t xml:space="preserve">Hart, A.; Brown, C.; Lewis, K.; </w:t>
      </w:r>
      <w:proofErr w:type="spellStart"/>
      <w:r w:rsidRPr="00CE2DD6">
        <w:rPr>
          <w:rFonts w:ascii="Palatino Linotype" w:eastAsia="Palatino Linotype" w:hAnsi="Palatino Linotype" w:cs="Palatino Linotype"/>
          <w:sz w:val="16"/>
          <w:szCs w:val="16"/>
          <w:lang w:val="en-US"/>
        </w:rPr>
        <w:t>Tzilivakis</w:t>
      </w:r>
      <w:proofErr w:type="spellEnd"/>
      <w:r w:rsidRPr="00CE2DD6">
        <w:rPr>
          <w:rFonts w:ascii="Palatino Linotype" w:eastAsia="Palatino Linotype" w:hAnsi="Palatino Linotype" w:cs="Palatino Linotype"/>
          <w:sz w:val="16"/>
          <w:szCs w:val="16"/>
          <w:lang w:val="en-US"/>
        </w:rPr>
        <w:t xml:space="preserve">, J. p-EMA (II): evaluating ecological risks of pesticides for a farm-level risk assessment system. </w:t>
      </w:r>
      <w:proofErr w:type="spellStart"/>
      <w:r w:rsidRPr="00CE2DD6">
        <w:rPr>
          <w:rFonts w:ascii="Palatino Linotype" w:eastAsia="Palatino Linotype" w:hAnsi="Palatino Linotype" w:cs="Palatino Linotype"/>
          <w:i/>
          <w:sz w:val="16"/>
          <w:szCs w:val="16"/>
          <w:lang w:val="en-US"/>
        </w:rPr>
        <w:t>Agronomie</w:t>
      </w:r>
      <w:proofErr w:type="spellEnd"/>
      <w:r w:rsidRPr="00CE2DD6">
        <w:rPr>
          <w:rFonts w:ascii="Palatino Linotype" w:eastAsia="Palatino Linotype" w:hAnsi="Palatino Linotype" w:cs="Palatino Linotype"/>
          <w:i/>
          <w:sz w:val="16"/>
          <w:szCs w:val="16"/>
          <w:lang w:val="en-US"/>
        </w:rPr>
        <w:t xml:space="preserve"> </w:t>
      </w:r>
      <w:r w:rsidRPr="00CE2DD6">
        <w:rPr>
          <w:rFonts w:ascii="Palatino Linotype" w:eastAsia="Palatino Linotype" w:hAnsi="Palatino Linotype" w:cs="Palatino Linotype"/>
          <w:b/>
          <w:sz w:val="16"/>
          <w:szCs w:val="16"/>
          <w:lang w:val="en-US"/>
        </w:rPr>
        <w:t>2003</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23</w:t>
      </w:r>
      <w:r w:rsidRPr="00CE2DD6">
        <w:rPr>
          <w:rFonts w:ascii="Palatino Linotype" w:eastAsia="Palatino Linotype" w:hAnsi="Palatino Linotype" w:cs="Palatino Linotype"/>
          <w:sz w:val="16"/>
          <w:szCs w:val="16"/>
          <w:lang w:val="en-US"/>
        </w:rPr>
        <w:t>, 75-84.</w:t>
      </w:r>
    </w:p>
    <w:p w14:paraId="5A4A922F"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10.</w:t>
      </w:r>
      <w:r w:rsidRPr="00CE2DD6">
        <w:rPr>
          <w:rFonts w:ascii="Palatino Linotype" w:eastAsia="Palatino Linotype" w:hAnsi="Palatino Linotype" w:cs="Palatino Linotype"/>
          <w:sz w:val="16"/>
          <w:szCs w:val="16"/>
          <w:lang w:val="en-US"/>
        </w:rPr>
        <w:tab/>
        <w:t xml:space="preserve">Lewis, K.; Brown, C.; Hart, A.; </w:t>
      </w:r>
      <w:proofErr w:type="spellStart"/>
      <w:r w:rsidRPr="00CE2DD6">
        <w:rPr>
          <w:rFonts w:ascii="Palatino Linotype" w:eastAsia="Palatino Linotype" w:hAnsi="Palatino Linotype" w:cs="Palatino Linotype"/>
          <w:sz w:val="16"/>
          <w:szCs w:val="16"/>
          <w:lang w:val="en-US"/>
        </w:rPr>
        <w:t>Tzilivakis</w:t>
      </w:r>
      <w:proofErr w:type="spellEnd"/>
      <w:r w:rsidRPr="00CE2DD6">
        <w:rPr>
          <w:rFonts w:ascii="Palatino Linotype" w:eastAsia="Palatino Linotype" w:hAnsi="Palatino Linotype" w:cs="Palatino Linotype"/>
          <w:sz w:val="16"/>
          <w:szCs w:val="16"/>
          <w:lang w:val="en-US"/>
        </w:rPr>
        <w:t xml:space="preserve">, J. p-EMA (III): overview and application of a software system designed to assess the environmental risk of agricultural pesticides. </w:t>
      </w:r>
      <w:proofErr w:type="spellStart"/>
      <w:r w:rsidRPr="00CE2DD6">
        <w:rPr>
          <w:rFonts w:ascii="Palatino Linotype" w:eastAsia="Palatino Linotype" w:hAnsi="Palatino Linotype" w:cs="Palatino Linotype"/>
          <w:i/>
          <w:sz w:val="16"/>
          <w:szCs w:val="16"/>
          <w:lang w:val="en-US"/>
        </w:rPr>
        <w:t>Agronomie</w:t>
      </w:r>
      <w:proofErr w:type="spellEnd"/>
      <w:r w:rsidRPr="00CE2DD6">
        <w:rPr>
          <w:rFonts w:ascii="Palatino Linotype" w:eastAsia="Palatino Linotype" w:hAnsi="Palatino Linotype" w:cs="Palatino Linotype"/>
          <w:i/>
          <w:sz w:val="16"/>
          <w:szCs w:val="16"/>
          <w:lang w:val="en-US"/>
        </w:rPr>
        <w:t xml:space="preserve"> </w:t>
      </w:r>
      <w:r w:rsidRPr="00CE2DD6">
        <w:rPr>
          <w:rFonts w:ascii="Palatino Linotype" w:eastAsia="Palatino Linotype" w:hAnsi="Palatino Linotype" w:cs="Palatino Linotype"/>
          <w:b/>
          <w:sz w:val="16"/>
          <w:szCs w:val="16"/>
          <w:lang w:val="en-US"/>
        </w:rPr>
        <w:t>2003</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23</w:t>
      </w:r>
      <w:r w:rsidRPr="00CE2DD6">
        <w:rPr>
          <w:rFonts w:ascii="Palatino Linotype" w:eastAsia="Palatino Linotype" w:hAnsi="Palatino Linotype" w:cs="Palatino Linotype"/>
          <w:sz w:val="16"/>
          <w:szCs w:val="16"/>
          <w:lang w:val="en-US"/>
        </w:rPr>
        <w:t>, 85-96.</w:t>
      </w:r>
    </w:p>
    <w:p w14:paraId="79D70683"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11.</w:t>
      </w:r>
      <w:r w:rsidRPr="00CE2DD6">
        <w:rPr>
          <w:rFonts w:ascii="Palatino Linotype" w:eastAsia="Palatino Linotype" w:hAnsi="Palatino Linotype" w:cs="Palatino Linotype"/>
          <w:sz w:val="16"/>
          <w:szCs w:val="16"/>
          <w:lang w:val="en-US"/>
        </w:rPr>
        <w:tab/>
        <w:t xml:space="preserve">Maggi, F.; Tang, F.H.M.; la Cecilia, D.; McBratney, A. PEST-CHEMGRIDS, global gridded maps of the top 20 crop-specific pesticide application rates from 2015 to 2025. </w:t>
      </w:r>
      <w:r w:rsidRPr="00CE2DD6">
        <w:rPr>
          <w:rFonts w:ascii="Palatino Linotype" w:eastAsia="Palatino Linotype" w:hAnsi="Palatino Linotype" w:cs="Palatino Linotype"/>
          <w:i/>
          <w:sz w:val="16"/>
          <w:szCs w:val="16"/>
          <w:lang w:val="en-US"/>
        </w:rPr>
        <w:t xml:space="preserve">Scientific Data </w:t>
      </w:r>
      <w:r w:rsidRPr="00CE2DD6">
        <w:rPr>
          <w:rFonts w:ascii="Palatino Linotype" w:eastAsia="Palatino Linotype" w:hAnsi="Palatino Linotype" w:cs="Palatino Linotype"/>
          <w:b/>
          <w:sz w:val="16"/>
          <w:szCs w:val="16"/>
          <w:lang w:val="en-US"/>
        </w:rPr>
        <w:t>2019</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6</w:t>
      </w:r>
      <w:r w:rsidRPr="00CE2DD6">
        <w:rPr>
          <w:rFonts w:ascii="Palatino Linotype" w:eastAsia="Palatino Linotype" w:hAnsi="Palatino Linotype" w:cs="Palatino Linotype"/>
          <w:sz w:val="16"/>
          <w:szCs w:val="16"/>
          <w:lang w:val="en-US"/>
        </w:rPr>
        <w:t>, 170, doi:10.1038/s41597-019-0169-4.</w:t>
      </w:r>
    </w:p>
    <w:p w14:paraId="4921CFF1" w14:textId="25AD6780"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lastRenderedPageBreak/>
        <w:t>12.</w:t>
      </w:r>
      <w:r w:rsidRPr="00CE2DD6">
        <w:rPr>
          <w:rFonts w:ascii="Palatino Linotype" w:eastAsia="Palatino Linotype" w:hAnsi="Palatino Linotype" w:cs="Palatino Linotype"/>
          <w:sz w:val="16"/>
          <w:szCs w:val="16"/>
          <w:lang w:val="en-US"/>
        </w:rPr>
        <w:tab/>
        <w:t xml:space="preserve">Tang, F.H. M.; Nguyen, T.H.; </w:t>
      </w:r>
      <w:proofErr w:type="spellStart"/>
      <w:r w:rsidRPr="00CE2DD6">
        <w:rPr>
          <w:rFonts w:ascii="Palatino Linotype" w:eastAsia="Palatino Linotype" w:hAnsi="Palatino Linotype" w:cs="Palatino Linotype"/>
          <w:sz w:val="16"/>
          <w:szCs w:val="16"/>
          <w:lang w:val="en-US"/>
        </w:rPr>
        <w:t>Conchedda</w:t>
      </w:r>
      <w:proofErr w:type="spellEnd"/>
      <w:r w:rsidRPr="00CE2DD6">
        <w:rPr>
          <w:rFonts w:ascii="Palatino Linotype" w:eastAsia="Palatino Linotype" w:hAnsi="Palatino Linotype" w:cs="Palatino Linotype"/>
          <w:sz w:val="16"/>
          <w:szCs w:val="16"/>
          <w:lang w:val="en-US"/>
        </w:rPr>
        <w:t xml:space="preserve">, G.; Casse, L.; </w:t>
      </w:r>
      <w:proofErr w:type="spellStart"/>
      <w:r w:rsidRPr="00CE2DD6">
        <w:rPr>
          <w:rFonts w:ascii="Palatino Linotype" w:eastAsia="Palatino Linotype" w:hAnsi="Palatino Linotype" w:cs="Palatino Linotype"/>
          <w:sz w:val="16"/>
          <w:szCs w:val="16"/>
          <w:lang w:val="en-US"/>
        </w:rPr>
        <w:t>Tubiello</w:t>
      </w:r>
      <w:proofErr w:type="spellEnd"/>
      <w:r w:rsidRPr="00CE2DD6">
        <w:rPr>
          <w:rFonts w:ascii="Palatino Linotype" w:eastAsia="Palatino Linotype" w:hAnsi="Palatino Linotype" w:cs="Palatino Linotype"/>
          <w:sz w:val="16"/>
          <w:szCs w:val="16"/>
          <w:lang w:val="en-US"/>
        </w:rPr>
        <w:t xml:space="preserve">, F.N.; Maggi, F. (2023). CROPGRIDS. </w:t>
      </w:r>
      <w:proofErr w:type="spellStart"/>
      <w:r w:rsidR="00387D3B" w:rsidRPr="00CE2DD6">
        <w:rPr>
          <w:rFonts w:ascii="Palatino Linotype" w:eastAsia="Palatino Linotype" w:hAnsi="Palatino Linotype" w:cs="Palatino Linotype"/>
          <w:sz w:val="16"/>
          <w:szCs w:val="16"/>
          <w:lang w:val="en-US"/>
        </w:rPr>
        <w:t>F</w:t>
      </w:r>
      <w:r w:rsidRPr="00CE2DD6">
        <w:rPr>
          <w:rFonts w:ascii="Palatino Linotype" w:eastAsia="Palatino Linotype" w:hAnsi="Palatino Linotype" w:cs="Palatino Linotype"/>
          <w:sz w:val="16"/>
          <w:szCs w:val="16"/>
          <w:lang w:val="en-US"/>
        </w:rPr>
        <w:t>igshare</w:t>
      </w:r>
      <w:proofErr w:type="spellEnd"/>
      <w:r w:rsidRPr="00CE2DD6">
        <w:rPr>
          <w:rFonts w:ascii="Palatino Linotype" w:eastAsia="Palatino Linotype" w:hAnsi="Palatino Linotype" w:cs="Palatino Linotype"/>
          <w:sz w:val="16"/>
          <w:szCs w:val="16"/>
          <w:lang w:val="en-US"/>
        </w:rPr>
        <w:t xml:space="preserve">. Dataset available at </w:t>
      </w:r>
      <w:hyperlink r:id="rId21" w:history="1">
        <w:r w:rsidRPr="00CE2DD6">
          <w:rPr>
            <w:rFonts w:ascii="Palatino Linotype" w:eastAsia="Palatino Linotype" w:hAnsi="Palatino Linotype" w:cs="Palatino Linotype"/>
            <w:sz w:val="16"/>
            <w:szCs w:val="16"/>
            <w:lang w:val="en-US"/>
          </w:rPr>
          <w:t>https://doi.org/10.6084/m9.figshare.22491997.v5</w:t>
        </w:r>
      </w:hyperlink>
      <w:r w:rsidRPr="00CE2DD6">
        <w:rPr>
          <w:rFonts w:ascii="Palatino Linotype" w:eastAsia="Palatino Linotype" w:hAnsi="Palatino Linotype" w:cs="Palatino Linotype"/>
          <w:sz w:val="16"/>
          <w:szCs w:val="16"/>
          <w:lang w:val="en-US"/>
        </w:rPr>
        <w:t xml:space="preserve">. </w:t>
      </w:r>
    </w:p>
    <w:p w14:paraId="3133303C"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13.</w:t>
      </w:r>
      <w:r w:rsidRPr="00CE2DD6">
        <w:rPr>
          <w:rFonts w:ascii="Palatino Linotype" w:eastAsia="Palatino Linotype" w:hAnsi="Palatino Linotype" w:cs="Palatino Linotype"/>
          <w:sz w:val="16"/>
          <w:szCs w:val="16"/>
          <w:lang w:val="en-US"/>
        </w:rPr>
        <w:tab/>
        <w:t xml:space="preserve">Kudsk, P.; Jørgensen, L.N.; Ørum, J.E. Pesticide Load—A new Danish pesticide risk indicator with multiple applications. </w:t>
      </w:r>
      <w:r w:rsidRPr="00CE2DD6">
        <w:rPr>
          <w:rFonts w:ascii="Palatino Linotype" w:eastAsia="Palatino Linotype" w:hAnsi="Palatino Linotype" w:cs="Palatino Linotype"/>
          <w:i/>
          <w:sz w:val="16"/>
          <w:szCs w:val="16"/>
          <w:lang w:val="en-US"/>
        </w:rPr>
        <w:t xml:space="preserve">Land Use Policy </w:t>
      </w:r>
      <w:r w:rsidRPr="00CE2DD6">
        <w:rPr>
          <w:rFonts w:ascii="Palatino Linotype" w:eastAsia="Palatino Linotype" w:hAnsi="Palatino Linotype" w:cs="Palatino Linotype"/>
          <w:b/>
          <w:sz w:val="16"/>
          <w:szCs w:val="16"/>
          <w:lang w:val="en-US"/>
        </w:rPr>
        <w:t>2018</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70</w:t>
      </w:r>
      <w:r w:rsidRPr="00CE2DD6">
        <w:rPr>
          <w:rFonts w:ascii="Palatino Linotype" w:eastAsia="Palatino Linotype" w:hAnsi="Palatino Linotype" w:cs="Palatino Linotype"/>
          <w:sz w:val="16"/>
          <w:szCs w:val="16"/>
          <w:lang w:val="en-US"/>
        </w:rPr>
        <w:t>, 384-393.</w:t>
      </w:r>
    </w:p>
    <w:p w14:paraId="13CE45EA"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14.</w:t>
      </w:r>
      <w:r w:rsidRPr="00CE2DD6">
        <w:rPr>
          <w:rFonts w:ascii="Palatino Linotype" w:eastAsia="Palatino Linotype" w:hAnsi="Palatino Linotype" w:cs="Palatino Linotype"/>
          <w:sz w:val="16"/>
          <w:szCs w:val="16"/>
          <w:lang w:val="en-US"/>
        </w:rPr>
        <w:tab/>
        <w:t xml:space="preserve">Danish Environmental Protection Agency. The Agricultural Pesticide Load in Denmark 2007–2010. </w:t>
      </w:r>
      <w:r w:rsidRPr="00CE2DD6">
        <w:rPr>
          <w:rFonts w:ascii="Palatino Linotype" w:eastAsia="Palatino Linotype" w:hAnsi="Palatino Linotype" w:cs="Palatino Linotype"/>
          <w:i/>
          <w:sz w:val="16"/>
          <w:szCs w:val="16"/>
          <w:lang w:val="en-US"/>
        </w:rPr>
        <w:t xml:space="preserve">Environmental Review 2 </w:t>
      </w:r>
      <w:r w:rsidRPr="00CE2DD6">
        <w:rPr>
          <w:rFonts w:ascii="Palatino Linotype" w:eastAsia="Palatino Linotype" w:hAnsi="Palatino Linotype" w:cs="Palatino Linotype"/>
          <w:b/>
          <w:sz w:val="16"/>
          <w:szCs w:val="16"/>
          <w:lang w:val="en-US"/>
        </w:rPr>
        <w:t>2012</w:t>
      </w:r>
      <w:r w:rsidRPr="00CE2DD6">
        <w:rPr>
          <w:rFonts w:ascii="Palatino Linotype" w:eastAsia="Palatino Linotype" w:hAnsi="Palatino Linotype" w:cs="Palatino Linotype"/>
          <w:sz w:val="16"/>
          <w:szCs w:val="16"/>
          <w:lang w:val="en-US"/>
        </w:rPr>
        <w:t>.</w:t>
      </w:r>
    </w:p>
    <w:p w14:paraId="6B5CECDC"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15.</w:t>
      </w:r>
      <w:r w:rsidRPr="00CE2DD6">
        <w:rPr>
          <w:rFonts w:ascii="Palatino Linotype" w:eastAsia="Palatino Linotype" w:hAnsi="Palatino Linotype" w:cs="Palatino Linotype"/>
          <w:sz w:val="16"/>
          <w:szCs w:val="16"/>
          <w:lang w:val="en-US"/>
        </w:rPr>
        <w:tab/>
        <w:t xml:space="preserve">Lewis, K.; Rainford, J.; </w:t>
      </w:r>
      <w:proofErr w:type="spellStart"/>
      <w:r w:rsidRPr="00CE2DD6">
        <w:rPr>
          <w:rFonts w:ascii="Palatino Linotype" w:eastAsia="Palatino Linotype" w:hAnsi="Palatino Linotype" w:cs="Palatino Linotype"/>
          <w:sz w:val="16"/>
          <w:szCs w:val="16"/>
          <w:lang w:val="en-US"/>
        </w:rPr>
        <w:t>Tzilivakis</w:t>
      </w:r>
      <w:proofErr w:type="spellEnd"/>
      <w:r w:rsidRPr="00CE2DD6">
        <w:rPr>
          <w:rFonts w:ascii="Palatino Linotype" w:eastAsia="Palatino Linotype" w:hAnsi="Palatino Linotype" w:cs="Palatino Linotype"/>
          <w:sz w:val="16"/>
          <w:szCs w:val="16"/>
          <w:lang w:val="en-US"/>
        </w:rPr>
        <w:t xml:space="preserve">, J.; Garthwaite, D. Application of the Danish Pesticide Load Indicator to UK arable agriculture. </w:t>
      </w:r>
      <w:r w:rsidRPr="00CE2DD6">
        <w:rPr>
          <w:rFonts w:ascii="Palatino Linotype" w:eastAsia="Palatino Linotype" w:hAnsi="Palatino Linotype" w:cs="Palatino Linotype"/>
          <w:i/>
          <w:sz w:val="16"/>
          <w:szCs w:val="16"/>
          <w:lang w:val="en-US"/>
        </w:rPr>
        <w:t xml:space="preserve">Journal of Environmental Quality </w:t>
      </w:r>
      <w:r w:rsidRPr="00CE2DD6">
        <w:rPr>
          <w:rFonts w:ascii="Palatino Linotype" w:eastAsia="Palatino Linotype" w:hAnsi="Palatino Linotype" w:cs="Palatino Linotype"/>
          <w:b/>
          <w:sz w:val="16"/>
          <w:szCs w:val="16"/>
          <w:lang w:val="en-US"/>
        </w:rPr>
        <w:t>2021</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50</w:t>
      </w:r>
      <w:r w:rsidRPr="00CE2DD6">
        <w:rPr>
          <w:rFonts w:ascii="Palatino Linotype" w:eastAsia="Palatino Linotype" w:hAnsi="Palatino Linotype" w:cs="Palatino Linotype"/>
          <w:sz w:val="16"/>
          <w:szCs w:val="16"/>
          <w:lang w:val="en-US"/>
        </w:rPr>
        <w:t>, 1110-1122.</w:t>
      </w:r>
    </w:p>
    <w:p w14:paraId="66F79F5E"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16.</w:t>
      </w:r>
      <w:r w:rsidRPr="00CE2DD6">
        <w:rPr>
          <w:rFonts w:ascii="Palatino Linotype" w:eastAsia="Palatino Linotype" w:hAnsi="Palatino Linotype" w:cs="Palatino Linotype"/>
          <w:sz w:val="16"/>
          <w:szCs w:val="16"/>
          <w:lang w:val="en-US"/>
        </w:rPr>
        <w:tab/>
        <w:t xml:space="preserve">Rainford, J.; </w:t>
      </w:r>
      <w:proofErr w:type="spellStart"/>
      <w:r w:rsidRPr="00CE2DD6">
        <w:rPr>
          <w:rFonts w:ascii="Palatino Linotype" w:eastAsia="Palatino Linotype" w:hAnsi="Palatino Linotype" w:cs="Palatino Linotype"/>
          <w:sz w:val="16"/>
          <w:szCs w:val="16"/>
          <w:lang w:val="en-US"/>
        </w:rPr>
        <w:t>Tzilivakis</w:t>
      </w:r>
      <w:proofErr w:type="spellEnd"/>
      <w:r w:rsidRPr="00CE2DD6">
        <w:rPr>
          <w:rFonts w:ascii="Palatino Linotype" w:eastAsia="Palatino Linotype" w:hAnsi="Palatino Linotype" w:cs="Palatino Linotype"/>
          <w:sz w:val="16"/>
          <w:szCs w:val="16"/>
          <w:lang w:val="en-US"/>
        </w:rPr>
        <w:t xml:space="preserve">, J.; Garthwaite, D.; Jones, G.; Lewis, K. </w:t>
      </w:r>
      <w:proofErr w:type="spellStart"/>
      <w:r w:rsidRPr="00CE2DD6">
        <w:rPr>
          <w:rFonts w:ascii="Palatino Linotype" w:eastAsia="Palatino Linotype" w:hAnsi="Palatino Linotype" w:cs="Palatino Linotype"/>
          <w:i/>
          <w:sz w:val="16"/>
          <w:szCs w:val="16"/>
          <w:lang w:val="en-US"/>
        </w:rPr>
        <w:t>Finalising</w:t>
      </w:r>
      <w:proofErr w:type="spellEnd"/>
      <w:r w:rsidRPr="00CE2DD6">
        <w:rPr>
          <w:rFonts w:ascii="Palatino Linotype" w:eastAsia="Palatino Linotype" w:hAnsi="Palatino Linotype" w:cs="Palatino Linotype"/>
          <w:i/>
          <w:sz w:val="16"/>
          <w:szCs w:val="16"/>
          <w:lang w:val="en-US"/>
        </w:rPr>
        <w:t xml:space="preserve"> a Pesticide Load Indicator for the UK: Phase 4 Report</w:t>
      </w:r>
      <w:r w:rsidRPr="00CE2DD6">
        <w:rPr>
          <w:rFonts w:ascii="Palatino Linotype" w:eastAsia="Palatino Linotype" w:hAnsi="Palatino Linotype" w:cs="Palatino Linotype"/>
          <w:sz w:val="16"/>
          <w:szCs w:val="16"/>
          <w:lang w:val="en-US"/>
        </w:rPr>
        <w:t>; University of Hertfordshire, UK, 2023.</w:t>
      </w:r>
    </w:p>
    <w:p w14:paraId="44A9C545"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17.</w:t>
      </w:r>
      <w:r w:rsidRPr="00CE2DD6">
        <w:rPr>
          <w:rFonts w:ascii="Palatino Linotype" w:eastAsia="Palatino Linotype" w:hAnsi="Palatino Linotype" w:cs="Palatino Linotype"/>
          <w:sz w:val="16"/>
          <w:szCs w:val="16"/>
          <w:lang w:val="en-US"/>
        </w:rPr>
        <w:tab/>
        <w:t xml:space="preserve">Bub, S.; Wolfram, J.; </w:t>
      </w:r>
      <w:proofErr w:type="spellStart"/>
      <w:r w:rsidRPr="00CE2DD6">
        <w:rPr>
          <w:rFonts w:ascii="Palatino Linotype" w:eastAsia="Palatino Linotype" w:hAnsi="Palatino Linotype" w:cs="Palatino Linotype"/>
          <w:sz w:val="16"/>
          <w:szCs w:val="16"/>
          <w:lang w:val="en-US"/>
        </w:rPr>
        <w:t>Petschick</w:t>
      </w:r>
      <w:proofErr w:type="spellEnd"/>
      <w:r w:rsidRPr="00CE2DD6">
        <w:rPr>
          <w:rFonts w:ascii="Palatino Linotype" w:eastAsia="Palatino Linotype" w:hAnsi="Palatino Linotype" w:cs="Palatino Linotype"/>
          <w:sz w:val="16"/>
          <w:szCs w:val="16"/>
          <w:lang w:val="en-US"/>
        </w:rPr>
        <w:t xml:space="preserve">, L.L.; Stehle, S.; Schulz, R. Trends of total applied pesticide toxicity in German agriculture. </w:t>
      </w:r>
      <w:r w:rsidRPr="00CE2DD6">
        <w:rPr>
          <w:rFonts w:ascii="Palatino Linotype" w:eastAsia="Palatino Linotype" w:hAnsi="Palatino Linotype" w:cs="Palatino Linotype"/>
          <w:i/>
          <w:sz w:val="16"/>
          <w:szCs w:val="16"/>
          <w:lang w:val="en-US"/>
        </w:rPr>
        <w:t xml:space="preserve">Environmental science &amp; technology </w:t>
      </w:r>
      <w:r w:rsidRPr="00CE2DD6">
        <w:rPr>
          <w:rFonts w:ascii="Palatino Linotype" w:eastAsia="Palatino Linotype" w:hAnsi="Palatino Linotype" w:cs="Palatino Linotype"/>
          <w:b/>
          <w:sz w:val="16"/>
          <w:szCs w:val="16"/>
          <w:lang w:val="en-US"/>
        </w:rPr>
        <w:t>2022</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57</w:t>
      </w:r>
      <w:r w:rsidRPr="00CE2DD6">
        <w:rPr>
          <w:rFonts w:ascii="Palatino Linotype" w:eastAsia="Palatino Linotype" w:hAnsi="Palatino Linotype" w:cs="Palatino Linotype"/>
          <w:sz w:val="16"/>
          <w:szCs w:val="16"/>
          <w:lang w:val="en-US"/>
        </w:rPr>
        <w:t>, 852-861.</w:t>
      </w:r>
    </w:p>
    <w:p w14:paraId="4001C607" w14:textId="34798DFD"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18.</w:t>
      </w:r>
      <w:r w:rsidRPr="00CE2DD6">
        <w:rPr>
          <w:rFonts w:ascii="Palatino Linotype" w:eastAsia="Palatino Linotype" w:hAnsi="Palatino Linotype" w:cs="Palatino Linotype"/>
          <w:sz w:val="16"/>
          <w:szCs w:val="16"/>
          <w:lang w:val="en-US"/>
        </w:rPr>
        <w:tab/>
        <w:t xml:space="preserve">Maggi, F.; Tang, F.H.M.; Black, A.J.; Marks, G.B.; McBratney, A. The pesticide health risk index </w:t>
      </w:r>
      <w:r w:rsidR="00387D3B">
        <w:rPr>
          <w:rFonts w:ascii="Palatino Linotype" w:eastAsia="Palatino Linotype" w:hAnsi="Palatino Linotype" w:cs="Palatino Linotype"/>
          <w:sz w:val="16"/>
          <w:szCs w:val="16"/>
          <w:lang w:val="en-US"/>
        </w:rPr>
        <w:t>–</w:t>
      </w:r>
      <w:r w:rsidRPr="00CE2DD6">
        <w:rPr>
          <w:rFonts w:ascii="Palatino Linotype" w:eastAsia="Palatino Linotype" w:hAnsi="Palatino Linotype" w:cs="Palatino Linotype"/>
          <w:sz w:val="16"/>
          <w:szCs w:val="16"/>
          <w:lang w:val="en-US"/>
        </w:rPr>
        <w:t xml:space="preserve"> An application to the world</w:t>
      </w:r>
      <w:r w:rsidR="00387D3B">
        <w:rPr>
          <w:rFonts w:ascii="Palatino Linotype" w:eastAsia="Palatino Linotype" w:hAnsi="Palatino Linotype" w:cs="Palatino Linotype"/>
          <w:sz w:val="16"/>
          <w:szCs w:val="16"/>
          <w:lang w:val="en-US"/>
        </w:rPr>
        <w:t>’</w:t>
      </w:r>
      <w:r w:rsidRPr="00CE2DD6">
        <w:rPr>
          <w:rFonts w:ascii="Palatino Linotype" w:eastAsia="Palatino Linotype" w:hAnsi="Palatino Linotype" w:cs="Palatino Linotype"/>
          <w:sz w:val="16"/>
          <w:szCs w:val="16"/>
          <w:lang w:val="en-US"/>
        </w:rPr>
        <w:t xml:space="preserve">s countries. </w:t>
      </w:r>
      <w:r w:rsidRPr="00CE2DD6">
        <w:rPr>
          <w:rFonts w:ascii="Palatino Linotype" w:eastAsia="Palatino Linotype" w:hAnsi="Palatino Linotype" w:cs="Palatino Linotype"/>
          <w:i/>
          <w:sz w:val="16"/>
          <w:szCs w:val="16"/>
          <w:lang w:val="en-US"/>
        </w:rPr>
        <w:t xml:space="preserve">Science of The Total Environment </w:t>
      </w:r>
      <w:r w:rsidRPr="00CE2DD6">
        <w:rPr>
          <w:rFonts w:ascii="Palatino Linotype" w:eastAsia="Palatino Linotype" w:hAnsi="Palatino Linotype" w:cs="Palatino Linotype"/>
          <w:b/>
          <w:sz w:val="16"/>
          <w:szCs w:val="16"/>
          <w:lang w:val="en-US"/>
        </w:rPr>
        <w:t>2021</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801</w:t>
      </w:r>
      <w:r w:rsidRPr="00CE2DD6">
        <w:rPr>
          <w:rFonts w:ascii="Palatino Linotype" w:eastAsia="Palatino Linotype" w:hAnsi="Palatino Linotype" w:cs="Palatino Linotype"/>
          <w:sz w:val="16"/>
          <w:szCs w:val="16"/>
          <w:lang w:val="en-US"/>
        </w:rPr>
        <w:t xml:space="preserve">, 149731, </w:t>
      </w:r>
      <w:proofErr w:type="spellStart"/>
      <w:proofErr w:type="gramStart"/>
      <w:r w:rsidRPr="00CE2DD6">
        <w:rPr>
          <w:rFonts w:ascii="Palatino Linotype" w:eastAsia="Palatino Linotype" w:hAnsi="Palatino Linotype" w:cs="Palatino Linotype"/>
          <w:sz w:val="16"/>
          <w:szCs w:val="16"/>
          <w:lang w:val="en-US"/>
        </w:rPr>
        <w:t>doi:https</w:t>
      </w:r>
      <w:proofErr w:type="spellEnd"/>
      <w:r w:rsidRPr="00CE2DD6">
        <w:rPr>
          <w:rFonts w:ascii="Palatino Linotype" w:eastAsia="Palatino Linotype" w:hAnsi="Palatino Linotype" w:cs="Palatino Linotype"/>
          <w:sz w:val="16"/>
          <w:szCs w:val="16"/>
          <w:lang w:val="en-US"/>
        </w:rPr>
        <w:t>://doi.org/10.1016/j.scitotenv.2021.149731</w:t>
      </w:r>
      <w:proofErr w:type="gramEnd"/>
      <w:r w:rsidRPr="00CE2DD6">
        <w:rPr>
          <w:rFonts w:ascii="Palatino Linotype" w:eastAsia="Palatino Linotype" w:hAnsi="Palatino Linotype" w:cs="Palatino Linotype"/>
          <w:sz w:val="16"/>
          <w:szCs w:val="16"/>
          <w:lang w:val="en-US"/>
        </w:rPr>
        <w:t>.</w:t>
      </w:r>
    </w:p>
    <w:p w14:paraId="1F16CBD8"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19.</w:t>
      </w:r>
      <w:r w:rsidRPr="00CE2DD6">
        <w:rPr>
          <w:rFonts w:ascii="Palatino Linotype" w:eastAsia="Palatino Linotype" w:hAnsi="Palatino Linotype" w:cs="Palatino Linotype"/>
          <w:sz w:val="16"/>
          <w:szCs w:val="16"/>
          <w:lang w:val="en-US"/>
        </w:rPr>
        <w:tab/>
        <w:t xml:space="preserve">Schulz, R.; Bub, S.; </w:t>
      </w:r>
      <w:proofErr w:type="spellStart"/>
      <w:r w:rsidRPr="00CE2DD6">
        <w:rPr>
          <w:rFonts w:ascii="Palatino Linotype" w:eastAsia="Palatino Linotype" w:hAnsi="Palatino Linotype" w:cs="Palatino Linotype"/>
          <w:sz w:val="16"/>
          <w:szCs w:val="16"/>
          <w:lang w:val="en-US"/>
        </w:rPr>
        <w:t>Petschick</w:t>
      </w:r>
      <w:proofErr w:type="spellEnd"/>
      <w:r w:rsidRPr="00CE2DD6">
        <w:rPr>
          <w:rFonts w:ascii="Palatino Linotype" w:eastAsia="Palatino Linotype" w:hAnsi="Palatino Linotype" w:cs="Palatino Linotype"/>
          <w:sz w:val="16"/>
          <w:szCs w:val="16"/>
          <w:lang w:val="en-US"/>
        </w:rPr>
        <w:t xml:space="preserve">, L.L.; Stehle, S.; Wolfram, J. Applied pesticide toxicity shifts toward plants and invertebrates, even in GM crops. </w:t>
      </w:r>
      <w:r w:rsidRPr="00CE2DD6">
        <w:rPr>
          <w:rFonts w:ascii="Palatino Linotype" w:eastAsia="Palatino Linotype" w:hAnsi="Palatino Linotype" w:cs="Palatino Linotype"/>
          <w:i/>
          <w:sz w:val="16"/>
          <w:szCs w:val="16"/>
          <w:lang w:val="en-US"/>
        </w:rPr>
        <w:t xml:space="preserve">Science </w:t>
      </w:r>
      <w:r w:rsidRPr="00CE2DD6">
        <w:rPr>
          <w:rFonts w:ascii="Palatino Linotype" w:eastAsia="Palatino Linotype" w:hAnsi="Palatino Linotype" w:cs="Palatino Linotype"/>
          <w:b/>
          <w:sz w:val="16"/>
          <w:szCs w:val="16"/>
          <w:lang w:val="en-US"/>
        </w:rPr>
        <w:t>2021</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372</w:t>
      </w:r>
      <w:r w:rsidRPr="00CE2DD6">
        <w:rPr>
          <w:rFonts w:ascii="Palatino Linotype" w:eastAsia="Palatino Linotype" w:hAnsi="Palatino Linotype" w:cs="Palatino Linotype"/>
          <w:sz w:val="16"/>
          <w:szCs w:val="16"/>
          <w:lang w:val="en-US"/>
        </w:rPr>
        <w:t>, 81-84.</w:t>
      </w:r>
    </w:p>
    <w:p w14:paraId="4896D404"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20.</w:t>
      </w:r>
      <w:r w:rsidRPr="00CE2DD6">
        <w:rPr>
          <w:rFonts w:ascii="Palatino Linotype" w:eastAsia="Palatino Linotype" w:hAnsi="Palatino Linotype" w:cs="Palatino Linotype"/>
          <w:sz w:val="16"/>
          <w:szCs w:val="16"/>
          <w:lang w:val="en-US"/>
        </w:rPr>
        <w:tab/>
        <w:t xml:space="preserve">Pesticides Properties </w:t>
      </w:r>
      <w:proofErr w:type="spellStart"/>
      <w:r w:rsidRPr="00CE2DD6">
        <w:rPr>
          <w:rFonts w:ascii="Palatino Linotype" w:eastAsia="Palatino Linotype" w:hAnsi="Palatino Linotype" w:cs="Palatino Linotype"/>
          <w:sz w:val="16"/>
          <w:szCs w:val="16"/>
          <w:lang w:val="en-US"/>
        </w:rPr>
        <w:t>DataBase</w:t>
      </w:r>
      <w:proofErr w:type="spellEnd"/>
      <w:r w:rsidRPr="00CE2DD6">
        <w:rPr>
          <w:rFonts w:ascii="Palatino Linotype" w:eastAsia="Palatino Linotype" w:hAnsi="Palatino Linotype" w:cs="Palatino Linotype"/>
          <w:sz w:val="16"/>
          <w:szCs w:val="16"/>
          <w:lang w:val="en-US"/>
        </w:rPr>
        <w:t xml:space="preserve">. Available online: </w:t>
      </w:r>
      <w:r w:rsidRPr="00CE2DD6">
        <w:rPr>
          <w:rFonts w:ascii="Palatino Linotype" w:eastAsia="Arial" w:hAnsi="Palatino Linotype" w:cs="Arial"/>
          <w:sz w:val="16"/>
          <w:szCs w:val="16"/>
          <w:lang w:val="en-US"/>
        </w:rPr>
        <w:t>https://sitem.herts.ac.uk/aeru/ppdb/en/</w:t>
      </w:r>
      <w:r w:rsidRPr="00CE2DD6">
        <w:rPr>
          <w:rFonts w:ascii="Palatino Linotype" w:eastAsia="Palatino Linotype" w:hAnsi="Palatino Linotype" w:cs="Palatino Linotype"/>
          <w:sz w:val="16"/>
          <w:szCs w:val="16"/>
          <w:lang w:val="en-US"/>
        </w:rPr>
        <w:t xml:space="preserve"> (accessed on </w:t>
      </w:r>
    </w:p>
    <w:p w14:paraId="5D508048"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21.</w:t>
      </w:r>
      <w:r w:rsidRPr="00CE2DD6">
        <w:rPr>
          <w:rFonts w:ascii="Palatino Linotype" w:eastAsia="Palatino Linotype" w:hAnsi="Palatino Linotype" w:cs="Palatino Linotype"/>
          <w:sz w:val="16"/>
          <w:szCs w:val="16"/>
          <w:lang w:val="en-US"/>
        </w:rPr>
        <w:tab/>
        <w:t>Julius Kühn Institute. Pesticide tends database explorer. Available online: https://sf.julius-kuehn.de/pesticide-dbx/ (accessed on 15 February 2024)</w:t>
      </w:r>
    </w:p>
    <w:p w14:paraId="74563A65" w14:textId="77777777" w:rsidR="00CE2DD6" w:rsidRPr="00CE2DD6" w:rsidRDefault="00CE2DD6" w:rsidP="00CE2DD6">
      <w:pPr>
        <w:pBdr>
          <w:top w:val="nil"/>
          <w:left w:val="nil"/>
          <w:bottom w:val="nil"/>
          <w:right w:val="nil"/>
          <w:between w:val="nil"/>
        </w:pBdr>
        <w:ind w:left="360" w:hanging="360"/>
        <w:jc w:val="left"/>
        <w:rPr>
          <w:rFonts w:ascii="Palatino Linotype" w:eastAsia="Palatino Linotype" w:hAnsi="Palatino Linotype" w:cs="Palatino Linotype"/>
          <w:sz w:val="16"/>
          <w:szCs w:val="16"/>
          <w:lang w:val="en-US"/>
        </w:rPr>
      </w:pPr>
      <w:r w:rsidRPr="00CE2DD6">
        <w:rPr>
          <w:rFonts w:ascii="Palatino Linotype" w:eastAsia="Palatino Linotype" w:hAnsi="Palatino Linotype" w:cs="Palatino Linotype"/>
          <w:sz w:val="16"/>
          <w:szCs w:val="16"/>
          <w:lang w:val="en-US"/>
        </w:rPr>
        <w:t>22.</w:t>
      </w:r>
      <w:r w:rsidRPr="00CE2DD6">
        <w:rPr>
          <w:rFonts w:ascii="Palatino Linotype" w:eastAsia="Palatino Linotype" w:hAnsi="Palatino Linotype" w:cs="Palatino Linotype"/>
          <w:sz w:val="16"/>
          <w:szCs w:val="16"/>
          <w:lang w:val="en-US"/>
        </w:rPr>
        <w:tab/>
        <w:t xml:space="preserve">Lewis, K.A.; </w:t>
      </w:r>
      <w:proofErr w:type="spellStart"/>
      <w:r w:rsidRPr="00CE2DD6">
        <w:rPr>
          <w:rFonts w:ascii="Palatino Linotype" w:eastAsia="Palatino Linotype" w:hAnsi="Palatino Linotype" w:cs="Palatino Linotype"/>
          <w:sz w:val="16"/>
          <w:szCs w:val="16"/>
          <w:lang w:val="en-US"/>
        </w:rPr>
        <w:t>Tzilivakis</w:t>
      </w:r>
      <w:proofErr w:type="spellEnd"/>
      <w:r w:rsidRPr="00CE2DD6">
        <w:rPr>
          <w:rFonts w:ascii="Palatino Linotype" w:eastAsia="Palatino Linotype" w:hAnsi="Palatino Linotype" w:cs="Palatino Linotype"/>
          <w:sz w:val="16"/>
          <w:szCs w:val="16"/>
          <w:lang w:val="en-US"/>
        </w:rPr>
        <w:t xml:space="preserve">, J.; Warner, D.J.; Green, A. An international database for pesticide risk assessments and management. </w:t>
      </w:r>
      <w:r w:rsidRPr="00CE2DD6">
        <w:rPr>
          <w:rFonts w:ascii="Palatino Linotype" w:eastAsia="Palatino Linotype" w:hAnsi="Palatino Linotype" w:cs="Palatino Linotype"/>
          <w:i/>
          <w:sz w:val="16"/>
          <w:szCs w:val="16"/>
          <w:lang w:val="en-US"/>
        </w:rPr>
        <w:t xml:space="preserve">Human and Ecological Risk Assessment: An International Journal </w:t>
      </w:r>
      <w:r w:rsidRPr="00CE2DD6">
        <w:rPr>
          <w:rFonts w:ascii="Palatino Linotype" w:eastAsia="Palatino Linotype" w:hAnsi="Palatino Linotype" w:cs="Palatino Linotype"/>
          <w:b/>
          <w:sz w:val="16"/>
          <w:szCs w:val="16"/>
          <w:lang w:val="en-US"/>
        </w:rPr>
        <w:t>2016</w:t>
      </w:r>
      <w:r w:rsidRPr="00CE2DD6">
        <w:rPr>
          <w:rFonts w:ascii="Palatino Linotype" w:eastAsia="Palatino Linotype" w:hAnsi="Palatino Linotype" w:cs="Palatino Linotype"/>
          <w:sz w:val="16"/>
          <w:szCs w:val="16"/>
          <w:lang w:val="en-US"/>
        </w:rPr>
        <w:t xml:space="preserve">, </w:t>
      </w:r>
      <w:r w:rsidRPr="00CE2DD6">
        <w:rPr>
          <w:rFonts w:ascii="Palatino Linotype" w:eastAsia="Palatino Linotype" w:hAnsi="Palatino Linotype" w:cs="Palatino Linotype"/>
          <w:i/>
          <w:sz w:val="16"/>
          <w:szCs w:val="16"/>
          <w:lang w:val="en-US"/>
        </w:rPr>
        <w:t>22</w:t>
      </w:r>
      <w:r w:rsidRPr="00CE2DD6">
        <w:rPr>
          <w:rFonts w:ascii="Palatino Linotype" w:eastAsia="Palatino Linotype" w:hAnsi="Palatino Linotype" w:cs="Palatino Linotype"/>
          <w:sz w:val="16"/>
          <w:szCs w:val="16"/>
          <w:lang w:val="en-US"/>
        </w:rPr>
        <w:t>, 1050-1064.</w:t>
      </w:r>
    </w:p>
    <w:p w14:paraId="2B0B38A4" w14:textId="77777777" w:rsidR="00CE2DD6" w:rsidRPr="00CE2DD6" w:rsidRDefault="00CE2DD6" w:rsidP="00CE2DD6">
      <w:pPr>
        <w:pBdr>
          <w:top w:val="nil"/>
          <w:left w:val="nil"/>
          <w:bottom w:val="nil"/>
          <w:right w:val="nil"/>
          <w:between w:val="nil"/>
        </w:pBdr>
        <w:spacing w:after="200"/>
        <w:ind w:left="360" w:hanging="360"/>
        <w:jc w:val="left"/>
        <w:rPr>
          <w:rFonts w:ascii="Palatino Linotype" w:eastAsia="Calibri" w:hAnsi="Palatino Linotype" w:cs="Calibri"/>
          <w:sz w:val="16"/>
          <w:szCs w:val="16"/>
          <w:lang w:val="en-US"/>
        </w:rPr>
      </w:pPr>
      <w:r w:rsidRPr="00CE2DD6">
        <w:rPr>
          <w:rFonts w:ascii="Palatino Linotype" w:eastAsia="Palatino Linotype" w:hAnsi="Palatino Linotype" w:cs="Palatino Linotype"/>
          <w:sz w:val="16"/>
          <w:szCs w:val="16"/>
          <w:lang w:val="en-US"/>
        </w:rPr>
        <w:t>23.</w:t>
      </w:r>
      <w:r w:rsidRPr="00CE2DD6">
        <w:rPr>
          <w:rFonts w:ascii="Palatino Linotype" w:eastAsia="Palatino Linotype" w:hAnsi="Palatino Linotype" w:cs="Palatino Linotype"/>
          <w:sz w:val="16"/>
          <w:szCs w:val="16"/>
          <w:lang w:val="en-US"/>
        </w:rPr>
        <w:tab/>
        <w:t>United States Department of Agriculture. Surveys: Agricultural Chemical Use Program. Available online: https://</w:t>
      </w:r>
      <w:hyperlink r:id="rId22">
        <w:r w:rsidRPr="00CE2DD6">
          <w:rPr>
            <w:rFonts w:ascii="Palatino Linotype" w:eastAsia="Palatino Linotype" w:hAnsi="Palatino Linotype" w:cs="Palatino Linotype"/>
            <w:sz w:val="16"/>
            <w:szCs w:val="16"/>
            <w:lang w:val="en-US"/>
          </w:rPr>
          <w:t>www.nass.usda.gov/Surveys/Guide_to_NASS_Surveys/Chemical_Use/index.php</w:t>
        </w:r>
      </w:hyperlink>
      <w:r w:rsidRPr="00CE2DD6">
        <w:rPr>
          <w:rFonts w:ascii="Palatino Linotype" w:eastAsia="Palatino Linotype" w:hAnsi="Palatino Linotype" w:cs="Palatino Linotype"/>
          <w:sz w:val="16"/>
          <w:szCs w:val="16"/>
          <w:lang w:val="en-US"/>
        </w:rPr>
        <w:t xml:space="preserve"> (accessed on 15 February 2024)</w:t>
      </w:r>
    </w:p>
    <w:p w14:paraId="6888C078" w14:textId="77777777" w:rsidR="00CE2DD6" w:rsidRPr="00CE2DD6" w:rsidRDefault="00CE2DD6" w:rsidP="00CE2DD6">
      <w:pPr>
        <w:spacing w:after="200" w:line="276" w:lineRule="auto"/>
        <w:jc w:val="left"/>
        <w:rPr>
          <w:rFonts w:ascii="Palatino Linotype" w:eastAsia="Calibri" w:hAnsi="Palatino Linotype" w:cs="Calibri"/>
          <w:sz w:val="18"/>
          <w:szCs w:val="18"/>
          <w:lang w:val="en-US"/>
        </w:rPr>
      </w:pPr>
      <w:r w:rsidRPr="00CE2DD6">
        <w:rPr>
          <w:rFonts w:ascii="Palatino Linotype" w:eastAsia="Calibri" w:hAnsi="Palatino Linotype" w:cs="Calibri"/>
          <w:sz w:val="18"/>
          <w:szCs w:val="18"/>
          <w:lang w:val="en-US"/>
        </w:rPr>
        <w:br w:type="page"/>
      </w:r>
    </w:p>
    <w:p w14:paraId="614CB414"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r w:rsidRPr="00CE2DD6">
        <w:rPr>
          <w:rFonts w:ascii="Palatino Linotype" w:eastAsia="Palatino Linotype" w:hAnsi="Palatino Linotype" w:cs="Palatino Linotype"/>
          <w:b/>
          <w:sz w:val="18"/>
          <w:szCs w:val="18"/>
          <w:lang w:val="en-US"/>
        </w:rPr>
        <w:lastRenderedPageBreak/>
        <w:t xml:space="preserve">ANNEX 1: Attending </w:t>
      </w:r>
      <w:proofErr w:type="gramStart"/>
      <w:r w:rsidRPr="00CE2DD6">
        <w:rPr>
          <w:rFonts w:ascii="Palatino Linotype" w:eastAsia="Palatino Linotype" w:hAnsi="Palatino Linotype" w:cs="Palatino Linotype"/>
          <w:b/>
          <w:sz w:val="18"/>
          <w:szCs w:val="18"/>
          <w:lang w:val="en-US"/>
        </w:rPr>
        <w:t>experts</w:t>
      </w:r>
      <w:proofErr w:type="gramEnd"/>
    </w:p>
    <w:tbl>
      <w:tblPr>
        <w:tblW w:w="9620" w:type="dxa"/>
        <w:jc w:val="right"/>
        <w:tblLayout w:type="fixed"/>
        <w:tblLook w:val="0400" w:firstRow="0" w:lastRow="0" w:firstColumn="0" w:lastColumn="0" w:noHBand="0" w:noVBand="1"/>
      </w:tblPr>
      <w:tblGrid>
        <w:gridCol w:w="2690"/>
        <w:gridCol w:w="6930"/>
      </w:tblGrid>
      <w:tr w:rsidR="00CE2DD6" w:rsidRPr="00CE2DD6" w14:paraId="34D401B3" w14:textId="77777777" w:rsidTr="0096292D">
        <w:trPr>
          <w:trHeight w:val="288"/>
          <w:jc w:val="right"/>
        </w:trPr>
        <w:tc>
          <w:tcPr>
            <w:tcW w:w="2690" w:type="dxa"/>
            <w:tcBorders>
              <w:top w:val="single" w:sz="8" w:space="0" w:color="000000"/>
              <w:left w:val="single" w:sz="8" w:space="0" w:color="000000"/>
              <w:bottom w:val="single" w:sz="8" w:space="0" w:color="000000"/>
              <w:right w:val="single" w:sz="8" w:space="0" w:color="000000"/>
            </w:tcBorders>
            <w:shd w:val="clear" w:color="auto" w:fill="B8CCE4"/>
            <w:tcMar>
              <w:top w:w="15" w:type="dxa"/>
              <w:left w:w="15" w:type="dxa"/>
              <w:bottom w:w="15" w:type="dxa"/>
              <w:right w:w="15" w:type="dxa"/>
            </w:tcMar>
          </w:tcPr>
          <w:p w14:paraId="56A5401A"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b/>
                <w:color w:val="000000"/>
                <w:sz w:val="18"/>
                <w:szCs w:val="18"/>
                <w:lang w:val="en-US"/>
              </w:rPr>
              <w:t>Name</w:t>
            </w:r>
          </w:p>
        </w:tc>
        <w:tc>
          <w:tcPr>
            <w:tcW w:w="6930" w:type="dxa"/>
            <w:tcBorders>
              <w:top w:val="single" w:sz="8" w:space="0" w:color="000000"/>
              <w:left w:val="nil"/>
              <w:bottom w:val="single" w:sz="8" w:space="0" w:color="000000"/>
              <w:right w:val="single" w:sz="8" w:space="0" w:color="000000"/>
            </w:tcBorders>
            <w:shd w:val="clear" w:color="auto" w:fill="B8CCE4"/>
            <w:tcMar>
              <w:top w:w="15" w:type="dxa"/>
              <w:left w:w="15" w:type="dxa"/>
              <w:bottom w:w="15" w:type="dxa"/>
              <w:right w:w="15" w:type="dxa"/>
            </w:tcMar>
          </w:tcPr>
          <w:p w14:paraId="1C99014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b/>
                <w:color w:val="000000"/>
                <w:sz w:val="18"/>
                <w:szCs w:val="18"/>
                <w:lang w:val="en-US"/>
              </w:rPr>
              <w:t>Organization</w:t>
            </w:r>
          </w:p>
        </w:tc>
      </w:tr>
      <w:tr w:rsidR="00CE2DD6" w:rsidRPr="00CE2DD6" w14:paraId="2089CF43" w14:textId="77777777" w:rsidTr="0096292D">
        <w:trPr>
          <w:trHeight w:val="232"/>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44520D3D"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Alex Stuart</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1AD2B581"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Pesticide Action Network, UK</w:t>
            </w:r>
          </w:p>
        </w:tc>
      </w:tr>
      <w:tr w:rsidR="00CE2DD6" w:rsidRPr="00CE2DD6" w14:paraId="296BE252"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61E0F60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Anita Fjelsted</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0E4C8A8C"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Environment Agency, Ministry of Environment Denmark</w:t>
            </w:r>
          </w:p>
        </w:tc>
      </w:tr>
      <w:tr w:rsidR="00CE2DD6" w:rsidRPr="00CE2DD6" w14:paraId="3678ADF2"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2AD625E1"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Buyung Hadi</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7477E427"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Sustainable Production, IFAD, Italy</w:t>
            </w:r>
          </w:p>
        </w:tc>
      </w:tr>
      <w:tr w:rsidR="00CE2DD6" w:rsidRPr="00CE2DD6" w14:paraId="78C265B6" w14:textId="77777777" w:rsidTr="0096292D">
        <w:trPr>
          <w:trHeight w:val="327"/>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4EB5E778"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 xml:space="preserve">Carol </w:t>
            </w:r>
            <w:proofErr w:type="spellStart"/>
            <w:r w:rsidRPr="00CE2DD6">
              <w:rPr>
                <w:rFonts w:ascii="Palatino Linotype" w:eastAsia="Palatino Linotype" w:hAnsi="Palatino Linotype" w:cs="Palatino Linotype"/>
                <w:color w:val="000000"/>
                <w:sz w:val="18"/>
                <w:szCs w:val="18"/>
                <w:lang w:val="en-US"/>
              </w:rPr>
              <w:t>Theka</w:t>
            </w:r>
            <w:proofErr w:type="spellEnd"/>
            <w:r w:rsidRPr="00CE2DD6">
              <w:rPr>
                <w:rFonts w:ascii="Palatino Linotype" w:eastAsia="Palatino Linotype" w:hAnsi="Palatino Linotype" w:cs="Palatino Linotype"/>
                <w:color w:val="000000"/>
                <w:sz w:val="18"/>
                <w:szCs w:val="18"/>
                <w:lang w:val="en-US"/>
              </w:rPr>
              <w:t> </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337DB62B"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Environmental Officer, Environmental Affairs Department, Malawi</w:t>
            </w:r>
          </w:p>
        </w:tc>
      </w:tr>
      <w:tr w:rsidR="00CE2DD6" w:rsidRPr="001C55DD" w14:paraId="63B7D0C4"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54C4EC01"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 xml:space="preserve">Felicien </w:t>
            </w:r>
            <w:proofErr w:type="spellStart"/>
            <w:r w:rsidRPr="00CE2DD6">
              <w:rPr>
                <w:rFonts w:ascii="Palatino Linotype" w:eastAsia="Palatino Linotype" w:hAnsi="Palatino Linotype" w:cs="Palatino Linotype"/>
                <w:color w:val="000000"/>
                <w:sz w:val="18"/>
                <w:szCs w:val="18"/>
                <w:lang w:val="en-US"/>
              </w:rPr>
              <w:t>Amakpe</w:t>
            </w:r>
            <w:proofErr w:type="spellEnd"/>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219EC9FE" w14:textId="52B08CED" w:rsidR="00CE2DD6" w:rsidRPr="00CE2DD6" w:rsidRDefault="007E0F4C" w:rsidP="00CE2DD6">
            <w:pPr>
              <w:spacing w:after="200"/>
              <w:jc w:val="left"/>
              <w:rPr>
                <w:rFonts w:ascii="Palatino Linotype" w:eastAsia="Palatino Linotype" w:hAnsi="Palatino Linotype" w:cs="Palatino Linotype"/>
                <w:sz w:val="18"/>
                <w:szCs w:val="18"/>
                <w:lang w:val="fr-FR"/>
              </w:rPr>
            </w:pPr>
            <w:r w:rsidRPr="00CE2DD6">
              <w:rPr>
                <w:rFonts w:ascii="Palatino Linotype" w:eastAsia="Palatino Linotype" w:hAnsi="Palatino Linotype" w:cs="Palatino Linotype"/>
                <w:color w:val="000000"/>
                <w:sz w:val="18"/>
                <w:szCs w:val="18"/>
                <w:highlight w:val="white"/>
                <w:lang w:val="fr-FR"/>
              </w:rPr>
              <w:t>Ministère</w:t>
            </w:r>
            <w:r w:rsidR="00CE2DD6" w:rsidRPr="00CE2DD6">
              <w:rPr>
                <w:rFonts w:ascii="Palatino Linotype" w:eastAsia="Palatino Linotype" w:hAnsi="Palatino Linotype" w:cs="Palatino Linotype"/>
                <w:color w:val="000000"/>
                <w:sz w:val="18"/>
                <w:szCs w:val="18"/>
                <w:highlight w:val="white"/>
                <w:lang w:val="fr-FR"/>
              </w:rPr>
              <w:t xml:space="preserve"> du Cadre de Vie et des Transports en Charge du D</w:t>
            </w:r>
            <w:r w:rsidR="00387D3B">
              <w:rPr>
                <w:rFonts w:ascii="Palatino Linotype" w:eastAsia="Palatino Linotype" w:hAnsi="Palatino Linotype" w:cs="Palatino Linotype"/>
                <w:color w:val="000000"/>
                <w:sz w:val="18"/>
                <w:szCs w:val="18"/>
                <w:highlight w:val="white"/>
                <w:lang w:val="fr-FR"/>
              </w:rPr>
              <w:t>éveloppement</w:t>
            </w:r>
            <w:r w:rsidR="00CE2DD6" w:rsidRPr="00CE2DD6">
              <w:rPr>
                <w:rFonts w:ascii="Palatino Linotype" w:eastAsia="Palatino Linotype" w:hAnsi="Palatino Linotype" w:cs="Palatino Linotype"/>
                <w:color w:val="000000"/>
                <w:sz w:val="18"/>
                <w:szCs w:val="18"/>
                <w:highlight w:val="white"/>
                <w:lang w:val="fr-FR"/>
              </w:rPr>
              <w:t xml:space="preserve"> Durable, Benin</w:t>
            </w:r>
          </w:p>
        </w:tc>
      </w:tr>
      <w:tr w:rsidR="00CE2DD6" w:rsidRPr="00CE2DD6" w14:paraId="34BFAD0C" w14:textId="77777777" w:rsidTr="0096292D">
        <w:trPr>
          <w:trHeight w:val="31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1DD0D196"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Fiona Tang</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6F052DEC"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Department of Civil Engineering, Monash University, Australia</w:t>
            </w:r>
          </w:p>
        </w:tc>
      </w:tr>
      <w:tr w:rsidR="00CE2DD6" w:rsidRPr="00CE2DD6" w14:paraId="67945D69" w14:textId="77777777" w:rsidTr="0096292D">
        <w:trPr>
          <w:trHeight w:val="327"/>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385E7802"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Frederico Maggi</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1B2EA59E"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School of Civil Engineering, University of Sydney, Australia</w:t>
            </w:r>
          </w:p>
        </w:tc>
      </w:tr>
      <w:tr w:rsidR="00CE2DD6" w:rsidRPr="00CE2DD6" w14:paraId="33921434" w14:textId="77777777" w:rsidTr="0096292D">
        <w:trPr>
          <w:trHeight w:val="363"/>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41D07C22"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Gervais </w:t>
            </w:r>
            <w:proofErr w:type="spellStart"/>
            <w:r w:rsidRPr="00CE2DD6">
              <w:rPr>
                <w:rFonts w:ascii="Palatino Linotype" w:eastAsia="Palatino Linotype" w:hAnsi="Palatino Linotype" w:cs="Palatino Linotype"/>
                <w:sz w:val="18"/>
                <w:szCs w:val="18"/>
                <w:lang w:val="en-US"/>
              </w:rPr>
              <w:t>Nzoa</w:t>
            </w:r>
            <w:proofErr w:type="spellEnd"/>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7636E8E8"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Social and Economic Council (ECOSOC), </w:t>
            </w:r>
            <w:proofErr w:type="spellStart"/>
            <w:r w:rsidRPr="00CE2DD6">
              <w:rPr>
                <w:rFonts w:ascii="Palatino Linotype" w:eastAsia="Palatino Linotype" w:hAnsi="Palatino Linotype" w:cs="Palatino Linotype"/>
                <w:sz w:val="18"/>
                <w:szCs w:val="18"/>
                <w:lang w:val="en-US"/>
              </w:rPr>
              <w:t>Yaounde</w:t>
            </w:r>
            <w:proofErr w:type="spellEnd"/>
            <w:r w:rsidRPr="00CE2DD6">
              <w:rPr>
                <w:rFonts w:ascii="Palatino Linotype" w:eastAsia="Palatino Linotype" w:hAnsi="Palatino Linotype" w:cs="Palatino Linotype"/>
                <w:sz w:val="18"/>
                <w:szCs w:val="18"/>
                <w:lang w:val="en-US"/>
              </w:rPr>
              <w:t>, Cameroon</w:t>
            </w:r>
          </w:p>
        </w:tc>
      </w:tr>
      <w:tr w:rsidR="00CE2DD6" w:rsidRPr="00CE2DD6" w14:paraId="3C3D72B0"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061DD58D"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Giovana Galarza Silva</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419640B7"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National Commission for Biological Diversity, Lima, Peru</w:t>
            </w:r>
          </w:p>
        </w:tc>
      </w:tr>
      <w:tr w:rsidR="00CE2DD6" w:rsidRPr="00CE2DD6" w14:paraId="41CCD614" w14:textId="77777777" w:rsidTr="0096292D">
        <w:trPr>
          <w:trHeight w:val="327"/>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1C65AB59"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Janice Villeneuve</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036B2DE8"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 National Water Management Program for Pesticides, Canada</w:t>
            </w:r>
          </w:p>
        </w:tc>
      </w:tr>
      <w:tr w:rsidR="00CE2DD6" w:rsidRPr="00CE2DD6" w14:paraId="34551DC9" w14:textId="77777777" w:rsidTr="0096292D">
        <w:trPr>
          <w:trHeight w:val="327"/>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6A3D8AF7"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Jinzhou Wang </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56090D6E"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Chinese Research Academy of Environmental Sciences (CRAES), China </w:t>
            </w:r>
          </w:p>
        </w:tc>
      </w:tr>
      <w:tr w:rsidR="00CE2DD6" w:rsidRPr="00CE2DD6" w14:paraId="31FC5629" w14:textId="77777777" w:rsidTr="0096292D">
        <w:trPr>
          <w:trHeight w:val="421"/>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40648648"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 xml:space="preserve">John </w:t>
            </w:r>
            <w:proofErr w:type="spellStart"/>
            <w:r w:rsidRPr="00CE2DD6">
              <w:rPr>
                <w:rFonts w:ascii="Palatino Linotype" w:eastAsia="Palatino Linotype" w:hAnsi="Palatino Linotype" w:cs="Palatino Linotype"/>
                <w:color w:val="000000"/>
                <w:sz w:val="18"/>
                <w:szCs w:val="18"/>
                <w:lang w:val="en-US"/>
              </w:rPr>
              <w:t>Tzilivakis</w:t>
            </w:r>
            <w:proofErr w:type="spellEnd"/>
            <w:r w:rsidRPr="00CE2DD6">
              <w:rPr>
                <w:rFonts w:ascii="Palatino Linotype" w:eastAsia="Palatino Linotype" w:hAnsi="Palatino Linotype" w:cs="Palatino Linotype"/>
                <w:color w:val="000000"/>
                <w:sz w:val="18"/>
                <w:szCs w:val="18"/>
                <w:lang w:val="en-US"/>
              </w:rPr>
              <w:t> </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6B803EF6"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Agriculture and Environment Research Unit (AERU), University of Hertfordshire, UK</w:t>
            </w:r>
          </w:p>
        </w:tc>
      </w:tr>
      <w:tr w:rsidR="00CE2DD6" w:rsidRPr="00CE2DD6" w14:paraId="18DF2929" w14:textId="77777777" w:rsidTr="0096292D">
        <w:trPr>
          <w:trHeight w:val="31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388220DC"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Jonah Davis Ormond</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73337A13"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Registrar of Pesticides and Toxic Chemicals, </w:t>
            </w:r>
            <w:proofErr w:type="gramStart"/>
            <w:r w:rsidRPr="00CE2DD6">
              <w:rPr>
                <w:rFonts w:ascii="Palatino Linotype" w:eastAsia="Palatino Linotype" w:hAnsi="Palatino Linotype" w:cs="Palatino Linotype"/>
                <w:sz w:val="18"/>
                <w:szCs w:val="18"/>
                <w:lang w:val="en-US"/>
              </w:rPr>
              <w:t>Antigua</w:t>
            </w:r>
            <w:proofErr w:type="gramEnd"/>
            <w:r w:rsidRPr="00CE2DD6">
              <w:rPr>
                <w:rFonts w:ascii="Palatino Linotype" w:eastAsia="Palatino Linotype" w:hAnsi="Palatino Linotype" w:cs="Palatino Linotype"/>
                <w:sz w:val="18"/>
                <w:szCs w:val="18"/>
                <w:lang w:val="en-US"/>
              </w:rPr>
              <w:t xml:space="preserve"> and Barbuda</w:t>
            </w:r>
          </w:p>
        </w:tc>
      </w:tr>
      <w:tr w:rsidR="00CE2DD6" w:rsidRPr="00CE2DD6" w14:paraId="0FFD6FC0" w14:textId="77777777" w:rsidTr="0096292D">
        <w:trPr>
          <w:trHeight w:val="345"/>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443ABFEB"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Lars Neumeister</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1CE172CA"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Independent Consultant on Pesticides, </w:t>
            </w:r>
            <w:proofErr w:type="spellStart"/>
            <w:r w:rsidRPr="00CE2DD6">
              <w:rPr>
                <w:rFonts w:ascii="Palatino Linotype" w:eastAsia="Palatino Linotype" w:hAnsi="Palatino Linotype" w:cs="Palatino Linotype"/>
                <w:sz w:val="18"/>
                <w:szCs w:val="18"/>
                <w:lang w:val="en-US"/>
              </w:rPr>
              <w:t>Backnang</w:t>
            </w:r>
            <w:proofErr w:type="spellEnd"/>
            <w:r w:rsidRPr="00CE2DD6">
              <w:rPr>
                <w:rFonts w:ascii="Palatino Linotype" w:eastAsia="Palatino Linotype" w:hAnsi="Palatino Linotype" w:cs="Palatino Linotype"/>
                <w:sz w:val="18"/>
                <w:szCs w:val="18"/>
                <w:lang w:val="en-US"/>
              </w:rPr>
              <w:t>, Germany</w:t>
            </w:r>
          </w:p>
        </w:tc>
      </w:tr>
      <w:tr w:rsidR="00CE2DD6" w:rsidRPr="00CE2DD6" w14:paraId="1DF5ECC6"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08B4CD5A"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Peter Campbell</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1B36BCCE" w14:textId="5A1B359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Syngenta, </w:t>
            </w:r>
            <w:proofErr w:type="spellStart"/>
            <w:r w:rsidRPr="00CE2DD6">
              <w:rPr>
                <w:rFonts w:ascii="Palatino Linotype" w:eastAsia="Palatino Linotype" w:hAnsi="Palatino Linotype" w:cs="Palatino Linotype"/>
                <w:sz w:val="18"/>
                <w:szCs w:val="18"/>
                <w:lang w:val="en-US"/>
              </w:rPr>
              <w:t>Jealott</w:t>
            </w:r>
            <w:r w:rsidR="00387D3B">
              <w:rPr>
                <w:rFonts w:ascii="Palatino Linotype" w:eastAsia="Palatino Linotype" w:hAnsi="Palatino Linotype" w:cs="Palatino Linotype"/>
                <w:sz w:val="18"/>
                <w:szCs w:val="18"/>
                <w:lang w:val="en-US"/>
              </w:rPr>
              <w:t>’</w:t>
            </w:r>
            <w:r w:rsidRPr="00CE2DD6">
              <w:rPr>
                <w:rFonts w:ascii="Palatino Linotype" w:eastAsia="Palatino Linotype" w:hAnsi="Palatino Linotype" w:cs="Palatino Linotype"/>
                <w:sz w:val="18"/>
                <w:szCs w:val="18"/>
                <w:lang w:val="en-US"/>
              </w:rPr>
              <w:t>s</w:t>
            </w:r>
            <w:proofErr w:type="spellEnd"/>
            <w:r w:rsidRPr="00CE2DD6">
              <w:rPr>
                <w:rFonts w:ascii="Palatino Linotype" w:eastAsia="Palatino Linotype" w:hAnsi="Palatino Linotype" w:cs="Palatino Linotype"/>
                <w:sz w:val="18"/>
                <w:szCs w:val="18"/>
                <w:lang w:val="en-US"/>
              </w:rPr>
              <w:t xml:space="preserve"> Hill International Research Centre, UK</w:t>
            </w:r>
          </w:p>
        </w:tc>
      </w:tr>
      <w:tr w:rsidR="00CE2DD6" w:rsidRPr="00CE2DD6" w14:paraId="7A218A71"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7E893BC5"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Ralf Schulz </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71C6FE95"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proofErr w:type="spellStart"/>
            <w:r w:rsidRPr="00CE2DD6">
              <w:rPr>
                <w:rFonts w:ascii="Palatino Linotype" w:eastAsia="Palatino Linotype" w:hAnsi="Palatino Linotype" w:cs="Palatino Linotype"/>
                <w:sz w:val="18"/>
                <w:szCs w:val="18"/>
                <w:lang w:val="en-US"/>
              </w:rPr>
              <w:t>iES</w:t>
            </w:r>
            <w:proofErr w:type="spellEnd"/>
            <w:r w:rsidRPr="00CE2DD6">
              <w:rPr>
                <w:rFonts w:ascii="Palatino Linotype" w:eastAsia="Palatino Linotype" w:hAnsi="Palatino Linotype" w:cs="Palatino Linotype"/>
                <w:sz w:val="18"/>
                <w:szCs w:val="18"/>
                <w:lang w:val="en-US"/>
              </w:rPr>
              <w:t xml:space="preserve"> Institute for Environmental Sciences, Germany</w:t>
            </w:r>
          </w:p>
        </w:tc>
      </w:tr>
      <w:tr w:rsidR="00CE2DD6" w:rsidRPr="00CE2DD6" w14:paraId="5C8D861C"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73C91C0A"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 xml:space="preserve">Raphael John </w:t>
            </w:r>
            <w:proofErr w:type="spellStart"/>
            <w:r w:rsidRPr="00CE2DD6">
              <w:rPr>
                <w:rFonts w:ascii="Palatino Linotype" w:eastAsia="Palatino Linotype" w:hAnsi="Palatino Linotype" w:cs="Palatino Linotype"/>
                <w:color w:val="000000"/>
                <w:sz w:val="18"/>
                <w:szCs w:val="18"/>
                <w:lang w:val="en-US"/>
              </w:rPr>
              <w:t>Mwezi</w:t>
            </w:r>
            <w:proofErr w:type="spellEnd"/>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0545A9BE"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Tanzania Plant Health and Pesticide Authority, Tanzania</w:t>
            </w:r>
          </w:p>
        </w:tc>
      </w:tr>
      <w:tr w:rsidR="00CE2DD6" w:rsidRPr="00CE2DD6" w14:paraId="35CD7448" w14:textId="77777777" w:rsidTr="0096292D">
        <w:trPr>
          <w:trHeight w:val="327"/>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3C5EC0D4"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 xml:space="preserve">Robert </w:t>
            </w:r>
            <w:proofErr w:type="spellStart"/>
            <w:r w:rsidRPr="00CE2DD6">
              <w:rPr>
                <w:rFonts w:ascii="Palatino Linotype" w:eastAsia="Palatino Linotype" w:hAnsi="Palatino Linotype" w:cs="Palatino Linotype"/>
                <w:sz w:val="18"/>
                <w:szCs w:val="18"/>
                <w:lang w:val="en-US"/>
              </w:rPr>
              <w:t>Hijmans</w:t>
            </w:r>
            <w:proofErr w:type="spellEnd"/>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1A186AFF"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Department of Environmental Science and Policy, University of California, Davis, USA</w:t>
            </w:r>
          </w:p>
        </w:tc>
      </w:tr>
      <w:tr w:rsidR="00CE2DD6" w:rsidRPr="00CE2DD6" w14:paraId="3F0C2645" w14:textId="77777777" w:rsidTr="0096292D">
        <w:trPr>
          <w:trHeight w:val="28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25F2B81D"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proofErr w:type="spellStart"/>
            <w:r w:rsidRPr="00CE2DD6">
              <w:rPr>
                <w:rFonts w:ascii="Palatino Linotype" w:eastAsia="Palatino Linotype" w:hAnsi="Palatino Linotype" w:cs="Palatino Linotype"/>
                <w:color w:val="000000"/>
                <w:sz w:val="18"/>
                <w:szCs w:val="18"/>
                <w:lang w:val="en-US"/>
              </w:rPr>
              <w:t>Sikeade</w:t>
            </w:r>
            <w:proofErr w:type="spellEnd"/>
            <w:r w:rsidRPr="00CE2DD6">
              <w:rPr>
                <w:rFonts w:ascii="Palatino Linotype" w:eastAsia="Palatino Linotype" w:hAnsi="Palatino Linotype" w:cs="Palatino Linotype"/>
                <w:color w:val="000000"/>
                <w:sz w:val="18"/>
                <w:szCs w:val="18"/>
                <w:lang w:val="en-US"/>
              </w:rPr>
              <w:t xml:space="preserve"> Oluwakemi </w:t>
            </w:r>
            <w:proofErr w:type="spellStart"/>
            <w:r w:rsidRPr="00CE2DD6">
              <w:rPr>
                <w:rFonts w:ascii="Palatino Linotype" w:eastAsia="Palatino Linotype" w:hAnsi="Palatino Linotype" w:cs="Palatino Linotype"/>
                <w:color w:val="000000"/>
                <w:sz w:val="18"/>
                <w:szCs w:val="18"/>
                <w:lang w:val="en-US"/>
              </w:rPr>
              <w:t>Egbuwalo</w:t>
            </w:r>
            <w:proofErr w:type="spellEnd"/>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6B8DEEB9"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Nigeria Federal Ministry of Environment, Nigeria</w:t>
            </w:r>
          </w:p>
        </w:tc>
      </w:tr>
      <w:tr w:rsidR="00CE2DD6" w:rsidRPr="00CE2DD6" w14:paraId="71E761CD" w14:textId="77777777" w:rsidTr="0096292D">
        <w:trPr>
          <w:trHeight w:val="408"/>
          <w:jc w:val="right"/>
        </w:trPr>
        <w:tc>
          <w:tcPr>
            <w:tcW w:w="2690" w:type="dxa"/>
            <w:tcBorders>
              <w:top w:val="nil"/>
              <w:left w:val="single" w:sz="8" w:space="0" w:color="000000"/>
              <w:bottom w:val="single" w:sz="8" w:space="0" w:color="000000"/>
              <w:right w:val="single" w:sz="8" w:space="0" w:color="000000"/>
            </w:tcBorders>
            <w:tcMar>
              <w:top w:w="15" w:type="dxa"/>
              <w:left w:w="15" w:type="dxa"/>
              <w:bottom w:w="15" w:type="dxa"/>
              <w:right w:w="15" w:type="dxa"/>
            </w:tcMar>
          </w:tcPr>
          <w:p w14:paraId="5024F0AB"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color w:val="000000"/>
                <w:sz w:val="18"/>
                <w:szCs w:val="18"/>
                <w:lang w:val="en-US"/>
              </w:rPr>
              <w:t>Tomoyuki Kawai </w:t>
            </w:r>
          </w:p>
        </w:tc>
        <w:tc>
          <w:tcPr>
            <w:tcW w:w="6930" w:type="dxa"/>
            <w:tcBorders>
              <w:top w:val="nil"/>
              <w:left w:val="nil"/>
              <w:bottom w:val="single" w:sz="8" w:space="0" w:color="000000"/>
              <w:right w:val="single" w:sz="8" w:space="0" w:color="000000"/>
            </w:tcBorders>
            <w:tcMar>
              <w:top w:w="15" w:type="dxa"/>
              <w:left w:w="15" w:type="dxa"/>
              <w:bottom w:w="15" w:type="dxa"/>
              <w:right w:w="15" w:type="dxa"/>
            </w:tcMar>
          </w:tcPr>
          <w:p w14:paraId="3431B487" w14:textId="77777777" w:rsidR="00CE2DD6" w:rsidRPr="00CE2DD6" w:rsidRDefault="00CE2DD6" w:rsidP="00CE2DD6">
            <w:pPr>
              <w:spacing w:after="200"/>
              <w:jc w:val="left"/>
              <w:rPr>
                <w:rFonts w:ascii="Palatino Linotype" w:eastAsia="Palatino Linotype" w:hAnsi="Palatino Linotype" w:cs="Palatino Linotype"/>
                <w:sz w:val="18"/>
                <w:szCs w:val="18"/>
                <w:lang w:val="en-US"/>
              </w:rPr>
            </w:pPr>
            <w:r w:rsidRPr="00CE2DD6">
              <w:rPr>
                <w:rFonts w:ascii="Palatino Linotype" w:eastAsia="Palatino Linotype" w:hAnsi="Palatino Linotype" w:cs="Palatino Linotype"/>
                <w:sz w:val="18"/>
                <w:szCs w:val="18"/>
                <w:lang w:val="en-US"/>
              </w:rPr>
              <w:t>Agricultural Chemicals Office, Ministry of Agriculture, Forestry and Fisheries, Japan</w:t>
            </w:r>
          </w:p>
        </w:tc>
      </w:tr>
    </w:tbl>
    <w:p w14:paraId="549FEF9B"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p>
    <w:p w14:paraId="16B7EA26" w14:textId="77777777" w:rsidR="00CE2DD6" w:rsidRPr="00CE2DD6" w:rsidRDefault="00CE2DD6" w:rsidP="00CE2DD6">
      <w:pPr>
        <w:spacing w:after="200"/>
        <w:jc w:val="left"/>
        <w:rPr>
          <w:rFonts w:ascii="Palatino Linotype" w:eastAsia="Palatino Linotype" w:hAnsi="Palatino Linotype" w:cs="Palatino Linotype"/>
          <w:b/>
          <w:sz w:val="18"/>
          <w:szCs w:val="18"/>
          <w:lang w:val="en-US"/>
        </w:rPr>
      </w:pPr>
    </w:p>
    <w:p w14:paraId="268F2FB0" w14:textId="56AA25F3" w:rsidR="002B559C" w:rsidRPr="00CE2DD6" w:rsidRDefault="00387D3B" w:rsidP="0024069D">
      <w:pPr>
        <w:pStyle w:val="Para1"/>
        <w:numPr>
          <w:ilvl w:val="0"/>
          <w:numId w:val="0"/>
        </w:numPr>
        <w:ind w:left="567"/>
        <w:jc w:val="center"/>
        <w:rPr>
          <w:lang w:val="en-US"/>
        </w:rPr>
      </w:pPr>
      <w:r>
        <w:rPr>
          <w:lang w:val="en-US"/>
        </w:rPr>
        <w:t>__________</w:t>
      </w:r>
    </w:p>
    <w:sectPr w:rsidR="002B559C" w:rsidRPr="00CE2DD6" w:rsidSect="00F90BB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32CA3" w14:textId="77777777" w:rsidR="00F90BB2" w:rsidRDefault="00F90BB2" w:rsidP="00A96B21">
      <w:r>
        <w:separator/>
      </w:r>
    </w:p>
  </w:endnote>
  <w:endnote w:type="continuationSeparator" w:id="0">
    <w:p w14:paraId="7BE66839" w14:textId="77777777" w:rsidR="00F90BB2" w:rsidRDefault="00F90BB2" w:rsidP="00A96B21">
      <w:r>
        <w:continuationSeparator/>
      </w:r>
    </w:p>
  </w:endnote>
  <w:endnote w:type="continuationNotice" w:id="1">
    <w:p w14:paraId="1E9BECEA" w14:textId="77777777" w:rsidR="00F90BB2" w:rsidRDefault="00F90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5E99D95"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374D1CE"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AD7A7" w14:textId="77777777" w:rsidR="00F90BB2" w:rsidRDefault="00F90BB2" w:rsidP="00A96B21">
      <w:r>
        <w:separator/>
      </w:r>
    </w:p>
  </w:footnote>
  <w:footnote w:type="continuationSeparator" w:id="0">
    <w:p w14:paraId="5CD3662C" w14:textId="77777777" w:rsidR="00F90BB2" w:rsidRDefault="00F90BB2" w:rsidP="00A96B21">
      <w:r>
        <w:continuationSeparator/>
      </w:r>
    </w:p>
  </w:footnote>
  <w:footnote w:type="continuationNotice" w:id="1">
    <w:p w14:paraId="61F55734" w14:textId="77777777" w:rsidR="00F90BB2" w:rsidRDefault="00F90BB2"/>
  </w:footnote>
  <w:footnote w:id="2">
    <w:p w14:paraId="0941EC31" w14:textId="77777777" w:rsidR="00A96B21" w:rsidRPr="00A96B21" w:rsidRDefault="00A96B21" w:rsidP="00D71FFB">
      <w:pPr>
        <w:pStyle w:val="Footnote"/>
      </w:pPr>
      <w:r>
        <w:rPr>
          <w:rStyle w:val="FootnoteReference"/>
        </w:rPr>
        <w:t>*</w:t>
      </w:r>
      <w:r>
        <w:t xml:space="preserve"> </w:t>
      </w:r>
      <w:r w:rsidRPr="00A96B21">
        <w:t>CBD/</w:t>
      </w:r>
      <w:r w:rsidR="004335E2">
        <w:t>SBSTTA/2</w:t>
      </w:r>
      <w:r w:rsidR="006752E6">
        <w:t>6</w:t>
      </w:r>
      <w:r w:rsidR="004335E2">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77D5ECB9" w14:textId="62A2890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35A96">
          <w:rPr>
            <w:sz w:val="20"/>
            <w:szCs w:val="20"/>
            <w:lang w:val="fr-FR"/>
          </w:rPr>
          <w:t>CBD/SBSTTA/2</w:t>
        </w:r>
        <w:r w:rsidR="006752E6">
          <w:rPr>
            <w:sz w:val="20"/>
            <w:szCs w:val="20"/>
            <w:lang w:val="fr-FR"/>
          </w:rPr>
          <w:t>6</w:t>
        </w:r>
        <w:r w:rsidR="00435A96">
          <w:rPr>
            <w:sz w:val="20"/>
            <w:szCs w:val="20"/>
            <w:lang w:val="fr-FR"/>
          </w:rPr>
          <w:t>/</w:t>
        </w:r>
        <w:r w:rsidR="00CC4E4D">
          <w:rPr>
            <w:sz w:val="20"/>
            <w:szCs w:val="20"/>
            <w:lang w:val="fr-FR"/>
          </w:rPr>
          <w:t>INF/18</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F2E27DB" w14:textId="19EE68BD" w:rsidR="002B559C" w:rsidRPr="002B559C" w:rsidRDefault="00CC4E4D" w:rsidP="002B559C">
        <w:pPr>
          <w:pStyle w:val="Header"/>
          <w:pBdr>
            <w:bottom w:val="single" w:sz="4" w:space="1" w:color="auto"/>
          </w:pBdr>
          <w:spacing w:after="240"/>
          <w:jc w:val="right"/>
          <w:rPr>
            <w:sz w:val="20"/>
            <w:szCs w:val="20"/>
            <w:lang w:val="fr-FR"/>
          </w:rPr>
        </w:pPr>
        <w:r>
          <w:rPr>
            <w:sz w:val="20"/>
            <w:szCs w:val="20"/>
            <w:lang w:val="fr-FR"/>
          </w:rPr>
          <w:t>CBD/SBSTTA/26/INF/18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80A0F98E"/>
    <w:lvl w:ilvl="0" w:tplc="71600B4E">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5A"/>
    <w:rsid w:val="00001265"/>
    <w:rsid w:val="000063C9"/>
    <w:rsid w:val="00015E3C"/>
    <w:rsid w:val="00040598"/>
    <w:rsid w:val="000A19D2"/>
    <w:rsid w:val="000D4932"/>
    <w:rsid w:val="000E3A69"/>
    <w:rsid w:val="001317A5"/>
    <w:rsid w:val="00132581"/>
    <w:rsid w:val="00132C69"/>
    <w:rsid w:val="00184909"/>
    <w:rsid w:val="001C55DD"/>
    <w:rsid w:val="00202BFD"/>
    <w:rsid w:val="0024069D"/>
    <w:rsid w:val="00242BE3"/>
    <w:rsid w:val="002B00CA"/>
    <w:rsid w:val="002B559C"/>
    <w:rsid w:val="00310608"/>
    <w:rsid w:val="00323F22"/>
    <w:rsid w:val="00326BC1"/>
    <w:rsid w:val="00330243"/>
    <w:rsid w:val="003476A9"/>
    <w:rsid w:val="00351641"/>
    <w:rsid w:val="00354FA1"/>
    <w:rsid w:val="00387D3B"/>
    <w:rsid w:val="003C6F10"/>
    <w:rsid w:val="003F20E7"/>
    <w:rsid w:val="003F428E"/>
    <w:rsid w:val="00401B6C"/>
    <w:rsid w:val="004335E2"/>
    <w:rsid w:val="00435A96"/>
    <w:rsid w:val="004701EE"/>
    <w:rsid w:val="004765DF"/>
    <w:rsid w:val="004A2A2D"/>
    <w:rsid w:val="004B23A6"/>
    <w:rsid w:val="00537248"/>
    <w:rsid w:val="00565CB6"/>
    <w:rsid w:val="005A206E"/>
    <w:rsid w:val="005A2FE3"/>
    <w:rsid w:val="005E2605"/>
    <w:rsid w:val="00657ED6"/>
    <w:rsid w:val="00666190"/>
    <w:rsid w:val="00666F02"/>
    <w:rsid w:val="006752E6"/>
    <w:rsid w:val="00682E81"/>
    <w:rsid w:val="006A29F2"/>
    <w:rsid w:val="006B293D"/>
    <w:rsid w:val="006E4294"/>
    <w:rsid w:val="00700A07"/>
    <w:rsid w:val="00733905"/>
    <w:rsid w:val="00754886"/>
    <w:rsid w:val="007A7247"/>
    <w:rsid w:val="007C4C14"/>
    <w:rsid w:val="007C77BC"/>
    <w:rsid w:val="007E0B0C"/>
    <w:rsid w:val="007E0F4C"/>
    <w:rsid w:val="008120A9"/>
    <w:rsid w:val="0083195A"/>
    <w:rsid w:val="00837CD5"/>
    <w:rsid w:val="008407F4"/>
    <w:rsid w:val="00874541"/>
    <w:rsid w:val="008B7D5B"/>
    <w:rsid w:val="008C5F99"/>
    <w:rsid w:val="008E0581"/>
    <w:rsid w:val="008F2385"/>
    <w:rsid w:val="009020B0"/>
    <w:rsid w:val="00934CE0"/>
    <w:rsid w:val="00935461"/>
    <w:rsid w:val="00995674"/>
    <w:rsid w:val="00995DDC"/>
    <w:rsid w:val="009C1114"/>
    <w:rsid w:val="00A54FA0"/>
    <w:rsid w:val="00A85929"/>
    <w:rsid w:val="00A96B21"/>
    <w:rsid w:val="00AE1A95"/>
    <w:rsid w:val="00AE75DC"/>
    <w:rsid w:val="00B0384D"/>
    <w:rsid w:val="00B25E02"/>
    <w:rsid w:val="00B36EA9"/>
    <w:rsid w:val="00B85917"/>
    <w:rsid w:val="00BF60B0"/>
    <w:rsid w:val="00C2354A"/>
    <w:rsid w:val="00C54DE2"/>
    <w:rsid w:val="00C72A3D"/>
    <w:rsid w:val="00C859D1"/>
    <w:rsid w:val="00C92BFD"/>
    <w:rsid w:val="00CC4E4D"/>
    <w:rsid w:val="00CD7BE8"/>
    <w:rsid w:val="00CE2DD6"/>
    <w:rsid w:val="00CF70AB"/>
    <w:rsid w:val="00D163F5"/>
    <w:rsid w:val="00D3059B"/>
    <w:rsid w:val="00D54632"/>
    <w:rsid w:val="00D60046"/>
    <w:rsid w:val="00D71FFB"/>
    <w:rsid w:val="00D937D1"/>
    <w:rsid w:val="00DB0ED5"/>
    <w:rsid w:val="00DB1833"/>
    <w:rsid w:val="00DE2B8A"/>
    <w:rsid w:val="00DE7686"/>
    <w:rsid w:val="00E0191D"/>
    <w:rsid w:val="00E02F49"/>
    <w:rsid w:val="00E1597C"/>
    <w:rsid w:val="00E23815"/>
    <w:rsid w:val="00EC3D26"/>
    <w:rsid w:val="00ED3849"/>
    <w:rsid w:val="00F03DA4"/>
    <w:rsid w:val="00F258FB"/>
    <w:rsid w:val="00F574E3"/>
    <w:rsid w:val="00F85656"/>
    <w:rsid w:val="00F90BB2"/>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6F600"/>
  <w15:chartTrackingRefBased/>
  <w15:docId w15:val="{42F376C2-9123-44FE-AA3C-DC26D3A9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401B6C"/>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496728">
      <w:bodyDiv w:val="1"/>
      <w:marLeft w:val="0"/>
      <w:marRight w:val="0"/>
      <w:marTop w:val="0"/>
      <w:marBottom w:val="0"/>
      <w:divBdr>
        <w:top w:val="none" w:sz="0" w:space="0" w:color="auto"/>
        <w:left w:val="none" w:sz="0" w:space="0" w:color="auto"/>
        <w:bottom w:val="none" w:sz="0" w:space="0" w:color="auto"/>
        <w:right w:val="none" w:sz="0" w:space="0" w:color="auto"/>
      </w:divBdr>
      <w:divsChild>
        <w:div w:id="320162164">
          <w:marLeft w:val="0"/>
          <w:marRight w:val="0"/>
          <w:marTop w:val="0"/>
          <w:marBottom w:val="0"/>
          <w:divBdr>
            <w:top w:val="none" w:sz="0" w:space="0" w:color="auto"/>
            <w:left w:val="none" w:sz="0" w:space="0" w:color="auto"/>
            <w:bottom w:val="none" w:sz="0" w:space="0" w:color="auto"/>
            <w:right w:val="none" w:sz="0" w:space="0" w:color="auto"/>
          </w:divBdr>
        </w:div>
        <w:div w:id="220218941">
          <w:marLeft w:val="0"/>
          <w:marRight w:val="0"/>
          <w:marTop w:val="0"/>
          <w:marBottom w:val="0"/>
          <w:divBdr>
            <w:top w:val="none" w:sz="0" w:space="0" w:color="auto"/>
            <w:left w:val="none" w:sz="0" w:space="0" w:color="auto"/>
            <w:bottom w:val="none" w:sz="0" w:space="0" w:color="auto"/>
            <w:right w:val="none" w:sz="0" w:space="0" w:color="auto"/>
          </w:divBdr>
        </w:div>
        <w:div w:id="640767258">
          <w:marLeft w:val="0"/>
          <w:marRight w:val="0"/>
          <w:marTop w:val="0"/>
          <w:marBottom w:val="0"/>
          <w:divBdr>
            <w:top w:val="none" w:sz="0" w:space="0" w:color="auto"/>
            <w:left w:val="none" w:sz="0" w:space="0" w:color="auto"/>
            <w:bottom w:val="none" w:sz="0" w:space="0" w:color="auto"/>
            <w:right w:val="none" w:sz="0" w:space="0" w:color="auto"/>
          </w:divBdr>
        </w:div>
        <w:div w:id="1677730179">
          <w:marLeft w:val="0"/>
          <w:marRight w:val="0"/>
          <w:marTop w:val="0"/>
          <w:marBottom w:val="0"/>
          <w:divBdr>
            <w:top w:val="none" w:sz="0" w:space="0" w:color="auto"/>
            <w:left w:val="none" w:sz="0" w:space="0" w:color="auto"/>
            <w:bottom w:val="none" w:sz="0" w:space="0" w:color="auto"/>
            <w:right w:val="none" w:sz="0" w:space="0" w:color="auto"/>
          </w:divBdr>
        </w:div>
        <w:div w:id="632104966">
          <w:marLeft w:val="0"/>
          <w:marRight w:val="0"/>
          <w:marTop w:val="0"/>
          <w:marBottom w:val="0"/>
          <w:divBdr>
            <w:top w:val="none" w:sz="0" w:space="0" w:color="auto"/>
            <w:left w:val="none" w:sz="0" w:space="0" w:color="auto"/>
            <w:bottom w:val="none" w:sz="0" w:space="0" w:color="auto"/>
            <w:right w:val="none" w:sz="0" w:space="0" w:color="auto"/>
          </w:divBdr>
        </w:div>
        <w:div w:id="350956466">
          <w:marLeft w:val="0"/>
          <w:marRight w:val="0"/>
          <w:marTop w:val="0"/>
          <w:marBottom w:val="0"/>
          <w:divBdr>
            <w:top w:val="none" w:sz="0" w:space="0" w:color="auto"/>
            <w:left w:val="none" w:sz="0" w:space="0" w:color="auto"/>
            <w:bottom w:val="none" w:sz="0" w:space="0" w:color="auto"/>
            <w:right w:val="none" w:sz="0" w:space="0" w:color="auto"/>
          </w:divBdr>
        </w:div>
        <w:div w:id="1387146436">
          <w:marLeft w:val="0"/>
          <w:marRight w:val="0"/>
          <w:marTop w:val="0"/>
          <w:marBottom w:val="0"/>
          <w:divBdr>
            <w:top w:val="none" w:sz="0" w:space="0" w:color="auto"/>
            <w:left w:val="none" w:sz="0" w:space="0" w:color="auto"/>
            <w:bottom w:val="none" w:sz="0" w:space="0" w:color="auto"/>
            <w:right w:val="none" w:sz="0" w:space="0" w:color="auto"/>
          </w:divBdr>
        </w:div>
        <w:div w:id="1746223891">
          <w:marLeft w:val="0"/>
          <w:marRight w:val="0"/>
          <w:marTop w:val="0"/>
          <w:marBottom w:val="0"/>
          <w:divBdr>
            <w:top w:val="none" w:sz="0" w:space="0" w:color="auto"/>
            <w:left w:val="none" w:sz="0" w:space="0" w:color="auto"/>
            <w:bottom w:val="none" w:sz="0" w:space="0" w:color="auto"/>
            <w:right w:val="none" w:sz="0" w:space="0" w:color="auto"/>
          </w:divBdr>
        </w:div>
        <w:div w:id="1512719463">
          <w:marLeft w:val="0"/>
          <w:marRight w:val="0"/>
          <w:marTop w:val="0"/>
          <w:marBottom w:val="0"/>
          <w:divBdr>
            <w:top w:val="none" w:sz="0" w:space="0" w:color="auto"/>
            <w:left w:val="none" w:sz="0" w:space="0" w:color="auto"/>
            <w:bottom w:val="none" w:sz="0" w:space="0" w:color="auto"/>
            <w:right w:val="none" w:sz="0" w:space="0" w:color="auto"/>
          </w:divBdr>
        </w:div>
        <w:div w:id="953632317">
          <w:marLeft w:val="0"/>
          <w:marRight w:val="0"/>
          <w:marTop w:val="0"/>
          <w:marBottom w:val="0"/>
          <w:divBdr>
            <w:top w:val="none" w:sz="0" w:space="0" w:color="auto"/>
            <w:left w:val="none" w:sz="0" w:space="0" w:color="auto"/>
            <w:bottom w:val="none" w:sz="0" w:space="0" w:color="auto"/>
            <w:right w:val="none" w:sz="0" w:space="0" w:color="auto"/>
          </w:divBdr>
        </w:div>
        <w:div w:id="471290775">
          <w:marLeft w:val="0"/>
          <w:marRight w:val="0"/>
          <w:marTop w:val="0"/>
          <w:marBottom w:val="0"/>
          <w:divBdr>
            <w:top w:val="none" w:sz="0" w:space="0" w:color="auto"/>
            <w:left w:val="none" w:sz="0" w:space="0" w:color="auto"/>
            <w:bottom w:val="none" w:sz="0" w:space="0" w:color="auto"/>
            <w:right w:val="none" w:sz="0" w:space="0" w:color="auto"/>
          </w:divBdr>
        </w:div>
        <w:div w:id="1802380866">
          <w:marLeft w:val="0"/>
          <w:marRight w:val="0"/>
          <w:marTop w:val="0"/>
          <w:marBottom w:val="0"/>
          <w:divBdr>
            <w:top w:val="none" w:sz="0" w:space="0" w:color="auto"/>
            <w:left w:val="none" w:sz="0" w:space="0" w:color="auto"/>
            <w:bottom w:val="none" w:sz="0" w:space="0" w:color="auto"/>
            <w:right w:val="none" w:sz="0" w:space="0" w:color="auto"/>
          </w:divBdr>
        </w:div>
        <w:div w:id="1176729824">
          <w:marLeft w:val="0"/>
          <w:marRight w:val="0"/>
          <w:marTop w:val="0"/>
          <w:marBottom w:val="0"/>
          <w:divBdr>
            <w:top w:val="none" w:sz="0" w:space="0" w:color="auto"/>
            <w:left w:val="none" w:sz="0" w:space="0" w:color="auto"/>
            <w:bottom w:val="none" w:sz="0" w:space="0" w:color="auto"/>
            <w:right w:val="none" w:sz="0" w:space="0" w:color="auto"/>
          </w:divBdr>
        </w:div>
        <w:div w:id="1186017984">
          <w:marLeft w:val="0"/>
          <w:marRight w:val="0"/>
          <w:marTop w:val="0"/>
          <w:marBottom w:val="0"/>
          <w:divBdr>
            <w:top w:val="none" w:sz="0" w:space="0" w:color="auto"/>
            <w:left w:val="none" w:sz="0" w:space="0" w:color="auto"/>
            <w:bottom w:val="none" w:sz="0" w:space="0" w:color="auto"/>
            <w:right w:val="none" w:sz="0" w:space="0" w:color="auto"/>
          </w:divBdr>
        </w:div>
        <w:div w:id="2131240841">
          <w:marLeft w:val="0"/>
          <w:marRight w:val="0"/>
          <w:marTop w:val="0"/>
          <w:marBottom w:val="0"/>
          <w:divBdr>
            <w:top w:val="none" w:sz="0" w:space="0" w:color="auto"/>
            <w:left w:val="none" w:sz="0" w:space="0" w:color="auto"/>
            <w:bottom w:val="none" w:sz="0" w:space="0" w:color="auto"/>
            <w:right w:val="none" w:sz="0" w:space="0" w:color="auto"/>
          </w:divBdr>
        </w:div>
        <w:div w:id="955675819">
          <w:marLeft w:val="0"/>
          <w:marRight w:val="0"/>
          <w:marTop w:val="0"/>
          <w:marBottom w:val="0"/>
          <w:divBdr>
            <w:top w:val="none" w:sz="0" w:space="0" w:color="auto"/>
            <w:left w:val="none" w:sz="0" w:space="0" w:color="auto"/>
            <w:bottom w:val="none" w:sz="0" w:space="0" w:color="auto"/>
            <w:right w:val="none" w:sz="0" w:space="0" w:color="auto"/>
          </w:divBdr>
        </w:div>
        <w:div w:id="1787769072">
          <w:marLeft w:val="0"/>
          <w:marRight w:val="0"/>
          <w:marTop w:val="0"/>
          <w:marBottom w:val="0"/>
          <w:divBdr>
            <w:top w:val="none" w:sz="0" w:space="0" w:color="auto"/>
            <w:left w:val="none" w:sz="0" w:space="0" w:color="auto"/>
            <w:bottom w:val="none" w:sz="0" w:space="0" w:color="auto"/>
            <w:right w:val="none" w:sz="0" w:space="0" w:color="auto"/>
          </w:divBdr>
        </w:div>
        <w:div w:id="2107729379">
          <w:marLeft w:val="0"/>
          <w:marRight w:val="0"/>
          <w:marTop w:val="0"/>
          <w:marBottom w:val="0"/>
          <w:divBdr>
            <w:top w:val="none" w:sz="0" w:space="0" w:color="auto"/>
            <w:left w:val="none" w:sz="0" w:space="0" w:color="auto"/>
            <w:bottom w:val="none" w:sz="0" w:space="0" w:color="auto"/>
            <w:right w:val="none" w:sz="0" w:space="0" w:color="auto"/>
          </w:divBdr>
        </w:div>
        <w:div w:id="1815565799">
          <w:marLeft w:val="0"/>
          <w:marRight w:val="0"/>
          <w:marTop w:val="0"/>
          <w:marBottom w:val="0"/>
          <w:divBdr>
            <w:top w:val="none" w:sz="0" w:space="0" w:color="auto"/>
            <w:left w:val="none" w:sz="0" w:space="0" w:color="auto"/>
            <w:bottom w:val="none" w:sz="0" w:space="0" w:color="auto"/>
            <w:right w:val="none" w:sz="0" w:space="0" w:color="auto"/>
          </w:divBdr>
        </w:div>
        <w:div w:id="861355663">
          <w:marLeft w:val="0"/>
          <w:marRight w:val="0"/>
          <w:marTop w:val="0"/>
          <w:marBottom w:val="0"/>
          <w:divBdr>
            <w:top w:val="none" w:sz="0" w:space="0" w:color="auto"/>
            <w:left w:val="none" w:sz="0" w:space="0" w:color="auto"/>
            <w:bottom w:val="none" w:sz="0" w:space="0" w:color="auto"/>
            <w:right w:val="none" w:sz="0" w:space="0" w:color="auto"/>
          </w:divBdr>
        </w:div>
        <w:div w:id="201987224">
          <w:marLeft w:val="0"/>
          <w:marRight w:val="0"/>
          <w:marTop w:val="0"/>
          <w:marBottom w:val="0"/>
          <w:divBdr>
            <w:top w:val="none" w:sz="0" w:space="0" w:color="auto"/>
            <w:left w:val="none" w:sz="0" w:space="0" w:color="auto"/>
            <w:bottom w:val="none" w:sz="0" w:space="0" w:color="auto"/>
            <w:right w:val="none" w:sz="0" w:space="0" w:color="auto"/>
          </w:divBdr>
        </w:div>
        <w:div w:id="527258685">
          <w:marLeft w:val="0"/>
          <w:marRight w:val="0"/>
          <w:marTop w:val="0"/>
          <w:marBottom w:val="0"/>
          <w:divBdr>
            <w:top w:val="none" w:sz="0" w:space="0" w:color="auto"/>
            <w:left w:val="none" w:sz="0" w:space="0" w:color="auto"/>
            <w:bottom w:val="none" w:sz="0" w:space="0" w:color="auto"/>
            <w:right w:val="none" w:sz="0" w:space="0" w:color="auto"/>
          </w:divBdr>
        </w:div>
        <w:div w:id="1185751094">
          <w:marLeft w:val="0"/>
          <w:marRight w:val="0"/>
          <w:marTop w:val="0"/>
          <w:marBottom w:val="0"/>
          <w:divBdr>
            <w:top w:val="none" w:sz="0" w:space="0" w:color="auto"/>
            <w:left w:val="none" w:sz="0" w:space="0" w:color="auto"/>
            <w:bottom w:val="none" w:sz="0" w:space="0" w:color="auto"/>
            <w:right w:val="none" w:sz="0" w:space="0" w:color="auto"/>
          </w:divBdr>
        </w:div>
        <w:div w:id="1066028403">
          <w:marLeft w:val="0"/>
          <w:marRight w:val="0"/>
          <w:marTop w:val="0"/>
          <w:marBottom w:val="0"/>
          <w:divBdr>
            <w:top w:val="none" w:sz="0" w:space="0" w:color="auto"/>
            <w:left w:val="none" w:sz="0" w:space="0" w:color="auto"/>
            <w:bottom w:val="none" w:sz="0" w:space="0" w:color="auto"/>
            <w:right w:val="none" w:sz="0" w:space="0" w:color="auto"/>
          </w:divBdr>
        </w:div>
        <w:div w:id="1220365954">
          <w:marLeft w:val="0"/>
          <w:marRight w:val="0"/>
          <w:marTop w:val="0"/>
          <w:marBottom w:val="0"/>
          <w:divBdr>
            <w:top w:val="none" w:sz="0" w:space="0" w:color="auto"/>
            <w:left w:val="none" w:sz="0" w:space="0" w:color="auto"/>
            <w:bottom w:val="none" w:sz="0" w:space="0" w:color="auto"/>
            <w:right w:val="none" w:sz="0" w:space="0" w:color="auto"/>
          </w:divBdr>
        </w:div>
        <w:div w:id="1809473569">
          <w:marLeft w:val="0"/>
          <w:marRight w:val="0"/>
          <w:marTop w:val="0"/>
          <w:marBottom w:val="0"/>
          <w:divBdr>
            <w:top w:val="none" w:sz="0" w:space="0" w:color="auto"/>
            <w:left w:val="none" w:sz="0" w:space="0" w:color="auto"/>
            <w:bottom w:val="none" w:sz="0" w:space="0" w:color="auto"/>
            <w:right w:val="none" w:sz="0" w:space="0" w:color="auto"/>
          </w:divBdr>
        </w:div>
        <w:div w:id="1891842628">
          <w:marLeft w:val="0"/>
          <w:marRight w:val="0"/>
          <w:marTop w:val="0"/>
          <w:marBottom w:val="0"/>
          <w:divBdr>
            <w:top w:val="none" w:sz="0" w:space="0" w:color="auto"/>
            <w:left w:val="none" w:sz="0" w:space="0" w:color="auto"/>
            <w:bottom w:val="none" w:sz="0" w:space="0" w:color="auto"/>
            <w:right w:val="none" w:sz="0" w:space="0" w:color="auto"/>
          </w:divBdr>
        </w:div>
        <w:div w:id="1439641819">
          <w:marLeft w:val="0"/>
          <w:marRight w:val="0"/>
          <w:marTop w:val="0"/>
          <w:marBottom w:val="0"/>
          <w:divBdr>
            <w:top w:val="none" w:sz="0" w:space="0" w:color="auto"/>
            <w:left w:val="none" w:sz="0" w:space="0" w:color="auto"/>
            <w:bottom w:val="none" w:sz="0" w:space="0" w:color="auto"/>
            <w:right w:val="none" w:sz="0" w:space="0" w:color="auto"/>
          </w:divBdr>
        </w:div>
        <w:div w:id="1647318954">
          <w:marLeft w:val="0"/>
          <w:marRight w:val="0"/>
          <w:marTop w:val="0"/>
          <w:marBottom w:val="0"/>
          <w:divBdr>
            <w:top w:val="none" w:sz="0" w:space="0" w:color="auto"/>
            <w:left w:val="none" w:sz="0" w:space="0" w:color="auto"/>
            <w:bottom w:val="none" w:sz="0" w:space="0" w:color="auto"/>
            <w:right w:val="none" w:sz="0" w:space="0" w:color="auto"/>
          </w:divBdr>
        </w:div>
        <w:div w:id="1508403899">
          <w:marLeft w:val="0"/>
          <w:marRight w:val="0"/>
          <w:marTop w:val="0"/>
          <w:marBottom w:val="0"/>
          <w:divBdr>
            <w:top w:val="none" w:sz="0" w:space="0" w:color="auto"/>
            <w:left w:val="none" w:sz="0" w:space="0" w:color="auto"/>
            <w:bottom w:val="none" w:sz="0" w:space="0" w:color="auto"/>
            <w:right w:val="none" w:sz="0" w:space="0" w:color="auto"/>
          </w:divBdr>
        </w:div>
        <w:div w:id="1197544117">
          <w:marLeft w:val="0"/>
          <w:marRight w:val="0"/>
          <w:marTop w:val="0"/>
          <w:marBottom w:val="0"/>
          <w:divBdr>
            <w:top w:val="none" w:sz="0" w:space="0" w:color="auto"/>
            <w:left w:val="none" w:sz="0" w:space="0" w:color="auto"/>
            <w:bottom w:val="none" w:sz="0" w:space="0" w:color="auto"/>
            <w:right w:val="none" w:sz="0" w:space="0" w:color="auto"/>
          </w:divBdr>
          <w:divsChild>
            <w:div w:id="779838920">
              <w:marLeft w:val="-75"/>
              <w:marRight w:val="0"/>
              <w:marTop w:val="30"/>
              <w:marBottom w:val="30"/>
              <w:divBdr>
                <w:top w:val="none" w:sz="0" w:space="0" w:color="auto"/>
                <w:left w:val="none" w:sz="0" w:space="0" w:color="auto"/>
                <w:bottom w:val="none" w:sz="0" w:space="0" w:color="auto"/>
                <w:right w:val="none" w:sz="0" w:space="0" w:color="auto"/>
              </w:divBdr>
              <w:divsChild>
                <w:div w:id="413405598">
                  <w:marLeft w:val="0"/>
                  <w:marRight w:val="0"/>
                  <w:marTop w:val="0"/>
                  <w:marBottom w:val="0"/>
                  <w:divBdr>
                    <w:top w:val="none" w:sz="0" w:space="0" w:color="auto"/>
                    <w:left w:val="none" w:sz="0" w:space="0" w:color="auto"/>
                    <w:bottom w:val="none" w:sz="0" w:space="0" w:color="auto"/>
                    <w:right w:val="none" w:sz="0" w:space="0" w:color="auto"/>
                  </w:divBdr>
                  <w:divsChild>
                    <w:div w:id="793599320">
                      <w:marLeft w:val="0"/>
                      <w:marRight w:val="0"/>
                      <w:marTop w:val="0"/>
                      <w:marBottom w:val="0"/>
                      <w:divBdr>
                        <w:top w:val="none" w:sz="0" w:space="0" w:color="auto"/>
                        <w:left w:val="none" w:sz="0" w:space="0" w:color="auto"/>
                        <w:bottom w:val="none" w:sz="0" w:space="0" w:color="auto"/>
                        <w:right w:val="none" w:sz="0" w:space="0" w:color="auto"/>
                      </w:divBdr>
                    </w:div>
                  </w:divsChild>
                </w:div>
                <w:div w:id="1193423871">
                  <w:marLeft w:val="0"/>
                  <w:marRight w:val="0"/>
                  <w:marTop w:val="0"/>
                  <w:marBottom w:val="0"/>
                  <w:divBdr>
                    <w:top w:val="none" w:sz="0" w:space="0" w:color="auto"/>
                    <w:left w:val="none" w:sz="0" w:space="0" w:color="auto"/>
                    <w:bottom w:val="none" w:sz="0" w:space="0" w:color="auto"/>
                    <w:right w:val="none" w:sz="0" w:space="0" w:color="auto"/>
                  </w:divBdr>
                  <w:divsChild>
                    <w:div w:id="1858688221">
                      <w:marLeft w:val="0"/>
                      <w:marRight w:val="0"/>
                      <w:marTop w:val="0"/>
                      <w:marBottom w:val="0"/>
                      <w:divBdr>
                        <w:top w:val="none" w:sz="0" w:space="0" w:color="auto"/>
                        <w:left w:val="none" w:sz="0" w:space="0" w:color="auto"/>
                        <w:bottom w:val="none" w:sz="0" w:space="0" w:color="auto"/>
                        <w:right w:val="none" w:sz="0" w:space="0" w:color="auto"/>
                      </w:divBdr>
                    </w:div>
                  </w:divsChild>
                </w:div>
                <w:div w:id="1540121524">
                  <w:marLeft w:val="0"/>
                  <w:marRight w:val="0"/>
                  <w:marTop w:val="0"/>
                  <w:marBottom w:val="0"/>
                  <w:divBdr>
                    <w:top w:val="none" w:sz="0" w:space="0" w:color="auto"/>
                    <w:left w:val="none" w:sz="0" w:space="0" w:color="auto"/>
                    <w:bottom w:val="none" w:sz="0" w:space="0" w:color="auto"/>
                    <w:right w:val="none" w:sz="0" w:space="0" w:color="auto"/>
                  </w:divBdr>
                  <w:divsChild>
                    <w:div w:id="1426998506">
                      <w:marLeft w:val="0"/>
                      <w:marRight w:val="0"/>
                      <w:marTop w:val="0"/>
                      <w:marBottom w:val="0"/>
                      <w:divBdr>
                        <w:top w:val="none" w:sz="0" w:space="0" w:color="auto"/>
                        <w:left w:val="none" w:sz="0" w:space="0" w:color="auto"/>
                        <w:bottom w:val="none" w:sz="0" w:space="0" w:color="auto"/>
                        <w:right w:val="none" w:sz="0" w:space="0" w:color="auto"/>
                      </w:divBdr>
                    </w:div>
                  </w:divsChild>
                </w:div>
                <w:div w:id="1897663184">
                  <w:marLeft w:val="0"/>
                  <w:marRight w:val="0"/>
                  <w:marTop w:val="0"/>
                  <w:marBottom w:val="0"/>
                  <w:divBdr>
                    <w:top w:val="none" w:sz="0" w:space="0" w:color="auto"/>
                    <w:left w:val="none" w:sz="0" w:space="0" w:color="auto"/>
                    <w:bottom w:val="none" w:sz="0" w:space="0" w:color="auto"/>
                    <w:right w:val="none" w:sz="0" w:space="0" w:color="auto"/>
                  </w:divBdr>
                  <w:divsChild>
                    <w:div w:id="124197876">
                      <w:marLeft w:val="0"/>
                      <w:marRight w:val="0"/>
                      <w:marTop w:val="0"/>
                      <w:marBottom w:val="0"/>
                      <w:divBdr>
                        <w:top w:val="none" w:sz="0" w:space="0" w:color="auto"/>
                        <w:left w:val="none" w:sz="0" w:space="0" w:color="auto"/>
                        <w:bottom w:val="none" w:sz="0" w:space="0" w:color="auto"/>
                        <w:right w:val="none" w:sz="0" w:space="0" w:color="auto"/>
                      </w:divBdr>
                    </w:div>
                  </w:divsChild>
                </w:div>
                <w:div w:id="850753429">
                  <w:marLeft w:val="0"/>
                  <w:marRight w:val="0"/>
                  <w:marTop w:val="0"/>
                  <w:marBottom w:val="0"/>
                  <w:divBdr>
                    <w:top w:val="none" w:sz="0" w:space="0" w:color="auto"/>
                    <w:left w:val="none" w:sz="0" w:space="0" w:color="auto"/>
                    <w:bottom w:val="none" w:sz="0" w:space="0" w:color="auto"/>
                    <w:right w:val="none" w:sz="0" w:space="0" w:color="auto"/>
                  </w:divBdr>
                  <w:divsChild>
                    <w:div w:id="1622033788">
                      <w:marLeft w:val="0"/>
                      <w:marRight w:val="0"/>
                      <w:marTop w:val="0"/>
                      <w:marBottom w:val="0"/>
                      <w:divBdr>
                        <w:top w:val="none" w:sz="0" w:space="0" w:color="auto"/>
                        <w:left w:val="none" w:sz="0" w:space="0" w:color="auto"/>
                        <w:bottom w:val="none" w:sz="0" w:space="0" w:color="auto"/>
                        <w:right w:val="none" w:sz="0" w:space="0" w:color="auto"/>
                      </w:divBdr>
                    </w:div>
                  </w:divsChild>
                </w:div>
                <w:div w:id="77021392">
                  <w:marLeft w:val="0"/>
                  <w:marRight w:val="0"/>
                  <w:marTop w:val="0"/>
                  <w:marBottom w:val="0"/>
                  <w:divBdr>
                    <w:top w:val="none" w:sz="0" w:space="0" w:color="auto"/>
                    <w:left w:val="none" w:sz="0" w:space="0" w:color="auto"/>
                    <w:bottom w:val="none" w:sz="0" w:space="0" w:color="auto"/>
                    <w:right w:val="none" w:sz="0" w:space="0" w:color="auto"/>
                  </w:divBdr>
                  <w:divsChild>
                    <w:div w:id="762189232">
                      <w:marLeft w:val="0"/>
                      <w:marRight w:val="0"/>
                      <w:marTop w:val="0"/>
                      <w:marBottom w:val="0"/>
                      <w:divBdr>
                        <w:top w:val="none" w:sz="0" w:space="0" w:color="auto"/>
                        <w:left w:val="none" w:sz="0" w:space="0" w:color="auto"/>
                        <w:bottom w:val="none" w:sz="0" w:space="0" w:color="auto"/>
                        <w:right w:val="none" w:sz="0" w:space="0" w:color="auto"/>
                      </w:divBdr>
                    </w:div>
                  </w:divsChild>
                </w:div>
                <w:div w:id="1599219689">
                  <w:marLeft w:val="0"/>
                  <w:marRight w:val="0"/>
                  <w:marTop w:val="0"/>
                  <w:marBottom w:val="0"/>
                  <w:divBdr>
                    <w:top w:val="none" w:sz="0" w:space="0" w:color="auto"/>
                    <w:left w:val="none" w:sz="0" w:space="0" w:color="auto"/>
                    <w:bottom w:val="none" w:sz="0" w:space="0" w:color="auto"/>
                    <w:right w:val="none" w:sz="0" w:space="0" w:color="auto"/>
                  </w:divBdr>
                  <w:divsChild>
                    <w:div w:id="232668243">
                      <w:marLeft w:val="0"/>
                      <w:marRight w:val="0"/>
                      <w:marTop w:val="0"/>
                      <w:marBottom w:val="0"/>
                      <w:divBdr>
                        <w:top w:val="none" w:sz="0" w:space="0" w:color="auto"/>
                        <w:left w:val="none" w:sz="0" w:space="0" w:color="auto"/>
                        <w:bottom w:val="none" w:sz="0" w:space="0" w:color="auto"/>
                        <w:right w:val="none" w:sz="0" w:space="0" w:color="auto"/>
                      </w:divBdr>
                    </w:div>
                  </w:divsChild>
                </w:div>
                <w:div w:id="1761558372">
                  <w:marLeft w:val="0"/>
                  <w:marRight w:val="0"/>
                  <w:marTop w:val="0"/>
                  <w:marBottom w:val="0"/>
                  <w:divBdr>
                    <w:top w:val="none" w:sz="0" w:space="0" w:color="auto"/>
                    <w:left w:val="none" w:sz="0" w:space="0" w:color="auto"/>
                    <w:bottom w:val="none" w:sz="0" w:space="0" w:color="auto"/>
                    <w:right w:val="none" w:sz="0" w:space="0" w:color="auto"/>
                  </w:divBdr>
                  <w:divsChild>
                    <w:div w:id="969476379">
                      <w:marLeft w:val="0"/>
                      <w:marRight w:val="0"/>
                      <w:marTop w:val="0"/>
                      <w:marBottom w:val="0"/>
                      <w:divBdr>
                        <w:top w:val="none" w:sz="0" w:space="0" w:color="auto"/>
                        <w:left w:val="none" w:sz="0" w:space="0" w:color="auto"/>
                        <w:bottom w:val="none" w:sz="0" w:space="0" w:color="auto"/>
                        <w:right w:val="none" w:sz="0" w:space="0" w:color="auto"/>
                      </w:divBdr>
                    </w:div>
                  </w:divsChild>
                </w:div>
                <w:div w:id="493104347">
                  <w:marLeft w:val="0"/>
                  <w:marRight w:val="0"/>
                  <w:marTop w:val="0"/>
                  <w:marBottom w:val="0"/>
                  <w:divBdr>
                    <w:top w:val="none" w:sz="0" w:space="0" w:color="auto"/>
                    <w:left w:val="none" w:sz="0" w:space="0" w:color="auto"/>
                    <w:bottom w:val="none" w:sz="0" w:space="0" w:color="auto"/>
                    <w:right w:val="none" w:sz="0" w:space="0" w:color="auto"/>
                  </w:divBdr>
                  <w:divsChild>
                    <w:div w:id="1857577094">
                      <w:marLeft w:val="0"/>
                      <w:marRight w:val="0"/>
                      <w:marTop w:val="0"/>
                      <w:marBottom w:val="0"/>
                      <w:divBdr>
                        <w:top w:val="none" w:sz="0" w:space="0" w:color="auto"/>
                        <w:left w:val="none" w:sz="0" w:space="0" w:color="auto"/>
                        <w:bottom w:val="none" w:sz="0" w:space="0" w:color="auto"/>
                        <w:right w:val="none" w:sz="0" w:space="0" w:color="auto"/>
                      </w:divBdr>
                    </w:div>
                  </w:divsChild>
                </w:div>
                <w:div w:id="487985550">
                  <w:marLeft w:val="0"/>
                  <w:marRight w:val="0"/>
                  <w:marTop w:val="0"/>
                  <w:marBottom w:val="0"/>
                  <w:divBdr>
                    <w:top w:val="none" w:sz="0" w:space="0" w:color="auto"/>
                    <w:left w:val="none" w:sz="0" w:space="0" w:color="auto"/>
                    <w:bottom w:val="none" w:sz="0" w:space="0" w:color="auto"/>
                    <w:right w:val="none" w:sz="0" w:space="0" w:color="auto"/>
                  </w:divBdr>
                  <w:divsChild>
                    <w:div w:id="1913268851">
                      <w:marLeft w:val="0"/>
                      <w:marRight w:val="0"/>
                      <w:marTop w:val="0"/>
                      <w:marBottom w:val="0"/>
                      <w:divBdr>
                        <w:top w:val="none" w:sz="0" w:space="0" w:color="auto"/>
                        <w:left w:val="none" w:sz="0" w:space="0" w:color="auto"/>
                        <w:bottom w:val="none" w:sz="0" w:space="0" w:color="auto"/>
                        <w:right w:val="none" w:sz="0" w:space="0" w:color="auto"/>
                      </w:divBdr>
                    </w:div>
                  </w:divsChild>
                </w:div>
                <w:div w:id="816459002">
                  <w:marLeft w:val="0"/>
                  <w:marRight w:val="0"/>
                  <w:marTop w:val="0"/>
                  <w:marBottom w:val="0"/>
                  <w:divBdr>
                    <w:top w:val="none" w:sz="0" w:space="0" w:color="auto"/>
                    <w:left w:val="none" w:sz="0" w:space="0" w:color="auto"/>
                    <w:bottom w:val="none" w:sz="0" w:space="0" w:color="auto"/>
                    <w:right w:val="none" w:sz="0" w:space="0" w:color="auto"/>
                  </w:divBdr>
                  <w:divsChild>
                    <w:div w:id="1940141621">
                      <w:marLeft w:val="0"/>
                      <w:marRight w:val="0"/>
                      <w:marTop w:val="0"/>
                      <w:marBottom w:val="0"/>
                      <w:divBdr>
                        <w:top w:val="none" w:sz="0" w:space="0" w:color="auto"/>
                        <w:left w:val="none" w:sz="0" w:space="0" w:color="auto"/>
                        <w:bottom w:val="none" w:sz="0" w:space="0" w:color="auto"/>
                        <w:right w:val="none" w:sz="0" w:space="0" w:color="auto"/>
                      </w:divBdr>
                    </w:div>
                  </w:divsChild>
                </w:div>
                <w:div w:id="1347367089">
                  <w:marLeft w:val="0"/>
                  <w:marRight w:val="0"/>
                  <w:marTop w:val="0"/>
                  <w:marBottom w:val="0"/>
                  <w:divBdr>
                    <w:top w:val="none" w:sz="0" w:space="0" w:color="auto"/>
                    <w:left w:val="none" w:sz="0" w:space="0" w:color="auto"/>
                    <w:bottom w:val="none" w:sz="0" w:space="0" w:color="auto"/>
                    <w:right w:val="none" w:sz="0" w:space="0" w:color="auto"/>
                  </w:divBdr>
                  <w:divsChild>
                    <w:div w:id="158860033">
                      <w:marLeft w:val="0"/>
                      <w:marRight w:val="0"/>
                      <w:marTop w:val="0"/>
                      <w:marBottom w:val="0"/>
                      <w:divBdr>
                        <w:top w:val="none" w:sz="0" w:space="0" w:color="auto"/>
                        <w:left w:val="none" w:sz="0" w:space="0" w:color="auto"/>
                        <w:bottom w:val="none" w:sz="0" w:space="0" w:color="auto"/>
                        <w:right w:val="none" w:sz="0" w:space="0" w:color="auto"/>
                      </w:divBdr>
                    </w:div>
                  </w:divsChild>
                </w:div>
                <w:div w:id="1128889757">
                  <w:marLeft w:val="0"/>
                  <w:marRight w:val="0"/>
                  <w:marTop w:val="0"/>
                  <w:marBottom w:val="0"/>
                  <w:divBdr>
                    <w:top w:val="none" w:sz="0" w:space="0" w:color="auto"/>
                    <w:left w:val="none" w:sz="0" w:space="0" w:color="auto"/>
                    <w:bottom w:val="none" w:sz="0" w:space="0" w:color="auto"/>
                    <w:right w:val="none" w:sz="0" w:space="0" w:color="auto"/>
                  </w:divBdr>
                  <w:divsChild>
                    <w:div w:id="2078938328">
                      <w:marLeft w:val="0"/>
                      <w:marRight w:val="0"/>
                      <w:marTop w:val="0"/>
                      <w:marBottom w:val="0"/>
                      <w:divBdr>
                        <w:top w:val="none" w:sz="0" w:space="0" w:color="auto"/>
                        <w:left w:val="none" w:sz="0" w:space="0" w:color="auto"/>
                        <w:bottom w:val="none" w:sz="0" w:space="0" w:color="auto"/>
                        <w:right w:val="none" w:sz="0" w:space="0" w:color="auto"/>
                      </w:divBdr>
                    </w:div>
                  </w:divsChild>
                </w:div>
                <w:div w:id="792674810">
                  <w:marLeft w:val="0"/>
                  <w:marRight w:val="0"/>
                  <w:marTop w:val="0"/>
                  <w:marBottom w:val="0"/>
                  <w:divBdr>
                    <w:top w:val="none" w:sz="0" w:space="0" w:color="auto"/>
                    <w:left w:val="none" w:sz="0" w:space="0" w:color="auto"/>
                    <w:bottom w:val="none" w:sz="0" w:space="0" w:color="auto"/>
                    <w:right w:val="none" w:sz="0" w:space="0" w:color="auto"/>
                  </w:divBdr>
                  <w:divsChild>
                    <w:div w:id="396443914">
                      <w:marLeft w:val="0"/>
                      <w:marRight w:val="0"/>
                      <w:marTop w:val="0"/>
                      <w:marBottom w:val="0"/>
                      <w:divBdr>
                        <w:top w:val="none" w:sz="0" w:space="0" w:color="auto"/>
                        <w:left w:val="none" w:sz="0" w:space="0" w:color="auto"/>
                        <w:bottom w:val="none" w:sz="0" w:space="0" w:color="auto"/>
                        <w:right w:val="none" w:sz="0" w:space="0" w:color="auto"/>
                      </w:divBdr>
                    </w:div>
                  </w:divsChild>
                </w:div>
                <w:div w:id="1576165740">
                  <w:marLeft w:val="0"/>
                  <w:marRight w:val="0"/>
                  <w:marTop w:val="0"/>
                  <w:marBottom w:val="0"/>
                  <w:divBdr>
                    <w:top w:val="none" w:sz="0" w:space="0" w:color="auto"/>
                    <w:left w:val="none" w:sz="0" w:space="0" w:color="auto"/>
                    <w:bottom w:val="none" w:sz="0" w:space="0" w:color="auto"/>
                    <w:right w:val="none" w:sz="0" w:space="0" w:color="auto"/>
                  </w:divBdr>
                  <w:divsChild>
                    <w:div w:id="504054167">
                      <w:marLeft w:val="0"/>
                      <w:marRight w:val="0"/>
                      <w:marTop w:val="0"/>
                      <w:marBottom w:val="0"/>
                      <w:divBdr>
                        <w:top w:val="none" w:sz="0" w:space="0" w:color="auto"/>
                        <w:left w:val="none" w:sz="0" w:space="0" w:color="auto"/>
                        <w:bottom w:val="none" w:sz="0" w:space="0" w:color="auto"/>
                        <w:right w:val="none" w:sz="0" w:space="0" w:color="auto"/>
                      </w:divBdr>
                    </w:div>
                  </w:divsChild>
                </w:div>
                <w:div w:id="531917173">
                  <w:marLeft w:val="0"/>
                  <w:marRight w:val="0"/>
                  <w:marTop w:val="0"/>
                  <w:marBottom w:val="0"/>
                  <w:divBdr>
                    <w:top w:val="none" w:sz="0" w:space="0" w:color="auto"/>
                    <w:left w:val="none" w:sz="0" w:space="0" w:color="auto"/>
                    <w:bottom w:val="none" w:sz="0" w:space="0" w:color="auto"/>
                    <w:right w:val="none" w:sz="0" w:space="0" w:color="auto"/>
                  </w:divBdr>
                  <w:divsChild>
                    <w:div w:id="359623248">
                      <w:marLeft w:val="0"/>
                      <w:marRight w:val="0"/>
                      <w:marTop w:val="0"/>
                      <w:marBottom w:val="0"/>
                      <w:divBdr>
                        <w:top w:val="none" w:sz="0" w:space="0" w:color="auto"/>
                        <w:left w:val="none" w:sz="0" w:space="0" w:color="auto"/>
                        <w:bottom w:val="none" w:sz="0" w:space="0" w:color="auto"/>
                        <w:right w:val="none" w:sz="0" w:space="0" w:color="auto"/>
                      </w:divBdr>
                    </w:div>
                  </w:divsChild>
                </w:div>
                <w:div w:id="1460538297">
                  <w:marLeft w:val="0"/>
                  <w:marRight w:val="0"/>
                  <w:marTop w:val="0"/>
                  <w:marBottom w:val="0"/>
                  <w:divBdr>
                    <w:top w:val="none" w:sz="0" w:space="0" w:color="auto"/>
                    <w:left w:val="none" w:sz="0" w:space="0" w:color="auto"/>
                    <w:bottom w:val="none" w:sz="0" w:space="0" w:color="auto"/>
                    <w:right w:val="none" w:sz="0" w:space="0" w:color="auto"/>
                  </w:divBdr>
                  <w:divsChild>
                    <w:div w:id="1396126602">
                      <w:marLeft w:val="0"/>
                      <w:marRight w:val="0"/>
                      <w:marTop w:val="0"/>
                      <w:marBottom w:val="0"/>
                      <w:divBdr>
                        <w:top w:val="none" w:sz="0" w:space="0" w:color="auto"/>
                        <w:left w:val="none" w:sz="0" w:space="0" w:color="auto"/>
                        <w:bottom w:val="none" w:sz="0" w:space="0" w:color="auto"/>
                        <w:right w:val="none" w:sz="0" w:space="0" w:color="auto"/>
                      </w:divBdr>
                    </w:div>
                  </w:divsChild>
                </w:div>
                <w:div w:id="1433698253">
                  <w:marLeft w:val="0"/>
                  <w:marRight w:val="0"/>
                  <w:marTop w:val="0"/>
                  <w:marBottom w:val="0"/>
                  <w:divBdr>
                    <w:top w:val="none" w:sz="0" w:space="0" w:color="auto"/>
                    <w:left w:val="none" w:sz="0" w:space="0" w:color="auto"/>
                    <w:bottom w:val="none" w:sz="0" w:space="0" w:color="auto"/>
                    <w:right w:val="none" w:sz="0" w:space="0" w:color="auto"/>
                  </w:divBdr>
                  <w:divsChild>
                    <w:div w:id="1227106025">
                      <w:marLeft w:val="0"/>
                      <w:marRight w:val="0"/>
                      <w:marTop w:val="0"/>
                      <w:marBottom w:val="0"/>
                      <w:divBdr>
                        <w:top w:val="none" w:sz="0" w:space="0" w:color="auto"/>
                        <w:left w:val="none" w:sz="0" w:space="0" w:color="auto"/>
                        <w:bottom w:val="none" w:sz="0" w:space="0" w:color="auto"/>
                        <w:right w:val="none" w:sz="0" w:space="0" w:color="auto"/>
                      </w:divBdr>
                    </w:div>
                  </w:divsChild>
                </w:div>
                <w:div w:id="1270817612">
                  <w:marLeft w:val="0"/>
                  <w:marRight w:val="0"/>
                  <w:marTop w:val="0"/>
                  <w:marBottom w:val="0"/>
                  <w:divBdr>
                    <w:top w:val="none" w:sz="0" w:space="0" w:color="auto"/>
                    <w:left w:val="none" w:sz="0" w:space="0" w:color="auto"/>
                    <w:bottom w:val="none" w:sz="0" w:space="0" w:color="auto"/>
                    <w:right w:val="none" w:sz="0" w:space="0" w:color="auto"/>
                  </w:divBdr>
                  <w:divsChild>
                    <w:div w:id="341587006">
                      <w:marLeft w:val="0"/>
                      <w:marRight w:val="0"/>
                      <w:marTop w:val="0"/>
                      <w:marBottom w:val="0"/>
                      <w:divBdr>
                        <w:top w:val="none" w:sz="0" w:space="0" w:color="auto"/>
                        <w:left w:val="none" w:sz="0" w:space="0" w:color="auto"/>
                        <w:bottom w:val="none" w:sz="0" w:space="0" w:color="auto"/>
                        <w:right w:val="none" w:sz="0" w:space="0" w:color="auto"/>
                      </w:divBdr>
                    </w:div>
                  </w:divsChild>
                </w:div>
                <w:div w:id="79451419">
                  <w:marLeft w:val="0"/>
                  <w:marRight w:val="0"/>
                  <w:marTop w:val="0"/>
                  <w:marBottom w:val="0"/>
                  <w:divBdr>
                    <w:top w:val="none" w:sz="0" w:space="0" w:color="auto"/>
                    <w:left w:val="none" w:sz="0" w:space="0" w:color="auto"/>
                    <w:bottom w:val="none" w:sz="0" w:space="0" w:color="auto"/>
                    <w:right w:val="none" w:sz="0" w:space="0" w:color="auto"/>
                  </w:divBdr>
                  <w:divsChild>
                    <w:div w:id="707921383">
                      <w:marLeft w:val="0"/>
                      <w:marRight w:val="0"/>
                      <w:marTop w:val="0"/>
                      <w:marBottom w:val="0"/>
                      <w:divBdr>
                        <w:top w:val="none" w:sz="0" w:space="0" w:color="auto"/>
                        <w:left w:val="none" w:sz="0" w:space="0" w:color="auto"/>
                        <w:bottom w:val="none" w:sz="0" w:space="0" w:color="auto"/>
                        <w:right w:val="none" w:sz="0" w:space="0" w:color="auto"/>
                      </w:divBdr>
                    </w:div>
                  </w:divsChild>
                </w:div>
                <w:div w:id="636422280">
                  <w:marLeft w:val="0"/>
                  <w:marRight w:val="0"/>
                  <w:marTop w:val="0"/>
                  <w:marBottom w:val="0"/>
                  <w:divBdr>
                    <w:top w:val="none" w:sz="0" w:space="0" w:color="auto"/>
                    <w:left w:val="none" w:sz="0" w:space="0" w:color="auto"/>
                    <w:bottom w:val="none" w:sz="0" w:space="0" w:color="auto"/>
                    <w:right w:val="none" w:sz="0" w:space="0" w:color="auto"/>
                  </w:divBdr>
                  <w:divsChild>
                    <w:div w:id="397441524">
                      <w:marLeft w:val="0"/>
                      <w:marRight w:val="0"/>
                      <w:marTop w:val="0"/>
                      <w:marBottom w:val="0"/>
                      <w:divBdr>
                        <w:top w:val="none" w:sz="0" w:space="0" w:color="auto"/>
                        <w:left w:val="none" w:sz="0" w:space="0" w:color="auto"/>
                        <w:bottom w:val="none" w:sz="0" w:space="0" w:color="auto"/>
                        <w:right w:val="none" w:sz="0" w:space="0" w:color="auto"/>
                      </w:divBdr>
                    </w:div>
                  </w:divsChild>
                </w:div>
                <w:div w:id="1333028311">
                  <w:marLeft w:val="0"/>
                  <w:marRight w:val="0"/>
                  <w:marTop w:val="0"/>
                  <w:marBottom w:val="0"/>
                  <w:divBdr>
                    <w:top w:val="none" w:sz="0" w:space="0" w:color="auto"/>
                    <w:left w:val="none" w:sz="0" w:space="0" w:color="auto"/>
                    <w:bottom w:val="none" w:sz="0" w:space="0" w:color="auto"/>
                    <w:right w:val="none" w:sz="0" w:space="0" w:color="auto"/>
                  </w:divBdr>
                  <w:divsChild>
                    <w:div w:id="1677999757">
                      <w:marLeft w:val="0"/>
                      <w:marRight w:val="0"/>
                      <w:marTop w:val="0"/>
                      <w:marBottom w:val="0"/>
                      <w:divBdr>
                        <w:top w:val="none" w:sz="0" w:space="0" w:color="auto"/>
                        <w:left w:val="none" w:sz="0" w:space="0" w:color="auto"/>
                        <w:bottom w:val="none" w:sz="0" w:space="0" w:color="auto"/>
                        <w:right w:val="none" w:sz="0" w:space="0" w:color="auto"/>
                      </w:divBdr>
                    </w:div>
                  </w:divsChild>
                </w:div>
                <w:div w:id="1932932057">
                  <w:marLeft w:val="0"/>
                  <w:marRight w:val="0"/>
                  <w:marTop w:val="0"/>
                  <w:marBottom w:val="0"/>
                  <w:divBdr>
                    <w:top w:val="none" w:sz="0" w:space="0" w:color="auto"/>
                    <w:left w:val="none" w:sz="0" w:space="0" w:color="auto"/>
                    <w:bottom w:val="none" w:sz="0" w:space="0" w:color="auto"/>
                    <w:right w:val="none" w:sz="0" w:space="0" w:color="auto"/>
                  </w:divBdr>
                  <w:divsChild>
                    <w:div w:id="433941928">
                      <w:marLeft w:val="0"/>
                      <w:marRight w:val="0"/>
                      <w:marTop w:val="0"/>
                      <w:marBottom w:val="0"/>
                      <w:divBdr>
                        <w:top w:val="none" w:sz="0" w:space="0" w:color="auto"/>
                        <w:left w:val="none" w:sz="0" w:space="0" w:color="auto"/>
                        <w:bottom w:val="none" w:sz="0" w:space="0" w:color="auto"/>
                        <w:right w:val="none" w:sz="0" w:space="0" w:color="auto"/>
                      </w:divBdr>
                    </w:div>
                  </w:divsChild>
                </w:div>
                <w:div w:id="1225139845">
                  <w:marLeft w:val="0"/>
                  <w:marRight w:val="0"/>
                  <w:marTop w:val="0"/>
                  <w:marBottom w:val="0"/>
                  <w:divBdr>
                    <w:top w:val="none" w:sz="0" w:space="0" w:color="auto"/>
                    <w:left w:val="none" w:sz="0" w:space="0" w:color="auto"/>
                    <w:bottom w:val="none" w:sz="0" w:space="0" w:color="auto"/>
                    <w:right w:val="none" w:sz="0" w:space="0" w:color="auto"/>
                  </w:divBdr>
                  <w:divsChild>
                    <w:div w:id="669067202">
                      <w:marLeft w:val="0"/>
                      <w:marRight w:val="0"/>
                      <w:marTop w:val="0"/>
                      <w:marBottom w:val="0"/>
                      <w:divBdr>
                        <w:top w:val="none" w:sz="0" w:space="0" w:color="auto"/>
                        <w:left w:val="none" w:sz="0" w:space="0" w:color="auto"/>
                        <w:bottom w:val="none" w:sz="0" w:space="0" w:color="auto"/>
                        <w:right w:val="none" w:sz="0" w:space="0" w:color="auto"/>
                      </w:divBdr>
                    </w:div>
                  </w:divsChild>
                </w:div>
                <w:div w:id="1969506018">
                  <w:marLeft w:val="0"/>
                  <w:marRight w:val="0"/>
                  <w:marTop w:val="0"/>
                  <w:marBottom w:val="0"/>
                  <w:divBdr>
                    <w:top w:val="none" w:sz="0" w:space="0" w:color="auto"/>
                    <w:left w:val="none" w:sz="0" w:space="0" w:color="auto"/>
                    <w:bottom w:val="none" w:sz="0" w:space="0" w:color="auto"/>
                    <w:right w:val="none" w:sz="0" w:space="0" w:color="auto"/>
                  </w:divBdr>
                  <w:divsChild>
                    <w:div w:id="1070347624">
                      <w:marLeft w:val="0"/>
                      <w:marRight w:val="0"/>
                      <w:marTop w:val="0"/>
                      <w:marBottom w:val="0"/>
                      <w:divBdr>
                        <w:top w:val="none" w:sz="0" w:space="0" w:color="auto"/>
                        <w:left w:val="none" w:sz="0" w:space="0" w:color="auto"/>
                        <w:bottom w:val="none" w:sz="0" w:space="0" w:color="auto"/>
                        <w:right w:val="none" w:sz="0" w:space="0" w:color="auto"/>
                      </w:divBdr>
                    </w:div>
                  </w:divsChild>
                </w:div>
                <w:div w:id="314532843">
                  <w:marLeft w:val="0"/>
                  <w:marRight w:val="0"/>
                  <w:marTop w:val="0"/>
                  <w:marBottom w:val="0"/>
                  <w:divBdr>
                    <w:top w:val="none" w:sz="0" w:space="0" w:color="auto"/>
                    <w:left w:val="none" w:sz="0" w:space="0" w:color="auto"/>
                    <w:bottom w:val="none" w:sz="0" w:space="0" w:color="auto"/>
                    <w:right w:val="none" w:sz="0" w:space="0" w:color="auto"/>
                  </w:divBdr>
                  <w:divsChild>
                    <w:div w:id="1980769677">
                      <w:marLeft w:val="0"/>
                      <w:marRight w:val="0"/>
                      <w:marTop w:val="0"/>
                      <w:marBottom w:val="0"/>
                      <w:divBdr>
                        <w:top w:val="none" w:sz="0" w:space="0" w:color="auto"/>
                        <w:left w:val="none" w:sz="0" w:space="0" w:color="auto"/>
                        <w:bottom w:val="none" w:sz="0" w:space="0" w:color="auto"/>
                        <w:right w:val="none" w:sz="0" w:space="0" w:color="auto"/>
                      </w:divBdr>
                    </w:div>
                  </w:divsChild>
                </w:div>
                <w:div w:id="457770587">
                  <w:marLeft w:val="0"/>
                  <w:marRight w:val="0"/>
                  <w:marTop w:val="0"/>
                  <w:marBottom w:val="0"/>
                  <w:divBdr>
                    <w:top w:val="none" w:sz="0" w:space="0" w:color="auto"/>
                    <w:left w:val="none" w:sz="0" w:space="0" w:color="auto"/>
                    <w:bottom w:val="none" w:sz="0" w:space="0" w:color="auto"/>
                    <w:right w:val="none" w:sz="0" w:space="0" w:color="auto"/>
                  </w:divBdr>
                  <w:divsChild>
                    <w:div w:id="1187211929">
                      <w:marLeft w:val="0"/>
                      <w:marRight w:val="0"/>
                      <w:marTop w:val="0"/>
                      <w:marBottom w:val="0"/>
                      <w:divBdr>
                        <w:top w:val="none" w:sz="0" w:space="0" w:color="auto"/>
                        <w:left w:val="none" w:sz="0" w:space="0" w:color="auto"/>
                        <w:bottom w:val="none" w:sz="0" w:space="0" w:color="auto"/>
                        <w:right w:val="none" w:sz="0" w:space="0" w:color="auto"/>
                      </w:divBdr>
                    </w:div>
                  </w:divsChild>
                </w:div>
                <w:div w:id="1180896281">
                  <w:marLeft w:val="0"/>
                  <w:marRight w:val="0"/>
                  <w:marTop w:val="0"/>
                  <w:marBottom w:val="0"/>
                  <w:divBdr>
                    <w:top w:val="none" w:sz="0" w:space="0" w:color="auto"/>
                    <w:left w:val="none" w:sz="0" w:space="0" w:color="auto"/>
                    <w:bottom w:val="none" w:sz="0" w:space="0" w:color="auto"/>
                    <w:right w:val="none" w:sz="0" w:space="0" w:color="auto"/>
                  </w:divBdr>
                  <w:divsChild>
                    <w:div w:id="163671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176004">
          <w:marLeft w:val="0"/>
          <w:marRight w:val="0"/>
          <w:marTop w:val="0"/>
          <w:marBottom w:val="0"/>
          <w:divBdr>
            <w:top w:val="none" w:sz="0" w:space="0" w:color="auto"/>
            <w:left w:val="none" w:sz="0" w:space="0" w:color="auto"/>
            <w:bottom w:val="none" w:sz="0" w:space="0" w:color="auto"/>
            <w:right w:val="none" w:sz="0" w:space="0" w:color="auto"/>
          </w:divBdr>
        </w:div>
        <w:div w:id="2015691634">
          <w:marLeft w:val="0"/>
          <w:marRight w:val="0"/>
          <w:marTop w:val="0"/>
          <w:marBottom w:val="0"/>
          <w:divBdr>
            <w:top w:val="none" w:sz="0" w:space="0" w:color="auto"/>
            <w:left w:val="none" w:sz="0" w:space="0" w:color="auto"/>
            <w:bottom w:val="none" w:sz="0" w:space="0" w:color="auto"/>
            <w:right w:val="none" w:sz="0" w:space="0" w:color="auto"/>
          </w:divBdr>
        </w:div>
        <w:div w:id="1019309576">
          <w:marLeft w:val="0"/>
          <w:marRight w:val="0"/>
          <w:marTop w:val="0"/>
          <w:marBottom w:val="0"/>
          <w:divBdr>
            <w:top w:val="none" w:sz="0" w:space="0" w:color="auto"/>
            <w:left w:val="none" w:sz="0" w:space="0" w:color="auto"/>
            <w:bottom w:val="none" w:sz="0" w:space="0" w:color="auto"/>
            <w:right w:val="none" w:sz="0" w:space="0" w:color="auto"/>
          </w:divBdr>
        </w:div>
        <w:div w:id="1193685670">
          <w:marLeft w:val="0"/>
          <w:marRight w:val="0"/>
          <w:marTop w:val="0"/>
          <w:marBottom w:val="0"/>
          <w:divBdr>
            <w:top w:val="none" w:sz="0" w:space="0" w:color="auto"/>
            <w:left w:val="none" w:sz="0" w:space="0" w:color="auto"/>
            <w:bottom w:val="none" w:sz="0" w:space="0" w:color="auto"/>
            <w:right w:val="none" w:sz="0" w:space="0" w:color="auto"/>
          </w:divBdr>
        </w:div>
        <w:div w:id="639270291">
          <w:marLeft w:val="0"/>
          <w:marRight w:val="0"/>
          <w:marTop w:val="0"/>
          <w:marBottom w:val="0"/>
          <w:divBdr>
            <w:top w:val="none" w:sz="0" w:space="0" w:color="auto"/>
            <w:left w:val="none" w:sz="0" w:space="0" w:color="auto"/>
            <w:bottom w:val="none" w:sz="0" w:space="0" w:color="auto"/>
            <w:right w:val="none" w:sz="0" w:space="0" w:color="auto"/>
          </w:divBdr>
        </w:div>
        <w:div w:id="645624482">
          <w:marLeft w:val="0"/>
          <w:marRight w:val="0"/>
          <w:marTop w:val="0"/>
          <w:marBottom w:val="0"/>
          <w:divBdr>
            <w:top w:val="none" w:sz="0" w:space="0" w:color="auto"/>
            <w:left w:val="none" w:sz="0" w:space="0" w:color="auto"/>
            <w:bottom w:val="none" w:sz="0" w:space="0" w:color="auto"/>
            <w:right w:val="none" w:sz="0" w:space="0" w:color="auto"/>
          </w:divBdr>
        </w:div>
        <w:div w:id="1831096155">
          <w:marLeft w:val="0"/>
          <w:marRight w:val="0"/>
          <w:marTop w:val="0"/>
          <w:marBottom w:val="0"/>
          <w:divBdr>
            <w:top w:val="none" w:sz="0" w:space="0" w:color="auto"/>
            <w:left w:val="none" w:sz="0" w:space="0" w:color="auto"/>
            <w:bottom w:val="none" w:sz="0" w:space="0" w:color="auto"/>
            <w:right w:val="none" w:sz="0" w:space="0" w:color="auto"/>
          </w:divBdr>
        </w:div>
        <w:div w:id="1771856205">
          <w:marLeft w:val="0"/>
          <w:marRight w:val="0"/>
          <w:marTop w:val="0"/>
          <w:marBottom w:val="0"/>
          <w:divBdr>
            <w:top w:val="none" w:sz="0" w:space="0" w:color="auto"/>
            <w:left w:val="none" w:sz="0" w:space="0" w:color="auto"/>
            <w:bottom w:val="none" w:sz="0" w:space="0" w:color="auto"/>
            <w:right w:val="none" w:sz="0" w:space="0" w:color="auto"/>
          </w:divBdr>
        </w:div>
        <w:div w:id="1720742466">
          <w:marLeft w:val="0"/>
          <w:marRight w:val="0"/>
          <w:marTop w:val="0"/>
          <w:marBottom w:val="0"/>
          <w:divBdr>
            <w:top w:val="none" w:sz="0" w:space="0" w:color="auto"/>
            <w:left w:val="none" w:sz="0" w:space="0" w:color="auto"/>
            <w:bottom w:val="none" w:sz="0" w:space="0" w:color="auto"/>
            <w:right w:val="none" w:sz="0" w:space="0" w:color="auto"/>
          </w:divBdr>
        </w:div>
        <w:div w:id="178661329">
          <w:marLeft w:val="0"/>
          <w:marRight w:val="0"/>
          <w:marTop w:val="0"/>
          <w:marBottom w:val="0"/>
          <w:divBdr>
            <w:top w:val="none" w:sz="0" w:space="0" w:color="auto"/>
            <w:left w:val="none" w:sz="0" w:space="0" w:color="auto"/>
            <w:bottom w:val="none" w:sz="0" w:space="0" w:color="auto"/>
            <w:right w:val="none" w:sz="0" w:space="0" w:color="auto"/>
          </w:divBdr>
        </w:div>
        <w:div w:id="81031469">
          <w:marLeft w:val="0"/>
          <w:marRight w:val="0"/>
          <w:marTop w:val="0"/>
          <w:marBottom w:val="0"/>
          <w:divBdr>
            <w:top w:val="none" w:sz="0" w:space="0" w:color="auto"/>
            <w:left w:val="none" w:sz="0" w:space="0" w:color="auto"/>
            <w:bottom w:val="none" w:sz="0" w:space="0" w:color="auto"/>
            <w:right w:val="none" w:sz="0" w:space="0" w:color="auto"/>
          </w:divBdr>
        </w:div>
        <w:div w:id="1883440982">
          <w:marLeft w:val="0"/>
          <w:marRight w:val="0"/>
          <w:marTop w:val="0"/>
          <w:marBottom w:val="0"/>
          <w:divBdr>
            <w:top w:val="none" w:sz="0" w:space="0" w:color="auto"/>
            <w:left w:val="none" w:sz="0" w:space="0" w:color="auto"/>
            <w:bottom w:val="none" w:sz="0" w:space="0" w:color="auto"/>
            <w:right w:val="none" w:sz="0" w:space="0" w:color="auto"/>
          </w:divBdr>
        </w:div>
        <w:div w:id="1725835912">
          <w:marLeft w:val="0"/>
          <w:marRight w:val="0"/>
          <w:marTop w:val="0"/>
          <w:marBottom w:val="0"/>
          <w:divBdr>
            <w:top w:val="none" w:sz="0" w:space="0" w:color="auto"/>
            <w:left w:val="none" w:sz="0" w:space="0" w:color="auto"/>
            <w:bottom w:val="none" w:sz="0" w:space="0" w:color="auto"/>
            <w:right w:val="none" w:sz="0" w:space="0" w:color="auto"/>
          </w:divBdr>
        </w:div>
        <w:div w:id="772895317">
          <w:marLeft w:val="0"/>
          <w:marRight w:val="0"/>
          <w:marTop w:val="0"/>
          <w:marBottom w:val="0"/>
          <w:divBdr>
            <w:top w:val="none" w:sz="0" w:space="0" w:color="auto"/>
            <w:left w:val="none" w:sz="0" w:space="0" w:color="auto"/>
            <w:bottom w:val="none" w:sz="0" w:space="0" w:color="auto"/>
            <w:right w:val="none" w:sz="0" w:space="0" w:color="auto"/>
          </w:divBdr>
        </w:div>
        <w:div w:id="1228145219">
          <w:marLeft w:val="0"/>
          <w:marRight w:val="0"/>
          <w:marTop w:val="0"/>
          <w:marBottom w:val="0"/>
          <w:divBdr>
            <w:top w:val="none" w:sz="0" w:space="0" w:color="auto"/>
            <w:left w:val="none" w:sz="0" w:space="0" w:color="auto"/>
            <w:bottom w:val="none" w:sz="0" w:space="0" w:color="auto"/>
            <w:right w:val="none" w:sz="0" w:space="0" w:color="auto"/>
          </w:divBdr>
        </w:div>
        <w:div w:id="1446346105">
          <w:marLeft w:val="0"/>
          <w:marRight w:val="0"/>
          <w:marTop w:val="0"/>
          <w:marBottom w:val="0"/>
          <w:divBdr>
            <w:top w:val="none" w:sz="0" w:space="0" w:color="auto"/>
            <w:left w:val="none" w:sz="0" w:space="0" w:color="auto"/>
            <w:bottom w:val="none" w:sz="0" w:space="0" w:color="auto"/>
            <w:right w:val="none" w:sz="0" w:space="0" w:color="auto"/>
          </w:divBdr>
        </w:div>
        <w:div w:id="799032143">
          <w:marLeft w:val="0"/>
          <w:marRight w:val="0"/>
          <w:marTop w:val="0"/>
          <w:marBottom w:val="0"/>
          <w:divBdr>
            <w:top w:val="none" w:sz="0" w:space="0" w:color="auto"/>
            <w:left w:val="none" w:sz="0" w:space="0" w:color="auto"/>
            <w:bottom w:val="none" w:sz="0" w:space="0" w:color="auto"/>
            <w:right w:val="none" w:sz="0" w:space="0" w:color="auto"/>
          </w:divBdr>
        </w:div>
        <w:div w:id="1537113555">
          <w:marLeft w:val="0"/>
          <w:marRight w:val="0"/>
          <w:marTop w:val="0"/>
          <w:marBottom w:val="0"/>
          <w:divBdr>
            <w:top w:val="none" w:sz="0" w:space="0" w:color="auto"/>
            <w:left w:val="none" w:sz="0" w:space="0" w:color="auto"/>
            <w:bottom w:val="none" w:sz="0" w:space="0" w:color="auto"/>
            <w:right w:val="none" w:sz="0" w:space="0" w:color="auto"/>
          </w:divBdr>
        </w:div>
        <w:div w:id="1196046326">
          <w:marLeft w:val="0"/>
          <w:marRight w:val="0"/>
          <w:marTop w:val="0"/>
          <w:marBottom w:val="0"/>
          <w:divBdr>
            <w:top w:val="none" w:sz="0" w:space="0" w:color="auto"/>
            <w:left w:val="none" w:sz="0" w:space="0" w:color="auto"/>
            <w:bottom w:val="none" w:sz="0" w:space="0" w:color="auto"/>
            <w:right w:val="none" w:sz="0" w:space="0" w:color="auto"/>
          </w:divBdr>
        </w:div>
        <w:div w:id="1717582172">
          <w:marLeft w:val="0"/>
          <w:marRight w:val="0"/>
          <w:marTop w:val="0"/>
          <w:marBottom w:val="0"/>
          <w:divBdr>
            <w:top w:val="none" w:sz="0" w:space="0" w:color="auto"/>
            <w:left w:val="none" w:sz="0" w:space="0" w:color="auto"/>
            <w:bottom w:val="none" w:sz="0" w:space="0" w:color="auto"/>
            <w:right w:val="none" w:sz="0" w:space="0" w:color="auto"/>
          </w:divBdr>
        </w:div>
        <w:div w:id="293633298">
          <w:marLeft w:val="0"/>
          <w:marRight w:val="0"/>
          <w:marTop w:val="0"/>
          <w:marBottom w:val="0"/>
          <w:divBdr>
            <w:top w:val="none" w:sz="0" w:space="0" w:color="auto"/>
            <w:left w:val="none" w:sz="0" w:space="0" w:color="auto"/>
            <w:bottom w:val="none" w:sz="0" w:space="0" w:color="auto"/>
            <w:right w:val="none" w:sz="0" w:space="0" w:color="auto"/>
          </w:divBdr>
        </w:div>
        <w:div w:id="1527791918">
          <w:marLeft w:val="0"/>
          <w:marRight w:val="0"/>
          <w:marTop w:val="0"/>
          <w:marBottom w:val="0"/>
          <w:divBdr>
            <w:top w:val="none" w:sz="0" w:space="0" w:color="auto"/>
            <w:left w:val="none" w:sz="0" w:space="0" w:color="auto"/>
            <w:bottom w:val="none" w:sz="0" w:space="0" w:color="auto"/>
            <w:right w:val="none" w:sz="0" w:space="0" w:color="auto"/>
          </w:divBdr>
        </w:div>
        <w:div w:id="740831631">
          <w:marLeft w:val="0"/>
          <w:marRight w:val="0"/>
          <w:marTop w:val="0"/>
          <w:marBottom w:val="0"/>
          <w:divBdr>
            <w:top w:val="none" w:sz="0" w:space="0" w:color="auto"/>
            <w:left w:val="none" w:sz="0" w:space="0" w:color="auto"/>
            <w:bottom w:val="none" w:sz="0" w:space="0" w:color="auto"/>
            <w:right w:val="none" w:sz="0" w:space="0" w:color="auto"/>
          </w:divBdr>
        </w:div>
        <w:div w:id="1656185654">
          <w:marLeft w:val="0"/>
          <w:marRight w:val="0"/>
          <w:marTop w:val="0"/>
          <w:marBottom w:val="0"/>
          <w:divBdr>
            <w:top w:val="none" w:sz="0" w:space="0" w:color="auto"/>
            <w:left w:val="none" w:sz="0" w:space="0" w:color="auto"/>
            <w:bottom w:val="none" w:sz="0" w:space="0" w:color="auto"/>
            <w:right w:val="none" w:sz="0" w:space="0" w:color="auto"/>
          </w:divBdr>
        </w:div>
        <w:div w:id="968126473">
          <w:marLeft w:val="0"/>
          <w:marRight w:val="0"/>
          <w:marTop w:val="0"/>
          <w:marBottom w:val="0"/>
          <w:divBdr>
            <w:top w:val="none" w:sz="0" w:space="0" w:color="auto"/>
            <w:left w:val="none" w:sz="0" w:space="0" w:color="auto"/>
            <w:bottom w:val="none" w:sz="0" w:space="0" w:color="auto"/>
            <w:right w:val="none" w:sz="0" w:space="0" w:color="auto"/>
          </w:divBdr>
        </w:div>
        <w:div w:id="796414223">
          <w:marLeft w:val="0"/>
          <w:marRight w:val="0"/>
          <w:marTop w:val="0"/>
          <w:marBottom w:val="0"/>
          <w:divBdr>
            <w:top w:val="none" w:sz="0" w:space="0" w:color="auto"/>
            <w:left w:val="none" w:sz="0" w:space="0" w:color="auto"/>
            <w:bottom w:val="none" w:sz="0" w:space="0" w:color="auto"/>
            <w:right w:val="none" w:sz="0" w:space="0" w:color="auto"/>
          </w:divBdr>
        </w:div>
        <w:div w:id="1343630859">
          <w:marLeft w:val="0"/>
          <w:marRight w:val="0"/>
          <w:marTop w:val="0"/>
          <w:marBottom w:val="0"/>
          <w:divBdr>
            <w:top w:val="none" w:sz="0" w:space="0" w:color="auto"/>
            <w:left w:val="none" w:sz="0" w:space="0" w:color="auto"/>
            <w:bottom w:val="none" w:sz="0" w:space="0" w:color="auto"/>
            <w:right w:val="none" w:sz="0" w:space="0" w:color="auto"/>
          </w:divBdr>
        </w:div>
        <w:div w:id="1691956185">
          <w:marLeft w:val="0"/>
          <w:marRight w:val="0"/>
          <w:marTop w:val="0"/>
          <w:marBottom w:val="0"/>
          <w:divBdr>
            <w:top w:val="none" w:sz="0" w:space="0" w:color="auto"/>
            <w:left w:val="none" w:sz="0" w:space="0" w:color="auto"/>
            <w:bottom w:val="none" w:sz="0" w:space="0" w:color="auto"/>
            <w:right w:val="none" w:sz="0" w:space="0" w:color="auto"/>
          </w:divBdr>
        </w:div>
        <w:div w:id="666632638">
          <w:marLeft w:val="0"/>
          <w:marRight w:val="0"/>
          <w:marTop w:val="0"/>
          <w:marBottom w:val="0"/>
          <w:divBdr>
            <w:top w:val="none" w:sz="0" w:space="0" w:color="auto"/>
            <w:left w:val="none" w:sz="0" w:space="0" w:color="auto"/>
            <w:bottom w:val="none" w:sz="0" w:space="0" w:color="auto"/>
            <w:right w:val="none" w:sz="0" w:space="0" w:color="auto"/>
          </w:divBdr>
        </w:div>
        <w:div w:id="1432553999">
          <w:marLeft w:val="0"/>
          <w:marRight w:val="0"/>
          <w:marTop w:val="0"/>
          <w:marBottom w:val="0"/>
          <w:divBdr>
            <w:top w:val="none" w:sz="0" w:space="0" w:color="auto"/>
            <w:left w:val="none" w:sz="0" w:space="0" w:color="auto"/>
            <w:bottom w:val="none" w:sz="0" w:space="0" w:color="auto"/>
            <w:right w:val="none" w:sz="0" w:space="0" w:color="auto"/>
          </w:divBdr>
        </w:div>
        <w:div w:id="1651908147">
          <w:marLeft w:val="0"/>
          <w:marRight w:val="0"/>
          <w:marTop w:val="0"/>
          <w:marBottom w:val="0"/>
          <w:divBdr>
            <w:top w:val="none" w:sz="0" w:space="0" w:color="auto"/>
            <w:left w:val="none" w:sz="0" w:space="0" w:color="auto"/>
            <w:bottom w:val="none" w:sz="0" w:space="0" w:color="auto"/>
            <w:right w:val="none" w:sz="0" w:space="0" w:color="auto"/>
          </w:divBdr>
        </w:div>
        <w:div w:id="775560919">
          <w:marLeft w:val="0"/>
          <w:marRight w:val="0"/>
          <w:marTop w:val="0"/>
          <w:marBottom w:val="0"/>
          <w:divBdr>
            <w:top w:val="none" w:sz="0" w:space="0" w:color="auto"/>
            <w:left w:val="none" w:sz="0" w:space="0" w:color="auto"/>
            <w:bottom w:val="none" w:sz="0" w:space="0" w:color="auto"/>
            <w:right w:val="none" w:sz="0" w:space="0" w:color="auto"/>
          </w:divBdr>
        </w:div>
        <w:div w:id="615991106">
          <w:marLeft w:val="0"/>
          <w:marRight w:val="0"/>
          <w:marTop w:val="0"/>
          <w:marBottom w:val="0"/>
          <w:divBdr>
            <w:top w:val="none" w:sz="0" w:space="0" w:color="auto"/>
            <w:left w:val="none" w:sz="0" w:space="0" w:color="auto"/>
            <w:bottom w:val="none" w:sz="0" w:space="0" w:color="auto"/>
            <w:right w:val="none" w:sz="0" w:space="0" w:color="auto"/>
          </w:divBdr>
        </w:div>
        <w:div w:id="1260673002">
          <w:marLeft w:val="0"/>
          <w:marRight w:val="0"/>
          <w:marTop w:val="0"/>
          <w:marBottom w:val="0"/>
          <w:divBdr>
            <w:top w:val="none" w:sz="0" w:space="0" w:color="auto"/>
            <w:left w:val="none" w:sz="0" w:space="0" w:color="auto"/>
            <w:bottom w:val="none" w:sz="0" w:space="0" w:color="auto"/>
            <w:right w:val="none" w:sz="0" w:space="0" w:color="auto"/>
          </w:divBdr>
        </w:div>
        <w:div w:id="1571227822">
          <w:marLeft w:val="0"/>
          <w:marRight w:val="0"/>
          <w:marTop w:val="0"/>
          <w:marBottom w:val="0"/>
          <w:divBdr>
            <w:top w:val="none" w:sz="0" w:space="0" w:color="auto"/>
            <w:left w:val="none" w:sz="0" w:space="0" w:color="auto"/>
            <w:bottom w:val="none" w:sz="0" w:space="0" w:color="auto"/>
            <w:right w:val="none" w:sz="0" w:space="0" w:color="auto"/>
          </w:divBdr>
        </w:div>
        <w:div w:id="282081069">
          <w:marLeft w:val="0"/>
          <w:marRight w:val="0"/>
          <w:marTop w:val="0"/>
          <w:marBottom w:val="0"/>
          <w:divBdr>
            <w:top w:val="none" w:sz="0" w:space="0" w:color="auto"/>
            <w:left w:val="none" w:sz="0" w:space="0" w:color="auto"/>
            <w:bottom w:val="none" w:sz="0" w:space="0" w:color="auto"/>
            <w:right w:val="none" w:sz="0" w:space="0" w:color="auto"/>
          </w:divBdr>
        </w:div>
        <w:div w:id="1680618093">
          <w:marLeft w:val="0"/>
          <w:marRight w:val="0"/>
          <w:marTop w:val="0"/>
          <w:marBottom w:val="0"/>
          <w:divBdr>
            <w:top w:val="none" w:sz="0" w:space="0" w:color="auto"/>
            <w:left w:val="none" w:sz="0" w:space="0" w:color="auto"/>
            <w:bottom w:val="none" w:sz="0" w:space="0" w:color="auto"/>
            <w:right w:val="none" w:sz="0" w:space="0" w:color="auto"/>
          </w:divBdr>
        </w:div>
        <w:div w:id="1277759750">
          <w:marLeft w:val="0"/>
          <w:marRight w:val="0"/>
          <w:marTop w:val="0"/>
          <w:marBottom w:val="0"/>
          <w:divBdr>
            <w:top w:val="none" w:sz="0" w:space="0" w:color="auto"/>
            <w:left w:val="none" w:sz="0" w:space="0" w:color="auto"/>
            <w:bottom w:val="none" w:sz="0" w:space="0" w:color="auto"/>
            <w:right w:val="none" w:sz="0" w:space="0" w:color="auto"/>
          </w:divBdr>
          <w:divsChild>
            <w:div w:id="498541402">
              <w:marLeft w:val="-75"/>
              <w:marRight w:val="0"/>
              <w:marTop w:val="30"/>
              <w:marBottom w:val="30"/>
              <w:divBdr>
                <w:top w:val="none" w:sz="0" w:space="0" w:color="auto"/>
                <w:left w:val="none" w:sz="0" w:space="0" w:color="auto"/>
                <w:bottom w:val="none" w:sz="0" w:space="0" w:color="auto"/>
                <w:right w:val="none" w:sz="0" w:space="0" w:color="auto"/>
              </w:divBdr>
              <w:divsChild>
                <w:div w:id="264577768">
                  <w:marLeft w:val="0"/>
                  <w:marRight w:val="0"/>
                  <w:marTop w:val="0"/>
                  <w:marBottom w:val="0"/>
                  <w:divBdr>
                    <w:top w:val="none" w:sz="0" w:space="0" w:color="auto"/>
                    <w:left w:val="none" w:sz="0" w:space="0" w:color="auto"/>
                    <w:bottom w:val="none" w:sz="0" w:space="0" w:color="auto"/>
                    <w:right w:val="none" w:sz="0" w:space="0" w:color="auto"/>
                  </w:divBdr>
                  <w:divsChild>
                    <w:div w:id="666902684">
                      <w:marLeft w:val="0"/>
                      <w:marRight w:val="0"/>
                      <w:marTop w:val="0"/>
                      <w:marBottom w:val="0"/>
                      <w:divBdr>
                        <w:top w:val="none" w:sz="0" w:space="0" w:color="auto"/>
                        <w:left w:val="none" w:sz="0" w:space="0" w:color="auto"/>
                        <w:bottom w:val="none" w:sz="0" w:space="0" w:color="auto"/>
                        <w:right w:val="none" w:sz="0" w:space="0" w:color="auto"/>
                      </w:divBdr>
                    </w:div>
                  </w:divsChild>
                </w:div>
                <w:div w:id="1985964387">
                  <w:marLeft w:val="0"/>
                  <w:marRight w:val="0"/>
                  <w:marTop w:val="0"/>
                  <w:marBottom w:val="0"/>
                  <w:divBdr>
                    <w:top w:val="none" w:sz="0" w:space="0" w:color="auto"/>
                    <w:left w:val="none" w:sz="0" w:space="0" w:color="auto"/>
                    <w:bottom w:val="none" w:sz="0" w:space="0" w:color="auto"/>
                    <w:right w:val="none" w:sz="0" w:space="0" w:color="auto"/>
                  </w:divBdr>
                  <w:divsChild>
                    <w:div w:id="1103842436">
                      <w:marLeft w:val="0"/>
                      <w:marRight w:val="0"/>
                      <w:marTop w:val="0"/>
                      <w:marBottom w:val="0"/>
                      <w:divBdr>
                        <w:top w:val="none" w:sz="0" w:space="0" w:color="auto"/>
                        <w:left w:val="none" w:sz="0" w:space="0" w:color="auto"/>
                        <w:bottom w:val="none" w:sz="0" w:space="0" w:color="auto"/>
                        <w:right w:val="none" w:sz="0" w:space="0" w:color="auto"/>
                      </w:divBdr>
                    </w:div>
                  </w:divsChild>
                </w:div>
                <w:div w:id="889875980">
                  <w:marLeft w:val="0"/>
                  <w:marRight w:val="0"/>
                  <w:marTop w:val="0"/>
                  <w:marBottom w:val="0"/>
                  <w:divBdr>
                    <w:top w:val="none" w:sz="0" w:space="0" w:color="auto"/>
                    <w:left w:val="none" w:sz="0" w:space="0" w:color="auto"/>
                    <w:bottom w:val="none" w:sz="0" w:space="0" w:color="auto"/>
                    <w:right w:val="none" w:sz="0" w:space="0" w:color="auto"/>
                  </w:divBdr>
                  <w:divsChild>
                    <w:div w:id="357048994">
                      <w:marLeft w:val="0"/>
                      <w:marRight w:val="0"/>
                      <w:marTop w:val="0"/>
                      <w:marBottom w:val="0"/>
                      <w:divBdr>
                        <w:top w:val="none" w:sz="0" w:space="0" w:color="auto"/>
                        <w:left w:val="none" w:sz="0" w:space="0" w:color="auto"/>
                        <w:bottom w:val="none" w:sz="0" w:space="0" w:color="auto"/>
                        <w:right w:val="none" w:sz="0" w:space="0" w:color="auto"/>
                      </w:divBdr>
                    </w:div>
                  </w:divsChild>
                </w:div>
                <w:div w:id="2042701988">
                  <w:marLeft w:val="0"/>
                  <w:marRight w:val="0"/>
                  <w:marTop w:val="0"/>
                  <w:marBottom w:val="0"/>
                  <w:divBdr>
                    <w:top w:val="none" w:sz="0" w:space="0" w:color="auto"/>
                    <w:left w:val="none" w:sz="0" w:space="0" w:color="auto"/>
                    <w:bottom w:val="none" w:sz="0" w:space="0" w:color="auto"/>
                    <w:right w:val="none" w:sz="0" w:space="0" w:color="auto"/>
                  </w:divBdr>
                  <w:divsChild>
                    <w:div w:id="1638216771">
                      <w:marLeft w:val="0"/>
                      <w:marRight w:val="0"/>
                      <w:marTop w:val="0"/>
                      <w:marBottom w:val="0"/>
                      <w:divBdr>
                        <w:top w:val="none" w:sz="0" w:space="0" w:color="auto"/>
                        <w:left w:val="none" w:sz="0" w:space="0" w:color="auto"/>
                        <w:bottom w:val="none" w:sz="0" w:space="0" w:color="auto"/>
                        <w:right w:val="none" w:sz="0" w:space="0" w:color="auto"/>
                      </w:divBdr>
                    </w:div>
                  </w:divsChild>
                </w:div>
                <w:div w:id="445270401">
                  <w:marLeft w:val="0"/>
                  <w:marRight w:val="0"/>
                  <w:marTop w:val="0"/>
                  <w:marBottom w:val="0"/>
                  <w:divBdr>
                    <w:top w:val="none" w:sz="0" w:space="0" w:color="auto"/>
                    <w:left w:val="none" w:sz="0" w:space="0" w:color="auto"/>
                    <w:bottom w:val="none" w:sz="0" w:space="0" w:color="auto"/>
                    <w:right w:val="none" w:sz="0" w:space="0" w:color="auto"/>
                  </w:divBdr>
                  <w:divsChild>
                    <w:div w:id="527842259">
                      <w:marLeft w:val="0"/>
                      <w:marRight w:val="0"/>
                      <w:marTop w:val="0"/>
                      <w:marBottom w:val="0"/>
                      <w:divBdr>
                        <w:top w:val="none" w:sz="0" w:space="0" w:color="auto"/>
                        <w:left w:val="none" w:sz="0" w:space="0" w:color="auto"/>
                        <w:bottom w:val="none" w:sz="0" w:space="0" w:color="auto"/>
                        <w:right w:val="none" w:sz="0" w:space="0" w:color="auto"/>
                      </w:divBdr>
                    </w:div>
                  </w:divsChild>
                </w:div>
                <w:div w:id="2026395731">
                  <w:marLeft w:val="0"/>
                  <w:marRight w:val="0"/>
                  <w:marTop w:val="0"/>
                  <w:marBottom w:val="0"/>
                  <w:divBdr>
                    <w:top w:val="none" w:sz="0" w:space="0" w:color="auto"/>
                    <w:left w:val="none" w:sz="0" w:space="0" w:color="auto"/>
                    <w:bottom w:val="none" w:sz="0" w:space="0" w:color="auto"/>
                    <w:right w:val="none" w:sz="0" w:space="0" w:color="auto"/>
                  </w:divBdr>
                  <w:divsChild>
                    <w:div w:id="89132933">
                      <w:marLeft w:val="0"/>
                      <w:marRight w:val="0"/>
                      <w:marTop w:val="0"/>
                      <w:marBottom w:val="0"/>
                      <w:divBdr>
                        <w:top w:val="none" w:sz="0" w:space="0" w:color="auto"/>
                        <w:left w:val="none" w:sz="0" w:space="0" w:color="auto"/>
                        <w:bottom w:val="none" w:sz="0" w:space="0" w:color="auto"/>
                        <w:right w:val="none" w:sz="0" w:space="0" w:color="auto"/>
                      </w:divBdr>
                    </w:div>
                  </w:divsChild>
                </w:div>
                <w:div w:id="1234201544">
                  <w:marLeft w:val="0"/>
                  <w:marRight w:val="0"/>
                  <w:marTop w:val="0"/>
                  <w:marBottom w:val="0"/>
                  <w:divBdr>
                    <w:top w:val="none" w:sz="0" w:space="0" w:color="auto"/>
                    <w:left w:val="none" w:sz="0" w:space="0" w:color="auto"/>
                    <w:bottom w:val="none" w:sz="0" w:space="0" w:color="auto"/>
                    <w:right w:val="none" w:sz="0" w:space="0" w:color="auto"/>
                  </w:divBdr>
                  <w:divsChild>
                    <w:div w:id="420026909">
                      <w:marLeft w:val="0"/>
                      <w:marRight w:val="0"/>
                      <w:marTop w:val="0"/>
                      <w:marBottom w:val="0"/>
                      <w:divBdr>
                        <w:top w:val="none" w:sz="0" w:space="0" w:color="auto"/>
                        <w:left w:val="none" w:sz="0" w:space="0" w:color="auto"/>
                        <w:bottom w:val="none" w:sz="0" w:space="0" w:color="auto"/>
                        <w:right w:val="none" w:sz="0" w:space="0" w:color="auto"/>
                      </w:divBdr>
                    </w:div>
                  </w:divsChild>
                </w:div>
                <w:div w:id="521633753">
                  <w:marLeft w:val="0"/>
                  <w:marRight w:val="0"/>
                  <w:marTop w:val="0"/>
                  <w:marBottom w:val="0"/>
                  <w:divBdr>
                    <w:top w:val="none" w:sz="0" w:space="0" w:color="auto"/>
                    <w:left w:val="none" w:sz="0" w:space="0" w:color="auto"/>
                    <w:bottom w:val="none" w:sz="0" w:space="0" w:color="auto"/>
                    <w:right w:val="none" w:sz="0" w:space="0" w:color="auto"/>
                  </w:divBdr>
                  <w:divsChild>
                    <w:div w:id="2027360805">
                      <w:marLeft w:val="0"/>
                      <w:marRight w:val="0"/>
                      <w:marTop w:val="0"/>
                      <w:marBottom w:val="0"/>
                      <w:divBdr>
                        <w:top w:val="none" w:sz="0" w:space="0" w:color="auto"/>
                        <w:left w:val="none" w:sz="0" w:space="0" w:color="auto"/>
                        <w:bottom w:val="none" w:sz="0" w:space="0" w:color="auto"/>
                        <w:right w:val="none" w:sz="0" w:space="0" w:color="auto"/>
                      </w:divBdr>
                    </w:div>
                  </w:divsChild>
                </w:div>
                <w:div w:id="838810672">
                  <w:marLeft w:val="0"/>
                  <w:marRight w:val="0"/>
                  <w:marTop w:val="0"/>
                  <w:marBottom w:val="0"/>
                  <w:divBdr>
                    <w:top w:val="none" w:sz="0" w:space="0" w:color="auto"/>
                    <w:left w:val="none" w:sz="0" w:space="0" w:color="auto"/>
                    <w:bottom w:val="none" w:sz="0" w:space="0" w:color="auto"/>
                    <w:right w:val="none" w:sz="0" w:space="0" w:color="auto"/>
                  </w:divBdr>
                  <w:divsChild>
                    <w:div w:id="1307125287">
                      <w:marLeft w:val="0"/>
                      <w:marRight w:val="0"/>
                      <w:marTop w:val="0"/>
                      <w:marBottom w:val="0"/>
                      <w:divBdr>
                        <w:top w:val="none" w:sz="0" w:space="0" w:color="auto"/>
                        <w:left w:val="none" w:sz="0" w:space="0" w:color="auto"/>
                        <w:bottom w:val="none" w:sz="0" w:space="0" w:color="auto"/>
                        <w:right w:val="none" w:sz="0" w:space="0" w:color="auto"/>
                      </w:divBdr>
                    </w:div>
                  </w:divsChild>
                </w:div>
                <w:div w:id="1985772660">
                  <w:marLeft w:val="0"/>
                  <w:marRight w:val="0"/>
                  <w:marTop w:val="0"/>
                  <w:marBottom w:val="0"/>
                  <w:divBdr>
                    <w:top w:val="none" w:sz="0" w:space="0" w:color="auto"/>
                    <w:left w:val="none" w:sz="0" w:space="0" w:color="auto"/>
                    <w:bottom w:val="none" w:sz="0" w:space="0" w:color="auto"/>
                    <w:right w:val="none" w:sz="0" w:space="0" w:color="auto"/>
                  </w:divBdr>
                  <w:divsChild>
                    <w:div w:id="323553984">
                      <w:marLeft w:val="0"/>
                      <w:marRight w:val="0"/>
                      <w:marTop w:val="0"/>
                      <w:marBottom w:val="0"/>
                      <w:divBdr>
                        <w:top w:val="none" w:sz="0" w:space="0" w:color="auto"/>
                        <w:left w:val="none" w:sz="0" w:space="0" w:color="auto"/>
                        <w:bottom w:val="none" w:sz="0" w:space="0" w:color="auto"/>
                        <w:right w:val="none" w:sz="0" w:space="0" w:color="auto"/>
                      </w:divBdr>
                    </w:div>
                  </w:divsChild>
                </w:div>
                <w:div w:id="1365211267">
                  <w:marLeft w:val="0"/>
                  <w:marRight w:val="0"/>
                  <w:marTop w:val="0"/>
                  <w:marBottom w:val="0"/>
                  <w:divBdr>
                    <w:top w:val="none" w:sz="0" w:space="0" w:color="auto"/>
                    <w:left w:val="none" w:sz="0" w:space="0" w:color="auto"/>
                    <w:bottom w:val="none" w:sz="0" w:space="0" w:color="auto"/>
                    <w:right w:val="none" w:sz="0" w:space="0" w:color="auto"/>
                  </w:divBdr>
                  <w:divsChild>
                    <w:div w:id="266425278">
                      <w:marLeft w:val="0"/>
                      <w:marRight w:val="0"/>
                      <w:marTop w:val="0"/>
                      <w:marBottom w:val="0"/>
                      <w:divBdr>
                        <w:top w:val="none" w:sz="0" w:space="0" w:color="auto"/>
                        <w:left w:val="none" w:sz="0" w:space="0" w:color="auto"/>
                        <w:bottom w:val="none" w:sz="0" w:space="0" w:color="auto"/>
                        <w:right w:val="none" w:sz="0" w:space="0" w:color="auto"/>
                      </w:divBdr>
                    </w:div>
                  </w:divsChild>
                </w:div>
                <w:div w:id="1445885058">
                  <w:marLeft w:val="0"/>
                  <w:marRight w:val="0"/>
                  <w:marTop w:val="0"/>
                  <w:marBottom w:val="0"/>
                  <w:divBdr>
                    <w:top w:val="none" w:sz="0" w:space="0" w:color="auto"/>
                    <w:left w:val="none" w:sz="0" w:space="0" w:color="auto"/>
                    <w:bottom w:val="none" w:sz="0" w:space="0" w:color="auto"/>
                    <w:right w:val="none" w:sz="0" w:space="0" w:color="auto"/>
                  </w:divBdr>
                  <w:divsChild>
                    <w:div w:id="2011566413">
                      <w:marLeft w:val="0"/>
                      <w:marRight w:val="0"/>
                      <w:marTop w:val="0"/>
                      <w:marBottom w:val="0"/>
                      <w:divBdr>
                        <w:top w:val="none" w:sz="0" w:space="0" w:color="auto"/>
                        <w:left w:val="none" w:sz="0" w:space="0" w:color="auto"/>
                        <w:bottom w:val="none" w:sz="0" w:space="0" w:color="auto"/>
                        <w:right w:val="none" w:sz="0" w:space="0" w:color="auto"/>
                      </w:divBdr>
                    </w:div>
                  </w:divsChild>
                </w:div>
                <w:div w:id="2034843040">
                  <w:marLeft w:val="0"/>
                  <w:marRight w:val="0"/>
                  <w:marTop w:val="0"/>
                  <w:marBottom w:val="0"/>
                  <w:divBdr>
                    <w:top w:val="none" w:sz="0" w:space="0" w:color="auto"/>
                    <w:left w:val="none" w:sz="0" w:space="0" w:color="auto"/>
                    <w:bottom w:val="none" w:sz="0" w:space="0" w:color="auto"/>
                    <w:right w:val="none" w:sz="0" w:space="0" w:color="auto"/>
                  </w:divBdr>
                  <w:divsChild>
                    <w:div w:id="1422218105">
                      <w:marLeft w:val="0"/>
                      <w:marRight w:val="0"/>
                      <w:marTop w:val="0"/>
                      <w:marBottom w:val="0"/>
                      <w:divBdr>
                        <w:top w:val="none" w:sz="0" w:space="0" w:color="auto"/>
                        <w:left w:val="none" w:sz="0" w:space="0" w:color="auto"/>
                        <w:bottom w:val="none" w:sz="0" w:space="0" w:color="auto"/>
                        <w:right w:val="none" w:sz="0" w:space="0" w:color="auto"/>
                      </w:divBdr>
                    </w:div>
                  </w:divsChild>
                </w:div>
                <w:div w:id="1384407749">
                  <w:marLeft w:val="0"/>
                  <w:marRight w:val="0"/>
                  <w:marTop w:val="0"/>
                  <w:marBottom w:val="0"/>
                  <w:divBdr>
                    <w:top w:val="none" w:sz="0" w:space="0" w:color="auto"/>
                    <w:left w:val="none" w:sz="0" w:space="0" w:color="auto"/>
                    <w:bottom w:val="none" w:sz="0" w:space="0" w:color="auto"/>
                    <w:right w:val="none" w:sz="0" w:space="0" w:color="auto"/>
                  </w:divBdr>
                  <w:divsChild>
                    <w:div w:id="1200433460">
                      <w:marLeft w:val="0"/>
                      <w:marRight w:val="0"/>
                      <w:marTop w:val="0"/>
                      <w:marBottom w:val="0"/>
                      <w:divBdr>
                        <w:top w:val="none" w:sz="0" w:space="0" w:color="auto"/>
                        <w:left w:val="none" w:sz="0" w:space="0" w:color="auto"/>
                        <w:bottom w:val="none" w:sz="0" w:space="0" w:color="auto"/>
                        <w:right w:val="none" w:sz="0" w:space="0" w:color="auto"/>
                      </w:divBdr>
                    </w:div>
                  </w:divsChild>
                </w:div>
                <w:div w:id="16544016">
                  <w:marLeft w:val="0"/>
                  <w:marRight w:val="0"/>
                  <w:marTop w:val="0"/>
                  <w:marBottom w:val="0"/>
                  <w:divBdr>
                    <w:top w:val="none" w:sz="0" w:space="0" w:color="auto"/>
                    <w:left w:val="none" w:sz="0" w:space="0" w:color="auto"/>
                    <w:bottom w:val="none" w:sz="0" w:space="0" w:color="auto"/>
                    <w:right w:val="none" w:sz="0" w:space="0" w:color="auto"/>
                  </w:divBdr>
                  <w:divsChild>
                    <w:div w:id="1458916848">
                      <w:marLeft w:val="0"/>
                      <w:marRight w:val="0"/>
                      <w:marTop w:val="0"/>
                      <w:marBottom w:val="0"/>
                      <w:divBdr>
                        <w:top w:val="none" w:sz="0" w:space="0" w:color="auto"/>
                        <w:left w:val="none" w:sz="0" w:space="0" w:color="auto"/>
                        <w:bottom w:val="none" w:sz="0" w:space="0" w:color="auto"/>
                        <w:right w:val="none" w:sz="0" w:space="0" w:color="auto"/>
                      </w:divBdr>
                    </w:div>
                  </w:divsChild>
                </w:div>
                <w:div w:id="1290739648">
                  <w:marLeft w:val="0"/>
                  <w:marRight w:val="0"/>
                  <w:marTop w:val="0"/>
                  <w:marBottom w:val="0"/>
                  <w:divBdr>
                    <w:top w:val="none" w:sz="0" w:space="0" w:color="auto"/>
                    <w:left w:val="none" w:sz="0" w:space="0" w:color="auto"/>
                    <w:bottom w:val="none" w:sz="0" w:space="0" w:color="auto"/>
                    <w:right w:val="none" w:sz="0" w:space="0" w:color="auto"/>
                  </w:divBdr>
                  <w:divsChild>
                    <w:div w:id="406193958">
                      <w:marLeft w:val="0"/>
                      <w:marRight w:val="0"/>
                      <w:marTop w:val="0"/>
                      <w:marBottom w:val="0"/>
                      <w:divBdr>
                        <w:top w:val="none" w:sz="0" w:space="0" w:color="auto"/>
                        <w:left w:val="none" w:sz="0" w:space="0" w:color="auto"/>
                        <w:bottom w:val="none" w:sz="0" w:space="0" w:color="auto"/>
                        <w:right w:val="none" w:sz="0" w:space="0" w:color="auto"/>
                      </w:divBdr>
                    </w:div>
                  </w:divsChild>
                </w:div>
                <w:div w:id="1840072383">
                  <w:marLeft w:val="0"/>
                  <w:marRight w:val="0"/>
                  <w:marTop w:val="0"/>
                  <w:marBottom w:val="0"/>
                  <w:divBdr>
                    <w:top w:val="none" w:sz="0" w:space="0" w:color="auto"/>
                    <w:left w:val="none" w:sz="0" w:space="0" w:color="auto"/>
                    <w:bottom w:val="none" w:sz="0" w:space="0" w:color="auto"/>
                    <w:right w:val="none" w:sz="0" w:space="0" w:color="auto"/>
                  </w:divBdr>
                  <w:divsChild>
                    <w:div w:id="469716473">
                      <w:marLeft w:val="0"/>
                      <w:marRight w:val="0"/>
                      <w:marTop w:val="0"/>
                      <w:marBottom w:val="0"/>
                      <w:divBdr>
                        <w:top w:val="none" w:sz="0" w:space="0" w:color="auto"/>
                        <w:left w:val="none" w:sz="0" w:space="0" w:color="auto"/>
                        <w:bottom w:val="none" w:sz="0" w:space="0" w:color="auto"/>
                        <w:right w:val="none" w:sz="0" w:space="0" w:color="auto"/>
                      </w:divBdr>
                    </w:div>
                  </w:divsChild>
                </w:div>
                <w:div w:id="1389567849">
                  <w:marLeft w:val="0"/>
                  <w:marRight w:val="0"/>
                  <w:marTop w:val="0"/>
                  <w:marBottom w:val="0"/>
                  <w:divBdr>
                    <w:top w:val="none" w:sz="0" w:space="0" w:color="auto"/>
                    <w:left w:val="none" w:sz="0" w:space="0" w:color="auto"/>
                    <w:bottom w:val="none" w:sz="0" w:space="0" w:color="auto"/>
                    <w:right w:val="none" w:sz="0" w:space="0" w:color="auto"/>
                  </w:divBdr>
                  <w:divsChild>
                    <w:div w:id="597370304">
                      <w:marLeft w:val="0"/>
                      <w:marRight w:val="0"/>
                      <w:marTop w:val="0"/>
                      <w:marBottom w:val="0"/>
                      <w:divBdr>
                        <w:top w:val="none" w:sz="0" w:space="0" w:color="auto"/>
                        <w:left w:val="none" w:sz="0" w:space="0" w:color="auto"/>
                        <w:bottom w:val="none" w:sz="0" w:space="0" w:color="auto"/>
                        <w:right w:val="none" w:sz="0" w:space="0" w:color="auto"/>
                      </w:divBdr>
                    </w:div>
                  </w:divsChild>
                </w:div>
                <w:div w:id="785582874">
                  <w:marLeft w:val="0"/>
                  <w:marRight w:val="0"/>
                  <w:marTop w:val="0"/>
                  <w:marBottom w:val="0"/>
                  <w:divBdr>
                    <w:top w:val="none" w:sz="0" w:space="0" w:color="auto"/>
                    <w:left w:val="none" w:sz="0" w:space="0" w:color="auto"/>
                    <w:bottom w:val="none" w:sz="0" w:space="0" w:color="auto"/>
                    <w:right w:val="none" w:sz="0" w:space="0" w:color="auto"/>
                  </w:divBdr>
                  <w:divsChild>
                    <w:div w:id="56972762">
                      <w:marLeft w:val="0"/>
                      <w:marRight w:val="0"/>
                      <w:marTop w:val="0"/>
                      <w:marBottom w:val="0"/>
                      <w:divBdr>
                        <w:top w:val="none" w:sz="0" w:space="0" w:color="auto"/>
                        <w:left w:val="none" w:sz="0" w:space="0" w:color="auto"/>
                        <w:bottom w:val="none" w:sz="0" w:space="0" w:color="auto"/>
                        <w:right w:val="none" w:sz="0" w:space="0" w:color="auto"/>
                      </w:divBdr>
                    </w:div>
                  </w:divsChild>
                </w:div>
                <w:div w:id="1705785323">
                  <w:marLeft w:val="0"/>
                  <w:marRight w:val="0"/>
                  <w:marTop w:val="0"/>
                  <w:marBottom w:val="0"/>
                  <w:divBdr>
                    <w:top w:val="none" w:sz="0" w:space="0" w:color="auto"/>
                    <w:left w:val="none" w:sz="0" w:space="0" w:color="auto"/>
                    <w:bottom w:val="none" w:sz="0" w:space="0" w:color="auto"/>
                    <w:right w:val="none" w:sz="0" w:space="0" w:color="auto"/>
                  </w:divBdr>
                  <w:divsChild>
                    <w:div w:id="1945456084">
                      <w:marLeft w:val="0"/>
                      <w:marRight w:val="0"/>
                      <w:marTop w:val="0"/>
                      <w:marBottom w:val="0"/>
                      <w:divBdr>
                        <w:top w:val="none" w:sz="0" w:space="0" w:color="auto"/>
                        <w:left w:val="none" w:sz="0" w:space="0" w:color="auto"/>
                        <w:bottom w:val="none" w:sz="0" w:space="0" w:color="auto"/>
                        <w:right w:val="none" w:sz="0" w:space="0" w:color="auto"/>
                      </w:divBdr>
                    </w:div>
                  </w:divsChild>
                </w:div>
                <w:div w:id="1494181625">
                  <w:marLeft w:val="0"/>
                  <w:marRight w:val="0"/>
                  <w:marTop w:val="0"/>
                  <w:marBottom w:val="0"/>
                  <w:divBdr>
                    <w:top w:val="none" w:sz="0" w:space="0" w:color="auto"/>
                    <w:left w:val="none" w:sz="0" w:space="0" w:color="auto"/>
                    <w:bottom w:val="none" w:sz="0" w:space="0" w:color="auto"/>
                    <w:right w:val="none" w:sz="0" w:space="0" w:color="auto"/>
                  </w:divBdr>
                  <w:divsChild>
                    <w:div w:id="1391613834">
                      <w:marLeft w:val="0"/>
                      <w:marRight w:val="0"/>
                      <w:marTop w:val="0"/>
                      <w:marBottom w:val="0"/>
                      <w:divBdr>
                        <w:top w:val="none" w:sz="0" w:space="0" w:color="auto"/>
                        <w:left w:val="none" w:sz="0" w:space="0" w:color="auto"/>
                        <w:bottom w:val="none" w:sz="0" w:space="0" w:color="auto"/>
                        <w:right w:val="none" w:sz="0" w:space="0" w:color="auto"/>
                      </w:divBdr>
                    </w:div>
                  </w:divsChild>
                </w:div>
                <w:div w:id="621233052">
                  <w:marLeft w:val="0"/>
                  <w:marRight w:val="0"/>
                  <w:marTop w:val="0"/>
                  <w:marBottom w:val="0"/>
                  <w:divBdr>
                    <w:top w:val="none" w:sz="0" w:space="0" w:color="auto"/>
                    <w:left w:val="none" w:sz="0" w:space="0" w:color="auto"/>
                    <w:bottom w:val="none" w:sz="0" w:space="0" w:color="auto"/>
                    <w:right w:val="none" w:sz="0" w:space="0" w:color="auto"/>
                  </w:divBdr>
                  <w:divsChild>
                    <w:div w:id="53087831">
                      <w:marLeft w:val="0"/>
                      <w:marRight w:val="0"/>
                      <w:marTop w:val="0"/>
                      <w:marBottom w:val="0"/>
                      <w:divBdr>
                        <w:top w:val="none" w:sz="0" w:space="0" w:color="auto"/>
                        <w:left w:val="none" w:sz="0" w:space="0" w:color="auto"/>
                        <w:bottom w:val="none" w:sz="0" w:space="0" w:color="auto"/>
                        <w:right w:val="none" w:sz="0" w:space="0" w:color="auto"/>
                      </w:divBdr>
                    </w:div>
                  </w:divsChild>
                </w:div>
                <w:div w:id="141583774">
                  <w:marLeft w:val="0"/>
                  <w:marRight w:val="0"/>
                  <w:marTop w:val="0"/>
                  <w:marBottom w:val="0"/>
                  <w:divBdr>
                    <w:top w:val="none" w:sz="0" w:space="0" w:color="auto"/>
                    <w:left w:val="none" w:sz="0" w:space="0" w:color="auto"/>
                    <w:bottom w:val="none" w:sz="0" w:space="0" w:color="auto"/>
                    <w:right w:val="none" w:sz="0" w:space="0" w:color="auto"/>
                  </w:divBdr>
                  <w:divsChild>
                    <w:div w:id="1132672424">
                      <w:marLeft w:val="0"/>
                      <w:marRight w:val="0"/>
                      <w:marTop w:val="0"/>
                      <w:marBottom w:val="0"/>
                      <w:divBdr>
                        <w:top w:val="none" w:sz="0" w:space="0" w:color="auto"/>
                        <w:left w:val="none" w:sz="0" w:space="0" w:color="auto"/>
                        <w:bottom w:val="none" w:sz="0" w:space="0" w:color="auto"/>
                        <w:right w:val="none" w:sz="0" w:space="0" w:color="auto"/>
                      </w:divBdr>
                    </w:div>
                  </w:divsChild>
                </w:div>
                <w:div w:id="1759793811">
                  <w:marLeft w:val="0"/>
                  <w:marRight w:val="0"/>
                  <w:marTop w:val="0"/>
                  <w:marBottom w:val="0"/>
                  <w:divBdr>
                    <w:top w:val="none" w:sz="0" w:space="0" w:color="auto"/>
                    <w:left w:val="none" w:sz="0" w:space="0" w:color="auto"/>
                    <w:bottom w:val="none" w:sz="0" w:space="0" w:color="auto"/>
                    <w:right w:val="none" w:sz="0" w:space="0" w:color="auto"/>
                  </w:divBdr>
                  <w:divsChild>
                    <w:div w:id="1949199337">
                      <w:marLeft w:val="0"/>
                      <w:marRight w:val="0"/>
                      <w:marTop w:val="0"/>
                      <w:marBottom w:val="0"/>
                      <w:divBdr>
                        <w:top w:val="none" w:sz="0" w:space="0" w:color="auto"/>
                        <w:left w:val="none" w:sz="0" w:space="0" w:color="auto"/>
                        <w:bottom w:val="none" w:sz="0" w:space="0" w:color="auto"/>
                        <w:right w:val="none" w:sz="0" w:space="0" w:color="auto"/>
                      </w:divBdr>
                    </w:div>
                  </w:divsChild>
                </w:div>
                <w:div w:id="895168317">
                  <w:marLeft w:val="0"/>
                  <w:marRight w:val="0"/>
                  <w:marTop w:val="0"/>
                  <w:marBottom w:val="0"/>
                  <w:divBdr>
                    <w:top w:val="none" w:sz="0" w:space="0" w:color="auto"/>
                    <w:left w:val="none" w:sz="0" w:space="0" w:color="auto"/>
                    <w:bottom w:val="none" w:sz="0" w:space="0" w:color="auto"/>
                    <w:right w:val="none" w:sz="0" w:space="0" w:color="auto"/>
                  </w:divBdr>
                  <w:divsChild>
                    <w:div w:id="1693067825">
                      <w:marLeft w:val="0"/>
                      <w:marRight w:val="0"/>
                      <w:marTop w:val="0"/>
                      <w:marBottom w:val="0"/>
                      <w:divBdr>
                        <w:top w:val="none" w:sz="0" w:space="0" w:color="auto"/>
                        <w:left w:val="none" w:sz="0" w:space="0" w:color="auto"/>
                        <w:bottom w:val="none" w:sz="0" w:space="0" w:color="auto"/>
                        <w:right w:val="none" w:sz="0" w:space="0" w:color="auto"/>
                      </w:divBdr>
                    </w:div>
                  </w:divsChild>
                </w:div>
                <w:div w:id="1979411367">
                  <w:marLeft w:val="0"/>
                  <w:marRight w:val="0"/>
                  <w:marTop w:val="0"/>
                  <w:marBottom w:val="0"/>
                  <w:divBdr>
                    <w:top w:val="none" w:sz="0" w:space="0" w:color="auto"/>
                    <w:left w:val="none" w:sz="0" w:space="0" w:color="auto"/>
                    <w:bottom w:val="none" w:sz="0" w:space="0" w:color="auto"/>
                    <w:right w:val="none" w:sz="0" w:space="0" w:color="auto"/>
                  </w:divBdr>
                  <w:divsChild>
                    <w:div w:id="1166287327">
                      <w:marLeft w:val="0"/>
                      <w:marRight w:val="0"/>
                      <w:marTop w:val="0"/>
                      <w:marBottom w:val="0"/>
                      <w:divBdr>
                        <w:top w:val="none" w:sz="0" w:space="0" w:color="auto"/>
                        <w:left w:val="none" w:sz="0" w:space="0" w:color="auto"/>
                        <w:bottom w:val="none" w:sz="0" w:space="0" w:color="auto"/>
                        <w:right w:val="none" w:sz="0" w:space="0" w:color="auto"/>
                      </w:divBdr>
                    </w:div>
                  </w:divsChild>
                </w:div>
                <w:div w:id="1392339960">
                  <w:marLeft w:val="0"/>
                  <w:marRight w:val="0"/>
                  <w:marTop w:val="0"/>
                  <w:marBottom w:val="0"/>
                  <w:divBdr>
                    <w:top w:val="none" w:sz="0" w:space="0" w:color="auto"/>
                    <w:left w:val="none" w:sz="0" w:space="0" w:color="auto"/>
                    <w:bottom w:val="none" w:sz="0" w:space="0" w:color="auto"/>
                    <w:right w:val="none" w:sz="0" w:space="0" w:color="auto"/>
                  </w:divBdr>
                  <w:divsChild>
                    <w:div w:id="62144722">
                      <w:marLeft w:val="0"/>
                      <w:marRight w:val="0"/>
                      <w:marTop w:val="0"/>
                      <w:marBottom w:val="0"/>
                      <w:divBdr>
                        <w:top w:val="none" w:sz="0" w:space="0" w:color="auto"/>
                        <w:left w:val="none" w:sz="0" w:space="0" w:color="auto"/>
                        <w:bottom w:val="none" w:sz="0" w:space="0" w:color="auto"/>
                        <w:right w:val="none" w:sz="0" w:space="0" w:color="auto"/>
                      </w:divBdr>
                    </w:div>
                  </w:divsChild>
                </w:div>
                <w:div w:id="1900556373">
                  <w:marLeft w:val="0"/>
                  <w:marRight w:val="0"/>
                  <w:marTop w:val="0"/>
                  <w:marBottom w:val="0"/>
                  <w:divBdr>
                    <w:top w:val="none" w:sz="0" w:space="0" w:color="auto"/>
                    <w:left w:val="none" w:sz="0" w:space="0" w:color="auto"/>
                    <w:bottom w:val="none" w:sz="0" w:space="0" w:color="auto"/>
                    <w:right w:val="none" w:sz="0" w:space="0" w:color="auto"/>
                  </w:divBdr>
                  <w:divsChild>
                    <w:div w:id="1103382706">
                      <w:marLeft w:val="0"/>
                      <w:marRight w:val="0"/>
                      <w:marTop w:val="0"/>
                      <w:marBottom w:val="0"/>
                      <w:divBdr>
                        <w:top w:val="none" w:sz="0" w:space="0" w:color="auto"/>
                        <w:left w:val="none" w:sz="0" w:space="0" w:color="auto"/>
                        <w:bottom w:val="none" w:sz="0" w:space="0" w:color="auto"/>
                        <w:right w:val="none" w:sz="0" w:space="0" w:color="auto"/>
                      </w:divBdr>
                    </w:div>
                  </w:divsChild>
                </w:div>
                <w:div w:id="1023627870">
                  <w:marLeft w:val="0"/>
                  <w:marRight w:val="0"/>
                  <w:marTop w:val="0"/>
                  <w:marBottom w:val="0"/>
                  <w:divBdr>
                    <w:top w:val="none" w:sz="0" w:space="0" w:color="auto"/>
                    <w:left w:val="none" w:sz="0" w:space="0" w:color="auto"/>
                    <w:bottom w:val="none" w:sz="0" w:space="0" w:color="auto"/>
                    <w:right w:val="none" w:sz="0" w:space="0" w:color="auto"/>
                  </w:divBdr>
                  <w:divsChild>
                    <w:div w:id="1411779997">
                      <w:marLeft w:val="0"/>
                      <w:marRight w:val="0"/>
                      <w:marTop w:val="0"/>
                      <w:marBottom w:val="0"/>
                      <w:divBdr>
                        <w:top w:val="none" w:sz="0" w:space="0" w:color="auto"/>
                        <w:left w:val="none" w:sz="0" w:space="0" w:color="auto"/>
                        <w:bottom w:val="none" w:sz="0" w:space="0" w:color="auto"/>
                        <w:right w:val="none" w:sz="0" w:space="0" w:color="auto"/>
                      </w:divBdr>
                    </w:div>
                  </w:divsChild>
                </w:div>
                <w:div w:id="544373626">
                  <w:marLeft w:val="0"/>
                  <w:marRight w:val="0"/>
                  <w:marTop w:val="0"/>
                  <w:marBottom w:val="0"/>
                  <w:divBdr>
                    <w:top w:val="none" w:sz="0" w:space="0" w:color="auto"/>
                    <w:left w:val="none" w:sz="0" w:space="0" w:color="auto"/>
                    <w:bottom w:val="none" w:sz="0" w:space="0" w:color="auto"/>
                    <w:right w:val="none" w:sz="0" w:space="0" w:color="auto"/>
                  </w:divBdr>
                  <w:divsChild>
                    <w:div w:id="1954822869">
                      <w:marLeft w:val="0"/>
                      <w:marRight w:val="0"/>
                      <w:marTop w:val="0"/>
                      <w:marBottom w:val="0"/>
                      <w:divBdr>
                        <w:top w:val="none" w:sz="0" w:space="0" w:color="auto"/>
                        <w:left w:val="none" w:sz="0" w:space="0" w:color="auto"/>
                        <w:bottom w:val="none" w:sz="0" w:space="0" w:color="auto"/>
                        <w:right w:val="none" w:sz="0" w:space="0" w:color="auto"/>
                      </w:divBdr>
                    </w:div>
                  </w:divsChild>
                </w:div>
                <w:div w:id="1868908207">
                  <w:marLeft w:val="0"/>
                  <w:marRight w:val="0"/>
                  <w:marTop w:val="0"/>
                  <w:marBottom w:val="0"/>
                  <w:divBdr>
                    <w:top w:val="none" w:sz="0" w:space="0" w:color="auto"/>
                    <w:left w:val="none" w:sz="0" w:space="0" w:color="auto"/>
                    <w:bottom w:val="none" w:sz="0" w:space="0" w:color="auto"/>
                    <w:right w:val="none" w:sz="0" w:space="0" w:color="auto"/>
                  </w:divBdr>
                  <w:divsChild>
                    <w:div w:id="588318360">
                      <w:marLeft w:val="0"/>
                      <w:marRight w:val="0"/>
                      <w:marTop w:val="0"/>
                      <w:marBottom w:val="0"/>
                      <w:divBdr>
                        <w:top w:val="none" w:sz="0" w:space="0" w:color="auto"/>
                        <w:left w:val="none" w:sz="0" w:space="0" w:color="auto"/>
                        <w:bottom w:val="none" w:sz="0" w:space="0" w:color="auto"/>
                        <w:right w:val="none" w:sz="0" w:space="0" w:color="auto"/>
                      </w:divBdr>
                    </w:div>
                  </w:divsChild>
                </w:div>
                <w:div w:id="1839686536">
                  <w:marLeft w:val="0"/>
                  <w:marRight w:val="0"/>
                  <w:marTop w:val="0"/>
                  <w:marBottom w:val="0"/>
                  <w:divBdr>
                    <w:top w:val="none" w:sz="0" w:space="0" w:color="auto"/>
                    <w:left w:val="none" w:sz="0" w:space="0" w:color="auto"/>
                    <w:bottom w:val="none" w:sz="0" w:space="0" w:color="auto"/>
                    <w:right w:val="none" w:sz="0" w:space="0" w:color="auto"/>
                  </w:divBdr>
                  <w:divsChild>
                    <w:div w:id="1463690168">
                      <w:marLeft w:val="0"/>
                      <w:marRight w:val="0"/>
                      <w:marTop w:val="0"/>
                      <w:marBottom w:val="0"/>
                      <w:divBdr>
                        <w:top w:val="none" w:sz="0" w:space="0" w:color="auto"/>
                        <w:left w:val="none" w:sz="0" w:space="0" w:color="auto"/>
                        <w:bottom w:val="none" w:sz="0" w:space="0" w:color="auto"/>
                        <w:right w:val="none" w:sz="0" w:space="0" w:color="auto"/>
                      </w:divBdr>
                    </w:div>
                  </w:divsChild>
                </w:div>
                <w:div w:id="1693455958">
                  <w:marLeft w:val="0"/>
                  <w:marRight w:val="0"/>
                  <w:marTop w:val="0"/>
                  <w:marBottom w:val="0"/>
                  <w:divBdr>
                    <w:top w:val="none" w:sz="0" w:space="0" w:color="auto"/>
                    <w:left w:val="none" w:sz="0" w:space="0" w:color="auto"/>
                    <w:bottom w:val="none" w:sz="0" w:space="0" w:color="auto"/>
                    <w:right w:val="none" w:sz="0" w:space="0" w:color="auto"/>
                  </w:divBdr>
                  <w:divsChild>
                    <w:div w:id="1837376644">
                      <w:marLeft w:val="0"/>
                      <w:marRight w:val="0"/>
                      <w:marTop w:val="0"/>
                      <w:marBottom w:val="0"/>
                      <w:divBdr>
                        <w:top w:val="none" w:sz="0" w:space="0" w:color="auto"/>
                        <w:left w:val="none" w:sz="0" w:space="0" w:color="auto"/>
                        <w:bottom w:val="none" w:sz="0" w:space="0" w:color="auto"/>
                        <w:right w:val="none" w:sz="0" w:space="0" w:color="auto"/>
                      </w:divBdr>
                    </w:div>
                  </w:divsChild>
                </w:div>
                <w:div w:id="2044867104">
                  <w:marLeft w:val="0"/>
                  <w:marRight w:val="0"/>
                  <w:marTop w:val="0"/>
                  <w:marBottom w:val="0"/>
                  <w:divBdr>
                    <w:top w:val="none" w:sz="0" w:space="0" w:color="auto"/>
                    <w:left w:val="none" w:sz="0" w:space="0" w:color="auto"/>
                    <w:bottom w:val="none" w:sz="0" w:space="0" w:color="auto"/>
                    <w:right w:val="none" w:sz="0" w:space="0" w:color="auto"/>
                  </w:divBdr>
                  <w:divsChild>
                    <w:div w:id="1555776937">
                      <w:marLeft w:val="0"/>
                      <w:marRight w:val="0"/>
                      <w:marTop w:val="0"/>
                      <w:marBottom w:val="0"/>
                      <w:divBdr>
                        <w:top w:val="none" w:sz="0" w:space="0" w:color="auto"/>
                        <w:left w:val="none" w:sz="0" w:space="0" w:color="auto"/>
                        <w:bottom w:val="none" w:sz="0" w:space="0" w:color="auto"/>
                        <w:right w:val="none" w:sz="0" w:space="0" w:color="auto"/>
                      </w:divBdr>
                    </w:div>
                  </w:divsChild>
                </w:div>
                <w:div w:id="242031736">
                  <w:marLeft w:val="0"/>
                  <w:marRight w:val="0"/>
                  <w:marTop w:val="0"/>
                  <w:marBottom w:val="0"/>
                  <w:divBdr>
                    <w:top w:val="none" w:sz="0" w:space="0" w:color="auto"/>
                    <w:left w:val="none" w:sz="0" w:space="0" w:color="auto"/>
                    <w:bottom w:val="none" w:sz="0" w:space="0" w:color="auto"/>
                    <w:right w:val="none" w:sz="0" w:space="0" w:color="auto"/>
                  </w:divBdr>
                  <w:divsChild>
                    <w:div w:id="197401689">
                      <w:marLeft w:val="0"/>
                      <w:marRight w:val="0"/>
                      <w:marTop w:val="0"/>
                      <w:marBottom w:val="0"/>
                      <w:divBdr>
                        <w:top w:val="none" w:sz="0" w:space="0" w:color="auto"/>
                        <w:left w:val="none" w:sz="0" w:space="0" w:color="auto"/>
                        <w:bottom w:val="none" w:sz="0" w:space="0" w:color="auto"/>
                        <w:right w:val="none" w:sz="0" w:space="0" w:color="auto"/>
                      </w:divBdr>
                    </w:div>
                  </w:divsChild>
                </w:div>
                <w:div w:id="1275479009">
                  <w:marLeft w:val="0"/>
                  <w:marRight w:val="0"/>
                  <w:marTop w:val="0"/>
                  <w:marBottom w:val="0"/>
                  <w:divBdr>
                    <w:top w:val="none" w:sz="0" w:space="0" w:color="auto"/>
                    <w:left w:val="none" w:sz="0" w:space="0" w:color="auto"/>
                    <w:bottom w:val="none" w:sz="0" w:space="0" w:color="auto"/>
                    <w:right w:val="none" w:sz="0" w:space="0" w:color="auto"/>
                  </w:divBdr>
                  <w:divsChild>
                    <w:div w:id="1257864106">
                      <w:marLeft w:val="0"/>
                      <w:marRight w:val="0"/>
                      <w:marTop w:val="0"/>
                      <w:marBottom w:val="0"/>
                      <w:divBdr>
                        <w:top w:val="none" w:sz="0" w:space="0" w:color="auto"/>
                        <w:left w:val="none" w:sz="0" w:space="0" w:color="auto"/>
                        <w:bottom w:val="none" w:sz="0" w:space="0" w:color="auto"/>
                        <w:right w:val="none" w:sz="0" w:space="0" w:color="auto"/>
                      </w:divBdr>
                    </w:div>
                  </w:divsChild>
                </w:div>
                <w:div w:id="1618484450">
                  <w:marLeft w:val="0"/>
                  <w:marRight w:val="0"/>
                  <w:marTop w:val="0"/>
                  <w:marBottom w:val="0"/>
                  <w:divBdr>
                    <w:top w:val="none" w:sz="0" w:space="0" w:color="auto"/>
                    <w:left w:val="none" w:sz="0" w:space="0" w:color="auto"/>
                    <w:bottom w:val="none" w:sz="0" w:space="0" w:color="auto"/>
                    <w:right w:val="none" w:sz="0" w:space="0" w:color="auto"/>
                  </w:divBdr>
                  <w:divsChild>
                    <w:div w:id="930311839">
                      <w:marLeft w:val="0"/>
                      <w:marRight w:val="0"/>
                      <w:marTop w:val="0"/>
                      <w:marBottom w:val="0"/>
                      <w:divBdr>
                        <w:top w:val="none" w:sz="0" w:space="0" w:color="auto"/>
                        <w:left w:val="none" w:sz="0" w:space="0" w:color="auto"/>
                        <w:bottom w:val="none" w:sz="0" w:space="0" w:color="auto"/>
                        <w:right w:val="none" w:sz="0" w:space="0" w:color="auto"/>
                      </w:divBdr>
                    </w:div>
                  </w:divsChild>
                </w:div>
                <w:div w:id="1249578923">
                  <w:marLeft w:val="0"/>
                  <w:marRight w:val="0"/>
                  <w:marTop w:val="0"/>
                  <w:marBottom w:val="0"/>
                  <w:divBdr>
                    <w:top w:val="none" w:sz="0" w:space="0" w:color="auto"/>
                    <w:left w:val="none" w:sz="0" w:space="0" w:color="auto"/>
                    <w:bottom w:val="none" w:sz="0" w:space="0" w:color="auto"/>
                    <w:right w:val="none" w:sz="0" w:space="0" w:color="auto"/>
                  </w:divBdr>
                  <w:divsChild>
                    <w:div w:id="188841574">
                      <w:marLeft w:val="0"/>
                      <w:marRight w:val="0"/>
                      <w:marTop w:val="0"/>
                      <w:marBottom w:val="0"/>
                      <w:divBdr>
                        <w:top w:val="none" w:sz="0" w:space="0" w:color="auto"/>
                        <w:left w:val="none" w:sz="0" w:space="0" w:color="auto"/>
                        <w:bottom w:val="none" w:sz="0" w:space="0" w:color="auto"/>
                        <w:right w:val="none" w:sz="0" w:space="0" w:color="auto"/>
                      </w:divBdr>
                    </w:div>
                  </w:divsChild>
                </w:div>
                <w:div w:id="187644535">
                  <w:marLeft w:val="0"/>
                  <w:marRight w:val="0"/>
                  <w:marTop w:val="0"/>
                  <w:marBottom w:val="0"/>
                  <w:divBdr>
                    <w:top w:val="none" w:sz="0" w:space="0" w:color="auto"/>
                    <w:left w:val="none" w:sz="0" w:space="0" w:color="auto"/>
                    <w:bottom w:val="none" w:sz="0" w:space="0" w:color="auto"/>
                    <w:right w:val="none" w:sz="0" w:space="0" w:color="auto"/>
                  </w:divBdr>
                  <w:divsChild>
                    <w:div w:id="338316030">
                      <w:marLeft w:val="0"/>
                      <w:marRight w:val="0"/>
                      <w:marTop w:val="0"/>
                      <w:marBottom w:val="0"/>
                      <w:divBdr>
                        <w:top w:val="none" w:sz="0" w:space="0" w:color="auto"/>
                        <w:left w:val="none" w:sz="0" w:space="0" w:color="auto"/>
                        <w:bottom w:val="none" w:sz="0" w:space="0" w:color="auto"/>
                        <w:right w:val="none" w:sz="0" w:space="0" w:color="auto"/>
                      </w:divBdr>
                    </w:div>
                  </w:divsChild>
                </w:div>
                <w:div w:id="44645396">
                  <w:marLeft w:val="0"/>
                  <w:marRight w:val="0"/>
                  <w:marTop w:val="0"/>
                  <w:marBottom w:val="0"/>
                  <w:divBdr>
                    <w:top w:val="none" w:sz="0" w:space="0" w:color="auto"/>
                    <w:left w:val="none" w:sz="0" w:space="0" w:color="auto"/>
                    <w:bottom w:val="none" w:sz="0" w:space="0" w:color="auto"/>
                    <w:right w:val="none" w:sz="0" w:space="0" w:color="auto"/>
                  </w:divBdr>
                  <w:divsChild>
                    <w:div w:id="278418208">
                      <w:marLeft w:val="0"/>
                      <w:marRight w:val="0"/>
                      <w:marTop w:val="0"/>
                      <w:marBottom w:val="0"/>
                      <w:divBdr>
                        <w:top w:val="none" w:sz="0" w:space="0" w:color="auto"/>
                        <w:left w:val="none" w:sz="0" w:space="0" w:color="auto"/>
                        <w:bottom w:val="none" w:sz="0" w:space="0" w:color="auto"/>
                        <w:right w:val="none" w:sz="0" w:space="0" w:color="auto"/>
                      </w:divBdr>
                    </w:div>
                  </w:divsChild>
                </w:div>
                <w:div w:id="64767697">
                  <w:marLeft w:val="0"/>
                  <w:marRight w:val="0"/>
                  <w:marTop w:val="0"/>
                  <w:marBottom w:val="0"/>
                  <w:divBdr>
                    <w:top w:val="none" w:sz="0" w:space="0" w:color="auto"/>
                    <w:left w:val="none" w:sz="0" w:space="0" w:color="auto"/>
                    <w:bottom w:val="none" w:sz="0" w:space="0" w:color="auto"/>
                    <w:right w:val="none" w:sz="0" w:space="0" w:color="auto"/>
                  </w:divBdr>
                  <w:divsChild>
                    <w:div w:id="1981228772">
                      <w:marLeft w:val="0"/>
                      <w:marRight w:val="0"/>
                      <w:marTop w:val="0"/>
                      <w:marBottom w:val="0"/>
                      <w:divBdr>
                        <w:top w:val="none" w:sz="0" w:space="0" w:color="auto"/>
                        <w:left w:val="none" w:sz="0" w:space="0" w:color="auto"/>
                        <w:bottom w:val="none" w:sz="0" w:space="0" w:color="auto"/>
                        <w:right w:val="none" w:sz="0" w:space="0" w:color="auto"/>
                      </w:divBdr>
                    </w:div>
                  </w:divsChild>
                </w:div>
                <w:div w:id="998772333">
                  <w:marLeft w:val="0"/>
                  <w:marRight w:val="0"/>
                  <w:marTop w:val="0"/>
                  <w:marBottom w:val="0"/>
                  <w:divBdr>
                    <w:top w:val="none" w:sz="0" w:space="0" w:color="auto"/>
                    <w:left w:val="none" w:sz="0" w:space="0" w:color="auto"/>
                    <w:bottom w:val="none" w:sz="0" w:space="0" w:color="auto"/>
                    <w:right w:val="none" w:sz="0" w:space="0" w:color="auto"/>
                  </w:divBdr>
                  <w:divsChild>
                    <w:div w:id="128299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42576">
          <w:marLeft w:val="0"/>
          <w:marRight w:val="0"/>
          <w:marTop w:val="0"/>
          <w:marBottom w:val="0"/>
          <w:divBdr>
            <w:top w:val="none" w:sz="0" w:space="0" w:color="auto"/>
            <w:left w:val="none" w:sz="0" w:space="0" w:color="auto"/>
            <w:bottom w:val="none" w:sz="0" w:space="0" w:color="auto"/>
            <w:right w:val="none" w:sz="0" w:space="0" w:color="auto"/>
          </w:divBdr>
        </w:div>
        <w:div w:id="1793356820">
          <w:marLeft w:val="0"/>
          <w:marRight w:val="0"/>
          <w:marTop w:val="0"/>
          <w:marBottom w:val="0"/>
          <w:divBdr>
            <w:top w:val="none" w:sz="0" w:space="0" w:color="auto"/>
            <w:left w:val="none" w:sz="0" w:space="0" w:color="auto"/>
            <w:bottom w:val="none" w:sz="0" w:space="0" w:color="auto"/>
            <w:right w:val="none" w:sz="0" w:space="0" w:color="auto"/>
          </w:divBdr>
        </w:div>
      </w:divsChild>
    </w:div>
    <w:div w:id="1294679028">
      <w:bodyDiv w:val="1"/>
      <w:marLeft w:val="0"/>
      <w:marRight w:val="0"/>
      <w:marTop w:val="0"/>
      <w:marBottom w:val="0"/>
      <w:divBdr>
        <w:top w:val="none" w:sz="0" w:space="0" w:color="auto"/>
        <w:left w:val="none" w:sz="0" w:space="0" w:color="auto"/>
        <w:bottom w:val="none" w:sz="0" w:space="0" w:color="auto"/>
        <w:right w:val="none" w:sz="0" w:space="0" w:color="auto"/>
      </w:divBdr>
      <w:divsChild>
        <w:div w:id="2051225516">
          <w:marLeft w:val="0"/>
          <w:marRight w:val="0"/>
          <w:marTop w:val="0"/>
          <w:marBottom w:val="0"/>
          <w:divBdr>
            <w:top w:val="none" w:sz="0" w:space="0" w:color="auto"/>
            <w:left w:val="none" w:sz="0" w:space="0" w:color="auto"/>
            <w:bottom w:val="none" w:sz="0" w:space="0" w:color="auto"/>
            <w:right w:val="none" w:sz="0" w:space="0" w:color="auto"/>
          </w:divBdr>
        </w:div>
        <w:div w:id="1688291800">
          <w:marLeft w:val="0"/>
          <w:marRight w:val="0"/>
          <w:marTop w:val="0"/>
          <w:marBottom w:val="0"/>
          <w:divBdr>
            <w:top w:val="none" w:sz="0" w:space="0" w:color="auto"/>
            <w:left w:val="none" w:sz="0" w:space="0" w:color="auto"/>
            <w:bottom w:val="none" w:sz="0" w:space="0" w:color="auto"/>
            <w:right w:val="none" w:sz="0" w:space="0" w:color="auto"/>
          </w:divBdr>
        </w:div>
        <w:div w:id="282350801">
          <w:marLeft w:val="0"/>
          <w:marRight w:val="0"/>
          <w:marTop w:val="0"/>
          <w:marBottom w:val="0"/>
          <w:divBdr>
            <w:top w:val="none" w:sz="0" w:space="0" w:color="auto"/>
            <w:left w:val="none" w:sz="0" w:space="0" w:color="auto"/>
            <w:bottom w:val="none" w:sz="0" w:space="0" w:color="auto"/>
            <w:right w:val="none" w:sz="0" w:space="0" w:color="auto"/>
          </w:divBdr>
        </w:div>
        <w:div w:id="1714841923">
          <w:marLeft w:val="0"/>
          <w:marRight w:val="0"/>
          <w:marTop w:val="0"/>
          <w:marBottom w:val="0"/>
          <w:divBdr>
            <w:top w:val="none" w:sz="0" w:space="0" w:color="auto"/>
            <w:left w:val="none" w:sz="0" w:space="0" w:color="auto"/>
            <w:bottom w:val="none" w:sz="0" w:space="0" w:color="auto"/>
            <w:right w:val="none" w:sz="0" w:space="0" w:color="auto"/>
          </w:divBdr>
        </w:div>
        <w:div w:id="1170562514">
          <w:marLeft w:val="0"/>
          <w:marRight w:val="0"/>
          <w:marTop w:val="0"/>
          <w:marBottom w:val="0"/>
          <w:divBdr>
            <w:top w:val="none" w:sz="0" w:space="0" w:color="auto"/>
            <w:left w:val="none" w:sz="0" w:space="0" w:color="auto"/>
            <w:bottom w:val="none" w:sz="0" w:space="0" w:color="auto"/>
            <w:right w:val="none" w:sz="0" w:space="0" w:color="auto"/>
          </w:divBdr>
        </w:div>
        <w:div w:id="1855874770">
          <w:marLeft w:val="0"/>
          <w:marRight w:val="0"/>
          <w:marTop w:val="0"/>
          <w:marBottom w:val="0"/>
          <w:divBdr>
            <w:top w:val="none" w:sz="0" w:space="0" w:color="auto"/>
            <w:left w:val="none" w:sz="0" w:space="0" w:color="auto"/>
            <w:bottom w:val="none" w:sz="0" w:space="0" w:color="auto"/>
            <w:right w:val="none" w:sz="0" w:space="0" w:color="auto"/>
          </w:divBdr>
        </w:div>
        <w:div w:id="954750135">
          <w:marLeft w:val="0"/>
          <w:marRight w:val="0"/>
          <w:marTop w:val="0"/>
          <w:marBottom w:val="0"/>
          <w:divBdr>
            <w:top w:val="none" w:sz="0" w:space="0" w:color="auto"/>
            <w:left w:val="none" w:sz="0" w:space="0" w:color="auto"/>
            <w:bottom w:val="none" w:sz="0" w:space="0" w:color="auto"/>
            <w:right w:val="none" w:sz="0" w:space="0" w:color="auto"/>
          </w:divBdr>
        </w:div>
        <w:div w:id="104086493">
          <w:marLeft w:val="0"/>
          <w:marRight w:val="0"/>
          <w:marTop w:val="0"/>
          <w:marBottom w:val="0"/>
          <w:divBdr>
            <w:top w:val="none" w:sz="0" w:space="0" w:color="auto"/>
            <w:left w:val="none" w:sz="0" w:space="0" w:color="auto"/>
            <w:bottom w:val="none" w:sz="0" w:space="0" w:color="auto"/>
            <w:right w:val="none" w:sz="0" w:space="0" w:color="auto"/>
          </w:divBdr>
        </w:div>
        <w:div w:id="885414698">
          <w:marLeft w:val="0"/>
          <w:marRight w:val="0"/>
          <w:marTop w:val="0"/>
          <w:marBottom w:val="0"/>
          <w:divBdr>
            <w:top w:val="none" w:sz="0" w:space="0" w:color="auto"/>
            <w:left w:val="none" w:sz="0" w:space="0" w:color="auto"/>
            <w:bottom w:val="none" w:sz="0" w:space="0" w:color="auto"/>
            <w:right w:val="none" w:sz="0" w:space="0" w:color="auto"/>
          </w:divBdr>
        </w:div>
        <w:div w:id="1888253893">
          <w:marLeft w:val="0"/>
          <w:marRight w:val="0"/>
          <w:marTop w:val="0"/>
          <w:marBottom w:val="0"/>
          <w:divBdr>
            <w:top w:val="none" w:sz="0" w:space="0" w:color="auto"/>
            <w:left w:val="none" w:sz="0" w:space="0" w:color="auto"/>
            <w:bottom w:val="none" w:sz="0" w:space="0" w:color="auto"/>
            <w:right w:val="none" w:sz="0" w:space="0" w:color="auto"/>
          </w:divBdr>
        </w:div>
        <w:div w:id="1606498329">
          <w:marLeft w:val="0"/>
          <w:marRight w:val="0"/>
          <w:marTop w:val="0"/>
          <w:marBottom w:val="0"/>
          <w:divBdr>
            <w:top w:val="none" w:sz="0" w:space="0" w:color="auto"/>
            <w:left w:val="none" w:sz="0" w:space="0" w:color="auto"/>
            <w:bottom w:val="none" w:sz="0" w:space="0" w:color="auto"/>
            <w:right w:val="none" w:sz="0" w:space="0" w:color="auto"/>
          </w:divBdr>
        </w:div>
        <w:div w:id="981040970">
          <w:marLeft w:val="0"/>
          <w:marRight w:val="0"/>
          <w:marTop w:val="0"/>
          <w:marBottom w:val="0"/>
          <w:divBdr>
            <w:top w:val="none" w:sz="0" w:space="0" w:color="auto"/>
            <w:left w:val="none" w:sz="0" w:space="0" w:color="auto"/>
            <w:bottom w:val="none" w:sz="0" w:space="0" w:color="auto"/>
            <w:right w:val="none" w:sz="0" w:space="0" w:color="auto"/>
          </w:divBdr>
        </w:div>
        <w:div w:id="1467160109">
          <w:marLeft w:val="0"/>
          <w:marRight w:val="0"/>
          <w:marTop w:val="0"/>
          <w:marBottom w:val="0"/>
          <w:divBdr>
            <w:top w:val="none" w:sz="0" w:space="0" w:color="auto"/>
            <w:left w:val="none" w:sz="0" w:space="0" w:color="auto"/>
            <w:bottom w:val="none" w:sz="0" w:space="0" w:color="auto"/>
            <w:right w:val="none" w:sz="0" w:space="0" w:color="auto"/>
          </w:divBdr>
        </w:div>
        <w:div w:id="1345012996">
          <w:marLeft w:val="0"/>
          <w:marRight w:val="0"/>
          <w:marTop w:val="0"/>
          <w:marBottom w:val="0"/>
          <w:divBdr>
            <w:top w:val="none" w:sz="0" w:space="0" w:color="auto"/>
            <w:left w:val="none" w:sz="0" w:space="0" w:color="auto"/>
            <w:bottom w:val="none" w:sz="0" w:space="0" w:color="auto"/>
            <w:right w:val="none" w:sz="0" w:space="0" w:color="auto"/>
          </w:divBdr>
        </w:div>
        <w:div w:id="998775478">
          <w:marLeft w:val="0"/>
          <w:marRight w:val="0"/>
          <w:marTop w:val="0"/>
          <w:marBottom w:val="0"/>
          <w:divBdr>
            <w:top w:val="none" w:sz="0" w:space="0" w:color="auto"/>
            <w:left w:val="none" w:sz="0" w:space="0" w:color="auto"/>
            <w:bottom w:val="none" w:sz="0" w:space="0" w:color="auto"/>
            <w:right w:val="none" w:sz="0" w:space="0" w:color="auto"/>
          </w:divBdr>
        </w:div>
        <w:div w:id="1284507294">
          <w:marLeft w:val="0"/>
          <w:marRight w:val="0"/>
          <w:marTop w:val="0"/>
          <w:marBottom w:val="0"/>
          <w:divBdr>
            <w:top w:val="none" w:sz="0" w:space="0" w:color="auto"/>
            <w:left w:val="none" w:sz="0" w:space="0" w:color="auto"/>
            <w:bottom w:val="none" w:sz="0" w:space="0" w:color="auto"/>
            <w:right w:val="none" w:sz="0" w:space="0" w:color="auto"/>
          </w:divBdr>
        </w:div>
        <w:div w:id="1491750157">
          <w:marLeft w:val="0"/>
          <w:marRight w:val="0"/>
          <w:marTop w:val="0"/>
          <w:marBottom w:val="0"/>
          <w:divBdr>
            <w:top w:val="none" w:sz="0" w:space="0" w:color="auto"/>
            <w:left w:val="none" w:sz="0" w:space="0" w:color="auto"/>
            <w:bottom w:val="none" w:sz="0" w:space="0" w:color="auto"/>
            <w:right w:val="none" w:sz="0" w:space="0" w:color="auto"/>
          </w:divBdr>
        </w:div>
        <w:div w:id="367265541">
          <w:marLeft w:val="0"/>
          <w:marRight w:val="0"/>
          <w:marTop w:val="0"/>
          <w:marBottom w:val="0"/>
          <w:divBdr>
            <w:top w:val="none" w:sz="0" w:space="0" w:color="auto"/>
            <w:left w:val="none" w:sz="0" w:space="0" w:color="auto"/>
            <w:bottom w:val="none" w:sz="0" w:space="0" w:color="auto"/>
            <w:right w:val="none" w:sz="0" w:space="0" w:color="auto"/>
          </w:divBdr>
        </w:div>
        <w:div w:id="1509516123">
          <w:marLeft w:val="0"/>
          <w:marRight w:val="0"/>
          <w:marTop w:val="0"/>
          <w:marBottom w:val="0"/>
          <w:divBdr>
            <w:top w:val="none" w:sz="0" w:space="0" w:color="auto"/>
            <w:left w:val="none" w:sz="0" w:space="0" w:color="auto"/>
            <w:bottom w:val="none" w:sz="0" w:space="0" w:color="auto"/>
            <w:right w:val="none" w:sz="0" w:space="0" w:color="auto"/>
          </w:divBdr>
        </w:div>
        <w:div w:id="1261525194">
          <w:marLeft w:val="0"/>
          <w:marRight w:val="0"/>
          <w:marTop w:val="0"/>
          <w:marBottom w:val="0"/>
          <w:divBdr>
            <w:top w:val="none" w:sz="0" w:space="0" w:color="auto"/>
            <w:left w:val="none" w:sz="0" w:space="0" w:color="auto"/>
            <w:bottom w:val="none" w:sz="0" w:space="0" w:color="auto"/>
            <w:right w:val="none" w:sz="0" w:space="0" w:color="auto"/>
          </w:divBdr>
        </w:div>
        <w:div w:id="1763254616">
          <w:marLeft w:val="0"/>
          <w:marRight w:val="0"/>
          <w:marTop w:val="0"/>
          <w:marBottom w:val="0"/>
          <w:divBdr>
            <w:top w:val="none" w:sz="0" w:space="0" w:color="auto"/>
            <w:left w:val="none" w:sz="0" w:space="0" w:color="auto"/>
            <w:bottom w:val="none" w:sz="0" w:space="0" w:color="auto"/>
            <w:right w:val="none" w:sz="0" w:space="0" w:color="auto"/>
          </w:divBdr>
        </w:div>
        <w:div w:id="791676015">
          <w:marLeft w:val="0"/>
          <w:marRight w:val="0"/>
          <w:marTop w:val="0"/>
          <w:marBottom w:val="0"/>
          <w:divBdr>
            <w:top w:val="none" w:sz="0" w:space="0" w:color="auto"/>
            <w:left w:val="none" w:sz="0" w:space="0" w:color="auto"/>
            <w:bottom w:val="none" w:sz="0" w:space="0" w:color="auto"/>
            <w:right w:val="none" w:sz="0" w:space="0" w:color="auto"/>
          </w:divBdr>
        </w:div>
        <w:div w:id="331493528">
          <w:marLeft w:val="0"/>
          <w:marRight w:val="0"/>
          <w:marTop w:val="0"/>
          <w:marBottom w:val="0"/>
          <w:divBdr>
            <w:top w:val="none" w:sz="0" w:space="0" w:color="auto"/>
            <w:left w:val="none" w:sz="0" w:space="0" w:color="auto"/>
            <w:bottom w:val="none" w:sz="0" w:space="0" w:color="auto"/>
            <w:right w:val="none" w:sz="0" w:space="0" w:color="auto"/>
          </w:divBdr>
        </w:div>
        <w:div w:id="1201088063">
          <w:marLeft w:val="0"/>
          <w:marRight w:val="0"/>
          <w:marTop w:val="0"/>
          <w:marBottom w:val="0"/>
          <w:divBdr>
            <w:top w:val="none" w:sz="0" w:space="0" w:color="auto"/>
            <w:left w:val="none" w:sz="0" w:space="0" w:color="auto"/>
            <w:bottom w:val="none" w:sz="0" w:space="0" w:color="auto"/>
            <w:right w:val="none" w:sz="0" w:space="0" w:color="auto"/>
          </w:divBdr>
        </w:div>
        <w:div w:id="1315183680">
          <w:marLeft w:val="0"/>
          <w:marRight w:val="0"/>
          <w:marTop w:val="0"/>
          <w:marBottom w:val="0"/>
          <w:divBdr>
            <w:top w:val="none" w:sz="0" w:space="0" w:color="auto"/>
            <w:left w:val="none" w:sz="0" w:space="0" w:color="auto"/>
            <w:bottom w:val="none" w:sz="0" w:space="0" w:color="auto"/>
            <w:right w:val="none" w:sz="0" w:space="0" w:color="auto"/>
          </w:divBdr>
        </w:div>
        <w:div w:id="1531409764">
          <w:marLeft w:val="0"/>
          <w:marRight w:val="0"/>
          <w:marTop w:val="0"/>
          <w:marBottom w:val="0"/>
          <w:divBdr>
            <w:top w:val="none" w:sz="0" w:space="0" w:color="auto"/>
            <w:left w:val="none" w:sz="0" w:space="0" w:color="auto"/>
            <w:bottom w:val="none" w:sz="0" w:space="0" w:color="auto"/>
            <w:right w:val="none" w:sz="0" w:space="0" w:color="auto"/>
          </w:divBdr>
        </w:div>
        <w:div w:id="974607345">
          <w:marLeft w:val="0"/>
          <w:marRight w:val="0"/>
          <w:marTop w:val="0"/>
          <w:marBottom w:val="0"/>
          <w:divBdr>
            <w:top w:val="none" w:sz="0" w:space="0" w:color="auto"/>
            <w:left w:val="none" w:sz="0" w:space="0" w:color="auto"/>
            <w:bottom w:val="none" w:sz="0" w:space="0" w:color="auto"/>
            <w:right w:val="none" w:sz="0" w:space="0" w:color="auto"/>
          </w:divBdr>
        </w:div>
        <w:div w:id="1465346262">
          <w:marLeft w:val="0"/>
          <w:marRight w:val="0"/>
          <w:marTop w:val="0"/>
          <w:marBottom w:val="0"/>
          <w:divBdr>
            <w:top w:val="none" w:sz="0" w:space="0" w:color="auto"/>
            <w:left w:val="none" w:sz="0" w:space="0" w:color="auto"/>
            <w:bottom w:val="none" w:sz="0" w:space="0" w:color="auto"/>
            <w:right w:val="none" w:sz="0" w:space="0" w:color="auto"/>
          </w:divBdr>
        </w:div>
        <w:div w:id="1872719369">
          <w:marLeft w:val="0"/>
          <w:marRight w:val="0"/>
          <w:marTop w:val="0"/>
          <w:marBottom w:val="0"/>
          <w:divBdr>
            <w:top w:val="none" w:sz="0" w:space="0" w:color="auto"/>
            <w:left w:val="none" w:sz="0" w:space="0" w:color="auto"/>
            <w:bottom w:val="none" w:sz="0" w:space="0" w:color="auto"/>
            <w:right w:val="none" w:sz="0" w:space="0" w:color="auto"/>
          </w:divBdr>
        </w:div>
        <w:div w:id="1922718727">
          <w:marLeft w:val="0"/>
          <w:marRight w:val="0"/>
          <w:marTop w:val="0"/>
          <w:marBottom w:val="0"/>
          <w:divBdr>
            <w:top w:val="none" w:sz="0" w:space="0" w:color="auto"/>
            <w:left w:val="none" w:sz="0" w:space="0" w:color="auto"/>
            <w:bottom w:val="none" w:sz="0" w:space="0" w:color="auto"/>
            <w:right w:val="none" w:sz="0" w:space="0" w:color="auto"/>
          </w:divBdr>
        </w:div>
        <w:div w:id="139734972">
          <w:marLeft w:val="0"/>
          <w:marRight w:val="0"/>
          <w:marTop w:val="0"/>
          <w:marBottom w:val="0"/>
          <w:divBdr>
            <w:top w:val="none" w:sz="0" w:space="0" w:color="auto"/>
            <w:left w:val="none" w:sz="0" w:space="0" w:color="auto"/>
            <w:bottom w:val="none" w:sz="0" w:space="0" w:color="auto"/>
            <w:right w:val="none" w:sz="0" w:space="0" w:color="auto"/>
          </w:divBdr>
          <w:divsChild>
            <w:div w:id="1703700604">
              <w:marLeft w:val="-75"/>
              <w:marRight w:val="0"/>
              <w:marTop w:val="30"/>
              <w:marBottom w:val="30"/>
              <w:divBdr>
                <w:top w:val="none" w:sz="0" w:space="0" w:color="auto"/>
                <w:left w:val="none" w:sz="0" w:space="0" w:color="auto"/>
                <w:bottom w:val="none" w:sz="0" w:space="0" w:color="auto"/>
                <w:right w:val="none" w:sz="0" w:space="0" w:color="auto"/>
              </w:divBdr>
              <w:divsChild>
                <w:div w:id="1092624034">
                  <w:marLeft w:val="0"/>
                  <w:marRight w:val="0"/>
                  <w:marTop w:val="0"/>
                  <w:marBottom w:val="0"/>
                  <w:divBdr>
                    <w:top w:val="none" w:sz="0" w:space="0" w:color="auto"/>
                    <w:left w:val="none" w:sz="0" w:space="0" w:color="auto"/>
                    <w:bottom w:val="none" w:sz="0" w:space="0" w:color="auto"/>
                    <w:right w:val="none" w:sz="0" w:space="0" w:color="auto"/>
                  </w:divBdr>
                  <w:divsChild>
                    <w:div w:id="642277621">
                      <w:marLeft w:val="0"/>
                      <w:marRight w:val="0"/>
                      <w:marTop w:val="0"/>
                      <w:marBottom w:val="0"/>
                      <w:divBdr>
                        <w:top w:val="none" w:sz="0" w:space="0" w:color="auto"/>
                        <w:left w:val="none" w:sz="0" w:space="0" w:color="auto"/>
                        <w:bottom w:val="none" w:sz="0" w:space="0" w:color="auto"/>
                        <w:right w:val="none" w:sz="0" w:space="0" w:color="auto"/>
                      </w:divBdr>
                    </w:div>
                  </w:divsChild>
                </w:div>
                <w:div w:id="429469825">
                  <w:marLeft w:val="0"/>
                  <w:marRight w:val="0"/>
                  <w:marTop w:val="0"/>
                  <w:marBottom w:val="0"/>
                  <w:divBdr>
                    <w:top w:val="none" w:sz="0" w:space="0" w:color="auto"/>
                    <w:left w:val="none" w:sz="0" w:space="0" w:color="auto"/>
                    <w:bottom w:val="none" w:sz="0" w:space="0" w:color="auto"/>
                    <w:right w:val="none" w:sz="0" w:space="0" w:color="auto"/>
                  </w:divBdr>
                  <w:divsChild>
                    <w:div w:id="730158410">
                      <w:marLeft w:val="0"/>
                      <w:marRight w:val="0"/>
                      <w:marTop w:val="0"/>
                      <w:marBottom w:val="0"/>
                      <w:divBdr>
                        <w:top w:val="none" w:sz="0" w:space="0" w:color="auto"/>
                        <w:left w:val="none" w:sz="0" w:space="0" w:color="auto"/>
                        <w:bottom w:val="none" w:sz="0" w:space="0" w:color="auto"/>
                        <w:right w:val="none" w:sz="0" w:space="0" w:color="auto"/>
                      </w:divBdr>
                    </w:div>
                  </w:divsChild>
                </w:div>
                <w:div w:id="1779063203">
                  <w:marLeft w:val="0"/>
                  <w:marRight w:val="0"/>
                  <w:marTop w:val="0"/>
                  <w:marBottom w:val="0"/>
                  <w:divBdr>
                    <w:top w:val="none" w:sz="0" w:space="0" w:color="auto"/>
                    <w:left w:val="none" w:sz="0" w:space="0" w:color="auto"/>
                    <w:bottom w:val="none" w:sz="0" w:space="0" w:color="auto"/>
                    <w:right w:val="none" w:sz="0" w:space="0" w:color="auto"/>
                  </w:divBdr>
                  <w:divsChild>
                    <w:div w:id="1265382526">
                      <w:marLeft w:val="0"/>
                      <w:marRight w:val="0"/>
                      <w:marTop w:val="0"/>
                      <w:marBottom w:val="0"/>
                      <w:divBdr>
                        <w:top w:val="none" w:sz="0" w:space="0" w:color="auto"/>
                        <w:left w:val="none" w:sz="0" w:space="0" w:color="auto"/>
                        <w:bottom w:val="none" w:sz="0" w:space="0" w:color="auto"/>
                        <w:right w:val="none" w:sz="0" w:space="0" w:color="auto"/>
                      </w:divBdr>
                    </w:div>
                  </w:divsChild>
                </w:div>
                <w:div w:id="1271670420">
                  <w:marLeft w:val="0"/>
                  <w:marRight w:val="0"/>
                  <w:marTop w:val="0"/>
                  <w:marBottom w:val="0"/>
                  <w:divBdr>
                    <w:top w:val="none" w:sz="0" w:space="0" w:color="auto"/>
                    <w:left w:val="none" w:sz="0" w:space="0" w:color="auto"/>
                    <w:bottom w:val="none" w:sz="0" w:space="0" w:color="auto"/>
                    <w:right w:val="none" w:sz="0" w:space="0" w:color="auto"/>
                  </w:divBdr>
                  <w:divsChild>
                    <w:div w:id="1563103632">
                      <w:marLeft w:val="0"/>
                      <w:marRight w:val="0"/>
                      <w:marTop w:val="0"/>
                      <w:marBottom w:val="0"/>
                      <w:divBdr>
                        <w:top w:val="none" w:sz="0" w:space="0" w:color="auto"/>
                        <w:left w:val="none" w:sz="0" w:space="0" w:color="auto"/>
                        <w:bottom w:val="none" w:sz="0" w:space="0" w:color="auto"/>
                        <w:right w:val="none" w:sz="0" w:space="0" w:color="auto"/>
                      </w:divBdr>
                    </w:div>
                  </w:divsChild>
                </w:div>
                <w:div w:id="1531258585">
                  <w:marLeft w:val="0"/>
                  <w:marRight w:val="0"/>
                  <w:marTop w:val="0"/>
                  <w:marBottom w:val="0"/>
                  <w:divBdr>
                    <w:top w:val="none" w:sz="0" w:space="0" w:color="auto"/>
                    <w:left w:val="none" w:sz="0" w:space="0" w:color="auto"/>
                    <w:bottom w:val="none" w:sz="0" w:space="0" w:color="auto"/>
                    <w:right w:val="none" w:sz="0" w:space="0" w:color="auto"/>
                  </w:divBdr>
                  <w:divsChild>
                    <w:div w:id="499082900">
                      <w:marLeft w:val="0"/>
                      <w:marRight w:val="0"/>
                      <w:marTop w:val="0"/>
                      <w:marBottom w:val="0"/>
                      <w:divBdr>
                        <w:top w:val="none" w:sz="0" w:space="0" w:color="auto"/>
                        <w:left w:val="none" w:sz="0" w:space="0" w:color="auto"/>
                        <w:bottom w:val="none" w:sz="0" w:space="0" w:color="auto"/>
                        <w:right w:val="none" w:sz="0" w:space="0" w:color="auto"/>
                      </w:divBdr>
                    </w:div>
                  </w:divsChild>
                </w:div>
                <w:div w:id="1771581926">
                  <w:marLeft w:val="0"/>
                  <w:marRight w:val="0"/>
                  <w:marTop w:val="0"/>
                  <w:marBottom w:val="0"/>
                  <w:divBdr>
                    <w:top w:val="none" w:sz="0" w:space="0" w:color="auto"/>
                    <w:left w:val="none" w:sz="0" w:space="0" w:color="auto"/>
                    <w:bottom w:val="none" w:sz="0" w:space="0" w:color="auto"/>
                    <w:right w:val="none" w:sz="0" w:space="0" w:color="auto"/>
                  </w:divBdr>
                  <w:divsChild>
                    <w:div w:id="1863205492">
                      <w:marLeft w:val="0"/>
                      <w:marRight w:val="0"/>
                      <w:marTop w:val="0"/>
                      <w:marBottom w:val="0"/>
                      <w:divBdr>
                        <w:top w:val="none" w:sz="0" w:space="0" w:color="auto"/>
                        <w:left w:val="none" w:sz="0" w:space="0" w:color="auto"/>
                        <w:bottom w:val="none" w:sz="0" w:space="0" w:color="auto"/>
                        <w:right w:val="none" w:sz="0" w:space="0" w:color="auto"/>
                      </w:divBdr>
                    </w:div>
                  </w:divsChild>
                </w:div>
                <w:div w:id="287900564">
                  <w:marLeft w:val="0"/>
                  <w:marRight w:val="0"/>
                  <w:marTop w:val="0"/>
                  <w:marBottom w:val="0"/>
                  <w:divBdr>
                    <w:top w:val="none" w:sz="0" w:space="0" w:color="auto"/>
                    <w:left w:val="none" w:sz="0" w:space="0" w:color="auto"/>
                    <w:bottom w:val="none" w:sz="0" w:space="0" w:color="auto"/>
                    <w:right w:val="none" w:sz="0" w:space="0" w:color="auto"/>
                  </w:divBdr>
                  <w:divsChild>
                    <w:div w:id="1529685939">
                      <w:marLeft w:val="0"/>
                      <w:marRight w:val="0"/>
                      <w:marTop w:val="0"/>
                      <w:marBottom w:val="0"/>
                      <w:divBdr>
                        <w:top w:val="none" w:sz="0" w:space="0" w:color="auto"/>
                        <w:left w:val="none" w:sz="0" w:space="0" w:color="auto"/>
                        <w:bottom w:val="none" w:sz="0" w:space="0" w:color="auto"/>
                        <w:right w:val="none" w:sz="0" w:space="0" w:color="auto"/>
                      </w:divBdr>
                    </w:div>
                  </w:divsChild>
                </w:div>
                <w:div w:id="1383334816">
                  <w:marLeft w:val="0"/>
                  <w:marRight w:val="0"/>
                  <w:marTop w:val="0"/>
                  <w:marBottom w:val="0"/>
                  <w:divBdr>
                    <w:top w:val="none" w:sz="0" w:space="0" w:color="auto"/>
                    <w:left w:val="none" w:sz="0" w:space="0" w:color="auto"/>
                    <w:bottom w:val="none" w:sz="0" w:space="0" w:color="auto"/>
                    <w:right w:val="none" w:sz="0" w:space="0" w:color="auto"/>
                  </w:divBdr>
                  <w:divsChild>
                    <w:div w:id="1406144165">
                      <w:marLeft w:val="0"/>
                      <w:marRight w:val="0"/>
                      <w:marTop w:val="0"/>
                      <w:marBottom w:val="0"/>
                      <w:divBdr>
                        <w:top w:val="none" w:sz="0" w:space="0" w:color="auto"/>
                        <w:left w:val="none" w:sz="0" w:space="0" w:color="auto"/>
                        <w:bottom w:val="none" w:sz="0" w:space="0" w:color="auto"/>
                        <w:right w:val="none" w:sz="0" w:space="0" w:color="auto"/>
                      </w:divBdr>
                    </w:div>
                  </w:divsChild>
                </w:div>
                <w:div w:id="1333216679">
                  <w:marLeft w:val="0"/>
                  <w:marRight w:val="0"/>
                  <w:marTop w:val="0"/>
                  <w:marBottom w:val="0"/>
                  <w:divBdr>
                    <w:top w:val="none" w:sz="0" w:space="0" w:color="auto"/>
                    <w:left w:val="none" w:sz="0" w:space="0" w:color="auto"/>
                    <w:bottom w:val="none" w:sz="0" w:space="0" w:color="auto"/>
                    <w:right w:val="none" w:sz="0" w:space="0" w:color="auto"/>
                  </w:divBdr>
                  <w:divsChild>
                    <w:div w:id="481434728">
                      <w:marLeft w:val="0"/>
                      <w:marRight w:val="0"/>
                      <w:marTop w:val="0"/>
                      <w:marBottom w:val="0"/>
                      <w:divBdr>
                        <w:top w:val="none" w:sz="0" w:space="0" w:color="auto"/>
                        <w:left w:val="none" w:sz="0" w:space="0" w:color="auto"/>
                        <w:bottom w:val="none" w:sz="0" w:space="0" w:color="auto"/>
                        <w:right w:val="none" w:sz="0" w:space="0" w:color="auto"/>
                      </w:divBdr>
                    </w:div>
                  </w:divsChild>
                </w:div>
                <w:div w:id="999575867">
                  <w:marLeft w:val="0"/>
                  <w:marRight w:val="0"/>
                  <w:marTop w:val="0"/>
                  <w:marBottom w:val="0"/>
                  <w:divBdr>
                    <w:top w:val="none" w:sz="0" w:space="0" w:color="auto"/>
                    <w:left w:val="none" w:sz="0" w:space="0" w:color="auto"/>
                    <w:bottom w:val="none" w:sz="0" w:space="0" w:color="auto"/>
                    <w:right w:val="none" w:sz="0" w:space="0" w:color="auto"/>
                  </w:divBdr>
                  <w:divsChild>
                    <w:div w:id="800999234">
                      <w:marLeft w:val="0"/>
                      <w:marRight w:val="0"/>
                      <w:marTop w:val="0"/>
                      <w:marBottom w:val="0"/>
                      <w:divBdr>
                        <w:top w:val="none" w:sz="0" w:space="0" w:color="auto"/>
                        <w:left w:val="none" w:sz="0" w:space="0" w:color="auto"/>
                        <w:bottom w:val="none" w:sz="0" w:space="0" w:color="auto"/>
                        <w:right w:val="none" w:sz="0" w:space="0" w:color="auto"/>
                      </w:divBdr>
                    </w:div>
                  </w:divsChild>
                </w:div>
                <w:div w:id="1898398492">
                  <w:marLeft w:val="0"/>
                  <w:marRight w:val="0"/>
                  <w:marTop w:val="0"/>
                  <w:marBottom w:val="0"/>
                  <w:divBdr>
                    <w:top w:val="none" w:sz="0" w:space="0" w:color="auto"/>
                    <w:left w:val="none" w:sz="0" w:space="0" w:color="auto"/>
                    <w:bottom w:val="none" w:sz="0" w:space="0" w:color="auto"/>
                    <w:right w:val="none" w:sz="0" w:space="0" w:color="auto"/>
                  </w:divBdr>
                  <w:divsChild>
                    <w:div w:id="1554386751">
                      <w:marLeft w:val="0"/>
                      <w:marRight w:val="0"/>
                      <w:marTop w:val="0"/>
                      <w:marBottom w:val="0"/>
                      <w:divBdr>
                        <w:top w:val="none" w:sz="0" w:space="0" w:color="auto"/>
                        <w:left w:val="none" w:sz="0" w:space="0" w:color="auto"/>
                        <w:bottom w:val="none" w:sz="0" w:space="0" w:color="auto"/>
                        <w:right w:val="none" w:sz="0" w:space="0" w:color="auto"/>
                      </w:divBdr>
                    </w:div>
                  </w:divsChild>
                </w:div>
                <w:div w:id="1649283903">
                  <w:marLeft w:val="0"/>
                  <w:marRight w:val="0"/>
                  <w:marTop w:val="0"/>
                  <w:marBottom w:val="0"/>
                  <w:divBdr>
                    <w:top w:val="none" w:sz="0" w:space="0" w:color="auto"/>
                    <w:left w:val="none" w:sz="0" w:space="0" w:color="auto"/>
                    <w:bottom w:val="none" w:sz="0" w:space="0" w:color="auto"/>
                    <w:right w:val="none" w:sz="0" w:space="0" w:color="auto"/>
                  </w:divBdr>
                  <w:divsChild>
                    <w:div w:id="698355542">
                      <w:marLeft w:val="0"/>
                      <w:marRight w:val="0"/>
                      <w:marTop w:val="0"/>
                      <w:marBottom w:val="0"/>
                      <w:divBdr>
                        <w:top w:val="none" w:sz="0" w:space="0" w:color="auto"/>
                        <w:left w:val="none" w:sz="0" w:space="0" w:color="auto"/>
                        <w:bottom w:val="none" w:sz="0" w:space="0" w:color="auto"/>
                        <w:right w:val="none" w:sz="0" w:space="0" w:color="auto"/>
                      </w:divBdr>
                    </w:div>
                  </w:divsChild>
                </w:div>
                <w:div w:id="1215659892">
                  <w:marLeft w:val="0"/>
                  <w:marRight w:val="0"/>
                  <w:marTop w:val="0"/>
                  <w:marBottom w:val="0"/>
                  <w:divBdr>
                    <w:top w:val="none" w:sz="0" w:space="0" w:color="auto"/>
                    <w:left w:val="none" w:sz="0" w:space="0" w:color="auto"/>
                    <w:bottom w:val="none" w:sz="0" w:space="0" w:color="auto"/>
                    <w:right w:val="none" w:sz="0" w:space="0" w:color="auto"/>
                  </w:divBdr>
                  <w:divsChild>
                    <w:div w:id="1892030851">
                      <w:marLeft w:val="0"/>
                      <w:marRight w:val="0"/>
                      <w:marTop w:val="0"/>
                      <w:marBottom w:val="0"/>
                      <w:divBdr>
                        <w:top w:val="none" w:sz="0" w:space="0" w:color="auto"/>
                        <w:left w:val="none" w:sz="0" w:space="0" w:color="auto"/>
                        <w:bottom w:val="none" w:sz="0" w:space="0" w:color="auto"/>
                        <w:right w:val="none" w:sz="0" w:space="0" w:color="auto"/>
                      </w:divBdr>
                    </w:div>
                  </w:divsChild>
                </w:div>
                <w:div w:id="1380200583">
                  <w:marLeft w:val="0"/>
                  <w:marRight w:val="0"/>
                  <w:marTop w:val="0"/>
                  <w:marBottom w:val="0"/>
                  <w:divBdr>
                    <w:top w:val="none" w:sz="0" w:space="0" w:color="auto"/>
                    <w:left w:val="none" w:sz="0" w:space="0" w:color="auto"/>
                    <w:bottom w:val="none" w:sz="0" w:space="0" w:color="auto"/>
                    <w:right w:val="none" w:sz="0" w:space="0" w:color="auto"/>
                  </w:divBdr>
                  <w:divsChild>
                    <w:div w:id="599871869">
                      <w:marLeft w:val="0"/>
                      <w:marRight w:val="0"/>
                      <w:marTop w:val="0"/>
                      <w:marBottom w:val="0"/>
                      <w:divBdr>
                        <w:top w:val="none" w:sz="0" w:space="0" w:color="auto"/>
                        <w:left w:val="none" w:sz="0" w:space="0" w:color="auto"/>
                        <w:bottom w:val="none" w:sz="0" w:space="0" w:color="auto"/>
                        <w:right w:val="none" w:sz="0" w:space="0" w:color="auto"/>
                      </w:divBdr>
                    </w:div>
                  </w:divsChild>
                </w:div>
                <w:div w:id="1448352159">
                  <w:marLeft w:val="0"/>
                  <w:marRight w:val="0"/>
                  <w:marTop w:val="0"/>
                  <w:marBottom w:val="0"/>
                  <w:divBdr>
                    <w:top w:val="none" w:sz="0" w:space="0" w:color="auto"/>
                    <w:left w:val="none" w:sz="0" w:space="0" w:color="auto"/>
                    <w:bottom w:val="none" w:sz="0" w:space="0" w:color="auto"/>
                    <w:right w:val="none" w:sz="0" w:space="0" w:color="auto"/>
                  </w:divBdr>
                  <w:divsChild>
                    <w:div w:id="1022169999">
                      <w:marLeft w:val="0"/>
                      <w:marRight w:val="0"/>
                      <w:marTop w:val="0"/>
                      <w:marBottom w:val="0"/>
                      <w:divBdr>
                        <w:top w:val="none" w:sz="0" w:space="0" w:color="auto"/>
                        <w:left w:val="none" w:sz="0" w:space="0" w:color="auto"/>
                        <w:bottom w:val="none" w:sz="0" w:space="0" w:color="auto"/>
                        <w:right w:val="none" w:sz="0" w:space="0" w:color="auto"/>
                      </w:divBdr>
                    </w:div>
                  </w:divsChild>
                </w:div>
                <w:div w:id="1791126938">
                  <w:marLeft w:val="0"/>
                  <w:marRight w:val="0"/>
                  <w:marTop w:val="0"/>
                  <w:marBottom w:val="0"/>
                  <w:divBdr>
                    <w:top w:val="none" w:sz="0" w:space="0" w:color="auto"/>
                    <w:left w:val="none" w:sz="0" w:space="0" w:color="auto"/>
                    <w:bottom w:val="none" w:sz="0" w:space="0" w:color="auto"/>
                    <w:right w:val="none" w:sz="0" w:space="0" w:color="auto"/>
                  </w:divBdr>
                  <w:divsChild>
                    <w:div w:id="1784763390">
                      <w:marLeft w:val="0"/>
                      <w:marRight w:val="0"/>
                      <w:marTop w:val="0"/>
                      <w:marBottom w:val="0"/>
                      <w:divBdr>
                        <w:top w:val="none" w:sz="0" w:space="0" w:color="auto"/>
                        <w:left w:val="none" w:sz="0" w:space="0" w:color="auto"/>
                        <w:bottom w:val="none" w:sz="0" w:space="0" w:color="auto"/>
                        <w:right w:val="none" w:sz="0" w:space="0" w:color="auto"/>
                      </w:divBdr>
                    </w:div>
                  </w:divsChild>
                </w:div>
                <w:div w:id="2077236083">
                  <w:marLeft w:val="0"/>
                  <w:marRight w:val="0"/>
                  <w:marTop w:val="0"/>
                  <w:marBottom w:val="0"/>
                  <w:divBdr>
                    <w:top w:val="none" w:sz="0" w:space="0" w:color="auto"/>
                    <w:left w:val="none" w:sz="0" w:space="0" w:color="auto"/>
                    <w:bottom w:val="none" w:sz="0" w:space="0" w:color="auto"/>
                    <w:right w:val="none" w:sz="0" w:space="0" w:color="auto"/>
                  </w:divBdr>
                  <w:divsChild>
                    <w:div w:id="1590381393">
                      <w:marLeft w:val="0"/>
                      <w:marRight w:val="0"/>
                      <w:marTop w:val="0"/>
                      <w:marBottom w:val="0"/>
                      <w:divBdr>
                        <w:top w:val="none" w:sz="0" w:space="0" w:color="auto"/>
                        <w:left w:val="none" w:sz="0" w:space="0" w:color="auto"/>
                        <w:bottom w:val="none" w:sz="0" w:space="0" w:color="auto"/>
                        <w:right w:val="none" w:sz="0" w:space="0" w:color="auto"/>
                      </w:divBdr>
                    </w:div>
                  </w:divsChild>
                </w:div>
                <w:div w:id="237443723">
                  <w:marLeft w:val="0"/>
                  <w:marRight w:val="0"/>
                  <w:marTop w:val="0"/>
                  <w:marBottom w:val="0"/>
                  <w:divBdr>
                    <w:top w:val="none" w:sz="0" w:space="0" w:color="auto"/>
                    <w:left w:val="none" w:sz="0" w:space="0" w:color="auto"/>
                    <w:bottom w:val="none" w:sz="0" w:space="0" w:color="auto"/>
                    <w:right w:val="none" w:sz="0" w:space="0" w:color="auto"/>
                  </w:divBdr>
                  <w:divsChild>
                    <w:div w:id="190345941">
                      <w:marLeft w:val="0"/>
                      <w:marRight w:val="0"/>
                      <w:marTop w:val="0"/>
                      <w:marBottom w:val="0"/>
                      <w:divBdr>
                        <w:top w:val="none" w:sz="0" w:space="0" w:color="auto"/>
                        <w:left w:val="none" w:sz="0" w:space="0" w:color="auto"/>
                        <w:bottom w:val="none" w:sz="0" w:space="0" w:color="auto"/>
                        <w:right w:val="none" w:sz="0" w:space="0" w:color="auto"/>
                      </w:divBdr>
                    </w:div>
                  </w:divsChild>
                </w:div>
                <w:div w:id="1852984742">
                  <w:marLeft w:val="0"/>
                  <w:marRight w:val="0"/>
                  <w:marTop w:val="0"/>
                  <w:marBottom w:val="0"/>
                  <w:divBdr>
                    <w:top w:val="none" w:sz="0" w:space="0" w:color="auto"/>
                    <w:left w:val="none" w:sz="0" w:space="0" w:color="auto"/>
                    <w:bottom w:val="none" w:sz="0" w:space="0" w:color="auto"/>
                    <w:right w:val="none" w:sz="0" w:space="0" w:color="auto"/>
                  </w:divBdr>
                  <w:divsChild>
                    <w:div w:id="1144469731">
                      <w:marLeft w:val="0"/>
                      <w:marRight w:val="0"/>
                      <w:marTop w:val="0"/>
                      <w:marBottom w:val="0"/>
                      <w:divBdr>
                        <w:top w:val="none" w:sz="0" w:space="0" w:color="auto"/>
                        <w:left w:val="none" w:sz="0" w:space="0" w:color="auto"/>
                        <w:bottom w:val="none" w:sz="0" w:space="0" w:color="auto"/>
                        <w:right w:val="none" w:sz="0" w:space="0" w:color="auto"/>
                      </w:divBdr>
                    </w:div>
                  </w:divsChild>
                </w:div>
                <w:div w:id="1584026752">
                  <w:marLeft w:val="0"/>
                  <w:marRight w:val="0"/>
                  <w:marTop w:val="0"/>
                  <w:marBottom w:val="0"/>
                  <w:divBdr>
                    <w:top w:val="none" w:sz="0" w:space="0" w:color="auto"/>
                    <w:left w:val="none" w:sz="0" w:space="0" w:color="auto"/>
                    <w:bottom w:val="none" w:sz="0" w:space="0" w:color="auto"/>
                    <w:right w:val="none" w:sz="0" w:space="0" w:color="auto"/>
                  </w:divBdr>
                  <w:divsChild>
                    <w:div w:id="1943106650">
                      <w:marLeft w:val="0"/>
                      <w:marRight w:val="0"/>
                      <w:marTop w:val="0"/>
                      <w:marBottom w:val="0"/>
                      <w:divBdr>
                        <w:top w:val="none" w:sz="0" w:space="0" w:color="auto"/>
                        <w:left w:val="none" w:sz="0" w:space="0" w:color="auto"/>
                        <w:bottom w:val="none" w:sz="0" w:space="0" w:color="auto"/>
                        <w:right w:val="none" w:sz="0" w:space="0" w:color="auto"/>
                      </w:divBdr>
                    </w:div>
                  </w:divsChild>
                </w:div>
                <w:div w:id="2068871248">
                  <w:marLeft w:val="0"/>
                  <w:marRight w:val="0"/>
                  <w:marTop w:val="0"/>
                  <w:marBottom w:val="0"/>
                  <w:divBdr>
                    <w:top w:val="none" w:sz="0" w:space="0" w:color="auto"/>
                    <w:left w:val="none" w:sz="0" w:space="0" w:color="auto"/>
                    <w:bottom w:val="none" w:sz="0" w:space="0" w:color="auto"/>
                    <w:right w:val="none" w:sz="0" w:space="0" w:color="auto"/>
                  </w:divBdr>
                  <w:divsChild>
                    <w:div w:id="1109815864">
                      <w:marLeft w:val="0"/>
                      <w:marRight w:val="0"/>
                      <w:marTop w:val="0"/>
                      <w:marBottom w:val="0"/>
                      <w:divBdr>
                        <w:top w:val="none" w:sz="0" w:space="0" w:color="auto"/>
                        <w:left w:val="none" w:sz="0" w:space="0" w:color="auto"/>
                        <w:bottom w:val="none" w:sz="0" w:space="0" w:color="auto"/>
                        <w:right w:val="none" w:sz="0" w:space="0" w:color="auto"/>
                      </w:divBdr>
                    </w:div>
                  </w:divsChild>
                </w:div>
                <w:div w:id="527066319">
                  <w:marLeft w:val="0"/>
                  <w:marRight w:val="0"/>
                  <w:marTop w:val="0"/>
                  <w:marBottom w:val="0"/>
                  <w:divBdr>
                    <w:top w:val="none" w:sz="0" w:space="0" w:color="auto"/>
                    <w:left w:val="none" w:sz="0" w:space="0" w:color="auto"/>
                    <w:bottom w:val="none" w:sz="0" w:space="0" w:color="auto"/>
                    <w:right w:val="none" w:sz="0" w:space="0" w:color="auto"/>
                  </w:divBdr>
                  <w:divsChild>
                    <w:div w:id="1215044814">
                      <w:marLeft w:val="0"/>
                      <w:marRight w:val="0"/>
                      <w:marTop w:val="0"/>
                      <w:marBottom w:val="0"/>
                      <w:divBdr>
                        <w:top w:val="none" w:sz="0" w:space="0" w:color="auto"/>
                        <w:left w:val="none" w:sz="0" w:space="0" w:color="auto"/>
                        <w:bottom w:val="none" w:sz="0" w:space="0" w:color="auto"/>
                        <w:right w:val="none" w:sz="0" w:space="0" w:color="auto"/>
                      </w:divBdr>
                    </w:div>
                  </w:divsChild>
                </w:div>
                <w:div w:id="1335913464">
                  <w:marLeft w:val="0"/>
                  <w:marRight w:val="0"/>
                  <w:marTop w:val="0"/>
                  <w:marBottom w:val="0"/>
                  <w:divBdr>
                    <w:top w:val="none" w:sz="0" w:space="0" w:color="auto"/>
                    <w:left w:val="none" w:sz="0" w:space="0" w:color="auto"/>
                    <w:bottom w:val="none" w:sz="0" w:space="0" w:color="auto"/>
                    <w:right w:val="none" w:sz="0" w:space="0" w:color="auto"/>
                  </w:divBdr>
                  <w:divsChild>
                    <w:div w:id="2002540669">
                      <w:marLeft w:val="0"/>
                      <w:marRight w:val="0"/>
                      <w:marTop w:val="0"/>
                      <w:marBottom w:val="0"/>
                      <w:divBdr>
                        <w:top w:val="none" w:sz="0" w:space="0" w:color="auto"/>
                        <w:left w:val="none" w:sz="0" w:space="0" w:color="auto"/>
                        <w:bottom w:val="none" w:sz="0" w:space="0" w:color="auto"/>
                        <w:right w:val="none" w:sz="0" w:space="0" w:color="auto"/>
                      </w:divBdr>
                    </w:div>
                  </w:divsChild>
                </w:div>
                <w:div w:id="975256071">
                  <w:marLeft w:val="0"/>
                  <w:marRight w:val="0"/>
                  <w:marTop w:val="0"/>
                  <w:marBottom w:val="0"/>
                  <w:divBdr>
                    <w:top w:val="none" w:sz="0" w:space="0" w:color="auto"/>
                    <w:left w:val="none" w:sz="0" w:space="0" w:color="auto"/>
                    <w:bottom w:val="none" w:sz="0" w:space="0" w:color="auto"/>
                    <w:right w:val="none" w:sz="0" w:space="0" w:color="auto"/>
                  </w:divBdr>
                  <w:divsChild>
                    <w:div w:id="706686807">
                      <w:marLeft w:val="0"/>
                      <w:marRight w:val="0"/>
                      <w:marTop w:val="0"/>
                      <w:marBottom w:val="0"/>
                      <w:divBdr>
                        <w:top w:val="none" w:sz="0" w:space="0" w:color="auto"/>
                        <w:left w:val="none" w:sz="0" w:space="0" w:color="auto"/>
                        <w:bottom w:val="none" w:sz="0" w:space="0" w:color="auto"/>
                        <w:right w:val="none" w:sz="0" w:space="0" w:color="auto"/>
                      </w:divBdr>
                    </w:div>
                  </w:divsChild>
                </w:div>
                <w:div w:id="458451554">
                  <w:marLeft w:val="0"/>
                  <w:marRight w:val="0"/>
                  <w:marTop w:val="0"/>
                  <w:marBottom w:val="0"/>
                  <w:divBdr>
                    <w:top w:val="none" w:sz="0" w:space="0" w:color="auto"/>
                    <w:left w:val="none" w:sz="0" w:space="0" w:color="auto"/>
                    <w:bottom w:val="none" w:sz="0" w:space="0" w:color="auto"/>
                    <w:right w:val="none" w:sz="0" w:space="0" w:color="auto"/>
                  </w:divBdr>
                  <w:divsChild>
                    <w:div w:id="1106923229">
                      <w:marLeft w:val="0"/>
                      <w:marRight w:val="0"/>
                      <w:marTop w:val="0"/>
                      <w:marBottom w:val="0"/>
                      <w:divBdr>
                        <w:top w:val="none" w:sz="0" w:space="0" w:color="auto"/>
                        <w:left w:val="none" w:sz="0" w:space="0" w:color="auto"/>
                        <w:bottom w:val="none" w:sz="0" w:space="0" w:color="auto"/>
                        <w:right w:val="none" w:sz="0" w:space="0" w:color="auto"/>
                      </w:divBdr>
                    </w:div>
                  </w:divsChild>
                </w:div>
                <w:div w:id="315576790">
                  <w:marLeft w:val="0"/>
                  <w:marRight w:val="0"/>
                  <w:marTop w:val="0"/>
                  <w:marBottom w:val="0"/>
                  <w:divBdr>
                    <w:top w:val="none" w:sz="0" w:space="0" w:color="auto"/>
                    <w:left w:val="none" w:sz="0" w:space="0" w:color="auto"/>
                    <w:bottom w:val="none" w:sz="0" w:space="0" w:color="auto"/>
                    <w:right w:val="none" w:sz="0" w:space="0" w:color="auto"/>
                  </w:divBdr>
                  <w:divsChild>
                    <w:div w:id="1723750013">
                      <w:marLeft w:val="0"/>
                      <w:marRight w:val="0"/>
                      <w:marTop w:val="0"/>
                      <w:marBottom w:val="0"/>
                      <w:divBdr>
                        <w:top w:val="none" w:sz="0" w:space="0" w:color="auto"/>
                        <w:left w:val="none" w:sz="0" w:space="0" w:color="auto"/>
                        <w:bottom w:val="none" w:sz="0" w:space="0" w:color="auto"/>
                        <w:right w:val="none" w:sz="0" w:space="0" w:color="auto"/>
                      </w:divBdr>
                    </w:div>
                  </w:divsChild>
                </w:div>
                <w:div w:id="898587469">
                  <w:marLeft w:val="0"/>
                  <w:marRight w:val="0"/>
                  <w:marTop w:val="0"/>
                  <w:marBottom w:val="0"/>
                  <w:divBdr>
                    <w:top w:val="none" w:sz="0" w:space="0" w:color="auto"/>
                    <w:left w:val="none" w:sz="0" w:space="0" w:color="auto"/>
                    <w:bottom w:val="none" w:sz="0" w:space="0" w:color="auto"/>
                    <w:right w:val="none" w:sz="0" w:space="0" w:color="auto"/>
                  </w:divBdr>
                  <w:divsChild>
                    <w:div w:id="627660227">
                      <w:marLeft w:val="0"/>
                      <w:marRight w:val="0"/>
                      <w:marTop w:val="0"/>
                      <w:marBottom w:val="0"/>
                      <w:divBdr>
                        <w:top w:val="none" w:sz="0" w:space="0" w:color="auto"/>
                        <w:left w:val="none" w:sz="0" w:space="0" w:color="auto"/>
                        <w:bottom w:val="none" w:sz="0" w:space="0" w:color="auto"/>
                        <w:right w:val="none" w:sz="0" w:space="0" w:color="auto"/>
                      </w:divBdr>
                    </w:div>
                  </w:divsChild>
                </w:div>
                <w:div w:id="1420979579">
                  <w:marLeft w:val="0"/>
                  <w:marRight w:val="0"/>
                  <w:marTop w:val="0"/>
                  <w:marBottom w:val="0"/>
                  <w:divBdr>
                    <w:top w:val="none" w:sz="0" w:space="0" w:color="auto"/>
                    <w:left w:val="none" w:sz="0" w:space="0" w:color="auto"/>
                    <w:bottom w:val="none" w:sz="0" w:space="0" w:color="auto"/>
                    <w:right w:val="none" w:sz="0" w:space="0" w:color="auto"/>
                  </w:divBdr>
                  <w:divsChild>
                    <w:div w:id="12358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11343">
          <w:marLeft w:val="0"/>
          <w:marRight w:val="0"/>
          <w:marTop w:val="0"/>
          <w:marBottom w:val="0"/>
          <w:divBdr>
            <w:top w:val="none" w:sz="0" w:space="0" w:color="auto"/>
            <w:left w:val="none" w:sz="0" w:space="0" w:color="auto"/>
            <w:bottom w:val="none" w:sz="0" w:space="0" w:color="auto"/>
            <w:right w:val="none" w:sz="0" w:space="0" w:color="auto"/>
          </w:divBdr>
        </w:div>
        <w:div w:id="1322930419">
          <w:marLeft w:val="0"/>
          <w:marRight w:val="0"/>
          <w:marTop w:val="0"/>
          <w:marBottom w:val="0"/>
          <w:divBdr>
            <w:top w:val="none" w:sz="0" w:space="0" w:color="auto"/>
            <w:left w:val="none" w:sz="0" w:space="0" w:color="auto"/>
            <w:bottom w:val="none" w:sz="0" w:space="0" w:color="auto"/>
            <w:right w:val="none" w:sz="0" w:space="0" w:color="auto"/>
          </w:divBdr>
        </w:div>
        <w:div w:id="452678812">
          <w:marLeft w:val="0"/>
          <w:marRight w:val="0"/>
          <w:marTop w:val="0"/>
          <w:marBottom w:val="0"/>
          <w:divBdr>
            <w:top w:val="none" w:sz="0" w:space="0" w:color="auto"/>
            <w:left w:val="none" w:sz="0" w:space="0" w:color="auto"/>
            <w:bottom w:val="none" w:sz="0" w:space="0" w:color="auto"/>
            <w:right w:val="none" w:sz="0" w:space="0" w:color="auto"/>
          </w:divBdr>
        </w:div>
        <w:div w:id="118377231">
          <w:marLeft w:val="0"/>
          <w:marRight w:val="0"/>
          <w:marTop w:val="0"/>
          <w:marBottom w:val="0"/>
          <w:divBdr>
            <w:top w:val="none" w:sz="0" w:space="0" w:color="auto"/>
            <w:left w:val="none" w:sz="0" w:space="0" w:color="auto"/>
            <w:bottom w:val="none" w:sz="0" w:space="0" w:color="auto"/>
            <w:right w:val="none" w:sz="0" w:space="0" w:color="auto"/>
          </w:divBdr>
        </w:div>
        <w:div w:id="513542364">
          <w:marLeft w:val="0"/>
          <w:marRight w:val="0"/>
          <w:marTop w:val="0"/>
          <w:marBottom w:val="0"/>
          <w:divBdr>
            <w:top w:val="none" w:sz="0" w:space="0" w:color="auto"/>
            <w:left w:val="none" w:sz="0" w:space="0" w:color="auto"/>
            <w:bottom w:val="none" w:sz="0" w:space="0" w:color="auto"/>
            <w:right w:val="none" w:sz="0" w:space="0" w:color="auto"/>
          </w:divBdr>
        </w:div>
        <w:div w:id="1902326928">
          <w:marLeft w:val="0"/>
          <w:marRight w:val="0"/>
          <w:marTop w:val="0"/>
          <w:marBottom w:val="0"/>
          <w:divBdr>
            <w:top w:val="none" w:sz="0" w:space="0" w:color="auto"/>
            <w:left w:val="none" w:sz="0" w:space="0" w:color="auto"/>
            <w:bottom w:val="none" w:sz="0" w:space="0" w:color="auto"/>
            <w:right w:val="none" w:sz="0" w:space="0" w:color="auto"/>
          </w:divBdr>
        </w:div>
        <w:div w:id="325671054">
          <w:marLeft w:val="0"/>
          <w:marRight w:val="0"/>
          <w:marTop w:val="0"/>
          <w:marBottom w:val="0"/>
          <w:divBdr>
            <w:top w:val="none" w:sz="0" w:space="0" w:color="auto"/>
            <w:left w:val="none" w:sz="0" w:space="0" w:color="auto"/>
            <w:bottom w:val="none" w:sz="0" w:space="0" w:color="auto"/>
            <w:right w:val="none" w:sz="0" w:space="0" w:color="auto"/>
          </w:divBdr>
        </w:div>
        <w:div w:id="1337221838">
          <w:marLeft w:val="0"/>
          <w:marRight w:val="0"/>
          <w:marTop w:val="0"/>
          <w:marBottom w:val="0"/>
          <w:divBdr>
            <w:top w:val="none" w:sz="0" w:space="0" w:color="auto"/>
            <w:left w:val="none" w:sz="0" w:space="0" w:color="auto"/>
            <w:bottom w:val="none" w:sz="0" w:space="0" w:color="auto"/>
            <w:right w:val="none" w:sz="0" w:space="0" w:color="auto"/>
          </w:divBdr>
        </w:div>
        <w:div w:id="457576468">
          <w:marLeft w:val="0"/>
          <w:marRight w:val="0"/>
          <w:marTop w:val="0"/>
          <w:marBottom w:val="0"/>
          <w:divBdr>
            <w:top w:val="none" w:sz="0" w:space="0" w:color="auto"/>
            <w:left w:val="none" w:sz="0" w:space="0" w:color="auto"/>
            <w:bottom w:val="none" w:sz="0" w:space="0" w:color="auto"/>
            <w:right w:val="none" w:sz="0" w:space="0" w:color="auto"/>
          </w:divBdr>
        </w:div>
        <w:div w:id="1416322991">
          <w:marLeft w:val="0"/>
          <w:marRight w:val="0"/>
          <w:marTop w:val="0"/>
          <w:marBottom w:val="0"/>
          <w:divBdr>
            <w:top w:val="none" w:sz="0" w:space="0" w:color="auto"/>
            <w:left w:val="none" w:sz="0" w:space="0" w:color="auto"/>
            <w:bottom w:val="none" w:sz="0" w:space="0" w:color="auto"/>
            <w:right w:val="none" w:sz="0" w:space="0" w:color="auto"/>
          </w:divBdr>
        </w:div>
        <w:div w:id="1652713102">
          <w:marLeft w:val="0"/>
          <w:marRight w:val="0"/>
          <w:marTop w:val="0"/>
          <w:marBottom w:val="0"/>
          <w:divBdr>
            <w:top w:val="none" w:sz="0" w:space="0" w:color="auto"/>
            <w:left w:val="none" w:sz="0" w:space="0" w:color="auto"/>
            <w:bottom w:val="none" w:sz="0" w:space="0" w:color="auto"/>
            <w:right w:val="none" w:sz="0" w:space="0" w:color="auto"/>
          </w:divBdr>
        </w:div>
        <w:div w:id="94832961">
          <w:marLeft w:val="0"/>
          <w:marRight w:val="0"/>
          <w:marTop w:val="0"/>
          <w:marBottom w:val="0"/>
          <w:divBdr>
            <w:top w:val="none" w:sz="0" w:space="0" w:color="auto"/>
            <w:left w:val="none" w:sz="0" w:space="0" w:color="auto"/>
            <w:bottom w:val="none" w:sz="0" w:space="0" w:color="auto"/>
            <w:right w:val="none" w:sz="0" w:space="0" w:color="auto"/>
          </w:divBdr>
        </w:div>
        <w:div w:id="172187179">
          <w:marLeft w:val="0"/>
          <w:marRight w:val="0"/>
          <w:marTop w:val="0"/>
          <w:marBottom w:val="0"/>
          <w:divBdr>
            <w:top w:val="none" w:sz="0" w:space="0" w:color="auto"/>
            <w:left w:val="none" w:sz="0" w:space="0" w:color="auto"/>
            <w:bottom w:val="none" w:sz="0" w:space="0" w:color="auto"/>
            <w:right w:val="none" w:sz="0" w:space="0" w:color="auto"/>
          </w:divBdr>
        </w:div>
        <w:div w:id="918833449">
          <w:marLeft w:val="0"/>
          <w:marRight w:val="0"/>
          <w:marTop w:val="0"/>
          <w:marBottom w:val="0"/>
          <w:divBdr>
            <w:top w:val="none" w:sz="0" w:space="0" w:color="auto"/>
            <w:left w:val="none" w:sz="0" w:space="0" w:color="auto"/>
            <w:bottom w:val="none" w:sz="0" w:space="0" w:color="auto"/>
            <w:right w:val="none" w:sz="0" w:space="0" w:color="auto"/>
          </w:divBdr>
        </w:div>
        <w:div w:id="1040477654">
          <w:marLeft w:val="0"/>
          <w:marRight w:val="0"/>
          <w:marTop w:val="0"/>
          <w:marBottom w:val="0"/>
          <w:divBdr>
            <w:top w:val="none" w:sz="0" w:space="0" w:color="auto"/>
            <w:left w:val="none" w:sz="0" w:space="0" w:color="auto"/>
            <w:bottom w:val="none" w:sz="0" w:space="0" w:color="auto"/>
            <w:right w:val="none" w:sz="0" w:space="0" w:color="auto"/>
          </w:divBdr>
        </w:div>
        <w:div w:id="1311835269">
          <w:marLeft w:val="0"/>
          <w:marRight w:val="0"/>
          <w:marTop w:val="0"/>
          <w:marBottom w:val="0"/>
          <w:divBdr>
            <w:top w:val="none" w:sz="0" w:space="0" w:color="auto"/>
            <w:left w:val="none" w:sz="0" w:space="0" w:color="auto"/>
            <w:bottom w:val="none" w:sz="0" w:space="0" w:color="auto"/>
            <w:right w:val="none" w:sz="0" w:space="0" w:color="auto"/>
          </w:divBdr>
        </w:div>
        <w:div w:id="1967275850">
          <w:marLeft w:val="0"/>
          <w:marRight w:val="0"/>
          <w:marTop w:val="0"/>
          <w:marBottom w:val="0"/>
          <w:divBdr>
            <w:top w:val="none" w:sz="0" w:space="0" w:color="auto"/>
            <w:left w:val="none" w:sz="0" w:space="0" w:color="auto"/>
            <w:bottom w:val="none" w:sz="0" w:space="0" w:color="auto"/>
            <w:right w:val="none" w:sz="0" w:space="0" w:color="auto"/>
          </w:divBdr>
        </w:div>
        <w:div w:id="227614722">
          <w:marLeft w:val="0"/>
          <w:marRight w:val="0"/>
          <w:marTop w:val="0"/>
          <w:marBottom w:val="0"/>
          <w:divBdr>
            <w:top w:val="none" w:sz="0" w:space="0" w:color="auto"/>
            <w:left w:val="none" w:sz="0" w:space="0" w:color="auto"/>
            <w:bottom w:val="none" w:sz="0" w:space="0" w:color="auto"/>
            <w:right w:val="none" w:sz="0" w:space="0" w:color="auto"/>
          </w:divBdr>
        </w:div>
        <w:div w:id="1996376611">
          <w:marLeft w:val="0"/>
          <w:marRight w:val="0"/>
          <w:marTop w:val="0"/>
          <w:marBottom w:val="0"/>
          <w:divBdr>
            <w:top w:val="none" w:sz="0" w:space="0" w:color="auto"/>
            <w:left w:val="none" w:sz="0" w:space="0" w:color="auto"/>
            <w:bottom w:val="none" w:sz="0" w:space="0" w:color="auto"/>
            <w:right w:val="none" w:sz="0" w:space="0" w:color="auto"/>
          </w:divBdr>
        </w:div>
        <w:div w:id="1355839058">
          <w:marLeft w:val="0"/>
          <w:marRight w:val="0"/>
          <w:marTop w:val="0"/>
          <w:marBottom w:val="0"/>
          <w:divBdr>
            <w:top w:val="none" w:sz="0" w:space="0" w:color="auto"/>
            <w:left w:val="none" w:sz="0" w:space="0" w:color="auto"/>
            <w:bottom w:val="none" w:sz="0" w:space="0" w:color="auto"/>
            <w:right w:val="none" w:sz="0" w:space="0" w:color="auto"/>
          </w:divBdr>
        </w:div>
        <w:div w:id="1458259787">
          <w:marLeft w:val="0"/>
          <w:marRight w:val="0"/>
          <w:marTop w:val="0"/>
          <w:marBottom w:val="0"/>
          <w:divBdr>
            <w:top w:val="none" w:sz="0" w:space="0" w:color="auto"/>
            <w:left w:val="none" w:sz="0" w:space="0" w:color="auto"/>
            <w:bottom w:val="none" w:sz="0" w:space="0" w:color="auto"/>
            <w:right w:val="none" w:sz="0" w:space="0" w:color="auto"/>
          </w:divBdr>
        </w:div>
        <w:div w:id="771366334">
          <w:marLeft w:val="0"/>
          <w:marRight w:val="0"/>
          <w:marTop w:val="0"/>
          <w:marBottom w:val="0"/>
          <w:divBdr>
            <w:top w:val="none" w:sz="0" w:space="0" w:color="auto"/>
            <w:left w:val="none" w:sz="0" w:space="0" w:color="auto"/>
            <w:bottom w:val="none" w:sz="0" w:space="0" w:color="auto"/>
            <w:right w:val="none" w:sz="0" w:space="0" w:color="auto"/>
          </w:divBdr>
        </w:div>
        <w:div w:id="55319261">
          <w:marLeft w:val="0"/>
          <w:marRight w:val="0"/>
          <w:marTop w:val="0"/>
          <w:marBottom w:val="0"/>
          <w:divBdr>
            <w:top w:val="none" w:sz="0" w:space="0" w:color="auto"/>
            <w:left w:val="none" w:sz="0" w:space="0" w:color="auto"/>
            <w:bottom w:val="none" w:sz="0" w:space="0" w:color="auto"/>
            <w:right w:val="none" w:sz="0" w:space="0" w:color="auto"/>
          </w:divBdr>
        </w:div>
        <w:div w:id="628511229">
          <w:marLeft w:val="0"/>
          <w:marRight w:val="0"/>
          <w:marTop w:val="0"/>
          <w:marBottom w:val="0"/>
          <w:divBdr>
            <w:top w:val="none" w:sz="0" w:space="0" w:color="auto"/>
            <w:left w:val="none" w:sz="0" w:space="0" w:color="auto"/>
            <w:bottom w:val="none" w:sz="0" w:space="0" w:color="auto"/>
            <w:right w:val="none" w:sz="0" w:space="0" w:color="auto"/>
          </w:divBdr>
        </w:div>
        <w:div w:id="1871215199">
          <w:marLeft w:val="0"/>
          <w:marRight w:val="0"/>
          <w:marTop w:val="0"/>
          <w:marBottom w:val="0"/>
          <w:divBdr>
            <w:top w:val="none" w:sz="0" w:space="0" w:color="auto"/>
            <w:left w:val="none" w:sz="0" w:space="0" w:color="auto"/>
            <w:bottom w:val="none" w:sz="0" w:space="0" w:color="auto"/>
            <w:right w:val="none" w:sz="0" w:space="0" w:color="auto"/>
          </w:divBdr>
        </w:div>
        <w:div w:id="1019815484">
          <w:marLeft w:val="0"/>
          <w:marRight w:val="0"/>
          <w:marTop w:val="0"/>
          <w:marBottom w:val="0"/>
          <w:divBdr>
            <w:top w:val="none" w:sz="0" w:space="0" w:color="auto"/>
            <w:left w:val="none" w:sz="0" w:space="0" w:color="auto"/>
            <w:bottom w:val="none" w:sz="0" w:space="0" w:color="auto"/>
            <w:right w:val="none" w:sz="0" w:space="0" w:color="auto"/>
          </w:divBdr>
        </w:div>
        <w:div w:id="1431465560">
          <w:marLeft w:val="0"/>
          <w:marRight w:val="0"/>
          <w:marTop w:val="0"/>
          <w:marBottom w:val="0"/>
          <w:divBdr>
            <w:top w:val="none" w:sz="0" w:space="0" w:color="auto"/>
            <w:left w:val="none" w:sz="0" w:space="0" w:color="auto"/>
            <w:bottom w:val="none" w:sz="0" w:space="0" w:color="auto"/>
            <w:right w:val="none" w:sz="0" w:space="0" w:color="auto"/>
          </w:divBdr>
        </w:div>
        <w:div w:id="1384599363">
          <w:marLeft w:val="0"/>
          <w:marRight w:val="0"/>
          <w:marTop w:val="0"/>
          <w:marBottom w:val="0"/>
          <w:divBdr>
            <w:top w:val="none" w:sz="0" w:space="0" w:color="auto"/>
            <w:left w:val="none" w:sz="0" w:space="0" w:color="auto"/>
            <w:bottom w:val="none" w:sz="0" w:space="0" w:color="auto"/>
            <w:right w:val="none" w:sz="0" w:space="0" w:color="auto"/>
          </w:divBdr>
        </w:div>
        <w:div w:id="1775516699">
          <w:marLeft w:val="0"/>
          <w:marRight w:val="0"/>
          <w:marTop w:val="0"/>
          <w:marBottom w:val="0"/>
          <w:divBdr>
            <w:top w:val="none" w:sz="0" w:space="0" w:color="auto"/>
            <w:left w:val="none" w:sz="0" w:space="0" w:color="auto"/>
            <w:bottom w:val="none" w:sz="0" w:space="0" w:color="auto"/>
            <w:right w:val="none" w:sz="0" w:space="0" w:color="auto"/>
          </w:divBdr>
        </w:div>
        <w:div w:id="1874535207">
          <w:marLeft w:val="0"/>
          <w:marRight w:val="0"/>
          <w:marTop w:val="0"/>
          <w:marBottom w:val="0"/>
          <w:divBdr>
            <w:top w:val="none" w:sz="0" w:space="0" w:color="auto"/>
            <w:left w:val="none" w:sz="0" w:space="0" w:color="auto"/>
            <w:bottom w:val="none" w:sz="0" w:space="0" w:color="auto"/>
            <w:right w:val="none" w:sz="0" w:space="0" w:color="auto"/>
          </w:divBdr>
        </w:div>
        <w:div w:id="314457047">
          <w:marLeft w:val="0"/>
          <w:marRight w:val="0"/>
          <w:marTop w:val="0"/>
          <w:marBottom w:val="0"/>
          <w:divBdr>
            <w:top w:val="none" w:sz="0" w:space="0" w:color="auto"/>
            <w:left w:val="none" w:sz="0" w:space="0" w:color="auto"/>
            <w:bottom w:val="none" w:sz="0" w:space="0" w:color="auto"/>
            <w:right w:val="none" w:sz="0" w:space="0" w:color="auto"/>
          </w:divBdr>
        </w:div>
        <w:div w:id="791676446">
          <w:marLeft w:val="0"/>
          <w:marRight w:val="0"/>
          <w:marTop w:val="0"/>
          <w:marBottom w:val="0"/>
          <w:divBdr>
            <w:top w:val="none" w:sz="0" w:space="0" w:color="auto"/>
            <w:left w:val="none" w:sz="0" w:space="0" w:color="auto"/>
            <w:bottom w:val="none" w:sz="0" w:space="0" w:color="auto"/>
            <w:right w:val="none" w:sz="0" w:space="0" w:color="auto"/>
          </w:divBdr>
        </w:div>
        <w:div w:id="600996382">
          <w:marLeft w:val="0"/>
          <w:marRight w:val="0"/>
          <w:marTop w:val="0"/>
          <w:marBottom w:val="0"/>
          <w:divBdr>
            <w:top w:val="none" w:sz="0" w:space="0" w:color="auto"/>
            <w:left w:val="none" w:sz="0" w:space="0" w:color="auto"/>
            <w:bottom w:val="none" w:sz="0" w:space="0" w:color="auto"/>
            <w:right w:val="none" w:sz="0" w:space="0" w:color="auto"/>
          </w:divBdr>
        </w:div>
        <w:div w:id="110175726">
          <w:marLeft w:val="0"/>
          <w:marRight w:val="0"/>
          <w:marTop w:val="0"/>
          <w:marBottom w:val="0"/>
          <w:divBdr>
            <w:top w:val="none" w:sz="0" w:space="0" w:color="auto"/>
            <w:left w:val="none" w:sz="0" w:space="0" w:color="auto"/>
            <w:bottom w:val="none" w:sz="0" w:space="0" w:color="auto"/>
            <w:right w:val="none" w:sz="0" w:space="0" w:color="auto"/>
          </w:divBdr>
        </w:div>
        <w:div w:id="523442552">
          <w:marLeft w:val="0"/>
          <w:marRight w:val="0"/>
          <w:marTop w:val="0"/>
          <w:marBottom w:val="0"/>
          <w:divBdr>
            <w:top w:val="none" w:sz="0" w:space="0" w:color="auto"/>
            <w:left w:val="none" w:sz="0" w:space="0" w:color="auto"/>
            <w:bottom w:val="none" w:sz="0" w:space="0" w:color="auto"/>
            <w:right w:val="none" w:sz="0" w:space="0" w:color="auto"/>
          </w:divBdr>
        </w:div>
        <w:div w:id="537930861">
          <w:marLeft w:val="0"/>
          <w:marRight w:val="0"/>
          <w:marTop w:val="0"/>
          <w:marBottom w:val="0"/>
          <w:divBdr>
            <w:top w:val="none" w:sz="0" w:space="0" w:color="auto"/>
            <w:left w:val="none" w:sz="0" w:space="0" w:color="auto"/>
            <w:bottom w:val="none" w:sz="0" w:space="0" w:color="auto"/>
            <w:right w:val="none" w:sz="0" w:space="0" w:color="auto"/>
          </w:divBdr>
        </w:div>
        <w:div w:id="1690061867">
          <w:marLeft w:val="0"/>
          <w:marRight w:val="0"/>
          <w:marTop w:val="0"/>
          <w:marBottom w:val="0"/>
          <w:divBdr>
            <w:top w:val="none" w:sz="0" w:space="0" w:color="auto"/>
            <w:left w:val="none" w:sz="0" w:space="0" w:color="auto"/>
            <w:bottom w:val="none" w:sz="0" w:space="0" w:color="auto"/>
            <w:right w:val="none" w:sz="0" w:space="0" w:color="auto"/>
          </w:divBdr>
        </w:div>
        <w:div w:id="260915637">
          <w:marLeft w:val="0"/>
          <w:marRight w:val="0"/>
          <w:marTop w:val="0"/>
          <w:marBottom w:val="0"/>
          <w:divBdr>
            <w:top w:val="none" w:sz="0" w:space="0" w:color="auto"/>
            <w:left w:val="none" w:sz="0" w:space="0" w:color="auto"/>
            <w:bottom w:val="none" w:sz="0" w:space="0" w:color="auto"/>
            <w:right w:val="none" w:sz="0" w:space="0" w:color="auto"/>
          </w:divBdr>
          <w:divsChild>
            <w:div w:id="1190139832">
              <w:marLeft w:val="-75"/>
              <w:marRight w:val="0"/>
              <w:marTop w:val="30"/>
              <w:marBottom w:val="30"/>
              <w:divBdr>
                <w:top w:val="none" w:sz="0" w:space="0" w:color="auto"/>
                <w:left w:val="none" w:sz="0" w:space="0" w:color="auto"/>
                <w:bottom w:val="none" w:sz="0" w:space="0" w:color="auto"/>
                <w:right w:val="none" w:sz="0" w:space="0" w:color="auto"/>
              </w:divBdr>
              <w:divsChild>
                <w:div w:id="615217734">
                  <w:marLeft w:val="0"/>
                  <w:marRight w:val="0"/>
                  <w:marTop w:val="0"/>
                  <w:marBottom w:val="0"/>
                  <w:divBdr>
                    <w:top w:val="none" w:sz="0" w:space="0" w:color="auto"/>
                    <w:left w:val="none" w:sz="0" w:space="0" w:color="auto"/>
                    <w:bottom w:val="none" w:sz="0" w:space="0" w:color="auto"/>
                    <w:right w:val="none" w:sz="0" w:space="0" w:color="auto"/>
                  </w:divBdr>
                  <w:divsChild>
                    <w:div w:id="783962435">
                      <w:marLeft w:val="0"/>
                      <w:marRight w:val="0"/>
                      <w:marTop w:val="0"/>
                      <w:marBottom w:val="0"/>
                      <w:divBdr>
                        <w:top w:val="none" w:sz="0" w:space="0" w:color="auto"/>
                        <w:left w:val="none" w:sz="0" w:space="0" w:color="auto"/>
                        <w:bottom w:val="none" w:sz="0" w:space="0" w:color="auto"/>
                        <w:right w:val="none" w:sz="0" w:space="0" w:color="auto"/>
                      </w:divBdr>
                    </w:div>
                  </w:divsChild>
                </w:div>
                <w:div w:id="746809223">
                  <w:marLeft w:val="0"/>
                  <w:marRight w:val="0"/>
                  <w:marTop w:val="0"/>
                  <w:marBottom w:val="0"/>
                  <w:divBdr>
                    <w:top w:val="none" w:sz="0" w:space="0" w:color="auto"/>
                    <w:left w:val="none" w:sz="0" w:space="0" w:color="auto"/>
                    <w:bottom w:val="none" w:sz="0" w:space="0" w:color="auto"/>
                    <w:right w:val="none" w:sz="0" w:space="0" w:color="auto"/>
                  </w:divBdr>
                  <w:divsChild>
                    <w:div w:id="1861430376">
                      <w:marLeft w:val="0"/>
                      <w:marRight w:val="0"/>
                      <w:marTop w:val="0"/>
                      <w:marBottom w:val="0"/>
                      <w:divBdr>
                        <w:top w:val="none" w:sz="0" w:space="0" w:color="auto"/>
                        <w:left w:val="none" w:sz="0" w:space="0" w:color="auto"/>
                        <w:bottom w:val="none" w:sz="0" w:space="0" w:color="auto"/>
                        <w:right w:val="none" w:sz="0" w:space="0" w:color="auto"/>
                      </w:divBdr>
                    </w:div>
                  </w:divsChild>
                </w:div>
                <w:div w:id="508910673">
                  <w:marLeft w:val="0"/>
                  <w:marRight w:val="0"/>
                  <w:marTop w:val="0"/>
                  <w:marBottom w:val="0"/>
                  <w:divBdr>
                    <w:top w:val="none" w:sz="0" w:space="0" w:color="auto"/>
                    <w:left w:val="none" w:sz="0" w:space="0" w:color="auto"/>
                    <w:bottom w:val="none" w:sz="0" w:space="0" w:color="auto"/>
                    <w:right w:val="none" w:sz="0" w:space="0" w:color="auto"/>
                  </w:divBdr>
                  <w:divsChild>
                    <w:div w:id="1436360106">
                      <w:marLeft w:val="0"/>
                      <w:marRight w:val="0"/>
                      <w:marTop w:val="0"/>
                      <w:marBottom w:val="0"/>
                      <w:divBdr>
                        <w:top w:val="none" w:sz="0" w:space="0" w:color="auto"/>
                        <w:left w:val="none" w:sz="0" w:space="0" w:color="auto"/>
                        <w:bottom w:val="none" w:sz="0" w:space="0" w:color="auto"/>
                        <w:right w:val="none" w:sz="0" w:space="0" w:color="auto"/>
                      </w:divBdr>
                    </w:div>
                  </w:divsChild>
                </w:div>
                <w:div w:id="525560645">
                  <w:marLeft w:val="0"/>
                  <w:marRight w:val="0"/>
                  <w:marTop w:val="0"/>
                  <w:marBottom w:val="0"/>
                  <w:divBdr>
                    <w:top w:val="none" w:sz="0" w:space="0" w:color="auto"/>
                    <w:left w:val="none" w:sz="0" w:space="0" w:color="auto"/>
                    <w:bottom w:val="none" w:sz="0" w:space="0" w:color="auto"/>
                    <w:right w:val="none" w:sz="0" w:space="0" w:color="auto"/>
                  </w:divBdr>
                  <w:divsChild>
                    <w:div w:id="688410900">
                      <w:marLeft w:val="0"/>
                      <w:marRight w:val="0"/>
                      <w:marTop w:val="0"/>
                      <w:marBottom w:val="0"/>
                      <w:divBdr>
                        <w:top w:val="none" w:sz="0" w:space="0" w:color="auto"/>
                        <w:left w:val="none" w:sz="0" w:space="0" w:color="auto"/>
                        <w:bottom w:val="none" w:sz="0" w:space="0" w:color="auto"/>
                        <w:right w:val="none" w:sz="0" w:space="0" w:color="auto"/>
                      </w:divBdr>
                    </w:div>
                  </w:divsChild>
                </w:div>
                <w:div w:id="9186308">
                  <w:marLeft w:val="0"/>
                  <w:marRight w:val="0"/>
                  <w:marTop w:val="0"/>
                  <w:marBottom w:val="0"/>
                  <w:divBdr>
                    <w:top w:val="none" w:sz="0" w:space="0" w:color="auto"/>
                    <w:left w:val="none" w:sz="0" w:space="0" w:color="auto"/>
                    <w:bottom w:val="none" w:sz="0" w:space="0" w:color="auto"/>
                    <w:right w:val="none" w:sz="0" w:space="0" w:color="auto"/>
                  </w:divBdr>
                  <w:divsChild>
                    <w:div w:id="1900089905">
                      <w:marLeft w:val="0"/>
                      <w:marRight w:val="0"/>
                      <w:marTop w:val="0"/>
                      <w:marBottom w:val="0"/>
                      <w:divBdr>
                        <w:top w:val="none" w:sz="0" w:space="0" w:color="auto"/>
                        <w:left w:val="none" w:sz="0" w:space="0" w:color="auto"/>
                        <w:bottom w:val="none" w:sz="0" w:space="0" w:color="auto"/>
                        <w:right w:val="none" w:sz="0" w:space="0" w:color="auto"/>
                      </w:divBdr>
                    </w:div>
                  </w:divsChild>
                </w:div>
                <w:div w:id="2086803036">
                  <w:marLeft w:val="0"/>
                  <w:marRight w:val="0"/>
                  <w:marTop w:val="0"/>
                  <w:marBottom w:val="0"/>
                  <w:divBdr>
                    <w:top w:val="none" w:sz="0" w:space="0" w:color="auto"/>
                    <w:left w:val="none" w:sz="0" w:space="0" w:color="auto"/>
                    <w:bottom w:val="none" w:sz="0" w:space="0" w:color="auto"/>
                    <w:right w:val="none" w:sz="0" w:space="0" w:color="auto"/>
                  </w:divBdr>
                  <w:divsChild>
                    <w:div w:id="863132628">
                      <w:marLeft w:val="0"/>
                      <w:marRight w:val="0"/>
                      <w:marTop w:val="0"/>
                      <w:marBottom w:val="0"/>
                      <w:divBdr>
                        <w:top w:val="none" w:sz="0" w:space="0" w:color="auto"/>
                        <w:left w:val="none" w:sz="0" w:space="0" w:color="auto"/>
                        <w:bottom w:val="none" w:sz="0" w:space="0" w:color="auto"/>
                        <w:right w:val="none" w:sz="0" w:space="0" w:color="auto"/>
                      </w:divBdr>
                    </w:div>
                  </w:divsChild>
                </w:div>
                <w:div w:id="685787915">
                  <w:marLeft w:val="0"/>
                  <w:marRight w:val="0"/>
                  <w:marTop w:val="0"/>
                  <w:marBottom w:val="0"/>
                  <w:divBdr>
                    <w:top w:val="none" w:sz="0" w:space="0" w:color="auto"/>
                    <w:left w:val="none" w:sz="0" w:space="0" w:color="auto"/>
                    <w:bottom w:val="none" w:sz="0" w:space="0" w:color="auto"/>
                    <w:right w:val="none" w:sz="0" w:space="0" w:color="auto"/>
                  </w:divBdr>
                  <w:divsChild>
                    <w:div w:id="1421179950">
                      <w:marLeft w:val="0"/>
                      <w:marRight w:val="0"/>
                      <w:marTop w:val="0"/>
                      <w:marBottom w:val="0"/>
                      <w:divBdr>
                        <w:top w:val="none" w:sz="0" w:space="0" w:color="auto"/>
                        <w:left w:val="none" w:sz="0" w:space="0" w:color="auto"/>
                        <w:bottom w:val="none" w:sz="0" w:space="0" w:color="auto"/>
                        <w:right w:val="none" w:sz="0" w:space="0" w:color="auto"/>
                      </w:divBdr>
                    </w:div>
                  </w:divsChild>
                </w:div>
                <w:div w:id="538470539">
                  <w:marLeft w:val="0"/>
                  <w:marRight w:val="0"/>
                  <w:marTop w:val="0"/>
                  <w:marBottom w:val="0"/>
                  <w:divBdr>
                    <w:top w:val="none" w:sz="0" w:space="0" w:color="auto"/>
                    <w:left w:val="none" w:sz="0" w:space="0" w:color="auto"/>
                    <w:bottom w:val="none" w:sz="0" w:space="0" w:color="auto"/>
                    <w:right w:val="none" w:sz="0" w:space="0" w:color="auto"/>
                  </w:divBdr>
                  <w:divsChild>
                    <w:div w:id="2367634">
                      <w:marLeft w:val="0"/>
                      <w:marRight w:val="0"/>
                      <w:marTop w:val="0"/>
                      <w:marBottom w:val="0"/>
                      <w:divBdr>
                        <w:top w:val="none" w:sz="0" w:space="0" w:color="auto"/>
                        <w:left w:val="none" w:sz="0" w:space="0" w:color="auto"/>
                        <w:bottom w:val="none" w:sz="0" w:space="0" w:color="auto"/>
                        <w:right w:val="none" w:sz="0" w:space="0" w:color="auto"/>
                      </w:divBdr>
                    </w:div>
                  </w:divsChild>
                </w:div>
                <w:div w:id="1760520787">
                  <w:marLeft w:val="0"/>
                  <w:marRight w:val="0"/>
                  <w:marTop w:val="0"/>
                  <w:marBottom w:val="0"/>
                  <w:divBdr>
                    <w:top w:val="none" w:sz="0" w:space="0" w:color="auto"/>
                    <w:left w:val="none" w:sz="0" w:space="0" w:color="auto"/>
                    <w:bottom w:val="none" w:sz="0" w:space="0" w:color="auto"/>
                    <w:right w:val="none" w:sz="0" w:space="0" w:color="auto"/>
                  </w:divBdr>
                  <w:divsChild>
                    <w:div w:id="1391534285">
                      <w:marLeft w:val="0"/>
                      <w:marRight w:val="0"/>
                      <w:marTop w:val="0"/>
                      <w:marBottom w:val="0"/>
                      <w:divBdr>
                        <w:top w:val="none" w:sz="0" w:space="0" w:color="auto"/>
                        <w:left w:val="none" w:sz="0" w:space="0" w:color="auto"/>
                        <w:bottom w:val="none" w:sz="0" w:space="0" w:color="auto"/>
                        <w:right w:val="none" w:sz="0" w:space="0" w:color="auto"/>
                      </w:divBdr>
                    </w:div>
                  </w:divsChild>
                </w:div>
                <w:div w:id="291131109">
                  <w:marLeft w:val="0"/>
                  <w:marRight w:val="0"/>
                  <w:marTop w:val="0"/>
                  <w:marBottom w:val="0"/>
                  <w:divBdr>
                    <w:top w:val="none" w:sz="0" w:space="0" w:color="auto"/>
                    <w:left w:val="none" w:sz="0" w:space="0" w:color="auto"/>
                    <w:bottom w:val="none" w:sz="0" w:space="0" w:color="auto"/>
                    <w:right w:val="none" w:sz="0" w:space="0" w:color="auto"/>
                  </w:divBdr>
                  <w:divsChild>
                    <w:div w:id="196702516">
                      <w:marLeft w:val="0"/>
                      <w:marRight w:val="0"/>
                      <w:marTop w:val="0"/>
                      <w:marBottom w:val="0"/>
                      <w:divBdr>
                        <w:top w:val="none" w:sz="0" w:space="0" w:color="auto"/>
                        <w:left w:val="none" w:sz="0" w:space="0" w:color="auto"/>
                        <w:bottom w:val="none" w:sz="0" w:space="0" w:color="auto"/>
                        <w:right w:val="none" w:sz="0" w:space="0" w:color="auto"/>
                      </w:divBdr>
                    </w:div>
                  </w:divsChild>
                </w:div>
                <w:div w:id="1855143790">
                  <w:marLeft w:val="0"/>
                  <w:marRight w:val="0"/>
                  <w:marTop w:val="0"/>
                  <w:marBottom w:val="0"/>
                  <w:divBdr>
                    <w:top w:val="none" w:sz="0" w:space="0" w:color="auto"/>
                    <w:left w:val="none" w:sz="0" w:space="0" w:color="auto"/>
                    <w:bottom w:val="none" w:sz="0" w:space="0" w:color="auto"/>
                    <w:right w:val="none" w:sz="0" w:space="0" w:color="auto"/>
                  </w:divBdr>
                  <w:divsChild>
                    <w:div w:id="1374110617">
                      <w:marLeft w:val="0"/>
                      <w:marRight w:val="0"/>
                      <w:marTop w:val="0"/>
                      <w:marBottom w:val="0"/>
                      <w:divBdr>
                        <w:top w:val="none" w:sz="0" w:space="0" w:color="auto"/>
                        <w:left w:val="none" w:sz="0" w:space="0" w:color="auto"/>
                        <w:bottom w:val="none" w:sz="0" w:space="0" w:color="auto"/>
                        <w:right w:val="none" w:sz="0" w:space="0" w:color="auto"/>
                      </w:divBdr>
                    </w:div>
                  </w:divsChild>
                </w:div>
                <w:div w:id="1184050048">
                  <w:marLeft w:val="0"/>
                  <w:marRight w:val="0"/>
                  <w:marTop w:val="0"/>
                  <w:marBottom w:val="0"/>
                  <w:divBdr>
                    <w:top w:val="none" w:sz="0" w:space="0" w:color="auto"/>
                    <w:left w:val="none" w:sz="0" w:space="0" w:color="auto"/>
                    <w:bottom w:val="none" w:sz="0" w:space="0" w:color="auto"/>
                    <w:right w:val="none" w:sz="0" w:space="0" w:color="auto"/>
                  </w:divBdr>
                  <w:divsChild>
                    <w:div w:id="93984618">
                      <w:marLeft w:val="0"/>
                      <w:marRight w:val="0"/>
                      <w:marTop w:val="0"/>
                      <w:marBottom w:val="0"/>
                      <w:divBdr>
                        <w:top w:val="none" w:sz="0" w:space="0" w:color="auto"/>
                        <w:left w:val="none" w:sz="0" w:space="0" w:color="auto"/>
                        <w:bottom w:val="none" w:sz="0" w:space="0" w:color="auto"/>
                        <w:right w:val="none" w:sz="0" w:space="0" w:color="auto"/>
                      </w:divBdr>
                    </w:div>
                  </w:divsChild>
                </w:div>
                <w:div w:id="1773167191">
                  <w:marLeft w:val="0"/>
                  <w:marRight w:val="0"/>
                  <w:marTop w:val="0"/>
                  <w:marBottom w:val="0"/>
                  <w:divBdr>
                    <w:top w:val="none" w:sz="0" w:space="0" w:color="auto"/>
                    <w:left w:val="none" w:sz="0" w:space="0" w:color="auto"/>
                    <w:bottom w:val="none" w:sz="0" w:space="0" w:color="auto"/>
                    <w:right w:val="none" w:sz="0" w:space="0" w:color="auto"/>
                  </w:divBdr>
                  <w:divsChild>
                    <w:div w:id="1514950858">
                      <w:marLeft w:val="0"/>
                      <w:marRight w:val="0"/>
                      <w:marTop w:val="0"/>
                      <w:marBottom w:val="0"/>
                      <w:divBdr>
                        <w:top w:val="none" w:sz="0" w:space="0" w:color="auto"/>
                        <w:left w:val="none" w:sz="0" w:space="0" w:color="auto"/>
                        <w:bottom w:val="none" w:sz="0" w:space="0" w:color="auto"/>
                        <w:right w:val="none" w:sz="0" w:space="0" w:color="auto"/>
                      </w:divBdr>
                    </w:div>
                  </w:divsChild>
                </w:div>
                <w:div w:id="405305150">
                  <w:marLeft w:val="0"/>
                  <w:marRight w:val="0"/>
                  <w:marTop w:val="0"/>
                  <w:marBottom w:val="0"/>
                  <w:divBdr>
                    <w:top w:val="none" w:sz="0" w:space="0" w:color="auto"/>
                    <w:left w:val="none" w:sz="0" w:space="0" w:color="auto"/>
                    <w:bottom w:val="none" w:sz="0" w:space="0" w:color="auto"/>
                    <w:right w:val="none" w:sz="0" w:space="0" w:color="auto"/>
                  </w:divBdr>
                  <w:divsChild>
                    <w:div w:id="1483279238">
                      <w:marLeft w:val="0"/>
                      <w:marRight w:val="0"/>
                      <w:marTop w:val="0"/>
                      <w:marBottom w:val="0"/>
                      <w:divBdr>
                        <w:top w:val="none" w:sz="0" w:space="0" w:color="auto"/>
                        <w:left w:val="none" w:sz="0" w:space="0" w:color="auto"/>
                        <w:bottom w:val="none" w:sz="0" w:space="0" w:color="auto"/>
                        <w:right w:val="none" w:sz="0" w:space="0" w:color="auto"/>
                      </w:divBdr>
                    </w:div>
                  </w:divsChild>
                </w:div>
                <w:div w:id="1727755533">
                  <w:marLeft w:val="0"/>
                  <w:marRight w:val="0"/>
                  <w:marTop w:val="0"/>
                  <w:marBottom w:val="0"/>
                  <w:divBdr>
                    <w:top w:val="none" w:sz="0" w:space="0" w:color="auto"/>
                    <w:left w:val="none" w:sz="0" w:space="0" w:color="auto"/>
                    <w:bottom w:val="none" w:sz="0" w:space="0" w:color="auto"/>
                    <w:right w:val="none" w:sz="0" w:space="0" w:color="auto"/>
                  </w:divBdr>
                  <w:divsChild>
                    <w:div w:id="672293437">
                      <w:marLeft w:val="0"/>
                      <w:marRight w:val="0"/>
                      <w:marTop w:val="0"/>
                      <w:marBottom w:val="0"/>
                      <w:divBdr>
                        <w:top w:val="none" w:sz="0" w:space="0" w:color="auto"/>
                        <w:left w:val="none" w:sz="0" w:space="0" w:color="auto"/>
                        <w:bottom w:val="none" w:sz="0" w:space="0" w:color="auto"/>
                        <w:right w:val="none" w:sz="0" w:space="0" w:color="auto"/>
                      </w:divBdr>
                    </w:div>
                  </w:divsChild>
                </w:div>
                <w:div w:id="869224488">
                  <w:marLeft w:val="0"/>
                  <w:marRight w:val="0"/>
                  <w:marTop w:val="0"/>
                  <w:marBottom w:val="0"/>
                  <w:divBdr>
                    <w:top w:val="none" w:sz="0" w:space="0" w:color="auto"/>
                    <w:left w:val="none" w:sz="0" w:space="0" w:color="auto"/>
                    <w:bottom w:val="none" w:sz="0" w:space="0" w:color="auto"/>
                    <w:right w:val="none" w:sz="0" w:space="0" w:color="auto"/>
                  </w:divBdr>
                  <w:divsChild>
                    <w:div w:id="246616080">
                      <w:marLeft w:val="0"/>
                      <w:marRight w:val="0"/>
                      <w:marTop w:val="0"/>
                      <w:marBottom w:val="0"/>
                      <w:divBdr>
                        <w:top w:val="none" w:sz="0" w:space="0" w:color="auto"/>
                        <w:left w:val="none" w:sz="0" w:space="0" w:color="auto"/>
                        <w:bottom w:val="none" w:sz="0" w:space="0" w:color="auto"/>
                        <w:right w:val="none" w:sz="0" w:space="0" w:color="auto"/>
                      </w:divBdr>
                    </w:div>
                  </w:divsChild>
                </w:div>
                <w:div w:id="1740863871">
                  <w:marLeft w:val="0"/>
                  <w:marRight w:val="0"/>
                  <w:marTop w:val="0"/>
                  <w:marBottom w:val="0"/>
                  <w:divBdr>
                    <w:top w:val="none" w:sz="0" w:space="0" w:color="auto"/>
                    <w:left w:val="none" w:sz="0" w:space="0" w:color="auto"/>
                    <w:bottom w:val="none" w:sz="0" w:space="0" w:color="auto"/>
                    <w:right w:val="none" w:sz="0" w:space="0" w:color="auto"/>
                  </w:divBdr>
                  <w:divsChild>
                    <w:div w:id="601493591">
                      <w:marLeft w:val="0"/>
                      <w:marRight w:val="0"/>
                      <w:marTop w:val="0"/>
                      <w:marBottom w:val="0"/>
                      <w:divBdr>
                        <w:top w:val="none" w:sz="0" w:space="0" w:color="auto"/>
                        <w:left w:val="none" w:sz="0" w:space="0" w:color="auto"/>
                        <w:bottom w:val="none" w:sz="0" w:space="0" w:color="auto"/>
                        <w:right w:val="none" w:sz="0" w:space="0" w:color="auto"/>
                      </w:divBdr>
                    </w:div>
                  </w:divsChild>
                </w:div>
                <w:div w:id="1424063821">
                  <w:marLeft w:val="0"/>
                  <w:marRight w:val="0"/>
                  <w:marTop w:val="0"/>
                  <w:marBottom w:val="0"/>
                  <w:divBdr>
                    <w:top w:val="none" w:sz="0" w:space="0" w:color="auto"/>
                    <w:left w:val="none" w:sz="0" w:space="0" w:color="auto"/>
                    <w:bottom w:val="none" w:sz="0" w:space="0" w:color="auto"/>
                    <w:right w:val="none" w:sz="0" w:space="0" w:color="auto"/>
                  </w:divBdr>
                  <w:divsChild>
                    <w:div w:id="477653862">
                      <w:marLeft w:val="0"/>
                      <w:marRight w:val="0"/>
                      <w:marTop w:val="0"/>
                      <w:marBottom w:val="0"/>
                      <w:divBdr>
                        <w:top w:val="none" w:sz="0" w:space="0" w:color="auto"/>
                        <w:left w:val="none" w:sz="0" w:space="0" w:color="auto"/>
                        <w:bottom w:val="none" w:sz="0" w:space="0" w:color="auto"/>
                        <w:right w:val="none" w:sz="0" w:space="0" w:color="auto"/>
                      </w:divBdr>
                    </w:div>
                  </w:divsChild>
                </w:div>
                <w:div w:id="1963271454">
                  <w:marLeft w:val="0"/>
                  <w:marRight w:val="0"/>
                  <w:marTop w:val="0"/>
                  <w:marBottom w:val="0"/>
                  <w:divBdr>
                    <w:top w:val="none" w:sz="0" w:space="0" w:color="auto"/>
                    <w:left w:val="none" w:sz="0" w:space="0" w:color="auto"/>
                    <w:bottom w:val="none" w:sz="0" w:space="0" w:color="auto"/>
                    <w:right w:val="none" w:sz="0" w:space="0" w:color="auto"/>
                  </w:divBdr>
                  <w:divsChild>
                    <w:div w:id="703137855">
                      <w:marLeft w:val="0"/>
                      <w:marRight w:val="0"/>
                      <w:marTop w:val="0"/>
                      <w:marBottom w:val="0"/>
                      <w:divBdr>
                        <w:top w:val="none" w:sz="0" w:space="0" w:color="auto"/>
                        <w:left w:val="none" w:sz="0" w:space="0" w:color="auto"/>
                        <w:bottom w:val="none" w:sz="0" w:space="0" w:color="auto"/>
                        <w:right w:val="none" w:sz="0" w:space="0" w:color="auto"/>
                      </w:divBdr>
                    </w:div>
                  </w:divsChild>
                </w:div>
                <w:div w:id="34353369">
                  <w:marLeft w:val="0"/>
                  <w:marRight w:val="0"/>
                  <w:marTop w:val="0"/>
                  <w:marBottom w:val="0"/>
                  <w:divBdr>
                    <w:top w:val="none" w:sz="0" w:space="0" w:color="auto"/>
                    <w:left w:val="none" w:sz="0" w:space="0" w:color="auto"/>
                    <w:bottom w:val="none" w:sz="0" w:space="0" w:color="auto"/>
                    <w:right w:val="none" w:sz="0" w:space="0" w:color="auto"/>
                  </w:divBdr>
                  <w:divsChild>
                    <w:div w:id="1907448294">
                      <w:marLeft w:val="0"/>
                      <w:marRight w:val="0"/>
                      <w:marTop w:val="0"/>
                      <w:marBottom w:val="0"/>
                      <w:divBdr>
                        <w:top w:val="none" w:sz="0" w:space="0" w:color="auto"/>
                        <w:left w:val="none" w:sz="0" w:space="0" w:color="auto"/>
                        <w:bottom w:val="none" w:sz="0" w:space="0" w:color="auto"/>
                        <w:right w:val="none" w:sz="0" w:space="0" w:color="auto"/>
                      </w:divBdr>
                    </w:div>
                  </w:divsChild>
                </w:div>
                <w:div w:id="559901630">
                  <w:marLeft w:val="0"/>
                  <w:marRight w:val="0"/>
                  <w:marTop w:val="0"/>
                  <w:marBottom w:val="0"/>
                  <w:divBdr>
                    <w:top w:val="none" w:sz="0" w:space="0" w:color="auto"/>
                    <w:left w:val="none" w:sz="0" w:space="0" w:color="auto"/>
                    <w:bottom w:val="none" w:sz="0" w:space="0" w:color="auto"/>
                    <w:right w:val="none" w:sz="0" w:space="0" w:color="auto"/>
                  </w:divBdr>
                  <w:divsChild>
                    <w:div w:id="366873999">
                      <w:marLeft w:val="0"/>
                      <w:marRight w:val="0"/>
                      <w:marTop w:val="0"/>
                      <w:marBottom w:val="0"/>
                      <w:divBdr>
                        <w:top w:val="none" w:sz="0" w:space="0" w:color="auto"/>
                        <w:left w:val="none" w:sz="0" w:space="0" w:color="auto"/>
                        <w:bottom w:val="none" w:sz="0" w:space="0" w:color="auto"/>
                        <w:right w:val="none" w:sz="0" w:space="0" w:color="auto"/>
                      </w:divBdr>
                    </w:div>
                  </w:divsChild>
                </w:div>
                <w:div w:id="2091197869">
                  <w:marLeft w:val="0"/>
                  <w:marRight w:val="0"/>
                  <w:marTop w:val="0"/>
                  <w:marBottom w:val="0"/>
                  <w:divBdr>
                    <w:top w:val="none" w:sz="0" w:space="0" w:color="auto"/>
                    <w:left w:val="none" w:sz="0" w:space="0" w:color="auto"/>
                    <w:bottom w:val="none" w:sz="0" w:space="0" w:color="auto"/>
                    <w:right w:val="none" w:sz="0" w:space="0" w:color="auto"/>
                  </w:divBdr>
                  <w:divsChild>
                    <w:div w:id="1888056868">
                      <w:marLeft w:val="0"/>
                      <w:marRight w:val="0"/>
                      <w:marTop w:val="0"/>
                      <w:marBottom w:val="0"/>
                      <w:divBdr>
                        <w:top w:val="none" w:sz="0" w:space="0" w:color="auto"/>
                        <w:left w:val="none" w:sz="0" w:space="0" w:color="auto"/>
                        <w:bottom w:val="none" w:sz="0" w:space="0" w:color="auto"/>
                        <w:right w:val="none" w:sz="0" w:space="0" w:color="auto"/>
                      </w:divBdr>
                    </w:div>
                  </w:divsChild>
                </w:div>
                <w:div w:id="455488296">
                  <w:marLeft w:val="0"/>
                  <w:marRight w:val="0"/>
                  <w:marTop w:val="0"/>
                  <w:marBottom w:val="0"/>
                  <w:divBdr>
                    <w:top w:val="none" w:sz="0" w:space="0" w:color="auto"/>
                    <w:left w:val="none" w:sz="0" w:space="0" w:color="auto"/>
                    <w:bottom w:val="none" w:sz="0" w:space="0" w:color="auto"/>
                    <w:right w:val="none" w:sz="0" w:space="0" w:color="auto"/>
                  </w:divBdr>
                  <w:divsChild>
                    <w:div w:id="1737165128">
                      <w:marLeft w:val="0"/>
                      <w:marRight w:val="0"/>
                      <w:marTop w:val="0"/>
                      <w:marBottom w:val="0"/>
                      <w:divBdr>
                        <w:top w:val="none" w:sz="0" w:space="0" w:color="auto"/>
                        <w:left w:val="none" w:sz="0" w:space="0" w:color="auto"/>
                        <w:bottom w:val="none" w:sz="0" w:space="0" w:color="auto"/>
                        <w:right w:val="none" w:sz="0" w:space="0" w:color="auto"/>
                      </w:divBdr>
                    </w:div>
                  </w:divsChild>
                </w:div>
                <w:div w:id="273370946">
                  <w:marLeft w:val="0"/>
                  <w:marRight w:val="0"/>
                  <w:marTop w:val="0"/>
                  <w:marBottom w:val="0"/>
                  <w:divBdr>
                    <w:top w:val="none" w:sz="0" w:space="0" w:color="auto"/>
                    <w:left w:val="none" w:sz="0" w:space="0" w:color="auto"/>
                    <w:bottom w:val="none" w:sz="0" w:space="0" w:color="auto"/>
                    <w:right w:val="none" w:sz="0" w:space="0" w:color="auto"/>
                  </w:divBdr>
                  <w:divsChild>
                    <w:div w:id="241915500">
                      <w:marLeft w:val="0"/>
                      <w:marRight w:val="0"/>
                      <w:marTop w:val="0"/>
                      <w:marBottom w:val="0"/>
                      <w:divBdr>
                        <w:top w:val="none" w:sz="0" w:space="0" w:color="auto"/>
                        <w:left w:val="none" w:sz="0" w:space="0" w:color="auto"/>
                        <w:bottom w:val="none" w:sz="0" w:space="0" w:color="auto"/>
                        <w:right w:val="none" w:sz="0" w:space="0" w:color="auto"/>
                      </w:divBdr>
                    </w:div>
                  </w:divsChild>
                </w:div>
                <w:div w:id="441069684">
                  <w:marLeft w:val="0"/>
                  <w:marRight w:val="0"/>
                  <w:marTop w:val="0"/>
                  <w:marBottom w:val="0"/>
                  <w:divBdr>
                    <w:top w:val="none" w:sz="0" w:space="0" w:color="auto"/>
                    <w:left w:val="none" w:sz="0" w:space="0" w:color="auto"/>
                    <w:bottom w:val="none" w:sz="0" w:space="0" w:color="auto"/>
                    <w:right w:val="none" w:sz="0" w:space="0" w:color="auto"/>
                  </w:divBdr>
                  <w:divsChild>
                    <w:div w:id="1044914009">
                      <w:marLeft w:val="0"/>
                      <w:marRight w:val="0"/>
                      <w:marTop w:val="0"/>
                      <w:marBottom w:val="0"/>
                      <w:divBdr>
                        <w:top w:val="none" w:sz="0" w:space="0" w:color="auto"/>
                        <w:left w:val="none" w:sz="0" w:space="0" w:color="auto"/>
                        <w:bottom w:val="none" w:sz="0" w:space="0" w:color="auto"/>
                        <w:right w:val="none" w:sz="0" w:space="0" w:color="auto"/>
                      </w:divBdr>
                    </w:div>
                  </w:divsChild>
                </w:div>
                <w:div w:id="891575403">
                  <w:marLeft w:val="0"/>
                  <w:marRight w:val="0"/>
                  <w:marTop w:val="0"/>
                  <w:marBottom w:val="0"/>
                  <w:divBdr>
                    <w:top w:val="none" w:sz="0" w:space="0" w:color="auto"/>
                    <w:left w:val="none" w:sz="0" w:space="0" w:color="auto"/>
                    <w:bottom w:val="none" w:sz="0" w:space="0" w:color="auto"/>
                    <w:right w:val="none" w:sz="0" w:space="0" w:color="auto"/>
                  </w:divBdr>
                  <w:divsChild>
                    <w:div w:id="1798572171">
                      <w:marLeft w:val="0"/>
                      <w:marRight w:val="0"/>
                      <w:marTop w:val="0"/>
                      <w:marBottom w:val="0"/>
                      <w:divBdr>
                        <w:top w:val="none" w:sz="0" w:space="0" w:color="auto"/>
                        <w:left w:val="none" w:sz="0" w:space="0" w:color="auto"/>
                        <w:bottom w:val="none" w:sz="0" w:space="0" w:color="auto"/>
                        <w:right w:val="none" w:sz="0" w:space="0" w:color="auto"/>
                      </w:divBdr>
                    </w:div>
                  </w:divsChild>
                </w:div>
                <w:div w:id="1268199220">
                  <w:marLeft w:val="0"/>
                  <w:marRight w:val="0"/>
                  <w:marTop w:val="0"/>
                  <w:marBottom w:val="0"/>
                  <w:divBdr>
                    <w:top w:val="none" w:sz="0" w:space="0" w:color="auto"/>
                    <w:left w:val="none" w:sz="0" w:space="0" w:color="auto"/>
                    <w:bottom w:val="none" w:sz="0" w:space="0" w:color="auto"/>
                    <w:right w:val="none" w:sz="0" w:space="0" w:color="auto"/>
                  </w:divBdr>
                  <w:divsChild>
                    <w:div w:id="557865882">
                      <w:marLeft w:val="0"/>
                      <w:marRight w:val="0"/>
                      <w:marTop w:val="0"/>
                      <w:marBottom w:val="0"/>
                      <w:divBdr>
                        <w:top w:val="none" w:sz="0" w:space="0" w:color="auto"/>
                        <w:left w:val="none" w:sz="0" w:space="0" w:color="auto"/>
                        <w:bottom w:val="none" w:sz="0" w:space="0" w:color="auto"/>
                        <w:right w:val="none" w:sz="0" w:space="0" w:color="auto"/>
                      </w:divBdr>
                    </w:div>
                  </w:divsChild>
                </w:div>
                <w:div w:id="912424356">
                  <w:marLeft w:val="0"/>
                  <w:marRight w:val="0"/>
                  <w:marTop w:val="0"/>
                  <w:marBottom w:val="0"/>
                  <w:divBdr>
                    <w:top w:val="none" w:sz="0" w:space="0" w:color="auto"/>
                    <w:left w:val="none" w:sz="0" w:space="0" w:color="auto"/>
                    <w:bottom w:val="none" w:sz="0" w:space="0" w:color="auto"/>
                    <w:right w:val="none" w:sz="0" w:space="0" w:color="auto"/>
                  </w:divBdr>
                  <w:divsChild>
                    <w:div w:id="1897928874">
                      <w:marLeft w:val="0"/>
                      <w:marRight w:val="0"/>
                      <w:marTop w:val="0"/>
                      <w:marBottom w:val="0"/>
                      <w:divBdr>
                        <w:top w:val="none" w:sz="0" w:space="0" w:color="auto"/>
                        <w:left w:val="none" w:sz="0" w:space="0" w:color="auto"/>
                        <w:bottom w:val="none" w:sz="0" w:space="0" w:color="auto"/>
                        <w:right w:val="none" w:sz="0" w:space="0" w:color="auto"/>
                      </w:divBdr>
                    </w:div>
                  </w:divsChild>
                </w:div>
                <w:div w:id="458691189">
                  <w:marLeft w:val="0"/>
                  <w:marRight w:val="0"/>
                  <w:marTop w:val="0"/>
                  <w:marBottom w:val="0"/>
                  <w:divBdr>
                    <w:top w:val="none" w:sz="0" w:space="0" w:color="auto"/>
                    <w:left w:val="none" w:sz="0" w:space="0" w:color="auto"/>
                    <w:bottom w:val="none" w:sz="0" w:space="0" w:color="auto"/>
                    <w:right w:val="none" w:sz="0" w:space="0" w:color="auto"/>
                  </w:divBdr>
                  <w:divsChild>
                    <w:div w:id="465705579">
                      <w:marLeft w:val="0"/>
                      <w:marRight w:val="0"/>
                      <w:marTop w:val="0"/>
                      <w:marBottom w:val="0"/>
                      <w:divBdr>
                        <w:top w:val="none" w:sz="0" w:space="0" w:color="auto"/>
                        <w:left w:val="none" w:sz="0" w:space="0" w:color="auto"/>
                        <w:bottom w:val="none" w:sz="0" w:space="0" w:color="auto"/>
                        <w:right w:val="none" w:sz="0" w:space="0" w:color="auto"/>
                      </w:divBdr>
                    </w:div>
                  </w:divsChild>
                </w:div>
                <w:div w:id="1556357724">
                  <w:marLeft w:val="0"/>
                  <w:marRight w:val="0"/>
                  <w:marTop w:val="0"/>
                  <w:marBottom w:val="0"/>
                  <w:divBdr>
                    <w:top w:val="none" w:sz="0" w:space="0" w:color="auto"/>
                    <w:left w:val="none" w:sz="0" w:space="0" w:color="auto"/>
                    <w:bottom w:val="none" w:sz="0" w:space="0" w:color="auto"/>
                    <w:right w:val="none" w:sz="0" w:space="0" w:color="auto"/>
                  </w:divBdr>
                  <w:divsChild>
                    <w:div w:id="536822944">
                      <w:marLeft w:val="0"/>
                      <w:marRight w:val="0"/>
                      <w:marTop w:val="0"/>
                      <w:marBottom w:val="0"/>
                      <w:divBdr>
                        <w:top w:val="none" w:sz="0" w:space="0" w:color="auto"/>
                        <w:left w:val="none" w:sz="0" w:space="0" w:color="auto"/>
                        <w:bottom w:val="none" w:sz="0" w:space="0" w:color="auto"/>
                        <w:right w:val="none" w:sz="0" w:space="0" w:color="auto"/>
                      </w:divBdr>
                    </w:div>
                  </w:divsChild>
                </w:div>
                <w:div w:id="530654541">
                  <w:marLeft w:val="0"/>
                  <w:marRight w:val="0"/>
                  <w:marTop w:val="0"/>
                  <w:marBottom w:val="0"/>
                  <w:divBdr>
                    <w:top w:val="none" w:sz="0" w:space="0" w:color="auto"/>
                    <w:left w:val="none" w:sz="0" w:space="0" w:color="auto"/>
                    <w:bottom w:val="none" w:sz="0" w:space="0" w:color="auto"/>
                    <w:right w:val="none" w:sz="0" w:space="0" w:color="auto"/>
                  </w:divBdr>
                  <w:divsChild>
                    <w:div w:id="994797699">
                      <w:marLeft w:val="0"/>
                      <w:marRight w:val="0"/>
                      <w:marTop w:val="0"/>
                      <w:marBottom w:val="0"/>
                      <w:divBdr>
                        <w:top w:val="none" w:sz="0" w:space="0" w:color="auto"/>
                        <w:left w:val="none" w:sz="0" w:space="0" w:color="auto"/>
                        <w:bottom w:val="none" w:sz="0" w:space="0" w:color="auto"/>
                        <w:right w:val="none" w:sz="0" w:space="0" w:color="auto"/>
                      </w:divBdr>
                    </w:div>
                  </w:divsChild>
                </w:div>
                <w:div w:id="1553927902">
                  <w:marLeft w:val="0"/>
                  <w:marRight w:val="0"/>
                  <w:marTop w:val="0"/>
                  <w:marBottom w:val="0"/>
                  <w:divBdr>
                    <w:top w:val="none" w:sz="0" w:space="0" w:color="auto"/>
                    <w:left w:val="none" w:sz="0" w:space="0" w:color="auto"/>
                    <w:bottom w:val="none" w:sz="0" w:space="0" w:color="auto"/>
                    <w:right w:val="none" w:sz="0" w:space="0" w:color="auto"/>
                  </w:divBdr>
                  <w:divsChild>
                    <w:div w:id="2093695153">
                      <w:marLeft w:val="0"/>
                      <w:marRight w:val="0"/>
                      <w:marTop w:val="0"/>
                      <w:marBottom w:val="0"/>
                      <w:divBdr>
                        <w:top w:val="none" w:sz="0" w:space="0" w:color="auto"/>
                        <w:left w:val="none" w:sz="0" w:space="0" w:color="auto"/>
                        <w:bottom w:val="none" w:sz="0" w:space="0" w:color="auto"/>
                        <w:right w:val="none" w:sz="0" w:space="0" w:color="auto"/>
                      </w:divBdr>
                    </w:div>
                  </w:divsChild>
                </w:div>
                <w:div w:id="468279165">
                  <w:marLeft w:val="0"/>
                  <w:marRight w:val="0"/>
                  <w:marTop w:val="0"/>
                  <w:marBottom w:val="0"/>
                  <w:divBdr>
                    <w:top w:val="none" w:sz="0" w:space="0" w:color="auto"/>
                    <w:left w:val="none" w:sz="0" w:space="0" w:color="auto"/>
                    <w:bottom w:val="none" w:sz="0" w:space="0" w:color="auto"/>
                    <w:right w:val="none" w:sz="0" w:space="0" w:color="auto"/>
                  </w:divBdr>
                  <w:divsChild>
                    <w:div w:id="1460605537">
                      <w:marLeft w:val="0"/>
                      <w:marRight w:val="0"/>
                      <w:marTop w:val="0"/>
                      <w:marBottom w:val="0"/>
                      <w:divBdr>
                        <w:top w:val="none" w:sz="0" w:space="0" w:color="auto"/>
                        <w:left w:val="none" w:sz="0" w:space="0" w:color="auto"/>
                        <w:bottom w:val="none" w:sz="0" w:space="0" w:color="auto"/>
                        <w:right w:val="none" w:sz="0" w:space="0" w:color="auto"/>
                      </w:divBdr>
                    </w:div>
                  </w:divsChild>
                </w:div>
                <w:div w:id="135757449">
                  <w:marLeft w:val="0"/>
                  <w:marRight w:val="0"/>
                  <w:marTop w:val="0"/>
                  <w:marBottom w:val="0"/>
                  <w:divBdr>
                    <w:top w:val="none" w:sz="0" w:space="0" w:color="auto"/>
                    <w:left w:val="none" w:sz="0" w:space="0" w:color="auto"/>
                    <w:bottom w:val="none" w:sz="0" w:space="0" w:color="auto"/>
                    <w:right w:val="none" w:sz="0" w:space="0" w:color="auto"/>
                  </w:divBdr>
                  <w:divsChild>
                    <w:div w:id="1620066062">
                      <w:marLeft w:val="0"/>
                      <w:marRight w:val="0"/>
                      <w:marTop w:val="0"/>
                      <w:marBottom w:val="0"/>
                      <w:divBdr>
                        <w:top w:val="none" w:sz="0" w:space="0" w:color="auto"/>
                        <w:left w:val="none" w:sz="0" w:space="0" w:color="auto"/>
                        <w:bottom w:val="none" w:sz="0" w:space="0" w:color="auto"/>
                        <w:right w:val="none" w:sz="0" w:space="0" w:color="auto"/>
                      </w:divBdr>
                    </w:div>
                  </w:divsChild>
                </w:div>
                <w:div w:id="2007319607">
                  <w:marLeft w:val="0"/>
                  <w:marRight w:val="0"/>
                  <w:marTop w:val="0"/>
                  <w:marBottom w:val="0"/>
                  <w:divBdr>
                    <w:top w:val="none" w:sz="0" w:space="0" w:color="auto"/>
                    <w:left w:val="none" w:sz="0" w:space="0" w:color="auto"/>
                    <w:bottom w:val="none" w:sz="0" w:space="0" w:color="auto"/>
                    <w:right w:val="none" w:sz="0" w:space="0" w:color="auto"/>
                  </w:divBdr>
                  <w:divsChild>
                    <w:div w:id="2071343714">
                      <w:marLeft w:val="0"/>
                      <w:marRight w:val="0"/>
                      <w:marTop w:val="0"/>
                      <w:marBottom w:val="0"/>
                      <w:divBdr>
                        <w:top w:val="none" w:sz="0" w:space="0" w:color="auto"/>
                        <w:left w:val="none" w:sz="0" w:space="0" w:color="auto"/>
                        <w:bottom w:val="none" w:sz="0" w:space="0" w:color="auto"/>
                        <w:right w:val="none" w:sz="0" w:space="0" w:color="auto"/>
                      </w:divBdr>
                    </w:div>
                  </w:divsChild>
                </w:div>
                <w:div w:id="1964995522">
                  <w:marLeft w:val="0"/>
                  <w:marRight w:val="0"/>
                  <w:marTop w:val="0"/>
                  <w:marBottom w:val="0"/>
                  <w:divBdr>
                    <w:top w:val="none" w:sz="0" w:space="0" w:color="auto"/>
                    <w:left w:val="none" w:sz="0" w:space="0" w:color="auto"/>
                    <w:bottom w:val="none" w:sz="0" w:space="0" w:color="auto"/>
                    <w:right w:val="none" w:sz="0" w:space="0" w:color="auto"/>
                  </w:divBdr>
                  <w:divsChild>
                    <w:div w:id="2141414700">
                      <w:marLeft w:val="0"/>
                      <w:marRight w:val="0"/>
                      <w:marTop w:val="0"/>
                      <w:marBottom w:val="0"/>
                      <w:divBdr>
                        <w:top w:val="none" w:sz="0" w:space="0" w:color="auto"/>
                        <w:left w:val="none" w:sz="0" w:space="0" w:color="auto"/>
                        <w:bottom w:val="none" w:sz="0" w:space="0" w:color="auto"/>
                        <w:right w:val="none" w:sz="0" w:space="0" w:color="auto"/>
                      </w:divBdr>
                    </w:div>
                  </w:divsChild>
                </w:div>
                <w:div w:id="784890370">
                  <w:marLeft w:val="0"/>
                  <w:marRight w:val="0"/>
                  <w:marTop w:val="0"/>
                  <w:marBottom w:val="0"/>
                  <w:divBdr>
                    <w:top w:val="none" w:sz="0" w:space="0" w:color="auto"/>
                    <w:left w:val="none" w:sz="0" w:space="0" w:color="auto"/>
                    <w:bottom w:val="none" w:sz="0" w:space="0" w:color="auto"/>
                    <w:right w:val="none" w:sz="0" w:space="0" w:color="auto"/>
                  </w:divBdr>
                  <w:divsChild>
                    <w:div w:id="26181345">
                      <w:marLeft w:val="0"/>
                      <w:marRight w:val="0"/>
                      <w:marTop w:val="0"/>
                      <w:marBottom w:val="0"/>
                      <w:divBdr>
                        <w:top w:val="none" w:sz="0" w:space="0" w:color="auto"/>
                        <w:left w:val="none" w:sz="0" w:space="0" w:color="auto"/>
                        <w:bottom w:val="none" w:sz="0" w:space="0" w:color="auto"/>
                        <w:right w:val="none" w:sz="0" w:space="0" w:color="auto"/>
                      </w:divBdr>
                    </w:div>
                  </w:divsChild>
                </w:div>
                <w:div w:id="103578810">
                  <w:marLeft w:val="0"/>
                  <w:marRight w:val="0"/>
                  <w:marTop w:val="0"/>
                  <w:marBottom w:val="0"/>
                  <w:divBdr>
                    <w:top w:val="none" w:sz="0" w:space="0" w:color="auto"/>
                    <w:left w:val="none" w:sz="0" w:space="0" w:color="auto"/>
                    <w:bottom w:val="none" w:sz="0" w:space="0" w:color="auto"/>
                    <w:right w:val="none" w:sz="0" w:space="0" w:color="auto"/>
                  </w:divBdr>
                  <w:divsChild>
                    <w:div w:id="1134179715">
                      <w:marLeft w:val="0"/>
                      <w:marRight w:val="0"/>
                      <w:marTop w:val="0"/>
                      <w:marBottom w:val="0"/>
                      <w:divBdr>
                        <w:top w:val="none" w:sz="0" w:space="0" w:color="auto"/>
                        <w:left w:val="none" w:sz="0" w:space="0" w:color="auto"/>
                        <w:bottom w:val="none" w:sz="0" w:space="0" w:color="auto"/>
                        <w:right w:val="none" w:sz="0" w:space="0" w:color="auto"/>
                      </w:divBdr>
                    </w:div>
                  </w:divsChild>
                </w:div>
                <w:div w:id="1794204336">
                  <w:marLeft w:val="0"/>
                  <w:marRight w:val="0"/>
                  <w:marTop w:val="0"/>
                  <w:marBottom w:val="0"/>
                  <w:divBdr>
                    <w:top w:val="none" w:sz="0" w:space="0" w:color="auto"/>
                    <w:left w:val="none" w:sz="0" w:space="0" w:color="auto"/>
                    <w:bottom w:val="none" w:sz="0" w:space="0" w:color="auto"/>
                    <w:right w:val="none" w:sz="0" w:space="0" w:color="auto"/>
                  </w:divBdr>
                  <w:divsChild>
                    <w:div w:id="701977322">
                      <w:marLeft w:val="0"/>
                      <w:marRight w:val="0"/>
                      <w:marTop w:val="0"/>
                      <w:marBottom w:val="0"/>
                      <w:divBdr>
                        <w:top w:val="none" w:sz="0" w:space="0" w:color="auto"/>
                        <w:left w:val="none" w:sz="0" w:space="0" w:color="auto"/>
                        <w:bottom w:val="none" w:sz="0" w:space="0" w:color="auto"/>
                        <w:right w:val="none" w:sz="0" w:space="0" w:color="auto"/>
                      </w:divBdr>
                    </w:div>
                  </w:divsChild>
                </w:div>
                <w:div w:id="1031885189">
                  <w:marLeft w:val="0"/>
                  <w:marRight w:val="0"/>
                  <w:marTop w:val="0"/>
                  <w:marBottom w:val="0"/>
                  <w:divBdr>
                    <w:top w:val="none" w:sz="0" w:space="0" w:color="auto"/>
                    <w:left w:val="none" w:sz="0" w:space="0" w:color="auto"/>
                    <w:bottom w:val="none" w:sz="0" w:space="0" w:color="auto"/>
                    <w:right w:val="none" w:sz="0" w:space="0" w:color="auto"/>
                  </w:divBdr>
                  <w:divsChild>
                    <w:div w:id="749160765">
                      <w:marLeft w:val="0"/>
                      <w:marRight w:val="0"/>
                      <w:marTop w:val="0"/>
                      <w:marBottom w:val="0"/>
                      <w:divBdr>
                        <w:top w:val="none" w:sz="0" w:space="0" w:color="auto"/>
                        <w:left w:val="none" w:sz="0" w:space="0" w:color="auto"/>
                        <w:bottom w:val="none" w:sz="0" w:space="0" w:color="auto"/>
                        <w:right w:val="none" w:sz="0" w:space="0" w:color="auto"/>
                      </w:divBdr>
                    </w:div>
                  </w:divsChild>
                </w:div>
                <w:div w:id="860630948">
                  <w:marLeft w:val="0"/>
                  <w:marRight w:val="0"/>
                  <w:marTop w:val="0"/>
                  <w:marBottom w:val="0"/>
                  <w:divBdr>
                    <w:top w:val="none" w:sz="0" w:space="0" w:color="auto"/>
                    <w:left w:val="none" w:sz="0" w:space="0" w:color="auto"/>
                    <w:bottom w:val="none" w:sz="0" w:space="0" w:color="auto"/>
                    <w:right w:val="none" w:sz="0" w:space="0" w:color="auto"/>
                  </w:divBdr>
                  <w:divsChild>
                    <w:div w:id="224535169">
                      <w:marLeft w:val="0"/>
                      <w:marRight w:val="0"/>
                      <w:marTop w:val="0"/>
                      <w:marBottom w:val="0"/>
                      <w:divBdr>
                        <w:top w:val="none" w:sz="0" w:space="0" w:color="auto"/>
                        <w:left w:val="none" w:sz="0" w:space="0" w:color="auto"/>
                        <w:bottom w:val="none" w:sz="0" w:space="0" w:color="auto"/>
                        <w:right w:val="none" w:sz="0" w:space="0" w:color="auto"/>
                      </w:divBdr>
                    </w:div>
                  </w:divsChild>
                </w:div>
                <w:div w:id="1650014780">
                  <w:marLeft w:val="0"/>
                  <w:marRight w:val="0"/>
                  <w:marTop w:val="0"/>
                  <w:marBottom w:val="0"/>
                  <w:divBdr>
                    <w:top w:val="none" w:sz="0" w:space="0" w:color="auto"/>
                    <w:left w:val="none" w:sz="0" w:space="0" w:color="auto"/>
                    <w:bottom w:val="none" w:sz="0" w:space="0" w:color="auto"/>
                    <w:right w:val="none" w:sz="0" w:space="0" w:color="auto"/>
                  </w:divBdr>
                  <w:divsChild>
                    <w:div w:id="93181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824259">
          <w:marLeft w:val="0"/>
          <w:marRight w:val="0"/>
          <w:marTop w:val="0"/>
          <w:marBottom w:val="0"/>
          <w:divBdr>
            <w:top w:val="none" w:sz="0" w:space="0" w:color="auto"/>
            <w:left w:val="none" w:sz="0" w:space="0" w:color="auto"/>
            <w:bottom w:val="none" w:sz="0" w:space="0" w:color="auto"/>
            <w:right w:val="none" w:sz="0" w:space="0" w:color="auto"/>
          </w:divBdr>
        </w:div>
        <w:div w:id="11457815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bd.int/doc/notifications/2023/ntf-2023-123-agriculture-en.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oi.org/10.6084/m9.figshare.22491997.v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c/f22d/ab58/236acdd54779ab58b97aecf1/ind-ahteg-2023-03-02-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bd.int/doc/decisions/cop-15/cop-15-dec-05-en.pdf" TargetMode="External"/><Relationship Id="rId20" Type="http://schemas.openxmlformats.org/officeDocument/2006/relationships/hyperlink" Target="http://www.cbd.int/doc/c/c874/6eb7/813f0201cd67299c9eb10a4a/wg2020-04-inf-02-rev-02-en.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cbd.int/doc/decisions/cop-15/cop-15-dec-04-en.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cbd.int/notifications/2023-1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nass.usda.gov/Surveys/Guide_to_NASS_Surveys/Chemical_Use/index.php"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a.kobayashi\Downloads\template-sbstta-26%2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2DF72677CC4F26B2EA7D68FA9ABCD2"/>
        <w:category>
          <w:name w:val="General"/>
          <w:gallery w:val="placeholder"/>
        </w:category>
        <w:types>
          <w:type w:val="bbPlcHdr"/>
        </w:types>
        <w:behaviors>
          <w:behavior w:val="content"/>
        </w:behaviors>
        <w:guid w:val="{5D8B3946-6E46-41F3-ADD5-0A91FD423EFE}"/>
      </w:docPartPr>
      <w:docPartBody>
        <w:p w:rsidR="008B469C" w:rsidRDefault="006F16F9">
          <w:pPr>
            <w:pStyle w:val="D72DF72677CC4F26B2EA7D68FA9ABCD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9C"/>
    <w:rsid w:val="00113F4E"/>
    <w:rsid w:val="006F16F9"/>
    <w:rsid w:val="008B46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72DF72677CC4F26B2EA7D68FA9ABCD2">
    <w:name w:val="D72DF72677CC4F26B2EA7D68FA9ABC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BE9DCD2-E509-4150-BA40-71868D803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template-sbstta-26 (4).dotm</Template>
  <TotalTime>2</TotalTime>
  <Pages>10</Pages>
  <Words>5324</Words>
  <Characters>30349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expert meeting on developing a methodology for headline indicator 7.2 under the monitoring framework of the Kunming-Montreal Global Biodiversity Framework</dc:title>
  <dc:subject>CBD/SBSTTA/26/INF/18</dc:subject>
  <dc:creator>monica.kobayashi</dc:creator>
  <cp:keywords/>
  <dc:description/>
  <cp:lastModifiedBy>Veronique Lefebvre</cp:lastModifiedBy>
  <cp:revision>4</cp:revision>
  <dcterms:created xsi:type="dcterms:W3CDTF">2024-04-12T12:52:00Z</dcterms:created>
  <dcterms:modified xsi:type="dcterms:W3CDTF">2024-04-12T12:54:00Z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