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1430CF" w:rsidTr="00653BA2">
        <w:trPr>
          <w:trHeight w:val="709"/>
        </w:trPr>
        <w:tc>
          <w:tcPr>
            <w:tcW w:w="976" w:type="dxa"/>
            <w:tcBorders>
              <w:bottom w:val="single" w:sz="12" w:space="0" w:color="auto"/>
            </w:tcBorders>
          </w:tcPr>
          <w:p w:rsidR="00207A6E" w:rsidRPr="001430CF" w:rsidRDefault="00207A6E" w:rsidP="00653BA2">
            <w:pPr>
              <w:rPr>
                <w:lang w:val="fr-FR"/>
              </w:rPr>
            </w:pPr>
            <w:r w:rsidRPr="001430CF">
              <w:rPr>
                <w:noProof/>
                <w:lang w:val="fr-FR" w:eastAsia="fr-FR" w:bidi="bn-BD"/>
              </w:rPr>
              <w:drawing>
                <wp:inline distT="0" distB="0" distL="0" distR="0" wp14:anchorId="45CA2A96" wp14:editId="77D085D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207A6E" w:rsidRPr="001430CF" w:rsidRDefault="00207A6E" w:rsidP="00653BA2">
            <w:pPr>
              <w:rPr>
                <w:lang w:val="fr-FR"/>
              </w:rPr>
            </w:pPr>
            <w:r w:rsidRPr="001430CF">
              <w:rPr>
                <w:noProof/>
                <w:lang w:val="fr-FR" w:eastAsia="fr-FR" w:bidi="bn-BD"/>
              </w:rPr>
              <w:drawing>
                <wp:inline distT="0" distB="0" distL="0" distR="0" wp14:anchorId="15ABA901" wp14:editId="757F56AA">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07A6E" w:rsidRPr="001430CF" w:rsidRDefault="00207A6E" w:rsidP="00653BA2">
            <w:pPr>
              <w:jc w:val="right"/>
              <w:rPr>
                <w:rFonts w:ascii="Arial" w:hAnsi="Arial" w:cs="Arial"/>
                <w:b/>
                <w:sz w:val="32"/>
                <w:szCs w:val="32"/>
                <w:lang w:val="fr-FR"/>
              </w:rPr>
            </w:pPr>
            <w:r w:rsidRPr="001430CF">
              <w:rPr>
                <w:rFonts w:ascii="Arial" w:hAnsi="Arial" w:cs="Arial"/>
                <w:b/>
                <w:sz w:val="32"/>
                <w:szCs w:val="32"/>
                <w:lang w:val="fr-FR"/>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1430CF" w:rsidTr="009554D5">
        <w:trPr>
          <w:trHeight w:val="1693"/>
        </w:trPr>
        <w:tc>
          <w:tcPr>
            <w:tcW w:w="6227" w:type="dxa"/>
            <w:tcBorders>
              <w:top w:val="nil"/>
              <w:bottom w:val="single" w:sz="36" w:space="0" w:color="000000"/>
            </w:tcBorders>
          </w:tcPr>
          <w:p w:rsidR="00F16F02" w:rsidRPr="001430CF" w:rsidRDefault="00F16F02">
            <w:pPr>
              <w:rPr>
                <w:snapToGrid w:val="0"/>
                <w:kern w:val="22"/>
                <w:lang w:val="fr-FR"/>
              </w:rPr>
            </w:pPr>
          </w:p>
          <w:p w:rsidR="00F16F02" w:rsidRPr="001430CF" w:rsidRDefault="008F0981" w:rsidP="00736BC2">
            <w:pPr>
              <w:rPr>
                <w:snapToGrid w:val="0"/>
                <w:kern w:val="22"/>
                <w:lang w:val="fr-FR"/>
              </w:rPr>
            </w:pPr>
            <w:r w:rsidRPr="001430CF">
              <w:rPr>
                <w:rFonts w:ascii="Univers" w:hAnsi="Univers"/>
                <w:noProof/>
                <w:kern w:val="22"/>
                <w:sz w:val="32"/>
                <w:lang w:val="fr-FR" w:eastAsia="fr-FR" w:bidi="bn-BD"/>
              </w:rPr>
              <w:drawing>
                <wp:inline distT="0" distB="0" distL="0" distR="0" wp14:anchorId="312CA6A7" wp14:editId="190227EA">
                  <wp:extent cx="2790825" cy="1065530"/>
                  <wp:effectExtent l="0" t="0" r="9525"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065530"/>
                          </a:xfrm>
                          <a:prstGeom prst="rect">
                            <a:avLst/>
                          </a:prstGeom>
                          <a:noFill/>
                          <a:ln>
                            <a:noFill/>
                          </a:ln>
                        </pic:spPr>
                      </pic:pic>
                    </a:graphicData>
                  </a:graphic>
                </wp:inline>
              </w:drawing>
            </w:r>
          </w:p>
          <w:p w:rsidR="00F16F02" w:rsidRPr="001430CF" w:rsidRDefault="00F16F02">
            <w:pPr>
              <w:rPr>
                <w:rFonts w:ascii="Univers" w:hAnsi="Univers"/>
                <w:snapToGrid w:val="0"/>
                <w:kern w:val="22"/>
                <w:sz w:val="32"/>
                <w:lang w:val="fr-FR"/>
              </w:rPr>
            </w:pPr>
          </w:p>
        </w:tc>
        <w:tc>
          <w:tcPr>
            <w:tcW w:w="1144" w:type="dxa"/>
            <w:tcBorders>
              <w:top w:val="nil"/>
              <w:bottom w:val="single" w:sz="36" w:space="0" w:color="000000"/>
            </w:tcBorders>
          </w:tcPr>
          <w:p w:rsidR="00F16F02" w:rsidRPr="001430CF" w:rsidRDefault="00F16F02">
            <w:pPr>
              <w:pStyle w:val="En-tte"/>
              <w:tabs>
                <w:tab w:val="clear" w:pos="4320"/>
                <w:tab w:val="clear" w:pos="8640"/>
              </w:tabs>
              <w:rPr>
                <w:b/>
                <w:snapToGrid w:val="0"/>
                <w:kern w:val="22"/>
                <w:sz w:val="32"/>
                <w:szCs w:val="32"/>
                <w:lang w:val="fr-FR"/>
              </w:rPr>
            </w:pPr>
          </w:p>
        </w:tc>
        <w:tc>
          <w:tcPr>
            <w:tcW w:w="2977" w:type="dxa"/>
            <w:tcBorders>
              <w:top w:val="nil"/>
              <w:bottom w:val="single" w:sz="36" w:space="0" w:color="000000"/>
            </w:tcBorders>
          </w:tcPr>
          <w:p w:rsidR="00F16F02" w:rsidRPr="001430CF" w:rsidRDefault="00F16F02" w:rsidP="00B271A0">
            <w:pPr>
              <w:ind w:left="63"/>
              <w:rPr>
                <w:snapToGrid w:val="0"/>
                <w:kern w:val="22"/>
                <w:szCs w:val="22"/>
                <w:lang w:val="fr-FR"/>
              </w:rPr>
            </w:pPr>
            <w:proofErr w:type="spellStart"/>
            <w:r w:rsidRPr="001430CF">
              <w:rPr>
                <w:snapToGrid w:val="0"/>
                <w:kern w:val="22"/>
                <w:szCs w:val="22"/>
                <w:lang w:val="fr-FR"/>
              </w:rPr>
              <w:t>Distr</w:t>
            </w:r>
            <w:proofErr w:type="spellEnd"/>
            <w:r w:rsidRPr="001430CF">
              <w:rPr>
                <w:snapToGrid w:val="0"/>
                <w:kern w:val="22"/>
                <w:szCs w:val="22"/>
                <w:lang w:val="fr-FR"/>
              </w:rPr>
              <w:t>.</w:t>
            </w:r>
          </w:p>
          <w:p w:rsidR="008F0981" w:rsidRPr="001430CF" w:rsidRDefault="008F0981" w:rsidP="008F0981">
            <w:pPr>
              <w:suppressLineNumbers/>
              <w:suppressAutoHyphens/>
              <w:kinsoku w:val="0"/>
              <w:overflowPunct w:val="0"/>
              <w:autoSpaceDE w:val="0"/>
              <w:autoSpaceDN w:val="0"/>
              <w:adjustRightInd w:val="0"/>
              <w:snapToGrid w:val="0"/>
              <w:ind w:left="63"/>
              <w:rPr>
                <w:snapToGrid w:val="0"/>
                <w:kern w:val="22"/>
                <w:szCs w:val="22"/>
                <w:lang w:val="fr-FR"/>
              </w:rPr>
            </w:pPr>
            <w:r w:rsidRPr="001430CF">
              <w:rPr>
                <w:snapToGrid w:val="0"/>
                <w:kern w:val="22"/>
                <w:szCs w:val="22"/>
                <w:lang w:val="fr-FR"/>
              </w:rPr>
              <w:t>GÉNÉRALE</w:t>
            </w:r>
          </w:p>
          <w:p w:rsidR="00F16F02" w:rsidRPr="001430CF" w:rsidRDefault="00F16F02" w:rsidP="00B271A0">
            <w:pPr>
              <w:ind w:left="63"/>
              <w:rPr>
                <w:snapToGrid w:val="0"/>
                <w:kern w:val="22"/>
                <w:szCs w:val="22"/>
                <w:lang w:val="fr-FR"/>
              </w:rPr>
            </w:pPr>
          </w:p>
          <w:sdt>
            <w:sdtPr>
              <w:rPr>
                <w:snapToGrid w:val="0"/>
                <w:kern w:val="22"/>
                <w:szCs w:val="22"/>
                <w:lang w:val="fr-FR"/>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rsidR="00F16F02" w:rsidRPr="001430CF" w:rsidRDefault="00D51069" w:rsidP="00B271A0">
                <w:pPr>
                  <w:ind w:left="63"/>
                  <w:rPr>
                    <w:snapToGrid w:val="0"/>
                    <w:kern w:val="22"/>
                    <w:szCs w:val="22"/>
                    <w:lang w:val="fr-FR"/>
                  </w:rPr>
                </w:pPr>
                <w:r w:rsidRPr="001430CF">
                  <w:rPr>
                    <w:snapToGrid w:val="0"/>
                    <w:kern w:val="22"/>
                    <w:szCs w:val="22"/>
                    <w:lang w:val="fr-FR"/>
                  </w:rPr>
                  <w:t>CBD/SB</w:t>
                </w:r>
                <w:r w:rsidR="00843FF1" w:rsidRPr="001430CF">
                  <w:rPr>
                    <w:snapToGrid w:val="0"/>
                    <w:kern w:val="22"/>
                    <w:szCs w:val="22"/>
                    <w:lang w:val="fr-FR"/>
                  </w:rPr>
                  <w:t>I/</w:t>
                </w:r>
                <w:r w:rsidR="002E0627" w:rsidRPr="001430CF">
                  <w:rPr>
                    <w:snapToGrid w:val="0"/>
                    <w:kern w:val="22"/>
                    <w:szCs w:val="22"/>
                    <w:lang w:val="fr-FR"/>
                  </w:rPr>
                  <w:t>2/</w:t>
                </w:r>
                <w:r w:rsidR="00D50AE8" w:rsidRPr="001430CF">
                  <w:rPr>
                    <w:snapToGrid w:val="0"/>
                    <w:kern w:val="22"/>
                    <w:szCs w:val="22"/>
                    <w:lang w:val="fr-FR"/>
                  </w:rPr>
                  <w:t>5</w:t>
                </w:r>
              </w:p>
            </w:sdtContent>
          </w:sdt>
          <w:p w:rsidR="00F16F02" w:rsidRPr="001430CF" w:rsidRDefault="00C34C37" w:rsidP="00B271A0">
            <w:pPr>
              <w:ind w:left="63"/>
              <w:rPr>
                <w:snapToGrid w:val="0"/>
                <w:kern w:val="22"/>
                <w:szCs w:val="22"/>
                <w:lang w:val="fr-FR"/>
              </w:rPr>
            </w:pPr>
            <w:r w:rsidRPr="001430CF">
              <w:rPr>
                <w:snapToGrid w:val="0"/>
                <w:kern w:val="22"/>
                <w:szCs w:val="22"/>
                <w:lang w:val="fr-FR"/>
              </w:rPr>
              <w:t>18</w:t>
            </w:r>
            <w:r w:rsidR="008F0981" w:rsidRPr="001430CF">
              <w:rPr>
                <w:snapToGrid w:val="0"/>
                <w:kern w:val="22"/>
                <w:szCs w:val="22"/>
                <w:lang w:val="fr-FR"/>
              </w:rPr>
              <w:t xml:space="preserve"> mai </w:t>
            </w:r>
            <w:r w:rsidR="00D15589" w:rsidRPr="001430CF">
              <w:rPr>
                <w:snapToGrid w:val="0"/>
                <w:kern w:val="22"/>
                <w:szCs w:val="22"/>
                <w:lang w:val="fr-FR"/>
              </w:rPr>
              <w:t>2018</w:t>
            </w:r>
          </w:p>
          <w:p w:rsidR="00F16F02" w:rsidRPr="001430CF" w:rsidRDefault="00F16F02" w:rsidP="00B271A0">
            <w:pPr>
              <w:ind w:left="63"/>
              <w:rPr>
                <w:snapToGrid w:val="0"/>
                <w:kern w:val="22"/>
                <w:szCs w:val="22"/>
                <w:lang w:val="fr-FR"/>
              </w:rPr>
            </w:pPr>
          </w:p>
          <w:p w:rsidR="008F0981" w:rsidRPr="001430CF" w:rsidRDefault="008F0981" w:rsidP="008F0981">
            <w:pPr>
              <w:suppressLineNumbers/>
              <w:suppressAutoHyphens/>
              <w:kinsoku w:val="0"/>
              <w:overflowPunct w:val="0"/>
              <w:autoSpaceDE w:val="0"/>
              <w:autoSpaceDN w:val="0"/>
              <w:adjustRightInd w:val="0"/>
              <w:snapToGrid w:val="0"/>
              <w:ind w:left="63"/>
              <w:rPr>
                <w:snapToGrid w:val="0"/>
                <w:kern w:val="22"/>
                <w:szCs w:val="22"/>
                <w:lang w:val="fr-FR"/>
              </w:rPr>
            </w:pPr>
            <w:r w:rsidRPr="001430CF">
              <w:rPr>
                <w:snapToGrid w:val="0"/>
                <w:kern w:val="22"/>
                <w:szCs w:val="22"/>
                <w:lang w:val="fr-FR"/>
              </w:rPr>
              <w:t>FRANÇAIS</w:t>
            </w:r>
          </w:p>
          <w:p w:rsidR="00F16F02" w:rsidRPr="001430CF" w:rsidRDefault="008F0981" w:rsidP="008F0981">
            <w:pPr>
              <w:ind w:left="63"/>
              <w:rPr>
                <w:snapToGrid w:val="0"/>
                <w:color w:val="FF0000"/>
                <w:kern w:val="22"/>
                <w:szCs w:val="22"/>
                <w:u w:val="single"/>
                <w:lang w:val="fr-FR"/>
              </w:rPr>
            </w:pPr>
            <w:r w:rsidRPr="001430CF">
              <w:rPr>
                <w:snapToGrid w:val="0"/>
                <w:kern w:val="22"/>
                <w:szCs w:val="22"/>
                <w:lang w:val="fr-FR"/>
              </w:rPr>
              <w:t>ORIGINAL : ANGLAIS</w:t>
            </w:r>
          </w:p>
        </w:tc>
      </w:tr>
    </w:tbl>
    <w:bookmarkStart w:id="0" w:name="Meeting"/>
    <w:p w:rsidR="00CA6B87" w:rsidRPr="001430CF" w:rsidRDefault="002D257D" w:rsidP="00D51069">
      <w:pPr>
        <w:pStyle w:val="meetingname"/>
        <w:ind w:right="4398"/>
        <w:rPr>
          <w:kern w:val="22"/>
          <w:szCs w:val="22"/>
          <w:lang w:val="fr-FR"/>
        </w:rPr>
      </w:pPr>
      <w:sdt>
        <w:sdtPr>
          <w:rPr>
            <w:kern w:val="22"/>
            <w:szCs w:val="22"/>
            <w:lang w:val="fr-FR"/>
          </w:rPr>
          <w:alias w:val="Meeting"/>
          <w:tag w:val="Meeting"/>
          <w:id w:val="1412045910"/>
          <w:placeholder>
            <w:docPart w:val="DefaultPlaceholder_1082065158"/>
          </w:placeholder>
          <w:text/>
        </w:sdtPr>
        <w:sdtEndPr/>
        <w:sdtContent>
          <w:r w:rsidR="008F0981" w:rsidRPr="001430CF">
            <w:rPr>
              <w:kern w:val="22"/>
              <w:szCs w:val="22"/>
              <w:lang w:val="fr-FR"/>
            </w:rPr>
            <w:t>ORGANE SUBSIDIAIRE CHARGÉ DE L’APPLICATION</w:t>
          </w:r>
        </w:sdtContent>
      </w:sdt>
      <w:bookmarkEnd w:id="0"/>
    </w:p>
    <w:p w:rsidR="008F0981" w:rsidRPr="001430CF" w:rsidRDefault="005648C8" w:rsidP="008F0981">
      <w:pPr>
        <w:suppressLineNumbers/>
        <w:suppressAutoHyphens/>
        <w:kinsoku w:val="0"/>
        <w:overflowPunct w:val="0"/>
        <w:autoSpaceDE w:val="0"/>
        <w:autoSpaceDN w:val="0"/>
        <w:adjustRightInd w:val="0"/>
        <w:snapToGrid w:val="0"/>
        <w:rPr>
          <w:snapToGrid w:val="0"/>
          <w:kern w:val="22"/>
          <w:szCs w:val="22"/>
          <w:lang w:val="fr-FR" w:eastAsia="nb-NO"/>
        </w:rPr>
      </w:pPr>
      <w:r>
        <w:rPr>
          <w:snapToGrid w:val="0"/>
          <w:kern w:val="22"/>
          <w:szCs w:val="22"/>
          <w:lang w:val="fr-FR" w:eastAsia="nb-NO"/>
        </w:rPr>
        <w:t>Deuxième réunio</w:t>
      </w:r>
      <w:r w:rsidR="002D257D">
        <w:rPr>
          <w:snapToGrid w:val="0"/>
          <w:kern w:val="22"/>
          <w:szCs w:val="22"/>
          <w:lang w:val="fr-FR" w:eastAsia="nb-NO"/>
        </w:rPr>
        <w:t>n</w:t>
      </w:r>
      <w:bookmarkStart w:id="1" w:name="_GoBack"/>
      <w:bookmarkEnd w:id="1"/>
    </w:p>
    <w:p w:rsidR="008F0981" w:rsidRPr="001430CF" w:rsidRDefault="008F0981" w:rsidP="008F0981">
      <w:pPr>
        <w:suppressLineNumbers/>
        <w:suppressAutoHyphens/>
        <w:kinsoku w:val="0"/>
        <w:overflowPunct w:val="0"/>
        <w:autoSpaceDE w:val="0"/>
        <w:autoSpaceDN w:val="0"/>
        <w:adjustRightInd w:val="0"/>
        <w:snapToGrid w:val="0"/>
        <w:rPr>
          <w:snapToGrid w:val="0"/>
          <w:kern w:val="22"/>
          <w:szCs w:val="22"/>
          <w:lang w:val="fr-FR" w:eastAsia="nb-NO"/>
        </w:rPr>
      </w:pPr>
      <w:r w:rsidRPr="001430CF">
        <w:rPr>
          <w:snapToGrid w:val="0"/>
          <w:kern w:val="22"/>
          <w:szCs w:val="22"/>
          <w:lang w:val="fr-FR" w:eastAsia="nb-NO"/>
        </w:rPr>
        <w:t>Montréal, Canada, 9-13 juillet 2018</w:t>
      </w:r>
    </w:p>
    <w:p w:rsidR="00CA6B87" w:rsidRPr="001430CF" w:rsidRDefault="008F0981" w:rsidP="00CA6B87">
      <w:pPr>
        <w:rPr>
          <w:snapToGrid w:val="0"/>
          <w:kern w:val="22"/>
          <w:szCs w:val="22"/>
          <w:lang w:val="fr-FR" w:eastAsia="nb-NO"/>
        </w:rPr>
      </w:pPr>
      <w:r w:rsidRPr="001430CF">
        <w:rPr>
          <w:snapToGrid w:val="0"/>
          <w:kern w:val="22"/>
          <w:szCs w:val="22"/>
          <w:lang w:val="fr-FR" w:eastAsia="nb-NO"/>
        </w:rPr>
        <w:t>Point </w:t>
      </w:r>
      <w:r w:rsidR="00D50AE8" w:rsidRPr="001430CF">
        <w:rPr>
          <w:snapToGrid w:val="0"/>
          <w:kern w:val="22"/>
          <w:szCs w:val="22"/>
          <w:lang w:val="fr-FR" w:eastAsia="nb-NO"/>
        </w:rPr>
        <w:t>6</w:t>
      </w:r>
      <w:r w:rsidR="00D51069" w:rsidRPr="001430CF">
        <w:rPr>
          <w:snapToGrid w:val="0"/>
          <w:kern w:val="22"/>
          <w:szCs w:val="22"/>
          <w:lang w:val="fr-FR" w:eastAsia="nb-NO"/>
        </w:rPr>
        <w:t xml:space="preserve"> </w:t>
      </w:r>
      <w:r w:rsidR="001328E1">
        <w:rPr>
          <w:snapToGrid w:val="0"/>
          <w:kern w:val="22"/>
          <w:szCs w:val="22"/>
          <w:lang w:val="fr-FR" w:eastAsia="nb-NO"/>
        </w:rPr>
        <w:t>d</w:t>
      </w:r>
      <w:r w:rsidR="006227E4">
        <w:rPr>
          <w:snapToGrid w:val="0"/>
          <w:kern w:val="22"/>
          <w:szCs w:val="22"/>
          <w:lang w:val="fr-FR" w:eastAsia="nb-NO"/>
        </w:rPr>
        <w:t>e</w:t>
      </w:r>
      <w:r w:rsidRPr="001430CF">
        <w:rPr>
          <w:snapToGrid w:val="0"/>
          <w:kern w:val="22"/>
          <w:szCs w:val="22"/>
          <w:lang w:val="fr-FR" w:eastAsia="nb-NO"/>
        </w:rPr>
        <w:t xml:space="preserve"> l’ordre du jour provisoire</w:t>
      </w:r>
      <w:r w:rsidR="00D51069" w:rsidRPr="001430CF">
        <w:rPr>
          <w:rStyle w:val="Appelnotedebasdep"/>
          <w:snapToGrid w:val="0"/>
          <w:kern w:val="22"/>
          <w:szCs w:val="22"/>
          <w:lang w:val="fr-FR" w:eastAsia="nb-NO"/>
        </w:rPr>
        <w:footnoteReference w:customMarkFollows="1" w:id="1"/>
        <w:t>*</w:t>
      </w:r>
    </w:p>
    <w:p w:rsidR="00406BC6" w:rsidRPr="001430CF" w:rsidRDefault="009D2F92" w:rsidP="00516C26">
      <w:pPr>
        <w:pStyle w:val="Titre1"/>
        <w:rPr>
          <w:snapToGrid w:val="0"/>
          <w:lang w:val="fr-FR"/>
        </w:rPr>
      </w:pPr>
      <w:r w:rsidRPr="001430CF">
        <w:rPr>
          <w:snapToGrid w:val="0"/>
          <w:lang w:val="fr-FR"/>
        </w:rPr>
        <w:tab/>
      </w:r>
      <w:sdt>
        <w:sdtPr>
          <w:rPr>
            <w:snapToGrid w:val="0"/>
            <w:kern w:val="22"/>
            <w:szCs w:val="22"/>
            <w:lang w:val="fr-FR"/>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8F0981" w:rsidRPr="001430CF">
            <w:rPr>
              <w:snapToGrid w:val="0"/>
              <w:kern w:val="22"/>
              <w:szCs w:val="22"/>
              <w:lang w:val="fr-FR"/>
            </w:rPr>
            <w:t>MÉCANISME multilatÉral MONDIAL DE PARTAGE DES avantages (Article 10 du protocolE DE nagoya)</w:t>
          </w:r>
        </w:sdtContent>
      </w:sdt>
    </w:p>
    <w:p w:rsidR="00FD4504" w:rsidRPr="002B1E1E" w:rsidRDefault="00C85EA4" w:rsidP="00FD4504">
      <w:pPr>
        <w:pStyle w:val="Titre2"/>
        <w:rPr>
          <w:b w:val="0"/>
          <w:i/>
          <w:lang w:val="fr-FR"/>
        </w:rPr>
      </w:pPr>
      <w:r w:rsidRPr="001430CF">
        <w:rPr>
          <w:b w:val="0"/>
          <w:i/>
          <w:lang w:val="fr-FR"/>
        </w:rPr>
        <w:t xml:space="preserve">Note </w:t>
      </w:r>
      <w:r w:rsidR="008F0981" w:rsidRPr="001430CF">
        <w:rPr>
          <w:b w:val="0"/>
          <w:i/>
          <w:lang w:val="fr-FR"/>
        </w:rPr>
        <w:t>du Secrétaire exécutif</w:t>
      </w:r>
    </w:p>
    <w:p w:rsidR="00C85EA4" w:rsidRPr="001430CF" w:rsidRDefault="00FD4504" w:rsidP="00FD4504">
      <w:pPr>
        <w:pStyle w:val="Titre2"/>
        <w:rPr>
          <w:b w:val="0"/>
          <w:i/>
          <w:lang w:val="fr-FR"/>
        </w:rPr>
      </w:pPr>
      <w:r w:rsidRPr="00D35D9A">
        <w:t>INTRODUCTIO</w:t>
      </w:r>
      <w:r>
        <w:t>N</w:t>
      </w:r>
    </w:p>
    <w:p w:rsidR="00310B98" w:rsidRPr="001430CF" w:rsidRDefault="003D6F4D" w:rsidP="00310B98">
      <w:pPr>
        <w:pStyle w:val="Para1"/>
        <w:tabs>
          <w:tab w:val="clear" w:pos="360"/>
        </w:tabs>
        <w:rPr>
          <w:lang w:val="fr-FR"/>
        </w:rPr>
      </w:pPr>
      <w:r>
        <w:rPr>
          <w:lang w:val="fr-FR"/>
        </w:rPr>
        <w:t>L’articl</w:t>
      </w:r>
      <w:r w:rsidR="00575F07">
        <w:rPr>
          <w:lang w:val="fr-FR"/>
        </w:rPr>
        <w:t>e</w:t>
      </w:r>
      <w:r w:rsidR="00310B98" w:rsidRPr="001430CF">
        <w:rPr>
          <w:lang w:val="fr-FR"/>
        </w:rPr>
        <w:t xml:space="preserve"> 10 du Protocole de Nagoya déclare ce qui suit : </w:t>
      </w:r>
    </w:p>
    <w:p w:rsidR="0084734E" w:rsidRPr="001430CF" w:rsidRDefault="00310B98" w:rsidP="00310B98">
      <w:pPr>
        <w:pStyle w:val="Para1"/>
        <w:numPr>
          <w:ilvl w:val="0"/>
          <w:numId w:val="0"/>
        </w:numPr>
        <w:ind w:left="720"/>
        <w:rPr>
          <w:lang w:val="fr-FR"/>
        </w:rPr>
      </w:pPr>
      <w:r w:rsidRPr="001430CF">
        <w:rPr>
          <w:lang w:val="fr-FR"/>
        </w:rPr>
        <w:t>Les Parties examinent la nécessité et les modalités d’un mécanisme multilatéral mondial de partage des avantages pour traiter le partage juste et équitable des avantages résultant de l’utilisation des ressources génétiques et des connaissances traditionnelles associées aux ressources génétiques qui se trouvent dans des situations transfrontières ou pour lesquelles il n’est pas possible d’accorder ou d’obtenir le consentement préalable donné en connaissance de cause. Les avantages partagés au moyen de ce mécanisme par les utilisateurs de ressources génétiques et de connaissances traditionnelles associées aux ressources génétiques sont utilisés pour favoriser la conservation de la diversité biologique et l’utilisation durable de ses éléments constitutifs à l’échelle mondiale</w:t>
      </w:r>
      <w:r w:rsidR="0084734E" w:rsidRPr="001430CF">
        <w:rPr>
          <w:lang w:val="fr-FR"/>
        </w:rPr>
        <w:t>.</w:t>
      </w:r>
    </w:p>
    <w:p w:rsidR="00310B98" w:rsidRPr="001430CF" w:rsidRDefault="00310B98" w:rsidP="00310B98">
      <w:pPr>
        <w:pStyle w:val="Para1"/>
        <w:tabs>
          <w:tab w:val="clear" w:pos="360"/>
        </w:tabs>
        <w:rPr>
          <w:lang w:val="fr-FR"/>
        </w:rPr>
      </w:pPr>
      <w:r w:rsidRPr="001430CF">
        <w:rPr>
          <w:lang w:val="fr-FR"/>
        </w:rPr>
        <w:t>À sa deuxième réunion, la Conférence des Parties siégeant en tant que réunion des Parties au</w:t>
      </w:r>
      <w:r w:rsidR="004F77DD">
        <w:rPr>
          <w:lang w:val="fr-FR"/>
        </w:rPr>
        <w:t xml:space="preserve"> Protocole</w:t>
      </w:r>
      <w:r w:rsidRPr="001430CF">
        <w:rPr>
          <w:lang w:val="fr-FR"/>
        </w:rPr>
        <w:t xml:space="preserve"> </w:t>
      </w:r>
      <w:r w:rsidR="00757C75">
        <w:rPr>
          <w:lang w:val="fr-FR"/>
        </w:rPr>
        <w:t xml:space="preserve">de Nagoya </w:t>
      </w:r>
      <w:r w:rsidRPr="001430CF">
        <w:rPr>
          <w:lang w:val="fr-FR"/>
        </w:rPr>
        <w:t xml:space="preserve">a adopté la décision </w:t>
      </w:r>
      <w:hyperlink r:id="rId12" w:history="1">
        <w:r w:rsidR="00F01532" w:rsidRPr="00FB1237">
          <w:rPr>
            <w:rStyle w:val="Lienhypertexte"/>
          </w:rPr>
          <w:t>NP-2/10</w:t>
        </w:r>
      </w:hyperlink>
      <w:r w:rsidR="00757C75">
        <w:rPr>
          <w:lang w:val="fr-FR"/>
        </w:rPr>
        <w:t xml:space="preserve"> sur </w:t>
      </w:r>
      <w:r w:rsidRPr="001430CF">
        <w:rPr>
          <w:lang w:val="fr-FR"/>
        </w:rPr>
        <w:t>la nécessité et les modalités d’un mécanisme multilatéral mondial de part</w:t>
      </w:r>
      <w:r w:rsidR="00757C75">
        <w:rPr>
          <w:lang w:val="fr-FR"/>
        </w:rPr>
        <w:t>age des avantages (article 10)</w:t>
      </w:r>
      <w:r w:rsidRPr="001430CF">
        <w:rPr>
          <w:lang w:val="fr-FR"/>
        </w:rPr>
        <w:t>. Cette décision a notamment noté que des informations et expériences additionnelles sont nécessaires pour ce qui est de l’application du Protocole de Nagoya, « y compris celles qui sont nécessaires pour éclairer les délibérations a</w:t>
      </w:r>
      <w:r w:rsidR="00757C75">
        <w:rPr>
          <w:lang w:val="fr-FR"/>
        </w:rPr>
        <w:t>u titre de l’article 10 » (paragraphe </w:t>
      </w:r>
      <w:r w:rsidRPr="001430CF">
        <w:rPr>
          <w:lang w:val="fr-FR"/>
        </w:rPr>
        <w:t>1).</w:t>
      </w:r>
    </w:p>
    <w:p w:rsidR="00D50AE8" w:rsidRPr="001430CF" w:rsidRDefault="00757C75" w:rsidP="00310B98">
      <w:pPr>
        <w:pStyle w:val="Para1"/>
        <w:tabs>
          <w:tab w:val="clear" w:pos="360"/>
        </w:tabs>
        <w:rPr>
          <w:lang w:val="fr-FR"/>
        </w:rPr>
      </w:pPr>
      <w:r>
        <w:rPr>
          <w:lang w:val="fr-FR"/>
        </w:rPr>
        <w:t>La décision</w:t>
      </w:r>
      <w:r w:rsidR="00310B98" w:rsidRPr="001430CF">
        <w:rPr>
          <w:lang w:val="fr-FR"/>
        </w:rPr>
        <w:t xml:space="preserve"> a demandé que des informations soient fournies sur les différents aspects énoncés à l’article 10 comme suit </w:t>
      </w:r>
      <w:r w:rsidR="00D50AE8" w:rsidRPr="001430CF">
        <w:rPr>
          <w:lang w:val="fr-FR"/>
        </w:rPr>
        <w:t>:</w:t>
      </w:r>
    </w:p>
    <w:p w:rsidR="00310B98" w:rsidRPr="001430CF" w:rsidRDefault="00310B98" w:rsidP="00310B98">
      <w:pPr>
        <w:pStyle w:val="Para1"/>
        <w:numPr>
          <w:ilvl w:val="1"/>
          <w:numId w:val="2"/>
        </w:numPr>
        <w:rPr>
          <w:lang w:val="fr-FR"/>
        </w:rPr>
      </w:pPr>
      <w:r w:rsidRPr="001430CF">
        <w:rPr>
          <w:lang w:val="fr-FR"/>
        </w:rPr>
        <w:t>Les Parties sont invitées, avec la participation entière et effective des peuples autochtones et des communautés locales, à s’efforcer de fournir des informations sur la mise en œuvre des dispositions du Protocole relatives aux connaissances traditionnelles associées aux ressources génétiques détenues par les peuples autochtones et les communautés locales lorsqu’elles élaborent et soumettent leurs rapports nationaux provisoires (paragraphe 3) ;</w:t>
      </w:r>
    </w:p>
    <w:p w:rsidR="00310B98" w:rsidRPr="001430CF" w:rsidRDefault="00310B98" w:rsidP="00310B98">
      <w:pPr>
        <w:pStyle w:val="Para1"/>
        <w:numPr>
          <w:ilvl w:val="1"/>
          <w:numId w:val="2"/>
        </w:numPr>
        <w:rPr>
          <w:lang w:val="fr-FR"/>
        </w:rPr>
      </w:pPr>
      <w:r w:rsidRPr="001430CF">
        <w:rPr>
          <w:lang w:val="fr-FR"/>
        </w:rPr>
        <w:t>Les peuples autochtones et les communautés locales sont également invités à soumettre ces informations au Secrétaire exécutif (paragraphe 3) ;</w:t>
      </w:r>
    </w:p>
    <w:p w:rsidR="00310B98" w:rsidRPr="001430CF" w:rsidRDefault="00310B98" w:rsidP="00310B98">
      <w:pPr>
        <w:pStyle w:val="Para1"/>
        <w:numPr>
          <w:ilvl w:val="1"/>
          <w:numId w:val="2"/>
        </w:numPr>
        <w:rPr>
          <w:lang w:val="fr-FR"/>
        </w:rPr>
      </w:pPr>
      <w:r w:rsidRPr="001430CF">
        <w:rPr>
          <w:lang w:val="fr-FR"/>
        </w:rPr>
        <w:t xml:space="preserve">Les Parties, les autres gouvernements, les peuples autochtones, les communautés locales et les parties prenantes, notamment les collectivités </w:t>
      </w:r>
      <w:r w:rsidRPr="003F5225">
        <w:rPr>
          <w:lang w:val="fr-FR"/>
        </w:rPr>
        <w:t>ex situ</w:t>
      </w:r>
      <w:r w:rsidRPr="001430CF">
        <w:rPr>
          <w:lang w:val="fr-FR"/>
        </w:rPr>
        <w:t xml:space="preserve">, sont invités à soumettre des informations, y </w:t>
      </w:r>
      <w:r w:rsidRPr="001430CF">
        <w:rPr>
          <w:lang w:val="fr-FR"/>
        </w:rPr>
        <w:lastRenderedPageBreak/>
        <w:t xml:space="preserve">compris des expériences pratiques s’ils en ont, sur des situations où il n’est pas possible d’accorder ou d’obtenir un consentement préalable donné en connaissance de cause pour ce qui est des ressources génétiques </w:t>
      </w:r>
      <w:r w:rsidRPr="003F5225">
        <w:rPr>
          <w:lang w:val="fr-FR"/>
        </w:rPr>
        <w:t>in situ ou ex situ</w:t>
      </w:r>
      <w:r w:rsidRPr="001430CF">
        <w:rPr>
          <w:lang w:val="fr-FR"/>
        </w:rPr>
        <w:t xml:space="preserve"> et des connaissances traditionnelles associées (paragraphe 4) ;</w:t>
      </w:r>
    </w:p>
    <w:p w:rsidR="00D50AE8" w:rsidRPr="001430CF" w:rsidRDefault="00310B98" w:rsidP="00310B98">
      <w:pPr>
        <w:pStyle w:val="Para1"/>
        <w:numPr>
          <w:ilvl w:val="1"/>
          <w:numId w:val="2"/>
        </w:numPr>
        <w:rPr>
          <w:lang w:val="fr-FR"/>
        </w:rPr>
      </w:pPr>
      <w:r w:rsidRPr="001430CF">
        <w:rPr>
          <w:lang w:val="fr-FR"/>
        </w:rPr>
        <w:t>Les Parties, les autres gouvernements, les peuples autochtones, les communautés locales et les parties prenantes sont en outre invités à soumettre leurs vues sur la voie à suivre concernant l’article 10 (paragraphe 5</w:t>
      </w:r>
      <w:r w:rsidR="00D50AE8" w:rsidRPr="001430CF">
        <w:rPr>
          <w:lang w:val="fr-FR"/>
        </w:rPr>
        <w:t xml:space="preserve">). </w:t>
      </w:r>
    </w:p>
    <w:p w:rsidR="00D50AE8" w:rsidRPr="001430CF" w:rsidRDefault="00310B98" w:rsidP="002139A9">
      <w:pPr>
        <w:pStyle w:val="Para1"/>
        <w:tabs>
          <w:tab w:val="clear" w:pos="360"/>
        </w:tabs>
        <w:rPr>
          <w:lang w:val="fr-FR"/>
        </w:rPr>
      </w:pPr>
      <w:r w:rsidRPr="001430CF">
        <w:rPr>
          <w:lang w:val="fr-FR"/>
        </w:rPr>
        <w:t>La décision a également prié le Secrétaire exécutif</w:t>
      </w:r>
      <w:r w:rsidR="00FF1640">
        <w:rPr>
          <w:lang w:val="fr-FR"/>
        </w:rPr>
        <w:t xml:space="preserve"> de compiler ou de synthétiser à cet égard :</w:t>
      </w:r>
    </w:p>
    <w:p w:rsidR="00D50AE8" w:rsidRPr="001430CF" w:rsidRDefault="00FF1640" w:rsidP="008624BB">
      <w:pPr>
        <w:pStyle w:val="Para1"/>
        <w:numPr>
          <w:ilvl w:val="1"/>
          <w:numId w:val="2"/>
        </w:numPr>
        <w:rPr>
          <w:lang w:val="fr-FR"/>
        </w:rPr>
      </w:pPr>
      <w:r>
        <w:rPr>
          <w:lang w:val="fr-FR"/>
        </w:rPr>
        <w:t>L</w:t>
      </w:r>
      <w:r w:rsidR="00310B98" w:rsidRPr="001430CF">
        <w:rPr>
          <w:lang w:val="fr-FR"/>
        </w:rPr>
        <w:t>es informations fournies par le biais des rapports nationaux intérimaires et du Centre d’échange sur l’accès et le partage des ava</w:t>
      </w:r>
      <w:r>
        <w:rPr>
          <w:lang w:val="fr-FR"/>
        </w:rPr>
        <w:t>ntages concernant l’article 10 (</w:t>
      </w:r>
      <w:r w:rsidR="00310B98" w:rsidRPr="001430CF">
        <w:rPr>
          <w:lang w:val="fr-FR"/>
        </w:rPr>
        <w:t>paragraphe 6-a) </w:t>
      </w:r>
      <w:r w:rsidR="00D50AE8" w:rsidRPr="001430CF">
        <w:rPr>
          <w:lang w:val="fr-FR"/>
        </w:rPr>
        <w:t xml:space="preserve">; </w:t>
      </w:r>
    </w:p>
    <w:p w:rsidR="003708D7" w:rsidRPr="001430CF" w:rsidRDefault="00FF1640" w:rsidP="00310B98">
      <w:pPr>
        <w:pStyle w:val="Para1"/>
        <w:numPr>
          <w:ilvl w:val="1"/>
          <w:numId w:val="2"/>
        </w:numPr>
        <w:rPr>
          <w:lang w:val="fr-FR"/>
        </w:rPr>
      </w:pPr>
      <w:r>
        <w:rPr>
          <w:lang w:val="fr-FR"/>
        </w:rPr>
        <w:t>L</w:t>
      </w:r>
      <w:r w:rsidR="00310B98" w:rsidRPr="001430CF">
        <w:rPr>
          <w:lang w:val="fr-FR"/>
        </w:rPr>
        <w:t>es informations disponibles sur les faits nouveaux intervenant dans les processus et organisations internationaux afin d’éclairer les fut</w:t>
      </w:r>
      <w:r w:rsidR="004F77DD">
        <w:rPr>
          <w:lang w:val="fr-FR"/>
        </w:rPr>
        <w:t>ures discussions sur l’article </w:t>
      </w:r>
      <w:r>
        <w:rPr>
          <w:lang w:val="fr-FR"/>
        </w:rPr>
        <w:t>10 (</w:t>
      </w:r>
      <w:r w:rsidR="00310B98" w:rsidRPr="001430CF">
        <w:rPr>
          <w:lang w:val="fr-FR"/>
        </w:rPr>
        <w:t>paragraphe 6-b)</w:t>
      </w:r>
      <w:r w:rsidR="003708D7" w:rsidRPr="001430CF">
        <w:rPr>
          <w:lang w:val="fr-FR"/>
        </w:rPr>
        <w:t>.</w:t>
      </w:r>
    </w:p>
    <w:p w:rsidR="00736BC2" w:rsidRPr="001430CF" w:rsidRDefault="00310B98" w:rsidP="002139A9">
      <w:pPr>
        <w:pStyle w:val="Para1"/>
        <w:tabs>
          <w:tab w:val="clear" w:pos="360"/>
        </w:tabs>
        <w:rPr>
          <w:lang w:val="fr-FR"/>
        </w:rPr>
      </w:pPr>
      <w:r w:rsidRPr="001430CF">
        <w:rPr>
          <w:lang w:val="fr-FR"/>
        </w:rPr>
        <w:t>Ces informations seront soumises à la considération de l’Organe subsidiaire chargé de l’application et de la Conférence des Parties siégeant en tant que réunion des Parties au Protocole de Nagoya à sa troisième réunion</w:t>
      </w:r>
      <w:r w:rsidR="003708D7" w:rsidRPr="001430CF">
        <w:rPr>
          <w:lang w:val="fr-FR"/>
        </w:rPr>
        <w:t>.</w:t>
      </w:r>
      <w:r w:rsidR="00D61027" w:rsidRPr="001430CF">
        <w:rPr>
          <w:lang w:val="fr-FR"/>
        </w:rPr>
        <w:t xml:space="preserve"> </w:t>
      </w:r>
    </w:p>
    <w:p w:rsidR="003708D7" w:rsidRPr="001430CF" w:rsidRDefault="00310B98" w:rsidP="002139A9">
      <w:pPr>
        <w:pStyle w:val="Para1"/>
        <w:tabs>
          <w:tab w:val="clear" w:pos="360"/>
        </w:tabs>
        <w:rPr>
          <w:lang w:val="fr-FR"/>
        </w:rPr>
      </w:pPr>
      <w:r w:rsidRPr="001430CF">
        <w:rPr>
          <w:lang w:val="fr-FR"/>
        </w:rPr>
        <w:t xml:space="preserve">La réunion </w:t>
      </w:r>
      <w:r w:rsidR="00FF1640">
        <w:rPr>
          <w:lang w:val="fr-FR"/>
        </w:rPr>
        <w:t xml:space="preserve">des Parties </w:t>
      </w:r>
      <w:r w:rsidRPr="001430CF">
        <w:rPr>
          <w:lang w:val="fr-FR"/>
        </w:rPr>
        <w:t xml:space="preserve">a également demandé à l’Organe subsidiaire chargé de l’application d’examiner la nécessité d’un mécanisme multilatéral </w:t>
      </w:r>
      <w:r w:rsidR="00CE38AD">
        <w:rPr>
          <w:lang w:val="fr-FR"/>
        </w:rPr>
        <w:t xml:space="preserve">mondial </w:t>
      </w:r>
      <w:r w:rsidRPr="001430CF">
        <w:rPr>
          <w:lang w:val="fr-FR"/>
        </w:rPr>
        <w:t>de partage des avantages, et de formuler des recommandations aux fins d’examen par la Conférence des Parties siégeant en tant que réun</w:t>
      </w:r>
      <w:r w:rsidR="00CE38AD">
        <w:rPr>
          <w:lang w:val="fr-FR"/>
        </w:rPr>
        <w:t xml:space="preserve">ion des Parties au Protocole </w:t>
      </w:r>
      <w:r w:rsidRPr="001430CF">
        <w:rPr>
          <w:lang w:val="fr-FR"/>
        </w:rPr>
        <w:t>à sa troisième réunion (paragraphe 7</w:t>
      </w:r>
      <w:r w:rsidR="00AE37E9" w:rsidRPr="001430CF">
        <w:rPr>
          <w:lang w:val="fr-FR"/>
        </w:rPr>
        <w:t>)</w:t>
      </w:r>
      <w:r w:rsidR="003708D7" w:rsidRPr="001430CF">
        <w:rPr>
          <w:lang w:val="fr-FR"/>
        </w:rPr>
        <w:t>.</w:t>
      </w:r>
    </w:p>
    <w:p w:rsidR="00310B98" w:rsidRPr="0010074A" w:rsidRDefault="00310B98" w:rsidP="00310B98">
      <w:pPr>
        <w:pStyle w:val="Para1"/>
        <w:tabs>
          <w:tab w:val="clear" w:pos="360"/>
        </w:tabs>
        <w:rPr>
          <w:szCs w:val="22"/>
          <w:lang w:val="fr-FR"/>
        </w:rPr>
      </w:pPr>
      <w:r w:rsidRPr="0010074A">
        <w:rPr>
          <w:szCs w:val="22"/>
          <w:lang w:val="fr-FR"/>
        </w:rPr>
        <w:t>Dans la notification 2017-017 (datée du 23 février 2017)</w:t>
      </w:r>
      <w:r w:rsidRPr="0010074A">
        <w:rPr>
          <w:rStyle w:val="Appelnotedebasdep"/>
          <w:sz w:val="22"/>
          <w:szCs w:val="22"/>
          <w:lang w:val="fr-FR"/>
        </w:rPr>
        <w:footnoteReference w:id="2"/>
      </w:r>
      <w:r w:rsidRPr="0010074A">
        <w:rPr>
          <w:szCs w:val="22"/>
          <w:lang w:val="fr-FR"/>
        </w:rPr>
        <w:t>, les Parties ont été invitées à soumettre leurs rapports nationaux intérimaires sur la mise en œuvre du Protocole de Nagoya. La notification a notamment invité les Parties à accorder une attention particulière aux informations én</w:t>
      </w:r>
      <w:r w:rsidR="00CE38AD">
        <w:rPr>
          <w:szCs w:val="22"/>
          <w:lang w:val="fr-FR"/>
        </w:rPr>
        <w:t>oncées au paragraphe 3-a</w:t>
      </w:r>
      <w:r w:rsidRPr="0010074A">
        <w:rPr>
          <w:szCs w:val="22"/>
          <w:lang w:val="fr-FR"/>
        </w:rPr>
        <w:t xml:space="preserve"> ci-dessus lorsqu’elles élaborent et soumettent leurs rapports nationaux intérimaires.</w:t>
      </w:r>
    </w:p>
    <w:p w:rsidR="00634F88" w:rsidRPr="0010074A" w:rsidRDefault="00310B98" w:rsidP="00310B98">
      <w:pPr>
        <w:pStyle w:val="Para1"/>
        <w:tabs>
          <w:tab w:val="clear" w:pos="360"/>
        </w:tabs>
        <w:rPr>
          <w:szCs w:val="22"/>
          <w:lang w:val="fr-FR"/>
        </w:rPr>
      </w:pPr>
      <w:r w:rsidRPr="0010074A">
        <w:rPr>
          <w:szCs w:val="22"/>
          <w:lang w:val="fr-FR"/>
        </w:rPr>
        <w:t>La notification 2017-094 (datée du 20 septembre 2017)</w:t>
      </w:r>
      <w:r w:rsidRPr="0010074A">
        <w:rPr>
          <w:rStyle w:val="Appelnotedebasdep"/>
          <w:sz w:val="22"/>
          <w:szCs w:val="22"/>
          <w:lang w:val="fr-FR"/>
        </w:rPr>
        <w:footnoteReference w:id="3"/>
      </w:r>
      <w:r w:rsidRPr="0010074A">
        <w:rPr>
          <w:szCs w:val="22"/>
          <w:lang w:val="fr-FR"/>
        </w:rPr>
        <w:t xml:space="preserve"> a demandé que des vues et informations soient soumises en réponse à la décision NP-2/10, en particulier au sujet des aspects</w:t>
      </w:r>
      <w:r w:rsidR="00CE38AD">
        <w:rPr>
          <w:szCs w:val="22"/>
          <w:lang w:val="fr-FR"/>
        </w:rPr>
        <w:t xml:space="preserve"> mentionnés aux paragraphes 3-b, 3-c et 3-d</w:t>
      </w:r>
      <w:r w:rsidRPr="0010074A">
        <w:rPr>
          <w:szCs w:val="22"/>
          <w:lang w:val="fr-FR"/>
        </w:rPr>
        <w:t xml:space="preserve"> ci-dessus. Des soumissions ont été reçues de quatre Parties au Protocole, d’un État non partie, d’une organisation intergouvernementale et de huit organisations ou parties prenantes. Ces soumissions ont été mises en ligne</w:t>
      </w:r>
      <w:r w:rsidR="00634F88" w:rsidRPr="0010074A">
        <w:rPr>
          <w:rStyle w:val="Appelnotedebasdep"/>
          <w:sz w:val="22"/>
          <w:szCs w:val="22"/>
          <w:lang w:val="fr-FR"/>
        </w:rPr>
        <w:footnoteReference w:id="4"/>
      </w:r>
      <w:r w:rsidRPr="0010074A">
        <w:rPr>
          <w:szCs w:val="22"/>
          <w:lang w:val="fr-FR"/>
        </w:rPr>
        <w:t>.</w:t>
      </w:r>
    </w:p>
    <w:p w:rsidR="00634F88" w:rsidRPr="001430CF" w:rsidRDefault="00310B98" w:rsidP="0084734E">
      <w:pPr>
        <w:pStyle w:val="Para1"/>
        <w:tabs>
          <w:tab w:val="clear" w:pos="360"/>
        </w:tabs>
        <w:rPr>
          <w:lang w:val="fr-FR"/>
        </w:rPr>
      </w:pPr>
      <w:r w:rsidRPr="001430CF">
        <w:rPr>
          <w:lang w:val="fr-FR"/>
        </w:rPr>
        <w:t xml:space="preserve">La section I du présent document résume les informations des rapports nationaux </w:t>
      </w:r>
      <w:r w:rsidR="00CE38AD">
        <w:rPr>
          <w:lang w:val="fr-FR"/>
        </w:rPr>
        <w:t>provisoires</w:t>
      </w:r>
      <w:r w:rsidRPr="001430CF">
        <w:rPr>
          <w:lang w:val="fr-FR"/>
        </w:rPr>
        <w:t xml:space="preserve"> et du Centre d’échange sur l’accès et le partage des avantages </w:t>
      </w:r>
      <w:r w:rsidR="00CE38AD">
        <w:rPr>
          <w:lang w:val="fr-FR"/>
        </w:rPr>
        <w:t>qui concerne</w:t>
      </w:r>
      <w:r w:rsidRPr="001430CF">
        <w:rPr>
          <w:lang w:val="fr-FR"/>
        </w:rPr>
        <w:t xml:space="preserve">nt la mise en œuvre des dispositions du Protocole relatives aux connaissances traditionnelles associées aux ressources génétiques, ainsi que l’article 11. La section II présente les informations fournies par les soumissions sur les situations dans lesquelles il n’est pas possible d’accorder ou d’obtenir le consentement préalable donné en connaissance de cause pour ce qui est des ressources génétiques in situ ou ex situ et des connaissances traditionnelles associées. La section III résume les informations sur les faits nouveaux intervenant dans les processus internationaux </w:t>
      </w:r>
      <w:r w:rsidR="00CE38AD">
        <w:rPr>
          <w:lang w:val="fr-FR"/>
        </w:rPr>
        <w:t>concernés</w:t>
      </w:r>
      <w:r w:rsidRPr="001430CF">
        <w:rPr>
          <w:lang w:val="fr-FR"/>
        </w:rPr>
        <w:t xml:space="preserve">, tandis que la section IV synthétise les vues soumises sur la voie à suivre concernant l’article 10. Enfin, la section V invite l’Organe subsidiaire chargé de l’application à examiner la nécessité d’un mécanisme multilatéral </w:t>
      </w:r>
      <w:r w:rsidR="00CE38AD">
        <w:rPr>
          <w:lang w:val="fr-FR"/>
        </w:rPr>
        <w:t xml:space="preserve">mondial </w:t>
      </w:r>
      <w:r w:rsidRPr="001430CF">
        <w:rPr>
          <w:lang w:val="fr-FR"/>
        </w:rPr>
        <w:t xml:space="preserve">de partage des avantages et à formuler des recommandations </w:t>
      </w:r>
      <w:r w:rsidR="0079219C">
        <w:rPr>
          <w:lang w:val="fr-FR"/>
        </w:rPr>
        <w:t>à l’attention de</w:t>
      </w:r>
      <w:r w:rsidRPr="001430CF">
        <w:rPr>
          <w:lang w:val="fr-FR"/>
        </w:rPr>
        <w:t xml:space="preserve"> la Conférence des Parties </w:t>
      </w:r>
      <w:r w:rsidR="00CE38AD">
        <w:rPr>
          <w:lang w:val="fr-FR"/>
        </w:rPr>
        <w:t>siégeant en tant que réunion des Parties au Protocole</w:t>
      </w:r>
      <w:r w:rsidR="0084734E" w:rsidRPr="001430CF">
        <w:rPr>
          <w:lang w:val="fr-FR"/>
        </w:rPr>
        <w:t>.</w:t>
      </w:r>
    </w:p>
    <w:p w:rsidR="001F2CA6" w:rsidRPr="001430CF" w:rsidRDefault="00310B98" w:rsidP="00CC1A9A">
      <w:pPr>
        <w:pStyle w:val="Titre1"/>
        <w:numPr>
          <w:ilvl w:val="0"/>
          <w:numId w:val="7"/>
        </w:numPr>
        <w:tabs>
          <w:tab w:val="clear" w:pos="720"/>
          <w:tab w:val="left" w:pos="1276"/>
        </w:tabs>
        <w:ind w:left="1276"/>
        <w:jc w:val="left"/>
        <w:rPr>
          <w:lang w:val="fr-FR"/>
        </w:rPr>
      </w:pPr>
      <w:r w:rsidRPr="001430CF">
        <w:rPr>
          <w:lang w:val="fr-FR"/>
        </w:rPr>
        <w:t xml:space="preserve">informations des rapports nationaux </w:t>
      </w:r>
      <w:r w:rsidR="00162047">
        <w:rPr>
          <w:lang w:val="fr-FR"/>
        </w:rPr>
        <w:t>PROVISOIRES</w:t>
      </w:r>
      <w:r w:rsidRPr="001430CF">
        <w:rPr>
          <w:lang w:val="fr-FR"/>
        </w:rPr>
        <w:t xml:space="preserve"> et du Centre d’Échange sur l’accÈs et le partage des avantage</w:t>
      </w:r>
      <w:r w:rsidR="001F2CA6" w:rsidRPr="001430CF">
        <w:rPr>
          <w:lang w:val="fr-FR"/>
        </w:rPr>
        <w:t>s</w:t>
      </w:r>
    </w:p>
    <w:p w:rsidR="00F677EB" w:rsidRPr="001430CF" w:rsidRDefault="00520E47" w:rsidP="000164EF">
      <w:pPr>
        <w:pStyle w:val="Para1"/>
        <w:tabs>
          <w:tab w:val="clear" w:pos="360"/>
        </w:tabs>
        <w:rPr>
          <w:lang w:val="fr-FR"/>
        </w:rPr>
      </w:pPr>
      <w:r w:rsidRPr="001430CF">
        <w:rPr>
          <w:lang w:val="fr-FR"/>
        </w:rPr>
        <w:t xml:space="preserve">Les informations fournies dans la présente section proviennent de l’analyse qui a été faite des </w:t>
      </w:r>
      <w:r w:rsidR="00162047">
        <w:rPr>
          <w:lang w:val="fr-FR"/>
        </w:rPr>
        <w:t xml:space="preserve">informations fournies par les </w:t>
      </w:r>
      <w:r w:rsidRPr="001430CF">
        <w:rPr>
          <w:lang w:val="fr-FR"/>
        </w:rPr>
        <w:t xml:space="preserve">rapports nationaux </w:t>
      </w:r>
      <w:r w:rsidR="00162047">
        <w:rPr>
          <w:lang w:val="fr-FR"/>
        </w:rPr>
        <w:t>provisoires</w:t>
      </w:r>
      <w:r w:rsidRPr="001430CF">
        <w:rPr>
          <w:lang w:val="fr-FR"/>
        </w:rPr>
        <w:t xml:space="preserve">, ainsi que des données publiées par le Centre </w:t>
      </w:r>
      <w:r w:rsidRPr="001430CF">
        <w:rPr>
          <w:lang w:val="fr-FR"/>
        </w:rPr>
        <w:lastRenderedPageBreak/>
        <w:t>d’échange sur l’accès et le partage des avantages (CBD/SBI/2/INF/3)</w:t>
      </w:r>
      <w:r w:rsidR="00BF3298">
        <w:rPr>
          <w:lang w:val="fr-FR"/>
        </w:rPr>
        <w:t>. Son objet était d’</w:t>
      </w:r>
      <w:r w:rsidRPr="001430CF">
        <w:rPr>
          <w:lang w:val="fr-FR"/>
        </w:rPr>
        <w:t xml:space="preserve">éclairer l’évaluation et l’examen du Protocole aux fins d’examen par l’Organe subsidiaire chargé de l’application. Cette analyse est fondée sur les informations disponibles au 22 février 2018. Il convient de prendre connaissance du document d’information, afin d’obtenir de plus amples détails, notamment sur la méthodologie utilisée pour </w:t>
      </w:r>
      <w:r w:rsidR="00BF3298">
        <w:rPr>
          <w:lang w:val="fr-FR"/>
        </w:rPr>
        <w:t>concevoir</w:t>
      </w:r>
      <w:r w:rsidRPr="001430CF">
        <w:rPr>
          <w:lang w:val="fr-FR"/>
        </w:rPr>
        <w:t xml:space="preserve"> l’analyse, et les exemples ayant fourni les informations ci-</w:t>
      </w:r>
      <w:r w:rsidR="00BF3298">
        <w:rPr>
          <w:lang w:val="fr-FR"/>
        </w:rPr>
        <w:t>après</w:t>
      </w:r>
      <w:r w:rsidR="00F74E03" w:rsidRPr="001430CF">
        <w:rPr>
          <w:lang w:val="fr-FR"/>
        </w:rPr>
        <w:t>.</w:t>
      </w:r>
      <w:r w:rsidR="00095A23" w:rsidRPr="001430CF">
        <w:rPr>
          <w:lang w:val="fr-FR"/>
        </w:rPr>
        <w:t xml:space="preserve"> </w:t>
      </w:r>
    </w:p>
    <w:p w:rsidR="00095A23" w:rsidRPr="001430CF" w:rsidRDefault="00520E47" w:rsidP="00CC1A9A">
      <w:pPr>
        <w:pStyle w:val="Titre2"/>
        <w:numPr>
          <w:ilvl w:val="0"/>
          <w:numId w:val="8"/>
        </w:numPr>
        <w:jc w:val="left"/>
        <w:rPr>
          <w:lang w:val="fr-FR"/>
        </w:rPr>
      </w:pPr>
      <w:r w:rsidRPr="001430CF">
        <w:rPr>
          <w:lang w:val="fr-FR"/>
        </w:rPr>
        <w:t>Informations sur la mise en œuvre des dispositions du Protocole relatives aux connaissances traditionnelles associées aux ressources génétiques détenues par les peuples autochtones et les communautés locale</w:t>
      </w:r>
      <w:r w:rsidR="00095A23" w:rsidRPr="001430CF">
        <w:rPr>
          <w:lang w:val="fr-FR"/>
        </w:rPr>
        <w:t>s</w:t>
      </w:r>
    </w:p>
    <w:p w:rsidR="00E53D99" w:rsidRPr="001430CF" w:rsidRDefault="00520E47" w:rsidP="002139A9">
      <w:pPr>
        <w:pStyle w:val="Para1"/>
        <w:tabs>
          <w:tab w:val="clear" w:pos="360"/>
        </w:tabs>
        <w:rPr>
          <w:lang w:val="fr-FR"/>
        </w:rPr>
      </w:pPr>
      <w:r w:rsidRPr="001430CF">
        <w:rPr>
          <w:lang w:val="fr-FR"/>
        </w:rPr>
        <w:t xml:space="preserve">Comme indiqué précédemment, la Conférence des Parties siégeant en tant que réunion des Parties au Protocole de Nagoya a reconnu au paragraphe 3 de la décision NP-2/10 que « les informations disponibles sur la mise en œuvre des dispositions du Protocole relatives aux connaissances traditionnelles associées aux ressources génétiques détenues par les peuples autochtones et les communautés locales sont limitées », et </w:t>
      </w:r>
      <w:r w:rsidR="00177F38">
        <w:rPr>
          <w:lang w:val="fr-FR"/>
        </w:rPr>
        <w:t xml:space="preserve">invité les Parties à porter </w:t>
      </w:r>
      <w:r w:rsidRPr="001430CF">
        <w:rPr>
          <w:lang w:val="fr-FR"/>
        </w:rPr>
        <w:t xml:space="preserve">une attention particulière </w:t>
      </w:r>
      <w:r w:rsidR="00177F38">
        <w:rPr>
          <w:lang w:val="fr-FR"/>
        </w:rPr>
        <w:t xml:space="preserve">à cet aspect lorsqu’elles élaborent </w:t>
      </w:r>
      <w:r w:rsidRPr="001430CF">
        <w:rPr>
          <w:lang w:val="fr-FR"/>
        </w:rPr>
        <w:t xml:space="preserve">et </w:t>
      </w:r>
      <w:r w:rsidR="00177F38">
        <w:rPr>
          <w:lang w:val="fr-FR"/>
        </w:rPr>
        <w:t>soumettent</w:t>
      </w:r>
      <w:r w:rsidRPr="001430CF">
        <w:rPr>
          <w:lang w:val="fr-FR"/>
        </w:rPr>
        <w:t xml:space="preserve"> </w:t>
      </w:r>
      <w:r w:rsidR="00177F38">
        <w:rPr>
          <w:lang w:val="fr-FR"/>
        </w:rPr>
        <w:t>leurs</w:t>
      </w:r>
      <w:r w:rsidRPr="001430CF">
        <w:rPr>
          <w:lang w:val="fr-FR"/>
        </w:rPr>
        <w:t xml:space="preserve"> rapports nationaux provisoires</w:t>
      </w:r>
      <w:r w:rsidR="00E53D99" w:rsidRPr="001430CF">
        <w:rPr>
          <w:lang w:val="fr-FR"/>
        </w:rPr>
        <w:t>.</w:t>
      </w:r>
    </w:p>
    <w:p w:rsidR="00913626" w:rsidRPr="001430CF" w:rsidRDefault="00520E47" w:rsidP="002139A9">
      <w:pPr>
        <w:pStyle w:val="Para1"/>
        <w:tabs>
          <w:tab w:val="clear" w:pos="360"/>
        </w:tabs>
        <w:rPr>
          <w:lang w:val="fr-FR"/>
        </w:rPr>
      </w:pPr>
      <w:r w:rsidRPr="001430CF">
        <w:rPr>
          <w:lang w:val="fr-FR"/>
        </w:rPr>
        <w:t>Les principales dispositions du Protocole de Nagoya relatives aux connaissances traditionnelles associées aux ressources génétiques détenues par les peuples autochtones et les communautés locales sont : le paragraphe 5 de l’article 5, l’article 7, l’article 12 et l’article 16</w:t>
      </w:r>
      <w:r w:rsidR="00913626" w:rsidRPr="001430CF">
        <w:rPr>
          <w:lang w:val="fr-FR"/>
        </w:rPr>
        <w:t>.</w:t>
      </w:r>
    </w:p>
    <w:p w:rsidR="00913626" w:rsidRPr="001430CF" w:rsidRDefault="00520E47" w:rsidP="002139A9">
      <w:pPr>
        <w:pStyle w:val="Para1"/>
        <w:tabs>
          <w:tab w:val="clear" w:pos="360"/>
        </w:tabs>
        <w:rPr>
          <w:lang w:val="fr-FR"/>
        </w:rPr>
      </w:pPr>
      <w:r w:rsidRPr="001430CF">
        <w:rPr>
          <w:lang w:val="fr-FR"/>
        </w:rPr>
        <w:t xml:space="preserve">Les informations relatives à ces dispositions </w:t>
      </w:r>
      <w:r w:rsidR="00B82847">
        <w:rPr>
          <w:lang w:val="fr-FR"/>
        </w:rPr>
        <w:t>et</w:t>
      </w:r>
      <w:r w:rsidRPr="001430CF">
        <w:rPr>
          <w:lang w:val="fr-FR"/>
        </w:rPr>
        <w:t xml:space="preserve"> présentées dans le document d’analyse </w:t>
      </w:r>
      <w:r w:rsidR="00B82847">
        <w:rPr>
          <w:lang w:val="fr-FR"/>
        </w:rPr>
        <w:t>sont</w:t>
      </w:r>
      <w:r w:rsidRPr="001430CF">
        <w:rPr>
          <w:lang w:val="fr-FR"/>
        </w:rPr>
        <w:t xml:space="preserve"> </w:t>
      </w:r>
      <w:r w:rsidR="00B82847">
        <w:rPr>
          <w:lang w:val="fr-FR"/>
        </w:rPr>
        <w:t xml:space="preserve">ainsi </w:t>
      </w:r>
      <w:r w:rsidRPr="001430CF">
        <w:rPr>
          <w:lang w:val="fr-FR"/>
        </w:rPr>
        <w:t>résumées ci-dessous</w:t>
      </w:r>
      <w:r w:rsidR="00913626" w:rsidRPr="001430CF">
        <w:rPr>
          <w:lang w:val="fr-FR"/>
        </w:rPr>
        <w:t>.</w:t>
      </w:r>
    </w:p>
    <w:p w:rsidR="002F5B80" w:rsidRPr="001430CF" w:rsidRDefault="00520E47" w:rsidP="00AE37E9">
      <w:pPr>
        <w:pStyle w:val="Titre3"/>
        <w:numPr>
          <w:ilvl w:val="0"/>
          <w:numId w:val="9"/>
        </w:numPr>
        <w:tabs>
          <w:tab w:val="clear" w:pos="567"/>
        </w:tabs>
        <w:jc w:val="left"/>
        <w:rPr>
          <w:rFonts w:eastAsia="Calibri"/>
          <w:snapToGrid w:val="0"/>
          <w:kern w:val="22"/>
          <w:lang w:val="fr-FR"/>
        </w:rPr>
      </w:pPr>
      <w:r w:rsidRPr="001430CF">
        <w:rPr>
          <w:rFonts w:eastAsia="Calibri"/>
          <w:snapToGrid w:val="0"/>
          <w:kern w:val="22"/>
          <w:lang w:val="fr-FR"/>
        </w:rPr>
        <w:t xml:space="preserve">Votre pays a-t-il pris des mesures législatives, administratives ou de politique générale pour partager les avantages découlant de l’utilisation des connaissances traditionnelles associées aux ressources génétiques avec les communautés autochtones et locales détentrices de ces connaissances, comme le prévoit l’article 5-5 (question 22 du modèle de rapport national </w:t>
      </w:r>
      <w:r w:rsidR="00680307">
        <w:rPr>
          <w:rFonts w:eastAsia="Calibri"/>
          <w:snapToGrid w:val="0"/>
          <w:kern w:val="22"/>
          <w:lang w:val="fr-FR"/>
        </w:rPr>
        <w:t>provisoire</w:t>
      </w:r>
      <w:r w:rsidR="002F5B80" w:rsidRPr="001430CF">
        <w:rPr>
          <w:rFonts w:eastAsia="Calibri"/>
          <w:snapToGrid w:val="0"/>
          <w:kern w:val="22"/>
          <w:lang w:val="fr-FR"/>
        </w:rPr>
        <w:t>)</w:t>
      </w:r>
    </w:p>
    <w:p w:rsidR="002F5B80" w:rsidRPr="001430CF" w:rsidRDefault="00680307" w:rsidP="002F5B80">
      <w:pPr>
        <w:pStyle w:val="Para1"/>
        <w:tabs>
          <w:tab w:val="clear" w:pos="360"/>
        </w:tabs>
        <w:rPr>
          <w:lang w:val="fr-FR"/>
        </w:rPr>
      </w:pPr>
      <w:r>
        <w:rPr>
          <w:lang w:val="fr-FR"/>
        </w:rPr>
        <w:t>Un total de 41 </w:t>
      </w:r>
      <w:r w:rsidR="00520E47" w:rsidRPr="001430CF">
        <w:rPr>
          <w:lang w:val="fr-FR"/>
        </w:rPr>
        <w:t xml:space="preserve">Parties et cinq États non parties </w:t>
      </w:r>
      <w:r>
        <w:rPr>
          <w:lang w:val="fr-FR"/>
        </w:rPr>
        <w:t>ont</w:t>
      </w:r>
      <w:r w:rsidR="00520E47" w:rsidRPr="001430CF">
        <w:rPr>
          <w:lang w:val="fr-FR"/>
        </w:rPr>
        <w:t xml:space="preserve"> répondu qu’ils avaient pris des mesures pou</w:t>
      </w:r>
      <w:r>
        <w:rPr>
          <w:lang w:val="fr-FR"/>
        </w:rPr>
        <w:t>r mettre en œuvre l’article 5-5</w:t>
      </w:r>
      <w:r w:rsidR="00520E47" w:rsidRPr="001430CF">
        <w:rPr>
          <w:lang w:val="fr-FR"/>
        </w:rPr>
        <w:t xml:space="preserve">, et </w:t>
      </w:r>
      <w:r>
        <w:rPr>
          <w:lang w:val="fr-FR"/>
        </w:rPr>
        <w:t>28 </w:t>
      </w:r>
      <w:r w:rsidR="00520E47" w:rsidRPr="001430CF">
        <w:rPr>
          <w:lang w:val="fr-FR"/>
        </w:rPr>
        <w:t>Parties et un État non partie ont signalé n’avoir pris aucune mesure en ce sens</w:t>
      </w:r>
      <w:r w:rsidR="002F5B80" w:rsidRPr="001430CF">
        <w:rPr>
          <w:lang w:val="fr-FR"/>
        </w:rPr>
        <w:t>.</w:t>
      </w:r>
    </w:p>
    <w:p w:rsidR="002F5B80" w:rsidRPr="0010074A" w:rsidRDefault="00520E47" w:rsidP="002F5B80">
      <w:pPr>
        <w:pStyle w:val="Para1"/>
        <w:tabs>
          <w:tab w:val="clear" w:pos="360"/>
        </w:tabs>
        <w:rPr>
          <w:szCs w:val="22"/>
          <w:lang w:val="fr-FR"/>
        </w:rPr>
      </w:pPr>
      <w:r w:rsidRPr="0010074A">
        <w:rPr>
          <w:szCs w:val="22"/>
          <w:lang w:val="fr-FR"/>
        </w:rPr>
        <w:t>Plusieurs des pays ayant répondu par l’affirmative à cette question ont fait état de mesures exigeant que les avantages découlant de l’utilisation de</w:t>
      </w:r>
      <w:r w:rsidR="007F4DB1">
        <w:rPr>
          <w:szCs w:val="22"/>
          <w:lang w:val="fr-FR"/>
        </w:rPr>
        <w:t>s</w:t>
      </w:r>
      <w:r w:rsidRPr="0010074A">
        <w:rPr>
          <w:szCs w:val="22"/>
          <w:lang w:val="fr-FR"/>
        </w:rPr>
        <w:t xml:space="preserve"> connaissances traditionnelles soient partagés sur leur territoire</w:t>
      </w:r>
      <w:r w:rsidRPr="0010074A">
        <w:rPr>
          <w:rStyle w:val="Appelnotedebasdep"/>
          <w:rFonts w:eastAsia="Calibri"/>
          <w:kern w:val="22"/>
          <w:sz w:val="22"/>
          <w:szCs w:val="22"/>
          <w:lang w:val="fr-FR"/>
        </w:rPr>
        <w:footnoteReference w:id="5"/>
      </w:r>
      <w:r w:rsidR="002B69FD" w:rsidRPr="0010074A">
        <w:rPr>
          <w:szCs w:val="22"/>
          <w:lang w:val="fr-FR"/>
        </w:rPr>
        <w:t>.</w:t>
      </w:r>
      <w:r w:rsidR="007F4DB1">
        <w:rPr>
          <w:rFonts w:eastAsia="Calibri"/>
          <w:kern w:val="22"/>
          <w:szCs w:val="22"/>
          <w:lang w:val="fr-FR"/>
        </w:rPr>
        <w:t xml:space="preserve"> Dans certains pays, c</w:t>
      </w:r>
      <w:r w:rsidRPr="0010074A">
        <w:rPr>
          <w:rFonts w:eastAsia="Calibri"/>
          <w:kern w:val="22"/>
          <w:szCs w:val="22"/>
          <w:lang w:val="fr-FR"/>
        </w:rPr>
        <w:t>es mesures ont pour principal objectif de protéger les connaissances traditionnelles</w:t>
      </w:r>
      <w:r w:rsidRPr="0010074A">
        <w:rPr>
          <w:rStyle w:val="Appelnotedebasdep"/>
          <w:rFonts w:eastAsia="Calibri"/>
          <w:kern w:val="22"/>
          <w:sz w:val="22"/>
          <w:szCs w:val="22"/>
          <w:lang w:val="fr-FR"/>
        </w:rPr>
        <w:footnoteReference w:id="6"/>
      </w:r>
      <w:r w:rsidR="002B69FD" w:rsidRPr="0010074A">
        <w:rPr>
          <w:rFonts w:eastAsia="Calibri"/>
          <w:kern w:val="22"/>
          <w:szCs w:val="22"/>
          <w:lang w:val="fr-FR"/>
        </w:rPr>
        <w:t>.</w:t>
      </w:r>
      <w:r w:rsidRPr="0010074A">
        <w:rPr>
          <w:rFonts w:eastAsia="Calibri"/>
          <w:kern w:val="22"/>
          <w:szCs w:val="22"/>
          <w:lang w:val="fr-FR"/>
        </w:rPr>
        <w:t xml:space="preserve"> Plusieurs pays ont également fait état de plans ou de travaux destinés à mettre en place des mesures nécessaires </w:t>
      </w:r>
      <w:r w:rsidR="007F4DB1">
        <w:rPr>
          <w:rFonts w:eastAsia="Calibri"/>
          <w:kern w:val="22"/>
          <w:szCs w:val="22"/>
          <w:lang w:val="fr-FR"/>
        </w:rPr>
        <w:t xml:space="preserve">dans l’objectif de mettre en œuvre </w:t>
      </w:r>
      <w:r w:rsidRPr="0010074A">
        <w:rPr>
          <w:rFonts w:eastAsia="Calibri"/>
          <w:kern w:val="22"/>
          <w:szCs w:val="22"/>
          <w:lang w:val="fr-FR"/>
        </w:rPr>
        <w:t>l’article 5-5</w:t>
      </w:r>
      <w:r w:rsidR="002F5B80" w:rsidRPr="0010074A">
        <w:rPr>
          <w:rStyle w:val="Appelnotedebasdep"/>
          <w:rFonts w:eastAsia="Calibri"/>
          <w:kern w:val="22"/>
          <w:sz w:val="22"/>
          <w:szCs w:val="22"/>
          <w:lang w:val="fr-FR"/>
        </w:rPr>
        <w:footnoteReference w:id="7"/>
      </w:r>
      <w:r w:rsidRPr="0010074A">
        <w:rPr>
          <w:rFonts w:eastAsia="Calibri"/>
          <w:kern w:val="22"/>
          <w:szCs w:val="22"/>
          <w:lang w:val="fr-FR"/>
        </w:rPr>
        <w:t>.</w:t>
      </w:r>
    </w:p>
    <w:p w:rsidR="00520E47" w:rsidRPr="0010074A" w:rsidRDefault="00520E47" w:rsidP="00520E47">
      <w:pPr>
        <w:pStyle w:val="Para1"/>
        <w:tabs>
          <w:tab w:val="clear" w:pos="360"/>
        </w:tabs>
        <w:rPr>
          <w:szCs w:val="22"/>
          <w:lang w:val="fr-FR"/>
        </w:rPr>
      </w:pPr>
      <w:r w:rsidRPr="0010074A">
        <w:rPr>
          <w:rFonts w:eastAsia="Calibri"/>
          <w:kern w:val="22"/>
          <w:szCs w:val="22"/>
          <w:lang w:val="fr-FR"/>
        </w:rPr>
        <w:t xml:space="preserve">Parmi les pays ayant répondu par la négative à cette question, deux </w:t>
      </w:r>
      <w:r w:rsidR="007F4DB1">
        <w:rPr>
          <w:rFonts w:eastAsia="Calibri"/>
          <w:kern w:val="22"/>
          <w:szCs w:val="22"/>
          <w:lang w:val="fr-FR"/>
        </w:rPr>
        <w:t>d’entre eux</w:t>
      </w:r>
      <w:r w:rsidR="007F4DB1" w:rsidRPr="0010074A">
        <w:rPr>
          <w:rStyle w:val="Appelnotedebasdep"/>
          <w:rFonts w:eastAsia="Calibri"/>
          <w:kern w:val="22"/>
          <w:sz w:val="22"/>
          <w:szCs w:val="22"/>
          <w:lang w:val="fr-FR"/>
        </w:rPr>
        <w:footnoteReference w:id="8"/>
      </w:r>
      <w:r w:rsidR="007F4DB1">
        <w:rPr>
          <w:rFonts w:eastAsia="Calibri"/>
          <w:kern w:val="22"/>
          <w:szCs w:val="22"/>
          <w:lang w:val="fr-FR"/>
        </w:rPr>
        <w:t xml:space="preserve"> </w:t>
      </w:r>
      <w:r w:rsidRPr="0010074A">
        <w:rPr>
          <w:rFonts w:eastAsia="Calibri"/>
          <w:kern w:val="22"/>
          <w:szCs w:val="22"/>
          <w:lang w:val="fr-FR"/>
        </w:rPr>
        <w:t xml:space="preserve">ont indiqué qu’ils ne comptaient aucun </w:t>
      </w:r>
      <w:r w:rsidRPr="0010074A">
        <w:rPr>
          <w:szCs w:val="22"/>
          <w:lang w:val="fr-FR"/>
        </w:rPr>
        <w:t xml:space="preserve">peuple autochtone ou communauté locale, et l’un </w:t>
      </w:r>
      <w:r w:rsidR="007F4DB1">
        <w:rPr>
          <w:szCs w:val="22"/>
          <w:lang w:val="fr-FR"/>
        </w:rPr>
        <w:t>d’entre eux</w:t>
      </w:r>
      <w:r w:rsidR="007F4DB1" w:rsidRPr="0010074A">
        <w:rPr>
          <w:rStyle w:val="Appelnotedebasdep"/>
          <w:rFonts w:eastAsia="Calibri"/>
          <w:kern w:val="22"/>
          <w:sz w:val="22"/>
          <w:szCs w:val="22"/>
          <w:lang w:val="fr-FR"/>
        </w:rPr>
        <w:footnoteReference w:id="9"/>
      </w:r>
      <w:r w:rsidR="007F4DB1">
        <w:rPr>
          <w:szCs w:val="22"/>
          <w:lang w:val="fr-FR"/>
        </w:rPr>
        <w:t xml:space="preserve"> </w:t>
      </w:r>
      <w:r w:rsidRPr="0010074A">
        <w:rPr>
          <w:szCs w:val="22"/>
          <w:lang w:val="fr-FR"/>
        </w:rPr>
        <w:t>a expliqué qu’il était exclusivement peuplé de communautés locales.</w:t>
      </w:r>
      <w:r w:rsidRPr="0010074A">
        <w:rPr>
          <w:rFonts w:eastAsia="Calibri"/>
          <w:kern w:val="22"/>
          <w:szCs w:val="22"/>
          <w:lang w:val="fr-FR"/>
        </w:rPr>
        <w:t xml:space="preserve"> Un autre pays</w:t>
      </w:r>
      <w:r w:rsidRPr="0010074A">
        <w:rPr>
          <w:rStyle w:val="Appelnotedebasdep"/>
          <w:rFonts w:eastAsia="Calibri"/>
          <w:kern w:val="22"/>
          <w:sz w:val="22"/>
          <w:szCs w:val="22"/>
          <w:lang w:val="fr-FR"/>
        </w:rPr>
        <w:footnoteReference w:id="10"/>
      </w:r>
      <w:r w:rsidRPr="0010074A">
        <w:rPr>
          <w:rFonts w:eastAsia="Calibri"/>
          <w:kern w:val="22"/>
          <w:szCs w:val="22"/>
          <w:lang w:val="fr-FR"/>
        </w:rPr>
        <w:t xml:space="preserve"> a répondu que les avantages seront équitablement partagés entre tous ses administrés. Plusieurs pays ont également indiqué qu’ils envisageaient </w:t>
      </w:r>
      <w:r w:rsidR="007F4DB1">
        <w:rPr>
          <w:rFonts w:eastAsia="Calibri"/>
          <w:kern w:val="22"/>
          <w:szCs w:val="22"/>
          <w:lang w:val="fr-FR"/>
        </w:rPr>
        <w:t>de résoudre cette question</w:t>
      </w:r>
      <w:r w:rsidRPr="0010074A">
        <w:rPr>
          <w:rStyle w:val="Appelnotedebasdep"/>
          <w:rFonts w:eastAsia="Calibri"/>
          <w:kern w:val="22"/>
          <w:sz w:val="22"/>
          <w:szCs w:val="22"/>
          <w:lang w:val="fr-FR"/>
        </w:rPr>
        <w:footnoteReference w:id="11"/>
      </w:r>
      <w:r w:rsidR="002B69FD" w:rsidRPr="0010074A">
        <w:rPr>
          <w:rFonts w:eastAsia="Calibri"/>
          <w:kern w:val="22"/>
          <w:szCs w:val="22"/>
          <w:lang w:val="fr-FR"/>
        </w:rPr>
        <w:t>.</w:t>
      </w:r>
    </w:p>
    <w:p w:rsidR="002F5B80" w:rsidRPr="001430CF" w:rsidRDefault="005419A0" w:rsidP="00520E47">
      <w:pPr>
        <w:pStyle w:val="Para1"/>
        <w:tabs>
          <w:tab w:val="clear" w:pos="360"/>
        </w:tabs>
        <w:rPr>
          <w:lang w:val="fr-FR"/>
        </w:rPr>
      </w:pPr>
      <w:r>
        <w:rPr>
          <w:rFonts w:eastAsia="Calibri"/>
          <w:kern w:val="22"/>
          <w:lang w:val="fr-FR"/>
        </w:rPr>
        <w:lastRenderedPageBreak/>
        <w:t xml:space="preserve">Dans la question 23, </w:t>
      </w:r>
      <w:r w:rsidR="00520E47" w:rsidRPr="001430CF">
        <w:rPr>
          <w:rFonts w:eastAsia="Calibri"/>
          <w:kern w:val="22"/>
          <w:lang w:val="fr-FR"/>
        </w:rPr>
        <w:t xml:space="preserve">les pays </w:t>
      </w:r>
      <w:r>
        <w:rPr>
          <w:rFonts w:eastAsia="Calibri"/>
          <w:kern w:val="22"/>
          <w:lang w:val="fr-FR"/>
        </w:rPr>
        <w:t xml:space="preserve">ont été invités </w:t>
      </w:r>
      <w:r w:rsidR="00520E47" w:rsidRPr="001430CF">
        <w:rPr>
          <w:rFonts w:eastAsia="Calibri"/>
          <w:kern w:val="22"/>
          <w:lang w:val="fr-FR"/>
        </w:rPr>
        <w:t>à résumer les principales difficultés rencon</w:t>
      </w:r>
      <w:r>
        <w:rPr>
          <w:rFonts w:eastAsia="Calibri"/>
          <w:kern w:val="22"/>
          <w:lang w:val="fr-FR"/>
        </w:rPr>
        <w:t>trées dans la mise en place d</w:t>
      </w:r>
      <w:r w:rsidR="00520E47" w:rsidRPr="001430CF">
        <w:rPr>
          <w:rFonts w:eastAsia="Calibri"/>
          <w:kern w:val="22"/>
          <w:lang w:val="fr-FR"/>
        </w:rPr>
        <w:t xml:space="preserve">es mesures. </w:t>
      </w:r>
      <w:r w:rsidR="00520E47" w:rsidRPr="001430CF">
        <w:rPr>
          <w:rFonts w:eastAsia="Calibri"/>
          <w:lang w:val="fr-FR"/>
        </w:rPr>
        <w:t>Les difficultés relatives aux connaissances traditionnelles associées incluent </w:t>
      </w:r>
      <w:r w:rsidR="002F5B80" w:rsidRPr="001430CF">
        <w:rPr>
          <w:rFonts w:eastAsia="Calibri"/>
          <w:lang w:val="fr-FR"/>
        </w:rPr>
        <w:t xml:space="preserve">: </w:t>
      </w:r>
    </w:p>
    <w:p w:rsidR="00520E47" w:rsidRPr="001430CF" w:rsidRDefault="00520E47" w:rsidP="00520E47">
      <w:pPr>
        <w:pStyle w:val="Para1"/>
        <w:numPr>
          <w:ilvl w:val="0"/>
          <w:numId w:val="10"/>
        </w:numPr>
        <w:ind w:left="0" w:firstLine="709"/>
        <w:rPr>
          <w:lang w:val="fr-FR"/>
        </w:rPr>
      </w:pPr>
      <w:r w:rsidRPr="001430CF">
        <w:rPr>
          <w:rFonts w:eastAsia="Calibri"/>
          <w:lang w:val="fr-FR"/>
        </w:rPr>
        <w:t xml:space="preserve">La compréhension de l’expression « peuples autochtones et communautés locales » dans le contexte national, y compris l’idée qu’ils détiennent des connaissances traditionnelles associées aux ressources génétiques. De nombreuses Parties ont </w:t>
      </w:r>
      <w:r w:rsidR="005419A0">
        <w:rPr>
          <w:rFonts w:eastAsia="Calibri"/>
          <w:lang w:val="fr-FR"/>
        </w:rPr>
        <w:t>difficilement recensé l</w:t>
      </w:r>
      <w:r w:rsidRPr="001430CF">
        <w:rPr>
          <w:rFonts w:eastAsia="Calibri"/>
          <w:lang w:val="fr-FR"/>
        </w:rPr>
        <w:t xml:space="preserve">es groupes de peuples autochtones et </w:t>
      </w:r>
      <w:r w:rsidR="005419A0">
        <w:rPr>
          <w:rFonts w:eastAsia="Calibri"/>
          <w:lang w:val="fr-FR"/>
        </w:rPr>
        <w:t>les</w:t>
      </w:r>
      <w:r w:rsidRPr="001430CF">
        <w:rPr>
          <w:rFonts w:eastAsia="Calibri"/>
          <w:lang w:val="fr-FR"/>
        </w:rPr>
        <w:t xml:space="preserve"> communautés locales, </w:t>
      </w:r>
      <w:r w:rsidR="005419A0">
        <w:rPr>
          <w:rFonts w:eastAsia="Calibri"/>
          <w:lang w:val="fr-FR"/>
        </w:rPr>
        <w:t>compris</w:t>
      </w:r>
      <w:r w:rsidRPr="001430CF">
        <w:rPr>
          <w:rFonts w:eastAsia="Calibri"/>
          <w:lang w:val="fr-FR"/>
        </w:rPr>
        <w:t xml:space="preserve"> leur mode d’organisation et </w:t>
      </w:r>
      <w:r w:rsidR="005419A0">
        <w:rPr>
          <w:rFonts w:eastAsia="Calibri"/>
          <w:lang w:val="fr-FR"/>
        </w:rPr>
        <w:t xml:space="preserve">fait le lien entre les connaissances traditionnelles et leurs </w:t>
      </w:r>
      <w:r w:rsidR="00E13AC3">
        <w:rPr>
          <w:rFonts w:eastAsia="Calibri"/>
          <w:lang w:val="fr-FR"/>
        </w:rPr>
        <w:t>détenteurs</w:t>
      </w:r>
      <w:r w:rsidR="005419A0">
        <w:rPr>
          <w:rFonts w:eastAsia="Calibri"/>
          <w:lang w:val="fr-FR"/>
        </w:rPr>
        <w:t> ;</w:t>
      </w:r>
    </w:p>
    <w:p w:rsidR="00520E47" w:rsidRPr="001430CF" w:rsidRDefault="00520E47" w:rsidP="00520E47">
      <w:pPr>
        <w:pStyle w:val="Para1"/>
        <w:numPr>
          <w:ilvl w:val="0"/>
          <w:numId w:val="10"/>
        </w:numPr>
        <w:ind w:left="0" w:firstLine="709"/>
        <w:rPr>
          <w:lang w:val="fr-FR"/>
        </w:rPr>
      </w:pPr>
      <w:r w:rsidRPr="001430CF">
        <w:rPr>
          <w:rFonts w:eastAsia="Calibri"/>
          <w:lang w:val="fr-FR"/>
        </w:rPr>
        <w:t>La nécessité de renforcer les capacités institutionnelles à résoudre les questions relatives aux connaissances traditionnelles associées aux ressources génétiques</w:t>
      </w:r>
      <w:r w:rsidR="007E147E">
        <w:rPr>
          <w:rFonts w:eastAsia="Calibri"/>
          <w:lang w:val="fr-FR"/>
        </w:rPr>
        <w:t xml:space="preserve">, et celles relatives </w:t>
      </w:r>
      <w:r w:rsidRPr="001430CF">
        <w:rPr>
          <w:rFonts w:eastAsia="Calibri"/>
          <w:lang w:val="fr-FR"/>
        </w:rPr>
        <w:t xml:space="preserve">aux </w:t>
      </w:r>
      <w:r w:rsidRPr="001430CF">
        <w:rPr>
          <w:lang w:val="fr-FR"/>
        </w:rPr>
        <w:t xml:space="preserve">peuples autochtones et </w:t>
      </w:r>
      <w:r w:rsidR="007E147E">
        <w:rPr>
          <w:lang w:val="fr-FR"/>
        </w:rPr>
        <w:t xml:space="preserve">aux </w:t>
      </w:r>
      <w:r w:rsidRPr="001430CF">
        <w:rPr>
          <w:lang w:val="fr-FR"/>
        </w:rPr>
        <w:t>communauté</w:t>
      </w:r>
      <w:r w:rsidR="007E147E">
        <w:rPr>
          <w:lang w:val="fr-FR"/>
        </w:rPr>
        <w:t>s</w:t>
      </w:r>
      <w:r w:rsidRPr="001430CF">
        <w:rPr>
          <w:lang w:val="fr-FR"/>
        </w:rPr>
        <w:t xml:space="preserve"> locales.</w:t>
      </w:r>
      <w:r w:rsidRPr="001430CF">
        <w:rPr>
          <w:rFonts w:eastAsia="Calibri"/>
          <w:lang w:val="fr-FR"/>
        </w:rPr>
        <w:t xml:space="preserve"> La </w:t>
      </w:r>
      <w:r w:rsidR="007E147E">
        <w:rPr>
          <w:rFonts w:eastAsia="Calibri"/>
          <w:lang w:val="fr-FR"/>
        </w:rPr>
        <w:t>difficile</w:t>
      </w:r>
      <w:r w:rsidRPr="001430CF">
        <w:rPr>
          <w:rFonts w:eastAsia="Calibri"/>
          <w:lang w:val="fr-FR"/>
        </w:rPr>
        <w:t xml:space="preserve"> mise en place de mesures assurant la prise en compte appropriée de toutes les questions relatives aux </w:t>
      </w:r>
      <w:r w:rsidRPr="001430CF">
        <w:rPr>
          <w:lang w:val="fr-FR"/>
        </w:rPr>
        <w:t xml:space="preserve">peuples autochtones et </w:t>
      </w:r>
      <w:r w:rsidR="007E147E">
        <w:rPr>
          <w:lang w:val="fr-FR"/>
        </w:rPr>
        <w:t xml:space="preserve">aux </w:t>
      </w:r>
      <w:r w:rsidRPr="001430CF">
        <w:rPr>
          <w:lang w:val="fr-FR"/>
        </w:rPr>
        <w:t>communautés locales recensées par le Protocole a été soulevée</w:t>
      </w:r>
      <w:r w:rsidR="007E147E">
        <w:rPr>
          <w:lang w:val="fr-FR"/>
        </w:rPr>
        <w:t>,</w:t>
      </w:r>
      <w:r w:rsidRPr="001430CF">
        <w:rPr>
          <w:lang w:val="fr-FR"/>
        </w:rPr>
        <w:t xml:space="preserve"> et plusieurs pays ont fait état de l’existence de données d’</w:t>
      </w:r>
      <w:r w:rsidRPr="001430CF">
        <w:rPr>
          <w:rFonts w:eastAsia="Calibri"/>
          <w:lang w:val="fr-FR"/>
        </w:rPr>
        <w:t>expérience</w:t>
      </w:r>
      <w:r w:rsidR="004F77DD">
        <w:rPr>
          <w:rFonts w:eastAsia="Calibri"/>
          <w:lang w:val="fr-FR"/>
        </w:rPr>
        <w:t xml:space="preserve"> ou d’exemples insuffisants ;</w:t>
      </w:r>
    </w:p>
    <w:p w:rsidR="00520E47" w:rsidRPr="001430CF" w:rsidRDefault="00520E47" w:rsidP="00520E47">
      <w:pPr>
        <w:pStyle w:val="Para1"/>
        <w:numPr>
          <w:ilvl w:val="0"/>
          <w:numId w:val="10"/>
        </w:numPr>
        <w:ind w:left="0" w:firstLine="709"/>
        <w:rPr>
          <w:lang w:val="fr-FR"/>
        </w:rPr>
      </w:pPr>
      <w:r w:rsidRPr="001430CF">
        <w:rPr>
          <w:rFonts w:eastAsia="Calibri"/>
          <w:lang w:val="fr-FR"/>
        </w:rPr>
        <w:t xml:space="preserve">La nécessité de renforcer les capacités </w:t>
      </w:r>
      <w:r w:rsidR="00A67058" w:rsidRPr="001430CF">
        <w:rPr>
          <w:rFonts w:eastAsia="Calibri"/>
          <w:lang w:val="fr-FR"/>
        </w:rPr>
        <w:t xml:space="preserve">et la sensibilisation </w:t>
      </w:r>
      <w:r w:rsidRPr="001430CF">
        <w:rPr>
          <w:rFonts w:eastAsia="Calibri"/>
          <w:lang w:val="fr-FR"/>
        </w:rPr>
        <w:t xml:space="preserve">à </w:t>
      </w:r>
      <w:r w:rsidR="00A67058">
        <w:rPr>
          <w:rFonts w:eastAsia="Calibri"/>
          <w:lang w:val="fr-FR"/>
        </w:rPr>
        <w:t>l’égard de</w:t>
      </w:r>
      <w:r w:rsidRPr="001430CF">
        <w:rPr>
          <w:rFonts w:eastAsia="Calibri"/>
          <w:lang w:val="fr-FR"/>
        </w:rPr>
        <w:t xml:space="preserve"> l’accès et </w:t>
      </w:r>
      <w:r w:rsidR="00A67058">
        <w:rPr>
          <w:rFonts w:eastAsia="Calibri"/>
          <w:lang w:val="fr-FR"/>
        </w:rPr>
        <w:t>du</w:t>
      </w:r>
      <w:r w:rsidRPr="001430CF">
        <w:rPr>
          <w:rFonts w:eastAsia="Calibri"/>
          <w:lang w:val="fr-FR"/>
        </w:rPr>
        <w:t xml:space="preserve"> partage des avantages parmi les peuples autochtones et les communautés locales</w:t>
      </w:r>
      <w:r w:rsidR="00A67058">
        <w:rPr>
          <w:rFonts w:eastAsia="Calibri"/>
          <w:lang w:val="fr-FR"/>
        </w:rPr>
        <w:t> ;</w:t>
      </w:r>
      <w:r w:rsidRPr="001430CF">
        <w:rPr>
          <w:rFonts w:eastAsia="Calibri"/>
          <w:lang w:val="fr-FR"/>
        </w:rPr>
        <w:t xml:space="preserve"> </w:t>
      </w:r>
    </w:p>
    <w:p w:rsidR="002F5B80" w:rsidRPr="001430CF" w:rsidRDefault="00520E47" w:rsidP="00520E47">
      <w:pPr>
        <w:pStyle w:val="Para1"/>
        <w:numPr>
          <w:ilvl w:val="0"/>
          <w:numId w:val="10"/>
        </w:numPr>
        <w:ind w:left="0" w:firstLine="709"/>
        <w:rPr>
          <w:lang w:val="fr-FR"/>
        </w:rPr>
      </w:pPr>
      <w:r w:rsidRPr="001430CF">
        <w:rPr>
          <w:rFonts w:eastAsia="Calibri"/>
          <w:lang w:val="fr-FR"/>
        </w:rPr>
        <w:t>La nécessité de dresser des inventaires, de conduire des études ou d’effectuer des transcriptions sur les connaissances traditionnelles, et de les valoriser. Un pays a expliqué que s’il s’était doté d’une législation dans ce domaine, il considérait toutefois que les mesures restaient peu connues o</w:t>
      </w:r>
      <w:r w:rsidR="009C2E86">
        <w:rPr>
          <w:rFonts w:eastAsia="Calibri"/>
          <w:lang w:val="fr-FR"/>
        </w:rPr>
        <w:t>u mal comprises des institutions, des communautés ou d</w:t>
      </w:r>
      <w:r w:rsidRPr="001430CF">
        <w:rPr>
          <w:rFonts w:eastAsia="Calibri"/>
          <w:lang w:val="fr-FR"/>
        </w:rPr>
        <w:t xml:space="preserve">es utilisateurs, ce qui expliquait notamment le fait </w:t>
      </w:r>
      <w:r w:rsidRPr="0010074A">
        <w:rPr>
          <w:rFonts w:eastAsia="Calibri"/>
          <w:szCs w:val="22"/>
          <w:lang w:val="fr-FR"/>
        </w:rPr>
        <w:t xml:space="preserve">qu’aucune autorisation n’avait été à ce jour accordée </w:t>
      </w:r>
      <w:r w:rsidR="009C2E86">
        <w:rPr>
          <w:rFonts w:eastAsia="Calibri"/>
          <w:szCs w:val="22"/>
          <w:lang w:val="fr-FR"/>
        </w:rPr>
        <w:t>pour l</w:t>
      </w:r>
      <w:r w:rsidRPr="0010074A">
        <w:rPr>
          <w:rFonts w:eastAsia="Calibri"/>
          <w:szCs w:val="22"/>
          <w:lang w:val="fr-FR"/>
        </w:rPr>
        <w:t>’accès aux connaissances traditionnelles associées</w:t>
      </w:r>
      <w:r w:rsidR="002F5B80" w:rsidRPr="0010074A">
        <w:rPr>
          <w:rStyle w:val="Appelnotedebasdep"/>
          <w:rFonts w:eastAsia="Calibri"/>
          <w:kern w:val="22"/>
          <w:sz w:val="22"/>
          <w:szCs w:val="22"/>
          <w:lang w:val="fr-FR"/>
        </w:rPr>
        <w:footnoteReference w:id="12"/>
      </w:r>
      <w:r w:rsidRPr="0010074A">
        <w:rPr>
          <w:rFonts w:eastAsia="Calibri"/>
          <w:szCs w:val="22"/>
          <w:lang w:val="fr-FR"/>
        </w:rPr>
        <w:t>.</w:t>
      </w:r>
    </w:p>
    <w:p w:rsidR="00E636EC" w:rsidRPr="001430CF" w:rsidRDefault="00520E47" w:rsidP="0084166D">
      <w:pPr>
        <w:pStyle w:val="Titre3"/>
        <w:numPr>
          <w:ilvl w:val="0"/>
          <w:numId w:val="9"/>
        </w:numPr>
        <w:tabs>
          <w:tab w:val="clear" w:pos="567"/>
        </w:tabs>
        <w:jc w:val="left"/>
        <w:rPr>
          <w:rFonts w:eastAsia="Calibri"/>
          <w:snapToGrid w:val="0"/>
          <w:kern w:val="22"/>
          <w:lang w:val="fr-FR"/>
        </w:rPr>
      </w:pPr>
      <w:r w:rsidRPr="001430CF">
        <w:rPr>
          <w:rFonts w:eastAsia="Calibri" w:cs="Arial Unicode MS"/>
          <w:snapToGrid w:val="0"/>
          <w:kern w:val="22"/>
          <w:lang w:val="fr-FR"/>
        </w:rPr>
        <w:t>Les avantages obtenus depuis l’entrée en vigueur du Protocole par votre pays grâce à l’utilisation des :</w:t>
      </w:r>
      <w:r w:rsidRPr="001430CF">
        <w:rPr>
          <w:rFonts w:eastAsia="Calibri"/>
          <w:snapToGrid w:val="0"/>
          <w:kern w:val="22"/>
          <w:lang w:val="fr-FR"/>
        </w:rPr>
        <w:t xml:space="preserve"> ressources génétiques (monétaires et non monétaires) et des connaissances traditionnelles associées à ces ressources </w:t>
      </w:r>
      <w:r w:rsidR="009C2E86">
        <w:rPr>
          <w:rFonts w:eastAsia="Calibri"/>
          <w:snapToGrid w:val="0"/>
          <w:kern w:val="22"/>
          <w:lang w:val="fr-FR"/>
        </w:rPr>
        <w:t>(</w:t>
      </w:r>
      <w:r w:rsidR="009C2E86" w:rsidRPr="001430CF">
        <w:rPr>
          <w:rFonts w:eastAsia="Calibri"/>
          <w:snapToGrid w:val="0"/>
          <w:kern w:val="22"/>
          <w:lang w:val="fr-FR"/>
        </w:rPr>
        <w:t>monétaires et non monétaires</w:t>
      </w:r>
      <w:r w:rsidR="009C2E86">
        <w:rPr>
          <w:rFonts w:eastAsia="Calibri"/>
          <w:snapToGrid w:val="0"/>
          <w:kern w:val="22"/>
          <w:lang w:val="fr-FR"/>
        </w:rPr>
        <w:t xml:space="preserve">) </w:t>
      </w:r>
      <w:r w:rsidRPr="001430CF">
        <w:rPr>
          <w:rFonts w:eastAsia="Calibri"/>
          <w:snapToGrid w:val="0"/>
          <w:kern w:val="22"/>
          <w:lang w:val="fr-FR"/>
        </w:rPr>
        <w:t>(question 18 du modèle de rapport national intérimaire</w:t>
      </w:r>
      <w:r w:rsidR="00E636EC" w:rsidRPr="001430CF">
        <w:rPr>
          <w:rFonts w:eastAsia="Calibri"/>
          <w:snapToGrid w:val="0"/>
          <w:kern w:val="22"/>
          <w:lang w:val="fr-FR"/>
        </w:rPr>
        <w:t>)</w:t>
      </w:r>
    </w:p>
    <w:p w:rsidR="00E636EC" w:rsidRPr="001430CF" w:rsidRDefault="00520E47" w:rsidP="002139A9">
      <w:pPr>
        <w:pStyle w:val="Para1"/>
        <w:tabs>
          <w:tab w:val="clear" w:pos="360"/>
        </w:tabs>
        <w:rPr>
          <w:rFonts w:eastAsia="Calibri"/>
          <w:lang w:val="fr-FR"/>
        </w:rPr>
      </w:pPr>
      <w:r w:rsidRPr="001430CF">
        <w:rPr>
          <w:rFonts w:eastAsia="Calibri"/>
          <w:lang w:val="fr-FR"/>
        </w:rPr>
        <w:t xml:space="preserve">Si la question 18 du modèle de rapport national </w:t>
      </w:r>
      <w:r w:rsidR="009C2E86">
        <w:rPr>
          <w:rFonts w:eastAsia="Calibri"/>
          <w:lang w:val="fr-FR"/>
        </w:rPr>
        <w:t>provisoire</w:t>
      </w:r>
      <w:r w:rsidRPr="001430CF">
        <w:rPr>
          <w:rFonts w:eastAsia="Calibri"/>
          <w:lang w:val="fr-FR"/>
        </w:rPr>
        <w:t xml:space="preserve"> porte à la fois sur les ressources génétiques et les connaissances traditionnelles associées à ces ressources, </w:t>
      </w:r>
      <w:r w:rsidR="009C2E86">
        <w:rPr>
          <w:rFonts w:eastAsia="Calibri"/>
          <w:lang w:val="fr-FR"/>
        </w:rPr>
        <w:t>seules ces dernières sont exposées dans le présent document</w:t>
      </w:r>
      <w:r w:rsidR="00E636EC" w:rsidRPr="001430CF">
        <w:rPr>
          <w:rFonts w:eastAsia="Calibri"/>
          <w:lang w:val="fr-FR"/>
        </w:rPr>
        <w:t>.</w:t>
      </w:r>
    </w:p>
    <w:p w:rsidR="00520E47" w:rsidRPr="001430CF" w:rsidRDefault="009C2E86" w:rsidP="00520E47">
      <w:pPr>
        <w:pStyle w:val="Para1"/>
        <w:tabs>
          <w:tab w:val="clear" w:pos="360"/>
        </w:tabs>
        <w:rPr>
          <w:rFonts w:eastAsia="Calibri"/>
          <w:lang w:val="fr-FR"/>
        </w:rPr>
      </w:pPr>
      <w:r>
        <w:rPr>
          <w:rFonts w:eastAsia="Calibri"/>
          <w:lang w:val="fr-FR"/>
        </w:rPr>
        <w:t>Un total de 17 </w:t>
      </w:r>
      <w:r w:rsidR="00520E47" w:rsidRPr="001430CF">
        <w:rPr>
          <w:rFonts w:eastAsia="Calibri"/>
          <w:lang w:val="fr-FR"/>
        </w:rPr>
        <w:t>Parties et un État non partie ont répondu qu’ils n’avaient tiré aucun avantage de l’utilisation de</w:t>
      </w:r>
      <w:r>
        <w:rPr>
          <w:rFonts w:eastAsia="Calibri"/>
          <w:lang w:val="fr-FR"/>
        </w:rPr>
        <w:t>s</w:t>
      </w:r>
      <w:r w:rsidR="00520E47" w:rsidRPr="001430CF">
        <w:rPr>
          <w:rFonts w:eastAsia="Calibri"/>
          <w:lang w:val="fr-FR"/>
        </w:rPr>
        <w:t xml:space="preserve"> connaissances traditionnelles associées. </w:t>
      </w:r>
      <w:r>
        <w:rPr>
          <w:rFonts w:eastAsia="Calibri"/>
          <w:lang w:val="fr-FR"/>
        </w:rPr>
        <w:t>Six</w:t>
      </w:r>
      <w:r w:rsidR="00520E47" w:rsidRPr="001430CF">
        <w:rPr>
          <w:rFonts w:eastAsia="Calibri"/>
          <w:lang w:val="fr-FR"/>
        </w:rPr>
        <w:t xml:space="preserve"> pays ont indiqué qu’ils avaient obtenu des avantages monétaires de l’utilisat</w:t>
      </w:r>
      <w:r>
        <w:rPr>
          <w:rFonts w:eastAsia="Calibri"/>
          <w:lang w:val="fr-FR"/>
        </w:rPr>
        <w:t>ion de ces connaissances</w:t>
      </w:r>
      <w:r w:rsidR="00417993">
        <w:rPr>
          <w:rFonts w:eastAsia="Calibri"/>
          <w:lang w:val="fr-FR"/>
        </w:rPr>
        <w:t xml:space="preserve"> et </w:t>
      </w:r>
      <w:r>
        <w:rPr>
          <w:rFonts w:eastAsia="Calibri"/>
          <w:lang w:val="fr-FR"/>
        </w:rPr>
        <w:t>15 </w:t>
      </w:r>
      <w:r w:rsidR="00520E47" w:rsidRPr="001430CF">
        <w:rPr>
          <w:rFonts w:eastAsia="Calibri"/>
          <w:lang w:val="fr-FR"/>
        </w:rPr>
        <w:t xml:space="preserve">pays ont signalé </w:t>
      </w:r>
      <w:r>
        <w:rPr>
          <w:rFonts w:eastAsia="Calibri"/>
          <w:lang w:val="fr-FR"/>
        </w:rPr>
        <w:t>qu’ils avaient</w:t>
      </w:r>
      <w:r w:rsidR="00520E47" w:rsidRPr="001430CF">
        <w:rPr>
          <w:rFonts w:eastAsia="Calibri"/>
          <w:lang w:val="fr-FR"/>
        </w:rPr>
        <w:t xml:space="preserve"> reçu </w:t>
      </w:r>
      <w:r>
        <w:rPr>
          <w:rFonts w:eastAsia="Calibri"/>
          <w:lang w:val="fr-FR"/>
        </w:rPr>
        <w:t xml:space="preserve">des avantages non monétaires de </w:t>
      </w:r>
      <w:r w:rsidRPr="001430CF">
        <w:rPr>
          <w:rFonts w:eastAsia="Calibri"/>
          <w:lang w:val="fr-FR"/>
        </w:rPr>
        <w:t>l’utilisat</w:t>
      </w:r>
      <w:r>
        <w:rPr>
          <w:rFonts w:eastAsia="Calibri"/>
          <w:lang w:val="fr-FR"/>
        </w:rPr>
        <w:t>ion de ces connaissances</w:t>
      </w:r>
      <w:r w:rsidR="00520E47" w:rsidRPr="001430CF">
        <w:rPr>
          <w:rFonts w:eastAsia="Calibri"/>
          <w:lang w:val="fr-FR"/>
        </w:rPr>
        <w:t>.</w:t>
      </w:r>
    </w:p>
    <w:p w:rsidR="00520E47" w:rsidRPr="001430CF" w:rsidRDefault="00520E47" w:rsidP="00520E47">
      <w:pPr>
        <w:pStyle w:val="Para1"/>
        <w:tabs>
          <w:tab w:val="clear" w:pos="360"/>
        </w:tabs>
        <w:rPr>
          <w:rFonts w:eastAsia="Calibri"/>
          <w:lang w:val="fr-FR"/>
        </w:rPr>
      </w:pPr>
      <w:r w:rsidRPr="0010074A">
        <w:rPr>
          <w:rFonts w:eastAsia="Calibri"/>
          <w:szCs w:val="22"/>
          <w:lang w:val="fr-FR"/>
        </w:rPr>
        <w:t>Peu de pays ont fourni des informations complémentaires sur les avantages monétaires découlant des connaissances traditionnelles. L’avantage non monétaire le plus couramment cité concerne le renforcement des capacités à résoudre plusieurs questions relatives aux connaissances traditionnelles (par ex. la documentation sur ces connaissances, les protocoles communautaires ou l’utilisation durable des ressources génétiques fondées sur les</w:t>
      </w:r>
      <w:r w:rsidR="00417993" w:rsidRPr="0010074A">
        <w:rPr>
          <w:rFonts w:eastAsia="Calibri"/>
          <w:szCs w:val="22"/>
          <w:lang w:val="fr-FR"/>
        </w:rPr>
        <w:t xml:space="preserve"> connaissances traditionnelles)</w:t>
      </w:r>
      <w:r w:rsidRPr="0010074A">
        <w:rPr>
          <w:rFonts w:eastAsia="Calibri"/>
          <w:szCs w:val="22"/>
          <w:vertAlign w:val="superscript"/>
          <w:lang w:val="fr-FR"/>
        </w:rPr>
        <w:footnoteReference w:id="13"/>
      </w:r>
      <w:r w:rsidR="00CB7E78">
        <w:rPr>
          <w:rFonts w:eastAsia="Calibri"/>
          <w:szCs w:val="22"/>
          <w:lang w:val="fr-FR"/>
        </w:rPr>
        <w:t>.</w:t>
      </w:r>
      <w:r w:rsidRPr="0010074A">
        <w:rPr>
          <w:rFonts w:eastAsia="Calibri"/>
          <w:szCs w:val="22"/>
          <w:lang w:val="fr-FR"/>
        </w:rPr>
        <w:t xml:space="preserve"> Les autres avantages non monétaires ont inclus : a) l’accès à l’information sur les travaux de recherche relatifs aux connaissances traditionnelles</w:t>
      </w:r>
      <w:r w:rsidRPr="0010074A">
        <w:rPr>
          <w:rFonts w:eastAsia="Calibri"/>
          <w:szCs w:val="22"/>
          <w:vertAlign w:val="superscript"/>
          <w:lang w:val="fr-FR"/>
        </w:rPr>
        <w:footnoteReference w:id="14"/>
      </w:r>
      <w:r w:rsidRPr="0010074A">
        <w:rPr>
          <w:rFonts w:eastAsia="Calibri"/>
          <w:szCs w:val="22"/>
          <w:lang w:val="fr-FR"/>
        </w:rPr>
        <w:t> ; b) les publications conjointes</w:t>
      </w:r>
      <w:r w:rsidRPr="0010074A">
        <w:rPr>
          <w:rFonts w:eastAsia="Calibri"/>
          <w:szCs w:val="22"/>
          <w:vertAlign w:val="superscript"/>
          <w:lang w:val="fr-FR"/>
        </w:rPr>
        <w:footnoteReference w:id="15"/>
      </w:r>
      <w:r w:rsidRPr="0010074A">
        <w:rPr>
          <w:rFonts w:eastAsia="Calibri"/>
          <w:szCs w:val="22"/>
          <w:lang w:val="fr-FR"/>
        </w:rPr>
        <w:t> ; d) l’élaboration de protocoles communautaires pilotes</w:t>
      </w:r>
      <w:r w:rsidRPr="0010074A">
        <w:rPr>
          <w:rFonts w:eastAsia="Calibri"/>
          <w:szCs w:val="22"/>
          <w:vertAlign w:val="superscript"/>
          <w:lang w:val="fr-FR"/>
        </w:rPr>
        <w:footnoteReference w:id="16"/>
      </w:r>
      <w:r w:rsidRPr="0010074A">
        <w:rPr>
          <w:rFonts w:eastAsia="Calibri"/>
          <w:szCs w:val="22"/>
          <w:lang w:val="fr-FR"/>
        </w:rPr>
        <w:t> ; d) la conservation du patrimoine socioculturel</w:t>
      </w:r>
      <w:r w:rsidRPr="0010074A">
        <w:rPr>
          <w:rFonts w:eastAsia="Calibri"/>
          <w:szCs w:val="22"/>
          <w:vertAlign w:val="superscript"/>
          <w:lang w:val="fr-FR"/>
        </w:rPr>
        <w:footnoteReference w:id="17"/>
      </w:r>
      <w:r w:rsidRPr="0010074A">
        <w:rPr>
          <w:rFonts w:eastAsia="Calibri"/>
          <w:szCs w:val="22"/>
          <w:lang w:val="fr-FR"/>
        </w:rPr>
        <w:t> ; e) les actions de</w:t>
      </w:r>
      <w:r w:rsidRPr="001430CF">
        <w:rPr>
          <w:rFonts w:eastAsia="Calibri"/>
          <w:lang w:val="fr-FR"/>
        </w:rPr>
        <w:t xml:space="preserve"> sensibilisation</w:t>
      </w:r>
      <w:r w:rsidRPr="001430CF">
        <w:rPr>
          <w:rFonts w:eastAsia="Calibri"/>
          <w:vertAlign w:val="superscript"/>
          <w:lang w:val="fr-FR"/>
        </w:rPr>
        <w:footnoteReference w:id="18"/>
      </w:r>
      <w:r w:rsidRPr="001430CF">
        <w:rPr>
          <w:rFonts w:eastAsia="Calibri"/>
          <w:lang w:val="fr-FR"/>
        </w:rPr>
        <w:t xml:space="preserve"> ; f) la mise </w:t>
      </w:r>
      <w:r w:rsidRPr="001430CF">
        <w:rPr>
          <w:rFonts w:eastAsia="Calibri"/>
          <w:lang w:val="fr-FR"/>
        </w:rPr>
        <w:lastRenderedPageBreak/>
        <w:t>en œuvre de projets communautaires, y compris de</w:t>
      </w:r>
      <w:r w:rsidR="00CB7E78">
        <w:rPr>
          <w:rFonts w:eastAsia="Calibri"/>
          <w:lang w:val="fr-FR"/>
        </w:rPr>
        <w:t>s</w:t>
      </w:r>
      <w:r w:rsidRPr="001430CF">
        <w:rPr>
          <w:rFonts w:eastAsia="Calibri"/>
          <w:lang w:val="fr-FR"/>
        </w:rPr>
        <w:t xml:space="preserve"> festivals et de</w:t>
      </w:r>
      <w:r w:rsidR="00CB7E78">
        <w:rPr>
          <w:rFonts w:eastAsia="Calibri"/>
          <w:lang w:val="fr-FR"/>
        </w:rPr>
        <w:t>s</w:t>
      </w:r>
      <w:r w:rsidRPr="001430CF">
        <w:rPr>
          <w:rFonts w:eastAsia="Calibri"/>
          <w:lang w:val="fr-FR"/>
        </w:rPr>
        <w:t xml:space="preserve"> réunions intercommunautaires</w:t>
      </w:r>
      <w:r w:rsidRPr="001430CF">
        <w:rPr>
          <w:rFonts w:eastAsia="Calibri"/>
          <w:vertAlign w:val="superscript"/>
          <w:lang w:val="fr-FR"/>
        </w:rPr>
        <w:footnoteReference w:id="19"/>
      </w:r>
      <w:r w:rsidRPr="001430CF">
        <w:rPr>
          <w:rFonts w:eastAsia="Calibri"/>
          <w:lang w:val="fr-FR"/>
        </w:rPr>
        <w:t> ; g) les bases de données</w:t>
      </w:r>
      <w:r w:rsidRPr="001430CF">
        <w:rPr>
          <w:rFonts w:eastAsia="Calibri"/>
          <w:vertAlign w:val="superscript"/>
          <w:lang w:val="fr-FR"/>
        </w:rPr>
        <w:footnoteReference w:id="20"/>
      </w:r>
      <w:r w:rsidRPr="001430CF">
        <w:rPr>
          <w:rFonts w:eastAsia="Calibri"/>
          <w:lang w:val="fr-FR"/>
        </w:rPr>
        <w:t> ; et h) les travaux de recherche</w:t>
      </w:r>
      <w:r w:rsidRPr="001430CF">
        <w:rPr>
          <w:rFonts w:eastAsia="Calibri"/>
          <w:vertAlign w:val="superscript"/>
          <w:lang w:val="fr-FR"/>
        </w:rPr>
        <w:footnoteReference w:id="21"/>
      </w:r>
      <w:r w:rsidR="00417993">
        <w:rPr>
          <w:rFonts w:eastAsia="Calibri"/>
          <w:lang w:val="fr-FR"/>
        </w:rPr>
        <w:t>.</w:t>
      </w:r>
    </w:p>
    <w:p w:rsidR="00E636EC" w:rsidRPr="001430CF" w:rsidRDefault="008B541C" w:rsidP="00520E47">
      <w:pPr>
        <w:pStyle w:val="Para1"/>
        <w:tabs>
          <w:tab w:val="clear" w:pos="360"/>
        </w:tabs>
        <w:rPr>
          <w:rFonts w:eastAsia="Calibri"/>
          <w:lang w:val="fr-FR"/>
        </w:rPr>
      </w:pPr>
      <w:r>
        <w:rPr>
          <w:rFonts w:eastAsia="Calibri"/>
          <w:lang w:val="fr-FR"/>
        </w:rPr>
        <w:t>Dans l</w:t>
      </w:r>
      <w:r w:rsidR="00520E47" w:rsidRPr="001430CF">
        <w:rPr>
          <w:rFonts w:eastAsia="Calibri"/>
          <w:lang w:val="fr-FR"/>
        </w:rPr>
        <w:t>a q</w:t>
      </w:r>
      <w:r>
        <w:rPr>
          <w:rFonts w:eastAsia="Calibri"/>
          <w:lang w:val="fr-FR"/>
        </w:rPr>
        <w:t xml:space="preserve">uestion 19, </w:t>
      </w:r>
      <w:r w:rsidR="00520E47" w:rsidRPr="001430CF">
        <w:rPr>
          <w:rFonts w:eastAsia="Calibri"/>
          <w:lang w:val="fr-FR"/>
        </w:rPr>
        <w:t xml:space="preserve">les pays </w:t>
      </w:r>
      <w:r>
        <w:rPr>
          <w:rFonts w:eastAsia="Calibri"/>
          <w:lang w:val="fr-FR"/>
        </w:rPr>
        <w:t xml:space="preserve">ont été invités </w:t>
      </w:r>
      <w:r w:rsidR="00520E47" w:rsidRPr="001430CF">
        <w:rPr>
          <w:rFonts w:eastAsia="Calibri"/>
          <w:lang w:val="fr-FR"/>
        </w:rPr>
        <w:t xml:space="preserve">à résumer les principales difficultés rencontrées dans ce domaine. Les difficultés relatives aux connaissances traditionnelles associées incluent : </w:t>
      </w:r>
      <w:r w:rsidR="00520E47" w:rsidRPr="001430CF">
        <w:rPr>
          <w:rFonts w:eastAsia="Calibri"/>
          <w:kern w:val="22"/>
          <w:lang w:val="fr-FR"/>
        </w:rPr>
        <w:t>la nécessité de dresser un inventaire des connaissances traditionnelles associées ; l’absence de toute mesure pertinente ; et la délicate évaluation des connaissances traditionnelles concernées</w:t>
      </w:r>
      <w:r w:rsidR="00082159" w:rsidRPr="001430CF">
        <w:rPr>
          <w:rFonts w:eastAsia="Calibri"/>
          <w:kern w:val="22"/>
          <w:lang w:val="fr-FR"/>
        </w:rPr>
        <w:t>.</w:t>
      </w:r>
      <w:r w:rsidR="00082159" w:rsidRPr="001430CF">
        <w:rPr>
          <w:rFonts w:eastAsia="Calibri"/>
          <w:lang w:val="fr-FR"/>
        </w:rPr>
        <w:t xml:space="preserve"> </w:t>
      </w:r>
    </w:p>
    <w:p w:rsidR="00AB4512" w:rsidRPr="001430CF" w:rsidRDefault="00520E47" w:rsidP="002F5B80">
      <w:pPr>
        <w:pStyle w:val="Titre3"/>
        <w:numPr>
          <w:ilvl w:val="0"/>
          <w:numId w:val="9"/>
        </w:numPr>
        <w:tabs>
          <w:tab w:val="clear" w:pos="567"/>
        </w:tabs>
        <w:jc w:val="left"/>
        <w:rPr>
          <w:rFonts w:eastAsia="Calibri"/>
          <w:snapToGrid w:val="0"/>
          <w:kern w:val="22"/>
          <w:lang w:val="fr-FR"/>
        </w:rPr>
      </w:pPr>
      <w:r w:rsidRPr="001430CF">
        <w:rPr>
          <w:rFonts w:eastAsia="Calibri"/>
          <w:snapToGrid w:val="0"/>
          <w:kern w:val="22"/>
          <w:lang w:val="fr-FR"/>
        </w:rPr>
        <w:t xml:space="preserve">Votre pays a-t-il pris des mesures législatives, administratives ou de politique générale appropriées, efficaces et proportionnées, afin de garantir que l’accès aux connaissances traditionnelles associées aux ressources génétiques utilisées sous sa juridiction a été soumis au </w:t>
      </w:r>
      <w:r w:rsidRPr="001430CF">
        <w:rPr>
          <w:lang w:val="fr-FR"/>
        </w:rPr>
        <w:t>consentement préalable donné en connaissance de cause, ou à l’accord et à la participation des communautés autochtones et locales et que des conditions convenues d’un commun accord ont été établies, conformément aux dispositions législatives ou réglementaires internes relatives à l’accès et au partage des avantages de l’autre Partie où ces communautés autochtones et locales sont situées, comme le prévoit l’article 16-1</w:t>
      </w:r>
      <w:r w:rsidR="008B541C">
        <w:rPr>
          <w:lang w:val="fr-FR"/>
        </w:rPr>
        <w:t> ?</w:t>
      </w:r>
      <w:r w:rsidRPr="001430CF">
        <w:rPr>
          <w:lang w:val="fr-FR"/>
        </w:rPr>
        <w:t xml:space="preserve"> (question 25</w:t>
      </w:r>
      <w:r w:rsidR="00AB4512" w:rsidRPr="001430CF">
        <w:rPr>
          <w:rFonts w:eastAsia="Calibri"/>
          <w:snapToGrid w:val="0"/>
          <w:kern w:val="22"/>
          <w:lang w:val="fr-FR"/>
        </w:rPr>
        <w:t xml:space="preserve">) </w:t>
      </w:r>
    </w:p>
    <w:p w:rsidR="00AB4512" w:rsidRPr="001430CF" w:rsidRDefault="008B541C" w:rsidP="00515E84">
      <w:pPr>
        <w:pStyle w:val="Para1"/>
        <w:tabs>
          <w:tab w:val="clear" w:pos="360"/>
        </w:tabs>
        <w:rPr>
          <w:rFonts w:eastAsia="Calibri"/>
          <w:kern w:val="22"/>
          <w:lang w:val="fr-FR"/>
        </w:rPr>
      </w:pPr>
      <w:r>
        <w:rPr>
          <w:rFonts w:eastAsia="Calibri"/>
          <w:kern w:val="22"/>
          <w:lang w:val="fr-FR"/>
        </w:rPr>
        <w:t>Un total de 33 </w:t>
      </w:r>
      <w:r w:rsidR="00520E47" w:rsidRPr="001430CF">
        <w:rPr>
          <w:rFonts w:eastAsia="Calibri"/>
          <w:kern w:val="22"/>
          <w:lang w:val="fr-FR"/>
        </w:rPr>
        <w:t>Parties et quatre États non parties ont répondu qu’ils avaient pris des mesures pour</w:t>
      </w:r>
      <w:r>
        <w:rPr>
          <w:rFonts w:eastAsia="Calibri"/>
          <w:kern w:val="22"/>
          <w:lang w:val="fr-FR"/>
        </w:rPr>
        <w:t xml:space="preserve"> mettre en œuvre l’article 16.1</w:t>
      </w:r>
      <w:r w:rsidR="00520E47" w:rsidRPr="001430CF">
        <w:rPr>
          <w:rFonts w:eastAsia="Calibri"/>
          <w:kern w:val="22"/>
          <w:lang w:val="fr-FR"/>
        </w:rPr>
        <w:t xml:space="preserve"> du Protocole, et </w:t>
      </w:r>
      <w:r w:rsidR="00E01DD8">
        <w:rPr>
          <w:rFonts w:eastAsia="Calibri"/>
          <w:kern w:val="22"/>
          <w:lang w:val="fr-FR"/>
        </w:rPr>
        <w:t>35 </w:t>
      </w:r>
      <w:r w:rsidR="00520E47" w:rsidRPr="001430CF">
        <w:rPr>
          <w:rFonts w:eastAsia="Calibri"/>
          <w:kern w:val="22"/>
          <w:lang w:val="fr-FR"/>
        </w:rPr>
        <w:t>Parties et deux États non parties ont signalé n’avoir pris aucune mesure en ce sens</w:t>
      </w:r>
      <w:r w:rsidR="00AB4512" w:rsidRPr="001430CF">
        <w:rPr>
          <w:rFonts w:eastAsia="Calibri"/>
          <w:kern w:val="22"/>
          <w:lang w:val="fr-FR"/>
        </w:rPr>
        <w:t>.</w:t>
      </w:r>
    </w:p>
    <w:p w:rsidR="00AB4512" w:rsidRPr="0010074A" w:rsidRDefault="001430CF" w:rsidP="00515E84">
      <w:pPr>
        <w:pStyle w:val="Para1"/>
        <w:tabs>
          <w:tab w:val="clear" w:pos="360"/>
        </w:tabs>
        <w:rPr>
          <w:rFonts w:eastAsia="Calibri"/>
          <w:kern w:val="22"/>
          <w:szCs w:val="22"/>
          <w:lang w:val="fr-FR"/>
        </w:rPr>
      </w:pPr>
      <w:r w:rsidRPr="0010074A">
        <w:rPr>
          <w:rFonts w:eastAsia="Calibri"/>
          <w:kern w:val="22"/>
          <w:szCs w:val="22"/>
          <w:lang w:val="fr-FR"/>
        </w:rPr>
        <w:t>Parmi les pays ayant répondu par l’affirmative à cette question, plusieurs ont fait état de mesures existantes</w:t>
      </w:r>
      <w:r w:rsidRPr="0010074A">
        <w:rPr>
          <w:rStyle w:val="Appelnotedebasdep"/>
          <w:rFonts w:eastAsia="Calibri"/>
          <w:kern w:val="22"/>
          <w:sz w:val="22"/>
          <w:szCs w:val="22"/>
          <w:lang w:val="fr-FR"/>
        </w:rPr>
        <w:footnoteReference w:id="22"/>
      </w:r>
      <w:r w:rsidRPr="0010074A">
        <w:rPr>
          <w:rStyle w:val="Appelnotedebasdep"/>
          <w:sz w:val="22"/>
          <w:szCs w:val="22"/>
          <w:lang w:val="fr-FR"/>
        </w:rPr>
        <w:t>,</w:t>
      </w:r>
      <w:r w:rsidRPr="0010074A">
        <w:rPr>
          <w:rFonts w:eastAsia="Calibri"/>
          <w:kern w:val="22"/>
          <w:szCs w:val="22"/>
          <w:lang w:val="fr-FR"/>
        </w:rPr>
        <w:t>, de projets de mesures ou de procédures en cours</w:t>
      </w:r>
      <w:r w:rsidRPr="0010074A">
        <w:rPr>
          <w:rStyle w:val="Appelnotedebasdep"/>
          <w:rFonts w:eastAsia="Calibri"/>
          <w:kern w:val="22"/>
          <w:sz w:val="22"/>
          <w:szCs w:val="22"/>
          <w:lang w:val="fr-FR"/>
        </w:rPr>
        <w:footnoteReference w:id="23"/>
      </w:r>
      <w:r w:rsidRPr="0010074A">
        <w:rPr>
          <w:rFonts w:eastAsia="Calibri"/>
          <w:kern w:val="22"/>
          <w:szCs w:val="22"/>
          <w:lang w:val="fr-FR"/>
        </w:rPr>
        <w:t>. Peu de pays ont fourni des informations complémentaires</w:t>
      </w:r>
      <w:r w:rsidR="00AB4512" w:rsidRPr="0010074A">
        <w:rPr>
          <w:rFonts w:eastAsia="Calibri"/>
          <w:kern w:val="22"/>
          <w:szCs w:val="22"/>
          <w:lang w:val="fr-FR"/>
        </w:rPr>
        <w:t>.</w:t>
      </w:r>
    </w:p>
    <w:p w:rsidR="001430CF" w:rsidRPr="0010074A" w:rsidRDefault="001430CF" w:rsidP="001430CF">
      <w:pPr>
        <w:pStyle w:val="Para1"/>
        <w:tabs>
          <w:tab w:val="clear" w:pos="360"/>
        </w:tabs>
        <w:rPr>
          <w:rFonts w:eastAsia="Calibri"/>
          <w:kern w:val="22"/>
          <w:szCs w:val="22"/>
          <w:lang w:val="fr-FR"/>
        </w:rPr>
      </w:pPr>
      <w:r w:rsidRPr="0010074A">
        <w:rPr>
          <w:rFonts w:eastAsia="Calibri"/>
          <w:kern w:val="22"/>
          <w:szCs w:val="22"/>
          <w:lang w:val="fr-FR"/>
        </w:rPr>
        <w:t xml:space="preserve">Parmi les pays ayant répondu par la négative à cette question, plusieurs ont indiqué qu’ils envisageaient de </w:t>
      </w:r>
      <w:r w:rsidR="00D5391F">
        <w:rPr>
          <w:rFonts w:eastAsia="Calibri"/>
          <w:kern w:val="22"/>
          <w:szCs w:val="22"/>
          <w:lang w:val="fr-FR"/>
        </w:rPr>
        <w:t>résoudre cette question</w:t>
      </w:r>
      <w:r w:rsidRPr="0010074A">
        <w:rPr>
          <w:rStyle w:val="Appelnotedebasdep"/>
          <w:rFonts w:eastAsia="Calibri"/>
          <w:kern w:val="22"/>
          <w:sz w:val="22"/>
          <w:szCs w:val="22"/>
          <w:lang w:val="fr-FR"/>
        </w:rPr>
        <w:footnoteReference w:id="24"/>
      </w:r>
      <w:r w:rsidR="00417993" w:rsidRPr="0010074A">
        <w:rPr>
          <w:rFonts w:eastAsia="Calibri"/>
          <w:kern w:val="22"/>
          <w:szCs w:val="22"/>
          <w:lang w:val="fr-FR"/>
        </w:rPr>
        <w:t>.</w:t>
      </w:r>
      <w:r w:rsidRPr="0010074A">
        <w:rPr>
          <w:rFonts w:eastAsia="Calibri"/>
          <w:kern w:val="22"/>
          <w:szCs w:val="22"/>
          <w:lang w:val="fr-FR"/>
        </w:rPr>
        <w:t xml:space="preserve"> Un pays a déclaré que la question ne se posait pas sous sa juridiction du fait qu’il ne comptait aucune communauté autochtone et locale</w:t>
      </w:r>
      <w:r w:rsidRPr="0010074A">
        <w:rPr>
          <w:rStyle w:val="Appelnotedebasdep"/>
          <w:rFonts w:eastAsia="Calibri"/>
          <w:kern w:val="22"/>
          <w:sz w:val="22"/>
          <w:szCs w:val="22"/>
          <w:lang w:val="fr-FR"/>
        </w:rPr>
        <w:footnoteReference w:id="25"/>
      </w:r>
      <w:r w:rsidRPr="0010074A">
        <w:rPr>
          <w:rFonts w:eastAsia="Calibri"/>
          <w:kern w:val="22"/>
          <w:szCs w:val="22"/>
          <w:lang w:val="fr-FR"/>
        </w:rPr>
        <w:t>, et un autre pays a fait état de la nécessité de définir le sens de l’expression « communautés autochtones locales » pour son contexte national</w:t>
      </w:r>
      <w:r w:rsidRPr="0010074A">
        <w:rPr>
          <w:rStyle w:val="Appelnotedebasdep"/>
          <w:rFonts w:eastAsia="Calibri"/>
          <w:kern w:val="22"/>
          <w:sz w:val="22"/>
          <w:szCs w:val="22"/>
          <w:lang w:val="fr-FR"/>
        </w:rPr>
        <w:footnoteReference w:id="26"/>
      </w:r>
      <w:r w:rsidR="00417993" w:rsidRPr="0010074A">
        <w:rPr>
          <w:rFonts w:eastAsia="Calibri"/>
          <w:kern w:val="22"/>
          <w:szCs w:val="22"/>
          <w:lang w:val="fr-FR"/>
        </w:rPr>
        <w:t>.</w:t>
      </w:r>
    </w:p>
    <w:p w:rsidR="002F5B80" w:rsidRPr="0010074A" w:rsidRDefault="001430CF" w:rsidP="001430CF">
      <w:pPr>
        <w:pStyle w:val="Para1"/>
        <w:tabs>
          <w:tab w:val="clear" w:pos="360"/>
        </w:tabs>
        <w:rPr>
          <w:rFonts w:eastAsia="Calibri"/>
          <w:kern w:val="22"/>
          <w:szCs w:val="22"/>
          <w:lang w:val="fr-FR"/>
        </w:rPr>
      </w:pPr>
      <w:r w:rsidRPr="0010074A">
        <w:rPr>
          <w:rFonts w:eastAsia="Calibri"/>
          <w:kern w:val="22"/>
          <w:szCs w:val="22"/>
          <w:lang w:val="fr-FR"/>
        </w:rPr>
        <w:t xml:space="preserve">Les </w:t>
      </w:r>
      <w:r w:rsidR="00D5391F">
        <w:rPr>
          <w:rFonts w:eastAsia="Calibri"/>
          <w:kern w:val="22"/>
          <w:szCs w:val="22"/>
          <w:lang w:val="fr-FR"/>
        </w:rPr>
        <w:t>33 </w:t>
      </w:r>
      <w:r w:rsidRPr="0010074A">
        <w:rPr>
          <w:rFonts w:eastAsia="Calibri"/>
          <w:kern w:val="22"/>
          <w:szCs w:val="22"/>
          <w:lang w:val="fr-FR"/>
        </w:rPr>
        <w:t xml:space="preserve">Parties et quatre États non parties ayant répondu par l’affirmative à la question 25 ont également répondu </w:t>
      </w:r>
      <w:r w:rsidR="00D5391F">
        <w:rPr>
          <w:rFonts w:eastAsia="Calibri"/>
          <w:kern w:val="22"/>
          <w:szCs w:val="22"/>
          <w:lang w:val="fr-FR"/>
        </w:rPr>
        <w:t>à</w:t>
      </w:r>
      <w:r w:rsidRPr="0010074A">
        <w:rPr>
          <w:rFonts w:eastAsia="Calibri"/>
          <w:kern w:val="22"/>
          <w:szCs w:val="22"/>
          <w:lang w:val="fr-FR"/>
        </w:rPr>
        <w:t xml:space="preserve"> deux sous-questions </w:t>
      </w:r>
      <w:r w:rsidR="002F5B80" w:rsidRPr="0010074A">
        <w:rPr>
          <w:rFonts w:eastAsia="Calibri"/>
          <w:kern w:val="22"/>
          <w:szCs w:val="22"/>
          <w:lang w:val="fr-FR"/>
        </w:rPr>
        <w:t>:</w:t>
      </w:r>
    </w:p>
    <w:p w:rsidR="001430CF" w:rsidRPr="0010074A" w:rsidRDefault="001430CF" w:rsidP="001430CF">
      <w:pPr>
        <w:pStyle w:val="Para1"/>
        <w:numPr>
          <w:ilvl w:val="1"/>
          <w:numId w:val="2"/>
        </w:numPr>
        <w:rPr>
          <w:rFonts w:eastAsia="Calibri"/>
          <w:kern w:val="22"/>
          <w:szCs w:val="22"/>
          <w:lang w:val="fr-FR"/>
        </w:rPr>
      </w:pPr>
      <w:r w:rsidRPr="0010074A">
        <w:rPr>
          <w:rFonts w:eastAsia="Calibri"/>
          <w:kern w:val="22"/>
          <w:szCs w:val="22"/>
          <w:lang w:val="fr-FR"/>
        </w:rPr>
        <w:t>Veuillez indiquer si votre pays a pris des mesures pour résoudre les cas de non-conformité aux</w:t>
      </w:r>
      <w:r w:rsidR="007E4A6C">
        <w:rPr>
          <w:rFonts w:eastAsia="Calibri"/>
          <w:kern w:val="22"/>
          <w:szCs w:val="22"/>
          <w:lang w:val="fr-FR"/>
        </w:rPr>
        <w:t xml:space="preserve"> mesures prévues à l’article 16.</w:t>
      </w:r>
      <w:r w:rsidRPr="0010074A">
        <w:rPr>
          <w:rFonts w:eastAsia="Calibri"/>
          <w:kern w:val="22"/>
          <w:szCs w:val="22"/>
          <w:lang w:val="fr-FR"/>
        </w:rPr>
        <w:t>2</w:t>
      </w:r>
      <w:r w:rsidR="007E4A6C">
        <w:rPr>
          <w:rFonts w:eastAsia="Calibri"/>
          <w:kern w:val="22"/>
          <w:szCs w:val="22"/>
          <w:lang w:val="fr-FR"/>
        </w:rPr>
        <w:t>. Un total de 28 </w:t>
      </w:r>
      <w:r w:rsidRPr="0010074A">
        <w:rPr>
          <w:rFonts w:eastAsia="Calibri"/>
          <w:kern w:val="22"/>
          <w:szCs w:val="22"/>
          <w:lang w:val="fr-FR"/>
        </w:rPr>
        <w:t>Parties et quatre États non parties ont répondu qu’ils avaient pris des mesures pour le faire ;</w:t>
      </w:r>
    </w:p>
    <w:p w:rsidR="00A25AB5" w:rsidRPr="0010074A" w:rsidRDefault="001430CF" w:rsidP="001430CF">
      <w:pPr>
        <w:pStyle w:val="Para1"/>
        <w:numPr>
          <w:ilvl w:val="1"/>
          <w:numId w:val="2"/>
        </w:numPr>
        <w:rPr>
          <w:rFonts w:eastAsia="Calibri"/>
          <w:szCs w:val="22"/>
          <w:lang w:val="fr-FR"/>
        </w:rPr>
      </w:pPr>
      <w:r w:rsidRPr="0010074A">
        <w:rPr>
          <w:rFonts w:eastAsia="Calibri"/>
          <w:kern w:val="22"/>
          <w:szCs w:val="22"/>
          <w:lang w:val="fr-FR"/>
        </w:rPr>
        <w:t>Votre pays a-t-il collaboré à la résolution de cas d’infraction alléguée aux mesures relatives à l’accès et au partage des avantage</w:t>
      </w:r>
      <w:r w:rsidR="007E4A6C">
        <w:rPr>
          <w:rFonts w:eastAsia="Calibri"/>
          <w:kern w:val="22"/>
          <w:szCs w:val="22"/>
          <w:lang w:val="fr-FR"/>
        </w:rPr>
        <w:t>s comme le prévoit l’article 16.3</w:t>
      </w:r>
      <w:r w:rsidRPr="0010074A">
        <w:rPr>
          <w:rFonts w:eastAsia="Calibri"/>
          <w:kern w:val="22"/>
          <w:szCs w:val="22"/>
          <w:lang w:val="fr-FR"/>
        </w:rPr>
        <w:t xml:space="preserve"> ? </w:t>
      </w:r>
      <w:r w:rsidR="007E4A6C">
        <w:rPr>
          <w:rFonts w:eastAsia="Calibri"/>
          <w:kern w:val="22"/>
          <w:szCs w:val="22"/>
          <w:lang w:val="fr-FR"/>
        </w:rPr>
        <w:t>Dix </w:t>
      </w:r>
      <w:r w:rsidRPr="0010074A">
        <w:rPr>
          <w:rFonts w:eastAsia="Calibri"/>
          <w:kern w:val="22"/>
          <w:szCs w:val="22"/>
          <w:lang w:val="fr-FR"/>
        </w:rPr>
        <w:t>pays</w:t>
      </w:r>
      <w:r w:rsidRPr="0010074A">
        <w:rPr>
          <w:rStyle w:val="Appelnotedebasdep"/>
          <w:rFonts w:eastAsia="Calibri"/>
          <w:kern w:val="22"/>
          <w:sz w:val="22"/>
          <w:szCs w:val="22"/>
          <w:lang w:val="fr-FR"/>
        </w:rPr>
        <w:footnoteReference w:id="27"/>
      </w:r>
      <w:r w:rsidRPr="0010074A">
        <w:rPr>
          <w:rFonts w:eastAsia="Calibri"/>
          <w:szCs w:val="22"/>
          <w:lang w:val="fr-FR"/>
        </w:rPr>
        <w:t xml:space="preserve"> </w:t>
      </w:r>
      <w:r w:rsidRPr="0010074A">
        <w:rPr>
          <w:rFonts w:eastAsia="Calibri"/>
          <w:kern w:val="22"/>
          <w:szCs w:val="22"/>
          <w:lang w:val="fr-FR"/>
        </w:rPr>
        <w:t>ont répondu qu’il</w:t>
      </w:r>
      <w:r w:rsidR="007E4A6C">
        <w:rPr>
          <w:rFonts w:eastAsia="Calibri"/>
          <w:kern w:val="22"/>
          <w:szCs w:val="22"/>
          <w:lang w:val="fr-FR"/>
        </w:rPr>
        <w:t>s</w:t>
      </w:r>
      <w:r w:rsidRPr="0010074A">
        <w:rPr>
          <w:rFonts w:eastAsia="Calibri"/>
          <w:kern w:val="22"/>
          <w:szCs w:val="22"/>
          <w:lang w:val="fr-FR"/>
        </w:rPr>
        <w:t xml:space="preserve"> n’avai</w:t>
      </w:r>
      <w:r w:rsidR="007E4A6C">
        <w:rPr>
          <w:rFonts w:eastAsia="Calibri"/>
          <w:kern w:val="22"/>
          <w:szCs w:val="22"/>
          <w:lang w:val="fr-FR"/>
        </w:rPr>
        <w:t>en</w:t>
      </w:r>
      <w:r w:rsidRPr="0010074A">
        <w:rPr>
          <w:rFonts w:eastAsia="Calibri"/>
          <w:kern w:val="22"/>
          <w:szCs w:val="22"/>
          <w:lang w:val="fr-FR"/>
        </w:rPr>
        <w:t>t connaissance d’aucun cas d’infraction alléguée.</w:t>
      </w:r>
      <w:r w:rsidRPr="0010074A">
        <w:rPr>
          <w:rFonts w:eastAsia="Calibri"/>
          <w:szCs w:val="22"/>
          <w:lang w:val="fr-FR"/>
        </w:rPr>
        <w:t xml:space="preserve"> </w:t>
      </w:r>
      <w:r w:rsidRPr="0010074A">
        <w:rPr>
          <w:rFonts w:eastAsia="Calibri"/>
          <w:kern w:val="22"/>
          <w:szCs w:val="22"/>
          <w:lang w:val="fr-FR"/>
        </w:rPr>
        <w:t xml:space="preserve">Seuls deux pays ont déclaré qu’ils avaient collaboré à la résolution de cas d’infraction alléguée aux mesures relatives à l’accès et au partage </w:t>
      </w:r>
      <w:r w:rsidRPr="0010074A">
        <w:rPr>
          <w:rFonts w:eastAsia="Calibri"/>
          <w:kern w:val="22"/>
          <w:szCs w:val="22"/>
          <w:lang w:val="fr-FR"/>
        </w:rPr>
        <w:lastRenderedPageBreak/>
        <w:t>des</w:t>
      </w:r>
      <w:r w:rsidRPr="001430CF">
        <w:rPr>
          <w:rFonts w:eastAsia="Calibri"/>
          <w:kern w:val="22"/>
          <w:lang w:val="fr-FR"/>
        </w:rPr>
        <w:t xml:space="preserve"> avantages </w:t>
      </w:r>
      <w:r w:rsidR="007E4A6C">
        <w:rPr>
          <w:rFonts w:eastAsia="Calibri"/>
          <w:kern w:val="22"/>
          <w:lang w:val="fr-FR"/>
        </w:rPr>
        <w:t>comme le prévoit l’article 16.3</w:t>
      </w:r>
      <w:r w:rsidRPr="001430CF">
        <w:rPr>
          <w:rFonts w:eastAsia="Calibri"/>
          <w:kern w:val="22"/>
          <w:lang w:val="fr-FR"/>
        </w:rPr>
        <w:t xml:space="preserve">. </w:t>
      </w:r>
      <w:r w:rsidRPr="0010074A">
        <w:rPr>
          <w:rFonts w:eastAsia="Calibri"/>
          <w:kern w:val="22"/>
          <w:szCs w:val="22"/>
          <w:lang w:val="fr-FR"/>
        </w:rPr>
        <w:t>Plusieurs pays</w:t>
      </w:r>
      <w:r w:rsidRPr="0010074A">
        <w:rPr>
          <w:rStyle w:val="Appelnotedebasdep"/>
          <w:rFonts w:eastAsia="Calibri"/>
          <w:kern w:val="22"/>
          <w:sz w:val="22"/>
          <w:szCs w:val="22"/>
          <w:lang w:val="fr-FR"/>
        </w:rPr>
        <w:footnoteReference w:id="28"/>
      </w:r>
      <w:r w:rsidRPr="0010074A">
        <w:rPr>
          <w:rFonts w:eastAsia="Calibri"/>
          <w:kern w:val="22"/>
          <w:szCs w:val="22"/>
          <w:lang w:val="fr-FR"/>
        </w:rPr>
        <w:t xml:space="preserve"> ont fourni des informations sur les dispositions législatives existan</w:t>
      </w:r>
      <w:r w:rsidR="007E4A6C">
        <w:rPr>
          <w:rFonts w:eastAsia="Calibri"/>
          <w:kern w:val="22"/>
          <w:szCs w:val="22"/>
          <w:lang w:val="fr-FR"/>
        </w:rPr>
        <w:t>tes</w:t>
      </w:r>
      <w:r w:rsidR="00A25AB5" w:rsidRPr="0010074A">
        <w:rPr>
          <w:rFonts w:eastAsia="Calibri"/>
          <w:szCs w:val="22"/>
          <w:lang w:val="fr-FR"/>
        </w:rPr>
        <w:t>.</w:t>
      </w:r>
    </w:p>
    <w:p w:rsidR="00A25AB5" w:rsidRPr="001430CF" w:rsidRDefault="001430CF" w:rsidP="002F5B80">
      <w:pPr>
        <w:pStyle w:val="Para1"/>
        <w:tabs>
          <w:tab w:val="clear" w:pos="360"/>
        </w:tabs>
        <w:rPr>
          <w:rFonts w:eastAsia="Calibri"/>
          <w:kern w:val="22"/>
          <w:lang w:val="fr-FR"/>
        </w:rPr>
      </w:pPr>
      <w:r w:rsidRPr="001430CF">
        <w:rPr>
          <w:rFonts w:eastAsia="Calibri"/>
          <w:kern w:val="22"/>
          <w:lang w:val="fr-FR"/>
        </w:rPr>
        <w:t xml:space="preserve">Les questions 39 à 44 du modèle de rapport national </w:t>
      </w:r>
      <w:r w:rsidR="00F8031C">
        <w:rPr>
          <w:rFonts w:eastAsia="Calibri"/>
          <w:kern w:val="22"/>
          <w:lang w:val="fr-FR"/>
        </w:rPr>
        <w:t>provisoire</w:t>
      </w:r>
      <w:r w:rsidRPr="001430CF">
        <w:rPr>
          <w:rFonts w:eastAsia="Calibri"/>
          <w:kern w:val="22"/>
          <w:lang w:val="fr-FR"/>
        </w:rPr>
        <w:t xml:space="preserve"> portent sur les </w:t>
      </w:r>
      <w:r w:rsidR="00F8031C">
        <w:rPr>
          <w:rFonts w:eastAsia="Calibri"/>
          <w:kern w:val="22"/>
          <w:lang w:val="fr-FR"/>
        </w:rPr>
        <w:t xml:space="preserve">articles 7 et 12 du Protocole. Seuls </w:t>
      </w:r>
      <w:r w:rsidR="00F8031C" w:rsidRPr="001430CF">
        <w:rPr>
          <w:rFonts w:eastAsia="Calibri"/>
          <w:kern w:val="22"/>
          <w:lang w:val="fr-FR"/>
        </w:rPr>
        <w:t xml:space="preserve">49 pays </w:t>
      </w:r>
      <w:r w:rsidR="00F8031C">
        <w:rPr>
          <w:rFonts w:eastAsia="Calibri"/>
          <w:kern w:val="22"/>
          <w:lang w:val="fr-FR"/>
        </w:rPr>
        <w:t>ont répondu à ces questions en indiquant</w:t>
      </w:r>
      <w:r w:rsidRPr="001430CF">
        <w:rPr>
          <w:rFonts w:eastAsia="Calibri"/>
          <w:kern w:val="22"/>
          <w:lang w:val="fr-FR"/>
        </w:rPr>
        <w:t xml:space="preserve"> qu’ils comptaient des peuples autochtones et des communautés locales</w:t>
      </w:r>
      <w:r w:rsidR="002F5B80" w:rsidRPr="001430CF">
        <w:rPr>
          <w:rFonts w:eastAsia="Calibri"/>
          <w:kern w:val="22"/>
          <w:lang w:val="fr-FR"/>
        </w:rPr>
        <w:t>.</w:t>
      </w:r>
    </w:p>
    <w:p w:rsidR="004B62FA" w:rsidRPr="001430CF" w:rsidRDefault="001430CF" w:rsidP="002F5B80">
      <w:pPr>
        <w:pStyle w:val="Titre3"/>
        <w:numPr>
          <w:ilvl w:val="0"/>
          <w:numId w:val="12"/>
        </w:numPr>
        <w:tabs>
          <w:tab w:val="clear" w:pos="567"/>
        </w:tabs>
        <w:jc w:val="left"/>
        <w:rPr>
          <w:lang w:val="fr-FR"/>
        </w:rPr>
      </w:pPr>
      <w:r w:rsidRPr="001430CF">
        <w:rPr>
          <w:lang w:val="fr-FR"/>
        </w:rPr>
        <w:t>Conformément à son droit interne, votre pays a-t-il pris des mesures pour faire en sorte que</w:t>
      </w:r>
      <w:r w:rsidRPr="001430CF">
        <w:rPr>
          <w:rFonts w:eastAsia="Calibri"/>
          <w:snapToGrid w:val="0"/>
          <w:kern w:val="22"/>
          <w:lang w:val="fr-FR"/>
        </w:rPr>
        <w:t xml:space="preserve"> l’accès aux connaissances traditionnelles associées aux ressources génétiques détenues par les communautés </w:t>
      </w:r>
      <w:r w:rsidRPr="001430CF">
        <w:rPr>
          <w:lang w:val="fr-FR"/>
        </w:rPr>
        <w:t xml:space="preserve">autochtones et locales de votre pays </w:t>
      </w:r>
      <w:r w:rsidRPr="001430CF">
        <w:rPr>
          <w:rFonts w:eastAsia="Calibri"/>
          <w:snapToGrid w:val="0"/>
          <w:kern w:val="22"/>
          <w:lang w:val="fr-FR"/>
        </w:rPr>
        <w:t xml:space="preserve">soit soumis au </w:t>
      </w:r>
      <w:r w:rsidRPr="001430CF">
        <w:rPr>
          <w:lang w:val="fr-FR"/>
        </w:rPr>
        <w:t>consentement préalable donné en connaissance de cause ou à l’accord et à la participation de ces communautés autochtones et locales, et que des conditions convenues d’un commun accord soient établies comme le prévoit l’article 7 ? (question </w:t>
      </w:r>
      <w:r w:rsidR="004B62FA" w:rsidRPr="001430CF">
        <w:rPr>
          <w:lang w:val="fr-FR"/>
        </w:rPr>
        <w:t xml:space="preserve">39) </w:t>
      </w:r>
    </w:p>
    <w:p w:rsidR="001430CF" w:rsidRPr="001430CF" w:rsidRDefault="009123B1" w:rsidP="001430CF">
      <w:pPr>
        <w:pStyle w:val="Para1"/>
        <w:tabs>
          <w:tab w:val="clear" w:pos="360"/>
        </w:tabs>
        <w:rPr>
          <w:rFonts w:eastAsia="Calibri"/>
          <w:lang w:val="fr-FR"/>
        </w:rPr>
      </w:pPr>
      <w:r>
        <w:rPr>
          <w:rFonts w:eastAsia="Calibri"/>
          <w:lang w:val="fr-FR"/>
        </w:rPr>
        <w:t>Un total de 21 </w:t>
      </w:r>
      <w:r w:rsidR="001430CF" w:rsidRPr="001430CF">
        <w:rPr>
          <w:rFonts w:eastAsia="Calibri"/>
          <w:lang w:val="fr-FR"/>
        </w:rPr>
        <w:t xml:space="preserve">Parties et deux États non parties ont répondu qu’ils avaient pris des mesures pour mettre en œuvre l’article 7, et </w:t>
      </w:r>
      <w:r>
        <w:rPr>
          <w:rFonts w:eastAsia="Calibri"/>
          <w:lang w:val="fr-FR"/>
        </w:rPr>
        <w:t>26 </w:t>
      </w:r>
      <w:r w:rsidR="001430CF" w:rsidRPr="001430CF">
        <w:rPr>
          <w:rFonts w:eastAsia="Calibri"/>
          <w:lang w:val="fr-FR"/>
        </w:rPr>
        <w:t>Parties ont signalé n’avoir pris aucune mesure en ce sens.</w:t>
      </w:r>
    </w:p>
    <w:p w:rsidR="004B62FA" w:rsidRPr="0010074A" w:rsidRDefault="001430CF" w:rsidP="001430CF">
      <w:pPr>
        <w:pStyle w:val="Para1"/>
        <w:tabs>
          <w:tab w:val="clear" w:pos="360"/>
        </w:tabs>
        <w:rPr>
          <w:rFonts w:eastAsia="Calibri"/>
          <w:szCs w:val="22"/>
          <w:lang w:val="fr-FR"/>
        </w:rPr>
      </w:pPr>
      <w:r w:rsidRPr="0010074A">
        <w:rPr>
          <w:rFonts w:eastAsia="Calibri"/>
          <w:kern w:val="22"/>
          <w:szCs w:val="22"/>
          <w:lang w:val="fr-FR"/>
        </w:rPr>
        <w:t xml:space="preserve">Les pays ayant répondu par l’affirmative à </w:t>
      </w:r>
      <w:r w:rsidR="009123B1">
        <w:rPr>
          <w:rFonts w:eastAsia="Calibri"/>
          <w:kern w:val="22"/>
          <w:szCs w:val="22"/>
          <w:lang w:val="fr-FR"/>
        </w:rPr>
        <w:t>cette question ont fait état de</w:t>
      </w:r>
      <w:r w:rsidRPr="0010074A">
        <w:rPr>
          <w:rFonts w:eastAsia="Calibri"/>
          <w:kern w:val="22"/>
          <w:szCs w:val="22"/>
          <w:lang w:val="fr-FR"/>
        </w:rPr>
        <w:t xml:space="preserve"> mesures prises pour résoudre cette question</w:t>
      </w:r>
      <w:r w:rsidRPr="0010074A">
        <w:rPr>
          <w:rStyle w:val="Appelnotedebasdep"/>
          <w:rFonts w:eastAsia="Calibri"/>
          <w:kern w:val="22"/>
          <w:sz w:val="22"/>
          <w:szCs w:val="22"/>
          <w:lang w:val="fr-FR"/>
        </w:rPr>
        <w:footnoteReference w:id="29"/>
      </w:r>
      <w:r w:rsidRPr="0010074A">
        <w:rPr>
          <w:rFonts w:eastAsia="Calibri"/>
          <w:kern w:val="22"/>
          <w:szCs w:val="22"/>
          <w:lang w:val="fr-FR"/>
        </w:rPr>
        <w:t>, ou de projets de mesures en cours ou de mesures approuvées en ce sens</w:t>
      </w:r>
      <w:r w:rsidRPr="0010074A">
        <w:rPr>
          <w:rStyle w:val="Appelnotedebasdep"/>
          <w:rFonts w:eastAsia="Calibri"/>
          <w:kern w:val="22"/>
          <w:sz w:val="22"/>
          <w:szCs w:val="22"/>
          <w:lang w:val="fr-FR"/>
        </w:rPr>
        <w:footnoteReference w:id="30"/>
      </w:r>
      <w:r w:rsidR="00D07D59" w:rsidRPr="0010074A">
        <w:rPr>
          <w:rFonts w:eastAsia="Calibri"/>
          <w:kern w:val="22"/>
          <w:szCs w:val="22"/>
          <w:lang w:val="fr-FR"/>
        </w:rPr>
        <w:t>.</w:t>
      </w:r>
      <w:r w:rsidRPr="0010074A">
        <w:rPr>
          <w:rFonts w:eastAsia="Calibri"/>
          <w:kern w:val="22"/>
          <w:szCs w:val="22"/>
          <w:lang w:val="fr-FR"/>
        </w:rPr>
        <w:t xml:space="preserve"> Plusieurs pays</w:t>
      </w:r>
      <w:r w:rsidRPr="0010074A">
        <w:rPr>
          <w:rStyle w:val="Appelnotedebasdep"/>
          <w:rFonts w:eastAsia="Calibri"/>
          <w:kern w:val="22"/>
          <w:sz w:val="22"/>
          <w:szCs w:val="22"/>
          <w:lang w:val="fr-FR"/>
        </w:rPr>
        <w:footnoteReference w:id="31"/>
      </w:r>
      <w:r w:rsidRPr="0010074A">
        <w:rPr>
          <w:rFonts w:eastAsia="Calibri"/>
          <w:kern w:val="22"/>
          <w:szCs w:val="22"/>
          <w:lang w:val="fr-FR"/>
        </w:rPr>
        <w:t xml:space="preserve"> ont fourni </w:t>
      </w:r>
      <w:r w:rsidR="00900E59">
        <w:rPr>
          <w:rFonts w:eastAsia="Calibri"/>
          <w:kern w:val="22"/>
          <w:szCs w:val="22"/>
          <w:lang w:val="fr-FR"/>
        </w:rPr>
        <w:t>des</w:t>
      </w:r>
      <w:r w:rsidRPr="0010074A">
        <w:rPr>
          <w:rFonts w:eastAsia="Calibri"/>
          <w:kern w:val="22"/>
          <w:szCs w:val="22"/>
          <w:lang w:val="fr-FR"/>
        </w:rPr>
        <w:t xml:space="preserve"> détails sur les mesures prises</w:t>
      </w:r>
      <w:r w:rsidR="004B62FA" w:rsidRPr="0010074A">
        <w:rPr>
          <w:rFonts w:eastAsia="Calibri"/>
          <w:kern w:val="22"/>
          <w:szCs w:val="22"/>
          <w:lang w:val="fr-FR"/>
        </w:rPr>
        <w:t>.</w:t>
      </w:r>
    </w:p>
    <w:p w:rsidR="00E20527" w:rsidRPr="0010074A" w:rsidRDefault="00357E92"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10074A">
        <w:rPr>
          <w:rFonts w:eastAsia="Calibri"/>
          <w:szCs w:val="22"/>
          <w:lang w:val="fr-FR"/>
        </w:rPr>
        <w:t>Plusieurs pays</w:t>
      </w:r>
      <w:r w:rsidR="00E20527" w:rsidRPr="0010074A">
        <w:rPr>
          <w:rStyle w:val="Appelnotedebasdep"/>
          <w:rFonts w:eastAsia="Calibri"/>
          <w:kern w:val="22"/>
          <w:sz w:val="22"/>
          <w:szCs w:val="22"/>
        </w:rPr>
        <w:footnoteReference w:id="32"/>
      </w:r>
      <w:r w:rsidR="00E20527" w:rsidRPr="0010074A">
        <w:rPr>
          <w:rFonts w:eastAsia="Calibri"/>
          <w:kern w:val="22"/>
          <w:szCs w:val="22"/>
        </w:rPr>
        <w:t xml:space="preserve"> </w:t>
      </w:r>
      <w:r w:rsidRPr="0010074A">
        <w:rPr>
          <w:rFonts w:eastAsia="Calibri"/>
          <w:szCs w:val="22"/>
          <w:lang w:val="fr-FR"/>
        </w:rPr>
        <w:t>ayant répondu par la négative à cette question ont indiqué qu’ils prévoyaient de l</w:t>
      </w:r>
      <w:r w:rsidR="00900E59">
        <w:rPr>
          <w:rFonts w:eastAsia="Calibri"/>
          <w:szCs w:val="22"/>
          <w:lang w:val="fr-FR"/>
        </w:rPr>
        <w:t xml:space="preserve">e faire lorsqu’ils élaboreront ou réviseront </w:t>
      </w:r>
      <w:r w:rsidRPr="0010074A">
        <w:rPr>
          <w:rFonts w:eastAsia="Calibri"/>
          <w:szCs w:val="22"/>
          <w:lang w:val="fr-FR"/>
        </w:rPr>
        <w:t xml:space="preserve">leurs mesures </w:t>
      </w:r>
      <w:r w:rsidR="00900E59">
        <w:rPr>
          <w:rFonts w:eastAsia="Calibri"/>
          <w:szCs w:val="22"/>
          <w:lang w:val="fr-FR"/>
        </w:rPr>
        <w:t>sur</w:t>
      </w:r>
      <w:r w:rsidRPr="0010074A">
        <w:rPr>
          <w:rFonts w:eastAsia="Calibri"/>
          <w:szCs w:val="22"/>
          <w:lang w:val="fr-FR"/>
        </w:rPr>
        <w:t xml:space="preserve"> l’accès et le partage des avantages</w:t>
      </w:r>
      <w:r w:rsidR="00E20527" w:rsidRPr="0010074A">
        <w:rPr>
          <w:rFonts w:eastAsia="Calibri"/>
          <w:kern w:val="22"/>
          <w:szCs w:val="22"/>
        </w:rPr>
        <w:t>.</w:t>
      </w:r>
    </w:p>
    <w:p w:rsidR="00E20527" w:rsidRPr="00D35D9A" w:rsidRDefault="00357E92" w:rsidP="00E20527">
      <w:pPr>
        <w:pStyle w:val="Titre3"/>
        <w:keepNext w:val="0"/>
        <w:numPr>
          <w:ilvl w:val="1"/>
          <w:numId w:val="13"/>
        </w:numPr>
        <w:suppressLineNumbers/>
        <w:suppressAutoHyphens/>
        <w:kinsoku w:val="0"/>
        <w:overflowPunct w:val="0"/>
        <w:autoSpaceDE w:val="0"/>
        <w:autoSpaceDN w:val="0"/>
        <w:adjustRightInd w:val="0"/>
        <w:snapToGrid w:val="0"/>
        <w:jc w:val="left"/>
        <w:rPr>
          <w:rFonts w:eastAsia="Calibri"/>
          <w:snapToGrid w:val="0"/>
          <w:kern w:val="22"/>
          <w:szCs w:val="22"/>
        </w:rPr>
      </w:pPr>
      <w:r w:rsidRPr="005A7E47">
        <w:rPr>
          <w:rFonts w:eastAsia="Calibri"/>
          <w:snapToGrid w:val="0"/>
          <w:kern w:val="22"/>
          <w:lang w:val="fr-FR"/>
        </w:rPr>
        <w:t>En mettant en œuvre les obligations qui lui incombent en vertu du Protocole, en conformité avec son droit interne, votre pays tient-il compte du droit coutumier des communautés autochtones et locales ainsi que de leurs protocoles et procédures, pour tout ce qui concerne les connaissances traditionnelles associées aux ressources génétique</w:t>
      </w:r>
      <w:r w:rsidR="00900E59">
        <w:rPr>
          <w:rFonts w:eastAsia="Calibri"/>
          <w:snapToGrid w:val="0"/>
          <w:kern w:val="22"/>
          <w:lang w:val="fr-FR"/>
        </w:rPr>
        <w:t>s comme le prévoit l’article 12.</w:t>
      </w:r>
      <w:r w:rsidRPr="005A7E47">
        <w:rPr>
          <w:rFonts w:eastAsia="Calibri"/>
          <w:snapToGrid w:val="0"/>
          <w:kern w:val="22"/>
          <w:lang w:val="fr-FR"/>
        </w:rPr>
        <w:t>1 ? (question 40</w:t>
      </w:r>
      <w:r w:rsidR="00E20527" w:rsidRPr="00D35D9A">
        <w:rPr>
          <w:rFonts w:eastAsia="Calibri"/>
          <w:snapToGrid w:val="0"/>
          <w:kern w:val="22"/>
          <w:szCs w:val="22"/>
        </w:rPr>
        <w:t>)</w:t>
      </w:r>
    </w:p>
    <w:p w:rsidR="00E20527" w:rsidRPr="00D35D9A" w:rsidRDefault="00357E92"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Pr>
          <w:rFonts w:eastAsia="Calibri"/>
          <w:lang w:val="fr-FR"/>
        </w:rPr>
        <w:t>Un total de 24 </w:t>
      </w:r>
      <w:r w:rsidRPr="004A025D">
        <w:rPr>
          <w:rFonts w:eastAsia="Calibri"/>
          <w:lang w:val="fr-FR"/>
        </w:rPr>
        <w:t xml:space="preserve">Parties et un État non partie ont répondu qu’ils tenaient compte du droit coutumier des communautés autochtones et locales ainsi que de leurs protocoles et procédures, pour tout ce qui concerne les connaissances traditionnelles associées aux ressources génétiques, et </w:t>
      </w:r>
      <w:r w:rsidR="001530D8">
        <w:rPr>
          <w:rFonts w:eastAsia="Calibri"/>
          <w:lang w:val="fr-FR"/>
        </w:rPr>
        <w:t>24 </w:t>
      </w:r>
      <w:r w:rsidRPr="004A025D">
        <w:rPr>
          <w:rFonts w:eastAsia="Calibri"/>
          <w:lang w:val="fr-FR"/>
        </w:rPr>
        <w:t>Parties et un État non partie ont signalé ne pas le faire</w:t>
      </w:r>
      <w:r w:rsidR="00E20527" w:rsidRPr="00D35D9A">
        <w:rPr>
          <w:rFonts w:eastAsia="Calibri"/>
          <w:kern w:val="22"/>
          <w:szCs w:val="22"/>
        </w:rPr>
        <w:t>.</w:t>
      </w:r>
    </w:p>
    <w:p w:rsidR="00E20527" w:rsidRPr="00D35D9A" w:rsidRDefault="00357E92"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4A025D">
        <w:rPr>
          <w:rFonts w:eastAsia="Calibri"/>
          <w:lang w:val="fr-FR"/>
        </w:rPr>
        <w:t>Plusieurs des pays ayant répondu par l’affirmative à cette question ont fourni des informations sur les lois concernées, en attestant de leur respect du droit coutumier</w:t>
      </w:r>
      <w:r w:rsidR="00E20527" w:rsidRPr="00D35D9A">
        <w:rPr>
          <w:rStyle w:val="Appelnotedebasdep"/>
          <w:rFonts w:eastAsia="Calibri"/>
          <w:kern w:val="22"/>
          <w:sz w:val="22"/>
          <w:szCs w:val="22"/>
        </w:rPr>
        <w:footnoteReference w:id="33"/>
      </w:r>
      <w:r>
        <w:rPr>
          <w:rFonts w:eastAsia="Calibri"/>
          <w:lang w:val="fr-FR"/>
        </w:rPr>
        <w:t>,</w:t>
      </w:r>
      <w:r w:rsidR="00E20527" w:rsidRPr="00D35D9A">
        <w:rPr>
          <w:rFonts w:eastAsia="Calibri"/>
          <w:kern w:val="22"/>
          <w:szCs w:val="22"/>
        </w:rPr>
        <w:t xml:space="preserve"> </w:t>
      </w:r>
      <w:r w:rsidRPr="004A025D">
        <w:rPr>
          <w:rFonts w:eastAsia="Calibri"/>
          <w:lang w:val="fr-FR"/>
        </w:rPr>
        <w:t xml:space="preserve">et certains ont </w:t>
      </w:r>
      <w:r w:rsidR="00231FE1">
        <w:rPr>
          <w:rFonts w:eastAsia="Calibri"/>
          <w:lang w:val="fr-FR"/>
        </w:rPr>
        <w:t xml:space="preserve">également </w:t>
      </w:r>
      <w:r w:rsidRPr="004A025D">
        <w:rPr>
          <w:rFonts w:eastAsia="Calibri"/>
          <w:lang w:val="fr-FR"/>
        </w:rPr>
        <w:t>indiqué qu’ils reconnaissaient le droit coutumier dans le</w:t>
      </w:r>
      <w:r w:rsidR="00231FE1">
        <w:rPr>
          <w:rFonts w:eastAsia="Calibri"/>
          <w:lang w:val="fr-FR"/>
        </w:rPr>
        <w:t>ur</w:t>
      </w:r>
      <w:r w:rsidRPr="004A025D">
        <w:rPr>
          <w:rFonts w:eastAsia="Calibri"/>
          <w:lang w:val="fr-FR"/>
        </w:rPr>
        <w:t xml:space="preserve">s mesures </w:t>
      </w:r>
      <w:r w:rsidR="00231FE1">
        <w:rPr>
          <w:rFonts w:eastAsia="Calibri"/>
          <w:lang w:val="fr-FR"/>
        </w:rPr>
        <w:t>sur</w:t>
      </w:r>
      <w:r w:rsidRPr="004A025D">
        <w:rPr>
          <w:rFonts w:eastAsia="Calibri"/>
          <w:lang w:val="fr-FR"/>
        </w:rPr>
        <w:t xml:space="preserve"> l’accès et le partage des avantages</w:t>
      </w:r>
      <w:r w:rsidR="00E20527" w:rsidRPr="00D35D9A">
        <w:rPr>
          <w:rStyle w:val="Appelnotedebasdep"/>
          <w:rFonts w:eastAsia="Calibri"/>
          <w:kern w:val="22"/>
          <w:sz w:val="22"/>
          <w:szCs w:val="22"/>
        </w:rPr>
        <w:footnoteReference w:id="34"/>
      </w:r>
      <w:r>
        <w:rPr>
          <w:rFonts w:eastAsia="Calibri"/>
          <w:lang w:val="fr-FR"/>
        </w:rPr>
        <w:t>.</w:t>
      </w:r>
      <w:r w:rsidR="00E20527" w:rsidRPr="00D35D9A">
        <w:rPr>
          <w:rFonts w:eastAsia="Calibri"/>
          <w:kern w:val="22"/>
          <w:szCs w:val="22"/>
        </w:rPr>
        <w:t xml:space="preserve"> </w:t>
      </w:r>
      <w:r w:rsidRPr="004A025D">
        <w:rPr>
          <w:rFonts w:eastAsia="Calibri"/>
          <w:lang w:val="fr-FR"/>
        </w:rPr>
        <w:t>Un pays</w:t>
      </w:r>
      <w:r w:rsidR="00E20527" w:rsidRPr="00D35D9A">
        <w:rPr>
          <w:rStyle w:val="Appelnotedebasdep"/>
          <w:rFonts w:eastAsia="Calibri"/>
          <w:kern w:val="22"/>
          <w:sz w:val="22"/>
          <w:szCs w:val="22"/>
        </w:rPr>
        <w:footnoteReference w:id="35"/>
      </w:r>
      <w:r w:rsidR="00E20527" w:rsidRPr="00D35D9A">
        <w:rPr>
          <w:rFonts w:eastAsia="Calibri"/>
          <w:kern w:val="22"/>
          <w:szCs w:val="22"/>
        </w:rPr>
        <w:t xml:space="preserve"> </w:t>
      </w:r>
      <w:r w:rsidRPr="004A025D">
        <w:rPr>
          <w:rFonts w:eastAsia="Calibri"/>
          <w:lang w:val="fr-FR"/>
        </w:rPr>
        <w:t>a fourni des informations sur sa reconnaissance des protocoles communautaires.</w:t>
      </w:r>
      <w:r w:rsidRPr="000E3A47">
        <w:rPr>
          <w:rFonts w:eastAsia="Calibri"/>
        </w:rPr>
        <w:t xml:space="preserve"> </w:t>
      </w:r>
      <w:r w:rsidRPr="004A025D">
        <w:rPr>
          <w:rFonts w:eastAsia="Calibri"/>
          <w:lang w:val="fr-FR"/>
        </w:rPr>
        <w:t>Plusieurs pays</w:t>
      </w:r>
      <w:r w:rsidR="00E20527" w:rsidRPr="00D35D9A">
        <w:rPr>
          <w:rStyle w:val="Appelnotedebasdep"/>
          <w:rFonts w:eastAsia="Calibri"/>
          <w:kern w:val="22"/>
          <w:sz w:val="22"/>
          <w:szCs w:val="22"/>
        </w:rPr>
        <w:footnoteReference w:id="36"/>
      </w:r>
      <w:r w:rsidR="00E20527" w:rsidRPr="00D35D9A">
        <w:rPr>
          <w:rFonts w:eastAsia="Calibri"/>
          <w:kern w:val="22"/>
          <w:szCs w:val="22"/>
        </w:rPr>
        <w:t xml:space="preserve"> </w:t>
      </w:r>
      <w:r w:rsidRPr="004A025D">
        <w:rPr>
          <w:rFonts w:eastAsia="Calibri"/>
          <w:lang w:val="fr-FR"/>
        </w:rPr>
        <w:t xml:space="preserve">ont indiqué qu’ils prévoyaient de prendre en considération </w:t>
      </w:r>
      <w:r>
        <w:rPr>
          <w:rFonts w:eastAsia="Calibri"/>
          <w:lang w:val="fr-FR"/>
        </w:rPr>
        <w:t>la</w:t>
      </w:r>
      <w:r w:rsidRPr="004A025D">
        <w:rPr>
          <w:rFonts w:eastAsia="Calibri"/>
          <w:lang w:val="fr-FR"/>
        </w:rPr>
        <w:t xml:space="preserve"> demande </w:t>
      </w:r>
      <w:r>
        <w:rPr>
          <w:rFonts w:eastAsia="Calibri"/>
          <w:lang w:val="fr-FR"/>
        </w:rPr>
        <w:t>relative au</w:t>
      </w:r>
      <w:r w:rsidRPr="004A025D">
        <w:rPr>
          <w:rFonts w:eastAsia="Calibri"/>
          <w:lang w:val="fr-FR"/>
        </w:rPr>
        <w:t xml:space="preserve"> droit coutumier et les</w:t>
      </w:r>
      <w:r w:rsidR="00AB61B1">
        <w:rPr>
          <w:rFonts w:eastAsia="Calibri"/>
          <w:lang w:val="fr-FR"/>
        </w:rPr>
        <w:t xml:space="preserve"> protocoles communautaires lorsqu’ils élaboreront ou réviseront</w:t>
      </w:r>
      <w:r w:rsidRPr="004A025D">
        <w:rPr>
          <w:rFonts w:eastAsia="Calibri"/>
          <w:lang w:val="fr-FR"/>
        </w:rPr>
        <w:t xml:space="preserve"> leurs mesures sur l’accès et le partage des avantages</w:t>
      </w:r>
      <w:r w:rsidR="00E20527" w:rsidRPr="00D35D9A">
        <w:rPr>
          <w:rFonts w:eastAsia="Calibri"/>
          <w:kern w:val="22"/>
          <w:szCs w:val="22"/>
        </w:rPr>
        <w:t>.</w:t>
      </w:r>
    </w:p>
    <w:p w:rsidR="00E20527" w:rsidRPr="0010074A" w:rsidRDefault="00357E92"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10074A">
        <w:rPr>
          <w:rFonts w:eastAsia="Calibri"/>
          <w:szCs w:val="22"/>
          <w:lang w:val="fr-FR"/>
        </w:rPr>
        <w:lastRenderedPageBreak/>
        <w:t>Parmi les pays ayant répondu par l’affirmative à cette question, dix pays</w:t>
      </w:r>
      <w:r w:rsidRPr="0010074A">
        <w:rPr>
          <w:rStyle w:val="Appelnotedebasdep"/>
          <w:rFonts w:eastAsia="Calibri"/>
          <w:kern w:val="22"/>
          <w:sz w:val="22"/>
          <w:szCs w:val="22"/>
          <w:lang w:val="fr-FR"/>
        </w:rPr>
        <w:footnoteReference w:id="37"/>
      </w:r>
      <w:r w:rsidRPr="0010074A">
        <w:rPr>
          <w:rFonts w:eastAsia="Calibri"/>
          <w:szCs w:val="22"/>
          <w:lang w:val="fr-FR"/>
        </w:rPr>
        <w:t xml:space="preserve"> ont indiqué qu’ils prévoyaient de prendre en considération la demande relative au droit coutumier et aux protocoles communautaires lors de la mise au point ou de la révision de leurs mesures sur l’accès et le partage des avantages</w:t>
      </w:r>
      <w:r w:rsidR="00E20527" w:rsidRPr="0010074A">
        <w:rPr>
          <w:rFonts w:eastAsia="Calibri"/>
          <w:kern w:val="22"/>
          <w:szCs w:val="22"/>
        </w:rPr>
        <w:t>.</w:t>
      </w:r>
    </w:p>
    <w:p w:rsidR="00E20527" w:rsidRPr="00D35D9A" w:rsidRDefault="00357E92" w:rsidP="00E20527">
      <w:pPr>
        <w:pStyle w:val="Titre3"/>
        <w:keepNext w:val="0"/>
        <w:numPr>
          <w:ilvl w:val="1"/>
          <w:numId w:val="13"/>
        </w:numPr>
        <w:suppressLineNumbers/>
        <w:suppressAutoHyphens/>
        <w:kinsoku w:val="0"/>
        <w:overflowPunct w:val="0"/>
        <w:autoSpaceDE w:val="0"/>
        <w:autoSpaceDN w:val="0"/>
        <w:adjustRightInd w:val="0"/>
        <w:snapToGrid w:val="0"/>
        <w:jc w:val="left"/>
        <w:rPr>
          <w:rFonts w:eastAsia="Calibri"/>
          <w:snapToGrid w:val="0"/>
          <w:kern w:val="22"/>
          <w:szCs w:val="22"/>
        </w:rPr>
      </w:pPr>
      <w:r w:rsidRPr="00B520F3">
        <w:rPr>
          <w:rFonts w:eastAsia="Calibri"/>
          <w:snapToGrid w:val="0"/>
          <w:kern w:val="22"/>
          <w:lang w:val="fr-FR"/>
        </w:rPr>
        <w:t>Votre pays a-t-il établi des mécanismes pour informer les utilisateurs potentiels de connaissances traditionnelles associées aux ressources génétiques de leurs obligations comme le prévoit l’article 12.2 ? (question 41</w:t>
      </w:r>
      <w:r w:rsidR="00E20527" w:rsidRPr="00D35D9A">
        <w:rPr>
          <w:rFonts w:eastAsia="Calibri"/>
          <w:snapToGrid w:val="0"/>
          <w:kern w:val="22"/>
          <w:szCs w:val="22"/>
        </w:rPr>
        <w:t>)</w:t>
      </w:r>
    </w:p>
    <w:p w:rsidR="00E20527" w:rsidRPr="00D35D9A" w:rsidRDefault="00357E92"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6D3C64">
        <w:rPr>
          <w:rFonts w:eastAsia="Calibri"/>
          <w:kern w:val="22"/>
          <w:szCs w:val="22"/>
          <w:lang w:val="fr-FR"/>
        </w:rPr>
        <w:t xml:space="preserve">Un total de 19 Parties et deux États non parties ont </w:t>
      </w:r>
      <w:r w:rsidR="008601D9">
        <w:rPr>
          <w:rFonts w:eastAsia="Calibri"/>
          <w:kern w:val="22"/>
          <w:szCs w:val="22"/>
          <w:lang w:val="fr-FR"/>
        </w:rPr>
        <w:t>répondu</w:t>
      </w:r>
      <w:r w:rsidRPr="006D3C64">
        <w:rPr>
          <w:rFonts w:eastAsia="Calibri"/>
          <w:kern w:val="22"/>
          <w:szCs w:val="22"/>
          <w:lang w:val="fr-FR"/>
        </w:rPr>
        <w:t xml:space="preserve"> qu’ils avaient établi des mécanismes en vue d’informer les utilisateurs éventuels de connaissances traditionnelles associées aux ressources génétiques</w:t>
      </w:r>
      <w:r>
        <w:rPr>
          <w:rFonts w:eastAsia="Calibri"/>
          <w:kern w:val="22"/>
          <w:szCs w:val="22"/>
          <w:lang w:val="fr-FR"/>
        </w:rPr>
        <w:t>,</w:t>
      </w:r>
      <w:r w:rsidRPr="006D3C64">
        <w:rPr>
          <w:rFonts w:eastAsia="Calibri"/>
          <w:kern w:val="22"/>
          <w:szCs w:val="22"/>
          <w:lang w:val="fr-FR"/>
        </w:rPr>
        <w:t xml:space="preserve"> </w:t>
      </w:r>
      <w:r>
        <w:rPr>
          <w:rFonts w:eastAsia="Calibri"/>
          <w:kern w:val="22"/>
          <w:szCs w:val="22"/>
          <w:lang w:val="fr-FR"/>
        </w:rPr>
        <w:t>d</w:t>
      </w:r>
      <w:r w:rsidRPr="006D3C64">
        <w:rPr>
          <w:rFonts w:eastAsia="Calibri"/>
          <w:kern w:val="22"/>
          <w:szCs w:val="22"/>
          <w:lang w:val="fr-FR"/>
        </w:rPr>
        <w:t>es obligations qui leur incombent, et 28 Parties ont répondu n’avoir établi aucun mécanisme</w:t>
      </w:r>
      <w:r w:rsidR="00E20527" w:rsidRPr="00D35D9A">
        <w:rPr>
          <w:rFonts w:eastAsia="Calibri"/>
          <w:kern w:val="22"/>
          <w:szCs w:val="22"/>
        </w:rPr>
        <w:t>.</w:t>
      </w:r>
    </w:p>
    <w:p w:rsidR="00E20527" w:rsidRPr="0010074A" w:rsidRDefault="00357E92"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10074A">
        <w:rPr>
          <w:rFonts w:eastAsia="Calibri"/>
          <w:kern w:val="22"/>
          <w:szCs w:val="22"/>
          <w:lang w:val="fr-FR"/>
        </w:rPr>
        <w:t>Parmi les pays ayant répondu par l’affirmative à cette question, plusieurs d’entre eux</w:t>
      </w:r>
      <w:r w:rsidRPr="0010074A">
        <w:rPr>
          <w:rStyle w:val="Appelnotedebasdep"/>
          <w:rFonts w:eastAsia="Calibri"/>
          <w:kern w:val="22"/>
          <w:sz w:val="22"/>
          <w:szCs w:val="22"/>
          <w:lang w:val="fr-FR"/>
        </w:rPr>
        <w:footnoteReference w:id="38"/>
      </w:r>
      <w:r w:rsidRPr="0010074A">
        <w:rPr>
          <w:rFonts w:eastAsia="Calibri"/>
          <w:kern w:val="22"/>
          <w:szCs w:val="22"/>
          <w:lang w:val="fr-FR"/>
        </w:rPr>
        <w:t xml:space="preserve"> ont déclaré qu’ils prévoyaient de le faire, ou qu’ils </w:t>
      </w:r>
      <w:r w:rsidR="008601D9">
        <w:rPr>
          <w:rFonts w:eastAsia="Calibri"/>
          <w:kern w:val="22"/>
          <w:szCs w:val="22"/>
          <w:lang w:val="fr-FR"/>
        </w:rPr>
        <w:t>l’</w:t>
      </w:r>
      <w:r w:rsidRPr="0010074A">
        <w:rPr>
          <w:rFonts w:eastAsia="Calibri"/>
          <w:kern w:val="22"/>
          <w:szCs w:val="22"/>
          <w:lang w:val="fr-FR"/>
        </w:rPr>
        <w:t>avaient déjà fait, dans le cadre de leurs mesures sur l’accès et le partage des avantages</w:t>
      </w:r>
      <w:r w:rsidR="00E20527" w:rsidRPr="0010074A">
        <w:rPr>
          <w:rFonts w:eastAsia="Calibri"/>
          <w:kern w:val="22"/>
          <w:szCs w:val="22"/>
        </w:rPr>
        <w:t>.</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10074A">
        <w:rPr>
          <w:rFonts w:eastAsia="Calibri"/>
          <w:kern w:val="22"/>
          <w:szCs w:val="22"/>
          <w:lang w:val="fr-FR"/>
        </w:rPr>
        <w:t>Divers pays ont détaillé les activités qu’ils conduisent pour informer les utilisateurs éventuels des obligations qui leur incombent, notamment des actions de sensibilisation</w:t>
      </w:r>
      <w:r w:rsidRPr="0010074A">
        <w:rPr>
          <w:rStyle w:val="Appelnotedebasdep"/>
          <w:rFonts w:eastAsia="Calibri"/>
          <w:kern w:val="22"/>
          <w:sz w:val="22"/>
          <w:szCs w:val="22"/>
          <w:lang w:val="fr-FR"/>
        </w:rPr>
        <w:footnoteReference w:id="39"/>
      </w:r>
      <w:r w:rsidRPr="0010074A">
        <w:rPr>
          <w:rFonts w:eastAsia="Calibri"/>
          <w:kern w:val="22"/>
          <w:szCs w:val="22"/>
          <w:lang w:val="fr-FR"/>
        </w:rPr>
        <w:t xml:space="preserve"> ainsi que l’élaboration et la mise en œuvre d’un plan de communication</w:t>
      </w:r>
      <w:r w:rsidRPr="0010074A">
        <w:rPr>
          <w:rStyle w:val="Appelnotedebasdep"/>
          <w:rFonts w:eastAsia="Calibri"/>
          <w:kern w:val="22"/>
          <w:sz w:val="22"/>
          <w:szCs w:val="22"/>
        </w:rPr>
        <w:footnoteReference w:id="40"/>
      </w:r>
      <w:r w:rsidR="008601D9">
        <w:rPr>
          <w:rFonts w:eastAsia="Calibri"/>
          <w:kern w:val="22"/>
          <w:szCs w:val="22"/>
          <w:lang w:val="fr-FR"/>
        </w:rPr>
        <w:t>.</w:t>
      </w:r>
      <w:r w:rsidRPr="0010074A">
        <w:rPr>
          <w:rFonts w:eastAsia="Calibri"/>
          <w:kern w:val="22"/>
          <w:szCs w:val="22"/>
        </w:rPr>
        <w:t xml:space="preserve"> </w:t>
      </w:r>
      <w:r w:rsidRPr="0010074A">
        <w:rPr>
          <w:rFonts w:eastAsia="Calibri"/>
          <w:kern w:val="22"/>
          <w:szCs w:val="22"/>
          <w:lang w:val="fr-FR"/>
        </w:rPr>
        <w:t>D’autres pays ont signalé qu’ils avaient recours au Centre d’échange sur l’accès et le partage des avantages</w:t>
      </w:r>
      <w:r w:rsidRPr="0010074A">
        <w:rPr>
          <w:rStyle w:val="Appelnotedebasdep"/>
          <w:rFonts w:eastAsia="Calibri"/>
          <w:kern w:val="22"/>
          <w:sz w:val="22"/>
          <w:szCs w:val="22"/>
          <w:lang w:val="fr-FR"/>
        </w:rPr>
        <w:footnoteReference w:id="41"/>
      </w:r>
      <w:r w:rsidRPr="0010074A">
        <w:rPr>
          <w:rFonts w:eastAsia="Calibri"/>
          <w:kern w:val="22"/>
          <w:szCs w:val="22"/>
          <w:lang w:val="fr-FR"/>
        </w:rPr>
        <w:t>, à des sites Web</w:t>
      </w:r>
      <w:r w:rsidRPr="0010074A">
        <w:rPr>
          <w:rStyle w:val="Appelnotedebasdep"/>
          <w:rFonts w:eastAsia="Calibri"/>
          <w:kern w:val="22"/>
          <w:sz w:val="22"/>
          <w:szCs w:val="22"/>
          <w:lang w:val="fr-FR"/>
        </w:rPr>
        <w:footnoteReference w:id="42"/>
      </w:r>
      <w:r w:rsidRPr="0010074A">
        <w:rPr>
          <w:rFonts w:eastAsia="Calibri"/>
          <w:kern w:val="22"/>
          <w:szCs w:val="22"/>
          <w:lang w:val="fr-FR"/>
        </w:rPr>
        <w:t xml:space="preserve"> ou à leur centre national d’échange</w:t>
      </w:r>
      <w:r w:rsidRPr="0010074A">
        <w:rPr>
          <w:rStyle w:val="Appelnotedebasdep"/>
          <w:rFonts w:eastAsia="Calibri"/>
          <w:kern w:val="22"/>
          <w:sz w:val="22"/>
          <w:szCs w:val="22"/>
          <w:lang w:val="fr-FR"/>
        </w:rPr>
        <w:footnoteReference w:id="43"/>
      </w:r>
      <w:r w:rsidRPr="0010074A">
        <w:rPr>
          <w:rFonts w:eastAsia="Calibri"/>
          <w:kern w:val="22"/>
          <w:szCs w:val="22"/>
          <w:lang w:val="fr-FR"/>
        </w:rPr>
        <w:t xml:space="preserve"> pour informer les utilisateurs de ces connaissances des obligations qui leur incombent</w:t>
      </w:r>
      <w:r w:rsidR="00E20527" w:rsidRPr="0010074A">
        <w:rPr>
          <w:rFonts w:eastAsia="Calibri"/>
          <w:kern w:val="22"/>
          <w:szCs w:val="22"/>
        </w:rPr>
        <w:t>.</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10074A">
        <w:rPr>
          <w:rFonts w:eastAsia="Calibri"/>
          <w:kern w:val="22"/>
          <w:szCs w:val="22"/>
          <w:lang w:val="fr-FR"/>
        </w:rPr>
        <w:t>Parmi les pays ayant répondu par la négative à cette question, plusieurs</w:t>
      </w:r>
      <w:r w:rsidRPr="0010074A">
        <w:rPr>
          <w:rStyle w:val="Appelnotedebasdep"/>
          <w:rFonts w:eastAsia="Calibri"/>
          <w:kern w:val="22"/>
          <w:sz w:val="22"/>
          <w:szCs w:val="22"/>
          <w:lang w:val="fr-FR"/>
        </w:rPr>
        <w:footnoteReference w:id="44"/>
      </w:r>
      <w:r w:rsidRPr="0010074A">
        <w:rPr>
          <w:rFonts w:eastAsia="Calibri"/>
          <w:kern w:val="22"/>
          <w:szCs w:val="22"/>
          <w:lang w:val="fr-FR"/>
        </w:rPr>
        <w:t xml:space="preserve"> ont indiqué qu’ils envisageaient de </w:t>
      </w:r>
      <w:r w:rsidR="008601D9">
        <w:rPr>
          <w:rFonts w:eastAsia="Calibri"/>
          <w:kern w:val="22"/>
          <w:szCs w:val="22"/>
          <w:lang w:val="fr-FR"/>
        </w:rPr>
        <w:t>résoudre cette question</w:t>
      </w:r>
      <w:r w:rsidRPr="0010074A">
        <w:rPr>
          <w:rFonts w:eastAsia="Calibri"/>
          <w:kern w:val="22"/>
          <w:szCs w:val="22"/>
          <w:lang w:val="fr-FR"/>
        </w:rPr>
        <w:t>.</w:t>
      </w:r>
      <w:r w:rsidRPr="0010074A">
        <w:rPr>
          <w:rFonts w:eastAsia="Calibri"/>
          <w:kern w:val="22"/>
          <w:szCs w:val="22"/>
        </w:rPr>
        <w:t xml:space="preserve"> </w:t>
      </w:r>
      <w:r w:rsidRPr="0010074A">
        <w:rPr>
          <w:rFonts w:eastAsia="Calibri"/>
          <w:kern w:val="22"/>
          <w:szCs w:val="22"/>
          <w:lang w:val="fr-FR"/>
        </w:rPr>
        <w:t>Toutefois, deux pays</w:t>
      </w:r>
      <w:r w:rsidRPr="0010074A">
        <w:rPr>
          <w:rStyle w:val="Appelnotedebasdep"/>
          <w:rFonts w:eastAsia="Calibri"/>
          <w:kern w:val="22"/>
          <w:sz w:val="22"/>
          <w:szCs w:val="22"/>
          <w:lang w:val="fr-FR"/>
        </w:rPr>
        <w:footnoteReference w:id="45"/>
      </w:r>
      <w:r w:rsidRPr="0010074A">
        <w:rPr>
          <w:rFonts w:eastAsia="Calibri"/>
          <w:kern w:val="22"/>
          <w:szCs w:val="22"/>
          <w:lang w:val="fr-FR"/>
        </w:rPr>
        <w:t xml:space="preserve"> ont déclaré qu’ils avaient conduit des activités de sensibilisation, et deux pays ont présenté le</w:t>
      </w:r>
      <w:r w:rsidR="008601D9">
        <w:rPr>
          <w:rFonts w:eastAsia="Calibri"/>
          <w:kern w:val="22"/>
          <w:szCs w:val="22"/>
          <w:lang w:val="fr-FR"/>
        </w:rPr>
        <w:t>s</w:t>
      </w:r>
      <w:r w:rsidRPr="0010074A">
        <w:rPr>
          <w:rFonts w:eastAsia="Calibri"/>
          <w:kern w:val="22"/>
          <w:szCs w:val="22"/>
          <w:lang w:val="fr-FR"/>
        </w:rPr>
        <w:t xml:space="preserve"> plan</w:t>
      </w:r>
      <w:r w:rsidR="008601D9">
        <w:rPr>
          <w:rFonts w:eastAsia="Calibri"/>
          <w:kern w:val="22"/>
          <w:szCs w:val="22"/>
          <w:lang w:val="fr-FR"/>
        </w:rPr>
        <w:t>s</w:t>
      </w:r>
      <w:r w:rsidRPr="0010074A">
        <w:rPr>
          <w:rFonts w:eastAsia="Calibri"/>
          <w:kern w:val="22"/>
          <w:szCs w:val="22"/>
          <w:lang w:val="fr-FR"/>
        </w:rPr>
        <w:t xml:space="preserve"> </w:t>
      </w:r>
      <w:r w:rsidR="008601D9">
        <w:rPr>
          <w:rFonts w:eastAsia="Calibri"/>
          <w:kern w:val="22"/>
          <w:szCs w:val="22"/>
          <w:lang w:val="fr-FR"/>
        </w:rPr>
        <w:t xml:space="preserve">qu’ils ont </w:t>
      </w:r>
      <w:r w:rsidRPr="0010074A">
        <w:rPr>
          <w:rFonts w:eastAsia="Calibri"/>
          <w:kern w:val="22"/>
          <w:szCs w:val="22"/>
          <w:lang w:val="fr-FR"/>
        </w:rPr>
        <w:t>adopté</w:t>
      </w:r>
      <w:r w:rsidR="008601D9">
        <w:rPr>
          <w:rFonts w:eastAsia="Calibri"/>
          <w:kern w:val="22"/>
          <w:szCs w:val="22"/>
          <w:lang w:val="fr-FR"/>
        </w:rPr>
        <w:t>s</w:t>
      </w:r>
      <w:r w:rsidRPr="0010074A">
        <w:rPr>
          <w:rFonts w:eastAsia="Calibri"/>
          <w:kern w:val="22"/>
          <w:szCs w:val="22"/>
          <w:lang w:val="fr-FR"/>
        </w:rPr>
        <w:t xml:space="preserve"> pour mettre en place un centre national d’échange ou d’autres plateformes d’information</w:t>
      </w:r>
      <w:r w:rsidR="00E20527" w:rsidRPr="0010074A">
        <w:rPr>
          <w:rStyle w:val="Appelnotedebasdep"/>
          <w:rFonts w:eastAsia="Calibri"/>
          <w:kern w:val="22"/>
          <w:sz w:val="22"/>
          <w:szCs w:val="22"/>
        </w:rPr>
        <w:footnoteReference w:id="46"/>
      </w:r>
      <w:r w:rsidRPr="0010074A">
        <w:rPr>
          <w:rFonts w:eastAsia="Calibri"/>
          <w:kern w:val="22"/>
          <w:szCs w:val="22"/>
          <w:lang w:val="fr-FR"/>
        </w:rPr>
        <w:t>.</w:t>
      </w:r>
    </w:p>
    <w:p w:rsidR="00E20527" w:rsidRPr="0010074A" w:rsidRDefault="00217F60" w:rsidP="00E20527">
      <w:pPr>
        <w:pStyle w:val="Titre3"/>
        <w:keepNext w:val="0"/>
        <w:numPr>
          <w:ilvl w:val="1"/>
          <w:numId w:val="13"/>
        </w:numPr>
        <w:suppressLineNumbers/>
        <w:suppressAutoHyphens/>
        <w:kinsoku w:val="0"/>
        <w:overflowPunct w:val="0"/>
        <w:autoSpaceDE w:val="0"/>
        <w:autoSpaceDN w:val="0"/>
        <w:adjustRightInd w:val="0"/>
        <w:snapToGrid w:val="0"/>
        <w:jc w:val="left"/>
        <w:rPr>
          <w:rFonts w:eastAsia="Calibri"/>
          <w:snapToGrid w:val="0"/>
          <w:kern w:val="22"/>
          <w:szCs w:val="22"/>
        </w:rPr>
      </w:pPr>
      <w:r w:rsidRPr="0010074A">
        <w:rPr>
          <w:rFonts w:eastAsia="Calibri"/>
          <w:snapToGrid w:val="0"/>
          <w:kern w:val="22"/>
          <w:szCs w:val="22"/>
          <w:lang w:val="fr-FR"/>
        </w:rPr>
        <w:t>Votre pays appuie-t-il l’élaboration par les communautés autochtones et locales de protocoles communautaires, de conditions minimales pour la négociation de conditions convenues d’un commun accord et de clauses contractuelles type</w:t>
      </w:r>
      <w:r w:rsidR="008601D9">
        <w:rPr>
          <w:rFonts w:eastAsia="Calibri"/>
          <w:snapToGrid w:val="0"/>
          <w:kern w:val="22"/>
          <w:szCs w:val="22"/>
          <w:lang w:val="fr-FR"/>
        </w:rPr>
        <w:t>s comme le prévoit l’article 12.</w:t>
      </w:r>
      <w:r w:rsidRPr="0010074A">
        <w:rPr>
          <w:rFonts w:eastAsia="Calibri"/>
          <w:snapToGrid w:val="0"/>
          <w:kern w:val="22"/>
          <w:szCs w:val="22"/>
          <w:lang w:val="fr-FR"/>
        </w:rPr>
        <w:t>3 ? (question 42</w:t>
      </w:r>
      <w:r w:rsidR="00E20527" w:rsidRPr="0010074A">
        <w:rPr>
          <w:rFonts w:eastAsia="Calibri"/>
          <w:snapToGrid w:val="0"/>
          <w:kern w:val="22"/>
          <w:szCs w:val="22"/>
        </w:rPr>
        <w:t>)</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10074A">
        <w:rPr>
          <w:rFonts w:eastAsia="Calibri"/>
          <w:kern w:val="22"/>
          <w:szCs w:val="22"/>
          <w:lang w:val="fr-FR"/>
        </w:rPr>
        <w:t>Trente Parties et un État non partie ont répondu qu’ils appuyaient l’élaboration de protocoles communautaires ; 27 Parties et un État non partie, l’élaboration de conditions minimales pour la négociation de conditions convenues d’un commun accord ; et 22 Parties et un État non partie, l’élaboration de clauses contractuelles types</w:t>
      </w:r>
      <w:r w:rsidR="00E20527" w:rsidRPr="0010074A">
        <w:rPr>
          <w:rFonts w:eastAsia="Calibri"/>
          <w:kern w:val="22"/>
          <w:szCs w:val="22"/>
        </w:rPr>
        <w:t>.</w:t>
      </w:r>
    </w:p>
    <w:p w:rsidR="00E20527" w:rsidRPr="0010074A" w:rsidRDefault="00217F60" w:rsidP="00E20527">
      <w:pPr>
        <w:pStyle w:val="Titre3"/>
        <w:numPr>
          <w:ilvl w:val="0"/>
          <w:numId w:val="13"/>
        </w:numPr>
        <w:suppressLineNumbers/>
        <w:tabs>
          <w:tab w:val="clear" w:pos="567"/>
          <w:tab w:val="left" w:pos="360"/>
        </w:tabs>
        <w:suppressAutoHyphens/>
        <w:kinsoku w:val="0"/>
        <w:overflowPunct w:val="0"/>
        <w:autoSpaceDE w:val="0"/>
        <w:autoSpaceDN w:val="0"/>
        <w:adjustRightInd w:val="0"/>
        <w:snapToGrid w:val="0"/>
        <w:ind w:left="0" w:firstLine="0"/>
        <w:rPr>
          <w:rFonts w:eastAsia="Calibri"/>
          <w:snapToGrid w:val="0"/>
          <w:kern w:val="22"/>
          <w:szCs w:val="22"/>
        </w:rPr>
      </w:pPr>
      <w:r w:rsidRPr="0010074A">
        <w:rPr>
          <w:snapToGrid w:val="0"/>
          <w:kern w:val="22"/>
          <w:szCs w:val="22"/>
          <w:lang w:val="fr-FR"/>
        </w:rPr>
        <w:t>Informations additionnelles :</w:t>
      </w:r>
      <w:r w:rsidRPr="0010074A">
        <w:rPr>
          <w:snapToGrid w:val="0"/>
          <w:kern w:val="22"/>
          <w:szCs w:val="22"/>
        </w:rPr>
        <w:t xml:space="preserve"> </w:t>
      </w:r>
      <w:r w:rsidR="009947BB">
        <w:rPr>
          <w:snapToGrid w:val="0"/>
          <w:kern w:val="22"/>
          <w:szCs w:val="22"/>
          <w:lang w:val="fr-FR"/>
        </w:rPr>
        <w:t>r</w:t>
      </w:r>
      <w:r w:rsidRPr="0010074A">
        <w:rPr>
          <w:snapToGrid w:val="0"/>
          <w:kern w:val="22"/>
          <w:szCs w:val="22"/>
          <w:lang w:val="fr-FR"/>
        </w:rPr>
        <w:t>ésumé des principales difficultés (question 44</w:t>
      </w:r>
      <w:r w:rsidR="00E20527" w:rsidRPr="0010074A">
        <w:rPr>
          <w:rFonts w:eastAsia="Calibri"/>
          <w:snapToGrid w:val="0"/>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10074A">
        <w:rPr>
          <w:rFonts w:eastAsia="Calibri"/>
          <w:kern w:val="22"/>
          <w:szCs w:val="22"/>
          <w:lang w:val="fr-FR"/>
        </w:rPr>
        <w:t xml:space="preserve">Les pays ont été invités à résumer les difficultés qu’ils ont rencontrées </w:t>
      </w:r>
      <w:r w:rsidR="009947BB">
        <w:rPr>
          <w:rFonts w:eastAsia="Calibri"/>
          <w:kern w:val="22"/>
          <w:szCs w:val="22"/>
          <w:lang w:val="fr-FR"/>
        </w:rPr>
        <w:t>lorsqu’ils ont mis en place</w:t>
      </w:r>
      <w:r w:rsidRPr="0010074A">
        <w:rPr>
          <w:rFonts w:eastAsia="Calibri"/>
          <w:kern w:val="22"/>
          <w:szCs w:val="22"/>
          <w:lang w:val="fr-FR"/>
        </w:rPr>
        <w:t xml:space="preserve"> </w:t>
      </w:r>
      <w:r w:rsidR="009947BB">
        <w:rPr>
          <w:rFonts w:eastAsia="Calibri"/>
          <w:kern w:val="22"/>
          <w:szCs w:val="22"/>
          <w:lang w:val="fr-FR"/>
        </w:rPr>
        <w:t xml:space="preserve">leurs </w:t>
      </w:r>
      <w:r w:rsidRPr="0010074A">
        <w:rPr>
          <w:rFonts w:eastAsia="Calibri"/>
          <w:kern w:val="22"/>
          <w:szCs w:val="22"/>
          <w:lang w:val="fr-FR"/>
        </w:rPr>
        <w:t>mesures sur les connaissances traditionnelles associées aux ressources génétiques.</w:t>
      </w:r>
      <w:r w:rsidRPr="0010074A">
        <w:rPr>
          <w:rFonts w:eastAsia="Calibri"/>
          <w:kern w:val="22"/>
          <w:szCs w:val="22"/>
        </w:rPr>
        <w:t xml:space="preserve"> </w:t>
      </w:r>
      <w:r w:rsidRPr="0010074A">
        <w:rPr>
          <w:rFonts w:eastAsia="Calibri"/>
          <w:kern w:val="22"/>
          <w:szCs w:val="22"/>
          <w:lang w:val="fr-FR"/>
        </w:rPr>
        <w:t>Plusieurs pays ont indiqué qu’il serait nécessaire de sensibiliser les détenteurs de connaissances traditionnelles à ces</w:t>
      </w:r>
      <w:r w:rsidRPr="00C2792B">
        <w:rPr>
          <w:rFonts w:eastAsia="Calibri"/>
          <w:kern w:val="22"/>
          <w:szCs w:val="22"/>
          <w:lang w:val="fr-FR"/>
        </w:rPr>
        <w:t xml:space="preserve"> questions, et d’accroître leurs capacités</w:t>
      </w:r>
      <w:r w:rsidR="009947BB">
        <w:rPr>
          <w:rFonts w:eastAsia="Calibri"/>
          <w:kern w:val="22"/>
          <w:szCs w:val="22"/>
          <w:lang w:val="fr-FR"/>
        </w:rPr>
        <w:t xml:space="preserve"> dans ce domaine</w:t>
      </w:r>
      <w:r w:rsidRPr="00C2792B">
        <w:rPr>
          <w:rFonts w:eastAsia="Calibri"/>
          <w:kern w:val="22"/>
          <w:szCs w:val="22"/>
          <w:lang w:val="fr-FR"/>
        </w:rPr>
        <w:t>, et il a été noté que l’inexistence d’outils appropriés et l’accès limité à l’information posaient d’autres difficultés</w:t>
      </w:r>
      <w:r w:rsidR="00E20527" w:rsidRPr="00D35D9A">
        <w:rPr>
          <w:rFonts w:eastAsia="Calibri"/>
          <w:kern w:val="22"/>
          <w:szCs w:val="22"/>
        </w:rPr>
        <w:t>.</w:t>
      </w:r>
    </w:p>
    <w:p w:rsidR="00E20527" w:rsidRPr="00D35D9A" w:rsidRDefault="00933A8E"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Pr>
          <w:rFonts w:eastAsia="Calibri"/>
          <w:kern w:val="22"/>
          <w:szCs w:val="22"/>
          <w:lang w:val="fr-FR"/>
        </w:rPr>
        <w:lastRenderedPageBreak/>
        <w:t>Certaines</w:t>
      </w:r>
      <w:r w:rsidR="00217F60" w:rsidRPr="000F2482">
        <w:rPr>
          <w:rFonts w:eastAsia="Calibri"/>
          <w:kern w:val="22"/>
          <w:szCs w:val="22"/>
          <w:lang w:val="fr-FR"/>
        </w:rPr>
        <w:t xml:space="preserve"> Parties ont signalé qu’elles diffic</w:t>
      </w:r>
      <w:r w:rsidR="000833BB">
        <w:rPr>
          <w:rFonts w:eastAsia="Calibri"/>
          <w:kern w:val="22"/>
          <w:szCs w:val="22"/>
          <w:lang w:val="fr-FR"/>
        </w:rPr>
        <w:t xml:space="preserve">ilement </w:t>
      </w:r>
      <w:r>
        <w:rPr>
          <w:rFonts w:eastAsia="Calibri"/>
          <w:lang w:val="fr-FR"/>
        </w:rPr>
        <w:t>recens</w:t>
      </w:r>
      <w:r w:rsidR="000833BB">
        <w:rPr>
          <w:rFonts w:eastAsia="Calibri"/>
          <w:lang w:val="fr-FR"/>
        </w:rPr>
        <w:t>é</w:t>
      </w:r>
      <w:r>
        <w:rPr>
          <w:rFonts w:eastAsia="Calibri"/>
          <w:lang w:val="fr-FR"/>
        </w:rPr>
        <w:t xml:space="preserve"> l</w:t>
      </w:r>
      <w:r w:rsidR="00217F60" w:rsidRPr="000F2482">
        <w:rPr>
          <w:rFonts w:eastAsia="Calibri"/>
          <w:lang w:val="fr-FR"/>
        </w:rPr>
        <w:t>es gro</w:t>
      </w:r>
      <w:r>
        <w:rPr>
          <w:rFonts w:eastAsia="Calibri"/>
          <w:lang w:val="fr-FR"/>
        </w:rPr>
        <w:t>upes de peuples autochtones et l</w:t>
      </w:r>
      <w:r w:rsidR="00217F60" w:rsidRPr="000F2482">
        <w:rPr>
          <w:rFonts w:eastAsia="Calibri"/>
          <w:lang w:val="fr-FR"/>
        </w:rPr>
        <w:t xml:space="preserve">es communautés locales, </w:t>
      </w:r>
      <w:r>
        <w:rPr>
          <w:rFonts w:eastAsia="Calibri"/>
          <w:lang w:val="fr-FR"/>
        </w:rPr>
        <w:t>comp</w:t>
      </w:r>
      <w:r w:rsidR="000833BB">
        <w:rPr>
          <w:rFonts w:eastAsia="Calibri"/>
          <w:lang w:val="fr-FR"/>
        </w:rPr>
        <w:t>ris</w:t>
      </w:r>
      <w:r w:rsidR="00217F60" w:rsidRPr="000F2482">
        <w:rPr>
          <w:rFonts w:eastAsia="Calibri"/>
          <w:lang w:val="fr-FR"/>
        </w:rPr>
        <w:t xml:space="preserve"> leur mode d’organisation et </w:t>
      </w:r>
      <w:r>
        <w:rPr>
          <w:rFonts w:eastAsia="Calibri"/>
          <w:lang w:val="fr-FR"/>
        </w:rPr>
        <w:t>établi</w:t>
      </w:r>
      <w:r w:rsidR="000833BB">
        <w:rPr>
          <w:rFonts w:eastAsia="Calibri"/>
          <w:lang w:val="fr-FR"/>
        </w:rPr>
        <w:t xml:space="preserve"> </w:t>
      </w:r>
      <w:r w:rsidR="00217F60" w:rsidRPr="000F2482">
        <w:rPr>
          <w:rFonts w:eastAsia="Calibri"/>
          <w:lang w:val="fr-FR"/>
        </w:rPr>
        <w:t>la liste des détenteurs d</w:t>
      </w:r>
      <w:r w:rsidR="00217F60">
        <w:rPr>
          <w:rFonts w:eastAsia="Calibri"/>
          <w:lang w:val="fr-FR"/>
        </w:rPr>
        <w:t>e connaissances traditionnelles.</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8604D8">
        <w:rPr>
          <w:rFonts w:eastAsia="Calibri"/>
          <w:kern w:val="22"/>
          <w:szCs w:val="22"/>
          <w:lang w:val="fr-FR"/>
        </w:rPr>
        <w:t>Plusieurs pays ont souligné l’importance de décrire les ressources génétiques, les connaissances traditionnelles ou l’usage qui en est</w:t>
      </w:r>
      <w:r w:rsidR="001F5113">
        <w:rPr>
          <w:rFonts w:eastAsia="Calibri"/>
          <w:kern w:val="22"/>
          <w:szCs w:val="22"/>
          <w:lang w:val="fr-FR"/>
        </w:rPr>
        <w:t xml:space="preserve"> fait, en raison notamment des pertes affectant</w:t>
      </w:r>
      <w:r w:rsidRPr="008604D8">
        <w:rPr>
          <w:rFonts w:eastAsia="Calibri"/>
          <w:kern w:val="22"/>
          <w:szCs w:val="22"/>
          <w:lang w:val="fr-FR"/>
        </w:rPr>
        <w:t xml:space="preserve"> ces connaissances.</w:t>
      </w:r>
      <w:r w:rsidRPr="00D35D9A">
        <w:rPr>
          <w:rFonts w:eastAsia="Calibri"/>
          <w:kern w:val="22"/>
          <w:szCs w:val="22"/>
        </w:rPr>
        <w:t xml:space="preserve"> </w:t>
      </w:r>
      <w:r w:rsidRPr="008604D8">
        <w:rPr>
          <w:rFonts w:eastAsia="Calibri"/>
          <w:kern w:val="22"/>
          <w:szCs w:val="22"/>
          <w:lang w:val="fr-FR"/>
        </w:rPr>
        <w:t xml:space="preserve">Certains pays ont </w:t>
      </w:r>
      <w:r w:rsidR="001F5113">
        <w:rPr>
          <w:rFonts w:eastAsia="Calibri"/>
          <w:kern w:val="22"/>
          <w:szCs w:val="22"/>
          <w:lang w:val="fr-FR"/>
        </w:rPr>
        <w:t>difficilement établi</w:t>
      </w:r>
      <w:r w:rsidRPr="008604D8">
        <w:rPr>
          <w:rFonts w:eastAsia="Calibri"/>
          <w:kern w:val="22"/>
          <w:szCs w:val="22"/>
          <w:lang w:val="fr-FR"/>
        </w:rPr>
        <w:t xml:space="preserve"> des liens entre les connaissances traditionnelles et les droits de propriété intellectuelle</w:t>
      </w:r>
      <w:r w:rsidR="00E20527" w:rsidRPr="00D35D9A">
        <w:rPr>
          <w:rFonts w:eastAsia="Calibri"/>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rFonts w:eastAsia="Calibri"/>
          <w:kern w:val="22"/>
          <w:szCs w:val="22"/>
        </w:rPr>
      </w:pPr>
      <w:r w:rsidRPr="008604D8">
        <w:rPr>
          <w:rFonts w:eastAsia="Calibri"/>
          <w:kern w:val="22"/>
          <w:szCs w:val="22"/>
          <w:lang w:val="fr-FR"/>
        </w:rPr>
        <w:t>Les autres difficultés citées sont les suivantes :</w:t>
      </w:r>
      <w:r w:rsidRPr="00D35D9A">
        <w:rPr>
          <w:rFonts w:eastAsia="Calibri"/>
          <w:kern w:val="22"/>
          <w:szCs w:val="22"/>
        </w:rPr>
        <w:t xml:space="preserve"> </w:t>
      </w:r>
      <w:r w:rsidRPr="008604D8">
        <w:rPr>
          <w:rFonts w:eastAsia="Calibri"/>
          <w:kern w:val="22"/>
          <w:szCs w:val="22"/>
          <w:lang w:val="fr-FR"/>
        </w:rPr>
        <w:t>a) le fait que les entreprises rechignent à conclure des accords sur le partage d’avantages avec les détenteurs de connaissances traditionnelles ; b) l’établissement de proto</w:t>
      </w:r>
      <w:r w:rsidR="001F5113">
        <w:rPr>
          <w:rFonts w:eastAsia="Calibri"/>
          <w:kern w:val="22"/>
          <w:szCs w:val="22"/>
          <w:lang w:val="fr-FR"/>
        </w:rPr>
        <w:t>coles communautaires clairs pour l</w:t>
      </w:r>
      <w:r w:rsidRPr="008604D8">
        <w:rPr>
          <w:rFonts w:eastAsia="Calibri"/>
          <w:kern w:val="22"/>
          <w:szCs w:val="22"/>
          <w:lang w:val="fr-FR"/>
        </w:rPr>
        <w:t>es utilisateurs ; et c) la nécessité de recourir à des experts juridiques pour l’établissement de</w:t>
      </w:r>
      <w:r w:rsidR="001F5113">
        <w:rPr>
          <w:rFonts w:eastAsia="Calibri"/>
          <w:kern w:val="22"/>
          <w:szCs w:val="22"/>
          <w:lang w:val="fr-FR"/>
        </w:rPr>
        <w:t>s</w:t>
      </w:r>
      <w:r w:rsidRPr="008604D8">
        <w:rPr>
          <w:rFonts w:eastAsia="Calibri"/>
          <w:kern w:val="22"/>
          <w:szCs w:val="22"/>
          <w:lang w:val="fr-FR"/>
        </w:rPr>
        <w:t xml:space="preserve"> contrats relatifs aux connaissances traditionnelles</w:t>
      </w:r>
      <w:r w:rsidR="00E20527" w:rsidRPr="00D35D9A">
        <w:rPr>
          <w:rFonts w:eastAsia="Calibri"/>
          <w:kern w:val="22"/>
          <w:szCs w:val="22"/>
        </w:rPr>
        <w:t>.</w:t>
      </w:r>
    </w:p>
    <w:p w:rsidR="00E20527" w:rsidRPr="00D35D9A" w:rsidRDefault="00217F60" w:rsidP="00E20527">
      <w:pPr>
        <w:pStyle w:val="Titre2"/>
        <w:numPr>
          <w:ilvl w:val="0"/>
          <w:numId w:val="8"/>
        </w:numPr>
        <w:suppressLineNumbers/>
        <w:suppressAutoHyphens/>
        <w:kinsoku w:val="0"/>
        <w:overflowPunct w:val="0"/>
        <w:autoSpaceDE w:val="0"/>
        <w:autoSpaceDN w:val="0"/>
        <w:adjustRightInd w:val="0"/>
        <w:snapToGrid w:val="0"/>
        <w:jc w:val="left"/>
        <w:rPr>
          <w:snapToGrid w:val="0"/>
          <w:kern w:val="22"/>
          <w:szCs w:val="22"/>
        </w:rPr>
      </w:pPr>
      <w:r w:rsidRPr="008604D8">
        <w:rPr>
          <w:snapToGrid w:val="0"/>
          <w:kern w:val="22"/>
          <w:szCs w:val="22"/>
          <w:lang w:val="fr-FR"/>
        </w:rPr>
        <w:t xml:space="preserve">Synthèse des informations fournies par le biais des rapports nationaux </w:t>
      </w:r>
      <w:r w:rsidR="00E904EB">
        <w:rPr>
          <w:snapToGrid w:val="0"/>
          <w:kern w:val="22"/>
          <w:szCs w:val="22"/>
          <w:lang w:val="fr-FR"/>
        </w:rPr>
        <w:t>provisoires</w:t>
      </w:r>
      <w:r w:rsidRPr="008604D8">
        <w:rPr>
          <w:snapToGrid w:val="0"/>
          <w:kern w:val="22"/>
          <w:szCs w:val="22"/>
          <w:lang w:val="fr-FR"/>
        </w:rPr>
        <w:t xml:space="preserve"> et du Centre d’échange sur l’accès et le partage des avantages concernant l’article 11 du Protocole de Nagoy</w:t>
      </w:r>
      <w:r>
        <w:rPr>
          <w:snapToGrid w:val="0"/>
          <w:kern w:val="22"/>
          <w:szCs w:val="22"/>
          <w:lang w:val="fr-FR"/>
        </w:rPr>
        <w:t>a</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B12C89">
        <w:rPr>
          <w:kern w:val="22"/>
          <w:szCs w:val="22"/>
          <w:lang w:val="fr-FR"/>
        </w:rPr>
        <w:t xml:space="preserve">Comme indiqué </w:t>
      </w:r>
      <w:r w:rsidR="00E904EB">
        <w:rPr>
          <w:kern w:val="22"/>
          <w:szCs w:val="22"/>
          <w:lang w:val="fr-FR"/>
        </w:rPr>
        <w:t>précédemment, le paragraphe 6-a</w:t>
      </w:r>
      <w:r w:rsidRPr="00B12C89">
        <w:rPr>
          <w:kern w:val="22"/>
          <w:szCs w:val="22"/>
          <w:lang w:val="fr-FR"/>
        </w:rPr>
        <w:t xml:space="preserve"> de la décision relative à l’article 10 demande au Secrétaire exécutif de synthétiser </w:t>
      </w:r>
      <w:r w:rsidRPr="00B12C89">
        <w:rPr>
          <w:lang w:val="fr-FR"/>
        </w:rPr>
        <w:t xml:space="preserve">les informations fournies par le biais des rapports nationaux </w:t>
      </w:r>
      <w:r w:rsidR="00E904EB">
        <w:rPr>
          <w:lang w:val="fr-FR"/>
        </w:rPr>
        <w:t>provisoires</w:t>
      </w:r>
      <w:r w:rsidRPr="00B12C89">
        <w:rPr>
          <w:lang w:val="fr-FR"/>
        </w:rPr>
        <w:t xml:space="preserve"> et du Centre d’échange sur l’accès et le partage des avantages concernant l’article 10</w:t>
      </w:r>
      <w:r w:rsidR="00E20527" w:rsidRPr="00D35D9A">
        <w:rPr>
          <w:kern w:val="22"/>
          <w:szCs w:val="22"/>
        </w:rPr>
        <w:t>.</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kern w:val="22"/>
          <w:szCs w:val="22"/>
          <w:lang w:val="fr-FR"/>
        </w:rPr>
        <w:t xml:space="preserve">Les ressources génétiques et les connaissances traditionnelles associées aux mêmes ressources situées </w:t>
      </w:r>
      <w:r w:rsidRPr="003F5225">
        <w:rPr>
          <w:kern w:val="22"/>
          <w:szCs w:val="22"/>
          <w:lang w:val="fr-FR"/>
        </w:rPr>
        <w:t>in situ</w:t>
      </w:r>
      <w:r w:rsidRPr="0010074A">
        <w:rPr>
          <w:kern w:val="22"/>
          <w:szCs w:val="22"/>
          <w:lang w:val="fr-FR"/>
        </w:rPr>
        <w:t xml:space="preserve"> sur le territoire de plus d’une Partie sont souvent évoquées dans les discussions relatives à l’article 10 du Protocole de Nagoya</w:t>
      </w:r>
      <w:r w:rsidRPr="0010074A">
        <w:rPr>
          <w:rStyle w:val="Appelnotedebasdep"/>
          <w:kern w:val="22"/>
          <w:sz w:val="22"/>
          <w:szCs w:val="22"/>
        </w:rPr>
        <w:footnoteReference w:id="47"/>
      </w:r>
      <w:r w:rsidRPr="0010074A">
        <w:rPr>
          <w:kern w:val="22"/>
          <w:szCs w:val="22"/>
          <w:lang w:val="fr-FR"/>
        </w:rPr>
        <w:t>.</w:t>
      </w:r>
      <w:r w:rsidR="00286708" w:rsidRPr="0010074A">
        <w:rPr>
          <w:kern w:val="22"/>
          <w:szCs w:val="22"/>
        </w:rPr>
        <w:t xml:space="preserve"> </w:t>
      </w:r>
      <w:r w:rsidRPr="0010074A">
        <w:rPr>
          <w:kern w:val="22"/>
          <w:szCs w:val="22"/>
          <w:lang w:val="fr-FR"/>
        </w:rPr>
        <w:t xml:space="preserve">Étant donné que cette question est prise en considération par l’article 11 du Protocole </w:t>
      </w:r>
      <w:r w:rsidR="00E904EB">
        <w:rPr>
          <w:kern w:val="22"/>
          <w:szCs w:val="22"/>
          <w:lang w:val="fr-FR"/>
        </w:rPr>
        <w:t>relatif à</w:t>
      </w:r>
      <w:r w:rsidRPr="0010074A">
        <w:rPr>
          <w:kern w:val="22"/>
          <w:szCs w:val="22"/>
          <w:lang w:val="fr-FR"/>
        </w:rPr>
        <w:t xml:space="preserve"> la « coopération transfrontière », des informations sont présentées ci-après sur la mise en œuvre </w:t>
      </w:r>
      <w:r w:rsidR="00E904EB">
        <w:rPr>
          <w:kern w:val="22"/>
          <w:szCs w:val="22"/>
          <w:lang w:val="fr-FR"/>
        </w:rPr>
        <w:t>de l’</w:t>
      </w:r>
      <w:r w:rsidRPr="0010074A">
        <w:rPr>
          <w:kern w:val="22"/>
          <w:szCs w:val="22"/>
          <w:lang w:val="fr-FR"/>
        </w:rPr>
        <w:t>article</w:t>
      </w:r>
      <w:r w:rsidR="00E904EB">
        <w:rPr>
          <w:kern w:val="22"/>
          <w:szCs w:val="22"/>
          <w:lang w:val="fr-FR"/>
        </w:rPr>
        <w:t> 11</w:t>
      </w:r>
      <w:r w:rsidR="00E20527" w:rsidRPr="0010074A">
        <w:rPr>
          <w:kern w:val="22"/>
          <w:szCs w:val="22"/>
        </w:rPr>
        <w:t>.</w:t>
      </w:r>
    </w:p>
    <w:p w:rsidR="00E20527" w:rsidRPr="0010074A" w:rsidRDefault="00217F60" w:rsidP="00E20527">
      <w:pPr>
        <w:pStyle w:val="Titre3"/>
        <w:keepNext w:val="0"/>
        <w:numPr>
          <w:ilvl w:val="0"/>
          <w:numId w:val="18"/>
        </w:numPr>
        <w:suppressLineNumbers/>
        <w:tabs>
          <w:tab w:val="clear" w:pos="567"/>
          <w:tab w:val="left" w:pos="709"/>
        </w:tabs>
        <w:suppressAutoHyphens/>
        <w:kinsoku w:val="0"/>
        <w:overflowPunct w:val="0"/>
        <w:autoSpaceDE w:val="0"/>
        <w:autoSpaceDN w:val="0"/>
        <w:adjustRightInd w:val="0"/>
        <w:snapToGrid w:val="0"/>
        <w:ind w:left="714" w:hanging="357"/>
        <w:jc w:val="left"/>
        <w:rPr>
          <w:snapToGrid w:val="0"/>
          <w:kern w:val="22"/>
          <w:szCs w:val="22"/>
        </w:rPr>
      </w:pPr>
      <w:r w:rsidRPr="0010074A">
        <w:rPr>
          <w:snapToGrid w:val="0"/>
          <w:kern w:val="22"/>
          <w:szCs w:val="22"/>
          <w:lang w:val="fr-FR"/>
        </w:rPr>
        <w:t xml:space="preserve">Lorsque les mêmes ressources génétiques sont situées in situ sur le territoire de plus d’une Partie, votre pays s’efforce-t-il de coopérer, en vue d’appliquer le Protocole, avec la participation des communautés autochtones et locales concernées, comme le prévoit l’article 11.1 ? (question 48 du modèle de rapport national </w:t>
      </w:r>
      <w:r w:rsidR="00723035">
        <w:rPr>
          <w:snapToGrid w:val="0"/>
          <w:kern w:val="22"/>
          <w:szCs w:val="22"/>
          <w:lang w:val="fr-FR"/>
        </w:rPr>
        <w:t>provisoire</w:t>
      </w:r>
      <w:r w:rsidR="00E20527" w:rsidRPr="0010074A">
        <w:rPr>
          <w:snapToGrid w:val="0"/>
          <w:kern w:val="22"/>
          <w:szCs w:val="22"/>
        </w:rPr>
        <w:t>)</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kern w:val="22"/>
          <w:szCs w:val="22"/>
          <w:lang w:val="fr-FR"/>
        </w:rPr>
        <w:t>Un total de 30 Parties et un État non partie ont répondu qu’ils s’efforçaient de coopérer, et 39 Parties et cinq États non parties ont répondu ne pas le faire</w:t>
      </w:r>
      <w:r w:rsidR="00E20527" w:rsidRPr="0010074A">
        <w:rPr>
          <w:kern w:val="22"/>
          <w:szCs w:val="22"/>
        </w:rPr>
        <w:t>.</w:t>
      </w:r>
    </w:p>
    <w:p w:rsidR="00E20527" w:rsidRPr="0010074A" w:rsidRDefault="00217F60" w:rsidP="00E20527">
      <w:pPr>
        <w:pStyle w:val="Para1"/>
        <w:numPr>
          <w:ilvl w:val="0"/>
          <w:numId w:val="0"/>
        </w:numPr>
        <w:suppressLineNumbers/>
        <w:suppressAutoHyphens/>
        <w:kinsoku w:val="0"/>
        <w:overflowPunct w:val="0"/>
        <w:autoSpaceDE w:val="0"/>
        <w:autoSpaceDN w:val="0"/>
        <w:adjustRightInd w:val="0"/>
        <w:snapToGrid w:val="0"/>
        <w:rPr>
          <w:i/>
          <w:kern w:val="22"/>
          <w:szCs w:val="22"/>
        </w:rPr>
      </w:pPr>
      <w:r w:rsidRPr="0010074A">
        <w:rPr>
          <w:i/>
          <w:kern w:val="22"/>
          <w:szCs w:val="22"/>
          <w:lang w:val="fr-FR"/>
        </w:rPr>
        <w:t>a) Pays ayant répondu par l’affirmative</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rFonts w:eastAsia="Calibri"/>
          <w:kern w:val="22"/>
          <w:szCs w:val="22"/>
          <w:lang w:val="fr-FR"/>
        </w:rPr>
        <w:t>Plusieurs pays</w:t>
      </w:r>
      <w:r w:rsidRPr="0010074A">
        <w:rPr>
          <w:rStyle w:val="Appelnotedebasdep"/>
          <w:rFonts w:eastAsia="Calibri"/>
          <w:kern w:val="22"/>
          <w:sz w:val="22"/>
          <w:szCs w:val="22"/>
          <w:lang w:val="fr-FR"/>
        </w:rPr>
        <w:footnoteReference w:id="48"/>
      </w:r>
      <w:r w:rsidRPr="0010074A">
        <w:rPr>
          <w:rFonts w:eastAsia="Calibri"/>
          <w:kern w:val="22"/>
          <w:szCs w:val="22"/>
          <w:lang w:val="fr-FR"/>
        </w:rPr>
        <w:t xml:space="preserve"> ont déclaré que, s’il y avait lieu, ils s’efforçaient de coopérer</w:t>
      </w:r>
      <w:r w:rsidR="0095411A">
        <w:rPr>
          <w:rFonts w:eastAsia="Calibri"/>
          <w:kern w:val="22"/>
          <w:szCs w:val="22"/>
          <w:lang w:val="fr-FR"/>
        </w:rPr>
        <w:t>,</w:t>
      </w:r>
      <w:r w:rsidRPr="0010074A">
        <w:rPr>
          <w:rFonts w:eastAsia="Calibri"/>
          <w:kern w:val="22"/>
          <w:szCs w:val="22"/>
          <w:lang w:val="fr-FR"/>
        </w:rPr>
        <w:t xml:space="preserve"> et deux d’entre eux ont signalé que la situation serait gérée au cas par cas</w:t>
      </w:r>
      <w:r w:rsidRPr="0010074A">
        <w:rPr>
          <w:rStyle w:val="Appelnotedebasdep"/>
          <w:rFonts w:eastAsia="Calibri"/>
          <w:kern w:val="22"/>
          <w:sz w:val="22"/>
          <w:szCs w:val="22"/>
        </w:rPr>
        <w:footnoteReference w:id="49"/>
      </w:r>
      <w:r w:rsidR="00371273" w:rsidRPr="0010074A">
        <w:rPr>
          <w:rFonts w:eastAsia="Calibri"/>
          <w:kern w:val="22"/>
          <w:szCs w:val="22"/>
          <w:lang w:val="fr-FR"/>
        </w:rPr>
        <w:t>.</w:t>
      </w:r>
      <w:r w:rsidRPr="0010074A">
        <w:rPr>
          <w:rFonts w:eastAsia="Calibri"/>
          <w:kern w:val="22"/>
          <w:szCs w:val="22"/>
        </w:rPr>
        <w:t xml:space="preserve"> </w:t>
      </w:r>
      <w:r w:rsidRPr="0010074A">
        <w:rPr>
          <w:rFonts w:eastAsia="Calibri"/>
          <w:kern w:val="22"/>
          <w:szCs w:val="22"/>
          <w:lang w:val="fr-FR"/>
        </w:rPr>
        <w:t>Plusieurs pays</w:t>
      </w:r>
      <w:r w:rsidRPr="0010074A">
        <w:rPr>
          <w:rStyle w:val="Appelnotedebasdep"/>
          <w:rFonts w:eastAsia="Calibri"/>
          <w:kern w:val="22"/>
          <w:sz w:val="22"/>
          <w:szCs w:val="22"/>
          <w:lang w:val="fr-FR"/>
        </w:rPr>
        <w:footnoteReference w:id="50"/>
      </w:r>
      <w:r w:rsidRPr="0010074A">
        <w:rPr>
          <w:rFonts w:eastAsia="Calibri"/>
          <w:kern w:val="22"/>
          <w:szCs w:val="22"/>
          <w:lang w:val="fr-FR"/>
        </w:rPr>
        <w:t xml:space="preserve"> ont expliqué qu’ils prévoyaient de prendre en compte cet aspect dans leurs mesures sur l’accès et le partage des avantages</w:t>
      </w:r>
      <w:r w:rsidR="00E20527" w:rsidRPr="0010074A">
        <w:rPr>
          <w:rFonts w:eastAsia="Calibri"/>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kern w:val="22"/>
          <w:szCs w:val="22"/>
          <w:lang w:val="fr-FR"/>
        </w:rPr>
        <w:t>Un pays</w:t>
      </w:r>
      <w:r w:rsidRPr="0010074A">
        <w:rPr>
          <w:kern w:val="22"/>
          <w:szCs w:val="22"/>
          <w:vertAlign w:val="superscript"/>
          <w:lang w:val="fr-FR"/>
        </w:rPr>
        <w:footnoteReference w:id="51"/>
      </w:r>
      <w:r w:rsidRPr="0010074A">
        <w:rPr>
          <w:kern w:val="22"/>
          <w:szCs w:val="22"/>
          <w:lang w:val="fr-FR"/>
        </w:rPr>
        <w:t xml:space="preserve"> a proposé que cette question soit prise en considération par des organisations économiques régionales, dans le cadre d’accords multilatéraux, et un autre pays</w:t>
      </w:r>
      <w:r w:rsidRPr="0010074A">
        <w:rPr>
          <w:kern w:val="22"/>
          <w:szCs w:val="22"/>
          <w:vertAlign w:val="superscript"/>
          <w:lang w:val="fr-FR"/>
        </w:rPr>
        <w:footnoteReference w:id="52"/>
      </w:r>
      <w:r w:rsidRPr="0010074A">
        <w:rPr>
          <w:kern w:val="22"/>
          <w:szCs w:val="22"/>
          <w:lang w:val="fr-FR"/>
        </w:rPr>
        <w:t xml:space="preserve"> a expliqué qu’en vertu d’un projet régional sur le Protocole de Nagoya, l’établissement d’un centre d’échange régional sur</w:t>
      </w:r>
      <w:r w:rsidRPr="00C26CCD">
        <w:rPr>
          <w:kern w:val="22"/>
          <w:szCs w:val="22"/>
          <w:lang w:val="fr-FR"/>
        </w:rPr>
        <w:t xml:space="preserve"> l’accès et le partage des avantages était prévu, afin de prendre acte des points communs </w:t>
      </w:r>
      <w:r>
        <w:rPr>
          <w:kern w:val="22"/>
          <w:szCs w:val="22"/>
          <w:lang w:val="fr-FR"/>
        </w:rPr>
        <w:t>existant entre les</w:t>
      </w:r>
      <w:r w:rsidRPr="00C26CCD">
        <w:rPr>
          <w:kern w:val="22"/>
          <w:szCs w:val="22"/>
          <w:lang w:val="fr-FR"/>
        </w:rPr>
        <w:t xml:space="preserve"> territoires</w:t>
      </w:r>
      <w:r w:rsidR="00E20527" w:rsidRPr="00D35D9A">
        <w:rPr>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C26CCD">
        <w:rPr>
          <w:kern w:val="22"/>
          <w:szCs w:val="22"/>
          <w:lang w:val="fr-FR"/>
        </w:rPr>
        <w:t>Plusieurs pays</w:t>
      </w:r>
      <w:r w:rsidRPr="00C26CCD">
        <w:rPr>
          <w:kern w:val="22"/>
          <w:szCs w:val="22"/>
          <w:vertAlign w:val="superscript"/>
          <w:lang w:val="fr-FR"/>
        </w:rPr>
        <w:footnoteReference w:id="53"/>
      </w:r>
      <w:r w:rsidRPr="00C26CCD">
        <w:rPr>
          <w:kern w:val="22"/>
          <w:szCs w:val="22"/>
          <w:lang w:val="fr-FR"/>
        </w:rPr>
        <w:t xml:space="preserve"> ont fourni des informations sur d’autres initiatives, organisation</w:t>
      </w:r>
      <w:r w:rsidR="0095411A">
        <w:rPr>
          <w:kern w:val="22"/>
          <w:szCs w:val="22"/>
          <w:lang w:val="fr-FR"/>
        </w:rPr>
        <w:t>s et instruments de coopération</w:t>
      </w:r>
      <w:r w:rsidRPr="00C26CCD">
        <w:rPr>
          <w:kern w:val="22"/>
          <w:szCs w:val="22"/>
          <w:lang w:val="fr-FR"/>
        </w:rPr>
        <w:t xml:space="preserve"> auxquels ils participe</w:t>
      </w:r>
      <w:r w:rsidR="0095411A">
        <w:rPr>
          <w:kern w:val="22"/>
          <w:szCs w:val="22"/>
          <w:lang w:val="fr-FR"/>
        </w:rPr>
        <w:t>nt, en faisant observer que l’</w:t>
      </w:r>
      <w:r w:rsidRPr="00C26CCD">
        <w:rPr>
          <w:kern w:val="22"/>
          <w:szCs w:val="22"/>
          <w:lang w:val="fr-FR"/>
        </w:rPr>
        <w:t>expérience</w:t>
      </w:r>
      <w:r w:rsidR="0095411A">
        <w:rPr>
          <w:kern w:val="22"/>
          <w:szCs w:val="22"/>
          <w:lang w:val="fr-FR"/>
        </w:rPr>
        <w:t xml:space="preserve"> acquise</w:t>
      </w:r>
      <w:r w:rsidRPr="00C26CCD">
        <w:rPr>
          <w:kern w:val="22"/>
          <w:szCs w:val="22"/>
          <w:lang w:val="fr-FR"/>
        </w:rPr>
        <w:t xml:space="preserve"> à l’occasion de ces </w:t>
      </w:r>
      <w:r w:rsidR="0095411A">
        <w:rPr>
          <w:kern w:val="22"/>
          <w:szCs w:val="22"/>
          <w:lang w:val="fr-FR"/>
        </w:rPr>
        <w:lastRenderedPageBreak/>
        <w:t>initiatives serait utile</w:t>
      </w:r>
      <w:r w:rsidRPr="00C26CCD">
        <w:rPr>
          <w:kern w:val="22"/>
          <w:szCs w:val="22"/>
          <w:lang w:val="fr-FR"/>
        </w:rPr>
        <w:t xml:space="preserve"> à la coopération transfrontière dans le contexte du Protocole de Nagoya</w:t>
      </w:r>
      <w:r w:rsidRPr="00D35D9A">
        <w:rPr>
          <w:kern w:val="22"/>
          <w:szCs w:val="22"/>
          <w:vertAlign w:val="superscript"/>
        </w:rPr>
        <w:footnoteReference w:id="54"/>
      </w:r>
      <w:r w:rsidR="00CA016D">
        <w:rPr>
          <w:kern w:val="22"/>
          <w:szCs w:val="22"/>
          <w:lang w:val="fr-FR"/>
        </w:rPr>
        <w:t>.</w:t>
      </w:r>
      <w:r w:rsidRPr="00D35D9A">
        <w:rPr>
          <w:kern w:val="22"/>
          <w:szCs w:val="22"/>
        </w:rPr>
        <w:t xml:space="preserve"> </w:t>
      </w:r>
      <w:r w:rsidRPr="00C26CCD">
        <w:rPr>
          <w:kern w:val="22"/>
          <w:szCs w:val="22"/>
          <w:lang w:val="fr-FR"/>
        </w:rPr>
        <w:t>Par exemple </w:t>
      </w:r>
      <w:r w:rsidR="00E20527" w:rsidRPr="00D35D9A">
        <w:rPr>
          <w:kern w:val="22"/>
          <w:szCs w:val="22"/>
        </w:rPr>
        <w:t>:</w:t>
      </w:r>
    </w:p>
    <w:p w:rsidR="00E20527" w:rsidRPr="00D35D9A" w:rsidRDefault="00217F60"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131AB0">
        <w:rPr>
          <w:kern w:val="22"/>
          <w:szCs w:val="22"/>
          <w:lang w:val="fr-FR"/>
        </w:rPr>
        <w:t>L’Ouganda a expliqué que sa coopération avait lieu en vertu du Protocole sur la gestion de l’environneme</w:t>
      </w:r>
      <w:r w:rsidR="0095411A">
        <w:rPr>
          <w:kern w:val="22"/>
          <w:szCs w:val="22"/>
          <w:lang w:val="fr-FR"/>
        </w:rPr>
        <w:t>nt et des ressources naturelles</w:t>
      </w:r>
      <w:r w:rsidRPr="00131AB0">
        <w:rPr>
          <w:kern w:val="22"/>
          <w:szCs w:val="22"/>
          <w:lang w:val="fr-FR"/>
        </w:rPr>
        <w:t xml:space="preserve"> adopté par la Communauté de l’Afrique de l’Est, qui inclut plusieurs dispositions sur </w:t>
      </w:r>
      <w:r w:rsidRPr="00131AB0">
        <w:rPr>
          <w:rFonts w:eastAsia="Calibri"/>
          <w:kern w:val="22"/>
          <w:szCs w:val="22"/>
          <w:lang w:val="fr-FR"/>
        </w:rPr>
        <w:t>l’accès et le partage des avantages</w:t>
      </w:r>
      <w:r w:rsidRPr="00131AB0">
        <w:rPr>
          <w:kern w:val="22"/>
          <w:szCs w:val="22"/>
          <w:vertAlign w:val="superscript"/>
          <w:lang w:val="fr-FR"/>
        </w:rPr>
        <w:footnoteReference w:id="55"/>
      </w:r>
      <w:r w:rsidRPr="00131AB0">
        <w:rPr>
          <w:rFonts w:eastAsia="Calibri"/>
          <w:kern w:val="22"/>
          <w:szCs w:val="22"/>
          <w:lang w:val="fr-FR"/>
        </w:rPr>
        <w:t xml:space="preserve">, et dans le cadre de divers projets, </w:t>
      </w:r>
      <w:r w:rsidRPr="00131AB0">
        <w:rPr>
          <w:kern w:val="22"/>
          <w:szCs w:val="22"/>
          <w:lang w:val="fr-FR"/>
        </w:rPr>
        <w:t>programmes et accords transfron</w:t>
      </w:r>
      <w:r>
        <w:rPr>
          <w:kern w:val="22"/>
          <w:szCs w:val="22"/>
          <w:lang w:val="fr-FR"/>
        </w:rPr>
        <w:t>tières conclus avec ses voisins</w:t>
      </w:r>
      <w:r w:rsidR="00E20527" w:rsidRPr="00D35D9A">
        <w:rPr>
          <w:kern w:val="22"/>
          <w:szCs w:val="22"/>
          <w:vertAlign w:val="superscript"/>
        </w:rPr>
        <w:footnoteReference w:id="56"/>
      </w:r>
      <w:r>
        <w:rPr>
          <w:kern w:val="22"/>
          <w:szCs w:val="22"/>
          <w:lang w:val="fr-FR"/>
        </w:rPr>
        <w:t> ;</w:t>
      </w:r>
    </w:p>
    <w:p w:rsidR="00E20527" w:rsidRPr="00D35D9A" w:rsidRDefault="00217F60"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0F7EB3">
        <w:rPr>
          <w:kern w:val="22"/>
          <w:szCs w:val="22"/>
          <w:lang w:val="fr-FR"/>
        </w:rPr>
        <w:t xml:space="preserve">L’Inde a rendu compte des projets de coopération qu’elle conduit avec d’autres pays de la région, tels que le Projet d’aménagement du paysage </w:t>
      </w:r>
      <w:r w:rsidR="00B773E0">
        <w:rPr>
          <w:kern w:val="22"/>
          <w:szCs w:val="22"/>
          <w:lang w:val="fr-FR"/>
        </w:rPr>
        <w:t xml:space="preserve">de </w:t>
      </w:r>
      <w:proofErr w:type="spellStart"/>
      <w:r w:rsidRPr="000F7EB3">
        <w:rPr>
          <w:kern w:val="22"/>
          <w:szCs w:val="22"/>
          <w:lang w:val="fr-FR"/>
        </w:rPr>
        <w:t>Kailash</w:t>
      </w:r>
      <w:proofErr w:type="spellEnd"/>
      <w:r w:rsidRPr="000F7EB3">
        <w:rPr>
          <w:kern w:val="22"/>
          <w:szCs w:val="22"/>
          <w:lang w:val="fr-FR"/>
        </w:rPr>
        <w:t xml:space="preserve"> (un lieu </w:t>
      </w:r>
      <w:r w:rsidR="00B773E0">
        <w:rPr>
          <w:kern w:val="22"/>
          <w:szCs w:val="22"/>
          <w:lang w:val="fr-FR"/>
        </w:rPr>
        <w:t xml:space="preserve">de </w:t>
      </w:r>
      <w:proofErr w:type="spellStart"/>
      <w:r w:rsidR="00B773E0">
        <w:rPr>
          <w:kern w:val="22"/>
          <w:szCs w:val="22"/>
          <w:lang w:val="fr-FR"/>
        </w:rPr>
        <w:t>pélerinage</w:t>
      </w:r>
      <w:proofErr w:type="spellEnd"/>
      <w:r w:rsidRPr="000F7EB3">
        <w:rPr>
          <w:kern w:val="22"/>
          <w:szCs w:val="22"/>
          <w:lang w:val="fr-FR"/>
        </w:rPr>
        <w:t xml:space="preserve"> transfrontière) et le Projet de grand écosystème marin du golfe du Bengale (zone marine et côtière protégée) </w:t>
      </w:r>
      <w:r w:rsidR="00E20527" w:rsidRPr="00D35D9A">
        <w:rPr>
          <w:kern w:val="22"/>
          <w:szCs w:val="22"/>
        </w:rPr>
        <w:t>;</w:t>
      </w:r>
    </w:p>
    <w:p w:rsidR="00E20527" w:rsidRPr="00D35D9A" w:rsidRDefault="00217F60"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0F7EB3">
        <w:rPr>
          <w:kern w:val="22"/>
          <w:szCs w:val="22"/>
          <w:lang w:val="fr-FR"/>
        </w:rPr>
        <w:t xml:space="preserve">Le </w:t>
      </w:r>
      <w:proofErr w:type="spellStart"/>
      <w:r w:rsidRPr="000F7EB3">
        <w:rPr>
          <w:kern w:val="22"/>
          <w:szCs w:val="22"/>
          <w:lang w:val="fr-FR"/>
        </w:rPr>
        <w:t>Bélarus</w:t>
      </w:r>
      <w:proofErr w:type="spellEnd"/>
      <w:r w:rsidRPr="000F7EB3">
        <w:rPr>
          <w:kern w:val="22"/>
          <w:szCs w:val="22"/>
          <w:lang w:val="fr-FR"/>
        </w:rPr>
        <w:t xml:space="preserve"> a mis en œuvre des projets conjoints dans le cadre du Programme de coopération transfrontière Pologne-</w:t>
      </w:r>
      <w:proofErr w:type="spellStart"/>
      <w:r w:rsidRPr="000F7EB3">
        <w:rPr>
          <w:kern w:val="22"/>
          <w:szCs w:val="22"/>
          <w:lang w:val="fr-FR"/>
        </w:rPr>
        <w:t>Bélarus</w:t>
      </w:r>
      <w:proofErr w:type="spellEnd"/>
      <w:r w:rsidRPr="000F7EB3">
        <w:rPr>
          <w:kern w:val="22"/>
          <w:szCs w:val="22"/>
          <w:lang w:val="fr-FR"/>
        </w:rPr>
        <w:t xml:space="preserve">-Ukraine </w:t>
      </w:r>
      <w:r w:rsidR="00B773E0">
        <w:rPr>
          <w:kern w:val="22"/>
          <w:szCs w:val="22"/>
          <w:lang w:val="fr-FR"/>
        </w:rPr>
        <w:t xml:space="preserve">pour </w:t>
      </w:r>
      <w:r w:rsidRPr="000F7EB3">
        <w:rPr>
          <w:kern w:val="22"/>
          <w:szCs w:val="22"/>
          <w:lang w:val="fr-FR"/>
        </w:rPr>
        <w:t>2014-2020</w:t>
      </w:r>
      <w:r w:rsidR="00E20527" w:rsidRPr="00D35D9A">
        <w:rPr>
          <w:kern w:val="22"/>
          <w:szCs w:val="22"/>
        </w:rPr>
        <w:t>.</w:t>
      </w:r>
    </w:p>
    <w:p w:rsidR="00E20527" w:rsidRPr="0010074A" w:rsidRDefault="00217F60" w:rsidP="00E20527">
      <w:pPr>
        <w:pStyle w:val="Para1"/>
        <w:numPr>
          <w:ilvl w:val="0"/>
          <w:numId w:val="0"/>
        </w:numPr>
        <w:suppressLineNumbers/>
        <w:suppressAutoHyphens/>
        <w:kinsoku w:val="0"/>
        <w:overflowPunct w:val="0"/>
        <w:autoSpaceDE w:val="0"/>
        <w:autoSpaceDN w:val="0"/>
        <w:adjustRightInd w:val="0"/>
        <w:snapToGrid w:val="0"/>
        <w:rPr>
          <w:i/>
          <w:kern w:val="22"/>
          <w:szCs w:val="22"/>
        </w:rPr>
      </w:pPr>
      <w:r w:rsidRPr="000F7EB3">
        <w:rPr>
          <w:i/>
          <w:kern w:val="22"/>
          <w:szCs w:val="22"/>
          <w:lang w:val="fr-FR"/>
        </w:rPr>
        <w:t xml:space="preserve">b) Pays ayant répondu par </w:t>
      </w:r>
      <w:r w:rsidRPr="0010074A">
        <w:rPr>
          <w:i/>
          <w:kern w:val="22"/>
          <w:szCs w:val="22"/>
          <w:lang w:val="fr-FR"/>
        </w:rPr>
        <w:t>la négative</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rFonts w:eastAsia="Calibri"/>
          <w:kern w:val="22"/>
          <w:szCs w:val="22"/>
          <w:lang w:val="fr-FR"/>
        </w:rPr>
        <w:t>Plusieurs pays</w:t>
      </w:r>
      <w:r w:rsidRPr="0010074A">
        <w:rPr>
          <w:rStyle w:val="Appelnotedebasdep"/>
          <w:rFonts w:eastAsia="Calibri"/>
          <w:kern w:val="22"/>
          <w:sz w:val="22"/>
          <w:szCs w:val="22"/>
          <w:lang w:val="fr-FR"/>
        </w:rPr>
        <w:footnoteReference w:id="57"/>
      </w:r>
      <w:r w:rsidRPr="0010074A">
        <w:rPr>
          <w:rFonts w:eastAsia="Calibri"/>
          <w:kern w:val="22"/>
          <w:szCs w:val="22"/>
          <w:lang w:val="fr-FR"/>
        </w:rPr>
        <w:t xml:space="preserve"> ont précisé que la question ne s’appliquait pas à leur situation, du fait qu’aucune obligation relative à l’accès n’avait été adoptée ou qu’ils ne comptaient aucun peuple autochtone ni aucune communauté locale sur leur territoire.</w:t>
      </w:r>
      <w:r w:rsidRPr="0010074A">
        <w:rPr>
          <w:rFonts w:eastAsia="Calibri"/>
          <w:kern w:val="22"/>
          <w:szCs w:val="22"/>
        </w:rPr>
        <w:t xml:space="preserve"> </w:t>
      </w:r>
      <w:r w:rsidRPr="0010074A">
        <w:rPr>
          <w:rFonts w:eastAsia="Calibri"/>
          <w:kern w:val="22"/>
          <w:szCs w:val="22"/>
          <w:lang w:val="fr-FR"/>
        </w:rPr>
        <w:t>Plusieurs pays</w:t>
      </w:r>
      <w:r w:rsidRPr="0010074A">
        <w:rPr>
          <w:rStyle w:val="Appelnotedebasdep"/>
          <w:rFonts w:eastAsia="Calibri"/>
          <w:kern w:val="22"/>
          <w:sz w:val="22"/>
          <w:szCs w:val="22"/>
          <w:lang w:val="fr-FR"/>
        </w:rPr>
        <w:footnoteReference w:id="58"/>
      </w:r>
      <w:r w:rsidRPr="0010074A">
        <w:rPr>
          <w:rFonts w:eastAsia="Calibri"/>
          <w:kern w:val="22"/>
          <w:szCs w:val="22"/>
          <w:lang w:val="fr-FR"/>
        </w:rPr>
        <w:t xml:space="preserve"> ont déclaré que s’il y avait lieu, ils s’efforceraient de coopérer, et d’autres</w:t>
      </w:r>
      <w:r w:rsidRPr="00DD3376">
        <w:rPr>
          <w:rFonts w:eastAsia="Calibri"/>
          <w:kern w:val="22"/>
          <w:szCs w:val="22"/>
          <w:lang w:val="fr-FR"/>
        </w:rPr>
        <w:t xml:space="preserve"> pays ont expliqué qu’ils </w:t>
      </w:r>
      <w:r w:rsidRPr="0010074A">
        <w:rPr>
          <w:rFonts w:eastAsia="Calibri"/>
          <w:kern w:val="22"/>
          <w:szCs w:val="22"/>
          <w:lang w:val="fr-FR"/>
        </w:rPr>
        <w:t>prévoyaient de prendre en considération cet aspect dans leurs mesures sur l’accès et le partage des avantages</w:t>
      </w:r>
      <w:r w:rsidRPr="0010074A">
        <w:rPr>
          <w:rStyle w:val="Appelnotedebasdep"/>
          <w:rFonts w:eastAsia="Calibri"/>
          <w:kern w:val="22"/>
          <w:sz w:val="22"/>
          <w:szCs w:val="22"/>
        </w:rPr>
        <w:footnoteReference w:id="59"/>
      </w:r>
      <w:r w:rsidR="00CA016D" w:rsidRPr="0010074A">
        <w:rPr>
          <w:rFonts w:eastAsia="Calibri"/>
          <w:kern w:val="22"/>
          <w:szCs w:val="22"/>
          <w:lang w:val="fr-FR"/>
        </w:rPr>
        <w:t>.</w:t>
      </w:r>
      <w:r w:rsidRPr="0010074A">
        <w:rPr>
          <w:rFonts w:eastAsia="Calibri"/>
          <w:kern w:val="22"/>
          <w:szCs w:val="22"/>
        </w:rPr>
        <w:t xml:space="preserve"> </w:t>
      </w:r>
      <w:r w:rsidRPr="0010074A">
        <w:rPr>
          <w:rFonts w:eastAsia="Calibri"/>
          <w:kern w:val="22"/>
          <w:szCs w:val="22"/>
          <w:lang w:val="fr-FR"/>
        </w:rPr>
        <w:t xml:space="preserve">Plusieurs pays ont fourni des informations sur l’expérience acquise dans la gestion des parcs régionaux </w:t>
      </w:r>
      <w:r w:rsidR="00B773E0">
        <w:rPr>
          <w:rFonts w:eastAsia="Calibri"/>
          <w:kern w:val="22"/>
          <w:szCs w:val="22"/>
          <w:lang w:val="fr-FR"/>
        </w:rPr>
        <w:t xml:space="preserve">ou </w:t>
      </w:r>
      <w:r w:rsidRPr="0010074A">
        <w:rPr>
          <w:rFonts w:eastAsia="Calibri"/>
          <w:kern w:val="22"/>
          <w:szCs w:val="22"/>
          <w:lang w:val="fr-FR"/>
        </w:rPr>
        <w:t>d’autres projets de coopération régionale</w:t>
      </w:r>
      <w:r w:rsidR="00E20527" w:rsidRPr="0010074A">
        <w:rPr>
          <w:rStyle w:val="Appelnotedebasdep"/>
          <w:rFonts w:eastAsia="Calibri"/>
          <w:kern w:val="22"/>
          <w:sz w:val="22"/>
          <w:szCs w:val="22"/>
        </w:rPr>
        <w:footnoteReference w:id="60"/>
      </w:r>
      <w:r w:rsidRPr="0010074A">
        <w:rPr>
          <w:rFonts w:eastAsia="Calibri"/>
          <w:kern w:val="22"/>
          <w:szCs w:val="22"/>
          <w:lang w:val="fr-FR"/>
        </w:rPr>
        <w:t>.</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rFonts w:eastAsia="Calibri"/>
          <w:kern w:val="22"/>
          <w:szCs w:val="22"/>
          <w:lang w:val="fr-FR"/>
        </w:rPr>
        <w:t>La Stratégie sous-régionale sur l’accès et le partage des avantages, mise au point par la Commission des forêts d’Afrique centrale (COMIFAC)</w:t>
      </w:r>
      <w:r w:rsidR="00B773E0">
        <w:rPr>
          <w:rFonts w:eastAsia="Calibri"/>
          <w:kern w:val="22"/>
          <w:szCs w:val="22"/>
          <w:lang w:val="fr-FR"/>
        </w:rPr>
        <w:t>,</w:t>
      </w:r>
      <w:r w:rsidRPr="0010074A">
        <w:rPr>
          <w:rFonts w:eastAsia="Calibri"/>
          <w:kern w:val="22"/>
          <w:szCs w:val="22"/>
          <w:lang w:val="fr-FR"/>
        </w:rPr>
        <w:t xml:space="preserve"> a été citée, et un pays</w:t>
      </w:r>
      <w:r w:rsidRPr="0010074A">
        <w:rPr>
          <w:rStyle w:val="Appelnotedebasdep"/>
          <w:rFonts w:eastAsia="Calibri"/>
          <w:kern w:val="22"/>
          <w:sz w:val="22"/>
          <w:szCs w:val="22"/>
          <w:lang w:val="fr-FR"/>
        </w:rPr>
        <w:footnoteReference w:id="61"/>
      </w:r>
      <w:r w:rsidRPr="0010074A">
        <w:rPr>
          <w:rFonts w:eastAsia="Calibri"/>
          <w:kern w:val="22"/>
          <w:szCs w:val="22"/>
          <w:lang w:val="fr-FR"/>
        </w:rPr>
        <w:t xml:space="preserve"> a indiqué qu’il prévoyait de mettre en œuvre un projet dans le cadre du FEM-7, en incluant un volet national et sous-régional sur cette question</w:t>
      </w:r>
      <w:r w:rsidR="00E20527" w:rsidRPr="0010074A">
        <w:rPr>
          <w:rFonts w:eastAsia="Calibri"/>
          <w:kern w:val="22"/>
          <w:szCs w:val="22"/>
        </w:rPr>
        <w:t>.</w:t>
      </w:r>
    </w:p>
    <w:p w:rsidR="00E20527" w:rsidRPr="00D35D9A" w:rsidRDefault="00217F60" w:rsidP="00E20527">
      <w:pPr>
        <w:pStyle w:val="Titre3"/>
        <w:keepNext w:val="0"/>
        <w:numPr>
          <w:ilvl w:val="0"/>
          <w:numId w:val="19"/>
        </w:numPr>
        <w:suppressLineNumbers/>
        <w:tabs>
          <w:tab w:val="clear" w:pos="567"/>
        </w:tabs>
        <w:suppressAutoHyphens/>
        <w:kinsoku w:val="0"/>
        <w:overflowPunct w:val="0"/>
        <w:autoSpaceDE w:val="0"/>
        <w:autoSpaceDN w:val="0"/>
        <w:adjustRightInd w:val="0"/>
        <w:snapToGrid w:val="0"/>
        <w:jc w:val="left"/>
        <w:rPr>
          <w:snapToGrid w:val="0"/>
          <w:kern w:val="22"/>
          <w:szCs w:val="22"/>
        </w:rPr>
      </w:pPr>
      <w:r w:rsidRPr="00277142">
        <w:rPr>
          <w:snapToGrid w:val="0"/>
          <w:kern w:val="22"/>
          <w:szCs w:val="22"/>
          <w:lang w:val="fr-FR"/>
        </w:rPr>
        <w:t>Lorsque les mêmes connaissances traditionnelles associées à des ressources génétiques sont partagées par des communautés autochtones et locales différentes dans plusieurs Parties, votre pays s’efforce-t-il de coopérer en vue de mettre en œuvre le Protocole, comme le prévoit l’article 11.2 ? (question 49</w:t>
      </w:r>
      <w:r w:rsidR="00E20527" w:rsidRPr="00D35D9A">
        <w:rPr>
          <w:snapToGrid w:val="0"/>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277142">
        <w:rPr>
          <w:kern w:val="22"/>
          <w:szCs w:val="22"/>
          <w:lang w:val="fr-FR"/>
        </w:rPr>
        <w:t xml:space="preserve">Un total de 27 Parties </w:t>
      </w:r>
      <w:r w:rsidR="00B773E0">
        <w:rPr>
          <w:kern w:val="22"/>
          <w:szCs w:val="22"/>
          <w:lang w:val="fr-FR"/>
        </w:rPr>
        <w:t>a</w:t>
      </w:r>
      <w:r w:rsidRPr="00277142">
        <w:rPr>
          <w:kern w:val="22"/>
          <w:szCs w:val="22"/>
          <w:lang w:val="fr-FR"/>
        </w:rPr>
        <w:t xml:space="preserve"> répondu qu’ils s’efforçaient de coopérer ; 21 Parties et un État non partie ont </w:t>
      </w:r>
      <w:r w:rsidR="00B773E0">
        <w:rPr>
          <w:kern w:val="22"/>
          <w:szCs w:val="22"/>
          <w:lang w:val="fr-FR"/>
        </w:rPr>
        <w:t>indiqué</w:t>
      </w:r>
      <w:r w:rsidRPr="00277142">
        <w:rPr>
          <w:kern w:val="22"/>
          <w:szCs w:val="22"/>
          <w:lang w:val="fr-FR"/>
        </w:rPr>
        <w:t xml:space="preserve"> ne pas le faire ; et 21 Parties et cinq États non parties ont </w:t>
      </w:r>
      <w:r w:rsidR="00B773E0">
        <w:rPr>
          <w:kern w:val="22"/>
          <w:szCs w:val="22"/>
          <w:lang w:val="fr-FR"/>
        </w:rPr>
        <w:t>signalé</w:t>
      </w:r>
      <w:r w:rsidRPr="00277142">
        <w:rPr>
          <w:kern w:val="22"/>
          <w:szCs w:val="22"/>
          <w:lang w:val="fr-FR"/>
        </w:rPr>
        <w:t xml:space="preserve"> que la question ne s’appliquait pas à leur situation</w:t>
      </w:r>
      <w:r w:rsidR="00E20527" w:rsidRPr="00D35D9A">
        <w:rPr>
          <w:color w:val="00000A"/>
          <w:kern w:val="22"/>
          <w:szCs w:val="22"/>
        </w:rPr>
        <w:t>.</w:t>
      </w:r>
    </w:p>
    <w:p w:rsidR="00E20527" w:rsidRPr="00D35D9A" w:rsidRDefault="00217F60" w:rsidP="00E20527">
      <w:pPr>
        <w:pStyle w:val="Para1"/>
        <w:numPr>
          <w:ilvl w:val="0"/>
          <w:numId w:val="0"/>
        </w:numPr>
        <w:suppressLineNumbers/>
        <w:suppressAutoHyphens/>
        <w:kinsoku w:val="0"/>
        <w:overflowPunct w:val="0"/>
        <w:autoSpaceDE w:val="0"/>
        <w:autoSpaceDN w:val="0"/>
        <w:adjustRightInd w:val="0"/>
        <w:snapToGrid w:val="0"/>
        <w:rPr>
          <w:kern w:val="22"/>
          <w:szCs w:val="22"/>
        </w:rPr>
      </w:pPr>
      <w:r w:rsidRPr="00277142">
        <w:rPr>
          <w:i/>
          <w:kern w:val="22"/>
          <w:szCs w:val="22"/>
          <w:lang w:val="fr-FR"/>
        </w:rPr>
        <w:t>a) Pays ayant répondu par l’affirmativ</w:t>
      </w:r>
      <w:r>
        <w:rPr>
          <w:i/>
          <w:kern w:val="22"/>
          <w:szCs w:val="22"/>
          <w:lang w:val="fr-FR"/>
        </w:rPr>
        <w:t>e</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277142">
        <w:rPr>
          <w:rFonts w:eastAsia="Calibri"/>
          <w:kern w:val="22"/>
          <w:szCs w:val="22"/>
          <w:lang w:val="fr-FR"/>
        </w:rPr>
        <w:lastRenderedPageBreak/>
        <w:t>P</w:t>
      </w:r>
      <w:r w:rsidRPr="006C6E85">
        <w:rPr>
          <w:rFonts w:eastAsia="Calibri"/>
          <w:kern w:val="22"/>
          <w:szCs w:val="22"/>
          <w:lang w:val="fr-FR"/>
        </w:rPr>
        <w:t>lusieurs pays ont déclaré que s’il y avait lieu, ils s’efforceraient de coopérer</w:t>
      </w:r>
      <w:r w:rsidRPr="006C6E85">
        <w:rPr>
          <w:rFonts w:eastAsia="Calibri"/>
          <w:kern w:val="22"/>
          <w:szCs w:val="22"/>
          <w:vertAlign w:val="superscript"/>
          <w:lang w:val="fr-FR"/>
        </w:rPr>
        <w:footnoteReference w:id="62"/>
      </w:r>
      <w:r w:rsidRPr="006C6E85">
        <w:rPr>
          <w:rFonts w:eastAsia="Calibri"/>
          <w:kern w:val="22"/>
          <w:szCs w:val="22"/>
          <w:lang w:val="fr-FR"/>
        </w:rPr>
        <w:t xml:space="preserve">, et d’autres pays ont expliqué qu’ils prévoyaient </w:t>
      </w:r>
      <w:r w:rsidR="00A655BA">
        <w:rPr>
          <w:rFonts w:eastAsia="Calibri"/>
          <w:kern w:val="22"/>
          <w:szCs w:val="22"/>
          <w:lang w:val="fr-FR"/>
        </w:rPr>
        <w:t>d’intégrer</w:t>
      </w:r>
      <w:r w:rsidRPr="006C6E85">
        <w:rPr>
          <w:rFonts w:eastAsia="Calibri"/>
          <w:kern w:val="22"/>
          <w:szCs w:val="22"/>
          <w:lang w:val="fr-FR"/>
        </w:rPr>
        <w:t xml:space="preserve"> cet aspect </w:t>
      </w:r>
      <w:r w:rsidR="00A655BA">
        <w:rPr>
          <w:rFonts w:eastAsia="Calibri"/>
          <w:kern w:val="22"/>
          <w:szCs w:val="22"/>
          <w:lang w:val="fr-FR"/>
        </w:rPr>
        <w:t>à</w:t>
      </w:r>
      <w:r w:rsidRPr="006C6E85">
        <w:rPr>
          <w:rFonts w:eastAsia="Calibri"/>
          <w:kern w:val="22"/>
          <w:szCs w:val="22"/>
          <w:lang w:val="fr-FR"/>
        </w:rPr>
        <w:t xml:space="preserve"> leurs mesures sur l’accès et le partage des avantages</w:t>
      </w:r>
      <w:r w:rsidR="00E20527" w:rsidRPr="00D35D9A">
        <w:rPr>
          <w:rFonts w:eastAsia="Calibri"/>
          <w:kern w:val="22"/>
          <w:szCs w:val="22"/>
          <w:vertAlign w:val="superscript"/>
        </w:rPr>
        <w:footnoteReference w:id="63"/>
      </w:r>
      <w:r>
        <w:rPr>
          <w:rFonts w:eastAsia="Calibri"/>
          <w:kern w:val="22"/>
          <w:szCs w:val="22"/>
          <w:lang w:val="fr-FR"/>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6C6E85">
        <w:rPr>
          <w:rFonts w:eastAsia="Calibri"/>
          <w:kern w:val="22"/>
          <w:szCs w:val="22"/>
          <w:lang w:val="fr-FR"/>
        </w:rPr>
        <w:t xml:space="preserve">Plusieurs </w:t>
      </w:r>
      <w:r w:rsidRPr="0010074A">
        <w:rPr>
          <w:rFonts w:eastAsia="Calibri"/>
          <w:kern w:val="22"/>
          <w:szCs w:val="22"/>
          <w:lang w:val="fr-FR"/>
        </w:rPr>
        <w:t>pays</w:t>
      </w:r>
      <w:r w:rsidRPr="0010074A">
        <w:rPr>
          <w:rStyle w:val="Appelnotedebasdep"/>
          <w:rFonts w:eastAsia="Calibri"/>
          <w:kern w:val="22"/>
          <w:sz w:val="22"/>
          <w:szCs w:val="22"/>
          <w:lang w:val="fr-FR"/>
        </w:rPr>
        <w:footnoteReference w:id="64"/>
      </w:r>
      <w:r w:rsidRPr="0010074A">
        <w:rPr>
          <w:rFonts w:eastAsia="Calibri"/>
          <w:kern w:val="22"/>
          <w:szCs w:val="22"/>
          <w:lang w:val="fr-FR"/>
        </w:rPr>
        <w:t xml:space="preserve"> ont fourni des informations sur les initiatives, organisations et instruments de coopération auxquels ils participent</w:t>
      </w:r>
      <w:r w:rsidRPr="006C6E85">
        <w:rPr>
          <w:rFonts w:eastAsia="Calibri"/>
          <w:kern w:val="22"/>
          <w:szCs w:val="22"/>
          <w:lang w:val="fr-FR"/>
        </w:rPr>
        <w:t>.</w:t>
      </w:r>
      <w:r w:rsidRPr="00D35D9A">
        <w:rPr>
          <w:rFonts w:eastAsia="Calibri"/>
          <w:kern w:val="22"/>
          <w:szCs w:val="22"/>
        </w:rPr>
        <w:t xml:space="preserve"> </w:t>
      </w:r>
      <w:r w:rsidRPr="006C6E85">
        <w:rPr>
          <w:rFonts w:eastAsia="Calibri"/>
          <w:kern w:val="22"/>
          <w:szCs w:val="22"/>
          <w:lang w:val="fr-FR"/>
        </w:rPr>
        <w:t>Par exemple </w:t>
      </w:r>
      <w:r w:rsidR="00E20527" w:rsidRPr="00D35D9A">
        <w:rPr>
          <w:rFonts w:eastAsia="Calibri"/>
          <w:kern w:val="22"/>
          <w:szCs w:val="22"/>
        </w:rPr>
        <w:t>:</w:t>
      </w:r>
    </w:p>
    <w:p w:rsidR="00E20527" w:rsidRPr="00D35D9A" w:rsidRDefault="00217F60"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F047B6">
        <w:rPr>
          <w:rFonts w:eastAsia="Calibri"/>
          <w:kern w:val="22"/>
          <w:szCs w:val="22"/>
          <w:lang w:val="fr-FR"/>
        </w:rPr>
        <w:t>Le Kenya a indiqué que les plateformes de coop</w:t>
      </w:r>
      <w:r w:rsidR="00947EED">
        <w:rPr>
          <w:rFonts w:eastAsia="Calibri"/>
          <w:kern w:val="22"/>
          <w:szCs w:val="22"/>
          <w:lang w:val="fr-FR"/>
        </w:rPr>
        <w:t>ération régionale s’efforçaient</w:t>
      </w:r>
      <w:r w:rsidRPr="00F047B6">
        <w:rPr>
          <w:rFonts w:eastAsia="Calibri"/>
          <w:kern w:val="22"/>
          <w:szCs w:val="22"/>
          <w:lang w:val="fr-FR"/>
        </w:rPr>
        <w:t xml:space="preserve"> d</w:t>
      </w:r>
      <w:r w:rsidR="00947EED">
        <w:rPr>
          <w:rFonts w:eastAsia="Calibri"/>
          <w:kern w:val="22"/>
          <w:szCs w:val="22"/>
          <w:lang w:val="fr-FR"/>
        </w:rPr>
        <w:t>’élaborer des protocoles appropriés sur</w:t>
      </w:r>
      <w:r w:rsidRPr="00F047B6">
        <w:rPr>
          <w:rFonts w:eastAsia="Calibri"/>
          <w:kern w:val="22"/>
          <w:szCs w:val="22"/>
          <w:lang w:val="fr-FR"/>
        </w:rPr>
        <w:t xml:space="preserve"> la gouvernance et l’utilisation des ressources, en prenant en considération les exigences du Protocole de Nagoya visées à l’article 11.2 (par ex. Projet de politique du comté de </w:t>
      </w:r>
      <w:proofErr w:type="spellStart"/>
      <w:r w:rsidRPr="00F047B6">
        <w:rPr>
          <w:rFonts w:eastAsia="Calibri"/>
          <w:kern w:val="22"/>
          <w:szCs w:val="22"/>
          <w:lang w:val="fr-FR"/>
        </w:rPr>
        <w:t>Busia</w:t>
      </w:r>
      <w:proofErr w:type="spellEnd"/>
      <w:r w:rsidRPr="00F047B6">
        <w:rPr>
          <w:rFonts w:eastAsia="Calibri"/>
          <w:kern w:val="22"/>
          <w:szCs w:val="22"/>
          <w:lang w:val="fr-FR"/>
        </w:rPr>
        <w:t xml:space="preserve"> sur l’intégration de la </w:t>
      </w:r>
      <w:r w:rsidR="00947EED">
        <w:rPr>
          <w:rFonts w:eastAsia="Calibri"/>
          <w:kern w:val="22"/>
          <w:szCs w:val="22"/>
          <w:lang w:val="fr-FR"/>
        </w:rPr>
        <w:t>biodiversité</w:t>
      </w:r>
      <w:r w:rsidR="00E20527" w:rsidRPr="00D35D9A">
        <w:rPr>
          <w:rFonts w:eastAsia="Calibri"/>
          <w:kern w:val="22"/>
          <w:szCs w:val="22"/>
        </w:rPr>
        <w:t>)</w:t>
      </w:r>
      <w:r>
        <w:rPr>
          <w:rFonts w:eastAsia="Calibri"/>
          <w:kern w:val="22"/>
          <w:szCs w:val="22"/>
        </w:rPr>
        <w:t> ;</w:t>
      </w:r>
    </w:p>
    <w:p w:rsidR="00E20527" w:rsidRPr="00D35D9A" w:rsidRDefault="00217F60"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F047B6">
        <w:rPr>
          <w:rFonts w:eastAsia="Calibri"/>
          <w:kern w:val="22"/>
          <w:szCs w:val="22"/>
          <w:lang w:val="fr-FR"/>
        </w:rPr>
        <w:t xml:space="preserve">Le Soudan a indiqué qu’il prévoyait de mettre en œuvre l’article </w:t>
      </w:r>
      <w:r w:rsidR="00947EED">
        <w:rPr>
          <w:rFonts w:eastAsia="Calibri"/>
          <w:kern w:val="22"/>
          <w:szCs w:val="22"/>
          <w:lang w:val="fr-FR"/>
        </w:rPr>
        <w:t xml:space="preserve">conformément à la </w:t>
      </w:r>
      <w:r w:rsidR="00833E7A">
        <w:rPr>
          <w:rFonts w:eastAsia="Calibri"/>
          <w:kern w:val="22"/>
          <w:szCs w:val="22"/>
          <w:lang w:val="fr-FR"/>
        </w:rPr>
        <w:t>S</w:t>
      </w:r>
      <w:r w:rsidRPr="00F047B6">
        <w:rPr>
          <w:rFonts w:eastAsia="Calibri"/>
          <w:kern w:val="22"/>
          <w:szCs w:val="22"/>
          <w:lang w:val="fr-FR"/>
        </w:rPr>
        <w:t>tratégie relative au partage des avantages</w:t>
      </w:r>
      <w:r w:rsidR="00833E7A">
        <w:rPr>
          <w:rFonts w:eastAsia="Calibri"/>
          <w:kern w:val="22"/>
          <w:szCs w:val="22"/>
          <w:lang w:val="fr-FR"/>
        </w:rPr>
        <w:t xml:space="preserve"> adoptée par </w:t>
      </w:r>
      <w:r w:rsidR="00833E7A" w:rsidRPr="00F047B6">
        <w:rPr>
          <w:rFonts w:eastAsia="Calibri"/>
          <w:kern w:val="22"/>
          <w:szCs w:val="22"/>
          <w:lang w:val="fr-FR"/>
        </w:rPr>
        <w:t>l’Autorité intergouvernementale pour le développement (IGAD)</w:t>
      </w:r>
      <w:r w:rsidR="00833E7A">
        <w:rPr>
          <w:rFonts w:eastAsia="Calibri"/>
          <w:kern w:val="22"/>
          <w:szCs w:val="22"/>
          <w:lang w:val="fr-FR"/>
        </w:rPr>
        <w:t> ;</w:t>
      </w:r>
    </w:p>
    <w:p w:rsidR="00E20527" w:rsidRPr="00D35D9A" w:rsidRDefault="00217F60"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F047B6">
        <w:rPr>
          <w:rFonts w:eastAsia="Calibri"/>
          <w:kern w:val="22"/>
          <w:szCs w:val="22"/>
          <w:lang w:val="fr-FR"/>
        </w:rPr>
        <w:t xml:space="preserve">Le Togo a expliqué qu’il existe des mécanismes qui renforcent les liens historiques existant entre différentes communautés partageant les mêmes valeurs culturelles, notamment pour le peuple </w:t>
      </w:r>
      <w:proofErr w:type="spellStart"/>
      <w:r w:rsidRPr="00F047B6">
        <w:rPr>
          <w:rFonts w:eastAsia="Calibri"/>
          <w:kern w:val="22"/>
          <w:szCs w:val="22"/>
          <w:lang w:val="fr-FR"/>
        </w:rPr>
        <w:t>ewé</w:t>
      </w:r>
      <w:proofErr w:type="spellEnd"/>
      <w:r w:rsidRPr="00F047B6">
        <w:rPr>
          <w:rFonts w:eastAsia="Calibri"/>
          <w:kern w:val="22"/>
          <w:szCs w:val="22"/>
          <w:lang w:val="fr-FR"/>
        </w:rPr>
        <w:t xml:space="preserve"> vivant au Bénin, au Ghana et au Togo</w:t>
      </w:r>
      <w:r w:rsidR="00E20527" w:rsidRPr="00D35D9A">
        <w:rPr>
          <w:rFonts w:eastAsia="Calibri"/>
          <w:kern w:val="22"/>
          <w:szCs w:val="22"/>
        </w:rPr>
        <w:t>.</w:t>
      </w:r>
    </w:p>
    <w:p w:rsidR="00E20527" w:rsidRPr="00D35D9A" w:rsidRDefault="00217F60" w:rsidP="00E20527">
      <w:pPr>
        <w:pStyle w:val="Para1"/>
        <w:numPr>
          <w:ilvl w:val="0"/>
          <w:numId w:val="0"/>
        </w:numPr>
        <w:suppressLineNumbers/>
        <w:suppressAutoHyphens/>
        <w:kinsoku w:val="0"/>
        <w:overflowPunct w:val="0"/>
        <w:autoSpaceDE w:val="0"/>
        <w:autoSpaceDN w:val="0"/>
        <w:adjustRightInd w:val="0"/>
        <w:snapToGrid w:val="0"/>
        <w:rPr>
          <w:kern w:val="22"/>
          <w:szCs w:val="22"/>
        </w:rPr>
      </w:pPr>
      <w:r w:rsidRPr="005424C3">
        <w:rPr>
          <w:i/>
          <w:kern w:val="22"/>
          <w:szCs w:val="22"/>
          <w:lang w:val="fr-FR"/>
        </w:rPr>
        <w:t>b) Pays ayant répondu par la négative ou signalé que</w:t>
      </w:r>
      <w:r>
        <w:rPr>
          <w:i/>
          <w:kern w:val="22"/>
          <w:szCs w:val="22"/>
          <w:lang w:val="fr-FR"/>
        </w:rPr>
        <w:t xml:space="preserve"> la question était « sans objet »</w:t>
      </w:r>
    </w:p>
    <w:p w:rsidR="00E20527" w:rsidRPr="0010074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rFonts w:eastAsia="Calibri"/>
          <w:kern w:val="22"/>
          <w:szCs w:val="22"/>
          <w:lang w:val="fr-FR"/>
        </w:rPr>
        <w:t>Un pays</w:t>
      </w:r>
      <w:r w:rsidRPr="0010074A">
        <w:rPr>
          <w:rStyle w:val="Appelnotedebasdep"/>
          <w:rFonts w:eastAsia="Calibri"/>
          <w:kern w:val="22"/>
          <w:sz w:val="22"/>
          <w:szCs w:val="22"/>
          <w:lang w:val="fr-FR"/>
        </w:rPr>
        <w:footnoteReference w:id="65"/>
      </w:r>
      <w:r w:rsidRPr="0010074A">
        <w:rPr>
          <w:rFonts w:eastAsia="Calibri"/>
          <w:kern w:val="22"/>
          <w:szCs w:val="22"/>
          <w:lang w:val="fr-FR"/>
        </w:rPr>
        <w:t xml:space="preserve"> a déclaré que s’il y avait lieu, il s’efforcerait de coopérer, et d’autres pays</w:t>
      </w:r>
      <w:r w:rsidR="00833E7A" w:rsidRPr="0010074A">
        <w:rPr>
          <w:rStyle w:val="Appelnotedebasdep"/>
          <w:rFonts w:eastAsia="Calibri"/>
          <w:kern w:val="22"/>
          <w:sz w:val="22"/>
          <w:szCs w:val="22"/>
          <w:lang w:val="fr-FR"/>
        </w:rPr>
        <w:footnoteReference w:id="66"/>
      </w:r>
      <w:r w:rsidR="00833E7A" w:rsidRPr="0010074A">
        <w:rPr>
          <w:rFonts w:eastAsia="Calibri"/>
          <w:kern w:val="22"/>
          <w:szCs w:val="22"/>
          <w:lang w:val="fr-FR"/>
        </w:rPr>
        <w:t xml:space="preserve"> </w:t>
      </w:r>
      <w:r w:rsidRPr="0010074A">
        <w:rPr>
          <w:rFonts w:eastAsia="Calibri"/>
          <w:kern w:val="22"/>
          <w:szCs w:val="22"/>
          <w:lang w:val="fr-FR"/>
        </w:rPr>
        <w:t>ont expliqué</w:t>
      </w:r>
      <w:r w:rsidR="00833E7A">
        <w:rPr>
          <w:rFonts w:eastAsia="Calibri"/>
          <w:kern w:val="22"/>
          <w:szCs w:val="22"/>
          <w:lang w:val="fr-FR"/>
        </w:rPr>
        <w:t xml:space="preserve"> qu’ils prévoyaient d’intégrer </w:t>
      </w:r>
      <w:r w:rsidRPr="0010074A">
        <w:rPr>
          <w:rFonts w:eastAsia="Calibri"/>
          <w:kern w:val="22"/>
          <w:szCs w:val="22"/>
          <w:lang w:val="fr-FR"/>
        </w:rPr>
        <w:t xml:space="preserve">cet aspect </w:t>
      </w:r>
      <w:r w:rsidR="00833E7A">
        <w:rPr>
          <w:rFonts w:eastAsia="Calibri"/>
          <w:kern w:val="22"/>
          <w:szCs w:val="22"/>
          <w:lang w:val="fr-FR"/>
        </w:rPr>
        <w:t>à</w:t>
      </w:r>
      <w:r w:rsidRPr="0010074A">
        <w:rPr>
          <w:rFonts w:eastAsia="Calibri"/>
          <w:kern w:val="22"/>
          <w:szCs w:val="22"/>
          <w:lang w:val="fr-FR"/>
        </w:rPr>
        <w:t xml:space="preserve"> leurs mesures sur l’accès et le partage des avantages.</w:t>
      </w:r>
      <w:r w:rsidRPr="0010074A">
        <w:rPr>
          <w:rFonts w:eastAsia="Calibri"/>
          <w:kern w:val="22"/>
          <w:szCs w:val="22"/>
        </w:rPr>
        <w:t xml:space="preserve"> </w:t>
      </w:r>
      <w:r w:rsidRPr="0010074A">
        <w:rPr>
          <w:rFonts w:eastAsia="Calibri"/>
          <w:kern w:val="22"/>
          <w:szCs w:val="22"/>
          <w:lang w:val="fr-FR"/>
        </w:rPr>
        <w:t>Un pays</w:t>
      </w:r>
      <w:r w:rsidRPr="0010074A">
        <w:rPr>
          <w:rStyle w:val="Appelnotedebasdep"/>
          <w:rFonts w:eastAsia="Calibri"/>
          <w:kern w:val="22"/>
          <w:sz w:val="22"/>
          <w:szCs w:val="22"/>
          <w:lang w:val="fr-FR"/>
        </w:rPr>
        <w:footnoteReference w:id="67"/>
      </w:r>
      <w:r w:rsidRPr="0010074A">
        <w:rPr>
          <w:rFonts w:eastAsia="Calibri"/>
          <w:kern w:val="22"/>
          <w:szCs w:val="22"/>
          <w:lang w:val="fr-FR"/>
        </w:rPr>
        <w:t xml:space="preserve"> a indiqué à cet égard que sa mise en application de l’article 11.2 du Protocole respecterait les Lignes directrices de l’Union africaine pour la mise en œuvre du Protocole de Nagoya.</w:t>
      </w:r>
      <w:r w:rsidRPr="0010074A">
        <w:rPr>
          <w:rFonts w:eastAsia="Calibri"/>
          <w:kern w:val="22"/>
          <w:szCs w:val="22"/>
        </w:rPr>
        <w:t xml:space="preserve"> </w:t>
      </w:r>
      <w:r w:rsidRPr="0010074A">
        <w:rPr>
          <w:rFonts w:eastAsia="Calibri"/>
          <w:kern w:val="22"/>
          <w:szCs w:val="22"/>
          <w:lang w:val="fr-FR"/>
        </w:rPr>
        <w:t>Un autre pays</w:t>
      </w:r>
      <w:r w:rsidRPr="0010074A">
        <w:rPr>
          <w:rStyle w:val="Appelnotedebasdep"/>
          <w:rFonts w:eastAsia="Calibri"/>
          <w:kern w:val="22"/>
          <w:sz w:val="22"/>
          <w:szCs w:val="22"/>
          <w:lang w:val="fr-FR"/>
        </w:rPr>
        <w:footnoteReference w:id="68"/>
      </w:r>
      <w:r w:rsidR="00833E7A">
        <w:rPr>
          <w:rFonts w:eastAsia="Calibri"/>
          <w:kern w:val="22"/>
          <w:szCs w:val="22"/>
          <w:lang w:val="fr-FR"/>
        </w:rPr>
        <w:t xml:space="preserve"> a également cité</w:t>
      </w:r>
      <w:r w:rsidR="00833E7A" w:rsidRPr="0010074A">
        <w:rPr>
          <w:rFonts w:eastAsia="Calibri"/>
          <w:kern w:val="22"/>
          <w:szCs w:val="22"/>
          <w:lang w:val="fr-FR"/>
        </w:rPr>
        <w:t>, au titre des cadres pertinents pour la résolution de cette question</w:t>
      </w:r>
      <w:r w:rsidR="00833E7A">
        <w:rPr>
          <w:rFonts w:eastAsia="Calibri"/>
          <w:kern w:val="22"/>
          <w:szCs w:val="22"/>
          <w:lang w:val="fr-FR"/>
        </w:rPr>
        <w:t>, la S</w:t>
      </w:r>
      <w:r w:rsidR="004859B8">
        <w:rPr>
          <w:rFonts w:eastAsia="Calibri"/>
          <w:kern w:val="22"/>
          <w:szCs w:val="22"/>
          <w:lang w:val="fr-FR"/>
        </w:rPr>
        <w:t xml:space="preserve">tratégie régionale </w:t>
      </w:r>
      <w:r w:rsidRPr="0010074A">
        <w:rPr>
          <w:rFonts w:eastAsia="Calibri"/>
          <w:kern w:val="22"/>
          <w:szCs w:val="22"/>
          <w:lang w:val="fr-FR"/>
        </w:rPr>
        <w:t>relative à l’accès et au partage des avantages</w:t>
      </w:r>
      <w:r w:rsidR="004859B8">
        <w:rPr>
          <w:rFonts w:eastAsia="Calibri"/>
          <w:kern w:val="22"/>
          <w:szCs w:val="22"/>
          <w:lang w:val="fr-FR"/>
        </w:rPr>
        <w:t xml:space="preserve"> adoptée par la COMIFAC</w:t>
      </w:r>
      <w:r w:rsidRPr="0010074A">
        <w:rPr>
          <w:rFonts w:eastAsia="Calibri"/>
          <w:kern w:val="22"/>
          <w:szCs w:val="22"/>
          <w:lang w:val="fr-FR"/>
        </w:rPr>
        <w:t xml:space="preserve">, ainsi que le Traité portant création de la </w:t>
      </w:r>
      <w:r w:rsidR="00833E7A">
        <w:rPr>
          <w:rFonts w:eastAsia="Calibri"/>
          <w:kern w:val="22"/>
          <w:szCs w:val="22"/>
          <w:lang w:val="fr-FR"/>
        </w:rPr>
        <w:t>Communauté de l’Afrique de l’Est</w:t>
      </w:r>
      <w:r w:rsidR="00E20527" w:rsidRPr="0010074A">
        <w:rPr>
          <w:rFonts w:eastAsia="Calibri"/>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813B8">
        <w:rPr>
          <w:rFonts w:eastAsia="Calibri"/>
          <w:kern w:val="22"/>
          <w:szCs w:val="22"/>
          <w:lang w:val="fr-FR"/>
        </w:rPr>
        <w:t xml:space="preserve">Deux </w:t>
      </w:r>
      <w:r w:rsidRPr="0010074A">
        <w:rPr>
          <w:rFonts w:eastAsia="Calibri"/>
          <w:kern w:val="22"/>
          <w:szCs w:val="22"/>
          <w:lang w:val="fr-FR"/>
        </w:rPr>
        <w:t>pays</w:t>
      </w:r>
      <w:r w:rsidRPr="0010074A">
        <w:rPr>
          <w:rStyle w:val="Appelnotedebasdep"/>
          <w:rFonts w:eastAsia="Calibri"/>
          <w:kern w:val="22"/>
          <w:sz w:val="22"/>
          <w:szCs w:val="22"/>
          <w:lang w:val="fr-FR"/>
        </w:rPr>
        <w:footnoteReference w:id="69"/>
      </w:r>
      <w:r w:rsidRPr="0010074A">
        <w:rPr>
          <w:rFonts w:eastAsia="Calibri"/>
          <w:kern w:val="22"/>
          <w:szCs w:val="22"/>
          <w:lang w:val="fr-FR"/>
        </w:rPr>
        <w:t xml:space="preserve"> ont signalé qu’ils n’étaient pas concernés par la situation et deux autres pays</w:t>
      </w:r>
      <w:r w:rsidRPr="0010074A">
        <w:rPr>
          <w:rStyle w:val="Appelnotedebasdep"/>
          <w:rFonts w:eastAsia="Calibri"/>
          <w:kern w:val="22"/>
          <w:sz w:val="22"/>
          <w:szCs w:val="22"/>
          <w:lang w:val="fr-FR"/>
        </w:rPr>
        <w:footnoteReference w:id="70"/>
      </w:r>
      <w:r w:rsidRPr="0010074A">
        <w:rPr>
          <w:rFonts w:eastAsia="Calibri"/>
          <w:kern w:val="22"/>
          <w:szCs w:val="22"/>
          <w:lang w:val="fr-FR"/>
        </w:rPr>
        <w:t xml:space="preserve"> ont indiqué qu’ils coopéraient</w:t>
      </w:r>
      <w:r w:rsidRPr="008813B8">
        <w:rPr>
          <w:rFonts w:eastAsia="Calibri"/>
          <w:kern w:val="22"/>
          <w:szCs w:val="22"/>
          <w:lang w:val="fr-FR"/>
        </w:rPr>
        <w:t xml:space="preserve"> déjà dans ce domaine</w:t>
      </w:r>
      <w:r w:rsidR="00E20527" w:rsidRPr="00D35D9A">
        <w:rPr>
          <w:rFonts w:eastAsia="Calibri"/>
          <w:kern w:val="22"/>
          <w:szCs w:val="22"/>
        </w:rPr>
        <w:t>.</w:t>
      </w:r>
    </w:p>
    <w:p w:rsidR="00E20527" w:rsidRPr="00D35D9A" w:rsidRDefault="00217F60" w:rsidP="00E20527">
      <w:pPr>
        <w:pStyle w:val="Titre3"/>
        <w:numPr>
          <w:ilvl w:val="0"/>
          <w:numId w:val="24"/>
        </w:numPr>
        <w:suppressLineNumbers/>
        <w:suppressAutoHyphens/>
        <w:kinsoku w:val="0"/>
        <w:overflowPunct w:val="0"/>
        <w:autoSpaceDE w:val="0"/>
        <w:autoSpaceDN w:val="0"/>
        <w:adjustRightInd w:val="0"/>
        <w:snapToGrid w:val="0"/>
        <w:ind w:hanging="720"/>
        <w:rPr>
          <w:bCs/>
          <w:iCs w:val="0"/>
          <w:snapToGrid w:val="0"/>
          <w:kern w:val="22"/>
          <w:szCs w:val="22"/>
        </w:rPr>
      </w:pPr>
      <w:r w:rsidRPr="009527E0">
        <w:rPr>
          <w:bCs/>
          <w:iCs w:val="0"/>
          <w:snapToGrid w:val="0"/>
          <w:kern w:val="22"/>
          <w:szCs w:val="22"/>
          <w:lang w:val="fr-FR"/>
        </w:rPr>
        <w:t xml:space="preserve">Informations additionnelles : </w:t>
      </w:r>
      <w:r w:rsidR="004859B8" w:rsidRPr="009527E0">
        <w:rPr>
          <w:bCs/>
          <w:iCs w:val="0"/>
          <w:snapToGrid w:val="0"/>
          <w:kern w:val="22"/>
          <w:szCs w:val="22"/>
          <w:lang w:val="fr-FR"/>
        </w:rPr>
        <w:t>r</w:t>
      </w:r>
      <w:r w:rsidRPr="009527E0">
        <w:rPr>
          <w:bCs/>
          <w:iCs w:val="0"/>
          <w:snapToGrid w:val="0"/>
          <w:kern w:val="22"/>
          <w:szCs w:val="22"/>
          <w:lang w:val="fr-FR"/>
        </w:rPr>
        <w:t>ésumé des principales difficultés (question</w:t>
      </w:r>
      <w:r w:rsidRPr="008813B8">
        <w:rPr>
          <w:bCs/>
          <w:iCs w:val="0"/>
          <w:snapToGrid w:val="0"/>
          <w:kern w:val="22"/>
          <w:szCs w:val="22"/>
          <w:lang w:val="fr-FR"/>
        </w:rPr>
        <w:t> 50</w:t>
      </w:r>
      <w:r w:rsidR="00E20527" w:rsidRPr="00D35D9A">
        <w:rPr>
          <w:bCs/>
          <w:iCs w:val="0"/>
          <w:snapToGrid w:val="0"/>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11125">
        <w:rPr>
          <w:rFonts w:eastAsia="Calibri"/>
          <w:kern w:val="22"/>
          <w:szCs w:val="22"/>
          <w:lang w:val="fr-FR"/>
        </w:rPr>
        <w:t>Un total de 21 pays a répondu à cette question.</w:t>
      </w:r>
      <w:r w:rsidRPr="00D35D9A">
        <w:rPr>
          <w:rFonts w:eastAsia="Calibri"/>
          <w:kern w:val="22"/>
          <w:szCs w:val="22"/>
        </w:rPr>
        <w:t xml:space="preserve"> </w:t>
      </w:r>
      <w:r w:rsidRPr="00811125">
        <w:rPr>
          <w:rFonts w:eastAsia="Calibri"/>
          <w:kern w:val="22"/>
          <w:szCs w:val="22"/>
          <w:lang w:val="fr-FR"/>
        </w:rPr>
        <w:t>Outre les difficultés transversales recensées lors de la mise en œuvre de plusieurs aspects du Protocole (par ex. l’insuffisance des capacités et des ressources financières, la nécessité de conduire des actions de sensibilisation), plusieurs pays ont souligné qu’il était difficile de mettre en application le présent article</w:t>
      </w:r>
      <w:r w:rsidR="009527E0">
        <w:rPr>
          <w:rFonts w:eastAsia="Calibri"/>
          <w:kern w:val="22"/>
          <w:szCs w:val="22"/>
          <w:lang w:val="fr-FR"/>
        </w:rPr>
        <w:t xml:space="preserve">, en raison </w:t>
      </w:r>
      <w:r w:rsidRPr="00811125">
        <w:rPr>
          <w:rFonts w:eastAsia="Calibri"/>
          <w:kern w:val="22"/>
          <w:szCs w:val="22"/>
          <w:lang w:val="fr-FR"/>
        </w:rPr>
        <w:t xml:space="preserve">des progrès </w:t>
      </w:r>
      <w:r w:rsidR="009527E0">
        <w:rPr>
          <w:rFonts w:eastAsia="Calibri"/>
          <w:kern w:val="22"/>
          <w:szCs w:val="22"/>
          <w:lang w:val="fr-FR"/>
        </w:rPr>
        <w:t xml:space="preserve">inégaux </w:t>
      </w:r>
      <w:r w:rsidRPr="00811125">
        <w:rPr>
          <w:rFonts w:eastAsia="Calibri"/>
          <w:kern w:val="22"/>
          <w:szCs w:val="22"/>
          <w:lang w:val="fr-FR"/>
        </w:rPr>
        <w:t>accomplis par les pays dans la mise en œuvre du Protocole, et de l’utilisation de diverses approches législatives. Des pays ont également noté que de nombreux États n’avaient pas encore ratifié le Protocole</w:t>
      </w:r>
      <w:r w:rsidR="00E20527" w:rsidRPr="00D35D9A">
        <w:rPr>
          <w:rFonts w:eastAsia="Calibri"/>
          <w:kern w:val="22"/>
          <w:szCs w:val="22"/>
        </w:rPr>
        <w:t>.</w:t>
      </w:r>
    </w:p>
    <w:p w:rsidR="00E20527" w:rsidRPr="00D35D9A" w:rsidRDefault="009527E0" w:rsidP="00E20527">
      <w:pPr>
        <w:pStyle w:val="Para1"/>
        <w:suppressLineNumbers/>
        <w:tabs>
          <w:tab w:val="clear" w:pos="360"/>
        </w:tabs>
        <w:suppressAutoHyphens/>
        <w:kinsoku w:val="0"/>
        <w:overflowPunct w:val="0"/>
        <w:autoSpaceDE w:val="0"/>
        <w:autoSpaceDN w:val="0"/>
        <w:adjustRightInd w:val="0"/>
        <w:snapToGrid w:val="0"/>
        <w:rPr>
          <w:kern w:val="22"/>
          <w:szCs w:val="22"/>
        </w:rPr>
      </w:pPr>
      <w:r>
        <w:rPr>
          <w:rFonts w:eastAsia="Calibri"/>
          <w:kern w:val="22"/>
          <w:szCs w:val="22"/>
          <w:lang w:val="fr-FR"/>
        </w:rPr>
        <w:t>Plusieurs</w:t>
      </w:r>
      <w:r w:rsidR="00217F60" w:rsidRPr="00811125">
        <w:rPr>
          <w:rFonts w:eastAsia="Calibri"/>
          <w:kern w:val="22"/>
          <w:szCs w:val="22"/>
          <w:lang w:val="fr-FR"/>
        </w:rPr>
        <w:t xml:space="preserve"> pays ont souligné la nécessité de renforcer les capacités des structures régionales, afin qu’elles puissent coordonner la mise en œuvre du Protocole.</w:t>
      </w:r>
      <w:r w:rsidR="00217F60" w:rsidRPr="00D35D9A">
        <w:rPr>
          <w:rFonts w:eastAsia="Calibri"/>
          <w:kern w:val="22"/>
          <w:szCs w:val="22"/>
        </w:rPr>
        <w:t xml:space="preserve"> </w:t>
      </w:r>
      <w:r w:rsidR="00217F60" w:rsidRPr="00811125">
        <w:rPr>
          <w:rFonts w:eastAsia="Calibri"/>
          <w:kern w:val="22"/>
          <w:szCs w:val="22"/>
          <w:lang w:val="fr-FR"/>
        </w:rPr>
        <w:t>Un pays a signalé à cet égard que les politiques régionales sur l’accès et le partage des avantages n’étaient pas pleinement mises en application à l’échelle nationale.</w:t>
      </w:r>
      <w:r w:rsidR="00217F60" w:rsidRPr="00D35D9A">
        <w:rPr>
          <w:rFonts w:eastAsia="Calibri"/>
          <w:kern w:val="22"/>
          <w:szCs w:val="22"/>
        </w:rPr>
        <w:t xml:space="preserve"> </w:t>
      </w:r>
      <w:r w:rsidR="00217F60" w:rsidRPr="00EA50C1">
        <w:rPr>
          <w:rFonts w:eastAsia="Calibri"/>
          <w:kern w:val="22"/>
          <w:szCs w:val="22"/>
          <w:lang w:val="fr-FR"/>
        </w:rPr>
        <w:t xml:space="preserve">La nécessité de disposer de ressources financières pour appuyer la coopération transfrontière a été notée par </w:t>
      </w:r>
      <w:r w:rsidR="005554AD">
        <w:rPr>
          <w:rFonts w:eastAsia="Calibri"/>
          <w:kern w:val="22"/>
          <w:szCs w:val="22"/>
          <w:lang w:val="fr-FR"/>
        </w:rPr>
        <w:t>une série</w:t>
      </w:r>
      <w:r w:rsidR="00217F60" w:rsidRPr="00EA50C1">
        <w:rPr>
          <w:rFonts w:eastAsia="Calibri"/>
          <w:kern w:val="22"/>
          <w:szCs w:val="22"/>
          <w:lang w:val="fr-FR"/>
        </w:rPr>
        <w:t xml:space="preserve"> de pays</w:t>
      </w:r>
      <w:r w:rsidR="00E20527" w:rsidRPr="00D35D9A">
        <w:rPr>
          <w:rFonts w:eastAsia="Calibri"/>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CC486C">
        <w:rPr>
          <w:rFonts w:eastAsia="Calibri"/>
          <w:kern w:val="22"/>
          <w:szCs w:val="22"/>
          <w:lang w:val="fr-FR"/>
        </w:rPr>
        <w:lastRenderedPageBreak/>
        <w:t>Plusieurs pays ont indiqué n’avoir recensé aucun cas d’accès à des</w:t>
      </w:r>
      <w:r w:rsidRPr="00CC486C">
        <w:rPr>
          <w:kern w:val="22"/>
          <w:szCs w:val="22"/>
          <w:lang w:val="fr-FR"/>
        </w:rPr>
        <w:t xml:space="preserve"> ressources génétiques ou des connaissances traditionnelles associées sur </w:t>
      </w:r>
      <w:r w:rsidR="005554AD">
        <w:rPr>
          <w:kern w:val="22"/>
          <w:szCs w:val="22"/>
          <w:lang w:val="fr-FR"/>
        </w:rPr>
        <w:t>un</w:t>
      </w:r>
      <w:r w:rsidRPr="00CC486C">
        <w:rPr>
          <w:kern w:val="22"/>
          <w:szCs w:val="22"/>
          <w:lang w:val="fr-FR"/>
        </w:rPr>
        <w:t xml:space="preserve"> territoire </w:t>
      </w:r>
      <w:r w:rsidR="005554AD">
        <w:rPr>
          <w:kern w:val="22"/>
          <w:szCs w:val="22"/>
          <w:lang w:val="fr-FR"/>
        </w:rPr>
        <w:t>transfrontière</w:t>
      </w:r>
      <w:r w:rsidRPr="00CC486C">
        <w:rPr>
          <w:kern w:val="22"/>
          <w:szCs w:val="22"/>
          <w:lang w:val="fr-FR"/>
        </w:rPr>
        <w:t xml:space="preserve">, et souligné la nécessité d’acquérir une expérience </w:t>
      </w:r>
      <w:r w:rsidR="005554AD">
        <w:rPr>
          <w:kern w:val="22"/>
          <w:szCs w:val="22"/>
          <w:lang w:val="fr-FR"/>
        </w:rPr>
        <w:t>dans ce domaine</w:t>
      </w:r>
      <w:r w:rsidRPr="00CC486C">
        <w:rPr>
          <w:kern w:val="22"/>
          <w:szCs w:val="22"/>
          <w:lang w:val="fr-FR"/>
        </w:rPr>
        <w:t>.</w:t>
      </w:r>
      <w:r w:rsidR="00286708">
        <w:rPr>
          <w:kern w:val="22"/>
          <w:szCs w:val="22"/>
          <w:lang w:val="fr-FR"/>
        </w:rPr>
        <w:t xml:space="preserve"> </w:t>
      </w:r>
      <w:r w:rsidRPr="00CC486C">
        <w:rPr>
          <w:rFonts w:eastAsia="Calibri"/>
          <w:kern w:val="22"/>
          <w:szCs w:val="22"/>
          <w:lang w:val="fr-FR"/>
        </w:rPr>
        <w:t>L’importance de partager des informations et des expérience</w:t>
      </w:r>
      <w:r w:rsidR="005554AD">
        <w:rPr>
          <w:rFonts w:eastAsia="Calibri"/>
          <w:kern w:val="22"/>
          <w:szCs w:val="22"/>
          <w:lang w:val="fr-FR"/>
        </w:rPr>
        <w:t>s</w:t>
      </w:r>
      <w:r w:rsidRPr="00CC486C">
        <w:rPr>
          <w:rFonts w:eastAsia="Calibri"/>
          <w:kern w:val="22"/>
          <w:szCs w:val="22"/>
          <w:lang w:val="fr-FR"/>
        </w:rPr>
        <w:t xml:space="preserve"> a été mise en avant.</w:t>
      </w:r>
      <w:r w:rsidRPr="00D35D9A">
        <w:rPr>
          <w:rFonts w:eastAsia="Calibri"/>
          <w:kern w:val="22"/>
          <w:szCs w:val="22"/>
        </w:rPr>
        <w:t xml:space="preserve"> </w:t>
      </w:r>
      <w:r w:rsidRPr="00E44B0D">
        <w:rPr>
          <w:rFonts w:eastAsia="Calibri"/>
          <w:kern w:val="22"/>
          <w:szCs w:val="22"/>
          <w:lang w:val="fr-FR"/>
        </w:rPr>
        <w:t>Un pays a estimé que l’expérience acquise dans le cadre d’autres projets sous-régionaux et bilatéraux contribuera de manière pertinente à la mise en œuvre de l’article 11 du Protocole de Nagoya</w:t>
      </w:r>
      <w:r w:rsidR="00E20527" w:rsidRPr="00D35D9A">
        <w:rPr>
          <w:rFonts w:eastAsia="Calibri"/>
          <w:kern w:val="22"/>
          <w:szCs w:val="22"/>
        </w:rPr>
        <w:t>.</w:t>
      </w:r>
    </w:p>
    <w:p w:rsidR="00E20527" w:rsidRPr="00D35D9A" w:rsidRDefault="00217F60"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E44B0D">
        <w:rPr>
          <w:rFonts w:eastAsia="Calibri"/>
          <w:kern w:val="22"/>
          <w:szCs w:val="22"/>
          <w:lang w:val="fr-FR"/>
        </w:rPr>
        <w:t xml:space="preserve">La nécessité de recenser et de décrire les connaissances traditionnelles communes a également été mentionnée par plusieurs pays, et un pays a souligné que </w:t>
      </w:r>
      <w:r w:rsidR="005554AD">
        <w:rPr>
          <w:rFonts w:eastAsia="Calibri"/>
          <w:kern w:val="22"/>
          <w:szCs w:val="22"/>
          <w:lang w:val="fr-FR"/>
        </w:rPr>
        <w:t>ses</w:t>
      </w:r>
      <w:r w:rsidRPr="00E44B0D">
        <w:rPr>
          <w:rFonts w:eastAsia="Calibri"/>
          <w:kern w:val="22"/>
          <w:szCs w:val="22"/>
          <w:lang w:val="fr-FR"/>
        </w:rPr>
        <w:t xml:space="preserve"> connaissances traditionnelles associées avaient déjà été partiellement rassemblées ou largement diffusées</w:t>
      </w:r>
      <w:r w:rsidR="00E20527" w:rsidRPr="00D35D9A">
        <w:rPr>
          <w:rFonts w:eastAsia="Calibri"/>
          <w:kern w:val="22"/>
          <w:szCs w:val="22"/>
        </w:rPr>
        <w:t>.</w:t>
      </w:r>
    </w:p>
    <w:p w:rsidR="00E20527" w:rsidRPr="00D35D9A" w:rsidRDefault="00516B2D" w:rsidP="00E20527">
      <w:pPr>
        <w:pStyle w:val="Titre1"/>
        <w:numPr>
          <w:ilvl w:val="0"/>
          <w:numId w:val="7"/>
        </w:numPr>
        <w:suppressLineNumbers/>
        <w:tabs>
          <w:tab w:val="clear" w:pos="720"/>
        </w:tabs>
        <w:suppressAutoHyphens/>
        <w:kinsoku w:val="0"/>
        <w:overflowPunct w:val="0"/>
        <w:autoSpaceDE w:val="0"/>
        <w:autoSpaceDN w:val="0"/>
        <w:adjustRightInd w:val="0"/>
        <w:snapToGrid w:val="0"/>
        <w:spacing w:before="120"/>
        <w:ind w:left="1282"/>
        <w:jc w:val="left"/>
        <w:rPr>
          <w:rFonts w:ascii="Times New Roman Bold" w:hAnsi="Times New Roman Bold" w:cs="Times New Roman Bold"/>
          <w:caps w:val="0"/>
          <w:snapToGrid w:val="0"/>
          <w:kern w:val="22"/>
          <w:szCs w:val="22"/>
        </w:rPr>
      </w:pPr>
      <w:r w:rsidRPr="00685E04">
        <w:rPr>
          <w:rFonts w:ascii="Times New Roman Bold" w:hAnsi="Times New Roman Bold" w:cs="Times New Roman Bold"/>
          <w:caps w:val="0"/>
          <w:snapToGrid w:val="0"/>
          <w:kern w:val="22"/>
          <w:szCs w:val="22"/>
          <w:lang w:val="fr-FR"/>
        </w:rPr>
        <w:t>INFORMATIONS SUR DES SITUATIONS O</w:t>
      </w:r>
      <w:r w:rsidRPr="00685E04">
        <w:rPr>
          <w:caps w:val="0"/>
          <w:snapToGrid w:val="0"/>
          <w:kern w:val="22"/>
          <w:szCs w:val="22"/>
          <w:lang w:val="fr-FR"/>
        </w:rPr>
        <w:t>Ù</w:t>
      </w:r>
      <w:r w:rsidRPr="00685E04">
        <w:rPr>
          <w:rFonts w:ascii="Times New Roman Bold" w:hAnsi="Times New Roman Bold" w:cs="Times New Roman Bold"/>
          <w:caps w:val="0"/>
          <w:snapToGrid w:val="0"/>
          <w:kern w:val="22"/>
          <w:szCs w:val="22"/>
          <w:lang w:val="fr-FR"/>
        </w:rPr>
        <w:t xml:space="preserve"> IL N’EST PAS POSSIBLE D’ACCORDER OU D’OBTENIR UN CONSENTEMENT PR</w:t>
      </w:r>
      <w:r w:rsidRPr="00685E04">
        <w:rPr>
          <w:caps w:val="0"/>
          <w:snapToGrid w:val="0"/>
          <w:kern w:val="22"/>
          <w:szCs w:val="22"/>
          <w:lang w:val="fr-FR"/>
        </w:rPr>
        <w:t>É</w:t>
      </w:r>
      <w:r w:rsidRPr="00685E04">
        <w:rPr>
          <w:rFonts w:ascii="Times New Roman Bold" w:hAnsi="Times New Roman Bold" w:cs="Times New Roman Bold"/>
          <w:caps w:val="0"/>
          <w:snapToGrid w:val="0"/>
          <w:kern w:val="22"/>
          <w:szCs w:val="22"/>
          <w:lang w:val="fr-FR"/>
        </w:rPr>
        <w:t>ALABLE DONN</w:t>
      </w:r>
      <w:r w:rsidRPr="00685E04">
        <w:rPr>
          <w:caps w:val="0"/>
          <w:snapToGrid w:val="0"/>
          <w:kern w:val="22"/>
          <w:szCs w:val="22"/>
          <w:lang w:val="fr-FR"/>
        </w:rPr>
        <w:t>É</w:t>
      </w:r>
      <w:r w:rsidRPr="00685E04">
        <w:rPr>
          <w:rFonts w:ascii="Times New Roman Bold" w:hAnsi="Times New Roman Bold" w:cs="Times New Roman Bold"/>
          <w:caps w:val="0"/>
          <w:snapToGrid w:val="0"/>
          <w:kern w:val="22"/>
          <w:szCs w:val="22"/>
          <w:lang w:val="fr-FR"/>
        </w:rPr>
        <w:t xml:space="preserve"> EN CONNAISSANCE DE CAUS</w:t>
      </w:r>
      <w:r>
        <w:rPr>
          <w:rFonts w:ascii="Times New Roman Bold" w:hAnsi="Times New Roman Bold" w:cs="Times New Roman Bold"/>
          <w:caps w:val="0"/>
          <w:snapToGrid w:val="0"/>
          <w:kern w:val="22"/>
          <w:szCs w:val="22"/>
          <w:lang w:val="fr-FR"/>
        </w:rPr>
        <w:t>E</w:t>
      </w:r>
    </w:p>
    <w:p w:rsidR="00E20527" w:rsidRPr="00D35D9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685E04">
        <w:rPr>
          <w:kern w:val="22"/>
          <w:szCs w:val="22"/>
          <w:lang w:val="fr-FR"/>
        </w:rPr>
        <w:t xml:space="preserve">Conformément au paragraphe 4 de la décision NP-2/10, plusieurs </w:t>
      </w:r>
      <w:r w:rsidR="003F539B">
        <w:rPr>
          <w:kern w:val="22"/>
          <w:szCs w:val="22"/>
          <w:lang w:val="fr-FR"/>
        </w:rPr>
        <w:t>soumissions</w:t>
      </w:r>
      <w:r w:rsidRPr="00685E04">
        <w:rPr>
          <w:kern w:val="22"/>
          <w:szCs w:val="22"/>
          <w:lang w:val="fr-FR"/>
        </w:rPr>
        <w:t xml:space="preserve"> ont exposé des vues et des informations sur des situations où il n’est pas possible d’accorder ou d’obtenir un consentement préalable donné en connaissance de cause</w:t>
      </w:r>
      <w:r w:rsidR="00E20527" w:rsidRPr="00D35D9A">
        <w:rPr>
          <w:kern w:val="22"/>
          <w:szCs w:val="22"/>
        </w:rPr>
        <w:t>.</w:t>
      </w:r>
    </w:p>
    <w:p w:rsidR="00E20527" w:rsidRPr="0010074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kern w:val="22"/>
          <w:szCs w:val="22"/>
          <w:lang w:val="fr-FR"/>
        </w:rPr>
        <w:t xml:space="preserve">Quatre </w:t>
      </w:r>
      <w:r w:rsidR="003F539B">
        <w:rPr>
          <w:kern w:val="22"/>
          <w:szCs w:val="22"/>
          <w:lang w:val="fr-FR"/>
        </w:rPr>
        <w:t>soumissions</w:t>
      </w:r>
      <w:r w:rsidRPr="0010074A">
        <w:rPr>
          <w:rStyle w:val="Appelnotedebasdep"/>
          <w:kern w:val="22"/>
          <w:sz w:val="22"/>
          <w:szCs w:val="22"/>
          <w:lang w:val="fr-FR"/>
        </w:rPr>
        <w:footnoteReference w:id="71"/>
      </w:r>
      <w:r w:rsidRPr="0010074A">
        <w:rPr>
          <w:kern w:val="22"/>
          <w:szCs w:val="22"/>
          <w:lang w:val="fr-FR"/>
        </w:rPr>
        <w:t xml:space="preserve"> ont indiqué qu’elles n’avaient recensé aucune situation de ce type.</w:t>
      </w:r>
      <w:r w:rsidRPr="0010074A">
        <w:rPr>
          <w:kern w:val="22"/>
          <w:szCs w:val="22"/>
        </w:rPr>
        <w:t xml:space="preserve"> </w:t>
      </w:r>
      <w:r w:rsidRPr="0010074A">
        <w:rPr>
          <w:kern w:val="22"/>
          <w:szCs w:val="22"/>
          <w:lang w:val="fr-FR"/>
        </w:rPr>
        <w:t>L’une d’entre elles</w:t>
      </w:r>
      <w:r w:rsidRPr="0010074A">
        <w:rPr>
          <w:rStyle w:val="Appelnotedebasdep"/>
          <w:kern w:val="22"/>
          <w:sz w:val="22"/>
          <w:szCs w:val="22"/>
          <w:lang w:val="fr-FR"/>
        </w:rPr>
        <w:footnoteReference w:id="72"/>
      </w:r>
      <w:r w:rsidRPr="0010074A">
        <w:rPr>
          <w:kern w:val="22"/>
          <w:szCs w:val="22"/>
          <w:lang w:val="fr-FR"/>
        </w:rPr>
        <w:t xml:space="preserve"> a reconnu que l’obtention d’un consentement préalable donné en connaissance de cause pose parfois des problèmes pratiques, en raison de la </w:t>
      </w:r>
      <w:r w:rsidR="003F539B">
        <w:rPr>
          <w:kern w:val="22"/>
          <w:szCs w:val="22"/>
          <w:lang w:val="fr-FR"/>
        </w:rPr>
        <w:t>difficile mise</w:t>
      </w:r>
      <w:r w:rsidRPr="0010074A">
        <w:rPr>
          <w:kern w:val="22"/>
          <w:szCs w:val="22"/>
          <w:lang w:val="fr-FR"/>
        </w:rPr>
        <w:t xml:space="preserve"> en œuvre </w:t>
      </w:r>
      <w:r w:rsidR="003F539B">
        <w:rPr>
          <w:kern w:val="22"/>
          <w:szCs w:val="22"/>
          <w:lang w:val="fr-FR"/>
        </w:rPr>
        <w:t>du</w:t>
      </w:r>
      <w:r w:rsidRPr="0010074A">
        <w:rPr>
          <w:kern w:val="22"/>
          <w:szCs w:val="22"/>
          <w:lang w:val="fr-FR"/>
        </w:rPr>
        <w:t xml:space="preserve"> Protocole à l’échelle nationale, mais estimé que cet état de fait ne </w:t>
      </w:r>
      <w:r w:rsidR="003F539B">
        <w:rPr>
          <w:kern w:val="22"/>
          <w:szCs w:val="22"/>
          <w:lang w:val="fr-FR"/>
        </w:rPr>
        <w:t>concernait pas</w:t>
      </w:r>
      <w:r w:rsidRPr="0010074A">
        <w:rPr>
          <w:kern w:val="22"/>
          <w:szCs w:val="22"/>
          <w:lang w:val="fr-FR"/>
        </w:rPr>
        <w:t xml:space="preserve"> l’article 10. Une Partie</w:t>
      </w:r>
      <w:r w:rsidRPr="0010074A">
        <w:rPr>
          <w:rStyle w:val="Appelnotedebasdep"/>
          <w:kern w:val="22"/>
          <w:sz w:val="22"/>
          <w:szCs w:val="22"/>
          <w:lang w:val="fr-FR"/>
        </w:rPr>
        <w:footnoteReference w:id="73"/>
      </w:r>
      <w:r w:rsidRPr="0010074A">
        <w:rPr>
          <w:kern w:val="22"/>
          <w:szCs w:val="22"/>
          <w:lang w:val="fr-FR"/>
        </w:rPr>
        <w:t xml:space="preserve"> a cité l’exemple de ses « Directives de 2014 sur les réglementations relatives à l’accès aux ressources biologiques, aux connaissances associées et au partage des avantages », qui ont été communiquées dans le cadre de sa Loi sur la </w:t>
      </w:r>
      <w:r w:rsidR="003F539B">
        <w:rPr>
          <w:kern w:val="22"/>
          <w:szCs w:val="22"/>
          <w:lang w:val="fr-FR"/>
        </w:rPr>
        <w:t>biodiversité</w:t>
      </w:r>
      <w:r w:rsidRPr="0010074A">
        <w:rPr>
          <w:kern w:val="22"/>
          <w:szCs w:val="22"/>
          <w:lang w:val="fr-FR"/>
        </w:rPr>
        <w:t>.</w:t>
      </w:r>
      <w:r w:rsidRPr="0010074A">
        <w:rPr>
          <w:kern w:val="22"/>
          <w:szCs w:val="22"/>
        </w:rPr>
        <w:t xml:space="preserve"> </w:t>
      </w:r>
      <w:r w:rsidRPr="0010074A">
        <w:rPr>
          <w:kern w:val="22"/>
          <w:szCs w:val="22"/>
          <w:lang w:val="fr-FR"/>
        </w:rPr>
        <w:t>Ces directives prévoient qu’en cas de non-recensement de</w:t>
      </w:r>
      <w:r w:rsidR="003F539B">
        <w:rPr>
          <w:kern w:val="22"/>
          <w:szCs w:val="22"/>
          <w:lang w:val="fr-FR"/>
        </w:rPr>
        <w:t xml:space="preserve"> leurs</w:t>
      </w:r>
      <w:r w:rsidRPr="0010074A">
        <w:rPr>
          <w:kern w:val="22"/>
          <w:szCs w:val="22"/>
          <w:lang w:val="fr-FR"/>
        </w:rPr>
        <w:t xml:space="preserve"> bénéficiaires, les avantages monétaires découlant des utilisations commerciales serviront à appuyer la conservation et l’usage durable des ressources et des connaissances, et à améliorer les moyens de subsistance des populations locales vivant dans la région où so</w:t>
      </w:r>
      <w:r w:rsidR="003F539B">
        <w:rPr>
          <w:kern w:val="22"/>
          <w:szCs w:val="22"/>
          <w:lang w:val="fr-FR"/>
        </w:rPr>
        <w:t>nt situées l</w:t>
      </w:r>
      <w:r w:rsidRPr="0010074A">
        <w:rPr>
          <w:kern w:val="22"/>
          <w:szCs w:val="22"/>
          <w:lang w:val="fr-FR"/>
        </w:rPr>
        <w:t>es ressources biologiques</w:t>
      </w:r>
      <w:r w:rsidR="00E20527" w:rsidRPr="0010074A">
        <w:rPr>
          <w:kern w:val="22"/>
          <w:szCs w:val="22"/>
        </w:rPr>
        <w:t>.</w:t>
      </w:r>
    </w:p>
    <w:p w:rsidR="00E20527" w:rsidRPr="0010074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kern w:val="22"/>
          <w:szCs w:val="22"/>
          <w:lang w:val="fr-FR"/>
        </w:rPr>
        <w:t>Une autre Partie</w:t>
      </w:r>
      <w:r w:rsidRPr="0010074A">
        <w:rPr>
          <w:rStyle w:val="Appelnotedebasdep"/>
          <w:kern w:val="22"/>
          <w:sz w:val="22"/>
          <w:szCs w:val="22"/>
          <w:lang w:val="fr-FR"/>
        </w:rPr>
        <w:footnoteReference w:id="74"/>
      </w:r>
      <w:r w:rsidRPr="0010074A">
        <w:rPr>
          <w:kern w:val="22"/>
          <w:szCs w:val="22"/>
          <w:lang w:val="fr-FR"/>
        </w:rPr>
        <w:t xml:space="preserve"> a cité plusieurs situations hypothétiques dans lesquelles un consentement préalable do</w:t>
      </w:r>
      <w:r w:rsidR="00A14C49">
        <w:rPr>
          <w:kern w:val="22"/>
          <w:szCs w:val="22"/>
          <w:lang w:val="fr-FR"/>
        </w:rPr>
        <w:t xml:space="preserve">nné en connaissance de cause pourrait ne pas </w:t>
      </w:r>
      <w:r w:rsidRPr="0010074A">
        <w:rPr>
          <w:kern w:val="22"/>
          <w:szCs w:val="22"/>
          <w:lang w:val="fr-FR"/>
        </w:rPr>
        <w:t>être accordé ou obtenu :</w:t>
      </w:r>
      <w:r w:rsidRPr="0010074A">
        <w:rPr>
          <w:kern w:val="22"/>
          <w:szCs w:val="22"/>
        </w:rPr>
        <w:t xml:space="preserve"> </w:t>
      </w:r>
      <w:r w:rsidRPr="0010074A">
        <w:rPr>
          <w:kern w:val="22"/>
          <w:szCs w:val="22"/>
          <w:lang w:val="fr-FR"/>
        </w:rPr>
        <w:t xml:space="preserve">a) si l’accès à une ressource génétique </w:t>
      </w:r>
      <w:r w:rsidRPr="003F5225">
        <w:rPr>
          <w:kern w:val="22"/>
          <w:szCs w:val="22"/>
          <w:lang w:val="fr-FR"/>
        </w:rPr>
        <w:t>ex situ</w:t>
      </w:r>
      <w:r w:rsidRPr="0010074A">
        <w:rPr>
          <w:kern w:val="22"/>
          <w:szCs w:val="22"/>
          <w:lang w:val="fr-FR"/>
        </w:rPr>
        <w:t xml:space="preserve"> est</w:t>
      </w:r>
      <w:r w:rsidR="00A14C49">
        <w:rPr>
          <w:kern w:val="22"/>
          <w:szCs w:val="22"/>
          <w:lang w:val="fr-FR"/>
        </w:rPr>
        <w:t xml:space="preserve"> recherché alors </w:t>
      </w:r>
      <w:r w:rsidRPr="0010074A">
        <w:rPr>
          <w:kern w:val="22"/>
          <w:szCs w:val="22"/>
          <w:lang w:val="fr-FR"/>
        </w:rPr>
        <w:t>qu’il n’existe aucune information exacte sur son pays d’origine en raison de la date de consignation ; b) si l’accès à des connaissances traditionnelles associées à des ressources génétiques est recherché alors que leurs titulaires originaires, qui étaient des peuples autochtones ou des communautés locales, ont disparu ; c) si l’accès à des données ADN/ARN purifiées est recherché par une Partie non détentrice de documents précis sur l’origine du matériel génétique</w:t>
      </w:r>
      <w:r w:rsidR="00E20527" w:rsidRPr="0010074A">
        <w:rPr>
          <w:kern w:val="22"/>
          <w:szCs w:val="22"/>
        </w:rPr>
        <w:t>.</w:t>
      </w:r>
    </w:p>
    <w:p w:rsidR="00E20527" w:rsidRPr="0010074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kern w:val="22"/>
          <w:szCs w:val="22"/>
          <w:lang w:val="fr-FR"/>
        </w:rPr>
        <w:t xml:space="preserve">Plusieurs instituts de recherche et responsables de collections </w:t>
      </w:r>
      <w:r w:rsidRPr="003F5225">
        <w:rPr>
          <w:kern w:val="22"/>
          <w:szCs w:val="22"/>
          <w:lang w:val="fr-FR"/>
        </w:rPr>
        <w:t>ex situ</w:t>
      </w:r>
      <w:r w:rsidRPr="0010074A">
        <w:rPr>
          <w:kern w:val="22"/>
          <w:szCs w:val="22"/>
          <w:lang w:val="fr-FR"/>
        </w:rPr>
        <w:t xml:space="preserve"> ont fourni des informations sur l’expérience qu’ils ont acquise dans l’obtention de consentements préalables donnés en connaissance de cause.</w:t>
      </w:r>
      <w:r w:rsidRPr="0010074A">
        <w:rPr>
          <w:kern w:val="22"/>
          <w:szCs w:val="22"/>
        </w:rPr>
        <w:t xml:space="preserve"> </w:t>
      </w:r>
      <w:r w:rsidRPr="0010074A">
        <w:rPr>
          <w:kern w:val="22"/>
          <w:szCs w:val="22"/>
          <w:lang w:val="fr-FR"/>
        </w:rPr>
        <w:t>Certaines de ces expériences ont inclus </w:t>
      </w:r>
      <w:r w:rsidR="00E20527" w:rsidRPr="0010074A">
        <w:rPr>
          <w:kern w:val="22"/>
          <w:szCs w:val="22"/>
        </w:rPr>
        <w:t>:</w:t>
      </w:r>
    </w:p>
    <w:p w:rsidR="00E20527" w:rsidRPr="0010074A" w:rsidRDefault="00516B2D" w:rsidP="00E20527">
      <w:pPr>
        <w:pStyle w:val="Para1"/>
        <w:numPr>
          <w:ilvl w:val="0"/>
          <w:numId w:val="26"/>
        </w:numPr>
        <w:suppressLineNumbers/>
        <w:suppressAutoHyphens/>
        <w:kinsoku w:val="0"/>
        <w:overflowPunct w:val="0"/>
        <w:autoSpaceDE w:val="0"/>
        <w:autoSpaceDN w:val="0"/>
        <w:adjustRightInd w:val="0"/>
        <w:snapToGrid w:val="0"/>
        <w:ind w:left="0" w:firstLine="709"/>
        <w:rPr>
          <w:kern w:val="22"/>
          <w:szCs w:val="22"/>
        </w:rPr>
      </w:pPr>
      <w:r w:rsidRPr="0010074A">
        <w:rPr>
          <w:kern w:val="22"/>
          <w:szCs w:val="22"/>
          <w:lang w:val="fr-FR"/>
        </w:rPr>
        <w:t>Les difficultés à obtenir un consentement préalable donné en connaissance de cause, ainsi que les permis nécessaires, en raison de l’inexistence de mesures ou de dispositions institutionnelles dans certains pays ; l’absence de réponse ou l’imposition de longs délais de la part des correspondants nationaux ; le caractère bureaucratique et la durée longue de plusieurs mois des procédur</w:t>
      </w:r>
      <w:r w:rsidR="00A14C49">
        <w:rPr>
          <w:kern w:val="22"/>
          <w:szCs w:val="22"/>
          <w:lang w:val="fr-FR"/>
        </w:rPr>
        <w:t xml:space="preserve">es applicables à l’obtention des </w:t>
      </w:r>
      <w:r w:rsidRPr="0010074A">
        <w:rPr>
          <w:kern w:val="22"/>
          <w:szCs w:val="22"/>
          <w:lang w:val="fr-FR"/>
        </w:rPr>
        <w:t>consentements</w:t>
      </w:r>
      <w:r w:rsidR="00E20527" w:rsidRPr="0010074A">
        <w:rPr>
          <w:rStyle w:val="Appelnotedebasdep"/>
          <w:kern w:val="22"/>
          <w:sz w:val="22"/>
          <w:szCs w:val="22"/>
        </w:rPr>
        <w:footnoteReference w:id="75"/>
      </w:r>
      <w:r w:rsidRPr="0010074A">
        <w:rPr>
          <w:kern w:val="22"/>
          <w:szCs w:val="22"/>
          <w:lang w:val="fr-FR"/>
        </w:rPr>
        <w:t> ;</w:t>
      </w:r>
    </w:p>
    <w:p w:rsidR="00E20527" w:rsidRPr="0010074A" w:rsidRDefault="00516B2D" w:rsidP="00E20527">
      <w:pPr>
        <w:pStyle w:val="Para1"/>
        <w:numPr>
          <w:ilvl w:val="0"/>
          <w:numId w:val="26"/>
        </w:numPr>
        <w:suppressLineNumbers/>
        <w:suppressAutoHyphens/>
        <w:kinsoku w:val="0"/>
        <w:overflowPunct w:val="0"/>
        <w:autoSpaceDE w:val="0"/>
        <w:autoSpaceDN w:val="0"/>
        <w:adjustRightInd w:val="0"/>
        <w:snapToGrid w:val="0"/>
        <w:ind w:left="0" w:firstLine="709"/>
        <w:rPr>
          <w:kern w:val="22"/>
          <w:szCs w:val="22"/>
        </w:rPr>
      </w:pPr>
      <w:r w:rsidRPr="00C55A9B">
        <w:rPr>
          <w:kern w:val="22"/>
          <w:szCs w:val="22"/>
          <w:lang w:val="fr-FR"/>
        </w:rPr>
        <w:t xml:space="preserve">La collaboration avec des partenaires locaux </w:t>
      </w:r>
      <w:r w:rsidRPr="0010074A">
        <w:rPr>
          <w:kern w:val="22"/>
          <w:szCs w:val="22"/>
          <w:lang w:val="fr-FR"/>
        </w:rPr>
        <w:t>facilite généralement le processus suivi pour obtenir un consentement</w:t>
      </w:r>
      <w:r w:rsidR="00E20527" w:rsidRPr="0010074A">
        <w:rPr>
          <w:rStyle w:val="Appelnotedebasdep"/>
          <w:kern w:val="22"/>
          <w:sz w:val="22"/>
          <w:szCs w:val="22"/>
        </w:rPr>
        <w:footnoteReference w:id="76"/>
      </w:r>
      <w:r w:rsidRPr="0010074A">
        <w:rPr>
          <w:kern w:val="22"/>
          <w:szCs w:val="22"/>
          <w:lang w:val="fr-FR"/>
        </w:rPr>
        <w:t> ;</w:t>
      </w:r>
    </w:p>
    <w:p w:rsidR="00E20527" w:rsidRPr="0010074A" w:rsidRDefault="00516B2D" w:rsidP="00E20527">
      <w:pPr>
        <w:pStyle w:val="Para1"/>
        <w:numPr>
          <w:ilvl w:val="0"/>
          <w:numId w:val="26"/>
        </w:numPr>
        <w:suppressLineNumbers/>
        <w:suppressAutoHyphens/>
        <w:kinsoku w:val="0"/>
        <w:overflowPunct w:val="0"/>
        <w:autoSpaceDE w:val="0"/>
        <w:autoSpaceDN w:val="0"/>
        <w:adjustRightInd w:val="0"/>
        <w:snapToGrid w:val="0"/>
        <w:ind w:left="0" w:firstLine="709"/>
        <w:rPr>
          <w:kern w:val="22"/>
          <w:szCs w:val="22"/>
        </w:rPr>
      </w:pPr>
      <w:r w:rsidRPr="0010074A">
        <w:rPr>
          <w:kern w:val="22"/>
          <w:szCs w:val="22"/>
          <w:lang w:val="fr-FR"/>
        </w:rPr>
        <w:lastRenderedPageBreak/>
        <w:t>La nécessité d’identifier les spécimens dont le pays d’origine est inconnu</w:t>
      </w:r>
      <w:r w:rsidR="00E20527" w:rsidRPr="0010074A">
        <w:rPr>
          <w:rStyle w:val="Appelnotedebasdep"/>
          <w:kern w:val="22"/>
          <w:sz w:val="22"/>
          <w:szCs w:val="22"/>
        </w:rPr>
        <w:footnoteReference w:id="77"/>
      </w:r>
      <w:r w:rsidRPr="0010074A">
        <w:rPr>
          <w:kern w:val="22"/>
          <w:szCs w:val="22"/>
          <w:lang w:val="fr-FR"/>
        </w:rPr>
        <w:t> ;</w:t>
      </w:r>
    </w:p>
    <w:p w:rsidR="00E20527" w:rsidRPr="0010074A" w:rsidRDefault="00A14C49" w:rsidP="00E20527">
      <w:pPr>
        <w:pStyle w:val="Para1"/>
        <w:numPr>
          <w:ilvl w:val="0"/>
          <w:numId w:val="26"/>
        </w:numPr>
        <w:suppressLineNumbers/>
        <w:suppressAutoHyphens/>
        <w:kinsoku w:val="0"/>
        <w:overflowPunct w:val="0"/>
        <w:autoSpaceDE w:val="0"/>
        <w:autoSpaceDN w:val="0"/>
        <w:adjustRightInd w:val="0"/>
        <w:snapToGrid w:val="0"/>
        <w:ind w:left="0" w:firstLine="709"/>
        <w:rPr>
          <w:kern w:val="22"/>
          <w:szCs w:val="22"/>
        </w:rPr>
      </w:pPr>
      <w:r>
        <w:rPr>
          <w:kern w:val="22"/>
          <w:szCs w:val="22"/>
          <w:lang w:val="fr-FR"/>
        </w:rPr>
        <w:t>La difficile explication d</w:t>
      </w:r>
      <w:r w:rsidR="00516B2D" w:rsidRPr="0010074A">
        <w:rPr>
          <w:kern w:val="22"/>
          <w:szCs w:val="22"/>
          <w:lang w:val="fr-FR"/>
        </w:rPr>
        <w:t xml:space="preserve">es formalités administratives </w:t>
      </w:r>
      <w:r>
        <w:rPr>
          <w:kern w:val="22"/>
          <w:szCs w:val="22"/>
          <w:lang w:val="fr-FR"/>
        </w:rPr>
        <w:t>auprès des</w:t>
      </w:r>
      <w:r w:rsidR="00516B2D" w:rsidRPr="0010074A">
        <w:rPr>
          <w:kern w:val="22"/>
          <w:szCs w:val="22"/>
          <w:lang w:val="fr-FR"/>
        </w:rPr>
        <w:t xml:space="preserve"> populations locales en cas de travaux de terrain co</w:t>
      </w:r>
      <w:r>
        <w:rPr>
          <w:kern w:val="22"/>
          <w:szCs w:val="22"/>
          <w:lang w:val="fr-FR"/>
        </w:rPr>
        <w:t>nduits sur des ressources génétiques et d</w:t>
      </w:r>
      <w:r w:rsidR="00516B2D" w:rsidRPr="0010074A">
        <w:rPr>
          <w:kern w:val="22"/>
          <w:szCs w:val="22"/>
          <w:lang w:val="fr-FR"/>
        </w:rPr>
        <w:t>es connaissances traditionnelles associées</w:t>
      </w:r>
      <w:r w:rsidR="00E20527" w:rsidRPr="0010074A">
        <w:rPr>
          <w:rStyle w:val="Appelnotedebasdep"/>
          <w:kern w:val="22"/>
          <w:sz w:val="22"/>
          <w:szCs w:val="22"/>
        </w:rPr>
        <w:footnoteReference w:id="78"/>
      </w:r>
      <w:r w:rsidR="00516B2D" w:rsidRPr="0010074A">
        <w:rPr>
          <w:kern w:val="22"/>
          <w:szCs w:val="22"/>
          <w:lang w:val="fr-FR"/>
        </w:rPr>
        <w:t>.</w:t>
      </w:r>
    </w:p>
    <w:p w:rsidR="00E20527" w:rsidRPr="0010074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0074A">
        <w:rPr>
          <w:kern w:val="22"/>
          <w:szCs w:val="22"/>
          <w:lang w:val="fr-FR"/>
        </w:rPr>
        <w:t xml:space="preserve">Plusieurs </w:t>
      </w:r>
      <w:r w:rsidR="001B1784">
        <w:rPr>
          <w:kern w:val="22"/>
          <w:szCs w:val="22"/>
          <w:lang w:val="fr-FR"/>
        </w:rPr>
        <w:t>soumissions</w:t>
      </w:r>
      <w:r w:rsidRPr="0010074A">
        <w:rPr>
          <w:kern w:val="22"/>
          <w:szCs w:val="22"/>
          <w:lang w:val="fr-FR"/>
        </w:rPr>
        <w:t xml:space="preserve"> ont également fourni des informations sur le consentement préalable donné en connaissance de cause et les collections existantes </w:t>
      </w:r>
      <w:r w:rsidR="00E20527" w:rsidRPr="0010074A">
        <w:rPr>
          <w:kern w:val="22"/>
          <w:szCs w:val="22"/>
        </w:rPr>
        <w:t>:</w:t>
      </w:r>
    </w:p>
    <w:p w:rsidR="00E20527" w:rsidRPr="00D35D9A" w:rsidRDefault="00516B2D" w:rsidP="00E20527">
      <w:pPr>
        <w:pStyle w:val="Para1"/>
        <w:numPr>
          <w:ilvl w:val="0"/>
          <w:numId w:val="27"/>
        </w:numPr>
        <w:suppressLineNumbers/>
        <w:suppressAutoHyphens/>
        <w:kinsoku w:val="0"/>
        <w:overflowPunct w:val="0"/>
        <w:autoSpaceDE w:val="0"/>
        <w:autoSpaceDN w:val="0"/>
        <w:adjustRightInd w:val="0"/>
        <w:snapToGrid w:val="0"/>
        <w:ind w:left="0" w:firstLine="709"/>
        <w:rPr>
          <w:kern w:val="22"/>
          <w:szCs w:val="22"/>
        </w:rPr>
      </w:pPr>
      <w:r w:rsidRPr="0010074A">
        <w:rPr>
          <w:kern w:val="22"/>
          <w:szCs w:val="22"/>
          <w:lang w:val="fr-FR"/>
        </w:rPr>
        <w:t>Une collection microbienne</w:t>
      </w:r>
      <w:r w:rsidRPr="0010074A">
        <w:rPr>
          <w:rStyle w:val="Appelnotedebasdep"/>
          <w:kern w:val="22"/>
          <w:sz w:val="22"/>
          <w:szCs w:val="22"/>
          <w:lang w:val="fr-FR"/>
        </w:rPr>
        <w:footnoteReference w:id="79"/>
      </w:r>
      <w:r w:rsidRPr="0010074A">
        <w:rPr>
          <w:kern w:val="22"/>
          <w:szCs w:val="22"/>
          <w:lang w:val="fr-FR"/>
        </w:rPr>
        <w:t xml:space="preserve"> a décrit les</w:t>
      </w:r>
      <w:r w:rsidRPr="009233A2">
        <w:rPr>
          <w:kern w:val="22"/>
          <w:szCs w:val="22"/>
          <w:lang w:val="fr-FR"/>
        </w:rPr>
        <w:t xml:space="preserve"> efforts qu’elle a déployés pour obtenir un consentement préalable donné en connaissance de cause, afin d’inclure des dépôts de nouvelles espèces bactériennes.</w:t>
      </w:r>
      <w:r w:rsidRPr="00D35D9A">
        <w:rPr>
          <w:kern w:val="22"/>
          <w:szCs w:val="22"/>
        </w:rPr>
        <w:t xml:space="preserve"> </w:t>
      </w:r>
      <w:r w:rsidRPr="000E23BA">
        <w:rPr>
          <w:kern w:val="22"/>
          <w:szCs w:val="22"/>
          <w:lang w:val="fr-FR"/>
        </w:rPr>
        <w:t xml:space="preserve">N’ayant reçu à ce jour aucun consentement valide de la part </w:t>
      </w:r>
      <w:r w:rsidR="001B1784">
        <w:rPr>
          <w:kern w:val="22"/>
          <w:szCs w:val="22"/>
          <w:lang w:val="fr-FR"/>
        </w:rPr>
        <w:t>d’un</w:t>
      </w:r>
      <w:r w:rsidRPr="000E23BA">
        <w:rPr>
          <w:kern w:val="22"/>
          <w:szCs w:val="22"/>
          <w:lang w:val="fr-FR"/>
        </w:rPr>
        <w:t xml:space="preserve"> déposan</w:t>
      </w:r>
      <w:r w:rsidR="001B1784">
        <w:rPr>
          <w:kern w:val="22"/>
          <w:szCs w:val="22"/>
          <w:lang w:val="fr-FR"/>
        </w:rPr>
        <w:t>t</w:t>
      </w:r>
      <w:r w:rsidRPr="000E23BA">
        <w:rPr>
          <w:kern w:val="22"/>
          <w:szCs w:val="22"/>
          <w:lang w:val="fr-FR"/>
        </w:rPr>
        <w:t>, elle a dû rejet</w:t>
      </w:r>
      <w:r>
        <w:rPr>
          <w:kern w:val="22"/>
          <w:szCs w:val="22"/>
          <w:lang w:val="fr-FR"/>
        </w:rPr>
        <w:t>er</w:t>
      </w:r>
      <w:r w:rsidRPr="000E23BA">
        <w:rPr>
          <w:kern w:val="22"/>
          <w:szCs w:val="22"/>
          <w:lang w:val="fr-FR"/>
        </w:rPr>
        <w:t xml:space="preserve"> de nombreux dépôts </w:t>
      </w:r>
      <w:r w:rsidR="00E20527" w:rsidRPr="00D35D9A">
        <w:rPr>
          <w:kern w:val="22"/>
          <w:szCs w:val="22"/>
        </w:rPr>
        <w:t>;</w:t>
      </w:r>
    </w:p>
    <w:p w:rsidR="00E20527" w:rsidRPr="00D35D9A" w:rsidRDefault="00516B2D" w:rsidP="00E20527">
      <w:pPr>
        <w:pStyle w:val="Para1"/>
        <w:numPr>
          <w:ilvl w:val="0"/>
          <w:numId w:val="27"/>
        </w:numPr>
        <w:suppressLineNumbers/>
        <w:suppressAutoHyphens/>
        <w:kinsoku w:val="0"/>
        <w:overflowPunct w:val="0"/>
        <w:autoSpaceDE w:val="0"/>
        <w:autoSpaceDN w:val="0"/>
        <w:adjustRightInd w:val="0"/>
        <w:snapToGrid w:val="0"/>
        <w:ind w:left="0" w:firstLine="709"/>
        <w:rPr>
          <w:kern w:val="22"/>
          <w:szCs w:val="22"/>
        </w:rPr>
      </w:pPr>
      <w:r w:rsidRPr="000E23BA">
        <w:rPr>
          <w:kern w:val="22"/>
          <w:szCs w:val="22"/>
          <w:lang w:val="fr-FR"/>
        </w:rPr>
        <w:t xml:space="preserve">Une </w:t>
      </w:r>
      <w:r w:rsidRPr="0010074A">
        <w:rPr>
          <w:kern w:val="22"/>
          <w:szCs w:val="22"/>
          <w:lang w:val="fr-FR"/>
        </w:rPr>
        <w:t>collection</w:t>
      </w:r>
      <w:r w:rsidRPr="0010074A">
        <w:rPr>
          <w:rStyle w:val="Appelnotedebasdep"/>
          <w:kern w:val="22"/>
          <w:sz w:val="22"/>
          <w:szCs w:val="22"/>
          <w:lang w:val="fr-FR"/>
        </w:rPr>
        <w:footnoteReference w:id="80"/>
      </w:r>
      <w:r w:rsidRPr="0010074A">
        <w:rPr>
          <w:kern w:val="22"/>
          <w:szCs w:val="22"/>
          <w:lang w:val="fr-FR"/>
        </w:rPr>
        <w:t xml:space="preserve"> a décrit</w:t>
      </w:r>
      <w:r w:rsidRPr="000E23BA">
        <w:rPr>
          <w:kern w:val="22"/>
          <w:szCs w:val="22"/>
          <w:lang w:val="fr-FR"/>
        </w:rPr>
        <w:t xml:space="preserve"> la distinction qu’elle établit entre deux catégories de spécimens </w:t>
      </w:r>
      <w:r w:rsidR="00E20527" w:rsidRPr="00D35D9A">
        <w:rPr>
          <w:kern w:val="22"/>
          <w:szCs w:val="22"/>
        </w:rPr>
        <w:t>:</w:t>
      </w:r>
    </w:p>
    <w:p w:rsidR="00E20527" w:rsidRPr="00D35D9A" w:rsidRDefault="00516B2D" w:rsidP="00E20527">
      <w:pPr>
        <w:pStyle w:val="Para1"/>
        <w:numPr>
          <w:ilvl w:val="1"/>
          <w:numId w:val="28"/>
        </w:numPr>
        <w:suppressLineNumbers/>
        <w:suppressAutoHyphens/>
        <w:kinsoku w:val="0"/>
        <w:overflowPunct w:val="0"/>
        <w:autoSpaceDE w:val="0"/>
        <w:autoSpaceDN w:val="0"/>
        <w:adjustRightInd w:val="0"/>
        <w:snapToGrid w:val="0"/>
        <w:ind w:hanging="630"/>
        <w:rPr>
          <w:kern w:val="22"/>
          <w:szCs w:val="22"/>
        </w:rPr>
      </w:pPr>
      <w:r w:rsidRPr="000E23BA">
        <w:rPr>
          <w:kern w:val="22"/>
          <w:szCs w:val="22"/>
          <w:lang w:val="fr-FR"/>
        </w:rPr>
        <w:t xml:space="preserve">La première </w:t>
      </w:r>
      <w:r w:rsidR="001B1784">
        <w:rPr>
          <w:kern w:val="22"/>
          <w:szCs w:val="22"/>
          <w:lang w:val="fr-FR"/>
        </w:rPr>
        <w:t>porte sur</w:t>
      </w:r>
      <w:r w:rsidRPr="000E23BA">
        <w:rPr>
          <w:kern w:val="22"/>
          <w:szCs w:val="22"/>
          <w:lang w:val="fr-FR"/>
        </w:rPr>
        <w:t xml:space="preserve"> les spécimens </w:t>
      </w:r>
      <w:r w:rsidR="001B1784" w:rsidRPr="000E23BA">
        <w:rPr>
          <w:kern w:val="22"/>
          <w:szCs w:val="22"/>
          <w:lang w:val="fr-FR"/>
        </w:rPr>
        <w:t>récemment collectés</w:t>
      </w:r>
      <w:r w:rsidR="001B1784">
        <w:rPr>
          <w:kern w:val="22"/>
          <w:szCs w:val="22"/>
          <w:lang w:val="fr-FR"/>
        </w:rPr>
        <w:t xml:space="preserve"> dont le</w:t>
      </w:r>
      <w:r w:rsidRPr="000E23BA">
        <w:rPr>
          <w:kern w:val="22"/>
          <w:szCs w:val="22"/>
          <w:lang w:val="fr-FR"/>
        </w:rPr>
        <w:t xml:space="preserve"> pays d’ori</w:t>
      </w:r>
      <w:r w:rsidR="001B1784">
        <w:rPr>
          <w:kern w:val="22"/>
          <w:szCs w:val="22"/>
          <w:lang w:val="fr-FR"/>
        </w:rPr>
        <w:t>gine a ratifié le Protocole</w:t>
      </w:r>
      <w:r w:rsidRPr="000E23BA">
        <w:rPr>
          <w:kern w:val="22"/>
          <w:szCs w:val="22"/>
          <w:lang w:val="fr-FR"/>
        </w:rPr>
        <w:t>.</w:t>
      </w:r>
      <w:r w:rsidRPr="00D35D9A">
        <w:rPr>
          <w:kern w:val="22"/>
          <w:szCs w:val="22"/>
        </w:rPr>
        <w:t xml:space="preserve"> </w:t>
      </w:r>
      <w:r w:rsidRPr="000E23BA">
        <w:rPr>
          <w:kern w:val="22"/>
          <w:szCs w:val="22"/>
          <w:lang w:val="fr-FR"/>
        </w:rPr>
        <w:t>Dans leur cas, l’ADN n’est pas extrait avant l’obtention du consentement </w:t>
      </w:r>
      <w:r w:rsidR="00E20527" w:rsidRPr="00D35D9A">
        <w:rPr>
          <w:kern w:val="22"/>
          <w:szCs w:val="22"/>
        </w:rPr>
        <w:t>;</w:t>
      </w:r>
    </w:p>
    <w:p w:rsidR="00E20527" w:rsidRPr="00D35D9A" w:rsidRDefault="00516B2D" w:rsidP="00E20527">
      <w:pPr>
        <w:pStyle w:val="Para1"/>
        <w:numPr>
          <w:ilvl w:val="1"/>
          <w:numId w:val="28"/>
        </w:numPr>
        <w:suppressLineNumbers/>
        <w:suppressAutoHyphens/>
        <w:kinsoku w:val="0"/>
        <w:overflowPunct w:val="0"/>
        <w:autoSpaceDE w:val="0"/>
        <w:autoSpaceDN w:val="0"/>
        <w:adjustRightInd w:val="0"/>
        <w:snapToGrid w:val="0"/>
        <w:ind w:hanging="630"/>
        <w:rPr>
          <w:kern w:val="22"/>
          <w:szCs w:val="22"/>
        </w:rPr>
      </w:pPr>
      <w:r w:rsidRPr="000E23BA">
        <w:rPr>
          <w:kern w:val="22"/>
          <w:szCs w:val="22"/>
          <w:lang w:val="fr-FR"/>
        </w:rPr>
        <w:t xml:space="preserve">L’autre catégorie </w:t>
      </w:r>
      <w:r w:rsidR="001B1784">
        <w:rPr>
          <w:kern w:val="22"/>
          <w:szCs w:val="22"/>
          <w:lang w:val="fr-FR"/>
        </w:rPr>
        <w:t>inclut les spécimens dont le pays d’origine n’a</w:t>
      </w:r>
      <w:r w:rsidRPr="000E23BA">
        <w:rPr>
          <w:kern w:val="22"/>
          <w:szCs w:val="22"/>
          <w:lang w:val="fr-FR"/>
        </w:rPr>
        <w:t xml:space="preserve"> pas ratifié le Protocole au moment de leur inclusion dans la collection, ou ceux ajoutés à la collection avant l’entrée en vigueur de la loi relative au Protocole de Nagoya en Allemagne.</w:t>
      </w:r>
      <w:r w:rsidRPr="00D35D9A">
        <w:rPr>
          <w:kern w:val="22"/>
          <w:szCs w:val="22"/>
        </w:rPr>
        <w:t xml:space="preserve"> </w:t>
      </w:r>
      <w:r w:rsidRPr="000E23BA">
        <w:rPr>
          <w:kern w:val="22"/>
          <w:szCs w:val="22"/>
          <w:lang w:val="fr-FR"/>
        </w:rPr>
        <w:t>La collection n’a pas besoin d’une pe</w:t>
      </w:r>
      <w:r w:rsidR="001B1784">
        <w:rPr>
          <w:kern w:val="22"/>
          <w:szCs w:val="22"/>
          <w:lang w:val="fr-FR"/>
        </w:rPr>
        <w:t xml:space="preserve">rmission pour extraire l’ADN des </w:t>
      </w:r>
      <w:r w:rsidRPr="000E23BA">
        <w:rPr>
          <w:kern w:val="22"/>
          <w:szCs w:val="22"/>
          <w:lang w:val="fr-FR"/>
        </w:rPr>
        <w:t>spécimens</w:t>
      </w:r>
      <w:r w:rsidR="00E20527" w:rsidRPr="00D35D9A">
        <w:rPr>
          <w:kern w:val="22"/>
          <w:szCs w:val="22"/>
        </w:rPr>
        <w:t>.</w:t>
      </w:r>
    </w:p>
    <w:p w:rsidR="00E20527" w:rsidRPr="00D35D9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D3780F">
        <w:rPr>
          <w:kern w:val="22"/>
          <w:szCs w:val="22"/>
          <w:lang w:val="fr-FR"/>
        </w:rPr>
        <w:t xml:space="preserve">Une autre </w:t>
      </w:r>
      <w:r w:rsidR="001B1784">
        <w:rPr>
          <w:kern w:val="22"/>
          <w:szCs w:val="22"/>
          <w:lang w:val="fr-FR"/>
        </w:rPr>
        <w:t>soumission</w:t>
      </w:r>
      <w:r w:rsidRPr="0010074A">
        <w:rPr>
          <w:rStyle w:val="Appelnotedebasdep"/>
          <w:kern w:val="22"/>
          <w:sz w:val="22"/>
          <w:szCs w:val="22"/>
          <w:lang w:val="fr-FR"/>
        </w:rPr>
        <w:footnoteReference w:id="81"/>
      </w:r>
      <w:r w:rsidRPr="0010074A">
        <w:rPr>
          <w:kern w:val="22"/>
          <w:szCs w:val="22"/>
          <w:lang w:val="fr-FR"/>
        </w:rPr>
        <w:t xml:space="preserve"> a fourni des informations </w:t>
      </w:r>
      <w:r w:rsidR="001B1784">
        <w:rPr>
          <w:kern w:val="22"/>
          <w:szCs w:val="22"/>
          <w:lang w:val="fr-FR"/>
        </w:rPr>
        <w:t>transmises par</w:t>
      </w:r>
      <w:r w:rsidRPr="0010074A">
        <w:rPr>
          <w:kern w:val="22"/>
          <w:szCs w:val="22"/>
          <w:lang w:val="fr-FR"/>
        </w:rPr>
        <w:t xml:space="preserve"> de</w:t>
      </w:r>
      <w:r w:rsidR="001B1784">
        <w:rPr>
          <w:kern w:val="22"/>
          <w:szCs w:val="22"/>
          <w:lang w:val="fr-FR"/>
        </w:rPr>
        <w:t>s</w:t>
      </w:r>
      <w:r w:rsidRPr="0010074A">
        <w:rPr>
          <w:kern w:val="22"/>
          <w:szCs w:val="22"/>
          <w:lang w:val="fr-FR"/>
        </w:rPr>
        <w:t xml:space="preserve"> responsables de collections de cultures.</w:t>
      </w:r>
      <w:r w:rsidRPr="0010074A">
        <w:rPr>
          <w:kern w:val="22"/>
          <w:szCs w:val="22"/>
        </w:rPr>
        <w:t xml:space="preserve"> </w:t>
      </w:r>
      <w:r w:rsidRPr="0010074A">
        <w:rPr>
          <w:kern w:val="22"/>
          <w:szCs w:val="22"/>
          <w:lang w:val="fr-FR"/>
        </w:rPr>
        <w:t>Elle a décrit les raisons pour lesquelles il est parfois impossible d’accorder ou d’obtenir un consentement préalable donné en connaissance de cause, en cas de non-information sur la date ou le lieu de l’échantillonnage, ou lorsque la seule information existante porte sur le fait que l’échantillon a été déposé dans une collection avant l’entrée en vigueur du Protocole.</w:t>
      </w:r>
      <w:r w:rsidRPr="0010074A">
        <w:rPr>
          <w:kern w:val="22"/>
          <w:szCs w:val="22"/>
        </w:rPr>
        <w:t xml:space="preserve"> </w:t>
      </w:r>
      <w:r w:rsidRPr="0010074A">
        <w:rPr>
          <w:kern w:val="22"/>
          <w:szCs w:val="22"/>
          <w:lang w:val="fr-FR"/>
        </w:rPr>
        <w:t>Elle a également expliqué la « procédure de régularisation</w:t>
      </w:r>
      <w:r w:rsidR="001B1784">
        <w:rPr>
          <w:kern w:val="22"/>
          <w:szCs w:val="22"/>
          <w:lang w:val="fr-FR"/>
        </w:rPr>
        <w:t xml:space="preserve"> » prévue par son règlement pour </w:t>
      </w:r>
      <w:r w:rsidRPr="009570C6">
        <w:rPr>
          <w:kern w:val="22"/>
          <w:szCs w:val="22"/>
          <w:lang w:val="fr-FR"/>
        </w:rPr>
        <w:t>autorise</w:t>
      </w:r>
      <w:r w:rsidR="001B1784">
        <w:rPr>
          <w:kern w:val="22"/>
          <w:szCs w:val="22"/>
          <w:lang w:val="fr-FR"/>
        </w:rPr>
        <w:t>r</w:t>
      </w:r>
      <w:r w:rsidRPr="009570C6">
        <w:rPr>
          <w:kern w:val="22"/>
          <w:szCs w:val="22"/>
          <w:lang w:val="fr-FR"/>
        </w:rPr>
        <w:t xml:space="preserve"> toute collection de cultures à accepter ce type de matériel tout en assurant la communication à son sujet avec l’autorité compétente</w:t>
      </w:r>
      <w:r w:rsidR="00E20527" w:rsidRPr="00D35D9A">
        <w:rPr>
          <w:kern w:val="22"/>
          <w:szCs w:val="22"/>
        </w:rPr>
        <w:t>.</w:t>
      </w:r>
    </w:p>
    <w:p w:rsidR="00E20527" w:rsidRPr="00D35D9A" w:rsidRDefault="00516B2D" w:rsidP="00E20527">
      <w:pPr>
        <w:pStyle w:val="Titre1"/>
        <w:numPr>
          <w:ilvl w:val="0"/>
          <w:numId w:val="7"/>
        </w:numPr>
        <w:suppressLineNumbers/>
        <w:tabs>
          <w:tab w:val="clear" w:pos="720"/>
        </w:tabs>
        <w:suppressAutoHyphens/>
        <w:kinsoku w:val="0"/>
        <w:overflowPunct w:val="0"/>
        <w:autoSpaceDE w:val="0"/>
        <w:autoSpaceDN w:val="0"/>
        <w:adjustRightInd w:val="0"/>
        <w:snapToGrid w:val="0"/>
        <w:spacing w:before="120"/>
        <w:jc w:val="left"/>
        <w:rPr>
          <w:rFonts w:ascii="Times New Roman Bold" w:hAnsi="Times New Roman Bold" w:cs="Times New Roman Bold"/>
          <w:caps w:val="0"/>
          <w:snapToGrid w:val="0"/>
          <w:kern w:val="22"/>
          <w:szCs w:val="22"/>
        </w:rPr>
      </w:pPr>
      <w:r w:rsidRPr="009570C6">
        <w:rPr>
          <w:rFonts w:ascii="Times New Roman Bold" w:hAnsi="Times New Roman Bold" w:cs="Times New Roman Bold"/>
          <w:caps w:val="0"/>
          <w:snapToGrid w:val="0"/>
          <w:kern w:val="22"/>
          <w:szCs w:val="22"/>
          <w:lang w:val="fr-FR"/>
        </w:rPr>
        <w:t>INFORMATIONS SUR LES FAITS NOUVEAUX INTERVENANT DANS LES PROCESSUS INTERNATIONAU</w:t>
      </w:r>
      <w:r>
        <w:rPr>
          <w:rFonts w:ascii="Times New Roman Bold" w:hAnsi="Times New Roman Bold" w:cs="Times New Roman Bold"/>
          <w:caps w:val="0"/>
          <w:snapToGrid w:val="0"/>
          <w:kern w:val="22"/>
          <w:szCs w:val="22"/>
          <w:lang w:val="fr-FR"/>
        </w:rPr>
        <w:t>X</w:t>
      </w:r>
    </w:p>
    <w:p w:rsidR="00E20527" w:rsidRPr="00DD6F0A" w:rsidRDefault="00551F7E" w:rsidP="00E20527">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Suite à la décision NP-2/10 (</w:t>
      </w:r>
      <w:r w:rsidR="00516B2D" w:rsidRPr="009570C6">
        <w:rPr>
          <w:kern w:val="22"/>
          <w:szCs w:val="22"/>
          <w:lang w:val="fr-FR"/>
        </w:rPr>
        <w:t>paragraphe 6-b), la présente section résume les informations disponibles sur les faits nouveaux intervenant dans les processus et organisations internationaux</w:t>
      </w:r>
      <w:r>
        <w:rPr>
          <w:kern w:val="22"/>
          <w:szCs w:val="22"/>
          <w:lang w:val="fr-FR"/>
        </w:rPr>
        <w:t>,</w:t>
      </w:r>
      <w:r w:rsidR="00516B2D" w:rsidRPr="009570C6">
        <w:rPr>
          <w:kern w:val="22"/>
          <w:szCs w:val="22"/>
          <w:lang w:val="fr-FR"/>
        </w:rPr>
        <w:t xml:space="preserve"> afin d’éclairer les futures discussions sur l’article 10. Elle présente également les informations disponibles sur les faits nouveaux intervenant dans </w:t>
      </w:r>
      <w:r>
        <w:rPr>
          <w:kern w:val="22"/>
          <w:szCs w:val="22"/>
          <w:lang w:val="fr-FR"/>
        </w:rPr>
        <w:t>d’autres</w:t>
      </w:r>
      <w:r w:rsidR="00516B2D" w:rsidRPr="009570C6">
        <w:rPr>
          <w:kern w:val="22"/>
          <w:szCs w:val="22"/>
          <w:lang w:val="fr-FR"/>
        </w:rPr>
        <w:t xml:space="preserve"> méca</w:t>
      </w:r>
      <w:r>
        <w:rPr>
          <w:kern w:val="22"/>
          <w:szCs w:val="22"/>
          <w:lang w:val="fr-FR"/>
        </w:rPr>
        <w:t>nismes multilatéraux,</w:t>
      </w:r>
      <w:r w:rsidR="00516B2D" w:rsidRPr="009570C6">
        <w:rPr>
          <w:kern w:val="22"/>
          <w:szCs w:val="22"/>
          <w:lang w:val="fr-FR"/>
        </w:rPr>
        <w:t xml:space="preserve"> compilées par le Secrétaire exécutif ou fournies dans le cadre de </w:t>
      </w:r>
      <w:r>
        <w:rPr>
          <w:kern w:val="22"/>
          <w:szCs w:val="22"/>
          <w:lang w:val="fr-FR"/>
        </w:rPr>
        <w:t>soumissions</w:t>
      </w:r>
      <w:r w:rsidR="00516B2D" w:rsidRPr="009570C6">
        <w:rPr>
          <w:kern w:val="22"/>
          <w:szCs w:val="22"/>
          <w:lang w:val="fr-FR"/>
        </w:rPr>
        <w:t>.</w:t>
      </w:r>
      <w:r w:rsidR="00516B2D" w:rsidRPr="00D35D9A">
        <w:rPr>
          <w:kern w:val="22"/>
          <w:szCs w:val="22"/>
        </w:rPr>
        <w:t xml:space="preserve"> </w:t>
      </w:r>
      <w:r w:rsidR="00516B2D" w:rsidRPr="00D410D5">
        <w:rPr>
          <w:kern w:val="22"/>
          <w:szCs w:val="22"/>
          <w:lang w:val="fr-FR"/>
        </w:rPr>
        <w:t xml:space="preserve">Des informations complémentaires pourront également être obtenues dans l’ « Étude des expériences acquises lors de l’élaboration et de la mise en œuvre du Protocole de Nagoya et d’autres mécanismes multilatéraux, et pertinence éventuelle des travaux conduits par d’autres processus, y compris des </w:t>
      </w:r>
      <w:r w:rsidR="00516B2D" w:rsidRPr="00DD6F0A">
        <w:rPr>
          <w:kern w:val="22"/>
          <w:szCs w:val="22"/>
          <w:lang w:val="fr-FR"/>
        </w:rPr>
        <w:t>études de cas » (en anglais), qui a été dema</w:t>
      </w:r>
      <w:r w:rsidR="00DD6F0A" w:rsidRPr="00DD6F0A">
        <w:rPr>
          <w:kern w:val="22"/>
          <w:szCs w:val="22"/>
          <w:lang w:val="fr-FR"/>
        </w:rPr>
        <w:t>ndée par le Secrétaire exécutif</w:t>
      </w:r>
      <w:r w:rsidR="00516B2D" w:rsidRPr="00DD6F0A">
        <w:rPr>
          <w:kern w:val="22"/>
          <w:szCs w:val="22"/>
          <w:lang w:val="fr-FR"/>
        </w:rPr>
        <w:t xml:space="preserve"> conformément à la décision NP-1/10, et examinée par la réunion du groupe d’experts sur l’article 10 tenue en 2016</w:t>
      </w:r>
      <w:r w:rsidR="00E20527" w:rsidRPr="00DD6F0A">
        <w:rPr>
          <w:rStyle w:val="Appelnotedebasdep"/>
          <w:kern w:val="22"/>
          <w:sz w:val="22"/>
          <w:szCs w:val="22"/>
          <w:lang w:val="fr-FR"/>
        </w:rPr>
        <w:footnoteReference w:id="82"/>
      </w:r>
      <w:r w:rsidR="00516B2D" w:rsidRPr="00DD6F0A">
        <w:rPr>
          <w:kern w:val="22"/>
          <w:szCs w:val="22"/>
          <w:lang w:val="fr-FR"/>
        </w:rPr>
        <w:t>.</w:t>
      </w:r>
    </w:p>
    <w:p w:rsidR="00E20527" w:rsidRPr="00DD6F0A" w:rsidRDefault="00516B2D" w:rsidP="00E20527">
      <w:pPr>
        <w:pStyle w:val="Titre2"/>
        <w:numPr>
          <w:ilvl w:val="0"/>
          <w:numId w:val="23"/>
        </w:numPr>
        <w:suppressLineNumbers/>
        <w:suppressAutoHyphens/>
        <w:kinsoku w:val="0"/>
        <w:overflowPunct w:val="0"/>
        <w:autoSpaceDE w:val="0"/>
        <w:autoSpaceDN w:val="0"/>
        <w:adjustRightInd w:val="0"/>
        <w:snapToGrid w:val="0"/>
        <w:rPr>
          <w:snapToGrid w:val="0"/>
          <w:kern w:val="22"/>
          <w:szCs w:val="22"/>
          <w:lang w:val="fr-FR"/>
        </w:rPr>
      </w:pPr>
      <w:r w:rsidRPr="00DD6F0A">
        <w:rPr>
          <w:snapToGrid w:val="0"/>
          <w:kern w:val="22"/>
          <w:szCs w:val="22"/>
          <w:lang w:val="fr-FR"/>
        </w:rPr>
        <w:t xml:space="preserve">Traité international sur les ressources </w:t>
      </w:r>
      <w:proofErr w:type="spellStart"/>
      <w:r w:rsidRPr="00DD6F0A">
        <w:rPr>
          <w:snapToGrid w:val="0"/>
          <w:kern w:val="22"/>
          <w:szCs w:val="22"/>
          <w:lang w:val="fr-FR"/>
        </w:rPr>
        <w:t>phytogénétiques</w:t>
      </w:r>
      <w:proofErr w:type="spellEnd"/>
      <w:r w:rsidRPr="00DD6F0A">
        <w:rPr>
          <w:snapToGrid w:val="0"/>
          <w:kern w:val="22"/>
          <w:szCs w:val="22"/>
          <w:lang w:val="fr-FR"/>
        </w:rPr>
        <w:t xml:space="preserve"> pour l’alimentation et l’agricultur</w:t>
      </w:r>
      <w:r w:rsidR="00E20527" w:rsidRPr="00DD6F0A">
        <w:rPr>
          <w:snapToGrid w:val="0"/>
          <w:kern w:val="22"/>
          <w:szCs w:val="22"/>
          <w:lang w:val="fr-FR"/>
        </w:rPr>
        <w:t>e</w:t>
      </w:r>
    </w:p>
    <w:p w:rsidR="00E20527" w:rsidRPr="00D35D9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DD6F0A">
        <w:rPr>
          <w:kern w:val="22"/>
          <w:szCs w:val="22"/>
          <w:lang w:val="fr-FR"/>
        </w:rPr>
        <w:t xml:space="preserve">En décembre 2017, le Secrétariat du Traité international sur les ressources </w:t>
      </w:r>
      <w:proofErr w:type="spellStart"/>
      <w:r w:rsidRPr="00DD6F0A">
        <w:rPr>
          <w:kern w:val="22"/>
          <w:szCs w:val="22"/>
          <w:lang w:val="fr-FR"/>
        </w:rPr>
        <w:t>phytogénétiques</w:t>
      </w:r>
      <w:proofErr w:type="spellEnd"/>
      <w:r w:rsidRPr="00DD6F0A">
        <w:rPr>
          <w:kern w:val="22"/>
          <w:szCs w:val="22"/>
          <w:lang w:val="fr-FR"/>
        </w:rPr>
        <w:t xml:space="preserve"> pour l’alimentation et l’agriculture a ouvert le quatrième appel à propositions concernant le Fonds de partage des avantages mis en place au titre du</w:t>
      </w:r>
      <w:r w:rsidRPr="00D410D5">
        <w:rPr>
          <w:kern w:val="22"/>
          <w:szCs w:val="22"/>
          <w:lang w:val="fr-FR"/>
        </w:rPr>
        <w:t xml:space="preserve"> Traité.</w:t>
      </w:r>
      <w:r w:rsidRPr="00D35D9A">
        <w:rPr>
          <w:kern w:val="22"/>
          <w:szCs w:val="22"/>
        </w:rPr>
        <w:t xml:space="preserve"> </w:t>
      </w:r>
      <w:r w:rsidRPr="00F56164">
        <w:rPr>
          <w:kern w:val="22"/>
          <w:szCs w:val="22"/>
          <w:lang w:val="fr-FR"/>
        </w:rPr>
        <w:t xml:space="preserve">Ce quatrième appel à propositions a pour objet de </w:t>
      </w:r>
      <w:r w:rsidRPr="00F56164">
        <w:rPr>
          <w:kern w:val="22"/>
          <w:szCs w:val="22"/>
          <w:lang w:val="fr-FR"/>
        </w:rPr>
        <w:lastRenderedPageBreak/>
        <w:t>« permettre aux agriculteurs de tous pays d’utiliser et de conserver des variétés adaptées, afin d’améliorer la productivité et les revenus de leurs exploitations ; de produire davantage d’aliments riches en nutriments ; de réduire les effets néfastes à l’environnement ; et d’accroître leur résilience aux chocs de production »</w:t>
      </w:r>
      <w:r w:rsidRPr="00AC7B92">
        <w:rPr>
          <w:rStyle w:val="Appelnotedebasdep"/>
          <w:kern w:val="22"/>
          <w:sz w:val="22"/>
          <w:szCs w:val="22"/>
        </w:rPr>
        <w:footnoteReference w:id="83"/>
      </w:r>
      <w:r w:rsidR="00AC7B92">
        <w:rPr>
          <w:kern w:val="22"/>
          <w:szCs w:val="22"/>
          <w:lang w:val="fr-FR"/>
        </w:rPr>
        <w:t>.</w:t>
      </w:r>
      <w:r w:rsidRPr="00D35D9A">
        <w:rPr>
          <w:kern w:val="22"/>
          <w:szCs w:val="22"/>
        </w:rPr>
        <w:t xml:space="preserve"> </w:t>
      </w:r>
      <w:r w:rsidRPr="00F56164">
        <w:rPr>
          <w:kern w:val="22"/>
          <w:szCs w:val="22"/>
          <w:lang w:val="fr-FR"/>
        </w:rPr>
        <w:t>Il prévoit qu’un investissement de plus de 5 millions de dollars sera effectué dans des projets.</w:t>
      </w:r>
      <w:r w:rsidRPr="00D35D9A">
        <w:rPr>
          <w:kern w:val="22"/>
          <w:szCs w:val="22"/>
        </w:rPr>
        <w:t xml:space="preserve"> </w:t>
      </w:r>
      <w:r w:rsidRPr="00F56164">
        <w:rPr>
          <w:kern w:val="22"/>
          <w:szCs w:val="22"/>
          <w:lang w:val="fr-FR"/>
        </w:rPr>
        <w:t xml:space="preserve">Le Fonds de partage des avantages a été constitué à ce jour par des contributions volontaires car les bénéfices commerciaux découlant de l’utilisation des ressources </w:t>
      </w:r>
      <w:proofErr w:type="spellStart"/>
      <w:r w:rsidRPr="00F56164">
        <w:rPr>
          <w:kern w:val="22"/>
          <w:szCs w:val="22"/>
          <w:lang w:val="fr-FR"/>
        </w:rPr>
        <w:t>phytogénétiques</w:t>
      </w:r>
      <w:proofErr w:type="spellEnd"/>
      <w:r w:rsidRPr="00F56164">
        <w:rPr>
          <w:kern w:val="22"/>
          <w:szCs w:val="22"/>
          <w:lang w:val="fr-FR"/>
        </w:rPr>
        <w:t xml:space="preserve"> restent inexistants à l’échelle du Système multilatéral d’accès et de partage des avantages</w:t>
      </w:r>
      <w:r w:rsidR="00E20527" w:rsidRPr="00D35D9A">
        <w:rPr>
          <w:kern w:val="22"/>
          <w:szCs w:val="22"/>
        </w:rPr>
        <w:t>.</w:t>
      </w:r>
    </w:p>
    <w:p w:rsidR="00E20527" w:rsidRPr="00D35D9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952D49">
        <w:rPr>
          <w:kern w:val="22"/>
          <w:szCs w:val="22"/>
          <w:lang w:val="fr-FR"/>
        </w:rPr>
        <w:t>Des discussions ont cours sur l’amélioration du fonctionnement de ce Système, dans le cadre du Traité, depuis 2013, date à laquelle l’organe directeur dudit Traité a établi le Groupe de travail spécial à composition non limitée sur l’amélioration du fonctionnement du Système multilatéral d’accès et de partage des avantages (ci-après « le Groupe de travail »), et l’a chargé d’élaborer des mesures pour </w:t>
      </w:r>
      <w:r w:rsidR="00E20527" w:rsidRPr="00D35D9A">
        <w:rPr>
          <w:kern w:val="22"/>
          <w:szCs w:val="22"/>
        </w:rPr>
        <w:t>:</w:t>
      </w:r>
    </w:p>
    <w:p w:rsidR="00E20527" w:rsidRPr="00D35D9A" w:rsidRDefault="00516B2D"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952D49">
        <w:rPr>
          <w:kern w:val="22"/>
          <w:szCs w:val="22"/>
          <w:lang w:val="fr-FR"/>
        </w:rPr>
        <w:t>Accroître les paiements et les contributions des utilisateurs au Fonds de partage des avantages de manière durable et prévisible </w:t>
      </w:r>
      <w:r w:rsidR="00E20527" w:rsidRPr="00D35D9A">
        <w:rPr>
          <w:kern w:val="22"/>
          <w:szCs w:val="22"/>
        </w:rPr>
        <w:t>;</w:t>
      </w:r>
    </w:p>
    <w:p w:rsidR="00E20527" w:rsidRPr="00D35D9A" w:rsidRDefault="00516B2D" w:rsidP="00E20527">
      <w:pPr>
        <w:pStyle w:val="Para1"/>
        <w:numPr>
          <w:ilvl w:val="1"/>
          <w:numId w:val="2"/>
        </w:numPr>
        <w:suppressLineNumbers/>
        <w:suppressAutoHyphens/>
        <w:kinsoku w:val="0"/>
        <w:overflowPunct w:val="0"/>
        <w:autoSpaceDE w:val="0"/>
        <w:autoSpaceDN w:val="0"/>
        <w:adjustRightInd w:val="0"/>
        <w:snapToGrid w:val="0"/>
        <w:rPr>
          <w:kern w:val="22"/>
          <w:szCs w:val="22"/>
        </w:rPr>
      </w:pPr>
      <w:r w:rsidRPr="00952D49">
        <w:rPr>
          <w:kern w:val="22"/>
          <w:szCs w:val="22"/>
          <w:lang w:val="fr-FR"/>
        </w:rPr>
        <w:t>Améliorer le fonctionnement du Système multilatéral au moyen de mesures complémentaires</w:t>
      </w:r>
      <w:r w:rsidR="00E20527" w:rsidRPr="00D35D9A">
        <w:rPr>
          <w:rStyle w:val="Appelnotedebasdep"/>
          <w:kern w:val="22"/>
          <w:sz w:val="22"/>
          <w:szCs w:val="22"/>
        </w:rPr>
        <w:footnoteReference w:id="84"/>
      </w:r>
      <w:r>
        <w:rPr>
          <w:kern w:val="22"/>
          <w:szCs w:val="22"/>
          <w:lang w:val="fr-FR"/>
        </w:rPr>
        <w:t>.</w:t>
      </w:r>
    </w:p>
    <w:p w:rsidR="00E20527" w:rsidRPr="00D35D9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952D49">
        <w:rPr>
          <w:kern w:val="22"/>
          <w:szCs w:val="22"/>
          <w:lang w:val="fr-FR"/>
        </w:rPr>
        <w:t>Le Groupe de travail examine à cette fin les révisions apportées à l’Accor</w:t>
      </w:r>
      <w:r w:rsidR="006F4D61">
        <w:rPr>
          <w:kern w:val="22"/>
          <w:szCs w:val="22"/>
          <w:lang w:val="fr-FR"/>
        </w:rPr>
        <w:t>d type de transfert de matériel</w:t>
      </w:r>
      <w:r w:rsidRPr="00952D49">
        <w:rPr>
          <w:kern w:val="22"/>
          <w:szCs w:val="22"/>
          <w:lang w:val="fr-FR"/>
        </w:rPr>
        <w:t xml:space="preserve"> ainsi que les changements susceptibles d’être effectués dans le champ du Système multilatéral</w:t>
      </w:r>
      <w:r w:rsidR="00E20527" w:rsidRPr="00D35D9A">
        <w:rPr>
          <w:kern w:val="22"/>
          <w:szCs w:val="22"/>
        </w:rPr>
        <w:t>.</w:t>
      </w:r>
    </w:p>
    <w:p w:rsidR="00E20527" w:rsidRPr="00D35D9A" w:rsidRDefault="00516B2D"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74563">
        <w:rPr>
          <w:kern w:val="22"/>
          <w:szCs w:val="22"/>
          <w:lang w:val="fr-FR"/>
        </w:rPr>
        <w:t>À sa septième session, l’organe directeur du Traité a étendu le mandat du Groupe de travail (résolution 2/2017). Deux réunions de ce Groupe de travail sont prévues pour la période intersessions :</w:t>
      </w:r>
      <w:r w:rsidRPr="00D35D9A">
        <w:rPr>
          <w:kern w:val="22"/>
          <w:szCs w:val="22"/>
        </w:rPr>
        <w:t xml:space="preserve"> </w:t>
      </w:r>
      <w:r w:rsidRPr="00174563">
        <w:rPr>
          <w:kern w:val="22"/>
          <w:szCs w:val="22"/>
          <w:lang w:val="fr-FR"/>
        </w:rPr>
        <w:t>l’une se tiendra en octobre 2018 et l’autre, au premier trimestre de 2019</w:t>
      </w:r>
      <w:r w:rsidR="00E20527" w:rsidRPr="00D35D9A">
        <w:rPr>
          <w:kern w:val="22"/>
          <w:szCs w:val="22"/>
        </w:rPr>
        <w:t>.</w:t>
      </w:r>
    </w:p>
    <w:p w:rsidR="00E20527" w:rsidRPr="00D35D9A" w:rsidRDefault="00516B2D" w:rsidP="00E20527">
      <w:pPr>
        <w:pStyle w:val="Titre2"/>
        <w:numPr>
          <w:ilvl w:val="0"/>
          <w:numId w:val="23"/>
        </w:numPr>
        <w:suppressLineNumbers/>
        <w:suppressAutoHyphens/>
        <w:kinsoku w:val="0"/>
        <w:overflowPunct w:val="0"/>
        <w:autoSpaceDE w:val="0"/>
        <w:autoSpaceDN w:val="0"/>
        <w:adjustRightInd w:val="0"/>
        <w:snapToGrid w:val="0"/>
        <w:ind w:hanging="432"/>
        <w:jc w:val="left"/>
        <w:rPr>
          <w:snapToGrid w:val="0"/>
          <w:kern w:val="22"/>
          <w:szCs w:val="22"/>
        </w:rPr>
      </w:pPr>
      <w:r w:rsidRPr="00174563">
        <w:rPr>
          <w:snapToGrid w:val="0"/>
          <w:kern w:val="22"/>
          <w:szCs w:val="22"/>
          <w:lang w:val="fr-FR"/>
        </w:rPr>
        <w:t xml:space="preserve">Assemblée générale des Nations Unies – </w:t>
      </w:r>
      <w:r>
        <w:rPr>
          <w:snapToGrid w:val="0"/>
          <w:kern w:val="22"/>
          <w:szCs w:val="22"/>
          <w:lang w:val="fr-FR"/>
        </w:rPr>
        <w:t xml:space="preserve">un </w:t>
      </w:r>
      <w:r w:rsidRPr="00174563">
        <w:rPr>
          <w:snapToGrid w:val="0"/>
          <w:kern w:val="22"/>
          <w:szCs w:val="22"/>
          <w:lang w:val="fr-FR"/>
        </w:rPr>
        <w:t xml:space="preserve">instrument international juridiquement contraignant </w:t>
      </w:r>
      <w:r>
        <w:rPr>
          <w:snapToGrid w:val="0"/>
          <w:kern w:val="22"/>
          <w:szCs w:val="22"/>
          <w:lang w:val="fr-FR"/>
        </w:rPr>
        <w:t>se rapportant à</w:t>
      </w:r>
      <w:r w:rsidRPr="00174563">
        <w:rPr>
          <w:snapToGrid w:val="0"/>
          <w:kern w:val="22"/>
          <w:szCs w:val="22"/>
          <w:lang w:val="fr-FR"/>
        </w:rPr>
        <w:t xml:space="preserve"> la Convention des Nations Unies sur le droit de la mer </w:t>
      </w:r>
      <w:r>
        <w:rPr>
          <w:snapToGrid w:val="0"/>
          <w:kern w:val="22"/>
          <w:szCs w:val="22"/>
          <w:lang w:val="fr-FR"/>
        </w:rPr>
        <w:t>et portant sur</w:t>
      </w:r>
      <w:r w:rsidRPr="00174563">
        <w:rPr>
          <w:snapToGrid w:val="0"/>
          <w:kern w:val="22"/>
          <w:szCs w:val="22"/>
          <w:lang w:val="fr-FR"/>
        </w:rPr>
        <w:t xml:space="preserve"> la conservatio</w:t>
      </w:r>
      <w:r>
        <w:rPr>
          <w:snapToGrid w:val="0"/>
          <w:kern w:val="22"/>
          <w:szCs w:val="22"/>
          <w:lang w:val="fr-FR"/>
        </w:rPr>
        <w:t xml:space="preserve">n et </w:t>
      </w:r>
      <w:r w:rsidRPr="00174563">
        <w:rPr>
          <w:snapToGrid w:val="0"/>
          <w:kern w:val="22"/>
          <w:szCs w:val="22"/>
          <w:lang w:val="fr-FR"/>
        </w:rPr>
        <w:t xml:space="preserve">l’utilisation durable de la </w:t>
      </w:r>
      <w:r>
        <w:rPr>
          <w:snapToGrid w:val="0"/>
          <w:kern w:val="22"/>
          <w:szCs w:val="22"/>
          <w:lang w:val="fr-FR"/>
        </w:rPr>
        <w:t>bio</w:t>
      </w:r>
      <w:r w:rsidRPr="00174563">
        <w:rPr>
          <w:snapToGrid w:val="0"/>
          <w:kern w:val="22"/>
          <w:szCs w:val="22"/>
          <w:lang w:val="fr-FR"/>
        </w:rPr>
        <w:t xml:space="preserve">diversité </w:t>
      </w:r>
      <w:r>
        <w:rPr>
          <w:snapToGrid w:val="0"/>
          <w:kern w:val="22"/>
          <w:szCs w:val="22"/>
          <w:lang w:val="fr-FR"/>
        </w:rPr>
        <w:t>marine d</w:t>
      </w:r>
      <w:r w:rsidRPr="00174563">
        <w:rPr>
          <w:snapToGrid w:val="0"/>
          <w:kern w:val="22"/>
          <w:szCs w:val="22"/>
          <w:lang w:val="fr-FR"/>
        </w:rPr>
        <w:t xml:space="preserve">es zones </w:t>
      </w:r>
      <w:r>
        <w:rPr>
          <w:snapToGrid w:val="0"/>
          <w:kern w:val="22"/>
          <w:szCs w:val="22"/>
          <w:lang w:val="fr-FR"/>
        </w:rPr>
        <w:t>ne relevant pas</w:t>
      </w:r>
      <w:r w:rsidRPr="00174563">
        <w:rPr>
          <w:snapToGrid w:val="0"/>
          <w:kern w:val="22"/>
          <w:szCs w:val="22"/>
          <w:lang w:val="fr-FR"/>
        </w:rPr>
        <w:t xml:space="preserve"> de la juridiction nationa</w:t>
      </w:r>
      <w:r w:rsidR="007E0781">
        <w:rPr>
          <w:snapToGrid w:val="0"/>
          <w:kern w:val="22"/>
          <w:szCs w:val="22"/>
          <w:lang w:val="fr-FR"/>
        </w:rPr>
        <w:t>le</w:t>
      </w:r>
    </w:p>
    <w:p w:rsidR="00E20527" w:rsidRPr="00D35D9A" w:rsidRDefault="007E0781"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174563">
        <w:rPr>
          <w:kern w:val="22"/>
          <w:szCs w:val="22"/>
          <w:lang w:val="fr-FR"/>
        </w:rPr>
        <w:t>Dans sa résolution 69/292, l’Assemblée générale a décidé d’élaborer un instrument international juridiquement contraignant sur la conservation et l’utilisation durable de la biodiversité marine des zones ne relevant pas de la juridiction nationale dans le cadre de la Convention des Nations Unies sur le droit de la mer.</w:t>
      </w:r>
      <w:r w:rsidRPr="00D35D9A">
        <w:rPr>
          <w:kern w:val="22"/>
          <w:szCs w:val="22"/>
        </w:rPr>
        <w:t xml:space="preserve"> </w:t>
      </w:r>
      <w:r w:rsidR="006F4D61">
        <w:rPr>
          <w:kern w:val="22"/>
          <w:szCs w:val="22"/>
          <w:lang w:val="fr-FR"/>
        </w:rPr>
        <w:t>Elle</w:t>
      </w:r>
      <w:r w:rsidRPr="00015631">
        <w:rPr>
          <w:kern w:val="22"/>
          <w:szCs w:val="22"/>
          <w:lang w:val="fr-FR"/>
        </w:rPr>
        <w:t xml:space="preserve"> a </w:t>
      </w:r>
      <w:r w:rsidR="00583C7C">
        <w:rPr>
          <w:kern w:val="22"/>
          <w:szCs w:val="22"/>
          <w:lang w:val="fr-FR"/>
        </w:rPr>
        <w:t xml:space="preserve">également </w:t>
      </w:r>
      <w:r w:rsidRPr="00015631">
        <w:rPr>
          <w:kern w:val="22"/>
          <w:szCs w:val="22"/>
          <w:lang w:val="fr-FR"/>
        </w:rPr>
        <w:t xml:space="preserve">décidé à cette fin de </w:t>
      </w:r>
      <w:r>
        <w:rPr>
          <w:kern w:val="22"/>
          <w:szCs w:val="22"/>
          <w:lang w:val="fr-FR"/>
        </w:rPr>
        <w:t>constituer</w:t>
      </w:r>
      <w:r w:rsidRPr="00015631">
        <w:rPr>
          <w:kern w:val="22"/>
          <w:szCs w:val="22"/>
          <w:lang w:val="fr-FR"/>
        </w:rPr>
        <w:t xml:space="preserve"> un </w:t>
      </w:r>
      <w:r>
        <w:rPr>
          <w:kern w:val="22"/>
          <w:szCs w:val="22"/>
          <w:lang w:val="fr-FR"/>
        </w:rPr>
        <w:t>c</w:t>
      </w:r>
      <w:r w:rsidRPr="00015631">
        <w:rPr>
          <w:kern w:val="22"/>
          <w:szCs w:val="22"/>
          <w:lang w:val="fr-FR"/>
        </w:rPr>
        <w:t xml:space="preserve">omité préparatoire chargé de </w:t>
      </w:r>
      <w:r>
        <w:rPr>
          <w:kern w:val="22"/>
          <w:szCs w:val="22"/>
          <w:lang w:val="fr-FR"/>
        </w:rPr>
        <w:t>lui présenter</w:t>
      </w:r>
      <w:r w:rsidRPr="00015631">
        <w:rPr>
          <w:kern w:val="22"/>
          <w:szCs w:val="22"/>
          <w:lang w:val="fr-FR"/>
        </w:rPr>
        <w:t xml:space="preserve"> des recommandations de fond sur les éléments d</w:t>
      </w:r>
      <w:r>
        <w:rPr>
          <w:kern w:val="22"/>
          <w:szCs w:val="22"/>
          <w:lang w:val="fr-FR"/>
        </w:rPr>
        <w:t>’un</w:t>
      </w:r>
      <w:r w:rsidRPr="00015631">
        <w:rPr>
          <w:kern w:val="22"/>
          <w:szCs w:val="22"/>
          <w:lang w:val="fr-FR"/>
        </w:rPr>
        <w:t xml:space="preserve"> projet </w:t>
      </w:r>
      <w:r>
        <w:rPr>
          <w:kern w:val="22"/>
          <w:szCs w:val="22"/>
          <w:lang w:val="fr-FR"/>
        </w:rPr>
        <w:t>d’</w:t>
      </w:r>
      <w:r w:rsidRPr="00015631">
        <w:rPr>
          <w:kern w:val="22"/>
          <w:szCs w:val="22"/>
          <w:lang w:val="fr-FR"/>
        </w:rPr>
        <w:t>instrument</w:t>
      </w:r>
      <w:r>
        <w:rPr>
          <w:kern w:val="22"/>
          <w:szCs w:val="22"/>
          <w:lang w:val="fr-FR"/>
        </w:rPr>
        <w:t xml:space="preserve"> international </w:t>
      </w:r>
      <w:r w:rsidRPr="00174563">
        <w:rPr>
          <w:kern w:val="22"/>
          <w:szCs w:val="22"/>
          <w:lang w:val="fr-FR"/>
        </w:rPr>
        <w:t>juridiquement contraignant</w:t>
      </w:r>
      <w:r>
        <w:rPr>
          <w:kern w:val="22"/>
          <w:szCs w:val="22"/>
          <w:lang w:val="fr-FR"/>
        </w:rPr>
        <w:t xml:space="preserve"> se rapportant à la Convention</w:t>
      </w:r>
      <w:r w:rsidR="00E20527" w:rsidRPr="00D35D9A">
        <w:rPr>
          <w:kern w:val="22"/>
          <w:szCs w:val="22"/>
        </w:rPr>
        <w:t>.</w:t>
      </w:r>
    </w:p>
    <w:p w:rsidR="00E20527" w:rsidRPr="00D35D9A" w:rsidRDefault="00583C7C" w:rsidP="00E20527">
      <w:pPr>
        <w:pStyle w:val="Para1"/>
        <w:suppressLineNumbers/>
        <w:tabs>
          <w:tab w:val="clear" w:pos="360"/>
        </w:tabs>
        <w:suppressAutoHyphens/>
        <w:kinsoku w:val="0"/>
        <w:overflowPunct w:val="0"/>
        <w:autoSpaceDE w:val="0"/>
        <w:autoSpaceDN w:val="0"/>
        <w:adjustRightInd w:val="0"/>
        <w:snapToGrid w:val="0"/>
        <w:rPr>
          <w:kern w:val="22"/>
          <w:szCs w:val="22"/>
        </w:rPr>
      </w:pPr>
      <w:r>
        <w:rPr>
          <w:kern w:val="22"/>
          <w:szCs w:val="22"/>
          <w:lang w:val="fr-FR"/>
        </w:rPr>
        <w:t>Le C</w:t>
      </w:r>
      <w:r w:rsidR="007E0781" w:rsidRPr="00015631">
        <w:rPr>
          <w:kern w:val="22"/>
          <w:szCs w:val="22"/>
          <w:lang w:val="fr-FR"/>
        </w:rPr>
        <w:t>omité préparatoire a clos ses travaux le 21 juillet 2017, en adoptant son rapport, notamment les recommandations qu’il a formulées sur ces éléments pour présentation à l’Assemblée générale (</w:t>
      </w:r>
      <w:hyperlink r:id="rId13" w:history="1">
        <w:r w:rsidR="007E0781" w:rsidRPr="00015631">
          <w:rPr>
            <w:rStyle w:val="Lienhypertexte"/>
            <w:kern w:val="22"/>
            <w:szCs w:val="22"/>
            <w:lang w:val="fr-FR"/>
          </w:rPr>
          <w:t>A/AC.287/2017/PC.4/2</w:t>
        </w:r>
      </w:hyperlink>
      <w:r w:rsidR="007E0781" w:rsidRPr="00015631">
        <w:rPr>
          <w:kern w:val="22"/>
          <w:szCs w:val="22"/>
          <w:lang w:val="fr-FR"/>
        </w:rPr>
        <w:t>).</w:t>
      </w:r>
      <w:r w:rsidR="007E0781" w:rsidRPr="00D35D9A">
        <w:rPr>
          <w:kern w:val="22"/>
          <w:szCs w:val="22"/>
        </w:rPr>
        <w:t xml:space="preserve"> </w:t>
      </w:r>
      <w:r w:rsidR="007E0781" w:rsidRPr="009E3214">
        <w:rPr>
          <w:kern w:val="22"/>
          <w:szCs w:val="22"/>
          <w:lang w:val="fr-FR"/>
        </w:rPr>
        <w:t xml:space="preserve">Les questions relatives à l’accès et au partage des avantages découlant de l’utilisation des ressources génétiques marines des zones ne relevant pas de la juridiction nationale sont </w:t>
      </w:r>
      <w:r>
        <w:rPr>
          <w:kern w:val="22"/>
          <w:szCs w:val="22"/>
          <w:lang w:val="fr-FR"/>
        </w:rPr>
        <w:t xml:space="preserve">actuellement </w:t>
      </w:r>
      <w:r w:rsidR="007E0781" w:rsidRPr="009E3214">
        <w:rPr>
          <w:kern w:val="22"/>
          <w:szCs w:val="22"/>
          <w:lang w:val="fr-FR"/>
        </w:rPr>
        <w:t>examinées par les États membres, comme le montrent les re</w:t>
      </w:r>
      <w:r>
        <w:rPr>
          <w:kern w:val="22"/>
          <w:szCs w:val="22"/>
          <w:lang w:val="fr-FR"/>
        </w:rPr>
        <w:t>commandations formulées par le C</w:t>
      </w:r>
      <w:r w:rsidR="007E0781" w:rsidRPr="009E3214">
        <w:rPr>
          <w:kern w:val="22"/>
          <w:szCs w:val="22"/>
          <w:lang w:val="fr-FR"/>
        </w:rPr>
        <w:t>omité préparatoire (section III du rapport précédemment mentionné) et présentées dans les documents récapitulatifs ou</w:t>
      </w:r>
      <w:r>
        <w:rPr>
          <w:kern w:val="22"/>
          <w:szCs w:val="22"/>
          <w:lang w:val="fr-FR"/>
        </w:rPr>
        <w:t xml:space="preserve"> officieux que le président du C</w:t>
      </w:r>
      <w:r w:rsidR="007E0781" w:rsidRPr="009E3214">
        <w:rPr>
          <w:kern w:val="22"/>
          <w:szCs w:val="22"/>
          <w:lang w:val="fr-FR"/>
        </w:rPr>
        <w:t>omité a préparés dans le cadre de ce dernier</w:t>
      </w:r>
      <w:r w:rsidR="00E20527" w:rsidRPr="00D35D9A">
        <w:rPr>
          <w:kern w:val="22"/>
          <w:szCs w:val="22"/>
        </w:rPr>
        <w:t>.</w:t>
      </w:r>
    </w:p>
    <w:p w:rsidR="00E20527" w:rsidRPr="00D35D9A" w:rsidRDefault="00583C7C" w:rsidP="00E20527">
      <w:pPr>
        <w:pStyle w:val="Para1"/>
        <w:suppressLineNumbers/>
        <w:tabs>
          <w:tab w:val="clear" w:pos="360"/>
        </w:tabs>
        <w:suppressAutoHyphens/>
        <w:kinsoku w:val="0"/>
        <w:overflowPunct w:val="0"/>
        <w:autoSpaceDE w:val="0"/>
        <w:autoSpaceDN w:val="0"/>
        <w:adjustRightInd w:val="0"/>
        <w:snapToGrid w:val="0"/>
        <w:rPr>
          <w:kern w:val="22"/>
          <w:szCs w:val="22"/>
        </w:rPr>
      </w:pPr>
      <w:r>
        <w:rPr>
          <w:kern w:val="22"/>
          <w:szCs w:val="22"/>
          <w:lang w:val="fr-FR"/>
        </w:rPr>
        <w:t>À sa soixante-douz</w:t>
      </w:r>
      <w:r w:rsidR="0065303E" w:rsidRPr="009E3214">
        <w:rPr>
          <w:kern w:val="22"/>
          <w:szCs w:val="22"/>
          <w:lang w:val="fr-FR"/>
        </w:rPr>
        <w:t>ième session, l’Assemblée générale a adopté la résolution </w:t>
      </w:r>
      <w:hyperlink r:id="rId14" w:history="1">
        <w:r w:rsidR="0065303E" w:rsidRPr="009E3214">
          <w:rPr>
            <w:rStyle w:val="Lienhypertexte"/>
            <w:kern w:val="22"/>
            <w:szCs w:val="22"/>
            <w:lang w:val="fr-FR"/>
          </w:rPr>
          <w:t>72/249</w:t>
        </w:r>
      </w:hyperlink>
      <w:r w:rsidR="00286708" w:rsidRPr="00286708">
        <w:rPr>
          <w:rStyle w:val="Lienhypertexte"/>
          <w:kern w:val="22"/>
          <w:szCs w:val="22"/>
          <w:u w:val="none"/>
          <w:lang w:val="fr-FR"/>
        </w:rPr>
        <w:t xml:space="preserve"> </w:t>
      </w:r>
      <w:r w:rsidR="0065303E" w:rsidRPr="009E3214">
        <w:rPr>
          <w:kern w:val="22"/>
          <w:szCs w:val="22"/>
          <w:lang w:val="fr-FR"/>
        </w:rPr>
        <w:t>relative à l’instrument international juridiquement contraignant se rapportant à la Convention des Nations Unies sur le droit de la mer et portant sur la conservation et l’utilisation durable de la biodiversité marine des zones ne relevant pas de la juridiction nationale.</w:t>
      </w:r>
      <w:r w:rsidR="0065303E" w:rsidRPr="00D35D9A">
        <w:rPr>
          <w:kern w:val="22"/>
          <w:szCs w:val="22"/>
        </w:rPr>
        <w:t xml:space="preserve"> </w:t>
      </w:r>
      <w:r w:rsidR="0065303E" w:rsidRPr="00AD0CD2">
        <w:rPr>
          <w:kern w:val="22"/>
          <w:szCs w:val="22"/>
          <w:lang w:val="fr-FR"/>
        </w:rPr>
        <w:t xml:space="preserve">Elle a </w:t>
      </w:r>
      <w:r>
        <w:rPr>
          <w:kern w:val="22"/>
          <w:szCs w:val="22"/>
          <w:lang w:val="fr-FR"/>
        </w:rPr>
        <w:t xml:space="preserve">également </w:t>
      </w:r>
      <w:r w:rsidR="0065303E" w:rsidRPr="00AD0CD2">
        <w:rPr>
          <w:kern w:val="22"/>
          <w:szCs w:val="22"/>
          <w:lang w:val="fr-FR"/>
        </w:rPr>
        <w:t>décidé, dans la résolution, de convoquer une conférence chargée d’élaborer le texte d’un instrument, le but étant que ce dernier soit élaboré dans les plus brefs délais.</w:t>
      </w:r>
      <w:r w:rsidR="0065303E" w:rsidRPr="00D35D9A">
        <w:rPr>
          <w:kern w:val="22"/>
          <w:szCs w:val="22"/>
        </w:rPr>
        <w:t xml:space="preserve"> </w:t>
      </w:r>
      <w:r w:rsidR="0065303E" w:rsidRPr="00AD0CD2">
        <w:rPr>
          <w:kern w:val="22"/>
          <w:szCs w:val="22"/>
          <w:lang w:val="fr-FR"/>
        </w:rPr>
        <w:t xml:space="preserve">Les négociations devaient porter sur les thèmes </w:t>
      </w:r>
      <w:r>
        <w:rPr>
          <w:kern w:val="22"/>
          <w:szCs w:val="22"/>
          <w:lang w:val="fr-FR"/>
        </w:rPr>
        <w:t>de</w:t>
      </w:r>
      <w:r w:rsidR="0065303E" w:rsidRPr="00AD0CD2">
        <w:rPr>
          <w:kern w:val="22"/>
          <w:szCs w:val="22"/>
          <w:lang w:val="fr-FR"/>
        </w:rPr>
        <w:t xml:space="preserve"> l’e</w:t>
      </w:r>
      <w:r>
        <w:rPr>
          <w:kern w:val="22"/>
          <w:szCs w:val="22"/>
          <w:lang w:val="fr-FR"/>
        </w:rPr>
        <w:t xml:space="preserve">nsemble des thématiques </w:t>
      </w:r>
      <w:r w:rsidR="0065303E" w:rsidRPr="0010074A">
        <w:rPr>
          <w:kern w:val="22"/>
          <w:szCs w:val="22"/>
          <w:lang w:val="fr-FR"/>
        </w:rPr>
        <w:t>convenu en 2011, en incluant les ressources génétiques marines, notamment les aspects du partage des avantages</w:t>
      </w:r>
      <w:r w:rsidR="0065303E" w:rsidRPr="0010074A">
        <w:rPr>
          <w:rStyle w:val="Appelnotedebasdep"/>
          <w:kern w:val="22"/>
          <w:sz w:val="22"/>
          <w:szCs w:val="22"/>
        </w:rPr>
        <w:footnoteReference w:id="85"/>
      </w:r>
      <w:r w:rsidR="00AC7B92" w:rsidRPr="0010074A">
        <w:rPr>
          <w:kern w:val="22"/>
          <w:szCs w:val="22"/>
          <w:lang w:val="fr-FR"/>
        </w:rPr>
        <w:t>.</w:t>
      </w:r>
      <w:r w:rsidR="0065303E" w:rsidRPr="0010074A">
        <w:rPr>
          <w:kern w:val="22"/>
          <w:szCs w:val="22"/>
        </w:rPr>
        <w:t xml:space="preserve"> </w:t>
      </w:r>
      <w:r w:rsidR="0065303E" w:rsidRPr="0010074A">
        <w:rPr>
          <w:kern w:val="22"/>
          <w:szCs w:val="22"/>
          <w:lang w:val="fr-FR"/>
        </w:rPr>
        <w:lastRenderedPageBreak/>
        <w:t>La</w:t>
      </w:r>
      <w:r w:rsidR="0065303E" w:rsidRPr="00AD0CD2">
        <w:rPr>
          <w:kern w:val="22"/>
          <w:szCs w:val="22"/>
          <w:lang w:val="fr-FR"/>
        </w:rPr>
        <w:t xml:space="preserve"> conférence comprendrait quatre sessions d’une durée de 10 jours de travail chacune, la première d’entre elles se tenant en septembre 2018</w:t>
      </w:r>
      <w:r w:rsidR="007F7F3E">
        <w:rPr>
          <w:kern w:val="22"/>
          <w:szCs w:val="22"/>
          <w:lang w:val="fr-FR"/>
        </w:rPr>
        <w:t> ;</w:t>
      </w:r>
      <w:r w:rsidR="0065303E" w:rsidRPr="00AD0CD2">
        <w:rPr>
          <w:kern w:val="22"/>
          <w:szCs w:val="22"/>
          <w:lang w:val="fr-FR"/>
        </w:rPr>
        <w:t xml:space="preserve"> la deuxième et la troisième, en 2019</w:t>
      </w:r>
      <w:r w:rsidR="007F7F3E">
        <w:rPr>
          <w:kern w:val="22"/>
          <w:szCs w:val="22"/>
          <w:lang w:val="fr-FR"/>
        </w:rPr>
        <w:t> ; et</w:t>
      </w:r>
      <w:r w:rsidR="0065303E" w:rsidRPr="00AD0CD2">
        <w:rPr>
          <w:kern w:val="22"/>
          <w:szCs w:val="22"/>
          <w:lang w:val="fr-FR"/>
        </w:rPr>
        <w:t xml:space="preserve"> la quatrième</w:t>
      </w:r>
      <w:r w:rsidR="007F7F3E">
        <w:rPr>
          <w:kern w:val="22"/>
          <w:szCs w:val="22"/>
          <w:lang w:val="fr-FR"/>
        </w:rPr>
        <w:t>,</w:t>
      </w:r>
      <w:r w:rsidR="0065303E" w:rsidRPr="00AD0CD2">
        <w:rPr>
          <w:kern w:val="22"/>
          <w:szCs w:val="22"/>
          <w:lang w:val="fr-FR"/>
        </w:rPr>
        <w:t xml:space="preserve"> au premier semestre de 2020</w:t>
      </w:r>
      <w:r w:rsidR="00E20527" w:rsidRPr="00D35D9A">
        <w:rPr>
          <w:kern w:val="22"/>
          <w:szCs w:val="22"/>
        </w:rPr>
        <w:t>.</w:t>
      </w:r>
    </w:p>
    <w:p w:rsidR="00E20527" w:rsidRPr="00D35D9A" w:rsidRDefault="0065303E" w:rsidP="00E20527">
      <w:pPr>
        <w:pStyle w:val="Titre2"/>
        <w:numPr>
          <w:ilvl w:val="0"/>
          <w:numId w:val="23"/>
        </w:numPr>
        <w:suppressLineNumbers/>
        <w:suppressAutoHyphens/>
        <w:kinsoku w:val="0"/>
        <w:overflowPunct w:val="0"/>
        <w:autoSpaceDE w:val="0"/>
        <w:autoSpaceDN w:val="0"/>
        <w:adjustRightInd w:val="0"/>
        <w:snapToGrid w:val="0"/>
        <w:rPr>
          <w:snapToGrid w:val="0"/>
          <w:kern w:val="22"/>
          <w:szCs w:val="22"/>
        </w:rPr>
      </w:pPr>
      <w:r w:rsidRPr="00AD0CD2">
        <w:rPr>
          <w:snapToGrid w:val="0"/>
          <w:kern w:val="22"/>
          <w:szCs w:val="22"/>
          <w:lang w:val="fr-FR"/>
        </w:rPr>
        <w:t>Organisation mondiale de la Sant</w:t>
      </w:r>
      <w:r>
        <w:rPr>
          <w:snapToGrid w:val="0"/>
          <w:kern w:val="22"/>
          <w:szCs w:val="22"/>
          <w:lang w:val="fr-FR"/>
        </w:rPr>
        <w:t>é</w:t>
      </w:r>
    </w:p>
    <w:p w:rsidR="00E20527" w:rsidRPr="00D35D9A" w:rsidRDefault="0065303E"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E406BD">
        <w:rPr>
          <w:kern w:val="22"/>
          <w:szCs w:val="22"/>
          <w:lang w:val="fr-FR"/>
        </w:rPr>
        <w:t>Le Cadre de préparation en cas de grippe pandémique pour l’échange des virus grippaux et l’accès aux vaccins et aux autres avantages (</w:t>
      </w:r>
      <w:r w:rsidR="00064A75">
        <w:rPr>
          <w:kern w:val="22"/>
          <w:szCs w:val="22"/>
          <w:lang w:val="fr-FR"/>
        </w:rPr>
        <w:t xml:space="preserve">ci-après « le </w:t>
      </w:r>
      <w:r w:rsidRPr="00E406BD">
        <w:rPr>
          <w:kern w:val="22"/>
          <w:szCs w:val="22"/>
          <w:lang w:val="fr-FR"/>
        </w:rPr>
        <w:t>Cadre PIP</w:t>
      </w:r>
      <w:r w:rsidR="00064A75">
        <w:rPr>
          <w:kern w:val="22"/>
          <w:szCs w:val="22"/>
          <w:lang w:val="fr-FR"/>
        </w:rPr>
        <w:t> »</w:t>
      </w:r>
      <w:r w:rsidRPr="00E406BD">
        <w:rPr>
          <w:kern w:val="22"/>
          <w:szCs w:val="22"/>
          <w:lang w:val="fr-FR"/>
        </w:rPr>
        <w:t>) a été adopté par l’Assemblée mondiale de la santé en 2011</w:t>
      </w:r>
      <w:r w:rsidR="00E20527" w:rsidRPr="00D35D9A">
        <w:rPr>
          <w:kern w:val="22"/>
          <w:szCs w:val="22"/>
        </w:rPr>
        <w:t>.</w:t>
      </w:r>
    </w:p>
    <w:p w:rsidR="00E20527" w:rsidRPr="00D35D9A" w:rsidRDefault="0065303E"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6F5245">
        <w:rPr>
          <w:kern w:val="22"/>
          <w:szCs w:val="22"/>
          <w:lang w:val="fr-FR"/>
        </w:rPr>
        <w:t xml:space="preserve">La section 7.4 </w:t>
      </w:r>
      <w:r w:rsidR="00064A75">
        <w:rPr>
          <w:kern w:val="22"/>
          <w:szCs w:val="22"/>
          <w:lang w:val="fr-FR"/>
        </w:rPr>
        <w:t xml:space="preserve">du Cadre </w:t>
      </w:r>
      <w:r w:rsidRPr="006F5245">
        <w:rPr>
          <w:kern w:val="22"/>
          <w:szCs w:val="22"/>
          <w:lang w:val="fr-FR"/>
        </w:rPr>
        <w:t xml:space="preserve">porte sur </w:t>
      </w:r>
      <w:r w:rsidR="00064A75">
        <w:rPr>
          <w:kern w:val="22"/>
          <w:szCs w:val="22"/>
          <w:lang w:val="fr-FR"/>
        </w:rPr>
        <w:t>son suivi et son examen</w:t>
      </w:r>
      <w:r>
        <w:rPr>
          <w:kern w:val="22"/>
          <w:szCs w:val="22"/>
          <w:lang w:val="fr-FR"/>
        </w:rPr>
        <w:t>, en prévoyan</w:t>
      </w:r>
      <w:r w:rsidRPr="006F5245">
        <w:rPr>
          <w:kern w:val="22"/>
          <w:szCs w:val="22"/>
          <w:lang w:val="fr-FR"/>
        </w:rPr>
        <w:t xml:space="preserve">t </w:t>
      </w:r>
      <w:r w:rsidR="00064A75">
        <w:rPr>
          <w:kern w:val="22"/>
          <w:szCs w:val="22"/>
          <w:lang w:val="fr-FR"/>
        </w:rPr>
        <w:t xml:space="preserve">notamment </w:t>
      </w:r>
      <w:r w:rsidRPr="006F5245">
        <w:rPr>
          <w:kern w:val="22"/>
          <w:szCs w:val="22"/>
          <w:lang w:val="fr-FR"/>
        </w:rPr>
        <w:t xml:space="preserve">que </w:t>
      </w:r>
      <w:r w:rsidR="00064A75">
        <w:rPr>
          <w:kern w:val="22"/>
          <w:szCs w:val="22"/>
          <w:lang w:val="fr-FR"/>
        </w:rPr>
        <w:t>le Cadre</w:t>
      </w:r>
      <w:r w:rsidRPr="006F5245">
        <w:rPr>
          <w:kern w:val="22"/>
          <w:szCs w:val="22"/>
          <w:lang w:val="fr-FR"/>
        </w:rPr>
        <w:t xml:space="preserve"> et ses annexes seront réexaminés d’ici à 2016 en vue de proposer à l’Assemblée mondiale de la santé des révisions qui reflètent les évolutions pertinentes, le cas </w:t>
      </w:r>
      <w:r>
        <w:rPr>
          <w:kern w:val="22"/>
          <w:szCs w:val="22"/>
          <w:lang w:val="fr-FR"/>
        </w:rPr>
        <w:t>échéant (paragraphe 7.4.2). Le g</w:t>
      </w:r>
      <w:r w:rsidRPr="006F5245">
        <w:rPr>
          <w:kern w:val="22"/>
          <w:szCs w:val="22"/>
          <w:lang w:val="fr-FR"/>
        </w:rPr>
        <w:t xml:space="preserve">roupe </w:t>
      </w:r>
      <w:r>
        <w:rPr>
          <w:kern w:val="22"/>
          <w:szCs w:val="22"/>
          <w:lang w:val="fr-FR"/>
        </w:rPr>
        <w:t>chargé de l’examen</w:t>
      </w:r>
      <w:r w:rsidRPr="006F5245">
        <w:rPr>
          <w:kern w:val="22"/>
          <w:szCs w:val="22"/>
          <w:lang w:val="fr-FR"/>
        </w:rPr>
        <w:t xml:space="preserve"> a présenté son rapport final au Directeur général de l’OMS en oc</w:t>
      </w:r>
      <w:r w:rsidR="009B5D66">
        <w:rPr>
          <w:kern w:val="22"/>
          <w:szCs w:val="22"/>
          <w:lang w:val="fr-FR"/>
        </w:rPr>
        <w:t>tobre 2016, aux fins de l’examen conduit</w:t>
      </w:r>
      <w:r w:rsidRPr="006F5245">
        <w:rPr>
          <w:kern w:val="22"/>
          <w:szCs w:val="22"/>
          <w:lang w:val="fr-FR"/>
        </w:rPr>
        <w:t xml:space="preserve"> avant la cent-quarantième session du Conseil exécutif de l’OMS et la soixante-dixième Assemblée mondiale de la santé (tenue en mai 2017</w:t>
      </w:r>
      <w:r w:rsidR="00E20527" w:rsidRPr="00D35D9A">
        <w:rPr>
          <w:kern w:val="22"/>
          <w:szCs w:val="22"/>
        </w:rPr>
        <w:t>).</w:t>
      </w:r>
    </w:p>
    <w:p w:rsidR="00E20527" w:rsidRPr="00D35D9A" w:rsidRDefault="0065303E"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903708">
        <w:rPr>
          <w:kern w:val="22"/>
          <w:szCs w:val="22"/>
          <w:lang w:val="fr-FR"/>
        </w:rPr>
        <w:t xml:space="preserve">L’examen du Cadre PIP a notamment porté sur les questions de son élargissement </w:t>
      </w:r>
      <w:r>
        <w:rPr>
          <w:kern w:val="22"/>
          <w:szCs w:val="22"/>
          <w:lang w:val="fr-FR"/>
        </w:rPr>
        <w:t>à la grippe saisonnière</w:t>
      </w:r>
      <w:r w:rsidRPr="00903708">
        <w:rPr>
          <w:kern w:val="22"/>
          <w:szCs w:val="22"/>
          <w:lang w:val="fr-FR"/>
        </w:rPr>
        <w:t xml:space="preserve"> et aux données </w:t>
      </w:r>
      <w:r>
        <w:rPr>
          <w:kern w:val="22"/>
          <w:szCs w:val="22"/>
          <w:lang w:val="fr-FR"/>
        </w:rPr>
        <w:t>sur les</w:t>
      </w:r>
      <w:r w:rsidRPr="00903708">
        <w:rPr>
          <w:kern w:val="22"/>
          <w:szCs w:val="22"/>
          <w:lang w:val="fr-FR"/>
        </w:rPr>
        <w:t xml:space="preserve"> séquences génétiques</w:t>
      </w:r>
      <w:r w:rsidR="00E20527" w:rsidRPr="00D35D9A">
        <w:rPr>
          <w:kern w:val="22"/>
          <w:szCs w:val="22"/>
        </w:rPr>
        <w:t>.</w:t>
      </w:r>
    </w:p>
    <w:p w:rsidR="00E20527" w:rsidRPr="00D35D9A" w:rsidRDefault="0065303E"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4F7B2A">
        <w:rPr>
          <w:kern w:val="22"/>
          <w:szCs w:val="22"/>
          <w:lang w:val="fr-FR"/>
        </w:rPr>
        <w:t>Suite à ce rapport, la soixante-dixième Assemblée mondiale de la santé</w:t>
      </w:r>
      <w:r>
        <w:rPr>
          <w:kern w:val="22"/>
          <w:szCs w:val="22"/>
          <w:lang w:val="fr-FR"/>
        </w:rPr>
        <w:t xml:space="preserve"> a adopté la décision WHA70(10)</w:t>
      </w:r>
      <w:r w:rsidRPr="004F7B2A">
        <w:rPr>
          <w:kern w:val="22"/>
          <w:szCs w:val="22"/>
          <w:lang w:val="fr-FR"/>
        </w:rPr>
        <w:t xml:space="preserve"> qui inclut une demand</w:t>
      </w:r>
      <w:r>
        <w:rPr>
          <w:kern w:val="22"/>
          <w:szCs w:val="22"/>
          <w:lang w:val="fr-FR"/>
        </w:rPr>
        <w:t>e adressée au Directeur général</w:t>
      </w:r>
      <w:r w:rsidRPr="004F7B2A">
        <w:rPr>
          <w:kern w:val="22"/>
          <w:szCs w:val="22"/>
          <w:lang w:val="fr-FR"/>
        </w:rPr>
        <w:t xml:space="preserve"> </w:t>
      </w:r>
      <w:r w:rsidR="00C94BE8">
        <w:rPr>
          <w:kern w:val="22"/>
          <w:szCs w:val="22"/>
          <w:lang w:val="fr-FR"/>
        </w:rPr>
        <w:t>sur</w:t>
      </w:r>
      <w:r>
        <w:rPr>
          <w:kern w:val="22"/>
          <w:szCs w:val="22"/>
          <w:lang w:val="fr-FR"/>
        </w:rPr>
        <w:t xml:space="preserve"> les</w:t>
      </w:r>
      <w:r w:rsidRPr="004F7B2A">
        <w:rPr>
          <w:kern w:val="22"/>
          <w:szCs w:val="22"/>
          <w:lang w:val="fr-FR"/>
        </w:rPr>
        <w:t xml:space="preserve"> recommandations </w:t>
      </w:r>
      <w:r>
        <w:rPr>
          <w:kern w:val="22"/>
          <w:szCs w:val="22"/>
          <w:lang w:val="fr-FR"/>
        </w:rPr>
        <w:t>du g</w:t>
      </w:r>
      <w:r w:rsidRPr="004F7B2A">
        <w:rPr>
          <w:kern w:val="22"/>
          <w:szCs w:val="22"/>
          <w:lang w:val="fr-FR"/>
        </w:rPr>
        <w:t xml:space="preserve">roupe </w:t>
      </w:r>
      <w:r>
        <w:rPr>
          <w:kern w:val="22"/>
          <w:szCs w:val="22"/>
          <w:lang w:val="fr-FR"/>
        </w:rPr>
        <w:t>chargé de l’examen du Cadre PIP</w:t>
      </w:r>
      <w:r w:rsidRPr="004F7B2A">
        <w:rPr>
          <w:kern w:val="22"/>
          <w:szCs w:val="22"/>
          <w:lang w:val="fr-FR"/>
        </w:rPr>
        <w:t xml:space="preserve"> </w:t>
      </w:r>
      <w:r>
        <w:rPr>
          <w:kern w:val="22"/>
          <w:szCs w:val="22"/>
          <w:lang w:val="fr-FR"/>
        </w:rPr>
        <w:t>relatives à la grippe</w:t>
      </w:r>
      <w:r w:rsidRPr="004F7B2A">
        <w:rPr>
          <w:kern w:val="22"/>
          <w:szCs w:val="22"/>
          <w:lang w:val="fr-FR"/>
        </w:rPr>
        <w:t xml:space="preserve"> saiso</w:t>
      </w:r>
      <w:r>
        <w:rPr>
          <w:kern w:val="22"/>
          <w:szCs w:val="22"/>
          <w:lang w:val="fr-FR"/>
        </w:rPr>
        <w:t>nnière</w:t>
      </w:r>
      <w:r w:rsidRPr="004F7B2A">
        <w:rPr>
          <w:kern w:val="22"/>
          <w:szCs w:val="22"/>
          <w:lang w:val="fr-FR"/>
        </w:rPr>
        <w:t xml:space="preserve"> et </w:t>
      </w:r>
      <w:r>
        <w:rPr>
          <w:kern w:val="22"/>
          <w:szCs w:val="22"/>
          <w:lang w:val="fr-FR"/>
        </w:rPr>
        <w:t>aux</w:t>
      </w:r>
      <w:r w:rsidRPr="004F7B2A">
        <w:rPr>
          <w:kern w:val="22"/>
          <w:szCs w:val="22"/>
          <w:lang w:val="fr-FR"/>
        </w:rPr>
        <w:t xml:space="preserve"> données </w:t>
      </w:r>
      <w:r>
        <w:rPr>
          <w:kern w:val="22"/>
          <w:szCs w:val="22"/>
          <w:lang w:val="fr-FR"/>
        </w:rPr>
        <w:t>sur les</w:t>
      </w:r>
      <w:r w:rsidRPr="004F7B2A">
        <w:rPr>
          <w:kern w:val="22"/>
          <w:szCs w:val="22"/>
          <w:lang w:val="fr-FR"/>
        </w:rPr>
        <w:t xml:space="preserve"> séquences génétiques, afin qu’il </w:t>
      </w:r>
      <w:r>
        <w:rPr>
          <w:kern w:val="22"/>
          <w:szCs w:val="22"/>
          <w:lang w:val="fr-FR"/>
        </w:rPr>
        <w:t>procède à</w:t>
      </w:r>
      <w:r w:rsidRPr="004F7B2A">
        <w:rPr>
          <w:kern w:val="22"/>
          <w:szCs w:val="22"/>
          <w:lang w:val="fr-FR"/>
        </w:rPr>
        <w:t xml:space="preserve"> une analyse </w:t>
      </w:r>
      <w:r>
        <w:rPr>
          <w:kern w:val="22"/>
          <w:szCs w:val="22"/>
          <w:lang w:val="fr-FR"/>
        </w:rPr>
        <w:t>approfondie</w:t>
      </w:r>
      <w:r w:rsidRPr="004F7B2A">
        <w:rPr>
          <w:kern w:val="22"/>
          <w:szCs w:val="22"/>
          <w:lang w:val="fr-FR"/>
        </w:rPr>
        <w:t xml:space="preserve"> </w:t>
      </w:r>
      <w:r>
        <w:rPr>
          <w:kern w:val="22"/>
          <w:szCs w:val="22"/>
          <w:lang w:val="fr-FR"/>
        </w:rPr>
        <w:t xml:space="preserve">avec des échanges de vues </w:t>
      </w:r>
      <w:r w:rsidRPr="004F7B2A">
        <w:rPr>
          <w:kern w:val="22"/>
          <w:szCs w:val="22"/>
          <w:lang w:val="fr-FR"/>
        </w:rPr>
        <w:t xml:space="preserve">sur les </w:t>
      </w:r>
      <w:r>
        <w:rPr>
          <w:kern w:val="22"/>
          <w:szCs w:val="22"/>
          <w:lang w:val="fr-FR"/>
        </w:rPr>
        <w:t>points soulevés</w:t>
      </w:r>
      <w:r w:rsidRPr="004F7B2A">
        <w:rPr>
          <w:kern w:val="22"/>
          <w:szCs w:val="22"/>
          <w:lang w:val="fr-FR"/>
        </w:rPr>
        <w:t xml:space="preserve">, notamment </w:t>
      </w:r>
      <w:r>
        <w:rPr>
          <w:kern w:val="22"/>
          <w:szCs w:val="22"/>
          <w:lang w:val="fr-FR"/>
        </w:rPr>
        <w:t>sur ce qu’implique la décision de suivre ou de ne pas suivre certaines</w:t>
      </w:r>
      <w:r w:rsidRPr="004F7B2A">
        <w:rPr>
          <w:kern w:val="22"/>
          <w:szCs w:val="22"/>
          <w:lang w:val="fr-FR"/>
        </w:rPr>
        <w:t xml:space="preserve"> approches </w:t>
      </w:r>
      <w:r>
        <w:rPr>
          <w:kern w:val="22"/>
          <w:szCs w:val="22"/>
          <w:lang w:val="fr-FR"/>
        </w:rPr>
        <w:t>éventuelles</w:t>
      </w:r>
      <w:r w:rsidR="00C94BE8">
        <w:rPr>
          <w:kern w:val="22"/>
          <w:szCs w:val="22"/>
          <w:lang w:val="fr-FR"/>
        </w:rPr>
        <w:t xml:space="preserve"> (</w:t>
      </w:r>
      <w:r w:rsidRPr="004F7B2A">
        <w:rPr>
          <w:kern w:val="22"/>
          <w:szCs w:val="22"/>
          <w:lang w:val="fr-FR"/>
        </w:rPr>
        <w:t>paragraphe 8-b</w:t>
      </w:r>
      <w:r w:rsidR="00C94BE8">
        <w:rPr>
          <w:kern w:val="22"/>
          <w:szCs w:val="22"/>
          <w:lang w:val="fr-FR"/>
        </w:rPr>
        <w:t>)</w:t>
      </w:r>
      <w:r w:rsidRPr="004F7B2A">
        <w:rPr>
          <w:kern w:val="22"/>
          <w:szCs w:val="22"/>
          <w:lang w:val="fr-FR"/>
        </w:rPr>
        <w:t>.</w:t>
      </w:r>
      <w:r w:rsidRPr="00D35D9A">
        <w:rPr>
          <w:kern w:val="22"/>
          <w:szCs w:val="22"/>
        </w:rPr>
        <w:t xml:space="preserve"> </w:t>
      </w:r>
      <w:r w:rsidRPr="004F7B2A">
        <w:rPr>
          <w:kern w:val="22"/>
          <w:szCs w:val="22"/>
          <w:lang w:val="fr-FR"/>
        </w:rPr>
        <w:t>L’Assemblée mondiale de la santé a également demandé au D</w:t>
      </w:r>
      <w:r>
        <w:rPr>
          <w:kern w:val="22"/>
          <w:szCs w:val="22"/>
          <w:lang w:val="fr-FR"/>
        </w:rPr>
        <w:t>irecteur général de poursuivre les consultations avec le s</w:t>
      </w:r>
      <w:r w:rsidRPr="004F7B2A">
        <w:rPr>
          <w:kern w:val="22"/>
          <w:szCs w:val="22"/>
          <w:lang w:val="fr-FR"/>
        </w:rPr>
        <w:t>ecrétariat de la Conventi</w:t>
      </w:r>
      <w:r w:rsidR="00C94BE8">
        <w:rPr>
          <w:kern w:val="22"/>
          <w:szCs w:val="22"/>
          <w:lang w:val="fr-FR"/>
        </w:rPr>
        <w:t>on sur la diversité biologique (</w:t>
      </w:r>
      <w:r w:rsidRPr="004F7B2A">
        <w:rPr>
          <w:kern w:val="22"/>
          <w:szCs w:val="22"/>
          <w:lang w:val="fr-FR"/>
        </w:rPr>
        <w:t>paragraphe 8-f</w:t>
      </w:r>
      <w:r w:rsidR="00E20527" w:rsidRPr="00D35D9A">
        <w:rPr>
          <w:kern w:val="22"/>
          <w:szCs w:val="22"/>
        </w:rPr>
        <w:t>).</w:t>
      </w:r>
    </w:p>
    <w:p w:rsidR="00E20527" w:rsidRPr="00D35D9A"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0E1F5D">
        <w:rPr>
          <w:kern w:val="22"/>
          <w:szCs w:val="22"/>
          <w:lang w:val="fr-FR"/>
        </w:rPr>
        <w:t>Afin de mettre en œuvre la demande formulée au</w:t>
      </w:r>
      <w:r w:rsidR="00C52F2A">
        <w:rPr>
          <w:kern w:val="22"/>
          <w:szCs w:val="22"/>
          <w:lang w:val="fr-FR"/>
        </w:rPr>
        <w:t xml:space="preserve"> paragraphe 8-b</w:t>
      </w:r>
      <w:r w:rsidRPr="000E1F5D">
        <w:rPr>
          <w:kern w:val="22"/>
          <w:szCs w:val="22"/>
          <w:lang w:val="fr-FR"/>
        </w:rPr>
        <w:t>, le Directeur général a procédé à une analyse de ce qu’implique la décision de suivre ou de ne pas suivre certaines approches éventuelles pour :</w:t>
      </w:r>
      <w:r w:rsidRPr="00D35D9A">
        <w:rPr>
          <w:kern w:val="22"/>
          <w:szCs w:val="22"/>
        </w:rPr>
        <w:t xml:space="preserve"> </w:t>
      </w:r>
      <w:r w:rsidRPr="000E1F5D">
        <w:rPr>
          <w:kern w:val="22"/>
          <w:szCs w:val="22"/>
          <w:lang w:val="fr-FR"/>
        </w:rPr>
        <w:t>a) inclure le virus de la grippe saisonnière dans le Cadre PIP ; et b) les données sur les séquences génétiques en vertu du Cadre PIP.</w:t>
      </w:r>
      <w:r w:rsidRPr="00D35D9A">
        <w:rPr>
          <w:kern w:val="22"/>
          <w:szCs w:val="22"/>
        </w:rPr>
        <w:t xml:space="preserve"> </w:t>
      </w:r>
      <w:r w:rsidRPr="000E1F5D">
        <w:rPr>
          <w:kern w:val="22"/>
          <w:szCs w:val="22"/>
          <w:lang w:val="fr-FR"/>
        </w:rPr>
        <w:t>Les travaux d’analyse sont en cours et un projet de document devrait en pr</w:t>
      </w:r>
      <w:r w:rsidR="00C52F2A">
        <w:rPr>
          <w:kern w:val="22"/>
          <w:szCs w:val="22"/>
          <w:lang w:val="fr-FR"/>
        </w:rPr>
        <w:t>incipe être publié en septembre-</w:t>
      </w:r>
      <w:r w:rsidRPr="000E1F5D">
        <w:rPr>
          <w:kern w:val="22"/>
          <w:szCs w:val="22"/>
          <w:lang w:val="fr-FR"/>
        </w:rPr>
        <w:t>octobre 2018</w:t>
      </w:r>
      <w:r w:rsidR="00E20527" w:rsidRPr="00D35D9A">
        <w:rPr>
          <w:rStyle w:val="Appelnotedebasdep"/>
          <w:kern w:val="22"/>
          <w:sz w:val="22"/>
          <w:szCs w:val="22"/>
        </w:rPr>
        <w:footnoteReference w:id="86"/>
      </w:r>
      <w:r>
        <w:rPr>
          <w:kern w:val="22"/>
          <w:szCs w:val="22"/>
          <w:lang w:val="fr-FR"/>
        </w:rPr>
        <w:t>.</w:t>
      </w:r>
    </w:p>
    <w:p w:rsidR="00E20527" w:rsidRPr="00D35D9A"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0E1F5D">
        <w:rPr>
          <w:kern w:val="22"/>
          <w:szCs w:val="22"/>
          <w:lang w:val="fr-FR"/>
        </w:rPr>
        <w:t>En outre, le Directeur général a préparé un rapport sur l’état d’avancement de la mise en œuvre de la décision WHA70(10). Ce rapport sera examiné par la soixante-et-onzième Assemblée mondiale de la santé (tenue du 21 au 26 mai 2018</w:t>
      </w:r>
      <w:r w:rsidR="00E20527" w:rsidRPr="00D35D9A">
        <w:rPr>
          <w:kern w:val="22"/>
          <w:szCs w:val="22"/>
        </w:rPr>
        <w:t>)</w:t>
      </w:r>
      <w:r w:rsidR="00E20527" w:rsidRPr="00D35D9A">
        <w:rPr>
          <w:rStyle w:val="Appelnotedebasdep"/>
          <w:kern w:val="22"/>
          <w:sz w:val="22"/>
          <w:szCs w:val="22"/>
        </w:rPr>
        <w:footnoteReference w:id="87"/>
      </w:r>
      <w:r>
        <w:rPr>
          <w:kern w:val="22"/>
          <w:szCs w:val="22"/>
        </w:rPr>
        <w:t>.</w:t>
      </w:r>
    </w:p>
    <w:p w:rsidR="00E20527" w:rsidRPr="00D35D9A" w:rsidRDefault="002A0E3A" w:rsidP="00E20527">
      <w:pPr>
        <w:pStyle w:val="Titre1"/>
        <w:numPr>
          <w:ilvl w:val="0"/>
          <w:numId w:val="7"/>
        </w:numPr>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caps w:val="0"/>
          <w:snapToGrid w:val="0"/>
          <w:kern w:val="22"/>
          <w:szCs w:val="22"/>
        </w:rPr>
      </w:pPr>
      <w:r w:rsidRPr="000E1F5D">
        <w:rPr>
          <w:rFonts w:ascii="Times New Roman Bold" w:hAnsi="Times New Roman Bold" w:cs="Times New Roman Bold"/>
          <w:caps w:val="0"/>
          <w:snapToGrid w:val="0"/>
          <w:kern w:val="22"/>
          <w:szCs w:val="22"/>
          <w:lang w:val="fr-FR"/>
        </w:rPr>
        <w:t xml:space="preserve">VUES SOUMISES SUR LA VOIE </w:t>
      </w:r>
      <w:r w:rsidRPr="000E1F5D">
        <w:rPr>
          <w:caps w:val="0"/>
          <w:snapToGrid w:val="0"/>
          <w:kern w:val="22"/>
          <w:szCs w:val="22"/>
          <w:lang w:val="fr-FR"/>
        </w:rPr>
        <w:t>À</w:t>
      </w:r>
      <w:r w:rsidRPr="000E1F5D">
        <w:rPr>
          <w:rFonts w:ascii="Times New Roman Bold" w:hAnsi="Times New Roman Bold" w:cs="Times New Roman Bold"/>
          <w:caps w:val="0"/>
          <w:snapToGrid w:val="0"/>
          <w:kern w:val="22"/>
          <w:szCs w:val="22"/>
          <w:lang w:val="fr-FR"/>
        </w:rPr>
        <w:t xml:space="preserve"> SUIVRE CONCERNANT L’ARTICLE 1</w:t>
      </w:r>
      <w:r w:rsidR="00E20527" w:rsidRPr="00D35D9A">
        <w:rPr>
          <w:rFonts w:ascii="Times New Roman Bold" w:hAnsi="Times New Roman Bold" w:cs="Times New Roman Bold"/>
          <w:caps w:val="0"/>
          <w:snapToGrid w:val="0"/>
          <w:kern w:val="22"/>
          <w:szCs w:val="22"/>
        </w:rPr>
        <w:t>0</w:t>
      </w:r>
    </w:p>
    <w:p w:rsidR="00E20527" w:rsidRPr="00D35D9A"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0E1F5D">
        <w:rPr>
          <w:kern w:val="22"/>
          <w:szCs w:val="22"/>
          <w:lang w:val="fr-FR"/>
        </w:rPr>
        <w:t xml:space="preserve">Les </w:t>
      </w:r>
      <w:r w:rsidR="007112D6">
        <w:rPr>
          <w:kern w:val="22"/>
          <w:szCs w:val="22"/>
          <w:lang w:val="fr-FR"/>
        </w:rPr>
        <w:t>soumissions</w:t>
      </w:r>
      <w:r w:rsidRPr="000E1F5D">
        <w:rPr>
          <w:kern w:val="22"/>
          <w:szCs w:val="22"/>
          <w:lang w:val="fr-FR"/>
        </w:rPr>
        <w:t xml:space="preserve"> ont exposé différentes propositions au </w:t>
      </w:r>
      <w:r w:rsidRPr="00874BC1">
        <w:rPr>
          <w:kern w:val="22"/>
          <w:szCs w:val="22"/>
          <w:lang w:val="fr-FR"/>
        </w:rPr>
        <w:t>sujet de la voie à suivre concernant l’article 10.</w:t>
      </w:r>
      <w:r w:rsidRPr="00874BC1">
        <w:rPr>
          <w:kern w:val="22"/>
          <w:szCs w:val="22"/>
        </w:rPr>
        <w:t xml:space="preserve"> </w:t>
      </w:r>
      <w:r w:rsidRPr="00874BC1">
        <w:rPr>
          <w:kern w:val="22"/>
          <w:szCs w:val="22"/>
          <w:lang w:val="fr-FR"/>
        </w:rPr>
        <w:t>Une compilation complète de ces vues est disponible en ligne</w:t>
      </w:r>
      <w:r w:rsidRPr="00874BC1">
        <w:rPr>
          <w:rStyle w:val="Appelnotedebasdep"/>
          <w:kern w:val="22"/>
          <w:sz w:val="22"/>
          <w:szCs w:val="22"/>
          <w:lang w:val="fr-FR"/>
        </w:rPr>
        <w:footnoteReference w:id="88"/>
      </w:r>
      <w:r w:rsidRPr="00874BC1">
        <w:rPr>
          <w:kern w:val="22"/>
          <w:szCs w:val="22"/>
          <w:lang w:val="fr-FR"/>
        </w:rPr>
        <w:t>. Ses</w:t>
      </w:r>
      <w:r w:rsidRPr="00CA0410">
        <w:rPr>
          <w:kern w:val="22"/>
          <w:szCs w:val="22"/>
          <w:lang w:val="fr-FR"/>
        </w:rPr>
        <w:t xml:space="preserve"> principaux points sont résumés ci-après</w:t>
      </w:r>
      <w:r w:rsidR="00E20527" w:rsidRPr="00D35D9A">
        <w:rPr>
          <w:kern w:val="22"/>
          <w:szCs w:val="22"/>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CA0410">
        <w:rPr>
          <w:kern w:val="22"/>
          <w:szCs w:val="22"/>
          <w:lang w:val="fr-FR"/>
        </w:rPr>
        <w:t xml:space="preserve">Plusieurs </w:t>
      </w:r>
      <w:r w:rsidR="007112D6">
        <w:rPr>
          <w:kern w:val="22"/>
          <w:szCs w:val="22"/>
          <w:lang w:val="fr-FR"/>
        </w:rPr>
        <w:t>soumissions</w:t>
      </w:r>
      <w:r w:rsidRPr="00874BC1">
        <w:rPr>
          <w:rStyle w:val="Appelnotedebasdep"/>
          <w:kern w:val="22"/>
          <w:sz w:val="22"/>
          <w:szCs w:val="22"/>
          <w:lang w:val="fr-FR"/>
        </w:rPr>
        <w:footnoteReference w:id="89"/>
      </w:r>
      <w:r w:rsidR="007112D6">
        <w:rPr>
          <w:kern w:val="22"/>
          <w:szCs w:val="22"/>
          <w:lang w:val="fr-FR"/>
        </w:rPr>
        <w:t xml:space="preserve"> ont fait observer que la fréquence </w:t>
      </w:r>
      <w:r w:rsidRPr="00874BC1">
        <w:rPr>
          <w:kern w:val="22"/>
          <w:szCs w:val="22"/>
          <w:lang w:val="fr-FR"/>
        </w:rPr>
        <w:t xml:space="preserve">des ressources génétiques et des connaissances traditionnelles associées </w:t>
      </w:r>
      <w:r w:rsidR="007112D6">
        <w:rPr>
          <w:kern w:val="22"/>
          <w:szCs w:val="22"/>
          <w:lang w:val="fr-FR"/>
        </w:rPr>
        <w:t>d’</w:t>
      </w:r>
      <w:r w:rsidRPr="00874BC1">
        <w:rPr>
          <w:kern w:val="22"/>
          <w:szCs w:val="22"/>
          <w:lang w:val="fr-FR"/>
        </w:rPr>
        <w:t xml:space="preserve">un territoire transfrontière – comptant deux ou plusieurs pays – ne nécessitait pas de créer un mécanisme multilatéral </w:t>
      </w:r>
      <w:r w:rsidR="00767D93" w:rsidRPr="00874BC1">
        <w:rPr>
          <w:kern w:val="22"/>
          <w:szCs w:val="22"/>
          <w:lang w:val="fr-FR"/>
        </w:rPr>
        <w:t xml:space="preserve">mondial </w:t>
      </w:r>
      <w:r w:rsidRPr="00874BC1">
        <w:rPr>
          <w:kern w:val="22"/>
          <w:szCs w:val="22"/>
          <w:lang w:val="fr-FR"/>
        </w:rPr>
        <w:t>de partage des avantages.</w:t>
      </w:r>
      <w:r w:rsidRPr="00874BC1">
        <w:rPr>
          <w:kern w:val="22"/>
          <w:szCs w:val="22"/>
        </w:rPr>
        <w:t xml:space="preserve"> </w:t>
      </w:r>
      <w:r w:rsidRPr="00874BC1">
        <w:rPr>
          <w:kern w:val="22"/>
          <w:szCs w:val="22"/>
          <w:lang w:val="fr-FR"/>
        </w:rPr>
        <w:t xml:space="preserve">Elles ont signalé qu’une approche bilatérale devrait être suivie pour l’accès et le partage des avantages lorsque cela est </w:t>
      </w:r>
      <w:r w:rsidRPr="00874BC1">
        <w:rPr>
          <w:kern w:val="22"/>
          <w:szCs w:val="22"/>
          <w:lang w:val="fr-FR"/>
        </w:rPr>
        <w:lastRenderedPageBreak/>
        <w:t xml:space="preserve">possible, </w:t>
      </w:r>
      <w:r w:rsidR="007112D6">
        <w:rPr>
          <w:kern w:val="22"/>
          <w:szCs w:val="22"/>
          <w:lang w:val="fr-FR"/>
        </w:rPr>
        <w:t>à savoir</w:t>
      </w:r>
      <w:r w:rsidRPr="00874BC1">
        <w:rPr>
          <w:kern w:val="22"/>
          <w:szCs w:val="22"/>
          <w:lang w:val="fr-FR"/>
        </w:rPr>
        <w:t xml:space="preserve"> l’approche par défaut à l’accès et au partage des avantages définie dans le Protocole de Nagoya et reconnue dans la décision NP-2/10. Il a été souligné par une Partie</w:t>
      </w:r>
      <w:r w:rsidRPr="00874BC1">
        <w:rPr>
          <w:rStyle w:val="Appelnotedebasdep"/>
          <w:kern w:val="22"/>
          <w:sz w:val="22"/>
          <w:szCs w:val="22"/>
          <w:lang w:val="fr-FR"/>
        </w:rPr>
        <w:footnoteReference w:id="90"/>
      </w:r>
      <w:r w:rsidRPr="00874BC1">
        <w:rPr>
          <w:kern w:val="22"/>
          <w:szCs w:val="22"/>
          <w:lang w:val="fr-FR"/>
        </w:rPr>
        <w:t xml:space="preserve"> que la nécessaire création d’un </w:t>
      </w:r>
      <w:r w:rsidR="00767D93">
        <w:rPr>
          <w:kern w:val="22"/>
          <w:szCs w:val="22"/>
          <w:lang w:val="fr-FR"/>
        </w:rPr>
        <w:t xml:space="preserve">mécanisme multilatéral mondial </w:t>
      </w:r>
      <w:r w:rsidRPr="00874BC1">
        <w:rPr>
          <w:kern w:val="22"/>
          <w:szCs w:val="22"/>
          <w:lang w:val="fr-FR"/>
        </w:rPr>
        <w:t>de partage des avantages pourrait n’être appuyée que dans les situations où les pays d’origine ne peuvent être identifiés au terme d’efforts raisonnables, et dans celles où il est impossible d’accorder ou d’obtenir un consentement préalable donné en connaissance de cause</w:t>
      </w:r>
      <w:r w:rsidR="00E20527" w:rsidRPr="00874BC1">
        <w:rPr>
          <w:kern w:val="22"/>
          <w:szCs w:val="22"/>
        </w:rPr>
        <w:t>.</w:t>
      </w:r>
    </w:p>
    <w:p w:rsidR="00E20527" w:rsidRPr="00D35D9A"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7C78E5">
        <w:rPr>
          <w:kern w:val="22"/>
          <w:szCs w:val="22"/>
          <w:lang w:val="fr-FR"/>
        </w:rPr>
        <w:t xml:space="preserve">Une </w:t>
      </w:r>
      <w:r w:rsidRPr="00AC7B92">
        <w:rPr>
          <w:kern w:val="22"/>
          <w:szCs w:val="22"/>
          <w:lang w:val="fr-FR"/>
        </w:rPr>
        <w:t>Partie</w:t>
      </w:r>
      <w:r w:rsidRPr="00AC7B92">
        <w:rPr>
          <w:rStyle w:val="Appelnotedebasdep"/>
          <w:kern w:val="22"/>
          <w:sz w:val="22"/>
          <w:szCs w:val="22"/>
          <w:lang w:val="fr-FR"/>
        </w:rPr>
        <w:footnoteReference w:id="91"/>
      </w:r>
      <w:r w:rsidRPr="00AC7B92">
        <w:rPr>
          <w:kern w:val="22"/>
          <w:szCs w:val="22"/>
          <w:lang w:val="fr-FR"/>
        </w:rPr>
        <w:t xml:space="preserve"> a estimé</w:t>
      </w:r>
      <w:r w:rsidRPr="007C78E5">
        <w:rPr>
          <w:kern w:val="22"/>
          <w:szCs w:val="22"/>
          <w:lang w:val="fr-FR"/>
        </w:rPr>
        <w:t xml:space="preserve"> que les droits souverains des États à l’égard de leurs ressources génétiques ne devraient pas êtr</w:t>
      </w:r>
      <w:r>
        <w:rPr>
          <w:kern w:val="22"/>
          <w:szCs w:val="22"/>
          <w:lang w:val="fr-FR"/>
        </w:rPr>
        <w:t xml:space="preserve">e </w:t>
      </w:r>
      <w:r w:rsidR="007112D6">
        <w:rPr>
          <w:kern w:val="22"/>
          <w:szCs w:val="22"/>
          <w:lang w:val="fr-FR"/>
        </w:rPr>
        <w:t>amoindris</w:t>
      </w:r>
      <w:r>
        <w:rPr>
          <w:kern w:val="22"/>
          <w:szCs w:val="22"/>
          <w:lang w:val="fr-FR"/>
        </w:rPr>
        <w:t xml:space="preserve"> par la création d’un</w:t>
      </w:r>
      <w:r w:rsidRPr="007C78E5">
        <w:rPr>
          <w:kern w:val="22"/>
          <w:szCs w:val="22"/>
          <w:lang w:val="fr-FR"/>
        </w:rPr>
        <w:t xml:space="preserve"> </w:t>
      </w:r>
      <w:r w:rsidR="00767D93">
        <w:rPr>
          <w:kern w:val="22"/>
          <w:szCs w:val="22"/>
          <w:lang w:val="fr-FR"/>
        </w:rPr>
        <w:t xml:space="preserve">mécanisme multilatéral mondial </w:t>
      </w:r>
      <w:r w:rsidRPr="007C78E5">
        <w:rPr>
          <w:kern w:val="22"/>
          <w:szCs w:val="22"/>
          <w:lang w:val="fr-FR"/>
        </w:rPr>
        <w:t>de partage des avantages.</w:t>
      </w:r>
      <w:r w:rsidRPr="00D35D9A">
        <w:rPr>
          <w:kern w:val="22"/>
          <w:szCs w:val="22"/>
        </w:rPr>
        <w:t xml:space="preserve"> </w:t>
      </w:r>
      <w:r w:rsidRPr="007C78E5">
        <w:rPr>
          <w:kern w:val="22"/>
          <w:szCs w:val="22"/>
          <w:lang w:val="fr-FR"/>
        </w:rPr>
        <w:t xml:space="preserve">De même, une autre </w:t>
      </w:r>
      <w:r w:rsidRPr="00874BC1">
        <w:rPr>
          <w:kern w:val="22"/>
          <w:szCs w:val="22"/>
          <w:lang w:val="fr-FR"/>
        </w:rPr>
        <w:t>Partie</w:t>
      </w:r>
      <w:r w:rsidRPr="00874BC1">
        <w:rPr>
          <w:rStyle w:val="Appelnotedebasdep"/>
          <w:kern w:val="22"/>
          <w:sz w:val="22"/>
          <w:szCs w:val="22"/>
          <w:lang w:val="fr-FR"/>
        </w:rPr>
        <w:footnoteReference w:id="92"/>
      </w:r>
      <w:r w:rsidRPr="00874BC1">
        <w:rPr>
          <w:kern w:val="22"/>
          <w:szCs w:val="22"/>
          <w:lang w:val="fr-FR"/>
        </w:rPr>
        <w:t xml:space="preserve"> a soulevé</w:t>
      </w:r>
      <w:r w:rsidRPr="007C78E5">
        <w:rPr>
          <w:kern w:val="22"/>
          <w:szCs w:val="22"/>
          <w:lang w:val="fr-FR"/>
        </w:rPr>
        <w:t xml:space="preserve"> la question du lien à établir entre le droit national et ce mécanisme, étant entendu que, conformément aux droits souverains des pays à l’égard de leurs ressources génétiques, ces pays devraient pouvoir cho</w:t>
      </w:r>
      <w:r w:rsidR="004B34DB">
        <w:rPr>
          <w:kern w:val="22"/>
          <w:szCs w:val="22"/>
          <w:lang w:val="fr-FR"/>
        </w:rPr>
        <w:t>isir les ressources génétiques qui seraient incluses</w:t>
      </w:r>
      <w:r w:rsidRPr="007C78E5">
        <w:rPr>
          <w:kern w:val="22"/>
          <w:szCs w:val="22"/>
          <w:lang w:val="fr-FR"/>
        </w:rPr>
        <w:t xml:space="preserve"> dans le mécanisme, et les situations dans lesquelles </w:t>
      </w:r>
      <w:r w:rsidR="004B34DB">
        <w:rPr>
          <w:kern w:val="22"/>
          <w:szCs w:val="22"/>
          <w:lang w:val="fr-FR"/>
        </w:rPr>
        <w:t>cette inclusion</w:t>
      </w:r>
      <w:r w:rsidRPr="007C78E5">
        <w:rPr>
          <w:kern w:val="22"/>
          <w:szCs w:val="22"/>
          <w:lang w:val="fr-FR"/>
        </w:rPr>
        <w:t xml:space="preserve"> sera</w:t>
      </w:r>
      <w:r w:rsidR="004B34DB">
        <w:rPr>
          <w:kern w:val="22"/>
          <w:szCs w:val="22"/>
          <w:lang w:val="fr-FR"/>
        </w:rPr>
        <w:t>it</w:t>
      </w:r>
      <w:r w:rsidRPr="007C78E5">
        <w:rPr>
          <w:kern w:val="22"/>
          <w:szCs w:val="22"/>
          <w:lang w:val="fr-FR"/>
        </w:rPr>
        <w:t xml:space="preserve"> autorisé</w:t>
      </w:r>
      <w:r w:rsidR="004B34DB">
        <w:rPr>
          <w:kern w:val="22"/>
          <w:szCs w:val="22"/>
          <w:lang w:val="fr-FR"/>
        </w:rPr>
        <w:t>e</w:t>
      </w:r>
      <w:r w:rsidRPr="007C78E5">
        <w:rPr>
          <w:kern w:val="22"/>
          <w:szCs w:val="22"/>
          <w:lang w:val="fr-FR"/>
        </w:rPr>
        <w:t>.</w:t>
      </w:r>
      <w:r w:rsidRPr="00D35D9A">
        <w:rPr>
          <w:kern w:val="22"/>
          <w:szCs w:val="22"/>
        </w:rPr>
        <w:t xml:space="preserve"> </w:t>
      </w:r>
      <w:r w:rsidRPr="007C78E5">
        <w:rPr>
          <w:kern w:val="22"/>
          <w:szCs w:val="22"/>
          <w:lang w:val="fr-FR"/>
        </w:rPr>
        <w:t xml:space="preserve">Cette Partie a également </w:t>
      </w:r>
      <w:r w:rsidR="001C5605">
        <w:rPr>
          <w:kern w:val="22"/>
          <w:szCs w:val="22"/>
          <w:lang w:val="fr-FR"/>
        </w:rPr>
        <w:t>déclaré</w:t>
      </w:r>
      <w:r w:rsidRPr="007C78E5">
        <w:rPr>
          <w:kern w:val="22"/>
          <w:szCs w:val="22"/>
          <w:lang w:val="fr-FR"/>
        </w:rPr>
        <w:t xml:space="preserve"> que le mécanisme ne pourrait pas s’étendre aux zones géographiques qui sont expressément réglementées par d’autres instruments internationaux, ou qui font l’objet de négociations multilatérales</w:t>
      </w:r>
      <w:r w:rsidR="00E20527" w:rsidRPr="00D35D9A">
        <w:rPr>
          <w:kern w:val="22"/>
          <w:szCs w:val="22"/>
        </w:rPr>
        <w:t>.</w:t>
      </w:r>
    </w:p>
    <w:p w:rsidR="00E20527" w:rsidRPr="00D35D9A"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74BC1">
        <w:rPr>
          <w:kern w:val="22"/>
          <w:szCs w:val="22"/>
          <w:lang w:val="fr-FR"/>
        </w:rPr>
        <w:t>Plusieurs Parties</w:t>
      </w:r>
      <w:r w:rsidRPr="00874BC1">
        <w:rPr>
          <w:rStyle w:val="Appelnotedebasdep"/>
          <w:kern w:val="22"/>
          <w:sz w:val="22"/>
          <w:szCs w:val="22"/>
          <w:lang w:val="fr-FR"/>
        </w:rPr>
        <w:footnoteReference w:id="93"/>
      </w:r>
      <w:r w:rsidRPr="00874BC1">
        <w:rPr>
          <w:kern w:val="22"/>
          <w:szCs w:val="22"/>
          <w:lang w:val="fr-FR"/>
        </w:rPr>
        <w:t xml:space="preserve"> ont estimé que la nécessité de créer un </w:t>
      </w:r>
      <w:r w:rsidR="00767D93">
        <w:rPr>
          <w:kern w:val="22"/>
          <w:szCs w:val="22"/>
          <w:lang w:val="fr-FR"/>
        </w:rPr>
        <w:t xml:space="preserve">mécanisme multilatéral mondial </w:t>
      </w:r>
      <w:r w:rsidRPr="00874BC1">
        <w:rPr>
          <w:kern w:val="22"/>
          <w:szCs w:val="22"/>
          <w:lang w:val="fr-FR"/>
        </w:rPr>
        <w:t>de partage des avantages doit être confirmée dans un premier temps, et il a été affirmé</w:t>
      </w:r>
      <w:r w:rsidRPr="00874BC1">
        <w:rPr>
          <w:rStyle w:val="Appelnotedebasdep"/>
          <w:kern w:val="22"/>
          <w:sz w:val="22"/>
          <w:szCs w:val="22"/>
          <w:lang w:val="fr-FR"/>
        </w:rPr>
        <w:footnoteReference w:id="94"/>
      </w:r>
      <w:r w:rsidRPr="00874BC1">
        <w:rPr>
          <w:kern w:val="22"/>
          <w:szCs w:val="22"/>
          <w:lang w:val="fr-FR"/>
        </w:rPr>
        <w:t xml:space="preserve"> que de nouvelles discussions devraient avoir lieu sur les situations dans lesquelles il est impossible d’accorder</w:t>
      </w:r>
      <w:r w:rsidRPr="00032A9D">
        <w:rPr>
          <w:kern w:val="22"/>
          <w:szCs w:val="22"/>
          <w:lang w:val="fr-FR"/>
        </w:rPr>
        <w:t xml:space="preserve"> ou d’obtenir un consentement préalable donné en connaissance de cause, </w:t>
      </w:r>
      <w:r w:rsidR="009F4AC1">
        <w:rPr>
          <w:kern w:val="22"/>
          <w:szCs w:val="22"/>
          <w:lang w:val="fr-FR"/>
        </w:rPr>
        <w:t>afin</w:t>
      </w:r>
      <w:r w:rsidRPr="00032A9D">
        <w:rPr>
          <w:kern w:val="22"/>
          <w:szCs w:val="22"/>
          <w:lang w:val="fr-FR"/>
        </w:rPr>
        <w:t xml:space="preserve"> de déterminer si ce mécanisme est nécessaire, ou non</w:t>
      </w:r>
      <w:r w:rsidR="00E20527" w:rsidRPr="00D35D9A">
        <w:rPr>
          <w:kern w:val="22"/>
          <w:szCs w:val="22"/>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4F5090">
        <w:rPr>
          <w:kern w:val="22"/>
          <w:szCs w:val="22"/>
          <w:lang w:val="fr-FR"/>
        </w:rPr>
        <w:t xml:space="preserve">Il a été </w:t>
      </w:r>
      <w:r w:rsidRPr="00874BC1">
        <w:rPr>
          <w:kern w:val="22"/>
          <w:szCs w:val="22"/>
          <w:lang w:val="fr-FR"/>
        </w:rPr>
        <w:t>affirmé</w:t>
      </w:r>
      <w:r w:rsidRPr="00874BC1">
        <w:rPr>
          <w:rStyle w:val="Appelnotedebasdep"/>
          <w:kern w:val="22"/>
          <w:sz w:val="22"/>
          <w:szCs w:val="22"/>
          <w:lang w:val="fr-FR"/>
        </w:rPr>
        <w:footnoteReference w:id="95"/>
      </w:r>
      <w:r w:rsidRPr="00874BC1">
        <w:rPr>
          <w:kern w:val="22"/>
          <w:szCs w:val="22"/>
          <w:lang w:val="fr-FR"/>
        </w:rPr>
        <w:t xml:space="preserve"> qu’il était nécessaire d’examiner si un </w:t>
      </w:r>
      <w:r w:rsidR="00767D93">
        <w:rPr>
          <w:kern w:val="22"/>
          <w:szCs w:val="22"/>
          <w:lang w:val="fr-FR"/>
        </w:rPr>
        <w:t xml:space="preserve">mécanisme multilatéral mondial </w:t>
      </w:r>
      <w:r w:rsidRPr="00874BC1">
        <w:rPr>
          <w:kern w:val="22"/>
          <w:szCs w:val="22"/>
          <w:lang w:val="fr-FR"/>
        </w:rPr>
        <w:t>de partage des avantages était envisageable pour les pays n’ayant pas encore élaboré de mesures nationales sur l’accès et le partage des avantages, et un autre point de vue a considéré que ce mécanisme ne pourrait s’appliquer à ces pays</w:t>
      </w:r>
      <w:r w:rsidR="009F4AC1">
        <w:rPr>
          <w:kern w:val="22"/>
          <w:szCs w:val="22"/>
          <w:lang w:val="fr-FR"/>
        </w:rPr>
        <w:t>, et que</w:t>
      </w:r>
      <w:r w:rsidRPr="00874BC1">
        <w:rPr>
          <w:kern w:val="22"/>
          <w:szCs w:val="22"/>
          <w:lang w:val="fr-FR"/>
        </w:rPr>
        <w:t xml:space="preserve"> la situation devrait plutôt faire l’objet d’activités axées sur le renforcement des capacités</w:t>
      </w:r>
      <w:r w:rsidRPr="00874BC1">
        <w:rPr>
          <w:rStyle w:val="Appelnotedebasdep"/>
          <w:kern w:val="22"/>
          <w:sz w:val="22"/>
          <w:szCs w:val="22"/>
        </w:rPr>
        <w:footnoteReference w:id="96"/>
      </w:r>
      <w:r w:rsidR="00AC7B92" w:rsidRPr="00874BC1">
        <w:rPr>
          <w:kern w:val="22"/>
          <w:szCs w:val="22"/>
          <w:lang w:val="fr-FR"/>
        </w:rPr>
        <w:t>.</w:t>
      </w:r>
      <w:r w:rsidRPr="00874BC1">
        <w:rPr>
          <w:kern w:val="22"/>
          <w:szCs w:val="22"/>
        </w:rPr>
        <w:t xml:space="preserve"> </w:t>
      </w:r>
      <w:r w:rsidRPr="00874BC1">
        <w:rPr>
          <w:kern w:val="22"/>
          <w:szCs w:val="22"/>
          <w:lang w:val="fr-FR"/>
        </w:rPr>
        <w:t xml:space="preserve">De façon analogue, il a été </w:t>
      </w:r>
      <w:r w:rsidR="009F4AC1">
        <w:rPr>
          <w:kern w:val="22"/>
          <w:szCs w:val="22"/>
          <w:lang w:val="fr-FR"/>
        </w:rPr>
        <w:t>avancé</w:t>
      </w:r>
      <w:r w:rsidRPr="00874BC1">
        <w:rPr>
          <w:rStyle w:val="Appelnotedebasdep"/>
          <w:kern w:val="22"/>
          <w:sz w:val="22"/>
          <w:szCs w:val="22"/>
          <w:lang w:val="fr-FR"/>
        </w:rPr>
        <w:footnoteReference w:id="97"/>
      </w:r>
      <w:r w:rsidRPr="00874BC1">
        <w:rPr>
          <w:kern w:val="22"/>
          <w:szCs w:val="22"/>
          <w:lang w:val="fr-FR"/>
        </w:rPr>
        <w:t xml:space="preserve"> que l’accent devrait être mis sur la mise en œuvre de l’approche bilatérale définie par le Protocole, et que la nécessité d’un </w:t>
      </w:r>
      <w:r w:rsidR="00767D93">
        <w:rPr>
          <w:kern w:val="22"/>
          <w:szCs w:val="22"/>
          <w:lang w:val="fr-FR"/>
        </w:rPr>
        <w:t xml:space="preserve">mécanisme multilatéral mondial </w:t>
      </w:r>
      <w:r w:rsidRPr="00874BC1">
        <w:rPr>
          <w:kern w:val="22"/>
          <w:szCs w:val="22"/>
          <w:lang w:val="fr-FR"/>
        </w:rPr>
        <w:t>de partage des avantages ne pourrait, et ne devrait,</w:t>
      </w:r>
      <w:r w:rsidR="009F4AC1">
        <w:rPr>
          <w:kern w:val="22"/>
          <w:szCs w:val="22"/>
          <w:lang w:val="fr-FR"/>
        </w:rPr>
        <w:t xml:space="preserve"> pas</w:t>
      </w:r>
      <w:r w:rsidRPr="00874BC1">
        <w:rPr>
          <w:kern w:val="22"/>
          <w:szCs w:val="22"/>
          <w:lang w:val="fr-FR"/>
        </w:rPr>
        <w:t xml:space="preserve"> être concrétisée avant la mise en place du système bilatéral</w:t>
      </w:r>
      <w:r w:rsidR="00E20527" w:rsidRPr="00874BC1">
        <w:rPr>
          <w:kern w:val="22"/>
          <w:szCs w:val="22"/>
        </w:rPr>
        <w:t>.</w:t>
      </w:r>
    </w:p>
    <w:p w:rsidR="00E20527" w:rsidRPr="00D35D9A"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74BC1">
        <w:rPr>
          <w:kern w:val="22"/>
          <w:szCs w:val="22"/>
          <w:lang w:val="fr-FR"/>
        </w:rPr>
        <w:t xml:space="preserve">Deux </w:t>
      </w:r>
      <w:r w:rsidR="009F4AC1">
        <w:rPr>
          <w:kern w:val="22"/>
          <w:szCs w:val="22"/>
          <w:lang w:val="fr-FR"/>
        </w:rPr>
        <w:t>soumissions</w:t>
      </w:r>
      <w:r w:rsidRPr="00874BC1">
        <w:rPr>
          <w:rStyle w:val="Appelnotedebasdep"/>
          <w:kern w:val="22"/>
          <w:sz w:val="22"/>
          <w:szCs w:val="22"/>
          <w:lang w:val="fr-FR"/>
        </w:rPr>
        <w:footnoteReference w:id="98"/>
      </w:r>
      <w:r w:rsidRPr="00874BC1">
        <w:rPr>
          <w:kern w:val="22"/>
          <w:szCs w:val="22"/>
          <w:lang w:val="fr-FR"/>
        </w:rPr>
        <w:t xml:space="preserve"> ont laissé entendre qu’il serait utile d’examiner les informations</w:t>
      </w:r>
      <w:r w:rsidR="009F4AC1">
        <w:rPr>
          <w:kern w:val="22"/>
          <w:szCs w:val="22"/>
          <w:lang w:val="fr-FR"/>
        </w:rPr>
        <w:t xml:space="preserve"> et les enseignements tirés d’</w:t>
      </w:r>
      <w:r w:rsidRPr="00874BC1">
        <w:rPr>
          <w:kern w:val="22"/>
          <w:szCs w:val="22"/>
          <w:lang w:val="fr-FR"/>
        </w:rPr>
        <w:t>autres systèmes multilatéraux</w:t>
      </w:r>
      <w:r w:rsidRPr="004F5090">
        <w:rPr>
          <w:kern w:val="22"/>
          <w:szCs w:val="22"/>
          <w:lang w:val="fr-FR"/>
        </w:rPr>
        <w:t xml:space="preserve">, tels que le Traité international sur les ressources </w:t>
      </w:r>
      <w:proofErr w:type="spellStart"/>
      <w:r w:rsidRPr="004F5090">
        <w:rPr>
          <w:kern w:val="22"/>
          <w:szCs w:val="22"/>
          <w:lang w:val="fr-FR"/>
        </w:rPr>
        <w:t>phytogénétiques</w:t>
      </w:r>
      <w:proofErr w:type="spellEnd"/>
      <w:r w:rsidRPr="004F5090">
        <w:rPr>
          <w:kern w:val="22"/>
          <w:szCs w:val="22"/>
          <w:lang w:val="fr-FR"/>
        </w:rPr>
        <w:t xml:space="preserve"> pour l’alimentation et l’agriculture, ou le Cadre de préparation en cas de grippe pandémique pour l’échange des virus grippaux et l’accès aux vaccins et aux autres avantages</w:t>
      </w:r>
      <w:r w:rsidR="009F4AC1">
        <w:rPr>
          <w:kern w:val="22"/>
          <w:szCs w:val="22"/>
          <w:lang w:val="fr-FR"/>
        </w:rPr>
        <w:t xml:space="preserve"> (Cadre PIP)</w:t>
      </w:r>
      <w:r w:rsidRPr="004F5090">
        <w:rPr>
          <w:kern w:val="22"/>
          <w:szCs w:val="22"/>
          <w:lang w:val="fr-FR"/>
        </w:rPr>
        <w:t>.</w:t>
      </w:r>
      <w:r w:rsidRPr="00D35D9A">
        <w:rPr>
          <w:kern w:val="22"/>
          <w:szCs w:val="22"/>
        </w:rPr>
        <w:t xml:space="preserve"> </w:t>
      </w:r>
      <w:r w:rsidRPr="006F68B2">
        <w:rPr>
          <w:kern w:val="22"/>
          <w:szCs w:val="22"/>
          <w:lang w:val="fr-FR"/>
        </w:rPr>
        <w:t>Il est à noter qu’une étude portant notammen</w:t>
      </w:r>
      <w:r w:rsidR="009F4AC1">
        <w:rPr>
          <w:kern w:val="22"/>
          <w:szCs w:val="22"/>
          <w:lang w:val="fr-FR"/>
        </w:rPr>
        <w:t>t sur les expériences tirées d’</w:t>
      </w:r>
      <w:r w:rsidRPr="006F68B2">
        <w:rPr>
          <w:kern w:val="22"/>
          <w:szCs w:val="22"/>
          <w:lang w:val="fr-FR"/>
        </w:rPr>
        <w:t xml:space="preserve">autres mécanismes multilatéraux, y compris de ce Traité et de ce Cadre, </w:t>
      </w:r>
      <w:r w:rsidR="009F4AC1">
        <w:rPr>
          <w:kern w:val="22"/>
          <w:szCs w:val="22"/>
          <w:lang w:val="fr-FR"/>
        </w:rPr>
        <w:t>a été conduite,</w:t>
      </w:r>
      <w:r w:rsidRPr="006F68B2">
        <w:rPr>
          <w:kern w:val="22"/>
          <w:szCs w:val="22"/>
          <w:lang w:val="fr-FR"/>
        </w:rPr>
        <w:t xml:space="preserve"> suite à la décision NP-1/10, comme l’indique le paragraphe 65 ci-dessus</w:t>
      </w:r>
      <w:r w:rsidR="00E20527" w:rsidRPr="00D35D9A">
        <w:rPr>
          <w:kern w:val="22"/>
          <w:szCs w:val="22"/>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37F9C">
        <w:rPr>
          <w:kern w:val="22"/>
          <w:szCs w:val="22"/>
          <w:lang w:val="fr-FR"/>
        </w:rPr>
        <w:t xml:space="preserve">Une </w:t>
      </w:r>
      <w:r w:rsidR="009F4AC1">
        <w:rPr>
          <w:kern w:val="22"/>
          <w:szCs w:val="22"/>
          <w:lang w:val="fr-FR"/>
        </w:rPr>
        <w:t>soumission</w:t>
      </w:r>
      <w:r w:rsidRPr="00874BC1">
        <w:rPr>
          <w:rStyle w:val="Appelnotedebasdep"/>
          <w:kern w:val="22"/>
          <w:sz w:val="22"/>
          <w:szCs w:val="22"/>
          <w:lang w:val="fr-FR"/>
        </w:rPr>
        <w:footnoteReference w:id="99"/>
      </w:r>
      <w:r w:rsidRPr="00874BC1">
        <w:rPr>
          <w:kern w:val="22"/>
          <w:szCs w:val="22"/>
          <w:lang w:val="fr-FR"/>
        </w:rPr>
        <w:t xml:space="preserve"> a analysé le conc</w:t>
      </w:r>
      <w:r w:rsidR="009F4AC1">
        <w:rPr>
          <w:kern w:val="22"/>
          <w:szCs w:val="22"/>
          <w:lang w:val="fr-FR"/>
        </w:rPr>
        <w:t xml:space="preserve">ept d’« ouverture limitée » qui </w:t>
      </w:r>
      <w:r w:rsidRPr="00874BC1">
        <w:rPr>
          <w:kern w:val="22"/>
          <w:szCs w:val="22"/>
          <w:lang w:val="fr-FR"/>
        </w:rPr>
        <w:t>pourrait s’appliquer aux connaissances traditionnelles associées aux ressources génétiques, et l’a proposé comme voie à suivre concernant l’article 10</w:t>
      </w:r>
      <w:r w:rsidR="00E20527" w:rsidRPr="00874BC1">
        <w:rPr>
          <w:kern w:val="22"/>
          <w:szCs w:val="22"/>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74BC1">
        <w:rPr>
          <w:kern w:val="22"/>
          <w:szCs w:val="22"/>
          <w:lang w:val="fr-FR"/>
        </w:rPr>
        <w:t>Plusieurs Parties</w:t>
      </w:r>
      <w:r w:rsidRPr="00874BC1">
        <w:rPr>
          <w:rStyle w:val="Appelnotedebasdep"/>
          <w:kern w:val="22"/>
          <w:sz w:val="22"/>
          <w:szCs w:val="22"/>
          <w:lang w:val="fr-FR"/>
        </w:rPr>
        <w:footnoteReference w:id="100"/>
      </w:r>
      <w:r w:rsidRPr="00874BC1">
        <w:rPr>
          <w:kern w:val="22"/>
          <w:szCs w:val="22"/>
          <w:lang w:val="fr-FR"/>
        </w:rPr>
        <w:t xml:space="preserve"> ont affirmé qu’il serait utile de déterminer si un </w:t>
      </w:r>
      <w:r w:rsidR="00767D93">
        <w:rPr>
          <w:kern w:val="22"/>
          <w:szCs w:val="22"/>
          <w:lang w:val="fr-FR"/>
        </w:rPr>
        <w:t xml:space="preserve">mécanisme multilatéral mondial </w:t>
      </w:r>
      <w:r w:rsidRPr="00874BC1">
        <w:rPr>
          <w:kern w:val="22"/>
          <w:szCs w:val="22"/>
          <w:lang w:val="fr-FR"/>
        </w:rPr>
        <w:t xml:space="preserve">de partage des avantages pourrait faciliter la conservation et l’utilisation durable de la </w:t>
      </w:r>
      <w:r w:rsidRPr="00874BC1">
        <w:rPr>
          <w:kern w:val="22"/>
          <w:szCs w:val="22"/>
          <w:lang w:val="fr-FR"/>
        </w:rPr>
        <w:lastRenderedPageBreak/>
        <w:t>biodiversité, et dans quelles conditions.</w:t>
      </w:r>
      <w:r w:rsidRPr="00874BC1">
        <w:rPr>
          <w:kern w:val="22"/>
          <w:szCs w:val="22"/>
        </w:rPr>
        <w:t xml:space="preserve"> </w:t>
      </w:r>
      <w:r w:rsidRPr="00874BC1">
        <w:rPr>
          <w:kern w:val="22"/>
          <w:szCs w:val="22"/>
          <w:lang w:val="fr-FR"/>
        </w:rPr>
        <w:t>Différentes possibilités ont été évoquées, notamment les dispositifs d’assistance technique, la coopération internationale, l’échange d’informations, le transfert de technologies et le renforcement des capacités</w:t>
      </w:r>
      <w:r w:rsidR="00E20527" w:rsidRPr="00874BC1">
        <w:rPr>
          <w:kern w:val="22"/>
          <w:szCs w:val="22"/>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74BC1">
        <w:rPr>
          <w:kern w:val="22"/>
          <w:szCs w:val="22"/>
          <w:lang w:val="fr-FR"/>
        </w:rPr>
        <w:t>Une Partie</w:t>
      </w:r>
      <w:r w:rsidRPr="00874BC1">
        <w:rPr>
          <w:rStyle w:val="Appelnotedebasdep"/>
          <w:kern w:val="22"/>
          <w:sz w:val="22"/>
          <w:szCs w:val="22"/>
          <w:lang w:val="fr-FR"/>
        </w:rPr>
        <w:footnoteReference w:id="101"/>
      </w:r>
      <w:r w:rsidRPr="00874BC1">
        <w:rPr>
          <w:kern w:val="22"/>
          <w:szCs w:val="22"/>
          <w:lang w:val="fr-FR"/>
        </w:rPr>
        <w:t xml:space="preserve"> a recensé les autres domaines </w:t>
      </w:r>
      <w:r w:rsidR="00417400">
        <w:rPr>
          <w:kern w:val="22"/>
          <w:szCs w:val="22"/>
          <w:lang w:val="fr-FR"/>
        </w:rPr>
        <w:t>dans</w:t>
      </w:r>
      <w:r w:rsidRPr="00874BC1">
        <w:rPr>
          <w:kern w:val="22"/>
          <w:szCs w:val="22"/>
          <w:lang w:val="fr-FR"/>
        </w:rPr>
        <w:t xml:space="preserve"> lesquels il conviendrait d’estimer l’utilité d’un </w:t>
      </w:r>
      <w:r w:rsidR="00767D93">
        <w:rPr>
          <w:kern w:val="22"/>
          <w:szCs w:val="22"/>
          <w:lang w:val="fr-FR"/>
        </w:rPr>
        <w:t xml:space="preserve">mécanisme multilatéral mondial </w:t>
      </w:r>
      <w:r w:rsidRPr="00874BC1">
        <w:rPr>
          <w:kern w:val="22"/>
          <w:szCs w:val="22"/>
          <w:lang w:val="fr-FR"/>
        </w:rPr>
        <w:t xml:space="preserve">de partage des avantages. Il s’agit notamment de l’utilisation des informations sur les séquences numériques pour lesquelles le pays d’origine est inconnu, ou qui comptent plusieurs pays d’origine. </w:t>
      </w:r>
      <w:r w:rsidR="00417400">
        <w:rPr>
          <w:kern w:val="22"/>
          <w:szCs w:val="22"/>
          <w:lang w:val="fr-FR"/>
        </w:rPr>
        <w:t>Ce mécanisme</w:t>
      </w:r>
      <w:r w:rsidRPr="00874BC1">
        <w:rPr>
          <w:kern w:val="22"/>
          <w:szCs w:val="22"/>
          <w:lang w:val="fr-FR"/>
        </w:rPr>
        <w:t xml:space="preserve"> pourrait également constituer un outil pour l’entrée en vigueur de lois nationales dans ce domaine, et permettre d’éviter que certaines questions relèvent de juridictions </w:t>
      </w:r>
      <w:r w:rsidR="00C637A7">
        <w:rPr>
          <w:kern w:val="22"/>
          <w:szCs w:val="22"/>
          <w:lang w:val="fr-FR"/>
        </w:rPr>
        <w:t>où</w:t>
      </w:r>
      <w:r w:rsidRPr="00874BC1">
        <w:rPr>
          <w:kern w:val="22"/>
          <w:szCs w:val="22"/>
          <w:lang w:val="fr-FR"/>
        </w:rPr>
        <w:t xml:space="preserve"> la législation est plus </w:t>
      </w:r>
      <w:r w:rsidR="00C637A7">
        <w:rPr>
          <w:kern w:val="22"/>
          <w:szCs w:val="22"/>
          <w:lang w:val="fr-FR"/>
        </w:rPr>
        <w:t>commode</w:t>
      </w:r>
      <w:r w:rsidR="00E20527" w:rsidRPr="00874BC1">
        <w:rPr>
          <w:kern w:val="22"/>
          <w:szCs w:val="22"/>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74BC1">
        <w:rPr>
          <w:kern w:val="22"/>
          <w:szCs w:val="22"/>
          <w:lang w:val="fr-FR"/>
        </w:rPr>
        <w:t>Une Partie</w:t>
      </w:r>
      <w:r w:rsidRPr="00874BC1">
        <w:rPr>
          <w:rStyle w:val="Appelnotedebasdep"/>
          <w:kern w:val="22"/>
          <w:sz w:val="22"/>
          <w:szCs w:val="22"/>
          <w:lang w:val="fr-FR"/>
        </w:rPr>
        <w:footnoteReference w:id="102"/>
      </w:r>
      <w:r w:rsidRPr="00874BC1">
        <w:rPr>
          <w:kern w:val="22"/>
          <w:szCs w:val="22"/>
          <w:lang w:val="fr-FR"/>
        </w:rPr>
        <w:t xml:space="preserve"> a signalé</w:t>
      </w:r>
      <w:r w:rsidRPr="00171AA7">
        <w:rPr>
          <w:kern w:val="22"/>
          <w:szCs w:val="22"/>
          <w:lang w:val="fr-FR"/>
        </w:rPr>
        <w:t xml:space="preserve"> que la mise </w:t>
      </w:r>
      <w:r w:rsidR="003C377F">
        <w:rPr>
          <w:kern w:val="22"/>
          <w:szCs w:val="22"/>
          <w:lang w:val="fr-FR"/>
        </w:rPr>
        <w:t>en œuvre du Protocole de Nagoya</w:t>
      </w:r>
      <w:r w:rsidRPr="00171AA7">
        <w:rPr>
          <w:kern w:val="22"/>
          <w:szCs w:val="22"/>
          <w:lang w:val="fr-FR"/>
        </w:rPr>
        <w:t xml:space="preserve"> et les enseignements tirés des procédures </w:t>
      </w:r>
      <w:r w:rsidR="003C377F">
        <w:rPr>
          <w:kern w:val="22"/>
          <w:szCs w:val="22"/>
          <w:lang w:val="fr-FR"/>
        </w:rPr>
        <w:t>qui la concernent</w:t>
      </w:r>
      <w:r w:rsidRPr="00171AA7">
        <w:rPr>
          <w:kern w:val="22"/>
          <w:szCs w:val="22"/>
          <w:lang w:val="fr-FR"/>
        </w:rPr>
        <w:t xml:space="preserve"> pourraient aller de pair avec l’organisation de discussions sur les situations susceptibles de pouvoir accueillir un </w:t>
      </w:r>
      <w:r w:rsidR="00767D93">
        <w:rPr>
          <w:kern w:val="22"/>
          <w:szCs w:val="22"/>
          <w:lang w:val="fr-FR"/>
        </w:rPr>
        <w:t xml:space="preserve">mécanisme multilatéral mondial </w:t>
      </w:r>
      <w:r w:rsidRPr="00171AA7">
        <w:rPr>
          <w:kern w:val="22"/>
          <w:szCs w:val="22"/>
          <w:lang w:val="fr-FR"/>
        </w:rPr>
        <w:t xml:space="preserve">de partage des avantages, ainsi que sur les modalités possibles </w:t>
      </w:r>
      <w:r w:rsidR="003C377F">
        <w:rPr>
          <w:kern w:val="22"/>
          <w:szCs w:val="22"/>
          <w:lang w:val="fr-FR"/>
        </w:rPr>
        <w:t>du</w:t>
      </w:r>
      <w:r w:rsidRPr="00171AA7">
        <w:rPr>
          <w:kern w:val="22"/>
          <w:szCs w:val="22"/>
          <w:lang w:val="fr-FR"/>
        </w:rPr>
        <w:t xml:space="preserve"> mécanisme.</w:t>
      </w:r>
      <w:r w:rsidRPr="00D35D9A">
        <w:rPr>
          <w:kern w:val="22"/>
          <w:szCs w:val="22"/>
        </w:rPr>
        <w:t xml:space="preserve"> </w:t>
      </w:r>
      <w:r w:rsidRPr="00874BC1">
        <w:rPr>
          <w:kern w:val="22"/>
          <w:szCs w:val="22"/>
          <w:lang w:val="fr-FR"/>
        </w:rPr>
        <w:t>Une autre Partie</w:t>
      </w:r>
      <w:r w:rsidRPr="00874BC1">
        <w:rPr>
          <w:rStyle w:val="Appelnotedebasdep"/>
          <w:kern w:val="22"/>
          <w:sz w:val="22"/>
          <w:szCs w:val="22"/>
          <w:lang w:val="fr-FR"/>
        </w:rPr>
        <w:footnoteReference w:id="103"/>
      </w:r>
      <w:r w:rsidRPr="00874BC1">
        <w:rPr>
          <w:kern w:val="22"/>
          <w:szCs w:val="22"/>
          <w:lang w:val="fr-FR"/>
        </w:rPr>
        <w:t xml:space="preserve"> a considéré qu’il serait approprié de recenser les situations et les scénarios dans lesquels les ressources génétiques ou les connaissances traditionnelles associées pourraient relever d’un mécanisme</w:t>
      </w:r>
      <w:r w:rsidR="003C377F">
        <w:rPr>
          <w:kern w:val="22"/>
          <w:szCs w:val="22"/>
          <w:lang w:val="fr-FR"/>
        </w:rPr>
        <w:t xml:space="preserve"> de ce type</w:t>
      </w:r>
      <w:r w:rsidRPr="00874BC1">
        <w:rPr>
          <w:kern w:val="22"/>
          <w:szCs w:val="22"/>
          <w:lang w:val="fr-FR"/>
        </w:rPr>
        <w:t>, et d’évaluer les implications pour les législations nationales</w:t>
      </w:r>
      <w:r w:rsidR="00E20527" w:rsidRPr="00874BC1">
        <w:rPr>
          <w:kern w:val="22"/>
          <w:szCs w:val="22"/>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74BC1">
        <w:rPr>
          <w:kern w:val="22"/>
          <w:szCs w:val="22"/>
          <w:lang w:val="fr-FR"/>
        </w:rPr>
        <w:t>Afin d’aider en ce sens, une Partie</w:t>
      </w:r>
      <w:r w:rsidRPr="00874BC1">
        <w:rPr>
          <w:rStyle w:val="Appelnotedebasdep"/>
          <w:kern w:val="22"/>
          <w:sz w:val="22"/>
          <w:szCs w:val="22"/>
          <w:lang w:val="fr-FR"/>
        </w:rPr>
        <w:footnoteReference w:id="104"/>
      </w:r>
      <w:r w:rsidR="00286708" w:rsidRPr="00874BC1">
        <w:rPr>
          <w:kern w:val="22"/>
          <w:szCs w:val="22"/>
          <w:lang w:val="fr-FR"/>
        </w:rPr>
        <w:t xml:space="preserve"> </w:t>
      </w:r>
      <w:r w:rsidRPr="00874BC1">
        <w:rPr>
          <w:kern w:val="22"/>
          <w:szCs w:val="22"/>
          <w:lang w:val="fr-FR"/>
        </w:rPr>
        <w:t>a défendu l’idée de rouvrir des discussions techniques en se fondant sur les listes de questions se référant aux aspects nécessitant d’être analysés</w:t>
      </w:r>
      <w:r w:rsidR="00E20527" w:rsidRPr="00874BC1">
        <w:rPr>
          <w:rStyle w:val="Appelnotedebasdep"/>
          <w:kern w:val="22"/>
          <w:sz w:val="22"/>
          <w:szCs w:val="22"/>
        </w:rPr>
        <w:footnoteReference w:id="105"/>
      </w:r>
      <w:r w:rsidRPr="00874BC1">
        <w:rPr>
          <w:kern w:val="22"/>
          <w:szCs w:val="22"/>
          <w:lang w:val="fr-FR"/>
        </w:rPr>
        <w:t>.</w:t>
      </w:r>
    </w:p>
    <w:p w:rsidR="00E20527" w:rsidRPr="00874BC1"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874BC1">
        <w:rPr>
          <w:kern w:val="22"/>
          <w:szCs w:val="22"/>
          <w:lang w:val="fr-FR"/>
        </w:rPr>
        <w:t>Une organisation</w:t>
      </w:r>
      <w:r w:rsidRPr="00874BC1">
        <w:rPr>
          <w:rStyle w:val="Appelnotedebasdep"/>
          <w:kern w:val="22"/>
          <w:sz w:val="22"/>
          <w:szCs w:val="22"/>
          <w:lang w:val="fr-FR"/>
        </w:rPr>
        <w:footnoteReference w:id="106"/>
      </w:r>
      <w:r w:rsidRPr="00874BC1">
        <w:rPr>
          <w:kern w:val="22"/>
          <w:szCs w:val="22"/>
          <w:lang w:val="fr-FR"/>
        </w:rPr>
        <w:t xml:space="preserve"> a affirmé qu’en cas d’identification </w:t>
      </w:r>
      <w:r w:rsidR="003C377F">
        <w:rPr>
          <w:kern w:val="22"/>
          <w:szCs w:val="22"/>
          <w:lang w:val="fr-FR"/>
        </w:rPr>
        <w:t xml:space="preserve">non </w:t>
      </w:r>
      <w:r w:rsidRPr="00874BC1">
        <w:rPr>
          <w:kern w:val="22"/>
          <w:szCs w:val="22"/>
          <w:lang w:val="fr-FR"/>
        </w:rPr>
        <w:t xml:space="preserve">assurée du pays d’origine d’un microorganisme, un </w:t>
      </w:r>
      <w:r w:rsidR="00767D93">
        <w:rPr>
          <w:kern w:val="22"/>
          <w:szCs w:val="22"/>
          <w:lang w:val="fr-FR"/>
        </w:rPr>
        <w:t xml:space="preserve">mécanisme multilatéral mondial </w:t>
      </w:r>
      <w:r w:rsidRPr="00874BC1">
        <w:rPr>
          <w:kern w:val="22"/>
          <w:szCs w:val="22"/>
          <w:lang w:val="fr-FR"/>
        </w:rPr>
        <w:t>de partage des avantages pourrait s’avérer utile s’il est d’un bon rapport coût-efficacité</w:t>
      </w:r>
      <w:r w:rsidR="00E20527" w:rsidRPr="00874BC1" w:rsidDel="00DC4ECA">
        <w:rPr>
          <w:kern w:val="22"/>
          <w:szCs w:val="22"/>
        </w:rPr>
        <w:t>.</w:t>
      </w:r>
    </w:p>
    <w:p w:rsidR="00E20527" w:rsidRPr="00D35D9A" w:rsidRDefault="002A0E3A" w:rsidP="00E20527">
      <w:pPr>
        <w:pStyle w:val="Titre1"/>
        <w:numPr>
          <w:ilvl w:val="0"/>
          <w:numId w:val="7"/>
        </w:numPr>
        <w:suppressLineNumbers/>
        <w:suppressAutoHyphens/>
        <w:kinsoku w:val="0"/>
        <w:overflowPunct w:val="0"/>
        <w:autoSpaceDE w:val="0"/>
        <w:autoSpaceDN w:val="0"/>
        <w:adjustRightInd w:val="0"/>
        <w:snapToGrid w:val="0"/>
        <w:spacing w:before="120"/>
        <w:rPr>
          <w:rFonts w:ascii="Times New Roman Bold" w:hAnsi="Times New Roman Bold" w:cs="Times New Roman Bold"/>
          <w:caps w:val="0"/>
          <w:snapToGrid w:val="0"/>
          <w:kern w:val="22"/>
          <w:szCs w:val="22"/>
        </w:rPr>
      </w:pPr>
      <w:r w:rsidRPr="00FD5AD0">
        <w:rPr>
          <w:rFonts w:ascii="Times New Roman Bold" w:hAnsi="Times New Roman Bold" w:cs="Times New Roman Bold"/>
          <w:caps w:val="0"/>
          <w:snapToGrid w:val="0"/>
          <w:kern w:val="22"/>
          <w:szCs w:val="22"/>
          <w:lang w:val="fr-FR"/>
        </w:rPr>
        <w:t>PROPOSITIONS DE RECOMMANDATION</w:t>
      </w:r>
      <w:r w:rsidR="00E20527" w:rsidRPr="00D35D9A">
        <w:rPr>
          <w:rFonts w:ascii="Times New Roman Bold" w:hAnsi="Times New Roman Bold" w:cs="Times New Roman Bold"/>
          <w:caps w:val="0"/>
          <w:snapToGrid w:val="0"/>
          <w:kern w:val="22"/>
          <w:szCs w:val="22"/>
        </w:rPr>
        <w:t>S</w:t>
      </w:r>
    </w:p>
    <w:p w:rsidR="00E20527" w:rsidRPr="00D35D9A" w:rsidRDefault="002A0E3A" w:rsidP="00E20527">
      <w:pPr>
        <w:pStyle w:val="Para1"/>
        <w:suppressLineNumbers/>
        <w:tabs>
          <w:tab w:val="clear" w:pos="360"/>
        </w:tabs>
        <w:suppressAutoHyphens/>
        <w:kinsoku w:val="0"/>
        <w:overflowPunct w:val="0"/>
        <w:autoSpaceDE w:val="0"/>
        <w:autoSpaceDN w:val="0"/>
        <w:adjustRightInd w:val="0"/>
        <w:snapToGrid w:val="0"/>
        <w:rPr>
          <w:kern w:val="22"/>
          <w:szCs w:val="22"/>
        </w:rPr>
      </w:pPr>
      <w:r w:rsidRPr="0039663D">
        <w:rPr>
          <w:kern w:val="22"/>
          <w:szCs w:val="22"/>
          <w:lang w:val="fr-FR"/>
        </w:rPr>
        <w:t>L’Organe subsidiaire chargé de l’application peut souhaiter examiner les informations précédemment présentées et, conformément à la décision NP-2/10 (paragraphe 7), examiner également la nécessité d’un mécanisme multilatéral mondial de partage des avantages, et formuler des recommandations aux fins d’examen par la Conférence des Parties siégeant en tant que réunion des Parties au Protocole de Nagoya à sa troisième réunion</w:t>
      </w:r>
      <w:r w:rsidR="00E20527" w:rsidRPr="00D35D9A">
        <w:rPr>
          <w:kern w:val="22"/>
          <w:szCs w:val="22"/>
        </w:rPr>
        <w:t>.</w:t>
      </w:r>
    </w:p>
    <w:p w:rsidR="00736BC2" w:rsidRPr="005440A6" w:rsidRDefault="00E20527" w:rsidP="00E20527">
      <w:pPr>
        <w:suppressLineNumbers/>
        <w:suppressAutoHyphens/>
        <w:kinsoku w:val="0"/>
        <w:overflowPunct w:val="0"/>
        <w:autoSpaceDE w:val="0"/>
        <w:autoSpaceDN w:val="0"/>
        <w:adjustRightInd w:val="0"/>
        <w:snapToGrid w:val="0"/>
        <w:spacing w:before="120" w:after="120"/>
        <w:jc w:val="center"/>
        <w:rPr>
          <w:snapToGrid w:val="0"/>
          <w:kern w:val="22"/>
          <w:szCs w:val="22"/>
        </w:rPr>
      </w:pPr>
      <w:r w:rsidRPr="00D35D9A">
        <w:rPr>
          <w:snapToGrid w:val="0"/>
          <w:kern w:val="22"/>
          <w:szCs w:val="22"/>
        </w:rPr>
        <w:t>__________</w:t>
      </w:r>
    </w:p>
    <w:sectPr w:rsidR="00736BC2" w:rsidRPr="005440A6" w:rsidSect="00CA1572">
      <w:headerReference w:type="even" r:id="rId15"/>
      <w:headerReference w:type="default" r:id="rId16"/>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E0" w:rsidRDefault="00B773E0">
      <w:r>
        <w:separator/>
      </w:r>
    </w:p>
  </w:endnote>
  <w:endnote w:type="continuationSeparator" w:id="0">
    <w:p w:rsidR="00B773E0" w:rsidRDefault="00B7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E0" w:rsidRDefault="00B773E0">
      <w:r>
        <w:separator/>
      </w:r>
    </w:p>
  </w:footnote>
  <w:footnote w:type="continuationSeparator" w:id="0">
    <w:p w:rsidR="00B773E0" w:rsidRDefault="00B773E0">
      <w:r>
        <w:continuationSeparator/>
      </w:r>
    </w:p>
  </w:footnote>
  <w:footnote w:id="1">
    <w:p w:rsidR="00B773E0" w:rsidRPr="00D51069" w:rsidRDefault="00B773E0" w:rsidP="00D51069">
      <w:pPr>
        <w:pStyle w:val="Notedebasdepage"/>
        <w:ind w:firstLine="0"/>
        <w:rPr>
          <w:lang w:val="en-US"/>
        </w:rPr>
      </w:pPr>
      <w:r>
        <w:rPr>
          <w:rStyle w:val="Appelnotedebasdep"/>
        </w:rPr>
        <w:fldChar w:fldCharType="begin"/>
      </w:r>
      <w:r>
        <w:rPr>
          <w:rStyle w:val="Appelnotedebasdep"/>
        </w:rPr>
        <w:instrText xml:space="preserve"> HYPERLINK "https://www.cbd.int/doc/c/c418/4b06/65b26745a1c1a1793cc5ea40/sbi-02-01-fr.pdf" </w:instrText>
      </w:r>
      <w:r>
        <w:rPr>
          <w:rStyle w:val="Appelnotedebasdep"/>
        </w:rPr>
        <w:fldChar w:fldCharType="separate"/>
      </w:r>
      <w:r w:rsidRPr="003F5225">
        <w:rPr>
          <w:rStyle w:val="Lienhypertexte"/>
          <w:color w:val="auto"/>
          <w:u w:val="none"/>
          <w:vertAlign w:val="superscript"/>
        </w:rPr>
        <w:t>*</w:t>
      </w:r>
      <w:r w:rsidRPr="003F5225">
        <w:rPr>
          <w:rStyle w:val="Lienhypertexte"/>
          <w:color w:val="auto"/>
          <w:u w:val="none"/>
        </w:rPr>
        <w:t xml:space="preserve"> </w:t>
      </w:r>
      <w:r w:rsidRPr="00827F81">
        <w:rPr>
          <w:rStyle w:val="Lienhypertexte"/>
          <w:snapToGrid w:val="0"/>
          <w:kern w:val="18"/>
          <w:szCs w:val="18"/>
        </w:rPr>
        <w:t>CBD/SBI/2/1</w:t>
      </w:r>
      <w:r>
        <w:rPr>
          <w:rStyle w:val="Appelnotedebasdep"/>
        </w:rPr>
        <w:fldChar w:fldCharType="end"/>
      </w:r>
      <w:r>
        <w:rPr>
          <w:lang w:val="en-US"/>
        </w:rPr>
        <w:t>.</w:t>
      </w:r>
    </w:p>
  </w:footnote>
  <w:footnote w:id="2">
    <w:p w:rsidR="00B773E0" w:rsidRPr="00A035A3" w:rsidRDefault="00B773E0" w:rsidP="00310B98">
      <w:pPr>
        <w:pStyle w:val="Notedebasdepage"/>
        <w:ind w:firstLine="0"/>
        <w:rPr>
          <w:lang w:val="fr-FR"/>
        </w:rPr>
      </w:pPr>
      <w:r w:rsidRPr="00A035A3">
        <w:rPr>
          <w:rStyle w:val="Appelnotedebasdep"/>
          <w:lang w:val="fr-FR"/>
        </w:rPr>
        <w:footnoteRef/>
      </w:r>
      <w:r w:rsidRPr="00A035A3">
        <w:rPr>
          <w:lang w:val="fr-FR"/>
        </w:rPr>
        <w:t xml:space="preserve"> </w:t>
      </w:r>
      <w:hyperlink r:id="rId1" w:history="1">
        <w:r w:rsidRPr="00A035A3">
          <w:rPr>
            <w:rStyle w:val="Lienhypertexte"/>
            <w:lang w:val="fr-FR"/>
          </w:rPr>
          <w:t>https://www.cbd.int/doc/notifications/2017/ntf-2017-017-absch-en.pdf</w:t>
        </w:r>
      </w:hyperlink>
      <w:r w:rsidRPr="00A035A3">
        <w:rPr>
          <w:lang w:val="fr-FR"/>
        </w:rPr>
        <w:t xml:space="preserve"> (en anglais).</w:t>
      </w:r>
    </w:p>
  </w:footnote>
  <w:footnote w:id="3">
    <w:p w:rsidR="00B773E0" w:rsidRPr="00A035A3" w:rsidRDefault="00B773E0" w:rsidP="00310B98">
      <w:pPr>
        <w:pStyle w:val="Notedebasdepage"/>
        <w:ind w:firstLine="0"/>
        <w:rPr>
          <w:lang w:val="fr-FR"/>
        </w:rPr>
      </w:pPr>
      <w:r w:rsidRPr="00A035A3">
        <w:rPr>
          <w:rStyle w:val="Appelnotedebasdep"/>
          <w:lang w:val="fr-FR"/>
        </w:rPr>
        <w:footnoteRef/>
      </w:r>
      <w:r w:rsidRPr="00A035A3">
        <w:rPr>
          <w:lang w:val="fr-FR"/>
        </w:rPr>
        <w:t xml:space="preserve"> </w:t>
      </w:r>
      <w:hyperlink r:id="rId2" w:history="1">
        <w:r w:rsidRPr="00A035A3">
          <w:rPr>
            <w:rStyle w:val="Lienhypertexte"/>
            <w:lang w:val="fr-FR"/>
          </w:rPr>
          <w:t>https://www.cbd.int/doc/notifications/2017/ntf-2017-094-abs-en.pdf</w:t>
        </w:r>
      </w:hyperlink>
      <w:r w:rsidRPr="00A035A3">
        <w:rPr>
          <w:lang w:val="fr-FR"/>
        </w:rPr>
        <w:t xml:space="preserve"> (en anglais).</w:t>
      </w:r>
    </w:p>
  </w:footnote>
  <w:footnote w:id="4">
    <w:p w:rsidR="00B773E0" w:rsidRPr="00634F88" w:rsidRDefault="00B773E0" w:rsidP="00EF647E">
      <w:pPr>
        <w:pStyle w:val="Notedebasdepage"/>
        <w:ind w:firstLine="0"/>
        <w:rPr>
          <w:lang w:val="en-CA"/>
        </w:rPr>
      </w:pPr>
      <w:r>
        <w:rPr>
          <w:rStyle w:val="Appelnotedebasdep"/>
        </w:rPr>
        <w:footnoteRef/>
      </w:r>
      <w:r>
        <w:t xml:space="preserve"> </w:t>
      </w:r>
      <w:hyperlink r:id="rId3" w:history="1">
        <w:r w:rsidRPr="001B0687">
          <w:rPr>
            <w:rStyle w:val="Lienhypertexte"/>
          </w:rPr>
          <w:t>https://www.cbd.int/abs/submissions-np-2-10/default.shtml</w:t>
        </w:r>
      </w:hyperlink>
      <w:r>
        <w:t xml:space="preserve">. </w:t>
      </w:r>
    </w:p>
  </w:footnote>
  <w:footnote w:id="5">
    <w:p w:rsidR="00B773E0" w:rsidRPr="002B69FD" w:rsidRDefault="00B773E0" w:rsidP="00520E47">
      <w:pPr>
        <w:pStyle w:val="Para1"/>
        <w:numPr>
          <w:ilvl w:val="0"/>
          <w:numId w:val="0"/>
        </w:numPr>
        <w:spacing w:before="0" w:after="60" w:line="228" w:lineRule="auto"/>
        <w:jc w:val="left"/>
        <w:rPr>
          <w:rFonts w:eastAsia="Calibri"/>
          <w:noProof/>
          <w:kern w:val="22"/>
          <w:lang w:val="fr-FR"/>
        </w:rPr>
      </w:pPr>
      <w:r w:rsidRPr="002B69FD">
        <w:rPr>
          <w:rStyle w:val="Appelnotedebasdep"/>
          <w:lang w:val="fr-FR"/>
        </w:rPr>
        <w:footnoteRef/>
      </w:r>
      <w:r w:rsidRPr="002B69FD">
        <w:rPr>
          <w:sz w:val="18"/>
          <w:lang w:val="fr-FR"/>
        </w:rPr>
        <w:t xml:space="preserve"> </w:t>
      </w:r>
      <w:r>
        <w:rPr>
          <w:sz w:val="18"/>
          <w:lang w:val="fr-FR"/>
        </w:rPr>
        <w:t>L’Afrique du Sud</w:t>
      </w:r>
      <w:r w:rsidRPr="002B69FD">
        <w:rPr>
          <w:sz w:val="18"/>
          <w:lang w:val="fr-FR"/>
        </w:rPr>
        <w:t>, l’</w:t>
      </w:r>
      <w:r>
        <w:rPr>
          <w:sz w:val="18"/>
          <w:lang w:val="fr-FR"/>
        </w:rPr>
        <w:t>Albanie, Antigua-et-</w:t>
      </w:r>
      <w:r w:rsidRPr="002B69FD">
        <w:rPr>
          <w:sz w:val="18"/>
          <w:lang w:val="fr-FR"/>
        </w:rPr>
        <w:t xml:space="preserve">Barbuda, </w:t>
      </w:r>
      <w:r>
        <w:rPr>
          <w:sz w:val="18"/>
          <w:lang w:val="fr-FR"/>
        </w:rPr>
        <w:t>le Bé</w:t>
      </w:r>
      <w:r w:rsidRPr="002B69FD">
        <w:rPr>
          <w:sz w:val="18"/>
          <w:lang w:val="fr-FR"/>
        </w:rPr>
        <w:t xml:space="preserve">nin, </w:t>
      </w:r>
      <w:r>
        <w:rPr>
          <w:sz w:val="18"/>
          <w:lang w:val="fr-FR"/>
        </w:rPr>
        <w:t xml:space="preserve">le </w:t>
      </w:r>
      <w:r w:rsidRPr="002B69FD">
        <w:rPr>
          <w:sz w:val="18"/>
          <w:lang w:val="fr-FR"/>
        </w:rPr>
        <w:t>Bh</w:t>
      </w:r>
      <w:r>
        <w:rPr>
          <w:sz w:val="18"/>
          <w:lang w:val="fr-FR"/>
        </w:rPr>
        <w:t>o</w:t>
      </w:r>
      <w:r w:rsidRPr="002B69FD">
        <w:rPr>
          <w:sz w:val="18"/>
          <w:lang w:val="fr-FR"/>
        </w:rPr>
        <w:t xml:space="preserve">utan, </w:t>
      </w:r>
      <w:r>
        <w:rPr>
          <w:sz w:val="18"/>
          <w:lang w:val="fr-FR"/>
        </w:rPr>
        <w:t xml:space="preserve">le </w:t>
      </w:r>
      <w:r w:rsidRPr="002B69FD">
        <w:rPr>
          <w:sz w:val="18"/>
          <w:lang w:val="fr-FR"/>
        </w:rPr>
        <w:t xml:space="preserve">Burkina Faso, </w:t>
      </w:r>
      <w:r>
        <w:rPr>
          <w:sz w:val="18"/>
          <w:lang w:val="fr-FR"/>
        </w:rPr>
        <w:t xml:space="preserve">le </w:t>
      </w:r>
      <w:r w:rsidRPr="002B69FD">
        <w:rPr>
          <w:sz w:val="18"/>
          <w:lang w:val="fr-FR"/>
        </w:rPr>
        <w:t xml:space="preserve">Burundi, </w:t>
      </w:r>
      <w:r>
        <w:rPr>
          <w:sz w:val="18"/>
          <w:lang w:val="fr-FR"/>
        </w:rPr>
        <w:t>l’É</w:t>
      </w:r>
      <w:r w:rsidRPr="002B69FD">
        <w:rPr>
          <w:sz w:val="18"/>
          <w:lang w:val="fr-FR"/>
        </w:rPr>
        <w:t>thiopi</w:t>
      </w:r>
      <w:r>
        <w:rPr>
          <w:sz w:val="18"/>
          <w:lang w:val="fr-FR"/>
        </w:rPr>
        <w:t>e</w:t>
      </w:r>
      <w:r w:rsidRPr="002B69FD">
        <w:rPr>
          <w:sz w:val="18"/>
          <w:lang w:val="fr-FR"/>
        </w:rPr>
        <w:t xml:space="preserve">, </w:t>
      </w:r>
      <w:r>
        <w:rPr>
          <w:sz w:val="18"/>
          <w:lang w:val="fr-FR"/>
        </w:rPr>
        <w:t xml:space="preserve">la </w:t>
      </w:r>
      <w:r w:rsidRPr="002B69FD">
        <w:rPr>
          <w:sz w:val="18"/>
          <w:lang w:val="fr-FR"/>
        </w:rPr>
        <w:t>Finland</w:t>
      </w:r>
      <w:r>
        <w:rPr>
          <w:sz w:val="18"/>
          <w:lang w:val="fr-FR"/>
        </w:rPr>
        <w:t>e</w:t>
      </w:r>
      <w:r w:rsidRPr="002B69FD">
        <w:rPr>
          <w:sz w:val="18"/>
          <w:lang w:val="fr-FR"/>
        </w:rPr>
        <w:t xml:space="preserve">, </w:t>
      </w:r>
      <w:r>
        <w:rPr>
          <w:sz w:val="18"/>
          <w:lang w:val="fr-FR"/>
        </w:rPr>
        <w:t xml:space="preserve">le </w:t>
      </w:r>
      <w:r w:rsidRPr="002B69FD">
        <w:rPr>
          <w:sz w:val="18"/>
          <w:lang w:val="fr-FR"/>
        </w:rPr>
        <w:t xml:space="preserve">Honduras, </w:t>
      </w:r>
      <w:r>
        <w:rPr>
          <w:sz w:val="18"/>
          <w:lang w:val="fr-FR"/>
        </w:rPr>
        <w:t>l’Inde</w:t>
      </w:r>
      <w:r w:rsidRPr="002B69FD">
        <w:rPr>
          <w:sz w:val="18"/>
          <w:lang w:val="fr-FR"/>
        </w:rPr>
        <w:t xml:space="preserve">, </w:t>
      </w:r>
      <w:r>
        <w:rPr>
          <w:sz w:val="18"/>
          <w:lang w:val="fr-FR"/>
        </w:rPr>
        <w:t>l’Indoné</w:t>
      </w:r>
      <w:r w:rsidRPr="002B69FD">
        <w:rPr>
          <w:sz w:val="18"/>
          <w:lang w:val="fr-FR"/>
        </w:rPr>
        <w:t>si</w:t>
      </w:r>
      <w:r>
        <w:rPr>
          <w:sz w:val="18"/>
          <w:lang w:val="fr-FR"/>
        </w:rPr>
        <w:t>e</w:t>
      </w:r>
      <w:r w:rsidRPr="002B69FD">
        <w:rPr>
          <w:sz w:val="18"/>
          <w:lang w:val="fr-FR"/>
        </w:rPr>
        <w:t xml:space="preserve">, </w:t>
      </w:r>
      <w:r>
        <w:rPr>
          <w:sz w:val="18"/>
          <w:lang w:val="fr-FR"/>
        </w:rPr>
        <w:t>le Japo</w:t>
      </w:r>
      <w:r w:rsidRPr="002B69FD">
        <w:rPr>
          <w:sz w:val="18"/>
          <w:lang w:val="fr-FR"/>
        </w:rPr>
        <w:t xml:space="preserve">n, </w:t>
      </w:r>
      <w:r>
        <w:rPr>
          <w:sz w:val="18"/>
          <w:lang w:val="fr-FR"/>
        </w:rPr>
        <w:t xml:space="preserve">le </w:t>
      </w:r>
      <w:r w:rsidRPr="002B69FD">
        <w:rPr>
          <w:sz w:val="18"/>
          <w:lang w:val="fr-FR"/>
        </w:rPr>
        <w:t xml:space="preserve">Kenya, </w:t>
      </w:r>
      <w:r>
        <w:rPr>
          <w:sz w:val="18"/>
          <w:lang w:val="fr-FR"/>
        </w:rPr>
        <w:t>le Kirghizistan</w:t>
      </w:r>
      <w:r w:rsidRPr="002B69FD">
        <w:rPr>
          <w:sz w:val="18"/>
          <w:lang w:val="fr-FR"/>
        </w:rPr>
        <w:t xml:space="preserve">, Madagascar, </w:t>
      </w:r>
      <w:r>
        <w:rPr>
          <w:sz w:val="18"/>
          <w:lang w:val="fr-FR"/>
        </w:rPr>
        <w:t>le Malawi, Malte</w:t>
      </w:r>
      <w:r w:rsidRPr="002B69FD">
        <w:rPr>
          <w:sz w:val="18"/>
          <w:lang w:val="fr-FR"/>
        </w:rPr>
        <w:t xml:space="preserve">, </w:t>
      </w:r>
      <w:r>
        <w:rPr>
          <w:sz w:val="18"/>
          <w:lang w:val="fr-FR"/>
        </w:rPr>
        <w:t>la Norvège</w:t>
      </w:r>
      <w:r w:rsidRPr="002B69FD">
        <w:rPr>
          <w:sz w:val="18"/>
          <w:lang w:val="fr-FR"/>
        </w:rPr>
        <w:t xml:space="preserve">, </w:t>
      </w:r>
      <w:r>
        <w:rPr>
          <w:sz w:val="18"/>
          <w:lang w:val="fr-FR"/>
        </w:rPr>
        <w:t xml:space="preserve">le </w:t>
      </w:r>
      <w:r w:rsidRPr="002B69FD">
        <w:rPr>
          <w:sz w:val="18"/>
          <w:lang w:val="fr-FR"/>
        </w:rPr>
        <w:t xml:space="preserve">Panama, </w:t>
      </w:r>
      <w:r>
        <w:rPr>
          <w:sz w:val="18"/>
          <w:lang w:val="fr-FR"/>
        </w:rPr>
        <w:t>les Pays-Bas</w:t>
      </w:r>
      <w:r w:rsidRPr="002B69FD">
        <w:rPr>
          <w:sz w:val="18"/>
          <w:lang w:val="fr-FR"/>
        </w:rPr>
        <w:t xml:space="preserve">, </w:t>
      </w:r>
      <w:r>
        <w:rPr>
          <w:sz w:val="18"/>
          <w:lang w:val="fr-FR"/>
        </w:rPr>
        <w:t>le Pérou</w:t>
      </w:r>
      <w:r w:rsidRPr="002B69FD">
        <w:rPr>
          <w:sz w:val="18"/>
          <w:lang w:val="fr-FR"/>
        </w:rPr>
        <w:t xml:space="preserve">, </w:t>
      </w:r>
      <w:r>
        <w:rPr>
          <w:sz w:val="18"/>
          <w:lang w:val="fr-FR"/>
        </w:rPr>
        <w:t>la République démocratique du Congo, la République démocratique populaire lao</w:t>
      </w:r>
      <w:r w:rsidRPr="002B69FD">
        <w:rPr>
          <w:sz w:val="18"/>
          <w:lang w:val="fr-FR"/>
        </w:rPr>
        <w:t xml:space="preserve">, </w:t>
      </w:r>
      <w:r>
        <w:rPr>
          <w:sz w:val="18"/>
          <w:lang w:val="fr-FR"/>
        </w:rPr>
        <w:t>le Swaziland et la Suisse.</w:t>
      </w:r>
    </w:p>
  </w:footnote>
  <w:footnote w:id="6">
    <w:p w:rsidR="00B773E0" w:rsidRPr="002B69FD" w:rsidRDefault="00B773E0" w:rsidP="00520E47">
      <w:pPr>
        <w:pStyle w:val="Notedebasdepage"/>
        <w:ind w:firstLine="0"/>
        <w:rPr>
          <w:lang w:val="fr-FR"/>
        </w:rPr>
      </w:pPr>
      <w:r w:rsidRPr="002B69FD">
        <w:rPr>
          <w:rStyle w:val="Appelnotedebasdep"/>
          <w:lang w:val="fr-FR"/>
        </w:rPr>
        <w:footnoteRef/>
      </w:r>
      <w:r w:rsidRPr="002B69FD">
        <w:rPr>
          <w:lang w:val="fr-FR"/>
        </w:rPr>
        <w:t xml:space="preserve"> </w:t>
      </w:r>
      <w:r>
        <w:rPr>
          <w:lang w:val="fr-FR"/>
        </w:rPr>
        <w:t xml:space="preserve">Le </w:t>
      </w:r>
      <w:r w:rsidRPr="002B69FD">
        <w:rPr>
          <w:lang w:val="fr-FR"/>
        </w:rPr>
        <w:t xml:space="preserve">Kenya, </w:t>
      </w:r>
      <w:r>
        <w:rPr>
          <w:lang w:val="fr-FR"/>
        </w:rPr>
        <w:t>le Kirghizistan</w:t>
      </w:r>
      <w:r w:rsidRPr="002B69FD">
        <w:rPr>
          <w:lang w:val="fr-FR"/>
        </w:rPr>
        <w:t xml:space="preserve">, Madagascar, </w:t>
      </w:r>
      <w:r>
        <w:rPr>
          <w:lang w:val="fr-FR"/>
        </w:rPr>
        <w:t>la Norvège</w:t>
      </w:r>
      <w:r w:rsidRPr="002B69FD">
        <w:rPr>
          <w:lang w:val="fr-FR"/>
        </w:rPr>
        <w:t xml:space="preserve">, </w:t>
      </w:r>
      <w:r>
        <w:rPr>
          <w:lang w:val="fr-FR"/>
        </w:rPr>
        <w:t>le Pérou et la République démocratique populaire lao.</w:t>
      </w:r>
    </w:p>
  </w:footnote>
  <w:footnote w:id="7">
    <w:p w:rsidR="00B773E0" w:rsidRPr="002B69FD" w:rsidRDefault="00B773E0" w:rsidP="002F5B80">
      <w:pPr>
        <w:pStyle w:val="Notedebasdepage"/>
        <w:ind w:firstLine="0"/>
        <w:rPr>
          <w:lang w:val="fr-FR"/>
        </w:rPr>
      </w:pPr>
      <w:r w:rsidRPr="002B69FD">
        <w:rPr>
          <w:rStyle w:val="Appelnotedebasdep"/>
          <w:lang w:val="fr-FR"/>
        </w:rPr>
        <w:footnoteRef/>
      </w:r>
      <w:r w:rsidRPr="002B69FD">
        <w:rPr>
          <w:lang w:val="fr-FR"/>
        </w:rPr>
        <w:t xml:space="preserve"> </w:t>
      </w:r>
      <w:r>
        <w:rPr>
          <w:lang w:val="fr-FR"/>
        </w:rPr>
        <w:t>L’Albanie</w:t>
      </w:r>
      <w:r w:rsidRPr="002B69FD">
        <w:rPr>
          <w:lang w:val="fr-FR"/>
        </w:rPr>
        <w:t xml:space="preserve">, </w:t>
      </w:r>
      <w:r>
        <w:rPr>
          <w:lang w:val="fr-FR"/>
        </w:rPr>
        <w:t xml:space="preserve">le </w:t>
      </w:r>
      <w:r w:rsidRPr="002B69FD">
        <w:rPr>
          <w:lang w:val="fr-FR"/>
        </w:rPr>
        <w:t>Burundi</w:t>
      </w:r>
      <w:r>
        <w:rPr>
          <w:lang w:val="fr-FR"/>
        </w:rPr>
        <w:t xml:space="preserve"> et le Maroc.</w:t>
      </w:r>
      <w:r w:rsidRPr="002B69FD">
        <w:rPr>
          <w:lang w:val="fr-FR"/>
        </w:rPr>
        <w:t xml:space="preserve"> </w:t>
      </w:r>
    </w:p>
  </w:footnote>
  <w:footnote w:id="8">
    <w:p w:rsidR="00B773E0" w:rsidRPr="002B69FD" w:rsidRDefault="00B773E0" w:rsidP="007F4DB1">
      <w:pPr>
        <w:pStyle w:val="Notedebasdepage"/>
        <w:ind w:firstLine="0"/>
        <w:rPr>
          <w:lang w:val="fr-FR"/>
        </w:rPr>
      </w:pPr>
      <w:r w:rsidRPr="002B69FD">
        <w:rPr>
          <w:rStyle w:val="Appelnotedebasdep"/>
          <w:lang w:val="fr-FR"/>
        </w:rPr>
        <w:footnoteRef/>
      </w:r>
      <w:r w:rsidRPr="002B69FD">
        <w:rPr>
          <w:lang w:val="fr-FR"/>
        </w:rPr>
        <w:t xml:space="preserve"> </w:t>
      </w:r>
      <w:r>
        <w:rPr>
          <w:lang w:val="fr-FR"/>
        </w:rPr>
        <w:t>La Bulgarie et le Rwanda.</w:t>
      </w:r>
    </w:p>
  </w:footnote>
  <w:footnote w:id="9">
    <w:p w:rsidR="00B773E0" w:rsidRPr="002B69FD" w:rsidRDefault="00B773E0" w:rsidP="007F4DB1">
      <w:pPr>
        <w:pStyle w:val="Notedebasdepage"/>
        <w:ind w:firstLine="0"/>
        <w:rPr>
          <w:lang w:val="fr-FR"/>
        </w:rPr>
      </w:pPr>
      <w:r w:rsidRPr="002B69FD">
        <w:rPr>
          <w:rStyle w:val="Appelnotedebasdep"/>
          <w:lang w:val="fr-FR"/>
        </w:rPr>
        <w:footnoteRef/>
      </w:r>
      <w:r w:rsidRPr="002B69FD">
        <w:rPr>
          <w:lang w:val="fr-FR"/>
        </w:rPr>
        <w:t xml:space="preserve"> </w:t>
      </w:r>
      <w:r>
        <w:rPr>
          <w:lang w:val="fr-FR"/>
        </w:rPr>
        <w:t>La Chine.</w:t>
      </w:r>
    </w:p>
  </w:footnote>
  <w:footnote w:id="10">
    <w:p w:rsidR="00B773E0" w:rsidRPr="002B69FD" w:rsidRDefault="00B773E0" w:rsidP="00520E47">
      <w:pPr>
        <w:pStyle w:val="Notedebasdepage"/>
        <w:ind w:firstLine="0"/>
        <w:rPr>
          <w:lang w:val="fr-FR"/>
        </w:rPr>
      </w:pPr>
      <w:r w:rsidRPr="002B69FD">
        <w:rPr>
          <w:rStyle w:val="Appelnotedebasdep"/>
          <w:lang w:val="fr-FR"/>
        </w:rPr>
        <w:footnoteRef/>
      </w:r>
      <w:r w:rsidRPr="002B69FD">
        <w:rPr>
          <w:lang w:val="fr-FR"/>
        </w:rPr>
        <w:t xml:space="preserve"> Cuba</w:t>
      </w:r>
      <w:r>
        <w:rPr>
          <w:lang w:val="fr-FR"/>
        </w:rPr>
        <w:t>.</w:t>
      </w:r>
    </w:p>
  </w:footnote>
  <w:footnote w:id="11">
    <w:p w:rsidR="00B773E0" w:rsidRPr="002B69FD" w:rsidRDefault="00B773E0" w:rsidP="00520E47">
      <w:pPr>
        <w:pStyle w:val="Notedebasdepage"/>
        <w:ind w:firstLine="0"/>
        <w:rPr>
          <w:lang w:val="fr-FR"/>
        </w:rPr>
      </w:pPr>
      <w:r w:rsidRPr="002B69FD">
        <w:rPr>
          <w:rStyle w:val="Appelnotedebasdep"/>
          <w:lang w:val="fr-FR"/>
        </w:rPr>
        <w:footnoteRef/>
      </w:r>
      <w:r w:rsidRPr="002B69FD">
        <w:rPr>
          <w:lang w:val="fr-FR"/>
        </w:rPr>
        <w:t xml:space="preserve"> </w:t>
      </w:r>
      <w:r>
        <w:rPr>
          <w:lang w:val="fr-FR"/>
        </w:rPr>
        <w:t xml:space="preserve">Le </w:t>
      </w:r>
      <w:proofErr w:type="spellStart"/>
      <w:r>
        <w:rPr>
          <w:lang w:val="fr-FR"/>
        </w:rPr>
        <w:t>Bé</w:t>
      </w:r>
      <w:r w:rsidRPr="002B69FD">
        <w:rPr>
          <w:lang w:val="fr-FR"/>
        </w:rPr>
        <w:t>larus</w:t>
      </w:r>
      <w:proofErr w:type="spellEnd"/>
      <w:r w:rsidRPr="002B69FD">
        <w:rPr>
          <w:lang w:val="fr-FR"/>
        </w:rPr>
        <w:t xml:space="preserve">, </w:t>
      </w:r>
      <w:r>
        <w:rPr>
          <w:lang w:val="fr-FR"/>
        </w:rPr>
        <w:t xml:space="preserve">le </w:t>
      </w:r>
      <w:r w:rsidRPr="002B69FD">
        <w:rPr>
          <w:lang w:val="fr-FR"/>
        </w:rPr>
        <w:t>Botswana,</w:t>
      </w:r>
      <w:r>
        <w:rPr>
          <w:lang w:val="fr-FR"/>
        </w:rPr>
        <w:t xml:space="preserve"> le Camerou</w:t>
      </w:r>
      <w:r w:rsidRPr="002B69FD">
        <w:rPr>
          <w:lang w:val="fr-FR"/>
        </w:rPr>
        <w:t xml:space="preserve">n, </w:t>
      </w:r>
      <w:r>
        <w:rPr>
          <w:lang w:val="fr-FR"/>
        </w:rPr>
        <w:t>la Chine</w:t>
      </w:r>
      <w:r w:rsidRPr="002B69FD">
        <w:rPr>
          <w:lang w:val="fr-FR"/>
        </w:rPr>
        <w:t xml:space="preserve">, </w:t>
      </w:r>
      <w:r>
        <w:rPr>
          <w:lang w:val="fr-FR"/>
        </w:rPr>
        <w:t>les Comore</w:t>
      </w:r>
      <w:r w:rsidRPr="002B69FD">
        <w:rPr>
          <w:lang w:val="fr-FR"/>
        </w:rPr>
        <w:t xml:space="preserve">s, </w:t>
      </w:r>
      <w:r>
        <w:rPr>
          <w:lang w:val="fr-FR"/>
        </w:rPr>
        <w:t>la Guinée-</w:t>
      </w:r>
      <w:r w:rsidRPr="002B69FD">
        <w:rPr>
          <w:lang w:val="fr-FR"/>
        </w:rPr>
        <w:t xml:space="preserve">Bissau, </w:t>
      </w:r>
      <w:r>
        <w:rPr>
          <w:lang w:val="fr-FR"/>
        </w:rPr>
        <w:t xml:space="preserve">le </w:t>
      </w:r>
      <w:r w:rsidRPr="002B69FD">
        <w:rPr>
          <w:lang w:val="fr-FR"/>
        </w:rPr>
        <w:t xml:space="preserve">Kazakhstan, </w:t>
      </w:r>
      <w:r>
        <w:rPr>
          <w:lang w:val="fr-FR"/>
        </w:rPr>
        <w:t>le Mexique</w:t>
      </w:r>
      <w:r w:rsidRPr="002B69FD">
        <w:rPr>
          <w:lang w:val="fr-FR"/>
        </w:rPr>
        <w:t xml:space="preserve">, </w:t>
      </w:r>
      <w:r>
        <w:rPr>
          <w:lang w:val="fr-FR"/>
        </w:rPr>
        <w:t>la Mongolie</w:t>
      </w:r>
      <w:r w:rsidRPr="002B69FD">
        <w:rPr>
          <w:lang w:val="fr-FR"/>
        </w:rPr>
        <w:t xml:space="preserve">, </w:t>
      </w:r>
      <w:r>
        <w:rPr>
          <w:lang w:val="fr-FR"/>
        </w:rPr>
        <w:t xml:space="preserve">le </w:t>
      </w:r>
      <w:r w:rsidRPr="002B69FD">
        <w:rPr>
          <w:lang w:val="fr-FR"/>
        </w:rPr>
        <w:t xml:space="preserve">Niger, </w:t>
      </w:r>
      <w:r>
        <w:rPr>
          <w:lang w:val="fr-FR"/>
        </w:rPr>
        <w:t>le Pakistan, Sao Tomé-et-P</w:t>
      </w:r>
      <w:r w:rsidRPr="002B69FD">
        <w:rPr>
          <w:lang w:val="fr-FR"/>
        </w:rPr>
        <w:t xml:space="preserve">rincipe, </w:t>
      </w:r>
      <w:r>
        <w:rPr>
          <w:lang w:val="fr-FR"/>
        </w:rPr>
        <w:t>le Séné</w:t>
      </w:r>
      <w:r w:rsidRPr="002B69FD">
        <w:rPr>
          <w:lang w:val="fr-FR"/>
        </w:rPr>
        <w:t xml:space="preserve">gal, </w:t>
      </w:r>
      <w:r>
        <w:rPr>
          <w:lang w:val="fr-FR"/>
        </w:rPr>
        <w:t xml:space="preserve">le </w:t>
      </w:r>
      <w:r w:rsidRPr="002B69FD">
        <w:rPr>
          <w:lang w:val="fr-FR"/>
        </w:rPr>
        <w:t>S</w:t>
      </w:r>
      <w:r>
        <w:rPr>
          <w:lang w:val="fr-FR"/>
        </w:rPr>
        <w:t>oudan et l’</w:t>
      </w:r>
      <w:r w:rsidRPr="002B69FD">
        <w:rPr>
          <w:lang w:val="fr-FR"/>
        </w:rPr>
        <w:t>Uruguay.</w:t>
      </w:r>
    </w:p>
  </w:footnote>
  <w:footnote w:id="12">
    <w:p w:rsidR="00B773E0" w:rsidRPr="00417993" w:rsidRDefault="00B773E0" w:rsidP="002F5B80">
      <w:pPr>
        <w:pStyle w:val="Notedebasdepage"/>
        <w:ind w:firstLine="0"/>
        <w:rPr>
          <w:lang w:val="fr-FR"/>
        </w:rPr>
      </w:pPr>
      <w:r w:rsidRPr="00417993">
        <w:rPr>
          <w:rStyle w:val="Appelnotedebasdep"/>
          <w:lang w:val="fr-FR"/>
        </w:rPr>
        <w:footnoteRef/>
      </w:r>
      <w:r w:rsidRPr="00417993">
        <w:rPr>
          <w:lang w:val="fr-FR"/>
        </w:rPr>
        <w:t xml:space="preserve"> </w:t>
      </w:r>
      <w:r>
        <w:rPr>
          <w:lang w:val="fr-FR"/>
        </w:rPr>
        <w:t>Le Pé</w:t>
      </w:r>
      <w:r w:rsidRPr="00417993">
        <w:rPr>
          <w:lang w:val="fr-FR"/>
        </w:rPr>
        <w:t>r</w:t>
      </w:r>
      <w:r>
        <w:rPr>
          <w:lang w:val="fr-FR"/>
        </w:rPr>
        <w:t>ou.</w:t>
      </w:r>
    </w:p>
  </w:footnote>
  <w:footnote w:id="13">
    <w:p w:rsidR="00B773E0" w:rsidRPr="00417993" w:rsidRDefault="00B773E0" w:rsidP="00520E47">
      <w:pPr>
        <w:pStyle w:val="Notedebasdepage"/>
        <w:ind w:firstLine="0"/>
        <w:rPr>
          <w:rStyle w:val="Appelnotedebasdep"/>
          <w:lang w:val="fr-FR"/>
        </w:rPr>
      </w:pPr>
      <w:r w:rsidRPr="00417993">
        <w:rPr>
          <w:rStyle w:val="Appelnotedebasdep"/>
          <w:lang w:val="fr-FR"/>
        </w:rPr>
        <w:footnoteRef/>
      </w:r>
      <w:r w:rsidRPr="00417993">
        <w:rPr>
          <w:rStyle w:val="Appelnotedebasdep"/>
          <w:lang w:val="fr-FR"/>
        </w:rPr>
        <w:t xml:space="preserve"> </w:t>
      </w:r>
      <w:r>
        <w:rPr>
          <w:lang w:val="fr-FR"/>
        </w:rPr>
        <w:t>Le Bé</w:t>
      </w:r>
      <w:r w:rsidRPr="00417993">
        <w:rPr>
          <w:lang w:val="fr-FR"/>
        </w:rPr>
        <w:t xml:space="preserve">nin, </w:t>
      </w:r>
      <w:r>
        <w:rPr>
          <w:lang w:val="fr-FR"/>
        </w:rPr>
        <w:t xml:space="preserve">le </w:t>
      </w:r>
      <w:r w:rsidRPr="00417993">
        <w:rPr>
          <w:lang w:val="fr-FR"/>
        </w:rPr>
        <w:t>Bh</w:t>
      </w:r>
      <w:r>
        <w:rPr>
          <w:lang w:val="fr-FR"/>
        </w:rPr>
        <w:t>o</w:t>
      </w:r>
      <w:r w:rsidRPr="00417993">
        <w:rPr>
          <w:lang w:val="fr-FR"/>
        </w:rPr>
        <w:t xml:space="preserve">utan, </w:t>
      </w:r>
      <w:r>
        <w:rPr>
          <w:lang w:val="fr-FR"/>
        </w:rPr>
        <w:t>la Mauritanie, la République démocratique populaire lao</w:t>
      </w:r>
      <w:r w:rsidRPr="00417993">
        <w:rPr>
          <w:lang w:val="fr-FR"/>
        </w:rPr>
        <w:t xml:space="preserve"> </w:t>
      </w:r>
      <w:r>
        <w:rPr>
          <w:lang w:val="fr-FR"/>
        </w:rPr>
        <w:t>et Sao Tomé-et-</w:t>
      </w:r>
      <w:r w:rsidRPr="00417993">
        <w:rPr>
          <w:lang w:val="fr-FR"/>
        </w:rPr>
        <w:t xml:space="preserve"> Principe</w:t>
      </w:r>
      <w:r>
        <w:rPr>
          <w:lang w:val="fr-FR"/>
        </w:rPr>
        <w:t>.</w:t>
      </w:r>
    </w:p>
  </w:footnote>
  <w:footnote w:id="14">
    <w:p w:rsidR="00B773E0" w:rsidRPr="00417993" w:rsidRDefault="00B773E0" w:rsidP="00520E47">
      <w:pPr>
        <w:pStyle w:val="Notedebasdepage"/>
        <w:ind w:firstLine="0"/>
        <w:rPr>
          <w:rStyle w:val="Appelnotedebasdep"/>
          <w:lang w:val="fr-FR"/>
        </w:rPr>
      </w:pPr>
      <w:r w:rsidRPr="00417993">
        <w:rPr>
          <w:rStyle w:val="Appelnotedebasdep"/>
          <w:lang w:val="fr-FR"/>
        </w:rPr>
        <w:footnoteRef/>
      </w:r>
      <w:r w:rsidRPr="00417993">
        <w:rPr>
          <w:rStyle w:val="Appelnotedebasdep"/>
          <w:lang w:val="fr-FR"/>
        </w:rPr>
        <w:t xml:space="preserve"> </w:t>
      </w:r>
      <w:r>
        <w:rPr>
          <w:lang w:val="fr-FR"/>
        </w:rPr>
        <w:t>L’Albanie et le Bénin.</w:t>
      </w:r>
    </w:p>
  </w:footnote>
  <w:footnote w:id="15">
    <w:p w:rsidR="00B773E0" w:rsidRPr="00417993" w:rsidRDefault="00B773E0" w:rsidP="00520E47">
      <w:pPr>
        <w:pStyle w:val="Notedebasdepage"/>
        <w:ind w:firstLine="0"/>
        <w:rPr>
          <w:lang w:val="fr-FR"/>
        </w:rPr>
      </w:pPr>
      <w:r w:rsidRPr="00417993">
        <w:rPr>
          <w:rStyle w:val="Appelnotedebasdep"/>
          <w:lang w:val="fr-FR"/>
        </w:rPr>
        <w:footnoteRef/>
      </w:r>
      <w:r w:rsidRPr="00417993">
        <w:rPr>
          <w:lang w:val="fr-FR"/>
        </w:rPr>
        <w:t xml:space="preserve"> </w:t>
      </w:r>
      <w:r>
        <w:rPr>
          <w:lang w:val="fr-FR"/>
        </w:rPr>
        <w:t>La République démocratique populaire lao.</w:t>
      </w:r>
    </w:p>
  </w:footnote>
  <w:footnote w:id="16">
    <w:p w:rsidR="00B773E0" w:rsidRPr="00417993" w:rsidRDefault="00B773E0" w:rsidP="00520E47">
      <w:pPr>
        <w:pStyle w:val="Notedebasdepage"/>
        <w:ind w:firstLine="0"/>
        <w:rPr>
          <w:lang w:val="fr-FR"/>
        </w:rPr>
      </w:pPr>
      <w:r w:rsidRPr="00417993">
        <w:rPr>
          <w:rStyle w:val="Appelnotedebasdep"/>
          <w:lang w:val="fr-FR"/>
        </w:rPr>
        <w:footnoteRef/>
      </w:r>
      <w:r w:rsidRPr="00417993">
        <w:rPr>
          <w:lang w:val="fr-FR"/>
        </w:rPr>
        <w:t xml:space="preserve"> </w:t>
      </w:r>
      <w:r>
        <w:rPr>
          <w:lang w:val="fr-FR"/>
        </w:rPr>
        <w:t>Le Bénin.</w:t>
      </w:r>
    </w:p>
  </w:footnote>
  <w:footnote w:id="17">
    <w:p w:rsidR="00B773E0" w:rsidRPr="00417993" w:rsidRDefault="00B773E0" w:rsidP="00520E47">
      <w:pPr>
        <w:pStyle w:val="Notedebasdepage"/>
        <w:ind w:firstLine="0"/>
        <w:rPr>
          <w:lang w:val="fr-FR"/>
        </w:rPr>
      </w:pPr>
      <w:r w:rsidRPr="00417993">
        <w:rPr>
          <w:rStyle w:val="Appelnotedebasdep"/>
          <w:lang w:val="fr-FR"/>
        </w:rPr>
        <w:footnoteRef/>
      </w:r>
      <w:r w:rsidRPr="00417993">
        <w:rPr>
          <w:lang w:val="fr-FR"/>
        </w:rPr>
        <w:t xml:space="preserve"> </w:t>
      </w:r>
      <w:r>
        <w:rPr>
          <w:lang w:val="fr-FR"/>
        </w:rPr>
        <w:t>La Guinée-Bissau.</w:t>
      </w:r>
    </w:p>
  </w:footnote>
  <w:footnote w:id="18">
    <w:p w:rsidR="00B773E0" w:rsidRPr="00417993" w:rsidRDefault="00B773E0" w:rsidP="00520E47">
      <w:pPr>
        <w:pStyle w:val="Notedebasdepage"/>
        <w:ind w:firstLine="0"/>
        <w:rPr>
          <w:lang w:val="fr-FR"/>
        </w:rPr>
      </w:pPr>
      <w:r w:rsidRPr="00417993">
        <w:rPr>
          <w:rStyle w:val="Appelnotedebasdep"/>
          <w:lang w:val="fr-FR"/>
        </w:rPr>
        <w:footnoteRef/>
      </w:r>
      <w:r w:rsidRPr="00417993">
        <w:rPr>
          <w:lang w:val="fr-FR"/>
        </w:rPr>
        <w:t xml:space="preserve"> Le Bé</w:t>
      </w:r>
      <w:r>
        <w:rPr>
          <w:lang w:val="fr-FR"/>
        </w:rPr>
        <w:t>nin.</w:t>
      </w:r>
    </w:p>
  </w:footnote>
  <w:footnote w:id="19">
    <w:p w:rsidR="00B773E0" w:rsidRPr="00417993" w:rsidRDefault="00B773E0" w:rsidP="00520E47">
      <w:pPr>
        <w:pStyle w:val="Notedebasdepage"/>
        <w:ind w:firstLine="0"/>
        <w:rPr>
          <w:lang w:val="fr-FR"/>
        </w:rPr>
      </w:pPr>
      <w:r w:rsidRPr="00417993">
        <w:rPr>
          <w:rStyle w:val="Appelnotedebasdep"/>
          <w:lang w:val="fr-FR"/>
        </w:rPr>
        <w:footnoteRef/>
      </w:r>
      <w:r w:rsidRPr="00417993">
        <w:rPr>
          <w:lang w:val="fr-FR"/>
        </w:rPr>
        <w:t xml:space="preserve"> </w:t>
      </w:r>
      <w:r>
        <w:rPr>
          <w:lang w:val="fr-FR"/>
        </w:rPr>
        <w:t>L’Afrique du Sud et Cuba.</w:t>
      </w:r>
    </w:p>
  </w:footnote>
  <w:footnote w:id="20">
    <w:p w:rsidR="00B773E0" w:rsidRPr="00417993" w:rsidRDefault="00B773E0" w:rsidP="00520E47">
      <w:pPr>
        <w:pStyle w:val="Notedebasdepage"/>
        <w:ind w:firstLine="0"/>
        <w:rPr>
          <w:lang w:val="fr-FR"/>
        </w:rPr>
      </w:pPr>
      <w:r w:rsidRPr="00417993">
        <w:rPr>
          <w:rStyle w:val="Appelnotedebasdep"/>
          <w:lang w:val="fr-FR"/>
        </w:rPr>
        <w:footnoteRef/>
      </w:r>
      <w:r>
        <w:rPr>
          <w:lang w:val="fr-FR"/>
        </w:rPr>
        <w:t xml:space="preserve"> Cuba.</w:t>
      </w:r>
    </w:p>
  </w:footnote>
  <w:footnote w:id="21">
    <w:p w:rsidR="00B773E0" w:rsidRPr="00417993" w:rsidRDefault="00B773E0" w:rsidP="00520E47">
      <w:pPr>
        <w:pStyle w:val="Notedebasdepage"/>
        <w:ind w:firstLine="0"/>
        <w:rPr>
          <w:lang w:val="fr-FR"/>
        </w:rPr>
      </w:pPr>
      <w:r w:rsidRPr="00417993">
        <w:rPr>
          <w:rStyle w:val="Appelnotedebasdep"/>
          <w:lang w:val="fr-FR"/>
        </w:rPr>
        <w:footnoteRef/>
      </w:r>
      <w:r w:rsidRPr="00417993">
        <w:rPr>
          <w:lang w:val="fr-FR"/>
        </w:rPr>
        <w:t xml:space="preserve"> </w:t>
      </w:r>
      <w:r>
        <w:rPr>
          <w:lang w:val="fr-FR"/>
        </w:rPr>
        <w:t>Le</w:t>
      </w:r>
      <w:r w:rsidRPr="00417993">
        <w:rPr>
          <w:lang w:val="fr-FR"/>
        </w:rPr>
        <w:t xml:space="preserve"> Venezuela (</w:t>
      </w:r>
      <w:r>
        <w:rPr>
          <w:lang w:val="fr-FR"/>
        </w:rPr>
        <w:t>République bolivarienne du</w:t>
      </w:r>
      <w:r w:rsidRPr="00417993">
        <w:rPr>
          <w:lang w:val="fr-FR"/>
        </w:rPr>
        <w:t>)</w:t>
      </w:r>
      <w:r>
        <w:rPr>
          <w:lang w:val="fr-FR"/>
        </w:rPr>
        <w:t>.</w:t>
      </w:r>
    </w:p>
  </w:footnote>
  <w:footnote w:id="22">
    <w:p w:rsidR="00B773E0" w:rsidRPr="00417993" w:rsidRDefault="00B773E0" w:rsidP="001430CF">
      <w:pPr>
        <w:pStyle w:val="Notedebasdepage"/>
        <w:ind w:firstLine="0"/>
        <w:rPr>
          <w:lang w:val="fr-FR"/>
        </w:rPr>
      </w:pPr>
      <w:r w:rsidRPr="00417993">
        <w:rPr>
          <w:rStyle w:val="Appelnotedebasdep"/>
          <w:lang w:val="fr-FR"/>
        </w:rPr>
        <w:footnoteRef/>
      </w:r>
      <w:r w:rsidRPr="00417993">
        <w:rPr>
          <w:lang w:val="fr-FR"/>
        </w:rPr>
        <w:t xml:space="preserve"> </w:t>
      </w:r>
      <w:r>
        <w:rPr>
          <w:lang w:val="fr-FR"/>
        </w:rPr>
        <w:t>L’Allemagne</w:t>
      </w:r>
      <w:r w:rsidRPr="00417993">
        <w:rPr>
          <w:lang w:val="fr-FR"/>
        </w:rPr>
        <w:t>,</w:t>
      </w:r>
      <w:r>
        <w:rPr>
          <w:lang w:val="fr-FR"/>
        </w:rPr>
        <w:t xml:space="preserve"> Antigua-et-</w:t>
      </w:r>
      <w:r w:rsidRPr="00417993">
        <w:rPr>
          <w:lang w:val="fr-FR"/>
        </w:rPr>
        <w:t xml:space="preserve">Barbuda </w:t>
      </w:r>
      <w:r>
        <w:rPr>
          <w:lang w:val="fr-FR"/>
        </w:rPr>
        <w:t>la Belgique</w:t>
      </w:r>
      <w:r w:rsidRPr="00417993">
        <w:rPr>
          <w:lang w:val="fr-FR"/>
        </w:rPr>
        <w:t xml:space="preserve">, </w:t>
      </w:r>
      <w:r>
        <w:rPr>
          <w:lang w:val="fr-FR"/>
        </w:rPr>
        <w:t>la Bulgarie</w:t>
      </w:r>
      <w:r w:rsidRPr="00417993">
        <w:rPr>
          <w:lang w:val="fr-FR"/>
        </w:rPr>
        <w:t xml:space="preserve">, </w:t>
      </w:r>
      <w:r>
        <w:rPr>
          <w:lang w:val="fr-FR"/>
        </w:rPr>
        <w:t>le Da</w:t>
      </w:r>
      <w:r w:rsidRPr="00417993">
        <w:rPr>
          <w:lang w:val="fr-FR"/>
        </w:rPr>
        <w:t>n</w:t>
      </w:r>
      <w:r>
        <w:rPr>
          <w:lang w:val="fr-FR"/>
        </w:rPr>
        <w:t>e</w:t>
      </w:r>
      <w:r w:rsidRPr="00417993">
        <w:rPr>
          <w:lang w:val="fr-FR"/>
        </w:rPr>
        <w:t xml:space="preserve">mark, </w:t>
      </w:r>
      <w:r>
        <w:rPr>
          <w:lang w:val="fr-FR"/>
        </w:rPr>
        <w:t>l’Espagne</w:t>
      </w:r>
      <w:r w:rsidRPr="00417993">
        <w:rPr>
          <w:lang w:val="fr-FR"/>
        </w:rPr>
        <w:t xml:space="preserve">, </w:t>
      </w:r>
      <w:r>
        <w:rPr>
          <w:lang w:val="fr-FR"/>
        </w:rPr>
        <w:t>l’Estonie</w:t>
      </w:r>
      <w:r w:rsidRPr="00417993">
        <w:rPr>
          <w:lang w:val="fr-FR"/>
        </w:rPr>
        <w:t xml:space="preserve">, </w:t>
      </w:r>
      <w:r>
        <w:rPr>
          <w:lang w:val="fr-FR"/>
        </w:rPr>
        <w:t xml:space="preserve">la </w:t>
      </w:r>
      <w:r w:rsidRPr="00417993">
        <w:rPr>
          <w:lang w:val="fr-FR"/>
        </w:rPr>
        <w:t>Finland</w:t>
      </w:r>
      <w:r>
        <w:rPr>
          <w:lang w:val="fr-FR"/>
        </w:rPr>
        <w:t>e</w:t>
      </w:r>
      <w:r w:rsidRPr="00417993">
        <w:rPr>
          <w:lang w:val="fr-FR"/>
        </w:rPr>
        <w:t xml:space="preserve">, </w:t>
      </w:r>
      <w:r>
        <w:rPr>
          <w:lang w:val="fr-FR"/>
        </w:rPr>
        <w:t>la France,</w:t>
      </w:r>
      <w:r w:rsidRPr="00417993">
        <w:rPr>
          <w:lang w:val="fr-FR"/>
        </w:rPr>
        <w:t xml:space="preserve"> </w:t>
      </w:r>
      <w:r>
        <w:rPr>
          <w:lang w:val="fr-FR"/>
        </w:rPr>
        <w:t>la Hongrie, Malte</w:t>
      </w:r>
      <w:r w:rsidRPr="00417993">
        <w:rPr>
          <w:lang w:val="fr-FR"/>
        </w:rPr>
        <w:t xml:space="preserve">, </w:t>
      </w:r>
      <w:r>
        <w:rPr>
          <w:lang w:val="fr-FR"/>
        </w:rPr>
        <w:t>les Pays-Bas</w:t>
      </w:r>
      <w:r w:rsidRPr="00417993">
        <w:rPr>
          <w:lang w:val="fr-FR"/>
        </w:rPr>
        <w:t xml:space="preserve">, </w:t>
      </w:r>
      <w:r>
        <w:rPr>
          <w:lang w:val="fr-FR"/>
        </w:rPr>
        <w:t>le Pérou</w:t>
      </w:r>
      <w:r w:rsidRPr="00417993">
        <w:rPr>
          <w:lang w:val="fr-FR"/>
        </w:rPr>
        <w:t xml:space="preserve">, </w:t>
      </w:r>
      <w:r>
        <w:rPr>
          <w:lang w:val="fr-FR"/>
        </w:rPr>
        <w:t>la Pologne</w:t>
      </w:r>
      <w:r w:rsidRPr="00417993">
        <w:rPr>
          <w:lang w:val="fr-FR"/>
        </w:rPr>
        <w:t xml:space="preserve">, </w:t>
      </w:r>
      <w:r>
        <w:rPr>
          <w:lang w:val="fr-FR"/>
        </w:rPr>
        <w:t xml:space="preserve">le </w:t>
      </w:r>
      <w:r w:rsidRPr="00417993">
        <w:rPr>
          <w:lang w:val="fr-FR"/>
        </w:rPr>
        <w:t xml:space="preserve">Portugal, </w:t>
      </w:r>
      <w:r>
        <w:rPr>
          <w:lang w:val="fr-FR"/>
        </w:rPr>
        <w:t>la Ré</w:t>
      </w:r>
      <w:r w:rsidRPr="00417993">
        <w:rPr>
          <w:lang w:val="fr-FR"/>
        </w:rPr>
        <w:t>p</w:t>
      </w:r>
      <w:r>
        <w:rPr>
          <w:lang w:val="fr-FR"/>
        </w:rPr>
        <w:t>ublique tchèque</w:t>
      </w:r>
      <w:r w:rsidRPr="00417993">
        <w:rPr>
          <w:lang w:val="fr-FR"/>
        </w:rPr>
        <w:t xml:space="preserve">, </w:t>
      </w:r>
      <w:r>
        <w:rPr>
          <w:lang w:val="fr-FR"/>
        </w:rPr>
        <w:t>le Royaume-Uni de Grande-Bretagne et d’Irlande du Nord</w:t>
      </w:r>
      <w:r w:rsidRPr="00417993">
        <w:rPr>
          <w:lang w:val="fr-FR"/>
        </w:rPr>
        <w:t xml:space="preserve">, </w:t>
      </w:r>
      <w:r>
        <w:rPr>
          <w:lang w:val="fr-FR"/>
        </w:rPr>
        <w:t>la Slovaquie</w:t>
      </w:r>
      <w:r w:rsidRPr="00417993">
        <w:rPr>
          <w:lang w:val="fr-FR"/>
        </w:rPr>
        <w:t xml:space="preserve">, </w:t>
      </w:r>
      <w:r>
        <w:rPr>
          <w:lang w:val="fr-FR"/>
        </w:rPr>
        <w:t>la Suède et</w:t>
      </w:r>
      <w:r w:rsidRPr="00417993">
        <w:rPr>
          <w:lang w:val="fr-FR"/>
        </w:rPr>
        <w:t xml:space="preserve"> </w:t>
      </w:r>
      <w:r>
        <w:rPr>
          <w:lang w:val="fr-FR"/>
        </w:rPr>
        <w:t xml:space="preserve">le </w:t>
      </w:r>
      <w:r w:rsidRPr="00417993">
        <w:rPr>
          <w:lang w:val="fr-FR"/>
        </w:rPr>
        <w:t>Viet Nam.</w:t>
      </w:r>
    </w:p>
  </w:footnote>
  <w:footnote w:id="23">
    <w:p w:rsidR="00B773E0" w:rsidRPr="00417993" w:rsidRDefault="00B773E0" w:rsidP="001430CF">
      <w:pPr>
        <w:pStyle w:val="Notedebasdepage"/>
        <w:ind w:firstLine="0"/>
        <w:rPr>
          <w:lang w:val="fr-FR"/>
        </w:rPr>
      </w:pPr>
      <w:r w:rsidRPr="00417993">
        <w:rPr>
          <w:rStyle w:val="Appelnotedebasdep"/>
          <w:lang w:val="fr-FR"/>
        </w:rPr>
        <w:footnoteRef/>
      </w:r>
      <w:r w:rsidRPr="00417993">
        <w:rPr>
          <w:lang w:val="fr-FR"/>
        </w:rPr>
        <w:t xml:space="preserve"> </w:t>
      </w:r>
      <w:r>
        <w:rPr>
          <w:lang w:val="fr-FR"/>
        </w:rPr>
        <w:t>L’Albanie</w:t>
      </w:r>
      <w:r w:rsidRPr="00417993">
        <w:rPr>
          <w:lang w:val="fr-FR"/>
        </w:rPr>
        <w:t>.</w:t>
      </w:r>
    </w:p>
  </w:footnote>
  <w:footnote w:id="24">
    <w:p w:rsidR="00B773E0" w:rsidRPr="00417993" w:rsidRDefault="00B773E0" w:rsidP="001430CF">
      <w:pPr>
        <w:pStyle w:val="Notedebasdepage"/>
        <w:ind w:firstLine="0"/>
        <w:rPr>
          <w:lang w:val="fr-FR"/>
        </w:rPr>
      </w:pPr>
      <w:r w:rsidRPr="00417993">
        <w:rPr>
          <w:rStyle w:val="Appelnotedebasdep"/>
          <w:lang w:val="fr-FR"/>
        </w:rPr>
        <w:footnoteRef/>
      </w:r>
      <w:r w:rsidRPr="00417993">
        <w:rPr>
          <w:lang w:val="fr-FR"/>
        </w:rPr>
        <w:t xml:space="preserve"> </w:t>
      </w:r>
      <w:r>
        <w:rPr>
          <w:lang w:val="fr-FR"/>
        </w:rPr>
        <w:t xml:space="preserve">L’Afrique du Sud, le </w:t>
      </w:r>
      <w:r w:rsidRPr="00417993">
        <w:rPr>
          <w:lang w:val="fr-FR"/>
        </w:rPr>
        <w:t xml:space="preserve">Burkina Faso, </w:t>
      </w:r>
      <w:r>
        <w:rPr>
          <w:lang w:val="fr-FR"/>
        </w:rPr>
        <w:t>le Bé</w:t>
      </w:r>
      <w:r w:rsidRPr="00417993">
        <w:rPr>
          <w:lang w:val="fr-FR"/>
        </w:rPr>
        <w:t xml:space="preserve">nin, </w:t>
      </w:r>
      <w:r>
        <w:rPr>
          <w:lang w:val="fr-FR"/>
        </w:rPr>
        <w:t xml:space="preserve">le </w:t>
      </w:r>
      <w:r w:rsidRPr="00417993">
        <w:rPr>
          <w:lang w:val="fr-FR"/>
        </w:rPr>
        <w:t xml:space="preserve">Botswana, </w:t>
      </w:r>
      <w:r>
        <w:rPr>
          <w:lang w:val="fr-FR"/>
        </w:rPr>
        <w:t xml:space="preserve">le Cameroun, la </w:t>
      </w:r>
      <w:r w:rsidRPr="00417993">
        <w:rPr>
          <w:lang w:val="fr-FR"/>
        </w:rPr>
        <w:t xml:space="preserve">Côte d’Ivoire, </w:t>
      </w:r>
      <w:r>
        <w:rPr>
          <w:lang w:val="fr-FR"/>
        </w:rPr>
        <w:t>l’Éthiopie</w:t>
      </w:r>
      <w:r w:rsidRPr="00417993">
        <w:rPr>
          <w:lang w:val="fr-FR"/>
        </w:rPr>
        <w:t xml:space="preserve">, </w:t>
      </w:r>
      <w:r>
        <w:rPr>
          <w:lang w:val="fr-FR"/>
        </w:rPr>
        <w:t>la Guinée</w:t>
      </w:r>
      <w:r w:rsidRPr="00417993">
        <w:rPr>
          <w:lang w:val="fr-FR"/>
        </w:rPr>
        <w:t xml:space="preserve">, </w:t>
      </w:r>
      <w:r>
        <w:rPr>
          <w:lang w:val="fr-FR"/>
        </w:rPr>
        <w:t>la Guinée-</w:t>
      </w:r>
      <w:r w:rsidRPr="00417993">
        <w:rPr>
          <w:lang w:val="fr-FR"/>
        </w:rPr>
        <w:t xml:space="preserve">Bissau, </w:t>
      </w:r>
      <w:r>
        <w:rPr>
          <w:lang w:val="fr-FR"/>
        </w:rPr>
        <w:t>l’Inde</w:t>
      </w:r>
      <w:r w:rsidRPr="00417993">
        <w:rPr>
          <w:lang w:val="fr-FR"/>
        </w:rPr>
        <w:t xml:space="preserve">, </w:t>
      </w:r>
      <w:r>
        <w:rPr>
          <w:lang w:val="fr-FR"/>
        </w:rPr>
        <w:t xml:space="preserve">le </w:t>
      </w:r>
      <w:r w:rsidRPr="00417993">
        <w:rPr>
          <w:lang w:val="fr-FR"/>
        </w:rPr>
        <w:t xml:space="preserve">Pakistan, </w:t>
      </w:r>
      <w:r>
        <w:rPr>
          <w:lang w:val="fr-FR"/>
        </w:rPr>
        <w:t>la</w:t>
      </w:r>
      <w:r w:rsidRPr="00417993">
        <w:rPr>
          <w:lang w:val="fr-FR"/>
        </w:rPr>
        <w:t xml:space="preserve"> </w:t>
      </w:r>
      <w:r>
        <w:rPr>
          <w:lang w:val="fr-FR"/>
        </w:rPr>
        <w:t>Ré</w:t>
      </w:r>
      <w:r w:rsidRPr="00417993">
        <w:rPr>
          <w:lang w:val="fr-FR"/>
        </w:rPr>
        <w:t>p</w:t>
      </w:r>
      <w:r>
        <w:rPr>
          <w:lang w:val="fr-FR"/>
        </w:rPr>
        <w:t>ublique démocratique du</w:t>
      </w:r>
      <w:r w:rsidRPr="00417993">
        <w:rPr>
          <w:lang w:val="fr-FR"/>
        </w:rPr>
        <w:t xml:space="preserve"> Congo</w:t>
      </w:r>
      <w:r>
        <w:rPr>
          <w:lang w:val="fr-FR"/>
        </w:rPr>
        <w:t xml:space="preserve"> et</w:t>
      </w:r>
      <w:r w:rsidRPr="00417993">
        <w:rPr>
          <w:lang w:val="fr-FR"/>
        </w:rPr>
        <w:t xml:space="preserve"> </w:t>
      </w:r>
      <w:r>
        <w:rPr>
          <w:lang w:val="fr-FR"/>
        </w:rPr>
        <w:t>la République démocratique populaire lao</w:t>
      </w:r>
      <w:r w:rsidRPr="00417993">
        <w:rPr>
          <w:lang w:val="fr-FR"/>
        </w:rPr>
        <w:t>.</w:t>
      </w:r>
    </w:p>
  </w:footnote>
  <w:footnote w:id="25">
    <w:p w:rsidR="00B773E0" w:rsidRPr="00417993" w:rsidRDefault="00B773E0" w:rsidP="001430CF">
      <w:pPr>
        <w:pStyle w:val="Notedebasdepage"/>
        <w:ind w:firstLine="0"/>
        <w:rPr>
          <w:lang w:val="fr-FR"/>
        </w:rPr>
      </w:pPr>
      <w:r w:rsidRPr="00417993">
        <w:rPr>
          <w:rStyle w:val="Appelnotedebasdep"/>
          <w:lang w:val="fr-FR"/>
        </w:rPr>
        <w:footnoteRef/>
      </w:r>
      <w:r w:rsidRPr="00417993">
        <w:rPr>
          <w:lang w:val="fr-FR"/>
        </w:rPr>
        <w:t xml:space="preserve"> </w:t>
      </w:r>
      <w:r>
        <w:rPr>
          <w:lang w:val="fr-FR"/>
        </w:rPr>
        <w:t xml:space="preserve">Le </w:t>
      </w:r>
      <w:r w:rsidRPr="00417993">
        <w:rPr>
          <w:lang w:val="fr-FR"/>
        </w:rPr>
        <w:t>Rwanda.</w:t>
      </w:r>
    </w:p>
  </w:footnote>
  <w:footnote w:id="26">
    <w:p w:rsidR="00B773E0" w:rsidRPr="00417993" w:rsidRDefault="00B773E0" w:rsidP="001430CF">
      <w:pPr>
        <w:pStyle w:val="Notedebasdepage"/>
        <w:ind w:firstLine="0"/>
        <w:rPr>
          <w:lang w:val="fr-FR"/>
        </w:rPr>
      </w:pPr>
      <w:r w:rsidRPr="00417993">
        <w:rPr>
          <w:rStyle w:val="Appelnotedebasdep"/>
          <w:lang w:val="fr-FR"/>
        </w:rPr>
        <w:footnoteRef/>
      </w:r>
      <w:r w:rsidRPr="00417993">
        <w:rPr>
          <w:lang w:val="fr-FR"/>
        </w:rPr>
        <w:t xml:space="preserve"> </w:t>
      </w:r>
      <w:r>
        <w:rPr>
          <w:lang w:val="fr-FR"/>
        </w:rPr>
        <w:t xml:space="preserve">Le </w:t>
      </w:r>
      <w:r w:rsidRPr="00417993">
        <w:rPr>
          <w:lang w:val="fr-FR"/>
        </w:rPr>
        <w:t xml:space="preserve">Togo. </w:t>
      </w:r>
    </w:p>
  </w:footnote>
  <w:footnote w:id="27">
    <w:p w:rsidR="00B773E0" w:rsidRPr="00417993" w:rsidRDefault="00B773E0" w:rsidP="001430CF">
      <w:pPr>
        <w:pStyle w:val="Notedebasdepage"/>
        <w:ind w:firstLine="0"/>
        <w:rPr>
          <w:lang w:val="fr-FR"/>
        </w:rPr>
      </w:pPr>
      <w:r w:rsidRPr="00417993">
        <w:rPr>
          <w:rStyle w:val="Appelnotedebasdep"/>
          <w:lang w:val="fr-FR"/>
        </w:rPr>
        <w:footnoteRef/>
      </w:r>
      <w:r w:rsidRPr="00417993">
        <w:rPr>
          <w:lang w:val="fr-FR"/>
        </w:rPr>
        <w:t xml:space="preserve"> </w:t>
      </w:r>
      <w:r>
        <w:rPr>
          <w:lang w:val="fr-FR"/>
        </w:rPr>
        <w:t xml:space="preserve">Le </w:t>
      </w:r>
      <w:r w:rsidRPr="00417993">
        <w:rPr>
          <w:lang w:val="fr-FR"/>
        </w:rPr>
        <w:t>Bh</w:t>
      </w:r>
      <w:r>
        <w:rPr>
          <w:lang w:val="fr-FR"/>
        </w:rPr>
        <w:t>o</w:t>
      </w:r>
      <w:r w:rsidRPr="00417993">
        <w:rPr>
          <w:lang w:val="fr-FR"/>
        </w:rPr>
        <w:t xml:space="preserve">utan, </w:t>
      </w:r>
      <w:r>
        <w:rPr>
          <w:lang w:val="fr-FR"/>
        </w:rPr>
        <w:t xml:space="preserve">le </w:t>
      </w:r>
      <w:r w:rsidRPr="00417993">
        <w:rPr>
          <w:lang w:val="fr-FR"/>
        </w:rPr>
        <w:t xml:space="preserve">Burundi, </w:t>
      </w:r>
      <w:r>
        <w:rPr>
          <w:lang w:val="fr-FR"/>
        </w:rPr>
        <w:t>la Finlande, le Japo</w:t>
      </w:r>
      <w:r w:rsidRPr="00417993">
        <w:rPr>
          <w:lang w:val="fr-FR"/>
        </w:rPr>
        <w:t xml:space="preserve">n, </w:t>
      </w:r>
      <w:r>
        <w:rPr>
          <w:lang w:val="fr-FR"/>
        </w:rPr>
        <w:t xml:space="preserve">le </w:t>
      </w:r>
      <w:r w:rsidRPr="00417993">
        <w:rPr>
          <w:lang w:val="fr-FR"/>
        </w:rPr>
        <w:t>Kenya, Madagascar, Mal</w:t>
      </w:r>
      <w:r>
        <w:rPr>
          <w:lang w:val="fr-FR"/>
        </w:rPr>
        <w:t>te</w:t>
      </w:r>
      <w:r w:rsidRPr="00417993">
        <w:rPr>
          <w:lang w:val="fr-FR"/>
        </w:rPr>
        <w:t xml:space="preserve">, </w:t>
      </w:r>
      <w:r>
        <w:rPr>
          <w:lang w:val="fr-FR"/>
        </w:rPr>
        <w:t>l’Ou</w:t>
      </w:r>
      <w:r w:rsidRPr="00417993">
        <w:rPr>
          <w:lang w:val="fr-FR"/>
        </w:rPr>
        <w:t>ganda</w:t>
      </w:r>
      <w:r>
        <w:rPr>
          <w:lang w:val="fr-FR"/>
        </w:rPr>
        <w:t>, la Suède et</w:t>
      </w:r>
      <w:r w:rsidRPr="00417993">
        <w:rPr>
          <w:lang w:val="fr-FR"/>
        </w:rPr>
        <w:t xml:space="preserve"> </w:t>
      </w:r>
      <w:r>
        <w:rPr>
          <w:lang w:val="fr-FR"/>
        </w:rPr>
        <w:t>la Suisse</w:t>
      </w:r>
      <w:r w:rsidRPr="00417993">
        <w:rPr>
          <w:lang w:val="fr-FR"/>
        </w:rPr>
        <w:t>.</w:t>
      </w:r>
    </w:p>
  </w:footnote>
  <w:footnote w:id="28">
    <w:p w:rsidR="00B773E0" w:rsidRPr="001D1942" w:rsidRDefault="00B773E0" w:rsidP="001430CF">
      <w:pPr>
        <w:pStyle w:val="Notedebasdepage"/>
        <w:ind w:firstLine="0"/>
        <w:rPr>
          <w:lang w:val="fr-FR"/>
        </w:rPr>
      </w:pPr>
      <w:r w:rsidRPr="001D1942">
        <w:rPr>
          <w:rStyle w:val="Appelnotedebasdep"/>
          <w:lang w:val="fr-FR"/>
        </w:rPr>
        <w:footnoteRef/>
      </w:r>
      <w:r w:rsidRPr="001D1942">
        <w:rPr>
          <w:lang w:val="fr-FR"/>
        </w:rPr>
        <w:t xml:space="preserve"> L</w:t>
      </w:r>
      <w:r w:rsidRPr="001D1942">
        <w:rPr>
          <w:rFonts w:eastAsia="Calibri"/>
          <w:snapToGrid w:val="0"/>
          <w:kern w:val="22"/>
          <w:lang w:val="fr-FR"/>
        </w:rPr>
        <w:t xml:space="preserve">’Espagne, </w:t>
      </w:r>
      <w:r w:rsidRPr="001D1942">
        <w:rPr>
          <w:lang w:val="fr-FR"/>
        </w:rPr>
        <w:t xml:space="preserve">le Japon, le </w:t>
      </w:r>
      <w:r w:rsidRPr="001D1942">
        <w:rPr>
          <w:rFonts w:eastAsia="Calibri"/>
          <w:snapToGrid w:val="0"/>
          <w:kern w:val="22"/>
          <w:lang w:val="fr-FR"/>
        </w:rPr>
        <w:t>Maroc, la Norvège, les Pays-Bas et le Portugal.</w:t>
      </w:r>
    </w:p>
  </w:footnote>
  <w:footnote w:id="29">
    <w:p w:rsidR="00B773E0" w:rsidRPr="001D1942" w:rsidRDefault="00B773E0" w:rsidP="001430CF">
      <w:pPr>
        <w:pStyle w:val="Notedebasdepage"/>
        <w:ind w:firstLine="0"/>
        <w:rPr>
          <w:lang w:val="fr-FR"/>
        </w:rPr>
      </w:pPr>
      <w:r w:rsidRPr="001D1942">
        <w:rPr>
          <w:rStyle w:val="Appelnotedebasdep"/>
          <w:lang w:val="fr-FR"/>
        </w:rPr>
        <w:footnoteRef/>
      </w:r>
      <w:r w:rsidRPr="001D1942">
        <w:rPr>
          <w:lang w:val="fr-FR"/>
        </w:rPr>
        <w:t xml:space="preserve"> Antigua-et-Barbuda, le Bénin, le Bhoutan, le Burkina Faso, l’Éthiopie, la Finlande, la France, l’Inde, le Kenya, Madagascar, le Maroc, le Mexique, la Norvège, Panama, le Pérou, la République démocratique du Congo et le Swaziland. </w:t>
      </w:r>
    </w:p>
  </w:footnote>
  <w:footnote w:id="30">
    <w:p w:rsidR="00B773E0" w:rsidRPr="001D1942" w:rsidRDefault="00B773E0" w:rsidP="001430CF">
      <w:pPr>
        <w:pStyle w:val="Notedebasdepage"/>
        <w:ind w:firstLine="0"/>
        <w:rPr>
          <w:lang w:val="fr-FR"/>
        </w:rPr>
      </w:pPr>
      <w:r w:rsidRPr="001D1942">
        <w:rPr>
          <w:rStyle w:val="Appelnotedebasdep"/>
          <w:lang w:val="fr-FR"/>
        </w:rPr>
        <w:footnoteRef/>
      </w:r>
      <w:r w:rsidRPr="001D1942">
        <w:rPr>
          <w:lang w:val="fr-FR"/>
        </w:rPr>
        <w:t xml:space="preserve"> Le Mexique.</w:t>
      </w:r>
    </w:p>
  </w:footnote>
  <w:footnote w:id="31">
    <w:p w:rsidR="00B773E0" w:rsidRPr="001D1942" w:rsidRDefault="00B773E0" w:rsidP="001430CF">
      <w:pPr>
        <w:pStyle w:val="Notedebasdepage"/>
        <w:ind w:firstLine="0"/>
        <w:rPr>
          <w:lang w:val="fr-FR"/>
        </w:rPr>
      </w:pPr>
      <w:r w:rsidRPr="001D1942">
        <w:rPr>
          <w:rStyle w:val="Appelnotedebasdep"/>
          <w:lang w:val="fr-FR"/>
        </w:rPr>
        <w:footnoteRef/>
      </w:r>
      <w:r w:rsidRPr="001D1942">
        <w:rPr>
          <w:lang w:val="fr-FR"/>
        </w:rPr>
        <w:t xml:space="preserve"> Le Bénin, la Chine, la Finlande, l’Inde, la Norvège et le Pérou.</w:t>
      </w:r>
    </w:p>
  </w:footnote>
  <w:footnote w:id="32">
    <w:p w:rsidR="00B773E0" w:rsidRPr="001D194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1D1942">
        <w:rPr>
          <w:rStyle w:val="Appelnotedebasdep"/>
          <w:snapToGrid w:val="0"/>
          <w:kern w:val="18"/>
          <w:szCs w:val="18"/>
          <w:lang w:val="fr-FR"/>
        </w:rPr>
        <w:footnoteRef/>
      </w:r>
      <w:r w:rsidRPr="001D1942">
        <w:rPr>
          <w:snapToGrid w:val="0"/>
          <w:kern w:val="18"/>
          <w:szCs w:val="18"/>
          <w:lang w:val="fr-FR"/>
        </w:rPr>
        <w:t xml:space="preserve"> </w:t>
      </w:r>
      <w:r>
        <w:rPr>
          <w:snapToGrid w:val="0"/>
          <w:kern w:val="18"/>
          <w:szCs w:val="18"/>
          <w:lang w:val="fr-FR"/>
        </w:rPr>
        <w:t xml:space="preserve">Le </w:t>
      </w:r>
      <w:r w:rsidRPr="001D1942">
        <w:rPr>
          <w:snapToGrid w:val="0"/>
          <w:kern w:val="18"/>
          <w:szCs w:val="18"/>
          <w:lang w:val="fr-FR"/>
        </w:rPr>
        <w:t xml:space="preserve">Burundi, </w:t>
      </w:r>
      <w:r>
        <w:rPr>
          <w:snapToGrid w:val="0"/>
          <w:kern w:val="18"/>
          <w:szCs w:val="18"/>
          <w:lang w:val="fr-FR"/>
        </w:rPr>
        <w:t xml:space="preserve">le </w:t>
      </w:r>
      <w:r w:rsidRPr="001D1942">
        <w:rPr>
          <w:snapToGrid w:val="0"/>
          <w:kern w:val="18"/>
          <w:szCs w:val="18"/>
          <w:lang w:val="fr-FR"/>
        </w:rPr>
        <w:t>Camero</w:t>
      </w:r>
      <w:r>
        <w:rPr>
          <w:snapToGrid w:val="0"/>
          <w:kern w:val="18"/>
          <w:szCs w:val="18"/>
          <w:lang w:val="fr-FR"/>
        </w:rPr>
        <w:t>u</w:t>
      </w:r>
      <w:r w:rsidRPr="001D1942">
        <w:rPr>
          <w:snapToGrid w:val="0"/>
          <w:kern w:val="18"/>
          <w:szCs w:val="18"/>
          <w:lang w:val="fr-FR"/>
        </w:rPr>
        <w:t xml:space="preserve">n, </w:t>
      </w:r>
      <w:r>
        <w:rPr>
          <w:snapToGrid w:val="0"/>
          <w:kern w:val="18"/>
          <w:szCs w:val="18"/>
          <w:lang w:val="fr-FR"/>
        </w:rPr>
        <w:t xml:space="preserve">la </w:t>
      </w:r>
      <w:r w:rsidRPr="001D1942">
        <w:rPr>
          <w:snapToGrid w:val="0"/>
          <w:kern w:val="18"/>
          <w:szCs w:val="18"/>
          <w:lang w:val="fr-FR"/>
        </w:rPr>
        <w:t xml:space="preserve">Côte d’Ivoire, </w:t>
      </w:r>
      <w:r>
        <w:rPr>
          <w:snapToGrid w:val="0"/>
          <w:kern w:val="18"/>
          <w:szCs w:val="18"/>
          <w:lang w:val="fr-FR"/>
        </w:rPr>
        <w:t>la Guinée</w:t>
      </w:r>
      <w:r w:rsidRPr="001D1942">
        <w:rPr>
          <w:snapToGrid w:val="0"/>
          <w:kern w:val="18"/>
          <w:szCs w:val="18"/>
          <w:lang w:val="fr-FR"/>
        </w:rPr>
        <w:t xml:space="preserve">, </w:t>
      </w:r>
      <w:r>
        <w:rPr>
          <w:snapToGrid w:val="0"/>
          <w:kern w:val="18"/>
          <w:szCs w:val="18"/>
          <w:lang w:val="fr-FR"/>
        </w:rPr>
        <w:t>la Guinée</w:t>
      </w:r>
      <w:r w:rsidRPr="001D1942">
        <w:rPr>
          <w:snapToGrid w:val="0"/>
          <w:kern w:val="18"/>
          <w:szCs w:val="18"/>
          <w:lang w:val="fr-FR"/>
        </w:rPr>
        <w:t xml:space="preserve">-Bissau, </w:t>
      </w:r>
      <w:r>
        <w:rPr>
          <w:snapToGrid w:val="0"/>
          <w:kern w:val="18"/>
          <w:szCs w:val="18"/>
          <w:lang w:val="fr-FR"/>
        </w:rPr>
        <w:t xml:space="preserve">la </w:t>
      </w:r>
      <w:r w:rsidRPr="001D1942">
        <w:rPr>
          <w:snapToGrid w:val="0"/>
          <w:kern w:val="18"/>
          <w:szCs w:val="18"/>
          <w:lang w:val="fr-FR"/>
        </w:rPr>
        <w:t>Mongoli</w:t>
      </w:r>
      <w:r>
        <w:rPr>
          <w:snapToGrid w:val="0"/>
          <w:kern w:val="18"/>
          <w:szCs w:val="18"/>
          <w:lang w:val="fr-FR"/>
        </w:rPr>
        <w:t>e</w:t>
      </w:r>
      <w:r w:rsidRPr="001D1942">
        <w:rPr>
          <w:snapToGrid w:val="0"/>
          <w:kern w:val="18"/>
          <w:szCs w:val="18"/>
          <w:lang w:val="fr-FR"/>
        </w:rPr>
        <w:t xml:space="preserve">, </w:t>
      </w:r>
      <w:r>
        <w:rPr>
          <w:snapToGrid w:val="0"/>
          <w:kern w:val="18"/>
          <w:szCs w:val="18"/>
          <w:lang w:val="fr-FR"/>
        </w:rPr>
        <w:t xml:space="preserve">le </w:t>
      </w:r>
      <w:r w:rsidRPr="001D1942">
        <w:rPr>
          <w:snapToGrid w:val="0"/>
          <w:kern w:val="18"/>
          <w:szCs w:val="18"/>
          <w:lang w:val="fr-FR"/>
        </w:rPr>
        <w:t xml:space="preserve">Niger, </w:t>
      </w:r>
      <w:r>
        <w:rPr>
          <w:snapToGrid w:val="0"/>
          <w:kern w:val="18"/>
          <w:szCs w:val="18"/>
          <w:lang w:val="fr-FR"/>
        </w:rPr>
        <w:t xml:space="preserve">le </w:t>
      </w:r>
      <w:r w:rsidRPr="001D1942">
        <w:rPr>
          <w:snapToGrid w:val="0"/>
          <w:kern w:val="18"/>
          <w:szCs w:val="18"/>
          <w:lang w:val="fr-FR"/>
        </w:rPr>
        <w:t>Pakistan,</w:t>
      </w:r>
      <w:r>
        <w:rPr>
          <w:snapToGrid w:val="0"/>
          <w:kern w:val="18"/>
          <w:szCs w:val="18"/>
          <w:lang w:val="fr-FR"/>
        </w:rPr>
        <w:t xml:space="preserve"> la République dominicaine,</w:t>
      </w:r>
      <w:r w:rsidRPr="001D1942">
        <w:rPr>
          <w:snapToGrid w:val="0"/>
          <w:kern w:val="18"/>
          <w:szCs w:val="18"/>
          <w:lang w:val="fr-FR"/>
        </w:rPr>
        <w:t xml:space="preserve"> </w:t>
      </w:r>
      <w:r>
        <w:rPr>
          <w:snapToGrid w:val="0"/>
          <w:kern w:val="18"/>
          <w:szCs w:val="18"/>
          <w:lang w:val="fr-FR"/>
        </w:rPr>
        <w:t>le Séné</w:t>
      </w:r>
      <w:r w:rsidRPr="001D1942">
        <w:rPr>
          <w:snapToGrid w:val="0"/>
          <w:kern w:val="18"/>
          <w:szCs w:val="18"/>
          <w:lang w:val="fr-FR"/>
        </w:rPr>
        <w:t xml:space="preserve">gal, </w:t>
      </w:r>
      <w:r>
        <w:rPr>
          <w:snapToGrid w:val="0"/>
          <w:kern w:val="18"/>
          <w:szCs w:val="18"/>
          <w:lang w:val="fr-FR"/>
        </w:rPr>
        <w:t xml:space="preserve">le </w:t>
      </w:r>
      <w:r w:rsidRPr="001D1942">
        <w:rPr>
          <w:snapToGrid w:val="0"/>
          <w:kern w:val="18"/>
          <w:szCs w:val="18"/>
          <w:lang w:val="fr-FR"/>
        </w:rPr>
        <w:t>S</w:t>
      </w:r>
      <w:r>
        <w:rPr>
          <w:snapToGrid w:val="0"/>
          <w:kern w:val="18"/>
          <w:szCs w:val="18"/>
          <w:lang w:val="fr-FR"/>
        </w:rPr>
        <w:t>oudan et le</w:t>
      </w:r>
      <w:r w:rsidRPr="001D1942">
        <w:rPr>
          <w:snapToGrid w:val="0"/>
          <w:kern w:val="18"/>
          <w:szCs w:val="18"/>
          <w:lang w:val="fr-FR"/>
        </w:rPr>
        <w:t xml:space="preserve"> Togo.</w:t>
      </w:r>
    </w:p>
  </w:footnote>
  <w:footnote w:id="33">
    <w:p w:rsidR="00B773E0" w:rsidRPr="001D194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1D1942">
        <w:rPr>
          <w:rStyle w:val="Appelnotedebasdep"/>
          <w:snapToGrid w:val="0"/>
          <w:kern w:val="18"/>
          <w:szCs w:val="18"/>
          <w:lang w:val="fr-FR"/>
        </w:rPr>
        <w:footnoteRef/>
      </w:r>
      <w:r w:rsidRPr="001D1942">
        <w:rPr>
          <w:snapToGrid w:val="0"/>
          <w:kern w:val="18"/>
          <w:szCs w:val="18"/>
          <w:lang w:val="fr-FR"/>
        </w:rPr>
        <w:t xml:space="preserve"> </w:t>
      </w:r>
      <w:r w:rsidRPr="001D1942">
        <w:rPr>
          <w:lang w:val="fr-FR"/>
        </w:rPr>
        <w:t>Le Bénin</w:t>
      </w:r>
      <w:r w:rsidRPr="001D1942">
        <w:rPr>
          <w:snapToGrid w:val="0"/>
          <w:kern w:val="18"/>
          <w:szCs w:val="18"/>
          <w:lang w:val="fr-FR"/>
        </w:rPr>
        <w:t xml:space="preserve">, </w:t>
      </w:r>
      <w:r>
        <w:rPr>
          <w:snapToGrid w:val="0"/>
          <w:kern w:val="18"/>
          <w:szCs w:val="18"/>
          <w:lang w:val="fr-FR"/>
        </w:rPr>
        <w:t xml:space="preserve">le </w:t>
      </w:r>
      <w:r w:rsidRPr="001D1942">
        <w:rPr>
          <w:snapToGrid w:val="0"/>
          <w:kern w:val="18"/>
          <w:szCs w:val="18"/>
          <w:lang w:val="fr-FR"/>
        </w:rPr>
        <w:t>Camero</w:t>
      </w:r>
      <w:r>
        <w:rPr>
          <w:snapToGrid w:val="0"/>
          <w:kern w:val="18"/>
          <w:szCs w:val="18"/>
          <w:lang w:val="fr-FR"/>
        </w:rPr>
        <w:t>u</w:t>
      </w:r>
      <w:r w:rsidRPr="001D1942">
        <w:rPr>
          <w:snapToGrid w:val="0"/>
          <w:kern w:val="18"/>
          <w:szCs w:val="18"/>
          <w:lang w:val="fr-FR"/>
        </w:rPr>
        <w:t xml:space="preserve">n, </w:t>
      </w:r>
      <w:r>
        <w:rPr>
          <w:snapToGrid w:val="0"/>
          <w:kern w:val="18"/>
          <w:szCs w:val="18"/>
          <w:lang w:val="fr-FR"/>
        </w:rPr>
        <w:t xml:space="preserve">le </w:t>
      </w:r>
      <w:r w:rsidRPr="001D1942">
        <w:rPr>
          <w:snapToGrid w:val="0"/>
          <w:kern w:val="18"/>
          <w:szCs w:val="18"/>
          <w:lang w:val="fr-FR"/>
        </w:rPr>
        <w:t>Kenya</w:t>
      </w:r>
      <w:r>
        <w:rPr>
          <w:snapToGrid w:val="0"/>
          <w:kern w:val="18"/>
          <w:szCs w:val="18"/>
          <w:lang w:val="fr-FR"/>
        </w:rPr>
        <w:t xml:space="preserve"> et </w:t>
      </w:r>
      <w:r w:rsidRPr="001D1942">
        <w:rPr>
          <w:lang w:val="fr-FR"/>
        </w:rPr>
        <w:t>la R</w:t>
      </w:r>
      <w:r>
        <w:rPr>
          <w:lang w:val="fr-FR"/>
        </w:rPr>
        <w:t>épublique démocratique du Congo</w:t>
      </w:r>
      <w:r w:rsidRPr="001D1942">
        <w:rPr>
          <w:snapToGrid w:val="0"/>
          <w:kern w:val="18"/>
          <w:szCs w:val="18"/>
          <w:lang w:val="fr-FR"/>
        </w:rPr>
        <w:t>.</w:t>
      </w:r>
    </w:p>
  </w:footnote>
  <w:footnote w:id="34">
    <w:p w:rsidR="00B773E0" w:rsidRPr="001D194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1D1942">
        <w:rPr>
          <w:rStyle w:val="Appelnotedebasdep"/>
          <w:snapToGrid w:val="0"/>
          <w:kern w:val="18"/>
          <w:szCs w:val="18"/>
          <w:lang w:val="fr-FR"/>
        </w:rPr>
        <w:footnoteRef/>
      </w:r>
      <w:r>
        <w:rPr>
          <w:snapToGrid w:val="0"/>
          <w:kern w:val="18"/>
          <w:szCs w:val="18"/>
          <w:lang w:val="fr-FR"/>
        </w:rPr>
        <w:t xml:space="preserve"> Le </w:t>
      </w:r>
      <w:r w:rsidRPr="001D1942">
        <w:rPr>
          <w:snapToGrid w:val="0"/>
          <w:kern w:val="18"/>
          <w:szCs w:val="18"/>
          <w:lang w:val="fr-FR"/>
        </w:rPr>
        <w:t>Bh</w:t>
      </w:r>
      <w:r>
        <w:rPr>
          <w:snapToGrid w:val="0"/>
          <w:kern w:val="18"/>
          <w:szCs w:val="18"/>
          <w:lang w:val="fr-FR"/>
        </w:rPr>
        <w:t>o</w:t>
      </w:r>
      <w:r w:rsidRPr="001D1942">
        <w:rPr>
          <w:snapToGrid w:val="0"/>
          <w:kern w:val="18"/>
          <w:szCs w:val="18"/>
          <w:lang w:val="fr-FR"/>
        </w:rPr>
        <w:t xml:space="preserve">utan, </w:t>
      </w:r>
      <w:r>
        <w:rPr>
          <w:snapToGrid w:val="0"/>
          <w:kern w:val="18"/>
          <w:szCs w:val="18"/>
          <w:lang w:val="fr-FR"/>
        </w:rPr>
        <w:t>l’Éthiopie</w:t>
      </w:r>
      <w:r w:rsidRPr="001D1942">
        <w:rPr>
          <w:snapToGrid w:val="0"/>
          <w:kern w:val="18"/>
          <w:szCs w:val="18"/>
          <w:lang w:val="fr-FR"/>
        </w:rPr>
        <w:t xml:space="preserve">, </w:t>
      </w:r>
      <w:r>
        <w:rPr>
          <w:snapToGrid w:val="0"/>
          <w:kern w:val="18"/>
          <w:szCs w:val="18"/>
          <w:lang w:val="fr-FR"/>
        </w:rPr>
        <w:t>l’Inde</w:t>
      </w:r>
      <w:r w:rsidRPr="001D1942">
        <w:rPr>
          <w:snapToGrid w:val="0"/>
          <w:kern w:val="18"/>
          <w:szCs w:val="18"/>
          <w:lang w:val="fr-FR"/>
        </w:rPr>
        <w:t xml:space="preserve">, </w:t>
      </w:r>
      <w:r>
        <w:rPr>
          <w:snapToGrid w:val="0"/>
          <w:kern w:val="18"/>
          <w:szCs w:val="18"/>
          <w:lang w:val="fr-FR"/>
        </w:rPr>
        <w:t>le Pérou et le Swaziland</w:t>
      </w:r>
      <w:r w:rsidRPr="001D1942">
        <w:rPr>
          <w:snapToGrid w:val="0"/>
          <w:kern w:val="18"/>
          <w:szCs w:val="18"/>
          <w:lang w:val="fr-FR"/>
        </w:rPr>
        <w:t>.</w:t>
      </w:r>
    </w:p>
  </w:footnote>
  <w:footnote w:id="35">
    <w:p w:rsidR="00B773E0" w:rsidRPr="001D194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1D1942">
        <w:rPr>
          <w:rStyle w:val="Appelnotedebasdep"/>
          <w:snapToGrid w:val="0"/>
          <w:kern w:val="18"/>
          <w:szCs w:val="18"/>
          <w:lang w:val="fr-FR"/>
        </w:rPr>
        <w:footnoteRef/>
      </w:r>
      <w:r w:rsidRPr="001D1942">
        <w:rPr>
          <w:snapToGrid w:val="0"/>
          <w:kern w:val="18"/>
          <w:szCs w:val="18"/>
          <w:lang w:val="fr-FR"/>
        </w:rPr>
        <w:t xml:space="preserve"> </w:t>
      </w:r>
      <w:r>
        <w:rPr>
          <w:snapToGrid w:val="0"/>
          <w:kern w:val="18"/>
          <w:szCs w:val="18"/>
          <w:lang w:val="fr-FR"/>
        </w:rPr>
        <w:t>Le Bé</w:t>
      </w:r>
      <w:r w:rsidRPr="001D1942">
        <w:rPr>
          <w:snapToGrid w:val="0"/>
          <w:kern w:val="18"/>
          <w:szCs w:val="18"/>
          <w:lang w:val="fr-FR"/>
        </w:rPr>
        <w:t>nin.</w:t>
      </w:r>
    </w:p>
  </w:footnote>
  <w:footnote w:id="36">
    <w:p w:rsidR="00B773E0" w:rsidRPr="001D194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1D1942">
        <w:rPr>
          <w:rStyle w:val="Appelnotedebasdep"/>
          <w:snapToGrid w:val="0"/>
          <w:kern w:val="18"/>
          <w:szCs w:val="18"/>
          <w:lang w:val="fr-FR"/>
        </w:rPr>
        <w:footnoteRef/>
      </w:r>
      <w:r>
        <w:rPr>
          <w:snapToGrid w:val="0"/>
          <w:kern w:val="18"/>
          <w:szCs w:val="18"/>
          <w:lang w:val="fr-FR"/>
        </w:rPr>
        <w:t xml:space="preserve"> Le </w:t>
      </w:r>
      <w:r w:rsidRPr="001D1942">
        <w:rPr>
          <w:snapToGrid w:val="0"/>
          <w:kern w:val="18"/>
          <w:szCs w:val="18"/>
          <w:lang w:val="fr-FR"/>
        </w:rPr>
        <w:t xml:space="preserve">Burkina Faso, </w:t>
      </w:r>
      <w:r>
        <w:rPr>
          <w:snapToGrid w:val="0"/>
          <w:kern w:val="18"/>
          <w:szCs w:val="18"/>
          <w:lang w:val="fr-FR"/>
        </w:rPr>
        <w:t xml:space="preserve">le </w:t>
      </w:r>
      <w:r w:rsidRPr="001D1942">
        <w:rPr>
          <w:snapToGrid w:val="0"/>
          <w:kern w:val="18"/>
          <w:szCs w:val="18"/>
          <w:lang w:val="fr-FR"/>
        </w:rPr>
        <w:t xml:space="preserve">Burundi, </w:t>
      </w:r>
      <w:r>
        <w:rPr>
          <w:snapToGrid w:val="0"/>
          <w:kern w:val="18"/>
          <w:szCs w:val="18"/>
          <w:lang w:val="fr-FR"/>
        </w:rPr>
        <w:t>le</w:t>
      </w:r>
      <w:r w:rsidRPr="001D1942">
        <w:rPr>
          <w:snapToGrid w:val="0"/>
          <w:kern w:val="18"/>
          <w:szCs w:val="18"/>
          <w:lang w:val="fr-FR"/>
        </w:rPr>
        <w:t xml:space="preserve"> Malawi, </w:t>
      </w:r>
      <w:r>
        <w:rPr>
          <w:snapToGrid w:val="0"/>
          <w:kern w:val="18"/>
          <w:szCs w:val="18"/>
          <w:lang w:val="fr-FR"/>
        </w:rPr>
        <w:t>le Mexique</w:t>
      </w:r>
      <w:r w:rsidRPr="001D1942">
        <w:rPr>
          <w:snapToGrid w:val="0"/>
          <w:kern w:val="18"/>
          <w:szCs w:val="18"/>
          <w:lang w:val="fr-FR"/>
        </w:rPr>
        <w:t xml:space="preserve">, </w:t>
      </w:r>
      <w:r>
        <w:rPr>
          <w:snapToGrid w:val="0"/>
          <w:kern w:val="18"/>
          <w:szCs w:val="18"/>
          <w:lang w:val="fr-FR"/>
        </w:rPr>
        <w:t xml:space="preserve">l’Ouganda, </w:t>
      </w:r>
      <w:r w:rsidRPr="001D1942">
        <w:rPr>
          <w:lang w:val="fr-FR"/>
        </w:rPr>
        <w:t>la R</w:t>
      </w:r>
      <w:r>
        <w:rPr>
          <w:lang w:val="fr-FR"/>
        </w:rPr>
        <w:t xml:space="preserve">épublique démocratique du Congo et la </w:t>
      </w:r>
      <w:r>
        <w:rPr>
          <w:snapToGrid w:val="0"/>
          <w:kern w:val="18"/>
          <w:szCs w:val="18"/>
          <w:lang w:val="fr-FR"/>
        </w:rPr>
        <w:t>Suède</w:t>
      </w:r>
      <w:r w:rsidRPr="001D1942">
        <w:rPr>
          <w:snapToGrid w:val="0"/>
          <w:kern w:val="18"/>
          <w:szCs w:val="18"/>
          <w:lang w:val="fr-FR"/>
        </w:rPr>
        <w:t>.</w:t>
      </w:r>
    </w:p>
  </w:footnote>
  <w:footnote w:id="37">
    <w:p w:rsidR="00B773E0" w:rsidRPr="001D1942" w:rsidRDefault="00B773E0" w:rsidP="00357E92">
      <w:pPr>
        <w:pStyle w:val="Notedebasdepage"/>
        <w:ind w:firstLine="0"/>
        <w:rPr>
          <w:lang w:val="fr-FR"/>
        </w:rPr>
      </w:pPr>
      <w:r w:rsidRPr="001D1942">
        <w:rPr>
          <w:rStyle w:val="Appelnotedebasdep"/>
          <w:lang w:val="fr-FR"/>
        </w:rPr>
        <w:footnoteRef/>
      </w:r>
      <w:r>
        <w:rPr>
          <w:lang w:val="fr-FR"/>
        </w:rPr>
        <w:t xml:space="preserve"> Le </w:t>
      </w:r>
      <w:r w:rsidRPr="001D1942">
        <w:rPr>
          <w:lang w:val="fr-FR"/>
        </w:rPr>
        <w:t xml:space="preserve">Botswana, </w:t>
      </w:r>
      <w:r>
        <w:rPr>
          <w:lang w:val="fr-FR"/>
        </w:rPr>
        <w:t xml:space="preserve">la </w:t>
      </w:r>
      <w:r w:rsidRPr="001D1942">
        <w:rPr>
          <w:lang w:val="fr-FR"/>
        </w:rPr>
        <w:t xml:space="preserve">Côte d’Ivoire, </w:t>
      </w:r>
      <w:r>
        <w:rPr>
          <w:snapToGrid w:val="0"/>
          <w:kern w:val="18"/>
          <w:szCs w:val="18"/>
          <w:lang w:val="fr-FR"/>
        </w:rPr>
        <w:t>la Guinée</w:t>
      </w:r>
      <w:r w:rsidRPr="001D1942">
        <w:rPr>
          <w:snapToGrid w:val="0"/>
          <w:kern w:val="18"/>
          <w:szCs w:val="18"/>
          <w:lang w:val="fr-FR"/>
        </w:rPr>
        <w:t xml:space="preserve">, </w:t>
      </w:r>
      <w:r>
        <w:rPr>
          <w:snapToGrid w:val="0"/>
          <w:kern w:val="18"/>
          <w:szCs w:val="18"/>
          <w:lang w:val="fr-FR"/>
        </w:rPr>
        <w:t>la Guinée</w:t>
      </w:r>
      <w:r w:rsidRPr="001D1942">
        <w:rPr>
          <w:snapToGrid w:val="0"/>
          <w:kern w:val="18"/>
          <w:szCs w:val="18"/>
          <w:lang w:val="fr-FR"/>
        </w:rPr>
        <w:t>-Bissau</w:t>
      </w:r>
      <w:r w:rsidRPr="001D1942">
        <w:rPr>
          <w:lang w:val="fr-FR"/>
        </w:rPr>
        <w:t xml:space="preserve">, </w:t>
      </w:r>
      <w:r>
        <w:rPr>
          <w:lang w:val="fr-FR"/>
        </w:rPr>
        <w:t>la Mauritanie</w:t>
      </w:r>
      <w:r w:rsidRPr="001D1942">
        <w:rPr>
          <w:lang w:val="fr-FR"/>
        </w:rPr>
        <w:t xml:space="preserve">, </w:t>
      </w:r>
      <w:r>
        <w:rPr>
          <w:lang w:val="fr-FR"/>
        </w:rPr>
        <w:t>la Mongolie</w:t>
      </w:r>
      <w:r w:rsidRPr="001D1942">
        <w:rPr>
          <w:lang w:val="fr-FR"/>
        </w:rPr>
        <w:t xml:space="preserve">, </w:t>
      </w:r>
      <w:r>
        <w:rPr>
          <w:lang w:val="fr-FR"/>
        </w:rPr>
        <w:t xml:space="preserve">le </w:t>
      </w:r>
      <w:r w:rsidRPr="001D1942">
        <w:rPr>
          <w:lang w:val="fr-FR"/>
        </w:rPr>
        <w:t xml:space="preserve">Niger, </w:t>
      </w:r>
      <w:r>
        <w:rPr>
          <w:lang w:val="fr-FR"/>
        </w:rPr>
        <w:t>le Pakistan</w:t>
      </w:r>
      <w:r w:rsidRPr="001D1942">
        <w:rPr>
          <w:lang w:val="fr-FR"/>
        </w:rPr>
        <w:t xml:space="preserve"> </w:t>
      </w:r>
      <w:r>
        <w:rPr>
          <w:lang w:val="fr-FR"/>
        </w:rPr>
        <w:t>le Soudan et l’</w:t>
      </w:r>
      <w:r w:rsidRPr="001D1942">
        <w:rPr>
          <w:lang w:val="fr-FR"/>
        </w:rPr>
        <w:t>Uruguay.</w:t>
      </w:r>
    </w:p>
  </w:footnote>
  <w:footnote w:id="38">
    <w:p w:rsidR="00B773E0" w:rsidRPr="009E6016" w:rsidRDefault="00B773E0" w:rsidP="00357E92">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Pr>
          <w:snapToGrid w:val="0"/>
          <w:kern w:val="18"/>
          <w:szCs w:val="18"/>
          <w:lang w:val="fr-FR"/>
        </w:rPr>
        <w:t xml:space="preserve"> L’Afrique du Sud, le Bé</w:t>
      </w:r>
      <w:r w:rsidRPr="009E6016">
        <w:rPr>
          <w:snapToGrid w:val="0"/>
          <w:kern w:val="18"/>
          <w:szCs w:val="18"/>
          <w:lang w:val="fr-FR"/>
        </w:rPr>
        <w:t xml:space="preserve">nin, </w:t>
      </w:r>
      <w:r>
        <w:rPr>
          <w:snapToGrid w:val="0"/>
          <w:kern w:val="18"/>
          <w:szCs w:val="18"/>
          <w:lang w:val="fr-FR"/>
        </w:rPr>
        <w:t xml:space="preserve">le </w:t>
      </w:r>
      <w:r w:rsidRPr="009E6016">
        <w:rPr>
          <w:snapToGrid w:val="0"/>
          <w:kern w:val="18"/>
          <w:szCs w:val="18"/>
          <w:lang w:val="fr-FR"/>
        </w:rPr>
        <w:t xml:space="preserve">Burkina Faso, </w:t>
      </w:r>
      <w:r>
        <w:rPr>
          <w:snapToGrid w:val="0"/>
          <w:kern w:val="18"/>
          <w:szCs w:val="18"/>
          <w:lang w:val="fr-FR"/>
        </w:rPr>
        <w:t>le Cameroun</w:t>
      </w:r>
      <w:r w:rsidRPr="009E6016">
        <w:rPr>
          <w:snapToGrid w:val="0"/>
          <w:kern w:val="18"/>
          <w:szCs w:val="18"/>
          <w:lang w:val="fr-FR"/>
        </w:rPr>
        <w:t xml:space="preserve">, </w:t>
      </w:r>
      <w:r>
        <w:rPr>
          <w:snapToGrid w:val="0"/>
          <w:kern w:val="18"/>
          <w:szCs w:val="18"/>
          <w:lang w:val="fr-FR"/>
        </w:rPr>
        <w:t>l’Éthiopie</w:t>
      </w:r>
      <w:r w:rsidRPr="009E6016">
        <w:rPr>
          <w:snapToGrid w:val="0"/>
          <w:kern w:val="18"/>
          <w:szCs w:val="18"/>
          <w:lang w:val="fr-FR"/>
        </w:rPr>
        <w:t xml:space="preserve">, </w:t>
      </w:r>
      <w:r>
        <w:rPr>
          <w:snapToGrid w:val="0"/>
          <w:kern w:val="18"/>
          <w:szCs w:val="18"/>
          <w:lang w:val="fr-FR"/>
        </w:rPr>
        <w:t>l’Inde</w:t>
      </w:r>
      <w:r w:rsidRPr="009E6016">
        <w:rPr>
          <w:snapToGrid w:val="0"/>
          <w:kern w:val="18"/>
          <w:szCs w:val="18"/>
          <w:lang w:val="fr-FR"/>
        </w:rPr>
        <w:t xml:space="preserve">, </w:t>
      </w:r>
      <w:r>
        <w:rPr>
          <w:snapToGrid w:val="0"/>
          <w:kern w:val="18"/>
          <w:szCs w:val="18"/>
          <w:lang w:val="fr-FR"/>
        </w:rPr>
        <w:t xml:space="preserve">le </w:t>
      </w:r>
      <w:r w:rsidRPr="009E6016">
        <w:rPr>
          <w:snapToGrid w:val="0"/>
          <w:kern w:val="18"/>
          <w:szCs w:val="18"/>
          <w:lang w:val="fr-FR"/>
        </w:rPr>
        <w:t>Malawi</w:t>
      </w:r>
      <w:r>
        <w:rPr>
          <w:snapToGrid w:val="0"/>
          <w:kern w:val="18"/>
          <w:szCs w:val="18"/>
          <w:lang w:val="fr-FR"/>
        </w:rPr>
        <w:t xml:space="preserve"> et</w:t>
      </w:r>
      <w:r w:rsidRPr="009E6016">
        <w:rPr>
          <w:snapToGrid w:val="0"/>
          <w:kern w:val="18"/>
          <w:szCs w:val="18"/>
          <w:lang w:val="fr-FR"/>
        </w:rPr>
        <w:t xml:space="preserve"> </w:t>
      </w:r>
      <w:r>
        <w:rPr>
          <w:snapToGrid w:val="0"/>
          <w:kern w:val="18"/>
          <w:szCs w:val="18"/>
          <w:lang w:val="fr-FR"/>
        </w:rPr>
        <w:t>le Maroc</w:t>
      </w:r>
      <w:r w:rsidRPr="009E6016">
        <w:rPr>
          <w:snapToGrid w:val="0"/>
          <w:kern w:val="18"/>
          <w:szCs w:val="18"/>
          <w:lang w:val="fr-FR"/>
        </w:rPr>
        <w:t>.</w:t>
      </w:r>
    </w:p>
  </w:footnote>
  <w:footnote w:id="39">
    <w:p w:rsidR="00B773E0" w:rsidRPr="009E6016"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Pr>
          <w:snapToGrid w:val="0"/>
          <w:kern w:val="18"/>
          <w:szCs w:val="18"/>
          <w:lang w:val="fr-FR"/>
        </w:rPr>
        <w:t xml:space="preserve"> </w:t>
      </w:r>
      <w:r>
        <w:rPr>
          <w:rFonts w:eastAsia="Calibri"/>
          <w:snapToGrid w:val="0"/>
          <w:kern w:val="18"/>
          <w:szCs w:val="18"/>
          <w:lang w:val="fr-FR"/>
        </w:rPr>
        <w:t>Antigua-et-</w:t>
      </w:r>
      <w:r w:rsidRPr="009E6016">
        <w:rPr>
          <w:rFonts w:eastAsia="Calibri"/>
          <w:snapToGrid w:val="0"/>
          <w:kern w:val="18"/>
          <w:szCs w:val="18"/>
          <w:lang w:val="fr-FR"/>
        </w:rPr>
        <w:t xml:space="preserve">Barbuda, </w:t>
      </w:r>
      <w:r>
        <w:rPr>
          <w:rFonts w:eastAsia="Calibri"/>
          <w:snapToGrid w:val="0"/>
          <w:kern w:val="18"/>
          <w:szCs w:val="18"/>
          <w:lang w:val="fr-FR"/>
        </w:rPr>
        <w:t>le Bé</w:t>
      </w:r>
      <w:r w:rsidRPr="009E6016">
        <w:rPr>
          <w:rFonts w:eastAsia="Calibri"/>
          <w:snapToGrid w:val="0"/>
          <w:kern w:val="18"/>
          <w:szCs w:val="18"/>
          <w:lang w:val="fr-FR"/>
        </w:rPr>
        <w:t xml:space="preserve">nin, </w:t>
      </w:r>
      <w:r>
        <w:rPr>
          <w:rFonts w:eastAsia="Calibri"/>
          <w:snapToGrid w:val="0"/>
          <w:kern w:val="18"/>
          <w:szCs w:val="18"/>
          <w:lang w:val="fr-FR"/>
        </w:rPr>
        <w:t xml:space="preserve">le </w:t>
      </w:r>
      <w:r w:rsidRPr="009E6016">
        <w:rPr>
          <w:rFonts w:eastAsia="Calibri"/>
          <w:snapToGrid w:val="0"/>
          <w:kern w:val="18"/>
          <w:szCs w:val="18"/>
          <w:lang w:val="fr-FR"/>
        </w:rPr>
        <w:t>Bh</w:t>
      </w:r>
      <w:r>
        <w:rPr>
          <w:rFonts w:eastAsia="Calibri"/>
          <w:snapToGrid w:val="0"/>
          <w:kern w:val="18"/>
          <w:szCs w:val="18"/>
          <w:lang w:val="fr-FR"/>
        </w:rPr>
        <w:t>o</w:t>
      </w:r>
      <w:r w:rsidRPr="009E6016">
        <w:rPr>
          <w:rFonts w:eastAsia="Calibri"/>
          <w:snapToGrid w:val="0"/>
          <w:kern w:val="18"/>
          <w:szCs w:val="18"/>
          <w:lang w:val="fr-FR"/>
        </w:rPr>
        <w:t xml:space="preserve">utan, </w:t>
      </w:r>
      <w:r>
        <w:rPr>
          <w:snapToGrid w:val="0"/>
          <w:kern w:val="18"/>
          <w:szCs w:val="18"/>
          <w:lang w:val="fr-FR"/>
        </w:rPr>
        <w:t>l’Éthiopie</w:t>
      </w:r>
      <w:r w:rsidRPr="009E6016">
        <w:rPr>
          <w:rFonts w:eastAsia="Calibri"/>
          <w:snapToGrid w:val="0"/>
          <w:kern w:val="18"/>
          <w:szCs w:val="18"/>
          <w:lang w:val="fr-FR"/>
        </w:rPr>
        <w:t xml:space="preserve">, </w:t>
      </w:r>
      <w:r>
        <w:rPr>
          <w:snapToGrid w:val="0"/>
          <w:kern w:val="18"/>
          <w:szCs w:val="18"/>
          <w:lang w:val="fr-FR"/>
        </w:rPr>
        <w:t>l’Inde et le</w:t>
      </w:r>
      <w:r w:rsidRPr="009E6016">
        <w:rPr>
          <w:rFonts w:eastAsia="Calibri"/>
          <w:snapToGrid w:val="0"/>
          <w:kern w:val="18"/>
          <w:szCs w:val="18"/>
          <w:lang w:val="fr-FR"/>
        </w:rPr>
        <w:t xml:space="preserve"> P</w:t>
      </w:r>
      <w:r>
        <w:rPr>
          <w:rFonts w:eastAsia="Calibri"/>
          <w:snapToGrid w:val="0"/>
          <w:kern w:val="18"/>
          <w:szCs w:val="18"/>
          <w:lang w:val="fr-FR"/>
        </w:rPr>
        <w:t>éro</w:t>
      </w:r>
      <w:r w:rsidRPr="009E6016">
        <w:rPr>
          <w:rFonts w:eastAsia="Calibri"/>
          <w:snapToGrid w:val="0"/>
          <w:kern w:val="18"/>
          <w:szCs w:val="18"/>
          <w:lang w:val="fr-FR"/>
        </w:rPr>
        <w:t>u.</w:t>
      </w:r>
    </w:p>
  </w:footnote>
  <w:footnote w:id="40">
    <w:p w:rsidR="00B773E0" w:rsidRPr="009E6016"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Pr>
          <w:snapToGrid w:val="0"/>
          <w:kern w:val="18"/>
          <w:szCs w:val="18"/>
          <w:lang w:val="fr-FR"/>
        </w:rPr>
        <w:t xml:space="preserve"> Le Bé</w:t>
      </w:r>
      <w:r w:rsidRPr="009E6016">
        <w:rPr>
          <w:snapToGrid w:val="0"/>
          <w:kern w:val="18"/>
          <w:szCs w:val="18"/>
          <w:lang w:val="fr-FR"/>
        </w:rPr>
        <w:t>nin.</w:t>
      </w:r>
    </w:p>
  </w:footnote>
  <w:footnote w:id="41">
    <w:p w:rsidR="00B773E0" w:rsidRPr="009E6016"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Pr>
          <w:snapToGrid w:val="0"/>
          <w:kern w:val="18"/>
          <w:szCs w:val="18"/>
          <w:lang w:val="fr-FR"/>
        </w:rPr>
        <w:t xml:space="preserve"> Le </w:t>
      </w:r>
      <w:r w:rsidRPr="009E6016">
        <w:rPr>
          <w:snapToGrid w:val="0"/>
          <w:kern w:val="18"/>
          <w:szCs w:val="18"/>
          <w:lang w:val="fr-FR"/>
        </w:rPr>
        <w:t xml:space="preserve">Burundi, </w:t>
      </w:r>
      <w:r>
        <w:rPr>
          <w:snapToGrid w:val="0"/>
          <w:kern w:val="18"/>
          <w:szCs w:val="18"/>
          <w:lang w:val="fr-FR"/>
        </w:rPr>
        <w:t>le Cameroun</w:t>
      </w:r>
      <w:r w:rsidRPr="009E6016">
        <w:rPr>
          <w:snapToGrid w:val="0"/>
          <w:kern w:val="18"/>
          <w:szCs w:val="18"/>
          <w:lang w:val="fr-FR"/>
        </w:rPr>
        <w:t xml:space="preserve">, </w:t>
      </w:r>
      <w:r>
        <w:rPr>
          <w:snapToGrid w:val="0"/>
          <w:kern w:val="18"/>
          <w:szCs w:val="18"/>
          <w:lang w:val="fr-FR"/>
        </w:rPr>
        <w:t>la Chine</w:t>
      </w:r>
      <w:r w:rsidRPr="009E6016">
        <w:rPr>
          <w:snapToGrid w:val="0"/>
          <w:kern w:val="18"/>
          <w:szCs w:val="18"/>
          <w:lang w:val="fr-FR"/>
        </w:rPr>
        <w:t xml:space="preserve">, </w:t>
      </w:r>
      <w:r>
        <w:rPr>
          <w:snapToGrid w:val="0"/>
          <w:kern w:val="18"/>
          <w:szCs w:val="18"/>
          <w:lang w:val="fr-FR"/>
        </w:rPr>
        <w:t>l’Inde et le</w:t>
      </w:r>
      <w:r w:rsidRPr="009E6016">
        <w:rPr>
          <w:snapToGrid w:val="0"/>
          <w:kern w:val="18"/>
          <w:szCs w:val="18"/>
          <w:lang w:val="fr-FR"/>
        </w:rPr>
        <w:t xml:space="preserve"> Kenya.</w:t>
      </w:r>
    </w:p>
  </w:footnote>
  <w:footnote w:id="42">
    <w:p w:rsidR="00B773E0" w:rsidRPr="009E6016"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Pr>
          <w:snapToGrid w:val="0"/>
          <w:kern w:val="18"/>
          <w:szCs w:val="18"/>
          <w:lang w:val="fr-FR"/>
        </w:rPr>
        <w:t xml:space="preserve"> Les </w:t>
      </w:r>
      <w:r>
        <w:rPr>
          <w:rFonts w:eastAsia="Calibri"/>
          <w:snapToGrid w:val="0"/>
          <w:kern w:val="18"/>
          <w:szCs w:val="18"/>
          <w:lang w:val="fr-FR"/>
        </w:rPr>
        <w:t>Comore</w:t>
      </w:r>
      <w:r w:rsidRPr="009E6016">
        <w:rPr>
          <w:rFonts w:eastAsia="Calibri"/>
          <w:snapToGrid w:val="0"/>
          <w:kern w:val="18"/>
          <w:szCs w:val="18"/>
          <w:lang w:val="fr-FR"/>
        </w:rPr>
        <w:t xml:space="preserve">s, </w:t>
      </w:r>
      <w:r>
        <w:rPr>
          <w:snapToGrid w:val="0"/>
          <w:kern w:val="18"/>
          <w:szCs w:val="18"/>
          <w:lang w:val="fr-FR"/>
        </w:rPr>
        <w:t>l’Éthiopie</w:t>
      </w:r>
      <w:r w:rsidRPr="009E6016">
        <w:rPr>
          <w:rFonts w:eastAsia="Calibri"/>
          <w:snapToGrid w:val="0"/>
          <w:kern w:val="18"/>
          <w:szCs w:val="18"/>
          <w:lang w:val="fr-FR"/>
        </w:rPr>
        <w:t xml:space="preserve">, </w:t>
      </w:r>
      <w:r>
        <w:rPr>
          <w:snapToGrid w:val="0"/>
          <w:kern w:val="18"/>
          <w:szCs w:val="18"/>
          <w:lang w:val="fr-FR"/>
        </w:rPr>
        <w:t>l’Inde et la</w:t>
      </w:r>
      <w:r>
        <w:rPr>
          <w:rFonts w:eastAsia="Calibri"/>
          <w:snapToGrid w:val="0"/>
          <w:kern w:val="18"/>
          <w:szCs w:val="18"/>
          <w:lang w:val="fr-FR"/>
        </w:rPr>
        <w:t xml:space="preserve"> Norvège</w:t>
      </w:r>
      <w:r w:rsidRPr="009E6016">
        <w:rPr>
          <w:rFonts w:eastAsia="Calibri"/>
          <w:snapToGrid w:val="0"/>
          <w:kern w:val="18"/>
          <w:szCs w:val="18"/>
          <w:lang w:val="fr-FR"/>
        </w:rPr>
        <w:t>.</w:t>
      </w:r>
    </w:p>
  </w:footnote>
  <w:footnote w:id="43">
    <w:p w:rsidR="00B773E0" w:rsidRPr="009E6016"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Pr>
          <w:snapToGrid w:val="0"/>
          <w:kern w:val="18"/>
          <w:szCs w:val="18"/>
          <w:lang w:val="fr-FR"/>
        </w:rPr>
        <w:t xml:space="preserve"> La </w:t>
      </w:r>
      <w:r w:rsidRPr="009E6016">
        <w:rPr>
          <w:snapToGrid w:val="0"/>
          <w:kern w:val="18"/>
          <w:szCs w:val="18"/>
          <w:lang w:val="fr-FR"/>
        </w:rPr>
        <w:t>Finland</w:t>
      </w:r>
      <w:r>
        <w:rPr>
          <w:snapToGrid w:val="0"/>
          <w:kern w:val="18"/>
          <w:szCs w:val="18"/>
          <w:lang w:val="fr-FR"/>
        </w:rPr>
        <w:t>e</w:t>
      </w:r>
      <w:r w:rsidRPr="009E6016">
        <w:rPr>
          <w:snapToGrid w:val="0"/>
          <w:kern w:val="18"/>
          <w:szCs w:val="18"/>
          <w:lang w:val="fr-FR"/>
        </w:rPr>
        <w:t>.</w:t>
      </w:r>
    </w:p>
  </w:footnote>
  <w:footnote w:id="44">
    <w:p w:rsidR="00B773E0" w:rsidRPr="009E6016"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sidRPr="009E6016">
        <w:rPr>
          <w:snapToGrid w:val="0"/>
          <w:kern w:val="18"/>
          <w:szCs w:val="18"/>
          <w:lang w:val="fr-FR"/>
        </w:rPr>
        <w:t xml:space="preserve"> </w:t>
      </w:r>
      <w:r>
        <w:rPr>
          <w:snapToGrid w:val="0"/>
          <w:kern w:val="18"/>
          <w:szCs w:val="18"/>
          <w:lang w:val="fr-FR"/>
        </w:rPr>
        <w:t xml:space="preserve">Le </w:t>
      </w:r>
      <w:r w:rsidRPr="009E6016">
        <w:rPr>
          <w:snapToGrid w:val="0"/>
          <w:kern w:val="18"/>
          <w:szCs w:val="18"/>
          <w:lang w:val="fr-FR"/>
        </w:rPr>
        <w:t xml:space="preserve">Botswana, </w:t>
      </w:r>
      <w:r>
        <w:rPr>
          <w:snapToGrid w:val="0"/>
          <w:kern w:val="18"/>
          <w:szCs w:val="18"/>
          <w:lang w:val="fr-FR"/>
        </w:rPr>
        <w:t>la Chine</w:t>
      </w:r>
      <w:r w:rsidRPr="009E6016">
        <w:rPr>
          <w:snapToGrid w:val="0"/>
          <w:kern w:val="18"/>
          <w:szCs w:val="18"/>
          <w:lang w:val="fr-FR"/>
        </w:rPr>
        <w:t xml:space="preserve">, </w:t>
      </w:r>
      <w:r>
        <w:rPr>
          <w:snapToGrid w:val="0"/>
          <w:kern w:val="18"/>
          <w:szCs w:val="18"/>
          <w:lang w:val="fr-FR"/>
        </w:rPr>
        <w:t>les Comore</w:t>
      </w:r>
      <w:r w:rsidRPr="009E6016">
        <w:rPr>
          <w:snapToGrid w:val="0"/>
          <w:kern w:val="18"/>
          <w:szCs w:val="18"/>
          <w:lang w:val="fr-FR"/>
        </w:rPr>
        <w:t xml:space="preserve">s, </w:t>
      </w:r>
      <w:r>
        <w:rPr>
          <w:snapToGrid w:val="0"/>
          <w:kern w:val="18"/>
          <w:szCs w:val="18"/>
          <w:lang w:val="fr-FR"/>
        </w:rPr>
        <w:t xml:space="preserve">la </w:t>
      </w:r>
      <w:r w:rsidRPr="009E6016">
        <w:rPr>
          <w:snapToGrid w:val="0"/>
          <w:kern w:val="18"/>
          <w:szCs w:val="18"/>
          <w:lang w:val="fr-FR"/>
        </w:rPr>
        <w:t xml:space="preserve">Côte d’Ivoire, </w:t>
      </w:r>
      <w:r>
        <w:rPr>
          <w:snapToGrid w:val="0"/>
          <w:kern w:val="18"/>
          <w:szCs w:val="18"/>
          <w:lang w:val="fr-FR"/>
        </w:rPr>
        <w:t>le Mexique</w:t>
      </w:r>
      <w:r w:rsidRPr="009E6016">
        <w:rPr>
          <w:snapToGrid w:val="0"/>
          <w:kern w:val="18"/>
          <w:szCs w:val="18"/>
          <w:lang w:val="fr-FR"/>
        </w:rPr>
        <w:t xml:space="preserve">, </w:t>
      </w:r>
      <w:r>
        <w:rPr>
          <w:lang w:val="fr-FR"/>
        </w:rPr>
        <w:t>la République démocratique populaire lao</w:t>
      </w:r>
      <w:r w:rsidRPr="009E6016">
        <w:rPr>
          <w:snapToGrid w:val="0"/>
          <w:kern w:val="18"/>
          <w:szCs w:val="18"/>
          <w:lang w:val="fr-FR"/>
        </w:rPr>
        <w:t xml:space="preserve">, </w:t>
      </w:r>
      <w:r>
        <w:rPr>
          <w:snapToGrid w:val="0"/>
          <w:kern w:val="18"/>
          <w:szCs w:val="18"/>
          <w:lang w:val="fr-FR"/>
        </w:rPr>
        <w:t>la République dominicaine</w:t>
      </w:r>
      <w:r w:rsidRPr="009E6016">
        <w:rPr>
          <w:snapToGrid w:val="0"/>
          <w:kern w:val="18"/>
          <w:szCs w:val="18"/>
          <w:lang w:val="fr-FR"/>
        </w:rPr>
        <w:t xml:space="preserve">, </w:t>
      </w:r>
      <w:r>
        <w:rPr>
          <w:snapToGrid w:val="0"/>
          <w:kern w:val="18"/>
          <w:szCs w:val="18"/>
          <w:lang w:val="fr-FR"/>
        </w:rPr>
        <w:t>le Séné</w:t>
      </w:r>
      <w:r w:rsidRPr="009E6016">
        <w:rPr>
          <w:snapToGrid w:val="0"/>
          <w:kern w:val="18"/>
          <w:szCs w:val="18"/>
          <w:lang w:val="fr-FR"/>
        </w:rPr>
        <w:t xml:space="preserve">gal, </w:t>
      </w:r>
      <w:r>
        <w:rPr>
          <w:snapToGrid w:val="0"/>
          <w:kern w:val="18"/>
          <w:szCs w:val="18"/>
          <w:lang w:val="fr-FR"/>
        </w:rPr>
        <w:t>le Togo et l’</w:t>
      </w:r>
      <w:r w:rsidRPr="009E6016">
        <w:rPr>
          <w:snapToGrid w:val="0"/>
          <w:kern w:val="18"/>
          <w:szCs w:val="18"/>
          <w:lang w:val="fr-FR"/>
        </w:rPr>
        <w:t>Uruguay.</w:t>
      </w:r>
    </w:p>
  </w:footnote>
  <w:footnote w:id="45">
    <w:p w:rsidR="00B773E0" w:rsidRPr="009E6016"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sidRPr="009E6016">
        <w:rPr>
          <w:snapToGrid w:val="0"/>
          <w:kern w:val="18"/>
          <w:szCs w:val="18"/>
          <w:lang w:val="fr-FR"/>
        </w:rPr>
        <w:t xml:space="preserve"> </w:t>
      </w:r>
      <w:r>
        <w:rPr>
          <w:snapToGrid w:val="0"/>
          <w:kern w:val="18"/>
          <w:szCs w:val="18"/>
          <w:lang w:val="fr-FR"/>
        </w:rPr>
        <w:t>Le Mexique et le</w:t>
      </w:r>
      <w:r w:rsidRPr="009E6016">
        <w:rPr>
          <w:snapToGrid w:val="0"/>
          <w:kern w:val="18"/>
          <w:szCs w:val="18"/>
          <w:lang w:val="fr-FR"/>
        </w:rPr>
        <w:t xml:space="preserve"> Niger.</w:t>
      </w:r>
    </w:p>
  </w:footnote>
  <w:footnote w:id="46">
    <w:p w:rsidR="00B773E0" w:rsidRPr="009E6016"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9E6016">
        <w:rPr>
          <w:rStyle w:val="Appelnotedebasdep"/>
          <w:snapToGrid w:val="0"/>
          <w:kern w:val="18"/>
          <w:szCs w:val="18"/>
          <w:lang w:val="fr-FR"/>
        </w:rPr>
        <w:footnoteRef/>
      </w:r>
      <w:r w:rsidRPr="009E6016">
        <w:rPr>
          <w:snapToGrid w:val="0"/>
          <w:kern w:val="18"/>
          <w:szCs w:val="18"/>
          <w:lang w:val="fr-FR"/>
        </w:rPr>
        <w:t xml:space="preserve"> </w:t>
      </w:r>
      <w:r>
        <w:rPr>
          <w:snapToGrid w:val="0"/>
          <w:kern w:val="18"/>
          <w:szCs w:val="18"/>
          <w:lang w:val="fr-FR"/>
        </w:rPr>
        <w:t>La Chine et les Comore</w:t>
      </w:r>
      <w:r w:rsidRPr="009E6016">
        <w:rPr>
          <w:snapToGrid w:val="0"/>
          <w:kern w:val="18"/>
          <w:szCs w:val="18"/>
          <w:lang w:val="fr-FR"/>
        </w:rPr>
        <w:t>s.</w:t>
      </w:r>
    </w:p>
  </w:footnote>
  <w:footnote w:id="47">
    <w:p w:rsidR="00B773E0" w:rsidRPr="00371273"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371273">
        <w:rPr>
          <w:rStyle w:val="Appelnotedebasdep"/>
          <w:snapToGrid w:val="0"/>
          <w:kern w:val="18"/>
          <w:szCs w:val="18"/>
          <w:lang w:val="fr-FR"/>
        </w:rPr>
        <w:footnoteRef/>
      </w:r>
      <w:r w:rsidRPr="00371273">
        <w:rPr>
          <w:snapToGrid w:val="0"/>
          <w:kern w:val="18"/>
          <w:szCs w:val="18"/>
          <w:lang w:val="fr-FR"/>
        </w:rPr>
        <w:t xml:space="preserve"> </w:t>
      </w:r>
      <w:r>
        <w:rPr>
          <w:snapToGrid w:val="0"/>
          <w:kern w:val="18"/>
          <w:szCs w:val="18"/>
          <w:lang w:val="fr-FR"/>
        </w:rPr>
        <w:t>Voir</w:t>
      </w:r>
      <w:r w:rsidRPr="00371273">
        <w:rPr>
          <w:snapToGrid w:val="0"/>
          <w:kern w:val="18"/>
          <w:szCs w:val="18"/>
          <w:lang w:val="fr-FR"/>
        </w:rPr>
        <w:t xml:space="preserve"> </w:t>
      </w:r>
      <w:r>
        <w:rPr>
          <w:snapToGrid w:val="0"/>
          <w:kern w:val="18"/>
          <w:szCs w:val="18"/>
          <w:lang w:val="fr-FR"/>
        </w:rPr>
        <w:t>par exe</w:t>
      </w:r>
      <w:r w:rsidRPr="00371273">
        <w:rPr>
          <w:snapToGrid w:val="0"/>
          <w:kern w:val="18"/>
          <w:szCs w:val="18"/>
          <w:lang w:val="fr-FR"/>
        </w:rPr>
        <w:t xml:space="preserve">mple </w:t>
      </w:r>
      <w:r>
        <w:rPr>
          <w:snapToGrid w:val="0"/>
          <w:kern w:val="18"/>
          <w:szCs w:val="18"/>
          <w:lang w:val="fr-FR"/>
        </w:rPr>
        <w:t>la soumission du Mexique</w:t>
      </w:r>
      <w:r w:rsidRPr="00371273">
        <w:rPr>
          <w:snapToGrid w:val="0"/>
          <w:kern w:val="18"/>
          <w:szCs w:val="18"/>
          <w:lang w:val="fr-FR"/>
        </w:rPr>
        <w:t xml:space="preserve"> </w:t>
      </w:r>
      <w:r>
        <w:rPr>
          <w:snapToGrid w:val="0"/>
          <w:kern w:val="18"/>
          <w:szCs w:val="18"/>
          <w:lang w:val="fr-FR"/>
        </w:rPr>
        <w:t>et le « Rapport de la réunion du groupe d’experts sur l’article 10 du Protocole de Nagoya sur l’accès et le partage des avantages »</w:t>
      </w:r>
      <w:r w:rsidRPr="00371273">
        <w:rPr>
          <w:snapToGrid w:val="0"/>
          <w:kern w:val="18"/>
          <w:szCs w:val="18"/>
          <w:lang w:val="fr-FR"/>
        </w:rPr>
        <w:t xml:space="preserve"> (</w:t>
      </w:r>
      <w:hyperlink r:id="rId4" w:history="1">
        <w:r w:rsidRPr="00371273">
          <w:rPr>
            <w:rStyle w:val="Lienhypertexte"/>
            <w:snapToGrid w:val="0"/>
            <w:kern w:val="18"/>
            <w:szCs w:val="18"/>
            <w:lang w:val="fr-FR"/>
          </w:rPr>
          <w:t>UNEP/CBD/NP/COP-MOP/2/10</w:t>
        </w:r>
      </w:hyperlink>
      <w:r w:rsidRPr="00371273">
        <w:rPr>
          <w:rStyle w:val="Lienhypertexte"/>
          <w:snapToGrid w:val="0"/>
          <w:kern w:val="18"/>
          <w:szCs w:val="18"/>
          <w:lang w:val="fr-FR"/>
        </w:rPr>
        <w:t>)</w:t>
      </w:r>
      <w:r>
        <w:rPr>
          <w:snapToGrid w:val="0"/>
          <w:kern w:val="18"/>
          <w:szCs w:val="18"/>
          <w:lang w:val="fr-FR"/>
        </w:rPr>
        <w:t>, paragraphes 32 à </w:t>
      </w:r>
      <w:r w:rsidRPr="00371273">
        <w:rPr>
          <w:snapToGrid w:val="0"/>
          <w:kern w:val="18"/>
          <w:szCs w:val="18"/>
          <w:lang w:val="fr-FR"/>
        </w:rPr>
        <w:t>34.</w:t>
      </w:r>
    </w:p>
  </w:footnote>
  <w:footnote w:id="48">
    <w:p w:rsidR="00B773E0" w:rsidRPr="00371273"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371273">
        <w:rPr>
          <w:rStyle w:val="Appelnotedebasdep"/>
          <w:snapToGrid w:val="0"/>
          <w:kern w:val="18"/>
          <w:szCs w:val="18"/>
          <w:lang w:val="fr-FR"/>
        </w:rPr>
        <w:footnoteRef/>
      </w:r>
      <w:r>
        <w:rPr>
          <w:snapToGrid w:val="0"/>
          <w:kern w:val="18"/>
          <w:szCs w:val="18"/>
          <w:lang w:val="fr-FR"/>
        </w:rPr>
        <w:t xml:space="preserve"> Le </w:t>
      </w:r>
      <w:proofErr w:type="spellStart"/>
      <w:r>
        <w:rPr>
          <w:snapToGrid w:val="0"/>
          <w:kern w:val="18"/>
          <w:szCs w:val="18"/>
          <w:lang w:val="fr-FR"/>
        </w:rPr>
        <w:t>Bé</w:t>
      </w:r>
      <w:r w:rsidRPr="00371273">
        <w:rPr>
          <w:snapToGrid w:val="0"/>
          <w:kern w:val="18"/>
          <w:szCs w:val="18"/>
          <w:lang w:val="fr-FR"/>
        </w:rPr>
        <w:t>larus</w:t>
      </w:r>
      <w:proofErr w:type="spellEnd"/>
      <w:r w:rsidRPr="00371273">
        <w:rPr>
          <w:snapToGrid w:val="0"/>
          <w:kern w:val="18"/>
          <w:szCs w:val="18"/>
          <w:lang w:val="fr-FR"/>
        </w:rPr>
        <w:t xml:space="preserve">, </w:t>
      </w:r>
      <w:r>
        <w:rPr>
          <w:snapToGrid w:val="0"/>
          <w:kern w:val="18"/>
          <w:szCs w:val="18"/>
          <w:lang w:val="fr-FR"/>
        </w:rPr>
        <w:t>la France, Malte</w:t>
      </w:r>
      <w:r w:rsidRPr="00371273">
        <w:rPr>
          <w:snapToGrid w:val="0"/>
          <w:kern w:val="18"/>
          <w:szCs w:val="18"/>
          <w:lang w:val="fr-FR"/>
        </w:rPr>
        <w:t xml:space="preserve">, </w:t>
      </w:r>
      <w:r>
        <w:rPr>
          <w:snapToGrid w:val="0"/>
          <w:kern w:val="18"/>
          <w:szCs w:val="18"/>
          <w:lang w:val="fr-FR"/>
        </w:rPr>
        <w:t>la Norvège et le</w:t>
      </w:r>
      <w:r w:rsidRPr="00371273">
        <w:rPr>
          <w:snapToGrid w:val="0"/>
          <w:kern w:val="18"/>
          <w:szCs w:val="18"/>
          <w:lang w:val="fr-FR"/>
        </w:rPr>
        <w:t xml:space="preserve"> Viet Nam.</w:t>
      </w:r>
    </w:p>
  </w:footnote>
  <w:footnote w:id="49">
    <w:p w:rsidR="00B773E0" w:rsidRPr="00371273"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371273">
        <w:rPr>
          <w:rStyle w:val="Appelnotedebasdep"/>
          <w:snapToGrid w:val="0"/>
          <w:kern w:val="18"/>
          <w:szCs w:val="18"/>
          <w:lang w:val="fr-FR"/>
        </w:rPr>
        <w:footnoteRef/>
      </w:r>
      <w:r>
        <w:rPr>
          <w:snapToGrid w:val="0"/>
          <w:kern w:val="18"/>
          <w:szCs w:val="18"/>
          <w:lang w:val="fr-FR"/>
        </w:rPr>
        <w:t xml:space="preserve"> La France et Malte</w:t>
      </w:r>
      <w:r w:rsidRPr="00371273">
        <w:rPr>
          <w:snapToGrid w:val="0"/>
          <w:kern w:val="18"/>
          <w:szCs w:val="18"/>
          <w:lang w:val="fr-FR"/>
        </w:rPr>
        <w:t>.</w:t>
      </w:r>
    </w:p>
  </w:footnote>
  <w:footnote w:id="50">
    <w:p w:rsidR="00B773E0" w:rsidRPr="00371273" w:rsidRDefault="00B773E0" w:rsidP="00217F60">
      <w:pPr>
        <w:suppressLineNumbers/>
        <w:suppressAutoHyphens/>
        <w:kinsoku w:val="0"/>
        <w:overflowPunct w:val="0"/>
        <w:autoSpaceDE w:val="0"/>
        <w:autoSpaceDN w:val="0"/>
        <w:adjustRightInd w:val="0"/>
        <w:snapToGrid w:val="0"/>
        <w:spacing w:after="60"/>
        <w:rPr>
          <w:snapToGrid w:val="0"/>
          <w:kern w:val="18"/>
          <w:sz w:val="18"/>
          <w:szCs w:val="18"/>
          <w:lang w:val="fr-FR"/>
        </w:rPr>
      </w:pPr>
      <w:r w:rsidRPr="00371273">
        <w:rPr>
          <w:rStyle w:val="Appelnotedebasdep"/>
          <w:snapToGrid w:val="0"/>
          <w:kern w:val="18"/>
          <w:szCs w:val="18"/>
          <w:lang w:val="fr-FR"/>
        </w:rPr>
        <w:footnoteRef/>
      </w:r>
      <w:r>
        <w:rPr>
          <w:snapToGrid w:val="0"/>
          <w:kern w:val="18"/>
          <w:sz w:val="18"/>
          <w:szCs w:val="18"/>
          <w:lang w:val="fr-FR"/>
        </w:rPr>
        <w:t xml:space="preserve"> L’Afrique du Sud, le </w:t>
      </w:r>
      <w:r w:rsidRPr="00371273">
        <w:rPr>
          <w:snapToGrid w:val="0"/>
          <w:kern w:val="18"/>
          <w:sz w:val="18"/>
          <w:szCs w:val="18"/>
          <w:lang w:val="fr-FR"/>
        </w:rPr>
        <w:t xml:space="preserve">Burkina Faso, </w:t>
      </w:r>
      <w:r>
        <w:rPr>
          <w:snapToGrid w:val="0"/>
          <w:kern w:val="18"/>
          <w:sz w:val="18"/>
          <w:szCs w:val="18"/>
          <w:lang w:val="fr-FR"/>
        </w:rPr>
        <w:t>la Mongolie et</w:t>
      </w:r>
      <w:r w:rsidRPr="00371273">
        <w:rPr>
          <w:snapToGrid w:val="0"/>
          <w:kern w:val="18"/>
          <w:sz w:val="18"/>
          <w:szCs w:val="18"/>
          <w:lang w:val="fr-FR"/>
        </w:rPr>
        <w:t xml:space="preserve"> </w:t>
      </w:r>
      <w:r>
        <w:rPr>
          <w:snapToGrid w:val="0"/>
          <w:kern w:val="18"/>
          <w:sz w:val="18"/>
          <w:szCs w:val="18"/>
          <w:lang w:val="fr-FR"/>
        </w:rPr>
        <w:t>le Pakistan</w:t>
      </w:r>
      <w:r w:rsidRPr="00371273">
        <w:rPr>
          <w:snapToGrid w:val="0"/>
          <w:kern w:val="18"/>
          <w:sz w:val="18"/>
          <w:szCs w:val="18"/>
          <w:lang w:val="fr-FR"/>
        </w:rPr>
        <w:t>.</w:t>
      </w:r>
    </w:p>
  </w:footnote>
  <w:footnote w:id="51">
    <w:p w:rsidR="00B773E0" w:rsidRPr="00371273"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371273">
        <w:rPr>
          <w:rStyle w:val="Appelnotedebasdep"/>
          <w:snapToGrid w:val="0"/>
          <w:kern w:val="18"/>
          <w:szCs w:val="18"/>
          <w:lang w:val="fr-FR"/>
        </w:rPr>
        <w:footnoteRef/>
      </w:r>
      <w:r w:rsidRPr="00371273">
        <w:rPr>
          <w:snapToGrid w:val="0"/>
          <w:kern w:val="18"/>
          <w:szCs w:val="18"/>
          <w:lang w:val="fr-FR"/>
        </w:rPr>
        <w:t xml:space="preserve"> </w:t>
      </w:r>
      <w:r>
        <w:rPr>
          <w:snapToGrid w:val="0"/>
          <w:kern w:val="18"/>
          <w:szCs w:val="18"/>
          <w:lang w:val="fr-FR"/>
        </w:rPr>
        <w:t xml:space="preserve">Le </w:t>
      </w:r>
      <w:r w:rsidRPr="00371273">
        <w:rPr>
          <w:snapToGrid w:val="0"/>
          <w:kern w:val="18"/>
          <w:szCs w:val="18"/>
          <w:lang w:val="fr-FR"/>
        </w:rPr>
        <w:t>Malawi.</w:t>
      </w:r>
    </w:p>
  </w:footnote>
  <w:footnote w:id="52">
    <w:p w:rsidR="00B773E0" w:rsidRPr="00371273"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371273">
        <w:rPr>
          <w:rStyle w:val="Appelnotedebasdep"/>
          <w:snapToGrid w:val="0"/>
          <w:kern w:val="18"/>
          <w:szCs w:val="18"/>
          <w:lang w:val="fr-FR"/>
        </w:rPr>
        <w:footnoteRef/>
      </w:r>
      <w:r>
        <w:rPr>
          <w:snapToGrid w:val="0"/>
          <w:kern w:val="18"/>
          <w:szCs w:val="18"/>
          <w:lang w:val="fr-FR"/>
        </w:rPr>
        <w:t xml:space="preserve"> Antigua-et-</w:t>
      </w:r>
      <w:r w:rsidRPr="00371273">
        <w:rPr>
          <w:snapToGrid w:val="0"/>
          <w:kern w:val="18"/>
          <w:szCs w:val="18"/>
          <w:lang w:val="fr-FR"/>
        </w:rPr>
        <w:t>Barbuda.</w:t>
      </w:r>
    </w:p>
  </w:footnote>
  <w:footnote w:id="53">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Pr>
          <w:snapToGrid w:val="0"/>
          <w:kern w:val="18"/>
          <w:szCs w:val="18"/>
          <w:lang w:val="fr-FR"/>
        </w:rPr>
        <w:t xml:space="preserve"> Le </w:t>
      </w:r>
      <w:r w:rsidRPr="00CA016D">
        <w:rPr>
          <w:snapToGrid w:val="0"/>
          <w:kern w:val="18"/>
          <w:szCs w:val="18"/>
          <w:lang w:val="fr-FR"/>
        </w:rPr>
        <w:t>Camero</w:t>
      </w:r>
      <w:r>
        <w:rPr>
          <w:snapToGrid w:val="0"/>
          <w:kern w:val="18"/>
          <w:szCs w:val="18"/>
          <w:lang w:val="fr-FR"/>
        </w:rPr>
        <w:t>u</w:t>
      </w:r>
      <w:r w:rsidRPr="00CA016D">
        <w:rPr>
          <w:snapToGrid w:val="0"/>
          <w:kern w:val="18"/>
          <w:szCs w:val="18"/>
          <w:lang w:val="fr-FR"/>
        </w:rPr>
        <w:t xml:space="preserve">n, </w:t>
      </w:r>
      <w:r>
        <w:rPr>
          <w:snapToGrid w:val="0"/>
          <w:kern w:val="18"/>
          <w:szCs w:val="18"/>
          <w:lang w:val="fr-FR"/>
        </w:rPr>
        <w:t>les Comore</w:t>
      </w:r>
      <w:r w:rsidRPr="00CA016D">
        <w:rPr>
          <w:snapToGrid w:val="0"/>
          <w:kern w:val="18"/>
          <w:szCs w:val="18"/>
          <w:lang w:val="fr-FR"/>
        </w:rPr>
        <w:t>s,</w:t>
      </w:r>
      <w:r>
        <w:rPr>
          <w:snapToGrid w:val="0"/>
          <w:kern w:val="18"/>
          <w:szCs w:val="18"/>
          <w:lang w:val="fr-FR"/>
        </w:rPr>
        <w:t xml:space="preserve"> le</w:t>
      </w:r>
      <w:r w:rsidRPr="00CA016D">
        <w:rPr>
          <w:snapToGrid w:val="0"/>
          <w:kern w:val="18"/>
          <w:szCs w:val="18"/>
          <w:lang w:val="fr-FR"/>
        </w:rPr>
        <w:t xml:space="preserve"> Kenya, </w:t>
      </w:r>
      <w:r>
        <w:rPr>
          <w:snapToGrid w:val="0"/>
          <w:kern w:val="18"/>
          <w:szCs w:val="18"/>
          <w:lang w:val="fr-FR"/>
        </w:rPr>
        <w:t>la Mauritanie</w:t>
      </w:r>
      <w:r w:rsidRPr="00CA016D">
        <w:rPr>
          <w:snapToGrid w:val="0"/>
          <w:kern w:val="18"/>
          <w:szCs w:val="18"/>
          <w:lang w:val="fr-FR"/>
        </w:rPr>
        <w:t xml:space="preserve">, </w:t>
      </w:r>
      <w:r>
        <w:rPr>
          <w:snapToGrid w:val="0"/>
          <w:kern w:val="18"/>
          <w:szCs w:val="18"/>
          <w:lang w:val="fr-FR"/>
        </w:rPr>
        <w:t>le Mexique</w:t>
      </w:r>
      <w:r w:rsidRPr="00CA016D">
        <w:rPr>
          <w:snapToGrid w:val="0"/>
          <w:kern w:val="18"/>
          <w:szCs w:val="18"/>
          <w:lang w:val="fr-FR"/>
        </w:rPr>
        <w:t xml:space="preserve">, </w:t>
      </w:r>
      <w:r>
        <w:rPr>
          <w:snapToGrid w:val="0"/>
          <w:kern w:val="18"/>
          <w:szCs w:val="18"/>
          <w:lang w:val="fr-FR"/>
        </w:rPr>
        <w:t>l’Ou</w:t>
      </w:r>
      <w:r w:rsidRPr="00CA016D">
        <w:rPr>
          <w:snapToGrid w:val="0"/>
          <w:kern w:val="18"/>
          <w:szCs w:val="18"/>
          <w:lang w:val="fr-FR"/>
        </w:rPr>
        <w:t>ganda</w:t>
      </w:r>
      <w:r>
        <w:rPr>
          <w:snapToGrid w:val="0"/>
          <w:kern w:val="18"/>
          <w:szCs w:val="18"/>
          <w:lang w:val="fr-FR"/>
        </w:rPr>
        <w:t xml:space="preserve"> et le Sénégal.</w:t>
      </w:r>
    </w:p>
  </w:footnote>
  <w:footnote w:id="54">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Le Mexique</w:t>
      </w:r>
      <w:r w:rsidRPr="00CA016D">
        <w:rPr>
          <w:snapToGrid w:val="0"/>
          <w:kern w:val="18"/>
          <w:szCs w:val="18"/>
          <w:lang w:val="fr-FR"/>
        </w:rPr>
        <w:t>.</w:t>
      </w:r>
    </w:p>
  </w:footnote>
  <w:footnote w:id="55">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Le</w:t>
      </w:r>
      <w:r w:rsidRPr="00CA016D">
        <w:rPr>
          <w:snapToGrid w:val="0"/>
          <w:kern w:val="18"/>
          <w:szCs w:val="18"/>
          <w:lang w:val="fr-FR"/>
        </w:rPr>
        <w:t xml:space="preserve"> Protocol</w:t>
      </w:r>
      <w:r>
        <w:rPr>
          <w:snapToGrid w:val="0"/>
          <w:kern w:val="18"/>
          <w:szCs w:val="18"/>
          <w:lang w:val="fr-FR"/>
        </w:rPr>
        <w:t>e</w:t>
      </w:r>
      <w:r w:rsidRPr="00CA016D">
        <w:rPr>
          <w:snapToGrid w:val="0"/>
          <w:kern w:val="18"/>
          <w:szCs w:val="18"/>
          <w:lang w:val="fr-FR"/>
        </w:rPr>
        <w:t xml:space="preserve"> </w:t>
      </w:r>
      <w:r>
        <w:rPr>
          <w:snapToGrid w:val="0"/>
          <w:kern w:val="18"/>
          <w:szCs w:val="18"/>
          <w:lang w:val="fr-FR"/>
        </w:rPr>
        <w:t>sur la gestion de l’environnement et des ressources naturelles</w:t>
      </w:r>
      <w:r w:rsidRPr="00CA016D">
        <w:rPr>
          <w:snapToGrid w:val="0"/>
          <w:kern w:val="18"/>
          <w:szCs w:val="18"/>
          <w:lang w:val="fr-FR"/>
        </w:rPr>
        <w:t xml:space="preserve"> </w:t>
      </w:r>
      <w:r>
        <w:rPr>
          <w:snapToGrid w:val="0"/>
          <w:kern w:val="18"/>
          <w:szCs w:val="18"/>
          <w:lang w:val="fr-FR"/>
        </w:rPr>
        <w:t>a été signé par le Kenya, l’Ou</w:t>
      </w:r>
      <w:r w:rsidRPr="00CA016D">
        <w:rPr>
          <w:snapToGrid w:val="0"/>
          <w:kern w:val="18"/>
          <w:szCs w:val="18"/>
          <w:lang w:val="fr-FR"/>
        </w:rPr>
        <w:t xml:space="preserve">ganda </w:t>
      </w:r>
      <w:r>
        <w:rPr>
          <w:snapToGrid w:val="0"/>
          <w:kern w:val="18"/>
          <w:szCs w:val="18"/>
          <w:lang w:val="fr-FR"/>
        </w:rPr>
        <w:t>et la</w:t>
      </w:r>
      <w:r w:rsidRPr="00CA016D">
        <w:rPr>
          <w:snapToGrid w:val="0"/>
          <w:kern w:val="18"/>
          <w:szCs w:val="18"/>
          <w:lang w:val="fr-FR"/>
        </w:rPr>
        <w:t xml:space="preserve"> </w:t>
      </w:r>
      <w:r>
        <w:rPr>
          <w:snapToGrid w:val="0"/>
          <w:kern w:val="18"/>
          <w:szCs w:val="18"/>
          <w:lang w:val="fr-FR"/>
        </w:rPr>
        <w:t xml:space="preserve">République unie de Tanzanie le 3 avril </w:t>
      </w:r>
      <w:r w:rsidRPr="00CA016D">
        <w:rPr>
          <w:snapToGrid w:val="0"/>
          <w:kern w:val="18"/>
          <w:szCs w:val="18"/>
          <w:lang w:val="fr-FR"/>
        </w:rPr>
        <w:t>2006.</w:t>
      </w:r>
    </w:p>
  </w:footnote>
  <w:footnote w:id="56">
    <w:p w:rsidR="00B773E0" w:rsidRPr="00CA016D"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Par exemple,</w:t>
      </w:r>
      <w:r w:rsidRPr="00CA016D">
        <w:rPr>
          <w:snapToGrid w:val="0"/>
          <w:kern w:val="18"/>
          <w:szCs w:val="18"/>
          <w:lang w:val="fr-FR"/>
        </w:rPr>
        <w:t xml:space="preserve"> </w:t>
      </w:r>
      <w:r>
        <w:rPr>
          <w:snapToGrid w:val="0"/>
          <w:kern w:val="18"/>
          <w:szCs w:val="18"/>
          <w:lang w:val="fr-FR"/>
        </w:rPr>
        <w:t>le Projet de gestion environnementale du lac</w:t>
      </w:r>
      <w:r w:rsidRPr="00CA016D">
        <w:rPr>
          <w:snapToGrid w:val="0"/>
          <w:kern w:val="18"/>
          <w:szCs w:val="18"/>
          <w:lang w:val="fr-FR"/>
        </w:rPr>
        <w:t xml:space="preserve"> Victoria </w:t>
      </w:r>
      <w:r>
        <w:rPr>
          <w:snapToGrid w:val="0"/>
          <w:kern w:val="18"/>
          <w:szCs w:val="18"/>
          <w:lang w:val="fr-FR"/>
        </w:rPr>
        <w:t>(Ou</w:t>
      </w:r>
      <w:r w:rsidRPr="00CA016D">
        <w:rPr>
          <w:snapToGrid w:val="0"/>
          <w:kern w:val="18"/>
          <w:szCs w:val="18"/>
          <w:lang w:val="fr-FR"/>
        </w:rPr>
        <w:t xml:space="preserve">ganda, Kenya, </w:t>
      </w:r>
      <w:r>
        <w:rPr>
          <w:snapToGrid w:val="0"/>
          <w:kern w:val="18"/>
          <w:szCs w:val="18"/>
          <w:lang w:val="fr-FR"/>
        </w:rPr>
        <w:t>République unie de Tanzanie</w:t>
      </w:r>
      <w:r w:rsidRPr="00CA016D">
        <w:rPr>
          <w:snapToGrid w:val="0"/>
          <w:kern w:val="18"/>
          <w:szCs w:val="18"/>
          <w:lang w:val="fr-FR"/>
        </w:rPr>
        <w:t>)</w:t>
      </w:r>
      <w:r>
        <w:rPr>
          <w:snapToGrid w:val="0"/>
          <w:kern w:val="18"/>
          <w:szCs w:val="18"/>
          <w:lang w:val="fr-FR"/>
        </w:rPr>
        <w:t> ; Organisation des pêcheries du lac</w:t>
      </w:r>
      <w:r w:rsidRPr="00CA016D">
        <w:rPr>
          <w:snapToGrid w:val="0"/>
          <w:kern w:val="18"/>
          <w:szCs w:val="18"/>
          <w:lang w:val="fr-FR"/>
        </w:rPr>
        <w:t xml:space="preserve"> Victoria (</w:t>
      </w:r>
      <w:r>
        <w:rPr>
          <w:snapToGrid w:val="0"/>
          <w:kern w:val="18"/>
          <w:szCs w:val="18"/>
          <w:lang w:val="fr-FR"/>
        </w:rPr>
        <w:t>Ou</w:t>
      </w:r>
      <w:r w:rsidRPr="00CA016D">
        <w:rPr>
          <w:snapToGrid w:val="0"/>
          <w:kern w:val="18"/>
          <w:szCs w:val="18"/>
          <w:lang w:val="fr-FR"/>
        </w:rPr>
        <w:t xml:space="preserve">ganda, Kenya, </w:t>
      </w:r>
      <w:r>
        <w:rPr>
          <w:snapToGrid w:val="0"/>
          <w:kern w:val="18"/>
          <w:szCs w:val="18"/>
          <w:lang w:val="fr-FR"/>
        </w:rPr>
        <w:t>République unie de Tanzanie</w:t>
      </w:r>
      <w:r w:rsidRPr="00CA016D">
        <w:rPr>
          <w:snapToGrid w:val="0"/>
          <w:kern w:val="18"/>
          <w:szCs w:val="18"/>
          <w:lang w:val="fr-FR"/>
        </w:rPr>
        <w:t>)</w:t>
      </w:r>
      <w:r>
        <w:rPr>
          <w:snapToGrid w:val="0"/>
          <w:kern w:val="18"/>
          <w:szCs w:val="18"/>
          <w:lang w:val="fr-FR"/>
        </w:rPr>
        <w:t> ;</w:t>
      </w:r>
      <w:r w:rsidRPr="00CA016D">
        <w:rPr>
          <w:snapToGrid w:val="0"/>
          <w:kern w:val="18"/>
          <w:szCs w:val="18"/>
          <w:lang w:val="fr-FR"/>
        </w:rPr>
        <w:t xml:space="preserve"> </w:t>
      </w:r>
      <w:r>
        <w:rPr>
          <w:snapToGrid w:val="0"/>
          <w:kern w:val="18"/>
          <w:szCs w:val="18"/>
          <w:lang w:val="fr-FR"/>
        </w:rPr>
        <w:t xml:space="preserve">Coopération transfrontière de </w:t>
      </w:r>
      <w:r w:rsidRPr="00CA016D">
        <w:rPr>
          <w:snapToGrid w:val="0"/>
          <w:kern w:val="18"/>
          <w:szCs w:val="18"/>
          <w:lang w:val="fr-FR"/>
        </w:rPr>
        <w:t>Virunga (</w:t>
      </w:r>
      <w:r>
        <w:rPr>
          <w:snapToGrid w:val="0"/>
          <w:kern w:val="18"/>
          <w:szCs w:val="18"/>
          <w:lang w:val="fr-FR"/>
        </w:rPr>
        <w:t>Ou</w:t>
      </w:r>
      <w:r w:rsidRPr="00CA016D">
        <w:rPr>
          <w:snapToGrid w:val="0"/>
          <w:kern w:val="18"/>
          <w:szCs w:val="18"/>
          <w:lang w:val="fr-FR"/>
        </w:rPr>
        <w:t>ganda, R</w:t>
      </w:r>
      <w:r>
        <w:rPr>
          <w:snapToGrid w:val="0"/>
          <w:kern w:val="18"/>
          <w:szCs w:val="18"/>
          <w:lang w:val="fr-FR"/>
        </w:rPr>
        <w:t>épublique démocratique du</w:t>
      </w:r>
      <w:r w:rsidRPr="00CA016D">
        <w:rPr>
          <w:snapToGrid w:val="0"/>
          <w:kern w:val="18"/>
          <w:szCs w:val="18"/>
          <w:lang w:val="fr-FR"/>
        </w:rPr>
        <w:t xml:space="preserve"> Congo, Rwanda </w:t>
      </w:r>
      <w:r>
        <w:rPr>
          <w:snapToGrid w:val="0"/>
          <w:kern w:val="18"/>
          <w:szCs w:val="18"/>
          <w:lang w:val="fr-FR"/>
        </w:rPr>
        <w:t>et</w:t>
      </w:r>
      <w:r w:rsidRPr="00CA016D">
        <w:rPr>
          <w:snapToGrid w:val="0"/>
          <w:kern w:val="18"/>
          <w:szCs w:val="18"/>
          <w:lang w:val="fr-FR"/>
        </w:rPr>
        <w:t xml:space="preserve"> </w:t>
      </w:r>
      <w:r>
        <w:rPr>
          <w:snapToGrid w:val="0"/>
          <w:kern w:val="18"/>
          <w:szCs w:val="18"/>
          <w:lang w:val="fr-FR"/>
        </w:rPr>
        <w:t>République unie de Tanzanie</w:t>
      </w:r>
      <w:r w:rsidRPr="00CA016D">
        <w:rPr>
          <w:snapToGrid w:val="0"/>
          <w:kern w:val="18"/>
          <w:szCs w:val="18"/>
          <w:lang w:val="fr-FR"/>
        </w:rPr>
        <w:t>)</w:t>
      </w:r>
      <w:r>
        <w:rPr>
          <w:snapToGrid w:val="0"/>
          <w:kern w:val="18"/>
          <w:szCs w:val="18"/>
          <w:lang w:val="fr-FR"/>
        </w:rPr>
        <w:t> ;</w:t>
      </w:r>
      <w:r w:rsidRPr="00CA016D">
        <w:rPr>
          <w:snapToGrid w:val="0"/>
          <w:kern w:val="18"/>
          <w:szCs w:val="18"/>
          <w:lang w:val="fr-FR"/>
        </w:rPr>
        <w:t xml:space="preserve"> </w:t>
      </w:r>
      <w:r>
        <w:rPr>
          <w:snapToGrid w:val="0"/>
          <w:kern w:val="18"/>
          <w:szCs w:val="18"/>
          <w:lang w:val="fr-FR"/>
        </w:rPr>
        <w:t>Ré</w:t>
      </w:r>
      <w:r w:rsidRPr="00CA016D">
        <w:rPr>
          <w:snapToGrid w:val="0"/>
          <w:kern w:val="18"/>
          <w:szCs w:val="18"/>
          <w:lang w:val="fr-FR"/>
        </w:rPr>
        <w:t>serve</w:t>
      </w:r>
      <w:r>
        <w:rPr>
          <w:snapToGrid w:val="0"/>
          <w:kern w:val="18"/>
          <w:szCs w:val="18"/>
          <w:lang w:val="fr-FR"/>
        </w:rPr>
        <w:t xml:space="preserve"> de l’homme et de la biosphère</w:t>
      </w:r>
      <w:r w:rsidRPr="00CA016D">
        <w:rPr>
          <w:snapToGrid w:val="0"/>
          <w:kern w:val="18"/>
          <w:szCs w:val="18"/>
          <w:lang w:val="fr-FR"/>
        </w:rPr>
        <w:t xml:space="preserve"> </w:t>
      </w:r>
      <w:r>
        <w:rPr>
          <w:snapToGrid w:val="0"/>
          <w:kern w:val="18"/>
          <w:szCs w:val="18"/>
          <w:lang w:val="fr-FR"/>
        </w:rPr>
        <w:t xml:space="preserve">(pour le mont </w:t>
      </w:r>
      <w:proofErr w:type="spellStart"/>
      <w:r>
        <w:rPr>
          <w:snapToGrid w:val="0"/>
          <w:kern w:val="18"/>
          <w:szCs w:val="18"/>
          <w:lang w:val="fr-FR"/>
        </w:rPr>
        <w:t>Elgon</w:t>
      </w:r>
      <w:proofErr w:type="spellEnd"/>
      <w:r>
        <w:rPr>
          <w:snapToGrid w:val="0"/>
          <w:kern w:val="18"/>
          <w:szCs w:val="18"/>
          <w:lang w:val="fr-FR"/>
        </w:rPr>
        <w:t xml:space="preserve"> - Ou</w:t>
      </w:r>
      <w:r w:rsidRPr="00CA016D">
        <w:rPr>
          <w:snapToGrid w:val="0"/>
          <w:kern w:val="18"/>
          <w:szCs w:val="18"/>
          <w:lang w:val="fr-FR"/>
        </w:rPr>
        <w:t xml:space="preserve">ganda </w:t>
      </w:r>
      <w:r>
        <w:rPr>
          <w:snapToGrid w:val="0"/>
          <w:kern w:val="18"/>
          <w:szCs w:val="18"/>
          <w:lang w:val="fr-FR"/>
        </w:rPr>
        <w:t>et</w:t>
      </w:r>
      <w:r w:rsidRPr="00CA016D">
        <w:rPr>
          <w:snapToGrid w:val="0"/>
          <w:kern w:val="18"/>
          <w:szCs w:val="18"/>
          <w:lang w:val="fr-FR"/>
        </w:rPr>
        <w:t xml:space="preserve"> Kenya)</w:t>
      </w:r>
      <w:r>
        <w:rPr>
          <w:snapToGrid w:val="0"/>
          <w:kern w:val="18"/>
          <w:szCs w:val="18"/>
          <w:lang w:val="fr-FR"/>
        </w:rPr>
        <w:t> ;</w:t>
      </w:r>
      <w:r w:rsidR="002809CA">
        <w:rPr>
          <w:snapToGrid w:val="0"/>
          <w:kern w:val="18"/>
          <w:szCs w:val="18"/>
          <w:lang w:val="fr-FR"/>
        </w:rPr>
        <w:t xml:space="preserve"> et Gestion collaborative transfrontière de la faune sauvage</w:t>
      </w:r>
      <w:r w:rsidRPr="00CA016D">
        <w:rPr>
          <w:snapToGrid w:val="0"/>
          <w:kern w:val="18"/>
          <w:szCs w:val="18"/>
          <w:lang w:val="fr-FR"/>
        </w:rPr>
        <w:t xml:space="preserve"> </w:t>
      </w:r>
      <w:r w:rsidR="002809CA">
        <w:rPr>
          <w:snapToGrid w:val="0"/>
          <w:kern w:val="18"/>
          <w:szCs w:val="18"/>
          <w:lang w:val="fr-FR"/>
        </w:rPr>
        <w:t>(Ou</w:t>
      </w:r>
      <w:r w:rsidRPr="00CA016D">
        <w:rPr>
          <w:snapToGrid w:val="0"/>
          <w:kern w:val="18"/>
          <w:szCs w:val="18"/>
          <w:lang w:val="fr-FR"/>
        </w:rPr>
        <w:t xml:space="preserve">ganda </w:t>
      </w:r>
      <w:r w:rsidR="002809CA">
        <w:rPr>
          <w:snapToGrid w:val="0"/>
          <w:kern w:val="18"/>
          <w:szCs w:val="18"/>
          <w:lang w:val="fr-FR"/>
        </w:rPr>
        <w:t>et</w:t>
      </w:r>
      <w:r w:rsidRPr="00CA016D">
        <w:rPr>
          <w:snapToGrid w:val="0"/>
          <w:kern w:val="18"/>
          <w:szCs w:val="18"/>
          <w:lang w:val="fr-FR"/>
        </w:rPr>
        <w:t xml:space="preserve"> S</w:t>
      </w:r>
      <w:r w:rsidR="002809CA">
        <w:rPr>
          <w:snapToGrid w:val="0"/>
          <w:kern w:val="18"/>
          <w:szCs w:val="18"/>
          <w:lang w:val="fr-FR"/>
        </w:rPr>
        <w:t>o</w:t>
      </w:r>
      <w:r w:rsidRPr="00CA016D">
        <w:rPr>
          <w:snapToGrid w:val="0"/>
          <w:kern w:val="18"/>
          <w:szCs w:val="18"/>
          <w:lang w:val="fr-FR"/>
        </w:rPr>
        <w:t>udan</w:t>
      </w:r>
      <w:r w:rsidR="002809CA">
        <w:rPr>
          <w:snapToGrid w:val="0"/>
          <w:kern w:val="18"/>
          <w:szCs w:val="18"/>
          <w:lang w:val="fr-FR"/>
        </w:rPr>
        <w:t xml:space="preserve"> du Sud</w:t>
      </w:r>
      <w:r w:rsidRPr="00CA016D">
        <w:rPr>
          <w:snapToGrid w:val="0"/>
          <w:kern w:val="18"/>
          <w:szCs w:val="18"/>
          <w:lang w:val="fr-FR"/>
        </w:rPr>
        <w:t>).</w:t>
      </w:r>
    </w:p>
  </w:footnote>
  <w:footnote w:id="57">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Pr>
          <w:snapToGrid w:val="0"/>
          <w:kern w:val="18"/>
          <w:szCs w:val="18"/>
          <w:lang w:val="fr-FR"/>
        </w:rPr>
        <w:t xml:space="preserve"> L’Allemagne, la Bulgarie,</w:t>
      </w:r>
      <w:r w:rsidRPr="00CA016D">
        <w:rPr>
          <w:snapToGrid w:val="0"/>
          <w:kern w:val="18"/>
          <w:szCs w:val="18"/>
          <w:lang w:val="fr-FR"/>
        </w:rPr>
        <w:t xml:space="preserve"> </w:t>
      </w:r>
      <w:r>
        <w:rPr>
          <w:snapToGrid w:val="0"/>
          <w:kern w:val="18"/>
          <w:szCs w:val="18"/>
          <w:lang w:val="fr-FR"/>
        </w:rPr>
        <w:t xml:space="preserve">la </w:t>
      </w:r>
      <w:r w:rsidRPr="00CA016D">
        <w:rPr>
          <w:snapToGrid w:val="0"/>
          <w:kern w:val="18"/>
          <w:szCs w:val="18"/>
          <w:lang w:val="fr-FR"/>
        </w:rPr>
        <w:t>Finland</w:t>
      </w:r>
      <w:r>
        <w:rPr>
          <w:snapToGrid w:val="0"/>
          <w:kern w:val="18"/>
          <w:szCs w:val="18"/>
          <w:lang w:val="fr-FR"/>
        </w:rPr>
        <w:t>e</w:t>
      </w:r>
      <w:r w:rsidRPr="00CA016D">
        <w:rPr>
          <w:snapToGrid w:val="0"/>
          <w:kern w:val="18"/>
          <w:szCs w:val="18"/>
          <w:lang w:val="fr-FR"/>
        </w:rPr>
        <w:t xml:space="preserve">, </w:t>
      </w:r>
      <w:r>
        <w:rPr>
          <w:snapToGrid w:val="0"/>
          <w:kern w:val="18"/>
          <w:szCs w:val="18"/>
          <w:lang w:val="fr-FR"/>
        </w:rPr>
        <w:t>les Pays-Bas</w:t>
      </w:r>
      <w:r w:rsidRPr="00CA016D">
        <w:rPr>
          <w:snapToGrid w:val="0"/>
          <w:kern w:val="18"/>
          <w:szCs w:val="18"/>
          <w:lang w:val="fr-FR"/>
        </w:rPr>
        <w:t xml:space="preserve">, </w:t>
      </w:r>
      <w:r>
        <w:rPr>
          <w:snapToGrid w:val="0"/>
          <w:kern w:val="18"/>
          <w:szCs w:val="18"/>
          <w:lang w:val="fr-FR"/>
        </w:rPr>
        <w:t>la Pologne</w:t>
      </w:r>
      <w:r w:rsidRPr="00CA016D">
        <w:rPr>
          <w:snapToGrid w:val="0"/>
          <w:kern w:val="18"/>
          <w:szCs w:val="18"/>
          <w:lang w:val="fr-FR"/>
        </w:rPr>
        <w:t xml:space="preserve">, </w:t>
      </w:r>
      <w:r>
        <w:rPr>
          <w:snapToGrid w:val="0"/>
          <w:kern w:val="18"/>
          <w:szCs w:val="18"/>
          <w:lang w:val="fr-FR"/>
        </w:rPr>
        <w:t>la République de Moldavie</w:t>
      </w:r>
      <w:r w:rsidRPr="00CA016D">
        <w:rPr>
          <w:snapToGrid w:val="0"/>
          <w:kern w:val="18"/>
          <w:szCs w:val="18"/>
          <w:lang w:val="fr-FR"/>
        </w:rPr>
        <w:t xml:space="preserve">, </w:t>
      </w:r>
      <w:r>
        <w:rPr>
          <w:rFonts w:eastAsia="Calibri"/>
          <w:snapToGrid w:val="0"/>
          <w:kern w:val="18"/>
          <w:szCs w:val="18"/>
          <w:lang w:val="fr-FR"/>
        </w:rPr>
        <w:t xml:space="preserve">le </w:t>
      </w:r>
      <w:r>
        <w:rPr>
          <w:lang w:val="fr-FR"/>
        </w:rPr>
        <w:t xml:space="preserve">Royaume-Uni de Grande-Bretagne et d’Irlande du Nord, </w:t>
      </w:r>
      <w:r>
        <w:rPr>
          <w:snapToGrid w:val="0"/>
          <w:kern w:val="18"/>
          <w:szCs w:val="18"/>
          <w:lang w:val="fr-FR"/>
        </w:rPr>
        <w:t xml:space="preserve">la Slovaquie </w:t>
      </w:r>
      <w:r>
        <w:rPr>
          <w:lang w:val="fr-FR"/>
        </w:rPr>
        <w:t xml:space="preserve">et </w:t>
      </w:r>
      <w:r>
        <w:rPr>
          <w:snapToGrid w:val="0"/>
          <w:kern w:val="18"/>
          <w:szCs w:val="18"/>
          <w:lang w:val="fr-FR"/>
        </w:rPr>
        <w:t>l’</w:t>
      </w:r>
      <w:r w:rsidRPr="00CA016D">
        <w:rPr>
          <w:snapToGrid w:val="0"/>
          <w:kern w:val="18"/>
          <w:szCs w:val="18"/>
          <w:lang w:val="fr-FR"/>
        </w:rPr>
        <w:t>Union</w:t>
      </w:r>
      <w:r>
        <w:rPr>
          <w:snapToGrid w:val="0"/>
          <w:kern w:val="18"/>
          <w:szCs w:val="18"/>
          <w:lang w:val="fr-FR"/>
        </w:rPr>
        <w:t xml:space="preserve"> européenne</w:t>
      </w:r>
      <w:r w:rsidRPr="00CA016D">
        <w:rPr>
          <w:rFonts w:eastAsia="Calibri"/>
          <w:snapToGrid w:val="0"/>
          <w:kern w:val="18"/>
          <w:szCs w:val="18"/>
          <w:lang w:val="fr-FR"/>
        </w:rPr>
        <w:t>.</w:t>
      </w:r>
    </w:p>
  </w:footnote>
  <w:footnote w:id="58">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rStyle w:val="Appelnotedebasdep"/>
          <w:snapToGrid w:val="0"/>
          <w:kern w:val="18"/>
          <w:szCs w:val="18"/>
          <w:lang w:val="fr-FR"/>
        </w:rPr>
      </w:pPr>
      <w:r w:rsidRPr="00CA016D">
        <w:rPr>
          <w:rStyle w:val="Appelnotedebasdep"/>
          <w:snapToGrid w:val="0"/>
          <w:kern w:val="18"/>
          <w:szCs w:val="18"/>
          <w:lang w:val="fr-FR"/>
        </w:rPr>
        <w:footnoteRef/>
      </w:r>
      <w:r w:rsidRPr="00CA016D">
        <w:rPr>
          <w:rStyle w:val="Appelnotedebasdep"/>
          <w:snapToGrid w:val="0"/>
          <w:kern w:val="18"/>
          <w:szCs w:val="18"/>
          <w:lang w:val="fr-FR"/>
        </w:rPr>
        <w:t xml:space="preserve"> </w:t>
      </w:r>
      <w:r>
        <w:rPr>
          <w:snapToGrid w:val="0"/>
          <w:kern w:val="18"/>
          <w:szCs w:val="18"/>
          <w:lang w:val="fr-FR"/>
        </w:rPr>
        <w:t xml:space="preserve">Le </w:t>
      </w:r>
      <w:r>
        <w:rPr>
          <w:rFonts w:eastAsia="Calibri"/>
          <w:snapToGrid w:val="0"/>
          <w:kern w:val="18"/>
          <w:szCs w:val="18"/>
          <w:lang w:val="fr-FR"/>
        </w:rPr>
        <w:t>Burundi et la Suède</w:t>
      </w:r>
      <w:r w:rsidRPr="00CA016D">
        <w:rPr>
          <w:snapToGrid w:val="0"/>
          <w:kern w:val="18"/>
          <w:szCs w:val="18"/>
          <w:lang w:val="fr-FR"/>
        </w:rPr>
        <w:t>.</w:t>
      </w:r>
    </w:p>
  </w:footnote>
  <w:footnote w:id="59">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rStyle w:val="Appelnotedebasdep"/>
          <w:snapToGrid w:val="0"/>
          <w:kern w:val="18"/>
          <w:szCs w:val="18"/>
          <w:lang w:val="fr-FR"/>
        </w:rPr>
      </w:pPr>
      <w:r w:rsidRPr="00CA016D">
        <w:rPr>
          <w:rStyle w:val="Appelnotedebasdep"/>
          <w:snapToGrid w:val="0"/>
          <w:kern w:val="18"/>
          <w:szCs w:val="18"/>
          <w:lang w:val="fr-FR"/>
        </w:rPr>
        <w:footnoteRef/>
      </w:r>
      <w:r w:rsidRPr="00CA016D">
        <w:rPr>
          <w:rStyle w:val="Appelnotedebasdep"/>
          <w:snapToGrid w:val="0"/>
          <w:kern w:val="18"/>
          <w:szCs w:val="18"/>
          <w:lang w:val="fr-FR"/>
        </w:rPr>
        <w:t xml:space="preserve"> </w:t>
      </w:r>
      <w:r>
        <w:rPr>
          <w:snapToGrid w:val="0"/>
          <w:kern w:val="18"/>
          <w:szCs w:val="18"/>
          <w:lang w:val="fr-FR"/>
        </w:rPr>
        <w:t xml:space="preserve">Le </w:t>
      </w:r>
      <w:r>
        <w:rPr>
          <w:rFonts w:eastAsia="Calibri"/>
          <w:snapToGrid w:val="0"/>
          <w:kern w:val="18"/>
          <w:szCs w:val="18"/>
          <w:lang w:val="fr-FR"/>
        </w:rPr>
        <w:t>Botswana, l’Éthiopie</w:t>
      </w:r>
      <w:r w:rsidRPr="00CA016D">
        <w:rPr>
          <w:rFonts w:eastAsia="Calibri"/>
          <w:snapToGrid w:val="0"/>
          <w:kern w:val="18"/>
          <w:szCs w:val="18"/>
          <w:lang w:val="fr-FR"/>
        </w:rPr>
        <w:t xml:space="preserve">, </w:t>
      </w:r>
      <w:r>
        <w:rPr>
          <w:rFonts w:eastAsia="Calibri"/>
          <w:snapToGrid w:val="0"/>
          <w:kern w:val="18"/>
          <w:szCs w:val="18"/>
          <w:lang w:val="fr-FR"/>
        </w:rPr>
        <w:t>la Guinée</w:t>
      </w:r>
      <w:r w:rsidRPr="00CA016D">
        <w:rPr>
          <w:rFonts w:eastAsia="Calibri"/>
          <w:snapToGrid w:val="0"/>
          <w:kern w:val="18"/>
          <w:szCs w:val="18"/>
          <w:lang w:val="fr-FR"/>
        </w:rPr>
        <w:t xml:space="preserve">-Bissau, Madagascar, </w:t>
      </w:r>
      <w:r>
        <w:rPr>
          <w:rFonts w:eastAsia="Calibri"/>
          <w:snapToGrid w:val="0"/>
          <w:kern w:val="18"/>
          <w:szCs w:val="18"/>
          <w:lang w:val="fr-FR"/>
        </w:rPr>
        <w:t>le Mexique</w:t>
      </w:r>
      <w:r w:rsidRPr="00CA016D">
        <w:rPr>
          <w:rFonts w:eastAsia="Calibri"/>
          <w:snapToGrid w:val="0"/>
          <w:kern w:val="18"/>
          <w:szCs w:val="18"/>
          <w:lang w:val="fr-FR"/>
        </w:rPr>
        <w:t xml:space="preserve">, </w:t>
      </w:r>
      <w:r>
        <w:rPr>
          <w:rFonts w:eastAsia="Calibri"/>
          <w:snapToGrid w:val="0"/>
          <w:kern w:val="18"/>
          <w:szCs w:val="18"/>
          <w:lang w:val="fr-FR"/>
        </w:rPr>
        <w:t>le Niger, Panama et l’</w:t>
      </w:r>
      <w:r w:rsidRPr="00CA016D">
        <w:rPr>
          <w:rFonts w:eastAsia="Calibri"/>
          <w:snapToGrid w:val="0"/>
          <w:kern w:val="18"/>
          <w:szCs w:val="18"/>
          <w:lang w:val="fr-FR"/>
        </w:rPr>
        <w:t>Uruguay.</w:t>
      </w:r>
    </w:p>
  </w:footnote>
  <w:footnote w:id="60">
    <w:p w:rsidR="00B773E0" w:rsidRPr="00CA016D"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 xml:space="preserve">Le </w:t>
      </w:r>
      <w:r w:rsidRPr="00CA016D">
        <w:rPr>
          <w:snapToGrid w:val="0"/>
          <w:kern w:val="18"/>
          <w:szCs w:val="18"/>
          <w:lang w:val="fr-FR"/>
        </w:rPr>
        <w:t xml:space="preserve">Burundi, </w:t>
      </w:r>
      <w:r>
        <w:rPr>
          <w:snapToGrid w:val="0"/>
          <w:kern w:val="18"/>
          <w:szCs w:val="18"/>
          <w:lang w:val="fr-FR"/>
        </w:rPr>
        <w:t xml:space="preserve">la </w:t>
      </w:r>
      <w:r w:rsidRPr="00CA016D">
        <w:rPr>
          <w:snapToGrid w:val="0"/>
          <w:kern w:val="18"/>
          <w:szCs w:val="18"/>
          <w:lang w:val="fr-FR"/>
        </w:rPr>
        <w:t xml:space="preserve">Côte d’Ivoire, </w:t>
      </w:r>
      <w:r>
        <w:rPr>
          <w:snapToGrid w:val="0"/>
          <w:kern w:val="18"/>
          <w:szCs w:val="18"/>
          <w:lang w:val="fr-FR"/>
        </w:rPr>
        <w:t>la Guinée</w:t>
      </w:r>
      <w:r w:rsidRPr="00CA016D">
        <w:rPr>
          <w:snapToGrid w:val="0"/>
          <w:kern w:val="18"/>
          <w:szCs w:val="18"/>
          <w:lang w:val="fr-FR"/>
        </w:rPr>
        <w:t xml:space="preserve">, </w:t>
      </w:r>
      <w:r>
        <w:rPr>
          <w:snapToGrid w:val="0"/>
          <w:kern w:val="18"/>
          <w:szCs w:val="18"/>
          <w:lang w:val="fr-FR"/>
        </w:rPr>
        <w:t>le Soudan et le Togo</w:t>
      </w:r>
      <w:r w:rsidRPr="00CA016D">
        <w:rPr>
          <w:snapToGrid w:val="0"/>
          <w:kern w:val="18"/>
          <w:szCs w:val="18"/>
          <w:lang w:val="fr-FR"/>
        </w:rPr>
        <w:t>.</w:t>
      </w:r>
    </w:p>
  </w:footnote>
  <w:footnote w:id="61">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rFonts w:eastAsia="Calibri"/>
          <w:snapToGrid w:val="0"/>
          <w:kern w:val="18"/>
          <w:szCs w:val="18"/>
          <w:lang w:val="fr-FR"/>
        </w:rPr>
        <w:t xml:space="preserve"> </w:t>
      </w:r>
      <w:r>
        <w:rPr>
          <w:rFonts w:eastAsia="Calibri"/>
          <w:snapToGrid w:val="0"/>
          <w:kern w:val="18"/>
          <w:szCs w:val="18"/>
          <w:lang w:val="fr-FR"/>
        </w:rPr>
        <w:t>Le Bé</w:t>
      </w:r>
      <w:r w:rsidRPr="00CA016D">
        <w:rPr>
          <w:rFonts w:eastAsia="Calibri"/>
          <w:snapToGrid w:val="0"/>
          <w:kern w:val="18"/>
          <w:szCs w:val="18"/>
          <w:lang w:val="fr-FR"/>
        </w:rPr>
        <w:t>nin.</w:t>
      </w:r>
    </w:p>
  </w:footnote>
  <w:footnote w:id="62">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 xml:space="preserve">Le </w:t>
      </w:r>
      <w:r w:rsidRPr="00CA016D">
        <w:rPr>
          <w:snapToGrid w:val="0"/>
          <w:kern w:val="18"/>
          <w:szCs w:val="18"/>
          <w:lang w:val="fr-FR"/>
        </w:rPr>
        <w:t>Bh</w:t>
      </w:r>
      <w:r>
        <w:rPr>
          <w:snapToGrid w:val="0"/>
          <w:kern w:val="18"/>
          <w:szCs w:val="18"/>
          <w:lang w:val="fr-FR"/>
        </w:rPr>
        <w:t>o</w:t>
      </w:r>
      <w:r w:rsidRPr="00CA016D">
        <w:rPr>
          <w:snapToGrid w:val="0"/>
          <w:kern w:val="18"/>
          <w:szCs w:val="18"/>
          <w:lang w:val="fr-FR"/>
        </w:rPr>
        <w:t xml:space="preserve">utan, </w:t>
      </w:r>
      <w:r>
        <w:rPr>
          <w:snapToGrid w:val="0"/>
          <w:kern w:val="18"/>
          <w:szCs w:val="18"/>
          <w:lang w:val="fr-FR"/>
        </w:rPr>
        <w:t xml:space="preserve">la </w:t>
      </w:r>
      <w:r w:rsidRPr="00CA016D">
        <w:rPr>
          <w:snapToGrid w:val="0"/>
          <w:kern w:val="18"/>
          <w:szCs w:val="18"/>
          <w:lang w:val="fr-FR"/>
        </w:rPr>
        <w:t xml:space="preserve">France, </w:t>
      </w:r>
      <w:r>
        <w:rPr>
          <w:snapToGrid w:val="0"/>
          <w:kern w:val="18"/>
          <w:szCs w:val="18"/>
          <w:lang w:val="fr-FR"/>
        </w:rPr>
        <w:t xml:space="preserve">le </w:t>
      </w:r>
      <w:r w:rsidRPr="00CA016D">
        <w:rPr>
          <w:snapToGrid w:val="0"/>
          <w:kern w:val="18"/>
          <w:szCs w:val="18"/>
          <w:lang w:val="fr-FR"/>
        </w:rPr>
        <w:t xml:space="preserve">Malawi, </w:t>
      </w:r>
      <w:r>
        <w:rPr>
          <w:snapToGrid w:val="0"/>
          <w:kern w:val="18"/>
          <w:szCs w:val="18"/>
          <w:lang w:val="fr-FR"/>
        </w:rPr>
        <w:t>la Norvège et le</w:t>
      </w:r>
      <w:r w:rsidRPr="00CA016D">
        <w:rPr>
          <w:snapToGrid w:val="0"/>
          <w:kern w:val="18"/>
          <w:szCs w:val="18"/>
          <w:lang w:val="fr-FR"/>
        </w:rPr>
        <w:t xml:space="preserve"> Pakistan.</w:t>
      </w:r>
    </w:p>
  </w:footnote>
  <w:footnote w:id="63">
    <w:p w:rsidR="00B773E0" w:rsidRPr="00CA016D" w:rsidRDefault="00B773E0" w:rsidP="00E20527">
      <w:pPr>
        <w:suppressLineNumbers/>
        <w:suppressAutoHyphens/>
        <w:kinsoku w:val="0"/>
        <w:overflowPunct w:val="0"/>
        <w:autoSpaceDE w:val="0"/>
        <w:autoSpaceDN w:val="0"/>
        <w:adjustRightInd w:val="0"/>
        <w:snapToGrid w:val="0"/>
        <w:spacing w:after="60"/>
        <w:jc w:val="left"/>
        <w:rPr>
          <w:snapToGrid w:val="0"/>
          <w:kern w:val="18"/>
          <w:sz w:val="18"/>
          <w:szCs w:val="18"/>
          <w:lang w:val="fr-FR"/>
        </w:rPr>
      </w:pPr>
      <w:r w:rsidRPr="00CA016D">
        <w:rPr>
          <w:rStyle w:val="Appelnotedebasdep"/>
          <w:snapToGrid w:val="0"/>
          <w:kern w:val="18"/>
          <w:szCs w:val="18"/>
          <w:lang w:val="fr-FR"/>
        </w:rPr>
        <w:footnoteRef/>
      </w:r>
      <w:r w:rsidRPr="00CA016D">
        <w:rPr>
          <w:snapToGrid w:val="0"/>
          <w:kern w:val="18"/>
          <w:sz w:val="18"/>
          <w:szCs w:val="18"/>
          <w:lang w:val="fr-FR"/>
        </w:rPr>
        <w:t xml:space="preserve"> </w:t>
      </w:r>
      <w:r>
        <w:rPr>
          <w:snapToGrid w:val="0"/>
          <w:kern w:val="18"/>
          <w:sz w:val="18"/>
          <w:szCs w:val="18"/>
          <w:lang w:val="fr-FR"/>
        </w:rPr>
        <w:t xml:space="preserve">L’Afrique du Sud, le </w:t>
      </w:r>
      <w:r w:rsidRPr="00CA016D">
        <w:rPr>
          <w:snapToGrid w:val="0"/>
          <w:kern w:val="18"/>
          <w:sz w:val="18"/>
          <w:szCs w:val="18"/>
          <w:lang w:val="fr-FR"/>
        </w:rPr>
        <w:t xml:space="preserve">Botswana, </w:t>
      </w:r>
      <w:r>
        <w:rPr>
          <w:snapToGrid w:val="0"/>
          <w:kern w:val="18"/>
          <w:sz w:val="18"/>
          <w:szCs w:val="18"/>
          <w:lang w:val="fr-FR"/>
        </w:rPr>
        <w:t xml:space="preserve">le </w:t>
      </w:r>
      <w:r w:rsidRPr="00CA016D">
        <w:rPr>
          <w:snapToGrid w:val="0"/>
          <w:kern w:val="18"/>
          <w:sz w:val="18"/>
          <w:szCs w:val="18"/>
          <w:lang w:val="fr-FR"/>
        </w:rPr>
        <w:t xml:space="preserve">Burkina Faso, </w:t>
      </w:r>
      <w:r>
        <w:rPr>
          <w:snapToGrid w:val="0"/>
          <w:kern w:val="18"/>
          <w:sz w:val="18"/>
          <w:szCs w:val="18"/>
          <w:lang w:val="fr-FR"/>
        </w:rPr>
        <w:t>la Guinée-</w:t>
      </w:r>
      <w:r w:rsidRPr="00CA016D">
        <w:rPr>
          <w:snapToGrid w:val="0"/>
          <w:kern w:val="18"/>
          <w:sz w:val="18"/>
          <w:szCs w:val="18"/>
          <w:lang w:val="fr-FR"/>
        </w:rPr>
        <w:t xml:space="preserve">Bissau, </w:t>
      </w:r>
      <w:r>
        <w:rPr>
          <w:snapToGrid w:val="0"/>
          <w:kern w:val="18"/>
          <w:sz w:val="18"/>
          <w:szCs w:val="18"/>
          <w:lang w:val="fr-FR"/>
        </w:rPr>
        <w:t>la Mongolie et le</w:t>
      </w:r>
      <w:r w:rsidRPr="00CA016D">
        <w:rPr>
          <w:snapToGrid w:val="0"/>
          <w:kern w:val="18"/>
          <w:sz w:val="18"/>
          <w:szCs w:val="18"/>
          <w:lang w:val="fr-FR"/>
        </w:rPr>
        <w:t xml:space="preserve"> S</w:t>
      </w:r>
      <w:r>
        <w:rPr>
          <w:snapToGrid w:val="0"/>
          <w:kern w:val="18"/>
          <w:sz w:val="18"/>
          <w:szCs w:val="18"/>
          <w:lang w:val="fr-FR"/>
        </w:rPr>
        <w:t>o</w:t>
      </w:r>
      <w:r w:rsidRPr="00CA016D">
        <w:rPr>
          <w:snapToGrid w:val="0"/>
          <w:kern w:val="18"/>
          <w:sz w:val="18"/>
          <w:szCs w:val="18"/>
          <w:lang w:val="fr-FR"/>
        </w:rPr>
        <w:t>udan.</w:t>
      </w:r>
    </w:p>
  </w:footnote>
  <w:footnote w:id="64">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 xml:space="preserve">Le </w:t>
      </w:r>
      <w:r w:rsidRPr="00CA016D">
        <w:rPr>
          <w:snapToGrid w:val="0"/>
          <w:kern w:val="18"/>
          <w:szCs w:val="18"/>
          <w:lang w:val="fr-FR"/>
        </w:rPr>
        <w:t xml:space="preserve">Burkina Faso, </w:t>
      </w:r>
      <w:r>
        <w:rPr>
          <w:snapToGrid w:val="0"/>
          <w:kern w:val="18"/>
          <w:szCs w:val="18"/>
          <w:lang w:val="fr-FR"/>
        </w:rPr>
        <w:t>le Camerou</w:t>
      </w:r>
      <w:r w:rsidRPr="00CA016D">
        <w:rPr>
          <w:snapToGrid w:val="0"/>
          <w:kern w:val="18"/>
          <w:szCs w:val="18"/>
          <w:lang w:val="fr-FR"/>
        </w:rPr>
        <w:t>n,</w:t>
      </w:r>
      <w:r>
        <w:rPr>
          <w:snapToGrid w:val="0"/>
          <w:kern w:val="18"/>
          <w:szCs w:val="18"/>
          <w:lang w:val="fr-FR"/>
        </w:rPr>
        <w:t xml:space="preserve"> les Comore</w:t>
      </w:r>
      <w:r w:rsidRPr="00CA016D">
        <w:rPr>
          <w:snapToGrid w:val="0"/>
          <w:kern w:val="18"/>
          <w:szCs w:val="18"/>
          <w:lang w:val="fr-FR"/>
        </w:rPr>
        <w:t xml:space="preserve">s, </w:t>
      </w:r>
      <w:r>
        <w:rPr>
          <w:snapToGrid w:val="0"/>
          <w:kern w:val="18"/>
          <w:szCs w:val="18"/>
          <w:lang w:val="fr-FR"/>
        </w:rPr>
        <w:t>l’Inde</w:t>
      </w:r>
      <w:r w:rsidRPr="00CA016D">
        <w:rPr>
          <w:snapToGrid w:val="0"/>
          <w:kern w:val="18"/>
          <w:szCs w:val="18"/>
          <w:lang w:val="fr-FR"/>
        </w:rPr>
        <w:t xml:space="preserve">, </w:t>
      </w:r>
      <w:r>
        <w:rPr>
          <w:snapToGrid w:val="0"/>
          <w:kern w:val="18"/>
          <w:szCs w:val="18"/>
          <w:lang w:val="fr-FR"/>
        </w:rPr>
        <w:t xml:space="preserve">le </w:t>
      </w:r>
      <w:r w:rsidRPr="00CA016D">
        <w:rPr>
          <w:snapToGrid w:val="0"/>
          <w:kern w:val="18"/>
          <w:szCs w:val="18"/>
          <w:lang w:val="fr-FR"/>
        </w:rPr>
        <w:t>Kenya</w:t>
      </w:r>
      <w:r w:rsidR="005554AD">
        <w:rPr>
          <w:snapToGrid w:val="0"/>
          <w:kern w:val="18"/>
          <w:szCs w:val="18"/>
          <w:lang w:val="fr-FR"/>
        </w:rPr>
        <w:t xml:space="preserve"> et</w:t>
      </w:r>
      <w:r w:rsidRPr="00CA016D">
        <w:rPr>
          <w:snapToGrid w:val="0"/>
          <w:kern w:val="18"/>
          <w:szCs w:val="18"/>
          <w:lang w:val="fr-FR"/>
        </w:rPr>
        <w:t xml:space="preserve"> </w:t>
      </w:r>
      <w:r>
        <w:rPr>
          <w:snapToGrid w:val="0"/>
          <w:kern w:val="18"/>
          <w:szCs w:val="18"/>
          <w:lang w:val="fr-FR"/>
        </w:rPr>
        <w:t>la Mauritanie</w:t>
      </w:r>
      <w:r w:rsidRPr="00CA016D">
        <w:rPr>
          <w:snapToGrid w:val="0"/>
          <w:kern w:val="18"/>
          <w:szCs w:val="18"/>
          <w:lang w:val="fr-FR"/>
        </w:rPr>
        <w:t>.</w:t>
      </w:r>
    </w:p>
  </w:footnote>
  <w:footnote w:id="65">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rStyle w:val="Appelnotedebasdep"/>
          <w:snapToGrid w:val="0"/>
          <w:kern w:val="18"/>
          <w:szCs w:val="18"/>
          <w:lang w:val="fr-FR"/>
        </w:rPr>
      </w:pPr>
      <w:r w:rsidRPr="00CA016D">
        <w:rPr>
          <w:rStyle w:val="Appelnotedebasdep"/>
          <w:snapToGrid w:val="0"/>
          <w:kern w:val="18"/>
          <w:szCs w:val="18"/>
          <w:lang w:val="fr-FR"/>
        </w:rPr>
        <w:footnoteRef/>
      </w:r>
      <w:r w:rsidRPr="00CA016D">
        <w:rPr>
          <w:rStyle w:val="Appelnotedebasdep"/>
          <w:snapToGrid w:val="0"/>
          <w:kern w:val="18"/>
          <w:szCs w:val="18"/>
          <w:lang w:val="fr-FR"/>
        </w:rPr>
        <w:t xml:space="preserve"> </w:t>
      </w:r>
      <w:r>
        <w:rPr>
          <w:snapToGrid w:val="0"/>
          <w:kern w:val="18"/>
          <w:szCs w:val="18"/>
          <w:lang w:val="fr-FR"/>
        </w:rPr>
        <w:t xml:space="preserve">La </w:t>
      </w:r>
      <w:r>
        <w:rPr>
          <w:rFonts w:eastAsia="Calibri"/>
          <w:snapToGrid w:val="0"/>
          <w:kern w:val="18"/>
          <w:szCs w:val="18"/>
          <w:lang w:val="fr-FR"/>
        </w:rPr>
        <w:t>Suède</w:t>
      </w:r>
      <w:r w:rsidRPr="00CA016D">
        <w:rPr>
          <w:rFonts w:eastAsia="Calibri"/>
          <w:snapToGrid w:val="0"/>
          <w:kern w:val="18"/>
          <w:szCs w:val="18"/>
          <w:lang w:val="fr-FR"/>
        </w:rPr>
        <w:t>.</w:t>
      </w:r>
    </w:p>
  </w:footnote>
  <w:footnote w:id="66">
    <w:p w:rsidR="00833E7A" w:rsidRPr="00CA016D" w:rsidRDefault="00833E7A" w:rsidP="00833E7A">
      <w:pPr>
        <w:pStyle w:val="Notedebasdepage"/>
        <w:keepLines w:val="0"/>
        <w:suppressLineNumbers/>
        <w:suppressAutoHyphens/>
        <w:kinsoku w:val="0"/>
        <w:overflowPunct w:val="0"/>
        <w:autoSpaceDE w:val="0"/>
        <w:autoSpaceDN w:val="0"/>
        <w:adjustRightInd w:val="0"/>
        <w:snapToGrid w:val="0"/>
        <w:ind w:firstLine="0"/>
        <w:jc w:val="left"/>
        <w:rPr>
          <w:rStyle w:val="Appelnotedebasdep"/>
          <w:snapToGrid w:val="0"/>
          <w:kern w:val="18"/>
          <w:szCs w:val="18"/>
          <w:lang w:val="fr-FR"/>
        </w:rPr>
      </w:pPr>
      <w:r w:rsidRPr="00CA016D">
        <w:rPr>
          <w:rStyle w:val="Appelnotedebasdep"/>
          <w:snapToGrid w:val="0"/>
          <w:kern w:val="18"/>
          <w:szCs w:val="18"/>
          <w:lang w:val="fr-FR"/>
        </w:rPr>
        <w:footnoteRef/>
      </w:r>
      <w:r w:rsidRPr="00CA016D">
        <w:rPr>
          <w:rStyle w:val="Appelnotedebasdep"/>
          <w:snapToGrid w:val="0"/>
          <w:kern w:val="18"/>
          <w:szCs w:val="18"/>
          <w:lang w:val="fr-FR"/>
        </w:rPr>
        <w:t xml:space="preserve"> </w:t>
      </w:r>
      <w:r>
        <w:rPr>
          <w:rFonts w:eastAsia="Calibri"/>
          <w:snapToGrid w:val="0"/>
          <w:kern w:val="18"/>
          <w:szCs w:val="18"/>
          <w:lang w:val="fr-FR"/>
        </w:rPr>
        <w:t>L’Éthiopie</w:t>
      </w:r>
      <w:r w:rsidRPr="00CA016D">
        <w:rPr>
          <w:rFonts w:eastAsia="Calibri"/>
          <w:snapToGrid w:val="0"/>
          <w:kern w:val="18"/>
          <w:szCs w:val="18"/>
          <w:lang w:val="fr-FR"/>
        </w:rPr>
        <w:t xml:space="preserve">, Madagascar, </w:t>
      </w:r>
      <w:r>
        <w:rPr>
          <w:rFonts w:eastAsia="Calibri"/>
          <w:snapToGrid w:val="0"/>
          <w:kern w:val="18"/>
          <w:szCs w:val="18"/>
          <w:lang w:val="fr-FR"/>
        </w:rPr>
        <w:t xml:space="preserve">le </w:t>
      </w:r>
      <w:r w:rsidRPr="00CA016D">
        <w:rPr>
          <w:rFonts w:eastAsia="Calibri"/>
          <w:snapToGrid w:val="0"/>
          <w:kern w:val="18"/>
          <w:szCs w:val="18"/>
          <w:lang w:val="fr-FR"/>
        </w:rPr>
        <w:t>Niger, Panama</w:t>
      </w:r>
      <w:r>
        <w:rPr>
          <w:rFonts w:eastAsia="Calibri"/>
          <w:snapToGrid w:val="0"/>
          <w:kern w:val="18"/>
          <w:szCs w:val="18"/>
          <w:lang w:val="fr-FR"/>
        </w:rPr>
        <w:t xml:space="preserve"> et l’</w:t>
      </w:r>
      <w:r w:rsidRPr="00CA016D">
        <w:rPr>
          <w:rFonts w:eastAsia="Calibri"/>
          <w:snapToGrid w:val="0"/>
          <w:kern w:val="18"/>
          <w:szCs w:val="18"/>
          <w:lang w:val="fr-FR"/>
        </w:rPr>
        <w:t>Uruguay.</w:t>
      </w:r>
    </w:p>
  </w:footnote>
  <w:footnote w:id="67">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 xml:space="preserve">Le </w:t>
      </w:r>
      <w:r w:rsidRPr="00CA016D">
        <w:rPr>
          <w:snapToGrid w:val="0"/>
          <w:kern w:val="18"/>
          <w:szCs w:val="18"/>
          <w:lang w:val="fr-FR"/>
        </w:rPr>
        <w:t>Niger.</w:t>
      </w:r>
    </w:p>
  </w:footnote>
  <w:footnote w:id="68">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 xml:space="preserve">Le </w:t>
      </w:r>
      <w:r w:rsidRPr="00CA016D">
        <w:rPr>
          <w:snapToGrid w:val="0"/>
          <w:kern w:val="18"/>
          <w:szCs w:val="18"/>
          <w:lang w:val="fr-FR"/>
        </w:rPr>
        <w:t>Burundi.</w:t>
      </w:r>
    </w:p>
  </w:footnote>
  <w:footnote w:id="69">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L’Indonésie et le Maroc</w:t>
      </w:r>
      <w:r w:rsidRPr="00CA016D">
        <w:rPr>
          <w:snapToGrid w:val="0"/>
          <w:kern w:val="18"/>
          <w:szCs w:val="18"/>
          <w:lang w:val="fr-FR"/>
        </w:rPr>
        <w:t>.</w:t>
      </w:r>
    </w:p>
  </w:footnote>
  <w:footnote w:id="70">
    <w:p w:rsidR="00B773E0" w:rsidRPr="00CA016D" w:rsidRDefault="00B773E0" w:rsidP="00217F60">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La Côte d’Ivoire et la Guinée</w:t>
      </w:r>
      <w:r w:rsidRPr="00CA016D">
        <w:rPr>
          <w:snapToGrid w:val="0"/>
          <w:kern w:val="18"/>
          <w:szCs w:val="18"/>
          <w:lang w:val="fr-FR"/>
        </w:rPr>
        <w:t>.</w:t>
      </w:r>
    </w:p>
  </w:footnote>
  <w:footnote w:id="71">
    <w:p w:rsidR="00B773E0" w:rsidRPr="00CA016D"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L’Inde</w:t>
      </w:r>
      <w:r w:rsidRPr="00CA016D">
        <w:rPr>
          <w:snapToGrid w:val="0"/>
          <w:kern w:val="18"/>
          <w:szCs w:val="18"/>
          <w:lang w:val="fr-FR"/>
        </w:rPr>
        <w:t xml:space="preserve">, </w:t>
      </w:r>
      <w:r>
        <w:rPr>
          <w:snapToGrid w:val="0"/>
          <w:kern w:val="18"/>
          <w:szCs w:val="18"/>
          <w:lang w:val="fr-FR"/>
        </w:rPr>
        <w:t>le Mexique, la Chambre de c</w:t>
      </w:r>
      <w:r w:rsidRPr="00CA016D">
        <w:rPr>
          <w:snapToGrid w:val="0"/>
          <w:kern w:val="18"/>
          <w:szCs w:val="18"/>
          <w:lang w:val="fr-FR"/>
        </w:rPr>
        <w:t>ommerce</w:t>
      </w:r>
      <w:r>
        <w:rPr>
          <w:snapToGrid w:val="0"/>
          <w:kern w:val="18"/>
          <w:szCs w:val="18"/>
          <w:lang w:val="fr-FR"/>
        </w:rPr>
        <w:t xml:space="preserve"> internationale</w:t>
      </w:r>
      <w:r w:rsidRPr="00CA016D">
        <w:rPr>
          <w:snapToGrid w:val="0"/>
          <w:kern w:val="18"/>
          <w:szCs w:val="18"/>
          <w:lang w:val="fr-FR"/>
        </w:rPr>
        <w:t xml:space="preserve">, </w:t>
      </w:r>
      <w:r>
        <w:rPr>
          <w:snapToGrid w:val="0"/>
          <w:kern w:val="18"/>
          <w:szCs w:val="18"/>
          <w:lang w:val="fr-FR"/>
        </w:rPr>
        <w:t>l’Association japonaise de la bio-industrie</w:t>
      </w:r>
      <w:r w:rsidRPr="00CA016D">
        <w:rPr>
          <w:snapToGrid w:val="0"/>
          <w:kern w:val="18"/>
          <w:szCs w:val="18"/>
          <w:lang w:val="fr-FR"/>
        </w:rPr>
        <w:t>.</w:t>
      </w:r>
    </w:p>
  </w:footnote>
  <w:footnote w:id="72">
    <w:p w:rsidR="00B773E0" w:rsidRPr="00CA016D"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La Chambre de c</w:t>
      </w:r>
      <w:r w:rsidRPr="00CA016D">
        <w:rPr>
          <w:snapToGrid w:val="0"/>
          <w:kern w:val="18"/>
          <w:szCs w:val="18"/>
          <w:lang w:val="fr-FR"/>
        </w:rPr>
        <w:t>ommerce</w:t>
      </w:r>
      <w:r>
        <w:rPr>
          <w:snapToGrid w:val="0"/>
          <w:kern w:val="18"/>
          <w:szCs w:val="18"/>
          <w:lang w:val="fr-FR"/>
        </w:rPr>
        <w:t xml:space="preserve"> internationale</w:t>
      </w:r>
      <w:r w:rsidRPr="00CA016D">
        <w:rPr>
          <w:snapToGrid w:val="0"/>
          <w:kern w:val="18"/>
          <w:szCs w:val="18"/>
          <w:lang w:val="fr-FR"/>
        </w:rPr>
        <w:t>.</w:t>
      </w:r>
    </w:p>
  </w:footnote>
  <w:footnote w:id="73">
    <w:p w:rsidR="00B773E0" w:rsidRPr="00CA016D"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L’Inde</w:t>
      </w:r>
      <w:r w:rsidRPr="00CA016D">
        <w:rPr>
          <w:snapToGrid w:val="0"/>
          <w:kern w:val="18"/>
          <w:szCs w:val="18"/>
          <w:lang w:val="fr-FR"/>
        </w:rPr>
        <w:t>.</w:t>
      </w:r>
    </w:p>
  </w:footnote>
  <w:footnote w:id="74">
    <w:p w:rsidR="00B773E0" w:rsidRPr="00CA016D"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Le Mexique</w:t>
      </w:r>
      <w:r w:rsidRPr="00CA016D">
        <w:rPr>
          <w:snapToGrid w:val="0"/>
          <w:kern w:val="18"/>
          <w:szCs w:val="18"/>
          <w:lang w:val="fr-FR"/>
        </w:rPr>
        <w:t>.</w:t>
      </w:r>
    </w:p>
  </w:footnote>
  <w:footnote w:id="75">
    <w:p w:rsidR="00B773E0" w:rsidRPr="00CA016D"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CA016D">
        <w:rPr>
          <w:rStyle w:val="Appelnotedebasdep"/>
          <w:snapToGrid w:val="0"/>
          <w:kern w:val="18"/>
          <w:szCs w:val="18"/>
          <w:lang w:val="fr-FR"/>
        </w:rPr>
        <w:footnoteRef/>
      </w:r>
      <w:r w:rsidRPr="00CA016D">
        <w:rPr>
          <w:snapToGrid w:val="0"/>
          <w:kern w:val="18"/>
          <w:szCs w:val="18"/>
          <w:lang w:val="fr-FR"/>
        </w:rPr>
        <w:t xml:space="preserve"> </w:t>
      </w:r>
      <w:r>
        <w:rPr>
          <w:snapToGrid w:val="0"/>
          <w:kern w:val="18"/>
          <w:szCs w:val="18"/>
          <w:lang w:val="fr-FR"/>
        </w:rPr>
        <w:t xml:space="preserve">Le Jardin botanique de </w:t>
      </w:r>
      <w:proofErr w:type="spellStart"/>
      <w:r>
        <w:rPr>
          <w:snapToGrid w:val="0"/>
          <w:kern w:val="18"/>
          <w:szCs w:val="18"/>
          <w:lang w:val="fr-FR"/>
        </w:rPr>
        <w:t>Göteberg</w:t>
      </w:r>
      <w:proofErr w:type="spellEnd"/>
      <w:r w:rsidRPr="00CA016D">
        <w:rPr>
          <w:snapToGrid w:val="0"/>
          <w:kern w:val="18"/>
          <w:szCs w:val="18"/>
          <w:lang w:val="fr-FR"/>
        </w:rPr>
        <w:t xml:space="preserve">, </w:t>
      </w:r>
      <w:r>
        <w:rPr>
          <w:snapToGrid w:val="0"/>
          <w:kern w:val="18"/>
          <w:szCs w:val="18"/>
          <w:lang w:val="fr-FR"/>
        </w:rPr>
        <w:t>l’</w:t>
      </w:r>
      <w:r w:rsidRPr="00CA016D">
        <w:rPr>
          <w:snapToGrid w:val="0"/>
          <w:kern w:val="18"/>
          <w:szCs w:val="18"/>
          <w:lang w:val="fr-FR"/>
        </w:rPr>
        <w:t xml:space="preserve">International Plant Exchange Network, </w:t>
      </w:r>
      <w:r>
        <w:rPr>
          <w:snapToGrid w:val="0"/>
          <w:kern w:val="18"/>
          <w:szCs w:val="18"/>
          <w:lang w:val="fr-FR"/>
        </w:rPr>
        <w:t xml:space="preserve">l’Institut </w:t>
      </w:r>
      <w:r w:rsidRPr="00CA016D">
        <w:rPr>
          <w:snapToGrid w:val="0"/>
          <w:kern w:val="18"/>
          <w:szCs w:val="18"/>
          <w:lang w:val="fr-FR"/>
        </w:rPr>
        <w:t xml:space="preserve">DSMZ </w:t>
      </w:r>
      <w:proofErr w:type="spellStart"/>
      <w:r w:rsidRPr="00CA016D">
        <w:rPr>
          <w:snapToGrid w:val="0"/>
          <w:kern w:val="18"/>
          <w:szCs w:val="18"/>
          <w:lang w:val="fr-FR"/>
        </w:rPr>
        <w:t>GmbH</w:t>
      </w:r>
      <w:proofErr w:type="spellEnd"/>
      <w:r>
        <w:rPr>
          <w:snapToGrid w:val="0"/>
          <w:kern w:val="18"/>
          <w:szCs w:val="18"/>
          <w:lang w:val="fr-FR"/>
        </w:rPr>
        <w:t xml:space="preserve"> de Leibniz, le Musée de recherche zoologique de</w:t>
      </w:r>
      <w:r w:rsidRPr="00CA016D">
        <w:rPr>
          <w:snapToGrid w:val="0"/>
          <w:kern w:val="18"/>
          <w:szCs w:val="18"/>
          <w:lang w:val="fr-FR"/>
        </w:rPr>
        <w:t xml:space="preserve"> Bonn.</w:t>
      </w:r>
    </w:p>
  </w:footnote>
  <w:footnote w:id="76">
    <w:p w:rsidR="00B773E0" w:rsidRPr="00AC7B9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Le Jardin botanique de Göteborg</w:t>
      </w:r>
      <w:r w:rsidRPr="00AC7B92">
        <w:rPr>
          <w:snapToGrid w:val="0"/>
          <w:kern w:val="18"/>
          <w:szCs w:val="18"/>
          <w:lang w:val="fr-FR"/>
        </w:rPr>
        <w:t>.</w:t>
      </w:r>
    </w:p>
  </w:footnote>
  <w:footnote w:id="77">
    <w:p w:rsidR="00B773E0" w:rsidRPr="00AC7B9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Le Musée de recherche zoologique de</w:t>
      </w:r>
      <w:r w:rsidRPr="00AC7B92">
        <w:rPr>
          <w:snapToGrid w:val="0"/>
          <w:kern w:val="18"/>
          <w:szCs w:val="18"/>
          <w:lang w:val="fr-FR"/>
        </w:rPr>
        <w:t xml:space="preserve"> Bonn.</w:t>
      </w:r>
    </w:p>
  </w:footnote>
  <w:footnote w:id="78">
    <w:p w:rsidR="00B773E0" w:rsidRPr="00AC7B9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Le Jardin botanique de Göteborg</w:t>
      </w:r>
      <w:r w:rsidRPr="00AC7B92">
        <w:rPr>
          <w:snapToGrid w:val="0"/>
          <w:kern w:val="18"/>
          <w:szCs w:val="18"/>
          <w:lang w:val="fr-FR"/>
        </w:rPr>
        <w:t>.</w:t>
      </w:r>
    </w:p>
  </w:footnote>
  <w:footnote w:id="79">
    <w:p w:rsidR="00B773E0" w:rsidRPr="00AC7B92"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 xml:space="preserve">L’Institut </w:t>
      </w:r>
      <w:r w:rsidRPr="00AC7B92">
        <w:rPr>
          <w:snapToGrid w:val="0"/>
          <w:kern w:val="18"/>
          <w:szCs w:val="18"/>
          <w:lang w:val="fr-FR"/>
        </w:rPr>
        <w:t xml:space="preserve">DSMZ </w:t>
      </w:r>
      <w:proofErr w:type="spellStart"/>
      <w:r w:rsidRPr="00AC7B92">
        <w:rPr>
          <w:snapToGrid w:val="0"/>
          <w:kern w:val="18"/>
          <w:szCs w:val="18"/>
          <w:lang w:val="fr-FR"/>
        </w:rPr>
        <w:t>GmbH</w:t>
      </w:r>
      <w:proofErr w:type="spellEnd"/>
      <w:r>
        <w:rPr>
          <w:snapToGrid w:val="0"/>
          <w:kern w:val="18"/>
          <w:szCs w:val="18"/>
          <w:lang w:val="fr-FR"/>
        </w:rPr>
        <w:t xml:space="preserve"> de Leibniz</w:t>
      </w:r>
      <w:r w:rsidRPr="00AC7B92">
        <w:rPr>
          <w:snapToGrid w:val="0"/>
          <w:kern w:val="18"/>
          <w:szCs w:val="18"/>
          <w:lang w:val="fr-FR"/>
        </w:rPr>
        <w:t>.</w:t>
      </w:r>
    </w:p>
  </w:footnote>
  <w:footnote w:id="80">
    <w:p w:rsidR="00B773E0" w:rsidRPr="00AC7B92"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Le Musée de recherche zoologique de</w:t>
      </w:r>
      <w:r w:rsidRPr="00AC7B92">
        <w:rPr>
          <w:snapToGrid w:val="0"/>
          <w:kern w:val="18"/>
          <w:szCs w:val="18"/>
          <w:lang w:val="fr-FR"/>
        </w:rPr>
        <w:t xml:space="preserve"> Bonn.</w:t>
      </w:r>
    </w:p>
  </w:footnote>
  <w:footnote w:id="81">
    <w:p w:rsidR="00B773E0" w:rsidRPr="00AC7B92"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 xml:space="preserve">La </w:t>
      </w:r>
      <w:r w:rsidRPr="00AC7B92">
        <w:rPr>
          <w:snapToGrid w:val="0"/>
          <w:kern w:val="18"/>
          <w:szCs w:val="18"/>
          <w:lang w:val="fr-FR"/>
        </w:rPr>
        <w:t>Fédération mondiale des collections de cultures.</w:t>
      </w:r>
    </w:p>
  </w:footnote>
  <w:footnote w:id="82">
    <w:p w:rsidR="00B773E0" w:rsidRPr="00AC7B9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hyperlink r:id="rId5" w:history="1">
        <w:r w:rsidRPr="00AC7B92">
          <w:rPr>
            <w:rStyle w:val="Lienhypertexte"/>
            <w:snapToGrid w:val="0"/>
            <w:kern w:val="18"/>
            <w:szCs w:val="18"/>
            <w:lang w:val="fr-FR"/>
          </w:rPr>
          <w:t>https://www.cbd.int/doc/meetings/abs/abs-a10em-2016-01/official/abs-a10em-2016-01-02-en.pdf</w:t>
        </w:r>
      </w:hyperlink>
      <w:r>
        <w:rPr>
          <w:snapToGrid w:val="0"/>
          <w:kern w:val="18"/>
          <w:szCs w:val="18"/>
          <w:lang w:val="fr-FR"/>
        </w:rPr>
        <w:t xml:space="preserve"> (en anglais).</w:t>
      </w:r>
    </w:p>
  </w:footnote>
  <w:footnote w:id="83">
    <w:p w:rsidR="00B773E0" w:rsidRPr="00AC7B92" w:rsidRDefault="00B773E0" w:rsidP="00516B2D">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hyperlink r:id="rId6" w:history="1">
        <w:r w:rsidRPr="00AC7B92">
          <w:rPr>
            <w:rStyle w:val="Lienhypertexte"/>
            <w:snapToGrid w:val="0"/>
            <w:kern w:val="18"/>
            <w:szCs w:val="18"/>
            <w:lang w:val="fr-FR"/>
          </w:rPr>
          <w:t>http://www.fao.org/fileadmin/user_upload/faoweb/plant-treaty/cfp4/cfp_4_2017_0_en.pdf</w:t>
        </w:r>
      </w:hyperlink>
      <w:r w:rsidRPr="00AC7B92">
        <w:rPr>
          <w:snapToGrid w:val="0"/>
          <w:kern w:val="18"/>
          <w:szCs w:val="18"/>
          <w:lang w:val="fr-FR"/>
        </w:rPr>
        <w:t xml:space="preserve"> </w:t>
      </w:r>
      <w:r>
        <w:rPr>
          <w:snapToGrid w:val="0"/>
          <w:kern w:val="18"/>
          <w:szCs w:val="18"/>
          <w:lang w:val="fr-FR"/>
        </w:rPr>
        <w:t>(en anglais).</w:t>
      </w:r>
    </w:p>
  </w:footnote>
  <w:footnote w:id="84">
    <w:p w:rsidR="00B773E0" w:rsidRPr="00AC7B9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Résolution 2/2013, </w:t>
      </w:r>
      <w:hyperlink r:id="rId7" w:history="1">
        <w:r w:rsidRPr="00AC7B92">
          <w:rPr>
            <w:rStyle w:val="Lienhypertexte"/>
            <w:snapToGrid w:val="0"/>
            <w:kern w:val="18"/>
            <w:szCs w:val="18"/>
            <w:lang w:val="fr-FR"/>
          </w:rPr>
          <w:t>http://www.fao.org/3/a-be595e.pdf</w:t>
        </w:r>
      </w:hyperlink>
      <w:r>
        <w:rPr>
          <w:snapToGrid w:val="0"/>
          <w:kern w:val="18"/>
          <w:szCs w:val="18"/>
          <w:lang w:val="fr-FR"/>
        </w:rPr>
        <w:t xml:space="preserve"> (en anglais).</w:t>
      </w:r>
    </w:p>
  </w:footnote>
  <w:footnote w:id="85">
    <w:p w:rsidR="00B773E0" w:rsidRPr="00AC7B92" w:rsidRDefault="00B773E0" w:rsidP="0065303E">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sidR="00E37980">
        <w:rPr>
          <w:snapToGrid w:val="0"/>
          <w:kern w:val="18"/>
          <w:szCs w:val="18"/>
          <w:lang w:val="fr-FR"/>
        </w:rPr>
        <w:t>Les thèmes de l’ensemble des thématiques convenu en</w:t>
      </w:r>
      <w:r w:rsidRPr="00AC7B92">
        <w:rPr>
          <w:snapToGrid w:val="0"/>
          <w:kern w:val="18"/>
          <w:szCs w:val="18"/>
          <w:lang w:val="fr-FR"/>
        </w:rPr>
        <w:t xml:space="preserve"> 2011 </w:t>
      </w:r>
      <w:r w:rsidR="00E37980">
        <w:rPr>
          <w:snapToGrid w:val="0"/>
          <w:kern w:val="18"/>
          <w:szCs w:val="18"/>
          <w:lang w:val="fr-FR"/>
        </w:rPr>
        <w:t>sont « la</w:t>
      </w:r>
      <w:r w:rsidRPr="00AC7B92">
        <w:rPr>
          <w:snapToGrid w:val="0"/>
          <w:kern w:val="18"/>
          <w:szCs w:val="18"/>
          <w:lang w:val="fr-FR"/>
        </w:rPr>
        <w:t xml:space="preserve"> conservation </w:t>
      </w:r>
      <w:r w:rsidR="00E37980">
        <w:rPr>
          <w:snapToGrid w:val="0"/>
          <w:kern w:val="18"/>
          <w:szCs w:val="18"/>
          <w:lang w:val="fr-FR"/>
        </w:rPr>
        <w:t>et l’utilisation durable de la biodiversité marine des zones ne relevant pas de la juridiction</w:t>
      </w:r>
      <w:r w:rsidRPr="00AC7B92">
        <w:rPr>
          <w:snapToGrid w:val="0"/>
          <w:kern w:val="18"/>
          <w:szCs w:val="18"/>
          <w:lang w:val="fr-FR"/>
        </w:rPr>
        <w:t xml:space="preserve"> </w:t>
      </w:r>
      <w:r w:rsidR="00E37980">
        <w:rPr>
          <w:snapToGrid w:val="0"/>
          <w:kern w:val="18"/>
          <w:szCs w:val="18"/>
          <w:lang w:val="fr-FR"/>
        </w:rPr>
        <w:t>nationale</w:t>
      </w:r>
      <w:r w:rsidRPr="00AC7B92">
        <w:rPr>
          <w:snapToGrid w:val="0"/>
          <w:kern w:val="18"/>
          <w:szCs w:val="18"/>
          <w:lang w:val="fr-FR"/>
        </w:rPr>
        <w:t xml:space="preserve">, </w:t>
      </w:r>
      <w:r w:rsidR="00E37980">
        <w:rPr>
          <w:snapToGrid w:val="0"/>
          <w:kern w:val="18"/>
          <w:szCs w:val="18"/>
          <w:lang w:val="fr-FR"/>
        </w:rPr>
        <w:t>en</w:t>
      </w:r>
      <w:r w:rsidRPr="00AC7B92">
        <w:rPr>
          <w:snapToGrid w:val="0"/>
          <w:kern w:val="18"/>
          <w:szCs w:val="18"/>
          <w:lang w:val="fr-FR"/>
        </w:rPr>
        <w:t xml:space="preserve"> </w:t>
      </w:r>
      <w:r w:rsidR="00E37980">
        <w:rPr>
          <w:snapToGrid w:val="0"/>
          <w:kern w:val="18"/>
          <w:szCs w:val="18"/>
          <w:lang w:val="fr-FR"/>
        </w:rPr>
        <w:t xml:space="preserve">particulier les ressources génétiques marines considérées dans leur ensemble, notamment les </w:t>
      </w:r>
      <w:r w:rsidRPr="00AC7B92">
        <w:rPr>
          <w:snapToGrid w:val="0"/>
          <w:kern w:val="18"/>
          <w:szCs w:val="18"/>
          <w:lang w:val="fr-FR"/>
        </w:rPr>
        <w:t xml:space="preserve">questions </w:t>
      </w:r>
      <w:r w:rsidR="00E37980">
        <w:rPr>
          <w:snapToGrid w:val="0"/>
          <w:kern w:val="18"/>
          <w:szCs w:val="18"/>
          <w:lang w:val="fr-FR"/>
        </w:rPr>
        <w:t xml:space="preserve">relative au partage des avantages, les mesures telles que les outils de gestion </w:t>
      </w:r>
      <w:r w:rsidR="007C3C26">
        <w:rPr>
          <w:snapToGrid w:val="0"/>
          <w:kern w:val="18"/>
          <w:szCs w:val="18"/>
          <w:lang w:val="fr-FR"/>
        </w:rPr>
        <w:t>fondés sur les</w:t>
      </w:r>
      <w:r w:rsidR="00E37980">
        <w:rPr>
          <w:snapToGrid w:val="0"/>
          <w:kern w:val="18"/>
          <w:szCs w:val="18"/>
          <w:lang w:val="fr-FR"/>
        </w:rPr>
        <w:t xml:space="preserve"> zones</w:t>
      </w:r>
      <w:r w:rsidRPr="00AC7B92">
        <w:rPr>
          <w:snapToGrid w:val="0"/>
          <w:kern w:val="18"/>
          <w:szCs w:val="18"/>
          <w:lang w:val="fr-FR"/>
        </w:rPr>
        <w:t xml:space="preserve">, </w:t>
      </w:r>
      <w:r w:rsidR="007C3C26">
        <w:rPr>
          <w:snapToGrid w:val="0"/>
          <w:kern w:val="18"/>
          <w:szCs w:val="18"/>
          <w:lang w:val="fr-FR"/>
        </w:rPr>
        <w:t>y compris les zones marines protégées</w:t>
      </w:r>
      <w:r w:rsidRPr="00AC7B92">
        <w:rPr>
          <w:snapToGrid w:val="0"/>
          <w:kern w:val="18"/>
          <w:szCs w:val="18"/>
          <w:lang w:val="fr-FR"/>
        </w:rPr>
        <w:t xml:space="preserve">, </w:t>
      </w:r>
      <w:r w:rsidR="007C3C26">
        <w:rPr>
          <w:snapToGrid w:val="0"/>
          <w:kern w:val="18"/>
          <w:szCs w:val="18"/>
          <w:lang w:val="fr-FR"/>
        </w:rPr>
        <w:t>les études d’impact sur l’environnement, le renforcement des capacités et le transfert de technologies marines »</w:t>
      </w:r>
      <w:r w:rsidRPr="00AC7B92">
        <w:rPr>
          <w:snapToGrid w:val="0"/>
          <w:kern w:val="18"/>
          <w:szCs w:val="18"/>
          <w:lang w:val="fr-FR"/>
        </w:rPr>
        <w:t xml:space="preserve">. </w:t>
      </w:r>
      <w:r w:rsidR="007C3C26">
        <w:rPr>
          <w:snapToGrid w:val="0"/>
          <w:kern w:val="18"/>
          <w:szCs w:val="18"/>
          <w:lang w:val="fr-FR"/>
        </w:rPr>
        <w:t xml:space="preserve">Voir la soumission de la </w:t>
      </w:r>
      <w:r w:rsidRPr="00AC7B92">
        <w:rPr>
          <w:snapToGrid w:val="0"/>
          <w:kern w:val="18"/>
          <w:szCs w:val="18"/>
          <w:lang w:val="fr-FR"/>
        </w:rPr>
        <w:t xml:space="preserve">Division </w:t>
      </w:r>
      <w:r w:rsidR="007C3C26">
        <w:rPr>
          <w:snapToGrid w:val="0"/>
          <w:kern w:val="18"/>
          <w:szCs w:val="18"/>
          <w:lang w:val="fr-FR"/>
        </w:rPr>
        <w:t>des affaires maritimes et du droit de la mer de l’ONU</w:t>
      </w:r>
      <w:r w:rsidRPr="00AC7B92">
        <w:rPr>
          <w:snapToGrid w:val="0"/>
          <w:kern w:val="18"/>
          <w:szCs w:val="18"/>
          <w:lang w:val="fr-FR"/>
        </w:rPr>
        <w:t>.</w:t>
      </w:r>
    </w:p>
  </w:footnote>
  <w:footnote w:id="86">
    <w:p w:rsidR="00B773E0" w:rsidRPr="00AC7B9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Pour de plus amples</w:t>
      </w:r>
      <w:r w:rsidRPr="00AC7B92">
        <w:rPr>
          <w:snapToGrid w:val="0"/>
          <w:kern w:val="18"/>
          <w:szCs w:val="18"/>
          <w:lang w:val="fr-FR"/>
        </w:rPr>
        <w:t xml:space="preserve"> information </w:t>
      </w:r>
      <w:r>
        <w:rPr>
          <w:snapToGrid w:val="0"/>
          <w:kern w:val="18"/>
          <w:szCs w:val="18"/>
          <w:lang w:val="fr-FR"/>
        </w:rPr>
        <w:t>sur le processus</w:t>
      </w:r>
      <w:r w:rsidRPr="00AC7B92">
        <w:rPr>
          <w:snapToGrid w:val="0"/>
          <w:kern w:val="18"/>
          <w:szCs w:val="18"/>
          <w:lang w:val="fr-FR"/>
        </w:rPr>
        <w:t xml:space="preserve">, </w:t>
      </w:r>
      <w:r>
        <w:rPr>
          <w:snapToGrid w:val="0"/>
          <w:kern w:val="18"/>
          <w:szCs w:val="18"/>
          <w:lang w:val="fr-FR"/>
        </w:rPr>
        <w:t>voir l’adresse :</w:t>
      </w:r>
      <w:r w:rsidRPr="00AC7B92">
        <w:rPr>
          <w:snapToGrid w:val="0"/>
          <w:kern w:val="18"/>
          <w:szCs w:val="18"/>
          <w:lang w:val="fr-FR"/>
        </w:rPr>
        <w:t xml:space="preserve"> </w:t>
      </w:r>
      <w:hyperlink r:id="rId8" w:history="1">
        <w:r w:rsidRPr="00AC7B92">
          <w:rPr>
            <w:rStyle w:val="Lienhypertexte"/>
            <w:snapToGrid w:val="0"/>
            <w:kern w:val="18"/>
            <w:szCs w:val="18"/>
            <w:lang w:val="fr-FR"/>
          </w:rPr>
          <w:t>http://www.who.int/influenza/pip/Documents_WHA70108b/en/</w:t>
        </w:r>
      </w:hyperlink>
      <w:r w:rsidRPr="00AC7B92">
        <w:rPr>
          <w:snapToGrid w:val="0"/>
          <w:kern w:val="18"/>
          <w:szCs w:val="18"/>
          <w:lang w:val="fr-FR"/>
        </w:rPr>
        <w:t>.</w:t>
      </w:r>
    </w:p>
  </w:footnote>
  <w:footnote w:id="87">
    <w:p w:rsidR="00B773E0" w:rsidRPr="00AC7B92"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Voir</w:t>
      </w:r>
      <w:r>
        <w:rPr>
          <w:snapToGrid w:val="0"/>
          <w:kern w:val="18"/>
          <w:szCs w:val="18"/>
          <w:lang w:val="fr-FR"/>
        </w:rPr>
        <w:t xml:space="preserve"> l’adresse : </w:t>
      </w:r>
      <w:hyperlink r:id="rId9" w:history="1">
        <w:r>
          <w:rPr>
            <w:rStyle w:val="Lienhypertexte"/>
            <w:snapToGrid w:val="0"/>
            <w:kern w:val="18"/>
            <w:szCs w:val="18"/>
            <w:lang w:val="fr-FR"/>
          </w:rPr>
          <w:t>http://apps.who.int/gb/ebwha/pdf_files/WHA71/A71_24-fr.pdf</w:t>
        </w:r>
      </w:hyperlink>
      <w:r w:rsidRPr="00AC7B92">
        <w:rPr>
          <w:snapToGrid w:val="0"/>
          <w:kern w:val="18"/>
          <w:szCs w:val="18"/>
          <w:lang w:val="fr-FR"/>
        </w:rPr>
        <w:t>.</w:t>
      </w:r>
    </w:p>
  </w:footnote>
  <w:footnote w:id="88">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hyperlink r:id="rId10" w:history="1">
        <w:r w:rsidRPr="00AC7B92">
          <w:rPr>
            <w:rStyle w:val="Lienhypertexte"/>
            <w:snapToGrid w:val="0"/>
            <w:kern w:val="18"/>
            <w:szCs w:val="18"/>
            <w:lang w:val="fr-FR"/>
          </w:rPr>
          <w:t>https://www.cbd.int/abs/submissions-np-2-10/default.shtml</w:t>
        </w:r>
      </w:hyperlink>
      <w:r w:rsidRPr="00AC7B92">
        <w:rPr>
          <w:snapToGrid w:val="0"/>
          <w:kern w:val="18"/>
          <w:szCs w:val="18"/>
          <w:lang w:val="fr-FR"/>
        </w:rPr>
        <w:t>.</w:t>
      </w:r>
    </w:p>
  </w:footnote>
  <w:footnote w:id="89">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L’Inde et le Japo</w:t>
      </w:r>
      <w:r w:rsidRPr="00AC7B92">
        <w:rPr>
          <w:snapToGrid w:val="0"/>
          <w:kern w:val="18"/>
          <w:szCs w:val="18"/>
          <w:lang w:val="fr-FR"/>
        </w:rPr>
        <w:t>n.</w:t>
      </w:r>
    </w:p>
  </w:footnote>
  <w:footnote w:id="90">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L’Inde</w:t>
      </w:r>
      <w:r w:rsidRPr="00AC7B92">
        <w:rPr>
          <w:snapToGrid w:val="0"/>
          <w:kern w:val="18"/>
          <w:szCs w:val="18"/>
          <w:lang w:val="fr-FR"/>
        </w:rPr>
        <w:t>.</w:t>
      </w:r>
    </w:p>
  </w:footnote>
  <w:footnote w:id="91">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Le Mexique</w:t>
      </w:r>
      <w:r w:rsidRPr="00AC7B92">
        <w:rPr>
          <w:snapToGrid w:val="0"/>
          <w:kern w:val="18"/>
          <w:szCs w:val="18"/>
          <w:lang w:val="fr-FR"/>
        </w:rPr>
        <w:t>.</w:t>
      </w:r>
    </w:p>
  </w:footnote>
  <w:footnote w:id="92">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L’Argentine</w:t>
      </w:r>
      <w:r w:rsidRPr="00AC7B92">
        <w:rPr>
          <w:snapToGrid w:val="0"/>
          <w:kern w:val="18"/>
          <w:szCs w:val="18"/>
          <w:lang w:val="fr-FR"/>
        </w:rPr>
        <w:t>.</w:t>
      </w:r>
    </w:p>
  </w:footnote>
  <w:footnote w:id="93">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L’Inde et l’Association japonaise de la bio-industrie</w:t>
      </w:r>
      <w:r w:rsidRPr="00AC7B92">
        <w:rPr>
          <w:snapToGrid w:val="0"/>
          <w:kern w:val="18"/>
          <w:szCs w:val="18"/>
          <w:lang w:val="fr-FR"/>
        </w:rPr>
        <w:t>.</w:t>
      </w:r>
    </w:p>
  </w:footnote>
  <w:footnote w:id="94">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L’Association japonaise de la bio-industrie</w:t>
      </w:r>
      <w:r w:rsidRPr="00AC7B92">
        <w:rPr>
          <w:snapToGrid w:val="0"/>
          <w:kern w:val="18"/>
          <w:szCs w:val="18"/>
          <w:lang w:val="fr-FR"/>
        </w:rPr>
        <w:t>.</w:t>
      </w:r>
    </w:p>
  </w:footnote>
  <w:footnote w:id="95">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L’Argentine</w:t>
      </w:r>
      <w:r w:rsidRPr="00AC7B92">
        <w:rPr>
          <w:snapToGrid w:val="0"/>
          <w:kern w:val="18"/>
          <w:szCs w:val="18"/>
          <w:lang w:val="fr-FR"/>
        </w:rPr>
        <w:t>.</w:t>
      </w:r>
    </w:p>
  </w:footnote>
  <w:footnote w:id="96">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 xml:space="preserve">Le </w:t>
      </w:r>
      <w:r w:rsidRPr="00AC7B92">
        <w:rPr>
          <w:snapToGrid w:val="0"/>
          <w:kern w:val="18"/>
          <w:szCs w:val="18"/>
          <w:lang w:val="fr-FR"/>
        </w:rPr>
        <w:t>Jap</w:t>
      </w:r>
      <w:r>
        <w:rPr>
          <w:snapToGrid w:val="0"/>
          <w:kern w:val="18"/>
          <w:szCs w:val="18"/>
          <w:lang w:val="fr-FR"/>
        </w:rPr>
        <w:t>o</w:t>
      </w:r>
      <w:r w:rsidRPr="00AC7B92">
        <w:rPr>
          <w:snapToGrid w:val="0"/>
          <w:kern w:val="18"/>
          <w:szCs w:val="18"/>
          <w:lang w:val="fr-FR"/>
        </w:rPr>
        <w:t>n</w:t>
      </w:r>
      <w:r w:rsidR="00417400">
        <w:rPr>
          <w:snapToGrid w:val="0"/>
          <w:kern w:val="18"/>
          <w:szCs w:val="18"/>
          <w:lang w:val="fr-FR"/>
        </w:rPr>
        <w:t>. V</w:t>
      </w:r>
      <w:r>
        <w:rPr>
          <w:snapToGrid w:val="0"/>
          <w:kern w:val="18"/>
          <w:szCs w:val="18"/>
          <w:lang w:val="fr-FR"/>
        </w:rPr>
        <w:t>oir</w:t>
      </w:r>
      <w:r w:rsidR="00417400">
        <w:rPr>
          <w:snapToGrid w:val="0"/>
          <w:kern w:val="18"/>
          <w:szCs w:val="18"/>
          <w:lang w:val="fr-FR"/>
        </w:rPr>
        <w:t xml:space="preserve"> également</w:t>
      </w:r>
      <w:r>
        <w:rPr>
          <w:snapToGrid w:val="0"/>
          <w:kern w:val="18"/>
          <w:szCs w:val="18"/>
          <w:lang w:val="fr-FR"/>
        </w:rPr>
        <w:t xml:space="preserve"> paragraphe </w:t>
      </w:r>
      <w:r w:rsidRPr="00AC7B92">
        <w:rPr>
          <w:snapToGrid w:val="0"/>
          <w:kern w:val="18"/>
          <w:szCs w:val="18"/>
          <w:lang w:val="fr-FR"/>
        </w:rPr>
        <w:t xml:space="preserve">60 </w:t>
      </w:r>
      <w:r>
        <w:rPr>
          <w:snapToGrid w:val="0"/>
          <w:kern w:val="18"/>
          <w:szCs w:val="18"/>
          <w:lang w:val="fr-FR"/>
        </w:rPr>
        <w:t>ci-dessus</w:t>
      </w:r>
      <w:r w:rsidRPr="00AC7B92">
        <w:rPr>
          <w:snapToGrid w:val="0"/>
          <w:kern w:val="18"/>
          <w:szCs w:val="18"/>
          <w:lang w:val="fr-FR"/>
        </w:rPr>
        <w:t>.</w:t>
      </w:r>
    </w:p>
  </w:footnote>
  <w:footnote w:id="97">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La Chambre de commerce internationale</w:t>
      </w:r>
      <w:r w:rsidRPr="00AC7B92">
        <w:rPr>
          <w:snapToGrid w:val="0"/>
          <w:kern w:val="18"/>
          <w:szCs w:val="18"/>
          <w:lang w:val="fr-FR"/>
        </w:rPr>
        <w:t>.</w:t>
      </w:r>
    </w:p>
  </w:footnote>
  <w:footnote w:id="98">
    <w:p w:rsidR="00B773E0" w:rsidRPr="00AC7B92"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AC7B92">
        <w:rPr>
          <w:rStyle w:val="Appelnotedebasdep"/>
          <w:snapToGrid w:val="0"/>
          <w:kern w:val="18"/>
          <w:szCs w:val="18"/>
          <w:lang w:val="fr-FR"/>
        </w:rPr>
        <w:footnoteRef/>
      </w:r>
      <w:r w:rsidRPr="00AC7B92">
        <w:rPr>
          <w:snapToGrid w:val="0"/>
          <w:kern w:val="18"/>
          <w:szCs w:val="18"/>
          <w:lang w:val="fr-FR"/>
        </w:rPr>
        <w:t xml:space="preserve"> </w:t>
      </w:r>
      <w:r>
        <w:rPr>
          <w:snapToGrid w:val="0"/>
          <w:kern w:val="18"/>
          <w:szCs w:val="18"/>
          <w:lang w:val="fr-FR"/>
        </w:rPr>
        <w:t>L’Argentine et le Mexique</w:t>
      </w:r>
      <w:r w:rsidRPr="00AC7B92">
        <w:rPr>
          <w:snapToGrid w:val="0"/>
          <w:kern w:val="18"/>
          <w:szCs w:val="18"/>
          <w:lang w:val="fr-FR"/>
        </w:rPr>
        <w:t>.</w:t>
      </w:r>
    </w:p>
  </w:footnote>
  <w:footnote w:id="99">
    <w:p w:rsidR="00B773E0" w:rsidRPr="00466EAC"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Joseph Henry Vogel.</w:t>
      </w:r>
    </w:p>
  </w:footnote>
  <w:footnote w:id="100">
    <w:p w:rsidR="00B773E0" w:rsidRPr="00466EAC"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w:t>
      </w:r>
      <w:r>
        <w:rPr>
          <w:snapToGrid w:val="0"/>
          <w:kern w:val="18"/>
          <w:szCs w:val="18"/>
          <w:lang w:val="fr-FR"/>
        </w:rPr>
        <w:t>L’Argentine</w:t>
      </w:r>
      <w:r w:rsidRPr="00466EAC">
        <w:rPr>
          <w:snapToGrid w:val="0"/>
          <w:kern w:val="18"/>
          <w:szCs w:val="18"/>
          <w:lang w:val="fr-FR"/>
        </w:rPr>
        <w:t xml:space="preserve">, </w:t>
      </w:r>
      <w:r>
        <w:rPr>
          <w:snapToGrid w:val="0"/>
          <w:kern w:val="18"/>
          <w:szCs w:val="18"/>
          <w:lang w:val="fr-FR"/>
        </w:rPr>
        <w:t>l’Inde et le Mexique</w:t>
      </w:r>
      <w:r w:rsidRPr="00466EAC">
        <w:rPr>
          <w:snapToGrid w:val="0"/>
          <w:kern w:val="18"/>
          <w:szCs w:val="18"/>
          <w:lang w:val="fr-FR"/>
        </w:rPr>
        <w:t>.</w:t>
      </w:r>
    </w:p>
  </w:footnote>
  <w:footnote w:id="101">
    <w:p w:rsidR="00B773E0" w:rsidRPr="00466EAC"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w:t>
      </w:r>
      <w:r>
        <w:rPr>
          <w:snapToGrid w:val="0"/>
          <w:kern w:val="18"/>
          <w:szCs w:val="18"/>
          <w:lang w:val="fr-FR"/>
        </w:rPr>
        <w:t>L’Argentine</w:t>
      </w:r>
      <w:r w:rsidRPr="00466EAC">
        <w:rPr>
          <w:snapToGrid w:val="0"/>
          <w:kern w:val="18"/>
          <w:szCs w:val="18"/>
          <w:lang w:val="fr-FR"/>
        </w:rPr>
        <w:t>.</w:t>
      </w:r>
    </w:p>
  </w:footnote>
  <w:footnote w:id="102">
    <w:p w:rsidR="00B773E0" w:rsidRPr="00466EAC"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w:t>
      </w:r>
      <w:r>
        <w:rPr>
          <w:snapToGrid w:val="0"/>
          <w:kern w:val="18"/>
          <w:szCs w:val="18"/>
          <w:lang w:val="fr-FR"/>
        </w:rPr>
        <w:t>L’Inde</w:t>
      </w:r>
      <w:r w:rsidRPr="00466EAC">
        <w:rPr>
          <w:snapToGrid w:val="0"/>
          <w:kern w:val="18"/>
          <w:szCs w:val="18"/>
          <w:lang w:val="fr-FR"/>
        </w:rPr>
        <w:t>.</w:t>
      </w:r>
    </w:p>
  </w:footnote>
  <w:footnote w:id="103">
    <w:p w:rsidR="00B773E0" w:rsidRPr="00466EAC"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w:t>
      </w:r>
      <w:r>
        <w:rPr>
          <w:snapToGrid w:val="0"/>
          <w:kern w:val="18"/>
          <w:szCs w:val="18"/>
          <w:lang w:val="fr-FR"/>
        </w:rPr>
        <w:t>L’Argentine</w:t>
      </w:r>
      <w:r w:rsidRPr="00466EAC">
        <w:rPr>
          <w:snapToGrid w:val="0"/>
          <w:kern w:val="18"/>
          <w:szCs w:val="18"/>
          <w:lang w:val="fr-FR"/>
        </w:rPr>
        <w:t>.</w:t>
      </w:r>
    </w:p>
  </w:footnote>
  <w:footnote w:id="104">
    <w:p w:rsidR="00B773E0" w:rsidRPr="00466EAC"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w:t>
      </w:r>
      <w:r>
        <w:rPr>
          <w:snapToGrid w:val="0"/>
          <w:kern w:val="18"/>
          <w:szCs w:val="18"/>
          <w:lang w:val="fr-FR"/>
        </w:rPr>
        <w:t>Le Mexique</w:t>
      </w:r>
      <w:r w:rsidRPr="00466EAC">
        <w:rPr>
          <w:snapToGrid w:val="0"/>
          <w:kern w:val="18"/>
          <w:szCs w:val="18"/>
          <w:lang w:val="fr-FR"/>
        </w:rPr>
        <w:t>.</w:t>
      </w:r>
    </w:p>
  </w:footnote>
  <w:footnote w:id="105">
    <w:p w:rsidR="00B773E0" w:rsidRPr="00466EAC" w:rsidRDefault="00B773E0" w:rsidP="00E20527">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w:t>
      </w:r>
      <w:r>
        <w:rPr>
          <w:snapToGrid w:val="0"/>
          <w:kern w:val="18"/>
          <w:szCs w:val="18"/>
          <w:lang w:val="fr-FR"/>
        </w:rPr>
        <w:t>Voir la dé</w:t>
      </w:r>
      <w:r w:rsidRPr="00466EAC">
        <w:rPr>
          <w:snapToGrid w:val="0"/>
          <w:kern w:val="18"/>
          <w:szCs w:val="18"/>
          <w:lang w:val="fr-FR"/>
        </w:rPr>
        <w:t xml:space="preserve">cision XI/1 B </w:t>
      </w:r>
      <w:r>
        <w:rPr>
          <w:snapToGrid w:val="0"/>
          <w:kern w:val="18"/>
          <w:szCs w:val="18"/>
          <w:lang w:val="fr-FR"/>
        </w:rPr>
        <w:t>et son</w:t>
      </w:r>
      <w:r w:rsidRPr="00466EAC">
        <w:rPr>
          <w:snapToGrid w:val="0"/>
          <w:kern w:val="18"/>
          <w:szCs w:val="18"/>
          <w:lang w:val="fr-FR"/>
        </w:rPr>
        <w:t xml:space="preserve"> annex</w:t>
      </w:r>
      <w:r>
        <w:rPr>
          <w:snapToGrid w:val="0"/>
          <w:kern w:val="18"/>
          <w:szCs w:val="18"/>
          <w:lang w:val="fr-FR"/>
        </w:rPr>
        <w:t>e </w:t>
      </w:r>
      <w:r w:rsidRPr="00466EAC">
        <w:rPr>
          <w:snapToGrid w:val="0"/>
          <w:kern w:val="18"/>
          <w:szCs w:val="18"/>
          <w:lang w:val="fr-FR"/>
        </w:rPr>
        <w:t>I.</w:t>
      </w:r>
    </w:p>
  </w:footnote>
  <w:footnote w:id="106">
    <w:p w:rsidR="00B773E0" w:rsidRPr="00466EAC" w:rsidRDefault="00B773E0" w:rsidP="002A0E3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fr-FR"/>
        </w:rPr>
      </w:pPr>
      <w:r w:rsidRPr="00466EAC">
        <w:rPr>
          <w:rStyle w:val="Appelnotedebasdep"/>
          <w:snapToGrid w:val="0"/>
          <w:kern w:val="18"/>
          <w:szCs w:val="18"/>
          <w:lang w:val="fr-FR"/>
        </w:rPr>
        <w:footnoteRef/>
      </w:r>
      <w:r w:rsidRPr="00466EAC">
        <w:rPr>
          <w:snapToGrid w:val="0"/>
          <w:kern w:val="18"/>
          <w:szCs w:val="18"/>
          <w:lang w:val="fr-FR"/>
        </w:rPr>
        <w:t xml:space="preserve"> </w:t>
      </w:r>
      <w:r w:rsidRPr="00AC7B92">
        <w:rPr>
          <w:snapToGrid w:val="0"/>
          <w:kern w:val="18"/>
          <w:szCs w:val="18"/>
          <w:lang w:val="fr-FR"/>
        </w:rPr>
        <w:t>Fédération mondiale des collections de cultures</w:t>
      </w:r>
      <w:r w:rsidRPr="00466EAC">
        <w:rPr>
          <w:snapToGrid w:val="0"/>
          <w:kern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rsidR="00B773E0" w:rsidRDefault="00B773E0" w:rsidP="005440A6">
        <w:pPr>
          <w:pStyle w:val="En-tte"/>
          <w:tabs>
            <w:tab w:val="clear" w:pos="4320"/>
            <w:tab w:val="clear" w:pos="8640"/>
          </w:tabs>
          <w:jc w:val="left"/>
          <w:rPr>
            <w:noProof/>
            <w:kern w:val="22"/>
          </w:rPr>
        </w:pPr>
        <w:r>
          <w:rPr>
            <w:noProof/>
            <w:kern w:val="22"/>
            <w:lang w:val="en-CA"/>
          </w:rPr>
          <w:t>CBD/SBI/2/5</w:t>
        </w:r>
      </w:p>
    </w:sdtContent>
  </w:sdt>
  <w:p w:rsidR="00B773E0" w:rsidRPr="005440A6" w:rsidRDefault="00B773E0" w:rsidP="005440A6">
    <w:pPr>
      <w:pStyle w:val="En-tte"/>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5648C8">
      <w:rPr>
        <w:noProof/>
        <w:kern w:val="22"/>
      </w:rPr>
      <w:t>2</w:t>
    </w:r>
    <w:r w:rsidRPr="005440A6">
      <w:rPr>
        <w:noProof/>
        <w:kern w:val="22"/>
      </w:rPr>
      <w:fldChar w:fldCharType="end"/>
    </w:r>
  </w:p>
  <w:p w:rsidR="00B773E0" w:rsidRPr="005440A6" w:rsidRDefault="00B773E0" w:rsidP="005440A6">
    <w:pPr>
      <w:pStyle w:val="En-tte"/>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rsidR="00B773E0" w:rsidRPr="005440A6" w:rsidRDefault="00B773E0" w:rsidP="00BE45DE">
        <w:pPr>
          <w:pStyle w:val="En-tte"/>
          <w:tabs>
            <w:tab w:val="clear" w:pos="4320"/>
            <w:tab w:val="clear" w:pos="8640"/>
          </w:tabs>
          <w:jc w:val="right"/>
          <w:rPr>
            <w:noProof/>
            <w:kern w:val="22"/>
          </w:rPr>
        </w:pPr>
        <w:r>
          <w:rPr>
            <w:noProof/>
            <w:kern w:val="22"/>
            <w:lang w:val="en-CA"/>
          </w:rPr>
          <w:t>CBD/SBI/2/5</w:t>
        </w:r>
      </w:p>
    </w:sdtContent>
  </w:sdt>
  <w:p w:rsidR="00B773E0" w:rsidRPr="005440A6" w:rsidRDefault="00B773E0" w:rsidP="005440A6">
    <w:pPr>
      <w:pStyle w:val="En-tte"/>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5648C8">
      <w:rPr>
        <w:noProof/>
        <w:kern w:val="22"/>
      </w:rPr>
      <w:t>7</w:t>
    </w:r>
    <w:r w:rsidRPr="005440A6">
      <w:rPr>
        <w:noProof/>
        <w:kern w:val="22"/>
      </w:rPr>
      <w:fldChar w:fldCharType="end"/>
    </w:r>
  </w:p>
  <w:p w:rsidR="00B773E0" w:rsidRPr="005440A6" w:rsidRDefault="00B773E0" w:rsidP="005440A6">
    <w:pPr>
      <w:pStyle w:val="En-tte"/>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791"/>
    <w:multiLevelType w:val="hybridMultilevel"/>
    <w:tmpl w:val="7D7C68C4"/>
    <w:lvl w:ilvl="0" w:tplc="040C0017">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D759BF"/>
    <w:multiLevelType w:val="multilevel"/>
    <w:tmpl w:val="BE02EFD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3E21DBC"/>
    <w:multiLevelType w:val="hybridMultilevel"/>
    <w:tmpl w:val="2342E4EC"/>
    <w:lvl w:ilvl="0" w:tplc="E7C89700">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8510F5"/>
    <w:multiLevelType w:val="multilevel"/>
    <w:tmpl w:val="76C86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CDC10D1"/>
    <w:multiLevelType w:val="multilevel"/>
    <w:tmpl w:val="6BE00D1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CE3046C"/>
    <w:multiLevelType w:val="multilevel"/>
    <w:tmpl w:val="A72CC6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AF76FB"/>
    <w:multiLevelType w:val="multilevel"/>
    <w:tmpl w:val="0BAE89A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1FA3D95"/>
    <w:multiLevelType w:val="multilevel"/>
    <w:tmpl w:val="D73A7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28E491C"/>
    <w:multiLevelType w:val="multilevel"/>
    <w:tmpl w:val="ACB4241C"/>
    <w:lvl w:ilvl="0">
      <w:start w:val="279"/>
      <w:numFmt w:val="decimal"/>
      <w:lvlText w:val="%1."/>
      <w:lvlJc w:val="left"/>
      <w:pPr>
        <w:ind w:left="0" w:firstLine="0"/>
      </w:pPr>
      <w:rPr>
        <w:rFonts w:ascii="Times New Roman" w:hAnsi="Times New Roman" w:cs="Times New Roman" w:hint="default"/>
        <w:b w:val="0"/>
        <w:i w:val="0"/>
        <w:color w:val="000000"/>
        <w:position w:val="0"/>
        <w:sz w:val="22"/>
        <w:szCs w:val="22"/>
      </w:rPr>
    </w:lvl>
    <w:lvl w:ilvl="1">
      <w:start w:val="1"/>
      <w:numFmt w:val="lowerLetter"/>
      <w:lvlText w:val="(%2)"/>
      <w:lvlJc w:val="left"/>
      <w:pPr>
        <w:ind w:left="0" w:firstLine="0"/>
      </w:pPr>
      <w:rPr>
        <w:rFonts w:hint="default"/>
        <w:b w:val="0"/>
        <w:color w:val="000000"/>
        <w:position w:val="0"/>
      </w:rPr>
    </w:lvl>
    <w:lvl w:ilvl="2">
      <w:start w:val="1"/>
      <w:numFmt w:val="lowerRoman"/>
      <w:lvlText w:val="(%3)"/>
      <w:lvlJc w:val="left"/>
      <w:pPr>
        <w:ind w:left="0" w:firstLine="0"/>
      </w:pPr>
      <w:rPr>
        <w:rFonts w:hint="default"/>
        <w:color w:val="000000"/>
        <w:position w:val="0"/>
      </w:rPr>
    </w:lvl>
    <w:lvl w:ilvl="3">
      <w:start w:val="1"/>
      <w:numFmt w:val="bullet"/>
      <w:lvlText w:val="•"/>
      <w:lvlJc w:val="left"/>
      <w:pPr>
        <w:ind w:left="0" w:firstLine="0"/>
      </w:pPr>
      <w:rPr>
        <w:rFonts w:hint="default"/>
        <w:color w:val="000000"/>
        <w:position w:val="0"/>
      </w:rPr>
    </w:lvl>
    <w:lvl w:ilvl="4">
      <w:start w:val="1"/>
      <w:numFmt w:val="lowerLetter"/>
      <w:lvlText w:val="(%5)"/>
      <w:lvlJc w:val="left"/>
      <w:pPr>
        <w:ind w:left="0" w:firstLine="0"/>
      </w:pPr>
      <w:rPr>
        <w:rFonts w:hint="default"/>
        <w:color w:val="000000"/>
        <w:position w:val="0"/>
      </w:rPr>
    </w:lvl>
    <w:lvl w:ilvl="5">
      <w:start w:val="1"/>
      <w:numFmt w:val="lowerRoman"/>
      <w:lvlText w:val="(%6)"/>
      <w:lvlJc w:val="left"/>
      <w:pPr>
        <w:ind w:left="0" w:firstLine="0"/>
      </w:pPr>
      <w:rPr>
        <w:rFonts w:hint="default"/>
        <w:color w:val="000000"/>
        <w:position w:val="0"/>
      </w:rPr>
    </w:lvl>
    <w:lvl w:ilvl="6">
      <w:start w:val="1"/>
      <w:numFmt w:val="decimal"/>
      <w:lvlText w:val="%7."/>
      <w:lvlJc w:val="left"/>
      <w:pPr>
        <w:ind w:left="0" w:firstLine="0"/>
      </w:pPr>
      <w:rPr>
        <w:rFonts w:hint="default"/>
        <w:b/>
        <w:i/>
        <w:iCs/>
        <w:color w:val="000000"/>
        <w:position w:val="0"/>
      </w:rPr>
    </w:lvl>
    <w:lvl w:ilvl="7">
      <w:start w:val="1"/>
      <w:numFmt w:val="lowerLetter"/>
      <w:lvlText w:val="%8."/>
      <w:lvlJc w:val="left"/>
      <w:pPr>
        <w:ind w:left="0" w:firstLine="0"/>
      </w:pPr>
      <w:rPr>
        <w:rFonts w:hint="default"/>
        <w:color w:val="000000"/>
        <w:position w:val="0"/>
      </w:rPr>
    </w:lvl>
    <w:lvl w:ilvl="8">
      <w:start w:val="1"/>
      <w:numFmt w:val="lowerRoman"/>
      <w:lvlText w:val="%9."/>
      <w:lvlJc w:val="left"/>
      <w:pPr>
        <w:ind w:left="0" w:firstLine="0"/>
      </w:pPr>
      <w:rPr>
        <w:rFonts w:hint="default"/>
        <w:color w:val="000000"/>
        <w:position w:val="0"/>
      </w:rPr>
    </w:lvl>
  </w:abstractNum>
  <w:abstractNum w:abstractNumId="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E2D0275"/>
    <w:multiLevelType w:val="multilevel"/>
    <w:tmpl w:val="4D564CD2"/>
    <w:lvl w:ilvl="0">
      <w:start w:val="280"/>
      <w:numFmt w:val="decimal"/>
      <w:lvlText w:val="%1."/>
      <w:lvlJc w:val="left"/>
      <w:pPr>
        <w:ind w:left="0" w:firstLine="0"/>
      </w:pPr>
      <w:rPr>
        <w:rFonts w:ascii="Times New Roman" w:hAnsi="Times New Roman" w:cs="Times New Roman" w:hint="default"/>
        <w:b w:val="0"/>
        <w:i w:val="0"/>
        <w:color w:val="000000"/>
        <w:position w:val="0"/>
        <w:sz w:val="22"/>
        <w:szCs w:val="22"/>
      </w:rPr>
    </w:lvl>
    <w:lvl w:ilvl="1">
      <w:start w:val="3"/>
      <w:numFmt w:val="lowerLetter"/>
      <w:lvlText w:val="(%2)"/>
      <w:lvlJc w:val="left"/>
      <w:pPr>
        <w:ind w:left="0" w:firstLine="0"/>
      </w:pPr>
      <w:rPr>
        <w:rFonts w:hint="default"/>
        <w:b w:val="0"/>
        <w:color w:val="000000"/>
        <w:position w:val="0"/>
      </w:rPr>
    </w:lvl>
    <w:lvl w:ilvl="2">
      <w:start w:val="1"/>
      <w:numFmt w:val="lowerRoman"/>
      <w:lvlText w:val="(%3)"/>
      <w:lvlJc w:val="left"/>
      <w:pPr>
        <w:ind w:left="0" w:firstLine="0"/>
      </w:pPr>
      <w:rPr>
        <w:rFonts w:hint="default"/>
        <w:color w:val="000000"/>
        <w:position w:val="0"/>
      </w:rPr>
    </w:lvl>
    <w:lvl w:ilvl="3">
      <w:start w:val="1"/>
      <w:numFmt w:val="bullet"/>
      <w:lvlText w:val="•"/>
      <w:lvlJc w:val="left"/>
      <w:pPr>
        <w:ind w:left="0" w:firstLine="0"/>
      </w:pPr>
      <w:rPr>
        <w:rFonts w:hint="default"/>
        <w:color w:val="000000"/>
        <w:position w:val="0"/>
      </w:rPr>
    </w:lvl>
    <w:lvl w:ilvl="4">
      <w:start w:val="1"/>
      <w:numFmt w:val="lowerLetter"/>
      <w:lvlText w:val="(%5)"/>
      <w:lvlJc w:val="left"/>
      <w:pPr>
        <w:ind w:left="0" w:firstLine="0"/>
      </w:pPr>
      <w:rPr>
        <w:rFonts w:hint="default"/>
        <w:color w:val="000000"/>
        <w:position w:val="0"/>
      </w:rPr>
    </w:lvl>
    <w:lvl w:ilvl="5">
      <w:start w:val="1"/>
      <w:numFmt w:val="lowerRoman"/>
      <w:lvlText w:val="(%6)"/>
      <w:lvlJc w:val="left"/>
      <w:pPr>
        <w:ind w:left="0" w:firstLine="0"/>
      </w:pPr>
      <w:rPr>
        <w:rFonts w:hint="default"/>
        <w:color w:val="000000"/>
        <w:position w:val="0"/>
      </w:rPr>
    </w:lvl>
    <w:lvl w:ilvl="6">
      <w:start w:val="1"/>
      <w:numFmt w:val="decimal"/>
      <w:lvlText w:val="%7."/>
      <w:lvlJc w:val="left"/>
      <w:pPr>
        <w:ind w:left="0" w:firstLine="0"/>
      </w:pPr>
      <w:rPr>
        <w:rFonts w:hint="default"/>
        <w:b/>
        <w:i/>
        <w:iCs/>
        <w:color w:val="000000"/>
        <w:position w:val="0"/>
      </w:rPr>
    </w:lvl>
    <w:lvl w:ilvl="7">
      <w:start w:val="1"/>
      <w:numFmt w:val="lowerLetter"/>
      <w:lvlText w:val="%8."/>
      <w:lvlJc w:val="left"/>
      <w:pPr>
        <w:ind w:left="0" w:firstLine="0"/>
      </w:pPr>
      <w:rPr>
        <w:rFonts w:hint="default"/>
        <w:color w:val="000000"/>
        <w:position w:val="0"/>
      </w:rPr>
    </w:lvl>
    <w:lvl w:ilvl="8">
      <w:start w:val="1"/>
      <w:numFmt w:val="lowerRoman"/>
      <w:lvlText w:val="%9."/>
      <w:lvlJc w:val="left"/>
      <w:pPr>
        <w:ind w:left="0" w:firstLine="0"/>
      </w:pPr>
      <w:rPr>
        <w:rFonts w:hint="default"/>
        <w:color w:val="000000"/>
        <w:position w:val="0"/>
      </w:rPr>
    </w:lvl>
  </w:abstractNum>
  <w:abstractNum w:abstractNumId="11">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7280A2D"/>
    <w:multiLevelType w:val="hybridMultilevel"/>
    <w:tmpl w:val="84C4D9E8"/>
    <w:lvl w:ilvl="0" w:tplc="040C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E0442B4"/>
    <w:multiLevelType w:val="multilevel"/>
    <w:tmpl w:val="E90CEEA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04525DA"/>
    <w:multiLevelType w:val="multilevel"/>
    <w:tmpl w:val="91F62D0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4C667D7"/>
    <w:multiLevelType w:val="hybridMultilevel"/>
    <w:tmpl w:val="1EF61106"/>
    <w:lvl w:ilvl="0" w:tplc="2B64F4D2">
      <w:start w:val="68"/>
      <w:numFmt w:val="bullet"/>
      <w:lvlText w:val="-"/>
      <w:lvlJc w:val="left"/>
      <w:pPr>
        <w:ind w:left="720" w:hanging="360"/>
      </w:pPr>
      <w:rPr>
        <w:rFonts w:ascii="Times New Roman" w:eastAsia="Times New Roman" w:hAnsi="Times New Roman" w:cs="Times New Roman" w:hint="default"/>
      </w:rPr>
    </w:lvl>
    <w:lvl w:ilvl="1" w:tplc="8B8AB952">
      <w:start w:val="1"/>
      <w:numFmt w:val="lowerRoman"/>
      <w:lvlText w:val="%2)"/>
      <w:lvlJc w:val="left"/>
      <w:pPr>
        <w:ind w:left="1440" w:hanging="360"/>
      </w:pPr>
      <w:rPr>
        <w:rFonts w:cs="Times New Roman"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13193"/>
    <w:multiLevelType w:val="hybridMultilevel"/>
    <w:tmpl w:val="806E94CE"/>
    <w:lvl w:ilvl="0" w:tplc="040C0017">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72D6374"/>
    <w:multiLevelType w:val="hybridMultilevel"/>
    <w:tmpl w:val="D450B2D2"/>
    <w:lvl w:ilvl="0" w:tplc="ADAC2B9E">
      <w:start w:val="14"/>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6B6C75"/>
    <w:multiLevelType w:val="multilevel"/>
    <w:tmpl w:val="92960DB8"/>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i/>
        <w:color w:val="auto"/>
      </w:rPr>
    </w:lvl>
    <w:lvl w:ilvl="3">
      <w:start w:val="1"/>
      <w:numFmt w:val="decimal"/>
      <w:isLgl/>
      <w:lvlText w:val="%1.%2.%3.%4"/>
      <w:lvlJc w:val="left"/>
      <w:pPr>
        <w:ind w:left="1080" w:hanging="720"/>
      </w:pPr>
      <w:rPr>
        <w:rFonts w:hint="default"/>
        <w:i/>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440" w:hanging="1080"/>
      </w:pPr>
      <w:rPr>
        <w:rFonts w:hint="default"/>
        <w:i/>
        <w:color w:val="auto"/>
      </w:rPr>
    </w:lvl>
    <w:lvl w:ilvl="6">
      <w:start w:val="1"/>
      <w:numFmt w:val="decimal"/>
      <w:isLgl/>
      <w:lvlText w:val="%1.%2.%3.%4.%5.%6.%7"/>
      <w:lvlJc w:val="left"/>
      <w:pPr>
        <w:ind w:left="1800" w:hanging="1440"/>
      </w:pPr>
      <w:rPr>
        <w:rFonts w:hint="default"/>
        <w:i/>
        <w:color w:val="auto"/>
      </w:rPr>
    </w:lvl>
    <w:lvl w:ilvl="7">
      <w:start w:val="1"/>
      <w:numFmt w:val="decimal"/>
      <w:isLgl/>
      <w:lvlText w:val="%1.%2.%3.%4.%5.%6.%7.%8"/>
      <w:lvlJc w:val="left"/>
      <w:pPr>
        <w:ind w:left="1800" w:hanging="1440"/>
      </w:pPr>
      <w:rPr>
        <w:rFonts w:hint="default"/>
        <w:i/>
        <w:color w:val="auto"/>
      </w:rPr>
    </w:lvl>
    <w:lvl w:ilvl="8">
      <w:start w:val="1"/>
      <w:numFmt w:val="decimal"/>
      <w:isLgl/>
      <w:lvlText w:val="%1.%2.%3.%4.%5.%6.%7.%8.%9"/>
      <w:lvlJc w:val="left"/>
      <w:pPr>
        <w:ind w:left="1800" w:hanging="1440"/>
      </w:pPr>
      <w:rPr>
        <w:rFonts w:hint="default"/>
        <w:i/>
        <w:color w:val="auto"/>
      </w:rPr>
    </w:lvl>
  </w:abstractNum>
  <w:abstractNum w:abstractNumId="21">
    <w:nsid w:val="6D935F74"/>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76139A"/>
    <w:multiLevelType w:val="hybridMultilevel"/>
    <w:tmpl w:val="8E142910"/>
    <w:lvl w:ilvl="0" w:tplc="B7F8554A">
      <w:start w:val="3"/>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D02EC5"/>
    <w:multiLevelType w:val="hybridMultilevel"/>
    <w:tmpl w:val="C2DE6D7C"/>
    <w:lvl w:ilvl="0" w:tplc="2B64F4D2">
      <w:start w:val="68"/>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14"/>
  </w:num>
  <w:num w:numId="5">
    <w:abstractNumId w:val="13"/>
  </w:num>
  <w:num w:numId="6">
    <w:abstractNumId w:val="22"/>
  </w:num>
  <w:num w:numId="7">
    <w:abstractNumId w:val="17"/>
  </w:num>
  <w:num w:numId="8">
    <w:abstractNumId w:val="24"/>
  </w:num>
  <w:num w:numId="9">
    <w:abstractNumId w:val="3"/>
  </w:num>
  <w:num w:numId="10">
    <w:abstractNumId w:val="12"/>
  </w:num>
  <w:num w:numId="11">
    <w:abstractNumId w:val="5"/>
  </w:num>
  <w:num w:numId="12">
    <w:abstractNumId w:val="4"/>
  </w:num>
  <w:num w:numId="13">
    <w:abstractNumId w:val="15"/>
  </w:num>
  <w:num w:numId="14">
    <w:abstractNumId w:val="8"/>
  </w:num>
  <w:num w:numId="15">
    <w:abstractNumId w:val="10"/>
  </w:num>
  <w:num w:numId="16">
    <w:abstractNumId w:val="20"/>
  </w:num>
  <w:num w:numId="17">
    <w:abstractNumId w:val="14"/>
  </w:num>
  <w:num w:numId="18">
    <w:abstractNumId w:val="7"/>
  </w:num>
  <w:num w:numId="19">
    <w:abstractNumId w:val="6"/>
  </w:num>
  <w:num w:numId="20">
    <w:abstractNumId w:val="14"/>
  </w:num>
  <w:num w:numId="21">
    <w:abstractNumId w:val="2"/>
  </w:num>
  <w:num w:numId="22">
    <w:abstractNumId w:val="19"/>
  </w:num>
  <w:num w:numId="23">
    <w:abstractNumId w:val="21"/>
  </w:num>
  <w:num w:numId="24">
    <w:abstractNumId w:val="1"/>
  </w:num>
  <w:num w:numId="25">
    <w:abstractNumId w:val="23"/>
  </w:num>
  <w:num w:numId="26">
    <w:abstractNumId w:val="18"/>
  </w:num>
  <w:num w:numId="27">
    <w:abstractNumId w:val="0"/>
  </w:num>
  <w:num w:numId="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68E8"/>
    <w:rsid w:val="000164EF"/>
    <w:rsid w:val="00020EFF"/>
    <w:rsid w:val="000219AC"/>
    <w:rsid w:val="00031D24"/>
    <w:rsid w:val="00037873"/>
    <w:rsid w:val="00037D68"/>
    <w:rsid w:val="00054381"/>
    <w:rsid w:val="00064A75"/>
    <w:rsid w:val="000711E1"/>
    <w:rsid w:val="00073708"/>
    <w:rsid w:val="00082159"/>
    <w:rsid w:val="000833BB"/>
    <w:rsid w:val="00095A23"/>
    <w:rsid w:val="000B54D6"/>
    <w:rsid w:val="000E3A47"/>
    <w:rsid w:val="000E637D"/>
    <w:rsid w:val="000E646E"/>
    <w:rsid w:val="000E7E6A"/>
    <w:rsid w:val="000F63AB"/>
    <w:rsid w:val="0010074A"/>
    <w:rsid w:val="0012214B"/>
    <w:rsid w:val="001328E1"/>
    <w:rsid w:val="001430CF"/>
    <w:rsid w:val="00143A68"/>
    <w:rsid w:val="00143CF1"/>
    <w:rsid w:val="001530D8"/>
    <w:rsid w:val="00162047"/>
    <w:rsid w:val="00162D68"/>
    <w:rsid w:val="00166367"/>
    <w:rsid w:val="00177F38"/>
    <w:rsid w:val="00192E06"/>
    <w:rsid w:val="001A5072"/>
    <w:rsid w:val="001B1784"/>
    <w:rsid w:val="001C5605"/>
    <w:rsid w:val="001D1942"/>
    <w:rsid w:val="001D3DB1"/>
    <w:rsid w:val="001F2CA6"/>
    <w:rsid w:val="001F5113"/>
    <w:rsid w:val="001F6379"/>
    <w:rsid w:val="00204415"/>
    <w:rsid w:val="00207A6E"/>
    <w:rsid w:val="002139A9"/>
    <w:rsid w:val="00214CC6"/>
    <w:rsid w:val="00215AE7"/>
    <w:rsid w:val="00217F60"/>
    <w:rsid w:val="00224B92"/>
    <w:rsid w:val="00231FE1"/>
    <w:rsid w:val="002357E1"/>
    <w:rsid w:val="00252897"/>
    <w:rsid w:val="002809CA"/>
    <w:rsid w:val="00286708"/>
    <w:rsid w:val="00297F5D"/>
    <w:rsid w:val="002A0E3A"/>
    <w:rsid w:val="002B0942"/>
    <w:rsid w:val="002B5A36"/>
    <w:rsid w:val="002B69FD"/>
    <w:rsid w:val="002C4BDB"/>
    <w:rsid w:val="002D257D"/>
    <w:rsid w:val="002E0627"/>
    <w:rsid w:val="002F0FC0"/>
    <w:rsid w:val="002F5B80"/>
    <w:rsid w:val="00310B98"/>
    <w:rsid w:val="003210FF"/>
    <w:rsid w:val="00325DE3"/>
    <w:rsid w:val="00336766"/>
    <w:rsid w:val="00351DAA"/>
    <w:rsid w:val="0035216D"/>
    <w:rsid w:val="00357E92"/>
    <w:rsid w:val="00363C4F"/>
    <w:rsid w:val="003708D7"/>
    <w:rsid w:val="00371273"/>
    <w:rsid w:val="00383A6B"/>
    <w:rsid w:val="00391F17"/>
    <w:rsid w:val="00393423"/>
    <w:rsid w:val="003B10B9"/>
    <w:rsid w:val="003C113F"/>
    <w:rsid w:val="003C377F"/>
    <w:rsid w:val="003D6F4D"/>
    <w:rsid w:val="003E2DAE"/>
    <w:rsid w:val="003F5225"/>
    <w:rsid w:val="003F539B"/>
    <w:rsid w:val="003F6E44"/>
    <w:rsid w:val="00406BC6"/>
    <w:rsid w:val="00417400"/>
    <w:rsid w:val="00417993"/>
    <w:rsid w:val="004420C9"/>
    <w:rsid w:val="0044424E"/>
    <w:rsid w:val="00457EF1"/>
    <w:rsid w:val="00466EAC"/>
    <w:rsid w:val="0047573F"/>
    <w:rsid w:val="004859B8"/>
    <w:rsid w:val="00495676"/>
    <w:rsid w:val="004B34DB"/>
    <w:rsid w:val="004B597A"/>
    <w:rsid w:val="004B62FA"/>
    <w:rsid w:val="004B6759"/>
    <w:rsid w:val="004F3D7C"/>
    <w:rsid w:val="004F77DD"/>
    <w:rsid w:val="00500530"/>
    <w:rsid w:val="00501330"/>
    <w:rsid w:val="005032C9"/>
    <w:rsid w:val="00506D19"/>
    <w:rsid w:val="00515326"/>
    <w:rsid w:val="00515E84"/>
    <w:rsid w:val="005164EC"/>
    <w:rsid w:val="00516B2D"/>
    <w:rsid w:val="00516C26"/>
    <w:rsid w:val="00520E47"/>
    <w:rsid w:val="005419A0"/>
    <w:rsid w:val="005440A6"/>
    <w:rsid w:val="00551F7E"/>
    <w:rsid w:val="005554AD"/>
    <w:rsid w:val="005648C8"/>
    <w:rsid w:val="00575F07"/>
    <w:rsid w:val="00583C7C"/>
    <w:rsid w:val="005955D2"/>
    <w:rsid w:val="005A318B"/>
    <w:rsid w:val="005A4284"/>
    <w:rsid w:val="005B29FE"/>
    <w:rsid w:val="005B7F33"/>
    <w:rsid w:val="005D139C"/>
    <w:rsid w:val="005D3FA7"/>
    <w:rsid w:val="005D5725"/>
    <w:rsid w:val="005F4C74"/>
    <w:rsid w:val="006227E4"/>
    <w:rsid w:val="006260D5"/>
    <w:rsid w:val="00634F88"/>
    <w:rsid w:val="00645275"/>
    <w:rsid w:val="006507F2"/>
    <w:rsid w:val="0065303E"/>
    <w:rsid w:val="00653BA2"/>
    <w:rsid w:val="00680307"/>
    <w:rsid w:val="00690847"/>
    <w:rsid w:val="00693113"/>
    <w:rsid w:val="006B074E"/>
    <w:rsid w:val="006B2BD5"/>
    <w:rsid w:val="006D082C"/>
    <w:rsid w:val="006D0E3D"/>
    <w:rsid w:val="006F284C"/>
    <w:rsid w:val="006F4D61"/>
    <w:rsid w:val="006F7227"/>
    <w:rsid w:val="00702366"/>
    <w:rsid w:val="007112D6"/>
    <w:rsid w:val="007163BC"/>
    <w:rsid w:val="00723035"/>
    <w:rsid w:val="00730A4B"/>
    <w:rsid w:val="00730AE3"/>
    <w:rsid w:val="00735CDF"/>
    <w:rsid w:val="00736BC2"/>
    <w:rsid w:val="00750D42"/>
    <w:rsid w:val="00757C75"/>
    <w:rsid w:val="00767D93"/>
    <w:rsid w:val="00771C00"/>
    <w:rsid w:val="0079219C"/>
    <w:rsid w:val="0079325E"/>
    <w:rsid w:val="007B1587"/>
    <w:rsid w:val="007C1FA1"/>
    <w:rsid w:val="007C3C26"/>
    <w:rsid w:val="007C5285"/>
    <w:rsid w:val="007C633B"/>
    <w:rsid w:val="007C6BE5"/>
    <w:rsid w:val="007D0EBA"/>
    <w:rsid w:val="007D3182"/>
    <w:rsid w:val="007E0781"/>
    <w:rsid w:val="007E147E"/>
    <w:rsid w:val="007E4A6C"/>
    <w:rsid w:val="007F3D26"/>
    <w:rsid w:val="007F4DB1"/>
    <w:rsid w:val="007F7F3E"/>
    <w:rsid w:val="00825524"/>
    <w:rsid w:val="00827F81"/>
    <w:rsid w:val="0083211E"/>
    <w:rsid w:val="00833E7A"/>
    <w:rsid w:val="00840537"/>
    <w:rsid w:val="0084166D"/>
    <w:rsid w:val="00843843"/>
    <w:rsid w:val="00843FF1"/>
    <w:rsid w:val="0084734E"/>
    <w:rsid w:val="008601D9"/>
    <w:rsid w:val="008624BB"/>
    <w:rsid w:val="00870D40"/>
    <w:rsid w:val="0087328C"/>
    <w:rsid w:val="00874BC1"/>
    <w:rsid w:val="00881D64"/>
    <w:rsid w:val="008907D0"/>
    <w:rsid w:val="008A7321"/>
    <w:rsid w:val="008B4FA7"/>
    <w:rsid w:val="008B541C"/>
    <w:rsid w:val="008C013C"/>
    <w:rsid w:val="008C1E35"/>
    <w:rsid w:val="008C273A"/>
    <w:rsid w:val="008D5AA2"/>
    <w:rsid w:val="008D75A0"/>
    <w:rsid w:val="008E5F84"/>
    <w:rsid w:val="008E7500"/>
    <w:rsid w:val="008F0981"/>
    <w:rsid w:val="00900E59"/>
    <w:rsid w:val="009067F8"/>
    <w:rsid w:val="009123B1"/>
    <w:rsid w:val="00913626"/>
    <w:rsid w:val="00922EAD"/>
    <w:rsid w:val="009266C4"/>
    <w:rsid w:val="0092794B"/>
    <w:rsid w:val="00933A8E"/>
    <w:rsid w:val="00947EED"/>
    <w:rsid w:val="009527E0"/>
    <w:rsid w:val="00953856"/>
    <w:rsid w:val="0095411A"/>
    <w:rsid w:val="009554D5"/>
    <w:rsid w:val="00955E5D"/>
    <w:rsid w:val="00957556"/>
    <w:rsid w:val="00964C06"/>
    <w:rsid w:val="00981EB1"/>
    <w:rsid w:val="009947BB"/>
    <w:rsid w:val="00997B63"/>
    <w:rsid w:val="009B5D66"/>
    <w:rsid w:val="009B5E1D"/>
    <w:rsid w:val="009C2E86"/>
    <w:rsid w:val="009D2F92"/>
    <w:rsid w:val="009E2B79"/>
    <w:rsid w:val="009E6016"/>
    <w:rsid w:val="009F0DF8"/>
    <w:rsid w:val="009F4AC1"/>
    <w:rsid w:val="00A04629"/>
    <w:rsid w:val="00A10051"/>
    <w:rsid w:val="00A14C49"/>
    <w:rsid w:val="00A1535F"/>
    <w:rsid w:val="00A20F36"/>
    <w:rsid w:val="00A22AF4"/>
    <w:rsid w:val="00A25AB5"/>
    <w:rsid w:val="00A30DAD"/>
    <w:rsid w:val="00A55748"/>
    <w:rsid w:val="00A62143"/>
    <w:rsid w:val="00A655BA"/>
    <w:rsid w:val="00A67058"/>
    <w:rsid w:val="00AA014E"/>
    <w:rsid w:val="00AA2D26"/>
    <w:rsid w:val="00AA2FAB"/>
    <w:rsid w:val="00AA5872"/>
    <w:rsid w:val="00AB392F"/>
    <w:rsid w:val="00AB4512"/>
    <w:rsid w:val="00AB61B1"/>
    <w:rsid w:val="00AC1E69"/>
    <w:rsid w:val="00AC3573"/>
    <w:rsid w:val="00AC4B84"/>
    <w:rsid w:val="00AC7B92"/>
    <w:rsid w:val="00AE37E9"/>
    <w:rsid w:val="00B23B4A"/>
    <w:rsid w:val="00B248F3"/>
    <w:rsid w:val="00B271A0"/>
    <w:rsid w:val="00B3299A"/>
    <w:rsid w:val="00B56B11"/>
    <w:rsid w:val="00B661AA"/>
    <w:rsid w:val="00B75DE9"/>
    <w:rsid w:val="00B773E0"/>
    <w:rsid w:val="00B82847"/>
    <w:rsid w:val="00B83871"/>
    <w:rsid w:val="00B85F9B"/>
    <w:rsid w:val="00BA1498"/>
    <w:rsid w:val="00BA29C1"/>
    <w:rsid w:val="00BA3233"/>
    <w:rsid w:val="00BE37A4"/>
    <w:rsid w:val="00BE45DE"/>
    <w:rsid w:val="00BF3298"/>
    <w:rsid w:val="00C05456"/>
    <w:rsid w:val="00C076A9"/>
    <w:rsid w:val="00C15BBB"/>
    <w:rsid w:val="00C31FC0"/>
    <w:rsid w:val="00C32D8A"/>
    <w:rsid w:val="00C3485D"/>
    <w:rsid w:val="00C34C37"/>
    <w:rsid w:val="00C37FF1"/>
    <w:rsid w:val="00C43DE5"/>
    <w:rsid w:val="00C46523"/>
    <w:rsid w:val="00C507CD"/>
    <w:rsid w:val="00C52F2A"/>
    <w:rsid w:val="00C637A7"/>
    <w:rsid w:val="00C66D23"/>
    <w:rsid w:val="00C85EA4"/>
    <w:rsid w:val="00C912FE"/>
    <w:rsid w:val="00C94BE8"/>
    <w:rsid w:val="00C95948"/>
    <w:rsid w:val="00CA016D"/>
    <w:rsid w:val="00CA1572"/>
    <w:rsid w:val="00CA6B87"/>
    <w:rsid w:val="00CB7E78"/>
    <w:rsid w:val="00CC1A9A"/>
    <w:rsid w:val="00CC1EFC"/>
    <w:rsid w:val="00CC2031"/>
    <w:rsid w:val="00CE0F53"/>
    <w:rsid w:val="00CE38AD"/>
    <w:rsid w:val="00CE51C3"/>
    <w:rsid w:val="00CF4895"/>
    <w:rsid w:val="00CF4F69"/>
    <w:rsid w:val="00D07D59"/>
    <w:rsid w:val="00D15589"/>
    <w:rsid w:val="00D22AE8"/>
    <w:rsid w:val="00D23D98"/>
    <w:rsid w:val="00D2502C"/>
    <w:rsid w:val="00D32280"/>
    <w:rsid w:val="00D41C4D"/>
    <w:rsid w:val="00D432AD"/>
    <w:rsid w:val="00D50AE8"/>
    <w:rsid w:val="00D51069"/>
    <w:rsid w:val="00D5391F"/>
    <w:rsid w:val="00D61027"/>
    <w:rsid w:val="00D71387"/>
    <w:rsid w:val="00D804A5"/>
    <w:rsid w:val="00D9537D"/>
    <w:rsid w:val="00DC4ECA"/>
    <w:rsid w:val="00DD52CC"/>
    <w:rsid w:val="00DD6F0A"/>
    <w:rsid w:val="00DE308B"/>
    <w:rsid w:val="00DE75A5"/>
    <w:rsid w:val="00E01DD8"/>
    <w:rsid w:val="00E11C13"/>
    <w:rsid w:val="00E13252"/>
    <w:rsid w:val="00E13AC3"/>
    <w:rsid w:val="00E13C3E"/>
    <w:rsid w:val="00E20527"/>
    <w:rsid w:val="00E37980"/>
    <w:rsid w:val="00E37A7A"/>
    <w:rsid w:val="00E47630"/>
    <w:rsid w:val="00E53D99"/>
    <w:rsid w:val="00E55B3B"/>
    <w:rsid w:val="00E55E91"/>
    <w:rsid w:val="00E61005"/>
    <w:rsid w:val="00E636EC"/>
    <w:rsid w:val="00E904EB"/>
    <w:rsid w:val="00EA7525"/>
    <w:rsid w:val="00EB1B2C"/>
    <w:rsid w:val="00EC0891"/>
    <w:rsid w:val="00EC7A67"/>
    <w:rsid w:val="00ED3F34"/>
    <w:rsid w:val="00ED7E04"/>
    <w:rsid w:val="00EE51DB"/>
    <w:rsid w:val="00EF647E"/>
    <w:rsid w:val="00F01532"/>
    <w:rsid w:val="00F13DC0"/>
    <w:rsid w:val="00F14485"/>
    <w:rsid w:val="00F16F02"/>
    <w:rsid w:val="00F26A60"/>
    <w:rsid w:val="00F27014"/>
    <w:rsid w:val="00F35B08"/>
    <w:rsid w:val="00F465B6"/>
    <w:rsid w:val="00F64CB9"/>
    <w:rsid w:val="00F67181"/>
    <w:rsid w:val="00F677EB"/>
    <w:rsid w:val="00F74A85"/>
    <w:rsid w:val="00F74E03"/>
    <w:rsid w:val="00F77628"/>
    <w:rsid w:val="00F8031C"/>
    <w:rsid w:val="00F80844"/>
    <w:rsid w:val="00F80A58"/>
    <w:rsid w:val="00F838DD"/>
    <w:rsid w:val="00F90E80"/>
    <w:rsid w:val="00FB1237"/>
    <w:rsid w:val="00FB3B70"/>
    <w:rsid w:val="00FB5224"/>
    <w:rsid w:val="00FC48D1"/>
    <w:rsid w:val="00FC6159"/>
    <w:rsid w:val="00FD061C"/>
    <w:rsid w:val="00FD4504"/>
    <w:rsid w:val="00FD71E0"/>
    <w:rsid w:val="00FF1640"/>
    <w:rsid w:val="00FF7DB9"/>
  </w:rsids>
  <m:mathPr>
    <m:mathFont m:val="Cambria Math"/>
    <m:brkBin m:val="before"/>
    <m:brkBinSub m:val="--"/>
    <m:smallFrac m:val="0"/>
    <m:dispDef/>
    <m:lMargin m:val="0"/>
    <m:rMargin m:val="0"/>
    <m:defJc m:val="centerGroup"/>
    <m:wrapIndent m:val="1440"/>
    <m:intLim m:val="subSup"/>
    <m:naryLim m:val="undOvr"/>
  </m:mathPr>
  <w:themeFontLang w:val="en-CA"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Titre1">
    <w:name w:val="heading 1"/>
    <w:basedOn w:val="Normal"/>
    <w:next w:val="Titre2"/>
    <w:qFormat/>
    <w:pPr>
      <w:keepNext/>
      <w:tabs>
        <w:tab w:val="left" w:pos="720"/>
      </w:tabs>
      <w:spacing w:before="240" w:after="120"/>
      <w:jc w:val="center"/>
      <w:outlineLvl w:val="0"/>
    </w:pPr>
    <w:rPr>
      <w:b/>
      <w:caps/>
    </w:rPr>
  </w:style>
  <w:style w:type="paragraph" w:styleId="Titre2">
    <w:name w:val="heading 2"/>
    <w:basedOn w:val="Normal"/>
    <w:next w:val="Normal"/>
    <w:qFormat/>
    <w:rsid w:val="00E55B3B"/>
    <w:pPr>
      <w:keepNext/>
      <w:tabs>
        <w:tab w:val="left" w:pos="720"/>
      </w:tabs>
      <w:spacing w:before="120" w:after="120"/>
      <w:jc w:val="center"/>
      <w:outlineLvl w:val="1"/>
    </w:pPr>
    <w:rPr>
      <w:b/>
      <w:bCs/>
      <w:iCs/>
    </w:rPr>
  </w:style>
  <w:style w:type="paragraph" w:styleId="Titre3">
    <w:name w:val="heading 3"/>
    <w:basedOn w:val="Normal"/>
    <w:next w:val="Normal"/>
    <w:link w:val="Titre3Car"/>
    <w:qFormat/>
    <w:pPr>
      <w:keepNext/>
      <w:tabs>
        <w:tab w:val="left" w:pos="567"/>
      </w:tabs>
      <w:spacing w:before="120" w:after="120"/>
      <w:jc w:val="center"/>
      <w:outlineLvl w:val="2"/>
    </w:pPr>
    <w:rPr>
      <w:i/>
      <w:iCs/>
    </w:rPr>
  </w:style>
  <w:style w:type="paragraph" w:styleId="Titre4">
    <w:name w:val="heading 4"/>
    <w:basedOn w:val="Normal"/>
    <w:qFormat/>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pPr>
      <w:keepNext/>
      <w:numPr>
        <w:ilvl w:val="4"/>
        <w:numId w:val="1"/>
      </w:numPr>
      <w:spacing w:before="120" w:after="120"/>
      <w:jc w:val="left"/>
      <w:outlineLvl w:val="4"/>
    </w:pPr>
    <w:rPr>
      <w:bCs/>
      <w:i/>
      <w:szCs w:val="26"/>
      <w:lang w:val="en-CA"/>
    </w:rPr>
  </w:style>
  <w:style w:type="paragraph" w:styleId="Titre6">
    <w:name w:val="heading 6"/>
    <w:basedOn w:val="Normal"/>
    <w:next w:val="Normal"/>
    <w:qFormat/>
    <w:pPr>
      <w:keepNext/>
      <w:spacing w:after="240" w:line="240" w:lineRule="exact"/>
      <w:ind w:left="720"/>
      <w:outlineLvl w:val="5"/>
    </w:pPr>
    <w:rPr>
      <w:u w:val="single"/>
    </w:rPr>
  </w:style>
  <w:style w:type="paragraph" w:styleId="Titre7">
    <w:name w:val="heading 7"/>
    <w:basedOn w:val="Normal"/>
    <w:next w:val="Normal"/>
    <w:qFormat/>
    <w:pPr>
      <w:keepNext/>
      <w:jc w:val="right"/>
      <w:outlineLvl w:val="6"/>
    </w:pPr>
    <w:rPr>
      <w:rFonts w:ascii="Univers" w:hAnsi="Univers"/>
      <w:b/>
      <w:sz w:val="28"/>
    </w:rPr>
  </w:style>
  <w:style w:type="paragraph" w:styleId="Titre8">
    <w:name w:val="heading 8"/>
    <w:basedOn w:val="Normal"/>
    <w:next w:val="Normal"/>
    <w:qFormat/>
    <w:pPr>
      <w:keepNext/>
      <w:jc w:val="right"/>
      <w:outlineLvl w:val="7"/>
    </w:pPr>
    <w:rPr>
      <w:rFonts w:ascii="Univers" w:hAnsi="Univers"/>
      <w:b/>
      <w:sz w:val="32"/>
    </w:rPr>
  </w:style>
  <w:style w:type="paragraph" w:styleId="Titre9">
    <w:name w:val="heading 9"/>
    <w:basedOn w:val="Normal"/>
    <w:next w:val="Normal"/>
    <w:qFormat/>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pPr>
      <w:keepLines/>
      <w:spacing w:after="60"/>
      <w:ind w:firstLine="720"/>
    </w:pPr>
    <w:rPr>
      <w:sz w:val="18"/>
    </w:rPr>
  </w:style>
  <w:style w:type="paragraph" w:styleId="Corpsdetexte">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semiHidden/>
    <w:rPr>
      <w:sz w:val="16"/>
    </w:rPr>
  </w:style>
  <w:style w:type="paragraph" w:styleId="Commentaire">
    <w:name w:val="annotation text"/>
    <w:basedOn w:val="Normal"/>
    <w:link w:val="CommentaireCar"/>
    <w:uiPriority w:val="99"/>
    <w:semiHidden/>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EF647E"/>
    <w:rPr>
      <w:sz w:val="18"/>
      <w:u w:val="none"/>
      <w:vertAlign w:val="superscript"/>
    </w:rPr>
  </w:style>
  <w:style w:type="paragraph" w:styleId="Retraitcorpsdetexte">
    <w:name w:val="Body Text Indent"/>
    <w:basedOn w:val="Normal"/>
    <w:pPr>
      <w:spacing w:before="120" w:after="120"/>
      <w:ind w:left="1440" w:hanging="720"/>
      <w:jc w:val="left"/>
    </w:pPr>
  </w:style>
  <w:style w:type="character" w:styleId="Numrodepage">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pPr>
      <w:spacing w:before="120"/>
    </w:pPr>
    <w:rPr>
      <w:rFonts w:cs="Arial"/>
      <w:b/>
      <w:bCs/>
      <w:sz w:val="24"/>
    </w:rPr>
  </w:style>
  <w:style w:type="paragraph" w:styleId="TM9">
    <w:name w:val="toc 9"/>
    <w:basedOn w:val="Normal"/>
    <w:next w:val="Normal"/>
    <w:autoRedefine/>
    <w:semiHidden/>
    <w:pPr>
      <w:spacing w:before="120" w:after="120"/>
      <w:ind w:left="1760"/>
      <w:jc w:val="left"/>
    </w:pPr>
  </w:style>
  <w:style w:type="paragraph" w:styleId="TM1">
    <w:name w:val="toc 1"/>
    <w:basedOn w:val="Normal"/>
    <w:next w:val="Normal"/>
    <w:autoRedefine/>
    <w:semiHidden/>
    <w:pPr>
      <w:ind w:left="720" w:hanging="720"/>
    </w:pPr>
    <w:rPr>
      <w:caps/>
    </w:rPr>
  </w:style>
  <w:style w:type="paragraph" w:styleId="TM2">
    <w:name w:val="toc 2"/>
    <w:basedOn w:val="Normal"/>
    <w:next w:val="Normal"/>
    <w:autoRedefine/>
    <w:semiHidden/>
    <w:pPr>
      <w:tabs>
        <w:tab w:val="right" w:leader="dot" w:pos="9356"/>
      </w:tabs>
      <w:ind w:left="1440" w:hanging="720"/>
    </w:pPr>
    <w:rPr>
      <w:noProof/>
      <w:szCs w:val="22"/>
    </w:rPr>
  </w:style>
  <w:style w:type="paragraph" w:styleId="TM3">
    <w:name w:val="toc 3"/>
    <w:basedOn w:val="Normal"/>
    <w:next w:val="Normal"/>
    <w:autoRedefine/>
    <w:semiHidden/>
    <w:pPr>
      <w:ind w:left="2160" w:hanging="720"/>
    </w:pPr>
  </w:style>
  <w:style w:type="paragraph" w:styleId="TM4">
    <w:name w:val="toc 4"/>
    <w:basedOn w:val="Normal"/>
    <w:next w:val="Normal"/>
    <w:autoRedefine/>
    <w:semiHidden/>
    <w:pPr>
      <w:spacing w:before="120" w:after="120"/>
      <w:ind w:left="660"/>
      <w:jc w:val="left"/>
    </w:pPr>
  </w:style>
  <w:style w:type="paragraph" w:styleId="TM5">
    <w:name w:val="toc 5"/>
    <w:basedOn w:val="Normal"/>
    <w:next w:val="Normal"/>
    <w:autoRedefine/>
    <w:semiHidden/>
    <w:pPr>
      <w:spacing w:before="120" w:after="120"/>
      <w:ind w:left="880"/>
      <w:jc w:val="left"/>
    </w:pPr>
  </w:style>
  <w:style w:type="paragraph" w:styleId="TM6">
    <w:name w:val="toc 6"/>
    <w:basedOn w:val="Normal"/>
    <w:next w:val="Normal"/>
    <w:autoRedefine/>
    <w:semiHidden/>
    <w:pPr>
      <w:spacing w:before="120" w:after="120"/>
      <w:ind w:left="1100"/>
      <w:jc w:val="left"/>
    </w:pPr>
  </w:style>
  <w:style w:type="paragraph" w:styleId="TM7">
    <w:name w:val="toc 7"/>
    <w:basedOn w:val="Normal"/>
    <w:next w:val="Normal"/>
    <w:autoRedefine/>
    <w:semiHidden/>
    <w:pPr>
      <w:spacing w:before="120" w:after="120"/>
      <w:ind w:left="1320"/>
      <w:jc w:val="left"/>
    </w:pPr>
  </w:style>
  <w:style w:type="paragraph" w:styleId="TM8">
    <w:name w:val="toc 8"/>
    <w:basedOn w:val="Normal"/>
    <w:next w:val="Normal"/>
    <w:autoRedefine/>
    <w:semiHidden/>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Pr>
      <w:color w:val="800080"/>
      <w:u w:val="single"/>
    </w:rPr>
  </w:style>
  <w:style w:type="paragraph" w:customStyle="1" w:styleId="Style1">
    <w:name w:val="Style1"/>
    <w:basedOn w:val="Titre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Pr>
      <w:vertAlign w:val="superscript"/>
    </w:rPr>
  </w:style>
  <w:style w:type="paragraph" w:styleId="Notedefin">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Titre1"/>
    <w:pPr>
      <w:ind w:left="1843" w:hanging="1134"/>
      <w:jc w:val="left"/>
    </w:pPr>
  </w:style>
  <w:style w:type="paragraph" w:customStyle="1" w:styleId="Heading1multiline">
    <w:name w:val="Heading 1 (multiline)"/>
    <w:basedOn w:val="Titre1"/>
    <w:pPr>
      <w:ind w:left="1843" w:right="996" w:hanging="567"/>
      <w:jc w:val="left"/>
    </w:pPr>
  </w:style>
  <w:style w:type="paragraph" w:customStyle="1" w:styleId="Heading2multiline">
    <w:name w:val="Heading 2 (multiline)"/>
    <w:basedOn w:val="Titre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cs="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sz w:val="20"/>
      <w:szCs w:val="20"/>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F74E03"/>
    <w:rPr>
      <w:snapToGrid w:val="0"/>
      <w:sz w:val="22"/>
      <w:szCs w:val="18"/>
      <w:lang w:val="en-GB"/>
    </w:rPr>
  </w:style>
  <w:style w:type="paragraph" w:styleId="Lgende">
    <w:name w:val="caption"/>
    <w:basedOn w:val="Normal"/>
    <w:next w:val="Normal"/>
    <w:link w:val="LgendeCar"/>
    <w:uiPriority w:val="35"/>
    <w:unhideWhenUsed/>
    <w:qFormat/>
    <w:rsid w:val="00F74E03"/>
    <w:pPr>
      <w:pBdr>
        <w:top w:val="nil"/>
        <w:left w:val="nil"/>
        <w:bottom w:val="nil"/>
        <w:right w:val="nil"/>
        <w:between w:val="nil"/>
        <w:bar w:val="nil"/>
      </w:pBdr>
      <w:spacing w:after="200"/>
      <w:jc w:val="center"/>
    </w:pPr>
    <w:rPr>
      <w:rFonts w:eastAsia="Arial Unicode MS" w:hAnsi="Arial Unicode MS" w:cs="Arial Unicode MS"/>
      <w:b/>
      <w:bCs/>
      <w:szCs w:val="18"/>
      <w:u w:color="000000"/>
      <w:bdr w:val="nil"/>
      <w:lang w:val="en-US"/>
    </w:rPr>
  </w:style>
  <w:style w:type="character" w:customStyle="1" w:styleId="LgendeCar">
    <w:name w:val="Légende Car"/>
    <w:link w:val="Lgende"/>
    <w:uiPriority w:val="35"/>
    <w:rsid w:val="00F74E03"/>
    <w:rPr>
      <w:rFonts w:eastAsia="Arial Unicode MS" w:hAnsi="Arial Unicode MS" w:cs="Arial Unicode MS"/>
      <w:b/>
      <w:bCs/>
      <w:sz w:val="22"/>
      <w:szCs w:val="18"/>
      <w:u w:color="000000"/>
      <w:bdr w:val="nil"/>
      <w:lang w:val="en-US"/>
    </w:rPr>
  </w:style>
  <w:style w:type="character" w:customStyle="1" w:styleId="UnresolvedMention">
    <w:name w:val="Unresolved Mention"/>
    <w:basedOn w:val="Policepardfaut"/>
    <w:uiPriority w:val="99"/>
    <w:semiHidden/>
    <w:unhideWhenUsed/>
    <w:rsid w:val="00FB1237"/>
    <w:rPr>
      <w:color w:val="808080"/>
      <w:shd w:val="clear" w:color="auto" w:fill="E6E6E6"/>
    </w:rPr>
  </w:style>
  <w:style w:type="character" w:customStyle="1" w:styleId="Titre3Car">
    <w:name w:val="Titre 3 Car"/>
    <w:basedOn w:val="Policepardfaut"/>
    <w:link w:val="Titre3"/>
    <w:rsid w:val="00310B98"/>
    <w:rPr>
      <w:i/>
      <w:iCs/>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Titre1">
    <w:name w:val="heading 1"/>
    <w:basedOn w:val="Normal"/>
    <w:next w:val="Titre2"/>
    <w:qFormat/>
    <w:pPr>
      <w:keepNext/>
      <w:tabs>
        <w:tab w:val="left" w:pos="720"/>
      </w:tabs>
      <w:spacing w:before="240" w:after="120"/>
      <w:jc w:val="center"/>
      <w:outlineLvl w:val="0"/>
    </w:pPr>
    <w:rPr>
      <w:b/>
      <w:caps/>
    </w:rPr>
  </w:style>
  <w:style w:type="paragraph" w:styleId="Titre2">
    <w:name w:val="heading 2"/>
    <w:basedOn w:val="Normal"/>
    <w:next w:val="Normal"/>
    <w:qFormat/>
    <w:rsid w:val="00E55B3B"/>
    <w:pPr>
      <w:keepNext/>
      <w:tabs>
        <w:tab w:val="left" w:pos="720"/>
      </w:tabs>
      <w:spacing w:before="120" w:after="120"/>
      <w:jc w:val="center"/>
      <w:outlineLvl w:val="1"/>
    </w:pPr>
    <w:rPr>
      <w:b/>
      <w:bCs/>
      <w:iCs/>
    </w:rPr>
  </w:style>
  <w:style w:type="paragraph" w:styleId="Titre3">
    <w:name w:val="heading 3"/>
    <w:basedOn w:val="Normal"/>
    <w:next w:val="Normal"/>
    <w:link w:val="Titre3Car"/>
    <w:qFormat/>
    <w:pPr>
      <w:keepNext/>
      <w:tabs>
        <w:tab w:val="left" w:pos="567"/>
      </w:tabs>
      <w:spacing w:before="120" w:after="120"/>
      <w:jc w:val="center"/>
      <w:outlineLvl w:val="2"/>
    </w:pPr>
    <w:rPr>
      <w:i/>
      <w:iCs/>
    </w:rPr>
  </w:style>
  <w:style w:type="paragraph" w:styleId="Titre4">
    <w:name w:val="heading 4"/>
    <w:basedOn w:val="Normal"/>
    <w:qFormat/>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pPr>
      <w:keepNext/>
      <w:numPr>
        <w:ilvl w:val="4"/>
        <w:numId w:val="1"/>
      </w:numPr>
      <w:spacing w:before="120" w:after="120"/>
      <w:jc w:val="left"/>
      <w:outlineLvl w:val="4"/>
    </w:pPr>
    <w:rPr>
      <w:bCs/>
      <w:i/>
      <w:szCs w:val="26"/>
      <w:lang w:val="en-CA"/>
    </w:rPr>
  </w:style>
  <w:style w:type="paragraph" w:styleId="Titre6">
    <w:name w:val="heading 6"/>
    <w:basedOn w:val="Normal"/>
    <w:next w:val="Normal"/>
    <w:qFormat/>
    <w:pPr>
      <w:keepNext/>
      <w:spacing w:after="240" w:line="240" w:lineRule="exact"/>
      <w:ind w:left="720"/>
      <w:outlineLvl w:val="5"/>
    </w:pPr>
    <w:rPr>
      <w:u w:val="single"/>
    </w:rPr>
  </w:style>
  <w:style w:type="paragraph" w:styleId="Titre7">
    <w:name w:val="heading 7"/>
    <w:basedOn w:val="Normal"/>
    <w:next w:val="Normal"/>
    <w:qFormat/>
    <w:pPr>
      <w:keepNext/>
      <w:jc w:val="right"/>
      <w:outlineLvl w:val="6"/>
    </w:pPr>
    <w:rPr>
      <w:rFonts w:ascii="Univers" w:hAnsi="Univers"/>
      <w:b/>
      <w:sz w:val="28"/>
    </w:rPr>
  </w:style>
  <w:style w:type="paragraph" w:styleId="Titre8">
    <w:name w:val="heading 8"/>
    <w:basedOn w:val="Normal"/>
    <w:next w:val="Normal"/>
    <w:qFormat/>
    <w:pPr>
      <w:keepNext/>
      <w:jc w:val="right"/>
      <w:outlineLvl w:val="7"/>
    </w:pPr>
    <w:rPr>
      <w:rFonts w:ascii="Univers" w:hAnsi="Univers"/>
      <w:b/>
      <w:sz w:val="32"/>
    </w:rPr>
  </w:style>
  <w:style w:type="paragraph" w:styleId="Titre9">
    <w:name w:val="heading 9"/>
    <w:basedOn w:val="Normal"/>
    <w:next w:val="Normal"/>
    <w:qFormat/>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pPr>
      <w:keepLines/>
      <w:spacing w:after="60"/>
      <w:ind w:firstLine="720"/>
    </w:pPr>
    <w:rPr>
      <w:sz w:val="18"/>
    </w:rPr>
  </w:style>
  <w:style w:type="paragraph" w:styleId="Corpsdetexte">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semiHidden/>
    <w:rPr>
      <w:sz w:val="16"/>
    </w:rPr>
  </w:style>
  <w:style w:type="paragraph" w:styleId="Commentaire">
    <w:name w:val="annotation text"/>
    <w:basedOn w:val="Normal"/>
    <w:link w:val="CommentaireCar"/>
    <w:uiPriority w:val="99"/>
    <w:semiHidden/>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EF647E"/>
    <w:rPr>
      <w:sz w:val="18"/>
      <w:u w:val="none"/>
      <w:vertAlign w:val="superscript"/>
    </w:rPr>
  </w:style>
  <w:style w:type="paragraph" w:styleId="Retraitcorpsdetexte">
    <w:name w:val="Body Text Indent"/>
    <w:basedOn w:val="Normal"/>
    <w:pPr>
      <w:spacing w:before="120" w:after="120"/>
      <w:ind w:left="1440" w:hanging="720"/>
      <w:jc w:val="left"/>
    </w:pPr>
  </w:style>
  <w:style w:type="character" w:styleId="Numrodepage">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pPr>
      <w:spacing w:before="120"/>
    </w:pPr>
    <w:rPr>
      <w:rFonts w:cs="Arial"/>
      <w:b/>
      <w:bCs/>
      <w:sz w:val="24"/>
    </w:rPr>
  </w:style>
  <w:style w:type="paragraph" w:styleId="TM9">
    <w:name w:val="toc 9"/>
    <w:basedOn w:val="Normal"/>
    <w:next w:val="Normal"/>
    <w:autoRedefine/>
    <w:semiHidden/>
    <w:pPr>
      <w:spacing w:before="120" w:after="120"/>
      <w:ind w:left="1760"/>
      <w:jc w:val="left"/>
    </w:pPr>
  </w:style>
  <w:style w:type="paragraph" w:styleId="TM1">
    <w:name w:val="toc 1"/>
    <w:basedOn w:val="Normal"/>
    <w:next w:val="Normal"/>
    <w:autoRedefine/>
    <w:semiHidden/>
    <w:pPr>
      <w:ind w:left="720" w:hanging="720"/>
    </w:pPr>
    <w:rPr>
      <w:caps/>
    </w:rPr>
  </w:style>
  <w:style w:type="paragraph" w:styleId="TM2">
    <w:name w:val="toc 2"/>
    <w:basedOn w:val="Normal"/>
    <w:next w:val="Normal"/>
    <w:autoRedefine/>
    <w:semiHidden/>
    <w:pPr>
      <w:tabs>
        <w:tab w:val="right" w:leader="dot" w:pos="9356"/>
      </w:tabs>
      <w:ind w:left="1440" w:hanging="720"/>
    </w:pPr>
    <w:rPr>
      <w:noProof/>
      <w:szCs w:val="22"/>
    </w:rPr>
  </w:style>
  <w:style w:type="paragraph" w:styleId="TM3">
    <w:name w:val="toc 3"/>
    <w:basedOn w:val="Normal"/>
    <w:next w:val="Normal"/>
    <w:autoRedefine/>
    <w:semiHidden/>
    <w:pPr>
      <w:ind w:left="2160" w:hanging="720"/>
    </w:pPr>
  </w:style>
  <w:style w:type="paragraph" w:styleId="TM4">
    <w:name w:val="toc 4"/>
    <w:basedOn w:val="Normal"/>
    <w:next w:val="Normal"/>
    <w:autoRedefine/>
    <w:semiHidden/>
    <w:pPr>
      <w:spacing w:before="120" w:after="120"/>
      <w:ind w:left="660"/>
      <w:jc w:val="left"/>
    </w:pPr>
  </w:style>
  <w:style w:type="paragraph" w:styleId="TM5">
    <w:name w:val="toc 5"/>
    <w:basedOn w:val="Normal"/>
    <w:next w:val="Normal"/>
    <w:autoRedefine/>
    <w:semiHidden/>
    <w:pPr>
      <w:spacing w:before="120" w:after="120"/>
      <w:ind w:left="880"/>
      <w:jc w:val="left"/>
    </w:pPr>
  </w:style>
  <w:style w:type="paragraph" w:styleId="TM6">
    <w:name w:val="toc 6"/>
    <w:basedOn w:val="Normal"/>
    <w:next w:val="Normal"/>
    <w:autoRedefine/>
    <w:semiHidden/>
    <w:pPr>
      <w:spacing w:before="120" w:after="120"/>
      <w:ind w:left="1100"/>
      <w:jc w:val="left"/>
    </w:pPr>
  </w:style>
  <w:style w:type="paragraph" w:styleId="TM7">
    <w:name w:val="toc 7"/>
    <w:basedOn w:val="Normal"/>
    <w:next w:val="Normal"/>
    <w:autoRedefine/>
    <w:semiHidden/>
    <w:pPr>
      <w:spacing w:before="120" w:after="120"/>
      <w:ind w:left="1320"/>
      <w:jc w:val="left"/>
    </w:pPr>
  </w:style>
  <w:style w:type="paragraph" w:styleId="TM8">
    <w:name w:val="toc 8"/>
    <w:basedOn w:val="Normal"/>
    <w:next w:val="Normal"/>
    <w:autoRedefine/>
    <w:semiHidden/>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Pr>
      <w:color w:val="800080"/>
      <w:u w:val="single"/>
    </w:rPr>
  </w:style>
  <w:style w:type="paragraph" w:customStyle="1" w:styleId="Style1">
    <w:name w:val="Style1"/>
    <w:basedOn w:val="Titre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Pr>
      <w:vertAlign w:val="superscript"/>
    </w:rPr>
  </w:style>
  <w:style w:type="paragraph" w:styleId="Notedefin">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Titre1"/>
    <w:pPr>
      <w:ind w:left="1843" w:hanging="1134"/>
      <w:jc w:val="left"/>
    </w:pPr>
  </w:style>
  <w:style w:type="paragraph" w:customStyle="1" w:styleId="Heading1multiline">
    <w:name w:val="Heading 1 (multiline)"/>
    <w:basedOn w:val="Titre1"/>
    <w:pPr>
      <w:ind w:left="1843" w:right="996" w:hanging="567"/>
      <w:jc w:val="left"/>
    </w:pPr>
  </w:style>
  <w:style w:type="paragraph" w:customStyle="1" w:styleId="Heading2multiline">
    <w:name w:val="Heading 2 (multiline)"/>
    <w:basedOn w:val="Titre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cs="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sz w:val="20"/>
      <w:szCs w:val="20"/>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F74E03"/>
    <w:rPr>
      <w:snapToGrid w:val="0"/>
      <w:sz w:val="22"/>
      <w:szCs w:val="18"/>
      <w:lang w:val="en-GB"/>
    </w:rPr>
  </w:style>
  <w:style w:type="paragraph" w:styleId="Lgende">
    <w:name w:val="caption"/>
    <w:basedOn w:val="Normal"/>
    <w:next w:val="Normal"/>
    <w:link w:val="LgendeCar"/>
    <w:uiPriority w:val="35"/>
    <w:unhideWhenUsed/>
    <w:qFormat/>
    <w:rsid w:val="00F74E03"/>
    <w:pPr>
      <w:pBdr>
        <w:top w:val="nil"/>
        <w:left w:val="nil"/>
        <w:bottom w:val="nil"/>
        <w:right w:val="nil"/>
        <w:between w:val="nil"/>
        <w:bar w:val="nil"/>
      </w:pBdr>
      <w:spacing w:after="200"/>
      <w:jc w:val="center"/>
    </w:pPr>
    <w:rPr>
      <w:rFonts w:eastAsia="Arial Unicode MS" w:hAnsi="Arial Unicode MS" w:cs="Arial Unicode MS"/>
      <w:b/>
      <w:bCs/>
      <w:szCs w:val="18"/>
      <w:u w:color="000000"/>
      <w:bdr w:val="nil"/>
      <w:lang w:val="en-US"/>
    </w:rPr>
  </w:style>
  <w:style w:type="character" w:customStyle="1" w:styleId="LgendeCar">
    <w:name w:val="Légende Car"/>
    <w:link w:val="Lgende"/>
    <w:uiPriority w:val="35"/>
    <w:rsid w:val="00F74E03"/>
    <w:rPr>
      <w:rFonts w:eastAsia="Arial Unicode MS" w:hAnsi="Arial Unicode MS" w:cs="Arial Unicode MS"/>
      <w:b/>
      <w:bCs/>
      <w:sz w:val="22"/>
      <w:szCs w:val="18"/>
      <w:u w:color="000000"/>
      <w:bdr w:val="nil"/>
      <w:lang w:val="en-US"/>
    </w:rPr>
  </w:style>
  <w:style w:type="character" w:customStyle="1" w:styleId="UnresolvedMention">
    <w:name w:val="Unresolved Mention"/>
    <w:basedOn w:val="Policepardfaut"/>
    <w:uiPriority w:val="99"/>
    <w:semiHidden/>
    <w:unhideWhenUsed/>
    <w:rsid w:val="00FB1237"/>
    <w:rPr>
      <w:color w:val="808080"/>
      <w:shd w:val="clear" w:color="auto" w:fill="E6E6E6"/>
    </w:rPr>
  </w:style>
  <w:style w:type="character" w:customStyle="1" w:styleId="Titre3Car">
    <w:name w:val="Titre 3 Car"/>
    <w:basedOn w:val="Policepardfaut"/>
    <w:link w:val="Titre3"/>
    <w:rsid w:val="00310B98"/>
    <w:rPr>
      <w:i/>
      <w:i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docs.org/fr/A/AC.287/2017/PC.4/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decisions/np-mop-02/np-mop-02-dec-10-f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n.org/fr/documents/view_doc.asp?symbol=A/RES/72/24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ho.int/influenza/pip/Documents_WHA70108b/en/" TargetMode="External"/><Relationship Id="rId3" Type="http://schemas.openxmlformats.org/officeDocument/2006/relationships/hyperlink" Target="https://www.cbd.int/abs/submissions-np-2-10/default.shtml" TargetMode="External"/><Relationship Id="rId7" Type="http://schemas.openxmlformats.org/officeDocument/2006/relationships/hyperlink" Target="http://www.fao.org/3/a-be595e.pdf" TargetMode="External"/><Relationship Id="rId2" Type="http://schemas.openxmlformats.org/officeDocument/2006/relationships/hyperlink" Target="https://www.cbd.int/doc/notifications/2017/ntf-2017-094-abs-en.pdf" TargetMode="External"/><Relationship Id="rId1" Type="http://schemas.openxmlformats.org/officeDocument/2006/relationships/hyperlink" Target="https://www.cbd.int/doc/notifications/2017/ntf-2017-017-absch-en.pdf" TargetMode="External"/><Relationship Id="rId6" Type="http://schemas.openxmlformats.org/officeDocument/2006/relationships/hyperlink" Target="http://www.fao.org/fileadmin/user_upload/faoweb/plant-treaty/cfp4/cfp_4_2017_0_en.pdf" TargetMode="External"/><Relationship Id="rId5" Type="http://schemas.openxmlformats.org/officeDocument/2006/relationships/hyperlink" Target="https://www.cbd.int/doc/meetings/abs/abs-a10em-2016-01/official/abs-a10em-2016-01-02-en.pdf" TargetMode="External"/><Relationship Id="rId10" Type="http://schemas.openxmlformats.org/officeDocument/2006/relationships/hyperlink" Target="https://www.cbd.int/abs/submissions-np-2-10/default.shtml" TargetMode="External"/><Relationship Id="rId4" Type="http://schemas.openxmlformats.org/officeDocument/2006/relationships/hyperlink" Target="https://www.cbd.int/doc/meetings/abs/np-mop-02/official/np-mop-02-10-fr.pdf" TargetMode="External"/><Relationship Id="rId9" Type="http://schemas.openxmlformats.org/officeDocument/2006/relationships/hyperlink" Target="http://apps.who.int/gb/ebwha/pdf_files/WHA71/A71_24-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Textedelespacerserv"/>
            </w:rPr>
            <w:t>[Title]</w:t>
          </w:r>
        </w:p>
      </w:docPartBody>
    </w:docPart>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Textedelespacerserv"/>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Textedelespacerserv"/>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Textedelespacerserv"/>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AF"/>
    <w:rsid w:val="00002D00"/>
    <w:rsid w:val="00015BC6"/>
    <w:rsid w:val="001B29AF"/>
    <w:rsid w:val="0037757D"/>
    <w:rsid w:val="0038678D"/>
    <w:rsid w:val="004704A2"/>
    <w:rsid w:val="004A69EC"/>
    <w:rsid w:val="005A38C6"/>
    <w:rsid w:val="006A309E"/>
    <w:rsid w:val="006F4C0A"/>
    <w:rsid w:val="007E501A"/>
    <w:rsid w:val="0083264A"/>
    <w:rsid w:val="00A23447"/>
    <w:rsid w:val="00A260C3"/>
    <w:rsid w:val="00A27574"/>
    <w:rsid w:val="00B36C7B"/>
    <w:rsid w:val="00BA1AF3"/>
    <w:rsid w:val="00BB2CFE"/>
    <w:rsid w:val="00D5481D"/>
    <w:rsid w:val="00E47C6A"/>
    <w:rsid w:val="00EC17B5"/>
    <w:rsid w:val="00F402A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217B-1356-46D9-B06E-3C7AA6B9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16</Pages>
  <Words>7983</Words>
  <Characters>43909</Characters>
  <Application>Microsoft Office Word</Application>
  <DocSecurity>0</DocSecurity>
  <Lines>365</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MÉCANISME multilatÉral MONDIAL DE PARTAGE DES avantages (Article 10 du protocolE DE nagoya)</vt:lpstr>
      <vt:lpstr>global multilateral benefit-sharing mechanism (Article 10 of the nagoya protocol)</vt:lpstr>
    </vt:vector>
  </TitlesOfParts>
  <Company>Biodiversity</Company>
  <LinksUpToDate>false</LinksUpToDate>
  <CharactersWithSpaces>51789</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MÉCANISME multilatÉral MONDIAL DE PARTAGE DES avantages (Article 10 du protocolE DE nagoya)</dc:title>
  <dc:subject>CBD/SBI/2/5</dc:subject>
  <dc:creator>SCBD</dc:creator>
  <cp:lastModifiedBy>Anne</cp:lastModifiedBy>
  <cp:revision>6</cp:revision>
  <cp:lastPrinted>2018-05-18T20:49:00Z</cp:lastPrinted>
  <dcterms:created xsi:type="dcterms:W3CDTF">2018-06-08T12:36:00Z</dcterms:created>
  <dcterms:modified xsi:type="dcterms:W3CDTF">2018-06-08T12:36:00Z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ORGANE SUBSIDIAIRE CHARGÉ DE L'APPLICATION</vt:lpwstr>
  </property>
</Properties>
</file>