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DD0CE4" w:rsidTr="008A1499">
        <w:trPr>
          <w:trHeight w:val="850"/>
        </w:trPr>
        <w:tc>
          <w:tcPr>
            <w:tcW w:w="975" w:type="dxa"/>
            <w:vAlign w:val="bottom"/>
          </w:tcPr>
          <w:p w:rsidR="008A1499" w:rsidRPr="00DD0CE4" w:rsidRDefault="008A1499" w:rsidP="008A1499">
            <w:pPr>
              <w:pStyle w:val="AASmallLogo"/>
            </w:pPr>
            <w:r w:rsidRPr="00DD0CE4">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DD0CE4" w:rsidRDefault="008A1499" w:rsidP="008A1499">
            <w:pPr>
              <w:pStyle w:val="AASmallLogo"/>
            </w:pPr>
          </w:p>
        </w:tc>
        <w:tc>
          <w:tcPr>
            <w:tcW w:w="1434" w:type="dxa"/>
            <w:noWrap/>
            <w:vAlign w:val="bottom"/>
          </w:tcPr>
          <w:p w:rsidR="008A1499" w:rsidRPr="00DD0CE4" w:rsidRDefault="00526885" w:rsidP="008A1499">
            <w:pPr>
              <w:pStyle w:val="AASmallLogo"/>
            </w:pPr>
            <w:r w:rsidRPr="00526885">
              <w:rPr>
                <w:noProof/>
                <w:lang w:val="es-ES" w:eastAsia="es-ES"/>
              </w:rPr>
              <w:drawing>
                <wp:inline distT="0" distB="0" distL="0" distR="0">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1015" cy="349151"/>
                          </a:xfrm>
                          <a:prstGeom prst="rect">
                            <a:avLst/>
                          </a:prstGeom>
                        </pic:spPr>
                      </pic:pic>
                    </a:graphicData>
                  </a:graphic>
                </wp:inline>
              </w:drawing>
            </w:r>
          </w:p>
          <w:p w:rsidR="008A1499" w:rsidRPr="00DD0CE4" w:rsidRDefault="008A1499" w:rsidP="008A1499">
            <w:pPr>
              <w:pStyle w:val="AASmallLogo"/>
            </w:pPr>
          </w:p>
        </w:tc>
        <w:tc>
          <w:tcPr>
            <w:tcW w:w="8073" w:type="dxa"/>
            <w:vAlign w:val="bottom"/>
          </w:tcPr>
          <w:p w:rsidR="008A1499" w:rsidRPr="00DD0CE4" w:rsidRDefault="008A1499" w:rsidP="00DA0C94">
            <w:pPr>
              <w:pStyle w:val="ABSymbol"/>
            </w:pPr>
            <w:r w:rsidRPr="00DA0C94">
              <w:rPr>
                <w:sz w:val="40"/>
              </w:rPr>
              <w:t>CBD</w:t>
            </w:r>
            <w:r w:rsidRPr="00A64D03">
              <w:t>/</w:t>
            </w:r>
            <w:r w:rsidR="00C4348A" w:rsidRPr="00DA0C94">
              <w:t>SBI</w:t>
            </w:r>
            <w:r w:rsidRPr="00A64D03">
              <w:t>/</w:t>
            </w:r>
            <w:r w:rsidR="00C4348A" w:rsidRPr="00A64D03">
              <w:t>6</w:t>
            </w:r>
            <w:r w:rsidR="0013031A" w:rsidRPr="00A64D03">
              <w:t>/10</w:t>
            </w:r>
          </w:p>
        </w:tc>
      </w:tr>
    </w:tbl>
    <w:p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526885" w:rsidTr="008A1499">
        <w:trPr>
          <w:trHeight w:val="1814"/>
        </w:trPr>
        <w:tc>
          <w:tcPr>
            <w:tcW w:w="7370" w:type="dxa"/>
          </w:tcPr>
          <w:p w:rsidR="008A1499" w:rsidRPr="00DD0CE4" w:rsidRDefault="00526885" w:rsidP="008A1499">
            <w:pPr>
              <w:pStyle w:val="ACLargeLogo"/>
            </w:pPr>
            <w:r w:rsidRPr="00526885">
              <w:rPr>
                <w:noProof/>
                <w:lang w:val="es-ES" w:eastAsia="es-ES"/>
              </w:rPr>
              <w:drawing>
                <wp:inline distT="0" distB="0" distL="0" distR="0">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5631" cy="1013099"/>
                          </a:xfrm>
                          <a:prstGeom prst="rect">
                            <a:avLst/>
                          </a:prstGeom>
                        </pic:spPr>
                      </pic:pic>
                    </a:graphicData>
                  </a:graphic>
                </wp:inline>
              </w:drawing>
            </w:r>
          </w:p>
          <w:p w:rsidR="008A1499" w:rsidRPr="00DD0CE4" w:rsidRDefault="008A1499" w:rsidP="008A1499">
            <w:pPr>
              <w:pStyle w:val="ACLargeLogo"/>
            </w:pPr>
          </w:p>
        </w:tc>
        <w:tc>
          <w:tcPr>
            <w:tcW w:w="3112" w:type="dxa"/>
          </w:tcPr>
          <w:p w:rsidR="008A1499" w:rsidRPr="000549CA" w:rsidRDefault="008A1499" w:rsidP="008A1499">
            <w:pPr>
              <w:pStyle w:val="AEDistrNormal"/>
              <w:rPr>
                <w:lang w:val="es-ES"/>
              </w:rPr>
            </w:pPr>
            <w:r w:rsidRPr="000549CA">
              <w:rPr>
                <w:lang w:val="es-ES"/>
              </w:rPr>
              <w:t xml:space="preserve">Distr. </w:t>
            </w:r>
            <w:r w:rsidR="00526885" w:rsidRPr="000549CA">
              <w:rPr>
                <w:lang w:val="es-ES"/>
              </w:rPr>
              <w:t>g</w:t>
            </w:r>
            <w:r w:rsidRPr="000549CA">
              <w:rPr>
                <w:lang w:val="es-ES"/>
              </w:rPr>
              <w:t>eneral</w:t>
            </w:r>
          </w:p>
          <w:p w:rsidR="008A1499" w:rsidRPr="00526885" w:rsidRDefault="00EB6A0B" w:rsidP="008A1499">
            <w:pPr>
              <w:pStyle w:val="AEDistrNormal"/>
              <w:rPr>
                <w:lang w:val="es-ES"/>
              </w:rPr>
            </w:pPr>
            <w:r w:rsidRPr="00526885">
              <w:rPr>
                <w:lang w:val="es-ES"/>
              </w:rPr>
              <w:t>1</w:t>
            </w:r>
            <w:r w:rsidR="00FB6093" w:rsidRPr="00526885">
              <w:rPr>
                <w:lang w:val="es-ES"/>
              </w:rPr>
              <w:t>9</w:t>
            </w:r>
            <w:r w:rsidRPr="00526885">
              <w:rPr>
                <w:lang w:val="es-ES"/>
              </w:rPr>
              <w:t xml:space="preserve"> </w:t>
            </w:r>
            <w:r w:rsidR="00526885" w:rsidRPr="00526885">
              <w:rPr>
                <w:lang w:val="es-ES"/>
              </w:rPr>
              <w:t>de diciembre de</w:t>
            </w:r>
            <w:r w:rsidRPr="00526885">
              <w:rPr>
                <w:lang w:val="es-ES"/>
              </w:rPr>
              <w:t xml:space="preserve"> 2025</w:t>
            </w:r>
          </w:p>
          <w:p w:rsidR="00526885" w:rsidRDefault="00526885" w:rsidP="00526885">
            <w:pPr>
              <w:pStyle w:val="AEDistrNormal"/>
              <w:rPr>
                <w:lang w:val="es-ES"/>
              </w:rPr>
            </w:pPr>
            <w:r>
              <w:rPr>
                <w:lang w:val="es-ES"/>
              </w:rPr>
              <w:t>Español</w:t>
            </w:r>
          </w:p>
          <w:p w:rsidR="008A1499" w:rsidRPr="00526885" w:rsidRDefault="00526885" w:rsidP="00526885">
            <w:pPr>
              <w:pStyle w:val="AEDistrNormal"/>
              <w:rPr>
                <w:lang w:val="es-ES"/>
              </w:rPr>
            </w:pPr>
            <w:r>
              <w:rPr>
                <w:lang w:val="es-ES"/>
              </w:rPr>
              <w:t>Original: inglés</w:t>
            </w:r>
          </w:p>
          <w:p w:rsidR="008A1499" w:rsidRPr="00526885" w:rsidRDefault="008A1499" w:rsidP="008A1499">
            <w:pPr>
              <w:pStyle w:val="AEDistrNormal6pt"/>
              <w:rPr>
                <w:lang w:val="es-ES"/>
              </w:rPr>
            </w:pPr>
          </w:p>
        </w:tc>
      </w:tr>
    </w:tbl>
    <w:p w:rsidR="008A1499" w:rsidRPr="00526885" w:rsidRDefault="008A1499" w:rsidP="008A1499">
      <w:pPr>
        <w:pStyle w:val="AISpacer"/>
        <w:rPr>
          <w:lang w:val="es-ES"/>
        </w:rPr>
      </w:pPr>
    </w:p>
    <w:tbl>
      <w:tblPr>
        <w:tblW w:w="10482" w:type="dxa"/>
        <w:tblInd w:w="-283" w:type="dxa"/>
        <w:tblLayout w:type="fixed"/>
        <w:tblCellMar>
          <w:left w:w="283" w:type="dxa"/>
        </w:tblCellMar>
        <w:tblLook w:val="0000"/>
      </w:tblPr>
      <w:tblGrid>
        <w:gridCol w:w="6094"/>
        <w:gridCol w:w="4388"/>
      </w:tblGrid>
      <w:tr w:rsidR="008A1499" w:rsidRPr="000549CA" w:rsidTr="00735933">
        <w:trPr>
          <w:trHeight w:val="1321"/>
        </w:trPr>
        <w:tc>
          <w:tcPr>
            <w:tcW w:w="6094" w:type="dxa"/>
          </w:tcPr>
          <w:p w:rsidR="00526885" w:rsidRPr="002349D9" w:rsidRDefault="00526885" w:rsidP="00526885">
            <w:pPr>
              <w:pStyle w:val="AFCorN12Bold"/>
              <w:rPr>
                <w:lang w:val="es-ES"/>
              </w:rPr>
            </w:pPr>
            <w:r w:rsidRPr="002349D9">
              <w:rPr>
                <w:lang w:val="es-ES"/>
              </w:rPr>
              <w:t>Órgano Subsidiario sobre la Aplicación</w:t>
            </w:r>
          </w:p>
          <w:p w:rsidR="00526885" w:rsidRPr="002349D9" w:rsidRDefault="00526885" w:rsidP="00526885">
            <w:pPr>
              <w:pStyle w:val="AFCorNBold"/>
              <w:rPr>
                <w:lang w:val="es-ES"/>
              </w:rPr>
            </w:pPr>
            <w:r w:rsidRPr="002349D9">
              <w:rPr>
                <w:lang w:val="es-ES"/>
              </w:rPr>
              <w:t>Sexta reunión</w:t>
            </w:r>
          </w:p>
          <w:p w:rsidR="008A1499" w:rsidRPr="00526885" w:rsidRDefault="00526885" w:rsidP="00526885">
            <w:pPr>
              <w:pStyle w:val="AFCorNNormal"/>
              <w:rPr>
                <w:lang w:val="es-ES"/>
              </w:rPr>
            </w:pPr>
            <w:r w:rsidRPr="002349D9">
              <w:rPr>
                <w:lang w:val="es-ES"/>
              </w:rPr>
              <w:t xml:space="preserve">Roma, </w:t>
            </w:r>
            <w:r w:rsidRPr="002349D9">
              <w:rPr>
                <w:snapToGrid w:val="0"/>
                <w:lang w:val="es-ES"/>
              </w:rPr>
              <w:t>16 a 19 de febrero de 2026</w:t>
            </w:r>
          </w:p>
          <w:p w:rsidR="008A1499" w:rsidRPr="00184F31" w:rsidRDefault="00526885" w:rsidP="008A1499">
            <w:pPr>
              <w:pStyle w:val="AFCorNNormal"/>
              <w:rPr>
                <w:lang w:val="es-ES"/>
              </w:rPr>
            </w:pPr>
            <w:r w:rsidRPr="00184F31">
              <w:rPr>
                <w:lang w:val="es-ES"/>
              </w:rPr>
              <w:t>Tema</w:t>
            </w:r>
            <w:r w:rsidR="008A1499" w:rsidRPr="00184F31">
              <w:rPr>
                <w:lang w:val="es-ES"/>
              </w:rPr>
              <w:t xml:space="preserve"> </w:t>
            </w:r>
            <w:r w:rsidR="00C84EB7" w:rsidRPr="00184F31">
              <w:rPr>
                <w:lang w:val="es-ES"/>
              </w:rPr>
              <w:t>10</w:t>
            </w:r>
            <w:r w:rsidRPr="00184F31">
              <w:rPr>
                <w:lang w:val="es-ES"/>
              </w:rPr>
              <w:t xml:space="preserve"> del programa </w:t>
            </w:r>
            <w:r w:rsidR="008A1499" w:rsidRPr="00184F31">
              <w:rPr>
                <w:lang w:val="es-ES"/>
              </w:rPr>
              <w:t>provisional</w:t>
            </w:r>
            <w:r w:rsidR="008A1499" w:rsidRPr="00184F31">
              <w:rPr>
                <w:rStyle w:val="Refdenotaalpie"/>
                <w:lang w:val="es-ES"/>
              </w:rPr>
              <w:footnoteReference w:customMarkFollows="1" w:id="2"/>
              <w:t>*</w:t>
            </w:r>
          </w:p>
          <w:p w:rsidR="008A1499" w:rsidRPr="00184F31" w:rsidRDefault="00184F31" w:rsidP="00184F31">
            <w:pPr>
              <w:pStyle w:val="AFCorNBold"/>
              <w:spacing w:after="120"/>
              <w:rPr>
                <w:lang w:val="es-ES"/>
              </w:rPr>
            </w:pPr>
            <w:r w:rsidRPr="00184F31">
              <w:rPr>
                <w:lang w:val="es-ES"/>
              </w:rPr>
              <w:t>Cuestiones administrativas y presupuestarias: revisión funcional de la Secretaría</w:t>
            </w:r>
          </w:p>
        </w:tc>
        <w:tc>
          <w:tcPr>
            <w:tcW w:w="4388" w:type="dxa"/>
          </w:tcPr>
          <w:p w:rsidR="008A1499" w:rsidRPr="00184F31" w:rsidRDefault="008A1499" w:rsidP="008A1499">
            <w:pPr>
              <w:pStyle w:val="CBDNormal"/>
              <w:jc w:val="left"/>
              <w:rPr>
                <w:lang w:val="es-ES"/>
              </w:rPr>
            </w:pPr>
          </w:p>
        </w:tc>
      </w:tr>
    </w:tbl>
    <w:p w:rsidR="00C9161D" w:rsidRPr="00184F31" w:rsidRDefault="00EB6AC6" w:rsidP="00A111D1">
      <w:pPr>
        <w:pStyle w:val="CBDTitle"/>
        <w:rPr>
          <w:caps/>
          <w:lang w:val="es-ES"/>
        </w:rPr>
      </w:pPr>
      <w:sdt>
        <w:sdtPr>
          <w:rPr>
            <w:lang w:val="es-ES"/>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184F31" w:rsidRPr="00184F31">
            <w:rPr>
              <w:lang w:val="es-ES"/>
            </w:rPr>
            <w:t>Revisión f</w:t>
          </w:r>
          <w:r w:rsidR="000A26E3" w:rsidRPr="00184F31">
            <w:rPr>
              <w:lang w:val="es-ES"/>
            </w:rPr>
            <w:t xml:space="preserve">uncional </w:t>
          </w:r>
          <w:r w:rsidR="00184F31" w:rsidRPr="00184F31">
            <w:rPr>
              <w:lang w:val="es-ES"/>
            </w:rPr>
            <w:t xml:space="preserve">de la </w:t>
          </w:r>
          <w:r w:rsidR="000A26E3" w:rsidRPr="00184F31">
            <w:rPr>
              <w:lang w:val="es-ES"/>
            </w:rPr>
            <w:t>Secretar</w:t>
          </w:r>
          <w:r w:rsidR="00184F31" w:rsidRPr="00184F31">
            <w:rPr>
              <w:lang w:val="es-ES"/>
            </w:rPr>
            <w:t>ía</w:t>
          </w:r>
        </w:sdtContent>
      </w:sdt>
    </w:p>
    <w:p w:rsidR="00766DF9" w:rsidRPr="00184F31" w:rsidRDefault="0030169D" w:rsidP="00766DF9">
      <w:pPr>
        <w:pStyle w:val="CBDSubTitle"/>
        <w:rPr>
          <w:lang w:val="es-ES"/>
        </w:rPr>
      </w:pPr>
      <w:r w:rsidRPr="00184F31">
        <w:rPr>
          <w:lang w:val="es-ES"/>
        </w:rPr>
        <w:t>Not</w:t>
      </w:r>
      <w:r w:rsidR="00184F31" w:rsidRPr="00184F31">
        <w:rPr>
          <w:lang w:val="es-ES"/>
        </w:rPr>
        <w:t xml:space="preserve">a de la </w:t>
      </w:r>
      <w:r w:rsidR="007E0F8A" w:rsidRPr="00184F31">
        <w:rPr>
          <w:lang w:val="es-ES"/>
        </w:rPr>
        <w:t>Secretar</w:t>
      </w:r>
      <w:r w:rsidR="00184F31" w:rsidRPr="00184F31">
        <w:rPr>
          <w:lang w:val="es-ES"/>
        </w:rPr>
        <w:t>ía</w:t>
      </w:r>
    </w:p>
    <w:p w:rsidR="00766DF9" w:rsidRPr="00184F31" w:rsidRDefault="00307D3F" w:rsidP="00DA0C94">
      <w:pPr>
        <w:pStyle w:val="CBDH1"/>
        <w:rPr>
          <w:lang w:val="es-ES"/>
        </w:rPr>
      </w:pPr>
      <w:r w:rsidRPr="00184F31">
        <w:rPr>
          <w:lang w:val="es-ES"/>
        </w:rPr>
        <w:t>I.</w:t>
      </w:r>
      <w:r w:rsidRPr="00184F31">
        <w:rPr>
          <w:lang w:val="es-ES"/>
        </w:rPr>
        <w:tab/>
      </w:r>
      <w:r w:rsidR="00184F31" w:rsidRPr="00184F31">
        <w:rPr>
          <w:lang w:val="es-ES"/>
        </w:rPr>
        <w:t>Antecedentes</w:t>
      </w:r>
    </w:p>
    <w:p w:rsidR="00C111E5" w:rsidRPr="00184F31" w:rsidRDefault="00184F31" w:rsidP="00DA0C94">
      <w:pPr>
        <w:pStyle w:val="CBDNormalNumber"/>
        <w:rPr>
          <w:lang w:val="es-ES"/>
        </w:rPr>
      </w:pPr>
      <w:r w:rsidRPr="00184F31">
        <w:rPr>
          <w:lang w:val="es-ES"/>
        </w:rPr>
        <w:t xml:space="preserve">De conformidad con lo solicitado por la </w:t>
      </w:r>
      <w:r w:rsidR="00352BD0" w:rsidRPr="00184F31">
        <w:rPr>
          <w:lang w:val="es-ES"/>
        </w:rPr>
        <w:t>Conferenc</w:t>
      </w:r>
      <w:r w:rsidRPr="00184F31">
        <w:rPr>
          <w:lang w:val="es-ES"/>
        </w:rPr>
        <w:t xml:space="preserve">ia de las </w:t>
      </w:r>
      <w:r w:rsidR="00352BD0" w:rsidRPr="00184F31">
        <w:rPr>
          <w:lang w:val="es-ES"/>
        </w:rPr>
        <w:t xml:space="preserve">Partes </w:t>
      </w:r>
      <w:r w:rsidRPr="00184F31">
        <w:rPr>
          <w:lang w:val="es-ES"/>
        </w:rPr>
        <w:t>en el párrafo</w:t>
      </w:r>
      <w:r w:rsidR="009A230F" w:rsidRPr="00184F31">
        <w:rPr>
          <w:lang w:val="es-ES"/>
        </w:rPr>
        <w:t xml:space="preserve"> 35 </w:t>
      </w:r>
      <w:r w:rsidRPr="00184F31">
        <w:rPr>
          <w:lang w:val="es-ES"/>
        </w:rPr>
        <w:t>de la decisión</w:t>
      </w:r>
      <w:r w:rsidR="009A230F" w:rsidRPr="00184F31">
        <w:rPr>
          <w:lang w:val="es-ES"/>
        </w:rPr>
        <w:t xml:space="preserve"> </w:t>
      </w:r>
      <w:hyperlink r:id="rId15" w:history="1">
        <w:r w:rsidR="009A230F" w:rsidRPr="00184F31">
          <w:rPr>
            <w:rStyle w:val="Hipervnculo"/>
            <w:lang w:val="es-ES"/>
          </w:rPr>
          <w:t>15/34</w:t>
        </w:r>
      </w:hyperlink>
      <w:r w:rsidR="002F0D9C" w:rsidRPr="00184F31">
        <w:rPr>
          <w:lang w:val="es-ES"/>
        </w:rPr>
        <w:t xml:space="preserve"> </w:t>
      </w:r>
      <w:r w:rsidRPr="00184F31">
        <w:rPr>
          <w:lang w:val="es-ES"/>
        </w:rPr>
        <w:t xml:space="preserve">y el párrafo </w:t>
      </w:r>
      <w:r w:rsidR="002F0D9C" w:rsidRPr="00184F31">
        <w:rPr>
          <w:lang w:val="es-ES"/>
        </w:rPr>
        <w:t xml:space="preserve">11 </w:t>
      </w:r>
      <w:r w:rsidRPr="00184F31">
        <w:rPr>
          <w:lang w:val="es-ES"/>
        </w:rPr>
        <w:t xml:space="preserve">de la </w:t>
      </w:r>
      <w:r w:rsidR="002F0D9C" w:rsidRPr="00184F31">
        <w:rPr>
          <w:lang w:val="es-ES"/>
        </w:rPr>
        <w:t>decisi</w:t>
      </w:r>
      <w:r w:rsidRPr="00184F31">
        <w:rPr>
          <w:lang w:val="es-ES"/>
        </w:rPr>
        <w:t>ó</w:t>
      </w:r>
      <w:r w:rsidR="002F0D9C" w:rsidRPr="00184F31">
        <w:rPr>
          <w:lang w:val="es-ES"/>
        </w:rPr>
        <w:t xml:space="preserve">n </w:t>
      </w:r>
      <w:hyperlink r:id="rId16" w:history="1">
        <w:r w:rsidR="002F0D9C" w:rsidRPr="00184F31">
          <w:rPr>
            <w:rStyle w:val="Hipervnculo"/>
            <w:lang w:val="es-ES"/>
          </w:rPr>
          <w:t>16/28</w:t>
        </w:r>
      </w:hyperlink>
      <w:r w:rsidR="00712D86" w:rsidRPr="00184F31">
        <w:rPr>
          <w:lang w:val="es-ES"/>
        </w:rPr>
        <w:t xml:space="preserve">, </w:t>
      </w:r>
      <w:r w:rsidRPr="00184F31">
        <w:rPr>
          <w:lang w:val="es-ES"/>
        </w:rPr>
        <w:t>la Secretaría organizó la realización de un</w:t>
      </w:r>
      <w:r>
        <w:rPr>
          <w:lang w:val="es-ES"/>
        </w:rPr>
        <w:t>a revisión</w:t>
      </w:r>
      <w:r w:rsidRPr="00184F31">
        <w:rPr>
          <w:lang w:val="es-ES"/>
        </w:rPr>
        <w:t xml:space="preserve"> funcional extern</w:t>
      </w:r>
      <w:r>
        <w:rPr>
          <w:lang w:val="es-ES"/>
        </w:rPr>
        <w:t>a</w:t>
      </w:r>
      <w:r w:rsidRPr="00184F31">
        <w:rPr>
          <w:lang w:val="es-ES"/>
        </w:rPr>
        <w:t xml:space="preserve"> </w:t>
      </w:r>
      <w:r>
        <w:rPr>
          <w:lang w:val="es-ES"/>
        </w:rPr>
        <w:t>detallada</w:t>
      </w:r>
      <w:r w:rsidRPr="00184F31">
        <w:rPr>
          <w:lang w:val="es-ES"/>
        </w:rPr>
        <w:t xml:space="preserve"> de su estructura, en consulta con </w:t>
      </w:r>
      <w:r>
        <w:rPr>
          <w:lang w:val="es-ES"/>
        </w:rPr>
        <w:t>la</w:t>
      </w:r>
      <w:r w:rsidRPr="00184F31">
        <w:rPr>
          <w:lang w:val="es-ES"/>
        </w:rPr>
        <w:t xml:space="preserve"> Director</w:t>
      </w:r>
      <w:r>
        <w:rPr>
          <w:lang w:val="es-ES"/>
        </w:rPr>
        <w:t>a</w:t>
      </w:r>
      <w:r w:rsidRPr="00184F31">
        <w:rPr>
          <w:lang w:val="es-ES"/>
        </w:rPr>
        <w:t xml:space="preserve"> Ejecutiv</w:t>
      </w:r>
      <w:r>
        <w:rPr>
          <w:lang w:val="es-ES"/>
        </w:rPr>
        <w:t>a</w:t>
      </w:r>
      <w:r w:rsidRPr="00184F31">
        <w:rPr>
          <w:lang w:val="es-ES"/>
        </w:rPr>
        <w:t xml:space="preserve"> del Programa de las Naciones Unidas para el Medio Ambiente, teniendo en cuenta el </w:t>
      </w:r>
      <w:r w:rsidRPr="00EB0D69">
        <w:rPr>
          <w:lang w:val="es-ES"/>
        </w:rPr>
        <w:t>informe de análisis inicial</w:t>
      </w:r>
      <w:r w:rsidRPr="00184F31">
        <w:rPr>
          <w:lang w:val="es-ES"/>
        </w:rPr>
        <w:t xml:space="preserve"> que figura en el documento </w:t>
      </w:r>
      <w:hyperlink r:id="rId17" w:history="1">
        <w:r w:rsidR="00442F16" w:rsidRPr="00184F31">
          <w:rPr>
            <w:rStyle w:val="Hipervnculo"/>
            <w:lang w:val="es-ES"/>
          </w:rPr>
          <w:t>CBD/COP/16/4/Add.2</w:t>
        </w:r>
      </w:hyperlink>
      <w:r w:rsidR="00442F16" w:rsidRPr="00184F31">
        <w:rPr>
          <w:lang w:val="es-ES"/>
        </w:rPr>
        <w:t>-</w:t>
      </w:r>
      <w:hyperlink r:id="rId18" w:history="1">
        <w:r w:rsidR="00442F16" w:rsidRPr="00184F31">
          <w:rPr>
            <w:rStyle w:val="Hipervnculo"/>
            <w:lang w:val="es-ES"/>
          </w:rPr>
          <w:t>CBD/CP/MOP/11/5/Add.2</w:t>
        </w:r>
      </w:hyperlink>
      <w:r w:rsidR="00442F16" w:rsidRPr="00184F31">
        <w:rPr>
          <w:lang w:val="es-ES"/>
        </w:rPr>
        <w:t>-</w:t>
      </w:r>
      <w:hyperlink r:id="rId19" w:history="1">
        <w:r w:rsidR="00442F16" w:rsidRPr="00184F31">
          <w:rPr>
            <w:rStyle w:val="Hipervnculo"/>
            <w:lang w:val="es-ES"/>
          </w:rPr>
          <w:t>CBD/NP/MOP/5/5/Add.2</w:t>
        </w:r>
      </w:hyperlink>
      <w:r w:rsidR="00503D21" w:rsidRPr="00184F31">
        <w:rPr>
          <w:lang w:val="es-ES"/>
        </w:rPr>
        <w:t>.</w:t>
      </w:r>
    </w:p>
    <w:p w:rsidR="00503D21" w:rsidRPr="002C2DCB" w:rsidRDefault="00EB0D69" w:rsidP="00DA0C94">
      <w:pPr>
        <w:pStyle w:val="CBDNormalNumber"/>
        <w:rPr>
          <w:lang w:val="es-ES"/>
        </w:rPr>
      </w:pPr>
      <w:r w:rsidRPr="00EB0D69">
        <w:rPr>
          <w:lang w:val="es-ES"/>
        </w:rPr>
        <w:t>La revisión funcional fue realizada por el Equipo de Consultoría de Gestión del Programa de las Naciones Unidas para el Desarrollo (PNUD)</w:t>
      </w:r>
      <w:r w:rsidR="00DA3BBE" w:rsidRPr="00A64D03">
        <w:rPr>
          <w:rStyle w:val="Refdenotaalpie"/>
        </w:rPr>
        <w:footnoteReference w:id="3"/>
      </w:r>
      <w:r w:rsidRPr="00EB0D69">
        <w:rPr>
          <w:lang w:val="es-ES"/>
        </w:rPr>
        <w:t>, centrado en evaluar si la Secretaría está adecuadamente estructurada y cuenta con los recursos necesarios para desempeñar sus funciones eficazmente</w:t>
      </w:r>
      <w:r w:rsidR="00503D21" w:rsidRPr="00A64D03">
        <w:rPr>
          <w:rStyle w:val="Refdenotaalpie"/>
          <w:rFonts w:asciiTheme="majorBidi" w:hAnsiTheme="majorBidi"/>
        </w:rPr>
        <w:footnoteReference w:id="4"/>
      </w:r>
      <w:bookmarkStart w:id="0" w:name="_Hlk216712272"/>
      <w:r w:rsidRPr="00EB0D69">
        <w:rPr>
          <w:lang w:val="es-ES"/>
        </w:rPr>
        <w:t xml:space="preserve">, en </w:t>
      </w:r>
      <w:r w:rsidRPr="000549CA">
        <w:rPr>
          <w:lang w:val="es-ES"/>
        </w:rPr>
        <w:t xml:space="preserve">particular para prestar servicios a las reuniones celebradas en el contexto del Convenio y sus Protocolos y para apoyar la implementación del Marco Mundial de Biodiversidad de Kunming-Montreal y, en caso contrario, qué cambios son necesarios para ello. Se mantuvo informada a la Mesa de la Conferencia de las Partes sobre los progresos realizados durante la revisión, entre otras cosas mediante la presentación de informes actualizados y una encuesta en línea dirigida a los miembros de la Mesa por el </w:t>
      </w:r>
      <w:r w:rsidR="002C2DCB" w:rsidRPr="000549CA">
        <w:rPr>
          <w:lang w:val="es-ES"/>
        </w:rPr>
        <w:t>E</w:t>
      </w:r>
      <w:r w:rsidRPr="000549CA">
        <w:rPr>
          <w:lang w:val="es-ES"/>
        </w:rPr>
        <w:t xml:space="preserve">quipo de </w:t>
      </w:r>
      <w:r w:rsidR="002C2DCB" w:rsidRPr="000549CA">
        <w:rPr>
          <w:lang w:val="es-ES"/>
        </w:rPr>
        <w:t>C</w:t>
      </w:r>
      <w:r w:rsidRPr="000549CA">
        <w:rPr>
          <w:lang w:val="es-ES"/>
        </w:rPr>
        <w:t xml:space="preserve">onsultoría de </w:t>
      </w:r>
      <w:r w:rsidR="002C2DCB" w:rsidRPr="000549CA">
        <w:rPr>
          <w:lang w:val="es-ES"/>
        </w:rPr>
        <w:t>G</w:t>
      </w:r>
      <w:r w:rsidRPr="000549CA">
        <w:rPr>
          <w:lang w:val="es-ES"/>
        </w:rPr>
        <w:t>estión del PNUD</w:t>
      </w:r>
      <w:bookmarkEnd w:id="0"/>
      <w:r w:rsidR="000074B8" w:rsidRPr="000549CA">
        <w:rPr>
          <w:lang w:val="es-ES"/>
        </w:rPr>
        <w:t>.</w:t>
      </w:r>
    </w:p>
    <w:p w:rsidR="007A3B5B" w:rsidRPr="006F0DBC" w:rsidRDefault="006F0DBC" w:rsidP="00DA0C94">
      <w:pPr>
        <w:pStyle w:val="CBDNormalNumber"/>
        <w:rPr>
          <w:lang w:val="es-ES"/>
        </w:rPr>
      </w:pPr>
      <w:r w:rsidRPr="006F0DBC">
        <w:rPr>
          <w:lang w:val="es-ES"/>
        </w:rPr>
        <w:t xml:space="preserve">El resumen del informe de la revisión funcional preparado por el Equipo de Consultoría de Gestión del PNUD se adjunta como anexo I a la presente nota en la forma en que fue recibido por la Secretaría, para </w:t>
      </w:r>
      <w:r>
        <w:rPr>
          <w:lang w:val="es-ES"/>
        </w:rPr>
        <w:t xml:space="preserve">someterlo al </w:t>
      </w:r>
      <w:r w:rsidRPr="006F0DBC">
        <w:rPr>
          <w:lang w:val="es-ES"/>
        </w:rPr>
        <w:t xml:space="preserve">examen </w:t>
      </w:r>
      <w:r>
        <w:rPr>
          <w:lang w:val="es-ES"/>
        </w:rPr>
        <w:t>d</w:t>
      </w:r>
      <w:r w:rsidRPr="006F0DBC">
        <w:rPr>
          <w:lang w:val="es-ES"/>
        </w:rPr>
        <w:t xml:space="preserve">el Órgano Subsidiario </w:t>
      </w:r>
      <w:r>
        <w:rPr>
          <w:lang w:val="es-ES"/>
        </w:rPr>
        <w:t>sobre la Aplicación</w:t>
      </w:r>
      <w:r w:rsidRPr="006F0DBC">
        <w:rPr>
          <w:lang w:val="es-ES"/>
        </w:rPr>
        <w:t xml:space="preserve">, mientras que el informe completo </w:t>
      </w:r>
      <w:r>
        <w:rPr>
          <w:lang w:val="es-ES"/>
        </w:rPr>
        <w:t xml:space="preserve">estará disponible como </w:t>
      </w:r>
      <w:r w:rsidRPr="006F0DBC">
        <w:rPr>
          <w:lang w:val="es-ES"/>
        </w:rPr>
        <w:t xml:space="preserve">documento </w:t>
      </w:r>
      <w:r w:rsidR="00AD271A" w:rsidRPr="006F0DBC">
        <w:rPr>
          <w:rStyle w:val="Hipervnculo"/>
          <w:lang w:val="es-ES"/>
        </w:rPr>
        <w:t>CBD/SBI/</w:t>
      </w:r>
      <w:r w:rsidR="009D57B1" w:rsidRPr="006F0DBC">
        <w:rPr>
          <w:rStyle w:val="Hipervnculo"/>
          <w:lang w:val="es-ES"/>
        </w:rPr>
        <w:t>6/INF/</w:t>
      </w:r>
      <w:r w:rsidR="00DB3159" w:rsidRPr="006F0DBC">
        <w:rPr>
          <w:rStyle w:val="Hipervnculo"/>
          <w:lang w:val="es-ES"/>
        </w:rPr>
        <w:t>12</w:t>
      </w:r>
      <w:r w:rsidR="002A66FA" w:rsidRPr="00DA0C94">
        <w:rPr>
          <w:rStyle w:val="Refdenotaalpie"/>
        </w:rPr>
        <w:footnoteReference w:id="5"/>
      </w:r>
      <w:r w:rsidRPr="000549CA">
        <w:rPr>
          <w:lang w:val="es-ES"/>
        </w:rPr>
        <w:t>.</w:t>
      </w:r>
    </w:p>
    <w:p w:rsidR="0075344A" w:rsidRPr="00DD0CE4" w:rsidRDefault="00307D3F" w:rsidP="00DA0C94">
      <w:pPr>
        <w:pStyle w:val="CBDH1"/>
      </w:pPr>
      <w:r w:rsidRPr="00A64D03">
        <w:lastRenderedPageBreak/>
        <w:t>II</w:t>
      </w:r>
      <w:r>
        <w:t>.</w:t>
      </w:r>
      <w:r>
        <w:tab/>
      </w:r>
      <w:r w:rsidR="008A1EB3">
        <w:t xml:space="preserve">Camino a seguir </w:t>
      </w:r>
    </w:p>
    <w:p w:rsidR="00295494" w:rsidRPr="008A1EB3" w:rsidRDefault="008A1EB3" w:rsidP="00DA0C94">
      <w:pPr>
        <w:pStyle w:val="CBDNormalNumber"/>
        <w:rPr>
          <w:lang w:val="es-ES"/>
        </w:rPr>
      </w:pPr>
      <w:r w:rsidRPr="008A1EB3">
        <w:rPr>
          <w:lang w:val="es-ES"/>
        </w:rPr>
        <w:t xml:space="preserve">La Secretaria Ejecutiva acoge con satisfacción el análisis proporcionado por el Equipo de Consultoría de Gestión del PNUD y expresa su agradecimiento a las Partes por haber </w:t>
      </w:r>
      <w:r>
        <w:rPr>
          <w:lang w:val="es-ES"/>
        </w:rPr>
        <w:t>hecho posible</w:t>
      </w:r>
      <w:r w:rsidRPr="008A1EB3">
        <w:rPr>
          <w:lang w:val="es-ES"/>
        </w:rPr>
        <w:t xml:space="preserve"> la realización de</w:t>
      </w:r>
      <w:r>
        <w:rPr>
          <w:lang w:val="es-ES"/>
        </w:rPr>
        <w:t xml:space="preserve"> la revisión</w:t>
      </w:r>
      <w:r w:rsidRPr="008A1EB3">
        <w:rPr>
          <w:lang w:val="es-ES"/>
        </w:rPr>
        <w:t xml:space="preserve"> funcional, que constituye una base importante para lograr una mayor eficiencia y eficacia en el funcionamiento de la Secretaría, como entidad </w:t>
      </w:r>
      <w:r w:rsidR="0077668E">
        <w:rPr>
          <w:lang w:val="es-ES"/>
        </w:rPr>
        <w:t xml:space="preserve">idónea </w:t>
      </w:r>
      <w:r w:rsidR="0077668E" w:rsidRPr="0077668E">
        <w:rPr>
          <w:lang w:val="es-ES"/>
        </w:rPr>
        <w:t>para sus funciones</w:t>
      </w:r>
      <w:r w:rsidRPr="008A1EB3">
        <w:rPr>
          <w:lang w:val="es-ES"/>
        </w:rPr>
        <w:t xml:space="preserve">, de conformidad con el artículo 24 del Convenio, el artículo 31 del Protocolo de Cartagena sobre Seguridad de la Biotecnología y el artículo 28 del Protocolo de Nagoya sobre el acceso a los recursos genéticos y participación justa y equitativa en los beneficios que se deriven de su utilización, en particular para prestar servicios a las reuniones celebradas en el marco del Convenio y sus Protocolos y apoyar la </w:t>
      </w:r>
      <w:r>
        <w:rPr>
          <w:lang w:val="es-ES"/>
        </w:rPr>
        <w:t>implementación</w:t>
      </w:r>
      <w:r w:rsidR="0077668E">
        <w:rPr>
          <w:lang w:val="es-ES"/>
        </w:rPr>
        <w:t xml:space="preserve"> del Marco</w:t>
      </w:r>
      <w:r w:rsidR="00E67190" w:rsidRPr="008A1EB3">
        <w:rPr>
          <w:lang w:val="es-ES"/>
        </w:rPr>
        <w:t>.</w:t>
      </w:r>
    </w:p>
    <w:p w:rsidR="00D010F7" w:rsidRPr="00DD4EEB" w:rsidRDefault="00DD4EEB" w:rsidP="00DA0C94">
      <w:pPr>
        <w:pStyle w:val="CBDNormalNumber"/>
        <w:rPr>
          <w:lang w:val="es-ES"/>
        </w:rPr>
      </w:pPr>
      <w:r w:rsidRPr="000549CA">
        <w:rPr>
          <w:lang w:val="es-ES"/>
        </w:rPr>
        <w:t xml:space="preserve">La Secretaría iniciará la aplicación de medidas a corto y medio plazo que sean viables y esenciales para mejorar la forma en que presta servicios a las reuniones celebradas en el marco del Convenio y sus Protocolos y apoya la implementación del Marco. </w:t>
      </w:r>
      <w:r w:rsidRPr="00DD4EEB">
        <w:rPr>
          <w:lang w:val="es-ES"/>
        </w:rPr>
        <w:t>Como primer paso, la Secretaria Ejecutiva pondrá en marcha una consulta con todo el personal sobre las actualizaciones propuestas de la estructura organizativa de la Secretaría, en consonancia con las recomendaciones de la revisión funcional</w:t>
      </w:r>
      <w:r w:rsidR="000C0DEE" w:rsidRPr="00DD4EEB">
        <w:rPr>
          <w:lang w:val="es-ES"/>
        </w:rPr>
        <w:t>.</w:t>
      </w:r>
    </w:p>
    <w:p w:rsidR="00BB7348" w:rsidRPr="00094B98" w:rsidRDefault="00094B98" w:rsidP="00DA0C94">
      <w:pPr>
        <w:pStyle w:val="CBDNormalNumber"/>
        <w:rPr>
          <w:lang w:val="es-ES"/>
        </w:rPr>
      </w:pPr>
      <w:r w:rsidRPr="00094B98">
        <w:rPr>
          <w:lang w:val="es-ES"/>
        </w:rPr>
        <w:t xml:space="preserve">Sobre la base de la estructura organizativa actualizada, y de conformidad con el párrafo 35 de la decisión </w:t>
      </w:r>
      <w:hyperlink r:id="rId20" w:history="1">
        <w:r w:rsidRPr="00094B98">
          <w:rPr>
            <w:rStyle w:val="Hipervnculo"/>
            <w:lang w:val="es-ES"/>
          </w:rPr>
          <w:t>15/34</w:t>
        </w:r>
      </w:hyperlink>
      <w:r w:rsidRPr="00094B98">
        <w:rPr>
          <w:lang w:val="es-ES"/>
        </w:rPr>
        <w:t xml:space="preserve"> y el párrafo 11 de la decisión </w:t>
      </w:r>
      <w:hyperlink r:id="rId21" w:history="1">
        <w:r w:rsidRPr="00094B98">
          <w:rPr>
            <w:rStyle w:val="Hipervnculo"/>
            <w:lang w:val="es-ES"/>
          </w:rPr>
          <w:t>16/28</w:t>
        </w:r>
      </w:hyperlink>
      <w:r w:rsidRPr="00094B98">
        <w:rPr>
          <w:lang w:val="es-ES"/>
        </w:rPr>
        <w:t xml:space="preserve">, </w:t>
      </w:r>
      <w:r>
        <w:rPr>
          <w:lang w:val="es-ES"/>
        </w:rPr>
        <w:t>la</w:t>
      </w:r>
      <w:r w:rsidRPr="00094B98">
        <w:rPr>
          <w:lang w:val="es-ES"/>
        </w:rPr>
        <w:t xml:space="preserve"> Secretari</w:t>
      </w:r>
      <w:r>
        <w:rPr>
          <w:lang w:val="es-ES"/>
        </w:rPr>
        <w:t>a Ejecutiva</w:t>
      </w:r>
      <w:r w:rsidRPr="00094B98">
        <w:rPr>
          <w:lang w:val="es-ES"/>
        </w:rPr>
        <w:t xml:space="preserve"> actualizará o elaborará, según proceda, las descripciones de los puestos, incluida la clasificación, de los puestos existentes y adicionales, respectivamente, a fin de aplicar la armonización estructural y estratégica con las funciones básicas y las prioridades estratégicas de la Secretaría propuestas en las recomendaciones de</w:t>
      </w:r>
      <w:r>
        <w:rPr>
          <w:lang w:val="es-ES"/>
        </w:rPr>
        <w:t xml:space="preserve"> la revisión</w:t>
      </w:r>
      <w:r w:rsidRPr="00094B98">
        <w:rPr>
          <w:lang w:val="es-ES"/>
        </w:rPr>
        <w:t xml:space="preserve"> funcional</w:t>
      </w:r>
      <w:r w:rsidR="00BB7348" w:rsidRPr="00094B98">
        <w:rPr>
          <w:lang w:val="es-ES"/>
        </w:rPr>
        <w:t>.</w:t>
      </w:r>
    </w:p>
    <w:p w:rsidR="004C21E8" w:rsidRPr="00094B98" w:rsidRDefault="00094B98" w:rsidP="00DA0C94">
      <w:pPr>
        <w:pStyle w:val="CBDNormalNumber"/>
        <w:rPr>
          <w:lang w:val="es-ES"/>
        </w:rPr>
      </w:pPr>
      <w:r w:rsidRPr="00094B98">
        <w:rPr>
          <w:lang w:val="es-ES"/>
        </w:rPr>
        <w:t xml:space="preserve">Cuando proceda, y sobre la base de las funciones y descripciones </w:t>
      </w:r>
      <w:r>
        <w:rPr>
          <w:lang w:val="es-ES"/>
        </w:rPr>
        <w:t xml:space="preserve">actualizadas </w:t>
      </w:r>
      <w:r w:rsidRPr="00094B98">
        <w:rPr>
          <w:lang w:val="es-ES"/>
        </w:rPr>
        <w:t xml:space="preserve">de </w:t>
      </w:r>
      <w:r>
        <w:rPr>
          <w:lang w:val="es-ES"/>
        </w:rPr>
        <w:t xml:space="preserve">los </w:t>
      </w:r>
      <w:r w:rsidRPr="00094B98">
        <w:rPr>
          <w:lang w:val="es-ES"/>
        </w:rPr>
        <w:t xml:space="preserve">puestos, se llevará a cabo un análisis de las </w:t>
      </w:r>
      <w:r>
        <w:rPr>
          <w:lang w:val="es-ES"/>
        </w:rPr>
        <w:t>implicaciones</w:t>
      </w:r>
      <w:r w:rsidRPr="00094B98">
        <w:rPr>
          <w:lang w:val="es-ES"/>
        </w:rPr>
        <w:t xml:space="preserve"> en materia de </w:t>
      </w:r>
      <w:r>
        <w:rPr>
          <w:lang w:val="es-ES"/>
        </w:rPr>
        <w:t xml:space="preserve">dotación de </w:t>
      </w:r>
      <w:r w:rsidRPr="00094B98">
        <w:rPr>
          <w:lang w:val="es-ES"/>
        </w:rPr>
        <w:t>personal y costos de la a</w:t>
      </w:r>
      <w:r>
        <w:rPr>
          <w:lang w:val="es-ES"/>
        </w:rPr>
        <w:t>rmonizaci</w:t>
      </w:r>
      <w:r w:rsidRPr="00094B98">
        <w:rPr>
          <w:lang w:val="es-ES"/>
        </w:rPr>
        <w:t>ón estructural y estratégica a largo plazo propuesta en las recomendaciones de</w:t>
      </w:r>
      <w:r>
        <w:rPr>
          <w:lang w:val="es-ES"/>
        </w:rPr>
        <w:t xml:space="preserve"> la revisión</w:t>
      </w:r>
      <w:r w:rsidRPr="00094B98">
        <w:rPr>
          <w:lang w:val="es-ES"/>
        </w:rPr>
        <w:t xml:space="preserve"> funcional, en plena conformidad con el </w:t>
      </w:r>
      <w:r>
        <w:rPr>
          <w:lang w:val="es-ES"/>
        </w:rPr>
        <w:t>Estatuto y el R</w:t>
      </w:r>
      <w:r w:rsidRPr="00094B98">
        <w:rPr>
          <w:lang w:val="es-ES"/>
        </w:rPr>
        <w:t xml:space="preserve">eglamento del </w:t>
      </w:r>
      <w:r>
        <w:rPr>
          <w:lang w:val="es-ES"/>
        </w:rPr>
        <w:t>P</w:t>
      </w:r>
      <w:r w:rsidRPr="00094B98">
        <w:rPr>
          <w:lang w:val="es-ES"/>
        </w:rPr>
        <w:t>ersonal de las Naciones Unidas, para que la Conferencia de las Part</w:t>
      </w:r>
      <w:r>
        <w:rPr>
          <w:lang w:val="es-ES"/>
        </w:rPr>
        <w:t>es lo examine en su 17ª reunión</w:t>
      </w:r>
      <w:r w:rsidR="004C21E8" w:rsidRPr="00094B98">
        <w:rPr>
          <w:lang w:val="es-ES"/>
        </w:rPr>
        <w:t>.</w:t>
      </w:r>
    </w:p>
    <w:p w:rsidR="0075344A" w:rsidRPr="00094B98" w:rsidRDefault="00094B98" w:rsidP="00DA0C94">
      <w:pPr>
        <w:pStyle w:val="CBDNormalNumber"/>
        <w:rPr>
          <w:lang w:val="es-ES"/>
        </w:rPr>
      </w:pPr>
      <w:r w:rsidRPr="00094B98">
        <w:rPr>
          <w:lang w:val="es-ES"/>
        </w:rPr>
        <w:t xml:space="preserve">En la 17ª reunión de la Conferencia de las Partes, la Secretaría presentará para su examen un informe sobre los progresos realizados en su aplicación inicial y los análisis conexos, tal como se describe en los párrafos 6 y 7 </w:t>
      </w:r>
      <w:r w:rsidRPr="0080272F">
        <w:rPr>
          <w:i/>
          <w:lang w:val="es-ES"/>
        </w:rPr>
        <w:t>supra</w:t>
      </w:r>
      <w:r w:rsidRPr="00094B98">
        <w:rPr>
          <w:lang w:val="es-ES"/>
        </w:rPr>
        <w:t>, junto con una propuesta de ajustes, según proceda, de la descripción y clasificación de los puestos existentes, así como de los</w:t>
      </w:r>
      <w:r w:rsidR="0080272F">
        <w:rPr>
          <w:lang w:val="es-ES"/>
        </w:rPr>
        <w:t xml:space="preserve"> puestos adicionales necesarios</w:t>
      </w:r>
      <w:r w:rsidR="00B20ED4" w:rsidRPr="00094B98">
        <w:rPr>
          <w:lang w:val="es-ES"/>
        </w:rPr>
        <w:t>.</w:t>
      </w:r>
    </w:p>
    <w:p w:rsidR="00004A1C" w:rsidRPr="00DD0CE4" w:rsidRDefault="005B414B" w:rsidP="00DA0C94">
      <w:pPr>
        <w:pStyle w:val="CBDH1"/>
        <w:rPr>
          <w:lang w:eastAsia="en-GB"/>
        </w:rPr>
      </w:pPr>
      <w:r w:rsidRPr="00A64D03">
        <w:rPr>
          <w:lang w:eastAsia="en-GB"/>
        </w:rPr>
        <w:t>III</w:t>
      </w:r>
      <w:r>
        <w:rPr>
          <w:lang w:eastAsia="en-GB"/>
        </w:rPr>
        <w:t>.</w:t>
      </w:r>
      <w:r w:rsidR="006247AC">
        <w:rPr>
          <w:lang w:eastAsia="en-GB"/>
        </w:rPr>
        <w:tab/>
      </w:r>
      <w:r w:rsidR="00004A1C" w:rsidRPr="00DD0CE4">
        <w:rPr>
          <w:lang w:eastAsia="en-GB"/>
        </w:rPr>
        <w:t>Recom</w:t>
      </w:r>
      <w:r w:rsidR="0080272F">
        <w:rPr>
          <w:lang w:eastAsia="en-GB"/>
        </w:rPr>
        <w:t>endación</w:t>
      </w:r>
    </w:p>
    <w:p w:rsidR="00004A1C" w:rsidRPr="0080272F" w:rsidRDefault="0080272F" w:rsidP="00631A10">
      <w:pPr>
        <w:pStyle w:val="CBDNormalNumber"/>
        <w:rPr>
          <w:lang w:val="es-ES"/>
        </w:rPr>
      </w:pPr>
      <w:r w:rsidRPr="0080272F">
        <w:rPr>
          <w:lang w:val="es-ES"/>
        </w:rPr>
        <w:t>El Órgano Subsidiario sobre la Aplicación</w:t>
      </w:r>
      <w:r w:rsidR="00004A1C" w:rsidRPr="0080272F">
        <w:rPr>
          <w:lang w:val="es-ES"/>
        </w:rPr>
        <w:t xml:space="preserve"> </w:t>
      </w:r>
      <w:r w:rsidRPr="0080272F">
        <w:rPr>
          <w:lang w:val="es-ES"/>
        </w:rPr>
        <w:t>podría estimar oportuno adoptar una recomendación</w:t>
      </w:r>
      <w:r w:rsidR="005D6D15">
        <w:rPr>
          <w:rStyle w:val="Refdenotaalpie"/>
        </w:rPr>
        <w:footnoteReference w:id="6"/>
      </w:r>
      <w:r w:rsidR="00004A1C" w:rsidRPr="0080272F">
        <w:rPr>
          <w:lang w:val="es-ES"/>
        </w:rPr>
        <w:t xml:space="preserve"> </w:t>
      </w:r>
      <w:r w:rsidRPr="0080272F">
        <w:rPr>
          <w:lang w:val="es-ES"/>
        </w:rPr>
        <w:t>del siguiente tenor</w:t>
      </w:r>
      <w:r w:rsidR="00004A1C" w:rsidRPr="0080272F">
        <w:rPr>
          <w:lang w:val="es-ES"/>
        </w:rPr>
        <w:t>:</w:t>
      </w:r>
    </w:p>
    <w:p w:rsidR="00004A1C" w:rsidRPr="0080272F" w:rsidRDefault="0080272F" w:rsidP="00631A10">
      <w:pPr>
        <w:pStyle w:val="CBDNormalNoNumber"/>
        <w:ind w:firstLine="567"/>
        <w:rPr>
          <w:i/>
          <w:iCs/>
          <w:lang w:val="es-ES"/>
        </w:rPr>
      </w:pPr>
      <w:r w:rsidRPr="0080272F">
        <w:rPr>
          <w:i/>
          <w:iCs/>
          <w:lang w:val="es-ES"/>
        </w:rPr>
        <w:t>El Órgano Subsidiario sobre la Aplicación</w:t>
      </w:r>
    </w:p>
    <w:p w:rsidR="008D5B01" w:rsidRPr="0080272F" w:rsidRDefault="00DC56EF">
      <w:pPr>
        <w:pStyle w:val="CBDDesicionText"/>
        <w:tabs>
          <w:tab w:val="clear" w:pos="1134"/>
        </w:tabs>
        <w:ind w:left="567"/>
        <w:rPr>
          <w:snapToGrid w:val="0"/>
          <w:lang w:val="es-ES"/>
        </w:rPr>
      </w:pPr>
      <w:r w:rsidRPr="0080272F">
        <w:rPr>
          <w:snapToGrid w:val="0"/>
          <w:lang w:val="es-ES"/>
        </w:rPr>
        <w:t>1.</w:t>
      </w:r>
      <w:r w:rsidRPr="0080272F">
        <w:rPr>
          <w:snapToGrid w:val="0"/>
          <w:lang w:val="es-ES"/>
        </w:rPr>
        <w:tab/>
      </w:r>
      <w:r w:rsidR="0080272F" w:rsidRPr="0080272F">
        <w:rPr>
          <w:i/>
          <w:snapToGrid w:val="0"/>
          <w:lang w:val="es-ES"/>
        </w:rPr>
        <w:t>Toma nota</w:t>
      </w:r>
      <w:r w:rsidR="0080272F" w:rsidRPr="0080272F">
        <w:rPr>
          <w:snapToGrid w:val="0"/>
          <w:lang w:val="es-ES"/>
        </w:rPr>
        <w:t xml:space="preserve"> del </w:t>
      </w:r>
      <w:r w:rsidR="0080272F">
        <w:rPr>
          <w:snapToGrid w:val="0"/>
          <w:lang w:val="es-ES"/>
        </w:rPr>
        <w:t xml:space="preserve">resumen </w:t>
      </w:r>
      <w:r w:rsidR="0080272F" w:rsidRPr="0080272F">
        <w:rPr>
          <w:snapToGrid w:val="0"/>
          <w:lang w:val="es-ES"/>
        </w:rPr>
        <w:t>de</w:t>
      </w:r>
      <w:r w:rsidR="0080272F">
        <w:rPr>
          <w:snapToGrid w:val="0"/>
          <w:lang w:val="es-ES"/>
        </w:rPr>
        <w:t xml:space="preserve"> la revisión</w:t>
      </w:r>
      <w:r w:rsidR="0080272F" w:rsidRPr="0080272F">
        <w:rPr>
          <w:snapToGrid w:val="0"/>
          <w:lang w:val="es-ES"/>
        </w:rPr>
        <w:t xml:space="preserve"> funcional de la Secretaría preparado por un equipo consultor externo, que figura en el anexo I del documento </w:t>
      </w:r>
      <w:hyperlink r:id="rId22" w:history="1">
        <w:r w:rsidR="0080272F" w:rsidRPr="0080272F">
          <w:rPr>
            <w:rStyle w:val="Hipervnculo"/>
            <w:lang w:val="es-ES"/>
          </w:rPr>
          <w:t>CBD/SBI/6/10</w:t>
        </w:r>
      </w:hyperlink>
      <w:r w:rsidR="0080272F" w:rsidRPr="0080272F">
        <w:rPr>
          <w:snapToGrid w:val="0"/>
          <w:lang w:val="es-ES"/>
        </w:rPr>
        <w:t>, incluidas las recomendaciones sobre las medidas a corto, medio y largo plazo que debe adoptar la Secretaría</w:t>
      </w:r>
      <w:r w:rsidR="008D5B01" w:rsidRPr="0080272F">
        <w:rPr>
          <w:snapToGrid w:val="0"/>
          <w:lang w:val="es-ES"/>
        </w:rPr>
        <w:t>;</w:t>
      </w:r>
    </w:p>
    <w:p w:rsidR="008D5B01" w:rsidRPr="0080272F" w:rsidRDefault="008D5B01">
      <w:pPr>
        <w:pStyle w:val="CBDDesicionText"/>
        <w:tabs>
          <w:tab w:val="clear" w:pos="1134"/>
        </w:tabs>
        <w:ind w:left="567"/>
        <w:rPr>
          <w:snapToGrid w:val="0"/>
          <w:lang w:val="es-ES"/>
        </w:rPr>
      </w:pPr>
      <w:r w:rsidRPr="0080272F">
        <w:rPr>
          <w:iCs/>
          <w:snapToGrid w:val="0"/>
          <w:lang w:val="es-ES"/>
        </w:rPr>
        <w:t>2.</w:t>
      </w:r>
      <w:r w:rsidRPr="0080272F">
        <w:rPr>
          <w:iCs/>
          <w:snapToGrid w:val="0"/>
          <w:lang w:val="es-ES"/>
        </w:rPr>
        <w:tab/>
      </w:r>
      <w:r w:rsidR="0080272F" w:rsidRPr="0080272F">
        <w:rPr>
          <w:i/>
          <w:iCs/>
          <w:snapToGrid w:val="0"/>
          <w:lang w:val="es-ES"/>
        </w:rPr>
        <w:t>Toma nota</w:t>
      </w:r>
      <w:r w:rsidR="0080272F" w:rsidRPr="0080272F">
        <w:rPr>
          <w:iCs/>
          <w:snapToGrid w:val="0"/>
          <w:lang w:val="es-ES"/>
        </w:rPr>
        <w:t xml:space="preserve"> </w:t>
      </w:r>
      <w:r w:rsidR="0080272F" w:rsidRPr="0080272F">
        <w:rPr>
          <w:snapToGrid w:val="0"/>
          <w:lang w:val="es-ES"/>
        </w:rPr>
        <w:t>de las consultas en curso sobre esas recomendaciones dentro de la Secretaría</w:t>
      </w:r>
      <w:r w:rsidRPr="0080272F">
        <w:rPr>
          <w:snapToGrid w:val="0"/>
          <w:lang w:val="es-ES"/>
        </w:rPr>
        <w:t>;</w:t>
      </w:r>
    </w:p>
    <w:p w:rsidR="003A2D12" w:rsidRPr="004F6D4F" w:rsidRDefault="005368D3">
      <w:pPr>
        <w:pStyle w:val="CBDDesicionText"/>
        <w:tabs>
          <w:tab w:val="clear" w:pos="1134"/>
        </w:tabs>
        <w:ind w:left="567"/>
        <w:rPr>
          <w:snapToGrid w:val="0"/>
          <w:lang w:val="es-ES"/>
        </w:rPr>
      </w:pPr>
      <w:bookmarkStart w:id="1" w:name="_Hlk216714546"/>
      <w:r w:rsidRPr="004F6D4F">
        <w:rPr>
          <w:snapToGrid w:val="0"/>
          <w:lang w:val="es-ES"/>
        </w:rPr>
        <w:lastRenderedPageBreak/>
        <w:t>3</w:t>
      </w:r>
      <w:r w:rsidR="00DC56EF" w:rsidRPr="004F6D4F">
        <w:rPr>
          <w:snapToGrid w:val="0"/>
          <w:lang w:val="es-ES"/>
        </w:rPr>
        <w:t>.</w:t>
      </w:r>
      <w:r w:rsidR="00DC56EF" w:rsidRPr="004F6D4F">
        <w:rPr>
          <w:snapToGrid w:val="0"/>
          <w:lang w:val="es-ES"/>
        </w:rPr>
        <w:tab/>
      </w:r>
      <w:r w:rsidR="004F6D4F">
        <w:rPr>
          <w:i/>
          <w:snapToGrid w:val="0"/>
          <w:lang w:val="es-ES"/>
        </w:rPr>
        <w:t>Observa</w:t>
      </w:r>
      <w:r w:rsidR="004F6D4F" w:rsidRPr="004F6D4F">
        <w:rPr>
          <w:i/>
          <w:snapToGrid w:val="0"/>
          <w:lang w:val="es-ES"/>
        </w:rPr>
        <w:t xml:space="preserve"> </w:t>
      </w:r>
      <w:r w:rsidR="004F6D4F" w:rsidRPr="004F6D4F">
        <w:rPr>
          <w:snapToGrid w:val="0"/>
          <w:lang w:val="es-ES"/>
        </w:rPr>
        <w:t xml:space="preserve">con reconocimiento de las actividades de seguimiento que está llevando a cabo o que llevará a cabo </w:t>
      </w:r>
      <w:r w:rsidR="004F6D4F">
        <w:rPr>
          <w:snapToGrid w:val="0"/>
          <w:lang w:val="es-ES"/>
        </w:rPr>
        <w:t>la</w:t>
      </w:r>
      <w:r w:rsidR="004F6D4F" w:rsidRPr="004F6D4F">
        <w:rPr>
          <w:snapToGrid w:val="0"/>
          <w:lang w:val="es-ES"/>
        </w:rPr>
        <w:t xml:space="preserve"> Secretari</w:t>
      </w:r>
      <w:r w:rsidR="004F6D4F">
        <w:rPr>
          <w:snapToGrid w:val="0"/>
          <w:lang w:val="es-ES"/>
        </w:rPr>
        <w:t>a</w:t>
      </w:r>
      <w:r w:rsidR="004F6D4F" w:rsidRPr="004F6D4F">
        <w:rPr>
          <w:snapToGrid w:val="0"/>
          <w:lang w:val="es-ES"/>
        </w:rPr>
        <w:t xml:space="preserve"> Ejecutiv</w:t>
      </w:r>
      <w:r w:rsidR="004F6D4F">
        <w:rPr>
          <w:snapToGrid w:val="0"/>
          <w:lang w:val="es-ES"/>
        </w:rPr>
        <w:t>a</w:t>
      </w:r>
      <w:r w:rsidR="004F6D4F" w:rsidRPr="004F6D4F">
        <w:rPr>
          <w:snapToGrid w:val="0"/>
          <w:lang w:val="es-ES"/>
        </w:rPr>
        <w:t>, tal como se propone en las recomendaciones de</w:t>
      </w:r>
      <w:r w:rsidR="004F6D4F">
        <w:rPr>
          <w:snapToGrid w:val="0"/>
          <w:lang w:val="es-ES"/>
        </w:rPr>
        <w:t xml:space="preserve"> la revisión funcional, a saber</w:t>
      </w:r>
      <w:r w:rsidR="00CB385F" w:rsidRPr="004F6D4F">
        <w:rPr>
          <w:snapToGrid w:val="0"/>
          <w:lang w:val="es-ES"/>
        </w:rPr>
        <w:t>:</w:t>
      </w:r>
    </w:p>
    <w:p w:rsidR="003A2D12" w:rsidRPr="004F6D4F" w:rsidRDefault="004F6D4F">
      <w:pPr>
        <w:pStyle w:val="CBDDesicionText"/>
        <w:tabs>
          <w:tab w:val="clear" w:pos="1134"/>
        </w:tabs>
        <w:ind w:left="567"/>
        <w:rPr>
          <w:snapToGrid w:val="0"/>
          <w:lang w:val="es-ES"/>
        </w:rPr>
      </w:pPr>
      <w:r w:rsidRPr="004F6D4F">
        <w:rPr>
          <w:snapToGrid w:val="0"/>
          <w:lang w:val="es-ES"/>
        </w:rPr>
        <w:t xml:space="preserve"> </w:t>
      </w:r>
      <w:r w:rsidR="000477DF" w:rsidRPr="004F6D4F">
        <w:rPr>
          <w:snapToGrid w:val="0"/>
          <w:lang w:val="es-ES"/>
        </w:rPr>
        <w:t>a</w:t>
      </w:r>
      <w:r w:rsidR="00527576" w:rsidRPr="004F6D4F">
        <w:rPr>
          <w:snapToGrid w:val="0"/>
          <w:lang w:val="es-ES"/>
        </w:rPr>
        <w:t>)</w:t>
      </w:r>
      <w:r w:rsidR="003A2D12" w:rsidRPr="004F6D4F">
        <w:rPr>
          <w:snapToGrid w:val="0"/>
          <w:lang w:val="es-ES"/>
        </w:rPr>
        <w:tab/>
      </w:r>
      <w:r w:rsidRPr="004F6D4F">
        <w:rPr>
          <w:snapToGrid w:val="0"/>
          <w:lang w:val="es-ES"/>
        </w:rPr>
        <w:t>Iniciar la aplicación de medidas a corto y medio plazo, incluida una estructura organizativa actualizada</w:t>
      </w:r>
      <w:r w:rsidR="007954E8" w:rsidRPr="004F6D4F">
        <w:rPr>
          <w:snapToGrid w:val="0"/>
          <w:lang w:val="es-ES"/>
        </w:rPr>
        <w:t xml:space="preserve">; </w:t>
      </w:r>
    </w:p>
    <w:p w:rsidR="00FC7E77" w:rsidRPr="004F6D4F" w:rsidRDefault="004F6D4F">
      <w:pPr>
        <w:pStyle w:val="CBDDesicionText"/>
        <w:tabs>
          <w:tab w:val="clear" w:pos="1134"/>
        </w:tabs>
        <w:ind w:left="567"/>
        <w:rPr>
          <w:lang w:val="es-ES"/>
        </w:rPr>
      </w:pPr>
      <w:r w:rsidRPr="004F6D4F">
        <w:rPr>
          <w:snapToGrid w:val="0"/>
          <w:lang w:val="es-ES"/>
        </w:rPr>
        <w:t xml:space="preserve"> </w:t>
      </w:r>
      <w:r w:rsidR="00087BE0" w:rsidRPr="004F6D4F">
        <w:rPr>
          <w:snapToGrid w:val="0"/>
          <w:lang w:val="es-ES"/>
        </w:rPr>
        <w:t>b</w:t>
      </w:r>
      <w:r w:rsidR="007954E8" w:rsidRPr="004F6D4F">
        <w:rPr>
          <w:snapToGrid w:val="0"/>
          <w:lang w:val="es-ES"/>
        </w:rPr>
        <w:t>)</w:t>
      </w:r>
      <w:r w:rsidR="003A2D12" w:rsidRPr="004F6D4F">
        <w:rPr>
          <w:snapToGrid w:val="0"/>
          <w:lang w:val="es-ES"/>
        </w:rPr>
        <w:tab/>
      </w:r>
      <w:r w:rsidRPr="004F6D4F">
        <w:rPr>
          <w:lang w:val="es-ES"/>
        </w:rPr>
        <w:t>Llevar a cabo la actualización o elaboración de las descripciones de los puestos de trabajo, incluida la clasificación de los puestos existentes y adicionales, respectivamente, necesarios para aplicar una armonización estructural y estratégica con las funciones básicas y las prioridade</w:t>
      </w:r>
      <w:r>
        <w:rPr>
          <w:lang w:val="es-ES"/>
        </w:rPr>
        <w:t>s estratégicas de la Secretaría</w:t>
      </w:r>
      <w:r w:rsidR="00A42AE8" w:rsidRPr="004F6D4F">
        <w:rPr>
          <w:lang w:val="es-ES"/>
        </w:rPr>
        <w:t xml:space="preserve">; </w:t>
      </w:r>
    </w:p>
    <w:p w:rsidR="00AF22FE" w:rsidRPr="004F6D4F" w:rsidRDefault="004F6D4F">
      <w:pPr>
        <w:pStyle w:val="CBDDesicionText"/>
        <w:tabs>
          <w:tab w:val="clear" w:pos="1134"/>
        </w:tabs>
        <w:ind w:left="567"/>
        <w:rPr>
          <w:lang w:val="es-ES"/>
        </w:rPr>
      </w:pPr>
      <w:r w:rsidRPr="004F6D4F">
        <w:rPr>
          <w:lang w:val="es-ES"/>
        </w:rPr>
        <w:t xml:space="preserve"> </w:t>
      </w:r>
      <w:r w:rsidR="00700F41" w:rsidRPr="004F6D4F">
        <w:rPr>
          <w:lang w:val="es-ES"/>
        </w:rPr>
        <w:t>c</w:t>
      </w:r>
      <w:r w:rsidR="00A42AE8" w:rsidRPr="004F6D4F">
        <w:rPr>
          <w:lang w:val="es-ES"/>
        </w:rPr>
        <w:t>)</w:t>
      </w:r>
      <w:r w:rsidR="00FC7E77" w:rsidRPr="004F6D4F">
        <w:rPr>
          <w:lang w:val="es-ES"/>
        </w:rPr>
        <w:tab/>
      </w:r>
      <w:r w:rsidRPr="004F6D4F">
        <w:rPr>
          <w:lang w:val="es-ES"/>
        </w:rPr>
        <w:t xml:space="preserve">Realizar, sobre la base de las funciones y descripciones </w:t>
      </w:r>
      <w:r>
        <w:rPr>
          <w:lang w:val="es-ES"/>
        </w:rPr>
        <w:t>actualizadas de los puestos</w:t>
      </w:r>
      <w:r w:rsidRPr="004F6D4F">
        <w:rPr>
          <w:lang w:val="es-ES"/>
        </w:rPr>
        <w:t>, un análisis de las consecuencias asociadas en materia de dotación de personal y costos de la a</w:t>
      </w:r>
      <w:r>
        <w:rPr>
          <w:lang w:val="es-ES"/>
        </w:rPr>
        <w:t>rmonizac</w:t>
      </w:r>
      <w:r w:rsidRPr="004F6D4F">
        <w:rPr>
          <w:lang w:val="es-ES"/>
        </w:rPr>
        <w:t>ión estructural y estratégica a largo plazo</w:t>
      </w:r>
      <w:r w:rsidR="00AF22FE" w:rsidRPr="004F6D4F">
        <w:rPr>
          <w:lang w:val="es-ES"/>
        </w:rPr>
        <w:t>;</w:t>
      </w:r>
    </w:p>
    <w:p w:rsidR="006E671B" w:rsidRPr="004F6D4F" w:rsidRDefault="005368D3" w:rsidP="00DA0C94">
      <w:pPr>
        <w:pStyle w:val="CBDDesicionText"/>
        <w:tabs>
          <w:tab w:val="clear" w:pos="1134"/>
        </w:tabs>
        <w:ind w:left="567"/>
        <w:rPr>
          <w:snapToGrid w:val="0"/>
          <w:lang w:val="es-ES"/>
        </w:rPr>
      </w:pPr>
      <w:r w:rsidRPr="004F6D4F">
        <w:rPr>
          <w:lang w:val="es-ES"/>
        </w:rPr>
        <w:t>4</w:t>
      </w:r>
      <w:r w:rsidR="00AF22FE" w:rsidRPr="004F6D4F">
        <w:rPr>
          <w:lang w:val="es-ES"/>
        </w:rPr>
        <w:t>.</w:t>
      </w:r>
      <w:r w:rsidR="00AF22FE" w:rsidRPr="004F6D4F">
        <w:rPr>
          <w:lang w:val="es-ES"/>
        </w:rPr>
        <w:tab/>
      </w:r>
      <w:r w:rsidR="004F6D4F" w:rsidRPr="005C42FE">
        <w:rPr>
          <w:i/>
          <w:lang w:val="es-ES"/>
        </w:rPr>
        <w:t>Pide</w:t>
      </w:r>
      <w:r w:rsidR="004F6D4F" w:rsidRPr="004F6D4F">
        <w:rPr>
          <w:lang w:val="es-ES"/>
        </w:rPr>
        <w:t xml:space="preserve"> a</w:t>
      </w:r>
      <w:r w:rsidR="005C42FE">
        <w:rPr>
          <w:lang w:val="es-ES"/>
        </w:rPr>
        <w:t xml:space="preserve"> la</w:t>
      </w:r>
      <w:r w:rsidR="004F6D4F" w:rsidRPr="004F6D4F">
        <w:rPr>
          <w:lang w:val="es-ES"/>
        </w:rPr>
        <w:t xml:space="preserve"> Secretari</w:t>
      </w:r>
      <w:r w:rsidR="005C42FE">
        <w:rPr>
          <w:lang w:val="es-ES"/>
        </w:rPr>
        <w:t>a</w:t>
      </w:r>
      <w:r w:rsidR="004F6D4F" w:rsidRPr="004F6D4F">
        <w:rPr>
          <w:lang w:val="es-ES"/>
        </w:rPr>
        <w:t xml:space="preserve"> Ejecutiv</w:t>
      </w:r>
      <w:r w:rsidR="005C42FE">
        <w:rPr>
          <w:lang w:val="es-ES"/>
        </w:rPr>
        <w:t>a</w:t>
      </w:r>
      <w:r w:rsidR="004F6D4F" w:rsidRPr="004F6D4F">
        <w:rPr>
          <w:lang w:val="es-ES"/>
        </w:rPr>
        <w:t xml:space="preserve"> que transmita el informe resumido de</w:t>
      </w:r>
      <w:r w:rsidR="005C42FE">
        <w:rPr>
          <w:lang w:val="es-ES"/>
        </w:rPr>
        <w:t xml:space="preserve"> la revisión</w:t>
      </w:r>
      <w:r w:rsidR="004F6D4F" w:rsidRPr="004F6D4F">
        <w:rPr>
          <w:lang w:val="es-ES"/>
        </w:rPr>
        <w:t xml:space="preserve"> funcional extern</w:t>
      </w:r>
      <w:r w:rsidR="005C42FE">
        <w:rPr>
          <w:lang w:val="es-ES"/>
        </w:rPr>
        <w:t>a</w:t>
      </w:r>
      <w:r w:rsidR="004F6D4F" w:rsidRPr="004F6D4F">
        <w:rPr>
          <w:lang w:val="es-ES"/>
        </w:rPr>
        <w:t xml:space="preserve"> </w:t>
      </w:r>
      <w:r w:rsidR="005C42FE">
        <w:rPr>
          <w:lang w:val="es-ES"/>
        </w:rPr>
        <w:t>detallada</w:t>
      </w:r>
      <w:r w:rsidR="004F6D4F" w:rsidRPr="004F6D4F">
        <w:rPr>
          <w:lang w:val="es-ES"/>
        </w:rPr>
        <w:t xml:space="preserve"> de la Secretaría a la Conferencia de las Partes en su 17ª reunión y que presente un informe sobre la marcha de las actividades </w:t>
      </w:r>
      <w:r w:rsidR="005C42FE">
        <w:rPr>
          <w:lang w:val="es-ES"/>
        </w:rPr>
        <w:t>enumeradas anteriormente</w:t>
      </w:r>
      <w:r w:rsidR="004F6D4F" w:rsidRPr="004F6D4F">
        <w:rPr>
          <w:lang w:val="es-ES"/>
        </w:rPr>
        <w:t xml:space="preserve">, junto con propuestas de ajustes en la clasificación de </w:t>
      </w:r>
      <w:r w:rsidR="005C42FE">
        <w:rPr>
          <w:lang w:val="es-ES"/>
        </w:rPr>
        <w:t xml:space="preserve">los </w:t>
      </w:r>
      <w:r w:rsidR="004F6D4F" w:rsidRPr="004F6D4F">
        <w:rPr>
          <w:lang w:val="es-ES"/>
        </w:rPr>
        <w:t>puestos,</w:t>
      </w:r>
      <w:r w:rsidR="005C42FE" w:rsidRPr="005C42FE">
        <w:rPr>
          <w:lang w:val="es-ES"/>
        </w:rPr>
        <w:t xml:space="preserve"> así como puestos adicionales, según proceda,</w:t>
      </w:r>
      <w:r w:rsidR="004F6D4F" w:rsidRPr="004F6D4F">
        <w:rPr>
          <w:lang w:val="es-ES"/>
        </w:rPr>
        <w:t xml:space="preserve"> a la Conferencia de las Partes para que lo examine en su 17ª reunión.</w:t>
      </w:r>
    </w:p>
    <w:bookmarkEnd w:id="1"/>
    <w:p w:rsidR="00F24EBD" w:rsidRPr="005C42FE" w:rsidRDefault="005368D3" w:rsidP="00C954B3">
      <w:pPr>
        <w:pStyle w:val="CBDDesicionText"/>
        <w:tabs>
          <w:tab w:val="clear" w:pos="1134"/>
        </w:tabs>
        <w:ind w:left="567"/>
        <w:rPr>
          <w:lang w:val="es-ES"/>
        </w:rPr>
      </w:pPr>
      <w:r w:rsidRPr="005C42FE">
        <w:rPr>
          <w:lang w:val="es-ES"/>
        </w:rPr>
        <w:t>5</w:t>
      </w:r>
      <w:r w:rsidR="00904BBB" w:rsidRPr="005C42FE">
        <w:rPr>
          <w:lang w:val="es-ES"/>
        </w:rPr>
        <w:t>.</w:t>
      </w:r>
      <w:r w:rsidR="00904BBB" w:rsidRPr="005C42FE">
        <w:rPr>
          <w:i/>
          <w:iCs/>
          <w:lang w:val="es-ES"/>
        </w:rPr>
        <w:tab/>
      </w:r>
      <w:r w:rsidR="005C42FE" w:rsidRPr="005C42FE">
        <w:rPr>
          <w:i/>
          <w:iCs/>
          <w:lang w:val="es-ES"/>
        </w:rPr>
        <w:t xml:space="preserve">Recomienda </w:t>
      </w:r>
      <w:r w:rsidR="005C42FE" w:rsidRPr="005C42FE">
        <w:rPr>
          <w:iCs/>
          <w:lang w:val="es-ES"/>
        </w:rPr>
        <w:t>que, en su 17ª reunión, la Conferencia de las Partes adopte u</w:t>
      </w:r>
      <w:r w:rsidR="005C42FE">
        <w:rPr>
          <w:iCs/>
          <w:lang w:val="es-ES"/>
        </w:rPr>
        <w:t>na decisión del siguiente tenor</w:t>
      </w:r>
      <w:r w:rsidR="00004A1C" w:rsidRPr="005C42FE">
        <w:rPr>
          <w:lang w:val="es-ES"/>
        </w:rPr>
        <w:t>:</w:t>
      </w:r>
    </w:p>
    <w:p w:rsidR="00033FB5" w:rsidRPr="005C42FE" w:rsidRDefault="005C42FE" w:rsidP="000E686F">
      <w:pPr>
        <w:pStyle w:val="CBDDesicionText"/>
        <w:rPr>
          <w:snapToGrid w:val="0"/>
          <w:lang w:val="es-ES"/>
        </w:rPr>
      </w:pPr>
      <w:r>
        <w:rPr>
          <w:i/>
          <w:iCs/>
          <w:lang w:val="es-ES"/>
        </w:rPr>
        <w:t xml:space="preserve">La </w:t>
      </w:r>
      <w:r w:rsidR="00004A1C" w:rsidRPr="005C42FE">
        <w:rPr>
          <w:i/>
          <w:iCs/>
          <w:lang w:val="es-ES"/>
        </w:rPr>
        <w:t>Conferenc</w:t>
      </w:r>
      <w:r w:rsidRPr="005C42FE">
        <w:rPr>
          <w:i/>
          <w:iCs/>
          <w:lang w:val="es-ES"/>
        </w:rPr>
        <w:t>ia de las</w:t>
      </w:r>
      <w:r w:rsidR="00004A1C" w:rsidRPr="005C42FE">
        <w:rPr>
          <w:i/>
          <w:iCs/>
          <w:lang w:val="es-ES"/>
        </w:rPr>
        <w:t xml:space="preserve"> Partes</w:t>
      </w:r>
    </w:p>
    <w:p w:rsidR="00E8441C" w:rsidRPr="005C42FE" w:rsidRDefault="00DC56EF" w:rsidP="000E686F">
      <w:pPr>
        <w:pStyle w:val="CBDDesicionText"/>
        <w:rPr>
          <w:rFonts w:eastAsia="Malgun Gothic"/>
          <w:iCs/>
          <w:color w:val="000000"/>
          <w:kern w:val="18"/>
          <w:lang w:val="es-ES"/>
        </w:rPr>
      </w:pPr>
      <w:r w:rsidRPr="005C42FE">
        <w:rPr>
          <w:lang w:val="es-ES"/>
        </w:rPr>
        <w:t>1.</w:t>
      </w:r>
      <w:r w:rsidRPr="005C42FE">
        <w:rPr>
          <w:lang w:val="es-ES"/>
        </w:rPr>
        <w:tab/>
      </w:r>
      <w:r w:rsidR="005C42FE" w:rsidRPr="005C42FE">
        <w:rPr>
          <w:i/>
          <w:lang w:val="es-ES"/>
        </w:rPr>
        <w:t>Toma nota</w:t>
      </w:r>
      <w:r w:rsidR="005C42FE" w:rsidRPr="005C42FE">
        <w:rPr>
          <w:lang w:val="es-ES"/>
        </w:rPr>
        <w:t xml:space="preserve"> </w:t>
      </w:r>
      <w:r w:rsidR="005C42FE" w:rsidRPr="005C42FE">
        <w:rPr>
          <w:snapToGrid w:val="0"/>
          <w:lang w:val="es-ES"/>
        </w:rPr>
        <w:t>del resumen del informe sobre la revisión funcional externa detallada de la Secretaría del Convenio sobre la Diversidad Biológica</w:t>
      </w:r>
      <w:r w:rsidR="00895395">
        <w:rPr>
          <w:rStyle w:val="Refdenotaalpie"/>
          <w:snapToGrid w:val="0"/>
        </w:rPr>
        <w:footnoteReference w:id="7"/>
      </w:r>
      <w:r w:rsidR="005C42FE" w:rsidRPr="005C42FE">
        <w:rPr>
          <w:snapToGrid w:val="0"/>
          <w:lang w:val="es-ES"/>
        </w:rPr>
        <w:t>, que figura en el anexo I del documento</w:t>
      </w:r>
      <w:r w:rsidR="0085798D" w:rsidRPr="005C42FE">
        <w:rPr>
          <w:snapToGrid w:val="0"/>
          <w:lang w:val="es-ES"/>
        </w:rPr>
        <w:t xml:space="preserve"> CBD/SBI</w:t>
      </w:r>
      <w:r w:rsidR="008916D3" w:rsidRPr="005C42FE">
        <w:rPr>
          <w:snapToGrid w:val="0"/>
          <w:lang w:val="es-ES"/>
        </w:rPr>
        <w:t>/6/10</w:t>
      </w:r>
      <w:r w:rsidR="00081CE4" w:rsidRPr="005C42FE">
        <w:rPr>
          <w:snapToGrid w:val="0"/>
          <w:lang w:val="es-ES"/>
        </w:rPr>
        <w:t>;</w:t>
      </w:r>
    </w:p>
    <w:p w:rsidR="003C0D85" w:rsidRPr="005C42FE" w:rsidRDefault="005706E0" w:rsidP="00DA0C94">
      <w:pPr>
        <w:pStyle w:val="CBDDesicionText"/>
        <w:rPr>
          <w:snapToGrid w:val="0"/>
          <w:kern w:val="22"/>
          <w:lang w:val="es-ES"/>
        </w:rPr>
      </w:pPr>
      <w:r w:rsidRPr="005C42FE">
        <w:rPr>
          <w:iCs/>
          <w:lang w:val="es-ES"/>
        </w:rPr>
        <w:t>2.</w:t>
      </w:r>
      <w:r w:rsidR="00214FBE" w:rsidRPr="005C42FE">
        <w:rPr>
          <w:iCs/>
          <w:lang w:val="es-ES"/>
        </w:rPr>
        <w:tab/>
      </w:r>
      <w:r w:rsidR="005C42FE" w:rsidRPr="005C42FE">
        <w:rPr>
          <w:i/>
          <w:iCs/>
          <w:lang w:val="es-ES"/>
        </w:rPr>
        <w:t>Toma nota</w:t>
      </w:r>
      <w:r w:rsidR="005C42FE" w:rsidRPr="005C42FE">
        <w:rPr>
          <w:iCs/>
          <w:lang w:val="es-ES"/>
        </w:rPr>
        <w:t xml:space="preserve"> del resultado de la revisión funcional y acoge con satisfacción la estructura actualizada de la Secretaría, que debería </w:t>
      </w:r>
      <w:r w:rsidR="005C42FE">
        <w:rPr>
          <w:iCs/>
          <w:lang w:val="es-ES"/>
        </w:rPr>
        <w:t xml:space="preserve">dar lugar a </w:t>
      </w:r>
      <w:r w:rsidR="005C42FE" w:rsidRPr="005C42FE">
        <w:rPr>
          <w:iCs/>
          <w:lang w:val="es-ES"/>
        </w:rPr>
        <w:t>una mayor sinergia y efi</w:t>
      </w:r>
      <w:r w:rsidR="005C42FE">
        <w:rPr>
          <w:iCs/>
          <w:lang w:val="es-ES"/>
        </w:rPr>
        <w:t>ciencia dentro de la Secretaría</w:t>
      </w:r>
      <w:r w:rsidR="002C5578" w:rsidRPr="005C42FE">
        <w:rPr>
          <w:lang w:val="es-ES"/>
        </w:rPr>
        <w:t>;</w:t>
      </w:r>
    </w:p>
    <w:p w:rsidR="009210D8" w:rsidRPr="002F5D83" w:rsidRDefault="00DC56EF">
      <w:pPr>
        <w:pStyle w:val="CBDDesicionText"/>
        <w:rPr>
          <w:lang w:val="es-ES"/>
        </w:rPr>
      </w:pPr>
      <w:r w:rsidRPr="002F5D83">
        <w:rPr>
          <w:snapToGrid w:val="0"/>
          <w:lang w:val="es-ES"/>
        </w:rPr>
        <w:t>3.</w:t>
      </w:r>
      <w:r w:rsidRPr="002F5D83">
        <w:rPr>
          <w:snapToGrid w:val="0"/>
          <w:lang w:val="es-ES"/>
        </w:rPr>
        <w:tab/>
      </w:r>
      <w:r w:rsidR="002F5D83" w:rsidRPr="002F5D83">
        <w:rPr>
          <w:i/>
          <w:snapToGrid w:val="0"/>
          <w:lang w:val="es-ES"/>
        </w:rPr>
        <w:t>Toma nota con reconocimiento</w:t>
      </w:r>
      <w:r w:rsidR="002F5D83" w:rsidRPr="002F5D83">
        <w:rPr>
          <w:snapToGrid w:val="0"/>
          <w:lang w:val="es-ES"/>
        </w:rPr>
        <w:t xml:space="preserve"> de las medidas de seguimiento adoptadas por </w:t>
      </w:r>
      <w:r w:rsidR="002F5D83">
        <w:rPr>
          <w:snapToGrid w:val="0"/>
          <w:lang w:val="es-ES"/>
        </w:rPr>
        <w:t>la</w:t>
      </w:r>
      <w:r w:rsidR="002F5D83" w:rsidRPr="002F5D83">
        <w:rPr>
          <w:snapToGrid w:val="0"/>
          <w:lang w:val="es-ES"/>
        </w:rPr>
        <w:t xml:space="preserve"> Secretari</w:t>
      </w:r>
      <w:r w:rsidR="002F5D83">
        <w:rPr>
          <w:snapToGrid w:val="0"/>
          <w:lang w:val="es-ES"/>
        </w:rPr>
        <w:t>a</w:t>
      </w:r>
      <w:r w:rsidR="002F5D83" w:rsidRPr="002F5D83">
        <w:rPr>
          <w:snapToGrid w:val="0"/>
          <w:lang w:val="es-ES"/>
        </w:rPr>
        <w:t xml:space="preserve"> Ejecutiv</w:t>
      </w:r>
      <w:r w:rsidR="002F5D83">
        <w:rPr>
          <w:snapToGrid w:val="0"/>
          <w:lang w:val="es-ES"/>
        </w:rPr>
        <w:t>a</w:t>
      </w:r>
      <w:r w:rsidR="000405C5">
        <w:rPr>
          <w:rStyle w:val="Refdenotaalpie"/>
        </w:rPr>
        <w:footnoteReference w:id="8"/>
      </w:r>
      <w:r w:rsidR="002F5D83">
        <w:rPr>
          <w:snapToGrid w:val="0"/>
          <w:lang w:val="es-ES"/>
        </w:rPr>
        <w:t>, a saber</w:t>
      </w:r>
      <w:r w:rsidR="009210D8" w:rsidRPr="002F5D83">
        <w:rPr>
          <w:lang w:val="es-ES"/>
        </w:rPr>
        <w:t>:</w:t>
      </w:r>
    </w:p>
    <w:p w:rsidR="009210D8" w:rsidRPr="002F5D83" w:rsidRDefault="005C42FE">
      <w:pPr>
        <w:pStyle w:val="CBDDesicionText"/>
        <w:rPr>
          <w:lang w:val="es-ES"/>
        </w:rPr>
      </w:pPr>
      <w:r w:rsidRPr="002F5D83">
        <w:rPr>
          <w:snapToGrid w:val="0"/>
          <w:lang w:val="es-ES"/>
        </w:rPr>
        <w:t xml:space="preserve"> </w:t>
      </w:r>
      <w:r w:rsidR="002F744E" w:rsidRPr="002F5D83">
        <w:rPr>
          <w:snapToGrid w:val="0"/>
          <w:lang w:val="es-ES"/>
        </w:rPr>
        <w:t>a</w:t>
      </w:r>
      <w:r w:rsidR="00823919" w:rsidRPr="002F5D83">
        <w:rPr>
          <w:snapToGrid w:val="0"/>
          <w:lang w:val="es-ES"/>
        </w:rPr>
        <w:t>)</w:t>
      </w:r>
      <w:r w:rsidR="009210D8" w:rsidRPr="002F5D83">
        <w:rPr>
          <w:snapToGrid w:val="0"/>
          <w:lang w:val="es-ES"/>
        </w:rPr>
        <w:tab/>
      </w:r>
      <w:r w:rsidR="002F5D83" w:rsidRPr="002F5D83">
        <w:rPr>
          <w:lang w:val="es-ES"/>
        </w:rPr>
        <w:t>El inicio de la aplicación de las medidas a corto y medio plazo propuestas en las recomendaciones de la revisión funcional, incluida una estructura organizativa actualizada</w:t>
      </w:r>
      <w:r w:rsidR="00823919" w:rsidRPr="002F5D83">
        <w:rPr>
          <w:lang w:val="es-ES"/>
        </w:rPr>
        <w:t>;</w:t>
      </w:r>
    </w:p>
    <w:p w:rsidR="009210D8" w:rsidRPr="002F5D83" w:rsidRDefault="005C42FE">
      <w:pPr>
        <w:pStyle w:val="CBDDesicionText"/>
        <w:rPr>
          <w:snapToGrid w:val="0"/>
          <w:lang w:val="es-ES"/>
        </w:rPr>
      </w:pPr>
      <w:r w:rsidRPr="002F5D83">
        <w:rPr>
          <w:lang w:val="es-ES"/>
        </w:rPr>
        <w:t xml:space="preserve"> </w:t>
      </w:r>
      <w:r w:rsidR="002F744E" w:rsidRPr="002F5D83">
        <w:rPr>
          <w:lang w:val="es-ES"/>
        </w:rPr>
        <w:t>b</w:t>
      </w:r>
      <w:r w:rsidR="00823919" w:rsidRPr="002F5D83">
        <w:rPr>
          <w:lang w:val="es-ES"/>
        </w:rPr>
        <w:t>)</w:t>
      </w:r>
      <w:r w:rsidR="009210D8" w:rsidRPr="002F5D83">
        <w:rPr>
          <w:snapToGrid w:val="0"/>
          <w:lang w:val="es-ES"/>
        </w:rPr>
        <w:tab/>
      </w:r>
      <w:r w:rsidR="002F5D83" w:rsidRPr="002F5D83">
        <w:rPr>
          <w:lang w:val="es-ES"/>
        </w:rPr>
        <w:t>La actualización o elaboración de descripciones de puestos, incluida la clasificación, de los puestos existentes y adicionales, respectivamente, necesarios para llevar a cabo una armonización estructural y estratégica con las funciones básicas y las prioridades estratégicas de la Secretaría</w:t>
      </w:r>
      <w:r w:rsidR="00C63428" w:rsidRPr="002F5D83">
        <w:rPr>
          <w:snapToGrid w:val="0"/>
          <w:lang w:val="es-ES"/>
        </w:rPr>
        <w:t xml:space="preserve">; </w:t>
      </w:r>
    </w:p>
    <w:p w:rsidR="00E42E94" w:rsidRPr="002F5D83" w:rsidRDefault="005C42FE" w:rsidP="00DA0C94">
      <w:pPr>
        <w:pStyle w:val="CBDDesicionText"/>
        <w:rPr>
          <w:lang w:val="es-ES"/>
        </w:rPr>
      </w:pPr>
      <w:r w:rsidRPr="002F5D83">
        <w:rPr>
          <w:snapToGrid w:val="0"/>
          <w:lang w:val="es-ES"/>
        </w:rPr>
        <w:t xml:space="preserve"> </w:t>
      </w:r>
      <w:r w:rsidR="002F744E" w:rsidRPr="002F5D83">
        <w:rPr>
          <w:snapToGrid w:val="0"/>
          <w:lang w:val="es-ES"/>
        </w:rPr>
        <w:t>c</w:t>
      </w:r>
      <w:r w:rsidR="00C63428" w:rsidRPr="002F5D83">
        <w:rPr>
          <w:snapToGrid w:val="0"/>
          <w:lang w:val="es-ES"/>
        </w:rPr>
        <w:t>)</w:t>
      </w:r>
      <w:r w:rsidR="009210D8" w:rsidRPr="002F5D83">
        <w:rPr>
          <w:snapToGrid w:val="0"/>
          <w:lang w:val="es-ES"/>
        </w:rPr>
        <w:tab/>
      </w:r>
      <w:r w:rsidR="002F5D83" w:rsidRPr="002F5D83">
        <w:rPr>
          <w:lang w:val="es-ES"/>
        </w:rPr>
        <w:t>El análisis de las consecuencias conexas en materia de dotación de personal y costos de la armonización estructural y estratégica a largo plazo</w:t>
      </w:r>
      <w:r w:rsidR="002F744E" w:rsidRPr="002F5D83">
        <w:rPr>
          <w:lang w:val="es-ES"/>
        </w:rPr>
        <w:t>;</w:t>
      </w:r>
    </w:p>
    <w:p w:rsidR="009D1B8D" w:rsidRPr="002F5D83" w:rsidRDefault="00DC56EF" w:rsidP="00531E5C">
      <w:pPr>
        <w:pStyle w:val="CBDDesicionText"/>
        <w:rPr>
          <w:lang w:val="es-ES"/>
        </w:rPr>
      </w:pPr>
      <w:r w:rsidRPr="002F5D83">
        <w:rPr>
          <w:lang w:val="es-ES"/>
        </w:rPr>
        <w:t>4.</w:t>
      </w:r>
      <w:r w:rsidRPr="002F5D83">
        <w:rPr>
          <w:lang w:val="es-ES"/>
        </w:rPr>
        <w:tab/>
      </w:r>
      <w:r w:rsidR="002F5D83" w:rsidRPr="002F5D83">
        <w:rPr>
          <w:i/>
          <w:iCs/>
          <w:lang w:val="es-ES"/>
        </w:rPr>
        <w:t>Pide</w:t>
      </w:r>
      <w:r w:rsidR="00224652" w:rsidRPr="002F5D83">
        <w:rPr>
          <w:i/>
          <w:iCs/>
          <w:lang w:val="es-ES"/>
        </w:rPr>
        <w:t xml:space="preserve"> </w:t>
      </w:r>
      <w:r w:rsidR="002F5D83" w:rsidRPr="002F5D83">
        <w:rPr>
          <w:lang w:val="es-ES"/>
        </w:rPr>
        <w:t xml:space="preserve">a la </w:t>
      </w:r>
      <w:r w:rsidR="002F5D83" w:rsidRPr="000549CA">
        <w:rPr>
          <w:lang w:val="es-ES"/>
        </w:rPr>
        <w:t>Secretaria Ejecutiva que, con sujeción a la disponibilidad de recursos</w:t>
      </w:r>
      <w:r w:rsidR="009D1B8D" w:rsidRPr="002F5D83">
        <w:rPr>
          <w:lang w:val="es-ES"/>
        </w:rPr>
        <w:t>:</w:t>
      </w:r>
    </w:p>
    <w:p w:rsidR="00E95425" w:rsidRPr="002F5D83" w:rsidRDefault="005C42FE" w:rsidP="00531E5C">
      <w:pPr>
        <w:pStyle w:val="CBDDesicionText"/>
        <w:tabs>
          <w:tab w:val="clear" w:pos="1134"/>
        </w:tabs>
        <w:rPr>
          <w:lang w:val="es-ES"/>
        </w:rPr>
      </w:pPr>
      <w:r w:rsidRPr="002F5D83">
        <w:rPr>
          <w:lang w:val="es-ES"/>
        </w:rPr>
        <w:t xml:space="preserve"> </w:t>
      </w:r>
      <w:r w:rsidR="00DC56EF" w:rsidRPr="002F5D83">
        <w:rPr>
          <w:lang w:val="es-ES"/>
        </w:rPr>
        <w:t>a</w:t>
      </w:r>
      <w:r w:rsidR="002F744E" w:rsidRPr="002F5D83">
        <w:rPr>
          <w:lang w:val="es-ES"/>
        </w:rPr>
        <w:t>)</w:t>
      </w:r>
      <w:r w:rsidR="00DC56EF" w:rsidRPr="002F5D83">
        <w:rPr>
          <w:lang w:val="es-ES"/>
        </w:rPr>
        <w:tab/>
      </w:r>
      <w:r w:rsidR="002F5D83" w:rsidRPr="002F5D83">
        <w:rPr>
          <w:lang w:val="es-ES"/>
        </w:rPr>
        <w:t xml:space="preserve">Siga aplicando las medidas restantes a corto y medio plazo, así como las medidas a largo plazo, recomendadas en </w:t>
      </w:r>
      <w:r w:rsidR="002F5D83">
        <w:rPr>
          <w:lang w:val="es-ES"/>
        </w:rPr>
        <w:t>la revisión</w:t>
      </w:r>
      <w:r w:rsidR="002F5D83" w:rsidRPr="002F5D83">
        <w:rPr>
          <w:lang w:val="es-ES"/>
        </w:rPr>
        <w:t xml:space="preserve"> funcional, de conformidad con las necesidades de personal aprobadas de la Secretaría con cargo a los presupuestos básicos del Convenio y sus Protocolos para el período 2027-2028</w:t>
      </w:r>
      <w:r w:rsidR="009D1B8D" w:rsidRPr="002F5D83">
        <w:rPr>
          <w:lang w:val="es-ES"/>
        </w:rPr>
        <w:t>;</w:t>
      </w:r>
    </w:p>
    <w:p w:rsidR="00B77FA9" w:rsidRPr="002F5D83" w:rsidRDefault="005C42FE" w:rsidP="00531E5C">
      <w:pPr>
        <w:pStyle w:val="CBDDesicionText"/>
        <w:tabs>
          <w:tab w:val="clear" w:pos="1134"/>
        </w:tabs>
        <w:rPr>
          <w:lang w:val="es-ES"/>
        </w:rPr>
      </w:pPr>
      <w:r w:rsidRPr="002F5D83">
        <w:rPr>
          <w:lang w:val="es-ES"/>
        </w:rPr>
        <w:t xml:space="preserve"> </w:t>
      </w:r>
      <w:r w:rsidR="00DC56EF" w:rsidRPr="002F5D83">
        <w:rPr>
          <w:lang w:val="es-ES"/>
        </w:rPr>
        <w:t>b</w:t>
      </w:r>
      <w:r w:rsidR="002F744E" w:rsidRPr="002F5D83">
        <w:rPr>
          <w:lang w:val="es-ES"/>
        </w:rPr>
        <w:t>)</w:t>
      </w:r>
      <w:r w:rsidR="00DC56EF" w:rsidRPr="002F5D83">
        <w:rPr>
          <w:lang w:val="es-ES"/>
        </w:rPr>
        <w:tab/>
      </w:r>
      <w:r w:rsidR="002F5D83" w:rsidRPr="002F5D83">
        <w:rPr>
          <w:lang w:val="es-ES"/>
        </w:rPr>
        <w:t xml:space="preserve">Garantice que las funciones principales de la Secretaría, establecidas en el artículo 24 del Convenio, el artículo 31 del Protocolo de Cartagena sobre Seguridad de la </w:t>
      </w:r>
      <w:r w:rsidR="002F5D83" w:rsidRPr="002F5D83">
        <w:rPr>
          <w:lang w:val="es-ES"/>
        </w:rPr>
        <w:lastRenderedPageBreak/>
        <w:t>Biotecnología</w:t>
      </w:r>
      <w:r w:rsidR="00A5770F">
        <w:rPr>
          <w:rStyle w:val="Refdenotaalpie"/>
        </w:rPr>
        <w:footnoteReference w:id="9"/>
      </w:r>
      <w:r w:rsidRPr="002F5D83">
        <w:rPr>
          <w:lang w:val="es-ES"/>
        </w:rPr>
        <w:t xml:space="preserve"> </w:t>
      </w:r>
      <w:r w:rsidR="002F5D83" w:rsidRPr="002F5D83">
        <w:rPr>
          <w:lang w:val="es-ES"/>
        </w:rPr>
        <w:t>y el artículo 28 del Protocolo de Nagoya sobre el acceso a los recursos genéticos y participación justa y equitativa en los beneficios derivados de su utilización</w:t>
      </w:r>
      <w:r w:rsidR="000960AA">
        <w:rPr>
          <w:rStyle w:val="Refdenotaalpie"/>
        </w:rPr>
        <w:footnoteReference w:id="10"/>
      </w:r>
      <w:r w:rsidR="002F5D83">
        <w:rPr>
          <w:lang w:val="es-ES"/>
        </w:rPr>
        <w:t xml:space="preserve">, </w:t>
      </w:r>
      <w:r w:rsidR="002F5D83" w:rsidRPr="002F5D83">
        <w:rPr>
          <w:lang w:val="es-ES"/>
        </w:rPr>
        <w:t>sigan siendo el núcleo de las actividades de la Secretaría a la hora de aplicar las recomendaciones de la revisión funcional</w:t>
      </w:r>
      <w:r w:rsidR="00077F9E" w:rsidRPr="002F5D83">
        <w:rPr>
          <w:lang w:val="es-ES"/>
        </w:rPr>
        <w:t>;</w:t>
      </w:r>
    </w:p>
    <w:p w:rsidR="00273EBF" w:rsidRPr="00E804FE" w:rsidRDefault="005C42FE" w:rsidP="00531E5C">
      <w:pPr>
        <w:pStyle w:val="CBDDesicionText"/>
        <w:tabs>
          <w:tab w:val="clear" w:pos="1134"/>
        </w:tabs>
        <w:rPr>
          <w:snapToGrid w:val="0"/>
          <w:lang w:val="es-ES"/>
        </w:rPr>
      </w:pPr>
      <w:r w:rsidRPr="002F5D83">
        <w:rPr>
          <w:lang w:val="es-ES"/>
        </w:rPr>
        <w:t xml:space="preserve"> </w:t>
      </w:r>
      <w:r w:rsidR="00DC56EF" w:rsidRPr="002F5D83">
        <w:rPr>
          <w:lang w:val="es-ES"/>
        </w:rPr>
        <w:t>c</w:t>
      </w:r>
      <w:r w:rsidR="002F744E" w:rsidRPr="002F5D83">
        <w:rPr>
          <w:lang w:val="es-ES"/>
        </w:rPr>
        <w:t>)</w:t>
      </w:r>
      <w:r w:rsidR="00DC56EF" w:rsidRPr="002F5D83">
        <w:rPr>
          <w:lang w:val="es-ES"/>
        </w:rPr>
        <w:tab/>
      </w:r>
      <w:r w:rsidR="002F5D83" w:rsidRPr="00E804FE">
        <w:rPr>
          <w:snapToGrid w:val="0"/>
          <w:kern w:val="22"/>
          <w:lang w:val="es-ES"/>
        </w:rPr>
        <w:t xml:space="preserve">Mantenga informada a la Mesa de la Conferencia de las Partes sobre los </w:t>
      </w:r>
      <w:r w:rsidR="00E804FE" w:rsidRPr="00E804FE">
        <w:rPr>
          <w:snapToGrid w:val="0"/>
          <w:kern w:val="22"/>
          <w:lang w:val="es-ES"/>
        </w:rPr>
        <w:t xml:space="preserve">progresos realizados </w:t>
      </w:r>
      <w:r w:rsidR="002F5D83" w:rsidRPr="00E804FE">
        <w:rPr>
          <w:snapToGrid w:val="0"/>
          <w:kern w:val="22"/>
          <w:lang w:val="es-ES"/>
        </w:rPr>
        <w:t>en la aplicación de las med</w:t>
      </w:r>
      <w:r w:rsidR="00E804FE" w:rsidRPr="00E804FE">
        <w:rPr>
          <w:snapToGrid w:val="0"/>
          <w:kern w:val="22"/>
          <w:lang w:val="es-ES"/>
        </w:rPr>
        <w:t>idas restantes recomendadas en la revisión</w:t>
      </w:r>
      <w:r w:rsidR="002F5D83" w:rsidRPr="00E804FE">
        <w:rPr>
          <w:snapToGrid w:val="0"/>
          <w:kern w:val="22"/>
          <w:lang w:val="es-ES"/>
        </w:rPr>
        <w:t xml:space="preserve"> funcional</w:t>
      </w:r>
      <w:r w:rsidR="00262521" w:rsidRPr="00E804FE">
        <w:rPr>
          <w:snapToGrid w:val="0"/>
          <w:kern w:val="22"/>
          <w:lang w:val="es-ES"/>
        </w:rPr>
        <w:t>.</w:t>
      </w:r>
    </w:p>
    <w:p w:rsidR="00F24EBD" w:rsidRPr="00566186" w:rsidRDefault="00566186" w:rsidP="00531E5C">
      <w:pPr>
        <w:pStyle w:val="CBDNormalNumber"/>
        <w:rPr>
          <w:snapToGrid w:val="0"/>
          <w:lang w:val="es-ES"/>
        </w:rPr>
      </w:pPr>
      <w:r w:rsidRPr="00566186">
        <w:rPr>
          <w:snapToGrid w:val="0"/>
          <w:lang w:val="es-ES"/>
        </w:rPr>
        <w:t xml:space="preserve">El Órgano Subsidiario </w:t>
      </w:r>
      <w:r>
        <w:rPr>
          <w:snapToGrid w:val="0"/>
          <w:lang w:val="es-ES"/>
        </w:rPr>
        <w:t xml:space="preserve">sobre la Aplicación también </w:t>
      </w:r>
      <w:r w:rsidRPr="00566186">
        <w:rPr>
          <w:snapToGrid w:val="0"/>
          <w:lang w:val="es-ES"/>
        </w:rPr>
        <w:t xml:space="preserve">podría estimar oportuno recomendar que la Conferencia de las Partes que actúa como reunión de las Partes en el Protocolo de Cartagena, en su </w:t>
      </w:r>
      <w:r>
        <w:rPr>
          <w:snapToGrid w:val="0"/>
          <w:lang w:val="es-ES"/>
        </w:rPr>
        <w:t>12ª</w:t>
      </w:r>
      <w:r w:rsidRPr="00566186">
        <w:rPr>
          <w:snapToGrid w:val="0"/>
          <w:lang w:val="es-ES"/>
        </w:rPr>
        <w:t xml:space="preserve"> reunión, y la Conferencia de las Partes que actúa como reunión de las Partes en el Protocolo de Nagoya, en su sexta reunión, tomen nota de la decisión sobre el presente asunto adoptada por la Conferenc</w:t>
      </w:r>
      <w:r>
        <w:rPr>
          <w:snapToGrid w:val="0"/>
          <w:lang w:val="es-ES"/>
        </w:rPr>
        <w:t>ia de las Partes en el Convenio</w:t>
      </w:r>
      <w:r w:rsidR="002C5578" w:rsidRPr="00566186">
        <w:rPr>
          <w:snapToGrid w:val="0"/>
          <w:lang w:val="es-ES"/>
        </w:rPr>
        <w:t>.</w:t>
      </w:r>
    </w:p>
    <w:p w:rsidR="003D15AA" w:rsidRPr="00566186" w:rsidRDefault="003D15AA">
      <w:pPr>
        <w:tabs>
          <w:tab w:val="clear" w:pos="567"/>
          <w:tab w:val="clear" w:pos="1134"/>
          <w:tab w:val="clear" w:pos="1701"/>
          <w:tab w:val="clear" w:pos="2268"/>
        </w:tabs>
        <w:jc w:val="left"/>
        <w:rPr>
          <w:lang w:val="es-ES"/>
        </w:rPr>
      </w:pPr>
      <w:r w:rsidRPr="00566186">
        <w:rPr>
          <w:lang w:val="es-ES"/>
        </w:rPr>
        <w:br w:type="page"/>
      </w:r>
    </w:p>
    <w:p w:rsidR="003410F9" w:rsidRPr="000549CA" w:rsidRDefault="003410F9" w:rsidP="00DA0C94">
      <w:pPr>
        <w:pStyle w:val="CBDAnnex"/>
        <w:rPr>
          <w:lang w:val="es-ES"/>
        </w:rPr>
      </w:pPr>
      <w:r w:rsidRPr="000549CA">
        <w:rPr>
          <w:lang w:val="es-ES"/>
        </w:rPr>
        <w:lastRenderedPageBreak/>
        <w:t>A</w:t>
      </w:r>
      <w:r w:rsidR="00566186" w:rsidRPr="000549CA">
        <w:rPr>
          <w:lang w:val="es-ES"/>
        </w:rPr>
        <w:t xml:space="preserve">nexo </w:t>
      </w:r>
      <w:r w:rsidR="008619CF" w:rsidRPr="000549CA">
        <w:rPr>
          <w:lang w:val="es-ES"/>
        </w:rPr>
        <w:t>I</w:t>
      </w:r>
    </w:p>
    <w:p w:rsidR="001C6D3B" w:rsidRPr="00566186" w:rsidRDefault="00566186" w:rsidP="00DA0C94">
      <w:pPr>
        <w:pStyle w:val="CBDTitle"/>
        <w:rPr>
          <w:lang w:val="es-ES"/>
        </w:rPr>
      </w:pPr>
      <w:r w:rsidRPr="00566186">
        <w:rPr>
          <w:lang w:val="es-ES"/>
        </w:rPr>
        <w:t>Resumen del informe sobre la revisión funcional externa detallada de la Secretaría del Convenio sobre la Diversidad Biológica</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0549CA">
        <w:rPr>
          <w:color w:val="000000" w:themeColor="text1"/>
          <w:lang w:val="es-ES"/>
        </w:rPr>
        <w:t xml:space="preserve">En el presente informe se presenta la revisión funcional externa de la Secretaría del Convenio sobre la Diversidad Biológica (SCDB), realizada por el Equipo de consultoría en cuestiones de gestión del PNUD en respuesta a las decisiones 15/34 y 16/28 de la COP. </w:t>
      </w:r>
      <w:r w:rsidRPr="00566186">
        <w:rPr>
          <w:color w:val="000000" w:themeColor="text1"/>
          <w:lang w:val="es-ES"/>
        </w:rPr>
        <w:t>En la revisión se evaluó si la estructura, las funciones y los recursos de la Secretaría son adecuados para apoyar el Marco Mundial de Biodiversidad de Kunming-Montreal y prestar servicios al Convenio y sus Protocolos de manera eficaz.</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0549CA">
        <w:rPr>
          <w:color w:val="000000" w:themeColor="text1"/>
          <w:lang w:val="es-ES"/>
        </w:rPr>
        <w:t xml:space="preserve">La revisión, que se llevó a cabo durante seis meses, combinó análisis cuantitativos y cualitativos de la estructura, la dotación de personal, los presupuestos y los procesos operativos, con una evaluación comparativa con otras secretarías de AMUMA y una amplia participación a través de encuestas, grupos de discusión, talleres y consultas con el personal directivo y la Mesa de la COP. </w:t>
      </w:r>
      <w:r w:rsidRPr="00566186">
        <w:rPr>
          <w:color w:val="000000" w:themeColor="text1"/>
          <w:lang w:val="es-ES"/>
        </w:rPr>
        <w:t>El proceso se guió por dos líneas de trabajo: la dirección estratégica (aclaración del mandato y las prioridades) y el diseño del modelo operativo (evaluación de la estructura y la eficiencia)</w:t>
      </w:r>
      <w:r w:rsidR="001C6D3B" w:rsidRPr="00566186">
        <w:rPr>
          <w:color w:val="000000" w:themeColor="text1"/>
          <w:lang w:val="es-ES"/>
        </w:rPr>
        <w:t>.</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915F0E">
        <w:rPr>
          <w:color w:val="000000" w:themeColor="text1"/>
          <w:lang w:val="es-ES"/>
        </w:rPr>
        <w:t xml:space="preserve">La </w:t>
      </w:r>
      <w:r w:rsidRPr="00D871BB">
        <w:rPr>
          <w:color w:val="000000" w:themeColor="text1"/>
          <w:lang w:val="es-ES"/>
        </w:rPr>
        <w:t>revisión confirmó la solidez de la ejecución, la profunda experiencia técnica y el alto nivel de compromiso del personal. También identificó varias oportunidades para fortalecer la capacidad de la Secretaría para apoyar el Marco Mundial de Biodiversidad de Kunming-Montreal y prestar servicios al Convenio y sus Protocolos de manera eficaz. Mejorar la vinculación entre la planificación y los recursos, la plena aplicación y puesta en práctica del marco de presupuestación basada en los resultados y la mejora de la coordinación entre las dependencias contribuiría a una mayor coherencia y eficiencia de las operaciones. La optimización de la distribución de la carga de trabajo y el fortalecimiento de la delegación de autoridad contribuirían aún más a la toma de decisiones oportuna y reducirían la presión sobre las dependencias. Dado que los niveles de dotación de personal se han estancado a pesar de la ampliación del mandato, será importante abordar las necesidades de capacidad para aliviar las presiones operativas y permitir una prestación sostenible</w:t>
      </w:r>
      <w:r w:rsidR="001C6D3B" w:rsidRPr="00566186">
        <w:rPr>
          <w:color w:val="000000" w:themeColor="text1"/>
          <w:lang w:val="es-ES"/>
        </w:rPr>
        <w:t>.</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D871BB">
        <w:rPr>
          <w:color w:val="000000" w:themeColor="text1"/>
          <w:lang w:val="es-ES"/>
        </w:rPr>
        <w:t xml:space="preserve">Para abordar estas oportunidades y cuestiones, </w:t>
      </w:r>
      <w:r>
        <w:rPr>
          <w:color w:val="000000" w:themeColor="text1"/>
          <w:lang w:val="es-ES"/>
        </w:rPr>
        <w:t xml:space="preserve">en </w:t>
      </w:r>
      <w:r w:rsidRPr="00D871BB">
        <w:rPr>
          <w:color w:val="000000" w:themeColor="text1"/>
          <w:lang w:val="es-ES"/>
        </w:rPr>
        <w:t xml:space="preserve">la revisión </w:t>
      </w:r>
      <w:r>
        <w:rPr>
          <w:color w:val="000000" w:themeColor="text1"/>
          <w:lang w:val="es-ES"/>
        </w:rPr>
        <w:t xml:space="preserve">se </w:t>
      </w:r>
      <w:r w:rsidRPr="00D871BB">
        <w:rPr>
          <w:color w:val="000000" w:themeColor="text1"/>
          <w:lang w:val="es-ES"/>
        </w:rPr>
        <w:t>propone un modelo operativo en el que las funciones se consolidan en tres divisiones que dependen de la Oficina de</w:t>
      </w:r>
      <w:r>
        <w:rPr>
          <w:color w:val="000000" w:themeColor="text1"/>
          <w:lang w:val="es-ES"/>
        </w:rPr>
        <w:t xml:space="preserve"> la</w:t>
      </w:r>
      <w:r w:rsidRPr="00D871BB">
        <w:rPr>
          <w:color w:val="000000" w:themeColor="text1"/>
          <w:lang w:val="es-ES"/>
        </w:rPr>
        <w:t xml:space="preserve"> Secretari</w:t>
      </w:r>
      <w:r>
        <w:rPr>
          <w:color w:val="000000" w:themeColor="text1"/>
          <w:lang w:val="es-ES"/>
        </w:rPr>
        <w:t>a Ejecutiva</w:t>
      </w:r>
      <w:r w:rsidRPr="00D871BB">
        <w:rPr>
          <w:color w:val="000000" w:themeColor="text1"/>
          <w:lang w:val="es-ES"/>
        </w:rPr>
        <w:t>, a saber, la División de Políticas, Capacidades y Seguimiento, la División de Alianzas Estratégicas, Financiación y Economía, y la División de Protocolos. E</w:t>
      </w:r>
      <w:r>
        <w:rPr>
          <w:color w:val="000000" w:themeColor="text1"/>
          <w:lang w:val="es-ES"/>
        </w:rPr>
        <w:t xml:space="preserve">n la revisión </w:t>
      </w:r>
      <w:r w:rsidRPr="00D871BB">
        <w:rPr>
          <w:color w:val="000000" w:themeColor="text1"/>
          <w:lang w:val="es-ES"/>
        </w:rPr>
        <w:t xml:space="preserve">también </w:t>
      </w:r>
      <w:r>
        <w:rPr>
          <w:color w:val="000000" w:themeColor="text1"/>
          <w:lang w:val="es-ES"/>
        </w:rPr>
        <w:t xml:space="preserve">se </w:t>
      </w:r>
      <w:r w:rsidRPr="00D871BB">
        <w:rPr>
          <w:color w:val="000000" w:themeColor="text1"/>
          <w:lang w:val="es-ES"/>
        </w:rPr>
        <w:t xml:space="preserve">propone el establecimiento de tres </w:t>
      </w:r>
      <w:r>
        <w:rPr>
          <w:color w:val="000000" w:themeColor="text1"/>
          <w:lang w:val="es-ES"/>
        </w:rPr>
        <w:t>dependencias</w:t>
      </w:r>
      <w:r w:rsidRPr="00D871BB">
        <w:rPr>
          <w:color w:val="000000" w:themeColor="text1"/>
          <w:lang w:val="es-ES"/>
        </w:rPr>
        <w:t xml:space="preserve">, concretamente el Grupo de Apoyo a las Reuniones Intergubernamentales, la Sección de Apoyo Administrativo y Operacional y la </w:t>
      </w:r>
      <w:r>
        <w:rPr>
          <w:color w:val="000000" w:themeColor="text1"/>
          <w:lang w:val="es-ES"/>
        </w:rPr>
        <w:t>Dependencia</w:t>
      </w:r>
      <w:r w:rsidRPr="00D871BB">
        <w:rPr>
          <w:color w:val="000000" w:themeColor="text1"/>
          <w:lang w:val="es-ES"/>
        </w:rPr>
        <w:t xml:space="preserve"> de Tecnología de la Información y Transformación Digital. Además, la Oficina de</w:t>
      </w:r>
      <w:r>
        <w:rPr>
          <w:color w:val="000000" w:themeColor="text1"/>
          <w:lang w:val="es-ES"/>
        </w:rPr>
        <w:t xml:space="preserve"> la</w:t>
      </w:r>
      <w:r w:rsidRPr="00D871BB">
        <w:rPr>
          <w:color w:val="000000" w:themeColor="text1"/>
          <w:lang w:val="es-ES"/>
        </w:rPr>
        <w:t xml:space="preserve"> Secretari</w:t>
      </w:r>
      <w:r>
        <w:rPr>
          <w:color w:val="000000" w:themeColor="text1"/>
          <w:lang w:val="es-ES"/>
        </w:rPr>
        <w:t>a</w:t>
      </w:r>
      <w:r w:rsidRPr="00D871BB">
        <w:rPr>
          <w:color w:val="000000" w:themeColor="text1"/>
          <w:lang w:val="es-ES"/>
        </w:rPr>
        <w:t xml:space="preserve"> Ejecutiv</w:t>
      </w:r>
      <w:r>
        <w:rPr>
          <w:color w:val="000000" w:themeColor="text1"/>
          <w:lang w:val="es-ES"/>
        </w:rPr>
        <w:t>a</w:t>
      </w:r>
      <w:r w:rsidRPr="00D871BB">
        <w:rPr>
          <w:color w:val="000000" w:themeColor="text1"/>
          <w:lang w:val="es-ES"/>
        </w:rPr>
        <w:t xml:space="preserve"> estará compuesta por las siguientes </w:t>
      </w:r>
      <w:r>
        <w:rPr>
          <w:color w:val="000000" w:themeColor="text1"/>
          <w:lang w:val="es-ES"/>
        </w:rPr>
        <w:t>dependencias</w:t>
      </w:r>
      <w:r w:rsidRPr="00D871BB">
        <w:rPr>
          <w:color w:val="000000" w:themeColor="text1"/>
          <w:lang w:val="es-ES"/>
        </w:rPr>
        <w:t xml:space="preserve">: la </w:t>
      </w:r>
      <w:r>
        <w:rPr>
          <w:color w:val="000000" w:themeColor="text1"/>
          <w:lang w:val="es-ES"/>
        </w:rPr>
        <w:t>Dependencia</w:t>
      </w:r>
      <w:r w:rsidRPr="00D871BB">
        <w:rPr>
          <w:color w:val="000000" w:themeColor="text1"/>
          <w:lang w:val="es-ES"/>
        </w:rPr>
        <w:t xml:space="preserve"> de Apoyo a la Secretaría, la </w:t>
      </w:r>
      <w:r>
        <w:rPr>
          <w:color w:val="000000" w:themeColor="text1"/>
          <w:lang w:val="es-ES"/>
        </w:rPr>
        <w:t>Dependencia</w:t>
      </w:r>
      <w:r w:rsidRPr="00D871BB">
        <w:rPr>
          <w:color w:val="000000" w:themeColor="text1"/>
          <w:lang w:val="es-ES"/>
        </w:rPr>
        <w:t xml:space="preserve"> de Documentación </w:t>
      </w:r>
      <w:r>
        <w:rPr>
          <w:color w:val="000000" w:themeColor="text1"/>
          <w:lang w:val="es-ES"/>
        </w:rPr>
        <w:t>e Idiomas,</w:t>
      </w:r>
      <w:r w:rsidRPr="00D871BB">
        <w:rPr>
          <w:color w:val="000000" w:themeColor="text1"/>
          <w:lang w:val="es-ES"/>
        </w:rPr>
        <w:t xml:space="preserve"> la </w:t>
      </w:r>
      <w:r>
        <w:rPr>
          <w:color w:val="000000" w:themeColor="text1"/>
          <w:lang w:val="es-ES"/>
        </w:rPr>
        <w:t xml:space="preserve">Dependencia </w:t>
      </w:r>
      <w:r w:rsidRPr="00D871BB">
        <w:rPr>
          <w:color w:val="000000" w:themeColor="text1"/>
          <w:lang w:val="es-ES"/>
        </w:rPr>
        <w:t xml:space="preserve">de Asuntos Jurídicos e Intergubernamentales y la </w:t>
      </w:r>
      <w:r>
        <w:rPr>
          <w:color w:val="000000" w:themeColor="text1"/>
          <w:lang w:val="es-ES"/>
        </w:rPr>
        <w:t>Dependencia de Gestión de Programas</w:t>
      </w:r>
      <w:r w:rsidR="001C6D3B" w:rsidRPr="00566186">
        <w:rPr>
          <w:color w:val="000000" w:themeColor="text1"/>
          <w:lang w:val="es-ES"/>
        </w:rPr>
        <w:t>.</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C63737">
        <w:rPr>
          <w:color w:val="000000" w:themeColor="text1"/>
          <w:lang w:val="es-ES"/>
        </w:rPr>
        <w:t>Las recomendaciones se presentan en siete áreas de oportunidad: 1) A</w:t>
      </w:r>
      <w:r>
        <w:rPr>
          <w:color w:val="000000" w:themeColor="text1"/>
          <w:lang w:val="es-ES"/>
        </w:rPr>
        <w:t>rmonización</w:t>
      </w:r>
      <w:r w:rsidRPr="00C63737">
        <w:rPr>
          <w:color w:val="000000" w:themeColor="text1"/>
          <w:lang w:val="es-ES"/>
        </w:rPr>
        <w:t xml:space="preserve"> estructural y estratégica, 2) Coherencia transversal, 3) Empoderamiento y rendición de cuentas, 4) Capacidad y dotación de recursos humanos, 5) Transformación de las formas de trabajo, 6) Gestión del rendimiento y los datos, y </w:t>
      </w:r>
      <w:r>
        <w:rPr>
          <w:color w:val="000000" w:themeColor="text1"/>
          <w:lang w:val="es-ES"/>
        </w:rPr>
        <w:t>7) Transformación digital</w:t>
      </w:r>
      <w:r w:rsidR="001C6D3B" w:rsidRPr="00566186">
        <w:rPr>
          <w:color w:val="000000" w:themeColor="text1"/>
          <w:lang w:val="es-ES"/>
        </w:rPr>
        <w:t>.</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E46940">
        <w:rPr>
          <w:color w:val="000000" w:themeColor="text1"/>
          <w:lang w:val="es-ES"/>
        </w:rPr>
        <w:t xml:space="preserve">Se recomienda que la implementación se realice por fases. Las </w:t>
      </w:r>
      <w:r>
        <w:rPr>
          <w:color w:val="000000" w:themeColor="text1"/>
          <w:lang w:val="es-ES"/>
        </w:rPr>
        <w:t>medidas</w:t>
      </w:r>
      <w:r w:rsidRPr="00E46940">
        <w:rPr>
          <w:color w:val="000000" w:themeColor="text1"/>
          <w:lang w:val="es-ES"/>
        </w:rPr>
        <w:t xml:space="preserve"> a corto plazo (0-3 meses) debe</w:t>
      </w:r>
      <w:r>
        <w:rPr>
          <w:color w:val="000000" w:themeColor="text1"/>
          <w:lang w:val="es-ES"/>
        </w:rPr>
        <w:t>ría</w:t>
      </w:r>
      <w:r w:rsidRPr="00E46940">
        <w:rPr>
          <w:color w:val="000000" w:themeColor="text1"/>
          <w:lang w:val="es-ES"/>
        </w:rPr>
        <w:t xml:space="preserve">n centrarse en </w:t>
      </w:r>
      <w:r>
        <w:rPr>
          <w:color w:val="000000" w:themeColor="text1"/>
          <w:lang w:val="es-ES"/>
        </w:rPr>
        <w:t>las etapas</w:t>
      </w:r>
      <w:r w:rsidRPr="00E46940">
        <w:rPr>
          <w:color w:val="000000" w:themeColor="text1"/>
          <w:lang w:val="es-ES"/>
        </w:rPr>
        <w:t xml:space="preserve"> preparatori</w:t>
      </w:r>
      <w:r>
        <w:rPr>
          <w:color w:val="000000" w:themeColor="text1"/>
          <w:lang w:val="es-ES"/>
        </w:rPr>
        <w:t>a</w:t>
      </w:r>
      <w:r w:rsidRPr="00E46940">
        <w:rPr>
          <w:color w:val="000000" w:themeColor="text1"/>
          <w:lang w:val="es-ES"/>
        </w:rPr>
        <w:t xml:space="preserve">s para implementar cambios estructurales, establecer la gobernanza, </w:t>
      </w:r>
      <w:r>
        <w:rPr>
          <w:color w:val="000000" w:themeColor="text1"/>
          <w:lang w:val="es-ES"/>
        </w:rPr>
        <w:t>determinar</w:t>
      </w:r>
      <w:r w:rsidRPr="00E46940">
        <w:rPr>
          <w:color w:val="000000" w:themeColor="text1"/>
          <w:lang w:val="es-ES"/>
        </w:rPr>
        <w:t xml:space="preserve"> y asegurar los recursos y capacidades necesarios para </w:t>
      </w:r>
      <w:r>
        <w:rPr>
          <w:color w:val="000000" w:themeColor="text1"/>
          <w:lang w:val="es-ES"/>
        </w:rPr>
        <w:t>aplicar</w:t>
      </w:r>
      <w:r w:rsidRPr="00E46940">
        <w:rPr>
          <w:color w:val="000000" w:themeColor="text1"/>
          <w:lang w:val="es-ES"/>
        </w:rPr>
        <w:t xml:space="preserve"> las recomendaciones, instituir la propiedad de los procesos empresariales e implementar la presupuestación basada en resultados. Las medidas a medio plazo (3-6 meses) </w:t>
      </w:r>
      <w:r>
        <w:rPr>
          <w:color w:val="000000" w:themeColor="text1"/>
          <w:lang w:val="es-ES"/>
        </w:rPr>
        <w:t xml:space="preserve">comprenden </w:t>
      </w:r>
      <w:r w:rsidRPr="00E46940">
        <w:rPr>
          <w:color w:val="000000" w:themeColor="text1"/>
          <w:lang w:val="es-ES"/>
        </w:rPr>
        <w:t>el inicio de la a</w:t>
      </w:r>
      <w:r>
        <w:rPr>
          <w:color w:val="000000" w:themeColor="text1"/>
          <w:lang w:val="es-ES"/>
        </w:rPr>
        <w:t>rmonización</w:t>
      </w:r>
      <w:r w:rsidRPr="00E46940">
        <w:rPr>
          <w:color w:val="000000" w:themeColor="text1"/>
          <w:lang w:val="es-ES"/>
        </w:rPr>
        <w:t xml:space="preserve"> estructural, pero también se centran en el fortalecimiento de la coordinación, la integración de la gestión basada en resultados y la mejora del desarrollo del personal. Las medidas a largo plazo (más de 6 meses) completarán la reestructuración, institucionalizarán la rendición de cuentas y modernizarán los procesos y sistem</w:t>
      </w:r>
      <w:r>
        <w:rPr>
          <w:color w:val="000000" w:themeColor="text1"/>
          <w:lang w:val="es-ES"/>
        </w:rPr>
        <w:t>as</w:t>
      </w:r>
      <w:r w:rsidR="001C6D3B" w:rsidRPr="00566186">
        <w:rPr>
          <w:color w:val="000000" w:themeColor="text1"/>
          <w:lang w:val="es-ES"/>
        </w:rPr>
        <w:t>.</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203112">
        <w:rPr>
          <w:color w:val="000000" w:themeColor="text1"/>
          <w:lang w:val="es-ES"/>
        </w:rPr>
        <w:lastRenderedPageBreak/>
        <w:t>Se recomienda que un mecanismo específico de gestión del cambio, dependiente de</w:t>
      </w:r>
      <w:r>
        <w:rPr>
          <w:color w:val="000000" w:themeColor="text1"/>
          <w:lang w:val="es-ES"/>
        </w:rPr>
        <w:t xml:space="preserve"> la</w:t>
      </w:r>
      <w:r w:rsidRPr="00203112">
        <w:rPr>
          <w:color w:val="000000" w:themeColor="text1"/>
          <w:lang w:val="es-ES"/>
        </w:rPr>
        <w:t xml:space="preserve"> Secretari</w:t>
      </w:r>
      <w:r>
        <w:rPr>
          <w:color w:val="000000" w:themeColor="text1"/>
          <w:lang w:val="es-ES"/>
        </w:rPr>
        <w:t>a</w:t>
      </w:r>
      <w:r w:rsidRPr="00203112">
        <w:rPr>
          <w:color w:val="000000" w:themeColor="text1"/>
          <w:lang w:val="es-ES"/>
        </w:rPr>
        <w:t xml:space="preserve"> Ejecutiv</w:t>
      </w:r>
      <w:r>
        <w:rPr>
          <w:color w:val="000000" w:themeColor="text1"/>
          <w:lang w:val="es-ES"/>
        </w:rPr>
        <w:t>a</w:t>
      </w:r>
      <w:r w:rsidRPr="00203112">
        <w:rPr>
          <w:color w:val="000000" w:themeColor="text1"/>
          <w:lang w:val="es-ES"/>
        </w:rPr>
        <w:t xml:space="preserve">, supervise la aplicación, </w:t>
      </w:r>
      <w:r>
        <w:rPr>
          <w:color w:val="000000" w:themeColor="text1"/>
          <w:lang w:val="es-ES"/>
        </w:rPr>
        <w:t xml:space="preserve">supervise </w:t>
      </w:r>
      <w:r w:rsidRPr="00203112">
        <w:rPr>
          <w:color w:val="000000" w:themeColor="text1"/>
          <w:lang w:val="es-ES"/>
        </w:rPr>
        <w:t xml:space="preserve">los </w:t>
      </w:r>
      <w:r>
        <w:rPr>
          <w:color w:val="000000" w:themeColor="text1"/>
          <w:lang w:val="es-ES"/>
        </w:rPr>
        <w:t xml:space="preserve">progresos realizados </w:t>
      </w:r>
      <w:r w:rsidRPr="00203112">
        <w:rPr>
          <w:color w:val="000000" w:themeColor="text1"/>
          <w:lang w:val="es-ES"/>
        </w:rPr>
        <w:t>y garantice la transparencia. En conjunto, estas reformas trazarían un camino claro hacia una Secretaría adecuada a su</w:t>
      </w:r>
      <w:r>
        <w:rPr>
          <w:color w:val="000000" w:themeColor="text1"/>
          <w:lang w:val="es-ES"/>
        </w:rPr>
        <w:t xml:space="preserve"> finalidad</w:t>
      </w:r>
      <w:r w:rsidRPr="00203112">
        <w:rPr>
          <w:color w:val="000000" w:themeColor="text1"/>
          <w:lang w:val="es-ES"/>
        </w:rPr>
        <w:t xml:space="preserve">, ágil y orientada a los resultados, mejor equipada para cumplir los mandatos de la COP y apoyar a las Partes en </w:t>
      </w:r>
      <w:r>
        <w:rPr>
          <w:color w:val="000000" w:themeColor="text1"/>
          <w:lang w:val="es-ES"/>
        </w:rPr>
        <w:t xml:space="preserve">el logro </w:t>
      </w:r>
      <w:r w:rsidRPr="00203112">
        <w:rPr>
          <w:color w:val="000000" w:themeColor="text1"/>
          <w:lang w:val="es-ES"/>
        </w:rPr>
        <w:t xml:space="preserve">de los objetivos y </w:t>
      </w:r>
      <w:r>
        <w:rPr>
          <w:color w:val="000000" w:themeColor="text1"/>
          <w:lang w:val="es-ES"/>
        </w:rPr>
        <w:t xml:space="preserve">las </w:t>
      </w:r>
      <w:r w:rsidRPr="00203112">
        <w:rPr>
          <w:color w:val="000000" w:themeColor="text1"/>
          <w:lang w:val="es-ES"/>
        </w:rPr>
        <w:t xml:space="preserve">metas del </w:t>
      </w:r>
      <w:r w:rsidRPr="000A01CC">
        <w:rPr>
          <w:color w:val="000000" w:themeColor="text1"/>
          <w:lang w:val="es-ES"/>
        </w:rPr>
        <w:t>Marco Mundial de Biodiversidad de Kunming-Montreal</w:t>
      </w:r>
      <w:r w:rsidR="001C6D3B" w:rsidRPr="00566186">
        <w:rPr>
          <w:color w:val="000000" w:themeColor="text1"/>
          <w:lang w:val="es-ES"/>
        </w:rPr>
        <w:t>.</w:t>
      </w:r>
    </w:p>
    <w:p w:rsidR="001C6D3B" w:rsidRPr="00566186" w:rsidRDefault="001C6D3B" w:rsidP="007D16FA">
      <w:pPr>
        <w:pStyle w:val="Ttulo2"/>
        <w:numPr>
          <w:ilvl w:val="0"/>
          <w:numId w:val="0"/>
        </w:numPr>
        <w:spacing w:after="240"/>
        <w:ind w:left="567" w:hanging="567"/>
        <w:rPr>
          <w:rFonts w:ascii="Times New Roman" w:hAnsi="Times New Roman" w:cs="Times New Roman"/>
          <w:b w:val="0"/>
          <w:bCs/>
          <w:szCs w:val="24"/>
          <w:lang w:val="es-ES"/>
        </w:rPr>
      </w:pPr>
      <w:r w:rsidRPr="00566186">
        <w:rPr>
          <w:rFonts w:ascii="Times New Roman" w:hAnsi="Times New Roman" w:cs="Times New Roman"/>
          <w:bCs/>
          <w:szCs w:val="24"/>
          <w:lang w:val="es-ES"/>
        </w:rPr>
        <w:t xml:space="preserve">A. </w:t>
      </w:r>
      <w:r w:rsidR="00566186" w:rsidRPr="00566186">
        <w:rPr>
          <w:rFonts w:ascii="Times New Roman" w:hAnsi="Times New Roman" w:cs="Times New Roman"/>
          <w:bCs/>
          <w:szCs w:val="24"/>
          <w:lang w:val="es-ES"/>
        </w:rPr>
        <w:t xml:space="preserve">Finalidad y alcance de la revisión </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8623B0">
        <w:rPr>
          <w:lang w:val="es-ES"/>
        </w:rPr>
        <w:t>En su decisión 15/34 (párrafo 35), la Conferencia de las Partes (COP) en el Convenio sobre la Diversidad Biológica (CDB) pidió a</w:t>
      </w:r>
      <w:r>
        <w:rPr>
          <w:lang w:val="es-ES"/>
        </w:rPr>
        <w:t xml:space="preserve"> la</w:t>
      </w:r>
      <w:r w:rsidRPr="008623B0">
        <w:rPr>
          <w:lang w:val="es-ES"/>
        </w:rPr>
        <w:t xml:space="preserve"> Secretari</w:t>
      </w:r>
      <w:r>
        <w:rPr>
          <w:lang w:val="es-ES"/>
        </w:rPr>
        <w:t>a</w:t>
      </w:r>
      <w:r w:rsidRPr="008623B0">
        <w:rPr>
          <w:lang w:val="es-ES"/>
        </w:rPr>
        <w:t xml:space="preserve"> Ejecutiv</w:t>
      </w:r>
      <w:r>
        <w:rPr>
          <w:lang w:val="es-ES"/>
        </w:rPr>
        <w:t>a</w:t>
      </w:r>
      <w:r w:rsidRPr="008623B0">
        <w:rPr>
          <w:lang w:val="es-ES"/>
        </w:rPr>
        <w:t xml:space="preserve"> que, en consulta con </w:t>
      </w:r>
      <w:r>
        <w:rPr>
          <w:lang w:val="es-ES"/>
        </w:rPr>
        <w:t>la</w:t>
      </w:r>
      <w:r w:rsidRPr="008623B0">
        <w:rPr>
          <w:lang w:val="es-ES"/>
        </w:rPr>
        <w:t xml:space="preserve"> Director</w:t>
      </w:r>
      <w:r>
        <w:rPr>
          <w:lang w:val="es-ES"/>
        </w:rPr>
        <w:t>a</w:t>
      </w:r>
      <w:r w:rsidRPr="008623B0">
        <w:rPr>
          <w:lang w:val="es-ES"/>
        </w:rPr>
        <w:t xml:space="preserve"> Ejecutiv</w:t>
      </w:r>
      <w:r>
        <w:rPr>
          <w:lang w:val="es-ES"/>
        </w:rPr>
        <w:t>a</w:t>
      </w:r>
      <w:r w:rsidRPr="008623B0">
        <w:rPr>
          <w:lang w:val="es-ES"/>
        </w:rPr>
        <w:t xml:space="preserve"> del Programa de las Naciones Unidas para el Medio Ambiente (PNUMA), </w:t>
      </w:r>
      <w:r>
        <w:rPr>
          <w:lang w:val="es-ES"/>
        </w:rPr>
        <w:t>realizara</w:t>
      </w:r>
      <w:r w:rsidRPr="008623B0">
        <w:rPr>
          <w:lang w:val="es-ES"/>
        </w:rPr>
        <w:t xml:space="preserve"> un</w:t>
      </w:r>
      <w:r>
        <w:rPr>
          <w:lang w:val="es-ES"/>
        </w:rPr>
        <w:t>a</w:t>
      </w:r>
      <w:r w:rsidRPr="008623B0">
        <w:rPr>
          <w:lang w:val="es-ES"/>
        </w:rPr>
        <w:t xml:space="preserve"> </w:t>
      </w:r>
      <w:r>
        <w:rPr>
          <w:lang w:val="es-ES"/>
        </w:rPr>
        <w:t>revisión</w:t>
      </w:r>
      <w:r w:rsidRPr="008623B0">
        <w:rPr>
          <w:lang w:val="es-ES"/>
        </w:rPr>
        <w:t xml:space="preserve"> funcional extern</w:t>
      </w:r>
      <w:r>
        <w:rPr>
          <w:lang w:val="es-ES"/>
        </w:rPr>
        <w:t>a</w:t>
      </w:r>
      <w:r w:rsidRPr="008623B0">
        <w:rPr>
          <w:lang w:val="es-ES"/>
        </w:rPr>
        <w:t xml:space="preserve"> </w:t>
      </w:r>
      <w:r>
        <w:rPr>
          <w:lang w:val="es-ES"/>
        </w:rPr>
        <w:t>detallada</w:t>
      </w:r>
      <w:r w:rsidRPr="008623B0">
        <w:rPr>
          <w:lang w:val="es-ES"/>
        </w:rPr>
        <w:t xml:space="preserve"> de la estructura de la Secretaría y la </w:t>
      </w:r>
      <w:r>
        <w:rPr>
          <w:lang w:val="es-ES"/>
        </w:rPr>
        <w:t xml:space="preserve">implementación </w:t>
      </w:r>
      <w:r w:rsidRPr="008623B0">
        <w:rPr>
          <w:lang w:val="es-ES"/>
        </w:rPr>
        <w:t xml:space="preserve">de su programa de trabajo. </w:t>
      </w:r>
      <w:r>
        <w:rPr>
          <w:lang w:val="es-ES"/>
        </w:rPr>
        <w:t xml:space="preserve">La revisión tenía por objeto </w:t>
      </w:r>
      <w:r w:rsidRPr="008623B0">
        <w:rPr>
          <w:lang w:val="es-ES"/>
        </w:rPr>
        <w:t xml:space="preserve">actualizar la estructura organizativa y la clasificación de los puestos de la Secretaría a la luz del </w:t>
      </w:r>
      <w:r w:rsidRPr="00293842">
        <w:rPr>
          <w:lang w:val="es-ES"/>
        </w:rPr>
        <w:t>Marco Mundial de Biodiversidad de Kunming-Montreal</w:t>
      </w:r>
      <w:r w:rsidRPr="008623B0">
        <w:rPr>
          <w:lang w:val="es-ES"/>
        </w:rPr>
        <w:t xml:space="preserve"> y </w:t>
      </w:r>
      <w:r>
        <w:rPr>
          <w:lang w:val="es-ES"/>
        </w:rPr>
        <w:t>fortalecer</w:t>
      </w:r>
      <w:r w:rsidRPr="008623B0">
        <w:rPr>
          <w:lang w:val="es-ES"/>
        </w:rPr>
        <w:t xml:space="preserve"> su capacidad para apoyar la aplicación por las Partes</w:t>
      </w:r>
      <w:r w:rsidR="001C6D3B" w:rsidRPr="00566186">
        <w:rPr>
          <w:lang w:val="es-ES"/>
        </w:rPr>
        <w:t>.</w:t>
      </w:r>
    </w:p>
    <w:p w:rsidR="001C6D3B" w:rsidRPr="00566186" w:rsidRDefault="00566186"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CE054D">
        <w:rPr>
          <w:lang w:val="es-ES"/>
        </w:rPr>
        <w:t>En su posterior decisión 16/28 (párrafo 11), la COP instó a la Secretaria Ejecutiva a que completara la revisión funcional, tomando en consideración el informe de análisis inicial mencionado en la decisión 16/4. La COP hizo hincapié en que la revisión debía determinar si la Secretaría estaba adecuadamente estructurada y dotada de recursos suficientes para cumplir eficazmente sus funciones, en particular para prestar servicios a las reuniones celebradas en el contexto del Convenio y sus Protocolos y para apoyar la implementación del Marco Mundial de Biodiversidad de Kunming-Montreal, y, en caso de que existieran deficiencias, identificar los ajustes necesarios para subsanarlas</w:t>
      </w:r>
      <w:r w:rsidR="001C6D3B" w:rsidRPr="00566186">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0A18C2">
        <w:rPr>
          <w:lang w:val="es-ES"/>
        </w:rPr>
        <w:t>En respuesta a estos mandatos, la Secretaría del Convenio sobre la Diversidad Biológica (SC</w:t>
      </w:r>
      <w:r>
        <w:rPr>
          <w:lang w:val="es-ES"/>
        </w:rPr>
        <w:t>D</w:t>
      </w:r>
      <w:r w:rsidRPr="000A18C2">
        <w:rPr>
          <w:lang w:val="es-ES"/>
        </w:rPr>
        <w:t>B) contrató al Equipo de Consultoría de Gestión (MCT</w:t>
      </w:r>
      <w:r>
        <w:rPr>
          <w:lang w:val="es-ES"/>
        </w:rPr>
        <w:t>, por sus siglas en inglés</w:t>
      </w:r>
      <w:r w:rsidRPr="000A18C2">
        <w:rPr>
          <w:lang w:val="es-ES"/>
        </w:rPr>
        <w:t xml:space="preserve">) del Programa de las Naciones Unidas para el Desarrollo (PNUD) para facilitar la revisión funcional externa. El compromiso, formalizado mediante una carta de entendimiento firmada en abril de 2025, definió los objetivos, el alcance, la metodología y los resultados esperados de la revisión. La revisión funcional se diseñó para evaluar la estructura, los procesos operativos y la asignación de recursos de la Secretaría con </w:t>
      </w:r>
      <w:r>
        <w:rPr>
          <w:lang w:val="es-ES"/>
        </w:rPr>
        <w:t xml:space="preserve">el fin de </w:t>
      </w:r>
      <w:r w:rsidRPr="000A18C2">
        <w:rPr>
          <w:lang w:val="es-ES"/>
        </w:rPr>
        <w:t xml:space="preserve">garantizar la alineación con sus funciones básicas y </w:t>
      </w:r>
      <w:r>
        <w:rPr>
          <w:lang w:val="es-ES"/>
        </w:rPr>
        <w:t xml:space="preserve">las </w:t>
      </w:r>
      <w:r w:rsidRPr="000A18C2">
        <w:rPr>
          <w:lang w:val="es-ES"/>
        </w:rPr>
        <w:t>prioridades estratégicas establecidas por la COP. El alcance del trabajo se centró en el análisis y las recomendaciones relacionadas con la estructura y las funciones de los equipos de la Secretaría. Esto no inclu</w:t>
      </w:r>
      <w:r>
        <w:rPr>
          <w:lang w:val="es-ES"/>
        </w:rPr>
        <w:t>ía</w:t>
      </w:r>
      <w:r w:rsidRPr="000A18C2">
        <w:rPr>
          <w:lang w:val="es-ES"/>
        </w:rPr>
        <w:t xml:space="preserve"> una revisión de los puestos individuales ni la clasificación</w:t>
      </w:r>
      <w:r>
        <w:rPr>
          <w:lang w:val="es-ES"/>
        </w:rPr>
        <w:t>/categorización</w:t>
      </w:r>
      <w:r w:rsidRPr="000A18C2">
        <w:rPr>
          <w:lang w:val="es-ES"/>
        </w:rPr>
        <w:t xml:space="preserve"> de los puestos, ya que se propone que </w:t>
      </w:r>
      <w:r>
        <w:rPr>
          <w:lang w:val="es-ES"/>
        </w:rPr>
        <w:t xml:space="preserve">se realice </w:t>
      </w:r>
      <w:r w:rsidRPr="000A18C2">
        <w:rPr>
          <w:lang w:val="es-ES"/>
        </w:rPr>
        <w:t>como parte de la fase de implementación tras las decisiones sobre la dirección general del cambio</w:t>
      </w:r>
      <w:r w:rsidR="001C6D3B" w:rsidRPr="00895653">
        <w:rPr>
          <w:lang w:val="es-ES"/>
        </w:rPr>
        <w:t>.</w:t>
      </w:r>
    </w:p>
    <w:p w:rsidR="001C6D3B" w:rsidRPr="00C725CE" w:rsidRDefault="001C6D3B" w:rsidP="009E3FBE">
      <w:pPr>
        <w:pStyle w:val="Ttulo2"/>
        <w:numPr>
          <w:ilvl w:val="0"/>
          <w:numId w:val="0"/>
        </w:numPr>
        <w:spacing w:after="240"/>
        <w:ind w:left="567" w:hanging="567"/>
        <w:rPr>
          <w:rFonts w:ascii="Times New Roman" w:hAnsi="Times New Roman" w:cs="Times New Roman"/>
          <w:b w:val="0"/>
          <w:bCs/>
          <w:szCs w:val="24"/>
        </w:rPr>
      </w:pPr>
      <w:r w:rsidRPr="00C725CE">
        <w:rPr>
          <w:rFonts w:ascii="Times New Roman" w:hAnsi="Times New Roman" w:cs="Times New Roman"/>
          <w:bCs/>
          <w:szCs w:val="24"/>
        </w:rPr>
        <w:t xml:space="preserve">B. </w:t>
      </w:r>
      <w:r w:rsidR="00895653" w:rsidRPr="00C725CE">
        <w:rPr>
          <w:rFonts w:ascii="Times New Roman" w:hAnsi="Times New Roman" w:cs="Times New Roman"/>
          <w:bCs/>
          <w:szCs w:val="24"/>
        </w:rPr>
        <w:t>Metodolog</w:t>
      </w:r>
      <w:r w:rsidR="00895653">
        <w:rPr>
          <w:rFonts w:ascii="Times New Roman" w:hAnsi="Times New Roman" w:cs="Times New Roman"/>
          <w:bCs/>
          <w:szCs w:val="24"/>
        </w:rPr>
        <w:t>ía y enfoque</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7E75DB">
        <w:rPr>
          <w:lang w:val="es-ES"/>
        </w:rPr>
        <w:t xml:space="preserve">La revisión funcional se llevó a cabo durante un período de seis meses, siguiendo un proceso estructurado y participativo diseñado para generar conclusiones basadas en pruebas y recomendaciones creadas conjuntamente. El proceso se dividió en dos fases principales, </w:t>
      </w:r>
      <w:r>
        <w:rPr>
          <w:lang w:val="es-ES"/>
        </w:rPr>
        <w:t>concretamente</w:t>
      </w:r>
      <w:r w:rsidRPr="007E75DB">
        <w:rPr>
          <w:lang w:val="es-ES"/>
        </w:rPr>
        <w:t xml:space="preserve">, el análisis y el diseño, que se llevaron a cabo mediante dos líneas de trabajo simultáneas sobre </w:t>
      </w:r>
      <w:r>
        <w:rPr>
          <w:lang w:val="es-ES"/>
        </w:rPr>
        <w:t>la dirección estratégica y el</w:t>
      </w:r>
      <w:r w:rsidRPr="007E75DB">
        <w:rPr>
          <w:lang w:val="es-ES"/>
        </w:rPr>
        <w:t xml:space="preserve"> diseño del modelo operativo. </w:t>
      </w:r>
      <w:r>
        <w:rPr>
          <w:lang w:val="es-ES"/>
        </w:rPr>
        <w:t xml:space="preserve">Durante todo </w:t>
      </w:r>
      <w:r w:rsidRPr="007E75DB">
        <w:rPr>
          <w:lang w:val="es-ES"/>
        </w:rPr>
        <w:t xml:space="preserve">el proceso, </w:t>
      </w:r>
      <w:r w:rsidRPr="0092162E">
        <w:rPr>
          <w:lang w:val="es-ES"/>
        </w:rPr>
        <w:t>el equipo fue consciente de las limitaciones de los datos, incluidas las deficiencias en l</w:t>
      </w:r>
      <w:r>
        <w:rPr>
          <w:lang w:val="es-ES"/>
        </w:rPr>
        <w:t>os parámetros de medición disponibles</w:t>
      </w:r>
      <w:r w:rsidR="001C6D3B" w:rsidRPr="00895653">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151684">
        <w:rPr>
          <w:lang w:val="es-ES"/>
        </w:rPr>
        <w:t xml:space="preserve">La fase de análisis se centró en desarrollar una comprensión </w:t>
      </w:r>
      <w:r>
        <w:rPr>
          <w:lang w:val="es-ES"/>
        </w:rPr>
        <w:t>global</w:t>
      </w:r>
      <w:r w:rsidRPr="00151684">
        <w:rPr>
          <w:lang w:val="es-ES"/>
        </w:rPr>
        <w:t xml:space="preserve"> de la estructura actual, las funciones y la asignación de recursos de la Secretaría (estado «tal </w:t>
      </w:r>
      <w:r>
        <w:rPr>
          <w:lang w:val="es-ES"/>
        </w:rPr>
        <w:t>como está</w:t>
      </w:r>
      <w:r w:rsidRPr="00151684">
        <w:rPr>
          <w:lang w:val="es-ES"/>
        </w:rPr>
        <w:t xml:space="preserve">»). Esto incluyó una revisión de los mandatos, los organigramas, la composición del personal, las fuentes de financiación y los </w:t>
      </w:r>
      <w:r>
        <w:rPr>
          <w:lang w:val="es-ES"/>
        </w:rPr>
        <w:t xml:space="preserve">principales </w:t>
      </w:r>
      <w:r w:rsidRPr="00151684">
        <w:rPr>
          <w:lang w:val="es-ES"/>
        </w:rPr>
        <w:t xml:space="preserve">procesos </w:t>
      </w:r>
      <w:r>
        <w:rPr>
          <w:lang w:val="es-ES"/>
        </w:rPr>
        <w:t xml:space="preserve">institucionales </w:t>
      </w:r>
      <w:r w:rsidRPr="00151684">
        <w:rPr>
          <w:lang w:val="es-ES"/>
        </w:rPr>
        <w:t>intergubernamentales, como los órganos rectores y subsidiarios. Cuando existían lagunas de datos o problemas de calidad, la revisión se basó en toda la información disponible, sin dejar de ten</w:t>
      </w:r>
      <w:r>
        <w:rPr>
          <w:lang w:val="es-ES"/>
        </w:rPr>
        <w:t>er en cuenta estas limitaciones</w:t>
      </w:r>
      <w:r w:rsidR="001C6D3B" w:rsidRPr="00895653">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2E756F">
        <w:rPr>
          <w:lang w:val="es-ES"/>
        </w:rPr>
        <w:t>La fase de diseño se basó en los resultados del análisis para elaborar recomendaciones orientadas al futuro con el fin de crear una estructura y un modelo operativo adecuados para su</w:t>
      </w:r>
      <w:r>
        <w:rPr>
          <w:lang w:val="es-ES"/>
        </w:rPr>
        <w:t xml:space="preserve"> finalidad</w:t>
      </w:r>
      <w:r w:rsidRPr="002E756F">
        <w:rPr>
          <w:lang w:val="es-ES"/>
        </w:rPr>
        <w:t xml:space="preserve"> (estado «futuro»). E</w:t>
      </w:r>
      <w:r>
        <w:rPr>
          <w:lang w:val="es-ES"/>
        </w:rPr>
        <w:t>n e</w:t>
      </w:r>
      <w:r w:rsidRPr="002E756F">
        <w:rPr>
          <w:lang w:val="es-ES"/>
        </w:rPr>
        <w:t xml:space="preserve">sta fase </w:t>
      </w:r>
      <w:r>
        <w:rPr>
          <w:lang w:val="es-ES"/>
        </w:rPr>
        <w:t xml:space="preserve">se </w:t>
      </w:r>
      <w:r w:rsidRPr="002E756F">
        <w:rPr>
          <w:lang w:val="es-ES"/>
        </w:rPr>
        <w:t xml:space="preserve">hizo hincapié en la armonización funcional, la claridad de las funciones, la </w:t>
      </w:r>
      <w:r w:rsidRPr="002E756F">
        <w:rPr>
          <w:lang w:val="es-ES"/>
        </w:rPr>
        <w:lastRenderedPageBreak/>
        <w:t>integración entre divisiones y la coherencia con la visión estratégica de la Secretaría y las decisiones d</w:t>
      </w:r>
      <w:r>
        <w:rPr>
          <w:lang w:val="es-ES"/>
        </w:rPr>
        <w:t>e la COP</w:t>
      </w:r>
      <w:r w:rsidR="001C6D3B" w:rsidRPr="00895653">
        <w:rPr>
          <w:lang w:val="es-ES"/>
        </w:rPr>
        <w:t xml:space="preserve">. </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2E756F">
        <w:rPr>
          <w:lang w:val="es-ES"/>
        </w:rPr>
        <w:t xml:space="preserve">Las dos líneas de trabajo se implementaron de la siguiente manera: a) Dirección estratégica: se examinó el mandato, las prioridades y el posicionamiento de la Secretaría para garantizar la </w:t>
      </w:r>
      <w:r>
        <w:rPr>
          <w:lang w:val="es-ES"/>
        </w:rPr>
        <w:t xml:space="preserve">adecuación </w:t>
      </w:r>
      <w:r w:rsidRPr="002E756F">
        <w:rPr>
          <w:lang w:val="es-ES"/>
        </w:rPr>
        <w:t xml:space="preserve">con el </w:t>
      </w:r>
      <w:r w:rsidRPr="00C02EDD">
        <w:rPr>
          <w:lang w:val="es-ES"/>
        </w:rPr>
        <w:t xml:space="preserve">Marco Mundial de Biodiversidad de Kunming-Montreal </w:t>
      </w:r>
      <w:r w:rsidRPr="002E756F">
        <w:rPr>
          <w:lang w:val="es-ES"/>
        </w:rPr>
        <w:t xml:space="preserve">y las expectativas cambiantes de las Partes. Esta línea incluyó consultas internas, talleres y sesiones de </w:t>
      </w:r>
      <w:r>
        <w:rPr>
          <w:lang w:val="es-ES"/>
        </w:rPr>
        <w:t>concreción de objetivos p</w:t>
      </w:r>
      <w:r w:rsidRPr="002E756F">
        <w:rPr>
          <w:lang w:val="es-ES"/>
        </w:rPr>
        <w:t xml:space="preserve">ara </w:t>
      </w:r>
      <w:r>
        <w:rPr>
          <w:lang w:val="es-ES"/>
        </w:rPr>
        <w:t xml:space="preserve">estructurar </w:t>
      </w:r>
      <w:r w:rsidRPr="002E756F">
        <w:rPr>
          <w:lang w:val="es-ES"/>
        </w:rPr>
        <w:t xml:space="preserve">el estado futuro deseado de la Secretaría; y b) Diseño del modelo operativo: se evaluaron los </w:t>
      </w:r>
      <w:r>
        <w:rPr>
          <w:lang w:val="es-ES"/>
        </w:rPr>
        <w:t xml:space="preserve">principales </w:t>
      </w:r>
      <w:r w:rsidRPr="002E756F">
        <w:rPr>
          <w:lang w:val="es-ES"/>
        </w:rPr>
        <w:t xml:space="preserve">procesos </w:t>
      </w:r>
      <w:r>
        <w:rPr>
          <w:lang w:val="es-ES"/>
        </w:rPr>
        <w:t>operativos</w:t>
      </w:r>
      <w:r w:rsidRPr="002E756F">
        <w:rPr>
          <w:lang w:val="es-ES"/>
        </w:rPr>
        <w:t>, las funciones y la asignación de recursos para identificar áreas de mejora. El equipo analizó los flujos de trabajo, las líneas jerárquicas y las interdepend</w:t>
      </w:r>
      <w:r>
        <w:rPr>
          <w:lang w:val="es-ES"/>
        </w:rPr>
        <w:t>encias entre las divisiones, y organiz</w:t>
      </w:r>
      <w:r w:rsidRPr="002E756F">
        <w:rPr>
          <w:lang w:val="es-ES"/>
        </w:rPr>
        <w:t>ó talleres para el personal con el fin de identificar los cuellos de botella y proponer soluciones para mejo</w:t>
      </w:r>
      <w:r>
        <w:rPr>
          <w:lang w:val="es-ES"/>
        </w:rPr>
        <w:t>rar la coherencia y la eficacia</w:t>
      </w:r>
      <w:r w:rsidR="001C6D3B" w:rsidRPr="00895653">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Pr>
          <w:lang w:val="es-ES"/>
        </w:rPr>
        <w:t>En l</w:t>
      </w:r>
      <w:r w:rsidRPr="00CE054D">
        <w:rPr>
          <w:lang w:val="es-ES"/>
        </w:rPr>
        <w:t xml:space="preserve">a revisión </w:t>
      </w:r>
      <w:r>
        <w:rPr>
          <w:lang w:val="es-ES"/>
        </w:rPr>
        <w:t>se emplearon</w:t>
      </w:r>
      <w:r w:rsidRPr="00CE054D">
        <w:rPr>
          <w:lang w:val="es-ES"/>
        </w:rPr>
        <w:t xml:space="preserve"> métodos analíticos mixtos, combinando el análisis de datos cuantitativos (indicadores de rendimiento, cuadros de dotación de personal, presupuestos, planes de trabajo, asignación de recursos) con información cualitativa (entrevistas al personal, grupos de discusión y revisión de documentos). </w:t>
      </w:r>
      <w:r w:rsidRPr="00C02EDD">
        <w:rPr>
          <w:lang w:val="es-ES"/>
        </w:rPr>
        <w:t>Se llevó a cabo una evaluación comparativa con secretarías de acuerdos multilaterales sobre medio ambiente (AMUMA) seleccionadas para determinar prácticas en materia de estructura, gobernanza y gestión de recursos en organizaciones similares</w:t>
      </w:r>
      <w:r w:rsidR="001C6D3B" w:rsidRPr="00895653">
        <w:rPr>
          <w:lang w:val="es-ES"/>
        </w:rPr>
        <w:t xml:space="preserve">. </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DD5C1B">
        <w:rPr>
          <w:lang w:val="es-ES"/>
        </w:rPr>
        <w:t xml:space="preserve">La participación del personal fue fundamental para la revisión. A lo largo del proceso, el Equipo de Consultoría de Gestión del PNUD </w:t>
      </w:r>
      <w:r>
        <w:rPr>
          <w:lang w:val="es-ES"/>
        </w:rPr>
        <w:t>celebró</w:t>
      </w:r>
      <w:r w:rsidRPr="00DD5C1B">
        <w:rPr>
          <w:lang w:val="es-ES"/>
        </w:rPr>
        <w:t xml:space="preserve"> consultas con</w:t>
      </w:r>
      <w:r>
        <w:rPr>
          <w:lang w:val="es-ES"/>
        </w:rPr>
        <w:t xml:space="preserve"> el personal directivo</w:t>
      </w:r>
      <w:r w:rsidRPr="00DD5C1B">
        <w:rPr>
          <w:lang w:val="es-ES"/>
        </w:rPr>
        <w:t xml:space="preserve">, grupos de discusión a nivel de </w:t>
      </w:r>
      <w:r>
        <w:rPr>
          <w:lang w:val="es-ES"/>
        </w:rPr>
        <w:t>dependencia</w:t>
      </w:r>
      <w:r w:rsidRPr="00DD5C1B">
        <w:rPr>
          <w:lang w:val="es-ES"/>
        </w:rPr>
        <w:t xml:space="preserve"> con todo el personal, </w:t>
      </w:r>
      <w:r>
        <w:rPr>
          <w:lang w:val="es-ES"/>
        </w:rPr>
        <w:t>organiz</w:t>
      </w:r>
      <w:r w:rsidRPr="00DD5C1B">
        <w:rPr>
          <w:lang w:val="es-ES"/>
        </w:rPr>
        <w:t xml:space="preserve">ó talleres en toda la Secretaría </w:t>
      </w:r>
      <w:r>
        <w:rPr>
          <w:lang w:val="es-ES"/>
        </w:rPr>
        <w:t>y puso en marcha</w:t>
      </w:r>
      <w:r w:rsidRPr="00DD5C1B">
        <w:rPr>
          <w:lang w:val="es-ES"/>
        </w:rPr>
        <w:t xml:space="preserve"> una encuesta </w:t>
      </w:r>
      <w:r>
        <w:rPr>
          <w:lang w:val="es-ES"/>
        </w:rPr>
        <w:t>par</w:t>
      </w:r>
      <w:r w:rsidRPr="00DD5C1B">
        <w:rPr>
          <w:lang w:val="es-ES"/>
        </w:rPr>
        <w:t xml:space="preserve">a todo el personal </w:t>
      </w:r>
      <w:r>
        <w:rPr>
          <w:lang w:val="es-ES"/>
        </w:rPr>
        <w:t xml:space="preserve">con el fin de </w:t>
      </w:r>
      <w:r w:rsidRPr="00DD5C1B">
        <w:rPr>
          <w:lang w:val="es-ES"/>
        </w:rPr>
        <w:t xml:space="preserve">recabar opiniones sobre la estructura, las funciones y las formas de trabajar. Estas actividades garantizaron que la revisión reflejara las perspectivas del personal y fomentara la </w:t>
      </w:r>
      <w:r>
        <w:rPr>
          <w:lang w:val="es-ES"/>
        </w:rPr>
        <w:t>identificación con e</w:t>
      </w:r>
      <w:r w:rsidRPr="00DD5C1B">
        <w:rPr>
          <w:lang w:val="es-ES"/>
        </w:rPr>
        <w:t>l proceso</w:t>
      </w:r>
      <w:r w:rsidR="001C6D3B" w:rsidRPr="00895653">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4A6CDC">
        <w:rPr>
          <w:lang w:val="es-ES"/>
        </w:rPr>
        <w:t xml:space="preserve">Se garantizó la consulta y la validación continuas a través del Equipo de Trabajo Interno de Revisión Funcional y el Equipo de Participación, que proporcionaron apoyo técnico y temático </w:t>
      </w:r>
      <w:r>
        <w:rPr>
          <w:lang w:val="es-ES"/>
        </w:rPr>
        <w:t>durante</w:t>
      </w:r>
      <w:r w:rsidRPr="004A6CDC">
        <w:rPr>
          <w:lang w:val="es-ES"/>
        </w:rPr>
        <w:t xml:space="preserve"> todo el proceso, lo</w:t>
      </w:r>
      <w:r>
        <w:rPr>
          <w:lang w:val="es-ES"/>
        </w:rPr>
        <w:t xml:space="preserve"> que foment</w:t>
      </w:r>
      <w:r w:rsidRPr="004A6CDC">
        <w:rPr>
          <w:lang w:val="es-ES"/>
        </w:rPr>
        <w:t>ó la toma de decisiones informadas. L</w:t>
      </w:r>
      <w:r>
        <w:rPr>
          <w:lang w:val="es-ES"/>
        </w:rPr>
        <w:t>as nuevas conclusiones</w:t>
      </w:r>
      <w:r w:rsidRPr="004A6CDC">
        <w:rPr>
          <w:lang w:val="es-ES"/>
        </w:rPr>
        <w:t xml:space="preserve"> se revisaron con el </w:t>
      </w:r>
      <w:r>
        <w:rPr>
          <w:lang w:val="es-ES"/>
        </w:rPr>
        <w:t>e</w:t>
      </w:r>
      <w:r w:rsidRPr="004A6CDC">
        <w:rPr>
          <w:lang w:val="es-ES"/>
        </w:rPr>
        <w:t xml:space="preserve">quipo </w:t>
      </w:r>
      <w:r>
        <w:rPr>
          <w:lang w:val="es-ES"/>
        </w:rPr>
        <w:t>d</w:t>
      </w:r>
      <w:r w:rsidRPr="004A6CDC">
        <w:rPr>
          <w:lang w:val="es-ES"/>
        </w:rPr>
        <w:t>irectivo de la SC</w:t>
      </w:r>
      <w:r>
        <w:rPr>
          <w:lang w:val="es-ES"/>
        </w:rPr>
        <w:t>D</w:t>
      </w:r>
      <w:r w:rsidRPr="004A6CDC">
        <w:rPr>
          <w:lang w:val="es-ES"/>
        </w:rPr>
        <w:t xml:space="preserve">B y se presentaron a la Mesa de la COP en momentos clave para obtener comentarios y orientación estratégica. Esta validación iterativa ayudó a mitigar </w:t>
      </w:r>
      <w:r>
        <w:rPr>
          <w:lang w:val="es-ES"/>
        </w:rPr>
        <w:t xml:space="preserve">los efectos </w:t>
      </w:r>
      <w:r w:rsidRPr="004A6CDC">
        <w:rPr>
          <w:lang w:val="es-ES"/>
        </w:rPr>
        <w:t>de las limitaciones de los datos, al basar los resultados en conocimientos colectivos y</w:t>
      </w:r>
      <w:r>
        <w:rPr>
          <w:lang w:val="es-ES"/>
        </w:rPr>
        <w:t xml:space="preserve"> en el criterio de los expertos</w:t>
      </w:r>
      <w:r w:rsidR="001C6D3B" w:rsidRPr="00895653">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320BAE">
        <w:rPr>
          <w:lang w:val="es-ES"/>
        </w:rPr>
        <w:t>Los principales re</w:t>
      </w:r>
      <w:r>
        <w:rPr>
          <w:lang w:val="es-ES"/>
        </w:rPr>
        <w:t xml:space="preserve">sultados del proceso incluyen: </w:t>
      </w:r>
      <w:r w:rsidRPr="00320BAE">
        <w:rPr>
          <w:lang w:val="es-ES"/>
        </w:rPr>
        <w:t xml:space="preserve">a) </w:t>
      </w:r>
      <w:r>
        <w:rPr>
          <w:lang w:val="es-ES"/>
        </w:rPr>
        <w:t>a</w:t>
      </w:r>
      <w:r w:rsidRPr="00320BAE">
        <w:rPr>
          <w:lang w:val="es-ES"/>
        </w:rPr>
        <w:t xml:space="preserve">nálisis diagnóstico de la estructura, las funciones y los recursos de la Secretaría; b) </w:t>
      </w:r>
      <w:r>
        <w:rPr>
          <w:lang w:val="es-ES"/>
        </w:rPr>
        <w:t>r</w:t>
      </w:r>
      <w:r w:rsidRPr="00320BAE">
        <w:rPr>
          <w:lang w:val="es-ES"/>
        </w:rPr>
        <w:t xml:space="preserve">esultados de la encuesta al personal y síntesis de las aportaciones de los </w:t>
      </w:r>
      <w:r>
        <w:rPr>
          <w:lang w:val="es-ES"/>
        </w:rPr>
        <w:t xml:space="preserve">grupos de discusión; </w:t>
      </w:r>
      <w:r w:rsidRPr="00320BAE">
        <w:rPr>
          <w:lang w:val="es-ES"/>
        </w:rPr>
        <w:t xml:space="preserve">c) </w:t>
      </w:r>
      <w:r>
        <w:rPr>
          <w:lang w:val="es-ES"/>
        </w:rPr>
        <w:t>u</w:t>
      </w:r>
      <w:r w:rsidRPr="00320BAE">
        <w:rPr>
          <w:lang w:val="es-ES"/>
        </w:rPr>
        <w:t xml:space="preserve">n mapa de los procesos operativos de gestión de conferencias, un </w:t>
      </w:r>
      <w:r>
        <w:rPr>
          <w:lang w:val="es-ES"/>
        </w:rPr>
        <w:t>proyecto</w:t>
      </w:r>
      <w:r w:rsidRPr="00320BAE">
        <w:rPr>
          <w:lang w:val="es-ES"/>
        </w:rPr>
        <w:t xml:space="preserve"> de</w:t>
      </w:r>
      <w:r>
        <w:rPr>
          <w:lang w:val="es-ES"/>
        </w:rPr>
        <w:t>l</w:t>
      </w:r>
      <w:r w:rsidRPr="00320BAE">
        <w:rPr>
          <w:lang w:val="es-ES"/>
        </w:rPr>
        <w:t xml:space="preserve"> procedimiento operativo estánda</w:t>
      </w:r>
      <w:r>
        <w:rPr>
          <w:lang w:val="es-ES"/>
        </w:rPr>
        <w:t xml:space="preserve">r y recomendaciones de mejora; </w:t>
      </w:r>
      <w:r w:rsidRPr="00320BAE">
        <w:rPr>
          <w:lang w:val="es-ES"/>
        </w:rPr>
        <w:t xml:space="preserve">d) </w:t>
      </w:r>
      <w:r>
        <w:rPr>
          <w:lang w:val="es-ES"/>
        </w:rPr>
        <w:t>i</w:t>
      </w:r>
      <w:r w:rsidRPr="00320BAE">
        <w:rPr>
          <w:lang w:val="es-ES"/>
        </w:rPr>
        <w:t>nformes de los talleres sobre a</w:t>
      </w:r>
      <w:r>
        <w:rPr>
          <w:lang w:val="es-ES"/>
        </w:rPr>
        <w:t xml:space="preserve">rmonización </w:t>
      </w:r>
      <w:r w:rsidRPr="00320BAE">
        <w:rPr>
          <w:lang w:val="es-ES"/>
        </w:rPr>
        <w:t>estratégica, visión y diseño del modelo oper</w:t>
      </w:r>
      <w:r>
        <w:rPr>
          <w:lang w:val="es-ES"/>
        </w:rPr>
        <w:t xml:space="preserve">ativo; </w:t>
      </w:r>
      <w:r w:rsidRPr="00320BAE">
        <w:rPr>
          <w:lang w:val="es-ES"/>
        </w:rPr>
        <w:t xml:space="preserve">e) </w:t>
      </w:r>
      <w:r>
        <w:rPr>
          <w:lang w:val="es-ES"/>
        </w:rPr>
        <w:t>u</w:t>
      </w:r>
      <w:r w:rsidRPr="00320BAE">
        <w:rPr>
          <w:lang w:val="es-ES"/>
        </w:rPr>
        <w:t>n análisis de l</w:t>
      </w:r>
      <w:r>
        <w:rPr>
          <w:lang w:val="es-ES"/>
        </w:rPr>
        <w:t xml:space="preserve">os indicadores de rendimiento; </w:t>
      </w:r>
      <w:r w:rsidRPr="00320BAE">
        <w:rPr>
          <w:lang w:val="es-ES"/>
        </w:rPr>
        <w:t xml:space="preserve">f) </w:t>
      </w:r>
      <w:r>
        <w:rPr>
          <w:lang w:val="es-ES"/>
        </w:rPr>
        <w:t>u</w:t>
      </w:r>
      <w:r w:rsidRPr="00320BAE">
        <w:rPr>
          <w:lang w:val="es-ES"/>
        </w:rPr>
        <w:t>n análisis de</w:t>
      </w:r>
      <w:r>
        <w:rPr>
          <w:lang w:val="es-ES"/>
        </w:rPr>
        <w:t xml:space="preserve"> la labor realizada</w:t>
      </w:r>
      <w:r w:rsidRPr="00320BAE">
        <w:rPr>
          <w:lang w:val="es-ES"/>
        </w:rPr>
        <w:t xml:space="preserve"> por las </w:t>
      </w:r>
      <w:r>
        <w:rPr>
          <w:lang w:val="es-ES"/>
        </w:rPr>
        <w:t>dependencias</w:t>
      </w:r>
      <w:r w:rsidRPr="00320BAE">
        <w:rPr>
          <w:lang w:val="es-ES"/>
        </w:rPr>
        <w:t xml:space="preserve"> según l</w:t>
      </w:r>
      <w:r>
        <w:rPr>
          <w:lang w:val="es-ES"/>
        </w:rPr>
        <w:t>as metas</w:t>
      </w:r>
      <w:r w:rsidRPr="00320BAE">
        <w:rPr>
          <w:lang w:val="es-ES"/>
        </w:rPr>
        <w:t xml:space="preserve"> del </w:t>
      </w:r>
      <w:r w:rsidRPr="00C02EDD">
        <w:rPr>
          <w:lang w:val="es-ES"/>
        </w:rPr>
        <w:t>Marco Mundial de Biodiversidad de Kunming-Montreal</w:t>
      </w:r>
      <w:r w:rsidRPr="00320BAE">
        <w:rPr>
          <w:lang w:val="es-ES"/>
        </w:rPr>
        <w:t xml:space="preserve">; y g) </w:t>
      </w:r>
      <w:r>
        <w:rPr>
          <w:lang w:val="es-ES"/>
        </w:rPr>
        <w:t>u</w:t>
      </w:r>
      <w:r w:rsidRPr="00320BAE">
        <w:rPr>
          <w:lang w:val="es-ES"/>
        </w:rPr>
        <w:t xml:space="preserve">n </w:t>
      </w:r>
      <w:r>
        <w:rPr>
          <w:lang w:val="es-ES"/>
        </w:rPr>
        <w:t xml:space="preserve">proyecto </w:t>
      </w:r>
      <w:r w:rsidRPr="00320BAE">
        <w:rPr>
          <w:lang w:val="es-ES"/>
        </w:rPr>
        <w:t xml:space="preserve">de propuesta para una estructura y un modelo operativo adecuados a </w:t>
      </w:r>
      <w:r>
        <w:rPr>
          <w:lang w:val="es-ES"/>
        </w:rPr>
        <w:t>su finalidad</w:t>
      </w:r>
      <w:r w:rsidRPr="00320BAE">
        <w:rPr>
          <w:lang w:val="es-ES"/>
        </w:rPr>
        <w:t>, con las correspondientes consideraciones sobre la impleme</w:t>
      </w:r>
      <w:r>
        <w:rPr>
          <w:lang w:val="es-ES"/>
        </w:rPr>
        <w:t>ntación y la gestión del cambio</w:t>
      </w:r>
      <w:r w:rsidR="001C6D3B" w:rsidRPr="00895653">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after="160" w:line="278" w:lineRule="auto"/>
        <w:rPr>
          <w:lang w:val="es-ES"/>
        </w:rPr>
      </w:pPr>
      <w:r w:rsidRPr="003D284F">
        <w:rPr>
          <w:lang w:val="es-ES"/>
        </w:rPr>
        <w:t xml:space="preserve">En conjunto, estos resultados constituyen la base analítica de las recomendaciones de la revisión funcional, cuyo objetivo es fortalecer la capacidad de la Secretaría para prestar servicios eficaces a los órganos rectores, cumplir sus mandatos y apoyar a las Partes en la </w:t>
      </w:r>
      <w:r>
        <w:rPr>
          <w:lang w:val="es-ES"/>
        </w:rPr>
        <w:t>implementación</w:t>
      </w:r>
      <w:r w:rsidRPr="003D284F">
        <w:rPr>
          <w:lang w:val="es-ES"/>
        </w:rPr>
        <w:t xml:space="preserve"> del </w:t>
      </w:r>
      <w:r w:rsidRPr="00C02EDD">
        <w:rPr>
          <w:lang w:val="es-ES"/>
        </w:rPr>
        <w:t>Marco Mundial de Biodiversidad de Kunming-Montreal</w:t>
      </w:r>
      <w:r w:rsidR="001C6D3B" w:rsidRPr="00895653">
        <w:rPr>
          <w:lang w:val="es-ES"/>
        </w:rPr>
        <w:t xml:space="preserve">. </w:t>
      </w:r>
    </w:p>
    <w:p w:rsidR="001C6D3B" w:rsidRPr="00895653" w:rsidRDefault="001C6D3B" w:rsidP="00A04963">
      <w:pPr>
        <w:pStyle w:val="Ttulo2"/>
        <w:numPr>
          <w:ilvl w:val="0"/>
          <w:numId w:val="0"/>
        </w:numPr>
        <w:spacing w:after="240"/>
        <w:ind w:left="567" w:hanging="567"/>
        <w:rPr>
          <w:rFonts w:ascii="Times New Roman" w:hAnsi="Times New Roman" w:cs="Times New Roman"/>
          <w:b w:val="0"/>
          <w:bCs/>
          <w:szCs w:val="24"/>
          <w:lang w:val="es-ES"/>
        </w:rPr>
      </w:pPr>
      <w:r w:rsidRPr="00895653">
        <w:rPr>
          <w:rFonts w:ascii="Times New Roman" w:hAnsi="Times New Roman" w:cs="Times New Roman"/>
          <w:bCs/>
          <w:szCs w:val="24"/>
          <w:lang w:val="es-ES"/>
        </w:rPr>
        <w:t xml:space="preserve">C. </w:t>
      </w:r>
      <w:r w:rsidR="00895653" w:rsidRPr="00895653">
        <w:rPr>
          <w:rFonts w:ascii="Times New Roman" w:hAnsi="Times New Roman" w:cs="Times New Roman"/>
          <w:bCs/>
          <w:szCs w:val="24"/>
          <w:lang w:val="es-ES"/>
        </w:rPr>
        <w:t xml:space="preserve">Resumen </w:t>
      </w:r>
      <w:r w:rsidR="00895653" w:rsidRPr="0064710C">
        <w:rPr>
          <w:rFonts w:ascii="Times New Roman" w:hAnsi="Times New Roman" w:cs="Times New Roman"/>
          <w:bCs/>
          <w:szCs w:val="24"/>
          <w:lang w:val="es-ES"/>
        </w:rPr>
        <w:t>de las conclusiones principales</w:t>
      </w:r>
      <w:r w:rsidR="00895653" w:rsidRPr="00895653">
        <w:rPr>
          <w:rFonts w:ascii="Times New Roman" w:hAnsi="Times New Roman" w:cs="Times New Roman"/>
          <w:bCs/>
          <w:szCs w:val="24"/>
          <w:lang w:val="es-ES"/>
        </w:rPr>
        <w:t xml:space="preserve"> </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Pr>
          <w:lang w:val="es-ES"/>
        </w:rPr>
        <w:t>En la</w:t>
      </w:r>
      <w:r w:rsidRPr="00AE191B">
        <w:rPr>
          <w:lang w:val="es-ES"/>
        </w:rPr>
        <w:t xml:space="preserve"> revisión funcional </w:t>
      </w:r>
      <w:r>
        <w:rPr>
          <w:lang w:val="es-ES"/>
        </w:rPr>
        <w:t>se determinó</w:t>
      </w:r>
      <w:r w:rsidRPr="00AE191B">
        <w:rPr>
          <w:lang w:val="es-ES"/>
        </w:rPr>
        <w:t xml:space="preserve"> una serie de fortalezas y </w:t>
      </w:r>
      <w:r>
        <w:rPr>
          <w:lang w:val="es-ES"/>
        </w:rPr>
        <w:t>problemas</w:t>
      </w:r>
      <w:r w:rsidRPr="00AE191B">
        <w:rPr>
          <w:lang w:val="es-ES"/>
        </w:rPr>
        <w:t xml:space="preserve"> institucionales </w:t>
      </w:r>
      <w:r>
        <w:rPr>
          <w:lang w:val="es-ES"/>
        </w:rPr>
        <w:t>que afectan a</w:t>
      </w:r>
      <w:r w:rsidRPr="00AE191B">
        <w:rPr>
          <w:lang w:val="es-ES"/>
        </w:rPr>
        <w:t xml:space="preserve"> la estructura, los recursos, los procesos operativos y los mecanismos de coordinación de la Secretaría. La revisión funcional confirmó que la Secretaría ha mantenido un sólido historial de </w:t>
      </w:r>
      <w:r>
        <w:rPr>
          <w:lang w:val="es-ES"/>
        </w:rPr>
        <w:t>cumplimiento</w:t>
      </w:r>
      <w:r w:rsidRPr="00AE191B">
        <w:rPr>
          <w:lang w:val="es-ES"/>
        </w:rPr>
        <w:t xml:space="preserve"> a pesar de las importantes presiones operativas y de recursos. Se beneficia de un personal </w:t>
      </w:r>
      <w:r>
        <w:rPr>
          <w:lang w:val="es-ES"/>
        </w:rPr>
        <w:t>especializado</w:t>
      </w:r>
      <w:r w:rsidRPr="00AE191B">
        <w:rPr>
          <w:lang w:val="es-ES"/>
        </w:rPr>
        <w:t xml:space="preserve"> y </w:t>
      </w:r>
      <w:r w:rsidRPr="00AE191B">
        <w:rPr>
          <w:lang w:val="es-ES"/>
        </w:rPr>
        <w:lastRenderedPageBreak/>
        <w:t xml:space="preserve">técnicamente cualificado, una cultura de colaboración y una capacidad constante para satisfacer las expectativas de las Partes en condiciones exigentes. Al mismo tiempo, el análisis identificó varias áreas institucionales en las que una mayor coherencia, claridad e integración fortalecerían aún más el </w:t>
      </w:r>
      <w:r>
        <w:rPr>
          <w:lang w:val="es-ES"/>
        </w:rPr>
        <w:t>desempeño</w:t>
      </w:r>
      <w:r w:rsidRPr="00AE191B">
        <w:rPr>
          <w:lang w:val="es-ES"/>
        </w:rPr>
        <w:t xml:space="preserve"> y la sostenibilidad de la Secretaría</w:t>
      </w:r>
      <w:r w:rsidR="001C6D3B" w:rsidRPr="00895653">
        <w:rPr>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E05D43">
        <w:rPr>
          <w:rFonts w:eastAsia="Times New Roman"/>
          <w:lang w:val="es-ES"/>
        </w:rPr>
        <w:t>Las principales conclusiones de la revisión funcional son las siguientes</w:t>
      </w:r>
      <w:r w:rsidR="001C6D3B" w:rsidRPr="00895653">
        <w:rPr>
          <w:rFonts w:eastAsia="Times New Roman"/>
          <w:lang w:val="es-ES"/>
        </w:rPr>
        <w:t>:</w:t>
      </w:r>
    </w:p>
    <w:p w:rsidR="001C6D3B" w:rsidRPr="00617309" w:rsidRDefault="00895653" w:rsidP="002D33BE">
      <w:pPr>
        <w:pStyle w:val="Ttulo3"/>
        <w:numPr>
          <w:ilvl w:val="0"/>
          <w:numId w:val="0"/>
        </w:numPr>
        <w:ind w:left="567" w:hanging="567"/>
        <w:rPr>
          <w:b w:val="0"/>
          <w:bCs w:val="0"/>
        </w:rPr>
      </w:pPr>
      <w:r>
        <w:t>Armonización es</w:t>
      </w:r>
      <w:r w:rsidRPr="00617309">
        <w:t xml:space="preserve">tructural </w:t>
      </w:r>
      <w:r>
        <w:t>y</w:t>
      </w:r>
      <w:r w:rsidRPr="00617309">
        <w:t xml:space="preserve"> </w:t>
      </w:r>
      <w:r>
        <w:t>e</w:t>
      </w:r>
      <w:r w:rsidRPr="00617309">
        <w:t>strat</w:t>
      </w:r>
      <w:r>
        <w:t>égica</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E05D43">
        <w:rPr>
          <w:rFonts w:eastAsia="Times New Roman"/>
          <w:lang w:val="es-ES"/>
        </w:rPr>
        <w:t xml:space="preserve">La Secretaría ha </w:t>
      </w:r>
      <w:r>
        <w:rPr>
          <w:rFonts w:eastAsia="Times New Roman"/>
          <w:lang w:val="es-ES"/>
        </w:rPr>
        <w:t>realizado</w:t>
      </w:r>
      <w:r w:rsidRPr="00E05D43">
        <w:rPr>
          <w:rFonts w:eastAsia="Times New Roman"/>
          <w:lang w:val="es-ES"/>
        </w:rPr>
        <w:t xml:space="preserve"> avances significativos en el apoyo a los objetivos y metas del </w:t>
      </w:r>
      <w:r w:rsidRPr="005800A9">
        <w:rPr>
          <w:rFonts w:eastAsia="Times New Roman"/>
          <w:lang w:val="es-ES"/>
        </w:rPr>
        <w:t>Marco Mundial de Biodiversidad de Kunming-Montreal</w:t>
      </w:r>
      <w:r w:rsidRPr="00E05D43">
        <w:rPr>
          <w:rFonts w:eastAsia="Times New Roman"/>
          <w:lang w:val="es-ES"/>
        </w:rPr>
        <w:t xml:space="preserve">, en particular mediante importantes contribuciones a la implementación, la integración y </w:t>
      </w:r>
      <w:r>
        <w:rPr>
          <w:rFonts w:eastAsia="Times New Roman"/>
          <w:lang w:val="es-ES"/>
        </w:rPr>
        <w:t>la creación de capacidad</w:t>
      </w:r>
      <w:r w:rsidRPr="00E05D43">
        <w:rPr>
          <w:rFonts w:eastAsia="Times New Roman"/>
          <w:lang w:val="es-ES"/>
        </w:rPr>
        <w:t xml:space="preserve">. El </w:t>
      </w:r>
      <w:r>
        <w:rPr>
          <w:rFonts w:eastAsia="Times New Roman"/>
          <w:lang w:val="es-ES"/>
        </w:rPr>
        <w:t>análisis</w:t>
      </w:r>
      <w:r w:rsidRPr="00E05D43">
        <w:rPr>
          <w:rFonts w:eastAsia="Times New Roman"/>
          <w:lang w:val="es-ES"/>
        </w:rPr>
        <w:t xml:space="preserve"> de las líneas de trabajo de la Secretaría muestra una clara </w:t>
      </w:r>
      <w:r>
        <w:rPr>
          <w:rFonts w:eastAsia="Times New Roman"/>
          <w:lang w:val="es-ES"/>
        </w:rPr>
        <w:t>correspondencia</w:t>
      </w:r>
      <w:r w:rsidRPr="00E05D43">
        <w:rPr>
          <w:rFonts w:eastAsia="Times New Roman"/>
          <w:lang w:val="es-ES"/>
        </w:rPr>
        <w:t xml:space="preserve"> con las prioridades del </w:t>
      </w:r>
      <w:r w:rsidRPr="005800A9">
        <w:rPr>
          <w:rFonts w:eastAsia="Times New Roman"/>
          <w:lang w:val="es-ES"/>
        </w:rPr>
        <w:t>Marco Mundial de Biodiversidad de Kunming-Montreal</w:t>
      </w:r>
      <w:r w:rsidRPr="00E05D43">
        <w:rPr>
          <w:rFonts w:eastAsia="Times New Roman"/>
          <w:lang w:val="es-ES"/>
        </w:rPr>
        <w:t>. Al mismo tiempo, la estructura actual ofrece oportunidades para reforzar la coherencia y equilibrar mejor las funciones en toda</w:t>
      </w:r>
      <w:r>
        <w:rPr>
          <w:rFonts w:eastAsia="Times New Roman"/>
          <w:lang w:val="es-ES"/>
        </w:rPr>
        <w:t>s las</w:t>
      </w:r>
      <w:r w:rsidRPr="00E05D43">
        <w:rPr>
          <w:rFonts w:eastAsia="Times New Roman"/>
          <w:lang w:val="es-ES"/>
        </w:rPr>
        <w:t xml:space="preserve"> </w:t>
      </w:r>
      <w:r>
        <w:rPr>
          <w:rFonts w:eastAsia="Times New Roman"/>
          <w:lang w:val="es-ES"/>
        </w:rPr>
        <w:t>metas</w:t>
      </w:r>
      <w:r w:rsidRPr="00E05D43">
        <w:rPr>
          <w:rFonts w:eastAsia="Times New Roman"/>
          <w:lang w:val="es-ES"/>
        </w:rPr>
        <w:t xml:space="preserve"> del </w:t>
      </w:r>
      <w:r w:rsidRPr="005800A9">
        <w:rPr>
          <w:rFonts w:eastAsia="Times New Roman"/>
          <w:lang w:val="es-ES"/>
        </w:rPr>
        <w:t>Marco Mundial de Biodiversidad de Kunming-Montreal</w:t>
      </w:r>
      <w:r w:rsidRPr="00E05D43">
        <w:rPr>
          <w:rFonts w:eastAsia="Times New Roman"/>
          <w:lang w:val="es-ES"/>
        </w:rPr>
        <w:t xml:space="preserve">. Mejorar la coordinación, aclarar las responsabilidades institucionales y reforzar la planificación estratégica contribuiría a garantizar que las decisiones, la </w:t>
      </w:r>
      <w:r>
        <w:rPr>
          <w:rFonts w:eastAsia="Times New Roman"/>
          <w:lang w:val="es-ES"/>
        </w:rPr>
        <w:t>presupuestación</w:t>
      </w:r>
      <w:r w:rsidRPr="00E05D43">
        <w:rPr>
          <w:rFonts w:eastAsia="Times New Roman"/>
          <w:lang w:val="es-ES"/>
        </w:rPr>
        <w:t xml:space="preserve"> y la movilización de recursos estén más en consonancia con las prioridades estratégicas</w:t>
      </w:r>
      <w:r w:rsidR="001C6D3B" w:rsidRPr="00895653">
        <w:rPr>
          <w:rFonts w:eastAsia="Times New Roman"/>
          <w:lang w:val="es-ES"/>
        </w:rPr>
        <w:t>.</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5800A9">
        <w:rPr>
          <w:rFonts w:eastAsia="Times New Roman"/>
          <w:lang w:val="es-ES"/>
        </w:rPr>
        <w:t>Más concretamente, la revisión dio lugar</w:t>
      </w:r>
      <w:r>
        <w:rPr>
          <w:rFonts w:eastAsia="Times New Roman"/>
          <w:lang w:val="es-ES"/>
        </w:rPr>
        <w:t xml:space="preserve"> a las siguientes observaciones</w:t>
      </w:r>
      <w:r w:rsidR="001C6D3B" w:rsidRPr="00895653">
        <w:rPr>
          <w:rFonts w:eastAsia="Times New Roman"/>
          <w:lang w:val="es-ES"/>
        </w:rPr>
        <w:t>:</w:t>
      </w:r>
    </w:p>
    <w:p w:rsidR="001C6D3B" w:rsidRPr="00895653" w:rsidRDefault="00895653" w:rsidP="008619CF">
      <w:pPr>
        <w:pStyle w:val="Prrafodelista"/>
        <w:numPr>
          <w:ilvl w:val="1"/>
          <w:numId w:val="58"/>
        </w:numPr>
        <w:tabs>
          <w:tab w:val="clear" w:pos="567"/>
          <w:tab w:val="clear" w:pos="1134"/>
          <w:tab w:val="clear" w:pos="1701"/>
          <w:tab w:val="clear" w:pos="2268"/>
        </w:tabs>
        <w:spacing w:line="276" w:lineRule="auto"/>
        <w:rPr>
          <w:rFonts w:eastAsia="Times New Roman"/>
          <w:lang w:val="es-ES"/>
        </w:rPr>
      </w:pPr>
      <w:r w:rsidRPr="005800A9">
        <w:rPr>
          <w:rFonts w:eastAsia="Times New Roman"/>
          <w:lang w:val="es-ES"/>
        </w:rPr>
        <w:t xml:space="preserve">Existe un gran potencial para integrar </w:t>
      </w:r>
      <w:r>
        <w:rPr>
          <w:rFonts w:eastAsia="Times New Roman"/>
          <w:lang w:val="es-ES"/>
        </w:rPr>
        <w:t>en mayor medida</w:t>
      </w:r>
      <w:r w:rsidRPr="005800A9">
        <w:rPr>
          <w:rFonts w:eastAsia="Times New Roman"/>
          <w:lang w:val="es-ES"/>
        </w:rPr>
        <w:t xml:space="preserve"> las líneas de trabajo temáticas en el ámbito de</w:t>
      </w:r>
      <w:r>
        <w:rPr>
          <w:rFonts w:eastAsia="Times New Roman"/>
          <w:lang w:val="es-ES"/>
        </w:rPr>
        <w:t xml:space="preserve"> la creación de </w:t>
      </w:r>
      <w:r w:rsidRPr="005800A9">
        <w:rPr>
          <w:rFonts w:eastAsia="Times New Roman"/>
          <w:lang w:val="es-ES"/>
        </w:rPr>
        <w:t xml:space="preserve">capacidad, la gestión de conocimientos y </w:t>
      </w:r>
      <w:r>
        <w:rPr>
          <w:rFonts w:eastAsia="Times New Roman"/>
          <w:lang w:val="es-ES"/>
        </w:rPr>
        <w:t>el seguimiento</w:t>
      </w:r>
      <w:r w:rsidRPr="005800A9">
        <w:rPr>
          <w:rFonts w:eastAsia="Times New Roman"/>
          <w:lang w:val="es-ES"/>
        </w:rPr>
        <w:t xml:space="preserve">, la presentación de informes y la </w:t>
      </w:r>
      <w:r>
        <w:rPr>
          <w:rFonts w:eastAsia="Times New Roman"/>
          <w:lang w:val="es-ES"/>
        </w:rPr>
        <w:t>revisión</w:t>
      </w:r>
      <w:r w:rsidR="001C6D3B" w:rsidRPr="00895653">
        <w:rPr>
          <w:rFonts w:eastAsia="Times New Roman"/>
          <w:lang w:val="es-ES"/>
        </w:rPr>
        <w:t>;</w:t>
      </w:r>
    </w:p>
    <w:p w:rsidR="001C6D3B" w:rsidRPr="00895653" w:rsidRDefault="00895653" w:rsidP="008619CF">
      <w:pPr>
        <w:pStyle w:val="Prrafodelista"/>
        <w:numPr>
          <w:ilvl w:val="1"/>
          <w:numId w:val="58"/>
        </w:numPr>
        <w:tabs>
          <w:tab w:val="clear" w:pos="567"/>
          <w:tab w:val="clear" w:pos="1134"/>
          <w:tab w:val="clear" w:pos="1701"/>
          <w:tab w:val="clear" w:pos="2268"/>
        </w:tabs>
        <w:spacing w:line="276" w:lineRule="auto"/>
        <w:rPr>
          <w:rFonts w:eastAsia="Times New Roman"/>
          <w:lang w:val="es-ES"/>
        </w:rPr>
      </w:pPr>
      <w:r w:rsidRPr="005800A9">
        <w:rPr>
          <w:rFonts w:eastAsia="Times New Roman"/>
          <w:lang w:val="es-ES"/>
        </w:rPr>
        <w:t>Las funciones de movilización de recursos y participación de l</w:t>
      </w:r>
      <w:r>
        <w:rPr>
          <w:rFonts w:eastAsia="Times New Roman"/>
          <w:lang w:val="es-ES"/>
        </w:rPr>
        <w:t xml:space="preserve">os interesados </w:t>
      </w:r>
      <w:r w:rsidRPr="005800A9">
        <w:rPr>
          <w:rFonts w:eastAsia="Times New Roman"/>
          <w:lang w:val="es-ES"/>
        </w:rPr>
        <w:t>se beneficiarían de un enfoque más unificado y estratégico</w:t>
      </w:r>
      <w:r w:rsidR="001C6D3B" w:rsidRPr="00895653">
        <w:rPr>
          <w:rFonts w:eastAsia="Times New Roman"/>
          <w:lang w:val="es-ES"/>
        </w:rPr>
        <w:t xml:space="preserve">; </w:t>
      </w:r>
    </w:p>
    <w:p w:rsidR="001C6D3B" w:rsidRPr="00895653" w:rsidRDefault="00895653" w:rsidP="008619CF">
      <w:pPr>
        <w:pStyle w:val="Prrafodelista"/>
        <w:numPr>
          <w:ilvl w:val="1"/>
          <w:numId w:val="58"/>
        </w:numPr>
        <w:tabs>
          <w:tab w:val="clear" w:pos="567"/>
          <w:tab w:val="clear" w:pos="1134"/>
          <w:tab w:val="clear" w:pos="1701"/>
          <w:tab w:val="clear" w:pos="2268"/>
        </w:tabs>
        <w:spacing w:line="276" w:lineRule="auto"/>
        <w:rPr>
          <w:rFonts w:eastAsia="Times New Roman"/>
          <w:lang w:val="es-ES"/>
        </w:rPr>
      </w:pPr>
      <w:r w:rsidRPr="008B435B">
        <w:rPr>
          <w:rFonts w:eastAsia="Times New Roman"/>
          <w:lang w:val="es-ES"/>
        </w:rPr>
        <w:t>Los servicios de conferencias podrían reforzarse para garantizar un apoyo sostenible y eficiente, habida cuenta de las limitaciones de recursos y del aumento de las necesidades de servicios en los últimos años</w:t>
      </w:r>
      <w:r w:rsidR="001C6D3B" w:rsidRPr="00895653">
        <w:rPr>
          <w:rFonts w:eastAsia="Times New Roman"/>
          <w:lang w:val="es-ES"/>
        </w:rPr>
        <w:t>;</w:t>
      </w:r>
    </w:p>
    <w:p w:rsidR="001C6D3B" w:rsidRPr="00895653" w:rsidRDefault="00895653" w:rsidP="008619CF">
      <w:pPr>
        <w:pStyle w:val="Prrafodelista"/>
        <w:numPr>
          <w:ilvl w:val="1"/>
          <w:numId w:val="58"/>
        </w:numPr>
        <w:tabs>
          <w:tab w:val="clear" w:pos="567"/>
          <w:tab w:val="clear" w:pos="1134"/>
          <w:tab w:val="clear" w:pos="1701"/>
          <w:tab w:val="clear" w:pos="2268"/>
        </w:tabs>
        <w:spacing w:line="276" w:lineRule="auto"/>
        <w:rPr>
          <w:rFonts w:eastAsia="Times New Roman"/>
          <w:lang w:val="es-ES"/>
        </w:rPr>
      </w:pPr>
      <w:r w:rsidRPr="008B435B">
        <w:rPr>
          <w:rFonts w:eastAsia="Times New Roman"/>
          <w:lang w:val="es-ES"/>
        </w:rPr>
        <w:t xml:space="preserve">Los servicios de tecnología de la información, actualmente distribuidos entre varias </w:t>
      </w:r>
      <w:r>
        <w:rPr>
          <w:rFonts w:eastAsia="Times New Roman"/>
          <w:lang w:val="es-ES"/>
        </w:rPr>
        <w:t>dependencias</w:t>
      </w:r>
      <w:r w:rsidRPr="008B435B">
        <w:rPr>
          <w:rFonts w:eastAsia="Times New Roman"/>
          <w:lang w:val="es-ES"/>
        </w:rPr>
        <w:t>, ofrecen oportunidades para un apoyo digital más integrado</w:t>
      </w:r>
      <w:r w:rsidR="001C6D3B" w:rsidRPr="00895653">
        <w:rPr>
          <w:rFonts w:eastAsia="Times New Roman"/>
          <w:lang w:val="es-ES"/>
        </w:rPr>
        <w:t>;</w:t>
      </w:r>
    </w:p>
    <w:p w:rsidR="001C6D3B" w:rsidRPr="00895653" w:rsidRDefault="00895653" w:rsidP="008619CF">
      <w:pPr>
        <w:pStyle w:val="Prrafodelista"/>
        <w:numPr>
          <w:ilvl w:val="1"/>
          <w:numId w:val="58"/>
        </w:numPr>
        <w:tabs>
          <w:tab w:val="clear" w:pos="567"/>
          <w:tab w:val="clear" w:pos="1134"/>
          <w:tab w:val="clear" w:pos="1701"/>
          <w:tab w:val="clear" w:pos="2268"/>
        </w:tabs>
        <w:spacing w:line="276" w:lineRule="auto"/>
        <w:rPr>
          <w:rFonts w:eastAsia="Times New Roman"/>
          <w:lang w:val="es-ES"/>
        </w:rPr>
      </w:pPr>
      <w:r w:rsidRPr="008B435B">
        <w:rPr>
          <w:rFonts w:eastAsia="Times New Roman"/>
          <w:lang w:val="es-ES"/>
        </w:rPr>
        <w:t>El marco de</w:t>
      </w:r>
      <w:r>
        <w:rPr>
          <w:rFonts w:eastAsia="Times New Roman"/>
          <w:lang w:val="es-ES"/>
        </w:rPr>
        <w:t xml:space="preserve"> presupuestación basada </w:t>
      </w:r>
      <w:r w:rsidRPr="008B435B">
        <w:rPr>
          <w:rFonts w:eastAsia="Times New Roman"/>
          <w:lang w:val="es-ES"/>
        </w:rPr>
        <w:t>en los resultados, aunque ya está en vigor, podría aprovecharse m</w:t>
      </w:r>
      <w:r>
        <w:rPr>
          <w:rFonts w:eastAsia="Times New Roman"/>
          <w:lang w:val="es-ES"/>
        </w:rPr>
        <w:t>ejor</w:t>
      </w:r>
      <w:r w:rsidRPr="008B435B">
        <w:rPr>
          <w:rFonts w:eastAsia="Times New Roman"/>
          <w:lang w:val="es-ES"/>
        </w:rPr>
        <w:t xml:space="preserve"> para apoyar la planificación</w:t>
      </w:r>
      <w:r>
        <w:rPr>
          <w:rFonts w:eastAsia="Times New Roman"/>
          <w:lang w:val="es-ES"/>
        </w:rPr>
        <w:t xml:space="preserve"> integrada</w:t>
      </w:r>
      <w:r w:rsidRPr="008B435B">
        <w:rPr>
          <w:rFonts w:eastAsia="Times New Roman"/>
          <w:lang w:val="es-ES"/>
        </w:rPr>
        <w:t>, la presupuestación, la establecimiento de prioridades y la presentación de informes</w:t>
      </w:r>
      <w:r w:rsidR="001C6D3B" w:rsidRPr="00895653">
        <w:rPr>
          <w:rFonts w:eastAsia="Times New Roman"/>
          <w:lang w:val="es-ES"/>
        </w:rPr>
        <w:t>.</w:t>
      </w:r>
    </w:p>
    <w:p w:rsidR="001C6D3B" w:rsidRPr="00617309" w:rsidRDefault="00895653" w:rsidP="002D33BE">
      <w:pPr>
        <w:pStyle w:val="Ttulo3"/>
        <w:numPr>
          <w:ilvl w:val="0"/>
          <w:numId w:val="0"/>
        </w:numPr>
        <w:ind w:left="567" w:hanging="567"/>
        <w:rPr>
          <w:b w:val="0"/>
          <w:bCs w:val="0"/>
        </w:rPr>
      </w:pPr>
      <w:r>
        <w:t>Coherencia transversal</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Pr>
          <w:rFonts w:eastAsia="Times New Roman"/>
          <w:lang w:val="es-ES"/>
        </w:rPr>
        <w:t>Aunque</w:t>
      </w:r>
      <w:r w:rsidRPr="00D93C75">
        <w:rPr>
          <w:rFonts w:eastAsia="Times New Roman"/>
          <w:lang w:val="es-ES"/>
        </w:rPr>
        <w:t xml:space="preserve"> la colaboración dentro de los equipos es sólida, la coordinación entre divisiones y </w:t>
      </w:r>
      <w:r>
        <w:rPr>
          <w:rFonts w:eastAsia="Times New Roman"/>
          <w:lang w:val="es-ES"/>
        </w:rPr>
        <w:t>dependencias</w:t>
      </w:r>
      <w:r w:rsidRPr="00D93C75">
        <w:rPr>
          <w:rFonts w:eastAsia="Times New Roman"/>
          <w:lang w:val="es-ES"/>
        </w:rPr>
        <w:t xml:space="preserve"> puede mejorarse aún más. Los mecanismos actuales para la planificación y el intercambio de información entre las distintas secretarías pueden mejorarse a fin de reforzar la coordinación y la colaboración, lo que favorecería una labor más integrada en</w:t>
      </w:r>
      <w:r>
        <w:rPr>
          <w:rFonts w:eastAsia="Times New Roman"/>
          <w:lang w:val="es-ES"/>
        </w:rPr>
        <w:t xml:space="preserve"> todas las</w:t>
      </w:r>
      <w:r w:rsidRPr="00D93C75">
        <w:rPr>
          <w:rFonts w:eastAsia="Times New Roman"/>
          <w:lang w:val="es-ES"/>
        </w:rPr>
        <w:t xml:space="preserve"> esferas funcionales y permitiría un uso más eficiente de los recursos. Además, la mejora de la comunicación interna y la incorporación de prácticas coherentes de gestión del cambio contribuirían a reforzar la </w:t>
      </w:r>
      <w:r>
        <w:rPr>
          <w:rFonts w:eastAsia="Times New Roman"/>
          <w:lang w:val="es-ES"/>
        </w:rPr>
        <w:t xml:space="preserve">implicación </w:t>
      </w:r>
      <w:r w:rsidRPr="00D93C75">
        <w:rPr>
          <w:rFonts w:eastAsia="Times New Roman"/>
          <w:lang w:val="es-ES"/>
        </w:rPr>
        <w:t>colectiv</w:t>
      </w:r>
      <w:r>
        <w:rPr>
          <w:rFonts w:eastAsia="Times New Roman"/>
          <w:lang w:val="es-ES"/>
        </w:rPr>
        <w:t>a y la coherencia institucional</w:t>
      </w:r>
      <w:r w:rsidR="001C6D3B" w:rsidRPr="00895653">
        <w:rPr>
          <w:rFonts w:eastAsia="Times New Roman"/>
          <w:lang w:val="es-ES"/>
        </w:rPr>
        <w:t>.</w:t>
      </w:r>
    </w:p>
    <w:p w:rsidR="001C6D3B" w:rsidRPr="00895653" w:rsidRDefault="00895653" w:rsidP="002D33BE">
      <w:pPr>
        <w:pStyle w:val="Ttulo3"/>
        <w:numPr>
          <w:ilvl w:val="0"/>
          <w:numId w:val="0"/>
        </w:numPr>
        <w:ind w:left="567" w:hanging="567"/>
        <w:rPr>
          <w:b w:val="0"/>
          <w:bCs w:val="0"/>
          <w:lang w:val="es-ES"/>
        </w:rPr>
      </w:pPr>
      <w:r>
        <w:rPr>
          <w:lang w:val="es-ES"/>
        </w:rPr>
        <w:t>E</w:t>
      </w:r>
      <w:r w:rsidRPr="00BF09D4">
        <w:rPr>
          <w:lang w:val="es-ES"/>
        </w:rPr>
        <w:t>mpoderamiento y rendición de cuentas</w:t>
      </w:r>
    </w:p>
    <w:p w:rsidR="001C6D3B" w:rsidRPr="00895653" w:rsidRDefault="0089565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BF09D4">
        <w:rPr>
          <w:rFonts w:eastAsia="Times New Roman"/>
          <w:lang w:val="es-ES"/>
        </w:rPr>
        <w:t>A nivel ejecutivo, la autoridad delegada para las adquisiciones es limitada y no ha seguido el ritmo de la inflación de los precios durante la última década, lo que limita la autoridad ejecutiva y da lugar a procesos administrativos engorrosos. En términos más generales, el nivel de dependencia del Programa de las Naciones Unidas para el Medio Ambiente (PNUMA) y la Oficina de las Naciones Unidas en Nairobi (ONUN) para las funciones administrativas y operativas puede alargar los tiempos de tramitación y reducir la flexibilidad y agilidad de la Secretaría en lo que respecta a las transaccion</w:t>
      </w:r>
      <w:r>
        <w:rPr>
          <w:rFonts w:eastAsia="Times New Roman"/>
          <w:lang w:val="es-ES"/>
        </w:rPr>
        <w:t>es administrativas</w:t>
      </w:r>
      <w:r w:rsidR="001C6D3B" w:rsidRPr="00895653">
        <w:rPr>
          <w:rFonts w:eastAsia="Times New Roman"/>
          <w:lang w:val="es-ES"/>
        </w:rPr>
        <w:t>.</w:t>
      </w:r>
    </w:p>
    <w:p w:rsidR="001C6D3B" w:rsidRPr="00C96157" w:rsidRDefault="00C96157" w:rsidP="002D33BE">
      <w:pPr>
        <w:pStyle w:val="Ttulo3"/>
        <w:numPr>
          <w:ilvl w:val="0"/>
          <w:numId w:val="0"/>
        </w:numPr>
        <w:ind w:left="567" w:hanging="567"/>
        <w:rPr>
          <w:b w:val="0"/>
          <w:bCs w:val="0"/>
          <w:lang w:val="es-ES"/>
        </w:rPr>
      </w:pPr>
      <w:r w:rsidRPr="00275754">
        <w:rPr>
          <w:lang w:val="es-ES"/>
        </w:rPr>
        <w:lastRenderedPageBreak/>
        <w:t>Capacidad y dotación de recursos humanos</w:t>
      </w:r>
    </w:p>
    <w:p w:rsidR="001C6D3B" w:rsidRPr="00C96157" w:rsidRDefault="00C96157"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B82ECF">
        <w:rPr>
          <w:rFonts w:eastAsia="Times New Roman"/>
          <w:lang w:val="es-ES"/>
        </w:rPr>
        <w:t xml:space="preserve">Como se ha señalado anteriormente, durante la última década, </w:t>
      </w:r>
      <w:r>
        <w:rPr>
          <w:rFonts w:eastAsia="Times New Roman"/>
          <w:lang w:val="es-ES"/>
        </w:rPr>
        <w:t>el nivel de</w:t>
      </w:r>
      <w:r w:rsidRPr="00B82ECF">
        <w:rPr>
          <w:rFonts w:eastAsia="Times New Roman"/>
          <w:lang w:val="es-ES"/>
        </w:rPr>
        <w:t xml:space="preserve"> dotación de personal de la Secretaría se ha estancado, mientras que el alcance y el volumen de trabajo </w:t>
      </w:r>
      <w:r>
        <w:rPr>
          <w:rFonts w:eastAsia="Times New Roman"/>
          <w:lang w:val="es-ES"/>
        </w:rPr>
        <w:t>h</w:t>
      </w:r>
      <w:r w:rsidRPr="00B82ECF">
        <w:rPr>
          <w:rFonts w:eastAsia="Times New Roman"/>
          <w:lang w:val="es-ES"/>
        </w:rPr>
        <w:t>an a</w:t>
      </w:r>
      <w:r>
        <w:rPr>
          <w:rFonts w:eastAsia="Times New Roman"/>
          <w:lang w:val="es-ES"/>
        </w:rPr>
        <w:t>umentado</w:t>
      </w:r>
      <w:r w:rsidRPr="00B82ECF">
        <w:rPr>
          <w:rFonts w:eastAsia="Times New Roman"/>
          <w:lang w:val="es-ES"/>
        </w:rPr>
        <w:t xml:space="preserve"> considerablemente. Esta evolución ha dado lugar a acuerdos </w:t>
      </w:r>
      <w:r w:rsidRPr="00C4115F">
        <w:rPr>
          <w:rFonts w:eastAsia="Times New Roman"/>
          <w:lang w:val="es-ES"/>
        </w:rPr>
        <w:t>ad hoc</w:t>
      </w:r>
      <w:r w:rsidRPr="00B82ECF">
        <w:rPr>
          <w:rFonts w:eastAsia="Times New Roman"/>
          <w:lang w:val="es-ES"/>
        </w:rPr>
        <w:t xml:space="preserve"> con el personal, que asume tareas adicionales, al </w:t>
      </w:r>
      <w:r>
        <w:rPr>
          <w:rFonts w:eastAsia="Times New Roman"/>
          <w:lang w:val="es-ES"/>
        </w:rPr>
        <w:t>uso de</w:t>
      </w:r>
      <w:r w:rsidRPr="00B82ECF">
        <w:rPr>
          <w:rFonts w:eastAsia="Times New Roman"/>
          <w:lang w:val="es-ES"/>
        </w:rPr>
        <w:t xml:space="preserve"> contratistas a corto plazo para cubrir las carencias y a una sobrecarga de trabajo en algunas áreas, especialmente en los momentos de mayor actividad. La falta de recursos de personal se ha visto agravada, en parte, por los retrasos en </w:t>
      </w:r>
      <w:r>
        <w:rPr>
          <w:rFonts w:eastAsia="Times New Roman"/>
          <w:lang w:val="es-ES"/>
        </w:rPr>
        <w:t>el proceso de</w:t>
      </w:r>
      <w:r w:rsidRPr="00B82ECF">
        <w:rPr>
          <w:rFonts w:eastAsia="Times New Roman"/>
          <w:lang w:val="es-ES"/>
        </w:rPr>
        <w:t xml:space="preserve"> contratación. Es necesario garantizar una dotación de personal y una capacidad de recursos humanos adecuadas para mejorar la contratación y la incorporación, lo que favorecerá una distribución más sostenible de la carga de trabajo y la capacidad de la Secretaría para cumplir las funciones que le han sido encomendadas, </w:t>
      </w:r>
      <w:r w:rsidRPr="00C4115F">
        <w:rPr>
          <w:rFonts w:eastAsia="Times New Roman"/>
          <w:lang w:val="es-ES"/>
        </w:rPr>
        <w:t>sin dejar de velar por el bienestar del personal</w:t>
      </w:r>
      <w:r w:rsidR="001C6D3B" w:rsidRPr="00C96157">
        <w:rPr>
          <w:rFonts w:eastAsia="Times New Roman"/>
          <w:lang w:val="es-ES"/>
        </w:rPr>
        <w:t>.</w:t>
      </w:r>
    </w:p>
    <w:p w:rsidR="001C6D3B" w:rsidRPr="00617309" w:rsidRDefault="00C96157" w:rsidP="00507DC7">
      <w:pPr>
        <w:pStyle w:val="Ttulo3"/>
        <w:numPr>
          <w:ilvl w:val="0"/>
          <w:numId w:val="0"/>
        </w:numPr>
        <w:ind w:left="567" w:hanging="567"/>
        <w:rPr>
          <w:b w:val="0"/>
          <w:bCs w:val="0"/>
        </w:rPr>
      </w:pPr>
      <w:r>
        <w:t>Indicadores del desempeño</w:t>
      </w:r>
    </w:p>
    <w:p w:rsidR="001C6D3B" w:rsidRPr="00C96157" w:rsidRDefault="00C96157"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765DC5">
        <w:rPr>
          <w:rFonts w:eastAsia="Times New Roman"/>
          <w:lang w:val="es-ES"/>
        </w:rPr>
        <w:t xml:space="preserve">Si bien la Secretaría ha establecido mecanismos integrales de planificación y presentación de informes para los procesos intergubernamentales vinculados a la COP y sus órganos subsidiarios, se podría reforzar el seguimiento interno del desempeño en toda la Secretaría. La ausencia de un marco de medición del desempeño, de indicadores de desempeño y de datos de calidad </w:t>
      </w:r>
      <w:r>
        <w:rPr>
          <w:rFonts w:eastAsia="Times New Roman"/>
          <w:lang w:val="es-ES"/>
        </w:rPr>
        <w:t>en</w:t>
      </w:r>
      <w:r w:rsidRPr="00765DC5">
        <w:rPr>
          <w:rFonts w:eastAsia="Times New Roman"/>
          <w:lang w:val="es-ES"/>
        </w:rPr>
        <w:t xml:space="preserve"> toda la Secretaría resultó ser un </w:t>
      </w:r>
      <w:r>
        <w:rPr>
          <w:rFonts w:eastAsia="Times New Roman"/>
          <w:lang w:val="es-ES"/>
        </w:rPr>
        <w:t>desafío</w:t>
      </w:r>
      <w:r w:rsidRPr="00765DC5">
        <w:rPr>
          <w:rFonts w:eastAsia="Times New Roman"/>
          <w:lang w:val="es-ES"/>
        </w:rPr>
        <w:t xml:space="preserve"> para </w:t>
      </w:r>
      <w:r>
        <w:rPr>
          <w:rFonts w:eastAsia="Times New Roman"/>
          <w:lang w:val="es-ES"/>
        </w:rPr>
        <w:t>la revisión</w:t>
      </w:r>
      <w:r w:rsidRPr="00765DC5">
        <w:rPr>
          <w:rFonts w:eastAsia="Times New Roman"/>
          <w:lang w:val="es-ES"/>
        </w:rPr>
        <w:t xml:space="preserve"> funcional, pero también plantea </w:t>
      </w:r>
      <w:r>
        <w:rPr>
          <w:rFonts w:eastAsia="Times New Roman"/>
          <w:lang w:val="es-ES"/>
        </w:rPr>
        <w:t>desafíos contin</w:t>
      </w:r>
      <w:r w:rsidRPr="00765DC5">
        <w:rPr>
          <w:rFonts w:eastAsia="Times New Roman"/>
          <w:lang w:val="es-ES"/>
        </w:rPr>
        <w:t>uos para la SC</w:t>
      </w:r>
      <w:r>
        <w:rPr>
          <w:rFonts w:eastAsia="Times New Roman"/>
          <w:lang w:val="es-ES"/>
        </w:rPr>
        <w:t>D</w:t>
      </w:r>
      <w:r w:rsidRPr="00765DC5">
        <w:rPr>
          <w:rFonts w:eastAsia="Times New Roman"/>
          <w:lang w:val="es-ES"/>
        </w:rPr>
        <w:t xml:space="preserve">B, concretamente en materia de planificación estratégica, priorización, rendición de cuentas y, lo que es más importante, en la presentación de pruebas que respalden las solicitudes presupuestarias, los ajustes de personal y las mejoras de los procesos. Al mismo tiempo, varias </w:t>
      </w:r>
      <w:r>
        <w:rPr>
          <w:rFonts w:eastAsia="Times New Roman"/>
          <w:lang w:val="es-ES"/>
        </w:rPr>
        <w:t>dependencias</w:t>
      </w:r>
      <w:r w:rsidRPr="00765DC5">
        <w:rPr>
          <w:rFonts w:eastAsia="Times New Roman"/>
          <w:lang w:val="es-ES"/>
        </w:rPr>
        <w:t xml:space="preserve">, como la </w:t>
      </w:r>
      <w:r>
        <w:rPr>
          <w:rFonts w:eastAsia="Times New Roman"/>
          <w:lang w:val="es-ES"/>
        </w:rPr>
        <w:t>Dependencia de Edición e Idiomas</w:t>
      </w:r>
      <w:r w:rsidRPr="00765DC5">
        <w:rPr>
          <w:rFonts w:eastAsia="Times New Roman"/>
          <w:lang w:val="es-ES"/>
        </w:rPr>
        <w:t xml:space="preserve">, DevOps, RR. HH., TI, Viajes y Adquisiciones, han </w:t>
      </w:r>
      <w:r>
        <w:rPr>
          <w:rFonts w:eastAsia="Times New Roman"/>
          <w:lang w:val="es-ES"/>
        </w:rPr>
        <w:t xml:space="preserve">desarrollado indicadores del desempeño </w:t>
      </w:r>
      <w:r w:rsidRPr="00765DC5">
        <w:rPr>
          <w:rFonts w:eastAsia="Times New Roman"/>
          <w:lang w:val="es-ES"/>
        </w:rPr>
        <w:t>a nivel de equipo que proporcionan una base sólida y un punto de partida útil para c</w:t>
      </w:r>
      <w:r>
        <w:rPr>
          <w:rFonts w:eastAsia="Times New Roman"/>
          <w:lang w:val="es-ES"/>
        </w:rPr>
        <w:t xml:space="preserve">rear </w:t>
      </w:r>
      <w:r w:rsidRPr="00765DC5">
        <w:rPr>
          <w:rFonts w:eastAsia="Times New Roman"/>
          <w:lang w:val="es-ES"/>
        </w:rPr>
        <w:t xml:space="preserve">un marco de medición del </w:t>
      </w:r>
      <w:r>
        <w:rPr>
          <w:rFonts w:eastAsia="Times New Roman"/>
          <w:lang w:val="es-ES"/>
        </w:rPr>
        <w:t>desempeño</w:t>
      </w:r>
      <w:r w:rsidRPr="00765DC5">
        <w:rPr>
          <w:rFonts w:eastAsia="Times New Roman"/>
          <w:lang w:val="es-ES"/>
        </w:rPr>
        <w:t xml:space="preserve"> más c</w:t>
      </w:r>
      <w:r>
        <w:rPr>
          <w:rFonts w:eastAsia="Times New Roman"/>
          <w:lang w:val="es-ES"/>
        </w:rPr>
        <w:t>oherente en toda la Secretaría</w:t>
      </w:r>
      <w:r w:rsidR="001C6D3B" w:rsidRPr="00C96157">
        <w:rPr>
          <w:rFonts w:eastAsia="Times New Roman"/>
          <w:lang w:val="es-ES"/>
        </w:rPr>
        <w:t xml:space="preserve">. </w:t>
      </w:r>
    </w:p>
    <w:p w:rsidR="001C6D3B" w:rsidRPr="00617309" w:rsidRDefault="00C96157" w:rsidP="00507DC7">
      <w:pPr>
        <w:pStyle w:val="Ttulo3"/>
        <w:numPr>
          <w:ilvl w:val="0"/>
          <w:numId w:val="0"/>
        </w:numPr>
        <w:ind w:left="567" w:hanging="567"/>
        <w:rPr>
          <w:b w:val="0"/>
          <w:bCs w:val="0"/>
        </w:rPr>
      </w:pPr>
      <w:r>
        <w:t>Formas de trabajar</w:t>
      </w:r>
    </w:p>
    <w:p w:rsidR="001C6D3B" w:rsidRPr="00C96157" w:rsidRDefault="00C96157"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2A513D">
        <w:rPr>
          <w:rFonts w:eastAsia="Times New Roman"/>
          <w:lang w:val="es-ES"/>
        </w:rPr>
        <w:t xml:space="preserve">La COP determina el presupuesto básico en ciclos de dos años, y muchas actividades dependen de contribuciones voluntarias, lo que genera incertidumbres y dificultades en la planificación y ejecución del trabajo. En la actualidad, la Secretaría carece de un enfoque integral de planificación estratégica que integre eficazmente las consideraciones presupuestarias a largo plazo con las prioridades programáticas. Esta desconexión dificulta la armonización del trabajo a nivel de divisiones y </w:t>
      </w:r>
      <w:r>
        <w:rPr>
          <w:rFonts w:eastAsia="Times New Roman"/>
          <w:lang w:val="es-ES"/>
        </w:rPr>
        <w:t>dependencias</w:t>
      </w:r>
      <w:r w:rsidRPr="002A513D">
        <w:rPr>
          <w:rFonts w:eastAsia="Times New Roman"/>
          <w:lang w:val="es-ES"/>
        </w:rPr>
        <w:t xml:space="preserve"> con los objetivos y priorid</w:t>
      </w:r>
      <w:r>
        <w:rPr>
          <w:rFonts w:eastAsia="Times New Roman"/>
          <w:lang w:val="es-ES"/>
        </w:rPr>
        <w:t>ades generales de la Secretaría</w:t>
      </w:r>
      <w:r w:rsidR="001C6D3B" w:rsidRPr="00C96157">
        <w:rPr>
          <w:rFonts w:eastAsia="Times New Roman"/>
          <w:lang w:val="es-ES"/>
        </w:rPr>
        <w:t xml:space="preserve">. </w:t>
      </w:r>
    </w:p>
    <w:p w:rsidR="001C6D3B" w:rsidRPr="00C96157" w:rsidRDefault="001C6D3B" w:rsidP="00507DC7">
      <w:pPr>
        <w:pStyle w:val="Ttulo2"/>
        <w:numPr>
          <w:ilvl w:val="0"/>
          <w:numId w:val="0"/>
        </w:numPr>
        <w:ind w:left="567" w:hanging="567"/>
        <w:rPr>
          <w:rFonts w:ascii="Times New Roman" w:hAnsi="Times New Roman" w:cs="Times New Roman"/>
          <w:b w:val="0"/>
          <w:szCs w:val="24"/>
          <w:lang w:val="es-ES"/>
        </w:rPr>
      </w:pPr>
      <w:r w:rsidRPr="00C96157">
        <w:rPr>
          <w:rFonts w:ascii="Times New Roman" w:hAnsi="Times New Roman" w:cs="Times New Roman"/>
          <w:bCs/>
          <w:szCs w:val="24"/>
          <w:lang w:val="es-ES"/>
        </w:rPr>
        <w:t xml:space="preserve">D. </w:t>
      </w:r>
      <w:r w:rsidR="00C96157" w:rsidRPr="00195781">
        <w:rPr>
          <w:rFonts w:ascii="Times New Roman" w:hAnsi="Times New Roman" w:cs="Times New Roman"/>
          <w:bCs/>
          <w:szCs w:val="24"/>
          <w:lang w:val="es-ES"/>
        </w:rPr>
        <w:t xml:space="preserve">Principales recomendaciones y modelo funcional </w:t>
      </w:r>
      <w:r w:rsidR="00C96157">
        <w:rPr>
          <w:rFonts w:ascii="Times New Roman" w:hAnsi="Times New Roman" w:cs="Times New Roman"/>
          <w:bCs/>
          <w:szCs w:val="24"/>
          <w:lang w:val="es-ES"/>
        </w:rPr>
        <w:t>propuesto</w:t>
      </w:r>
    </w:p>
    <w:p w:rsidR="001C6D3B" w:rsidRPr="00C96157" w:rsidRDefault="00C96157"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195781">
        <w:rPr>
          <w:rFonts w:eastAsia="Times New Roman"/>
          <w:lang w:val="es-ES"/>
        </w:rPr>
        <w:t>La revisión funcional dio lugar a varias recomendaciones agrupadas en siete áreas de oportunidad interrelacionadas. En conjunto, estas recomendaciones tienen por objeto fortalecer la estructura, los sistemas y los métodos de trabajo de la Secretaría para mejorar la coherencia, la rendición de cuentas y la a</w:t>
      </w:r>
      <w:r>
        <w:rPr>
          <w:rFonts w:eastAsia="Times New Roman"/>
          <w:lang w:val="es-ES"/>
        </w:rPr>
        <w:t>rmonización</w:t>
      </w:r>
      <w:r w:rsidRPr="00195781">
        <w:rPr>
          <w:rFonts w:eastAsia="Times New Roman"/>
          <w:lang w:val="es-ES"/>
        </w:rPr>
        <w:t xml:space="preserve"> con el Marco Mundial de Biodiversidad de Kunming-Montreal</w:t>
      </w:r>
      <w:r w:rsidR="001C6D3B" w:rsidRPr="00C96157">
        <w:rPr>
          <w:rFonts w:eastAsia="Times New Roman"/>
          <w:lang w:val="es-ES"/>
        </w:rPr>
        <w:t>.</w:t>
      </w:r>
    </w:p>
    <w:p w:rsidR="001C6D3B" w:rsidRPr="00C725CE" w:rsidRDefault="001C6D3B" w:rsidP="000549CA">
      <w:pPr>
        <w:pStyle w:val="Ttulo3"/>
        <w:numPr>
          <w:ilvl w:val="0"/>
          <w:numId w:val="0"/>
        </w:numPr>
        <w:spacing w:beforeLines="100" w:after="0"/>
        <w:ind w:left="567" w:hanging="567"/>
        <w:rPr>
          <w:rFonts w:eastAsia="Times New Roman"/>
          <w:b w:val="0"/>
        </w:rPr>
      </w:pPr>
      <w:r w:rsidRPr="00C725CE">
        <w:rPr>
          <w:rFonts w:eastAsia="Times New Roman"/>
        </w:rPr>
        <w:t xml:space="preserve">a. </w:t>
      </w:r>
      <w:r w:rsidR="00C96157">
        <w:rPr>
          <w:rFonts w:eastAsia="Times New Roman"/>
        </w:rPr>
        <w:t>Armonización es</w:t>
      </w:r>
      <w:r w:rsidR="00C96157" w:rsidRPr="00C725CE">
        <w:rPr>
          <w:rFonts w:eastAsia="Times New Roman"/>
        </w:rPr>
        <w:t xml:space="preserve">tructural </w:t>
      </w:r>
      <w:r w:rsidR="00C96157">
        <w:rPr>
          <w:rFonts w:eastAsia="Times New Roman"/>
        </w:rPr>
        <w:t>y e</w:t>
      </w:r>
      <w:r w:rsidR="00C96157" w:rsidRPr="00C725CE">
        <w:rPr>
          <w:rFonts w:eastAsia="Times New Roman"/>
        </w:rPr>
        <w:t>strat</w:t>
      </w:r>
      <w:r w:rsidR="00C96157">
        <w:rPr>
          <w:rFonts w:eastAsia="Times New Roman"/>
        </w:rPr>
        <w:t>égica</w:t>
      </w:r>
      <w:r w:rsidR="00C96157" w:rsidRPr="00C725CE">
        <w:rPr>
          <w:rFonts w:eastAsia="Times New Roman"/>
        </w:rPr>
        <w:t xml:space="preserve"> </w:t>
      </w:r>
    </w:p>
    <w:p w:rsidR="001C6D3B" w:rsidRPr="00C96157" w:rsidRDefault="00C96157"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D32FDA">
        <w:rPr>
          <w:lang w:val="es-ES"/>
        </w:rPr>
        <w:t>En la revisión se recomienda reajustar las funciones y estructuras de la Secretaría para reflejar mejor los cuatro objetivos y las 23 metas del Marco Mundial de Biodiversidad de Kunming-Montreal y garantizar una mayor coherencia en la prestación de servicios al Convenio y sus Protocolos. Esto incluye aclarar los vínculos entre las funciones programáticas y transversales y velar por que las actividades conexas se organicen con arreglo a líneas jerárquicas coherentes. El fortalecimiento de la armonización funcional mejorará la coordinación, aclarará la rendición de cuentas y permitirá a la Secretaría prestar un apoyo más cohesionado a las Partes en virtud del Marco Mundial de Biodiversidad de Kunming-Montreal. Los cambios estructurales específicos en los que se basan estas recomendaciones, incluida la reorganización y reasignación de dependencias, figuran en</w:t>
      </w:r>
      <w:r w:rsidRPr="00D32FDA">
        <w:rPr>
          <w:rFonts w:eastAsia="Times New Roman"/>
          <w:lang w:val="es-ES"/>
        </w:rPr>
        <w:t xml:space="preserve"> </w:t>
      </w:r>
      <w:r w:rsidRPr="00D32FDA">
        <w:rPr>
          <w:rFonts w:eastAsia="Times New Roman"/>
          <w:b/>
          <w:lang w:val="es-ES"/>
        </w:rPr>
        <w:t>el anexo</w:t>
      </w:r>
      <w:r w:rsidR="001C6D3B" w:rsidRPr="00C96157">
        <w:rPr>
          <w:rStyle w:val="Textoennegrita"/>
          <w:lang w:val="es-ES"/>
        </w:rPr>
        <w:t>.</w:t>
      </w:r>
    </w:p>
    <w:p w:rsidR="001C6D3B" w:rsidRPr="00C96157" w:rsidRDefault="00C96157"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D32FDA">
        <w:rPr>
          <w:rFonts w:eastAsia="Times New Roman"/>
          <w:lang w:val="es-ES"/>
        </w:rPr>
        <w:t>Más concretamente, se recomienda realizar ajustes estructurales guiados por los siguientes seis grupos funcionales, además de las funciones generales de gestión ejecutiva y apoyo a la gestión ejecutiva</w:t>
      </w:r>
      <w:r w:rsidR="001C6D3B" w:rsidRPr="00C96157">
        <w:rPr>
          <w:rFonts w:eastAsia="Times New Roman"/>
          <w:lang w:val="es-ES"/>
        </w:rPr>
        <w:t xml:space="preserve">: </w:t>
      </w:r>
    </w:p>
    <w:p w:rsidR="001C6D3B" w:rsidRPr="00864CCF" w:rsidRDefault="00864CCF" w:rsidP="008619CF">
      <w:pPr>
        <w:pStyle w:val="Prrafodelista"/>
        <w:numPr>
          <w:ilvl w:val="1"/>
          <w:numId w:val="59"/>
        </w:numPr>
        <w:tabs>
          <w:tab w:val="clear" w:pos="567"/>
          <w:tab w:val="clear" w:pos="1134"/>
          <w:tab w:val="clear" w:pos="1701"/>
          <w:tab w:val="clear" w:pos="2268"/>
        </w:tabs>
        <w:spacing w:line="276" w:lineRule="auto"/>
        <w:rPr>
          <w:rFonts w:eastAsia="Times New Roman"/>
          <w:lang w:val="es-ES"/>
        </w:rPr>
      </w:pPr>
      <w:r w:rsidRPr="00A7270D">
        <w:rPr>
          <w:rFonts w:eastAsia="Times New Roman"/>
          <w:lang w:val="es-ES"/>
        </w:rPr>
        <w:lastRenderedPageBreak/>
        <w:t>Política</w:t>
      </w:r>
      <w:r>
        <w:rPr>
          <w:rFonts w:eastAsia="Times New Roman"/>
          <w:lang w:val="es-ES"/>
        </w:rPr>
        <w:t>s</w:t>
      </w:r>
      <w:r w:rsidRPr="00A7270D">
        <w:rPr>
          <w:rFonts w:eastAsia="Times New Roman"/>
          <w:lang w:val="es-ES"/>
        </w:rPr>
        <w:t xml:space="preserve">, capacidad y seguimiento, una división integrada centrada en el cumplimiento de los objetivos y metas del </w:t>
      </w:r>
      <w:r w:rsidRPr="00066D99">
        <w:rPr>
          <w:rFonts w:eastAsia="Times New Roman"/>
          <w:lang w:val="es-ES"/>
        </w:rPr>
        <w:t>Marco Mundial de Biodiversidad de Kunming-Montreal</w:t>
      </w:r>
      <w:r w:rsidRPr="00A7270D">
        <w:rPr>
          <w:rFonts w:eastAsia="Times New Roman"/>
          <w:lang w:val="es-ES"/>
        </w:rPr>
        <w:t>, que abarca el apoyo temático, incluid</w:t>
      </w:r>
      <w:r>
        <w:rPr>
          <w:rFonts w:eastAsia="Times New Roman"/>
          <w:lang w:val="es-ES"/>
        </w:rPr>
        <w:t xml:space="preserve">o todo el trabajo relacionado </w:t>
      </w:r>
      <w:r w:rsidRPr="00A7270D">
        <w:rPr>
          <w:rFonts w:eastAsia="Times New Roman"/>
          <w:lang w:val="es-ES"/>
        </w:rPr>
        <w:t xml:space="preserve">con el apoyo programático, científico, técnico y normativo, y el trabajo relacionado con </w:t>
      </w:r>
      <w:r>
        <w:rPr>
          <w:rFonts w:eastAsia="Times New Roman"/>
          <w:lang w:val="es-ES"/>
        </w:rPr>
        <w:t xml:space="preserve">la creación de </w:t>
      </w:r>
      <w:r w:rsidRPr="00A7270D">
        <w:rPr>
          <w:rFonts w:eastAsia="Times New Roman"/>
          <w:lang w:val="es-ES"/>
        </w:rPr>
        <w:t xml:space="preserve">capacidad, las estrategias y planes de acción nacionales </w:t>
      </w:r>
      <w:r>
        <w:rPr>
          <w:rFonts w:eastAsia="Times New Roman"/>
          <w:lang w:val="es-ES"/>
        </w:rPr>
        <w:t>en materia de bio</w:t>
      </w:r>
      <w:r w:rsidRPr="00A7270D">
        <w:rPr>
          <w:rFonts w:eastAsia="Times New Roman"/>
          <w:lang w:val="es-ES"/>
        </w:rPr>
        <w:t xml:space="preserve">diversidad (EPANB), la cooperación </w:t>
      </w:r>
      <w:r>
        <w:rPr>
          <w:rFonts w:eastAsia="Times New Roman"/>
          <w:lang w:val="es-ES"/>
        </w:rPr>
        <w:t xml:space="preserve">científica y </w:t>
      </w:r>
      <w:r w:rsidRPr="00A7270D">
        <w:rPr>
          <w:rFonts w:eastAsia="Times New Roman"/>
          <w:lang w:val="es-ES"/>
        </w:rPr>
        <w:t xml:space="preserve">técnica y los mecanismos de </w:t>
      </w:r>
      <w:r>
        <w:rPr>
          <w:rFonts w:eastAsia="Times New Roman"/>
          <w:lang w:val="es-ES"/>
        </w:rPr>
        <w:t>facilitación,</w:t>
      </w:r>
      <w:r w:rsidRPr="00A7270D">
        <w:rPr>
          <w:rFonts w:eastAsia="Times New Roman"/>
          <w:lang w:val="es-ES"/>
        </w:rPr>
        <w:t xml:space="preserve"> así como el seguimiento, la revisión y la presentación de informes</w:t>
      </w:r>
    </w:p>
    <w:p w:rsidR="001C6D3B" w:rsidRPr="00864CCF" w:rsidRDefault="00864CCF" w:rsidP="008619CF">
      <w:pPr>
        <w:pStyle w:val="Prrafodelista"/>
        <w:numPr>
          <w:ilvl w:val="1"/>
          <w:numId w:val="59"/>
        </w:numPr>
        <w:tabs>
          <w:tab w:val="clear" w:pos="567"/>
          <w:tab w:val="clear" w:pos="1134"/>
          <w:tab w:val="clear" w:pos="1701"/>
          <w:tab w:val="clear" w:pos="2268"/>
        </w:tabs>
        <w:spacing w:line="276" w:lineRule="auto"/>
        <w:rPr>
          <w:rFonts w:eastAsia="Times New Roman"/>
          <w:color w:val="000000" w:themeColor="text1"/>
          <w:lang w:val="es-ES"/>
        </w:rPr>
      </w:pPr>
      <w:r w:rsidRPr="00066D99">
        <w:rPr>
          <w:rFonts w:eastAsia="Times New Roman"/>
          <w:color w:val="000000" w:themeColor="text1"/>
          <w:lang w:val="es-ES"/>
        </w:rPr>
        <w:t>Asociaciones estratégicas, financiación y economía, una división integrada centrada en el trabajo relacionado con la movilización de recursos y la integración económica de los objetivos de biodiversidad, la colaboración con actores que no son Partes</w:t>
      </w:r>
    </w:p>
    <w:p w:rsidR="001C6D3B" w:rsidRPr="00864CCF" w:rsidRDefault="00864CCF" w:rsidP="008619CF">
      <w:pPr>
        <w:pStyle w:val="Prrafodelista"/>
        <w:numPr>
          <w:ilvl w:val="1"/>
          <w:numId w:val="59"/>
        </w:numPr>
        <w:tabs>
          <w:tab w:val="clear" w:pos="567"/>
          <w:tab w:val="clear" w:pos="1134"/>
          <w:tab w:val="clear" w:pos="1701"/>
          <w:tab w:val="clear" w:pos="2268"/>
        </w:tabs>
        <w:spacing w:line="276" w:lineRule="auto"/>
        <w:rPr>
          <w:rFonts w:eastAsia="Times New Roman"/>
          <w:lang w:val="es-ES"/>
        </w:rPr>
      </w:pPr>
      <w:r w:rsidRPr="00A7270D">
        <w:rPr>
          <w:rFonts w:eastAsia="Times New Roman"/>
          <w:lang w:val="es-ES"/>
        </w:rPr>
        <w:t>Protocolos, dedicad</w:t>
      </w:r>
      <w:r>
        <w:rPr>
          <w:rFonts w:eastAsia="Times New Roman"/>
          <w:lang w:val="es-ES"/>
        </w:rPr>
        <w:t>os</w:t>
      </w:r>
      <w:r w:rsidRPr="00A7270D">
        <w:rPr>
          <w:rFonts w:eastAsia="Times New Roman"/>
          <w:lang w:val="es-ES"/>
        </w:rPr>
        <w:t xml:space="preserve"> a prestar servicios a las COP-MOP y a los comités de cumplimiento tanto para la bioseguridad como para el A</w:t>
      </w:r>
      <w:r>
        <w:rPr>
          <w:rFonts w:eastAsia="Times New Roman"/>
          <w:lang w:val="es-ES"/>
        </w:rPr>
        <w:t>PB</w:t>
      </w:r>
    </w:p>
    <w:p w:rsidR="001C6D3B" w:rsidRPr="00864CCF" w:rsidRDefault="00864CCF" w:rsidP="008619CF">
      <w:pPr>
        <w:pStyle w:val="Prrafodelista"/>
        <w:numPr>
          <w:ilvl w:val="1"/>
          <w:numId w:val="59"/>
        </w:numPr>
        <w:tabs>
          <w:tab w:val="clear" w:pos="567"/>
          <w:tab w:val="clear" w:pos="1134"/>
          <w:tab w:val="clear" w:pos="1701"/>
          <w:tab w:val="clear" w:pos="2268"/>
        </w:tabs>
        <w:spacing w:line="276" w:lineRule="auto"/>
        <w:rPr>
          <w:rFonts w:eastAsia="Times New Roman"/>
          <w:lang w:val="es-ES"/>
        </w:rPr>
      </w:pPr>
      <w:r w:rsidRPr="00A7270D">
        <w:rPr>
          <w:rFonts w:eastAsia="Times New Roman"/>
          <w:lang w:val="es-ES"/>
        </w:rPr>
        <w:t xml:space="preserve">Apoyo a las reuniones intergubernamentales, que presta apoyo a las reuniones </w:t>
      </w:r>
      <w:r>
        <w:rPr>
          <w:rFonts w:eastAsia="Times New Roman"/>
          <w:lang w:val="es-ES"/>
        </w:rPr>
        <w:t>oficiales y oficiosas del proceso intergubernamental</w:t>
      </w:r>
    </w:p>
    <w:p w:rsidR="001C6D3B" w:rsidRPr="00864CCF" w:rsidRDefault="00864CCF" w:rsidP="008619CF">
      <w:pPr>
        <w:pStyle w:val="Prrafodelista"/>
        <w:numPr>
          <w:ilvl w:val="1"/>
          <w:numId w:val="59"/>
        </w:numPr>
        <w:tabs>
          <w:tab w:val="clear" w:pos="567"/>
          <w:tab w:val="clear" w:pos="1134"/>
          <w:tab w:val="clear" w:pos="1701"/>
          <w:tab w:val="clear" w:pos="2268"/>
        </w:tabs>
        <w:spacing w:line="276" w:lineRule="auto"/>
        <w:rPr>
          <w:rFonts w:eastAsia="Times New Roman"/>
          <w:lang w:val="es-ES"/>
        </w:rPr>
      </w:pPr>
      <w:r w:rsidRPr="00A7270D">
        <w:rPr>
          <w:rFonts w:eastAsia="Times New Roman"/>
          <w:color w:val="000000" w:themeColor="text1"/>
          <w:lang w:val="es-ES"/>
        </w:rPr>
        <w:t>Apoyo administrativo y operativo, que incluye todo el apoyo administrativo a l</w:t>
      </w:r>
      <w:r>
        <w:rPr>
          <w:rFonts w:eastAsia="Times New Roman"/>
          <w:color w:val="000000" w:themeColor="text1"/>
          <w:lang w:val="es-ES"/>
        </w:rPr>
        <w:t>as operaciones de la Secretaría</w:t>
      </w:r>
      <w:r w:rsidR="001C6D3B" w:rsidRPr="00864CCF">
        <w:rPr>
          <w:rFonts w:eastAsia="Times New Roman"/>
          <w:lang w:val="es-ES"/>
        </w:rPr>
        <w:t xml:space="preserve"> </w:t>
      </w:r>
    </w:p>
    <w:p w:rsidR="001C6D3B" w:rsidRPr="00864CCF" w:rsidRDefault="00864CCF" w:rsidP="008619CF">
      <w:pPr>
        <w:pStyle w:val="Prrafodelista"/>
        <w:numPr>
          <w:ilvl w:val="1"/>
          <w:numId w:val="59"/>
        </w:numPr>
        <w:tabs>
          <w:tab w:val="clear" w:pos="567"/>
          <w:tab w:val="clear" w:pos="1134"/>
          <w:tab w:val="clear" w:pos="1701"/>
          <w:tab w:val="clear" w:pos="2268"/>
        </w:tabs>
        <w:spacing w:line="276" w:lineRule="auto"/>
        <w:rPr>
          <w:rFonts w:eastAsia="Times New Roman"/>
          <w:color w:val="000000" w:themeColor="text1"/>
          <w:lang w:val="es-ES"/>
        </w:rPr>
      </w:pPr>
      <w:r w:rsidRPr="00A7270D">
        <w:rPr>
          <w:rFonts w:eastAsia="Times New Roman"/>
          <w:lang w:val="es-ES"/>
        </w:rPr>
        <w:t xml:space="preserve">Tecnología de la información y transformación digital, que incluye soluciones digitales, gestión de la infraestructura de tecnología de la información y apoyo </w:t>
      </w:r>
      <w:r>
        <w:rPr>
          <w:rFonts w:eastAsia="Times New Roman"/>
          <w:lang w:val="es-ES"/>
        </w:rPr>
        <w:t>informátic</w:t>
      </w:r>
      <w:r w:rsidRPr="00A7270D">
        <w:rPr>
          <w:rFonts w:eastAsia="Times New Roman"/>
          <w:lang w:val="es-ES"/>
        </w:rPr>
        <w:t>o para los centros de intercambio de información</w:t>
      </w:r>
      <w:r>
        <w:rPr>
          <w:rFonts w:eastAsia="Times New Roman"/>
          <w:lang w:val="es-ES"/>
        </w:rPr>
        <w:t>, así como l</w:t>
      </w:r>
      <w:r w:rsidRPr="00A7270D">
        <w:rPr>
          <w:rFonts w:eastAsia="Times New Roman"/>
          <w:lang w:val="es-ES"/>
        </w:rPr>
        <w:t xml:space="preserve">a gestión del conocimiento </w:t>
      </w:r>
      <w:r>
        <w:rPr>
          <w:rFonts w:eastAsia="Times New Roman"/>
          <w:lang w:val="es-ES"/>
        </w:rPr>
        <w:t>institucional</w:t>
      </w:r>
    </w:p>
    <w:p w:rsidR="001C6D3B" w:rsidRPr="00864CCF" w:rsidRDefault="00864CCF" w:rsidP="008619CF">
      <w:pPr>
        <w:pStyle w:val="Prrafodelista"/>
        <w:numPr>
          <w:ilvl w:val="1"/>
          <w:numId w:val="59"/>
        </w:numPr>
        <w:tabs>
          <w:tab w:val="clear" w:pos="567"/>
          <w:tab w:val="clear" w:pos="1134"/>
          <w:tab w:val="clear" w:pos="1701"/>
          <w:tab w:val="clear" w:pos="2268"/>
        </w:tabs>
        <w:spacing w:line="276" w:lineRule="auto"/>
        <w:rPr>
          <w:rFonts w:eastAsia="Times New Roman"/>
          <w:color w:val="000000" w:themeColor="text1"/>
          <w:lang w:val="es-ES"/>
        </w:rPr>
      </w:pPr>
      <w:r w:rsidRPr="00196978">
        <w:rPr>
          <w:rFonts w:eastAsia="Times New Roman"/>
          <w:lang w:val="es-ES"/>
        </w:rPr>
        <w:t>Fondo del Japón para la Diversidad Biológica</w:t>
      </w:r>
      <w:r w:rsidR="001C6D3B" w:rsidRPr="00864CCF">
        <w:rPr>
          <w:rFonts w:eastAsia="Times New Roman"/>
          <w:lang w:val="es-ES"/>
        </w:rPr>
        <w:t xml:space="preserve">, </w:t>
      </w:r>
    </w:p>
    <w:p w:rsidR="001C6D3B" w:rsidRPr="00864CCF" w:rsidRDefault="00864CCF"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color w:val="000000" w:themeColor="text1"/>
          <w:lang w:val="es-ES"/>
        </w:rPr>
      </w:pPr>
      <w:r w:rsidRPr="00196978">
        <w:rPr>
          <w:rFonts w:eastAsia="Times New Roman"/>
          <w:color w:val="000000" w:themeColor="text1"/>
          <w:lang w:val="es-ES"/>
        </w:rPr>
        <w:t>La revisión recomienda los siguientes cambios específicos en la estructura actual de la Secretaría</w:t>
      </w:r>
      <w:r w:rsidR="001C6D3B" w:rsidRPr="00864CCF">
        <w:rPr>
          <w:rFonts w:eastAsia="Times New Roman"/>
          <w:color w:val="000000" w:themeColor="text1"/>
          <w:lang w:val="es-ES"/>
        </w:rPr>
        <w:t>:</w:t>
      </w:r>
    </w:p>
    <w:p w:rsidR="001C6D3B" w:rsidRPr="00864CCF" w:rsidRDefault="00864CCF" w:rsidP="00DD157A">
      <w:pPr>
        <w:pStyle w:val="Ttulo4"/>
        <w:numPr>
          <w:ilvl w:val="0"/>
          <w:numId w:val="0"/>
        </w:numPr>
        <w:ind w:left="567" w:hanging="567"/>
        <w:rPr>
          <w:rFonts w:eastAsia="Times New Roman"/>
          <w:b w:val="0"/>
          <w:bCs w:val="0"/>
          <w:i/>
          <w:iCs/>
          <w:color w:val="000000" w:themeColor="text1"/>
          <w:lang w:val="es-ES"/>
        </w:rPr>
      </w:pPr>
      <w:r w:rsidRPr="00864CCF">
        <w:rPr>
          <w:rFonts w:eastAsia="Times New Roman"/>
          <w:color w:val="000000" w:themeColor="text1"/>
          <w:lang w:val="es-ES"/>
        </w:rPr>
        <w:t>Oficina de la Secretaria Ejecutiva</w:t>
      </w:r>
    </w:p>
    <w:p w:rsidR="001C6D3B" w:rsidRPr="00864CCF" w:rsidRDefault="00864CCF"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982C07">
        <w:rPr>
          <w:rFonts w:eastAsia="Times New Roman"/>
          <w:lang w:val="es-ES"/>
        </w:rPr>
        <w:t>Fortalecer la planificación y supervisión presupuestarias trasladando y reforzando la Dependencia de Gestión de Programas, actualmente ubicada en la División de Administración, a la Oficina de la Secretaria Ejecutiva, con el fin de apoyar el uso eficaz del marco de presupuestación y planificación basadas en los resultados como herramienta central de gestión estratégica de la Secretaría para implementar el Marco Mundial de Biodiversidad de Kunming-Montreal y armonizar los recursos con las decisiones de la COP y del Protocolo</w:t>
      </w:r>
      <w:r w:rsidR="001C6D3B" w:rsidRPr="00864CCF">
        <w:rPr>
          <w:rFonts w:eastAsia="Times New Roman"/>
          <w:lang w:val="es-ES"/>
        </w:rPr>
        <w:t xml:space="preserve">. </w:t>
      </w:r>
    </w:p>
    <w:p w:rsidR="001C6D3B" w:rsidRPr="00864CCF" w:rsidRDefault="00864CCF" w:rsidP="00507DC7">
      <w:pPr>
        <w:pStyle w:val="Ttulo4"/>
        <w:numPr>
          <w:ilvl w:val="0"/>
          <w:numId w:val="0"/>
        </w:numPr>
        <w:ind w:left="567" w:hanging="567"/>
        <w:rPr>
          <w:rFonts w:eastAsia="Times New Roman"/>
          <w:b w:val="0"/>
          <w:lang w:val="es-ES"/>
        </w:rPr>
      </w:pPr>
      <w:bookmarkStart w:id="2" w:name="_Hlk215164287"/>
      <w:r w:rsidRPr="00DB635B">
        <w:rPr>
          <w:rFonts w:eastAsia="Times New Roman"/>
          <w:lang w:val="es-ES"/>
        </w:rPr>
        <w:t>División de p</w:t>
      </w:r>
      <w:r>
        <w:rPr>
          <w:rFonts w:eastAsia="Times New Roman"/>
          <w:lang w:val="es-ES"/>
        </w:rPr>
        <w:t>olíticas, capacidad y seguimiento</w:t>
      </w:r>
    </w:p>
    <w:bookmarkEnd w:id="2"/>
    <w:p w:rsidR="001C6D3B" w:rsidRPr="00864CCF" w:rsidRDefault="00864CCF"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DB635B">
        <w:rPr>
          <w:rFonts w:eastAsia="Times New Roman"/>
          <w:lang w:val="es-ES"/>
        </w:rPr>
        <w:t xml:space="preserve">Proporcionar un enfoque más claro sobre el apoyo programático, científico, técnico y normativo de la Secretaría en áreas fundamentales para el </w:t>
      </w:r>
      <w:r w:rsidRPr="00982C07">
        <w:rPr>
          <w:rFonts w:eastAsia="Times New Roman"/>
          <w:lang w:val="es-ES"/>
        </w:rPr>
        <w:t>Marco Mundial de Biodiversidad de Kunming-Montreal</w:t>
      </w:r>
      <w:r w:rsidRPr="00DB635B">
        <w:rPr>
          <w:rFonts w:eastAsia="Times New Roman"/>
          <w:lang w:val="es-ES"/>
        </w:rPr>
        <w:t>, inclu</w:t>
      </w:r>
      <w:r>
        <w:rPr>
          <w:rFonts w:eastAsia="Times New Roman"/>
          <w:lang w:val="es-ES"/>
        </w:rPr>
        <w:t xml:space="preserve">ida la labor sobre </w:t>
      </w:r>
      <w:r w:rsidRPr="00DB635B">
        <w:rPr>
          <w:rFonts w:eastAsia="Times New Roman"/>
          <w:lang w:val="es-ES"/>
        </w:rPr>
        <w:t xml:space="preserve">programas de trabajo basados en biomas, la reducción de las amenazas a la biodiversidad y </w:t>
      </w:r>
      <w:r>
        <w:rPr>
          <w:rFonts w:eastAsia="Times New Roman"/>
          <w:lang w:val="es-ES"/>
        </w:rPr>
        <w:t xml:space="preserve">el fomento </w:t>
      </w:r>
      <w:r w:rsidRPr="00DB635B">
        <w:rPr>
          <w:rFonts w:eastAsia="Times New Roman"/>
          <w:lang w:val="es-ES"/>
        </w:rPr>
        <w:t xml:space="preserve">del uso sostenible y los conocimientos tradicionales, agrupando los recursos de personal relacionados en una división con experiencia en la actual </w:t>
      </w:r>
      <w:r>
        <w:rPr>
          <w:rFonts w:eastAsia="Times New Roman"/>
          <w:lang w:val="es-ES"/>
        </w:rPr>
        <w:t>Dependencia</w:t>
      </w:r>
      <w:r w:rsidRPr="00DB635B">
        <w:rPr>
          <w:rFonts w:eastAsia="Times New Roman"/>
          <w:lang w:val="es-ES"/>
        </w:rPr>
        <w:t xml:space="preserve"> de Biodiversidad, Ciencia, Política</w:t>
      </w:r>
      <w:r>
        <w:rPr>
          <w:rFonts w:eastAsia="Times New Roman"/>
          <w:lang w:val="es-ES"/>
        </w:rPr>
        <w:t>s y Gobernanza</w:t>
      </w:r>
      <w:r w:rsidRPr="00DB635B">
        <w:rPr>
          <w:rFonts w:eastAsia="Times New Roman"/>
          <w:lang w:val="es-ES"/>
        </w:rPr>
        <w:t>, que constituye la capacidad central</w:t>
      </w:r>
      <w:r w:rsidR="001C6D3B" w:rsidRPr="00864CCF">
        <w:rPr>
          <w:rFonts w:eastAsia="Times New Roman"/>
          <w:lang w:val="es-ES"/>
        </w:rPr>
        <w:t>.</w:t>
      </w:r>
    </w:p>
    <w:p w:rsidR="001C6D3B" w:rsidRPr="00875B13" w:rsidRDefault="00864CCF"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CC4AB5">
        <w:rPr>
          <w:rFonts w:eastAsia="Times New Roman"/>
          <w:lang w:val="es-ES"/>
        </w:rPr>
        <w:t>Aprovechar mejor las sinergias en apoyo de</w:t>
      </w:r>
      <w:r>
        <w:rPr>
          <w:rFonts w:eastAsia="Times New Roman"/>
          <w:lang w:val="es-ES"/>
        </w:rPr>
        <w:t xml:space="preserve"> las principales</w:t>
      </w:r>
      <w:r w:rsidRPr="00CC4AB5">
        <w:rPr>
          <w:rFonts w:eastAsia="Times New Roman"/>
          <w:lang w:val="es-ES"/>
        </w:rPr>
        <w:t xml:space="preserve"> funciones transversales para la implementación, como </w:t>
      </w:r>
      <w:r>
        <w:rPr>
          <w:rFonts w:eastAsia="Times New Roman"/>
          <w:lang w:val="es-ES"/>
        </w:rPr>
        <w:t>la creación de capacidad</w:t>
      </w:r>
      <w:r w:rsidRPr="00CC4AB5">
        <w:rPr>
          <w:rFonts w:eastAsia="Times New Roman"/>
          <w:lang w:val="es-ES"/>
        </w:rPr>
        <w:t xml:space="preserve">, las EPANB, </w:t>
      </w:r>
      <w:r>
        <w:rPr>
          <w:rFonts w:eastAsia="Times New Roman"/>
          <w:lang w:val="es-ES"/>
        </w:rPr>
        <w:t>la cooperación científica y técnica y los mecanismos de facilitación</w:t>
      </w:r>
      <w:r w:rsidRPr="00CC4AB5">
        <w:rPr>
          <w:rFonts w:eastAsia="Times New Roman"/>
          <w:lang w:val="es-ES"/>
        </w:rPr>
        <w:t xml:space="preserve">, y el seguimiento, la revisión y la presentación de informes, agrupando los recursos de personal relacionados en una sola división, con experiencia en las actuales </w:t>
      </w:r>
      <w:r>
        <w:rPr>
          <w:rFonts w:eastAsia="Times New Roman"/>
          <w:lang w:val="es-ES"/>
        </w:rPr>
        <w:t>Dependencias</w:t>
      </w:r>
      <w:r w:rsidRPr="00CC4AB5">
        <w:rPr>
          <w:rFonts w:eastAsia="Times New Roman"/>
          <w:lang w:val="es-ES"/>
        </w:rPr>
        <w:t xml:space="preserve"> de </w:t>
      </w:r>
      <w:r>
        <w:rPr>
          <w:rFonts w:eastAsia="Times New Roman"/>
          <w:lang w:val="es-ES"/>
        </w:rPr>
        <w:t xml:space="preserve">Creación de </w:t>
      </w:r>
      <w:r w:rsidRPr="00CC4AB5">
        <w:rPr>
          <w:rFonts w:eastAsia="Times New Roman"/>
          <w:lang w:val="es-ES"/>
        </w:rPr>
        <w:t>Capacidad y Gestión de Conocimiento</w:t>
      </w:r>
      <w:r>
        <w:rPr>
          <w:rFonts w:eastAsia="Times New Roman"/>
          <w:lang w:val="es-ES"/>
        </w:rPr>
        <w:t>s</w:t>
      </w:r>
      <w:r w:rsidRPr="00CC4AB5">
        <w:rPr>
          <w:rFonts w:eastAsia="Times New Roman"/>
          <w:lang w:val="es-ES"/>
        </w:rPr>
        <w:t xml:space="preserve">, y la </w:t>
      </w:r>
      <w:r>
        <w:rPr>
          <w:rFonts w:eastAsia="Times New Roman"/>
          <w:lang w:val="es-ES"/>
        </w:rPr>
        <w:t xml:space="preserve">Dependencia </w:t>
      </w:r>
      <w:r w:rsidRPr="00CC4AB5">
        <w:rPr>
          <w:rFonts w:eastAsia="Times New Roman"/>
          <w:lang w:val="es-ES"/>
        </w:rPr>
        <w:t>de Seguimiento, Revisión y Presentación de Informes Nacionales</w:t>
      </w:r>
      <w:r w:rsidR="001C6D3B" w:rsidRPr="00875B13">
        <w:rPr>
          <w:rFonts w:eastAsia="Times New Roman"/>
          <w:color w:val="000000" w:themeColor="text1"/>
          <w:lang w:val="es-ES"/>
        </w:rPr>
        <w:t>.</w:t>
      </w:r>
    </w:p>
    <w:p w:rsidR="001C6D3B" w:rsidRPr="00875B13" w:rsidRDefault="00875B13" w:rsidP="00507DC7">
      <w:pPr>
        <w:pStyle w:val="Ttulo4"/>
        <w:numPr>
          <w:ilvl w:val="0"/>
          <w:numId w:val="0"/>
        </w:numPr>
        <w:ind w:left="567" w:hanging="567"/>
        <w:rPr>
          <w:rFonts w:eastAsia="Times New Roman"/>
          <w:b w:val="0"/>
          <w:lang w:val="es-ES"/>
        </w:rPr>
      </w:pPr>
      <w:r w:rsidRPr="00112941">
        <w:rPr>
          <w:rFonts w:eastAsia="Times New Roman"/>
          <w:lang w:val="es-ES"/>
        </w:rPr>
        <w:t>División de asociaciones estratégicas, financiació</w:t>
      </w:r>
      <w:r>
        <w:rPr>
          <w:rFonts w:eastAsia="Times New Roman"/>
          <w:lang w:val="es-ES"/>
        </w:rPr>
        <w:t>n y economía</w:t>
      </w:r>
    </w:p>
    <w:p w:rsidR="001C6D3B" w:rsidRPr="00875B13" w:rsidRDefault="00875B1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color w:val="000000" w:themeColor="text1"/>
          <w:lang w:val="es-ES"/>
        </w:rPr>
      </w:pPr>
      <w:r w:rsidRPr="00911818">
        <w:rPr>
          <w:rFonts w:eastAsia="Times New Roman"/>
          <w:lang w:val="es-ES"/>
        </w:rPr>
        <w:t>Proporcionar un enfoque estratégico más sólido para involucrar a una amplia gama de actores, integrar la biodiversidad en todos los sectores económicos y niveles de gobernanza, y apoyar la movilización de recursos, combinando el apoyo de la Secretaría relacionado con las siguientes áreas en una sola división</w:t>
      </w:r>
      <w:r w:rsidR="001C6D3B" w:rsidRPr="00875B13">
        <w:rPr>
          <w:rFonts w:eastAsia="Times New Roman"/>
          <w:lang w:val="es-ES"/>
        </w:rPr>
        <w:t xml:space="preserve">: </w:t>
      </w:r>
    </w:p>
    <w:p w:rsidR="001C6D3B" w:rsidRPr="00875B13" w:rsidRDefault="00875B13" w:rsidP="008B3605">
      <w:pPr>
        <w:pStyle w:val="Prrafodelista"/>
        <w:numPr>
          <w:ilvl w:val="0"/>
          <w:numId w:val="57"/>
        </w:numPr>
        <w:tabs>
          <w:tab w:val="clear" w:pos="567"/>
          <w:tab w:val="clear" w:pos="1134"/>
          <w:tab w:val="clear" w:pos="1701"/>
          <w:tab w:val="clear" w:pos="2268"/>
        </w:tabs>
        <w:spacing w:line="278" w:lineRule="auto"/>
        <w:rPr>
          <w:rFonts w:eastAsia="Times New Roman"/>
          <w:lang w:val="es-ES"/>
        </w:rPr>
      </w:pPr>
      <w:r w:rsidRPr="00911818">
        <w:rPr>
          <w:rFonts w:eastAsia="Times New Roman"/>
          <w:lang w:val="es-ES"/>
        </w:rPr>
        <w:t xml:space="preserve">Apoyo a la participación de los principales grupos </w:t>
      </w:r>
      <w:r>
        <w:rPr>
          <w:rFonts w:eastAsia="Times New Roman"/>
          <w:lang w:val="es-ES"/>
        </w:rPr>
        <w:t>e interesados directos</w:t>
      </w:r>
    </w:p>
    <w:p w:rsidR="001C6D3B" w:rsidRPr="00875B13" w:rsidRDefault="00875B13" w:rsidP="008B3605">
      <w:pPr>
        <w:pStyle w:val="Prrafodelista"/>
        <w:numPr>
          <w:ilvl w:val="0"/>
          <w:numId w:val="57"/>
        </w:numPr>
        <w:tabs>
          <w:tab w:val="clear" w:pos="567"/>
          <w:tab w:val="clear" w:pos="1134"/>
          <w:tab w:val="clear" w:pos="1701"/>
          <w:tab w:val="clear" w:pos="2268"/>
        </w:tabs>
        <w:spacing w:line="278" w:lineRule="auto"/>
        <w:rPr>
          <w:rFonts w:eastAsia="Times New Roman"/>
          <w:lang w:val="es-ES"/>
        </w:rPr>
      </w:pPr>
      <w:r w:rsidRPr="00911818">
        <w:rPr>
          <w:rFonts w:eastAsia="Times New Roman"/>
          <w:lang w:val="es-ES"/>
        </w:rPr>
        <w:lastRenderedPageBreak/>
        <w:t>Cooperación con otros actores de las Naciones Unidas</w:t>
      </w:r>
    </w:p>
    <w:p w:rsidR="001C6D3B" w:rsidRPr="00875B13" w:rsidRDefault="00875B13" w:rsidP="008B3605">
      <w:pPr>
        <w:pStyle w:val="Prrafodelista"/>
        <w:numPr>
          <w:ilvl w:val="0"/>
          <w:numId w:val="57"/>
        </w:numPr>
        <w:tabs>
          <w:tab w:val="clear" w:pos="567"/>
          <w:tab w:val="clear" w:pos="1134"/>
          <w:tab w:val="clear" w:pos="1701"/>
          <w:tab w:val="clear" w:pos="2268"/>
        </w:tabs>
        <w:spacing w:line="278" w:lineRule="auto"/>
        <w:rPr>
          <w:rFonts w:eastAsia="Times New Roman"/>
          <w:lang w:val="es-ES"/>
        </w:rPr>
      </w:pPr>
      <w:r w:rsidRPr="00911818">
        <w:rPr>
          <w:rFonts w:eastAsia="Times New Roman"/>
          <w:lang w:val="es-ES"/>
        </w:rPr>
        <w:t>Apoyo relacionado con el artículo 8 j)</w:t>
      </w:r>
    </w:p>
    <w:p w:rsidR="001C6D3B" w:rsidRPr="00875B13" w:rsidRDefault="00875B13" w:rsidP="008B3605">
      <w:pPr>
        <w:pStyle w:val="Prrafodelista"/>
        <w:numPr>
          <w:ilvl w:val="0"/>
          <w:numId w:val="57"/>
        </w:numPr>
        <w:tabs>
          <w:tab w:val="clear" w:pos="567"/>
          <w:tab w:val="clear" w:pos="1134"/>
          <w:tab w:val="clear" w:pos="1701"/>
          <w:tab w:val="clear" w:pos="2268"/>
        </w:tabs>
        <w:spacing w:line="278" w:lineRule="auto"/>
        <w:rPr>
          <w:rFonts w:eastAsia="Times New Roman"/>
          <w:lang w:val="es-ES"/>
        </w:rPr>
      </w:pPr>
      <w:r w:rsidRPr="00911818">
        <w:rPr>
          <w:rFonts w:eastAsia="Times New Roman"/>
          <w:lang w:val="es-ES"/>
        </w:rPr>
        <w:t>Apoyo a la movilización de recursos (incluidos el Fondo Cali y el Mecanismo Financiero)</w:t>
      </w:r>
    </w:p>
    <w:p w:rsidR="001C6D3B" w:rsidRPr="00C725CE" w:rsidRDefault="00875B13" w:rsidP="008B3605">
      <w:pPr>
        <w:pStyle w:val="Prrafodelista"/>
        <w:numPr>
          <w:ilvl w:val="0"/>
          <w:numId w:val="57"/>
        </w:numPr>
        <w:tabs>
          <w:tab w:val="clear" w:pos="567"/>
          <w:tab w:val="clear" w:pos="1134"/>
          <w:tab w:val="clear" w:pos="1701"/>
          <w:tab w:val="clear" w:pos="2268"/>
        </w:tabs>
        <w:spacing w:line="278" w:lineRule="auto"/>
        <w:rPr>
          <w:rFonts w:eastAsia="Times New Roman"/>
        </w:rPr>
      </w:pPr>
      <w:r w:rsidRPr="00911818">
        <w:rPr>
          <w:rFonts w:eastAsia="Times New Roman"/>
          <w:lang w:val="es-ES"/>
        </w:rPr>
        <w:t>Comunicaci</w:t>
      </w:r>
      <w:r>
        <w:rPr>
          <w:rFonts w:eastAsia="Times New Roman"/>
          <w:lang w:val="es-ES"/>
        </w:rPr>
        <w:t>ones</w:t>
      </w:r>
      <w:r w:rsidRPr="00911818">
        <w:rPr>
          <w:rFonts w:eastAsia="Times New Roman"/>
          <w:lang w:val="es-ES"/>
        </w:rPr>
        <w:t xml:space="preserve"> y </w:t>
      </w:r>
      <w:r>
        <w:rPr>
          <w:rFonts w:eastAsia="Times New Roman"/>
          <w:lang w:val="es-ES"/>
        </w:rPr>
        <w:t>concienciación</w:t>
      </w:r>
    </w:p>
    <w:p w:rsidR="001C6D3B" w:rsidRPr="00C725CE" w:rsidRDefault="00875B13" w:rsidP="008B3605">
      <w:pPr>
        <w:pStyle w:val="Prrafodelista"/>
        <w:numPr>
          <w:ilvl w:val="0"/>
          <w:numId w:val="57"/>
        </w:numPr>
        <w:tabs>
          <w:tab w:val="clear" w:pos="567"/>
          <w:tab w:val="clear" w:pos="1134"/>
          <w:tab w:val="clear" w:pos="1701"/>
          <w:tab w:val="clear" w:pos="2268"/>
        </w:tabs>
        <w:spacing w:line="278" w:lineRule="auto"/>
        <w:rPr>
          <w:rFonts w:eastAsia="Times New Roman"/>
        </w:rPr>
      </w:pPr>
      <w:r w:rsidRPr="00911818">
        <w:rPr>
          <w:rFonts w:eastAsia="Times New Roman"/>
        </w:rPr>
        <w:t>Gestión del conocimiento institucional</w:t>
      </w:r>
    </w:p>
    <w:p w:rsidR="001C6D3B" w:rsidRPr="00875B13" w:rsidRDefault="00875B1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Pr>
          <w:rFonts w:eastAsia="Times New Roman"/>
          <w:lang w:val="es-ES"/>
        </w:rPr>
        <w:t>Esto requeriría a</w:t>
      </w:r>
      <w:r w:rsidRPr="00CE054D">
        <w:rPr>
          <w:rFonts w:eastAsia="Times New Roman"/>
          <w:lang w:val="es-ES"/>
        </w:rPr>
        <w:t xml:space="preserve">grupar los recursos actualmente distribuidos entre diversas </w:t>
      </w:r>
      <w:r>
        <w:rPr>
          <w:rFonts w:eastAsia="Times New Roman"/>
          <w:lang w:val="es-ES"/>
        </w:rPr>
        <w:t>dependencias</w:t>
      </w:r>
      <w:r w:rsidRPr="00CE054D">
        <w:rPr>
          <w:rFonts w:eastAsia="Times New Roman"/>
          <w:lang w:val="es-ES"/>
        </w:rPr>
        <w:t xml:space="preserve"> con experiencia en la </w:t>
      </w:r>
      <w:r>
        <w:rPr>
          <w:rFonts w:eastAsia="Times New Roman"/>
          <w:lang w:val="es-ES"/>
        </w:rPr>
        <w:t>Dependencia</w:t>
      </w:r>
      <w:r w:rsidRPr="00CE054D">
        <w:rPr>
          <w:rFonts w:eastAsia="Times New Roman"/>
          <w:lang w:val="es-ES"/>
        </w:rPr>
        <w:t xml:space="preserve"> de </w:t>
      </w:r>
      <w:r>
        <w:rPr>
          <w:rFonts w:eastAsia="Times New Roman"/>
          <w:lang w:val="es-ES"/>
        </w:rPr>
        <w:t xml:space="preserve">Diversidad Biológica, </w:t>
      </w:r>
      <w:r w:rsidRPr="00CE054D">
        <w:rPr>
          <w:rFonts w:eastAsia="Times New Roman"/>
          <w:lang w:val="es-ES"/>
        </w:rPr>
        <w:t xml:space="preserve">Transformación </w:t>
      </w:r>
      <w:r>
        <w:rPr>
          <w:rFonts w:eastAsia="Times New Roman"/>
          <w:lang w:val="es-ES"/>
        </w:rPr>
        <w:t xml:space="preserve">e Innovación de la </w:t>
      </w:r>
      <w:r w:rsidRPr="00CE054D">
        <w:rPr>
          <w:rFonts w:eastAsia="Times New Roman"/>
          <w:lang w:val="es-ES"/>
        </w:rPr>
        <w:t>Econ</w:t>
      </w:r>
      <w:r>
        <w:rPr>
          <w:rFonts w:eastAsia="Times New Roman"/>
          <w:lang w:val="es-ES"/>
        </w:rPr>
        <w:t>omía</w:t>
      </w:r>
      <w:r w:rsidRPr="00CE054D">
        <w:rPr>
          <w:rFonts w:eastAsia="Times New Roman"/>
          <w:lang w:val="es-ES"/>
        </w:rPr>
        <w:t xml:space="preserve">, la </w:t>
      </w:r>
      <w:r>
        <w:rPr>
          <w:rFonts w:eastAsia="Times New Roman"/>
          <w:lang w:val="es-ES"/>
        </w:rPr>
        <w:t>Dependencia</w:t>
      </w:r>
      <w:r w:rsidRPr="00CE054D">
        <w:rPr>
          <w:rFonts w:eastAsia="Times New Roman"/>
          <w:lang w:val="es-ES"/>
        </w:rPr>
        <w:t xml:space="preserve"> de </w:t>
      </w:r>
      <w:r>
        <w:rPr>
          <w:rFonts w:eastAsia="Times New Roman"/>
          <w:lang w:val="es-ES"/>
        </w:rPr>
        <w:t xml:space="preserve">Cooperación y </w:t>
      </w:r>
      <w:r w:rsidRPr="00CE054D">
        <w:rPr>
          <w:rFonts w:eastAsia="Times New Roman"/>
          <w:lang w:val="es-ES"/>
        </w:rPr>
        <w:t xml:space="preserve">Participación de </w:t>
      </w:r>
      <w:r>
        <w:rPr>
          <w:rFonts w:eastAsia="Times New Roman"/>
          <w:lang w:val="es-ES"/>
        </w:rPr>
        <w:t>Interesados</w:t>
      </w:r>
      <w:r w:rsidRPr="00CE054D">
        <w:rPr>
          <w:rFonts w:eastAsia="Times New Roman"/>
          <w:lang w:val="es-ES"/>
        </w:rPr>
        <w:t xml:space="preserve"> y la </w:t>
      </w:r>
      <w:r>
        <w:rPr>
          <w:rFonts w:eastAsia="Times New Roman"/>
          <w:lang w:val="es-ES"/>
        </w:rPr>
        <w:t>Dependencia de Personas y Diversidad Biológica</w:t>
      </w:r>
      <w:r w:rsidRPr="00CE054D">
        <w:rPr>
          <w:rFonts w:eastAsia="Times New Roman"/>
          <w:lang w:val="es-ES"/>
        </w:rPr>
        <w:t>, que constituyen su capacidad básica, en tres unidades dentro de esta división</w:t>
      </w:r>
      <w:r w:rsidR="001C6D3B" w:rsidRPr="00875B13">
        <w:rPr>
          <w:rFonts w:eastAsia="Times New Roman"/>
          <w:lang w:val="es-ES"/>
        </w:rPr>
        <w:t>.</w:t>
      </w:r>
    </w:p>
    <w:p w:rsidR="001C6D3B" w:rsidRPr="00C725CE" w:rsidRDefault="00875B13" w:rsidP="00094B98">
      <w:pPr>
        <w:spacing w:line="276" w:lineRule="auto"/>
        <w:rPr>
          <w:rFonts w:eastAsia="Times New Roman"/>
          <w:b/>
          <w:bCs/>
          <w:color w:val="000000" w:themeColor="text1"/>
        </w:rPr>
      </w:pPr>
      <w:r>
        <w:rPr>
          <w:rFonts w:eastAsia="Times New Roman"/>
          <w:b/>
          <w:bCs/>
          <w:color w:val="000000" w:themeColor="text1"/>
        </w:rPr>
        <w:t xml:space="preserve">División de </w:t>
      </w:r>
      <w:r w:rsidRPr="00C725CE">
        <w:rPr>
          <w:rFonts w:eastAsia="Times New Roman"/>
          <w:b/>
          <w:bCs/>
          <w:color w:val="000000" w:themeColor="text1"/>
        </w:rPr>
        <w:t>Protocol</w:t>
      </w:r>
      <w:r>
        <w:rPr>
          <w:rFonts w:eastAsia="Times New Roman"/>
          <w:b/>
          <w:bCs/>
          <w:color w:val="000000" w:themeColor="text1"/>
        </w:rPr>
        <w:t>o</w:t>
      </w:r>
      <w:r w:rsidRPr="00C725CE">
        <w:rPr>
          <w:rFonts w:eastAsia="Times New Roman"/>
          <w:b/>
          <w:bCs/>
          <w:color w:val="000000" w:themeColor="text1"/>
        </w:rPr>
        <w:t>s</w:t>
      </w:r>
    </w:p>
    <w:p w:rsidR="001C6D3B" w:rsidRPr="00213290" w:rsidRDefault="00875B1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color w:val="000000" w:themeColor="text1"/>
          <w:lang w:val="es-ES"/>
        </w:rPr>
      </w:pPr>
      <w:r w:rsidRPr="00353C4C">
        <w:rPr>
          <w:rFonts w:eastAsia="Times New Roman"/>
          <w:lang w:val="es-ES"/>
        </w:rPr>
        <w:t xml:space="preserve">Trabajo en grupo relacionado con el acceso y la </w:t>
      </w:r>
      <w:r>
        <w:rPr>
          <w:rFonts w:eastAsia="Times New Roman"/>
          <w:lang w:val="es-ES"/>
        </w:rPr>
        <w:t>participación en los</w:t>
      </w:r>
      <w:r w:rsidRPr="00353C4C">
        <w:rPr>
          <w:rFonts w:eastAsia="Times New Roman"/>
          <w:lang w:val="es-ES"/>
        </w:rPr>
        <w:t xml:space="preserve"> beneficios, la información </w:t>
      </w:r>
      <w:r>
        <w:rPr>
          <w:rFonts w:eastAsia="Times New Roman"/>
          <w:lang w:val="es-ES"/>
        </w:rPr>
        <w:t xml:space="preserve">digital </w:t>
      </w:r>
      <w:r w:rsidRPr="00353C4C">
        <w:rPr>
          <w:rFonts w:eastAsia="Times New Roman"/>
          <w:lang w:val="es-ES"/>
        </w:rPr>
        <w:t xml:space="preserve">sobre secuencias </w:t>
      </w:r>
      <w:r>
        <w:rPr>
          <w:rFonts w:eastAsia="Times New Roman"/>
          <w:lang w:val="es-ES"/>
        </w:rPr>
        <w:t xml:space="preserve">de </w:t>
      </w:r>
      <w:r w:rsidRPr="00353C4C">
        <w:rPr>
          <w:rFonts w:eastAsia="Times New Roman"/>
          <w:lang w:val="es-ES"/>
        </w:rPr>
        <w:t xml:space="preserve">recursos genéticos </w:t>
      </w:r>
      <w:r>
        <w:rPr>
          <w:rFonts w:eastAsia="Times New Roman"/>
          <w:lang w:val="es-ES"/>
        </w:rPr>
        <w:t xml:space="preserve">(DSI) </w:t>
      </w:r>
      <w:r w:rsidRPr="00353C4C">
        <w:rPr>
          <w:rFonts w:eastAsia="Times New Roman"/>
          <w:lang w:val="es-ES"/>
        </w:rPr>
        <w:t xml:space="preserve">y la bioseguridad en una sola división. La consolidación de las dos </w:t>
      </w:r>
      <w:r>
        <w:rPr>
          <w:rFonts w:eastAsia="Times New Roman"/>
          <w:lang w:val="es-ES"/>
        </w:rPr>
        <w:t>dependencias</w:t>
      </w:r>
      <w:r w:rsidRPr="00353C4C">
        <w:rPr>
          <w:rFonts w:eastAsia="Times New Roman"/>
          <w:lang w:val="es-ES"/>
        </w:rPr>
        <w:t xml:space="preserve"> del Protocolo en una sola división </w:t>
      </w:r>
      <w:r>
        <w:rPr>
          <w:rFonts w:eastAsia="Times New Roman"/>
          <w:lang w:val="es-ES"/>
        </w:rPr>
        <w:t>fortalecería</w:t>
      </w:r>
      <w:r w:rsidRPr="00353C4C">
        <w:rPr>
          <w:rFonts w:eastAsia="Times New Roman"/>
          <w:lang w:val="es-ES"/>
        </w:rPr>
        <w:t xml:space="preserve"> la coherencia en la aplicación del Protocolo, agilizaría el apoyo a las Partes y permitiría compartir la planificación y los conocimientos especializados. Esta integración mejoraría la colaboración y la eficiencia operativa, y </w:t>
      </w:r>
      <w:r w:rsidRPr="006010FD">
        <w:rPr>
          <w:rFonts w:eastAsia="Times New Roman"/>
          <w:lang w:val="es-ES"/>
        </w:rPr>
        <w:t>permitiría a la Secretaría prestar servicios más coherentes, coordinados y técnicamente sólidos en ambos Protocolos</w:t>
      </w:r>
      <w:r w:rsidR="001C6D3B" w:rsidRPr="00213290">
        <w:rPr>
          <w:rFonts w:eastAsia="Times New Roman"/>
          <w:lang w:val="es-ES"/>
        </w:rPr>
        <w:t>.</w:t>
      </w:r>
    </w:p>
    <w:p w:rsidR="001C6D3B" w:rsidRPr="00213290" w:rsidRDefault="00213290" w:rsidP="00507DC7">
      <w:pPr>
        <w:pStyle w:val="Ttulo4"/>
        <w:numPr>
          <w:ilvl w:val="0"/>
          <w:numId w:val="0"/>
        </w:numPr>
        <w:ind w:left="567" w:hanging="567"/>
        <w:rPr>
          <w:rFonts w:eastAsia="Times New Roman"/>
          <w:u w:val="single"/>
          <w:lang w:val="es-ES"/>
        </w:rPr>
      </w:pPr>
      <w:r w:rsidRPr="00213290">
        <w:rPr>
          <w:rFonts w:eastAsia="Times New Roman"/>
          <w:lang w:val="es-ES"/>
        </w:rPr>
        <w:t>Apoyo a las reuniones intergubernamentales</w:t>
      </w:r>
      <w:r w:rsidR="001C6D3B" w:rsidRPr="00213290">
        <w:rPr>
          <w:rFonts w:eastAsia="Times New Roman"/>
          <w:lang w:val="es-ES"/>
        </w:rPr>
        <w:t xml:space="preserve"> </w:t>
      </w:r>
    </w:p>
    <w:p w:rsidR="001C6D3B" w:rsidRPr="00213290" w:rsidRDefault="00213290" w:rsidP="00DA0C94">
      <w:pPr>
        <w:pStyle w:val="Prrafodelista"/>
        <w:numPr>
          <w:ilvl w:val="0"/>
          <w:numId w:val="60"/>
        </w:numPr>
        <w:tabs>
          <w:tab w:val="clear" w:pos="567"/>
          <w:tab w:val="clear" w:pos="1134"/>
          <w:tab w:val="clear" w:pos="1701"/>
          <w:tab w:val="clear" w:pos="2268"/>
        </w:tabs>
        <w:spacing w:before="120" w:after="120"/>
        <w:contextualSpacing w:val="0"/>
        <w:rPr>
          <w:color w:val="000000" w:themeColor="text1"/>
          <w:lang w:val="es-ES"/>
        </w:rPr>
      </w:pPr>
      <w:r w:rsidRPr="00081800">
        <w:rPr>
          <w:rFonts w:eastAsia="Times New Roman"/>
          <w:lang w:val="es-ES"/>
        </w:rPr>
        <w:t xml:space="preserve">Reforzar el apoyo a las reuniones intergubernamentales mediante la creación de una dependencia independiente bajo la supervisión directa del Secretario Ejecutivo Adjunto y el establecimiento de un puesto directivo superior para supervisar y orientar la logística de las conferencias y la gestión de las reuniones, la inscripción de los participantes y los viajes de estos. </w:t>
      </w:r>
      <w:r w:rsidRPr="00E002A4">
        <w:rPr>
          <w:rFonts w:eastAsia="Times New Roman"/>
          <w:lang w:val="es-ES"/>
        </w:rPr>
        <w:t>Al establecer un vínculo directo con la Dirección Ejecutiva y someterlos a su supervisión, estos servicios deberían integrarse más estrechamente con las funciones que desempeña la Dependencia de Documentación e Idiomas, que actualmente se propone para que forme parte de la función de Dirección Ejecutiva</w:t>
      </w:r>
      <w:r w:rsidR="001C6D3B" w:rsidRPr="00213290">
        <w:rPr>
          <w:rFonts w:eastAsia="Times New Roman"/>
          <w:lang w:val="es-ES"/>
        </w:rPr>
        <w:t>.</w:t>
      </w:r>
    </w:p>
    <w:p w:rsidR="001C6D3B" w:rsidRPr="00213290" w:rsidRDefault="00213290" w:rsidP="00507DC7">
      <w:pPr>
        <w:pStyle w:val="Ttulo4"/>
        <w:numPr>
          <w:ilvl w:val="0"/>
          <w:numId w:val="0"/>
        </w:numPr>
        <w:ind w:left="567" w:hanging="567"/>
        <w:rPr>
          <w:rFonts w:eastAsia="Times New Roman"/>
          <w:b w:val="0"/>
          <w:lang w:val="es-ES"/>
        </w:rPr>
      </w:pPr>
      <w:r w:rsidRPr="00E002A4">
        <w:rPr>
          <w:rFonts w:eastAsia="Times New Roman"/>
          <w:lang w:val="es-ES"/>
        </w:rPr>
        <w:t>Sección de Apoyo Administrativo y Operativo</w:t>
      </w:r>
    </w:p>
    <w:p w:rsidR="001C6D3B" w:rsidRPr="00213290" w:rsidRDefault="00213290"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E002A4">
        <w:rPr>
          <w:rFonts w:eastAsia="Times New Roman"/>
          <w:lang w:val="es-ES"/>
        </w:rPr>
        <w:t>Fortalecer la estructura administrativa de la Secretaría centrando la labor de la División en los siguientes servicios básicos</w:t>
      </w:r>
      <w:r w:rsidR="001C6D3B" w:rsidRPr="00213290">
        <w:rPr>
          <w:rFonts w:eastAsia="Times New Roman"/>
          <w:lang w:val="es-ES"/>
        </w:rPr>
        <w:t>:</w:t>
      </w:r>
    </w:p>
    <w:p w:rsidR="001C6D3B" w:rsidRPr="00213290" w:rsidRDefault="00213290" w:rsidP="00094B98">
      <w:pPr>
        <w:ind w:left="720" w:firstLine="720"/>
        <w:rPr>
          <w:rFonts w:eastAsia="Times New Roman"/>
          <w:lang w:val="es-ES"/>
        </w:rPr>
      </w:pPr>
      <w:r w:rsidRPr="00213290">
        <w:rPr>
          <w:rFonts w:eastAsia="Times New Roman"/>
          <w:lang w:val="es-ES"/>
        </w:rPr>
        <w:t xml:space="preserve"> </w:t>
      </w:r>
      <w:r w:rsidR="001C6D3B" w:rsidRPr="00213290">
        <w:rPr>
          <w:rFonts w:eastAsia="Times New Roman"/>
          <w:lang w:val="es-ES"/>
        </w:rPr>
        <w:t xml:space="preserve">a) </w:t>
      </w:r>
      <w:r w:rsidRPr="00213290">
        <w:rPr>
          <w:rFonts w:eastAsia="Times New Roman"/>
          <w:lang w:val="es-ES"/>
        </w:rPr>
        <w:t xml:space="preserve">Recursos </w:t>
      </w:r>
      <w:r w:rsidR="001C6D3B" w:rsidRPr="00213290">
        <w:rPr>
          <w:rFonts w:eastAsia="Times New Roman"/>
          <w:lang w:val="es-ES"/>
        </w:rPr>
        <w:t>Huma</w:t>
      </w:r>
      <w:r w:rsidR="001C6D3B" w:rsidRPr="00213290">
        <w:rPr>
          <w:lang w:val="es-ES"/>
        </w:rPr>
        <w:t>n</w:t>
      </w:r>
      <w:r w:rsidRPr="00213290">
        <w:rPr>
          <w:lang w:val="es-ES"/>
        </w:rPr>
        <w:t>os</w:t>
      </w:r>
    </w:p>
    <w:p w:rsidR="001C6D3B" w:rsidRPr="00213290" w:rsidRDefault="00213290" w:rsidP="00094B98">
      <w:pPr>
        <w:ind w:left="720" w:firstLine="720"/>
        <w:rPr>
          <w:rFonts w:eastAsia="Times New Roman"/>
          <w:lang w:val="es-ES"/>
        </w:rPr>
      </w:pPr>
      <w:r w:rsidRPr="00213290">
        <w:rPr>
          <w:rFonts w:eastAsia="Times New Roman"/>
          <w:lang w:val="es-ES"/>
        </w:rPr>
        <w:t xml:space="preserve"> </w:t>
      </w:r>
      <w:r w:rsidR="001C6D3B" w:rsidRPr="00213290">
        <w:rPr>
          <w:rFonts w:eastAsia="Times New Roman"/>
          <w:lang w:val="es-ES"/>
        </w:rPr>
        <w:t>b) Finan</w:t>
      </w:r>
      <w:r w:rsidRPr="00213290">
        <w:rPr>
          <w:rFonts w:eastAsia="Times New Roman"/>
          <w:lang w:val="es-ES"/>
        </w:rPr>
        <w:t>zas y presupuesto</w:t>
      </w:r>
    </w:p>
    <w:p w:rsidR="001C6D3B" w:rsidRPr="00213290" w:rsidRDefault="00213290" w:rsidP="00094B98">
      <w:pPr>
        <w:ind w:left="720" w:firstLine="720"/>
        <w:rPr>
          <w:rFonts w:eastAsia="Times New Roman"/>
          <w:lang w:val="es-ES"/>
        </w:rPr>
      </w:pPr>
      <w:r w:rsidRPr="00213290">
        <w:rPr>
          <w:rFonts w:eastAsia="Times New Roman"/>
          <w:lang w:val="es-ES"/>
        </w:rPr>
        <w:t xml:space="preserve"> </w:t>
      </w:r>
      <w:r w:rsidR="001C6D3B" w:rsidRPr="00213290">
        <w:rPr>
          <w:rFonts w:eastAsia="Times New Roman"/>
          <w:lang w:val="es-ES"/>
        </w:rPr>
        <w:t xml:space="preserve">c) </w:t>
      </w:r>
      <w:r w:rsidRPr="00E002A4">
        <w:rPr>
          <w:rFonts w:eastAsia="Times New Roman"/>
          <w:lang w:val="es-ES"/>
        </w:rPr>
        <w:t>Administración general (incluida la gestión de las instalaciones y las adquisiciones</w:t>
      </w:r>
      <w:r w:rsidR="001C6D3B" w:rsidRPr="00213290">
        <w:rPr>
          <w:rFonts w:eastAsia="Times New Roman"/>
          <w:lang w:val="es-ES"/>
        </w:rPr>
        <w:t>)</w:t>
      </w:r>
    </w:p>
    <w:p w:rsidR="001C6D3B" w:rsidRPr="00213290" w:rsidRDefault="00213290" w:rsidP="00507DC7">
      <w:pPr>
        <w:pStyle w:val="Ttulo4"/>
        <w:numPr>
          <w:ilvl w:val="0"/>
          <w:numId w:val="0"/>
        </w:numPr>
        <w:ind w:left="567" w:hanging="567"/>
        <w:rPr>
          <w:rFonts w:eastAsia="Times New Roman"/>
          <w:b w:val="0"/>
          <w:lang w:val="es-ES"/>
        </w:rPr>
      </w:pPr>
      <w:r w:rsidRPr="00962130">
        <w:rPr>
          <w:rFonts w:eastAsia="Times New Roman"/>
          <w:lang w:val="es-ES"/>
        </w:rPr>
        <w:t>Dependencia de Tecnología de la Información y Transformación Digital</w:t>
      </w:r>
    </w:p>
    <w:p w:rsidR="001C6D3B" w:rsidRPr="00213290" w:rsidRDefault="00213290"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962130">
        <w:rPr>
          <w:rFonts w:eastAsia="Times New Roman"/>
          <w:lang w:val="es-ES"/>
        </w:rPr>
        <w:t xml:space="preserve">Mejorar el enfoque estratégico en la planificación y ejecución de los servicios de TI mediante la consolidación de los recursos actualmente distribuidos entre la </w:t>
      </w:r>
      <w:r>
        <w:rPr>
          <w:rFonts w:eastAsia="Times New Roman"/>
          <w:lang w:val="es-ES"/>
        </w:rPr>
        <w:t xml:space="preserve">Dependencia </w:t>
      </w:r>
      <w:r w:rsidRPr="00962130">
        <w:rPr>
          <w:rFonts w:eastAsia="Times New Roman"/>
          <w:lang w:val="es-ES"/>
        </w:rPr>
        <w:t xml:space="preserve">de </w:t>
      </w:r>
      <w:r>
        <w:rPr>
          <w:rFonts w:eastAsia="Times New Roman"/>
          <w:lang w:val="es-ES"/>
        </w:rPr>
        <w:t>Tecnología de la Información</w:t>
      </w:r>
      <w:r w:rsidRPr="00962130">
        <w:rPr>
          <w:rFonts w:eastAsia="Times New Roman"/>
          <w:lang w:val="es-ES"/>
        </w:rPr>
        <w:t xml:space="preserve"> de la División de Administración y la sub</w:t>
      </w:r>
      <w:r>
        <w:rPr>
          <w:rFonts w:eastAsia="Times New Roman"/>
          <w:lang w:val="es-ES"/>
        </w:rPr>
        <w:t>dependencia</w:t>
      </w:r>
      <w:r w:rsidRPr="00962130">
        <w:rPr>
          <w:rFonts w:eastAsia="Times New Roman"/>
          <w:lang w:val="es-ES"/>
        </w:rPr>
        <w:t xml:space="preserve"> </w:t>
      </w:r>
      <w:r>
        <w:rPr>
          <w:rFonts w:eastAsia="Times New Roman"/>
          <w:lang w:val="es-ES"/>
        </w:rPr>
        <w:t xml:space="preserve">de </w:t>
      </w:r>
      <w:r w:rsidRPr="00CD4031">
        <w:rPr>
          <w:rFonts w:eastAsia="Times New Roman"/>
          <w:lang w:val="es-ES"/>
        </w:rPr>
        <w:t>Creación de Capacidad y Gestión de Conocimientos</w:t>
      </w:r>
      <w:r>
        <w:rPr>
          <w:rFonts w:eastAsia="Times New Roman"/>
          <w:lang w:val="es-ES"/>
        </w:rPr>
        <w:t>,</w:t>
      </w:r>
      <w:r w:rsidRPr="00962130">
        <w:rPr>
          <w:rFonts w:eastAsia="Times New Roman"/>
          <w:lang w:val="es-ES"/>
        </w:rPr>
        <w:t xml:space="preserve"> TI/DevOps, en una </w:t>
      </w:r>
      <w:r>
        <w:rPr>
          <w:rFonts w:eastAsia="Times New Roman"/>
          <w:lang w:val="es-ES"/>
        </w:rPr>
        <w:t xml:space="preserve">Dependencia </w:t>
      </w:r>
      <w:r w:rsidRPr="00962130">
        <w:rPr>
          <w:rFonts w:eastAsia="Times New Roman"/>
          <w:lang w:val="es-ES"/>
        </w:rPr>
        <w:t>de T</w:t>
      </w:r>
      <w:r>
        <w:rPr>
          <w:rFonts w:eastAsia="Times New Roman"/>
          <w:lang w:val="es-ES"/>
        </w:rPr>
        <w:t>ecnología de la Información</w:t>
      </w:r>
      <w:r w:rsidRPr="00962130">
        <w:rPr>
          <w:rFonts w:eastAsia="Times New Roman"/>
          <w:lang w:val="es-ES"/>
        </w:rPr>
        <w:t xml:space="preserve"> y Transformación Digital unificada para </w:t>
      </w:r>
      <w:r>
        <w:rPr>
          <w:rFonts w:eastAsia="Times New Roman"/>
          <w:lang w:val="es-ES"/>
        </w:rPr>
        <w:t>aumentar</w:t>
      </w:r>
      <w:r w:rsidRPr="00962130">
        <w:rPr>
          <w:rFonts w:eastAsia="Times New Roman"/>
          <w:lang w:val="es-ES"/>
        </w:rPr>
        <w:t xml:space="preserve"> la eficiencia, la coordinación y el apoyo a la innovación digital. Esta </w:t>
      </w:r>
      <w:r>
        <w:rPr>
          <w:rFonts w:eastAsia="Times New Roman"/>
          <w:lang w:val="es-ES"/>
        </w:rPr>
        <w:t>dependencia</w:t>
      </w:r>
      <w:r w:rsidRPr="00962130">
        <w:rPr>
          <w:rFonts w:eastAsia="Times New Roman"/>
          <w:lang w:val="es-ES"/>
        </w:rPr>
        <w:t xml:space="preserve"> se centraría en tres áreas de trabajo: i) proporcionar herramientas y soluciones para uso </w:t>
      </w:r>
      <w:r>
        <w:rPr>
          <w:rFonts w:eastAsia="Times New Roman"/>
          <w:lang w:val="es-ES"/>
        </w:rPr>
        <w:t xml:space="preserve">de </w:t>
      </w:r>
      <w:r w:rsidRPr="00962130">
        <w:rPr>
          <w:rFonts w:eastAsia="Times New Roman"/>
          <w:lang w:val="es-ES"/>
        </w:rPr>
        <w:t>las Partes y otr</w:t>
      </w:r>
      <w:r>
        <w:rPr>
          <w:rFonts w:eastAsia="Times New Roman"/>
          <w:lang w:val="es-ES"/>
        </w:rPr>
        <w:t>os interesados</w:t>
      </w:r>
      <w:r w:rsidRPr="00962130">
        <w:rPr>
          <w:rFonts w:eastAsia="Times New Roman"/>
          <w:lang w:val="es-ES"/>
        </w:rPr>
        <w:t xml:space="preserve"> extern</w:t>
      </w:r>
      <w:r>
        <w:rPr>
          <w:rFonts w:eastAsia="Times New Roman"/>
          <w:lang w:val="es-ES"/>
        </w:rPr>
        <w:t>o</w:t>
      </w:r>
      <w:r w:rsidRPr="00962130">
        <w:rPr>
          <w:rFonts w:eastAsia="Times New Roman"/>
          <w:lang w:val="es-ES"/>
        </w:rPr>
        <w:t>s (p</w:t>
      </w:r>
      <w:r>
        <w:rPr>
          <w:rFonts w:eastAsia="Times New Roman"/>
          <w:lang w:val="es-ES"/>
        </w:rPr>
        <w:t>. ej.</w:t>
      </w:r>
      <w:r w:rsidRPr="00962130">
        <w:rPr>
          <w:rFonts w:eastAsia="Times New Roman"/>
          <w:lang w:val="es-ES"/>
        </w:rPr>
        <w:t xml:space="preserve">, productos de conocimiento, </w:t>
      </w:r>
      <w:r>
        <w:rPr>
          <w:rFonts w:eastAsia="Times New Roman"/>
          <w:lang w:val="es-ES"/>
        </w:rPr>
        <w:t>mecanismo de facilitación,</w:t>
      </w:r>
      <w:r w:rsidRPr="00962130">
        <w:rPr>
          <w:rFonts w:eastAsia="Times New Roman"/>
          <w:lang w:val="es-ES"/>
        </w:rPr>
        <w:t xml:space="preserve"> sitio web), ii) liderar la transformación digital interna para mejorar los procesos y flujos de trabajo internos, la coordinación, la gestión del conocimiento y la gestión del rendimiento y los datos, iii) apoyar la administración de los equipos, la infraestructura y los sistemas de TI</w:t>
      </w:r>
      <w:r w:rsidR="001C6D3B" w:rsidRPr="00213290">
        <w:rPr>
          <w:rFonts w:eastAsia="Times New Roman"/>
          <w:lang w:val="es-ES"/>
        </w:rPr>
        <w:t xml:space="preserve">. </w:t>
      </w:r>
    </w:p>
    <w:p w:rsidR="001C6D3B" w:rsidRPr="00213290" w:rsidRDefault="00213290" w:rsidP="00094B98">
      <w:pPr>
        <w:rPr>
          <w:lang w:val="es-ES"/>
        </w:rPr>
      </w:pPr>
      <w:r w:rsidRPr="008E205A">
        <w:rPr>
          <w:b/>
          <w:bCs/>
          <w:lang w:val="es-ES"/>
        </w:rPr>
        <w:t>Fondo del Japón para la Diversidad Biológica</w:t>
      </w:r>
    </w:p>
    <w:p w:rsidR="001C6D3B" w:rsidRPr="00213290" w:rsidRDefault="00213290" w:rsidP="00DA0C94">
      <w:pPr>
        <w:pStyle w:val="Prrafodelista"/>
        <w:numPr>
          <w:ilvl w:val="0"/>
          <w:numId w:val="60"/>
        </w:numPr>
        <w:tabs>
          <w:tab w:val="clear" w:pos="567"/>
          <w:tab w:val="clear" w:pos="1134"/>
          <w:tab w:val="clear" w:pos="1701"/>
          <w:tab w:val="clear" w:pos="2268"/>
        </w:tabs>
        <w:spacing w:before="120" w:after="120"/>
        <w:contextualSpacing w:val="0"/>
        <w:rPr>
          <w:lang w:val="es-ES"/>
        </w:rPr>
      </w:pPr>
      <w:r w:rsidRPr="008E205A">
        <w:rPr>
          <w:lang w:val="es-ES"/>
        </w:rPr>
        <w:t xml:space="preserve">El Fondo se ajusta a su mandato y sigue prestando un apoyo sustantivo a la Secretaría en la prestación de apoyo específico para </w:t>
      </w:r>
      <w:r>
        <w:rPr>
          <w:lang w:val="es-ES"/>
        </w:rPr>
        <w:t xml:space="preserve">la creación de </w:t>
      </w:r>
      <w:r w:rsidRPr="008E205A">
        <w:rPr>
          <w:lang w:val="es-ES"/>
        </w:rPr>
        <w:t xml:space="preserve">capacidad y la </w:t>
      </w:r>
      <w:r>
        <w:rPr>
          <w:lang w:val="es-ES"/>
        </w:rPr>
        <w:t>implementa</w:t>
      </w:r>
      <w:r w:rsidRPr="008E205A">
        <w:rPr>
          <w:lang w:val="es-ES"/>
        </w:rPr>
        <w:t xml:space="preserve">ción. </w:t>
      </w:r>
      <w:r>
        <w:rPr>
          <w:lang w:val="es-ES"/>
        </w:rPr>
        <w:t xml:space="preserve">La revisión </w:t>
      </w:r>
      <w:r w:rsidRPr="008E205A">
        <w:rPr>
          <w:lang w:val="es-ES"/>
        </w:rPr>
        <w:t xml:space="preserve">pone de relieve la oportunidad de reforzar la coordinación entre el </w:t>
      </w:r>
      <w:r>
        <w:rPr>
          <w:lang w:val="es-ES"/>
        </w:rPr>
        <w:t>Fondo del Japón para la Diversidad Biológica</w:t>
      </w:r>
      <w:r w:rsidRPr="008E205A">
        <w:rPr>
          <w:lang w:val="es-ES"/>
        </w:rPr>
        <w:t xml:space="preserve"> y las funciones más amplias del mecanismo financiero de la Secretaría, a fin de garantizar un enfoque más </w:t>
      </w:r>
      <w:r>
        <w:rPr>
          <w:lang w:val="es-ES"/>
        </w:rPr>
        <w:lastRenderedPageBreak/>
        <w:t>amplio</w:t>
      </w:r>
      <w:r w:rsidRPr="008E205A">
        <w:rPr>
          <w:lang w:val="es-ES"/>
        </w:rPr>
        <w:t xml:space="preserve"> y estratégicamente integrado de la financiación. Una </w:t>
      </w:r>
      <w:r>
        <w:rPr>
          <w:lang w:val="es-ES"/>
        </w:rPr>
        <w:t xml:space="preserve">mejora de la </w:t>
      </w:r>
      <w:r w:rsidRPr="008E205A">
        <w:rPr>
          <w:lang w:val="es-ES"/>
        </w:rPr>
        <w:t xml:space="preserve">coordinación </w:t>
      </w:r>
      <w:r>
        <w:rPr>
          <w:lang w:val="es-ES"/>
        </w:rPr>
        <w:t xml:space="preserve">favorecería </w:t>
      </w:r>
      <w:r w:rsidRPr="008E205A">
        <w:rPr>
          <w:lang w:val="es-ES"/>
        </w:rPr>
        <w:t>una mayor coherencia en l</w:t>
      </w:r>
      <w:r>
        <w:rPr>
          <w:lang w:val="es-ES"/>
        </w:rPr>
        <w:t xml:space="preserve">as iniciativas </w:t>
      </w:r>
      <w:r w:rsidRPr="008E205A">
        <w:rPr>
          <w:lang w:val="es-ES"/>
        </w:rPr>
        <w:t xml:space="preserve">de movilización de recursos y mejoraría la armonización con las necesidades prioritarias de </w:t>
      </w:r>
      <w:r>
        <w:rPr>
          <w:lang w:val="es-ES"/>
        </w:rPr>
        <w:t>implementac</w:t>
      </w:r>
      <w:r w:rsidRPr="008E205A">
        <w:rPr>
          <w:lang w:val="es-ES"/>
        </w:rPr>
        <w:t>ión de las Partes</w:t>
      </w:r>
      <w:r w:rsidR="001C6D3B" w:rsidRPr="00213290">
        <w:rPr>
          <w:lang w:val="es-ES"/>
        </w:rPr>
        <w:t>.</w:t>
      </w:r>
    </w:p>
    <w:p w:rsidR="001C6D3B" w:rsidRPr="00C725CE" w:rsidRDefault="001C6D3B" w:rsidP="00C03FBC">
      <w:pPr>
        <w:pStyle w:val="Ttulo3"/>
        <w:numPr>
          <w:ilvl w:val="0"/>
          <w:numId w:val="0"/>
        </w:numPr>
        <w:spacing w:before="240"/>
        <w:ind w:left="567" w:hanging="567"/>
      </w:pPr>
      <w:r w:rsidRPr="00617309">
        <w:t xml:space="preserve">b. </w:t>
      </w:r>
      <w:r w:rsidR="00CF65B6">
        <w:t>Coherencia transversal</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2D4F56">
        <w:rPr>
          <w:rFonts w:eastAsia="Times New Roman"/>
          <w:lang w:val="es-ES"/>
        </w:rPr>
        <w:t xml:space="preserve">La revisión puso de relieve las oportunidades para fortalecer la integración y la coordinación en todos los procesos y marcos de la Secretaría. Unas disposiciones de gobernanza más coherentes y unos flujos de trabajo </w:t>
      </w:r>
      <w:r>
        <w:rPr>
          <w:rFonts w:eastAsia="Times New Roman"/>
          <w:lang w:val="es-ES"/>
        </w:rPr>
        <w:t>optimizados</w:t>
      </w:r>
      <w:r w:rsidRPr="002D4F56">
        <w:rPr>
          <w:rFonts w:eastAsia="Times New Roman"/>
          <w:lang w:val="es-ES"/>
        </w:rPr>
        <w:t xml:space="preserve"> mejorarían la eficiencia, la coherencia y el aprendizaje institucional. Para apoyar esto, la revisión recomienda establecer responsables designados de los procesos operativos para las funciones transversales clave. </w:t>
      </w:r>
      <w:r>
        <w:rPr>
          <w:rFonts w:eastAsia="Times New Roman"/>
          <w:lang w:val="es-ES"/>
        </w:rPr>
        <w:t>En l</w:t>
      </w:r>
      <w:r w:rsidRPr="002D4F56">
        <w:rPr>
          <w:rFonts w:eastAsia="Times New Roman"/>
          <w:lang w:val="es-ES"/>
        </w:rPr>
        <w:t xml:space="preserve">as consultas </w:t>
      </w:r>
      <w:r>
        <w:rPr>
          <w:rFonts w:eastAsia="Times New Roman"/>
          <w:lang w:val="es-ES"/>
        </w:rPr>
        <w:t xml:space="preserve">celebradas </w:t>
      </w:r>
      <w:r w:rsidRPr="002D4F56">
        <w:rPr>
          <w:rFonts w:eastAsia="Times New Roman"/>
          <w:lang w:val="es-ES"/>
        </w:rPr>
        <w:t xml:space="preserve">con las </w:t>
      </w:r>
      <w:r>
        <w:rPr>
          <w:rFonts w:eastAsia="Times New Roman"/>
          <w:lang w:val="es-ES"/>
        </w:rPr>
        <w:t>dependencias</w:t>
      </w:r>
      <w:r w:rsidRPr="002D4F56">
        <w:rPr>
          <w:rFonts w:eastAsia="Times New Roman"/>
          <w:lang w:val="es-ES"/>
        </w:rPr>
        <w:t xml:space="preserve"> de la Secretaría </w:t>
      </w:r>
      <w:r>
        <w:rPr>
          <w:rFonts w:eastAsia="Times New Roman"/>
          <w:lang w:val="es-ES"/>
        </w:rPr>
        <w:t xml:space="preserve">se </w:t>
      </w:r>
      <w:r w:rsidRPr="002D4F56">
        <w:rPr>
          <w:rFonts w:eastAsia="Times New Roman"/>
          <w:lang w:val="es-ES"/>
        </w:rPr>
        <w:t>subray</w:t>
      </w:r>
      <w:r>
        <w:rPr>
          <w:rFonts w:eastAsia="Times New Roman"/>
          <w:lang w:val="es-ES"/>
        </w:rPr>
        <w:t>ó</w:t>
      </w:r>
      <w:r w:rsidRPr="002D4F56">
        <w:rPr>
          <w:rFonts w:eastAsia="Times New Roman"/>
          <w:lang w:val="es-ES"/>
        </w:rPr>
        <w:t xml:space="preserve"> que una responsabilidad funcional más clara y unos puntos de rendición de cuentas definidos facilitarían una colaboración más </w:t>
      </w:r>
      <w:r>
        <w:rPr>
          <w:rFonts w:eastAsia="Times New Roman"/>
          <w:lang w:val="es-ES"/>
        </w:rPr>
        <w:t>estrecha</w:t>
      </w:r>
      <w:r w:rsidRPr="002D4F56">
        <w:rPr>
          <w:rFonts w:eastAsia="Times New Roman"/>
          <w:lang w:val="es-ES"/>
        </w:rPr>
        <w:t xml:space="preserve">, reducirían el solapamiento y permitirían una ejecución más coherente y </w:t>
      </w:r>
      <w:r>
        <w:rPr>
          <w:rFonts w:eastAsia="Times New Roman"/>
          <w:lang w:val="es-ES"/>
        </w:rPr>
        <w:t>coordinada entre las divisiones</w:t>
      </w:r>
      <w:r w:rsidR="001C6D3B" w:rsidRPr="00CF65B6">
        <w:rPr>
          <w:rFonts w:eastAsia="Times New Roman"/>
          <w:lang w:val="es-ES"/>
        </w:rPr>
        <w:t>.</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462110">
        <w:rPr>
          <w:rFonts w:eastAsia="Times New Roman"/>
          <w:lang w:val="es-ES"/>
        </w:rPr>
        <w:t>Los responsables de los procesos operativos proporcionarían orientación técnica y servicios en sus respectivas esferas de especialización, garantizarían la aplicación coherente de las normas en toda la Secretaría y se</w:t>
      </w:r>
      <w:r>
        <w:rPr>
          <w:rFonts w:eastAsia="Times New Roman"/>
          <w:lang w:val="es-ES"/>
        </w:rPr>
        <w:t>rían responsables de</w:t>
      </w:r>
      <w:r w:rsidRPr="00462110">
        <w:rPr>
          <w:rFonts w:eastAsia="Times New Roman"/>
          <w:lang w:val="es-ES"/>
        </w:rPr>
        <w:t xml:space="preserve"> integrar las enseñanzas extraídas en las políticas y procedimientos internos. Este enfoque </w:t>
      </w:r>
      <w:r>
        <w:rPr>
          <w:rFonts w:eastAsia="Times New Roman"/>
          <w:lang w:val="es-ES"/>
        </w:rPr>
        <w:t xml:space="preserve">fortalecería </w:t>
      </w:r>
      <w:r w:rsidRPr="00462110">
        <w:rPr>
          <w:rFonts w:eastAsia="Times New Roman"/>
          <w:lang w:val="es-ES"/>
        </w:rPr>
        <w:t>la coherencia interfuncional, promovería el aprendizaje institucional y contribuiría a incorporar normas y prácticas com</w:t>
      </w:r>
      <w:r>
        <w:rPr>
          <w:rFonts w:eastAsia="Times New Roman"/>
          <w:lang w:val="es-ES"/>
        </w:rPr>
        <w:t xml:space="preserve">partidas </w:t>
      </w:r>
      <w:r w:rsidRPr="00462110">
        <w:rPr>
          <w:rFonts w:eastAsia="Times New Roman"/>
          <w:lang w:val="es-ES"/>
        </w:rPr>
        <w:t>en toda la Secretaría. Sobre la base de</w:t>
      </w:r>
      <w:r>
        <w:rPr>
          <w:rFonts w:eastAsia="Times New Roman"/>
          <w:lang w:val="es-ES"/>
        </w:rPr>
        <w:t xml:space="preserve"> la revisión</w:t>
      </w:r>
      <w:r w:rsidRPr="00462110">
        <w:rPr>
          <w:rFonts w:eastAsia="Times New Roman"/>
          <w:lang w:val="es-ES"/>
        </w:rPr>
        <w:t xml:space="preserve"> y las consultas, los responsables de los procesos operativos propuestos son los siguientes</w:t>
      </w:r>
      <w:r w:rsidR="001C6D3B" w:rsidRPr="00CF65B6">
        <w:rPr>
          <w:rFonts w:eastAsia="Times New Roman"/>
          <w:lang w:val="es-ES"/>
        </w:rPr>
        <w:t>:</w:t>
      </w:r>
    </w:p>
    <w:p w:rsidR="001C6D3B" w:rsidRPr="00CF65B6" w:rsidRDefault="00CF65B6" w:rsidP="00484B4C">
      <w:pPr>
        <w:pStyle w:val="Prrafodelista"/>
        <w:numPr>
          <w:ilvl w:val="0"/>
          <w:numId w:val="55"/>
        </w:numPr>
        <w:tabs>
          <w:tab w:val="clear" w:pos="567"/>
          <w:tab w:val="clear" w:pos="1134"/>
          <w:tab w:val="clear" w:pos="1701"/>
          <w:tab w:val="clear" w:pos="2268"/>
        </w:tabs>
        <w:spacing w:after="160" w:line="278" w:lineRule="auto"/>
        <w:jc w:val="left"/>
        <w:rPr>
          <w:rFonts w:eastAsia="Times New Roman"/>
          <w:lang w:val="es-ES"/>
        </w:rPr>
      </w:pPr>
      <w:bookmarkStart w:id="3" w:name="_Hlk216959816"/>
      <w:bookmarkStart w:id="4" w:name="_Hlk216959711"/>
      <w:r w:rsidRPr="00C66CDF">
        <w:rPr>
          <w:rFonts w:eastAsia="Times New Roman"/>
          <w:lang w:val="es-ES"/>
        </w:rPr>
        <w:t>Comunicaciones: Dependencia de Comunica</w:t>
      </w:r>
      <w:r>
        <w:rPr>
          <w:rFonts w:eastAsia="Times New Roman"/>
          <w:lang w:val="es-ES"/>
        </w:rPr>
        <w:t>ciones y Concienciación</w:t>
      </w:r>
      <w:r w:rsidR="001C6D3B" w:rsidRPr="00CF65B6">
        <w:rPr>
          <w:rFonts w:eastAsia="Times New Roman"/>
          <w:lang w:val="es-ES"/>
        </w:rPr>
        <w:t xml:space="preserve"> </w:t>
      </w:r>
      <w:bookmarkEnd w:id="3"/>
    </w:p>
    <w:p w:rsidR="001C6D3B" w:rsidRPr="00CF65B6" w:rsidRDefault="00CF65B6" w:rsidP="00484B4C">
      <w:pPr>
        <w:pStyle w:val="Prrafodelista"/>
        <w:numPr>
          <w:ilvl w:val="0"/>
          <w:numId w:val="55"/>
        </w:numPr>
        <w:tabs>
          <w:tab w:val="clear" w:pos="567"/>
          <w:tab w:val="clear" w:pos="1134"/>
          <w:tab w:val="clear" w:pos="1701"/>
          <w:tab w:val="clear" w:pos="2268"/>
        </w:tabs>
        <w:spacing w:after="160" w:line="278" w:lineRule="auto"/>
        <w:jc w:val="left"/>
        <w:rPr>
          <w:rFonts w:eastAsia="Times New Roman"/>
          <w:lang w:val="es-ES"/>
        </w:rPr>
      </w:pPr>
      <w:r w:rsidRPr="00C66CDF">
        <w:rPr>
          <w:rFonts w:eastAsia="Times New Roman"/>
          <w:lang w:val="es-ES"/>
        </w:rPr>
        <w:t xml:space="preserve">Movilización de recursos: </w:t>
      </w:r>
      <w:bookmarkStart w:id="5" w:name="_Hlk216959840"/>
      <w:r w:rsidRPr="00C66CDF">
        <w:rPr>
          <w:rFonts w:eastAsia="Times New Roman"/>
          <w:lang w:val="es-ES"/>
        </w:rPr>
        <w:t>D</w:t>
      </w:r>
      <w:r>
        <w:rPr>
          <w:rFonts w:eastAsia="Times New Roman"/>
          <w:lang w:val="es-ES"/>
        </w:rPr>
        <w:t>ependencia de Movilización de Recursos y Financiación Estratégica</w:t>
      </w:r>
      <w:bookmarkEnd w:id="5"/>
    </w:p>
    <w:p w:rsidR="001C6D3B" w:rsidRPr="00CF65B6" w:rsidRDefault="00CF65B6" w:rsidP="00484B4C">
      <w:pPr>
        <w:pStyle w:val="Prrafodelista"/>
        <w:numPr>
          <w:ilvl w:val="0"/>
          <w:numId w:val="55"/>
        </w:numPr>
        <w:tabs>
          <w:tab w:val="clear" w:pos="567"/>
          <w:tab w:val="clear" w:pos="1134"/>
          <w:tab w:val="clear" w:pos="1701"/>
          <w:tab w:val="clear" w:pos="2268"/>
        </w:tabs>
        <w:spacing w:after="160" w:line="278" w:lineRule="auto"/>
        <w:jc w:val="left"/>
        <w:rPr>
          <w:rFonts w:eastAsia="Times New Roman"/>
          <w:lang w:val="es-ES"/>
        </w:rPr>
      </w:pPr>
      <w:r w:rsidRPr="009D6B5D">
        <w:rPr>
          <w:rFonts w:eastAsia="Times New Roman"/>
          <w:lang w:val="es-ES"/>
        </w:rPr>
        <w:t xml:space="preserve">Participación de interesados: </w:t>
      </w:r>
      <w:bookmarkStart w:id="6" w:name="_Hlk216959902"/>
      <w:r w:rsidRPr="009D6B5D">
        <w:rPr>
          <w:rFonts w:eastAsia="Times New Roman"/>
          <w:lang w:val="es-ES"/>
        </w:rPr>
        <w:t xml:space="preserve">Dependencia de Cooperación y </w:t>
      </w:r>
      <w:r>
        <w:rPr>
          <w:rFonts w:eastAsia="Times New Roman"/>
          <w:lang w:val="es-ES"/>
        </w:rPr>
        <w:t>Participación de Interesados</w:t>
      </w:r>
      <w:bookmarkEnd w:id="6"/>
    </w:p>
    <w:p w:rsidR="001C6D3B" w:rsidRPr="00CF65B6" w:rsidRDefault="00CF65B6" w:rsidP="00484B4C">
      <w:pPr>
        <w:pStyle w:val="Prrafodelista"/>
        <w:numPr>
          <w:ilvl w:val="0"/>
          <w:numId w:val="55"/>
        </w:numPr>
        <w:tabs>
          <w:tab w:val="clear" w:pos="567"/>
          <w:tab w:val="clear" w:pos="1134"/>
          <w:tab w:val="clear" w:pos="1701"/>
          <w:tab w:val="clear" w:pos="2268"/>
        </w:tabs>
        <w:spacing w:after="160" w:line="278" w:lineRule="auto"/>
        <w:jc w:val="left"/>
        <w:rPr>
          <w:rFonts w:eastAsia="Times New Roman"/>
          <w:lang w:val="es-ES"/>
        </w:rPr>
      </w:pPr>
      <w:r w:rsidRPr="009D6B5D">
        <w:rPr>
          <w:rFonts w:eastAsia="Times New Roman"/>
          <w:lang w:val="es-ES"/>
        </w:rPr>
        <w:t>Creación de capacidad: Dependencia de Creación de Capacidad, Segu</w:t>
      </w:r>
      <w:r>
        <w:rPr>
          <w:rFonts w:eastAsia="Times New Roman"/>
          <w:lang w:val="es-ES"/>
        </w:rPr>
        <w:t>imiento y Presentación de Informes</w:t>
      </w:r>
    </w:p>
    <w:p w:rsidR="001C6D3B" w:rsidRPr="00CF65B6" w:rsidRDefault="00CF65B6" w:rsidP="00484B4C">
      <w:pPr>
        <w:pStyle w:val="Prrafodelista"/>
        <w:numPr>
          <w:ilvl w:val="0"/>
          <w:numId w:val="55"/>
        </w:numPr>
        <w:tabs>
          <w:tab w:val="clear" w:pos="567"/>
          <w:tab w:val="clear" w:pos="1134"/>
          <w:tab w:val="clear" w:pos="1701"/>
          <w:tab w:val="clear" w:pos="2268"/>
        </w:tabs>
        <w:spacing w:after="160" w:line="278" w:lineRule="auto"/>
        <w:jc w:val="left"/>
        <w:rPr>
          <w:rFonts w:eastAsia="Times New Roman"/>
          <w:lang w:val="es-ES"/>
        </w:rPr>
      </w:pPr>
      <w:r w:rsidRPr="009D6B5D">
        <w:rPr>
          <w:rFonts w:eastAsia="Times New Roman"/>
          <w:lang w:val="es-ES"/>
        </w:rPr>
        <w:t xml:space="preserve">Gestión de conocimientos: Dependencia de Creación de </w:t>
      </w:r>
      <w:r>
        <w:rPr>
          <w:rFonts w:eastAsia="Times New Roman"/>
          <w:lang w:val="es-ES"/>
        </w:rPr>
        <w:t>Capacidad, Seguimiento y Presentación de Informes</w:t>
      </w:r>
    </w:p>
    <w:p w:rsidR="001C6D3B" w:rsidRPr="00CF65B6" w:rsidRDefault="00CF65B6" w:rsidP="00484B4C">
      <w:pPr>
        <w:pStyle w:val="Prrafodelista"/>
        <w:numPr>
          <w:ilvl w:val="0"/>
          <w:numId w:val="55"/>
        </w:numPr>
        <w:tabs>
          <w:tab w:val="clear" w:pos="567"/>
          <w:tab w:val="clear" w:pos="1134"/>
          <w:tab w:val="clear" w:pos="1701"/>
          <w:tab w:val="clear" w:pos="2268"/>
        </w:tabs>
        <w:spacing w:after="160" w:line="278" w:lineRule="auto"/>
        <w:jc w:val="left"/>
        <w:rPr>
          <w:rFonts w:eastAsia="Times New Roman"/>
          <w:lang w:val="es-ES"/>
        </w:rPr>
      </w:pPr>
      <w:r w:rsidRPr="009D6B5D">
        <w:rPr>
          <w:rFonts w:eastAsia="Times New Roman"/>
          <w:lang w:val="es-ES"/>
        </w:rPr>
        <w:t xml:space="preserve">Gestión de conferencias: </w:t>
      </w:r>
      <w:r>
        <w:rPr>
          <w:rFonts w:eastAsia="Times New Roman"/>
          <w:lang w:val="es-ES"/>
        </w:rPr>
        <w:t>Dependencia de Servicios de Conferencias</w:t>
      </w:r>
    </w:p>
    <w:bookmarkEnd w:id="4"/>
    <w:p w:rsidR="001C6D3B" w:rsidRPr="00CF65B6" w:rsidRDefault="001C6D3B" w:rsidP="006979D3">
      <w:pPr>
        <w:pStyle w:val="Ttulo3"/>
        <w:numPr>
          <w:ilvl w:val="0"/>
          <w:numId w:val="0"/>
        </w:numPr>
        <w:spacing w:before="0" w:after="0"/>
        <w:ind w:left="567" w:hanging="567"/>
        <w:rPr>
          <w:rFonts w:eastAsia="Times New Roman"/>
          <w:b w:val="0"/>
          <w:lang w:val="es-ES"/>
        </w:rPr>
      </w:pPr>
      <w:r w:rsidRPr="00CF65B6">
        <w:rPr>
          <w:rFonts w:eastAsia="Times New Roman"/>
          <w:lang w:val="es-ES"/>
        </w:rPr>
        <w:t xml:space="preserve">c. </w:t>
      </w:r>
      <w:r w:rsidR="00CF65B6" w:rsidRPr="002D4F56">
        <w:rPr>
          <w:rFonts w:eastAsia="Times New Roman"/>
          <w:lang w:val="es-ES"/>
        </w:rPr>
        <w:t>Empoderamiento y rendición de cuentas</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E455E0">
        <w:rPr>
          <w:rFonts w:eastAsia="Times New Roman"/>
          <w:lang w:val="es-ES"/>
        </w:rPr>
        <w:t xml:space="preserve">El fortalecimiento del empoderamiento y la rendición de cuentas dentro de la Secretaría es </w:t>
      </w:r>
      <w:r>
        <w:rPr>
          <w:rFonts w:eastAsia="Times New Roman"/>
          <w:lang w:val="es-ES"/>
        </w:rPr>
        <w:t>fundamental</w:t>
      </w:r>
      <w:r w:rsidRPr="00E455E0">
        <w:rPr>
          <w:rFonts w:eastAsia="Times New Roman"/>
          <w:lang w:val="es-ES"/>
        </w:rPr>
        <w:t xml:space="preserve"> para garantizar una toma de decisiones oportuna y eficaz. </w:t>
      </w:r>
      <w:r>
        <w:rPr>
          <w:rFonts w:eastAsia="Times New Roman"/>
          <w:lang w:val="es-ES"/>
        </w:rPr>
        <w:t>En l</w:t>
      </w:r>
      <w:r w:rsidRPr="00E455E0">
        <w:rPr>
          <w:rFonts w:eastAsia="Times New Roman"/>
          <w:lang w:val="es-ES"/>
        </w:rPr>
        <w:t xml:space="preserve">a revisión </w:t>
      </w:r>
      <w:r>
        <w:rPr>
          <w:rFonts w:eastAsia="Times New Roman"/>
          <w:lang w:val="es-ES"/>
        </w:rPr>
        <w:t xml:space="preserve">se </w:t>
      </w:r>
      <w:r w:rsidRPr="00E455E0">
        <w:rPr>
          <w:rFonts w:eastAsia="Times New Roman"/>
          <w:lang w:val="es-ES"/>
        </w:rPr>
        <w:t>recomienda que, cuando sea posible, se deleguen faculta</w:t>
      </w:r>
      <w:r>
        <w:rPr>
          <w:rFonts w:eastAsia="Times New Roman"/>
          <w:lang w:val="es-ES"/>
        </w:rPr>
        <w:t>des a los jefes de división en esferas</w:t>
      </w:r>
      <w:r w:rsidRPr="00E455E0">
        <w:rPr>
          <w:rFonts w:eastAsia="Times New Roman"/>
          <w:lang w:val="es-ES"/>
        </w:rPr>
        <w:t xml:space="preserve"> como la gestión presupuestaria y las adquisiciones, de conformidad con las normas y reglamentos de las Naciones Unidas. En particular, el aumento de </w:t>
      </w:r>
      <w:r>
        <w:rPr>
          <w:rFonts w:eastAsia="Times New Roman"/>
          <w:lang w:val="es-ES"/>
        </w:rPr>
        <w:t>los límites de</w:t>
      </w:r>
      <w:r w:rsidRPr="00E455E0">
        <w:rPr>
          <w:rFonts w:eastAsia="Times New Roman"/>
          <w:lang w:val="es-ES"/>
        </w:rPr>
        <w:t xml:space="preserve"> delegación de facultades del PNUMA para las adquisiciones de bajo valor contribuiría a reducir los retrasos y mejorar la eficiencia operativa, teniendo en cuenta que el valor de las adquisiciones de bajo valor ha sido de 10 000 dólares estadou</w:t>
      </w:r>
      <w:r>
        <w:rPr>
          <w:rFonts w:eastAsia="Times New Roman"/>
          <w:lang w:val="es-ES"/>
        </w:rPr>
        <w:t>nidenses durante más de 10 años</w:t>
      </w:r>
      <w:r w:rsidR="001C6D3B" w:rsidRPr="00CF65B6">
        <w:rPr>
          <w:rFonts w:eastAsia="Times New Roman"/>
          <w:lang w:val="es-ES"/>
        </w:rPr>
        <w:t>.</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B20FD6">
        <w:rPr>
          <w:rFonts w:eastAsia="Times New Roman"/>
          <w:lang w:val="es-ES"/>
        </w:rPr>
        <w:t>Una mayor delegación de autoridad debe complementarse con marcos claros de rendición de cuentas y mecanismos de supervisión del desempeño. El fortalecimiento de la capacidad de gestión mejoraría la responsabilidad d</w:t>
      </w:r>
      <w:r>
        <w:rPr>
          <w:rFonts w:eastAsia="Times New Roman"/>
          <w:lang w:val="es-ES"/>
        </w:rPr>
        <w:t>irectiva</w:t>
      </w:r>
      <w:r w:rsidRPr="00B20FD6">
        <w:rPr>
          <w:rFonts w:eastAsia="Times New Roman"/>
          <w:lang w:val="es-ES"/>
        </w:rPr>
        <w:t xml:space="preserve"> en cuanto a los resultados, fomentaría la iniciativa </w:t>
      </w:r>
      <w:r w:rsidRPr="00B57CE4">
        <w:rPr>
          <w:rFonts w:eastAsia="Times New Roman"/>
          <w:lang w:val="es-ES"/>
        </w:rPr>
        <w:t>en</w:t>
      </w:r>
      <w:r>
        <w:rPr>
          <w:rFonts w:eastAsia="Times New Roman"/>
          <w:lang w:val="es-ES"/>
        </w:rPr>
        <w:t xml:space="preserve"> el nivel medio de la dirección</w:t>
      </w:r>
      <w:r w:rsidRPr="00B20FD6">
        <w:rPr>
          <w:rFonts w:eastAsia="Times New Roman"/>
          <w:lang w:val="es-ES"/>
        </w:rPr>
        <w:t xml:space="preserve"> y contribuiría a que la Secretaría fuera más ágil y receptiva</w:t>
      </w:r>
      <w:r w:rsidR="001C6D3B" w:rsidRPr="00CF65B6">
        <w:rPr>
          <w:rFonts w:eastAsia="Times New Roman"/>
          <w:lang w:val="es-ES"/>
        </w:rPr>
        <w:t>.</w:t>
      </w:r>
    </w:p>
    <w:p w:rsidR="001C6D3B" w:rsidRPr="00CF65B6" w:rsidRDefault="001C6D3B" w:rsidP="006979D3">
      <w:pPr>
        <w:pStyle w:val="Ttulo3"/>
        <w:numPr>
          <w:ilvl w:val="0"/>
          <w:numId w:val="0"/>
        </w:numPr>
        <w:ind w:left="567" w:hanging="567"/>
        <w:rPr>
          <w:rFonts w:eastAsia="Times New Roman"/>
          <w:b w:val="0"/>
          <w:lang w:val="es-ES"/>
        </w:rPr>
      </w:pPr>
      <w:r w:rsidRPr="00CF65B6">
        <w:rPr>
          <w:rFonts w:eastAsia="Times New Roman"/>
          <w:lang w:val="es-ES"/>
        </w:rPr>
        <w:t xml:space="preserve">d. </w:t>
      </w:r>
      <w:r w:rsidR="00CF65B6" w:rsidRPr="00203705">
        <w:rPr>
          <w:rFonts w:eastAsia="Times New Roman"/>
          <w:lang w:val="es-ES"/>
        </w:rPr>
        <w:t>Capacidad de recursos humanos y dotación de personal</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203705">
        <w:rPr>
          <w:rFonts w:eastAsia="Times New Roman"/>
          <w:lang w:val="es-ES"/>
        </w:rPr>
        <w:t xml:space="preserve">La revisión reveló que la escasez de personal y las cargas de trabajo elevadas y desiguales limitan el </w:t>
      </w:r>
      <w:r>
        <w:rPr>
          <w:rFonts w:eastAsia="Times New Roman"/>
          <w:lang w:val="es-ES"/>
        </w:rPr>
        <w:t>desempeñ</w:t>
      </w:r>
      <w:r w:rsidRPr="00203705">
        <w:rPr>
          <w:rFonts w:eastAsia="Times New Roman"/>
          <w:lang w:val="es-ES"/>
        </w:rPr>
        <w:t xml:space="preserve">o de la Secretaría y el bienestar del personal. Además, los organigramas de los equipos y las descripciones de los puestos están desactualizados. Para hacer frente a estos </w:t>
      </w:r>
      <w:r>
        <w:rPr>
          <w:rFonts w:eastAsia="Times New Roman"/>
          <w:lang w:val="es-ES"/>
        </w:rPr>
        <w:t>desafíos</w:t>
      </w:r>
      <w:r w:rsidRPr="00203705">
        <w:rPr>
          <w:rFonts w:eastAsia="Times New Roman"/>
          <w:lang w:val="es-ES"/>
        </w:rPr>
        <w:t xml:space="preserve">, la revisión recomienda reforzar el equipo de recursos humanos y llevar a cabo una revisión interna de los procesos de contratación para garantizar </w:t>
      </w:r>
      <w:r>
        <w:rPr>
          <w:rFonts w:eastAsia="Times New Roman"/>
          <w:lang w:val="es-ES"/>
        </w:rPr>
        <w:t>que los puestos vacantes se cubran a su debido tiempo</w:t>
      </w:r>
      <w:r w:rsidRPr="00203705">
        <w:rPr>
          <w:rFonts w:eastAsia="Times New Roman"/>
          <w:lang w:val="es-ES"/>
        </w:rPr>
        <w:t xml:space="preserve">, en coordinación con </w:t>
      </w:r>
      <w:r w:rsidRPr="00203705">
        <w:rPr>
          <w:rFonts w:eastAsia="Times New Roman"/>
          <w:lang w:val="es-ES"/>
        </w:rPr>
        <w:lastRenderedPageBreak/>
        <w:t>el PNUMA y la ONUN, y actualizar y publicar las descripciones de los puestos individuales y las estructuras de los equipos para reflejar las funciones actuales</w:t>
      </w:r>
      <w:r w:rsidR="001C6D3B" w:rsidRPr="00CF65B6">
        <w:rPr>
          <w:rFonts w:eastAsia="Times New Roman"/>
          <w:lang w:val="es-ES"/>
        </w:rPr>
        <w:t xml:space="preserve">. </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Pr>
          <w:rFonts w:eastAsia="Times New Roman"/>
          <w:lang w:val="es-ES"/>
        </w:rPr>
        <w:t>L</w:t>
      </w:r>
      <w:r w:rsidRPr="00351704">
        <w:rPr>
          <w:rFonts w:eastAsia="Times New Roman"/>
          <w:lang w:val="es-ES"/>
        </w:rPr>
        <w:t xml:space="preserve">as medidas adicionales deberían </w:t>
      </w:r>
      <w:r>
        <w:rPr>
          <w:rFonts w:eastAsia="Times New Roman"/>
          <w:lang w:val="es-ES"/>
        </w:rPr>
        <w:t>incluir</w:t>
      </w:r>
      <w:r w:rsidRPr="00351704">
        <w:rPr>
          <w:rFonts w:eastAsia="Times New Roman"/>
          <w:lang w:val="es-ES"/>
        </w:rPr>
        <w:t xml:space="preserve">: establecer un proceso periódico para examinar y actualizar las descripciones de los puestos y los datos sobre la dotación de personal de la Secretaría, mejorar la coordinación con el PNUMA y la ONUN en materia de contratación, y estudiar las posibilidades de aumentar la eficiencia administrativa mediante economías de escala en la contratación y los servicios compartidos. Una mejor planificación de la fuerza de trabajo, incluido un mejor uso de la capacidad temporal, contribuirá a garantizar que la Secretaría cuente con </w:t>
      </w:r>
      <w:r>
        <w:rPr>
          <w:rFonts w:eastAsia="Times New Roman"/>
          <w:lang w:val="es-ES"/>
        </w:rPr>
        <w:t xml:space="preserve">una dotación de </w:t>
      </w:r>
      <w:r w:rsidRPr="00351704">
        <w:rPr>
          <w:rFonts w:eastAsia="Times New Roman"/>
          <w:lang w:val="es-ES"/>
        </w:rPr>
        <w:t xml:space="preserve">personal </w:t>
      </w:r>
      <w:r>
        <w:rPr>
          <w:rFonts w:eastAsia="Times New Roman"/>
          <w:lang w:val="es-ES"/>
        </w:rPr>
        <w:t xml:space="preserve">más </w:t>
      </w:r>
      <w:r w:rsidRPr="00351704">
        <w:rPr>
          <w:rFonts w:eastAsia="Times New Roman"/>
          <w:lang w:val="es-ES"/>
        </w:rPr>
        <w:t>adecuad</w:t>
      </w:r>
      <w:r>
        <w:rPr>
          <w:rFonts w:eastAsia="Times New Roman"/>
          <w:lang w:val="es-ES"/>
        </w:rPr>
        <w:t>a</w:t>
      </w:r>
      <w:r w:rsidRPr="00351704">
        <w:rPr>
          <w:rFonts w:eastAsia="Times New Roman"/>
          <w:lang w:val="es-ES"/>
        </w:rPr>
        <w:t xml:space="preserve"> para satisfacer las necesidades opera</w:t>
      </w:r>
      <w:r>
        <w:rPr>
          <w:rFonts w:eastAsia="Times New Roman"/>
          <w:lang w:val="es-ES"/>
        </w:rPr>
        <w:t>tivas</w:t>
      </w:r>
      <w:r w:rsidR="001C6D3B" w:rsidRPr="00CF65B6">
        <w:rPr>
          <w:rFonts w:eastAsia="Times New Roman"/>
          <w:lang w:val="es-ES"/>
        </w:rPr>
        <w:t>.</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3D3ADB">
        <w:rPr>
          <w:rFonts w:eastAsia="Times New Roman"/>
          <w:lang w:val="es-ES"/>
        </w:rPr>
        <w:t xml:space="preserve">Habida cuenta del volumen de trabajo cada vez mayor de la Secretaría y las persistentes deficiencias </w:t>
      </w:r>
      <w:r>
        <w:rPr>
          <w:rFonts w:eastAsia="Times New Roman"/>
          <w:lang w:val="es-ES"/>
        </w:rPr>
        <w:t xml:space="preserve">en materia </w:t>
      </w:r>
      <w:r w:rsidRPr="003D3ADB">
        <w:rPr>
          <w:rFonts w:eastAsia="Times New Roman"/>
          <w:lang w:val="es-ES"/>
        </w:rPr>
        <w:t>de capacidad detectadas en varias esferas técnicas y opera</w:t>
      </w:r>
      <w:r>
        <w:rPr>
          <w:rFonts w:eastAsia="Times New Roman"/>
          <w:lang w:val="es-ES"/>
        </w:rPr>
        <w:t>tivas</w:t>
      </w:r>
      <w:r w:rsidRPr="003D3ADB">
        <w:rPr>
          <w:rFonts w:eastAsia="Times New Roman"/>
          <w:lang w:val="es-ES"/>
        </w:rPr>
        <w:t xml:space="preserve">, el refuerzo de la planificación de la plantilla también debe ir acompañado de un aumento de la capacidad de dotación de personal, en particular en las dependencias que se enfrentan a </w:t>
      </w:r>
      <w:r>
        <w:rPr>
          <w:rFonts w:eastAsia="Times New Roman"/>
          <w:lang w:val="es-ES"/>
        </w:rPr>
        <w:t>m</w:t>
      </w:r>
      <w:r w:rsidRPr="003D3ADB">
        <w:rPr>
          <w:rFonts w:eastAsia="Times New Roman"/>
          <w:lang w:val="es-ES"/>
        </w:rPr>
        <w:t>ayor</w:t>
      </w:r>
      <w:r>
        <w:rPr>
          <w:rFonts w:eastAsia="Times New Roman"/>
          <w:lang w:val="es-ES"/>
        </w:rPr>
        <w:t>es</w:t>
      </w:r>
      <w:r w:rsidRPr="003D3ADB">
        <w:rPr>
          <w:rFonts w:eastAsia="Times New Roman"/>
          <w:lang w:val="es-ES"/>
        </w:rPr>
        <w:t xml:space="preserve"> demanda</w:t>
      </w:r>
      <w:r>
        <w:rPr>
          <w:rFonts w:eastAsia="Times New Roman"/>
          <w:lang w:val="es-ES"/>
        </w:rPr>
        <w:t>s</w:t>
      </w:r>
      <w:r w:rsidRPr="003D3ADB">
        <w:rPr>
          <w:rFonts w:eastAsia="Times New Roman"/>
          <w:lang w:val="es-ES"/>
        </w:rPr>
        <w:t xml:space="preserve">. Un uso más deliberado de la capacidad temporal puede ayudar a hacer frente a las presiones a corto plazo, pero el desempeño sostenible de las funciones básicas requerirá </w:t>
      </w:r>
      <w:r>
        <w:rPr>
          <w:rFonts w:eastAsia="Times New Roman"/>
          <w:lang w:val="es-ES"/>
        </w:rPr>
        <w:t>reforzar los niveles de personal</w:t>
      </w:r>
      <w:r w:rsidRPr="003D3ADB">
        <w:rPr>
          <w:rFonts w:eastAsia="Times New Roman"/>
          <w:lang w:val="es-ES"/>
        </w:rPr>
        <w:t xml:space="preserve"> permanente</w:t>
      </w:r>
      <w:r w:rsidR="001C6D3B" w:rsidRPr="00CF65B6">
        <w:rPr>
          <w:rFonts w:eastAsia="Times New Roman"/>
          <w:lang w:val="es-ES"/>
        </w:rPr>
        <w:t xml:space="preserve">. </w:t>
      </w:r>
    </w:p>
    <w:p w:rsidR="001C6D3B" w:rsidRPr="00CF65B6" w:rsidRDefault="001C6D3B" w:rsidP="006979D3">
      <w:pPr>
        <w:pStyle w:val="Ttulo3"/>
        <w:numPr>
          <w:ilvl w:val="0"/>
          <w:numId w:val="0"/>
        </w:numPr>
        <w:ind w:left="567" w:hanging="567"/>
        <w:rPr>
          <w:rFonts w:eastAsia="Times New Roman"/>
          <w:b w:val="0"/>
          <w:lang w:val="es-ES"/>
        </w:rPr>
      </w:pPr>
      <w:r w:rsidRPr="00CF65B6">
        <w:rPr>
          <w:rFonts w:eastAsia="Times New Roman"/>
          <w:lang w:val="es-ES"/>
        </w:rPr>
        <w:t xml:space="preserve">e. </w:t>
      </w:r>
      <w:r w:rsidR="00CF65B6" w:rsidRPr="00081800">
        <w:rPr>
          <w:rFonts w:eastAsia="Times New Roman"/>
          <w:lang w:val="es-ES"/>
        </w:rPr>
        <w:t>Transformar las formas de trabajar</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Pr>
          <w:rFonts w:eastAsia="Times New Roman"/>
          <w:lang w:val="es-ES"/>
        </w:rPr>
        <w:t>En la</w:t>
      </w:r>
      <w:r w:rsidRPr="00207EB5">
        <w:rPr>
          <w:rFonts w:eastAsia="Times New Roman"/>
          <w:lang w:val="es-ES"/>
        </w:rPr>
        <w:t xml:space="preserve"> revisión </w:t>
      </w:r>
      <w:r>
        <w:rPr>
          <w:rFonts w:eastAsia="Times New Roman"/>
          <w:lang w:val="es-ES"/>
        </w:rPr>
        <w:t xml:space="preserve">se </w:t>
      </w:r>
      <w:r w:rsidRPr="00207EB5">
        <w:rPr>
          <w:rFonts w:eastAsia="Times New Roman"/>
          <w:lang w:val="es-ES"/>
        </w:rPr>
        <w:t>recomienda que la Secretaría adopte un enfoque más estructurado y para todo el ámbito de la Secretarí</w:t>
      </w:r>
      <w:r>
        <w:rPr>
          <w:rFonts w:eastAsia="Times New Roman"/>
          <w:lang w:val="es-ES"/>
        </w:rPr>
        <w:t>a</w:t>
      </w:r>
      <w:r w:rsidRPr="00207EB5">
        <w:rPr>
          <w:rFonts w:eastAsia="Times New Roman"/>
          <w:lang w:val="es-ES"/>
        </w:rPr>
        <w:t xml:space="preserve"> </w:t>
      </w:r>
      <w:r>
        <w:rPr>
          <w:rFonts w:eastAsia="Times New Roman"/>
          <w:lang w:val="es-ES"/>
        </w:rPr>
        <w:t>respecto de</w:t>
      </w:r>
      <w:r w:rsidRPr="00207EB5">
        <w:rPr>
          <w:rFonts w:eastAsia="Times New Roman"/>
          <w:lang w:val="es-ES"/>
        </w:rPr>
        <w:t xml:space="preserve"> la planificación y coordinación del trabajo, basándose en el marco de la presupuestación basada en los resultados </w:t>
      </w:r>
      <w:r>
        <w:rPr>
          <w:rFonts w:eastAsia="Times New Roman"/>
          <w:lang w:val="es-ES"/>
        </w:rPr>
        <w:t>a fin de</w:t>
      </w:r>
      <w:r w:rsidRPr="00207EB5">
        <w:rPr>
          <w:rFonts w:eastAsia="Times New Roman"/>
          <w:lang w:val="es-ES"/>
        </w:rPr>
        <w:t xml:space="preserve"> alinear mejor las actividades con las funciones </w:t>
      </w:r>
      <w:r>
        <w:rPr>
          <w:rFonts w:eastAsia="Times New Roman"/>
          <w:lang w:val="es-ES"/>
        </w:rPr>
        <w:t xml:space="preserve">operativas </w:t>
      </w:r>
      <w:r w:rsidRPr="00207EB5">
        <w:rPr>
          <w:rFonts w:eastAsia="Times New Roman"/>
          <w:lang w:val="es-ES"/>
        </w:rPr>
        <w:t>y las prioridades estratégicas. El fortalecimiento de la planificación del trabajo contribuiría a reducir la duplicación de esfuerzos, e</w:t>
      </w:r>
      <w:r>
        <w:rPr>
          <w:rFonts w:eastAsia="Times New Roman"/>
          <w:lang w:val="es-ES"/>
        </w:rPr>
        <w:t>specialmente</w:t>
      </w:r>
      <w:r w:rsidRPr="00207EB5">
        <w:rPr>
          <w:rFonts w:eastAsia="Times New Roman"/>
          <w:lang w:val="es-ES"/>
        </w:rPr>
        <w:t xml:space="preserve"> en lo que se refiere a la participación de l</w:t>
      </w:r>
      <w:r>
        <w:rPr>
          <w:rFonts w:eastAsia="Times New Roman"/>
          <w:lang w:val="es-ES"/>
        </w:rPr>
        <w:t>os interesados</w:t>
      </w:r>
      <w:r w:rsidRPr="00207EB5">
        <w:rPr>
          <w:rFonts w:eastAsia="Times New Roman"/>
          <w:lang w:val="es-ES"/>
        </w:rPr>
        <w:t xml:space="preserve">, la movilización de recursos y el apoyo a la </w:t>
      </w:r>
      <w:r>
        <w:rPr>
          <w:rFonts w:eastAsia="Times New Roman"/>
          <w:lang w:val="es-ES"/>
        </w:rPr>
        <w:t>aplica</w:t>
      </w:r>
      <w:r w:rsidRPr="00207EB5">
        <w:rPr>
          <w:rFonts w:eastAsia="Times New Roman"/>
          <w:lang w:val="es-ES"/>
        </w:rPr>
        <w:t xml:space="preserve">ción, mejoraría la coordinación entre las </w:t>
      </w:r>
      <w:r>
        <w:rPr>
          <w:rFonts w:eastAsia="Times New Roman"/>
          <w:lang w:val="es-ES"/>
        </w:rPr>
        <w:t>dependencias</w:t>
      </w:r>
      <w:r w:rsidRPr="00207EB5">
        <w:rPr>
          <w:rFonts w:eastAsia="Times New Roman"/>
          <w:lang w:val="es-ES"/>
        </w:rPr>
        <w:t xml:space="preserve"> y favorecería una distribución más equilibrada de la carga de trabajo. Un proceso interno más formalizado para la gestión del cambio, la comunicación y la rendición de cuentas </w:t>
      </w:r>
      <w:r>
        <w:rPr>
          <w:rFonts w:eastAsia="Times New Roman"/>
          <w:lang w:val="es-ES"/>
        </w:rPr>
        <w:t>aumentaría</w:t>
      </w:r>
      <w:r w:rsidRPr="00207EB5">
        <w:rPr>
          <w:rFonts w:eastAsia="Times New Roman"/>
          <w:lang w:val="es-ES"/>
        </w:rPr>
        <w:t xml:space="preserve"> aún más la transparencia y la participación del personal. Varias de estas mejoras ya han sido reconocidas por la alta dirección y se encuentran en las primeras fases de aplicación, lo que sienta las bases para unas prácticas organizativas más integradas y coherentes en el futuro</w:t>
      </w:r>
      <w:r w:rsidR="001C6D3B" w:rsidRPr="00CF65B6">
        <w:rPr>
          <w:rFonts w:eastAsia="Times New Roman"/>
          <w:lang w:val="es-ES"/>
        </w:rPr>
        <w:t>.</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081800">
        <w:rPr>
          <w:rFonts w:eastAsia="Times New Roman"/>
          <w:lang w:val="es-ES"/>
        </w:rPr>
        <w:t xml:space="preserve">Además, en la revisión se propone reforzar la función de movilización de recursos para garantizar que se disponga de recursos suficientes para apoyar las actividades prioritarias. La elaboración de planes bianuales de movilización de recursos tras cada COP para supervisar la aplicación de las estrategias de financiación y fortalecer el vínculo entre las decisiones, la asignación de recursos y la ejecución. También sería beneficioso reforzar los procesos de planificación presupuestaria a largo plazo de la Secretaría. </w:t>
      </w:r>
      <w:r w:rsidRPr="0050384C">
        <w:rPr>
          <w:rFonts w:eastAsia="Times New Roman"/>
          <w:lang w:val="es-ES"/>
        </w:rPr>
        <w:t>La elaboración de proyecciones financieras plurianuales basadas en los patrones históricos de financiación y los mandatos previstos ayudará a la Secretaría a lograr una mayor previsibilidad y armonización de las actividades de las divisiones con las prioridades generales de la organización</w:t>
      </w:r>
      <w:r w:rsidR="001C6D3B" w:rsidRPr="00CF65B6">
        <w:rPr>
          <w:rFonts w:eastAsia="Times New Roman"/>
          <w:lang w:val="es-ES"/>
        </w:rPr>
        <w:t xml:space="preserve">. </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081800">
        <w:rPr>
          <w:rFonts w:eastAsia="Times New Roman"/>
          <w:lang w:val="es-ES"/>
        </w:rPr>
        <w:t xml:space="preserve">En conjunto, estas recomendaciones tienen por objeto garantizar que la Secretaría funcione de manera más coherente, coordinada y con visión de futuro. Estas recomendaciones requerirán el fortalecimiento de la Dependencia de Gestión de Programas para apoyar esas funciones y su ascenso a la categoría de Oficina de la Secretaria Ejecutiva. </w:t>
      </w:r>
      <w:r w:rsidRPr="002023AB">
        <w:rPr>
          <w:rFonts w:eastAsia="Times New Roman"/>
          <w:lang w:val="es-ES"/>
        </w:rPr>
        <w:t>Su aplicación permitirá a la Secretaría armonizar mejor su estructura y sus recursos con sus objetivos estratégicos, mejorar la eficiencia de la coordinación y fortalecer su capacidad para apoyar a las Partes en el logro de los objetivos y metas del Marco Mundial de Biodiversidad de Kunming-Montreal</w:t>
      </w:r>
      <w:r w:rsidR="001C6D3B" w:rsidRPr="00CF65B6">
        <w:rPr>
          <w:rFonts w:eastAsia="Times New Roman"/>
          <w:lang w:val="es-ES"/>
        </w:rPr>
        <w:t>.</w:t>
      </w:r>
    </w:p>
    <w:p w:rsidR="001C6D3B" w:rsidRPr="00CF65B6" w:rsidRDefault="001C6D3B" w:rsidP="006979D3">
      <w:pPr>
        <w:pStyle w:val="Ttulo3"/>
        <w:numPr>
          <w:ilvl w:val="0"/>
          <w:numId w:val="0"/>
        </w:numPr>
        <w:ind w:left="567" w:hanging="567"/>
        <w:rPr>
          <w:rFonts w:eastAsia="Times New Roman"/>
          <w:b w:val="0"/>
          <w:bCs w:val="0"/>
          <w:lang w:val="es-ES"/>
        </w:rPr>
      </w:pPr>
      <w:r w:rsidRPr="00CF65B6">
        <w:rPr>
          <w:rFonts w:eastAsia="Times New Roman"/>
          <w:lang w:val="es-ES"/>
        </w:rPr>
        <w:t xml:space="preserve">f. </w:t>
      </w:r>
      <w:r w:rsidR="00CF65B6" w:rsidRPr="002023AB">
        <w:rPr>
          <w:rFonts w:eastAsia="Times New Roman"/>
          <w:lang w:val="es-ES"/>
        </w:rPr>
        <w:t>Gestión del desempeño funcional de la Secretaría</w:t>
      </w:r>
    </w:p>
    <w:p w:rsidR="001C6D3B" w:rsidRPr="00CF65B6" w:rsidRDefault="00CF65B6"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2023AB">
        <w:rPr>
          <w:rFonts w:eastAsia="Times New Roman"/>
          <w:lang w:val="es-ES"/>
        </w:rPr>
        <w:t xml:space="preserve">Para abordar la falta de </w:t>
      </w:r>
      <w:r>
        <w:rPr>
          <w:rFonts w:eastAsia="Times New Roman"/>
          <w:lang w:val="es-ES"/>
        </w:rPr>
        <w:t>indicadores</w:t>
      </w:r>
      <w:r w:rsidRPr="002023AB">
        <w:rPr>
          <w:rFonts w:eastAsia="Times New Roman"/>
          <w:lang w:val="es-ES"/>
        </w:rPr>
        <w:t xml:space="preserve"> y datos </w:t>
      </w:r>
      <w:r>
        <w:rPr>
          <w:rFonts w:eastAsia="Times New Roman"/>
          <w:lang w:val="es-ES"/>
        </w:rPr>
        <w:t>exhaustivos</w:t>
      </w:r>
      <w:r w:rsidRPr="002023AB">
        <w:rPr>
          <w:rFonts w:eastAsia="Times New Roman"/>
          <w:lang w:val="es-ES"/>
        </w:rPr>
        <w:t xml:space="preserve"> y fiables sobre el </w:t>
      </w:r>
      <w:r>
        <w:rPr>
          <w:rFonts w:eastAsia="Times New Roman"/>
          <w:lang w:val="es-ES"/>
        </w:rPr>
        <w:t>desempeño</w:t>
      </w:r>
      <w:r w:rsidRPr="002023AB">
        <w:rPr>
          <w:rFonts w:eastAsia="Times New Roman"/>
          <w:lang w:val="es-ES"/>
        </w:rPr>
        <w:t xml:space="preserve"> </w:t>
      </w:r>
      <w:r>
        <w:rPr>
          <w:rFonts w:eastAsia="Times New Roman"/>
          <w:lang w:val="es-ES"/>
        </w:rPr>
        <w:t xml:space="preserve">interno </w:t>
      </w:r>
      <w:r w:rsidRPr="002023AB">
        <w:rPr>
          <w:rFonts w:eastAsia="Times New Roman"/>
          <w:lang w:val="es-ES"/>
        </w:rPr>
        <w:t xml:space="preserve">que sirvan de base para la gestión de las funciones de la Secretaría, esta debería elaborar y aplicar un conjunto de </w:t>
      </w:r>
      <w:r>
        <w:rPr>
          <w:rFonts w:eastAsia="Times New Roman"/>
          <w:lang w:val="es-ES"/>
        </w:rPr>
        <w:t>indicadores del desempeño de alto nivel</w:t>
      </w:r>
      <w:r w:rsidRPr="002023AB">
        <w:rPr>
          <w:rFonts w:eastAsia="Times New Roman"/>
          <w:lang w:val="es-ES"/>
        </w:rPr>
        <w:t>, en consonancia con el apoyo a la aplicación de las decisiones del Marco Mundial de Biodiversidad de Kunming-Montreal</w:t>
      </w:r>
      <w:r>
        <w:rPr>
          <w:rFonts w:eastAsia="Times New Roman"/>
          <w:lang w:val="es-ES"/>
        </w:rPr>
        <w:t xml:space="preserve"> y la COP. Estos indicadores tienen por objeto</w:t>
      </w:r>
      <w:r w:rsidRPr="002023AB">
        <w:rPr>
          <w:rFonts w:eastAsia="Times New Roman"/>
          <w:lang w:val="es-ES"/>
        </w:rPr>
        <w:t xml:space="preserve"> reflejar el rendimiento funcional de los equipos </w:t>
      </w:r>
      <w:r>
        <w:rPr>
          <w:rFonts w:eastAsia="Times New Roman"/>
          <w:lang w:val="es-ES"/>
        </w:rPr>
        <w:t>en</w:t>
      </w:r>
      <w:r w:rsidRPr="002023AB">
        <w:rPr>
          <w:rFonts w:eastAsia="Times New Roman"/>
          <w:lang w:val="es-ES"/>
        </w:rPr>
        <w:t xml:space="preserve"> toda la Secretaría, más que el </w:t>
      </w:r>
      <w:r>
        <w:rPr>
          <w:rFonts w:eastAsia="Times New Roman"/>
          <w:lang w:val="es-ES"/>
        </w:rPr>
        <w:t>desempeño</w:t>
      </w:r>
      <w:r w:rsidRPr="002023AB">
        <w:rPr>
          <w:rFonts w:eastAsia="Times New Roman"/>
          <w:lang w:val="es-ES"/>
        </w:rPr>
        <w:t xml:space="preserve"> individual del personal. </w:t>
      </w:r>
      <w:r>
        <w:rPr>
          <w:rFonts w:eastAsia="Times New Roman"/>
          <w:lang w:val="es-ES"/>
        </w:rPr>
        <w:t>La elaboración</w:t>
      </w:r>
      <w:r w:rsidRPr="002023AB">
        <w:rPr>
          <w:rFonts w:eastAsia="Times New Roman"/>
          <w:lang w:val="es-ES"/>
        </w:rPr>
        <w:t xml:space="preserve"> y </w:t>
      </w:r>
      <w:r>
        <w:rPr>
          <w:rFonts w:eastAsia="Times New Roman"/>
          <w:lang w:val="es-ES"/>
        </w:rPr>
        <w:t xml:space="preserve">el </w:t>
      </w:r>
      <w:r w:rsidRPr="002023AB">
        <w:rPr>
          <w:rFonts w:eastAsia="Times New Roman"/>
          <w:lang w:val="es-ES"/>
        </w:rPr>
        <w:t xml:space="preserve">mantenimiento de esos datos de </w:t>
      </w:r>
      <w:r>
        <w:rPr>
          <w:rFonts w:eastAsia="Times New Roman"/>
          <w:lang w:val="es-ES"/>
        </w:rPr>
        <w:t>desempeño</w:t>
      </w:r>
      <w:r w:rsidRPr="002023AB">
        <w:rPr>
          <w:rFonts w:eastAsia="Times New Roman"/>
          <w:lang w:val="es-ES"/>
        </w:rPr>
        <w:t xml:space="preserve"> requeriría</w:t>
      </w:r>
      <w:r>
        <w:rPr>
          <w:rFonts w:eastAsia="Times New Roman"/>
          <w:lang w:val="es-ES"/>
        </w:rPr>
        <w:t>n</w:t>
      </w:r>
      <w:r w:rsidRPr="002023AB">
        <w:rPr>
          <w:rFonts w:eastAsia="Times New Roman"/>
          <w:lang w:val="es-ES"/>
        </w:rPr>
        <w:t xml:space="preserve"> capacidad </w:t>
      </w:r>
      <w:r w:rsidRPr="002023AB">
        <w:rPr>
          <w:rFonts w:eastAsia="Times New Roman"/>
          <w:lang w:val="es-ES"/>
        </w:rPr>
        <w:lastRenderedPageBreak/>
        <w:t xml:space="preserve">adicional y conocimientos especializados para la recopilación, el análisis y la gestión de datos. Una vez establecidos, los datos </w:t>
      </w:r>
      <w:r>
        <w:rPr>
          <w:rFonts w:eastAsia="Times New Roman"/>
          <w:lang w:val="es-ES"/>
        </w:rPr>
        <w:t xml:space="preserve">sobre el </w:t>
      </w:r>
      <w:r w:rsidRPr="002023AB">
        <w:rPr>
          <w:rFonts w:eastAsia="Times New Roman"/>
          <w:lang w:val="es-ES"/>
        </w:rPr>
        <w:t xml:space="preserve">rendimiento podrían utilizarse para preparar un panel de control centralizado del rendimiento y para apoyar la planificación, la presupuestación, la solicitud de recursos y la asignación de </w:t>
      </w:r>
      <w:r>
        <w:rPr>
          <w:rFonts w:eastAsia="Times New Roman"/>
          <w:lang w:val="es-ES"/>
        </w:rPr>
        <w:t>los mism</w:t>
      </w:r>
      <w:r w:rsidRPr="002023AB">
        <w:rPr>
          <w:rFonts w:eastAsia="Times New Roman"/>
          <w:lang w:val="es-ES"/>
        </w:rPr>
        <w:t xml:space="preserve">os. La </w:t>
      </w:r>
      <w:r>
        <w:rPr>
          <w:rFonts w:eastAsia="Times New Roman"/>
          <w:lang w:val="es-ES"/>
        </w:rPr>
        <w:t xml:space="preserve">Dependencia </w:t>
      </w:r>
      <w:r w:rsidRPr="002023AB">
        <w:rPr>
          <w:rFonts w:eastAsia="Times New Roman"/>
          <w:lang w:val="es-ES"/>
        </w:rPr>
        <w:t xml:space="preserve">de Gestión de Programas estaría en condiciones de asumir la responsabilidad del marco y garantizar su pertinencia </w:t>
      </w:r>
      <w:r w:rsidR="000549CA">
        <w:rPr>
          <w:rFonts w:eastAsia="Times New Roman"/>
          <w:lang w:val="es-ES"/>
        </w:rPr>
        <w:t>e</w:t>
      </w:r>
      <w:r w:rsidRPr="002023AB">
        <w:rPr>
          <w:rFonts w:eastAsia="Times New Roman"/>
          <w:lang w:val="es-ES"/>
        </w:rPr>
        <w:t xml:space="preserve"> </w:t>
      </w:r>
      <w:r>
        <w:rPr>
          <w:rFonts w:eastAsia="Times New Roman"/>
          <w:lang w:val="es-ES"/>
        </w:rPr>
        <w:t>implementación continuas</w:t>
      </w:r>
      <w:r w:rsidR="001C6D3B" w:rsidRPr="00CF65B6">
        <w:rPr>
          <w:rFonts w:eastAsia="Times New Roman"/>
          <w:lang w:val="es-ES"/>
        </w:rPr>
        <w:t>.</w:t>
      </w:r>
    </w:p>
    <w:p w:rsidR="001C6D3B" w:rsidRPr="00C725CE" w:rsidRDefault="001C6D3B" w:rsidP="006979D3">
      <w:pPr>
        <w:pStyle w:val="Ttulo3"/>
        <w:numPr>
          <w:ilvl w:val="0"/>
          <w:numId w:val="0"/>
        </w:numPr>
        <w:ind w:left="567" w:hanging="567"/>
        <w:rPr>
          <w:rFonts w:eastAsia="Times New Roman"/>
          <w:b w:val="0"/>
          <w:bCs w:val="0"/>
        </w:rPr>
      </w:pPr>
      <w:r w:rsidRPr="00C725CE">
        <w:rPr>
          <w:rFonts w:eastAsia="Times New Roman"/>
        </w:rPr>
        <w:t xml:space="preserve">g. </w:t>
      </w:r>
      <w:r w:rsidR="00911CA3">
        <w:rPr>
          <w:rFonts w:eastAsia="Times New Roman"/>
        </w:rPr>
        <w:t>Transformación d</w:t>
      </w:r>
      <w:r w:rsidR="00911CA3" w:rsidRPr="00C725CE">
        <w:rPr>
          <w:rFonts w:eastAsia="Times New Roman"/>
        </w:rPr>
        <w:t>igital</w:t>
      </w:r>
    </w:p>
    <w:p w:rsidR="001C6D3B" w:rsidRPr="00911CA3" w:rsidRDefault="00911CA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D159C2">
        <w:rPr>
          <w:rFonts w:eastAsia="Times New Roman"/>
          <w:lang w:val="es-ES"/>
        </w:rPr>
        <w:t xml:space="preserve">Desarrollar una estrategia de transformación digital para toda la Secretaría que articule una visión unificadora de los servicios digitales que respaldan la implementación del </w:t>
      </w:r>
      <w:r w:rsidRPr="002023AB">
        <w:rPr>
          <w:rFonts w:eastAsia="Times New Roman"/>
          <w:lang w:val="es-ES"/>
        </w:rPr>
        <w:t>Marco Mundial de Biodiversidad de Kunming-Montreal</w:t>
      </w:r>
      <w:r w:rsidRPr="00D159C2">
        <w:rPr>
          <w:rFonts w:eastAsia="Times New Roman"/>
          <w:lang w:val="es-ES"/>
        </w:rPr>
        <w:t xml:space="preserve">, las prioridades para modernizar los procesos y plataformas clave, y el fortalecimiento de la gobernanza, la calidad y el análisis de datos. Esta estrategia </w:t>
      </w:r>
      <w:r>
        <w:rPr>
          <w:rFonts w:eastAsia="Times New Roman"/>
          <w:lang w:val="es-ES"/>
        </w:rPr>
        <w:t>orientar</w:t>
      </w:r>
      <w:r w:rsidRPr="00D159C2">
        <w:rPr>
          <w:rFonts w:eastAsia="Times New Roman"/>
          <w:lang w:val="es-ES"/>
        </w:rPr>
        <w:t xml:space="preserve">á las iniciativas digitales y de inteligencia artificial en todas las </w:t>
      </w:r>
      <w:r>
        <w:rPr>
          <w:rFonts w:eastAsia="Times New Roman"/>
          <w:lang w:val="es-ES"/>
        </w:rPr>
        <w:t>dependencias</w:t>
      </w:r>
      <w:r w:rsidRPr="00D159C2">
        <w:rPr>
          <w:rFonts w:eastAsia="Times New Roman"/>
          <w:lang w:val="es-ES"/>
        </w:rPr>
        <w:t xml:space="preserve"> con el objetivo de garantizar una secretaría más eficiente y una mejor prestación de servicios a las Partes. Esta recomendación requeriría recursos adicionales, tanto para desarrollar como para implementar la estrategia</w:t>
      </w:r>
      <w:r w:rsidR="001C6D3B" w:rsidRPr="00911CA3">
        <w:rPr>
          <w:rFonts w:eastAsia="Times New Roman"/>
          <w:lang w:val="es-ES"/>
        </w:rPr>
        <w:t>.</w:t>
      </w:r>
    </w:p>
    <w:p w:rsidR="001C6D3B" w:rsidRPr="00911CA3" w:rsidRDefault="001C6D3B" w:rsidP="006979D3">
      <w:pPr>
        <w:pStyle w:val="Ttulo2"/>
        <w:numPr>
          <w:ilvl w:val="0"/>
          <w:numId w:val="0"/>
        </w:numPr>
        <w:spacing w:before="0" w:after="0"/>
        <w:ind w:left="567" w:hanging="567"/>
        <w:rPr>
          <w:rFonts w:ascii="Times New Roman" w:eastAsia="Times New Roman" w:hAnsi="Times New Roman" w:cs="Times New Roman"/>
          <w:b w:val="0"/>
          <w:bCs/>
          <w:szCs w:val="24"/>
          <w:lang w:val="es-ES"/>
        </w:rPr>
      </w:pPr>
      <w:r w:rsidRPr="00911CA3">
        <w:rPr>
          <w:rFonts w:ascii="Times New Roman" w:eastAsia="Times New Roman" w:hAnsi="Times New Roman" w:cs="Times New Roman"/>
          <w:bCs/>
          <w:szCs w:val="24"/>
          <w:lang w:val="es-ES"/>
        </w:rPr>
        <w:t xml:space="preserve">E. </w:t>
      </w:r>
      <w:r w:rsidR="00911CA3" w:rsidRPr="00CB07D5">
        <w:rPr>
          <w:rFonts w:ascii="Times New Roman" w:eastAsia="Times New Roman" w:hAnsi="Times New Roman" w:cs="Times New Roman"/>
          <w:bCs/>
          <w:szCs w:val="24"/>
          <w:lang w:val="es-ES"/>
        </w:rPr>
        <w:t>Próximos pasos y resultados previstos</w:t>
      </w:r>
    </w:p>
    <w:p w:rsidR="001C6D3B" w:rsidRPr="00911CA3" w:rsidRDefault="00911CA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173587">
        <w:rPr>
          <w:rFonts w:eastAsia="Times New Roman"/>
          <w:lang w:val="es-ES"/>
        </w:rPr>
        <w:t>La ap</w:t>
      </w:r>
      <w:r>
        <w:rPr>
          <w:rFonts w:eastAsia="Times New Roman"/>
          <w:lang w:val="es-ES"/>
        </w:rPr>
        <w:t>licación con éxito</w:t>
      </w:r>
      <w:r w:rsidRPr="00173587">
        <w:rPr>
          <w:rFonts w:eastAsia="Times New Roman"/>
          <w:lang w:val="es-ES"/>
        </w:rPr>
        <w:t xml:space="preserve"> de las recomendaciones de la Revisión Funcional requerirá un enfoque gradual y bien coordinado, liderado por la Secretaria Ejecutiva e idealmente gestionado por un responsable de </w:t>
      </w:r>
      <w:r>
        <w:rPr>
          <w:rFonts w:eastAsia="Times New Roman"/>
          <w:lang w:val="es-ES"/>
        </w:rPr>
        <w:t>aplicac</w:t>
      </w:r>
      <w:r w:rsidRPr="00173587">
        <w:rPr>
          <w:rFonts w:eastAsia="Times New Roman"/>
          <w:lang w:val="es-ES"/>
        </w:rPr>
        <w:t xml:space="preserve">ión designado. </w:t>
      </w:r>
      <w:r w:rsidRPr="00081800">
        <w:rPr>
          <w:rFonts w:eastAsia="Times New Roman"/>
          <w:lang w:val="es-ES"/>
        </w:rPr>
        <w:t xml:space="preserve">A corto plazo, la Secretaría deberá establecer un mecanismo específico de implementación y gestión del cambio, encargado de transformar las recomendaciones en medidas concretas, secuenciar las reformas y supervisar los progresos. </w:t>
      </w:r>
      <w:r w:rsidRPr="00173587">
        <w:rPr>
          <w:rFonts w:eastAsia="Times New Roman"/>
          <w:lang w:val="es-ES"/>
        </w:rPr>
        <w:t>La ap</w:t>
      </w:r>
      <w:r>
        <w:rPr>
          <w:rFonts w:eastAsia="Times New Roman"/>
          <w:lang w:val="es-ES"/>
        </w:rPr>
        <w:t>licación</w:t>
      </w:r>
      <w:r w:rsidRPr="00173587">
        <w:rPr>
          <w:rFonts w:eastAsia="Times New Roman"/>
          <w:lang w:val="es-ES"/>
        </w:rPr>
        <w:t xml:space="preserve"> de estas reformas también requerirá recursos adicionales en materia de personal y conocimientos especializados para asegurarse de que los cambios cuenten con el apoyo y el respaldo adecuados. </w:t>
      </w:r>
      <w:r w:rsidRPr="00985137">
        <w:rPr>
          <w:rFonts w:eastAsia="Times New Roman"/>
          <w:lang w:val="es-ES"/>
        </w:rPr>
        <w:t>Este mecanismo garantizará que las iniciativas de reforma sigan siendo transparentes e inclusivas</w:t>
      </w:r>
      <w:r w:rsidR="001C6D3B" w:rsidRPr="00911CA3">
        <w:rPr>
          <w:rFonts w:eastAsia="Times New Roman"/>
          <w:lang w:val="es-ES"/>
        </w:rPr>
        <w:t>.</w:t>
      </w:r>
    </w:p>
    <w:p w:rsidR="001C6D3B" w:rsidRPr="00911CA3" w:rsidRDefault="00911CA3" w:rsidP="00DA0C94">
      <w:pPr>
        <w:pStyle w:val="Prrafodelista"/>
        <w:numPr>
          <w:ilvl w:val="0"/>
          <w:numId w:val="60"/>
        </w:numPr>
        <w:tabs>
          <w:tab w:val="clear" w:pos="567"/>
          <w:tab w:val="clear" w:pos="1134"/>
          <w:tab w:val="clear" w:pos="1701"/>
          <w:tab w:val="clear" w:pos="2268"/>
        </w:tabs>
        <w:rPr>
          <w:rFonts w:eastAsia="Times New Roman"/>
          <w:lang w:val="es-ES"/>
        </w:rPr>
      </w:pPr>
      <w:r w:rsidRPr="00173587">
        <w:rPr>
          <w:rFonts w:eastAsia="Times New Roman"/>
          <w:bCs/>
          <w:lang w:val="es-ES"/>
        </w:rPr>
        <w:t>Las prioridades a corto plazo deberían incluir</w:t>
      </w:r>
      <w:r w:rsidR="001C6D3B" w:rsidRPr="00911CA3">
        <w:rPr>
          <w:rFonts w:eastAsia="Times New Roman"/>
          <w:lang w:val="es-ES"/>
        </w:rPr>
        <w:t xml:space="preserve">: </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a) </w:t>
      </w:r>
      <w:r w:rsidRPr="00173587">
        <w:rPr>
          <w:rFonts w:eastAsia="Times New Roman"/>
          <w:lang w:val="es-ES"/>
        </w:rPr>
        <w:t>la finalización  del modelo y la estructura operativos propuestos</w:t>
      </w:r>
      <w:r w:rsidR="001C6D3B" w:rsidRPr="00911CA3">
        <w:rPr>
          <w:rFonts w:eastAsia="Times New Roman"/>
          <w:lang w:val="es-ES"/>
        </w:rPr>
        <w:t xml:space="preserve">; </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b) </w:t>
      </w:r>
      <w:r w:rsidRPr="00173587">
        <w:rPr>
          <w:rFonts w:eastAsia="Times New Roman"/>
          <w:lang w:val="es-ES"/>
        </w:rPr>
        <w:t>la identificación de puestos y recursos adicionales para aplicar las recomendaciones</w:t>
      </w:r>
      <w:r w:rsidR="001C6D3B" w:rsidRPr="00911CA3">
        <w:rPr>
          <w:rFonts w:eastAsia="Times New Roman"/>
          <w:lang w:val="es-ES"/>
        </w:rPr>
        <w:t>;</w:t>
      </w:r>
    </w:p>
    <w:p w:rsidR="001C6D3B" w:rsidRPr="00911CA3" w:rsidRDefault="00911CA3" w:rsidP="00094B98">
      <w:pPr>
        <w:ind w:firstLine="720"/>
        <w:rPr>
          <w:color w:val="000000" w:themeColor="text1"/>
          <w:lang w:val="es-ES"/>
        </w:rPr>
      </w:pPr>
      <w:r w:rsidRPr="00911CA3">
        <w:rPr>
          <w:rFonts w:eastAsia="Times New Roman"/>
          <w:lang w:val="es-ES"/>
        </w:rPr>
        <w:t xml:space="preserve"> </w:t>
      </w:r>
      <w:r w:rsidR="001C6D3B" w:rsidRPr="00911CA3">
        <w:rPr>
          <w:rFonts w:eastAsia="Times New Roman"/>
          <w:lang w:val="es-ES"/>
        </w:rPr>
        <w:t xml:space="preserve">c) </w:t>
      </w:r>
      <w:r w:rsidRPr="00173587">
        <w:rPr>
          <w:rFonts w:eastAsia="Times New Roman"/>
          <w:lang w:val="es-ES"/>
        </w:rPr>
        <w:t>un plan detallado para ajustar los puestos y niveles de acuerdo con la estructura aprobad</w:t>
      </w:r>
      <w:r>
        <w:rPr>
          <w:rFonts w:eastAsia="Times New Roman"/>
          <w:lang w:val="es-ES"/>
        </w:rPr>
        <w:t>a</w:t>
      </w:r>
      <w:r w:rsidR="001C6D3B" w:rsidRPr="00911CA3">
        <w:rPr>
          <w:rFonts w:eastAsia="Times New Roman"/>
          <w:lang w:val="es-ES"/>
        </w:rPr>
        <w:t>;</w:t>
      </w:r>
    </w:p>
    <w:p w:rsidR="001C6D3B" w:rsidRPr="00911CA3" w:rsidRDefault="00911CA3" w:rsidP="00094B98">
      <w:pPr>
        <w:ind w:firstLine="720"/>
        <w:rPr>
          <w:rFonts w:eastAsia="Times New Roman"/>
          <w:lang w:val="es-ES"/>
        </w:rPr>
      </w:pPr>
      <w:r w:rsidRPr="00911CA3">
        <w:rPr>
          <w:color w:val="000000" w:themeColor="text1"/>
          <w:lang w:val="es-ES"/>
        </w:rPr>
        <w:t xml:space="preserve"> </w:t>
      </w:r>
      <w:r w:rsidR="001C6D3B" w:rsidRPr="00911CA3">
        <w:rPr>
          <w:color w:val="000000" w:themeColor="text1"/>
          <w:lang w:val="es-ES"/>
        </w:rPr>
        <w:t xml:space="preserve">d) </w:t>
      </w:r>
      <w:r>
        <w:rPr>
          <w:color w:val="000000" w:themeColor="text1"/>
          <w:lang w:val="es-ES"/>
        </w:rPr>
        <w:t>l</w:t>
      </w:r>
      <w:r w:rsidRPr="00173587">
        <w:rPr>
          <w:color w:val="000000" w:themeColor="text1"/>
          <w:lang w:val="es-ES"/>
        </w:rPr>
        <w:t>a elaboración de descripciones de puestos actualizadas o nuevas</w:t>
      </w:r>
      <w:r w:rsidR="001C6D3B" w:rsidRPr="00911CA3">
        <w:rPr>
          <w:color w:val="000000" w:themeColor="text1"/>
          <w:lang w:val="es-ES"/>
        </w:rPr>
        <w:t>;</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e) </w:t>
      </w:r>
      <w:r>
        <w:rPr>
          <w:rFonts w:eastAsia="Times New Roman"/>
          <w:lang w:val="es-ES"/>
        </w:rPr>
        <w:t>e</w:t>
      </w:r>
      <w:r w:rsidRPr="00173587">
        <w:rPr>
          <w:rFonts w:eastAsia="Times New Roman"/>
          <w:lang w:val="es-ES"/>
        </w:rPr>
        <w:t>l lanzamiento de una comunicación a toda la Secret</w:t>
      </w:r>
      <w:r>
        <w:rPr>
          <w:rFonts w:eastAsia="Times New Roman"/>
          <w:lang w:val="es-ES"/>
        </w:rPr>
        <w:t>aría sobre el proceso de reforma</w:t>
      </w:r>
      <w:r w:rsidR="001C6D3B" w:rsidRPr="00911CA3">
        <w:rPr>
          <w:rFonts w:eastAsia="Times New Roman"/>
          <w:lang w:val="es-ES"/>
        </w:rPr>
        <w:t xml:space="preserve">; </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f) </w:t>
      </w:r>
      <w:r w:rsidRPr="00173587">
        <w:rPr>
          <w:rFonts w:eastAsia="Times New Roman"/>
          <w:lang w:val="es-ES"/>
        </w:rPr>
        <w:t>la designación de los responsables de los procesos operativos; y</w:t>
      </w:r>
      <w:r w:rsidR="001C6D3B" w:rsidRPr="00911CA3">
        <w:rPr>
          <w:rFonts w:eastAsia="Times New Roman"/>
          <w:lang w:val="es-ES"/>
        </w:rPr>
        <w:t xml:space="preserve"> </w:t>
      </w:r>
    </w:p>
    <w:p w:rsidR="001C6D3B" w:rsidRPr="00911CA3" w:rsidRDefault="00911CA3" w:rsidP="00094B98">
      <w:pPr>
        <w:ind w:firstLine="720"/>
        <w:rPr>
          <w:rFonts w:eastAsia="Times New Roman"/>
          <w:lang w:val="es-ES"/>
        </w:rPr>
      </w:pPr>
      <w:r w:rsidRPr="00911CA3">
        <w:rPr>
          <w:rFonts w:eastAsia="Times New Roman"/>
          <w:lang w:val="es-ES"/>
        </w:rPr>
        <w:t xml:space="preserve"> g) </w:t>
      </w:r>
      <w:r w:rsidRPr="00173587">
        <w:rPr>
          <w:rFonts w:eastAsia="Times New Roman"/>
          <w:lang w:val="es-ES"/>
        </w:rPr>
        <w:t>la integración de la presupuestación basada en los resultados como práctica habitual de gestión</w:t>
      </w:r>
      <w:r w:rsidR="001C6D3B" w:rsidRPr="00911CA3">
        <w:rPr>
          <w:rFonts w:eastAsia="Times New Roman"/>
          <w:lang w:val="es-ES"/>
        </w:rPr>
        <w:t xml:space="preserve">. </w:t>
      </w:r>
    </w:p>
    <w:p w:rsidR="001C6D3B" w:rsidRPr="00911CA3" w:rsidRDefault="00911CA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1F60F9">
        <w:rPr>
          <w:rFonts w:eastAsia="Times New Roman"/>
          <w:bCs/>
          <w:lang w:val="es-ES"/>
        </w:rPr>
        <w:t>Las medidas a medio plazo deberían centrarse en</w:t>
      </w:r>
      <w:r w:rsidR="001C6D3B" w:rsidRPr="00911CA3">
        <w:rPr>
          <w:rFonts w:eastAsia="Times New Roman"/>
          <w:lang w:val="es-ES"/>
        </w:rPr>
        <w:t>:</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a) </w:t>
      </w:r>
      <w:r w:rsidRPr="001F60F9">
        <w:rPr>
          <w:rFonts w:eastAsia="Times New Roman"/>
          <w:lang w:val="es-ES"/>
        </w:rPr>
        <w:t xml:space="preserve">iniciar el proceso de armonización estructural </w:t>
      </w:r>
      <w:r>
        <w:rPr>
          <w:rFonts w:eastAsia="Times New Roman"/>
          <w:lang w:val="es-ES"/>
        </w:rPr>
        <w:t xml:space="preserve">en consonancia con </w:t>
      </w:r>
      <w:r w:rsidRPr="001F60F9">
        <w:rPr>
          <w:rFonts w:eastAsia="Times New Roman"/>
          <w:lang w:val="es-ES"/>
        </w:rPr>
        <w:t xml:space="preserve">las políticas y </w:t>
      </w:r>
      <w:r>
        <w:rPr>
          <w:rFonts w:eastAsia="Times New Roman"/>
          <w:lang w:val="es-ES"/>
        </w:rPr>
        <w:t xml:space="preserve">los </w:t>
      </w:r>
      <w:r w:rsidRPr="001F60F9">
        <w:rPr>
          <w:rFonts w:eastAsia="Times New Roman"/>
          <w:lang w:val="es-ES"/>
        </w:rPr>
        <w:t>procedimientos de</w:t>
      </w:r>
      <w:r>
        <w:rPr>
          <w:rFonts w:eastAsia="Times New Roman"/>
          <w:lang w:val="es-ES"/>
        </w:rPr>
        <w:t xml:space="preserve"> la </w:t>
      </w:r>
      <w:r w:rsidRPr="001F60F9">
        <w:rPr>
          <w:rFonts w:eastAsia="Times New Roman"/>
          <w:lang w:val="es-ES"/>
        </w:rPr>
        <w:t>SC</w:t>
      </w:r>
      <w:r>
        <w:rPr>
          <w:rFonts w:eastAsia="Times New Roman"/>
          <w:lang w:val="es-ES"/>
        </w:rPr>
        <w:t>D</w:t>
      </w:r>
      <w:r w:rsidRPr="001F60F9">
        <w:rPr>
          <w:rFonts w:eastAsia="Times New Roman"/>
          <w:lang w:val="es-ES"/>
        </w:rPr>
        <w:t>B y el PNUMA</w:t>
      </w:r>
      <w:r>
        <w:rPr>
          <w:rFonts w:eastAsia="Times New Roman"/>
          <w:lang w:val="es-ES"/>
        </w:rPr>
        <w:t>;</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b) </w:t>
      </w:r>
      <w:r w:rsidRPr="001F60F9">
        <w:rPr>
          <w:rFonts w:eastAsia="Times New Roman"/>
          <w:lang w:val="es-ES"/>
        </w:rPr>
        <w:t>reforzar la coordinación y la coherencia entre los nuevos grupos funcionales</w:t>
      </w:r>
      <w:r>
        <w:rPr>
          <w:rFonts w:eastAsia="Times New Roman"/>
          <w:lang w:val="es-ES"/>
        </w:rPr>
        <w:t>;</w:t>
      </w:r>
      <w:r w:rsidR="001C6D3B" w:rsidRPr="00911CA3">
        <w:rPr>
          <w:rFonts w:eastAsia="Times New Roman"/>
          <w:lang w:val="es-ES"/>
        </w:rPr>
        <w:t xml:space="preserve"> </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c) </w:t>
      </w:r>
      <w:r>
        <w:rPr>
          <w:rFonts w:eastAsia="Times New Roman"/>
          <w:lang w:val="es-ES"/>
        </w:rPr>
        <w:t>i</w:t>
      </w:r>
      <w:r w:rsidRPr="001F60F9">
        <w:rPr>
          <w:rFonts w:eastAsia="Times New Roman"/>
          <w:lang w:val="es-ES"/>
        </w:rPr>
        <w:t>ncorporar mec</w:t>
      </w:r>
      <w:r>
        <w:rPr>
          <w:rFonts w:eastAsia="Times New Roman"/>
          <w:lang w:val="es-ES"/>
        </w:rPr>
        <w:t>anismos de rendición de cuentas;</w:t>
      </w:r>
      <w:r w:rsidR="001C6D3B" w:rsidRPr="00911CA3">
        <w:rPr>
          <w:rFonts w:eastAsia="Times New Roman"/>
          <w:lang w:val="es-ES"/>
        </w:rPr>
        <w:t xml:space="preserve"> </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d) </w:t>
      </w:r>
      <w:r w:rsidRPr="001F60F9">
        <w:rPr>
          <w:rFonts w:eastAsia="Times New Roman"/>
          <w:lang w:val="es-ES"/>
        </w:rPr>
        <w:t>mejorar las capacidades del personal mediante iniciativas de desarrollo específicas</w:t>
      </w:r>
      <w:r>
        <w:rPr>
          <w:rFonts w:eastAsia="Times New Roman"/>
          <w:lang w:val="es-ES"/>
        </w:rPr>
        <w:t>;</w:t>
      </w:r>
      <w:r w:rsidR="001C6D3B" w:rsidRPr="00911CA3">
        <w:rPr>
          <w:rFonts w:eastAsia="Times New Roman"/>
          <w:lang w:val="es-ES"/>
        </w:rPr>
        <w:t xml:space="preserve"> </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e) </w:t>
      </w:r>
      <w:r w:rsidRPr="001F60F9">
        <w:rPr>
          <w:rFonts w:eastAsia="Times New Roman"/>
          <w:lang w:val="es-ES"/>
        </w:rPr>
        <w:t xml:space="preserve">elaborar </w:t>
      </w:r>
      <w:r>
        <w:rPr>
          <w:rFonts w:eastAsia="Times New Roman"/>
          <w:lang w:val="es-ES"/>
        </w:rPr>
        <w:t>e implementar</w:t>
      </w:r>
      <w:r w:rsidRPr="001F60F9">
        <w:rPr>
          <w:rFonts w:eastAsia="Times New Roman"/>
          <w:lang w:val="es-ES"/>
        </w:rPr>
        <w:t xml:space="preserve"> un marco de gestión del rendimiento y los datos</w:t>
      </w:r>
      <w:r>
        <w:rPr>
          <w:rFonts w:eastAsia="Times New Roman"/>
          <w:lang w:val="es-ES"/>
        </w:rPr>
        <w:t>; y</w:t>
      </w:r>
    </w:p>
    <w:p w:rsidR="001C6D3B" w:rsidRPr="00911CA3" w:rsidRDefault="00911CA3" w:rsidP="00094B98">
      <w:pPr>
        <w:ind w:firstLine="720"/>
        <w:rPr>
          <w:rFonts w:eastAsia="Times New Roman"/>
          <w:lang w:val="es-ES"/>
        </w:rPr>
      </w:pPr>
      <w:r w:rsidRPr="00911CA3">
        <w:rPr>
          <w:rFonts w:eastAsia="Times New Roman"/>
          <w:lang w:val="es-ES"/>
        </w:rPr>
        <w:t xml:space="preserve"> </w:t>
      </w:r>
      <w:r w:rsidR="001C6D3B" w:rsidRPr="00911CA3">
        <w:rPr>
          <w:rFonts w:eastAsia="Times New Roman"/>
          <w:lang w:val="es-ES"/>
        </w:rPr>
        <w:t xml:space="preserve">f) </w:t>
      </w:r>
      <w:r w:rsidRPr="001F60F9">
        <w:rPr>
          <w:rFonts w:eastAsia="Times New Roman"/>
          <w:lang w:val="es-ES"/>
        </w:rPr>
        <w:t>elaborar una estrategia de transformación digital</w:t>
      </w:r>
      <w:r>
        <w:rPr>
          <w:rFonts w:eastAsia="Times New Roman"/>
          <w:lang w:val="es-ES"/>
        </w:rPr>
        <w:t>.</w:t>
      </w:r>
    </w:p>
    <w:p w:rsidR="001C6D3B" w:rsidRPr="00911CA3" w:rsidRDefault="00911CA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1F60F9">
        <w:rPr>
          <w:rFonts w:eastAsia="Times New Roman"/>
          <w:lang w:val="es-ES"/>
        </w:rPr>
        <w:t>Además, se debe dar prioridad a la implementación de sistemas integrados de planificación, presupuestación y s</w:t>
      </w:r>
      <w:r>
        <w:rPr>
          <w:rFonts w:eastAsia="Times New Roman"/>
          <w:lang w:val="es-ES"/>
        </w:rPr>
        <w:t>eguimiento</w:t>
      </w:r>
      <w:r w:rsidRPr="001F60F9">
        <w:rPr>
          <w:rFonts w:eastAsia="Times New Roman"/>
          <w:lang w:val="es-ES"/>
        </w:rPr>
        <w:t xml:space="preserve"> para mejorar la toma de decisiones, la transparencia y la a</w:t>
      </w:r>
      <w:r>
        <w:rPr>
          <w:rFonts w:eastAsia="Times New Roman"/>
          <w:lang w:val="es-ES"/>
        </w:rPr>
        <w:t xml:space="preserve">rmonización </w:t>
      </w:r>
      <w:r w:rsidRPr="001F60F9">
        <w:rPr>
          <w:rFonts w:eastAsia="Times New Roman"/>
          <w:lang w:val="es-ES"/>
        </w:rPr>
        <w:t>entre las prioridades estratégi</w:t>
      </w:r>
      <w:r>
        <w:rPr>
          <w:rFonts w:eastAsia="Times New Roman"/>
          <w:lang w:val="es-ES"/>
        </w:rPr>
        <w:t>cas y la asignación de recursos</w:t>
      </w:r>
      <w:r w:rsidR="001C6D3B" w:rsidRPr="00911CA3">
        <w:rPr>
          <w:rFonts w:eastAsia="Times New Roman"/>
          <w:lang w:val="es-ES"/>
        </w:rPr>
        <w:t>.</w:t>
      </w:r>
    </w:p>
    <w:p w:rsidR="001C6D3B" w:rsidRPr="00911CA3" w:rsidRDefault="00911CA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081800">
        <w:rPr>
          <w:rFonts w:eastAsia="Times New Roman"/>
          <w:lang w:val="es-ES"/>
        </w:rPr>
        <w:t>A largo plazo, la Secretaría tendrá que institucionalizar el nuevo modelo operativo, velando por que las estructuras, los procesos y los sistemas organizativos estén plenamente armonizados. Para consolidar estas reformas será esencial contar con un compromiso sostenido por parte de los dirigentes, una comunicación proactiva y consultas continuas con el personal y los órganos rectores</w:t>
      </w:r>
      <w:r w:rsidR="001C6D3B" w:rsidRPr="00911CA3">
        <w:rPr>
          <w:rFonts w:eastAsia="Times New Roman"/>
          <w:lang w:val="es-ES"/>
        </w:rPr>
        <w:t>.</w:t>
      </w:r>
    </w:p>
    <w:p w:rsidR="001C6D3B" w:rsidRPr="00911CA3" w:rsidRDefault="00911CA3" w:rsidP="00DA0C94">
      <w:pPr>
        <w:pStyle w:val="Prrafodelista"/>
        <w:numPr>
          <w:ilvl w:val="0"/>
          <w:numId w:val="60"/>
        </w:numPr>
        <w:tabs>
          <w:tab w:val="clear" w:pos="567"/>
          <w:tab w:val="clear" w:pos="1134"/>
          <w:tab w:val="clear" w:pos="1701"/>
          <w:tab w:val="clear" w:pos="2268"/>
        </w:tabs>
        <w:spacing w:before="120" w:after="120"/>
        <w:contextualSpacing w:val="0"/>
        <w:rPr>
          <w:rFonts w:eastAsia="Times New Roman"/>
          <w:lang w:val="es-ES"/>
        </w:rPr>
      </w:pPr>
      <w:r w:rsidRPr="00081800">
        <w:rPr>
          <w:rFonts w:eastAsia="Times New Roman"/>
          <w:lang w:val="es-ES"/>
        </w:rPr>
        <w:t xml:space="preserve">Asimismo, se reconoce que cualquier repercusión presupuestaria derivada de la aplicación de la revisión funcional, incluidas las relacionadas con la dotación de personal adicional y la financiación de las </w:t>
      </w:r>
      <w:r w:rsidRPr="00081800">
        <w:rPr>
          <w:rFonts w:eastAsia="Times New Roman"/>
          <w:lang w:val="es-ES"/>
        </w:rPr>
        <w:lastRenderedPageBreak/>
        <w:t xml:space="preserve">actividades, deberá ser aprobada por las Partes. </w:t>
      </w:r>
      <w:r w:rsidRPr="0061319E">
        <w:rPr>
          <w:rFonts w:eastAsia="Times New Roman"/>
          <w:lang w:val="es-ES"/>
        </w:rPr>
        <w:t>Por consiguiente, la Secretaría deberá velar por que todos los ajustes propuestos que tengan repercusiones financieras se calculen de manera transparente, se justifiquen y se sometan a consideración mediante los procesos intergubernamentales apropiados</w:t>
      </w:r>
      <w:r w:rsidR="001C6D3B" w:rsidRPr="00911CA3">
        <w:rPr>
          <w:rFonts w:eastAsia="Times New Roman"/>
          <w:lang w:val="es-ES"/>
        </w:rPr>
        <w:t>.</w:t>
      </w:r>
    </w:p>
    <w:p w:rsidR="001C6D3B" w:rsidRPr="00911CA3" w:rsidRDefault="00911CA3" w:rsidP="00DA0C94">
      <w:pPr>
        <w:pStyle w:val="Prrafodelista"/>
        <w:numPr>
          <w:ilvl w:val="0"/>
          <w:numId w:val="60"/>
        </w:numPr>
        <w:tabs>
          <w:tab w:val="clear" w:pos="567"/>
          <w:tab w:val="clear" w:pos="1134"/>
          <w:tab w:val="clear" w:pos="1701"/>
          <w:tab w:val="clear" w:pos="2268"/>
        </w:tabs>
        <w:spacing w:before="120" w:after="120"/>
        <w:contextualSpacing w:val="0"/>
        <w:rPr>
          <w:rFonts w:eastAsiaTheme="majorEastAsia"/>
          <w:b/>
          <w:bCs/>
          <w:sz w:val="28"/>
          <w:szCs w:val="28"/>
          <w:lang w:val="es-ES"/>
        </w:rPr>
      </w:pPr>
      <w:r w:rsidRPr="0061319E">
        <w:rPr>
          <w:rFonts w:eastAsia="Times New Roman"/>
          <w:lang w:val="es-ES"/>
        </w:rPr>
        <w:t xml:space="preserve">Los resultados esperados de este proceso incluyen una Secretaría más coherente y alineada estratégicamente, con una rendición de cuentas clara, una utilización optimizada de los recursos y una mayor capacidad para cumplir los mandatos de la COP. La organización reestructurada estará en mejores condiciones de apoyar a las Partes en </w:t>
      </w:r>
      <w:r>
        <w:rPr>
          <w:rFonts w:eastAsia="Times New Roman"/>
          <w:lang w:val="es-ES"/>
        </w:rPr>
        <w:t xml:space="preserve">el logro </w:t>
      </w:r>
      <w:r w:rsidRPr="0061319E">
        <w:rPr>
          <w:rFonts w:eastAsia="Times New Roman"/>
          <w:lang w:val="es-ES"/>
        </w:rPr>
        <w:t xml:space="preserve">de los objetivos y metas del </w:t>
      </w:r>
      <w:r w:rsidRPr="002023AB">
        <w:rPr>
          <w:rFonts w:eastAsia="Times New Roman"/>
          <w:lang w:val="es-ES"/>
        </w:rPr>
        <w:t>Marco Mundial de Biodiversidad de Kunming-Montreal</w:t>
      </w:r>
      <w:r w:rsidRPr="0061319E">
        <w:rPr>
          <w:rFonts w:eastAsia="Times New Roman"/>
          <w:lang w:val="es-ES"/>
        </w:rPr>
        <w:t xml:space="preserve"> mediante una mejor coordinación, el fortalecimiento de las asociaciones y una prestación más eficiente de servicios a los procesos intergubernamentales, incluidos los órganos rectores y subsidiarios. En última instancia, la aplicación de las recomendaciones de la revisión permitirá </w:t>
      </w:r>
      <w:r>
        <w:rPr>
          <w:rFonts w:eastAsia="Times New Roman"/>
          <w:lang w:val="es-ES"/>
        </w:rPr>
        <w:t>que</w:t>
      </w:r>
      <w:r w:rsidRPr="0061319E">
        <w:rPr>
          <w:rFonts w:eastAsia="Times New Roman"/>
          <w:lang w:val="es-ES"/>
        </w:rPr>
        <w:t xml:space="preserve"> la Secretaría funcion</w:t>
      </w:r>
      <w:r>
        <w:rPr>
          <w:rFonts w:eastAsia="Times New Roman"/>
          <w:lang w:val="es-ES"/>
        </w:rPr>
        <w:t>e</w:t>
      </w:r>
      <w:r w:rsidRPr="0061319E">
        <w:rPr>
          <w:rFonts w:eastAsia="Times New Roman"/>
          <w:lang w:val="es-ES"/>
        </w:rPr>
        <w:t xml:space="preserve"> como una institución más ágil, orientada a los resultados y preparada para el futuro, capaz de responder eficazmente a la agenda mundial en materia de biodiversidad, en constante evolución</w:t>
      </w:r>
      <w:r w:rsidR="001C6D3B" w:rsidRPr="00911CA3">
        <w:rPr>
          <w:rFonts w:eastAsia="Times New Roman"/>
          <w:lang w:val="es-ES"/>
        </w:rPr>
        <w:t>.</w:t>
      </w:r>
    </w:p>
    <w:p w:rsidR="00244EFC" w:rsidRPr="00911CA3" w:rsidRDefault="00244EFC" w:rsidP="00A111D1">
      <w:pPr>
        <w:pStyle w:val="Para1"/>
        <w:numPr>
          <w:ilvl w:val="0"/>
          <w:numId w:val="0"/>
        </w:numPr>
        <w:ind w:left="567"/>
        <w:jc w:val="center"/>
        <w:rPr>
          <w:lang w:val="es-ES"/>
        </w:rPr>
      </w:pPr>
    </w:p>
    <w:p w:rsidR="00244EFC" w:rsidRPr="00911CA3" w:rsidRDefault="00244EFC" w:rsidP="00A111D1">
      <w:pPr>
        <w:pStyle w:val="Para1"/>
        <w:numPr>
          <w:ilvl w:val="0"/>
          <w:numId w:val="0"/>
        </w:numPr>
        <w:ind w:left="567"/>
        <w:jc w:val="center"/>
        <w:rPr>
          <w:lang w:val="es-ES"/>
        </w:rPr>
        <w:sectPr w:rsidR="00244EFC" w:rsidRPr="00911CA3" w:rsidSect="00E57322">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pPr>
    </w:p>
    <w:p w:rsidR="00244EFC" w:rsidRPr="006F30C1" w:rsidRDefault="00244EFC" w:rsidP="00244EFC">
      <w:pPr>
        <w:pStyle w:val="CBDAnnex"/>
        <w:rPr>
          <w:lang w:val="es-ES"/>
        </w:rPr>
      </w:pPr>
      <w:r w:rsidRPr="006F30C1">
        <w:rPr>
          <w:lang w:val="es-ES"/>
        </w:rPr>
        <w:lastRenderedPageBreak/>
        <w:t>An</w:t>
      </w:r>
      <w:r w:rsidR="00911CA3" w:rsidRPr="006F30C1">
        <w:rPr>
          <w:lang w:val="es-ES"/>
        </w:rPr>
        <w:t>exo</w:t>
      </w:r>
      <w:r w:rsidR="000A431C" w:rsidRPr="006F30C1">
        <w:rPr>
          <w:lang w:val="es-ES"/>
        </w:rPr>
        <w:t xml:space="preserve"> II</w:t>
      </w:r>
    </w:p>
    <w:p w:rsidR="00244EFC" w:rsidRPr="006F30C1" w:rsidRDefault="006F30C1" w:rsidP="00244EFC">
      <w:pPr>
        <w:pStyle w:val="CBDTitle"/>
        <w:rPr>
          <w:lang w:val="es-ES" w:bidi="ar-SY"/>
        </w:rPr>
      </w:pPr>
      <w:r w:rsidRPr="006F30C1">
        <w:rPr>
          <w:lang w:val="es-ES"/>
        </w:rPr>
        <w:t xml:space="preserve">Estimación de las necesidades </w:t>
      </w:r>
      <w:r>
        <w:rPr>
          <w:lang w:val="es-ES"/>
        </w:rPr>
        <w:t>de recursos extrapresupuestario</w:t>
      </w:r>
      <w:r w:rsidR="00244EFC" w:rsidRPr="006F30C1">
        <w:rPr>
          <w:lang w:val="es-ES" w:bidi="ar-SY"/>
        </w:rPr>
        <w:t>s</w:t>
      </w:r>
    </w:p>
    <w:p w:rsidR="00244EFC" w:rsidRPr="006F30C1" w:rsidRDefault="006F30C1" w:rsidP="00244EFC">
      <w:pPr>
        <w:pStyle w:val="CBDNormalNoNumber"/>
        <w:rPr>
          <w:lang w:val="es-ES" w:bidi="ar-SY"/>
        </w:rPr>
      </w:pPr>
      <w:r w:rsidRPr="006F30C1">
        <w:rPr>
          <w:lang w:val="es-ES"/>
        </w:rPr>
        <w:t>El cuadro que figura a continuación ha sido preparado para indicar la estimación de las necesidades de recursos extrapresupuestarios para las actividades solicitadas a la Secretaría, como se describe en el proyecto de recomendación, a fin de apoyar su consideración. El presente anexo no es parte del proyecto de recomendación que se somete a la consideración del Órgano Subsidiario</w:t>
      </w:r>
      <w:bookmarkStart w:id="7" w:name="_Hlk216086750"/>
      <w:r w:rsidR="00244EFC" w:rsidRPr="006F30C1">
        <w:rPr>
          <w:lang w:val="es-ES"/>
        </w:rPr>
        <w:t>.</w:t>
      </w:r>
    </w:p>
    <w:bookmarkEnd w:id="7"/>
    <w:p w:rsidR="00D0239C" w:rsidRPr="006F30C1" w:rsidRDefault="006F30C1" w:rsidP="00DA0C94">
      <w:pPr>
        <w:pStyle w:val="CBDTableTitle"/>
        <w:rPr>
          <w:lang w:val="es-ES"/>
        </w:rPr>
      </w:pPr>
      <w:r w:rsidRPr="006F30C1">
        <w:rPr>
          <w:lang w:val="es-ES"/>
        </w:rPr>
        <w:t xml:space="preserve">Necesidades de recursos extrapresupuestarios </w:t>
      </w:r>
    </w:p>
    <w:p w:rsidR="00D0239C" w:rsidRPr="006F30C1" w:rsidRDefault="00D0239C" w:rsidP="00D0239C">
      <w:pPr>
        <w:spacing w:before="120" w:after="120"/>
        <w:rPr>
          <w:iCs/>
          <w:lang w:val="es-ES"/>
        </w:rPr>
      </w:pPr>
      <w:r w:rsidRPr="006F30C1">
        <w:rPr>
          <w:iCs/>
          <w:sz w:val="18"/>
          <w:szCs w:val="18"/>
          <w:lang w:val="es-ES"/>
        </w:rPr>
        <w:t>(</w:t>
      </w:r>
      <w:r w:rsidR="006F30C1" w:rsidRPr="006F30C1">
        <w:rPr>
          <w:sz w:val="18"/>
          <w:lang w:val="es-ES"/>
        </w:rPr>
        <w:t>En dólares de los EE.</w:t>
      </w:r>
      <w:r w:rsidR="006F30C1">
        <w:rPr>
          <w:sz w:val="18"/>
          <w:lang w:val="es-ES"/>
        </w:rPr>
        <w:t xml:space="preserve"> </w:t>
      </w:r>
      <w:r w:rsidR="006F30C1" w:rsidRPr="006F30C1">
        <w:rPr>
          <w:sz w:val="18"/>
          <w:lang w:val="es-ES"/>
        </w:rPr>
        <w:t>UU.</w:t>
      </w:r>
      <w:r w:rsidRPr="006F30C1">
        <w:rPr>
          <w:iCs/>
          <w:sz w:val="18"/>
          <w:szCs w:val="18"/>
          <w:lang w:val="es-ES"/>
        </w:rPr>
        <w:t>)</w:t>
      </w:r>
    </w:p>
    <w:tbl>
      <w:tblPr>
        <w:tblW w:w="10183" w:type="dxa"/>
        <w:tblLayout w:type="fixed"/>
        <w:tblCellMar>
          <w:left w:w="0" w:type="dxa"/>
          <w:right w:w="0" w:type="dxa"/>
        </w:tblCellMar>
        <w:tblLook w:val="04A0"/>
      </w:tblPr>
      <w:tblGrid>
        <w:gridCol w:w="566"/>
        <w:gridCol w:w="2975"/>
        <w:gridCol w:w="1134"/>
        <w:gridCol w:w="1279"/>
        <w:gridCol w:w="992"/>
        <w:gridCol w:w="992"/>
        <w:gridCol w:w="1375"/>
        <w:gridCol w:w="870"/>
      </w:tblGrid>
      <w:tr w:rsidR="00554FED" w:rsidRPr="00A810C3" w:rsidTr="002D09FD">
        <w:trPr>
          <w:trHeight w:val="290"/>
        </w:trPr>
        <w:tc>
          <w:tcPr>
            <w:tcW w:w="278" w:type="pct"/>
            <w:tcBorders>
              <w:top w:val="single" w:sz="4" w:space="0" w:color="auto"/>
              <w:bottom w:val="single" w:sz="8" w:space="0" w:color="auto"/>
            </w:tcBorders>
            <w:vAlign w:val="bottom"/>
          </w:tcPr>
          <w:p w:rsidR="00D0239C" w:rsidRDefault="006F30C1" w:rsidP="006F30C1">
            <w:pPr>
              <w:jc w:val="center"/>
              <w:rPr>
                <w:sz w:val="20"/>
                <w:szCs w:val="20"/>
                <w:lang w:val="en-US"/>
              </w:rPr>
            </w:pPr>
            <w:r>
              <w:rPr>
                <w:i/>
                <w:iCs/>
                <w:sz w:val="20"/>
                <w:szCs w:val="20"/>
                <w:lang w:val="en-US"/>
              </w:rPr>
              <w:t>Párr.</w:t>
            </w:r>
          </w:p>
        </w:tc>
        <w:tc>
          <w:tcPr>
            <w:tcW w:w="1461" w:type="pct"/>
            <w:tcBorders>
              <w:top w:val="single" w:sz="4" w:space="0" w:color="auto"/>
              <w:bottom w:val="single" w:sz="8" w:space="0" w:color="auto"/>
            </w:tcBorders>
            <w:noWrap/>
            <w:tcMar>
              <w:top w:w="0" w:type="dxa"/>
              <w:left w:w="108" w:type="dxa"/>
              <w:bottom w:w="0" w:type="dxa"/>
              <w:right w:w="108" w:type="dxa"/>
            </w:tcMar>
            <w:vAlign w:val="bottom"/>
          </w:tcPr>
          <w:p w:rsidR="00D0239C" w:rsidRDefault="00D0239C" w:rsidP="006F30C1">
            <w:pPr>
              <w:jc w:val="left"/>
              <w:rPr>
                <w:sz w:val="20"/>
                <w:szCs w:val="20"/>
                <w:lang w:val="en-US"/>
              </w:rPr>
            </w:pPr>
            <w:r w:rsidRPr="00793F17">
              <w:rPr>
                <w:i/>
                <w:iCs/>
                <w:sz w:val="20"/>
                <w:szCs w:val="20"/>
                <w:lang w:val="en-US"/>
              </w:rPr>
              <w:t>Activi</w:t>
            </w:r>
            <w:r w:rsidR="006F30C1">
              <w:rPr>
                <w:i/>
                <w:iCs/>
                <w:sz w:val="20"/>
                <w:szCs w:val="20"/>
                <w:lang w:val="en-US"/>
              </w:rPr>
              <w:t>dad</w:t>
            </w:r>
          </w:p>
        </w:tc>
        <w:tc>
          <w:tcPr>
            <w:tcW w:w="557" w:type="pct"/>
            <w:tcBorders>
              <w:top w:val="single" w:sz="4" w:space="0" w:color="auto"/>
              <w:bottom w:val="single" w:sz="8" w:space="0" w:color="auto"/>
            </w:tcBorders>
            <w:noWrap/>
            <w:tcMar>
              <w:top w:w="0" w:type="dxa"/>
              <w:left w:w="108" w:type="dxa"/>
              <w:bottom w:w="0" w:type="dxa"/>
              <w:right w:w="108" w:type="dxa"/>
            </w:tcMar>
            <w:vAlign w:val="bottom"/>
          </w:tcPr>
          <w:p w:rsidR="00D0239C" w:rsidRPr="00793F17" w:rsidRDefault="006F30C1" w:rsidP="006F30C1">
            <w:pPr>
              <w:jc w:val="center"/>
              <w:rPr>
                <w:sz w:val="20"/>
                <w:szCs w:val="20"/>
                <w:lang w:val="en-US"/>
              </w:rPr>
            </w:pPr>
            <w:r>
              <w:rPr>
                <w:i/>
                <w:iCs/>
                <w:sz w:val="20"/>
                <w:szCs w:val="20"/>
                <w:lang w:val="en-US"/>
              </w:rPr>
              <w:t>Costos de reuniones</w:t>
            </w:r>
          </w:p>
        </w:tc>
        <w:tc>
          <w:tcPr>
            <w:tcW w:w="628" w:type="pct"/>
            <w:tcBorders>
              <w:top w:val="single" w:sz="4" w:space="0" w:color="auto"/>
              <w:bottom w:val="single" w:sz="8" w:space="0" w:color="auto"/>
            </w:tcBorders>
            <w:noWrap/>
            <w:tcMar>
              <w:top w:w="0" w:type="dxa"/>
              <w:left w:w="108" w:type="dxa"/>
              <w:bottom w:w="0" w:type="dxa"/>
              <w:right w:w="108" w:type="dxa"/>
            </w:tcMar>
            <w:vAlign w:val="bottom"/>
          </w:tcPr>
          <w:p w:rsidR="00D0239C" w:rsidRPr="00793F17" w:rsidRDefault="002D09FD" w:rsidP="002D09FD">
            <w:pPr>
              <w:jc w:val="center"/>
              <w:rPr>
                <w:sz w:val="20"/>
                <w:szCs w:val="20"/>
                <w:lang w:val="en-US"/>
              </w:rPr>
            </w:pPr>
            <w:r>
              <w:rPr>
                <w:i/>
                <w:iCs/>
                <w:sz w:val="20"/>
                <w:szCs w:val="20"/>
                <w:lang w:val="en-US"/>
              </w:rPr>
              <w:t>Viajes de funcionarios</w:t>
            </w:r>
          </w:p>
        </w:tc>
        <w:tc>
          <w:tcPr>
            <w:tcW w:w="487" w:type="pct"/>
            <w:tcBorders>
              <w:top w:val="single" w:sz="4" w:space="0" w:color="auto"/>
              <w:bottom w:val="single" w:sz="8" w:space="0" w:color="auto"/>
            </w:tcBorders>
            <w:noWrap/>
            <w:tcMar>
              <w:top w:w="0" w:type="dxa"/>
              <w:left w:w="108" w:type="dxa"/>
              <w:bottom w:w="0" w:type="dxa"/>
              <w:right w:w="108" w:type="dxa"/>
            </w:tcMar>
            <w:vAlign w:val="bottom"/>
          </w:tcPr>
          <w:p w:rsidR="00D0239C" w:rsidRPr="00793F17" w:rsidRDefault="002D09FD" w:rsidP="002D09FD">
            <w:pPr>
              <w:jc w:val="center"/>
              <w:rPr>
                <w:sz w:val="20"/>
                <w:szCs w:val="20"/>
                <w:lang w:val="en-US"/>
              </w:rPr>
            </w:pPr>
            <w:r>
              <w:rPr>
                <w:i/>
                <w:iCs/>
                <w:sz w:val="20"/>
                <w:szCs w:val="20"/>
                <w:lang w:val="en-US"/>
              </w:rPr>
              <w:t>Gastos de personal</w:t>
            </w:r>
            <w:r w:rsidR="003471DF" w:rsidRPr="00DA0C94">
              <w:rPr>
                <w:i/>
                <w:iCs/>
                <w:sz w:val="20"/>
                <w:szCs w:val="20"/>
                <w:vertAlign w:val="superscript"/>
                <w:lang w:val="en-US"/>
              </w:rPr>
              <w:t>a</w:t>
            </w:r>
          </w:p>
        </w:tc>
        <w:tc>
          <w:tcPr>
            <w:tcW w:w="487" w:type="pct"/>
            <w:tcBorders>
              <w:top w:val="single" w:sz="4" w:space="0" w:color="auto"/>
              <w:bottom w:val="single" w:sz="8" w:space="0" w:color="auto"/>
            </w:tcBorders>
            <w:noWrap/>
            <w:tcMar>
              <w:top w:w="0" w:type="dxa"/>
              <w:left w:w="108" w:type="dxa"/>
              <w:bottom w:w="0" w:type="dxa"/>
              <w:right w:w="108" w:type="dxa"/>
            </w:tcMar>
            <w:vAlign w:val="bottom"/>
          </w:tcPr>
          <w:p w:rsidR="00D0239C" w:rsidRPr="00793F17" w:rsidRDefault="00D0239C" w:rsidP="00DA0C94">
            <w:pPr>
              <w:jc w:val="center"/>
              <w:rPr>
                <w:sz w:val="20"/>
                <w:szCs w:val="20"/>
                <w:lang w:val="en-US"/>
              </w:rPr>
            </w:pPr>
            <w:r w:rsidRPr="00793F17">
              <w:rPr>
                <w:i/>
                <w:iCs/>
                <w:sz w:val="20"/>
                <w:szCs w:val="20"/>
                <w:lang w:val="en-US"/>
              </w:rPr>
              <w:t>Subtotal</w:t>
            </w:r>
          </w:p>
        </w:tc>
        <w:tc>
          <w:tcPr>
            <w:tcW w:w="675" w:type="pct"/>
            <w:tcBorders>
              <w:top w:val="single" w:sz="4" w:space="0" w:color="auto"/>
              <w:bottom w:val="single" w:sz="8" w:space="0" w:color="auto"/>
            </w:tcBorders>
            <w:noWrap/>
            <w:tcMar>
              <w:top w:w="0" w:type="dxa"/>
              <w:left w:w="108" w:type="dxa"/>
              <w:bottom w:w="0" w:type="dxa"/>
              <w:right w:w="108" w:type="dxa"/>
            </w:tcMar>
            <w:vAlign w:val="bottom"/>
          </w:tcPr>
          <w:p w:rsidR="00D0239C" w:rsidRPr="00793F17" w:rsidRDefault="002D09FD" w:rsidP="002D09FD">
            <w:pPr>
              <w:jc w:val="center"/>
              <w:rPr>
                <w:sz w:val="20"/>
                <w:szCs w:val="20"/>
                <w:lang w:val="en-US"/>
              </w:rPr>
            </w:pPr>
            <w:r>
              <w:rPr>
                <w:i/>
                <w:iCs/>
                <w:sz w:val="20"/>
                <w:szCs w:val="20"/>
                <w:lang w:val="en-US"/>
              </w:rPr>
              <w:t>GAP</w:t>
            </w:r>
            <w:r w:rsidR="001B53C7">
              <w:rPr>
                <w:i/>
                <w:iCs/>
                <w:sz w:val="20"/>
                <w:szCs w:val="20"/>
                <w:lang w:val="en-US"/>
              </w:rPr>
              <w:br/>
            </w:r>
            <w:r w:rsidR="00D0239C" w:rsidRPr="00DD7F75">
              <w:rPr>
                <w:i/>
                <w:iCs/>
                <w:sz w:val="20"/>
                <w:szCs w:val="20"/>
                <w:lang w:val="en-US"/>
              </w:rPr>
              <w:t>(13</w:t>
            </w:r>
            <w:r>
              <w:rPr>
                <w:i/>
                <w:iCs/>
                <w:sz w:val="20"/>
                <w:szCs w:val="20"/>
                <w:lang w:val="en-US"/>
              </w:rPr>
              <w:t xml:space="preserve"> %</w:t>
            </w:r>
            <w:r w:rsidR="00D0239C" w:rsidRPr="00DD7F75">
              <w:rPr>
                <w:i/>
                <w:iCs/>
                <w:sz w:val="20"/>
                <w:szCs w:val="20"/>
                <w:lang w:val="en-US"/>
              </w:rPr>
              <w:t>)</w:t>
            </w:r>
          </w:p>
        </w:tc>
        <w:tc>
          <w:tcPr>
            <w:tcW w:w="427" w:type="pct"/>
            <w:tcBorders>
              <w:top w:val="single" w:sz="4" w:space="0" w:color="auto"/>
              <w:bottom w:val="single" w:sz="8" w:space="0" w:color="auto"/>
            </w:tcBorders>
            <w:noWrap/>
            <w:tcMar>
              <w:top w:w="0" w:type="dxa"/>
              <w:left w:w="108" w:type="dxa"/>
              <w:bottom w:w="0" w:type="dxa"/>
              <w:right w:w="108" w:type="dxa"/>
            </w:tcMar>
            <w:vAlign w:val="bottom"/>
          </w:tcPr>
          <w:p w:rsidR="00D0239C" w:rsidRPr="00FF2841" w:rsidRDefault="00D0239C" w:rsidP="006A0A90">
            <w:pPr>
              <w:jc w:val="right"/>
              <w:rPr>
                <w:i/>
                <w:iCs/>
                <w:sz w:val="20"/>
                <w:szCs w:val="20"/>
                <w:lang w:val="en-US"/>
              </w:rPr>
            </w:pPr>
            <w:r w:rsidRPr="00FF2841">
              <w:rPr>
                <w:i/>
                <w:iCs/>
                <w:sz w:val="20"/>
                <w:szCs w:val="20"/>
                <w:lang w:val="en-US"/>
              </w:rPr>
              <w:t>Total</w:t>
            </w:r>
          </w:p>
        </w:tc>
      </w:tr>
      <w:tr w:rsidR="00554FED" w:rsidRPr="00A810C3" w:rsidTr="002D09FD">
        <w:trPr>
          <w:trHeight w:val="290"/>
        </w:trPr>
        <w:tc>
          <w:tcPr>
            <w:tcW w:w="278" w:type="pct"/>
            <w:tcBorders>
              <w:top w:val="single" w:sz="8" w:space="0" w:color="auto"/>
            </w:tcBorders>
          </w:tcPr>
          <w:p w:rsidR="00D0239C" w:rsidRPr="007D1FEC" w:rsidRDefault="00D0239C" w:rsidP="00DA0C94">
            <w:pPr>
              <w:jc w:val="right"/>
              <w:rPr>
                <w:sz w:val="20"/>
                <w:szCs w:val="20"/>
                <w:lang w:val="en-US"/>
              </w:rPr>
            </w:pPr>
            <w:r>
              <w:rPr>
                <w:sz w:val="20"/>
                <w:szCs w:val="20"/>
                <w:lang w:val="en-US"/>
              </w:rPr>
              <w:t>4</w:t>
            </w:r>
            <w:r w:rsidR="00885C6C">
              <w:rPr>
                <w:sz w:val="20"/>
                <w:szCs w:val="20"/>
                <w:lang w:val="en-US"/>
              </w:rPr>
              <w:t> </w:t>
            </w:r>
            <w:r w:rsidR="002D09FD">
              <w:rPr>
                <w:sz w:val="20"/>
                <w:szCs w:val="20"/>
                <w:lang w:val="en-US"/>
              </w:rPr>
              <w:t xml:space="preserve"> </w:t>
            </w:r>
            <w:r>
              <w:rPr>
                <w:sz w:val="20"/>
                <w:szCs w:val="20"/>
                <w:lang w:val="en-US"/>
              </w:rPr>
              <w:t>a)</w:t>
            </w:r>
          </w:p>
        </w:tc>
        <w:tc>
          <w:tcPr>
            <w:tcW w:w="1461" w:type="pct"/>
            <w:tcBorders>
              <w:top w:val="single" w:sz="8" w:space="0" w:color="auto"/>
            </w:tcBorders>
            <w:noWrap/>
            <w:tcMar>
              <w:top w:w="0" w:type="dxa"/>
              <w:left w:w="108" w:type="dxa"/>
              <w:bottom w:w="0" w:type="dxa"/>
              <w:right w:w="108" w:type="dxa"/>
            </w:tcMar>
            <w:vAlign w:val="center"/>
            <w:hideMark/>
          </w:tcPr>
          <w:p w:rsidR="00D0239C" w:rsidRPr="002D09FD" w:rsidRDefault="002D09FD" w:rsidP="002D09FD">
            <w:pPr>
              <w:jc w:val="left"/>
              <w:rPr>
                <w:iCs/>
                <w:sz w:val="20"/>
                <w:szCs w:val="20"/>
                <w:highlight w:val="yellow"/>
                <w:lang w:val="es-ES"/>
              </w:rPr>
            </w:pPr>
            <w:r w:rsidRPr="000549CA">
              <w:rPr>
                <w:sz w:val="20"/>
                <w:szCs w:val="20"/>
                <w:lang w:val="es-ES"/>
              </w:rPr>
              <w:t>Apoyo para la aplicación de algunas de las recomendaciones de la revisión funcional relacionadas con la mejora de los procesos institucionales, en caso de que no se proporcionen puestos ordinarios</w:t>
            </w:r>
            <w:r w:rsidRPr="002D09FD">
              <w:rPr>
                <w:iCs/>
                <w:snapToGrid w:val="0"/>
                <w:kern w:val="22"/>
                <w:sz w:val="20"/>
                <w:szCs w:val="20"/>
                <w:lang w:val="es-ES"/>
              </w:rPr>
              <w:t xml:space="preserve"> </w:t>
            </w:r>
          </w:p>
        </w:tc>
        <w:tc>
          <w:tcPr>
            <w:tcW w:w="557" w:type="pct"/>
            <w:tcBorders>
              <w:top w:val="single" w:sz="8" w:space="0" w:color="auto"/>
            </w:tcBorders>
            <w:noWrap/>
            <w:tcMar>
              <w:top w:w="0" w:type="dxa"/>
              <w:left w:w="108" w:type="dxa"/>
              <w:bottom w:w="0" w:type="dxa"/>
              <w:right w:w="108" w:type="dxa"/>
            </w:tcMar>
            <w:vAlign w:val="bottom"/>
            <w:hideMark/>
          </w:tcPr>
          <w:p w:rsidR="00D0239C" w:rsidRPr="00793F17" w:rsidRDefault="006A0A90" w:rsidP="006A0A90">
            <w:pPr>
              <w:jc w:val="right"/>
              <w:rPr>
                <w:sz w:val="20"/>
                <w:szCs w:val="20"/>
                <w:lang w:val="en-US"/>
              </w:rPr>
            </w:pPr>
            <w:r>
              <w:rPr>
                <w:sz w:val="20"/>
                <w:szCs w:val="20"/>
                <w:lang w:val="en-US"/>
              </w:rPr>
              <w:t>–</w:t>
            </w:r>
          </w:p>
        </w:tc>
        <w:tc>
          <w:tcPr>
            <w:tcW w:w="628" w:type="pct"/>
            <w:tcBorders>
              <w:top w:val="single" w:sz="8" w:space="0" w:color="auto"/>
            </w:tcBorders>
            <w:noWrap/>
            <w:tcMar>
              <w:top w:w="0" w:type="dxa"/>
              <w:left w:w="108" w:type="dxa"/>
              <w:bottom w:w="0" w:type="dxa"/>
              <w:right w:w="108" w:type="dxa"/>
            </w:tcMar>
            <w:vAlign w:val="bottom"/>
            <w:hideMark/>
          </w:tcPr>
          <w:p w:rsidR="00D0239C" w:rsidRPr="00793F17" w:rsidRDefault="006A0A90" w:rsidP="006A0A90">
            <w:pPr>
              <w:jc w:val="right"/>
              <w:rPr>
                <w:sz w:val="20"/>
                <w:szCs w:val="20"/>
                <w:lang w:val="en-US"/>
              </w:rPr>
            </w:pPr>
            <w:r>
              <w:rPr>
                <w:sz w:val="20"/>
                <w:szCs w:val="20"/>
                <w:lang w:val="en-US"/>
              </w:rPr>
              <w:t>–</w:t>
            </w:r>
          </w:p>
        </w:tc>
        <w:tc>
          <w:tcPr>
            <w:tcW w:w="487" w:type="pct"/>
            <w:tcBorders>
              <w:top w:val="single" w:sz="8" w:space="0" w:color="auto"/>
            </w:tcBorders>
            <w:noWrap/>
            <w:tcMar>
              <w:top w:w="0" w:type="dxa"/>
              <w:left w:w="108" w:type="dxa"/>
              <w:bottom w:w="0" w:type="dxa"/>
              <w:right w:w="108" w:type="dxa"/>
            </w:tcMar>
            <w:vAlign w:val="bottom"/>
            <w:hideMark/>
          </w:tcPr>
          <w:p w:rsidR="00D0239C" w:rsidRPr="00793F17" w:rsidRDefault="00D0239C" w:rsidP="006A0A90">
            <w:pPr>
              <w:jc w:val="right"/>
              <w:rPr>
                <w:sz w:val="20"/>
                <w:szCs w:val="20"/>
                <w:lang w:val="en-US"/>
              </w:rPr>
            </w:pPr>
            <w:r>
              <w:rPr>
                <w:sz w:val="20"/>
                <w:szCs w:val="20"/>
                <w:lang w:val="en-US"/>
              </w:rPr>
              <w:t>288</w:t>
            </w:r>
            <w:r w:rsidR="00C8217E">
              <w:rPr>
                <w:sz w:val="20"/>
                <w:szCs w:val="20"/>
                <w:lang w:val="en-US"/>
              </w:rPr>
              <w:t> </w:t>
            </w:r>
            <w:r>
              <w:rPr>
                <w:sz w:val="20"/>
                <w:szCs w:val="20"/>
                <w:lang w:val="en-US"/>
              </w:rPr>
              <w:t>000</w:t>
            </w:r>
          </w:p>
        </w:tc>
        <w:tc>
          <w:tcPr>
            <w:tcW w:w="487" w:type="pct"/>
            <w:tcBorders>
              <w:top w:val="single" w:sz="8" w:space="0" w:color="auto"/>
            </w:tcBorders>
            <w:noWrap/>
            <w:tcMar>
              <w:top w:w="0" w:type="dxa"/>
              <w:left w:w="108" w:type="dxa"/>
              <w:bottom w:w="0" w:type="dxa"/>
              <w:right w:w="108" w:type="dxa"/>
            </w:tcMar>
            <w:vAlign w:val="bottom"/>
            <w:hideMark/>
          </w:tcPr>
          <w:p w:rsidR="00D0239C" w:rsidRPr="00793F17" w:rsidRDefault="00D0239C" w:rsidP="006A0A90">
            <w:pPr>
              <w:jc w:val="right"/>
              <w:rPr>
                <w:sz w:val="20"/>
                <w:szCs w:val="20"/>
                <w:lang w:val="en-US"/>
              </w:rPr>
            </w:pPr>
            <w:r>
              <w:rPr>
                <w:sz w:val="20"/>
                <w:szCs w:val="20"/>
                <w:lang w:val="en-US"/>
              </w:rPr>
              <w:t>288</w:t>
            </w:r>
            <w:r w:rsidR="00C8217E">
              <w:rPr>
                <w:sz w:val="20"/>
                <w:szCs w:val="20"/>
                <w:lang w:val="en-US"/>
              </w:rPr>
              <w:t> </w:t>
            </w:r>
            <w:r>
              <w:rPr>
                <w:sz w:val="20"/>
                <w:szCs w:val="20"/>
                <w:lang w:val="en-US"/>
              </w:rPr>
              <w:t>000</w:t>
            </w:r>
          </w:p>
        </w:tc>
        <w:tc>
          <w:tcPr>
            <w:tcW w:w="675" w:type="pct"/>
            <w:tcBorders>
              <w:top w:val="single" w:sz="8" w:space="0" w:color="auto"/>
            </w:tcBorders>
            <w:noWrap/>
            <w:tcMar>
              <w:top w:w="0" w:type="dxa"/>
              <w:left w:w="108" w:type="dxa"/>
              <w:bottom w:w="0" w:type="dxa"/>
              <w:right w:w="108" w:type="dxa"/>
            </w:tcMar>
            <w:vAlign w:val="bottom"/>
            <w:hideMark/>
          </w:tcPr>
          <w:p w:rsidR="00D0239C" w:rsidRPr="00793F17" w:rsidRDefault="00D0239C" w:rsidP="006A0A90">
            <w:pPr>
              <w:jc w:val="right"/>
              <w:rPr>
                <w:sz w:val="20"/>
                <w:szCs w:val="20"/>
                <w:lang w:val="en-US"/>
              </w:rPr>
            </w:pPr>
            <w:r>
              <w:rPr>
                <w:sz w:val="20"/>
                <w:szCs w:val="20"/>
                <w:lang w:val="en-US"/>
              </w:rPr>
              <w:t>37</w:t>
            </w:r>
            <w:r w:rsidR="00C8217E">
              <w:rPr>
                <w:sz w:val="20"/>
                <w:szCs w:val="20"/>
                <w:lang w:val="en-US"/>
              </w:rPr>
              <w:t> </w:t>
            </w:r>
            <w:r>
              <w:rPr>
                <w:sz w:val="20"/>
                <w:szCs w:val="20"/>
                <w:lang w:val="en-US"/>
              </w:rPr>
              <w:t>440</w:t>
            </w:r>
          </w:p>
        </w:tc>
        <w:tc>
          <w:tcPr>
            <w:tcW w:w="427" w:type="pct"/>
            <w:tcBorders>
              <w:top w:val="single" w:sz="8" w:space="0" w:color="auto"/>
            </w:tcBorders>
            <w:noWrap/>
            <w:tcMar>
              <w:top w:w="0" w:type="dxa"/>
              <w:left w:w="108" w:type="dxa"/>
              <w:bottom w:w="0" w:type="dxa"/>
              <w:right w:w="108" w:type="dxa"/>
            </w:tcMar>
            <w:vAlign w:val="bottom"/>
            <w:hideMark/>
          </w:tcPr>
          <w:p w:rsidR="00D0239C" w:rsidRPr="001F3ED5" w:rsidRDefault="00D0239C" w:rsidP="006A0A90">
            <w:pPr>
              <w:jc w:val="right"/>
              <w:rPr>
                <w:sz w:val="20"/>
                <w:szCs w:val="20"/>
                <w:lang w:val="en-US"/>
              </w:rPr>
            </w:pPr>
            <w:r>
              <w:rPr>
                <w:sz w:val="20"/>
                <w:szCs w:val="20"/>
                <w:lang w:val="en-US"/>
              </w:rPr>
              <w:t>325</w:t>
            </w:r>
            <w:r w:rsidR="00175828">
              <w:rPr>
                <w:sz w:val="20"/>
                <w:szCs w:val="20"/>
                <w:lang w:val="en-US"/>
              </w:rPr>
              <w:t> </w:t>
            </w:r>
            <w:r>
              <w:rPr>
                <w:sz w:val="20"/>
                <w:szCs w:val="20"/>
                <w:lang w:val="en-US"/>
              </w:rPr>
              <w:t>440</w:t>
            </w:r>
          </w:p>
        </w:tc>
      </w:tr>
      <w:tr w:rsidR="00554FED" w:rsidRPr="00A810C3" w:rsidTr="002D09FD">
        <w:trPr>
          <w:trHeight w:val="290"/>
        </w:trPr>
        <w:tc>
          <w:tcPr>
            <w:tcW w:w="278" w:type="pct"/>
            <w:tcBorders>
              <w:bottom w:val="single" w:sz="4" w:space="0" w:color="auto"/>
            </w:tcBorders>
          </w:tcPr>
          <w:p w:rsidR="00D0239C" w:rsidRPr="007D1FEC" w:rsidRDefault="00D0239C" w:rsidP="00DA0C94">
            <w:pPr>
              <w:jc w:val="right"/>
              <w:rPr>
                <w:sz w:val="20"/>
                <w:szCs w:val="20"/>
                <w:lang w:val="en-US"/>
              </w:rPr>
            </w:pPr>
            <w:r>
              <w:rPr>
                <w:sz w:val="20"/>
                <w:szCs w:val="20"/>
                <w:lang w:val="en-US"/>
              </w:rPr>
              <w:t>4</w:t>
            </w:r>
            <w:r w:rsidR="00885C6C">
              <w:rPr>
                <w:sz w:val="20"/>
                <w:szCs w:val="20"/>
                <w:lang w:val="en-US"/>
              </w:rPr>
              <w:t> </w:t>
            </w:r>
            <w:r w:rsidR="002D09FD">
              <w:rPr>
                <w:sz w:val="20"/>
                <w:szCs w:val="20"/>
                <w:lang w:val="en-US"/>
              </w:rPr>
              <w:t xml:space="preserve"> </w:t>
            </w:r>
            <w:r>
              <w:rPr>
                <w:sz w:val="20"/>
                <w:szCs w:val="20"/>
                <w:lang w:val="en-US"/>
              </w:rPr>
              <w:t>a)</w:t>
            </w:r>
          </w:p>
        </w:tc>
        <w:tc>
          <w:tcPr>
            <w:tcW w:w="1461" w:type="pct"/>
            <w:tcBorders>
              <w:bottom w:val="single" w:sz="4" w:space="0" w:color="auto"/>
            </w:tcBorders>
            <w:noWrap/>
            <w:tcMar>
              <w:top w:w="0" w:type="dxa"/>
              <w:left w:w="108" w:type="dxa"/>
              <w:bottom w:w="0" w:type="dxa"/>
              <w:right w:w="108" w:type="dxa"/>
            </w:tcMar>
            <w:vAlign w:val="bottom"/>
          </w:tcPr>
          <w:p w:rsidR="00D0239C" w:rsidRPr="002D09FD" w:rsidRDefault="002D09FD" w:rsidP="002D09FD">
            <w:pPr>
              <w:jc w:val="left"/>
              <w:rPr>
                <w:sz w:val="20"/>
                <w:szCs w:val="20"/>
                <w:highlight w:val="yellow"/>
                <w:lang w:val="es-ES"/>
              </w:rPr>
            </w:pPr>
            <w:r w:rsidRPr="002D09FD">
              <w:rPr>
                <w:sz w:val="20"/>
                <w:szCs w:val="20"/>
                <w:lang w:val="es-ES"/>
              </w:rPr>
              <w:t xml:space="preserve">Desarrollo de soluciones </w:t>
            </w:r>
            <w:r>
              <w:rPr>
                <w:sz w:val="20"/>
                <w:szCs w:val="20"/>
                <w:lang w:val="es-ES"/>
              </w:rPr>
              <w:t xml:space="preserve">de tecnología de </w:t>
            </w:r>
            <w:r w:rsidRPr="002D09FD">
              <w:rPr>
                <w:sz w:val="20"/>
                <w:szCs w:val="20"/>
                <w:lang w:val="es-ES"/>
              </w:rPr>
              <w:t xml:space="preserve">la información para la </w:t>
            </w:r>
            <w:r>
              <w:rPr>
                <w:sz w:val="20"/>
                <w:szCs w:val="20"/>
                <w:lang w:val="es-ES"/>
              </w:rPr>
              <w:t>aplic</w:t>
            </w:r>
            <w:r w:rsidRPr="002D09FD">
              <w:rPr>
                <w:sz w:val="20"/>
                <w:szCs w:val="20"/>
                <w:lang w:val="es-ES"/>
              </w:rPr>
              <w:t xml:space="preserve">ación de recomendaciones en la revisión funcional relacionadas con la mejora de los procesos </w:t>
            </w:r>
            <w:r>
              <w:rPr>
                <w:sz w:val="20"/>
                <w:szCs w:val="20"/>
                <w:lang w:val="es-ES"/>
              </w:rPr>
              <w:t>institucionales</w:t>
            </w:r>
          </w:p>
        </w:tc>
        <w:tc>
          <w:tcPr>
            <w:tcW w:w="557" w:type="pct"/>
            <w:tcBorders>
              <w:bottom w:val="single" w:sz="4" w:space="0" w:color="auto"/>
            </w:tcBorders>
            <w:noWrap/>
            <w:tcMar>
              <w:top w:w="0" w:type="dxa"/>
              <w:left w:w="108" w:type="dxa"/>
              <w:bottom w:w="0" w:type="dxa"/>
              <w:right w:w="108" w:type="dxa"/>
            </w:tcMar>
            <w:vAlign w:val="bottom"/>
          </w:tcPr>
          <w:p w:rsidR="00D0239C" w:rsidRPr="00A810C3" w:rsidRDefault="006A0A90" w:rsidP="006A0A90">
            <w:pPr>
              <w:jc w:val="right"/>
              <w:rPr>
                <w:sz w:val="20"/>
                <w:szCs w:val="20"/>
                <w:lang w:val="en-US"/>
              </w:rPr>
            </w:pPr>
            <w:r>
              <w:rPr>
                <w:sz w:val="20"/>
                <w:szCs w:val="20"/>
                <w:lang w:val="en-US"/>
              </w:rPr>
              <w:t>–</w:t>
            </w:r>
          </w:p>
        </w:tc>
        <w:tc>
          <w:tcPr>
            <w:tcW w:w="628" w:type="pct"/>
            <w:tcBorders>
              <w:bottom w:val="single" w:sz="4" w:space="0" w:color="auto"/>
            </w:tcBorders>
            <w:noWrap/>
            <w:tcMar>
              <w:top w:w="0" w:type="dxa"/>
              <w:left w:w="108" w:type="dxa"/>
              <w:bottom w:w="0" w:type="dxa"/>
              <w:right w:w="108" w:type="dxa"/>
            </w:tcMar>
            <w:vAlign w:val="bottom"/>
          </w:tcPr>
          <w:p w:rsidR="00D0239C" w:rsidRPr="00A810C3" w:rsidRDefault="006A0A90" w:rsidP="006A0A90">
            <w:pPr>
              <w:jc w:val="right"/>
              <w:rPr>
                <w:sz w:val="20"/>
                <w:szCs w:val="20"/>
                <w:lang w:val="en-US"/>
              </w:rPr>
            </w:pPr>
            <w:r>
              <w:t>–</w:t>
            </w:r>
          </w:p>
        </w:tc>
        <w:tc>
          <w:tcPr>
            <w:tcW w:w="487" w:type="pct"/>
            <w:tcBorders>
              <w:bottom w:val="single" w:sz="4" w:space="0" w:color="auto"/>
            </w:tcBorders>
            <w:noWrap/>
            <w:tcMar>
              <w:top w:w="0" w:type="dxa"/>
              <w:left w:w="108" w:type="dxa"/>
              <w:bottom w:w="0" w:type="dxa"/>
              <w:right w:w="108" w:type="dxa"/>
            </w:tcMar>
            <w:vAlign w:val="bottom"/>
          </w:tcPr>
          <w:p w:rsidR="00D0239C" w:rsidRPr="002F3D2F" w:rsidRDefault="00D0239C" w:rsidP="006A0A90">
            <w:pPr>
              <w:jc w:val="right"/>
              <w:rPr>
                <w:sz w:val="20"/>
                <w:szCs w:val="20"/>
                <w:lang w:val="en-US"/>
              </w:rPr>
            </w:pPr>
            <w:r>
              <w:rPr>
                <w:sz w:val="20"/>
                <w:szCs w:val="20"/>
                <w:lang w:val="en-US"/>
              </w:rPr>
              <w:t>50</w:t>
            </w:r>
            <w:r w:rsidR="00C8217E">
              <w:rPr>
                <w:sz w:val="20"/>
                <w:szCs w:val="20"/>
                <w:lang w:val="en-US"/>
              </w:rPr>
              <w:t> </w:t>
            </w:r>
            <w:r>
              <w:rPr>
                <w:sz w:val="20"/>
                <w:szCs w:val="20"/>
                <w:lang w:val="en-US"/>
              </w:rPr>
              <w:t>000</w:t>
            </w:r>
          </w:p>
        </w:tc>
        <w:tc>
          <w:tcPr>
            <w:tcW w:w="487" w:type="pct"/>
            <w:tcBorders>
              <w:bottom w:val="single" w:sz="4" w:space="0" w:color="auto"/>
            </w:tcBorders>
            <w:noWrap/>
            <w:tcMar>
              <w:top w:w="0" w:type="dxa"/>
              <w:left w:w="108" w:type="dxa"/>
              <w:bottom w:w="0" w:type="dxa"/>
              <w:right w:w="108" w:type="dxa"/>
            </w:tcMar>
            <w:vAlign w:val="bottom"/>
          </w:tcPr>
          <w:p w:rsidR="00D0239C" w:rsidRPr="002F3D2F" w:rsidRDefault="00D0239C" w:rsidP="006A0A90">
            <w:pPr>
              <w:jc w:val="right"/>
              <w:rPr>
                <w:sz w:val="20"/>
                <w:szCs w:val="20"/>
                <w:lang w:val="en-US"/>
              </w:rPr>
            </w:pPr>
            <w:r>
              <w:rPr>
                <w:sz w:val="20"/>
                <w:szCs w:val="20"/>
              </w:rPr>
              <w:t>50 000</w:t>
            </w:r>
          </w:p>
        </w:tc>
        <w:tc>
          <w:tcPr>
            <w:tcW w:w="675" w:type="pct"/>
            <w:tcBorders>
              <w:bottom w:val="single" w:sz="4" w:space="0" w:color="auto"/>
            </w:tcBorders>
            <w:noWrap/>
            <w:tcMar>
              <w:top w:w="0" w:type="dxa"/>
              <w:left w:w="108" w:type="dxa"/>
              <w:bottom w:w="0" w:type="dxa"/>
              <w:right w:w="108" w:type="dxa"/>
            </w:tcMar>
            <w:vAlign w:val="bottom"/>
          </w:tcPr>
          <w:p w:rsidR="00D0239C" w:rsidRPr="002F3D2F" w:rsidRDefault="00D0239C" w:rsidP="006A0A90">
            <w:pPr>
              <w:jc w:val="right"/>
              <w:rPr>
                <w:sz w:val="20"/>
                <w:szCs w:val="20"/>
                <w:lang w:val="en-US"/>
              </w:rPr>
            </w:pPr>
            <w:r>
              <w:rPr>
                <w:sz w:val="20"/>
                <w:szCs w:val="20"/>
              </w:rPr>
              <w:t>6</w:t>
            </w:r>
            <w:r w:rsidR="00C8217E">
              <w:rPr>
                <w:sz w:val="20"/>
                <w:szCs w:val="20"/>
              </w:rPr>
              <w:t> </w:t>
            </w:r>
            <w:r>
              <w:rPr>
                <w:sz w:val="20"/>
                <w:szCs w:val="20"/>
              </w:rPr>
              <w:t>500</w:t>
            </w:r>
          </w:p>
        </w:tc>
        <w:tc>
          <w:tcPr>
            <w:tcW w:w="427" w:type="pct"/>
            <w:tcBorders>
              <w:bottom w:val="single" w:sz="4" w:space="0" w:color="auto"/>
            </w:tcBorders>
            <w:noWrap/>
            <w:tcMar>
              <w:top w:w="0" w:type="dxa"/>
              <w:left w:w="108" w:type="dxa"/>
              <w:bottom w:w="0" w:type="dxa"/>
              <w:right w:w="108" w:type="dxa"/>
            </w:tcMar>
            <w:vAlign w:val="bottom"/>
          </w:tcPr>
          <w:p w:rsidR="00D0239C" w:rsidRPr="002F3D2F" w:rsidRDefault="00D0239C" w:rsidP="006A0A90">
            <w:pPr>
              <w:jc w:val="right"/>
              <w:rPr>
                <w:sz w:val="20"/>
                <w:szCs w:val="20"/>
                <w:lang w:val="en-US"/>
              </w:rPr>
            </w:pPr>
            <w:r>
              <w:rPr>
                <w:sz w:val="20"/>
                <w:szCs w:val="20"/>
              </w:rPr>
              <w:t>56</w:t>
            </w:r>
            <w:r w:rsidR="00C8217E">
              <w:rPr>
                <w:sz w:val="20"/>
                <w:szCs w:val="20"/>
              </w:rPr>
              <w:t> </w:t>
            </w:r>
            <w:r>
              <w:rPr>
                <w:sz w:val="20"/>
                <w:szCs w:val="20"/>
              </w:rPr>
              <w:t>500</w:t>
            </w:r>
          </w:p>
        </w:tc>
      </w:tr>
      <w:tr w:rsidR="001B53C7" w:rsidRPr="00A810C3" w:rsidTr="002D09FD">
        <w:trPr>
          <w:trHeight w:val="290"/>
        </w:trPr>
        <w:tc>
          <w:tcPr>
            <w:tcW w:w="278" w:type="pct"/>
            <w:tcBorders>
              <w:top w:val="single" w:sz="4" w:space="0" w:color="auto"/>
              <w:bottom w:val="single" w:sz="8" w:space="0" w:color="auto"/>
            </w:tcBorders>
          </w:tcPr>
          <w:p w:rsidR="00D0239C" w:rsidRPr="007D1FEC" w:rsidRDefault="00D0239C" w:rsidP="00DA0C94">
            <w:pPr>
              <w:jc w:val="right"/>
              <w:rPr>
                <w:sz w:val="20"/>
                <w:szCs w:val="20"/>
                <w:lang w:val="en-US"/>
              </w:rPr>
            </w:pPr>
          </w:p>
        </w:tc>
        <w:tc>
          <w:tcPr>
            <w:tcW w:w="1461" w:type="pct"/>
            <w:tcBorders>
              <w:top w:val="single" w:sz="4" w:space="0" w:color="auto"/>
              <w:bottom w:val="single" w:sz="8" w:space="0" w:color="auto"/>
            </w:tcBorders>
            <w:noWrap/>
            <w:tcMar>
              <w:top w:w="0" w:type="dxa"/>
              <w:left w:w="108" w:type="dxa"/>
              <w:bottom w:w="0" w:type="dxa"/>
              <w:right w:w="108" w:type="dxa"/>
            </w:tcMar>
            <w:vAlign w:val="bottom"/>
          </w:tcPr>
          <w:p w:rsidR="00D0239C" w:rsidRPr="003305F8" w:rsidRDefault="00D0239C" w:rsidP="00094B98">
            <w:pPr>
              <w:tabs>
                <w:tab w:val="clear" w:pos="567"/>
                <w:tab w:val="left" w:pos="230"/>
              </w:tabs>
              <w:jc w:val="left"/>
              <w:rPr>
                <w:sz w:val="20"/>
                <w:szCs w:val="20"/>
              </w:rPr>
            </w:pPr>
            <w:r>
              <w:rPr>
                <w:b/>
                <w:bCs/>
                <w:sz w:val="20"/>
                <w:szCs w:val="20"/>
                <w:lang w:val="en-US"/>
              </w:rPr>
              <w:tab/>
              <w:t>T</w:t>
            </w:r>
            <w:r w:rsidRPr="001F3ED5">
              <w:rPr>
                <w:b/>
                <w:bCs/>
                <w:sz w:val="20"/>
                <w:szCs w:val="20"/>
                <w:lang w:val="en-US"/>
              </w:rPr>
              <w:t>otal</w:t>
            </w:r>
          </w:p>
        </w:tc>
        <w:tc>
          <w:tcPr>
            <w:tcW w:w="1672" w:type="pct"/>
            <w:gridSpan w:val="3"/>
            <w:tcBorders>
              <w:top w:val="single" w:sz="4" w:space="0" w:color="auto"/>
              <w:bottom w:val="single" w:sz="8" w:space="0" w:color="auto"/>
            </w:tcBorders>
            <w:tcMar>
              <w:top w:w="0" w:type="dxa"/>
              <w:left w:w="108" w:type="dxa"/>
              <w:bottom w:w="0" w:type="dxa"/>
              <w:right w:w="108" w:type="dxa"/>
            </w:tcMar>
            <w:vAlign w:val="bottom"/>
          </w:tcPr>
          <w:p w:rsidR="00D0239C" w:rsidRDefault="00D0239C" w:rsidP="006A0A90">
            <w:pPr>
              <w:tabs>
                <w:tab w:val="clear" w:pos="1134"/>
              </w:tabs>
              <w:ind w:right="143"/>
              <w:jc w:val="right"/>
              <w:rPr>
                <w:b/>
                <w:bCs/>
                <w:sz w:val="20"/>
                <w:szCs w:val="20"/>
                <w:lang w:val="en-US"/>
              </w:rPr>
            </w:pPr>
          </w:p>
        </w:tc>
        <w:tc>
          <w:tcPr>
            <w:tcW w:w="487" w:type="pct"/>
            <w:tcBorders>
              <w:top w:val="single" w:sz="4" w:space="0" w:color="auto"/>
              <w:bottom w:val="single" w:sz="8" w:space="0" w:color="auto"/>
            </w:tcBorders>
            <w:noWrap/>
            <w:tcMar>
              <w:top w:w="0" w:type="dxa"/>
              <w:left w:w="108" w:type="dxa"/>
              <w:bottom w:w="0" w:type="dxa"/>
              <w:right w:w="108" w:type="dxa"/>
            </w:tcMar>
            <w:vAlign w:val="bottom"/>
          </w:tcPr>
          <w:p w:rsidR="00D0239C" w:rsidRPr="002F3D2F" w:rsidRDefault="00D0239C" w:rsidP="006A0A90">
            <w:pPr>
              <w:jc w:val="right"/>
              <w:rPr>
                <w:sz w:val="20"/>
                <w:szCs w:val="20"/>
              </w:rPr>
            </w:pPr>
            <w:r>
              <w:rPr>
                <w:b/>
                <w:bCs/>
                <w:sz w:val="20"/>
                <w:szCs w:val="20"/>
              </w:rPr>
              <w:t>338</w:t>
            </w:r>
            <w:r w:rsidR="00C8217E">
              <w:rPr>
                <w:b/>
                <w:bCs/>
                <w:sz w:val="20"/>
                <w:szCs w:val="20"/>
              </w:rPr>
              <w:t> </w:t>
            </w:r>
            <w:r>
              <w:rPr>
                <w:b/>
                <w:bCs/>
                <w:sz w:val="20"/>
                <w:szCs w:val="20"/>
              </w:rPr>
              <w:t>000</w:t>
            </w:r>
          </w:p>
        </w:tc>
        <w:tc>
          <w:tcPr>
            <w:tcW w:w="675" w:type="pct"/>
            <w:tcBorders>
              <w:top w:val="single" w:sz="4" w:space="0" w:color="auto"/>
              <w:bottom w:val="single" w:sz="8" w:space="0" w:color="auto"/>
            </w:tcBorders>
            <w:noWrap/>
            <w:tcMar>
              <w:top w:w="0" w:type="dxa"/>
              <w:left w:w="108" w:type="dxa"/>
              <w:bottom w:w="0" w:type="dxa"/>
              <w:right w:w="108" w:type="dxa"/>
            </w:tcMar>
            <w:vAlign w:val="bottom"/>
          </w:tcPr>
          <w:p w:rsidR="00D0239C" w:rsidRPr="007D6553" w:rsidRDefault="00D0239C" w:rsidP="006A0A90">
            <w:pPr>
              <w:jc w:val="right"/>
              <w:rPr>
                <w:b/>
                <w:bCs/>
                <w:sz w:val="20"/>
                <w:szCs w:val="20"/>
              </w:rPr>
            </w:pPr>
            <w:r>
              <w:rPr>
                <w:b/>
                <w:bCs/>
                <w:sz w:val="20"/>
                <w:szCs w:val="20"/>
              </w:rPr>
              <w:t>43</w:t>
            </w:r>
            <w:r w:rsidR="00C8217E">
              <w:rPr>
                <w:b/>
                <w:bCs/>
                <w:sz w:val="20"/>
                <w:szCs w:val="20"/>
              </w:rPr>
              <w:t> </w:t>
            </w:r>
            <w:r>
              <w:rPr>
                <w:b/>
                <w:bCs/>
                <w:sz w:val="20"/>
                <w:szCs w:val="20"/>
              </w:rPr>
              <w:t>940</w:t>
            </w:r>
          </w:p>
        </w:tc>
        <w:tc>
          <w:tcPr>
            <w:tcW w:w="427" w:type="pct"/>
            <w:tcBorders>
              <w:top w:val="single" w:sz="4" w:space="0" w:color="auto"/>
              <w:bottom w:val="single" w:sz="8" w:space="0" w:color="auto"/>
            </w:tcBorders>
            <w:noWrap/>
            <w:tcMar>
              <w:top w:w="0" w:type="dxa"/>
              <w:left w:w="108" w:type="dxa"/>
              <w:bottom w:w="0" w:type="dxa"/>
              <w:right w:w="108" w:type="dxa"/>
            </w:tcMar>
            <w:vAlign w:val="bottom"/>
          </w:tcPr>
          <w:p w:rsidR="00D0239C" w:rsidRPr="007D6553" w:rsidRDefault="00D0239C" w:rsidP="006A0A90">
            <w:pPr>
              <w:ind w:right="-22"/>
              <w:jc w:val="right"/>
              <w:rPr>
                <w:b/>
                <w:bCs/>
                <w:sz w:val="20"/>
                <w:szCs w:val="20"/>
              </w:rPr>
            </w:pPr>
            <w:r>
              <w:rPr>
                <w:b/>
                <w:bCs/>
                <w:sz w:val="20"/>
                <w:szCs w:val="20"/>
              </w:rPr>
              <w:t>381</w:t>
            </w:r>
            <w:r w:rsidR="00C8217E">
              <w:rPr>
                <w:b/>
                <w:bCs/>
                <w:sz w:val="20"/>
                <w:szCs w:val="20"/>
              </w:rPr>
              <w:t> </w:t>
            </w:r>
            <w:r>
              <w:rPr>
                <w:b/>
                <w:bCs/>
                <w:sz w:val="20"/>
                <w:szCs w:val="20"/>
              </w:rPr>
              <w:t>940</w:t>
            </w:r>
          </w:p>
        </w:tc>
      </w:tr>
    </w:tbl>
    <w:p w:rsidR="00D0239C" w:rsidRPr="002D09FD" w:rsidRDefault="002D09FD" w:rsidP="00D0239C">
      <w:pPr>
        <w:spacing w:before="120"/>
        <w:ind w:firstLine="567"/>
        <w:rPr>
          <w:sz w:val="18"/>
          <w:szCs w:val="18"/>
          <w:lang w:val="es-ES"/>
        </w:rPr>
      </w:pPr>
      <w:r w:rsidRPr="002D09FD">
        <w:rPr>
          <w:i/>
          <w:sz w:val="18"/>
          <w:lang w:val="es-ES"/>
        </w:rPr>
        <w:t>Abreviaciones</w:t>
      </w:r>
      <w:r w:rsidRPr="002D09FD">
        <w:rPr>
          <w:sz w:val="18"/>
          <w:lang w:val="es-ES"/>
        </w:rPr>
        <w:t>: GAP, gastos de apoyo a los programas; Párr., párrafo de la parte dispositiva de</w:t>
      </w:r>
      <w:r>
        <w:rPr>
          <w:sz w:val="18"/>
          <w:lang w:val="es-ES"/>
        </w:rPr>
        <w:t xml:space="preserve"> la recomendación o del</w:t>
      </w:r>
      <w:r w:rsidRPr="002D09FD">
        <w:rPr>
          <w:sz w:val="18"/>
          <w:lang w:val="es-ES"/>
        </w:rPr>
        <w:t xml:space="preserve"> proyecto de </w:t>
      </w:r>
      <w:r>
        <w:rPr>
          <w:sz w:val="18"/>
          <w:lang w:val="es-ES"/>
        </w:rPr>
        <w:t>decisión.</w:t>
      </w:r>
    </w:p>
    <w:p w:rsidR="00D0239C" w:rsidRPr="002D09FD" w:rsidRDefault="00D0239C" w:rsidP="00DA0C94">
      <w:pPr>
        <w:tabs>
          <w:tab w:val="left" w:pos="851"/>
        </w:tabs>
        <w:ind w:firstLine="567"/>
        <w:rPr>
          <w:sz w:val="18"/>
          <w:szCs w:val="18"/>
          <w:lang w:val="es-ES"/>
        </w:rPr>
      </w:pPr>
      <w:r w:rsidRPr="002D09FD">
        <w:rPr>
          <w:i/>
          <w:iCs/>
          <w:sz w:val="18"/>
          <w:szCs w:val="18"/>
          <w:vertAlign w:val="superscript"/>
          <w:lang w:val="es-ES"/>
        </w:rPr>
        <w:t>a</w:t>
      </w:r>
      <w:r w:rsidRPr="002D09FD">
        <w:rPr>
          <w:sz w:val="18"/>
          <w:szCs w:val="18"/>
          <w:lang w:val="es-ES"/>
        </w:rPr>
        <w:tab/>
      </w:r>
      <w:r w:rsidR="002D09FD" w:rsidRPr="002D09FD">
        <w:rPr>
          <w:sz w:val="18"/>
          <w:lang w:val="es-ES"/>
        </w:rPr>
        <w:t>Consultores, asociados y personal adicional</w:t>
      </w:r>
      <w:r w:rsidRPr="002D09FD">
        <w:rPr>
          <w:sz w:val="18"/>
          <w:szCs w:val="18"/>
          <w:lang w:val="es-ES"/>
        </w:rPr>
        <w:t>.</w:t>
      </w:r>
    </w:p>
    <w:p w:rsidR="00244EFC" w:rsidRPr="002D09FD" w:rsidRDefault="002D09FD" w:rsidP="00DA0C94">
      <w:pPr>
        <w:pStyle w:val="Textonotapie"/>
        <w:ind w:left="567"/>
        <w:rPr>
          <w:lang w:val="es-ES"/>
        </w:rPr>
      </w:pPr>
      <w:r w:rsidRPr="002D09FD">
        <w:rPr>
          <w:i/>
          <w:iCs/>
          <w:lang w:val="es-ES"/>
        </w:rPr>
        <w:t xml:space="preserve">Nota: </w:t>
      </w:r>
      <w:r w:rsidRPr="002D09FD">
        <w:rPr>
          <w:iCs/>
          <w:lang w:val="es-ES"/>
        </w:rPr>
        <w:t>la plena aplicación de las recomendaciones de la revisión funcional requeriría puestos adicionales, pero esos detalles se proporcionarán a la Conferencia de las Partes como parte de la propuesta presupuestaria para su examen en su 17ª reunión</w:t>
      </w:r>
      <w:r w:rsidR="00797E93" w:rsidRPr="002D09FD">
        <w:rPr>
          <w:lang w:val="es-ES"/>
        </w:rPr>
        <w:t>.</w:t>
      </w:r>
    </w:p>
    <w:p w:rsidR="00244EFC" w:rsidRPr="00DD0CE4" w:rsidRDefault="00BD430E" w:rsidP="00A111D1">
      <w:pPr>
        <w:pStyle w:val="Para1"/>
        <w:numPr>
          <w:ilvl w:val="0"/>
          <w:numId w:val="0"/>
        </w:numPr>
        <w:ind w:left="567"/>
        <w:jc w:val="center"/>
      </w:pPr>
      <w:r>
        <w:t>__________</w:t>
      </w:r>
    </w:p>
    <w:sectPr w:rsidR="00244EFC" w:rsidRPr="00DD0CE4" w:rsidSect="00DA0C94">
      <w:pgSz w:w="12240" w:h="15840"/>
      <w:pgMar w:top="1134" w:right="1440" w:bottom="1134" w:left="1440"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6BDB" w:rsidRPr="00DD0CE4" w:rsidRDefault="00D46BDB" w:rsidP="00CF1848">
      <w:r w:rsidRPr="00DD0CE4">
        <w:separator/>
      </w:r>
    </w:p>
  </w:endnote>
  <w:endnote w:type="continuationSeparator" w:id="1">
    <w:p w:rsidR="00D46BDB" w:rsidRPr="00DD0CE4" w:rsidRDefault="00D46BDB" w:rsidP="00CF1848">
      <w:r w:rsidRPr="00DD0CE4">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864CCF" w:rsidRPr="00DD0CE4" w:rsidRDefault="00EB6AC6" w:rsidP="00DA0C94">
            <w:pPr>
              <w:pStyle w:val="CBDFooter"/>
              <w:jc w:val="left"/>
            </w:pPr>
            <w:fldSimple w:instr=" PAGE ">
              <w:r w:rsidR="008C3CA8">
                <w:rPr>
                  <w:noProof/>
                </w:rPr>
                <w:t>4</w:t>
              </w:r>
            </w:fldSimple>
            <w:r w:rsidR="00864CCF" w:rsidRPr="00DD0CE4">
              <w:t>/</w:t>
            </w:r>
            <w:fldSimple w:instr=" NUMPAGES  ">
              <w:r w:rsidR="008C3CA8">
                <w:rPr>
                  <w:noProof/>
                </w:rPr>
                <w:t>16</w:t>
              </w:r>
            </w:fldSimple>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864CCF" w:rsidRPr="00DD0CE4" w:rsidRDefault="00EB6AC6" w:rsidP="00DA0C94">
        <w:pPr>
          <w:pStyle w:val="CBDFooter"/>
          <w:jc w:val="right"/>
        </w:pPr>
        <w:fldSimple w:instr=" PAGE ">
          <w:r w:rsidR="008C3CA8">
            <w:rPr>
              <w:noProof/>
            </w:rPr>
            <w:t>3</w:t>
          </w:r>
        </w:fldSimple>
        <w:r w:rsidR="00864CCF" w:rsidRPr="00DD0CE4">
          <w:t>/</w:t>
        </w:r>
        <w:fldSimple w:instr=" NUMPAGES  ">
          <w:r w:rsidR="008C3CA8">
            <w:rPr>
              <w:noProof/>
            </w:rPr>
            <w:t>16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6BDB" w:rsidRPr="00DD0CE4" w:rsidRDefault="00D46BDB" w:rsidP="00CF1848">
      <w:r w:rsidRPr="00DD0CE4">
        <w:separator/>
      </w:r>
    </w:p>
  </w:footnote>
  <w:footnote w:type="continuationSeparator" w:id="1">
    <w:p w:rsidR="00D46BDB" w:rsidRPr="00DD0CE4" w:rsidRDefault="00D46BDB" w:rsidP="00CF1848">
      <w:r w:rsidRPr="00DD0CE4">
        <w:continuationSeparator/>
      </w:r>
    </w:p>
  </w:footnote>
  <w:footnote w:id="2">
    <w:p w:rsidR="00864CCF" w:rsidRPr="000549CA" w:rsidRDefault="00864CCF">
      <w:pPr>
        <w:pStyle w:val="Textonotapie"/>
        <w:rPr>
          <w:lang w:val="es-ES"/>
        </w:rPr>
      </w:pPr>
      <w:r w:rsidRPr="000549CA">
        <w:rPr>
          <w:rStyle w:val="Refdenotaalpie"/>
          <w:lang w:val="es-ES"/>
        </w:rPr>
        <w:t>*</w:t>
      </w:r>
      <w:hyperlink r:id="rId1" w:history="1">
        <w:r w:rsidRPr="000549CA">
          <w:rPr>
            <w:rStyle w:val="Hipervnculo"/>
            <w:lang w:val="es-ES"/>
          </w:rPr>
          <w:t>CBD/SBI/6/1</w:t>
        </w:r>
      </w:hyperlink>
      <w:r w:rsidRPr="000549CA">
        <w:rPr>
          <w:lang w:val="es-ES"/>
        </w:rPr>
        <w:t>.</w:t>
      </w:r>
    </w:p>
  </w:footnote>
  <w:footnote w:id="3">
    <w:p w:rsidR="00864CCF" w:rsidRPr="006F0DBC" w:rsidRDefault="00864CCF">
      <w:pPr>
        <w:pStyle w:val="Textonotapie"/>
        <w:rPr>
          <w:lang w:val="es-ES"/>
        </w:rPr>
      </w:pPr>
      <w:r w:rsidRPr="00A64D03">
        <w:rPr>
          <w:rStyle w:val="Refdenotaalpie"/>
        </w:rPr>
        <w:footnoteRef/>
      </w:r>
      <w:r>
        <w:rPr>
          <w:lang w:val="es-ES"/>
        </w:rPr>
        <w:t xml:space="preserve"> </w:t>
      </w:r>
      <w:r w:rsidRPr="006F0DBC">
        <w:rPr>
          <w:lang w:val="es-ES"/>
        </w:rPr>
        <w:t xml:space="preserve">El Equipo de Consultoría de Gestión es un grupo de profesionales internos de gestión del PNUD con sede en Nueva York que se especializa en mejorar el rendimiento estratégico y operativo mediante la prestación de servicios de asesoramiento y análisis para la transformación </w:t>
      </w:r>
      <w:r>
        <w:rPr>
          <w:lang w:val="es-ES"/>
        </w:rPr>
        <w:t>institucional</w:t>
      </w:r>
      <w:r w:rsidRPr="006F0DBC">
        <w:rPr>
          <w:lang w:val="es-ES"/>
        </w:rPr>
        <w:t xml:space="preserve"> y la gestión del cambio.</w:t>
      </w:r>
    </w:p>
  </w:footnote>
  <w:footnote w:id="4">
    <w:p w:rsidR="00864CCF" w:rsidRPr="005534E3" w:rsidRDefault="00864CCF" w:rsidP="00503D21">
      <w:pPr>
        <w:pStyle w:val="CBDFootnoteText"/>
        <w:rPr>
          <w:lang w:val="es-ES"/>
        </w:rPr>
      </w:pPr>
      <w:r w:rsidRPr="00A64D03">
        <w:rPr>
          <w:rStyle w:val="Refdenotaalpie"/>
        </w:rPr>
        <w:footnoteRef/>
      </w:r>
      <w:r w:rsidRPr="005534E3">
        <w:rPr>
          <w:lang w:val="es-ES"/>
        </w:rPr>
        <w:t xml:space="preserve"> </w:t>
      </w:r>
      <w:r w:rsidRPr="000549CA">
        <w:rPr>
          <w:szCs w:val="20"/>
          <w:lang w:val="es-ES"/>
        </w:rPr>
        <w:t>Según lo dispuesto en el artículo 24 del Convenio sobre la Diversidad Biológica.</w:t>
      </w:r>
    </w:p>
  </w:footnote>
  <w:footnote w:id="5">
    <w:p w:rsidR="00864CCF" w:rsidRPr="005534E3" w:rsidRDefault="00864CCF">
      <w:pPr>
        <w:pStyle w:val="Textonotapie"/>
        <w:rPr>
          <w:lang w:val="es-ES"/>
        </w:rPr>
      </w:pPr>
      <w:r w:rsidRPr="00A64D03">
        <w:rPr>
          <w:rStyle w:val="Refdenotaalpie"/>
        </w:rPr>
        <w:footnoteRef/>
      </w:r>
      <w:r w:rsidRPr="005534E3">
        <w:rPr>
          <w:lang w:val="es-ES"/>
        </w:rPr>
        <w:t xml:space="preserve"> </w:t>
      </w:r>
      <w:r w:rsidRPr="000549CA">
        <w:rPr>
          <w:lang w:val="es-ES"/>
        </w:rPr>
        <w:t xml:space="preserve">En vista de la fecha límite para la publicación de los documentos de trabajo para la presente reunión, el personal de la Secretaría, que estaba plenamente dedicado al análisis de las funciones y los procesos operativos de la Secretaría, solo tuvo oportunidades limitadas para aportar información con miras a finalizar el informe completo en diciembre de 2025. </w:t>
      </w:r>
      <w:r w:rsidRPr="005534E3">
        <w:rPr>
          <w:lang w:val="es-ES"/>
        </w:rPr>
        <w:t>Por consiguiente, en enero de 2026 continuará el examen interno de la Secretaría para revisar y reflexionar sobre las recomendaciones que figuran en el informe final presentado por el Equipo de Consultoría de Gestión.</w:t>
      </w:r>
    </w:p>
  </w:footnote>
  <w:footnote w:id="6">
    <w:p w:rsidR="00864CCF" w:rsidRPr="0080272F" w:rsidRDefault="00864CCF">
      <w:pPr>
        <w:pStyle w:val="Textonotapie"/>
        <w:rPr>
          <w:lang w:val="es-ES"/>
        </w:rPr>
      </w:pPr>
      <w:r>
        <w:rPr>
          <w:rStyle w:val="Refdenotaalpie"/>
        </w:rPr>
        <w:footnoteRef/>
      </w:r>
      <w:r w:rsidRPr="0080272F">
        <w:rPr>
          <w:lang w:val="es-ES"/>
        </w:rPr>
        <w:t xml:space="preserve"> Las necesidades estimadas de recursos extrapresupuestarios para las actividades descritas en el proyecto de recomendación figuran en el anexo II del presente documento.</w:t>
      </w:r>
    </w:p>
  </w:footnote>
  <w:footnote w:id="7">
    <w:p w:rsidR="00895395" w:rsidRPr="00895395" w:rsidRDefault="00895395" w:rsidP="00895395">
      <w:pPr>
        <w:pStyle w:val="Textonotapie"/>
        <w:rPr>
          <w:lang w:val="es-ES"/>
        </w:rPr>
      </w:pPr>
      <w:r>
        <w:rPr>
          <w:rStyle w:val="Refdenotaalpie"/>
        </w:rPr>
        <w:footnoteRef/>
      </w:r>
      <w:r w:rsidRPr="00895395">
        <w:rPr>
          <w:lang w:val="es-ES"/>
        </w:rPr>
        <w:t xml:space="preserve"> Naciones Unidas, </w:t>
      </w:r>
      <w:r w:rsidRPr="00895395">
        <w:rPr>
          <w:i/>
          <w:iCs/>
          <w:lang w:val="es-ES"/>
        </w:rPr>
        <w:t>Treaty Series</w:t>
      </w:r>
      <w:r w:rsidRPr="00895395">
        <w:rPr>
          <w:lang w:val="es-ES"/>
        </w:rPr>
        <w:t xml:space="preserve">, vol. 1760, </w:t>
      </w:r>
      <w:r>
        <w:rPr>
          <w:lang w:val="es-ES"/>
        </w:rPr>
        <w:t>núm</w:t>
      </w:r>
      <w:r w:rsidRPr="00895395">
        <w:rPr>
          <w:lang w:val="es-ES"/>
        </w:rPr>
        <w:t>. 30619.</w:t>
      </w:r>
    </w:p>
  </w:footnote>
  <w:footnote w:id="8">
    <w:p w:rsidR="00864CCF" w:rsidRPr="002F5D83" w:rsidRDefault="00864CCF">
      <w:pPr>
        <w:pStyle w:val="Textonotapie"/>
        <w:rPr>
          <w:lang w:val="es-ES"/>
        </w:rPr>
      </w:pPr>
      <w:r>
        <w:rPr>
          <w:rStyle w:val="Refdenotaalpie"/>
        </w:rPr>
        <w:footnoteRef/>
      </w:r>
      <w:r w:rsidRPr="002F5D83">
        <w:rPr>
          <w:lang w:val="es-ES"/>
        </w:rPr>
        <w:t xml:space="preserve"> Véase CBD/COP/17/xx.</w:t>
      </w:r>
    </w:p>
  </w:footnote>
  <w:footnote w:id="9">
    <w:p w:rsidR="00864CCF" w:rsidRPr="002F5D83" w:rsidRDefault="00864CCF">
      <w:pPr>
        <w:pStyle w:val="Textonotapie"/>
        <w:rPr>
          <w:lang w:val="es-ES"/>
        </w:rPr>
      </w:pPr>
      <w:r>
        <w:rPr>
          <w:rStyle w:val="Refdenotaalpie"/>
        </w:rPr>
        <w:footnoteRef/>
      </w:r>
      <w:r w:rsidRPr="002F5D83">
        <w:rPr>
          <w:lang w:val="es-ES"/>
        </w:rPr>
        <w:t xml:space="preserve"> Naciones Unidas, </w:t>
      </w:r>
      <w:r w:rsidRPr="002F5D83">
        <w:rPr>
          <w:i/>
          <w:iCs/>
          <w:lang w:val="es-ES"/>
        </w:rPr>
        <w:t>Treaty Series</w:t>
      </w:r>
      <w:r w:rsidRPr="002F5D83">
        <w:rPr>
          <w:lang w:val="es-ES"/>
        </w:rPr>
        <w:t xml:space="preserve">, vol. 2226, </w:t>
      </w:r>
      <w:r>
        <w:rPr>
          <w:lang w:val="es-ES"/>
        </w:rPr>
        <w:t>núm</w:t>
      </w:r>
      <w:r w:rsidRPr="002F5D83">
        <w:rPr>
          <w:lang w:val="es-ES"/>
        </w:rPr>
        <w:t>. 30619.</w:t>
      </w:r>
    </w:p>
  </w:footnote>
  <w:footnote w:id="10">
    <w:p w:rsidR="00864CCF" w:rsidRPr="00DA0C94" w:rsidRDefault="00864CCF">
      <w:pPr>
        <w:pStyle w:val="Textonotapie"/>
        <w:rPr>
          <w:lang w:val="en-US"/>
        </w:rPr>
      </w:pPr>
      <w:r>
        <w:rPr>
          <w:rStyle w:val="Refdenotaalpie"/>
        </w:rPr>
        <w:footnoteRef/>
      </w:r>
      <w:r>
        <w:t xml:space="preserve"> </w:t>
      </w:r>
      <w:r w:rsidRPr="00895395">
        <w:rPr>
          <w:i/>
        </w:rPr>
        <w:t>Ibid.</w:t>
      </w:r>
      <w:r w:rsidRPr="000960AA">
        <w:t xml:space="preserve">, vol. 3008, </w:t>
      </w:r>
      <w:r>
        <w:t>núm</w:t>
      </w:r>
      <w:r w:rsidRPr="000960AA">
        <w:t>.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864CCF" w:rsidRPr="00DD0CE4" w:rsidRDefault="00864CCF" w:rsidP="007C4951">
        <w:pPr>
          <w:pStyle w:val="Encabezado"/>
          <w:spacing w:after="240"/>
          <w:rPr>
            <w:szCs w:val="20"/>
          </w:rPr>
        </w:pPr>
        <w:r w:rsidRPr="00DD0CE4">
          <w:rPr>
            <w:szCs w:val="20"/>
          </w:rPr>
          <w:t>CBD/SBI/6/10</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864CCF" w:rsidRPr="00DD0CE4" w:rsidRDefault="00864CCF" w:rsidP="007C4951">
        <w:pPr>
          <w:pStyle w:val="Encabezado"/>
          <w:spacing w:after="240"/>
          <w:jc w:val="right"/>
        </w:pPr>
        <w:r w:rsidRPr="00DD0CE4">
          <w:t>CBD/SBI/6/10</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nsid w:val="0FA0170D"/>
    <w:multiLevelType w:val="multilevel"/>
    <w:tmpl w:val="222A08B4"/>
    <w:numStyleLink w:val="ListCBD"/>
  </w:abstractNum>
  <w:abstractNum w:abstractNumId="21">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nsid w:val="160189FC"/>
    <w:multiLevelType w:val="hybridMultilevel"/>
    <w:tmpl w:val="90302C02"/>
    <w:lvl w:ilvl="0" w:tplc="0C0A0017">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E5356EC"/>
    <w:multiLevelType w:val="multilevel"/>
    <w:tmpl w:val="07D269C8"/>
    <w:numStyleLink w:val="CBDHeadings"/>
  </w:abstractNum>
  <w:abstractNum w:abstractNumId="35">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398E2FF3"/>
    <w:multiLevelType w:val="multilevel"/>
    <w:tmpl w:val="222A08B4"/>
    <w:numStyleLink w:val="ListCBD"/>
  </w:abstractNum>
  <w:abstractNum w:abstractNumId="39">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nsid w:val="4E880595"/>
    <w:multiLevelType w:val="multilevel"/>
    <w:tmpl w:val="222A08B4"/>
    <w:numStyleLink w:val="ListCBD"/>
  </w:abstractNum>
  <w:abstractNum w:abstractNumId="49">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52A66A9D"/>
    <w:multiLevelType w:val="multilevel"/>
    <w:tmpl w:val="222A08B4"/>
    <w:numStyleLink w:val="ListCBD"/>
  </w:abstractNum>
  <w:abstractNum w:abstractNumId="52">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D943BEE"/>
    <w:multiLevelType w:val="multilevel"/>
    <w:tmpl w:val="222A08B4"/>
    <w:numStyleLink w:val="ListCBD"/>
  </w:abstractNum>
  <w:abstractNum w:abstractNumId="57">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nsid w:val="68B70991"/>
    <w:multiLevelType w:val="multilevel"/>
    <w:tmpl w:val="222A08B4"/>
    <w:numStyleLink w:val="ListCBD"/>
  </w:abstractNum>
  <w:abstractNum w:abstractNumId="63">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6B810358"/>
    <w:multiLevelType w:val="multilevel"/>
    <w:tmpl w:val="222A08B4"/>
    <w:numStyleLink w:val="ListCBD"/>
  </w:abstractNum>
  <w:abstractNum w:abstractNumId="65">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71">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7"/>
  </w:num>
  <w:num w:numId="2">
    <w:abstractNumId w:val="44"/>
  </w:num>
  <w:num w:numId="3">
    <w:abstractNumId w:val="68"/>
  </w:num>
  <w:num w:numId="4">
    <w:abstractNumId w:val="70"/>
  </w:num>
  <w:num w:numId="5">
    <w:abstractNumId w:val="45"/>
  </w:num>
  <w:num w:numId="6">
    <w:abstractNumId w:val="65"/>
  </w:num>
  <w:num w:numId="7">
    <w:abstractNumId w:val="56"/>
  </w:num>
  <w:num w:numId="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3"/>
  </w:num>
  <w:num w:numId="10">
    <w:abstractNumId w:val="49"/>
  </w:num>
  <w:num w:numId="11">
    <w:abstractNumId w:val="23"/>
  </w:num>
  <w:num w:numId="12">
    <w:abstractNumId w:val="39"/>
  </w:num>
  <w:num w:numId="13">
    <w:abstractNumId w:val="42"/>
  </w:num>
  <w:num w:numId="14">
    <w:abstractNumId w:val="37"/>
  </w:num>
  <w:num w:numId="15">
    <w:abstractNumId w:val="55"/>
  </w:num>
  <w:num w:numId="16">
    <w:abstractNumId w:val="61"/>
  </w:num>
  <w:num w:numId="17">
    <w:abstractNumId w:val="56"/>
  </w:num>
  <w:num w:numId="18">
    <w:abstractNumId w:val="46"/>
  </w:num>
  <w:num w:numId="19">
    <w:abstractNumId w:val="18"/>
  </w:num>
  <w:num w:numId="20">
    <w:abstractNumId w:val="56"/>
  </w:num>
  <w:num w:numId="21">
    <w:abstractNumId w:val="56"/>
  </w:num>
  <w:num w:numId="22">
    <w:abstractNumId w:val="56"/>
  </w:num>
  <w:num w:numId="23">
    <w:abstractNumId w:val="56"/>
  </w:num>
  <w:num w:numId="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6"/>
  </w:num>
  <w:num w:numId="2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6"/>
  </w:num>
  <w:num w:numId="28">
    <w:abstractNumId w:val="15"/>
  </w:num>
  <w:num w:numId="29">
    <w:abstractNumId w:val="63"/>
  </w:num>
  <w:num w:numId="30">
    <w:abstractNumId w:val="74"/>
  </w:num>
  <w:num w:numId="31">
    <w:abstractNumId w:val="31"/>
  </w:num>
  <w:num w:numId="32">
    <w:abstractNumId w:val="56"/>
  </w:num>
  <w:num w:numId="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6"/>
  </w:num>
  <w:num w:numId="35">
    <w:abstractNumId w:val="56"/>
  </w:num>
  <w:num w:numId="36">
    <w:abstractNumId w:val="71"/>
  </w:num>
  <w:num w:numId="37">
    <w:abstractNumId w:val="50"/>
  </w:num>
  <w:num w:numId="38">
    <w:abstractNumId w:val="56"/>
  </w:num>
  <w:num w:numId="39">
    <w:abstractNumId w:val="56"/>
  </w:num>
  <w:num w:numId="40">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abstractNumId w:val="56"/>
  </w:num>
  <w:num w:numId="42">
    <w:abstractNumId w:val="56"/>
  </w:num>
  <w:num w:numId="43">
    <w:abstractNumId w:val="56"/>
  </w:num>
  <w:num w:numId="44">
    <w:abstractNumId w:val="56"/>
  </w:num>
  <w:num w:numId="45">
    <w:abstractNumId w:val="56"/>
  </w:num>
  <w:num w:numId="46">
    <w:abstractNumId w:val="66"/>
  </w:num>
  <w:num w:numId="47">
    <w:abstractNumId w:val="43"/>
  </w:num>
  <w:num w:numId="48">
    <w:abstractNumId w:val="21"/>
  </w:num>
  <w:num w:numId="49">
    <w:abstractNumId w:val="64"/>
  </w:num>
  <w:num w:numId="50">
    <w:abstractNumId w:val="58"/>
  </w:num>
  <w:num w:numId="51">
    <w:abstractNumId w:val="60"/>
  </w:num>
  <w:num w:numId="52">
    <w:abstractNumId w:val="17"/>
  </w:num>
  <w:num w:numId="53">
    <w:abstractNumId w:val="69"/>
  </w:num>
  <w:num w:numId="54">
    <w:abstractNumId w:val="16"/>
  </w:num>
  <w:num w:numId="55">
    <w:abstractNumId w:val="67"/>
  </w:num>
  <w:num w:numId="56">
    <w:abstractNumId w:val="57"/>
  </w:num>
  <w:num w:numId="57">
    <w:abstractNumId w:val="26"/>
  </w:num>
  <w:num w:numId="58">
    <w:abstractNumId w:val="27"/>
  </w:num>
  <w:num w:numId="59">
    <w:abstractNumId w:val="24"/>
  </w:num>
  <w:num w:numId="60">
    <w:abstractNumId w:val="59"/>
  </w:num>
  <w:num w:numId="61">
    <w:abstractNumId w:val="19"/>
  </w:num>
  <w:num w:numId="62">
    <w:abstractNumId w:val="14"/>
  </w:num>
  <w:num w:numId="63">
    <w:abstractNumId w:val="36"/>
  </w:num>
  <w:num w:numId="64">
    <w:abstractNumId w:val="11"/>
  </w:num>
  <w:num w:numId="65">
    <w:abstractNumId w:val="28"/>
  </w:num>
  <w:num w:numId="66">
    <w:abstractNumId w:val="9"/>
  </w:num>
  <w:num w:numId="67">
    <w:abstractNumId w:val="7"/>
  </w:num>
  <w:num w:numId="68">
    <w:abstractNumId w:val="6"/>
  </w:num>
  <w:num w:numId="69">
    <w:abstractNumId w:val="5"/>
  </w:num>
  <w:num w:numId="70">
    <w:abstractNumId w:val="4"/>
  </w:num>
  <w:num w:numId="71">
    <w:abstractNumId w:val="8"/>
  </w:num>
  <w:num w:numId="72">
    <w:abstractNumId w:val="3"/>
  </w:num>
  <w:num w:numId="73">
    <w:abstractNumId w:val="2"/>
  </w:num>
  <w:num w:numId="74">
    <w:abstractNumId w:val="1"/>
  </w:num>
  <w:num w:numId="75">
    <w:abstractNumId w:val="0"/>
  </w:num>
  <w:num w:numId="76">
    <w:abstractNumId w:val="62"/>
  </w:num>
  <w:num w:numId="77">
    <w:abstractNumId w:val="72"/>
  </w:num>
  <w:num w:numId="78">
    <w:abstractNumId w:val="30"/>
  </w:num>
  <w:num w:numId="79">
    <w:abstractNumId w:val="32"/>
  </w:num>
  <w:num w:numId="80">
    <w:abstractNumId w:val="62"/>
    <w:lvlOverride w:ilvl="0">
      <w:startOverride w:val="1"/>
    </w:lvlOverride>
  </w:num>
  <w:num w:numId="81">
    <w:abstractNumId w:val="51"/>
  </w:num>
  <w:num w:numId="82">
    <w:abstractNumId w:val="41"/>
  </w:num>
  <w:num w:numId="83">
    <w:abstractNumId w:val="54"/>
  </w:num>
  <w:num w:numId="84">
    <w:abstractNumId w:val="53"/>
  </w:num>
  <w:num w:numId="8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0"/>
  </w:num>
  <w:num w:numId="87">
    <w:abstractNumId w:val="48"/>
  </w:num>
  <w:num w:numId="88">
    <w:abstractNumId w:val="38"/>
  </w:num>
  <w:num w:numId="89">
    <w:abstractNumId w:val="25"/>
  </w:num>
  <w:num w:numId="9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9"/>
  </w:num>
  <w:num w:numId="92">
    <w:abstractNumId w:val="10"/>
  </w:num>
  <w:num w:numId="9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num>
  <w:num w:numId="96">
    <w:abstractNumId w:val="33"/>
  </w:num>
  <w:num w:numId="97">
    <w:abstractNumId w:val="33"/>
    <w:lvlOverride w:ilvl="0">
      <w:startOverride w:val="1"/>
    </w:lvlOverride>
  </w:num>
  <w:num w:numId="98">
    <w:abstractNumId w:val="33"/>
    <w:lvlOverride w:ilvl="0">
      <w:startOverride w:val="1"/>
    </w:lvlOverride>
  </w:num>
  <w:num w:numId="99">
    <w:abstractNumId w:val="33"/>
    <w:lvlOverride w:ilvl="0">
      <w:startOverride w:val="1"/>
    </w:lvlOverride>
  </w:num>
  <w:num w:numId="100">
    <w:abstractNumId w:val="35"/>
  </w:num>
  <w:num w:numId="101">
    <w:abstractNumId w:val="52"/>
  </w:num>
  <w:num w:numId="102">
    <w:abstractNumId w:val="40"/>
  </w:num>
  <w:num w:numId="103">
    <w:abstractNumId w:val="34"/>
  </w:num>
  <w:num w:numId="104">
    <w:abstractNumId w:val="22"/>
  </w:num>
  <w:num w:numId="10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num>
  <w:num w:numId="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6"/>
  </w:num>
  <w:num w:numId="112">
    <w:abstractNumId w:val="56"/>
  </w:num>
  <w:num w:numId="113">
    <w:abstractNumId w:val="56"/>
  </w:num>
  <w:num w:numId="114">
    <w:abstractNumId w:val="56"/>
  </w:num>
  <w:num w:numId="115">
    <w:abstractNumId w:val="56"/>
  </w:num>
  <w:num w:numId="116">
    <w:abstractNumId w:val="56"/>
  </w:num>
  <w:num w:numId="117">
    <w:abstractNumId w:val="56"/>
  </w:num>
  <w:num w:numId="118">
    <w:abstractNumId w:val="56"/>
  </w:num>
  <w:numIdMacAtCleanup w:val="1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6146"/>
  </w:hdrShapeDefaults>
  <w:footnotePr>
    <w:footnote w:id="0"/>
    <w:footnote w:id="1"/>
  </w:footnotePr>
  <w:endnotePr>
    <w:endnote w:id="0"/>
    <w:endnote w:id="1"/>
  </w:endnotePr>
  <w:compat>
    <w:useFELayout/>
  </w:compat>
  <w:rsids>
    <w:rsidRoot w:val="00D74527"/>
    <w:rsid w:val="00001585"/>
    <w:rsid w:val="00002876"/>
    <w:rsid w:val="00003B96"/>
    <w:rsid w:val="000040B5"/>
    <w:rsid w:val="00004A1C"/>
    <w:rsid w:val="00006BC2"/>
    <w:rsid w:val="000074B8"/>
    <w:rsid w:val="00007BE2"/>
    <w:rsid w:val="00011123"/>
    <w:rsid w:val="000118B2"/>
    <w:rsid w:val="0001579C"/>
    <w:rsid w:val="00020252"/>
    <w:rsid w:val="000216F5"/>
    <w:rsid w:val="000224D3"/>
    <w:rsid w:val="0002338C"/>
    <w:rsid w:val="00023B4A"/>
    <w:rsid w:val="00023C0B"/>
    <w:rsid w:val="00024378"/>
    <w:rsid w:val="00027547"/>
    <w:rsid w:val="000330B6"/>
    <w:rsid w:val="00033FB5"/>
    <w:rsid w:val="000352E7"/>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49CA"/>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392F"/>
    <w:rsid w:val="00094AD5"/>
    <w:rsid w:val="00094B98"/>
    <w:rsid w:val="000951EF"/>
    <w:rsid w:val="000952BF"/>
    <w:rsid w:val="00095D0B"/>
    <w:rsid w:val="00095D49"/>
    <w:rsid w:val="000960AA"/>
    <w:rsid w:val="00097E92"/>
    <w:rsid w:val="000A033E"/>
    <w:rsid w:val="000A0550"/>
    <w:rsid w:val="000A105A"/>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4F31"/>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32F"/>
    <w:rsid w:val="001B13FE"/>
    <w:rsid w:val="001B4999"/>
    <w:rsid w:val="001B53C7"/>
    <w:rsid w:val="001B59B9"/>
    <w:rsid w:val="001B5B4F"/>
    <w:rsid w:val="001B5E61"/>
    <w:rsid w:val="001B5F4A"/>
    <w:rsid w:val="001B6FC7"/>
    <w:rsid w:val="001B71DD"/>
    <w:rsid w:val="001C1AB4"/>
    <w:rsid w:val="001C24A6"/>
    <w:rsid w:val="001C3E34"/>
    <w:rsid w:val="001C4E94"/>
    <w:rsid w:val="001C5068"/>
    <w:rsid w:val="001C6D3B"/>
    <w:rsid w:val="001D0174"/>
    <w:rsid w:val="001D0AEF"/>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7E35"/>
    <w:rsid w:val="00201275"/>
    <w:rsid w:val="00202F9A"/>
    <w:rsid w:val="002042CD"/>
    <w:rsid w:val="002045C7"/>
    <w:rsid w:val="00204834"/>
    <w:rsid w:val="0020526F"/>
    <w:rsid w:val="0020735E"/>
    <w:rsid w:val="00207DD6"/>
    <w:rsid w:val="002101F3"/>
    <w:rsid w:val="0021063C"/>
    <w:rsid w:val="00212589"/>
    <w:rsid w:val="00213290"/>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30410"/>
    <w:rsid w:val="00231F89"/>
    <w:rsid w:val="00233D66"/>
    <w:rsid w:val="00234DE9"/>
    <w:rsid w:val="00235634"/>
    <w:rsid w:val="002356DE"/>
    <w:rsid w:val="00236B68"/>
    <w:rsid w:val="002372CA"/>
    <w:rsid w:val="0023789E"/>
    <w:rsid w:val="0024003E"/>
    <w:rsid w:val="00240089"/>
    <w:rsid w:val="0024022A"/>
    <w:rsid w:val="00243480"/>
    <w:rsid w:val="00244809"/>
    <w:rsid w:val="00244A1B"/>
    <w:rsid w:val="00244EFC"/>
    <w:rsid w:val="002477C7"/>
    <w:rsid w:val="002477D5"/>
    <w:rsid w:val="00251186"/>
    <w:rsid w:val="002512E8"/>
    <w:rsid w:val="00251E7F"/>
    <w:rsid w:val="0025236B"/>
    <w:rsid w:val="002537E9"/>
    <w:rsid w:val="00253CBE"/>
    <w:rsid w:val="00254774"/>
    <w:rsid w:val="002548BF"/>
    <w:rsid w:val="00254E30"/>
    <w:rsid w:val="002562E9"/>
    <w:rsid w:val="0025688B"/>
    <w:rsid w:val="00256A24"/>
    <w:rsid w:val="00257B68"/>
    <w:rsid w:val="002606A2"/>
    <w:rsid w:val="0026178E"/>
    <w:rsid w:val="002619EF"/>
    <w:rsid w:val="00261F77"/>
    <w:rsid w:val="00262521"/>
    <w:rsid w:val="00263302"/>
    <w:rsid w:val="00264058"/>
    <w:rsid w:val="00264362"/>
    <w:rsid w:val="0026545B"/>
    <w:rsid w:val="002654CD"/>
    <w:rsid w:val="002655F1"/>
    <w:rsid w:val="00266E4E"/>
    <w:rsid w:val="00267A74"/>
    <w:rsid w:val="00267CA5"/>
    <w:rsid w:val="00270659"/>
    <w:rsid w:val="00270FAE"/>
    <w:rsid w:val="0027365A"/>
    <w:rsid w:val="00273EBF"/>
    <w:rsid w:val="00274172"/>
    <w:rsid w:val="00276218"/>
    <w:rsid w:val="00277C36"/>
    <w:rsid w:val="00277CA7"/>
    <w:rsid w:val="00280813"/>
    <w:rsid w:val="0028194B"/>
    <w:rsid w:val="00282734"/>
    <w:rsid w:val="00282E33"/>
    <w:rsid w:val="002830A0"/>
    <w:rsid w:val="0028542C"/>
    <w:rsid w:val="00286076"/>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5A14"/>
    <w:rsid w:val="002B7C87"/>
    <w:rsid w:val="002C05C5"/>
    <w:rsid w:val="002C1181"/>
    <w:rsid w:val="002C25FE"/>
    <w:rsid w:val="002C2DCB"/>
    <w:rsid w:val="002C452E"/>
    <w:rsid w:val="002C5578"/>
    <w:rsid w:val="002C6244"/>
    <w:rsid w:val="002C6B9C"/>
    <w:rsid w:val="002C6D3A"/>
    <w:rsid w:val="002C7D3F"/>
    <w:rsid w:val="002D0585"/>
    <w:rsid w:val="002D09FD"/>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CE5"/>
    <w:rsid w:val="002F3A5B"/>
    <w:rsid w:val="002F3B7A"/>
    <w:rsid w:val="002F3B7E"/>
    <w:rsid w:val="002F3D38"/>
    <w:rsid w:val="002F5BE0"/>
    <w:rsid w:val="002F5D83"/>
    <w:rsid w:val="002F738B"/>
    <w:rsid w:val="002F744E"/>
    <w:rsid w:val="002F7619"/>
    <w:rsid w:val="002F7FD6"/>
    <w:rsid w:val="00300319"/>
    <w:rsid w:val="003008FE"/>
    <w:rsid w:val="00300B51"/>
    <w:rsid w:val="0030169D"/>
    <w:rsid w:val="00303506"/>
    <w:rsid w:val="00303901"/>
    <w:rsid w:val="00303CFE"/>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9CB"/>
    <w:rsid w:val="00335367"/>
    <w:rsid w:val="00337997"/>
    <w:rsid w:val="00340BCD"/>
    <w:rsid w:val="003410F9"/>
    <w:rsid w:val="00344004"/>
    <w:rsid w:val="003440BE"/>
    <w:rsid w:val="003456A1"/>
    <w:rsid w:val="00345B67"/>
    <w:rsid w:val="003471DF"/>
    <w:rsid w:val="00347C7D"/>
    <w:rsid w:val="00350B27"/>
    <w:rsid w:val="00351205"/>
    <w:rsid w:val="003528D9"/>
    <w:rsid w:val="00352BD0"/>
    <w:rsid w:val="00354E26"/>
    <w:rsid w:val="00356B8F"/>
    <w:rsid w:val="00360580"/>
    <w:rsid w:val="003605F6"/>
    <w:rsid w:val="00360E24"/>
    <w:rsid w:val="00361A0A"/>
    <w:rsid w:val="00361ABE"/>
    <w:rsid w:val="00367E96"/>
    <w:rsid w:val="00372257"/>
    <w:rsid w:val="003724F7"/>
    <w:rsid w:val="00372865"/>
    <w:rsid w:val="00372C41"/>
    <w:rsid w:val="00372F74"/>
    <w:rsid w:val="00374ACD"/>
    <w:rsid w:val="00374CA8"/>
    <w:rsid w:val="00375956"/>
    <w:rsid w:val="00375E7D"/>
    <w:rsid w:val="0037600D"/>
    <w:rsid w:val="00376B41"/>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B8E"/>
    <w:rsid w:val="003A51B5"/>
    <w:rsid w:val="003A5264"/>
    <w:rsid w:val="003A62BE"/>
    <w:rsid w:val="003A6673"/>
    <w:rsid w:val="003A68A1"/>
    <w:rsid w:val="003A70C8"/>
    <w:rsid w:val="003A7975"/>
    <w:rsid w:val="003A7A04"/>
    <w:rsid w:val="003A7C16"/>
    <w:rsid w:val="003B0FBF"/>
    <w:rsid w:val="003B24BE"/>
    <w:rsid w:val="003B26DE"/>
    <w:rsid w:val="003B3A84"/>
    <w:rsid w:val="003B3FB9"/>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6098"/>
    <w:rsid w:val="003F03A7"/>
    <w:rsid w:val="003F05DF"/>
    <w:rsid w:val="003F11E1"/>
    <w:rsid w:val="003F1548"/>
    <w:rsid w:val="003F1B3F"/>
    <w:rsid w:val="003F33C4"/>
    <w:rsid w:val="003F3A42"/>
    <w:rsid w:val="003F414D"/>
    <w:rsid w:val="003F421A"/>
    <w:rsid w:val="003F42CE"/>
    <w:rsid w:val="003F5857"/>
    <w:rsid w:val="003F61E6"/>
    <w:rsid w:val="003F70BC"/>
    <w:rsid w:val="003F7224"/>
    <w:rsid w:val="00400294"/>
    <w:rsid w:val="00402C53"/>
    <w:rsid w:val="0040369A"/>
    <w:rsid w:val="004042F2"/>
    <w:rsid w:val="00404742"/>
    <w:rsid w:val="00404E12"/>
    <w:rsid w:val="00406755"/>
    <w:rsid w:val="004067B1"/>
    <w:rsid w:val="00407073"/>
    <w:rsid w:val="004072B0"/>
    <w:rsid w:val="0041037C"/>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E53"/>
    <w:rsid w:val="00447F4A"/>
    <w:rsid w:val="00450360"/>
    <w:rsid w:val="0045089A"/>
    <w:rsid w:val="0045134E"/>
    <w:rsid w:val="0045212A"/>
    <w:rsid w:val="004521BE"/>
    <w:rsid w:val="00453683"/>
    <w:rsid w:val="00454116"/>
    <w:rsid w:val="00454B5A"/>
    <w:rsid w:val="004558F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2ADE"/>
    <w:rsid w:val="004B3559"/>
    <w:rsid w:val="004B49DB"/>
    <w:rsid w:val="004B4E6F"/>
    <w:rsid w:val="004C08C4"/>
    <w:rsid w:val="004C21E8"/>
    <w:rsid w:val="004C26AC"/>
    <w:rsid w:val="004C2F47"/>
    <w:rsid w:val="004C33E1"/>
    <w:rsid w:val="004C4E4B"/>
    <w:rsid w:val="004C52F0"/>
    <w:rsid w:val="004C5C67"/>
    <w:rsid w:val="004D0A87"/>
    <w:rsid w:val="004D277B"/>
    <w:rsid w:val="004D3368"/>
    <w:rsid w:val="004D5C07"/>
    <w:rsid w:val="004D716E"/>
    <w:rsid w:val="004D79DD"/>
    <w:rsid w:val="004E108E"/>
    <w:rsid w:val="004E3752"/>
    <w:rsid w:val="004E494E"/>
    <w:rsid w:val="004E5184"/>
    <w:rsid w:val="004E6330"/>
    <w:rsid w:val="004E731C"/>
    <w:rsid w:val="004E77DF"/>
    <w:rsid w:val="004F1E6B"/>
    <w:rsid w:val="004F2022"/>
    <w:rsid w:val="004F22F1"/>
    <w:rsid w:val="004F2A83"/>
    <w:rsid w:val="004F3563"/>
    <w:rsid w:val="004F3A38"/>
    <w:rsid w:val="004F6D4F"/>
    <w:rsid w:val="004F79C1"/>
    <w:rsid w:val="004F7CC0"/>
    <w:rsid w:val="00501DB4"/>
    <w:rsid w:val="005022C1"/>
    <w:rsid w:val="005023CD"/>
    <w:rsid w:val="00503089"/>
    <w:rsid w:val="00503D21"/>
    <w:rsid w:val="00504295"/>
    <w:rsid w:val="0050498D"/>
    <w:rsid w:val="005071B8"/>
    <w:rsid w:val="00507D33"/>
    <w:rsid w:val="00507DC7"/>
    <w:rsid w:val="0051006C"/>
    <w:rsid w:val="005100C5"/>
    <w:rsid w:val="00512403"/>
    <w:rsid w:val="005129A3"/>
    <w:rsid w:val="00513FF1"/>
    <w:rsid w:val="0051496B"/>
    <w:rsid w:val="005150A0"/>
    <w:rsid w:val="00515C67"/>
    <w:rsid w:val="00516929"/>
    <w:rsid w:val="00520CC8"/>
    <w:rsid w:val="00522D2E"/>
    <w:rsid w:val="00523052"/>
    <w:rsid w:val="00523321"/>
    <w:rsid w:val="0052614C"/>
    <w:rsid w:val="00526268"/>
    <w:rsid w:val="00526885"/>
    <w:rsid w:val="005268BA"/>
    <w:rsid w:val="005269BD"/>
    <w:rsid w:val="00526D9A"/>
    <w:rsid w:val="00527576"/>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5157"/>
    <w:rsid w:val="00550B9D"/>
    <w:rsid w:val="0055100A"/>
    <w:rsid w:val="00552638"/>
    <w:rsid w:val="005534E3"/>
    <w:rsid w:val="00554FED"/>
    <w:rsid w:val="0056068E"/>
    <w:rsid w:val="00563442"/>
    <w:rsid w:val="0056348E"/>
    <w:rsid w:val="005635AC"/>
    <w:rsid w:val="0056484C"/>
    <w:rsid w:val="005649F9"/>
    <w:rsid w:val="00564C69"/>
    <w:rsid w:val="00565496"/>
    <w:rsid w:val="00565B42"/>
    <w:rsid w:val="00565BD4"/>
    <w:rsid w:val="00566186"/>
    <w:rsid w:val="00566DF3"/>
    <w:rsid w:val="00567A76"/>
    <w:rsid w:val="00567C20"/>
    <w:rsid w:val="00567DD9"/>
    <w:rsid w:val="005706E0"/>
    <w:rsid w:val="00571A4E"/>
    <w:rsid w:val="00572EC4"/>
    <w:rsid w:val="00573BF8"/>
    <w:rsid w:val="0057622C"/>
    <w:rsid w:val="00576980"/>
    <w:rsid w:val="00576DB3"/>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A55"/>
    <w:rsid w:val="00594ECC"/>
    <w:rsid w:val="00595334"/>
    <w:rsid w:val="0059634E"/>
    <w:rsid w:val="005A0B2B"/>
    <w:rsid w:val="005A35AB"/>
    <w:rsid w:val="005A470E"/>
    <w:rsid w:val="005A4BFA"/>
    <w:rsid w:val="005A4DC7"/>
    <w:rsid w:val="005A4E30"/>
    <w:rsid w:val="005A5890"/>
    <w:rsid w:val="005A67E5"/>
    <w:rsid w:val="005A6BE5"/>
    <w:rsid w:val="005B13DC"/>
    <w:rsid w:val="005B278D"/>
    <w:rsid w:val="005B33EC"/>
    <w:rsid w:val="005B35E2"/>
    <w:rsid w:val="005B3E4B"/>
    <w:rsid w:val="005B414B"/>
    <w:rsid w:val="005C0158"/>
    <w:rsid w:val="005C10F2"/>
    <w:rsid w:val="005C42FE"/>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E1193"/>
    <w:rsid w:val="005E384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31A10"/>
    <w:rsid w:val="00632AC6"/>
    <w:rsid w:val="00634C1D"/>
    <w:rsid w:val="006359B3"/>
    <w:rsid w:val="00636632"/>
    <w:rsid w:val="006378E3"/>
    <w:rsid w:val="00637F98"/>
    <w:rsid w:val="00641683"/>
    <w:rsid w:val="00643111"/>
    <w:rsid w:val="00643987"/>
    <w:rsid w:val="00646CAD"/>
    <w:rsid w:val="00646E6D"/>
    <w:rsid w:val="00647121"/>
    <w:rsid w:val="006478BF"/>
    <w:rsid w:val="00650948"/>
    <w:rsid w:val="00650F34"/>
    <w:rsid w:val="0065193F"/>
    <w:rsid w:val="00653458"/>
    <w:rsid w:val="00655406"/>
    <w:rsid w:val="006554B6"/>
    <w:rsid w:val="006565F3"/>
    <w:rsid w:val="00660B19"/>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FC7"/>
    <w:rsid w:val="006B2290"/>
    <w:rsid w:val="006B2781"/>
    <w:rsid w:val="006B2979"/>
    <w:rsid w:val="006B2FF4"/>
    <w:rsid w:val="006B4026"/>
    <w:rsid w:val="006B7977"/>
    <w:rsid w:val="006C0BD2"/>
    <w:rsid w:val="006C143B"/>
    <w:rsid w:val="006C2289"/>
    <w:rsid w:val="006C531F"/>
    <w:rsid w:val="006C56DC"/>
    <w:rsid w:val="006C6B65"/>
    <w:rsid w:val="006C6FA0"/>
    <w:rsid w:val="006C7472"/>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0DBC"/>
    <w:rsid w:val="006F198F"/>
    <w:rsid w:val="006F1ED3"/>
    <w:rsid w:val="006F233B"/>
    <w:rsid w:val="006F30C1"/>
    <w:rsid w:val="006F317A"/>
    <w:rsid w:val="006F42A1"/>
    <w:rsid w:val="006F5720"/>
    <w:rsid w:val="006F779E"/>
    <w:rsid w:val="006F7DDE"/>
    <w:rsid w:val="00700F41"/>
    <w:rsid w:val="00702940"/>
    <w:rsid w:val="007045C7"/>
    <w:rsid w:val="00704A61"/>
    <w:rsid w:val="00704B53"/>
    <w:rsid w:val="00705C2D"/>
    <w:rsid w:val="00707064"/>
    <w:rsid w:val="00707460"/>
    <w:rsid w:val="00710468"/>
    <w:rsid w:val="007129A9"/>
    <w:rsid w:val="00712D86"/>
    <w:rsid w:val="00713740"/>
    <w:rsid w:val="007145DA"/>
    <w:rsid w:val="00714995"/>
    <w:rsid w:val="00715183"/>
    <w:rsid w:val="00717D88"/>
    <w:rsid w:val="00721B4C"/>
    <w:rsid w:val="007238D3"/>
    <w:rsid w:val="00724595"/>
    <w:rsid w:val="00724CE4"/>
    <w:rsid w:val="007262CF"/>
    <w:rsid w:val="00726A43"/>
    <w:rsid w:val="0073013D"/>
    <w:rsid w:val="00730E9B"/>
    <w:rsid w:val="007311D8"/>
    <w:rsid w:val="00733AC2"/>
    <w:rsid w:val="00735933"/>
    <w:rsid w:val="0073629E"/>
    <w:rsid w:val="007367C3"/>
    <w:rsid w:val="00736C03"/>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68E"/>
    <w:rsid w:val="007767AD"/>
    <w:rsid w:val="007818B9"/>
    <w:rsid w:val="00781FAB"/>
    <w:rsid w:val="007826A0"/>
    <w:rsid w:val="00782A35"/>
    <w:rsid w:val="00782C80"/>
    <w:rsid w:val="0078388F"/>
    <w:rsid w:val="00783D60"/>
    <w:rsid w:val="00783E6C"/>
    <w:rsid w:val="007842BB"/>
    <w:rsid w:val="0078441E"/>
    <w:rsid w:val="00784C39"/>
    <w:rsid w:val="00784CDB"/>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C09"/>
    <w:rsid w:val="007B72AE"/>
    <w:rsid w:val="007B72FB"/>
    <w:rsid w:val="007B7367"/>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FF"/>
    <w:rsid w:val="007D4B9C"/>
    <w:rsid w:val="007D6BA3"/>
    <w:rsid w:val="007D6C80"/>
    <w:rsid w:val="007E09DA"/>
    <w:rsid w:val="007E0F8A"/>
    <w:rsid w:val="007E1AD4"/>
    <w:rsid w:val="007E23BA"/>
    <w:rsid w:val="007E2734"/>
    <w:rsid w:val="007E4705"/>
    <w:rsid w:val="007E5553"/>
    <w:rsid w:val="007E5F23"/>
    <w:rsid w:val="007E7875"/>
    <w:rsid w:val="007E7C4A"/>
    <w:rsid w:val="007F27A0"/>
    <w:rsid w:val="007F4520"/>
    <w:rsid w:val="007F4A82"/>
    <w:rsid w:val="007F50BE"/>
    <w:rsid w:val="007F5BAA"/>
    <w:rsid w:val="007F5F25"/>
    <w:rsid w:val="007F718D"/>
    <w:rsid w:val="00801FAD"/>
    <w:rsid w:val="0080272F"/>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4036E"/>
    <w:rsid w:val="00840DF4"/>
    <w:rsid w:val="0084108D"/>
    <w:rsid w:val="008418EE"/>
    <w:rsid w:val="008423AF"/>
    <w:rsid w:val="008465DD"/>
    <w:rsid w:val="008469FF"/>
    <w:rsid w:val="00852075"/>
    <w:rsid w:val="008520D1"/>
    <w:rsid w:val="008533C2"/>
    <w:rsid w:val="0085798D"/>
    <w:rsid w:val="00860340"/>
    <w:rsid w:val="00860C4E"/>
    <w:rsid w:val="008619CF"/>
    <w:rsid w:val="0086395B"/>
    <w:rsid w:val="00863DEF"/>
    <w:rsid w:val="00864CC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5B13"/>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395"/>
    <w:rsid w:val="00895404"/>
    <w:rsid w:val="00895653"/>
    <w:rsid w:val="008974F0"/>
    <w:rsid w:val="008978C5"/>
    <w:rsid w:val="008A1499"/>
    <w:rsid w:val="008A14E4"/>
    <w:rsid w:val="008A1EB3"/>
    <w:rsid w:val="008A324F"/>
    <w:rsid w:val="008A3F47"/>
    <w:rsid w:val="008A4875"/>
    <w:rsid w:val="008A4F7A"/>
    <w:rsid w:val="008B009D"/>
    <w:rsid w:val="008B012A"/>
    <w:rsid w:val="008B0743"/>
    <w:rsid w:val="008B1280"/>
    <w:rsid w:val="008B1D5D"/>
    <w:rsid w:val="008B2055"/>
    <w:rsid w:val="008B2B24"/>
    <w:rsid w:val="008B2B8A"/>
    <w:rsid w:val="008B3605"/>
    <w:rsid w:val="008B3B75"/>
    <w:rsid w:val="008B51AC"/>
    <w:rsid w:val="008B6057"/>
    <w:rsid w:val="008B69C1"/>
    <w:rsid w:val="008B7B44"/>
    <w:rsid w:val="008B7E4C"/>
    <w:rsid w:val="008C252B"/>
    <w:rsid w:val="008C2973"/>
    <w:rsid w:val="008C3CA8"/>
    <w:rsid w:val="008C439C"/>
    <w:rsid w:val="008C7381"/>
    <w:rsid w:val="008C74D4"/>
    <w:rsid w:val="008C7692"/>
    <w:rsid w:val="008D08B2"/>
    <w:rsid w:val="008D0BA9"/>
    <w:rsid w:val="008D27EB"/>
    <w:rsid w:val="008D2D4C"/>
    <w:rsid w:val="008D46BF"/>
    <w:rsid w:val="008D5402"/>
    <w:rsid w:val="008D5641"/>
    <w:rsid w:val="008D5B01"/>
    <w:rsid w:val="008D625C"/>
    <w:rsid w:val="008D7517"/>
    <w:rsid w:val="008E16B4"/>
    <w:rsid w:val="008E32EA"/>
    <w:rsid w:val="008E3612"/>
    <w:rsid w:val="008E38F9"/>
    <w:rsid w:val="008E5933"/>
    <w:rsid w:val="008E5CF7"/>
    <w:rsid w:val="008E7F31"/>
    <w:rsid w:val="008F0E8A"/>
    <w:rsid w:val="008F1B83"/>
    <w:rsid w:val="008F2383"/>
    <w:rsid w:val="008F60D2"/>
    <w:rsid w:val="008F6CB9"/>
    <w:rsid w:val="008F7271"/>
    <w:rsid w:val="008F7D70"/>
    <w:rsid w:val="00901079"/>
    <w:rsid w:val="00901639"/>
    <w:rsid w:val="009019AE"/>
    <w:rsid w:val="00901C24"/>
    <w:rsid w:val="00901FE2"/>
    <w:rsid w:val="009024BF"/>
    <w:rsid w:val="00902B16"/>
    <w:rsid w:val="00904BBB"/>
    <w:rsid w:val="00904EEE"/>
    <w:rsid w:val="009051C4"/>
    <w:rsid w:val="009052DD"/>
    <w:rsid w:val="0090609B"/>
    <w:rsid w:val="00906E17"/>
    <w:rsid w:val="00907D74"/>
    <w:rsid w:val="00907F8D"/>
    <w:rsid w:val="00911AA6"/>
    <w:rsid w:val="00911CA3"/>
    <w:rsid w:val="00912DF4"/>
    <w:rsid w:val="0091475D"/>
    <w:rsid w:val="00914A92"/>
    <w:rsid w:val="00915921"/>
    <w:rsid w:val="0091733C"/>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551E"/>
    <w:rsid w:val="009663F9"/>
    <w:rsid w:val="00966424"/>
    <w:rsid w:val="009664CE"/>
    <w:rsid w:val="00966A89"/>
    <w:rsid w:val="009720C7"/>
    <w:rsid w:val="00973E63"/>
    <w:rsid w:val="009753A8"/>
    <w:rsid w:val="009768A0"/>
    <w:rsid w:val="009768B0"/>
    <w:rsid w:val="00977E3D"/>
    <w:rsid w:val="00980101"/>
    <w:rsid w:val="00983A70"/>
    <w:rsid w:val="009846DC"/>
    <w:rsid w:val="0098558E"/>
    <w:rsid w:val="00985F57"/>
    <w:rsid w:val="009872AA"/>
    <w:rsid w:val="00990380"/>
    <w:rsid w:val="0099138C"/>
    <w:rsid w:val="00992723"/>
    <w:rsid w:val="00992F5B"/>
    <w:rsid w:val="009930AC"/>
    <w:rsid w:val="00993861"/>
    <w:rsid w:val="009938B3"/>
    <w:rsid w:val="009939A4"/>
    <w:rsid w:val="00994ABD"/>
    <w:rsid w:val="0099554A"/>
    <w:rsid w:val="00995638"/>
    <w:rsid w:val="009965D4"/>
    <w:rsid w:val="00996AD8"/>
    <w:rsid w:val="00996C8B"/>
    <w:rsid w:val="00996F4F"/>
    <w:rsid w:val="009A117E"/>
    <w:rsid w:val="009A230F"/>
    <w:rsid w:val="009A377C"/>
    <w:rsid w:val="009A390F"/>
    <w:rsid w:val="009A483A"/>
    <w:rsid w:val="009A4E6C"/>
    <w:rsid w:val="009A576A"/>
    <w:rsid w:val="009B0274"/>
    <w:rsid w:val="009B0F06"/>
    <w:rsid w:val="009B14D5"/>
    <w:rsid w:val="009B2527"/>
    <w:rsid w:val="009B5FE4"/>
    <w:rsid w:val="009B60F7"/>
    <w:rsid w:val="009B67DC"/>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3818"/>
    <w:rsid w:val="00A04963"/>
    <w:rsid w:val="00A06560"/>
    <w:rsid w:val="00A06583"/>
    <w:rsid w:val="00A06BD6"/>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697B"/>
    <w:rsid w:val="00A97CAA"/>
    <w:rsid w:val="00AA01B1"/>
    <w:rsid w:val="00AA1546"/>
    <w:rsid w:val="00AA25E1"/>
    <w:rsid w:val="00AA5A0A"/>
    <w:rsid w:val="00AA5DCE"/>
    <w:rsid w:val="00AA6F92"/>
    <w:rsid w:val="00AA71F6"/>
    <w:rsid w:val="00AB034E"/>
    <w:rsid w:val="00AB18C8"/>
    <w:rsid w:val="00AB2F50"/>
    <w:rsid w:val="00AB3777"/>
    <w:rsid w:val="00AB3DCD"/>
    <w:rsid w:val="00AB5412"/>
    <w:rsid w:val="00AB5FB3"/>
    <w:rsid w:val="00AB6934"/>
    <w:rsid w:val="00AB6A26"/>
    <w:rsid w:val="00AB6AA2"/>
    <w:rsid w:val="00AB6C48"/>
    <w:rsid w:val="00AC39DD"/>
    <w:rsid w:val="00AC3E67"/>
    <w:rsid w:val="00AC6E5E"/>
    <w:rsid w:val="00AC7173"/>
    <w:rsid w:val="00AC77F4"/>
    <w:rsid w:val="00AD10AB"/>
    <w:rsid w:val="00AD248C"/>
    <w:rsid w:val="00AD271A"/>
    <w:rsid w:val="00AD2A95"/>
    <w:rsid w:val="00AD39B8"/>
    <w:rsid w:val="00AD4041"/>
    <w:rsid w:val="00AD4E3B"/>
    <w:rsid w:val="00AD4F07"/>
    <w:rsid w:val="00AD59CE"/>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C4A"/>
    <w:rsid w:val="00B038BD"/>
    <w:rsid w:val="00B047B9"/>
    <w:rsid w:val="00B05B42"/>
    <w:rsid w:val="00B05DFF"/>
    <w:rsid w:val="00B05F71"/>
    <w:rsid w:val="00B06809"/>
    <w:rsid w:val="00B1543C"/>
    <w:rsid w:val="00B160D5"/>
    <w:rsid w:val="00B16608"/>
    <w:rsid w:val="00B17435"/>
    <w:rsid w:val="00B179CD"/>
    <w:rsid w:val="00B20ED4"/>
    <w:rsid w:val="00B259A8"/>
    <w:rsid w:val="00B2694F"/>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64B8"/>
    <w:rsid w:val="00B76DBD"/>
    <w:rsid w:val="00B76EDC"/>
    <w:rsid w:val="00B77FA9"/>
    <w:rsid w:val="00B81BB0"/>
    <w:rsid w:val="00B84880"/>
    <w:rsid w:val="00B84B98"/>
    <w:rsid w:val="00B85467"/>
    <w:rsid w:val="00B868B0"/>
    <w:rsid w:val="00B86A27"/>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B0104"/>
    <w:rsid w:val="00BB0165"/>
    <w:rsid w:val="00BB1FFE"/>
    <w:rsid w:val="00BB2D7E"/>
    <w:rsid w:val="00BB2EED"/>
    <w:rsid w:val="00BB35B9"/>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26E0"/>
    <w:rsid w:val="00BE2C54"/>
    <w:rsid w:val="00BE3F67"/>
    <w:rsid w:val="00BE4016"/>
    <w:rsid w:val="00BE6B67"/>
    <w:rsid w:val="00BF0664"/>
    <w:rsid w:val="00BF1B10"/>
    <w:rsid w:val="00BF1F75"/>
    <w:rsid w:val="00BF2123"/>
    <w:rsid w:val="00BF3A9B"/>
    <w:rsid w:val="00BF5787"/>
    <w:rsid w:val="00BF6778"/>
    <w:rsid w:val="00BF70D8"/>
    <w:rsid w:val="00C014E2"/>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C72"/>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6157"/>
    <w:rsid w:val="00C9742A"/>
    <w:rsid w:val="00C97656"/>
    <w:rsid w:val="00C9766E"/>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BC3"/>
    <w:rsid w:val="00CD641E"/>
    <w:rsid w:val="00CD6747"/>
    <w:rsid w:val="00CD6E49"/>
    <w:rsid w:val="00CE2545"/>
    <w:rsid w:val="00CE2DD3"/>
    <w:rsid w:val="00CE2E94"/>
    <w:rsid w:val="00CE355D"/>
    <w:rsid w:val="00CE3C83"/>
    <w:rsid w:val="00CE5631"/>
    <w:rsid w:val="00CE58A5"/>
    <w:rsid w:val="00CF06C5"/>
    <w:rsid w:val="00CF1848"/>
    <w:rsid w:val="00CF1C94"/>
    <w:rsid w:val="00CF2E2E"/>
    <w:rsid w:val="00CF3502"/>
    <w:rsid w:val="00CF3D42"/>
    <w:rsid w:val="00CF41F0"/>
    <w:rsid w:val="00CF516F"/>
    <w:rsid w:val="00CF65B6"/>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70D9"/>
    <w:rsid w:val="00D1744C"/>
    <w:rsid w:val="00D17CDE"/>
    <w:rsid w:val="00D17FFA"/>
    <w:rsid w:val="00D204A1"/>
    <w:rsid w:val="00D212A7"/>
    <w:rsid w:val="00D21474"/>
    <w:rsid w:val="00D22B0D"/>
    <w:rsid w:val="00D23188"/>
    <w:rsid w:val="00D242B2"/>
    <w:rsid w:val="00D263EE"/>
    <w:rsid w:val="00D30761"/>
    <w:rsid w:val="00D30A58"/>
    <w:rsid w:val="00D31B99"/>
    <w:rsid w:val="00D33EFC"/>
    <w:rsid w:val="00D375C0"/>
    <w:rsid w:val="00D40DBC"/>
    <w:rsid w:val="00D433D9"/>
    <w:rsid w:val="00D44587"/>
    <w:rsid w:val="00D46BDB"/>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4EEB"/>
    <w:rsid w:val="00DD756D"/>
    <w:rsid w:val="00DD7E56"/>
    <w:rsid w:val="00DE1BC0"/>
    <w:rsid w:val="00DE2167"/>
    <w:rsid w:val="00DE2CA0"/>
    <w:rsid w:val="00DE4F46"/>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6AA2"/>
    <w:rsid w:val="00E175EE"/>
    <w:rsid w:val="00E200B2"/>
    <w:rsid w:val="00E21C27"/>
    <w:rsid w:val="00E21DB1"/>
    <w:rsid w:val="00E22BD0"/>
    <w:rsid w:val="00E2572F"/>
    <w:rsid w:val="00E25C36"/>
    <w:rsid w:val="00E3020B"/>
    <w:rsid w:val="00E31597"/>
    <w:rsid w:val="00E31713"/>
    <w:rsid w:val="00E31755"/>
    <w:rsid w:val="00E318C1"/>
    <w:rsid w:val="00E3297F"/>
    <w:rsid w:val="00E32F24"/>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4FE"/>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0D69"/>
    <w:rsid w:val="00EB22CF"/>
    <w:rsid w:val="00EB2AD8"/>
    <w:rsid w:val="00EB3D34"/>
    <w:rsid w:val="00EB3FA4"/>
    <w:rsid w:val="00EB4482"/>
    <w:rsid w:val="00EB6A0B"/>
    <w:rsid w:val="00EB6AC6"/>
    <w:rsid w:val="00EB6B55"/>
    <w:rsid w:val="00EB755D"/>
    <w:rsid w:val="00EC1233"/>
    <w:rsid w:val="00EC12D1"/>
    <w:rsid w:val="00EC21E0"/>
    <w:rsid w:val="00EC3309"/>
    <w:rsid w:val="00EC43E4"/>
    <w:rsid w:val="00EC499D"/>
    <w:rsid w:val="00EC5DB7"/>
    <w:rsid w:val="00EC603C"/>
    <w:rsid w:val="00EC6986"/>
    <w:rsid w:val="00EC6D7A"/>
    <w:rsid w:val="00EC7004"/>
    <w:rsid w:val="00EC75F7"/>
    <w:rsid w:val="00EC76A8"/>
    <w:rsid w:val="00EC7DDA"/>
    <w:rsid w:val="00ED0AAA"/>
    <w:rsid w:val="00ED185F"/>
    <w:rsid w:val="00ED2830"/>
    <w:rsid w:val="00ED2A02"/>
    <w:rsid w:val="00ED4A94"/>
    <w:rsid w:val="00ED6D94"/>
    <w:rsid w:val="00ED71AF"/>
    <w:rsid w:val="00ED7479"/>
    <w:rsid w:val="00ED75EC"/>
    <w:rsid w:val="00EE1358"/>
    <w:rsid w:val="00EE18E9"/>
    <w:rsid w:val="00EE1BB5"/>
    <w:rsid w:val="00EE1C53"/>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8A1"/>
    <w:rsid w:val="00F009F2"/>
    <w:rsid w:val="00F00A41"/>
    <w:rsid w:val="00F052DF"/>
    <w:rsid w:val="00F05BCF"/>
    <w:rsid w:val="00F063C2"/>
    <w:rsid w:val="00F0644B"/>
    <w:rsid w:val="00F104FE"/>
    <w:rsid w:val="00F13F6B"/>
    <w:rsid w:val="00F15826"/>
    <w:rsid w:val="00F15F20"/>
    <w:rsid w:val="00F16B29"/>
    <w:rsid w:val="00F16DE3"/>
    <w:rsid w:val="00F237AB"/>
    <w:rsid w:val="00F24D62"/>
    <w:rsid w:val="00F24EBD"/>
    <w:rsid w:val="00F2563C"/>
    <w:rsid w:val="00F25B16"/>
    <w:rsid w:val="00F26048"/>
    <w:rsid w:val="00F26311"/>
    <w:rsid w:val="00F2674E"/>
    <w:rsid w:val="00F26A9B"/>
    <w:rsid w:val="00F270AC"/>
    <w:rsid w:val="00F3041E"/>
    <w:rsid w:val="00F307DC"/>
    <w:rsid w:val="00F316AA"/>
    <w:rsid w:val="00F33EFD"/>
    <w:rsid w:val="00F350A2"/>
    <w:rsid w:val="00F35E6E"/>
    <w:rsid w:val="00F363CE"/>
    <w:rsid w:val="00F36FE1"/>
    <w:rsid w:val="00F37088"/>
    <w:rsid w:val="00F407AE"/>
    <w:rsid w:val="00F4248E"/>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ABD"/>
    <w:rsid w:val="00F94022"/>
    <w:rsid w:val="00F942A6"/>
    <w:rsid w:val="00F94774"/>
    <w:rsid w:val="00F9720D"/>
    <w:rsid w:val="00FA0994"/>
    <w:rsid w:val="00FA0A5F"/>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B2C35"/>
    <w:rsid w:val="00FB383C"/>
    <w:rsid w:val="00FB5B12"/>
    <w:rsid w:val="00FB6093"/>
    <w:rsid w:val="00FC01E8"/>
    <w:rsid w:val="00FC0C35"/>
    <w:rsid w:val="00FC0D72"/>
    <w:rsid w:val="00FC12E7"/>
    <w:rsid w:val="00FC19CA"/>
    <w:rsid w:val="00FC1A6D"/>
    <w:rsid w:val="00FC21AF"/>
    <w:rsid w:val="00FC2A5F"/>
    <w:rsid w:val="00FC319A"/>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DD0CE4"/>
    <w:pPr>
      <w:keepNext/>
      <w:keepLines/>
      <w:numPr>
        <w:numId w:val="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D0CE4"/>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D0CE4"/>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DD0CE4"/>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DD0CE4"/>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DD0CE4"/>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DD0CE4"/>
    <w:rPr>
      <w:rFonts w:ascii="Times New Roman" w:eastAsia="SimSun" w:hAnsi="Times New Roman" w:cs="Times New Roman"/>
      <w:sz w:val="20"/>
      <w:szCs w:val="22"/>
      <w:lang w:val="en-GB"/>
    </w:rPr>
  </w:style>
  <w:style w:type="paragraph" w:styleId="Piedepgina">
    <w:name w:val="footer"/>
    <w:basedOn w:val="Normal"/>
    <w:link w:val="PiedepginaCar"/>
    <w:uiPriority w:val="99"/>
    <w:rsid w:val="00DD0CE4"/>
    <w:pPr>
      <w:tabs>
        <w:tab w:val="center" w:pos="4680"/>
        <w:tab w:val="right" w:pos="9360"/>
      </w:tabs>
    </w:pPr>
    <w:rPr>
      <w:sz w:val="20"/>
    </w:rPr>
  </w:style>
  <w:style w:type="character" w:customStyle="1" w:styleId="PiedepginaCar">
    <w:name w:val="Pie de página Car"/>
    <w:basedOn w:val="Fuentedeprrafopredeter"/>
    <w:link w:val="Piedepgina"/>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DD0CE4"/>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DD0CE4"/>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DD0CE4"/>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DD0CE4"/>
    <w:rPr>
      <w:sz w:val="16"/>
      <w:szCs w:val="16"/>
      <w:lang w:val="en-GB"/>
    </w:rPr>
  </w:style>
  <w:style w:type="paragraph" w:styleId="Textocomentario">
    <w:name w:val="annotation text"/>
    <w:basedOn w:val="Normal"/>
    <w:link w:val="TextocomentarioCar"/>
    <w:uiPriority w:val="99"/>
    <w:semiHidden/>
    <w:rsid w:val="00DD0CE4"/>
    <w:rPr>
      <w:sz w:val="20"/>
      <w:szCs w:val="20"/>
    </w:rPr>
  </w:style>
  <w:style w:type="character" w:customStyle="1" w:styleId="TextocomentarioCar">
    <w:name w:val="Texto comentario Car"/>
    <w:basedOn w:val="Fuentedeprrafopredeter"/>
    <w:link w:val="Textocomentario"/>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DD0CE4"/>
    <w:rPr>
      <w:vertAlign w:val="superscript"/>
      <w:lang w:val="en-GB"/>
    </w:rPr>
  </w:style>
  <w:style w:type="paragraph" w:styleId="Textonotapie">
    <w:name w:val="footnote text"/>
    <w:basedOn w:val="Normal"/>
    <w:link w:val="TextonotapieCar"/>
    <w:uiPriority w:val="99"/>
    <w:unhideWhenUsed/>
    <w:rsid w:val="00DD0CE4"/>
    <w:pPr>
      <w:jc w:val="left"/>
    </w:pPr>
    <w:rPr>
      <w:sz w:val="18"/>
      <w:szCs w:val="20"/>
    </w:rPr>
  </w:style>
  <w:style w:type="character" w:customStyle="1" w:styleId="TextonotapieCar">
    <w:name w:val="Texto nota pie Car"/>
    <w:basedOn w:val="Fuentedeprrafopredeter"/>
    <w:link w:val="Textonotapie"/>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DD0CE4"/>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DD0CE4"/>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DD0CE4"/>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DD0CE4"/>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DD0CE4"/>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1"/>
    <w:qFormat/>
    <w:rsid w:val="00DD0CE4"/>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Textonotapie"/>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DD0CE4"/>
    <w:rPr>
      <w:b/>
      <w:bCs/>
    </w:rPr>
  </w:style>
  <w:style w:type="character" w:customStyle="1" w:styleId="AsuntodelcomentarioCar">
    <w:name w:val="Asunto del comentario Car"/>
    <w:basedOn w:val="TextocomentarioCar"/>
    <w:link w:val="Asuntodelcomentario"/>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DD0CE4"/>
    <w:pPr>
      <w:contextualSpacing/>
    </w:pPr>
  </w:style>
  <w:style w:type="numbering" w:customStyle="1" w:styleId="ListCBD">
    <w:name w:val="ListCBD"/>
    <w:basedOn w:val="Sinlista"/>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P/MOP/11/5/ADD2"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28-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NP/MOP/5/5/ADD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1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FA22FF"/>
    <w:rsid w:val="00065041"/>
    <w:rsid w:val="000B670B"/>
    <w:rsid w:val="00193FAF"/>
    <w:rsid w:val="001B0DAB"/>
    <w:rsid w:val="001D0174"/>
    <w:rsid w:val="0025263C"/>
    <w:rsid w:val="00297181"/>
    <w:rsid w:val="002D2960"/>
    <w:rsid w:val="002D7CBC"/>
    <w:rsid w:val="002E0BF2"/>
    <w:rsid w:val="002F39D6"/>
    <w:rsid w:val="00347C7D"/>
    <w:rsid w:val="003C6FCC"/>
    <w:rsid w:val="003E0393"/>
    <w:rsid w:val="003E09AD"/>
    <w:rsid w:val="00413DB9"/>
    <w:rsid w:val="00444722"/>
    <w:rsid w:val="005635AC"/>
    <w:rsid w:val="005A1D20"/>
    <w:rsid w:val="00690533"/>
    <w:rsid w:val="00761595"/>
    <w:rsid w:val="007749D8"/>
    <w:rsid w:val="007C3767"/>
    <w:rsid w:val="007F7122"/>
    <w:rsid w:val="008E16B4"/>
    <w:rsid w:val="009455ED"/>
    <w:rsid w:val="0096274A"/>
    <w:rsid w:val="00992F5B"/>
    <w:rsid w:val="009A467B"/>
    <w:rsid w:val="00A574CF"/>
    <w:rsid w:val="00A60445"/>
    <w:rsid w:val="00AB02F1"/>
    <w:rsid w:val="00B06809"/>
    <w:rsid w:val="00B17435"/>
    <w:rsid w:val="00C53F5A"/>
    <w:rsid w:val="00C63AE5"/>
    <w:rsid w:val="00C97656"/>
    <w:rsid w:val="00CB54B6"/>
    <w:rsid w:val="00D375C0"/>
    <w:rsid w:val="00D46C22"/>
    <w:rsid w:val="00E02E7A"/>
    <w:rsid w:val="00E65A49"/>
    <w:rsid w:val="00F55CA0"/>
    <w:rsid w:val="00F71C72"/>
    <w:rsid w:val="00F8702B"/>
    <w:rsid w:val="00FA22FF"/>
    <w:rsid w:val="00FE123C"/>
    <w:rsid w:val="00FE57B3"/>
    <w:rsid w:val="00FF500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9D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F39D6"/>
    <w:rPr>
      <w:color w:val="808080"/>
    </w:rPr>
  </w:style>
  <w:style w:type="paragraph" w:customStyle="1" w:styleId="5FC37A50F15045748448187A6124A286">
    <w:name w:val="5FC37A50F15045748448187A6124A286"/>
    <w:rsid w:val="002F39D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50DC22-12B0-4EA6-B83D-E94A22515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0</TotalTime>
  <Pages>16</Pages>
  <Words>8298</Words>
  <Characters>45643</Characters>
  <Application>Microsoft Office Word</Application>
  <DocSecurity>0</DocSecurity>
  <Lines>380</Lines>
  <Paragraphs>107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Revisión funcional de la Secretaría</vt:lpstr>
      <vt:lpstr>Functional review of the Secretariat</vt:lpstr>
    </vt:vector>
  </TitlesOfParts>
  <Company>SCBD</Company>
  <LinksUpToDate>false</LinksUpToDate>
  <CharactersWithSpaces>53834</CharactersWithSpaces>
  <SharedDoc>false</SharedDoc>
  <HLinks>
    <vt:vector size="108" baseType="variant">
      <vt:variant>
        <vt:i4>6619185</vt:i4>
      </vt:variant>
      <vt:variant>
        <vt:i4>0</vt:i4>
      </vt:variant>
      <vt:variant>
        <vt:i4>0</vt:i4>
      </vt:variant>
      <vt:variant>
        <vt:i4>5</vt:i4>
      </vt:variant>
      <vt:variant>
        <vt:lpwstr>https://www.cbd.int/notifications/2025-112</vt:lpwstr>
      </vt:variant>
      <vt:variant>
        <vt:lpwstr/>
      </vt:variant>
      <vt:variant>
        <vt:i4>5374067</vt:i4>
      </vt:variant>
      <vt:variant>
        <vt:i4>33</vt:i4>
      </vt:variant>
      <vt:variant>
        <vt:i4>0</vt:i4>
      </vt:variant>
      <vt:variant>
        <vt:i4>5</vt:i4>
      </vt:variant>
      <vt:variant>
        <vt:lpwstr>https://www.ramsar.org/sites/default/files/documents/library/sc59_13.1_previous_resolutions_process_e.pdf</vt:lpwstr>
      </vt:variant>
      <vt:variant>
        <vt:lpwstr/>
      </vt:variant>
      <vt:variant>
        <vt:i4>1114158</vt:i4>
      </vt:variant>
      <vt:variant>
        <vt:i4>30</vt:i4>
      </vt:variant>
      <vt:variant>
        <vt:i4>0</vt:i4>
      </vt:variant>
      <vt:variant>
        <vt:i4>5</vt:i4>
      </vt:variant>
      <vt:variant>
        <vt:lpwstr>https://atlantic-turtles.cms.int/sites/default/files/document/cms_cop12_doc.21.2.6_scientific-council_consolidation_e.pdf</vt:lpwstr>
      </vt:variant>
      <vt:variant>
        <vt:lpwstr/>
      </vt:variant>
      <vt:variant>
        <vt:i4>720984</vt:i4>
      </vt:variant>
      <vt:variant>
        <vt:i4>27</vt:i4>
      </vt:variant>
      <vt:variant>
        <vt:i4>0</vt:i4>
      </vt:variant>
      <vt:variant>
        <vt:i4>5</vt:i4>
      </vt:variant>
      <vt:variant>
        <vt:lpwstr>https://ozone.unep.org/treaties/montreal-protocol/meetings/first-meeting-parties/decisions/decision-i5-establishment-open-ended-working-group</vt:lpwstr>
      </vt:variant>
      <vt:variant>
        <vt:lpwstr/>
      </vt:variant>
      <vt:variant>
        <vt:i4>30</vt:i4>
      </vt:variant>
      <vt:variant>
        <vt:i4>24</vt:i4>
      </vt:variant>
      <vt:variant>
        <vt:i4>0</vt:i4>
      </vt:variant>
      <vt:variant>
        <vt:i4>5</vt:i4>
      </vt:variant>
      <vt:variant>
        <vt:lpwstr>https://www.brsmeas.org/Decisionmaking/Overview/SynergiesProcess</vt:lpwstr>
      </vt:variant>
      <vt:variant>
        <vt:lpwstr/>
      </vt:variant>
      <vt:variant>
        <vt:i4>5111903</vt:i4>
      </vt:variant>
      <vt:variant>
        <vt:i4>21</vt:i4>
      </vt:variant>
      <vt:variant>
        <vt:i4>0</vt:i4>
      </vt:variant>
      <vt:variant>
        <vt:i4>5</vt:i4>
      </vt:variant>
      <vt:variant>
        <vt:lpwstr>https://www.unccd.int/sites/default/files/2025-03/5-cop16.pdf</vt:lpwstr>
      </vt:variant>
      <vt:variant>
        <vt:lpwstr/>
      </vt:variant>
      <vt:variant>
        <vt:i4>3407985</vt:i4>
      </vt:variant>
      <vt:variant>
        <vt:i4>18</vt:i4>
      </vt:variant>
      <vt:variant>
        <vt:i4>0</vt:i4>
      </vt:variant>
      <vt:variant>
        <vt:i4>5</vt:i4>
      </vt:variant>
      <vt:variant>
        <vt:lpwstr>https://cites.org/sites/default/files/documents/SC/78/agenda/E-SC78-30.pdf</vt:lpwstr>
      </vt:variant>
      <vt:variant>
        <vt:lpwstr/>
      </vt:variant>
      <vt:variant>
        <vt:i4>7471202</vt:i4>
      </vt:variant>
      <vt:variant>
        <vt:i4>15</vt:i4>
      </vt:variant>
      <vt:variant>
        <vt:i4>0</vt:i4>
      </vt:variant>
      <vt:variant>
        <vt:i4>5</vt:i4>
      </vt:variant>
      <vt:variant>
        <vt:lpwstr>https://cites.org/sites/default/files/documents/E-CoP19-27.pdf</vt:lpwstr>
      </vt:variant>
      <vt:variant>
        <vt:lpwstr/>
      </vt:variant>
      <vt:variant>
        <vt:i4>1310721</vt:i4>
      </vt:variant>
      <vt:variant>
        <vt:i4>12</vt:i4>
      </vt:variant>
      <vt:variant>
        <vt:i4>0</vt:i4>
      </vt:variant>
      <vt:variant>
        <vt:i4>5</vt:i4>
      </vt:variant>
      <vt:variant>
        <vt:lpwstr>https://cites.org/sites/default/files/documents/COP/20/agenda/E-CoP20-014.pdf</vt:lpwstr>
      </vt:variant>
      <vt:variant>
        <vt:lpwstr/>
      </vt:variant>
      <vt:variant>
        <vt:i4>2424873</vt:i4>
      </vt:variant>
      <vt:variant>
        <vt:i4>9</vt:i4>
      </vt:variant>
      <vt:variant>
        <vt:i4>0</vt:i4>
      </vt:variant>
      <vt:variant>
        <vt:i4>5</vt:i4>
      </vt:variant>
      <vt:variant>
        <vt:lpwstr>https://cites.org/sites/default/files/eng/cop/19/E19-CoP-Rules.pdf</vt:lpwstr>
      </vt:variant>
      <vt:variant>
        <vt:lpwstr/>
      </vt:variant>
      <vt:variant>
        <vt:i4>2556022</vt:i4>
      </vt:variant>
      <vt:variant>
        <vt:i4>6</vt:i4>
      </vt:variant>
      <vt:variant>
        <vt:i4>0</vt:i4>
      </vt:variant>
      <vt:variant>
        <vt:i4>5</vt:i4>
      </vt:variant>
      <vt:variant>
        <vt:lpwstr>https://unfccc.int/documents/193408</vt:lpwstr>
      </vt:variant>
      <vt:variant>
        <vt:lpwstr/>
      </vt:variant>
      <vt:variant>
        <vt:i4>7274538</vt:i4>
      </vt:variant>
      <vt:variant>
        <vt:i4>3</vt:i4>
      </vt:variant>
      <vt:variant>
        <vt:i4>0</vt:i4>
      </vt:variant>
      <vt:variant>
        <vt:i4>5</vt:i4>
      </vt:variant>
      <vt:variant>
        <vt:lpwstr>https://unfccc.int/sites/default/files/english_paris_agreement.pdf</vt:lpwstr>
      </vt:variant>
      <vt:variant>
        <vt:lpwstr/>
      </vt:variant>
      <vt:variant>
        <vt:i4>8192083</vt:i4>
      </vt:variant>
      <vt:variant>
        <vt:i4>0</vt:i4>
      </vt:variant>
      <vt:variant>
        <vt:i4>0</vt:i4>
      </vt:variant>
      <vt:variant>
        <vt:i4>5</vt:i4>
      </vt:variant>
      <vt:variant>
        <vt:lpwstr>https://unfccc.int/sites/default/files/resource/sbi2025_inf06.pdf</vt:lpwstr>
      </vt:variant>
      <vt:variant>
        <vt:lpwstr/>
      </vt:variant>
      <vt:variant>
        <vt:i4>5242916</vt:i4>
      </vt:variant>
      <vt:variant>
        <vt:i4>12</vt:i4>
      </vt:variant>
      <vt:variant>
        <vt:i4>0</vt:i4>
      </vt:variant>
      <vt:variant>
        <vt:i4>5</vt:i4>
      </vt:variant>
      <vt:variant>
        <vt:lpwstr>mailto:marianela.araya@un.org</vt:lpwstr>
      </vt:variant>
      <vt:variant>
        <vt:lpwstr/>
      </vt:variant>
      <vt:variant>
        <vt:i4>852078</vt:i4>
      </vt:variant>
      <vt:variant>
        <vt:i4>9</vt:i4>
      </vt:variant>
      <vt:variant>
        <vt:i4>0</vt:i4>
      </vt:variant>
      <vt:variant>
        <vt:i4>5</vt:i4>
      </vt:variant>
      <vt:variant>
        <vt:lpwstr>mailto:monica.kobayashi@un.org</vt:lpwstr>
      </vt:variant>
      <vt:variant>
        <vt:lpwstr/>
      </vt:variant>
      <vt:variant>
        <vt:i4>5242916</vt:i4>
      </vt:variant>
      <vt:variant>
        <vt:i4>6</vt:i4>
      </vt:variant>
      <vt:variant>
        <vt:i4>0</vt:i4>
      </vt:variant>
      <vt:variant>
        <vt:i4>5</vt:i4>
      </vt:variant>
      <vt:variant>
        <vt:lpwstr>mailto:marianela.araya@un.org</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655482</vt:i4>
      </vt:variant>
      <vt:variant>
        <vt:i4>0</vt:i4>
      </vt:variant>
      <vt:variant>
        <vt:i4>0</vt:i4>
      </vt:variant>
      <vt:variant>
        <vt:i4>5</vt:i4>
      </vt:variant>
      <vt:variant>
        <vt:lpwstr>mailto:fumiko.nakao@un.org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funcional de la Secretaría</dc:title>
  <dc:subject>CBD/SBI/6/10</dc:subject>
  <dc:creator>scbd</dc:creator>
  <cp:keywords>Convention on Biological Diversity</cp:keywords>
  <cp:lastModifiedBy>Carmen Vazquez</cp:lastModifiedBy>
  <cp:revision>2</cp:revision>
  <cp:lastPrinted>2025-12-15T19:17:00Z</cp:lastPrinted>
  <dcterms:created xsi:type="dcterms:W3CDTF">2025-12-31T08:06:00Z</dcterms:created>
  <dcterms:modified xsi:type="dcterms:W3CDTF">2025-12-31T08:06:00Z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