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60BC9016"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881671">
              <w:t>INF/</w:t>
            </w:r>
            <w:r w:rsidR="00EB6662">
              <w:t>6</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D4247" w:rsidRDefault="00A77136" w:rsidP="00A77136">
            <w:pPr>
              <w:pStyle w:val="AEDistrNormal"/>
              <w:rPr>
                <w:sz w:val="20"/>
                <w:szCs w:val="20"/>
              </w:rPr>
            </w:pPr>
            <w:r w:rsidRPr="004D4247">
              <w:rPr>
                <w:sz w:val="20"/>
                <w:szCs w:val="20"/>
              </w:rPr>
              <w:t xml:space="preserve">Distr.: </w:t>
            </w:r>
            <w:r w:rsidR="00EB4033" w:rsidRPr="004D4247">
              <w:rPr>
                <w:sz w:val="20"/>
                <w:szCs w:val="20"/>
              </w:rPr>
              <w:t>General</w:t>
            </w:r>
            <w:r w:rsidRPr="004D4247">
              <w:rPr>
                <w:sz w:val="20"/>
                <w:szCs w:val="20"/>
              </w:rPr>
              <w:t xml:space="preserve"> </w:t>
            </w:r>
          </w:p>
          <w:p w14:paraId="5DEA28C7" w14:textId="3756F5C9" w:rsidR="006955B9" w:rsidRPr="004D4247" w:rsidRDefault="00761006" w:rsidP="00A77136">
            <w:pPr>
              <w:pStyle w:val="AEDistrNormal"/>
              <w:rPr>
                <w:sz w:val="20"/>
                <w:szCs w:val="20"/>
              </w:rPr>
            </w:pPr>
            <w:r>
              <w:rPr>
                <w:sz w:val="20"/>
                <w:szCs w:val="20"/>
              </w:rPr>
              <w:t>2</w:t>
            </w:r>
            <w:r w:rsidR="0074424E">
              <w:rPr>
                <w:sz w:val="20"/>
                <w:szCs w:val="20"/>
              </w:rPr>
              <w:t>9</w:t>
            </w:r>
            <w:r w:rsidR="00336012" w:rsidRPr="004D4247">
              <w:rPr>
                <w:sz w:val="20"/>
                <w:szCs w:val="20"/>
              </w:rPr>
              <w:t xml:space="preserve"> </w:t>
            </w:r>
            <w:r w:rsidR="0074424E">
              <w:rPr>
                <w:sz w:val="20"/>
                <w:szCs w:val="20"/>
              </w:rPr>
              <w:t>June</w:t>
            </w:r>
            <w:r w:rsidR="0074424E" w:rsidRPr="004D4247">
              <w:rPr>
                <w:sz w:val="20"/>
                <w:szCs w:val="20"/>
              </w:rPr>
              <w:t xml:space="preserve"> </w:t>
            </w:r>
            <w:r w:rsidR="00EB4033" w:rsidRPr="004D4247">
              <w:rPr>
                <w:sz w:val="20"/>
                <w:szCs w:val="20"/>
              </w:rPr>
              <w:t>202</w:t>
            </w:r>
            <w:r w:rsidR="00947960" w:rsidRPr="004D4247">
              <w:rPr>
                <w:sz w:val="20"/>
                <w:szCs w:val="20"/>
              </w:rPr>
              <w:t>6</w:t>
            </w:r>
          </w:p>
          <w:p w14:paraId="0B43282B" w14:textId="3086391A" w:rsidR="006955B9" w:rsidRPr="00402127" w:rsidRDefault="006955B9" w:rsidP="006955B9">
            <w:pPr>
              <w:pStyle w:val="AEDistrNormal"/>
            </w:pPr>
          </w:p>
          <w:p w14:paraId="24C1ABF0" w14:textId="447302E7" w:rsidR="00A77136" w:rsidRPr="00BF7306" w:rsidRDefault="00A77136" w:rsidP="006955B9">
            <w:pPr>
              <w:pStyle w:val="AEDistrNormal"/>
              <w:rPr>
                <w:sz w:val="20"/>
                <w:szCs w:val="20"/>
              </w:rPr>
            </w:pPr>
            <w:r w:rsidRPr="00BF7306">
              <w:rPr>
                <w:sz w:val="20"/>
                <w:szCs w:val="20"/>
              </w:rPr>
              <w:t xml:space="preserve">Original: </w:t>
            </w:r>
            <w:r w:rsidR="00EB4033" w:rsidRPr="00BF7306">
              <w:rPr>
                <w:sz w:val="20"/>
                <w:szCs w:val="20"/>
              </w:rPr>
              <w:t>English</w:t>
            </w:r>
            <w:r w:rsidRPr="00BF7306">
              <w:rPr>
                <w:sz w:val="20"/>
                <w:szCs w:val="20"/>
              </w:rPr>
              <w:t xml:space="preserve"> </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3A5F01" w:rsidRDefault="00A77136" w:rsidP="00A77136">
            <w:pPr>
              <w:pStyle w:val="AFCorNBold"/>
            </w:pPr>
            <w:r w:rsidRPr="003A5F01">
              <w:t>Twenty-</w:t>
            </w:r>
            <w:r w:rsidR="0043259A" w:rsidRPr="003A5F01">
              <w:t>eight</w:t>
            </w:r>
            <w:r w:rsidR="00D104DC" w:rsidRPr="003A5F01">
              <w:t>h</w:t>
            </w:r>
            <w:r w:rsidRPr="003A5F01">
              <w:t xml:space="preserve"> meeting </w:t>
            </w:r>
          </w:p>
          <w:p w14:paraId="20CCDB14" w14:textId="2849715D" w:rsidR="00070F3B" w:rsidRPr="00402127" w:rsidRDefault="00947960" w:rsidP="00FA47C3">
            <w:pPr>
              <w:pStyle w:val="AFCorNNormal"/>
            </w:pPr>
            <w:r w:rsidRPr="0045197B">
              <w:t>Nairobi</w:t>
            </w:r>
            <w:r w:rsidR="00A77136" w:rsidRPr="0045197B">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657D1D42" w:rsidR="00540AD8" w:rsidRPr="00402127" w:rsidRDefault="00540AD8" w:rsidP="00D6170A">
            <w:pPr>
              <w:pStyle w:val="AFCorNNormal"/>
            </w:pPr>
            <w:r w:rsidRPr="00402127">
              <w:t xml:space="preserve">Item </w:t>
            </w:r>
            <w:r w:rsidR="00947960" w:rsidRPr="00402127">
              <w:t>6</w:t>
            </w:r>
            <w:r w:rsidRPr="00402127">
              <w:t xml:space="preserve"> of the </w:t>
            </w:r>
            <w:r w:rsidR="00ED6E6F" w:rsidRPr="00402127">
              <w:t>p</w:t>
            </w:r>
            <w:r w:rsidRPr="00402127">
              <w:t xml:space="preserve">rovisional </w:t>
            </w:r>
            <w:r w:rsidR="00ED6E6F" w:rsidRPr="00402127">
              <w:t>a</w:t>
            </w:r>
            <w:r w:rsidRPr="00402127">
              <w:t>genda</w:t>
            </w:r>
            <w:r w:rsidR="00363751">
              <w:rPr>
                <w:rStyle w:val="FootnoteReference"/>
              </w:rPr>
              <w:footnoteReference w:customMarkFollows="1" w:id="2"/>
              <w:t>*</w:t>
            </w:r>
          </w:p>
          <w:p w14:paraId="21E95500" w14:textId="15179D75" w:rsidR="00540AD8" w:rsidRPr="00402127" w:rsidRDefault="0043259A" w:rsidP="00D6170A">
            <w:pPr>
              <w:pStyle w:val="AFCorNBold"/>
              <w:spacing w:after="120"/>
            </w:pPr>
            <w:r w:rsidRPr="00402127">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6DBA08F0" w:rsidR="00EB07C6" w:rsidRPr="00402127" w:rsidRDefault="002E23CA" w:rsidP="006955B9">
      <w:pPr>
        <w:pStyle w:val="CBDTitle"/>
      </w:pPr>
      <w:sdt>
        <w:sdt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881671">
            <w:t>Compilation and s</w:t>
          </w:r>
          <w:r w:rsidR="00EC6259" w:rsidRPr="00EC6259">
            <w:t>ynthesis of submissions of information on best practices for sustainable wildlife management</w:t>
          </w:r>
        </w:sdtContent>
      </w:sdt>
      <w:r w:rsidR="00527238">
        <w:rPr>
          <w:rStyle w:val="FootnoteReference"/>
        </w:rPr>
        <w:footnoteReference w:customMarkFollows="1" w:id="3"/>
        <w:t>**</w:t>
      </w:r>
    </w:p>
    <w:p w14:paraId="585FC729" w14:textId="7CCEBD00" w:rsidR="00A05D48" w:rsidRDefault="00A05D48" w:rsidP="003B48AD">
      <w:pPr>
        <w:pStyle w:val="CBDSubTitle"/>
      </w:pPr>
      <w:r>
        <w:t>Note by the Secretariat</w:t>
      </w:r>
    </w:p>
    <w:p w14:paraId="48824A8F" w14:textId="507FF827" w:rsidR="0089135E" w:rsidRPr="00402127" w:rsidRDefault="00ED6E6F" w:rsidP="0045197B">
      <w:pPr>
        <w:pStyle w:val="CBDH1"/>
      </w:pPr>
      <w:r w:rsidRPr="00402127">
        <w:t>I.</w:t>
      </w:r>
      <w:r w:rsidRPr="00402127">
        <w:tab/>
      </w:r>
      <w:r w:rsidR="39504522" w:rsidRPr="00402127">
        <w:t>Introduction</w:t>
      </w:r>
    </w:p>
    <w:p w14:paraId="53D9362B" w14:textId="45718FE4" w:rsidR="00694209" w:rsidRDefault="00BA6E52" w:rsidP="0045197B">
      <w:pPr>
        <w:pStyle w:val="CBDNormalNumber"/>
        <w:ind w:left="568"/>
      </w:pPr>
      <w:r>
        <w:t>In p</w:t>
      </w:r>
      <w:r w:rsidR="00694209">
        <w:t xml:space="preserve">aragraph 9 of </w:t>
      </w:r>
      <w:hyperlink r:id="rId14" w:history="1">
        <w:r w:rsidR="00694209" w:rsidRPr="00FF3AB3">
          <w:rPr>
            <w:rStyle w:val="Hyperlink"/>
          </w:rPr>
          <w:t>decision 16/15</w:t>
        </w:r>
      </w:hyperlink>
      <w:r w:rsidR="00694209">
        <w:t xml:space="preserve">, the Conference of the Parties invited Parties, other Governments, subnational governments at all levels, indigenous peoples and local communities, women and relevant organizations to submit information on best practices for sustainable wildlife management, and requested the Executive Secretary to compile and synthesize the information thus submitted for consideration by the Subsidiary Body on Scientific, Technical and Technological Advice at its twenty-seventh meeting. </w:t>
      </w:r>
    </w:p>
    <w:p w14:paraId="051E970D" w14:textId="5A21F59A" w:rsidR="00A9475F" w:rsidRDefault="000E7D36" w:rsidP="00140BDC">
      <w:pPr>
        <w:pStyle w:val="CBDNormalNumber"/>
        <w:ind w:left="568"/>
      </w:pPr>
      <w:r>
        <w:t xml:space="preserve">Pursuant to </w:t>
      </w:r>
      <w:r w:rsidR="00AA29F1">
        <w:t>the request the secretariat</w:t>
      </w:r>
      <w:r w:rsidR="00621B03">
        <w:t xml:space="preserve"> issued</w:t>
      </w:r>
      <w:r w:rsidR="00506DE7">
        <w:t xml:space="preserve"> </w:t>
      </w:r>
      <w:hyperlink r:id="rId15" w:history="1">
        <w:r w:rsidR="00140BDC" w:rsidRPr="00FF3AB3">
          <w:rPr>
            <w:rStyle w:val="Hyperlink"/>
          </w:rPr>
          <w:t xml:space="preserve">notification </w:t>
        </w:r>
        <w:r w:rsidR="00363751">
          <w:rPr>
            <w:rStyle w:val="Hyperlink"/>
          </w:rPr>
          <w:t xml:space="preserve">No. </w:t>
        </w:r>
        <w:r w:rsidR="00140BDC" w:rsidRPr="00FF3AB3">
          <w:rPr>
            <w:rStyle w:val="Hyperlink"/>
          </w:rPr>
          <w:t>2025-015</w:t>
        </w:r>
      </w:hyperlink>
      <w:r w:rsidR="00506DE7">
        <w:t xml:space="preserve"> inviting submissions</w:t>
      </w:r>
      <w:r w:rsidR="00B06BA3">
        <w:rPr>
          <w:rStyle w:val="FootnoteReference"/>
        </w:rPr>
        <w:footnoteReference w:id="4"/>
      </w:r>
      <w:r w:rsidR="00506DE7">
        <w:t xml:space="preserve"> </w:t>
      </w:r>
      <w:r w:rsidR="00506DE7" w:rsidRPr="00506DE7">
        <w:t>of information on best practices for sustainable wildlife management</w:t>
      </w:r>
      <w:r w:rsidR="00140BDC">
        <w:t xml:space="preserve">. </w:t>
      </w:r>
      <w:r w:rsidR="00506DE7">
        <w:t xml:space="preserve">The synthesis presented in </w:t>
      </w:r>
      <w:r w:rsidR="002A324E">
        <w:t xml:space="preserve">this document </w:t>
      </w:r>
      <w:r w:rsidR="00506DE7">
        <w:t xml:space="preserve">draws on the submissions received pursuant to </w:t>
      </w:r>
      <w:r w:rsidR="00A9475F">
        <w:t xml:space="preserve">the notification. </w:t>
      </w:r>
      <w:r w:rsidR="00EE4883">
        <w:t xml:space="preserve"> </w:t>
      </w:r>
    </w:p>
    <w:p w14:paraId="5AB3235F" w14:textId="0E9F020E" w:rsidR="00140BDC" w:rsidRDefault="00140BDC" w:rsidP="00140BDC">
      <w:pPr>
        <w:pStyle w:val="CBDNormalNumber"/>
        <w:ind w:left="568"/>
      </w:pPr>
      <w:r>
        <w:t xml:space="preserve">In line with </w:t>
      </w:r>
      <w:hyperlink r:id="rId16" w:history="1">
        <w:r w:rsidRPr="00FF3AB3">
          <w:rPr>
            <w:rStyle w:val="Hyperlink"/>
          </w:rPr>
          <w:t>decision 14/7</w:t>
        </w:r>
      </w:hyperlink>
      <w:r>
        <w:t>, sustainable wildlife management is understood as the sound management of wildlife species to sustain their populations and habitat over time, considering the socio-economic needs of human populations. For the purposes of the present synthesis, and consistent with the usage reflected in relevant decisions of the Conference of the Parties, wildlife is understood to include both wild flora and fauna</w:t>
      </w:r>
      <w:r>
        <w:rPr>
          <w:rStyle w:val="FootnoteReference"/>
        </w:rPr>
        <w:footnoteReference w:id="5"/>
      </w:r>
      <w:r>
        <w:t>.</w:t>
      </w:r>
    </w:p>
    <w:p w14:paraId="4D7C7A9E" w14:textId="1E1FF7C3" w:rsidR="00A65151" w:rsidRPr="00C603BF" w:rsidRDefault="00A65151" w:rsidP="003B48AD">
      <w:pPr>
        <w:pStyle w:val="CBDH1"/>
      </w:pPr>
      <w:r w:rsidRPr="00C603BF">
        <w:t>II.</w:t>
      </w:r>
      <w:r w:rsidR="00BE6E81">
        <w:tab/>
      </w:r>
      <w:r w:rsidRPr="00C603BF">
        <w:t>Synthesis of submissions</w:t>
      </w:r>
    </w:p>
    <w:p w14:paraId="1CA407C8" w14:textId="6289E66B" w:rsidR="0045197B" w:rsidRPr="0045197B" w:rsidRDefault="00D80D5F" w:rsidP="0045197B">
      <w:pPr>
        <w:pStyle w:val="CBDNormalNumber"/>
        <w:ind w:left="568"/>
      </w:pPr>
      <w:r>
        <w:t xml:space="preserve">The submissions provide practical examples and lessons relating to sustainable wildlife management across multiple species, practices, ecosystems and governance contexts. They cover terrestrial, inland water, marine and coastal ecosystems and both extractive and non-extractive practices, including, inter alia, fishing, gathering of wild plants, fungi and algae, logging, terrestrial and aquatic animal harvesting, wildlife trade, protected-area governance, community-based </w:t>
      </w:r>
      <w:r>
        <w:lastRenderedPageBreak/>
        <w:t>management, wildlife-based tourism, restoration, human-wildlife conflict prevention and mitigation, and wildlife-based livelihoods</w:t>
      </w:r>
      <w:r w:rsidR="00694209">
        <w:t>.</w:t>
      </w:r>
      <w:r w:rsidR="0045197B" w:rsidRPr="0045197B">
        <w:t xml:space="preserve"> </w:t>
      </w:r>
    </w:p>
    <w:p w14:paraId="2FB2AA4A" w14:textId="7920A442" w:rsidR="0045197B" w:rsidRPr="0045197B" w:rsidRDefault="004D7EE3" w:rsidP="0045197B">
      <w:pPr>
        <w:pStyle w:val="CBDNormalNumber"/>
        <w:ind w:left="568"/>
      </w:pPr>
      <w:r w:rsidRPr="004D7EE3">
        <w:t>The information submitted illustrates how Parties and relevant organizations are applying legal, policy, institutional, participatory, technical and community-based approaches to strengthen the conservation and sustainable use of wildlife in accordance with national circumstances, priorities and legislation</w:t>
      </w:r>
      <w:r w:rsidR="0045197B" w:rsidRPr="0045197B">
        <w:t>.</w:t>
      </w:r>
    </w:p>
    <w:p w14:paraId="3DBDC18C" w14:textId="744A6E23" w:rsidR="0045197B" w:rsidRDefault="000E7D36" w:rsidP="0045197B">
      <w:pPr>
        <w:pStyle w:val="CBDNormalNumber"/>
        <w:ind w:left="568"/>
      </w:pPr>
      <w:r w:rsidRPr="000E7D36">
        <w:t>Across the submissions, sustainable wildlife management is presented as requiring ecological sustainability, monitoring and adaptive management, together with inclusive and participatory decision-making, the inclusion of multiple systems of knowledge and recognition of rights, and the fair and equitable distribution of costs and benefits</w:t>
      </w:r>
      <w:r w:rsidR="0045197B" w:rsidRPr="0045197B">
        <w:t>.</w:t>
      </w:r>
    </w:p>
    <w:p w14:paraId="65C4133B" w14:textId="371212DB" w:rsidR="009F4109" w:rsidRPr="009F4109" w:rsidRDefault="00A65151" w:rsidP="009F4109">
      <w:pPr>
        <w:pStyle w:val="CBDNormalNumber"/>
        <w:ind w:left="568"/>
        <w:rPr>
          <w:lang w:val="en-ZW"/>
        </w:rPr>
      </w:pPr>
      <w:r>
        <w:t xml:space="preserve">Table 1 presents </w:t>
      </w:r>
      <w:r w:rsidR="009F4109">
        <w:t xml:space="preserve">a </w:t>
      </w:r>
      <w:r w:rsidR="009F4109" w:rsidRPr="009F4109">
        <w:rPr>
          <w:lang w:val="en-ZW"/>
        </w:rPr>
        <w:t>structured synthesis of the information submitted on best practices for sustainable wildlife management. The columns are organized as follows:</w:t>
      </w:r>
    </w:p>
    <w:p w14:paraId="3FDF5228" w14:textId="4B70C237" w:rsidR="009F4109" w:rsidRDefault="009F4109" w:rsidP="009F4109">
      <w:pPr>
        <w:pStyle w:val="CBDNormalNumber"/>
        <w:numPr>
          <w:ilvl w:val="1"/>
          <w:numId w:val="12"/>
        </w:numPr>
        <w:rPr>
          <w:lang w:val="en-ZW"/>
        </w:rPr>
      </w:pPr>
      <w:r w:rsidRPr="000A362F">
        <w:rPr>
          <w:lang w:val="en-ZW"/>
        </w:rPr>
        <w:t xml:space="preserve">Submission </w:t>
      </w:r>
      <w:proofErr w:type="gramStart"/>
      <w:r w:rsidRPr="000A362F">
        <w:rPr>
          <w:lang w:val="en-ZW"/>
        </w:rPr>
        <w:t>by:</w:t>
      </w:r>
      <w:proofErr w:type="gramEnd"/>
      <w:r w:rsidRPr="009F4109">
        <w:rPr>
          <w:lang w:val="en-ZW"/>
        </w:rPr>
        <w:t xml:space="preserve"> identifies the Party, other Government</w:t>
      </w:r>
      <w:r>
        <w:rPr>
          <w:lang w:val="en-ZW"/>
        </w:rPr>
        <w:t xml:space="preserve"> or </w:t>
      </w:r>
      <w:r w:rsidRPr="009F4109">
        <w:rPr>
          <w:lang w:val="en-ZW"/>
        </w:rPr>
        <w:t>organization that submitted the information</w:t>
      </w:r>
      <w:r w:rsidR="00BE6E81">
        <w:rPr>
          <w:lang w:val="en-ZW"/>
        </w:rPr>
        <w:t>;</w:t>
      </w:r>
    </w:p>
    <w:p w14:paraId="3BFA9256" w14:textId="3FD791AC" w:rsidR="009F4109" w:rsidRDefault="009F4109" w:rsidP="009F4109">
      <w:pPr>
        <w:pStyle w:val="CBDNormalNumber"/>
        <w:numPr>
          <w:ilvl w:val="1"/>
          <w:numId w:val="12"/>
        </w:numPr>
        <w:rPr>
          <w:lang w:val="en-ZW"/>
        </w:rPr>
      </w:pPr>
      <w:r w:rsidRPr="000A362F">
        <w:rPr>
          <w:lang w:val="en-ZW"/>
        </w:rPr>
        <w:t>Category:</w:t>
      </w:r>
      <w:r w:rsidRPr="009F4109">
        <w:rPr>
          <w:lang w:val="en-ZW"/>
        </w:rPr>
        <w:t xml:space="preserve"> indicates whether the submission was made by a Party or a</w:t>
      </w:r>
      <w:r>
        <w:rPr>
          <w:lang w:val="en-ZW"/>
        </w:rPr>
        <w:t>n</w:t>
      </w:r>
      <w:r w:rsidRPr="009F4109">
        <w:rPr>
          <w:lang w:val="en-ZW"/>
        </w:rPr>
        <w:t xml:space="preserve"> organization</w:t>
      </w:r>
      <w:r w:rsidR="00BE6E81">
        <w:rPr>
          <w:lang w:val="en-ZW"/>
        </w:rPr>
        <w:t>;</w:t>
      </w:r>
    </w:p>
    <w:p w14:paraId="3133A668" w14:textId="4BFC3738" w:rsidR="009F4109" w:rsidRDefault="009F4109" w:rsidP="009F4109">
      <w:pPr>
        <w:pStyle w:val="CBDNormalNumber"/>
        <w:numPr>
          <w:ilvl w:val="1"/>
          <w:numId w:val="12"/>
        </w:numPr>
        <w:rPr>
          <w:lang w:val="en-ZW"/>
        </w:rPr>
      </w:pPr>
      <w:r w:rsidRPr="000A362F">
        <w:rPr>
          <w:lang w:val="en-ZW"/>
        </w:rPr>
        <w:t>Key elements reflected</w:t>
      </w:r>
      <w:r w:rsidRPr="009F4109">
        <w:rPr>
          <w:b/>
          <w:bCs/>
          <w:lang w:val="en-ZW"/>
        </w:rPr>
        <w:t>:</w:t>
      </w:r>
      <w:r w:rsidRPr="009F4109">
        <w:rPr>
          <w:lang w:val="en-ZW"/>
        </w:rPr>
        <w:t xml:space="preserve"> indicates which of the seven key elements are reflected in the submission, namely: </w:t>
      </w:r>
      <w:r>
        <w:rPr>
          <w:lang w:val="en-ZW"/>
        </w:rPr>
        <w:t xml:space="preserve">(a) </w:t>
      </w:r>
      <w:r w:rsidRPr="009F4109">
        <w:rPr>
          <w:lang w:val="en-ZW"/>
        </w:rPr>
        <w:t xml:space="preserve">inclusive and participatory decision-making; </w:t>
      </w:r>
      <w:r>
        <w:rPr>
          <w:lang w:val="en-ZW"/>
        </w:rPr>
        <w:t xml:space="preserve">(b) </w:t>
      </w:r>
      <w:r w:rsidRPr="009F4109">
        <w:rPr>
          <w:lang w:val="en-ZW"/>
        </w:rPr>
        <w:t xml:space="preserve">inclusion of multiple systems of knowledge and recognition of rights; </w:t>
      </w:r>
      <w:r>
        <w:rPr>
          <w:lang w:val="en-ZW"/>
        </w:rPr>
        <w:t xml:space="preserve">(c) </w:t>
      </w:r>
      <w:r w:rsidRPr="009F4109">
        <w:rPr>
          <w:lang w:val="en-ZW"/>
        </w:rPr>
        <w:t xml:space="preserve">equitable distribution of costs and benefits; </w:t>
      </w:r>
      <w:r>
        <w:rPr>
          <w:lang w:val="en-ZW"/>
        </w:rPr>
        <w:t xml:space="preserve">(d) </w:t>
      </w:r>
      <w:r w:rsidRPr="009F4109">
        <w:rPr>
          <w:lang w:val="en-ZW"/>
        </w:rPr>
        <w:t xml:space="preserve">policies tailored to local social and ecological contexts; </w:t>
      </w:r>
      <w:r>
        <w:rPr>
          <w:lang w:val="en-ZW"/>
        </w:rPr>
        <w:t xml:space="preserve">(e) </w:t>
      </w:r>
      <w:r w:rsidRPr="009F4109">
        <w:rPr>
          <w:lang w:val="en-ZW"/>
        </w:rPr>
        <w:t xml:space="preserve">monitoring of social and ecological practices and conditions; </w:t>
      </w:r>
      <w:r>
        <w:rPr>
          <w:lang w:val="en-ZW"/>
        </w:rPr>
        <w:t xml:space="preserve">(f) </w:t>
      </w:r>
      <w:r w:rsidRPr="009F4109">
        <w:rPr>
          <w:lang w:val="en-ZW"/>
        </w:rPr>
        <w:t xml:space="preserve">coordinated and aligned policies across sectors; and </w:t>
      </w:r>
      <w:r>
        <w:rPr>
          <w:lang w:val="en-ZW"/>
        </w:rPr>
        <w:t xml:space="preserve">(g) </w:t>
      </w:r>
      <w:r w:rsidRPr="009F4109">
        <w:rPr>
          <w:lang w:val="en-ZW"/>
        </w:rPr>
        <w:t>robust institutions from customary to statutory levels</w:t>
      </w:r>
      <w:r w:rsidR="00BE6E81">
        <w:rPr>
          <w:lang w:val="en-ZW"/>
        </w:rPr>
        <w:t>;</w:t>
      </w:r>
    </w:p>
    <w:p w14:paraId="1D438915" w14:textId="25DF40FA" w:rsidR="009F4109" w:rsidRDefault="009F4109" w:rsidP="009F4109">
      <w:pPr>
        <w:pStyle w:val="CBDNormalNumber"/>
        <w:numPr>
          <w:ilvl w:val="1"/>
          <w:numId w:val="12"/>
        </w:numPr>
        <w:rPr>
          <w:lang w:val="en-ZW"/>
        </w:rPr>
      </w:pPr>
      <w:r w:rsidRPr="000A362F">
        <w:rPr>
          <w:lang w:val="en-ZW"/>
        </w:rPr>
        <w:t xml:space="preserve">Ecosystem/species </w:t>
      </w:r>
      <w:proofErr w:type="gramStart"/>
      <w:r w:rsidRPr="000A362F">
        <w:rPr>
          <w:lang w:val="en-ZW"/>
        </w:rPr>
        <w:t>focus:</w:t>
      </w:r>
      <w:proofErr w:type="gramEnd"/>
      <w:r w:rsidRPr="009F4109">
        <w:rPr>
          <w:lang w:val="en-ZW"/>
        </w:rPr>
        <w:t xml:space="preserve"> summarizes the ecosystems, habitats</w:t>
      </w:r>
      <w:r>
        <w:rPr>
          <w:lang w:val="en-ZW"/>
        </w:rPr>
        <w:t xml:space="preserve"> and/or</w:t>
      </w:r>
      <w:r w:rsidRPr="009F4109">
        <w:rPr>
          <w:lang w:val="en-ZW"/>
        </w:rPr>
        <w:t xml:space="preserve"> species groups addressed in the submission</w:t>
      </w:r>
      <w:r w:rsidR="00BE6E81">
        <w:rPr>
          <w:lang w:val="en-ZW"/>
        </w:rPr>
        <w:t>;</w:t>
      </w:r>
    </w:p>
    <w:p w14:paraId="02514A31" w14:textId="00CC844D" w:rsidR="009F4109" w:rsidRDefault="009F4109" w:rsidP="009F4109">
      <w:pPr>
        <w:pStyle w:val="CBDNormalNumber"/>
        <w:numPr>
          <w:ilvl w:val="1"/>
          <w:numId w:val="12"/>
        </w:numPr>
        <w:rPr>
          <w:lang w:val="en-ZW"/>
        </w:rPr>
      </w:pPr>
      <w:r w:rsidRPr="000A362F">
        <w:rPr>
          <w:lang w:val="en-ZW"/>
        </w:rPr>
        <w:t xml:space="preserve">Type of </w:t>
      </w:r>
      <w:proofErr w:type="gramStart"/>
      <w:r w:rsidRPr="000A362F">
        <w:rPr>
          <w:lang w:val="en-ZW"/>
        </w:rPr>
        <w:t>practice:</w:t>
      </w:r>
      <w:proofErr w:type="gramEnd"/>
      <w:r w:rsidRPr="009F4109">
        <w:rPr>
          <w:lang w:val="en-ZW"/>
        </w:rPr>
        <w:t xml:space="preserve"> identifies the main sustainable wildlife management practice or approach addressed</w:t>
      </w:r>
      <w:r>
        <w:rPr>
          <w:lang w:val="en-ZW"/>
        </w:rPr>
        <w:t xml:space="preserve"> in the submission</w:t>
      </w:r>
      <w:r w:rsidRPr="009F4109">
        <w:rPr>
          <w:lang w:val="en-ZW"/>
        </w:rPr>
        <w:t>.</w:t>
      </w:r>
      <w:r w:rsidR="00E7792C">
        <w:rPr>
          <w:lang w:val="en-ZW"/>
        </w:rPr>
        <w:t xml:space="preserve"> (</w:t>
      </w:r>
      <w:r w:rsidR="00E7792C" w:rsidRPr="00E7792C">
        <w:rPr>
          <w:lang w:val="en-ZW"/>
        </w:rPr>
        <w:t>Where submissions cover several ecosystems, species groups or examples, the practice type reflects the main practice or practices emerging from the submission as a whole</w:t>
      </w:r>
      <w:r w:rsidR="00E7792C">
        <w:rPr>
          <w:lang w:val="en-ZW"/>
        </w:rPr>
        <w:t>)</w:t>
      </w:r>
      <w:r w:rsidR="00BE6E81">
        <w:rPr>
          <w:lang w:val="en-ZW"/>
        </w:rPr>
        <w:t>;</w:t>
      </w:r>
    </w:p>
    <w:p w14:paraId="171FB5E8" w14:textId="40FC2A68" w:rsidR="009F4109" w:rsidRDefault="009F4109" w:rsidP="009F4109">
      <w:pPr>
        <w:pStyle w:val="CBDNormalNumber"/>
        <w:numPr>
          <w:ilvl w:val="1"/>
          <w:numId w:val="12"/>
        </w:numPr>
        <w:rPr>
          <w:lang w:val="en-ZW"/>
        </w:rPr>
      </w:pPr>
      <w:r w:rsidRPr="000A362F">
        <w:rPr>
          <w:lang w:val="en-ZW"/>
        </w:rPr>
        <w:t>Illustrative examples:</w:t>
      </w:r>
      <w:r w:rsidRPr="009F4109">
        <w:rPr>
          <w:lang w:val="en-ZW"/>
        </w:rPr>
        <w:t xml:space="preserve"> presents selected case examples, programmes, legal instruments, policy measures, platforms, monitoring systems, management tools or community-based approaches highlighted in the submission</w:t>
      </w:r>
      <w:r w:rsidR="00BE6E81">
        <w:rPr>
          <w:lang w:val="en-ZW"/>
        </w:rPr>
        <w:t>;</w:t>
      </w:r>
    </w:p>
    <w:p w14:paraId="713585F0" w14:textId="24F3A69C" w:rsidR="009F4109" w:rsidRDefault="009F4109" w:rsidP="009F4109">
      <w:pPr>
        <w:pStyle w:val="CBDNormalNumber"/>
        <w:numPr>
          <w:ilvl w:val="1"/>
          <w:numId w:val="12"/>
        </w:numPr>
        <w:rPr>
          <w:lang w:val="en-ZW"/>
        </w:rPr>
      </w:pPr>
      <w:r w:rsidRPr="000A362F">
        <w:rPr>
          <w:lang w:val="en-ZW"/>
        </w:rPr>
        <w:t>Key contribution:</w:t>
      </w:r>
      <w:r w:rsidRPr="009F4109">
        <w:rPr>
          <w:lang w:val="en-ZW"/>
        </w:rPr>
        <w:t xml:space="preserve"> summarizes the principal lesson, practice or approach contributed by the submission</w:t>
      </w:r>
      <w:r w:rsidR="00BE6E81">
        <w:rPr>
          <w:lang w:val="en-ZW"/>
        </w:rPr>
        <w:t>;</w:t>
      </w:r>
    </w:p>
    <w:p w14:paraId="22B0A194" w14:textId="796A27DA" w:rsidR="00A65151" w:rsidRPr="00C603BF" w:rsidRDefault="009F4109" w:rsidP="00C603BF">
      <w:pPr>
        <w:pStyle w:val="CBDNormalNumber"/>
        <w:numPr>
          <w:ilvl w:val="1"/>
          <w:numId w:val="12"/>
        </w:numPr>
        <w:rPr>
          <w:lang w:val="en-ZW"/>
        </w:rPr>
      </w:pPr>
      <w:r w:rsidRPr="000A362F">
        <w:rPr>
          <w:lang w:val="en-ZW"/>
        </w:rPr>
        <w:t>Kunming-Montreal Global Biodiversity Framework relevance:</w:t>
      </w:r>
      <w:r w:rsidRPr="009F4109">
        <w:rPr>
          <w:lang w:val="en-ZW"/>
        </w:rPr>
        <w:t xml:space="preserve"> identifies the targets of the Kunming-Montreal Global Biodiversity Framework to which the submission is particularly relevant</w:t>
      </w:r>
      <w:r w:rsidRPr="009F4109">
        <w:t>.</w:t>
      </w:r>
    </w:p>
    <w:p w14:paraId="10CC5612" w14:textId="65855C6F" w:rsidR="00A65151" w:rsidRPr="0045197B" w:rsidRDefault="00A65151" w:rsidP="00C603BF">
      <w:pPr>
        <w:pStyle w:val="CBDNormalNumber"/>
        <w:numPr>
          <w:ilvl w:val="0"/>
          <w:numId w:val="0"/>
        </w:numPr>
        <w:ind w:left="568"/>
      </w:pPr>
    </w:p>
    <w:p w14:paraId="71B02F7B" w14:textId="0B2567B6" w:rsidR="008F31EF" w:rsidRPr="00402127" w:rsidRDefault="00ED6E6F" w:rsidP="006A4ED2">
      <w:pPr>
        <w:pStyle w:val="CBDNormalNumber"/>
        <w:numPr>
          <w:ilvl w:val="0"/>
          <w:numId w:val="0"/>
        </w:numPr>
        <w:ind w:left="567"/>
        <w:sectPr w:rsidR="008F31EF" w:rsidRPr="00402127" w:rsidSect="002175C2">
          <w:headerReference w:type="even" r:id="rId17"/>
          <w:headerReference w:type="default" r:id="rId18"/>
          <w:footerReference w:type="even" r:id="rId19"/>
          <w:footerReference w:type="default" r:id="rId20"/>
          <w:headerReference w:type="first" r:id="rId21"/>
          <w:footerReference w:type="first" r:id="rId22"/>
          <w:pgSz w:w="12240" w:h="15840" w:code="1"/>
          <w:pgMar w:top="1021" w:right="1440" w:bottom="1134" w:left="1440" w:header="709" w:footer="709" w:gutter="0"/>
          <w:cols w:space="708"/>
          <w:titlePg/>
          <w:docGrid w:linePitch="360"/>
        </w:sectPr>
      </w:pPr>
      <w:r w:rsidRPr="00402127">
        <w:tab/>
      </w:r>
      <w:bookmarkStart w:id="0" w:name="_heading=h.204hpxu34acs" w:colFirst="0" w:colLast="0"/>
      <w:bookmarkEnd w:id="0"/>
    </w:p>
    <w:p w14:paraId="3E9460E0" w14:textId="2E9AFA3D" w:rsidR="008866EB" w:rsidRPr="00A846B4" w:rsidRDefault="00881671" w:rsidP="003B48AD">
      <w:pPr>
        <w:pStyle w:val="CBDTableTitle"/>
      </w:pPr>
      <w:r>
        <w:lastRenderedPageBreak/>
        <w:t>Compilation</w:t>
      </w:r>
      <w:r w:rsidR="00197036">
        <w:t xml:space="preserve"> of submissions </w:t>
      </w:r>
      <w:r w:rsidR="00197036" w:rsidRPr="00EC6259">
        <w:t>of information on best practices for sustainable wildlife management</w:t>
      </w:r>
    </w:p>
    <w:tbl>
      <w:tblPr>
        <w:tblW w:w="14317"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035"/>
        <w:gridCol w:w="326"/>
        <w:gridCol w:w="333"/>
        <w:gridCol w:w="326"/>
        <w:gridCol w:w="333"/>
        <w:gridCol w:w="328"/>
        <w:gridCol w:w="306"/>
        <w:gridCol w:w="318"/>
        <w:gridCol w:w="2233"/>
        <w:gridCol w:w="1418"/>
        <w:gridCol w:w="2409"/>
        <w:gridCol w:w="2268"/>
        <w:gridCol w:w="1276"/>
      </w:tblGrid>
      <w:tr w:rsidR="008B1F15" w:rsidRPr="00CF13A0" w14:paraId="012CAC16" w14:textId="77777777" w:rsidTr="003B48AD">
        <w:trPr>
          <w:trHeight w:val="580"/>
          <w:tblHeader/>
        </w:trPr>
        <w:tc>
          <w:tcPr>
            <w:tcW w:w="1408" w:type="dxa"/>
            <w:vAlign w:val="bottom"/>
            <w:hideMark/>
          </w:tcPr>
          <w:p w14:paraId="44813B1A"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Submission by</w:t>
            </w:r>
          </w:p>
        </w:tc>
        <w:tc>
          <w:tcPr>
            <w:tcW w:w="1035" w:type="dxa"/>
            <w:vAlign w:val="bottom"/>
            <w:hideMark/>
          </w:tcPr>
          <w:p w14:paraId="2CC52D63"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Category</w:t>
            </w:r>
          </w:p>
        </w:tc>
        <w:tc>
          <w:tcPr>
            <w:tcW w:w="326" w:type="dxa"/>
            <w:vAlign w:val="bottom"/>
            <w:hideMark/>
          </w:tcPr>
          <w:p w14:paraId="236AF9BF"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a</w:t>
            </w:r>
          </w:p>
        </w:tc>
        <w:tc>
          <w:tcPr>
            <w:tcW w:w="333" w:type="dxa"/>
            <w:vAlign w:val="bottom"/>
            <w:hideMark/>
          </w:tcPr>
          <w:p w14:paraId="59FBD280"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b</w:t>
            </w:r>
          </w:p>
        </w:tc>
        <w:tc>
          <w:tcPr>
            <w:tcW w:w="326" w:type="dxa"/>
            <w:vAlign w:val="bottom"/>
            <w:hideMark/>
          </w:tcPr>
          <w:p w14:paraId="2CC76898"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c</w:t>
            </w:r>
          </w:p>
        </w:tc>
        <w:tc>
          <w:tcPr>
            <w:tcW w:w="333" w:type="dxa"/>
            <w:vAlign w:val="bottom"/>
            <w:hideMark/>
          </w:tcPr>
          <w:p w14:paraId="79045EDD"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d</w:t>
            </w:r>
          </w:p>
        </w:tc>
        <w:tc>
          <w:tcPr>
            <w:tcW w:w="328" w:type="dxa"/>
            <w:vAlign w:val="bottom"/>
            <w:hideMark/>
          </w:tcPr>
          <w:p w14:paraId="37B847B6"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e</w:t>
            </w:r>
          </w:p>
        </w:tc>
        <w:tc>
          <w:tcPr>
            <w:tcW w:w="306" w:type="dxa"/>
            <w:vAlign w:val="bottom"/>
            <w:hideMark/>
          </w:tcPr>
          <w:p w14:paraId="33A3DBAC"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f</w:t>
            </w:r>
          </w:p>
        </w:tc>
        <w:tc>
          <w:tcPr>
            <w:tcW w:w="318" w:type="dxa"/>
            <w:vAlign w:val="bottom"/>
            <w:hideMark/>
          </w:tcPr>
          <w:p w14:paraId="302F250F"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g</w:t>
            </w:r>
          </w:p>
        </w:tc>
        <w:tc>
          <w:tcPr>
            <w:tcW w:w="2233" w:type="dxa"/>
            <w:vAlign w:val="bottom"/>
            <w:hideMark/>
          </w:tcPr>
          <w:p w14:paraId="1BAD868B"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Ecosystem/Species focus</w:t>
            </w:r>
          </w:p>
        </w:tc>
        <w:tc>
          <w:tcPr>
            <w:tcW w:w="1418" w:type="dxa"/>
            <w:vAlign w:val="bottom"/>
            <w:hideMark/>
          </w:tcPr>
          <w:p w14:paraId="6B0F5105"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Type of practice</w:t>
            </w:r>
          </w:p>
        </w:tc>
        <w:tc>
          <w:tcPr>
            <w:tcW w:w="2409" w:type="dxa"/>
            <w:vAlign w:val="bottom"/>
            <w:hideMark/>
          </w:tcPr>
          <w:p w14:paraId="45A41471" w14:textId="4B6A1EEB" w:rsidR="008B1F15" w:rsidRPr="003B48AD" w:rsidRDefault="00CB040F"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 xml:space="preserve">Illustrative examples </w:t>
            </w:r>
          </w:p>
        </w:tc>
        <w:tc>
          <w:tcPr>
            <w:tcW w:w="2268" w:type="dxa"/>
            <w:vAlign w:val="bottom"/>
            <w:hideMark/>
          </w:tcPr>
          <w:p w14:paraId="42B114FB"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Key contribution</w:t>
            </w:r>
          </w:p>
        </w:tc>
        <w:tc>
          <w:tcPr>
            <w:tcW w:w="1276" w:type="dxa"/>
            <w:vAlign w:val="bottom"/>
            <w:hideMark/>
          </w:tcPr>
          <w:p w14:paraId="1E7ECA89" w14:textId="77777777" w:rsidR="008B1F15" w:rsidRPr="003B48AD" w:rsidRDefault="008B1F15" w:rsidP="003B48AD">
            <w:pPr>
              <w:jc w:val="left"/>
              <w:rPr>
                <w:rFonts w:eastAsia="Times New Roman"/>
                <w:i/>
                <w:iCs/>
                <w:color w:val="000000"/>
                <w:sz w:val="20"/>
                <w:szCs w:val="20"/>
                <w:lang w:eastAsia="en-ZW"/>
              </w:rPr>
            </w:pPr>
            <w:r w:rsidRPr="003B48AD">
              <w:rPr>
                <w:rFonts w:eastAsia="Times New Roman"/>
                <w:i/>
                <w:iCs/>
                <w:color w:val="000000"/>
                <w:sz w:val="20"/>
                <w:szCs w:val="20"/>
                <w:lang w:eastAsia="en-ZW"/>
              </w:rPr>
              <w:t>KMGBF relevance</w:t>
            </w:r>
          </w:p>
        </w:tc>
      </w:tr>
      <w:tr w:rsidR="008B1F15" w:rsidRPr="00CF13A0" w14:paraId="6929EFCB" w14:textId="77777777" w:rsidTr="00C603BF">
        <w:trPr>
          <w:trHeight w:val="2030"/>
        </w:trPr>
        <w:tc>
          <w:tcPr>
            <w:tcW w:w="1408" w:type="dxa"/>
            <w:vAlign w:val="bottom"/>
            <w:hideMark/>
          </w:tcPr>
          <w:p w14:paraId="29D271F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Kingdom of Bahrain</w:t>
            </w:r>
          </w:p>
        </w:tc>
        <w:tc>
          <w:tcPr>
            <w:tcW w:w="1035" w:type="dxa"/>
            <w:vAlign w:val="bottom"/>
            <w:hideMark/>
          </w:tcPr>
          <w:p w14:paraId="096A6CB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52D8997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5A84D75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35460A0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5AFCB90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2C539B7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1E7ED34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27B4DF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4F6ABF0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Terrestrial ecosystems; nature reserves; environmentally sensitive areas; fisheries-linked coastal and marine governance; wildlife trade; protected bird species including bulbuls and houbara bustard</w:t>
            </w:r>
          </w:p>
        </w:tc>
        <w:tc>
          <w:tcPr>
            <w:tcW w:w="1418" w:type="dxa"/>
            <w:vAlign w:val="bottom"/>
            <w:hideMark/>
          </w:tcPr>
          <w:p w14:paraId="4D2FD95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National policy and institutional framework</w:t>
            </w:r>
          </w:p>
        </w:tc>
        <w:tc>
          <w:tcPr>
            <w:tcW w:w="2409" w:type="dxa"/>
            <w:vAlign w:val="bottom"/>
            <w:hideMark/>
          </w:tcPr>
          <w:p w14:paraId="3FB104D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National Steering Committee for Biodiversity; One Health Approach Committee; wildlife laws, monitoring programmes, sensitive-area management, and ministerial orders protecting bulbuls and houbara bustard.</w:t>
            </w:r>
          </w:p>
        </w:tc>
        <w:tc>
          <w:tcPr>
            <w:tcW w:w="2268" w:type="dxa"/>
            <w:vAlign w:val="bottom"/>
            <w:hideMark/>
          </w:tcPr>
          <w:p w14:paraId="0513951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a whole-of-government approach with inter-ministerial committees, legal instruments, monitoring, and 2025-2030 biodiversity targets.</w:t>
            </w:r>
          </w:p>
        </w:tc>
        <w:tc>
          <w:tcPr>
            <w:tcW w:w="1276" w:type="dxa"/>
            <w:vAlign w:val="bottom"/>
            <w:hideMark/>
          </w:tcPr>
          <w:p w14:paraId="5B4B0C7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5, 9, 21, 22</w:t>
            </w:r>
          </w:p>
        </w:tc>
      </w:tr>
      <w:tr w:rsidR="008B1F15" w:rsidRPr="00CF13A0" w14:paraId="33A5DD2F" w14:textId="77777777" w:rsidTr="00C603BF">
        <w:trPr>
          <w:trHeight w:val="416"/>
        </w:trPr>
        <w:tc>
          <w:tcPr>
            <w:tcW w:w="1408" w:type="dxa"/>
            <w:vAlign w:val="bottom"/>
            <w:hideMark/>
          </w:tcPr>
          <w:p w14:paraId="08E1324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Brazil</w:t>
            </w:r>
          </w:p>
        </w:tc>
        <w:tc>
          <w:tcPr>
            <w:tcW w:w="1035" w:type="dxa"/>
            <w:vAlign w:val="bottom"/>
            <w:hideMark/>
          </w:tcPr>
          <w:p w14:paraId="4252F7C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03F9792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14A95C1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403E4AB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30C584C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2483C3E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6DFE2C5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4AF7AF6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B115D2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Protected areas and sustainable-use conservation units; public forests; native vegetation; endangered terrestrial and aquatic species; rescued/seized wildlife; Cerrado species such as giant anteater, maned wolf and puma; Lear's Macaw, Dirty-faced Parakeet, Brazilian bare-faced tamarin, Blue-throated Macaw; Brazil nut value chains; artisanal fisheries and marine extractive reserves</w:t>
            </w:r>
          </w:p>
        </w:tc>
        <w:tc>
          <w:tcPr>
            <w:tcW w:w="1418" w:type="dxa"/>
            <w:vAlign w:val="bottom"/>
            <w:hideMark/>
          </w:tcPr>
          <w:p w14:paraId="042EC33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National legal, institutional, rehabilitation, monitoring and participatory management framework</w:t>
            </w:r>
          </w:p>
        </w:tc>
        <w:tc>
          <w:tcPr>
            <w:tcW w:w="2409" w:type="dxa"/>
            <w:vAlign w:val="bottom"/>
            <w:hideMark/>
          </w:tcPr>
          <w:p w14:paraId="5245BA80" w14:textId="41310286" w:rsidR="008F59FD" w:rsidRPr="003B48AD" w:rsidRDefault="00523FA3" w:rsidP="003B48AD">
            <w:pPr>
              <w:jc w:val="left"/>
              <w:rPr>
                <w:rFonts w:eastAsia="Times New Roman"/>
                <w:color w:val="000000"/>
                <w:sz w:val="20"/>
                <w:szCs w:val="20"/>
                <w:lang w:eastAsia="en-ZW"/>
              </w:rPr>
            </w:pPr>
            <w:r w:rsidRPr="003B48AD">
              <w:rPr>
                <w:rFonts w:eastAsia="Times New Roman"/>
                <w:color w:val="000000"/>
                <w:sz w:val="20"/>
                <w:szCs w:val="20"/>
                <w:lang w:eastAsia="en-ZW"/>
              </w:rPr>
              <w:t>National System of Conservation Units (</w:t>
            </w:r>
            <w:r w:rsidR="008B1F15" w:rsidRPr="003B48AD">
              <w:rPr>
                <w:rFonts w:eastAsia="Times New Roman"/>
                <w:color w:val="000000"/>
                <w:sz w:val="20"/>
                <w:szCs w:val="20"/>
                <w:lang w:eastAsia="en-ZW"/>
              </w:rPr>
              <w:t>SNUC</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Priority Areas for Conservation; </w:t>
            </w:r>
            <w:r w:rsidR="00CC0A57" w:rsidRPr="003B48AD">
              <w:rPr>
                <w:rFonts w:eastAsia="Times New Roman"/>
                <w:color w:val="000000"/>
                <w:sz w:val="20"/>
                <w:szCs w:val="20"/>
                <w:lang w:eastAsia="en-ZW"/>
              </w:rPr>
              <w:t xml:space="preserve">National Environmental Policy </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PNMA</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w:t>
            </w:r>
            <w:r w:rsidR="00C9588D" w:rsidRPr="003B48AD">
              <w:rPr>
                <w:rFonts w:eastAsia="Times New Roman"/>
                <w:color w:val="000000"/>
                <w:sz w:val="20"/>
                <w:szCs w:val="20"/>
                <w:lang w:eastAsia="en-ZW"/>
              </w:rPr>
              <w:t xml:space="preserve">National Environmental System), </w:t>
            </w:r>
            <w:r w:rsidR="00CC0A57" w:rsidRPr="003B48AD">
              <w:rPr>
                <w:rFonts w:eastAsia="Times New Roman"/>
                <w:color w:val="000000"/>
                <w:sz w:val="20"/>
                <w:szCs w:val="20"/>
                <w:lang w:eastAsia="en-ZW"/>
              </w:rPr>
              <w:t>(</w:t>
            </w:r>
            <w:r w:rsidR="008B1F15" w:rsidRPr="003B48AD">
              <w:rPr>
                <w:rFonts w:eastAsia="Times New Roman"/>
                <w:color w:val="000000"/>
                <w:sz w:val="20"/>
                <w:szCs w:val="20"/>
                <w:lang w:eastAsia="en-ZW"/>
              </w:rPr>
              <w:t>SISNAMA</w:t>
            </w:r>
            <w:r w:rsidR="00CC0A57" w:rsidRPr="003B48AD">
              <w:rPr>
                <w:rFonts w:eastAsia="Times New Roman"/>
                <w:color w:val="000000"/>
                <w:sz w:val="20"/>
                <w:szCs w:val="20"/>
                <w:lang w:eastAsia="en-ZW"/>
              </w:rPr>
              <w:t>)</w:t>
            </w:r>
            <w:r w:rsidR="008B1F15" w:rsidRPr="003B48AD">
              <w:rPr>
                <w:rFonts w:eastAsia="Times New Roman"/>
                <w:color w:val="000000"/>
                <w:sz w:val="20"/>
                <w:szCs w:val="20"/>
                <w:lang w:eastAsia="en-ZW"/>
              </w:rPr>
              <w:t>;</w:t>
            </w:r>
            <w:r w:rsidR="00C9588D" w:rsidRPr="003B48AD">
              <w:rPr>
                <w:rFonts w:eastAsia="Times New Roman"/>
                <w:color w:val="000000"/>
                <w:sz w:val="20"/>
                <w:szCs w:val="20"/>
                <w:lang w:eastAsia="en-ZW"/>
              </w:rPr>
              <w:t xml:space="preserve"> National Action Plans for the Conservation of Endangered Species (</w:t>
            </w:r>
            <w:r w:rsidR="008B1F15" w:rsidRPr="003B48AD">
              <w:rPr>
                <w:rFonts w:eastAsia="Times New Roman"/>
                <w:color w:val="000000"/>
                <w:sz w:val="20"/>
                <w:szCs w:val="20"/>
                <w:lang w:eastAsia="en-ZW"/>
              </w:rPr>
              <w:t>PAN</w:t>
            </w:r>
            <w:r w:rsidR="00C9588D"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endangered-species plans; Public Forest Management Law; National Biodiversity Policy; aquatic species recovery plans; Native Vegetation Protection Law and </w:t>
            </w:r>
            <w:r w:rsidR="00826F4F" w:rsidRPr="003B48AD">
              <w:rPr>
                <w:rFonts w:eastAsia="Times New Roman"/>
                <w:color w:val="000000"/>
                <w:sz w:val="20"/>
                <w:szCs w:val="20"/>
                <w:lang w:eastAsia="en-ZW"/>
              </w:rPr>
              <w:t>Rural Environmental Registry (</w:t>
            </w:r>
            <w:r w:rsidR="008B1F15" w:rsidRPr="003B48AD">
              <w:rPr>
                <w:rFonts w:eastAsia="Times New Roman"/>
                <w:color w:val="000000"/>
                <w:sz w:val="20"/>
                <w:szCs w:val="20"/>
                <w:lang w:eastAsia="en-ZW"/>
              </w:rPr>
              <w:t>CAR</w:t>
            </w:r>
            <w:r w:rsidR="00826F4F"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w:t>
            </w:r>
            <w:r w:rsidR="008F59FD" w:rsidRPr="003B48AD">
              <w:rPr>
                <w:rFonts w:eastAsia="Times New Roman"/>
                <w:color w:val="000000"/>
                <w:sz w:val="20"/>
                <w:szCs w:val="20"/>
                <w:lang w:eastAsia="en-ZW"/>
              </w:rPr>
              <w:t>Centros de</w:t>
            </w:r>
          </w:p>
          <w:p w14:paraId="23833C2F" w14:textId="77777777" w:rsidR="00526CEF" w:rsidRPr="003B48AD" w:rsidRDefault="008F59FD" w:rsidP="003B48AD">
            <w:pPr>
              <w:jc w:val="left"/>
              <w:rPr>
                <w:rFonts w:eastAsia="Times New Roman"/>
                <w:color w:val="000000"/>
                <w:sz w:val="20"/>
                <w:szCs w:val="20"/>
                <w:lang w:eastAsia="en-ZW"/>
              </w:rPr>
            </w:pPr>
            <w:proofErr w:type="spellStart"/>
            <w:r w:rsidRPr="003B48AD">
              <w:rPr>
                <w:rFonts w:eastAsia="Times New Roman"/>
                <w:color w:val="000000"/>
                <w:sz w:val="20"/>
                <w:szCs w:val="20"/>
                <w:lang w:eastAsia="en-ZW"/>
              </w:rPr>
              <w:t>Triagem</w:t>
            </w:r>
            <w:proofErr w:type="spellEnd"/>
            <w:r w:rsidRPr="003B48AD">
              <w:rPr>
                <w:rFonts w:eastAsia="Times New Roman"/>
                <w:color w:val="000000"/>
                <w:sz w:val="20"/>
                <w:szCs w:val="20"/>
                <w:lang w:eastAsia="en-ZW"/>
              </w:rPr>
              <w:t xml:space="preserve"> de </w:t>
            </w:r>
            <w:proofErr w:type="spellStart"/>
            <w:r w:rsidRPr="003B48AD">
              <w:rPr>
                <w:rFonts w:eastAsia="Times New Roman"/>
                <w:color w:val="000000"/>
                <w:sz w:val="20"/>
                <w:szCs w:val="20"/>
                <w:lang w:eastAsia="en-ZW"/>
              </w:rPr>
              <w:t>Animais</w:t>
            </w:r>
            <w:proofErr w:type="spellEnd"/>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Silvestres</w:t>
            </w:r>
            <w:proofErr w:type="spellEnd"/>
            <w:r w:rsidRPr="003B48AD">
              <w:rPr>
                <w:rFonts w:eastAsia="Times New Roman"/>
                <w:color w:val="000000"/>
                <w:sz w:val="20"/>
                <w:szCs w:val="20"/>
                <w:lang w:eastAsia="en-ZW"/>
              </w:rPr>
              <w:t xml:space="preserve"> (</w:t>
            </w:r>
            <w:r w:rsidR="008B1F15" w:rsidRPr="003B48AD">
              <w:rPr>
                <w:rFonts w:eastAsia="Times New Roman"/>
                <w:color w:val="000000"/>
                <w:sz w:val="20"/>
                <w:szCs w:val="20"/>
                <w:lang w:eastAsia="en-ZW"/>
              </w:rPr>
              <w:t>CETAS</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wildlife screening/rehabilitation network; </w:t>
            </w:r>
            <w:r w:rsidR="00EB1EEA" w:rsidRPr="003B48AD">
              <w:rPr>
                <w:rFonts w:eastAsia="Times New Roman"/>
                <w:color w:val="000000"/>
                <w:sz w:val="20"/>
                <w:szCs w:val="20"/>
                <w:lang w:eastAsia="en-ZW"/>
              </w:rPr>
              <w:t xml:space="preserve">Wildlife </w:t>
            </w:r>
            <w:r w:rsidR="00EB1EEA" w:rsidRPr="003B48AD">
              <w:rPr>
                <w:rFonts w:eastAsia="Times New Roman"/>
                <w:color w:val="000000"/>
                <w:sz w:val="20"/>
                <w:szCs w:val="20"/>
                <w:lang w:eastAsia="en-ZW"/>
              </w:rPr>
              <w:lastRenderedPageBreak/>
              <w:t>Management System (</w:t>
            </w:r>
            <w:r w:rsidR="008B1F15" w:rsidRPr="003B48AD">
              <w:rPr>
                <w:rFonts w:eastAsia="Times New Roman"/>
                <w:color w:val="000000"/>
                <w:sz w:val="20"/>
                <w:szCs w:val="20"/>
                <w:lang w:eastAsia="en-ZW"/>
              </w:rPr>
              <w:t>SISCETAS</w:t>
            </w:r>
            <w:r w:rsidR="00EB1EEA"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w:t>
            </w:r>
            <w:proofErr w:type="spellStart"/>
            <w:r w:rsidR="008B1F15" w:rsidRPr="003B48AD">
              <w:rPr>
                <w:rFonts w:eastAsia="Times New Roman"/>
                <w:color w:val="000000"/>
                <w:sz w:val="20"/>
                <w:szCs w:val="20"/>
                <w:lang w:eastAsia="en-ZW"/>
              </w:rPr>
              <w:t>Monitora</w:t>
            </w:r>
            <w:proofErr w:type="spellEnd"/>
            <w:r w:rsidR="008B1F15" w:rsidRPr="003B48AD">
              <w:rPr>
                <w:rFonts w:eastAsia="Times New Roman"/>
                <w:color w:val="000000"/>
                <w:sz w:val="20"/>
                <w:szCs w:val="20"/>
                <w:lang w:eastAsia="en-ZW"/>
              </w:rPr>
              <w:t xml:space="preserve"> biodiversity monitoring programme; </w:t>
            </w:r>
            <w:r w:rsidR="00526CEF" w:rsidRPr="003B48AD">
              <w:rPr>
                <w:rFonts w:eastAsia="Times New Roman"/>
                <w:color w:val="000000"/>
                <w:sz w:val="20"/>
                <w:szCs w:val="20"/>
                <w:lang w:eastAsia="en-ZW"/>
              </w:rPr>
              <w:t>Chico Mendes Institute for Biodiversity</w:t>
            </w:r>
          </w:p>
          <w:p w14:paraId="159EF2A4" w14:textId="77777777" w:rsidR="00420369" w:rsidRPr="003B48AD" w:rsidRDefault="00526CEF" w:rsidP="003B48AD">
            <w:pPr>
              <w:jc w:val="left"/>
              <w:rPr>
                <w:rFonts w:eastAsia="Times New Roman"/>
                <w:color w:val="000000"/>
                <w:sz w:val="20"/>
                <w:szCs w:val="20"/>
                <w:lang w:eastAsia="en-ZW"/>
              </w:rPr>
            </w:pPr>
            <w:r w:rsidRPr="003B48AD">
              <w:rPr>
                <w:rFonts w:eastAsia="Times New Roman"/>
                <w:color w:val="000000"/>
                <w:sz w:val="20"/>
                <w:szCs w:val="20"/>
                <w:lang w:eastAsia="en-ZW"/>
              </w:rPr>
              <w:t>Conservation (</w:t>
            </w:r>
            <w:r w:rsidR="008B1F15" w:rsidRPr="003B48AD">
              <w:rPr>
                <w:rFonts w:eastAsia="Times New Roman"/>
                <w:color w:val="000000"/>
                <w:sz w:val="20"/>
                <w:szCs w:val="20"/>
                <w:lang w:eastAsia="en-ZW"/>
              </w:rPr>
              <w:t>ICMBio</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land-use, fire and deforestation monitoring tools; </w:t>
            </w:r>
            <w:proofErr w:type="spellStart"/>
            <w:r w:rsidR="00741156" w:rsidRPr="003B48AD">
              <w:rPr>
                <w:rFonts w:eastAsia="Times New Roman"/>
                <w:color w:val="000000"/>
                <w:sz w:val="20"/>
                <w:szCs w:val="20"/>
                <w:lang w:eastAsia="en-ZW"/>
              </w:rPr>
              <w:t>Cazumbá</w:t>
            </w:r>
            <w:proofErr w:type="spellEnd"/>
            <w:r w:rsidR="00741156" w:rsidRPr="003B48AD">
              <w:rPr>
                <w:rFonts w:eastAsia="Times New Roman"/>
                <w:color w:val="000000"/>
                <w:sz w:val="20"/>
                <w:szCs w:val="20"/>
                <w:lang w:eastAsia="en-ZW"/>
              </w:rPr>
              <w:t>-Iracema Extractive Reserve (</w:t>
            </w:r>
            <w:r w:rsidR="008B1F15" w:rsidRPr="003B48AD">
              <w:rPr>
                <w:rFonts w:eastAsia="Times New Roman"/>
                <w:color w:val="000000"/>
                <w:sz w:val="20"/>
                <w:szCs w:val="20"/>
                <w:lang w:eastAsia="en-ZW"/>
              </w:rPr>
              <w:t>RESEX</w:t>
            </w:r>
            <w:r w:rsidR="00741156"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initiatives including </w:t>
            </w:r>
            <w:proofErr w:type="spellStart"/>
            <w:r w:rsidR="008B1F15" w:rsidRPr="003B48AD">
              <w:rPr>
                <w:rFonts w:eastAsia="Times New Roman"/>
                <w:color w:val="000000"/>
                <w:sz w:val="20"/>
                <w:szCs w:val="20"/>
                <w:lang w:eastAsia="en-ZW"/>
              </w:rPr>
              <w:t>Corumbau</w:t>
            </w:r>
            <w:proofErr w:type="spellEnd"/>
            <w:r w:rsidR="008B1F15" w:rsidRPr="003B48AD">
              <w:rPr>
                <w:rFonts w:eastAsia="Times New Roman"/>
                <w:color w:val="000000"/>
                <w:sz w:val="20"/>
                <w:szCs w:val="20"/>
                <w:lang w:eastAsia="en-ZW"/>
              </w:rPr>
              <w:t xml:space="preserve"> </w:t>
            </w:r>
            <w:r w:rsidR="00420369" w:rsidRPr="003B48AD">
              <w:rPr>
                <w:rFonts w:eastAsia="Times New Roman"/>
                <w:color w:val="000000"/>
                <w:sz w:val="20"/>
                <w:szCs w:val="20"/>
                <w:lang w:eastAsia="en-ZW"/>
              </w:rPr>
              <w:t xml:space="preserve">Political-Pedagogical Project of Environmental Education of the </w:t>
            </w:r>
            <w:proofErr w:type="spellStart"/>
            <w:r w:rsidR="00420369" w:rsidRPr="003B48AD">
              <w:rPr>
                <w:rFonts w:eastAsia="Times New Roman"/>
                <w:color w:val="000000"/>
                <w:sz w:val="20"/>
                <w:szCs w:val="20"/>
                <w:lang w:eastAsia="en-ZW"/>
              </w:rPr>
              <w:t>Corumbau</w:t>
            </w:r>
            <w:proofErr w:type="spellEnd"/>
            <w:r w:rsidR="00420369" w:rsidRPr="003B48AD">
              <w:rPr>
                <w:rFonts w:eastAsia="Times New Roman"/>
                <w:color w:val="000000"/>
                <w:sz w:val="20"/>
                <w:szCs w:val="20"/>
                <w:lang w:eastAsia="en-ZW"/>
              </w:rPr>
              <w:t xml:space="preserve"> Marine</w:t>
            </w:r>
          </w:p>
          <w:p w14:paraId="1103AAA3" w14:textId="544D9763" w:rsidR="008B1F15" w:rsidRPr="003B48AD" w:rsidRDefault="00420369" w:rsidP="003B48AD">
            <w:pPr>
              <w:jc w:val="left"/>
              <w:rPr>
                <w:rFonts w:eastAsia="Times New Roman"/>
                <w:color w:val="000000"/>
                <w:sz w:val="20"/>
                <w:szCs w:val="20"/>
                <w:lang w:eastAsia="en-ZW"/>
              </w:rPr>
            </w:pPr>
            <w:r w:rsidRPr="003B48AD">
              <w:rPr>
                <w:rFonts w:eastAsia="Times New Roman"/>
                <w:color w:val="000000"/>
                <w:sz w:val="20"/>
                <w:szCs w:val="20"/>
                <w:lang w:eastAsia="en-ZW"/>
              </w:rPr>
              <w:t>Extractive Reserve (</w:t>
            </w:r>
            <w:r w:rsidR="008B1F15" w:rsidRPr="003B48AD">
              <w:rPr>
                <w:rFonts w:eastAsia="Times New Roman"/>
                <w:color w:val="000000"/>
                <w:sz w:val="20"/>
                <w:szCs w:val="20"/>
                <w:lang w:eastAsia="en-ZW"/>
              </w:rPr>
              <w:t>PPPEA</w:t>
            </w:r>
            <w:r w:rsidRPr="003B48AD">
              <w:rPr>
                <w:rFonts w:eastAsia="Times New Roman"/>
                <w:color w:val="000000"/>
                <w:sz w:val="20"/>
                <w:szCs w:val="20"/>
                <w:lang w:eastAsia="en-ZW"/>
              </w:rPr>
              <w:t>)</w:t>
            </w:r>
            <w:r w:rsidR="008B1F15" w:rsidRPr="003B48AD">
              <w:rPr>
                <w:rFonts w:eastAsia="Times New Roman"/>
                <w:color w:val="000000"/>
                <w:sz w:val="20"/>
                <w:szCs w:val="20"/>
                <w:lang w:eastAsia="en-ZW"/>
              </w:rPr>
              <w:t xml:space="preserve"> and School of Tides and Waters.</w:t>
            </w:r>
          </w:p>
        </w:tc>
        <w:tc>
          <w:tcPr>
            <w:tcW w:w="2268" w:type="dxa"/>
            <w:vAlign w:val="bottom"/>
            <w:hideMark/>
          </w:tcPr>
          <w:p w14:paraId="54B5F5A6" w14:textId="103AB0C4"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 xml:space="preserve">Shows how statutory conservation systems, sustainable-use protected areas, wildlife rescue and rehabilitation, participatory monitoring, endangered-species action planning, traditional knowledge, environmental education, technical cooperation, geospatial monitoring and public forest/native vegetation laws can be combined in a national </w:t>
            </w:r>
            <w:r w:rsidR="00420369" w:rsidRPr="003B48AD">
              <w:rPr>
                <w:rFonts w:eastAsia="Times New Roman"/>
                <w:color w:val="000000"/>
                <w:sz w:val="20"/>
                <w:szCs w:val="20"/>
                <w:lang w:eastAsia="en-ZW"/>
              </w:rPr>
              <w:t xml:space="preserve">sustainable wildlife management </w:t>
            </w:r>
            <w:r w:rsidRPr="003B48AD">
              <w:rPr>
                <w:rFonts w:eastAsia="Times New Roman"/>
                <w:color w:val="000000"/>
                <w:sz w:val="20"/>
                <w:szCs w:val="20"/>
                <w:lang w:eastAsia="en-ZW"/>
              </w:rPr>
              <w:t>framework.</w:t>
            </w:r>
          </w:p>
        </w:tc>
        <w:tc>
          <w:tcPr>
            <w:tcW w:w="1276" w:type="dxa"/>
            <w:vAlign w:val="bottom"/>
            <w:hideMark/>
          </w:tcPr>
          <w:p w14:paraId="639DB140" w14:textId="291B245E" w:rsidR="008B1F15" w:rsidRPr="003B48AD" w:rsidRDefault="00B52C7E"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3, </w:t>
            </w:r>
            <w:r w:rsidR="008B1F15" w:rsidRPr="003B48AD">
              <w:rPr>
                <w:rFonts w:eastAsia="Times New Roman"/>
                <w:color w:val="000000"/>
                <w:sz w:val="20"/>
                <w:szCs w:val="20"/>
                <w:lang w:eastAsia="en-ZW"/>
              </w:rPr>
              <w:t>4, 5, 9, 10, 21, 22</w:t>
            </w:r>
          </w:p>
        </w:tc>
      </w:tr>
      <w:tr w:rsidR="008B1F15" w:rsidRPr="00CF13A0" w14:paraId="747B9F80" w14:textId="77777777" w:rsidTr="003B48AD">
        <w:trPr>
          <w:trHeight w:val="1408"/>
        </w:trPr>
        <w:tc>
          <w:tcPr>
            <w:tcW w:w="1408" w:type="dxa"/>
            <w:vAlign w:val="bottom"/>
            <w:hideMark/>
          </w:tcPr>
          <w:p w14:paraId="7D23345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Canada</w:t>
            </w:r>
          </w:p>
        </w:tc>
        <w:tc>
          <w:tcPr>
            <w:tcW w:w="1035" w:type="dxa"/>
            <w:vAlign w:val="bottom"/>
            <w:hideMark/>
          </w:tcPr>
          <w:p w14:paraId="4A9C708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6E96EE3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2F3CE29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4DCE4A9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E11885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01A8052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25DADF7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58BBD5C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39065C0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Amphibians, reptiles; furbearers; caribou; forest landscapes; Indigenous seed species; fire stewardship; monarch butterflies; wetlands and land restoration</w:t>
            </w:r>
          </w:p>
        </w:tc>
        <w:tc>
          <w:tcPr>
            <w:tcW w:w="1418" w:type="dxa"/>
            <w:vAlign w:val="bottom"/>
            <w:hideMark/>
          </w:tcPr>
          <w:p w14:paraId="4405310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Multi-example portfolio: wildlife-trade risk assessment, humane trapping standards, co-developed and Indigenous-led monitoring, forest/landscape stewardship, knowledge networks, and policy coordination</w:t>
            </w:r>
          </w:p>
        </w:tc>
        <w:tc>
          <w:tcPr>
            <w:tcW w:w="2409" w:type="dxa"/>
            <w:vAlign w:val="bottom"/>
            <w:hideMark/>
          </w:tcPr>
          <w:p w14:paraId="163724D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Healthy Trade Institute (HTI), Environment and Climate Change Canada (ECCC) trade and pathogen-risk work; Agreement on International Humane Trapping Standards (AIHTS) and furbearer management; caribou pathogen surveillance; National Forest Inventory; International Model Forest Network; Indigenous Seed Collection Program; </w:t>
            </w:r>
            <w:proofErr w:type="spellStart"/>
            <w:r w:rsidRPr="003B48AD">
              <w:rPr>
                <w:rFonts w:eastAsia="Times New Roman"/>
                <w:color w:val="000000"/>
                <w:sz w:val="20"/>
                <w:szCs w:val="20"/>
                <w:lang w:eastAsia="en-ZW"/>
              </w:rPr>
              <w:t>REDfire</w:t>
            </w:r>
            <w:proofErr w:type="spellEnd"/>
            <w:r w:rsidRPr="003B48AD">
              <w:rPr>
                <w:rFonts w:eastAsia="Times New Roman"/>
                <w:color w:val="000000"/>
                <w:sz w:val="20"/>
                <w:szCs w:val="20"/>
                <w:lang w:eastAsia="en-ZW"/>
              </w:rPr>
              <w:t xml:space="preserve"> Lab; monarch conservation; Canadian Conservation and Land Management knowledge </w:t>
            </w:r>
            <w:r w:rsidRPr="003B48AD">
              <w:rPr>
                <w:rFonts w:eastAsia="Times New Roman"/>
                <w:color w:val="000000"/>
                <w:sz w:val="20"/>
                <w:szCs w:val="20"/>
                <w:lang w:eastAsia="en-ZW"/>
              </w:rPr>
              <w:lastRenderedPageBreak/>
              <w:t>network (CCLM); The Indigenous Science, Technology, Engineering, and Mathematics (I-STEM).</w:t>
            </w:r>
          </w:p>
        </w:tc>
        <w:tc>
          <w:tcPr>
            <w:tcW w:w="2268" w:type="dxa"/>
            <w:vAlign w:val="bottom"/>
            <w:hideMark/>
          </w:tcPr>
          <w:p w14:paraId="5C8C8479" w14:textId="511FB631"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 xml:space="preserve">Links safe, legal wildlife trade, humane use, Indigenous knowledge and leadership, pathogen surveillance, caribou and forest monitoring, landscape governance, restoration knowledge-sharing, and coordinated </w:t>
            </w:r>
            <w:r w:rsidR="00C457C9" w:rsidRPr="003B48AD">
              <w:rPr>
                <w:rFonts w:eastAsia="Times New Roman"/>
                <w:color w:val="000000"/>
                <w:sz w:val="20"/>
                <w:szCs w:val="20"/>
                <w:lang w:eastAsia="en-ZW"/>
              </w:rPr>
              <w:t>Federal, Provincial, and Territorial governments (</w:t>
            </w:r>
            <w:r w:rsidRPr="003B48AD">
              <w:rPr>
                <w:rFonts w:eastAsia="Times New Roman"/>
                <w:color w:val="000000"/>
                <w:sz w:val="20"/>
                <w:szCs w:val="20"/>
                <w:lang w:eastAsia="en-ZW"/>
              </w:rPr>
              <w:t>FPTI</w:t>
            </w:r>
            <w:r w:rsidR="00C457C9" w:rsidRPr="003B48AD">
              <w:rPr>
                <w:rFonts w:eastAsia="Times New Roman"/>
                <w:color w:val="000000"/>
                <w:sz w:val="20"/>
                <w:szCs w:val="20"/>
                <w:lang w:eastAsia="en-ZW"/>
              </w:rPr>
              <w:t>)</w:t>
            </w:r>
            <w:r w:rsidRPr="003B48AD">
              <w:rPr>
                <w:rFonts w:eastAsia="Times New Roman"/>
                <w:color w:val="000000"/>
                <w:sz w:val="20"/>
                <w:szCs w:val="20"/>
                <w:lang w:eastAsia="en-ZW"/>
              </w:rPr>
              <w:t xml:space="preserve"> collaboration.</w:t>
            </w:r>
          </w:p>
        </w:tc>
        <w:tc>
          <w:tcPr>
            <w:tcW w:w="1276" w:type="dxa"/>
            <w:vAlign w:val="bottom"/>
            <w:hideMark/>
          </w:tcPr>
          <w:p w14:paraId="15C2FD49" w14:textId="11810584"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4, 5, 9</w:t>
            </w:r>
          </w:p>
        </w:tc>
      </w:tr>
      <w:tr w:rsidR="008B1F15" w:rsidRPr="00CF13A0" w14:paraId="3CF84A12" w14:textId="77777777" w:rsidTr="00C603BF">
        <w:trPr>
          <w:trHeight w:val="1692"/>
        </w:trPr>
        <w:tc>
          <w:tcPr>
            <w:tcW w:w="1408" w:type="dxa"/>
            <w:vAlign w:val="bottom"/>
            <w:hideMark/>
          </w:tcPr>
          <w:p w14:paraId="45A2E45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European Union</w:t>
            </w:r>
          </w:p>
        </w:tc>
        <w:tc>
          <w:tcPr>
            <w:tcW w:w="1035" w:type="dxa"/>
            <w:vAlign w:val="bottom"/>
            <w:hideMark/>
          </w:tcPr>
          <w:p w14:paraId="151FAF2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Party </w:t>
            </w:r>
          </w:p>
        </w:tc>
        <w:tc>
          <w:tcPr>
            <w:tcW w:w="326" w:type="dxa"/>
            <w:vAlign w:val="bottom"/>
            <w:hideMark/>
          </w:tcPr>
          <w:p w14:paraId="7B8F768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9C339E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61919F3F" w14:textId="77777777" w:rsidR="008B1F15" w:rsidRPr="003B48AD" w:rsidRDefault="008B1F15" w:rsidP="003B48AD">
            <w:pPr>
              <w:jc w:val="left"/>
              <w:rPr>
                <w:rFonts w:eastAsia="Times New Roman"/>
                <w:color w:val="000000"/>
                <w:sz w:val="20"/>
                <w:szCs w:val="20"/>
                <w:lang w:eastAsia="en-ZW"/>
              </w:rPr>
            </w:pPr>
          </w:p>
        </w:tc>
        <w:tc>
          <w:tcPr>
            <w:tcW w:w="333" w:type="dxa"/>
            <w:vAlign w:val="bottom"/>
            <w:hideMark/>
          </w:tcPr>
          <w:p w14:paraId="2A971A8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01E1F42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545F613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6A2162E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DDC4CA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Large carnivores, especially wolf, brown bear, Eurasian lynx and Balkan lynx; pastoralism, High Nature Value farming, livestock-wildlife coexistence, multifunctional landscapes and connectivity corridors</w:t>
            </w:r>
          </w:p>
        </w:tc>
        <w:tc>
          <w:tcPr>
            <w:tcW w:w="1418" w:type="dxa"/>
            <w:vAlign w:val="bottom"/>
            <w:hideMark/>
          </w:tcPr>
          <w:p w14:paraId="27756B8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Stakeholder dialogue platforms, transboundary cooperation, coexistence governance, applied research and capacity-building</w:t>
            </w:r>
          </w:p>
        </w:tc>
        <w:tc>
          <w:tcPr>
            <w:tcW w:w="2409" w:type="dxa"/>
            <w:vAlign w:val="bottom"/>
            <w:hideMark/>
          </w:tcPr>
          <w:p w14:paraId="5EA9D641" w14:textId="780A66E5"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E</w:t>
            </w:r>
            <w:r w:rsidR="00C457C9" w:rsidRPr="003B48AD">
              <w:rPr>
                <w:rFonts w:eastAsia="Times New Roman"/>
                <w:color w:val="000000"/>
                <w:sz w:val="20"/>
                <w:szCs w:val="20"/>
                <w:lang w:eastAsia="en-ZW"/>
              </w:rPr>
              <w:t xml:space="preserve">uropean </w:t>
            </w:r>
            <w:r w:rsidRPr="003B48AD">
              <w:rPr>
                <w:rFonts w:eastAsia="Times New Roman"/>
                <w:color w:val="000000"/>
                <w:sz w:val="20"/>
                <w:szCs w:val="20"/>
                <w:lang w:eastAsia="en-ZW"/>
              </w:rPr>
              <w:t>U</w:t>
            </w:r>
            <w:r w:rsidR="003D7477" w:rsidRPr="003B48AD">
              <w:rPr>
                <w:rFonts w:eastAsia="Times New Roman"/>
                <w:color w:val="000000"/>
                <w:sz w:val="20"/>
                <w:szCs w:val="20"/>
                <w:lang w:eastAsia="en-ZW"/>
              </w:rPr>
              <w:t>nion</w:t>
            </w:r>
            <w:r w:rsidRPr="003B48AD">
              <w:rPr>
                <w:rFonts w:eastAsia="Times New Roman"/>
                <w:color w:val="000000"/>
                <w:sz w:val="20"/>
                <w:szCs w:val="20"/>
                <w:lang w:eastAsia="en-ZW"/>
              </w:rPr>
              <w:t xml:space="preserve"> Platform on Coexistence between People and Large Carnivores; </w:t>
            </w:r>
            <w:proofErr w:type="spellStart"/>
            <w:r w:rsidRPr="003B48AD">
              <w:rPr>
                <w:rFonts w:eastAsia="Times New Roman"/>
                <w:color w:val="000000"/>
                <w:sz w:val="20"/>
                <w:szCs w:val="20"/>
                <w:lang w:eastAsia="en-ZW"/>
              </w:rPr>
              <w:t>CoCo</w:t>
            </w:r>
            <w:proofErr w:type="spellEnd"/>
            <w:r w:rsidRPr="003B48AD">
              <w:rPr>
                <w:rFonts w:eastAsia="Times New Roman"/>
                <w:color w:val="000000"/>
                <w:sz w:val="20"/>
                <w:szCs w:val="20"/>
                <w:lang w:eastAsia="en-ZW"/>
              </w:rPr>
              <w:t xml:space="preserve"> Horizon Europe project on pastoralism and wildlife in multifunctional landscapes; Dinaric-Balkan-Pindos Large Carnivore Platform, including plenary/thematic meetings, stakeholder exchange, monitoring handbook work, connectivity assessment, intervention-team capacity-building and emerging MoU process.</w:t>
            </w:r>
          </w:p>
        </w:tc>
        <w:tc>
          <w:tcPr>
            <w:tcW w:w="2268" w:type="dxa"/>
            <w:vAlign w:val="bottom"/>
            <w:hideMark/>
          </w:tcPr>
          <w:p w14:paraId="348D63C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that coexistence requires multi-level stakeholder dialogue, local/regional tailoring, transboundary cooperation, shared responsibility for costs, integration of scientific, traditional and practical knowledge, monitoring, capacity-building, and support for pastoralists and High Nature Value farming.</w:t>
            </w:r>
          </w:p>
        </w:tc>
        <w:tc>
          <w:tcPr>
            <w:tcW w:w="1276" w:type="dxa"/>
            <w:vAlign w:val="bottom"/>
            <w:hideMark/>
          </w:tcPr>
          <w:p w14:paraId="2F391C1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5, 9, 10, 21, 22</w:t>
            </w:r>
          </w:p>
        </w:tc>
      </w:tr>
      <w:tr w:rsidR="008B1F15" w:rsidRPr="00CF13A0" w14:paraId="07C2B24A" w14:textId="77777777" w:rsidTr="00C603BF">
        <w:trPr>
          <w:trHeight w:val="2030"/>
        </w:trPr>
        <w:tc>
          <w:tcPr>
            <w:tcW w:w="1408" w:type="dxa"/>
            <w:vAlign w:val="bottom"/>
            <w:hideMark/>
          </w:tcPr>
          <w:p w14:paraId="1C3E5D9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Mexico</w:t>
            </w:r>
          </w:p>
        </w:tc>
        <w:tc>
          <w:tcPr>
            <w:tcW w:w="1035" w:type="dxa"/>
            <w:vAlign w:val="bottom"/>
            <w:hideMark/>
          </w:tcPr>
          <w:p w14:paraId="1F996DE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5C192C8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CCDFE1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1599003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29AAD5C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19D77D1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AE7DB9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2BDFF4B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49BBE79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CITES-listed wildlife and timber; </w:t>
            </w:r>
            <w:proofErr w:type="spellStart"/>
            <w:r w:rsidRPr="003B48AD">
              <w:rPr>
                <w:rFonts w:eastAsia="Times New Roman"/>
                <w:color w:val="000000"/>
                <w:sz w:val="20"/>
                <w:szCs w:val="20"/>
                <w:lang w:eastAsia="en-ZW"/>
              </w:rPr>
              <w:t>Morelet's</w:t>
            </w:r>
            <w:proofErr w:type="spellEnd"/>
            <w:r w:rsidRPr="003B48AD">
              <w:rPr>
                <w:rFonts w:eastAsia="Times New Roman"/>
                <w:color w:val="000000"/>
                <w:sz w:val="20"/>
                <w:szCs w:val="20"/>
                <w:lang w:eastAsia="en-ZW"/>
              </w:rPr>
              <w:t xml:space="preserve"> crocodile, desert bighorn sheep, mahogany; UMAs and community forests</w:t>
            </w:r>
          </w:p>
        </w:tc>
        <w:tc>
          <w:tcPr>
            <w:tcW w:w="1418" w:type="dxa"/>
            <w:vAlign w:val="bottom"/>
            <w:hideMark/>
          </w:tcPr>
          <w:p w14:paraId="48B1A21E" w14:textId="6859AF1C"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Legal framework, </w:t>
            </w:r>
            <w:r w:rsidR="00227C26" w:rsidRPr="003B48AD">
              <w:rPr>
                <w:rFonts w:eastAsia="Times New Roman"/>
                <w:color w:val="000000"/>
                <w:sz w:val="20"/>
                <w:szCs w:val="20"/>
                <w:lang w:eastAsia="en-ZW"/>
              </w:rPr>
              <w:t>Convention on International Trade in Endangered Species (</w:t>
            </w:r>
            <w:r w:rsidRPr="003B48AD">
              <w:rPr>
                <w:rFonts w:eastAsia="Times New Roman"/>
                <w:color w:val="000000"/>
                <w:sz w:val="20"/>
                <w:szCs w:val="20"/>
                <w:lang w:eastAsia="en-ZW"/>
              </w:rPr>
              <w:t>CITES</w:t>
            </w:r>
            <w:r w:rsidR="00227C26" w:rsidRPr="003B48AD">
              <w:rPr>
                <w:rFonts w:eastAsia="Times New Roman"/>
                <w:color w:val="000000"/>
                <w:sz w:val="20"/>
                <w:szCs w:val="20"/>
                <w:lang w:eastAsia="en-ZW"/>
              </w:rPr>
              <w:t>)</w:t>
            </w:r>
            <w:r w:rsidRPr="003B48AD">
              <w:rPr>
                <w:rFonts w:eastAsia="Times New Roman"/>
                <w:color w:val="000000"/>
                <w:sz w:val="20"/>
                <w:szCs w:val="20"/>
                <w:lang w:eastAsia="en-ZW"/>
              </w:rPr>
              <w:t xml:space="preserve"> implementation, community-based sustainable use</w:t>
            </w:r>
          </w:p>
        </w:tc>
        <w:tc>
          <w:tcPr>
            <w:tcW w:w="2409" w:type="dxa"/>
            <w:vAlign w:val="bottom"/>
            <w:hideMark/>
          </w:tcPr>
          <w:p w14:paraId="61A52D31" w14:textId="4E1E64ED"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Wildlife Management Units (UMAs); CITES</w:t>
            </w:r>
            <w:r w:rsidR="002E205F" w:rsidRPr="003B48AD">
              <w:rPr>
                <w:rFonts w:eastAsia="Times New Roman"/>
                <w:color w:val="000000"/>
                <w:sz w:val="20"/>
                <w:szCs w:val="20"/>
                <w:lang w:eastAsia="en-ZW"/>
              </w:rPr>
              <w:t xml:space="preserve"> </w:t>
            </w:r>
            <w:r w:rsidR="00227C26" w:rsidRPr="003B48AD">
              <w:rPr>
                <w:rFonts w:eastAsia="Times New Roman"/>
                <w:color w:val="000000"/>
                <w:sz w:val="20"/>
                <w:szCs w:val="20"/>
                <w:lang w:eastAsia="en-ZW"/>
              </w:rPr>
              <w:t>Non-Detriment Finding</w:t>
            </w:r>
            <w:r w:rsidRPr="003B48AD">
              <w:rPr>
                <w:rFonts w:eastAsia="Times New Roman"/>
                <w:color w:val="000000"/>
                <w:sz w:val="20"/>
                <w:szCs w:val="20"/>
                <w:lang w:eastAsia="en-ZW"/>
              </w:rPr>
              <w:t xml:space="preserve"> </w:t>
            </w:r>
            <w:r w:rsidR="00227C26" w:rsidRPr="003B48AD">
              <w:rPr>
                <w:rFonts w:eastAsia="Times New Roman"/>
                <w:color w:val="000000"/>
                <w:sz w:val="20"/>
                <w:szCs w:val="20"/>
                <w:lang w:eastAsia="en-ZW"/>
              </w:rPr>
              <w:t>(</w:t>
            </w:r>
            <w:r w:rsidRPr="003B48AD">
              <w:rPr>
                <w:rFonts w:eastAsia="Times New Roman"/>
                <w:color w:val="000000"/>
                <w:sz w:val="20"/>
                <w:szCs w:val="20"/>
                <w:lang w:eastAsia="en-ZW"/>
              </w:rPr>
              <w:t>NDFs</w:t>
            </w:r>
            <w:r w:rsidR="00227C26" w:rsidRPr="003B48AD">
              <w:rPr>
                <w:rFonts w:eastAsia="Times New Roman"/>
                <w:color w:val="000000"/>
                <w:sz w:val="20"/>
                <w:szCs w:val="20"/>
                <w:lang w:eastAsia="en-ZW"/>
              </w:rPr>
              <w:t>)</w:t>
            </w:r>
            <w:r w:rsidRPr="003B48AD">
              <w:rPr>
                <w:rFonts w:eastAsia="Times New Roman"/>
                <w:color w:val="000000"/>
                <w:sz w:val="20"/>
                <w:szCs w:val="20"/>
                <w:lang w:eastAsia="en-ZW"/>
              </w:rPr>
              <w:t xml:space="preserve"> and technical opinions; </w:t>
            </w:r>
            <w:proofErr w:type="spellStart"/>
            <w:r w:rsidRPr="003B48AD">
              <w:rPr>
                <w:rFonts w:eastAsia="Times New Roman"/>
                <w:color w:val="000000"/>
                <w:sz w:val="20"/>
                <w:szCs w:val="20"/>
                <w:lang w:eastAsia="en-ZW"/>
              </w:rPr>
              <w:t>Morelet's</w:t>
            </w:r>
            <w:proofErr w:type="spellEnd"/>
            <w:r w:rsidRPr="003B48AD">
              <w:rPr>
                <w:rFonts w:eastAsia="Times New Roman"/>
                <w:color w:val="000000"/>
                <w:sz w:val="20"/>
                <w:szCs w:val="20"/>
                <w:lang w:eastAsia="en-ZW"/>
              </w:rPr>
              <w:t xml:space="preserve"> crocodile ranching; bighorn sheep management; community forestry for mahogany.</w:t>
            </w:r>
          </w:p>
        </w:tc>
        <w:tc>
          <w:tcPr>
            <w:tcW w:w="2268" w:type="dxa"/>
            <w:vAlign w:val="bottom"/>
            <w:hideMark/>
          </w:tcPr>
          <w:p w14:paraId="18C397E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how constitutional rights, wildlife law, CITES processes, participatory consultation, community monitoring, fair sales, and habitat conservation can be linked in sustainable-use value chains.</w:t>
            </w:r>
          </w:p>
        </w:tc>
        <w:tc>
          <w:tcPr>
            <w:tcW w:w="1276" w:type="dxa"/>
            <w:vAlign w:val="bottom"/>
            <w:hideMark/>
          </w:tcPr>
          <w:p w14:paraId="22A7505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5, 9, 10, 21, 22</w:t>
            </w:r>
          </w:p>
        </w:tc>
      </w:tr>
      <w:tr w:rsidR="008B1F15" w:rsidRPr="00CF13A0" w14:paraId="51D52B16" w14:textId="77777777" w:rsidTr="00C603BF">
        <w:trPr>
          <w:trHeight w:val="1740"/>
        </w:trPr>
        <w:tc>
          <w:tcPr>
            <w:tcW w:w="1408" w:type="dxa"/>
            <w:vAlign w:val="bottom"/>
            <w:hideMark/>
          </w:tcPr>
          <w:p w14:paraId="533E84B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Pakistan</w:t>
            </w:r>
          </w:p>
        </w:tc>
        <w:tc>
          <w:tcPr>
            <w:tcW w:w="1035" w:type="dxa"/>
            <w:vAlign w:val="bottom"/>
            <w:hideMark/>
          </w:tcPr>
          <w:p w14:paraId="207562E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5260014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81DAD9A" w14:textId="77777777" w:rsidR="008B1F15" w:rsidRPr="003B48AD" w:rsidRDefault="008B1F15" w:rsidP="003B48AD">
            <w:pPr>
              <w:jc w:val="left"/>
              <w:rPr>
                <w:rFonts w:eastAsia="Times New Roman"/>
                <w:color w:val="000000"/>
                <w:sz w:val="20"/>
                <w:szCs w:val="20"/>
                <w:lang w:eastAsia="en-ZW"/>
              </w:rPr>
            </w:pPr>
          </w:p>
        </w:tc>
        <w:tc>
          <w:tcPr>
            <w:tcW w:w="326" w:type="dxa"/>
            <w:vAlign w:val="bottom"/>
            <w:hideMark/>
          </w:tcPr>
          <w:p w14:paraId="3599B84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53E37C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1EEEC6E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49515E3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5197423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32D3E53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Markhor, urial, blue sheep, Himalayan ibex, Sindh wild goat</w:t>
            </w:r>
          </w:p>
        </w:tc>
        <w:tc>
          <w:tcPr>
            <w:tcW w:w="1418" w:type="dxa"/>
            <w:vAlign w:val="bottom"/>
            <w:hideMark/>
          </w:tcPr>
          <w:p w14:paraId="060E23E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Community-based sustainable use / incentive mechanism</w:t>
            </w:r>
          </w:p>
        </w:tc>
        <w:tc>
          <w:tcPr>
            <w:tcW w:w="2409" w:type="dxa"/>
            <w:vAlign w:val="bottom"/>
            <w:hideMark/>
          </w:tcPr>
          <w:p w14:paraId="678477C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Community-Based Trophy Hunting Programme, including early examples in </w:t>
            </w:r>
            <w:proofErr w:type="spellStart"/>
            <w:r w:rsidRPr="003B48AD">
              <w:rPr>
                <w:rFonts w:eastAsia="Times New Roman"/>
                <w:color w:val="000000"/>
                <w:sz w:val="20"/>
                <w:szCs w:val="20"/>
                <w:lang w:eastAsia="en-ZW"/>
              </w:rPr>
              <w:t>Torghar</w:t>
            </w:r>
            <w:proofErr w:type="spellEnd"/>
            <w:r w:rsidRPr="003B48AD">
              <w:rPr>
                <w:rFonts w:eastAsia="Times New Roman"/>
                <w:color w:val="000000"/>
                <w:sz w:val="20"/>
                <w:szCs w:val="20"/>
                <w:lang w:eastAsia="en-ZW"/>
              </w:rPr>
              <w:t xml:space="preserve"> and Barr Valley, with CITES markhor quotas, provincial/territorial open auctions, conservation management plans, monitoring, and 80% revenue share to local communities.</w:t>
            </w:r>
          </w:p>
        </w:tc>
        <w:tc>
          <w:tcPr>
            <w:tcW w:w="2268" w:type="dxa"/>
            <w:vAlign w:val="bottom"/>
            <w:hideMark/>
          </w:tcPr>
          <w:p w14:paraId="5FF53C0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Illustrates how regulated use can incentivize community protection, anti-poaching, surveys, habitat improvement, and local socioeconomic benefits.</w:t>
            </w:r>
          </w:p>
        </w:tc>
        <w:tc>
          <w:tcPr>
            <w:tcW w:w="1276" w:type="dxa"/>
            <w:vAlign w:val="bottom"/>
            <w:hideMark/>
          </w:tcPr>
          <w:p w14:paraId="5E0DC89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5, 9, 21, 22</w:t>
            </w:r>
          </w:p>
        </w:tc>
      </w:tr>
      <w:tr w:rsidR="008B1F15" w:rsidRPr="00CF13A0" w14:paraId="7D28D09F" w14:textId="77777777" w:rsidTr="00C603BF">
        <w:trPr>
          <w:trHeight w:val="1740"/>
        </w:trPr>
        <w:tc>
          <w:tcPr>
            <w:tcW w:w="1408" w:type="dxa"/>
            <w:vAlign w:val="bottom"/>
            <w:hideMark/>
          </w:tcPr>
          <w:p w14:paraId="79E2C9D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Peru</w:t>
            </w:r>
          </w:p>
        </w:tc>
        <w:tc>
          <w:tcPr>
            <w:tcW w:w="1035" w:type="dxa"/>
            <w:vAlign w:val="bottom"/>
            <w:hideMark/>
          </w:tcPr>
          <w:p w14:paraId="0C66886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548B0FD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5EC593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07277B36" w14:textId="77777777" w:rsidR="008B1F15" w:rsidRPr="003B48AD" w:rsidRDefault="008B1F15" w:rsidP="003B48AD">
            <w:pPr>
              <w:jc w:val="left"/>
              <w:rPr>
                <w:rFonts w:eastAsia="Times New Roman"/>
                <w:color w:val="000000"/>
                <w:sz w:val="20"/>
                <w:szCs w:val="20"/>
                <w:lang w:eastAsia="en-ZW"/>
              </w:rPr>
            </w:pPr>
          </w:p>
        </w:tc>
        <w:tc>
          <w:tcPr>
            <w:tcW w:w="333" w:type="dxa"/>
            <w:vAlign w:val="bottom"/>
            <w:hideMark/>
          </w:tcPr>
          <w:p w14:paraId="10AE6D3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0EA052A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378EFC8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37A7B3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0CD4F0D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Protected areas; vicuna; yellow-spotted river turtle/</w:t>
            </w:r>
            <w:proofErr w:type="spellStart"/>
            <w:r w:rsidRPr="003B48AD">
              <w:rPr>
                <w:rFonts w:eastAsia="Times New Roman"/>
                <w:color w:val="000000"/>
                <w:sz w:val="20"/>
                <w:szCs w:val="20"/>
                <w:lang w:eastAsia="en-ZW"/>
              </w:rPr>
              <w:t>taricaya</w:t>
            </w:r>
            <w:proofErr w:type="spellEnd"/>
            <w:r w:rsidRPr="003B48AD">
              <w:rPr>
                <w:rFonts w:eastAsia="Times New Roman"/>
                <w:color w:val="000000"/>
                <w:sz w:val="20"/>
                <w:szCs w:val="20"/>
                <w:lang w:eastAsia="en-ZW"/>
              </w:rPr>
              <w:t>; mahi-mahi/</w:t>
            </w:r>
            <w:proofErr w:type="spellStart"/>
            <w:r w:rsidRPr="003B48AD">
              <w:rPr>
                <w:rFonts w:eastAsia="Times New Roman"/>
                <w:color w:val="000000"/>
                <w:sz w:val="20"/>
                <w:szCs w:val="20"/>
                <w:lang w:eastAsia="en-ZW"/>
              </w:rPr>
              <w:t>perico</w:t>
            </w:r>
            <w:proofErr w:type="spellEnd"/>
            <w:r w:rsidRPr="003B48AD">
              <w:rPr>
                <w:rFonts w:eastAsia="Times New Roman"/>
                <w:color w:val="000000"/>
                <w:sz w:val="20"/>
                <w:szCs w:val="20"/>
                <w:lang w:eastAsia="en-ZW"/>
              </w:rPr>
              <w:t>; CITES-listed species</w:t>
            </w:r>
          </w:p>
        </w:tc>
        <w:tc>
          <w:tcPr>
            <w:tcW w:w="1418" w:type="dxa"/>
            <w:vAlign w:val="bottom"/>
            <w:hideMark/>
          </w:tcPr>
          <w:p w14:paraId="6027A95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Participatory protected-area governance, community wildlife management, fisheries regulation, intersectoral coordination</w:t>
            </w:r>
          </w:p>
        </w:tc>
        <w:tc>
          <w:tcPr>
            <w:tcW w:w="2409" w:type="dxa"/>
            <w:vAlign w:val="bottom"/>
            <w:hideMark/>
          </w:tcPr>
          <w:p w14:paraId="6C975A05" w14:textId="01B05C0A"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Communal life and conservation plans; </w:t>
            </w:r>
            <w:proofErr w:type="spellStart"/>
            <w:r w:rsidR="00906359" w:rsidRPr="003B48AD">
              <w:rPr>
                <w:rFonts w:eastAsia="Times New Roman"/>
                <w:color w:val="000000"/>
                <w:sz w:val="20"/>
                <w:szCs w:val="20"/>
                <w:lang w:eastAsia="en-ZW"/>
              </w:rPr>
              <w:t>Áreas</w:t>
            </w:r>
            <w:proofErr w:type="spellEnd"/>
            <w:r w:rsidR="00906359" w:rsidRPr="003B48AD">
              <w:rPr>
                <w:rFonts w:eastAsia="Times New Roman"/>
                <w:color w:val="000000"/>
                <w:sz w:val="20"/>
                <w:szCs w:val="20"/>
                <w:lang w:eastAsia="en-ZW"/>
              </w:rPr>
              <w:t xml:space="preserve"> Naturales </w:t>
            </w:r>
            <w:proofErr w:type="spellStart"/>
            <w:r w:rsidR="00906359" w:rsidRPr="003B48AD">
              <w:rPr>
                <w:rFonts w:eastAsia="Times New Roman"/>
                <w:color w:val="000000"/>
                <w:sz w:val="20"/>
                <w:szCs w:val="20"/>
                <w:lang w:eastAsia="en-ZW"/>
              </w:rPr>
              <w:t>Protegidas</w:t>
            </w:r>
            <w:proofErr w:type="spellEnd"/>
            <w:r w:rsidR="00906359" w:rsidRPr="003B48AD">
              <w:rPr>
                <w:rFonts w:eastAsia="Times New Roman"/>
                <w:color w:val="000000"/>
                <w:sz w:val="20"/>
                <w:szCs w:val="20"/>
                <w:lang w:eastAsia="en-ZW"/>
              </w:rPr>
              <w:t xml:space="preserve"> (</w:t>
            </w:r>
            <w:r w:rsidRPr="003B48AD">
              <w:rPr>
                <w:rFonts w:eastAsia="Times New Roman"/>
                <w:color w:val="000000"/>
                <w:sz w:val="20"/>
                <w:szCs w:val="20"/>
                <w:lang w:eastAsia="en-ZW"/>
              </w:rPr>
              <w:t>ANP</w:t>
            </w:r>
            <w:r w:rsidR="00906359" w:rsidRPr="003B48AD">
              <w:rPr>
                <w:rFonts w:eastAsia="Times New Roman"/>
                <w:color w:val="000000"/>
                <w:sz w:val="20"/>
                <w:szCs w:val="20"/>
                <w:lang w:eastAsia="en-ZW"/>
              </w:rPr>
              <w:t>)</w:t>
            </w:r>
            <w:r w:rsidRPr="003B48AD">
              <w:rPr>
                <w:rFonts w:eastAsia="Times New Roman"/>
                <w:color w:val="000000"/>
                <w:sz w:val="20"/>
                <w:szCs w:val="20"/>
                <w:lang w:eastAsia="en-ZW"/>
              </w:rPr>
              <w:t xml:space="preserve"> management committees; vicuna </w:t>
            </w:r>
            <w:proofErr w:type="spellStart"/>
            <w:r w:rsidRPr="003B48AD">
              <w:rPr>
                <w:rFonts w:eastAsia="Times New Roman"/>
                <w:color w:val="000000"/>
                <w:sz w:val="20"/>
                <w:szCs w:val="20"/>
                <w:lang w:eastAsia="en-ZW"/>
              </w:rPr>
              <w:t>chaccu</w:t>
            </w:r>
            <w:proofErr w:type="spellEnd"/>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taricaya</w:t>
            </w:r>
            <w:proofErr w:type="spellEnd"/>
            <w:r w:rsidRPr="003B48AD">
              <w:rPr>
                <w:rFonts w:eastAsia="Times New Roman"/>
                <w:color w:val="000000"/>
                <w:sz w:val="20"/>
                <w:szCs w:val="20"/>
                <w:lang w:eastAsia="en-ZW"/>
              </w:rPr>
              <w:t xml:space="preserve"> management in </w:t>
            </w:r>
            <w:proofErr w:type="spellStart"/>
            <w:r w:rsidRPr="003B48AD">
              <w:rPr>
                <w:rFonts w:eastAsia="Times New Roman"/>
                <w:color w:val="000000"/>
                <w:sz w:val="20"/>
                <w:szCs w:val="20"/>
                <w:lang w:eastAsia="en-ZW"/>
              </w:rPr>
              <w:t>Pacaya</w:t>
            </w:r>
            <w:proofErr w:type="spellEnd"/>
            <w:r w:rsidRPr="003B48AD">
              <w:rPr>
                <w:rFonts w:eastAsia="Times New Roman"/>
                <w:color w:val="000000"/>
                <w:sz w:val="20"/>
                <w:szCs w:val="20"/>
                <w:lang w:eastAsia="en-ZW"/>
              </w:rPr>
              <w:t xml:space="preserve"> Samiria; mahi-mahi </w:t>
            </w:r>
            <w:proofErr w:type="spellStart"/>
            <w:r w:rsidR="0084536B" w:rsidRPr="003B48AD">
              <w:rPr>
                <w:rFonts w:eastAsia="Times New Roman"/>
                <w:color w:val="000000"/>
                <w:sz w:val="20"/>
                <w:szCs w:val="20"/>
                <w:lang w:eastAsia="en-ZW"/>
              </w:rPr>
              <w:t>Reglamento</w:t>
            </w:r>
            <w:proofErr w:type="spellEnd"/>
            <w:r w:rsidR="0084536B" w:rsidRPr="003B48AD">
              <w:rPr>
                <w:rFonts w:eastAsia="Times New Roman"/>
                <w:color w:val="000000"/>
                <w:sz w:val="20"/>
                <w:szCs w:val="20"/>
                <w:lang w:eastAsia="en-ZW"/>
              </w:rPr>
              <w:t xml:space="preserve"> de </w:t>
            </w:r>
            <w:proofErr w:type="spellStart"/>
            <w:r w:rsidR="0084536B" w:rsidRPr="003B48AD">
              <w:rPr>
                <w:rFonts w:eastAsia="Times New Roman"/>
                <w:color w:val="000000"/>
                <w:sz w:val="20"/>
                <w:szCs w:val="20"/>
                <w:lang w:eastAsia="en-ZW"/>
              </w:rPr>
              <w:t>Ordenamiento</w:t>
            </w:r>
            <w:proofErr w:type="spellEnd"/>
            <w:r w:rsidR="0084536B" w:rsidRPr="003B48AD">
              <w:rPr>
                <w:rFonts w:eastAsia="Times New Roman"/>
                <w:color w:val="000000"/>
                <w:sz w:val="20"/>
                <w:szCs w:val="20"/>
                <w:lang w:eastAsia="en-ZW"/>
              </w:rPr>
              <w:t xml:space="preserve"> </w:t>
            </w:r>
            <w:proofErr w:type="spellStart"/>
            <w:r w:rsidR="0084536B" w:rsidRPr="003B48AD">
              <w:rPr>
                <w:rFonts w:eastAsia="Times New Roman"/>
                <w:color w:val="000000"/>
                <w:sz w:val="20"/>
                <w:szCs w:val="20"/>
                <w:lang w:eastAsia="en-ZW"/>
              </w:rPr>
              <w:t>Pesquero</w:t>
            </w:r>
            <w:proofErr w:type="spellEnd"/>
            <w:r w:rsidR="0084536B" w:rsidRPr="003B48AD">
              <w:rPr>
                <w:rFonts w:eastAsia="Times New Roman"/>
                <w:color w:val="000000"/>
                <w:sz w:val="20"/>
                <w:szCs w:val="20"/>
                <w:lang w:eastAsia="en-ZW"/>
              </w:rPr>
              <w:t xml:space="preserve"> (</w:t>
            </w:r>
            <w:r w:rsidRPr="003B48AD">
              <w:rPr>
                <w:rFonts w:eastAsia="Times New Roman"/>
                <w:color w:val="000000"/>
                <w:sz w:val="20"/>
                <w:szCs w:val="20"/>
                <w:lang w:eastAsia="en-ZW"/>
              </w:rPr>
              <w:t>ROP</w:t>
            </w:r>
            <w:r w:rsidR="0084536B" w:rsidRPr="003B48AD">
              <w:rPr>
                <w:rFonts w:eastAsia="Times New Roman"/>
                <w:color w:val="000000"/>
                <w:sz w:val="20"/>
                <w:szCs w:val="20"/>
                <w:lang w:eastAsia="en-ZW"/>
              </w:rPr>
              <w:t>)</w:t>
            </w:r>
            <w:r w:rsidRPr="003B48AD">
              <w:rPr>
                <w:rFonts w:eastAsia="Times New Roman"/>
                <w:color w:val="000000"/>
                <w:sz w:val="20"/>
                <w:szCs w:val="20"/>
                <w:lang w:eastAsia="en-ZW"/>
              </w:rPr>
              <w:t>; CITES Working Group.</w:t>
            </w:r>
          </w:p>
        </w:tc>
        <w:tc>
          <w:tcPr>
            <w:tcW w:w="2268" w:type="dxa"/>
            <w:vAlign w:val="bottom"/>
            <w:hideMark/>
          </w:tcPr>
          <w:p w14:paraId="05656A9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Links participatory ANP governance, recognition of communal use rights and knowledge, species recovery, traceability, monitoring, and coordinated CITES implementation.</w:t>
            </w:r>
          </w:p>
        </w:tc>
        <w:tc>
          <w:tcPr>
            <w:tcW w:w="1276" w:type="dxa"/>
            <w:vAlign w:val="bottom"/>
            <w:hideMark/>
          </w:tcPr>
          <w:p w14:paraId="1EB7684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5, 9, 10, 21, 22</w:t>
            </w:r>
          </w:p>
        </w:tc>
      </w:tr>
      <w:tr w:rsidR="008B1F15" w:rsidRPr="00CF13A0" w14:paraId="33AD248F" w14:textId="77777777" w:rsidTr="00C603BF">
        <w:trPr>
          <w:trHeight w:val="426"/>
        </w:trPr>
        <w:tc>
          <w:tcPr>
            <w:tcW w:w="1408" w:type="dxa"/>
            <w:vAlign w:val="bottom"/>
            <w:hideMark/>
          </w:tcPr>
          <w:p w14:paraId="21D859A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Sweden</w:t>
            </w:r>
          </w:p>
        </w:tc>
        <w:tc>
          <w:tcPr>
            <w:tcW w:w="1035" w:type="dxa"/>
            <w:vAlign w:val="bottom"/>
            <w:hideMark/>
          </w:tcPr>
          <w:p w14:paraId="03F31E5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20DF2FC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2D38555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652E83A1" w14:textId="77777777" w:rsidR="008B1F15" w:rsidRPr="003B48AD" w:rsidRDefault="008B1F15" w:rsidP="003B48AD">
            <w:pPr>
              <w:jc w:val="left"/>
              <w:rPr>
                <w:rFonts w:eastAsia="Times New Roman"/>
                <w:color w:val="000000"/>
                <w:sz w:val="20"/>
                <w:szCs w:val="20"/>
                <w:lang w:eastAsia="en-ZW"/>
              </w:rPr>
            </w:pPr>
          </w:p>
        </w:tc>
        <w:tc>
          <w:tcPr>
            <w:tcW w:w="333" w:type="dxa"/>
            <w:vAlign w:val="bottom"/>
            <w:hideMark/>
          </w:tcPr>
          <w:p w14:paraId="447CAAF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7DB728F4" w14:textId="77777777" w:rsidR="008B1F15" w:rsidRPr="003B48AD" w:rsidRDefault="008B1F15" w:rsidP="003B48AD">
            <w:pPr>
              <w:jc w:val="left"/>
              <w:rPr>
                <w:rFonts w:eastAsia="Times New Roman"/>
                <w:color w:val="000000"/>
                <w:sz w:val="20"/>
                <w:szCs w:val="20"/>
                <w:lang w:eastAsia="en-ZW"/>
              </w:rPr>
            </w:pPr>
          </w:p>
        </w:tc>
        <w:tc>
          <w:tcPr>
            <w:tcW w:w="306" w:type="dxa"/>
            <w:vAlign w:val="bottom"/>
            <w:hideMark/>
          </w:tcPr>
          <w:p w14:paraId="76AB226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1E54D7A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37E2586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Large carnivores; game; reindeer herding landscapes; protected areas such as </w:t>
            </w:r>
            <w:proofErr w:type="spellStart"/>
            <w:r w:rsidRPr="003B48AD">
              <w:rPr>
                <w:rFonts w:eastAsia="Times New Roman"/>
                <w:color w:val="000000"/>
                <w:sz w:val="20"/>
                <w:szCs w:val="20"/>
                <w:lang w:eastAsia="en-ZW"/>
              </w:rPr>
              <w:t>Laponia</w:t>
            </w:r>
            <w:proofErr w:type="spellEnd"/>
            <w:r w:rsidRPr="003B48AD">
              <w:rPr>
                <w:rFonts w:eastAsia="Times New Roman"/>
                <w:color w:val="000000"/>
                <w:sz w:val="20"/>
                <w:szCs w:val="20"/>
                <w:lang w:eastAsia="en-ZW"/>
              </w:rPr>
              <w:t xml:space="preserve">; coastal fisheries in Northern </w:t>
            </w:r>
            <w:proofErr w:type="spellStart"/>
            <w:r w:rsidRPr="003B48AD">
              <w:rPr>
                <w:rFonts w:eastAsia="Times New Roman"/>
                <w:color w:val="000000"/>
                <w:sz w:val="20"/>
                <w:szCs w:val="20"/>
                <w:lang w:eastAsia="en-ZW"/>
              </w:rPr>
              <w:t>Bohuslän</w:t>
            </w:r>
            <w:proofErr w:type="spellEnd"/>
          </w:p>
        </w:tc>
        <w:tc>
          <w:tcPr>
            <w:tcW w:w="1418" w:type="dxa"/>
            <w:vAlign w:val="bottom"/>
            <w:hideMark/>
          </w:tcPr>
          <w:p w14:paraId="0166DB8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Rights-based wildlife governance and co-management</w:t>
            </w:r>
          </w:p>
        </w:tc>
        <w:tc>
          <w:tcPr>
            <w:tcW w:w="2409" w:type="dxa"/>
            <w:vAlign w:val="bottom"/>
            <w:hideMark/>
          </w:tcPr>
          <w:p w14:paraId="6200E85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Sami livelihood rights, right of public access, county game management groups, carnivore councils, </w:t>
            </w:r>
            <w:proofErr w:type="spellStart"/>
            <w:r w:rsidRPr="003B48AD">
              <w:rPr>
                <w:rFonts w:eastAsia="Times New Roman"/>
                <w:color w:val="000000"/>
                <w:sz w:val="20"/>
                <w:szCs w:val="20"/>
                <w:lang w:eastAsia="en-ZW"/>
              </w:rPr>
              <w:t>Laponia</w:t>
            </w:r>
            <w:proofErr w:type="spellEnd"/>
            <w:r w:rsidRPr="003B48AD">
              <w:rPr>
                <w:rFonts w:eastAsia="Times New Roman"/>
                <w:color w:val="000000"/>
                <w:sz w:val="20"/>
                <w:szCs w:val="20"/>
                <w:lang w:eastAsia="en-ZW"/>
              </w:rPr>
              <w:t xml:space="preserve"> management; Northern </w:t>
            </w:r>
            <w:proofErr w:type="spellStart"/>
            <w:r w:rsidRPr="003B48AD">
              <w:rPr>
                <w:rFonts w:eastAsia="Times New Roman"/>
                <w:color w:val="000000"/>
                <w:sz w:val="20"/>
                <w:szCs w:val="20"/>
                <w:lang w:eastAsia="en-ZW"/>
              </w:rPr>
              <w:t>Bohuslän</w:t>
            </w:r>
            <w:proofErr w:type="spellEnd"/>
            <w:r w:rsidRPr="003B48AD">
              <w:rPr>
                <w:rFonts w:eastAsia="Times New Roman"/>
                <w:color w:val="000000"/>
                <w:sz w:val="20"/>
                <w:szCs w:val="20"/>
                <w:lang w:eastAsia="en-ZW"/>
              </w:rPr>
              <w:t xml:space="preserve"> fisheries co-management.</w:t>
            </w:r>
          </w:p>
        </w:tc>
        <w:tc>
          <w:tcPr>
            <w:tcW w:w="2268" w:type="dxa"/>
            <w:vAlign w:val="bottom"/>
            <w:hideMark/>
          </w:tcPr>
          <w:p w14:paraId="57DF3092" w14:textId="16BA3B4C"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Shows statutory systems that integrate local actors, Sami representatives, hunting associations, farmers, </w:t>
            </w:r>
            <w:r w:rsidR="00941894" w:rsidRPr="003B48AD">
              <w:rPr>
                <w:rFonts w:eastAsia="Times New Roman"/>
                <w:color w:val="000000"/>
                <w:sz w:val="20"/>
                <w:szCs w:val="20"/>
                <w:lang w:eastAsia="en-ZW"/>
              </w:rPr>
              <w:t>Non-Governmental Organizations (</w:t>
            </w:r>
            <w:r w:rsidRPr="003B48AD">
              <w:rPr>
                <w:rFonts w:eastAsia="Times New Roman"/>
                <w:color w:val="000000"/>
                <w:sz w:val="20"/>
                <w:szCs w:val="20"/>
                <w:lang w:eastAsia="en-ZW"/>
              </w:rPr>
              <w:t>NGOs</w:t>
            </w:r>
            <w:r w:rsidR="00941894" w:rsidRPr="003B48AD">
              <w:rPr>
                <w:rFonts w:eastAsia="Times New Roman"/>
                <w:color w:val="000000"/>
                <w:sz w:val="20"/>
                <w:szCs w:val="20"/>
                <w:lang w:eastAsia="en-ZW"/>
              </w:rPr>
              <w:t>)</w:t>
            </w:r>
            <w:r w:rsidRPr="003B48AD">
              <w:rPr>
                <w:rFonts w:eastAsia="Times New Roman"/>
                <w:color w:val="000000"/>
                <w:sz w:val="20"/>
                <w:szCs w:val="20"/>
                <w:lang w:eastAsia="en-ZW"/>
              </w:rPr>
              <w:t>, regional authorities, and fisheries stakeholders in wildlife and natural-resource co-management.</w:t>
            </w:r>
          </w:p>
        </w:tc>
        <w:tc>
          <w:tcPr>
            <w:tcW w:w="1276" w:type="dxa"/>
            <w:vAlign w:val="bottom"/>
            <w:hideMark/>
          </w:tcPr>
          <w:p w14:paraId="28572ED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5, 9, 21, 22</w:t>
            </w:r>
          </w:p>
        </w:tc>
      </w:tr>
      <w:tr w:rsidR="008B1F15" w:rsidRPr="00CF13A0" w14:paraId="3902F2EA" w14:textId="77777777" w:rsidTr="00C603BF">
        <w:trPr>
          <w:trHeight w:val="3770"/>
        </w:trPr>
        <w:tc>
          <w:tcPr>
            <w:tcW w:w="1408" w:type="dxa"/>
            <w:vAlign w:val="bottom"/>
            <w:hideMark/>
          </w:tcPr>
          <w:p w14:paraId="146040BE" w14:textId="10866854"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United Kingdom</w:t>
            </w:r>
            <w:r w:rsidR="00863E5F">
              <w:rPr>
                <w:rFonts w:eastAsia="Times New Roman"/>
                <w:color w:val="000000"/>
                <w:sz w:val="20"/>
                <w:szCs w:val="20"/>
                <w:lang w:eastAsia="en-ZW"/>
              </w:rPr>
              <w:t xml:space="preserve"> of Great Britain and Northern Ireland</w:t>
            </w:r>
            <w:r w:rsidRPr="003B48AD">
              <w:rPr>
                <w:rFonts w:eastAsia="Times New Roman"/>
                <w:color w:val="000000"/>
                <w:sz w:val="20"/>
                <w:szCs w:val="20"/>
                <w:lang w:eastAsia="en-ZW"/>
              </w:rPr>
              <w:t xml:space="preserve"> / Defra</w:t>
            </w:r>
          </w:p>
        </w:tc>
        <w:tc>
          <w:tcPr>
            <w:tcW w:w="1035" w:type="dxa"/>
            <w:vAlign w:val="bottom"/>
            <w:hideMark/>
          </w:tcPr>
          <w:p w14:paraId="4BA074B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Party</w:t>
            </w:r>
          </w:p>
        </w:tc>
        <w:tc>
          <w:tcPr>
            <w:tcW w:w="326" w:type="dxa"/>
            <w:vAlign w:val="bottom"/>
            <w:hideMark/>
          </w:tcPr>
          <w:p w14:paraId="65AB6DF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CA5BD5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7D5DD06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1310EDF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0B84E70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049FE56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52FEBB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A73BDA1" w14:textId="46975784"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Marine fisheries; target and non-target species; habitats; </w:t>
            </w:r>
            <w:r w:rsidR="00AA3D11" w:rsidRPr="003B48AD">
              <w:rPr>
                <w:rFonts w:eastAsia="Times New Roman"/>
                <w:color w:val="000000"/>
                <w:sz w:val="20"/>
                <w:szCs w:val="20"/>
                <w:lang w:eastAsia="en-ZW"/>
              </w:rPr>
              <w:t>Endangered, Threatened and Protected</w:t>
            </w:r>
            <w:r w:rsidR="00CA119A" w:rsidRPr="003B48AD">
              <w:rPr>
                <w:rFonts w:eastAsia="Times New Roman"/>
                <w:color w:val="000000"/>
                <w:sz w:val="20"/>
                <w:szCs w:val="20"/>
                <w:lang w:eastAsia="en-ZW"/>
              </w:rPr>
              <w:t xml:space="preserve"> (</w:t>
            </w:r>
            <w:r w:rsidRPr="003B48AD">
              <w:rPr>
                <w:rFonts w:eastAsia="Times New Roman"/>
                <w:color w:val="000000"/>
                <w:sz w:val="20"/>
                <w:szCs w:val="20"/>
                <w:lang w:eastAsia="en-ZW"/>
              </w:rPr>
              <w:t>ETP</w:t>
            </w:r>
            <w:r w:rsidR="00CA119A" w:rsidRPr="003B48AD">
              <w:rPr>
                <w:rFonts w:eastAsia="Times New Roman"/>
                <w:color w:val="000000"/>
                <w:sz w:val="20"/>
                <w:szCs w:val="20"/>
                <w:lang w:eastAsia="en-ZW"/>
              </w:rPr>
              <w:t>)</w:t>
            </w:r>
            <w:r w:rsidRPr="003B48AD">
              <w:rPr>
                <w:rFonts w:eastAsia="Times New Roman"/>
                <w:color w:val="000000"/>
                <w:sz w:val="20"/>
                <w:szCs w:val="20"/>
                <w:lang w:eastAsia="en-ZW"/>
              </w:rPr>
              <w:t xml:space="preserve"> species; socio-economic dimensions; governance; </w:t>
            </w:r>
            <w:r w:rsidR="00CA119A" w:rsidRPr="003B48AD">
              <w:rPr>
                <w:rFonts w:eastAsia="Times New Roman"/>
                <w:color w:val="000000"/>
                <w:sz w:val="20"/>
                <w:szCs w:val="20"/>
                <w:lang w:eastAsia="en-ZW"/>
              </w:rPr>
              <w:t>Illegal, Unreported and Unregulated (</w:t>
            </w:r>
            <w:r w:rsidRPr="003B48AD">
              <w:rPr>
                <w:rFonts w:eastAsia="Times New Roman"/>
                <w:color w:val="000000"/>
                <w:sz w:val="20"/>
                <w:szCs w:val="20"/>
                <w:lang w:eastAsia="en-ZW"/>
              </w:rPr>
              <w:t>IUU</w:t>
            </w:r>
            <w:r w:rsidR="00CA119A" w:rsidRPr="003B48AD">
              <w:rPr>
                <w:rFonts w:eastAsia="Times New Roman"/>
                <w:color w:val="000000"/>
                <w:sz w:val="20"/>
                <w:szCs w:val="20"/>
                <w:lang w:eastAsia="en-ZW"/>
              </w:rPr>
              <w:t>)</w:t>
            </w:r>
            <w:r w:rsidRPr="003B48AD">
              <w:rPr>
                <w:rFonts w:eastAsia="Times New Roman"/>
                <w:color w:val="000000"/>
                <w:sz w:val="20"/>
                <w:szCs w:val="20"/>
                <w:lang w:eastAsia="en-ZW"/>
              </w:rPr>
              <w:t>; climate change; customary sustainable use; migratory goose populations and flyway-scale goose management in Europe</w:t>
            </w:r>
          </w:p>
        </w:tc>
        <w:tc>
          <w:tcPr>
            <w:tcW w:w="1418" w:type="dxa"/>
            <w:vAlign w:val="bottom"/>
            <w:hideMark/>
          </w:tcPr>
          <w:p w14:paraId="653E88A7" w14:textId="69F15DF8"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Global stocktake and best-practice review of </w:t>
            </w:r>
            <w:r w:rsidR="00CA119A" w:rsidRPr="003B48AD">
              <w:rPr>
                <w:rFonts w:eastAsia="Times New Roman"/>
                <w:color w:val="000000"/>
                <w:sz w:val="20"/>
                <w:szCs w:val="20"/>
                <w:lang w:eastAsia="en-ZW"/>
              </w:rPr>
              <w:t>Ecosystem Approach to Fisheries Management (</w:t>
            </w:r>
            <w:r w:rsidRPr="003B48AD">
              <w:rPr>
                <w:rFonts w:eastAsia="Times New Roman"/>
                <w:color w:val="000000"/>
                <w:sz w:val="20"/>
                <w:szCs w:val="20"/>
                <w:lang w:eastAsia="en-ZW"/>
              </w:rPr>
              <w:t>EAFM</w:t>
            </w:r>
            <w:r w:rsidR="00CA119A" w:rsidRPr="003B48AD">
              <w:rPr>
                <w:rFonts w:eastAsia="Times New Roman"/>
                <w:color w:val="000000"/>
                <w:sz w:val="20"/>
                <w:szCs w:val="20"/>
                <w:lang w:eastAsia="en-ZW"/>
              </w:rPr>
              <w:t>)</w:t>
            </w:r>
            <w:r w:rsidRPr="003B48AD">
              <w:rPr>
                <w:rFonts w:eastAsia="Times New Roman"/>
                <w:color w:val="000000"/>
                <w:sz w:val="20"/>
                <w:szCs w:val="20"/>
                <w:lang w:eastAsia="en-ZW"/>
              </w:rPr>
              <w:t>; adaptive flyway management platform</w:t>
            </w:r>
          </w:p>
        </w:tc>
        <w:tc>
          <w:tcPr>
            <w:tcW w:w="2409" w:type="dxa"/>
            <w:vAlign w:val="bottom"/>
            <w:hideMark/>
          </w:tcPr>
          <w:p w14:paraId="2B0D4D3B" w14:textId="22BDEB32"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Applying the Ecosystem Approach to Fisheries Management: global stocktake and ten case studies, including Lyme Bay inshore fishery, U</w:t>
            </w:r>
            <w:r w:rsidR="00CA119A" w:rsidRPr="003B48AD">
              <w:rPr>
                <w:rFonts w:eastAsia="Times New Roman"/>
                <w:color w:val="000000"/>
                <w:sz w:val="20"/>
                <w:szCs w:val="20"/>
                <w:lang w:eastAsia="en-ZW"/>
              </w:rPr>
              <w:t xml:space="preserve">nited </w:t>
            </w:r>
            <w:r w:rsidRPr="003B48AD">
              <w:rPr>
                <w:rFonts w:eastAsia="Times New Roman"/>
                <w:color w:val="000000"/>
                <w:sz w:val="20"/>
                <w:szCs w:val="20"/>
                <w:lang w:eastAsia="en-ZW"/>
              </w:rPr>
              <w:t>K</w:t>
            </w:r>
            <w:r w:rsidR="00CA119A" w:rsidRPr="003B48AD">
              <w:rPr>
                <w:rFonts w:eastAsia="Times New Roman"/>
                <w:color w:val="000000"/>
                <w:sz w:val="20"/>
                <w:szCs w:val="20"/>
                <w:lang w:eastAsia="en-ZW"/>
              </w:rPr>
              <w:t>ingdom</w:t>
            </w:r>
            <w:r w:rsidRPr="003B48AD">
              <w:rPr>
                <w:rFonts w:eastAsia="Times New Roman"/>
                <w:color w:val="000000"/>
                <w:sz w:val="20"/>
                <w:szCs w:val="20"/>
                <w:lang w:eastAsia="en-ZW"/>
              </w:rPr>
              <w:t xml:space="preserve">; </w:t>
            </w:r>
            <w:r w:rsidR="00334789" w:rsidRPr="003B48AD">
              <w:rPr>
                <w:rFonts w:eastAsia="Times New Roman"/>
                <w:color w:val="000000"/>
                <w:sz w:val="20"/>
                <w:szCs w:val="20"/>
                <w:lang w:eastAsia="en-ZW"/>
              </w:rPr>
              <w:t>Agreement on the Conservation of African-Eurasian Migratory Waterbirds (</w:t>
            </w:r>
            <w:r w:rsidRPr="003B48AD">
              <w:rPr>
                <w:rFonts w:eastAsia="Times New Roman"/>
                <w:color w:val="000000"/>
                <w:sz w:val="20"/>
                <w:szCs w:val="20"/>
                <w:lang w:eastAsia="en-ZW"/>
              </w:rPr>
              <w:t>AEWA</w:t>
            </w:r>
            <w:r w:rsidR="00334789" w:rsidRPr="003B48AD">
              <w:rPr>
                <w:rFonts w:eastAsia="Times New Roman"/>
                <w:color w:val="000000"/>
                <w:sz w:val="20"/>
                <w:szCs w:val="20"/>
                <w:lang w:eastAsia="en-ZW"/>
              </w:rPr>
              <w:t>)</w:t>
            </w:r>
            <w:r w:rsidRPr="003B48AD">
              <w:rPr>
                <w:rFonts w:eastAsia="Times New Roman"/>
                <w:color w:val="000000"/>
                <w:sz w:val="20"/>
                <w:szCs w:val="20"/>
                <w:lang w:eastAsia="en-ZW"/>
              </w:rPr>
              <w:t xml:space="preserve"> European Goose Management Platform for coordinated, inclusive and adaptive management of European goose populations.</w:t>
            </w:r>
          </w:p>
        </w:tc>
        <w:tc>
          <w:tcPr>
            <w:tcW w:w="2268" w:type="dxa"/>
            <w:vAlign w:val="bottom"/>
            <w:hideMark/>
          </w:tcPr>
          <w:p w14:paraId="38588CC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Provides transferable lessons on staged EAFM implementation, including target-species sustainability, bycatch and ETP species, habitat protection, ecosystem function, stakeholder participation, monitoring, adaptive management and governance; also highlights flyway-scale coordination among Range States and stakeholders to maintain goose populations at favourable conservation status.</w:t>
            </w:r>
          </w:p>
        </w:tc>
        <w:tc>
          <w:tcPr>
            <w:tcW w:w="1276" w:type="dxa"/>
            <w:vAlign w:val="bottom"/>
            <w:hideMark/>
          </w:tcPr>
          <w:p w14:paraId="381C840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5, 9, 10, 21, 22</w:t>
            </w:r>
          </w:p>
        </w:tc>
      </w:tr>
      <w:tr w:rsidR="008B1F15" w:rsidRPr="00CF13A0" w14:paraId="44D43F47" w14:textId="77777777" w:rsidTr="00460991">
        <w:trPr>
          <w:trHeight w:val="841"/>
        </w:trPr>
        <w:tc>
          <w:tcPr>
            <w:tcW w:w="1408" w:type="dxa"/>
            <w:vAlign w:val="bottom"/>
            <w:hideMark/>
          </w:tcPr>
          <w:p w14:paraId="412DCF1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AFWA / U.S. submission</w:t>
            </w:r>
          </w:p>
        </w:tc>
        <w:tc>
          <w:tcPr>
            <w:tcW w:w="1035" w:type="dxa"/>
            <w:vAlign w:val="bottom"/>
            <w:hideMark/>
          </w:tcPr>
          <w:p w14:paraId="156E047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38AE06A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0742CC3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28A19B7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5AD53E1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41BC558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12A972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9F49A7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07D69A2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Fish and wildlife; species of greatest conservation need; Tribal lands and resources; migratory waterfowl and birds; aquatic habitats; game species; wildlife disease and the human-wildlife health interface</w:t>
            </w:r>
          </w:p>
        </w:tc>
        <w:tc>
          <w:tcPr>
            <w:tcW w:w="1418" w:type="dxa"/>
            <w:vAlign w:val="bottom"/>
            <w:hideMark/>
          </w:tcPr>
          <w:p w14:paraId="4EE58D1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Science-based, participatory and adaptive governance</w:t>
            </w:r>
          </w:p>
        </w:tc>
        <w:tc>
          <w:tcPr>
            <w:tcW w:w="2409" w:type="dxa"/>
            <w:vAlign w:val="bottom"/>
            <w:hideMark/>
          </w:tcPr>
          <w:p w14:paraId="57634011" w14:textId="1FC69352"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North American Model; State Wildlife Action Plans; Tribal Wildlife Grants and </w:t>
            </w:r>
            <w:r w:rsidR="0038473D" w:rsidRPr="003B48AD">
              <w:rPr>
                <w:rFonts w:eastAsia="Times New Roman"/>
                <w:color w:val="000000"/>
                <w:sz w:val="20"/>
                <w:szCs w:val="20"/>
                <w:lang w:eastAsia="en-ZW"/>
              </w:rPr>
              <w:t>Department of the Interior (</w:t>
            </w:r>
            <w:r w:rsidRPr="003B48AD">
              <w:rPr>
                <w:rFonts w:eastAsia="Times New Roman"/>
                <w:color w:val="000000"/>
                <w:sz w:val="20"/>
                <w:szCs w:val="20"/>
                <w:lang w:eastAsia="en-ZW"/>
              </w:rPr>
              <w:t>DOI</w:t>
            </w:r>
            <w:r w:rsidR="0038473D" w:rsidRPr="003B48AD">
              <w:rPr>
                <w:rFonts w:eastAsia="Times New Roman"/>
                <w:color w:val="000000"/>
                <w:sz w:val="20"/>
                <w:szCs w:val="20"/>
                <w:lang w:eastAsia="en-ZW"/>
              </w:rPr>
              <w:t>)</w:t>
            </w:r>
            <w:r w:rsidRPr="003B48AD">
              <w:rPr>
                <w:rFonts w:eastAsia="Times New Roman"/>
                <w:color w:val="000000"/>
                <w:sz w:val="20"/>
                <w:szCs w:val="20"/>
                <w:lang w:eastAsia="en-ZW"/>
              </w:rPr>
              <w:t xml:space="preserve"> co-stewardship; Pittman-Robertson and Dingell-Johnson funding; America the Beautiful Challenge; Adaptive Harvest Management; eBird; National Fish Habitat Partnership; Migratory Bird Joint Ventures; wildlife disease surveillance.</w:t>
            </w:r>
          </w:p>
        </w:tc>
        <w:tc>
          <w:tcPr>
            <w:tcW w:w="2268" w:type="dxa"/>
            <w:vAlign w:val="bottom"/>
            <w:hideMark/>
          </w:tcPr>
          <w:p w14:paraId="159D9E4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Demonstrates durable public-trust governance, state leadership, Tribal co-stewardship, user-pay funding, locally led grants, adaptive harvest regulation, interjurisdictional coordination, habitat partnerships, citizen-science monitoring and disease surveillance.</w:t>
            </w:r>
          </w:p>
        </w:tc>
        <w:tc>
          <w:tcPr>
            <w:tcW w:w="1276" w:type="dxa"/>
            <w:vAlign w:val="bottom"/>
            <w:hideMark/>
          </w:tcPr>
          <w:p w14:paraId="5ACEA672" w14:textId="5B64EFE3"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4, 5, 9, 10, </w:t>
            </w:r>
            <w:r w:rsidR="00B52C7E" w:rsidRPr="003B48AD">
              <w:rPr>
                <w:rFonts w:eastAsia="Times New Roman"/>
                <w:color w:val="000000"/>
                <w:sz w:val="20"/>
                <w:szCs w:val="20"/>
                <w:lang w:eastAsia="en-ZW"/>
              </w:rPr>
              <w:t xml:space="preserve">19, </w:t>
            </w:r>
            <w:r w:rsidRPr="003B48AD">
              <w:rPr>
                <w:rFonts w:eastAsia="Times New Roman"/>
                <w:color w:val="000000"/>
                <w:sz w:val="20"/>
                <w:szCs w:val="20"/>
                <w:lang w:eastAsia="en-ZW"/>
              </w:rPr>
              <w:t>21, 22</w:t>
            </w:r>
          </w:p>
        </w:tc>
      </w:tr>
      <w:tr w:rsidR="008B1F15" w:rsidRPr="00CF13A0" w14:paraId="79A7BB9C" w14:textId="77777777" w:rsidTr="00C603BF">
        <w:trPr>
          <w:trHeight w:val="1450"/>
        </w:trPr>
        <w:tc>
          <w:tcPr>
            <w:tcW w:w="1408" w:type="dxa"/>
            <w:vAlign w:val="bottom"/>
            <w:hideMark/>
          </w:tcPr>
          <w:p w14:paraId="1D8C54CC" w14:textId="39018000"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British Association for Shooting and Conservation</w:t>
            </w:r>
            <w:r w:rsidR="006E7D51" w:rsidRPr="003B48AD">
              <w:rPr>
                <w:rFonts w:eastAsia="Times New Roman"/>
                <w:color w:val="000000"/>
                <w:sz w:val="20"/>
                <w:szCs w:val="20"/>
                <w:lang w:eastAsia="en-ZW"/>
              </w:rPr>
              <w:t xml:space="preserve"> (BASC)</w:t>
            </w:r>
          </w:p>
        </w:tc>
        <w:tc>
          <w:tcPr>
            <w:tcW w:w="1035" w:type="dxa"/>
            <w:vAlign w:val="bottom"/>
            <w:hideMark/>
          </w:tcPr>
          <w:p w14:paraId="2B9DCCF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5FCCAB5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9D62EBA" w14:textId="77777777" w:rsidR="008B1F15" w:rsidRPr="003B48AD" w:rsidRDefault="008B1F15" w:rsidP="003B48AD">
            <w:pPr>
              <w:jc w:val="left"/>
              <w:rPr>
                <w:rFonts w:eastAsia="Times New Roman"/>
                <w:color w:val="000000"/>
                <w:sz w:val="20"/>
                <w:szCs w:val="20"/>
                <w:lang w:eastAsia="en-ZW"/>
              </w:rPr>
            </w:pPr>
          </w:p>
        </w:tc>
        <w:tc>
          <w:tcPr>
            <w:tcW w:w="326" w:type="dxa"/>
            <w:vAlign w:val="bottom"/>
            <w:hideMark/>
          </w:tcPr>
          <w:p w14:paraId="38CB74A8" w14:textId="77777777" w:rsidR="008B1F15" w:rsidRPr="00CF13A0" w:rsidRDefault="008B1F15" w:rsidP="003B48AD">
            <w:pPr>
              <w:jc w:val="left"/>
              <w:rPr>
                <w:rFonts w:eastAsia="Times New Roman"/>
                <w:sz w:val="20"/>
                <w:szCs w:val="20"/>
                <w:lang w:eastAsia="en-ZW"/>
              </w:rPr>
            </w:pPr>
          </w:p>
        </w:tc>
        <w:tc>
          <w:tcPr>
            <w:tcW w:w="333" w:type="dxa"/>
            <w:vAlign w:val="bottom"/>
            <w:hideMark/>
          </w:tcPr>
          <w:p w14:paraId="704717C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72677FA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07995EEC" w14:textId="77777777" w:rsidR="008B1F15" w:rsidRPr="003B48AD" w:rsidRDefault="008B1F15" w:rsidP="003B48AD">
            <w:pPr>
              <w:jc w:val="left"/>
              <w:rPr>
                <w:rFonts w:eastAsia="Times New Roman"/>
                <w:color w:val="000000"/>
                <w:sz w:val="20"/>
                <w:szCs w:val="20"/>
                <w:lang w:eastAsia="en-ZW"/>
              </w:rPr>
            </w:pPr>
          </w:p>
        </w:tc>
        <w:tc>
          <w:tcPr>
            <w:tcW w:w="318" w:type="dxa"/>
            <w:vAlign w:val="bottom"/>
            <w:hideMark/>
          </w:tcPr>
          <w:p w14:paraId="21DB4633" w14:textId="77777777" w:rsidR="008B1F15" w:rsidRPr="00CF13A0" w:rsidRDefault="008B1F15" w:rsidP="003B48AD">
            <w:pPr>
              <w:jc w:val="left"/>
              <w:rPr>
                <w:rFonts w:eastAsia="Times New Roman"/>
                <w:sz w:val="20"/>
                <w:szCs w:val="20"/>
                <w:lang w:eastAsia="en-ZW"/>
              </w:rPr>
            </w:pPr>
          </w:p>
        </w:tc>
        <w:tc>
          <w:tcPr>
            <w:tcW w:w="2233" w:type="dxa"/>
            <w:vAlign w:val="bottom"/>
            <w:hideMark/>
          </w:tcPr>
          <w:p w14:paraId="7420CA6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Wildfowl quarry species; woodcock; hunter behaviour</w:t>
            </w:r>
          </w:p>
        </w:tc>
        <w:tc>
          <w:tcPr>
            <w:tcW w:w="1418" w:type="dxa"/>
            <w:vAlign w:val="bottom"/>
            <w:hideMark/>
          </w:tcPr>
          <w:p w14:paraId="29027E6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Voluntary code and hunter-based monitoring</w:t>
            </w:r>
          </w:p>
        </w:tc>
        <w:tc>
          <w:tcPr>
            <w:tcW w:w="2409" w:type="dxa"/>
            <w:vAlign w:val="bottom"/>
            <w:hideMark/>
          </w:tcPr>
          <w:p w14:paraId="5FB8284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Sustainable Shooting Code of Practice for Wildfowl Quarry Species; BASC Wing Survey; woodcock harvest review.</w:t>
            </w:r>
          </w:p>
        </w:tc>
        <w:tc>
          <w:tcPr>
            <w:tcW w:w="2268" w:type="dxa"/>
            <w:vAlign w:val="bottom"/>
            <w:hideMark/>
          </w:tcPr>
          <w:p w14:paraId="36EE3D7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Illustrates a self-regulatory model where hunter buy-in, evidence review, bag returns, wing surveys, and behaviour monitoring can support sustainable harvest.</w:t>
            </w:r>
          </w:p>
        </w:tc>
        <w:tc>
          <w:tcPr>
            <w:tcW w:w="1276" w:type="dxa"/>
            <w:vAlign w:val="bottom"/>
            <w:hideMark/>
          </w:tcPr>
          <w:p w14:paraId="6CB8692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5, 9, 21</w:t>
            </w:r>
          </w:p>
        </w:tc>
      </w:tr>
      <w:tr w:rsidR="008B1F15" w:rsidRPr="00CF13A0" w14:paraId="4DC07811" w14:textId="77777777" w:rsidTr="00C603BF">
        <w:trPr>
          <w:trHeight w:val="2610"/>
        </w:trPr>
        <w:tc>
          <w:tcPr>
            <w:tcW w:w="1408" w:type="dxa"/>
            <w:vAlign w:val="bottom"/>
            <w:hideMark/>
          </w:tcPr>
          <w:p w14:paraId="32D54EF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Born Free Foundation / World Federation for Animals</w:t>
            </w:r>
          </w:p>
        </w:tc>
        <w:tc>
          <w:tcPr>
            <w:tcW w:w="1035" w:type="dxa"/>
            <w:vAlign w:val="bottom"/>
            <w:hideMark/>
          </w:tcPr>
          <w:p w14:paraId="3C4397A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081E8CE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1711726F" w14:textId="7325691C" w:rsidR="008B1F15" w:rsidRPr="003B48AD" w:rsidRDefault="003573C8"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135FDC5A" w14:textId="2BC66E67" w:rsidR="008B1F15" w:rsidRPr="00CF13A0" w:rsidRDefault="003573C8" w:rsidP="003B48AD">
            <w:pPr>
              <w:jc w:val="left"/>
              <w:rPr>
                <w:rFonts w:eastAsia="Times New Roman"/>
                <w:sz w:val="20"/>
                <w:szCs w:val="20"/>
                <w:lang w:eastAsia="en-ZW"/>
              </w:rPr>
            </w:pPr>
            <w:r w:rsidRPr="00CF13A0">
              <w:rPr>
                <w:rFonts w:eastAsia="Times New Roman"/>
                <w:sz w:val="20"/>
                <w:szCs w:val="20"/>
                <w:lang w:eastAsia="en-ZW"/>
              </w:rPr>
              <w:t>x</w:t>
            </w:r>
          </w:p>
        </w:tc>
        <w:tc>
          <w:tcPr>
            <w:tcW w:w="333" w:type="dxa"/>
            <w:vAlign w:val="bottom"/>
            <w:hideMark/>
          </w:tcPr>
          <w:p w14:paraId="5F951BD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765B162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1F6E7FD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6D2BE7B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4865850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Human-wildlife conflict; invasive alien species; wildlife trade and keeping of exotic animals; large carnivores, elephants, wild horses, seals, migratory birds, and community-managed resources</w:t>
            </w:r>
          </w:p>
        </w:tc>
        <w:tc>
          <w:tcPr>
            <w:tcW w:w="1418" w:type="dxa"/>
            <w:vAlign w:val="bottom"/>
            <w:hideMark/>
          </w:tcPr>
          <w:p w14:paraId="79ACB80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Ethical, welfare-centred and precautionary wildlife-management guidance</w:t>
            </w:r>
          </w:p>
        </w:tc>
        <w:tc>
          <w:tcPr>
            <w:tcW w:w="2409" w:type="dxa"/>
            <w:vAlign w:val="bottom"/>
            <w:hideMark/>
          </w:tcPr>
          <w:p w14:paraId="721BD820" w14:textId="29D3CE25"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International consensus principles for ethical wildlife control; One Health and animal-welfare frameworks; positive lists for exotic animals; non-lethal human-wildlife conflict tools; predator-proof bomas in Kenya; predator-friendly livestock management in Europe; fertility control of wild horses; </w:t>
            </w:r>
            <w:r w:rsidR="009E6110" w:rsidRPr="003B48AD">
              <w:rPr>
                <w:rFonts w:eastAsia="Times New Roman"/>
                <w:color w:val="000000"/>
                <w:sz w:val="20"/>
                <w:szCs w:val="20"/>
                <w:lang w:eastAsia="en-ZW"/>
              </w:rPr>
              <w:t>Spatial Monitoring and Reporting Tool (</w:t>
            </w:r>
            <w:r w:rsidRPr="003B48AD">
              <w:rPr>
                <w:rFonts w:eastAsia="Times New Roman"/>
                <w:color w:val="000000"/>
                <w:sz w:val="20"/>
                <w:szCs w:val="20"/>
                <w:lang w:eastAsia="en-ZW"/>
              </w:rPr>
              <w:t>SMART</w:t>
            </w:r>
            <w:r w:rsidR="009E6110" w:rsidRPr="003B48AD">
              <w:rPr>
                <w:rFonts w:eastAsia="Times New Roman"/>
                <w:color w:val="000000"/>
                <w:sz w:val="20"/>
                <w:szCs w:val="20"/>
                <w:lang w:eastAsia="en-ZW"/>
              </w:rPr>
              <w:t>)</w:t>
            </w:r>
            <w:r w:rsidRPr="003B48AD">
              <w:rPr>
                <w:rFonts w:eastAsia="Times New Roman"/>
                <w:color w:val="000000"/>
                <w:sz w:val="20"/>
                <w:szCs w:val="20"/>
                <w:lang w:eastAsia="en-ZW"/>
              </w:rPr>
              <w:t xml:space="preserve"> monitoring; seal monitoring; and transboundary conservation examples.</w:t>
            </w:r>
          </w:p>
        </w:tc>
        <w:tc>
          <w:tcPr>
            <w:tcW w:w="2268" w:type="dxa"/>
            <w:vAlign w:val="bottom"/>
            <w:hideMark/>
          </w:tcPr>
          <w:p w14:paraId="313F34D8" w14:textId="369BF9C3"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Adds an animal-welfare, sentience, intrinsic-value, One Health, non-lethal coexistence, transparency and precautionary lens to </w:t>
            </w:r>
            <w:r w:rsidR="009E6110" w:rsidRPr="003B48AD">
              <w:rPr>
                <w:rFonts w:eastAsia="Times New Roman"/>
                <w:color w:val="000000"/>
                <w:sz w:val="20"/>
                <w:szCs w:val="20"/>
                <w:lang w:eastAsia="en-ZW"/>
              </w:rPr>
              <w:t>sustainable wildlife management</w:t>
            </w:r>
            <w:r w:rsidRPr="003B48AD">
              <w:rPr>
                <w:rFonts w:eastAsia="Times New Roman"/>
                <w:color w:val="000000"/>
                <w:sz w:val="20"/>
                <w:szCs w:val="20"/>
                <w:lang w:eastAsia="en-ZW"/>
              </w:rPr>
              <w:t>, emphasizing coexistence and measurable, adaptive, least-harm interventions.</w:t>
            </w:r>
          </w:p>
        </w:tc>
        <w:tc>
          <w:tcPr>
            <w:tcW w:w="1276" w:type="dxa"/>
            <w:vAlign w:val="bottom"/>
            <w:hideMark/>
          </w:tcPr>
          <w:p w14:paraId="60DB07A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4, 5, 9, 21, 22</w:t>
            </w:r>
          </w:p>
        </w:tc>
      </w:tr>
      <w:tr w:rsidR="008B1F15" w:rsidRPr="00CF13A0" w14:paraId="5926DE98" w14:textId="77777777" w:rsidTr="00C603BF">
        <w:trPr>
          <w:trHeight w:val="4640"/>
        </w:trPr>
        <w:tc>
          <w:tcPr>
            <w:tcW w:w="1408" w:type="dxa"/>
            <w:vAlign w:val="bottom"/>
            <w:hideMark/>
          </w:tcPr>
          <w:p w14:paraId="6BCAF01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Conservation Visions</w:t>
            </w:r>
          </w:p>
        </w:tc>
        <w:tc>
          <w:tcPr>
            <w:tcW w:w="1035" w:type="dxa"/>
            <w:vAlign w:val="bottom"/>
            <w:hideMark/>
          </w:tcPr>
          <w:p w14:paraId="6369092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4F92025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2F710BF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1EE4D15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B3F721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5C0979E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2969C0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16ECEE8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A882C4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Migratory birds, wetlands, forests, rangelands, fisheries, fish and wildlife, species at risk/endangered species, polar bear, caribou, seals, </w:t>
            </w:r>
            <w:proofErr w:type="gramStart"/>
            <w:r w:rsidRPr="003B48AD">
              <w:rPr>
                <w:rFonts w:eastAsia="Times New Roman"/>
                <w:color w:val="000000"/>
                <w:sz w:val="20"/>
                <w:szCs w:val="20"/>
                <w:lang w:eastAsia="en-ZW"/>
              </w:rPr>
              <w:t>fur-bearers</w:t>
            </w:r>
            <w:proofErr w:type="gramEnd"/>
            <w:r w:rsidRPr="003B48AD">
              <w:rPr>
                <w:rFonts w:eastAsia="Times New Roman"/>
                <w:color w:val="000000"/>
                <w:sz w:val="20"/>
                <w:szCs w:val="20"/>
                <w:lang w:eastAsia="en-ZW"/>
              </w:rPr>
              <w:t>, Indigenous lands and subsistence resources</w:t>
            </w:r>
          </w:p>
        </w:tc>
        <w:tc>
          <w:tcPr>
            <w:tcW w:w="1418" w:type="dxa"/>
            <w:vAlign w:val="bottom"/>
            <w:hideMark/>
          </w:tcPr>
          <w:p w14:paraId="75177B3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Portfolio of legal, financing, institutional, co-management and humane-use examples</w:t>
            </w:r>
          </w:p>
        </w:tc>
        <w:tc>
          <w:tcPr>
            <w:tcW w:w="2409" w:type="dxa"/>
            <w:vAlign w:val="bottom"/>
            <w:hideMark/>
          </w:tcPr>
          <w:p w14:paraId="20DE6AC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Migratory Bird Convention; Duck Stamp; Pittman-Robertson and Dingell-Johnson funding; Wilderness Act; National Wildlife Refuge System; Multiple-Use Sustained Yield Act; Endangered Species Act (ESA) and Species at Risk Act  (SARA); North American Model/user-pay systems; Association of Fish and Wildlife Agencies (AFWA); Tribal and Indigenous co-management institutions; Lacey Act; Tribal Forest Protection Act; Impact Assessment Act; Canada Nature Legacy; Alaska subsistence priority; polar bear and caribou co-management; Inuit seal/fur programmes; Agreement on International Humane Trapping Standards (AIHTS), Fur Institute of Canada and humane seal-harvest regulations.</w:t>
            </w:r>
          </w:p>
        </w:tc>
        <w:tc>
          <w:tcPr>
            <w:tcW w:w="2268" w:type="dxa"/>
            <w:vAlign w:val="bottom"/>
            <w:hideMark/>
          </w:tcPr>
          <w:p w14:paraId="0FB456D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how long-standing legal frameworks, user-pay conservation finance, public-trust governance, Indigenous rights and co-management, interjurisdictional coordination, species-at-risk protection, impact assessment, monitoring, and animal-welfare standards can support sustainable wildlife management.</w:t>
            </w:r>
          </w:p>
        </w:tc>
        <w:tc>
          <w:tcPr>
            <w:tcW w:w="1276" w:type="dxa"/>
            <w:vAlign w:val="bottom"/>
            <w:hideMark/>
          </w:tcPr>
          <w:p w14:paraId="14749FE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4, 5, 9, 10, 21, 22</w:t>
            </w:r>
          </w:p>
        </w:tc>
      </w:tr>
      <w:tr w:rsidR="008B1F15" w:rsidRPr="00CF13A0" w14:paraId="3D784CFA" w14:textId="77777777" w:rsidTr="00C603BF">
        <w:trPr>
          <w:trHeight w:val="426"/>
        </w:trPr>
        <w:tc>
          <w:tcPr>
            <w:tcW w:w="1408" w:type="dxa"/>
            <w:vAlign w:val="bottom"/>
            <w:hideMark/>
          </w:tcPr>
          <w:p w14:paraId="4336553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FAO</w:t>
            </w:r>
          </w:p>
        </w:tc>
        <w:tc>
          <w:tcPr>
            <w:tcW w:w="1035" w:type="dxa"/>
            <w:vAlign w:val="bottom"/>
            <w:hideMark/>
          </w:tcPr>
          <w:p w14:paraId="167023A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671597F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42748D3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0C5A5BB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017C273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12F905E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6644D1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0EED02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64B4210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Terrestrial vertebrates harvested for wild meat in tropical and subtropical forests, savannas, grasslands, wetlands and community hunting territories; wildlife populations, </w:t>
            </w:r>
            <w:r w:rsidRPr="003B48AD">
              <w:rPr>
                <w:rFonts w:eastAsia="Times New Roman"/>
                <w:color w:val="000000"/>
                <w:sz w:val="20"/>
                <w:szCs w:val="20"/>
                <w:lang w:eastAsia="en-ZW"/>
              </w:rPr>
              <w:lastRenderedPageBreak/>
              <w:t>habitats, hunting systems and value chains</w:t>
            </w:r>
          </w:p>
        </w:tc>
        <w:tc>
          <w:tcPr>
            <w:tcW w:w="1418" w:type="dxa"/>
            <w:vAlign w:val="bottom"/>
            <w:hideMark/>
          </w:tcPr>
          <w:p w14:paraId="6D64514D" w14:textId="18C98E46"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 xml:space="preserve">Guidance, </w:t>
            </w:r>
            <w:r w:rsidR="0016262F" w:rsidRPr="003B48AD">
              <w:rPr>
                <w:rFonts w:eastAsia="Times New Roman"/>
                <w:color w:val="000000"/>
                <w:sz w:val="20"/>
                <w:szCs w:val="20"/>
                <w:lang w:eastAsia="en-ZW"/>
              </w:rPr>
              <w:t xml:space="preserve">sustainable wildlife management </w:t>
            </w:r>
            <w:r w:rsidRPr="003B48AD">
              <w:rPr>
                <w:rFonts w:eastAsia="Times New Roman"/>
                <w:color w:val="000000"/>
                <w:sz w:val="20"/>
                <w:szCs w:val="20"/>
                <w:lang w:eastAsia="en-ZW"/>
              </w:rPr>
              <w:t xml:space="preserve">Programme lessons, community-based wildlife </w:t>
            </w:r>
            <w:r w:rsidRPr="003B48AD">
              <w:rPr>
                <w:rFonts w:eastAsia="Times New Roman"/>
                <w:color w:val="000000"/>
                <w:sz w:val="20"/>
                <w:szCs w:val="20"/>
                <w:lang w:eastAsia="en-ZW"/>
              </w:rPr>
              <w:lastRenderedPageBreak/>
              <w:t>management, legal/policy tools, One Health and wildlife-economy guidance</w:t>
            </w:r>
          </w:p>
        </w:tc>
        <w:tc>
          <w:tcPr>
            <w:tcW w:w="2409" w:type="dxa"/>
            <w:vAlign w:val="bottom"/>
            <w:hideMark/>
          </w:tcPr>
          <w:p w14:paraId="3C8FE604" w14:textId="1E41F0DF" w:rsidR="008B1F15" w:rsidRPr="003B48AD" w:rsidRDefault="00787F7C"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sustainable wildlife management</w:t>
            </w:r>
            <w:r w:rsidR="008B1F15" w:rsidRPr="003B48AD">
              <w:rPr>
                <w:rFonts w:eastAsia="Times New Roman"/>
                <w:color w:val="000000"/>
                <w:sz w:val="20"/>
                <w:szCs w:val="20"/>
                <w:lang w:eastAsia="en-ZW"/>
              </w:rPr>
              <w:t xml:space="preserve"> Programme guidance and lessons from 15 countries, including participatory mapping of hunting territories, Community Wildlife Management Plans </w:t>
            </w:r>
            <w:r w:rsidR="008B1F15" w:rsidRPr="003B48AD">
              <w:rPr>
                <w:rFonts w:eastAsia="Times New Roman"/>
                <w:color w:val="000000"/>
                <w:sz w:val="20"/>
                <w:szCs w:val="20"/>
                <w:lang w:eastAsia="en-ZW"/>
              </w:rPr>
              <w:lastRenderedPageBreak/>
              <w:t xml:space="preserve">(CWMPs), community-based monitoring, wild meat value-chain analysis, wildlife economies, One Health surveillance, the </w:t>
            </w:r>
            <w:r w:rsidRPr="003B48AD">
              <w:rPr>
                <w:rFonts w:eastAsia="Times New Roman"/>
                <w:color w:val="000000"/>
                <w:sz w:val="20"/>
                <w:szCs w:val="20"/>
                <w:lang w:eastAsia="en-ZW"/>
              </w:rPr>
              <w:t>sustainable wildlife management</w:t>
            </w:r>
            <w:r w:rsidR="008B1F15" w:rsidRPr="003B48AD">
              <w:rPr>
                <w:rFonts w:eastAsia="Times New Roman"/>
                <w:color w:val="000000"/>
                <w:sz w:val="20"/>
                <w:szCs w:val="20"/>
                <w:lang w:eastAsia="en-ZW"/>
              </w:rPr>
              <w:t xml:space="preserve"> Legal Hub, and legal case studies on customary norms, procedural rights, land/resource rights and benefit-sharing.</w:t>
            </w:r>
          </w:p>
        </w:tc>
        <w:tc>
          <w:tcPr>
            <w:tcW w:w="2268" w:type="dxa"/>
            <w:vAlign w:val="bottom"/>
            <w:hideMark/>
          </w:tcPr>
          <w:p w14:paraId="777808C8" w14:textId="62C263D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 xml:space="preserve">Provides a practical, rights-based and context-specific framework for community-led </w:t>
            </w:r>
            <w:r w:rsidR="00787F7C" w:rsidRPr="003B48AD">
              <w:rPr>
                <w:rFonts w:eastAsia="Times New Roman"/>
                <w:color w:val="000000"/>
                <w:sz w:val="20"/>
                <w:szCs w:val="20"/>
                <w:lang w:eastAsia="en-ZW"/>
              </w:rPr>
              <w:t>sustainable wildlife management</w:t>
            </w:r>
            <w:r w:rsidRPr="003B48AD">
              <w:rPr>
                <w:rFonts w:eastAsia="Times New Roman"/>
                <w:color w:val="000000"/>
                <w:sz w:val="20"/>
                <w:szCs w:val="20"/>
                <w:lang w:eastAsia="en-ZW"/>
              </w:rPr>
              <w:t xml:space="preserve">, linking hunting-system diagnosis, </w:t>
            </w:r>
            <w:r w:rsidR="0021236F" w:rsidRPr="003B48AD">
              <w:rPr>
                <w:rFonts w:eastAsia="Times New Roman"/>
                <w:color w:val="000000"/>
                <w:sz w:val="20"/>
                <w:szCs w:val="20"/>
                <w:lang w:eastAsia="en-ZW"/>
              </w:rPr>
              <w:t xml:space="preserve">Free, Prior and </w:t>
            </w:r>
            <w:r w:rsidR="0021236F" w:rsidRPr="003B48AD">
              <w:rPr>
                <w:rFonts w:eastAsia="Times New Roman"/>
                <w:color w:val="000000"/>
                <w:sz w:val="20"/>
                <w:szCs w:val="20"/>
                <w:lang w:eastAsia="en-ZW"/>
              </w:rPr>
              <w:lastRenderedPageBreak/>
              <w:t xml:space="preserve">Informed </w:t>
            </w:r>
            <w:proofErr w:type="gramStart"/>
            <w:r w:rsidR="0021236F" w:rsidRPr="003B48AD">
              <w:rPr>
                <w:rFonts w:eastAsia="Times New Roman"/>
                <w:color w:val="000000"/>
                <w:sz w:val="20"/>
                <w:szCs w:val="20"/>
                <w:lang w:eastAsia="en-ZW"/>
              </w:rPr>
              <w:t>Consent  (</w:t>
            </w:r>
            <w:proofErr w:type="gramEnd"/>
            <w:r w:rsidRPr="003B48AD">
              <w:rPr>
                <w:rFonts w:eastAsia="Times New Roman"/>
                <w:color w:val="000000"/>
                <w:sz w:val="20"/>
                <w:szCs w:val="20"/>
                <w:lang w:eastAsia="en-ZW"/>
              </w:rPr>
              <w:t>FPIC</w:t>
            </w:r>
            <w:r w:rsidR="0021236F" w:rsidRPr="003B48AD">
              <w:rPr>
                <w:rFonts w:eastAsia="Times New Roman"/>
                <w:color w:val="000000"/>
                <w:sz w:val="20"/>
                <w:szCs w:val="20"/>
                <w:lang w:eastAsia="en-ZW"/>
              </w:rPr>
              <w:t>)</w:t>
            </w:r>
            <w:r w:rsidRPr="003B48AD">
              <w:rPr>
                <w:rFonts w:eastAsia="Times New Roman"/>
                <w:color w:val="000000"/>
                <w:sz w:val="20"/>
                <w:szCs w:val="20"/>
                <w:lang w:eastAsia="en-ZW"/>
              </w:rPr>
              <w:t>, co-management planning, CWMPs, monitoring, wild meat value chains, wildlife values, legal reform, One Health and sustainable wildlife-based livelihoods.</w:t>
            </w:r>
          </w:p>
        </w:tc>
        <w:tc>
          <w:tcPr>
            <w:tcW w:w="1276" w:type="dxa"/>
            <w:vAlign w:val="bottom"/>
            <w:hideMark/>
          </w:tcPr>
          <w:p w14:paraId="52F5DEF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5, 9, 10, 21, 22</w:t>
            </w:r>
          </w:p>
        </w:tc>
      </w:tr>
      <w:tr w:rsidR="008B1F15" w:rsidRPr="00CF13A0" w14:paraId="103962D1" w14:textId="77777777" w:rsidTr="00C603BF">
        <w:trPr>
          <w:trHeight w:val="1450"/>
        </w:trPr>
        <w:tc>
          <w:tcPr>
            <w:tcW w:w="1408" w:type="dxa"/>
            <w:vAlign w:val="bottom"/>
            <w:hideMark/>
          </w:tcPr>
          <w:p w14:paraId="4B2DEE1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NINPA Nepal</w:t>
            </w:r>
          </w:p>
        </w:tc>
        <w:tc>
          <w:tcPr>
            <w:tcW w:w="1035" w:type="dxa"/>
            <w:vAlign w:val="bottom"/>
            <w:hideMark/>
          </w:tcPr>
          <w:p w14:paraId="3C137E9C"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52ECFE7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8EBD6C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3A9A7FAF" w14:textId="24C38012" w:rsidR="008B1F15" w:rsidRPr="003B48AD" w:rsidRDefault="008B1F15" w:rsidP="003B48AD">
            <w:pPr>
              <w:jc w:val="left"/>
              <w:rPr>
                <w:rFonts w:eastAsia="Times New Roman"/>
                <w:color w:val="000000"/>
                <w:sz w:val="20"/>
                <w:szCs w:val="20"/>
                <w:lang w:eastAsia="en-ZW"/>
              </w:rPr>
            </w:pPr>
          </w:p>
        </w:tc>
        <w:tc>
          <w:tcPr>
            <w:tcW w:w="333" w:type="dxa"/>
            <w:vAlign w:val="bottom"/>
            <w:hideMark/>
          </w:tcPr>
          <w:p w14:paraId="542120A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15EFB7B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286693C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24140DF" w14:textId="04A79F48" w:rsidR="008B1F15" w:rsidRPr="003B48AD" w:rsidRDefault="008B1F15" w:rsidP="003B48AD">
            <w:pPr>
              <w:jc w:val="left"/>
              <w:rPr>
                <w:rFonts w:eastAsia="Times New Roman"/>
                <w:color w:val="000000"/>
                <w:sz w:val="20"/>
                <w:szCs w:val="20"/>
                <w:lang w:eastAsia="en-ZW"/>
              </w:rPr>
            </w:pPr>
          </w:p>
        </w:tc>
        <w:tc>
          <w:tcPr>
            <w:tcW w:w="2233" w:type="dxa"/>
            <w:vAlign w:val="bottom"/>
            <w:hideMark/>
          </w:tcPr>
          <w:p w14:paraId="1C62683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Tigers, red panda, blue sheep, rhino, snow leopard; Terai to Himalayas</w:t>
            </w:r>
          </w:p>
        </w:tc>
        <w:tc>
          <w:tcPr>
            <w:tcW w:w="1418" w:type="dxa"/>
            <w:vAlign w:val="bottom"/>
            <w:hideMark/>
          </w:tcPr>
          <w:p w14:paraId="0645624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Indigenous and community-based conservation</w:t>
            </w:r>
          </w:p>
        </w:tc>
        <w:tc>
          <w:tcPr>
            <w:tcW w:w="2409" w:type="dxa"/>
            <w:vAlign w:val="bottom"/>
            <w:hideMark/>
          </w:tcPr>
          <w:p w14:paraId="2ED7E2CF" w14:textId="5F56F6BC"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Community forestry, buffer zone management, customary systems, anti-poaching patrols, </w:t>
            </w:r>
            <w:r w:rsidR="003573C8" w:rsidRPr="003B48AD">
              <w:rPr>
                <w:rFonts w:eastAsia="Times New Roman"/>
                <w:color w:val="000000"/>
                <w:sz w:val="20"/>
                <w:szCs w:val="20"/>
                <w:lang w:eastAsia="en-ZW"/>
              </w:rPr>
              <w:t>human wildlife conflict</w:t>
            </w:r>
            <w:r w:rsidRPr="003B48AD">
              <w:rPr>
                <w:rFonts w:eastAsia="Times New Roman"/>
                <w:color w:val="000000"/>
                <w:sz w:val="20"/>
                <w:szCs w:val="20"/>
                <w:lang w:eastAsia="en-ZW"/>
              </w:rPr>
              <w:t xml:space="preserve"> mitigation, transboundary conservation.</w:t>
            </w:r>
          </w:p>
        </w:tc>
        <w:tc>
          <w:tcPr>
            <w:tcW w:w="2268" w:type="dxa"/>
            <w:vAlign w:val="bottom"/>
            <w:hideMark/>
          </w:tcPr>
          <w:p w14:paraId="2B24EEB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the importance of Indigenous knowledge, local institutions, anti-poaching participation, human-wildlife conflict tools, and transboundary cooperation.</w:t>
            </w:r>
          </w:p>
        </w:tc>
        <w:tc>
          <w:tcPr>
            <w:tcW w:w="1276" w:type="dxa"/>
            <w:vAlign w:val="bottom"/>
            <w:hideMark/>
          </w:tcPr>
          <w:p w14:paraId="42E6182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5, 9, 10, 21, 22</w:t>
            </w:r>
          </w:p>
        </w:tc>
      </w:tr>
      <w:tr w:rsidR="008B1F15" w:rsidRPr="00CF13A0" w14:paraId="76574198" w14:textId="77777777" w:rsidTr="00C603BF">
        <w:trPr>
          <w:trHeight w:val="2900"/>
        </w:trPr>
        <w:tc>
          <w:tcPr>
            <w:tcW w:w="1408" w:type="dxa"/>
            <w:vAlign w:val="bottom"/>
            <w:hideMark/>
          </w:tcPr>
          <w:p w14:paraId="0490ACD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Society for Wetland Biodiversity Conservation - Nepal (SWBCN)</w:t>
            </w:r>
          </w:p>
        </w:tc>
        <w:tc>
          <w:tcPr>
            <w:tcW w:w="1035" w:type="dxa"/>
            <w:vAlign w:val="bottom"/>
            <w:hideMark/>
          </w:tcPr>
          <w:p w14:paraId="3D428CF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3D25CA2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DC9E4E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755F79D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AD1F3C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138164C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6603A6D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3523842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2E92B3E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Wetlands; wildlife and wild species used for cultural food, medicine, </w:t>
            </w:r>
            <w:proofErr w:type="gramStart"/>
            <w:r w:rsidRPr="003B48AD">
              <w:rPr>
                <w:rFonts w:eastAsia="Times New Roman"/>
                <w:color w:val="000000"/>
                <w:sz w:val="20"/>
                <w:szCs w:val="20"/>
                <w:lang w:eastAsia="en-ZW"/>
              </w:rPr>
              <w:t>dress-making</w:t>
            </w:r>
            <w:proofErr w:type="gramEnd"/>
            <w:r w:rsidRPr="003B48AD">
              <w:rPr>
                <w:rFonts w:eastAsia="Times New Roman"/>
                <w:color w:val="000000"/>
                <w:sz w:val="20"/>
                <w:szCs w:val="20"/>
                <w:lang w:eastAsia="en-ZW"/>
              </w:rPr>
              <w:t xml:space="preserve"> and rituals; community forests; human-wildlife conflict areas; biocultural and </w:t>
            </w:r>
            <w:proofErr w:type="spellStart"/>
            <w:r w:rsidRPr="003B48AD">
              <w:rPr>
                <w:rFonts w:eastAsia="Times New Roman"/>
                <w:color w:val="000000"/>
                <w:sz w:val="20"/>
                <w:szCs w:val="20"/>
                <w:lang w:eastAsia="en-ZW"/>
              </w:rPr>
              <w:t>agro</w:t>
            </w:r>
            <w:proofErr w:type="spellEnd"/>
            <w:r w:rsidRPr="003B48AD">
              <w:rPr>
                <w:rFonts w:eastAsia="Times New Roman"/>
                <w:color w:val="000000"/>
                <w:sz w:val="20"/>
                <w:szCs w:val="20"/>
                <w:lang w:eastAsia="en-ZW"/>
              </w:rPr>
              <w:t>-biodiversity systems</w:t>
            </w:r>
          </w:p>
        </w:tc>
        <w:tc>
          <w:tcPr>
            <w:tcW w:w="1418" w:type="dxa"/>
            <w:vAlign w:val="bottom"/>
            <w:hideMark/>
          </w:tcPr>
          <w:p w14:paraId="4D0C5A91" w14:textId="215F5EFF" w:rsidR="008B1F15" w:rsidRPr="003B48AD" w:rsidRDefault="003573C8"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Indigenous peoples and local </w:t>
            </w:r>
            <w:proofErr w:type="gramStart"/>
            <w:r w:rsidRPr="003B48AD">
              <w:rPr>
                <w:rFonts w:eastAsia="Times New Roman"/>
                <w:color w:val="000000"/>
                <w:sz w:val="20"/>
                <w:szCs w:val="20"/>
                <w:lang w:eastAsia="en-ZW"/>
              </w:rPr>
              <w:t>communities</w:t>
            </w:r>
            <w:proofErr w:type="gramEnd"/>
            <w:r w:rsidRPr="003B48AD">
              <w:rPr>
                <w:rFonts w:eastAsia="Times New Roman"/>
                <w:color w:val="000000"/>
                <w:sz w:val="20"/>
                <w:szCs w:val="20"/>
                <w:lang w:eastAsia="en-ZW"/>
              </w:rPr>
              <w:t xml:space="preserve"> </w:t>
            </w:r>
            <w:r w:rsidR="008B1F15" w:rsidRPr="003B48AD">
              <w:rPr>
                <w:rFonts w:eastAsia="Times New Roman"/>
                <w:color w:val="000000"/>
                <w:sz w:val="20"/>
                <w:szCs w:val="20"/>
                <w:lang w:eastAsia="en-ZW"/>
              </w:rPr>
              <w:t>customary sustainable wildlife management and Indigenous conservation ethos</w:t>
            </w:r>
          </w:p>
        </w:tc>
        <w:tc>
          <w:tcPr>
            <w:tcW w:w="2409" w:type="dxa"/>
            <w:vAlign w:val="bottom"/>
            <w:hideMark/>
          </w:tcPr>
          <w:p w14:paraId="6DFB489C" w14:textId="250D6C9B"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Workshops and dialogues with Indigenous leaders, women, youth, elders and knowledge holders; National Plan of Action on Traditional Knowledge; </w:t>
            </w:r>
            <w:r w:rsidR="003B7864" w:rsidRPr="003B48AD">
              <w:rPr>
                <w:rFonts w:eastAsia="Times New Roman"/>
                <w:color w:val="000000"/>
                <w:sz w:val="20"/>
                <w:szCs w:val="20"/>
                <w:lang w:eastAsia="en-ZW"/>
              </w:rPr>
              <w:t xml:space="preserve">National Biodiversity Strategy and Action </w:t>
            </w:r>
            <w:proofErr w:type="gramStart"/>
            <w:r w:rsidR="003B7864" w:rsidRPr="003B48AD">
              <w:rPr>
                <w:rFonts w:eastAsia="Times New Roman"/>
                <w:color w:val="000000"/>
                <w:sz w:val="20"/>
                <w:szCs w:val="20"/>
                <w:lang w:eastAsia="en-ZW"/>
              </w:rPr>
              <w:t>Plan  (</w:t>
            </w:r>
            <w:proofErr w:type="gramEnd"/>
            <w:r w:rsidRPr="003B48AD">
              <w:rPr>
                <w:rFonts w:eastAsia="Times New Roman"/>
                <w:color w:val="000000"/>
                <w:sz w:val="20"/>
                <w:szCs w:val="20"/>
                <w:lang w:eastAsia="en-ZW"/>
              </w:rPr>
              <w:t>NBSAP</w:t>
            </w:r>
            <w:r w:rsidR="003B7864" w:rsidRPr="003B48AD">
              <w:rPr>
                <w:rFonts w:eastAsia="Times New Roman"/>
                <w:color w:val="000000"/>
                <w:sz w:val="20"/>
                <w:szCs w:val="20"/>
                <w:lang w:eastAsia="en-ZW"/>
              </w:rPr>
              <w:t>)</w:t>
            </w:r>
            <w:r w:rsidRPr="003B48AD">
              <w:rPr>
                <w:rFonts w:eastAsia="Times New Roman"/>
                <w:color w:val="000000"/>
                <w:sz w:val="20"/>
                <w:szCs w:val="20"/>
                <w:lang w:eastAsia="en-ZW"/>
              </w:rPr>
              <w:t>/</w:t>
            </w:r>
            <w:r w:rsidR="00C1340D" w:rsidRPr="003B48AD">
              <w:rPr>
                <w:sz w:val="20"/>
                <w:szCs w:val="20"/>
              </w:rPr>
              <w:t xml:space="preserve"> </w:t>
            </w:r>
            <w:r w:rsidR="00C1340D" w:rsidRPr="003B48AD">
              <w:rPr>
                <w:rFonts w:eastAsia="Times New Roman"/>
                <w:color w:val="000000"/>
                <w:sz w:val="20"/>
                <w:szCs w:val="20"/>
                <w:lang w:eastAsia="en-ZW"/>
              </w:rPr>
              <w:t xml:space="preserve">Local Biodiversity Strategy and Action </w:t>
            </w:r>
            <w:proofErr w:type="gramStart"/>
            <w:r w:rsidR="00C1340D" w:rsidRPr="003B48AD">
              <w:rPr>
                <w:rFonts w:eastAsia="Times New Roman"/>
                <w:color w:val="000000"/>
                <w:sz w:val="20"/>
                <w:szCs w:val="20"/>
                <w:lang w:eastAsia="en-ZW"/>
              </w:rPr>
              <w:t>Plan  (</w:t>
            </w:r>
            <w:proofErr w:type="gramEnd"/>
            <w:r w:rsidRPr="003B48AD">
              <w:rPr>
                <w:rFonts w:eastAsia="Times New Roman"/>
                <w:color w:val="000000"/>
                <w:sz w:val="20"/>
                <w:szCs w:val="20"/>
                <w:lang w:eastAsia="en-ZW"/>
              </w:rPr>
              <w:t>LBSAP</w:t>
            </w:r>
            <w:r w:rsidR="00C1340D" w:rsidRPr="003B48AD">
              <w:rPr>
                <w:rFonts w:eastAsia="Times New Roman"/>
                <w:color w:val="000000"/>
                <w:sz w:val="20"/>
                <w:szCs w:val="20"/>
                <w:lang w:eastAsia="en-ZW"/>
              </w:rPr>
              <w:t>)</w:t>
            </w:r>
            <w:r w:rsidRPr="003B48AD">
              <w:rPr>
                <w:rFonts w:eastAsia="Times New Roman"/>
                <w:color w:val="000000"/>
                <w:sz w:val="20"/>
                <w:szCs w:val="20"/>
                <w:lang w:eastAsia="en-ZW"/>
              </w:rPr>
              <w:t xml:space="preserve"> engagement; customary governance systems; biocultural community protocols and FPIC.</w:t>
            </w:r>
          </w:p>
        </w:tc>
        <w:tc>
          <w:tcPr>
            <w:tcW w:w="2268" w:type="dxa"/>
            <w:vAlign w:val="bottom"/>
            <w:hideMark/>
          </w:tcPr>
          <w:p w14:paraId="5C1D8401" w14:textId="680F5543"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Emphasizes Indigenous circular conservation ethos, customary sustainable use, traditional institutions, multiple knowledge systems, full and effective </w:t>
            </w:r>
            <w:r w:rsidR="003573C8" w:rsidRPr="003B48AD">
              <w:rPr>
                <w:rFonts w:eastAsia="Times New Roman"/>
                <w:color w:val="000000"/>
                <w:sz w:val="20"/>
                <w:szCs w:val="20"/>
                <w:lang w:eastAsia="en-ZW"/>
              </w:rPr>
              <w:t xml:space="preserve">indigenous peoples and local </w:t>
            </w:r>
            <w:proofErr w:type="gramStart"/>
            <w:r w:rsidR="000A362F" w:rsidRPr="003B48AD">
              <w:rPr>
                <w:rFonts w:eastAsia="Times New Roman"/>
                <w:color w:val="000000"/>
                <w:sz w:val="20"/>
                <w:szCs w:val="20"/>
                <w:lang w:eastAsia="en-ZW"/>
              </w:rPr>
              <w:t>communities</w:t>
            </w:r>
            <w:proofErr w:type="gramEnd"/>
            <w:r w:rsidR="000A362F" w:rsidRPr="003B48AD">
              <w:rPr>
                <w:rFonts w:eastAsia="Times New Roman"/>
                <w:color w:val="000000"/>
                <w:sz w:val="20"/>
                <w:szCs w:val="20"/>
                <w:lang w:eastAsia="en-ZW"/>
              </w:rPr>
              <w:t xml:space="preserve"> </w:t>
            </w:r>
            <w:r w:rsidRPr="003B48AD">
              <w:rPr>
                <w:rFonts w:eastAsia="Times New Roman"/>
                <w:color w:val="000000"/>
                <w:sz w:val="20"/>
                <w:szCs w:val="20"/>
                <w:lang w:eastAsia="en-ZW"/>
              </w:rPr>
              <w:t>participation, women's roles, human-wildlife conflict mitigation, rights recognition, FPIC, and integration into NBSAP/LBSAP and GBF implementation.</w:t>
            </w:r>
          </w:p>
        </w:tc>
        <w:tc>
          <w:tcPr>
            <w:tcW w:w="1276" w:type="dxa"/>
            <w:vAlign w:val="bottom"/>
            <w:hideMark/>
          </w:tcPr>
          <w:p w14:paraId="735DF39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3, 4, 5, 9, 10, 22, 23</w:t>
            </w:r>
          </w:p>
        </w:tc>
      </w:tr>
      <w:tr w:rsidR="008B1F15" w:rsidRPr="00CF13A0" w14:paraId="352C3FD0" w14:textId="77777777" w:rsidTr="00C603BF">
        <w:trPr>
          <w:trHeight w:val="1450"/>
        </w:trPr>
        <w:tc>
          <w:tcPr>
            <w:tcW w:w="1408" w:type="dxa"/>
            <w:vAlign w:val="bottom"/>
            <w:hideMark/>
          </w:tcPr>
          <w:p w14:paraId="0C7C5EB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Resource Africa</w:t>
            </w:r>
          </w:p>
        </w:tc>
        <w:tc>
          <w:tcPr>
            <w:tcW w:w="1035" w:type="dxa"/>
            <w:vAlign w:val="bottom"/>
            <w:hideMark/>
          </w:tcPr>
          <w:p w14:paraId="1A4ADED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455291D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0BB22C3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4D561F0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BF1377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6FE9CDF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78F286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4A0E407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FCB62C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Biocultural resources; Rooibos; </w:t>
            </w:r>
            <w:proofErr w:type="spellStart"/>
            <w:r w:rsidRPr="003B48AD">
              <w:rPr>
                <w:rFonts w:eastAsia="Times New Roman"/>
                <w:color w:val="000000"/>
                <w:sz w:val="20"/>
                <w:szCs w:val="20"/>
                <w:lang w:eastAsia="en-ZW"/>
              </w:rPr>
              <w:t>Nsefu</w:t>
            </w:r>
            <w:proofErr w:type="spellEnd"/>
            <w:r w:rsidRPr="003B48AD">
              <w:rPr>
                <w:rFonts w:eastAsia="Times New Roman"/>
                <w:color w:val="000000"/>
                <w:sz w:val="20"/>
                <w:szCs w:val="20"/>
                <w:lang w:eastAsia="en-ZW"/>
              </w:rPr>
              <w:t xml:space="preserve"> wildlife; </w:t>
            </w:r>
            <w:proofErr w:type="spellStart"/>
            <w:r w:rsidRPr="003B48AD">
              <w:rPr>
                <w:rFonts w:eastAsia="Times New Roman"/>
                <w:color w:val="000000"/>
                <w:sz w:val="20"/>
                <w:szCs w:val="20"/>
                <w:lang w:eastAsia="en-ZW"/>
              </w:rPr>
              <w:t>Mogongo</w:t>
            </w:r>
            <w:proofErr w:type="spellEnd"/>
            <w:r w:rsidRPr="003B48AD">
              <w:rPr>
                <w:rFonts w:eastAsia="Times New Roman"/>
                <w:color w:val="000000"/>
                <w:sz w:val="20"/>
                <w:szCs w:val="20"/>
                <w:lang w:eastAsia="en-ZW"/>
              </w:rPr>
              <w:t xml:space="preserve"> tree; basket-weaving plants</w:t>
            </w:r>
          </w:p>
        </w:tc>
        <w:tc>
          <w:tcPr>
            <w:tcW w:w="1418" w:type="dxa"/>
            <w:vAlign w:val="bottom"/>
            <w:hideMark/>
          </w:tcPr>
          <w:p w14:paraId="589A494F" w14:textId="32EDD1D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Biocultural Community Protocols (BCP) and </w:t>
            </w:r>
            <w:r w:rsidR="00D46870" w:rsidRPr="003B48AD">
              <w:rPr>
                <w:rFonts w:eastAsia="Times New Roman"/>
                <w:color w:val="000000"/>
                <w:sz w:val="20"/>
                <w:szCs w:val="20"/>
                <w:lang w:eastAsia="en-ZW"/>
              </w:rPr>
              <w:t>Community-Based Natural Resource Management (</w:t>
            </w:r>
            <w:r w:rsidRPr="003B48AD">
              <w:rPr>
                <w:rFonts w:eastAsia="Times New Roman"/>
                <w:color w:val="000000"/>
                <w:sz w:val="20"/>
                <w:szCs w:val="20"/>
                <w:lang w:eastAsia="en-ZW"/>
              </w:rPr>
              <w:t>CBNRM</w:t>
            </w:r>
            <w:r w:rsidR="00D46870" w:rsidRPr="003B48AD">
              <w:rPr>
                <w:rFonts w:eastAsia="Times New Roman"/>
                <w:color w:val="000000"/>
                <w:sz w:val="20"/>
                <w:szCs w:val="20"/>
                <w:lang w:eastAsia="en-ZW"/>
              </w:rPr>
              <w:t>)</w:t>
            </w:r>
          </w:p>
        </w:tc>
        <w:tc>
          <w:tcPr>
            <w:tcW w:w="2409" w:type="dxa"/>
            <w:vAlign w:val="bottom"/>
            <w:hideMark/>
          </w:tcPr>
          <w:p w14:paraId="31FB38B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Khoi-Khoi Rooibos BCP; </w:t>
            </w:r>
            <w:proofErr w:type="spellStart"/>
            <w:r w:rsidRPr="003B48AD">
              <w:rPr>
                <w:rFonts w:eastAsia="Times New Roman"/>
                <w:color w:val="000000"/>
                <w:sz w:val="20"/>
                <w:szCs w:val="20"/>
                <w:lang w:eastAsia="en-ZW"/>
              </w:rPr>
              <w:t>Nsefu</w:t>
            </w:r>
            <w:proofErr w:type="spellEnd"/>
            <w:r w:rsidRPr="003B48AD">
              <w:rPr>
                <w:rFonts w:eastAsia="Times New Roman"/>
                <w:color w:val="000000"/>
                <w:sz w:val="20"/>
                <w:szCs w:val="20"/>
                <w:lang w:eastAsia="en-ZW"/>
              </w:rPr>
              <w:t xml:space="preserve"> BCP; Botswana pipeline BCPs for </w:t>
            </w:r>
            <w:proofErr w:type="spellStart"/>
            <w:r w:rsidRPr="003B48AD">
              <w:rPr>
                <w:rFonts w:eastAsia="Times New Roman"/>
                <w:color w:val="000000"/>
                <w:sz w:val="20"/>
                <w:szCs w:val="20"/>
                <w:lang w:eastAsia="en-ZW"/>
              </w:rPr>
              <w:t>Mogongo</w:t>
            </w:r>
            <w:proofErr w:type="spellEnd"/>
            <w:r w:rsidRPr="003B48AD">
              <w:rPr>
                <w:rFonts w:eastAsia="Times New Roman"/>
                <w:color w:val="000000"/>
                <w:sz w:val="20"/>
                <w:szCs w:val="20"/>
                <w:lang w:eastAsia="en-ZW"/>
              </w:rPr>
              <w:t xml:space="preserve"> and basket-weaving resources.</w:t>
            </w:r>
          </w:p>
        </w:tc>
        <w:tc>
          <w:tcPr>
            <w:tcW w:w="2268" w:type="dxa"/>
            <w:vAlign w:val="bottom"/>
            <w:hideMark/>
          </w:tcPr>
          <w:p w14:paraId="0DBA7B6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BCPs can formalize customary governance, traditional knowledge, benefit-sharing, sustainable harvesting, and community-led monitoring.</w:t>
            </w:r>
          </w:p>
        </w:tc>
        <w:tc>
          <w:tcPr>
            <w:tcW w:w="1276" w:type="dxa"/>
            <w:vAlign w:val="bottom"/>
            <w:hideMark/>
          </w:tcPr>
          <w:p w14:paraId="461BD7A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5, 9, 13, 21, 22</w:t>
            </w:r>
          </w:p>
        </w:tc>
      </w:tr>
      <w:tr w:rsidR="008B1F15" w:rsidRPr="00CF13A0" w14:paraId="0C0703E5" w14:textId="77777777" w:rsidTr="00C603BF">
        <w:trPr>
          <w:trHeight w:val="567"/>
        </w:trPr>
        <w:tc>
          <w:tcPr>
            <w:tcW w:w="1408" w:type="dxa"/>
            <w:vAlign w:val="bottom"/>
            <w:hideMark/>
          </w:tcPr>
          <w:p w14:paraId="7D98DFD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Smithsonian Institution</w:t>
            </w:r>
          </w:p>
        </w:tc>
        <w:tc>
          <w:tcPr>
            <w:tcW w:w="1035" w:type="dxa"/>
            <w:vAlign w:val="bottom"/>
            <w:hideMark/>
          </w:tcPr>
          <w:p w14:paraId="6CD0D7D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22F4E936" w14:textId="77777777" w:rsidR="008B1F15" w:rsidRPr="003B48AD" w:rsidRDefault="008B1F15" w:rsidP="003B48AD">
            <w:pPr>
              <w:jc w:val="left"/>
              <w:rPr>
                <w:rFonts w:eastAsia="Times New Roman"/>
                <w:color w:val="000000"/>
                <w:sz w:val="20"/>
                <w:szCs w:val="20"/>
                <w:lang w:eastAsia="en-ZW"/>
              </w:rPr>
            </w:pPr>
          </w:p>
        </w:tc>
        <w:tc>
          <w:tcPr>
            <w:tcW w:w="333" w:type="dxa"/>
            <w:vAlign w:val="bottom"/>
            <w:hideMark/>
          </w:tcPr>
          <w:p w14:paraId="28A38693" w14:textId="77777777" w:rsidR="008B1F15" w:rsidRPr="00CF13A0" w:rsidRDefault="008B1F15" w:rsidP="003B48AD">
            <w:pPr>
              <w:jc w:val="left"/>
              <w:rPr>
                <w:rFonts w:eastAsia="Times New Roman"/>
                <w:sz w:val="20"/>
                <w:szCs w:val="20"/>
                <w:lang w:eastAsia="en-ZW"/>
              </w:rPr>
            </w:pPr>
          </w:p>
        </w:tc>
        <w:tc>
          <w:tcPr>
            <w:tcW w:w="326" w:type="dxa"/>
            <w:vAlign w:val="bottom"/>
            <w:hideMark/>
          </w:tcPr>
          <w:p w14:paraId="246E7398" w14:textId="77777777" w:rsidR="008B1F15" w:rsidRPr="00CF13A0" w:rsidRDefault="008B1F15" w:rsidP="003B48AD">
            <w:pPr>
              <w:jc w:val="left"/>
              <w:rPr>
                <w:rFonts w:eastAsia="Times New Roman"/>
                <w:sz w:val="20"/>
                <w:szCs w:val="20"/>
                <w:lang w:eastAsia="en-ZW"/>
              </w:rPr>
            </w:pPr>
          </w:p>
        </w:tc>
        <w:tc>
          <w:tcPr>
            <w:tcW w:w="333" w:type="dxa"/>
            <w:vAlign w:val="bottom"/>
            <w:hideMark/>
          </w:tcPr>
          <w:p w14:paraId="3C555EE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322728E6" w14:textId="77777777" w:rsidR="008B1F15" w:rsidRPr="003B48AD" w:rsidRDefault="008B1F15" w:rsidP="003B48AD">
            <w:pPr>
              <w:jc w:val="left"/>
              <w:rPr>
                <w:rFonts w:eastAsia="Times New Roman"/>
                <w:color w:val="000000"/>
                <w:sz w:val="20"/>
                <w:szCs w:val="20"/>
                <w:lang w:eastAsia="en-ZW"/>
              </w:rPr>
            </w:pPr>
          </w:p>
        </w:tc>
        <w:tc>
          <w:tcPr>
            <w:tcW w:w="306" w:type="dxa"/>
            <w:vAlign w:val="bottom"/>
            <w:hideMark/>
          </w:tcPr>
          <w:p w14:paraId="2358DCFE" w14:textId="77777777" w:rsidR="008B1F15" w:rsidRPr="00CF13A0" w:rsidRDefault="008B1F15" w:rsidP="003B48AD">
            <w:pPr>
              <w:jc w:val="left"/>
              <w:rPr>
                <w:rFonts w:eastAsia="Times New Roman"/>
                <w:sz w:val="20"/>
                <w:szCs w:val="20"/>
                <w:lang w:eastAsia="en-ZW"/>
              </w:rPr>
            </w:pPr>
          </w:p>
        </w:tc>
        <w:tc>
          <w:tcPr>
            <w:tcW w:w="318" w:type="dxa"/>
            <w:vAlign w:val="bottom"/>
            <w:hideMark/>
          </w:tcPr>
          <w:p w14:paraId="2322C328" w14:textId="2F100865" w:rsidR="008B1F15" w:rsidRPr="003B48AD" w:rsidRDefault="008B1F15" w:rsidP="003B48AD">
            <w:pPr>
              <w:jc w:val="left"/>
              <w:rPr>
                <w:rFonts w:eastAsia="Times New Roman"/>
                <w:color w:val="000000"/>
                <w:sz w:val="20"/>
                <w:szCs w:val="20"/>
                <w:lang w:eastAsia="en-ZW"/>
              </w:rPr>
            </w:pPr>
          </w:p>
        </w:tc>
        <w:tc>
          <w:tcPr>
            <w:tcW w:w="2233" w:type="dxa"/>
            <w:vAlign w:val="bottom"/>
            <w:hideMark/>
          </w:tcPr>
          <w:p w14:paraId="07A5A8E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Birds and associated wildlife in coffee and cocoa agroforestry; native shade trees; forest cover; production landscapes</w:t>
            </w:r>
          </w:p>
        </w:tc>
        <w:tc>
          <w:tcPr>
            <w:tcW w:w="1418" w:type="dxa"/>
            <w:vAlign w:val="bottom"/>
            <w:hideMark/>
          </w:tcPr>
          <w:p w14:paraId="794E6C4D"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Certification, research synthesis, and market-incentive scheme</w:t>
            </w:r>
          </w:p>
        </w:tc>
        <w:tc>
          <w:tcPr>
            <w:tcW w:w="2409" w:type="dxa"/>
            <w:vAlign w:val="bottom"/>
            <w:hideMark/>
          </w:tcPr>
          <w:p w14:paraId="509DCED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Smithsonian Bird Friendly certification for coffee and cocoa; native shade-tree guidance; shadecoffee.org </w:t>
            </w:r>
            <w:proofErr w:type="spellStart"/>
            <w:r w:rsidRPr="003B48AD">
              <w:rPr>
                <w:rFonts w:eastAsia="Times New Roman"/>
                <w:color w:val="000000"/>
                <w:sz w:val="20"/>
                <w:szCs w:val="20"/>
                <w:lang w:eastAsia="en-ZW"/>
              </w:rPr>
              <w:t>catalogs</w:t>
            </w:r>
            <w:proofErr w:type="spellEnd"/>
            <w:r w:rsidRPr="003B48AD">
              <w:rPr>
                <w:rFonts w:eastAsia="Times New Roman"/>
                <w:color w:val="000000"/>
                <w:sz w:val="20"/>
                <w:szCs w:val="20"/>
                <w:lang w:eastAsia="en-ZW"/>
              </w:rPr>
              <w:t>; certification manual and review papers on biodiversity, forest cover, shade, and production trade-offs.</w:t>
            </w:r>
          </w:p>
        </w:tc>
        <w:tc>
          <w:tcPr>
            <w:tcW w:w="2268" w:type="dxa"/>
            <w:vAlign w:val="bottom"/>
            <w:hideMark/>
          </w:tcPr>
          <w:p w14:paraId="5115EF1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Shows that Bird Friendly agroforestry practices, including diverse native shade trees, canopy cover, tree height and diversity, and retained forest cover, can support biodiversity in coffee and cocoa production landscapes while requiring attention to production trade-offs and farmer support.</w:t>
            </w:r>
          </w:p>
        </w:tc>
        <w:tc>
          <w:tcPr>
            <w:tcW w:w="1276" w:type="dxa"/>
            <w:vAlign w:val="bottom"/>
            <w:hideMark/>
          </w:tcPr>
          <w:p w14:paraId="51823A65" w14:textId="6B201CAF"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5, 10</w:t>
            </w:r>
          </w:p>
        </w:tc>
      </w:tr>
      <w:tr w:rsidR="008B1F15" w:rsidRPr="00CF13A0" w14:paraId="1A2740EC" w14:textId="77777777" w:rsidTr="00C603BF">
        <w:trPr>
          <w:trHeight w:val="3190"/>
        </w:trPr>
        <w:tc>
          <w:tcPr>
            <w:tcW w:w="1408" w:type="dxa"/>
            <w:vAlign w:val="bottom"/>
            <w:hideMark/>
          </w:tcPr>
          <w:p w14:paraId="042D1B7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UNEP</w:t>
            </w:r>
          </w:p>
        </w:tc>
        <w:tc>
          <w:tcPr>
            <w:tcW w:w="1035" w:type="dxa"/>
            <w:vAlign w:val="bottom"/>
            <w:hideMark/>
          </w:tcPr>
          <w:p w14:paraId="5182A12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1B6E477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0B86D5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6E472C3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3B775D9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6D4E6B8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7481108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16642B9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BEA09C4" w14:textId="798A52F3"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Wild biodiversity economy; cheetah reintroduction; wildmeat; captive-bred parrots; useful plants; </w:t>
            </w:r>
            <w:r w:rsidR="004427AE" w:rsidRPr="003B48AD">
              <w:rPr>
                <w:rFonts w:eastAsia="Times New Roman"/>
                <w:color w:val="000000"/>
                <w:sz w:val="20"/>
                <w:szCs w:val="20"/>
                <w:lang w:eastAsia="en-ZW"/>
              </w:rPr>
              <w:t>Non-Timber Forest Product. (</w:t>
            </w:r>
            <w:r w:rsidRPr="003B48AD">
              <w:rPr>
                <w:rFonts w:eastAsia="Times New Roman"/>
                <w:color w:val="000000"/>
                <w:sz w:val="20"/>
                <w:szCs w:val="20"/>
                <w:lang w:eastAsia="en-ZW"/>
              </w:rPr>
              <w:t>NTFPs</w:t>
            </w:r>
            <w:r w:rsidR="004427AE" w:rsidRPr="003B48AD">
              <w:rPr>
                <w:rFonts w:eastAsia="Times New Roman"/>
                <w:color w:val="000000"/>
                <w:sz w:val="20"/>
                <w:szCs w:val="20"/>
                <w:lang w:eastAsia="en-ZW"/>
              </w:rPr>
              <w:t>)</w:t>
            </w:r>
            <w:r w:rsidRPr="003B48AD">
              <w:rPr>
                <w:rFonts w:eastAsia="Times New Roman"/>
                <w:color w:val="000000"/>
                <w:sz w:val="20"/>
                <w:szCs w:val="20"/>
                <w:lang w:eastAsia="en-ZW"/>
              </w:rPr>
              <w:t xml:space="preserve">; ecotourism; hunting, fishing, foraging, trapping, bioprospecting, carbon markets; </w:t>
            </w:r>
            <w:r w:rsidR="00323CC6" w:rsidRPr="003B48AD">
              <w:rPr>
                <w:rFonts w:eastAsia="Times New Roman"/>
                <w:color w:val="000000"/>
                <w:sz w:val="20"/>
                <w:szCs w:val="20"/>
                <w:lang w:eastAsia="en-ZW"/>
              </w:rPr>
              <w:t>Payments for Ecosystem Services (</w:t>
            </w:r>
            <w:r w:rsidRPr="003B48AD">
              <w:rPr>
                <w:rFonts w:eastAsia="Times New Roman"/>
                <w:color w:val="000000"/>
                <w:sz w:val="20"/>
                <w:szCs w:val="20"/>
                <w:lang w:eastAsia="en-ZW"/>
              </w:rPr>
              <w:t>PES</w:t>
            </w:r>
            <w:r w:rsidR="00323CC6" w:rsidRPr="003B48AD">
              <w:rPr>
                <w:rFonts w:eastAsia="Times New Roman"/>
                <w:color w:val="000000"/>
                <w:sz w:val="20"/>
                <w:szCs w:val="20"/>
                <w:lang w:eastAsia="en-ZW"/>
              </w:rPr>
              <w:t>)</w:t>
            </w:r>
            <w:r w:rsidRPr="003B48AD">
              <w:rPr>
                <w:rFonts w:eastAsia="Times New Roman"/>
                <w:color w:val="000000"/>
                <w:sz w:val="20"/>
                <w:szCs w:val="20"/>
                <w:lang w:eastAsia="en-ZW"/>
              </w:rPr>
              <w:t>; Amazon socio</w:t>
            </w:r>
            <w:r w:rsidR="00074DE1" w:rsidRPr="003B48AD">
              <w:rPr>
                <w:rFonts w:eastAsia="Times New Roman"/>
                <w:color w:val="000000"/>
                <w:sz w:val="20"/>
                <w:szCs w:val="20"/>
                <w:lang w:eastAsia="en-ZW"/>
              </w:rPr>
              <w:t>-</w:t>
            </w:r>
            <w:r w:rsidRPr="003B48AD">
              <w:rPr>
                <w:rFonts w:eastAsia="Times New Roman"/>
                <w:color w:val="000000"/>
                <w:sz w:val="20"/>
                <w:szCs w:val="20"/>
                <w:lang w:eastAsia="en-ZW"/>
              </w:rPr>
              <w:t xml:space="preserve">biodiversity value chains including </w:t>
            </w:r>
            <w:r w:rsidRPr="003B48AD">
              <w:rPr>
                <w:rFonts w:eastAsia="Times New Roman"/>
                <w:color w:val="000000"/>
                <w:sz w:val="20"/>
                <w:szCs w:val="20"/>
                <w:lang w:eastAsia="en-ZW"/>
              </w:rPr>
              <w:lastRenderedPageBreak/>
              <w:t>Pirarucu, Andiroba, Murumuru, rubber and cassava flour</w:t>
            </w:r>
          </w:p>
        </w:tc>
        <w:tc>
          <w:tcPr>
            <w:tcW w:w="1418" w:type="dxa"/>
            <w:vAlign w:val="bottom"/>
            <w:hideMark/>
          </w:tcPr>
          <w:p w14:paraId="7C8574F9"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lastRenderedPageBreak/>
              <w:t>Programme and case-study portfolio; policy support, research-to-impact, wildlife economy, rewilding, trade governance, monitoring and value-chain analysis</w:t>
            </w:r>
          </w:p>
        </w:tc>
        <w:tc>
          <w:tcPr>
            <w:tcW w:w="2409" w:type="dxa"/>
            <w:vAlign w:val="bottom"/>
            <w:hideMark/>
          </w:tcPr>
          <w:p w14:paraId="26E56D51" w14:textId="67EDA528"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Strengthening the Wild Biodiversity Economy; Saudi Arabia cheetah conservation strategy/action plan; </w:t>
            </w:r>
            <w:r w:rsidR="00BE09F6" w:rsidRPr="003B48AD">
              <w:rPr>
                <w:rFonts w:eastAsia="Times New Roman"/>
                <w:color w:val="000000"/>
                <w:sz w:val="20"/>
                <w:szCs w:val="20"/>
                <w:lang w:eastAsia="en-ZW"/>
              </w:rPr>
              <w:t>Trade, Development and the Environment (</w:t>
            </w:r>
            <w:r w:rsidRPr="003B48AD">
              <w:rPr>
                <w:rFonts w:eastAsia="Times New Roman"/>
                <w:color w:val="000000"/>
                <w:sz w:val="20"/>
                <w:szCs w:val="20"/>
                <w:lang w:eastAsia="en-ZW"/>
              </w:rPr>
              <w:t>TRADE</w:t>
            </w:r>
            <w:r w:rsidR="00BE09F6" w:rsidRPr="003B48AD">
              <w:rPr>
                <w:rFonts w:eastAsia="Times New Roman"/>
                <w:color w:val="000000"/>
                <w:sz w:val="20"/>
                <w:szCs w:val="20"/>
                <w:lang w:eastAsia="en-ZW"/>
              </w:rPr>
              <w:t>)</w:t>
            </w:r>
            <w:r w:rsidRPr="003B48AD">
              <w:rPr>
                <w:rFonts w:eastAsia="Times New Roman"/>
                <w:color w:val="000000"/>
                <w:sz w:val="20"/>
                <w:szCs w:val="20"/>
                <w:lang w:eastAsia="en-ZW"/>
              </w:rPr>
              <w:t xml:space="preserve"> Hub wildmeat governance and CITES tools; captive-bred parrot management in China; global mapping of plants used by humans; Amazon socio</w:t>
            </w:r>
            <w:r w:rsidR="00BE09F6" w:rsidRPr="003B48AD">
              <w:rPr>
                <w:rFonts w:eastAsia="Times New Roman"/>
                <w:color w:val="000000"/>
                <w:sz w:val="20"/>
                <w:szCs w:val="20"/>
                <w:lang w:eastAsia="en-ZW"/>
              </w:rPr>
              <w:t>-</w:t>
            </w:r>
            <w:r w:rsidRPr="003B48AD">
              <w:rPr>
                <w:rFonts w:eastAsia="Times New Roman"/>
                <w:color w:val="000000"/>
                <w:sz w:val="20"/>
                <w:szCs w:val="20"/>
                <w:lang w:eastAsia="en-ZW"/>
              </w:rPr>
              <w:t>biodiversity value-chain study.</w:t>
            </w:r>
          </w:p>
        </w:tc>
        <w:tc>
          <w:tcPr>
            <w:tcW w:w="2268" w:type="dxa"/>
            <w:vAlign w:val="bottom"/>
            <w:hideMark/>
          </w:tcPr>
          <w:p w14:paraId="4A9F95D1" w14:textId="5B39C6E3"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Connects sustainable use with wildlife-positive livelihoods, marginalized-group benefits, restoration, rewilding, eco-tourism incentives, trade governance, CITES decision-support tools, plant-use mapping, socio</w:t>
            </w:r>
            <w:r w:rsidR="00BE09F6" w:rsidRPr="003B48AD">
              <w:rPr>
                <w:rFonts w:eastAsia="Times New Roman"/>
                <w:color w:val="000000"/>
                <w:sz w:val="20"/>
                <w:szCs w:val="20"/>
                <w:lang w:eastAsia="en-ZW"/>
              </w:rPr>
              <w:t>-</w:t>
            </w:r>
            <w:r w:rsidRPr="003B48AD">
              <w:rPr>
                <w:rFonts w:eastAsia="Times New Roman"/>
                <w:color w:val="000000"/>
                <w:sz w:val="20"/>
                <w:szCs w:val="20"/>
                <w:lang w:eastAsia="en-ZW"/>
              </w:rPr>
              <w:t>biodiversity value chains and adaptive monitoring.</w:t>
            </w:r>
          </w:p>
        </w:tc>
        <w:tc>
          <w:tcPr>
            <w:tcW w:w="1276" w:type="dxa"/>
            <w:vAlign w:val="bottom"/>
            <w:hideMark/>
          </w:tcPr>
          <w:p w14:paraId="6743412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3, 4, 5, 9, 10, 21, 22</w:t>
            </w:r>
          </w:p>
        </w:tc>
      </w:tr>
      <w:tr w:rsidR="008B1F15" w:rsidRPr="00CF13A0" w14:paraId="4DEADE94" w14:textId="77777777" w:rsidTr="00C603BF">
        <w:trPr>
          <w:trHeight w:val="558"/>
        </w:trPr>
        <w:tc>
          <w:tcPr>
            <w:tcW w:w="1408" w:type="dxa"/>
            <w:vAlign w:val="bottom"/>
            <w:hideMark/>
          </w:tcPr>
          <w:p w14:paraId="6EF269B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University of Exeter</w:t>
            </w:r>
          </w:p>
        </w:tc>
        <w:tc>
          <w:tcPr>
            <w:tcW w:w="1035" w:type="dxa"/>
            <w:vAlign w:val="bottom"/>
            <w:hideMark/>
          </w:tcPr>
          <w:p w14:paraId="64CE4BF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59467098"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7E5A53D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6A4ED95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DF492A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5AAC004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06" w:type="dxa"/>
            <w:vAlign w:val="bottom"/>
            <w:hideMark/>
          </w:tcPr>
          <w:p w14:paraId="13930FA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18" w:type="dxa"/>
            <w:vAlign w:val="bottom"/>
            <w:hideMark/>
          </w:tcPr>
          <w:p w14:paraId="0BCBBF61"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2279939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Deer, introduced species, conservation translocations, pastoralist land-sharing systems, peatlands, marine/coastal systems, agroforest landscapes, human-wildlife coexistence, and blue justice/ocean equity</w:t>
            </w:r>
          </w:p>
        </w:tc>
        <w:tc>
          <w:tcPr>
            <w:tcW w:w="1418" w:type="dxa"/>
            <w:vAlign w:val="bottom"/>
            <w:hideMark/>
          </w:tcPr>
          <w:p w14:paraId="2D1F561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Research synthesis and applied guidance</w:t>
            </w:r>
          </w:p>
        </w:tc>
        <w:tc>
          <w:tcPr>
            <w:tcW w:w="2409" w:type="dxa"/>
            <w:vAlign w:val="bottom"/>
            <w:hideMark/>
          </w:tcPr>
          <w:p w14:paraId="26370C46"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Case studies on trade-offs, marine and coastal interventions, People and Conservation Translocations, collaborative deer management, introduced species, Northern Kenya conservancies, peatlands as critical habitat, Guinea-Bissau coexistence, and blue justice.</w:t>
            </w:r>
          </w:p>
        </w:tc>
        <w:tc>
          <w:tcPr>
            <w:tcW w:w="2268" w:type="dxa"/>
            <w:vAlign w:val="bottom"/>
            <w:hideMark/>
          </w:tcPr>
          <w:p w14:paraId="28DE915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Adds tools and guidance for recognition, inclusion, equity, social feasibility, FPIC, social impact assessment, trade-off analysis, Indigenous stewardship, livelihood diversification, local support, and fair distribution of conservation costs and benefits.</w:t>
            </w:r>
          </w:p>
        </w:tc>
        <w:tc>
          <w:tcPr>
            <w:tcW w:w="1276" w:type="dxa"/>
            <w:vAlign w:val="bottom"/>
            <w:hideMark/>
          </w:tcPr>
          <w:p w14:paraId="7D7A0A5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3, 5, 9, 10, 21, 22</w:t>
            </w:r>
          </w:p>
        </w:tc>
      </w:tr>
      <w:tr w:rsidR="008B1F15" w:rsidRPr="00CF13A0" w14:paraId="166E00B1" w14:textId="77777777" w:rsidTr="00C603BF">
        <w:trPr>
          <w:trHeight w:val="3490"/>
        </w:trPr>
        <w:tc>
          <w:tcPr>
            <w:tcW w:w="1408" w:type="dxa"/>
            <w:vAlign w:val="bottom"/>
            <w:hideMark/>
          </w:tcPr>
          <w:p w14:paraId="4669B818" w14:textId="77777777" w:rsidR="008B1F15" w:rsidRPr="003B48AD" w:rsidRDefault="008B1F15" w:rsidP="003B48AD">
            <w:pPr>
              <w:jc w:val="left"/>
              <w:rPr>
                <w:rFonts w:eastAsia="Times New Roman"/>
                <w:color w:val="000000"/>
                <w:sz w:val="20"/>
                <w:szCs w:val="20"/>
                <w:lang w:val="es-ES" w:eastAsia="en-ZW"/>
              </w:rPr>
            </w:pPr>
            <w:r w:rsidRPr="003B48AD">
              <w:rPr>
                <w:rFonts w:eastAsia="Times New Roman"/>
                <w:color w:val="000000"/>
                <w:sz w:val="20"/>
                <w:szCs w:val="20"/>
                <w:lang w:val="es-ES" w:eastAsia="en-ZW"/>
              </w:rPr>
              <w:lastRenderedPageBreak/>
              <w:t xml:space="preserve">Plataforma Boliviana Frente al Cambio </w:t>
            </w:r>
            <w:proofErr w:type="spellStart"/>
            <w:r w:rsidRPr="003B48AD">
              <w:rPr>
                <w:rFonts w:eastAsia="Times New Roman"/>
                <w:color w:val="000000"/>
                <w:sz w:val="20"/>
                <w:szCs w:val="20"/>
                <w:lang w:val="es-ES" w:eastAsia="en-ZW"/>
              </w:rPr>
              <w:t>Climatico</w:t>
            </w:r>
            <w:proofErr w:type="spellEnd"/>
          </w:p>
        </w:tc>
        <w:tc>
          <w:tcPr>
            <w:tcW w:w="1035" w:type="dxa"/>
            <w:vAlign w:val="bottom"/>
            <w:hideMark/>
          </w:tcPr>
          <w:p w14:paraId="60C852E0"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Observer</w:t>
            </w:r>
          </w:p>
        </w:tc>
        <w:tc>
          <w:tcPr>
            <w:tcW w:w="326" w:type="dxa"/>
            <w:vAlign w:val="bottom"/>
            <w:hideMark/>
          </w:tcPr>
          <w:p w14:paraId="00203345"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33" w:type="dxa"/>
            <w:vAlign w:val="bottom"/>
            <w:hideMark/>
          </w:tcPr>
          <w:p w14:paraId="6E5B9403"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6" w:type="dxa"/>
            <w:vAlign w:val="bottom"/>
            <w:hideMark/>
          </w:tcPr>
          <w:p w14:paraId="4A4A2EE7"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w:t>
            </w:r>
          </w:p>
        </w:tc>
        <w:tc>
          <w:tcPr>
            <w:tcW w:w="333" w:type="dxa"/>
            <w:vAlign w:val="bottom"/>
            <w:hideMark/>
          </w:tcPr>
          <w:p w14:paraId="1AF626DE"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328" w:type="dxa"/>
            <w:vAlign w:val="bottom"/>
            <w:hideMark/>
          </w:tcPr>
          <w:p w14:paraId="703DC90B"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w:t>
            </w:r>
          </w:p>
        </w:tc>
        <w:tc>
          <w:tcPr>
            <w:tcW w:w="306" w:type="dxa"/>
            <w:vAlign w:val="bottom"/>
            <w:hideMark/>
          </w:tcPr>
          <w:p w14:paraId="0D56A64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w:t>
            </w:r>
          </w:p>
        </w:tc>
        <w:tc>
          <w:tcPr>
            <w:tcW w:w="318" w:type="dxa"/>
            <w:vAlign w:val="bottom"/>
            <w:hideMark/>
          </w:tcPr>
          <w:p w14:paraId="5034DDCF"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x</w:t>
            </w:r>
          </w:p>
        </w:tc>
        <w:tc>
          <w:tcPr>
            <w:tcW w:w="2233" w:type="dxa"/>
            <w:vAlign w:val="bottom"/>
            <w:hideMark/>
          </w:tcPr>
          <w:p w14:paraId="172E3202"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Indigenous territories and traditional lands; forests, savannas, wetlands, rivers and conservation areas; wildlife and culturally or economically important species including jaguar, puma, anteater, tapir/anta, peccaries, deer/</w:t>
            </w:r>
            <w:proofErr w:type="spellStart"/>
            <w:r w:rsidRPr="003B48AD">
              <w:rPr>
                <w:rFonts w:eastAsia="Times New Roman"/>
                <w:color w:val="000000"/>
                <w:sz w:val="20"/>
                <w:szCs w:val="20"/>
                <w:lang w:eastAsia="en-ZW"/>
              </w:rPr>
              <w:t>guazo</w:t>
            </w:r>
            <w:proofErr w:type="spellEnd"/>
            <w:r w:rsidRPr="003B48AD">
              <w:rPr>
                <w:rFonts w:eastAsia="Times New Roman"/>
                <w:color w:val="000000"/>
                <w:sz w:val="20"/>
                <w:szCs w:val="20"/>
                <w:lang w:eastAsia="en-ZW"/>
              </w:rPr>
              <w:t xml:space="preserve">, turtles, fish, wild-meat species, </w:t>
            </w:r>
            <w:proofErr w:type="spellStart"/>
            <w:r w:rsidRPr="003B48AD">
              <w:rPr>
                <w:rFonts w:eastAsia="Times New Roman"/>
                <w:color w:val="000000"/>
                <w:sz w:val="20"/>
                <w:szCs w:val="20"/>
                <w:lang w:eastAsia="en-ZW"/>
              </w:rPr>
              <w:t>copaibo</w:t>
            </w:r>
            <w:proofErr w:type="spellEnd"/>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cusi</w:t>
            </w:r>
            <w:proofErr w:type="spellEnd"/>
            <w:r w:rsidRPr="003B48AD">
              <w:rPr>
                <w:rFonts w:eastAsia="Times New Roman"/>
                <w:color w:val="000000"/>
                <w:sz w:val="20"/>
                <w:szCs w:val="20"/>
                <w:lang w:eastAsia="en-ZW"/>
              </w:rPr>
              <w:t>, cacao, mara, cedar and other forest species</w:t>
            </w:r>
          </w:p>
        </w:tc>
        <w:tc>
          <w:tcPr>
            <w:tcW w:w="1418" w:type="dxa"/>
            <w:vAlign w:val="bottom"/>
            <w:hideMark/>
          </w:tcPr>
          <w:p w14:paraId="6241281A"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Participatory Indigenous consultation, territorial governance and rights-based biodiversity planning</w:t>
            </w:r>
          </w:p>
        </w:tc>
        <w:tc>
          <w:tcPr>
            <w:tcW w:w="2409" w:type="dxa"/>
            <w:vAlign w:val="bottom"/>
            <w:hideMark/>
          </w:tcPr>
          <w:p w14:paraId="78AC622E" w14:textId="29A45E90"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National Indigenous biodiversity vision process; six regional workshops and national validation; territorial reports for Alto/Bajo </w:t>
            </w:r>
            <w:proofErr w:type="spellStart"/>
            <w:r w:rsidRPr="003B48AD">
              <w:rPr>
                <w:rFonts w:eastAsia="Times New Roman"/>
                <w:color w:val="000000"/>
                <w:sz w:val="20"/>
                <w:szCs w:val="20"/>
                <w:lang w:eastAsia="en-ZW"/>
              </w:rPr>
              <w:t>Isoso</w:t>
            </w:r>
            <w:proofErr w:type="spellEnd"/>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Charagua</w:t>
            </w:r>
            <w:proofErr w:type="spellEnd"/>
            <w:r w:rsidRPr="003B48AD">
              <w:rPr>
                <w:rFonts w:eastAsia="Times New Roman"/>
                <w:color w:val="000000"/>
                <w:sz w:val="20"/>
                <w:szCs w:val="20"/>
                <w:lang w:eastAsia="en-ZW"/>
              </w:rPr>
              <w:t xml:space="preserve"> Norte, </w:t>
            </w:r>
            <w:proofErr w:type="spellStart"/>
            <w:r w:rsidRPr="003B48AD">
              <w:rPr>
                <w:rFonts w:eastAsia="Times New Roman"/>
                <w:color w:val="000000"/>
                <w:sz w:val="20"/>
                <w:szCs w:val="20"/>
                <w:lang w:eastAsia="en-ZW"/>
              </w:rPr>
              <w:t>Charagua</w:t>
            </w:r>
            <w:proofErr w:type="spellEnd"/>
            <w:r w:rsidRPr="003B48AD">
              <w:rPr>
                <w:rFonts w:eastAsia="Times New Roman"/>
                <w:color w:val="000000"/>
                <w:sz w:val="20"/>
                <w:szCs w:val="20"/>
                <w:lang w:eastAsia="en-ZW"/>
              </w:rPr>
              <w:t xml:space="preserve"> Sur, </w:t>
            </w:r>
            <w:r w:rsidR="009523DB" w:rsidRPr="003B48AD">
              <w:rPr>
                <w:rFonts w:eastAsia="Times New Roman"/>
                <w:color w:val="000000"/>
                <w:sz w:val="20"/>
                <w:szCs w:val="20"/>
                <w:lang w:eastAsia="en-ZW"/>
              </w:rPr>
              <w:t xml:space="preserve">Central </w:t>
            </w:r>
            <w:proofErr w:type="spellStart"/>
            <w:r w:rsidR="009523DB" w:rsidRPr="003B48AD">
              <w:rPr>
                <w:rFonts w:eastAsia="Times New Roman"/>
                <w:color w:val="000000"/>
                <w:sz w:val="20"/>
                <w:szCs w:val="20"/>
                <w:lang w:eastAsia="en-ZW"/>
              </w:rPr>
              <w:t>Indígena</w:t>
            </w:r>
            <w:proofErr w:type="spellEnd"/>
            <w:r w:rsidR="009523DB" w:rsidRPr="003B48AD">
              <w:rPr>
                <w:rFonts w:eastAsia="Times New Roman"/>
                <w:color w:val="000000"/>
                <w:sz w:val="20"/>
                <w:szCs w:val="20"/>
                <w:lang w:eastAsia="en-ZW"/>
              </w:rPr>
              <w:t xml:space="preserve"> </w:t>
            </w:r>
            <w:proofErr w:type="spellStart"/>
            <w:r w:rsidR="009523DB" w:rsidRPr="003B48AD">
              <w:rPr>
                <w:rFonts w:eastAsia="Times New Roman"/>
                <w:color w:val="000000"/>
                <w:sz w:val="20"/>
                <w:szCs w:val="20"/>
                <w:lang w:eastAsia="en-ZW"/>
              </w:rPr>
              <w:t>Chiquitana</w:t>
            </w:r>
            <w:proofErr w:type="spellEnd"/>
            <w:r w:rsidR="009523DB" w:rsidRPr="003B48AD">
              <w:rPr>
                <w:rFonts w:eastAsia="Times New Roman"/>
                <w:color w:val="000000"/>
                <w:sz w:val="20"/>
                <w:szCs w:val="20"/>
                <w:lang w:eastAsia="en-ZW"/>
              </w:rPr>
              <w:t xml:space="preserve"> Amanecer Roboré </w:t>
            </w:r>
            <w:r w:rsidR="002A1367" w:rsidRPr="003B48AD">
              <w:rPr>
                <w:rFonts w:eastAsia="Times New Roman"/>
                <w:color w:val="000000"/>
                <w:sz w:val="20"/>
                <w:szCs w:val="20"/>
                <w:lang w:eastAsia="en-ZW"/>
              </w:rPr>
              <w:t>(</w:t>
            </w:r>
            <w:r w:rsidRPr="003B48AD">
              <w:rPr>
                <w:rFonts w:eastAsia="Times New Roman"/>
                <w:color w:val="000000"/>
                <w:sz w:val="20"/>
                <w:szCs w:val="20"/>
                <w:lang w:eastAsia="en-ZW"/>
              </w:rPr>
              <w:t>CICHAR</w:t>
            </w:r>
            <w:r w:rsidR="002A1367" w:rsidRPr="003B48AD">
              <w:rPr>
                <w:rFonts w:eastAsia="Times New Roman"/>
                <w:color w:val="000000"/>
                <w:sz w:val="20"/>
                <w:szCs w:val="20"/>
                <w:lang w:eastAsia="en-ZW"/>
              </w:rPr>
              <w:t>)</w:t>
            </w:r>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Guarayo</w:t>
            </w:r>
            <w:proofErr w:type="spellEnd"/>
            <w:r w:rsidRPr="003B48AD">
              <w:rPr>
                <w:rFonts w:eastAsia="Times New Roman"/>
                <w:color w:val="000000"/>
                <w:sz w:val="20"/>
                <w:szCs w:val="20"/>
                <w:lang w:eastAsia="en-ZW"/>
              </w:rPr>
              <w:t xml:space="preserve">, </w:t>
            </w:r>
            <w:proofErr w:type="spellStart"/>
            <w:r w:rsidRPr="003B48AD">
              <w:rPr>
                <w:rFonts w:eastAsia="Times New Roman"/>
                <w:color w:val="000000"/>
                <w:sz w:val="20"/>
                <w:szCs w:val="20"/>
                <w:lang w:eastAsia="en-ZW"/>
              </w:rPr>
              <w:t>Itonama</w:t>
            </w:r>
            <w:proofErr w:type="spellEnd"/>
            <w:r w:rsidRPr="003B48AD">
              <w:rPr>
                <w:rFonts w:eastAsia="Times New Roman"/>
                <w:color w:val="000000"/>
                <w:sz w:val="20"/>
                <w:szCs w:val="20"/>
                <w:lang w:eastAsia="en-ZW"/>
              </w:rPr>
              <w:t xml:space="preserve">, Monte Verde, </w:t>
            </w:r>
            <w:proofErr w:type="spellStart"/>
            <w:r w:rsidRPr="003B48AD">
              <w:rPr>
                <w:rFonts w:eastAsia="Times New Roman"/>
                <w:color w:val="000000"/>
                <w:sz w:val="20"/>
                <w:szCs w:val="20"/>
                <w:lang w:eastAsia="en-ZW"/>
              </w:rPr>
              <w:t>Chiquitano</w:t>
            </w:r>
            <w:proofErr w:type="spellEnd"/>
            <w:r w:rsidRPr="003B48AD">
              <w:rPr>
                <w:rFonts w:eastAsia="Times New Roman"/>
                <w:color w:val="000000"/>
                <w:sz w:val="20"/>
                <w:szCs w:val="20"/>
                <w:lang w:eastAsia="en-ZW"/>
              </w:rPr>
              <w:t xml:space="preserve"> Pantanal, </w:t>
            </w:r>
            <w:proofErr w:type="spellStart"/>
            <w:r w:rsidR="002A1367" w:rsidRPr="003B48AD">
              <w:rPr>
                <w:rFonts w:eastAsia="Times New Roman"/>
                <w:color w:val="000000"/>
                <w:sz w:val="20"/>
                <w:szCs w:val="20"/>
                <w:lang w:eastAsia="en-ZW"/>
              </w:rPr>
              <w:t>Territorio</w:t>
            </w:r>
            <w:proofErr w:type="spellEnd"/>
            <w:r w:rsidR="002A1367" w:rsidRPr="003B48AD">
              <w:rPr>
                <w:rFonts w:eastAsia="Times New Roman"/>
                <w:color w:val="000000"/>
                <w:sz w:val="20"/>
                <w:szCs w:val="20"/>
                <w:lang w:eastAsia="en-ZW"/>
              </w:rPr>
              <w:t xml:space="preserve"> </w:t>
            </w:r>
            <w:proofErr w:type="spellStart"/>
            <w:r w:rsidR="002A1367" w:rsidRPr="003B48AD">
              <w:rPr>
                <w:rFonts w:eastAsia="Times New Roman"/>
                <w:color w:val="000000"/>
                <w:sz w:val="20"/>
                <w:szCs w:val="20"/>
                <w:lang w:eastAsia="en-ZW"/>
              </w:rPr>
              <w:t>Indígena</w:t>
            </w:r>
            <w:proofErr w:type="spellEnd"/>
            <w:r w:rsidR="002A1367" w:rsidRPr="003B48AD">
              <w:rPr>
                <w:rFonts w:eastAsia="Times New Roman"/>
                <w:color w:val="000000"/>
                <w:sz w:val="20"/>
                <w:szCs w:val="20"/>
                <w:lang w:eastAsia="en-ZW"/>
              </w:rPr>
              <w:t xml:space="preserve"> </w:t>
            </w:r>
            <w:proofErr w:type="spellStart"/>
            <w:r w:rsidR="002A1367" w:rsidRPr="003B48AD">
              <w:rPr>
                <w:rFonts w:eastAsia="Times New Roman"/>
                <w:color w:val="000000"/>
                <w:sz w:val="20"/>
                <w:szCs w:val="20"/>
                <w:lang w:eastAsia="en-ZW"/>
              </w:rPr>
              <w:t>Multiétnico</w:t>
            </w:r>
            <w:proofErr w:type="spellEnd"/>
            <w:r w:rsidR="002A1367" w:rsidRPr="003B48AD">
              <w:rPr>
                <w:rFonts w:eastAsia="Times New Roman"/>
                <w:color w:val="000000"/>
                <w:sz w:val="20"/>
                <w:szCs w:val="20"/>
                <w:lang w:eastAsia="en-ZW"/>
              </w:rPr>
              <w:t xml:space="preserve"> (</w:t>
            </w:r>
            <w:r w:rsidRPr="003B48AD">
              <w:rPr>
                <w:rFonts w:eastAsia="Times New Roman"/>
                <w:color w:val="000000"/>
                <w:sz w:val="20"/>
                <w:szCs w:val="20"/>
                <w:lang w:eastAsia="en-ZW"/>
              </w:rPr>
              <w:t>TIM</w:t>
            </w:r>
            <w:r w:rsidR="002A1367" w:rsidRPr="003B48AD">
              <w:rPr>
                <w:rFonts w:eastAsia="Times New Roman"/>
                <w:color w:val="000000"/>
                <w:sz w:val="20"/>
                <w:szCs w:val="20"/>
                <w:lang w:eastAsia="en-ZW"/>
              </w:rPr>
              <w:t>)</w:t>
            </w:r>
            <w:r w:rsidRPr="003B48AD">
              <w:rPr>
                <w:rFonts w:eastAsia="Times New Roman"/>
                <w:color w:val="000000"/>
                <w:sz w:val="20"/>
                <w:szCs w:val="20"/>
                <w:lang w:eastAsia="en-ZW"/>
              </w:rPr>
              <w:t xml:space="preserve"> and </w:t>
            </w:r>
            <w:proofErr w:type="spellStart"/>
            <w:r w:rsidR="002A1367" w:rsidRPr="003B48AD">
              <w:rPr>
                <w:rFonts w:eastAsia="Times New Roman"/>
                <w:color w:val="000000"/>
                <w:sz w:val="20"/>
                <w:szCs w:val="20"/>
                <w:lang w:eastAsia="en-ZW"/>
              </w:rPr>
              <w:t>Territorio</w:t>
            </w:r>
            <w:proofErr w:type="spellEnd"/>
            <w:r w:rsidR="002A1367" w:rsidRPr="003B48AD">
              <w:rPr>
                <w:rFonts w:eastAsia="Times New Roman"/>
                <w:color w:val="000000"/>
                <w:sz w:val="20"/>
                <w:szCs w:val="20"/>
                <w:lang w:eastAsia="en-ZW"/>
              </w:rPr>
              <w:t xml:space="preserve"> </w:t>
            </w:r>
            <w:proofErr w:type="spellStart"/>
            <w:r w:rsidR="002A1367" w:rsidRPr="003B48AD">
              <w:rPr>
                <w:rFonts w:eastAsia="Times New Roman"/>
                <w:color w:val="000000"/>
                <w:sz w:val="20"/>
                <w:szCs w:val="20"/>
                <w:lang w:eastAsia="en-ZW"/>
              </w:rPr>
              <w:t>Indígena</w:t>
            </w:r>
            <w:proofErr w:type="spellEnd"/>
            <w:r w:rsidR="002A1367" w:rsidRPr="003B48AD">
              <w:rPr>
                <w:rFonts w:eastAsia="Times New Roman"/>
                <w:color w:val="000000"/>
                <w:sz w:val="20"/>
                <w:szCs w:val="20"/>
                <w:lang w:eastAsia="en-ZW"/>
              </w:rPr>
              <w:t xml:space="preserve"> </w:t>
            </w:r>
            <w:proofErr w:type="spellStart"/>
            <w:r w:rsidR="002A1367" w:rsidRPr="003B48AD">
              <w:rPr>
                <w:rFonts w:eastAsia="Times New Roman"/>
                <w:color w:val="000000"/>
                <w:sz w:val="20"/>
                <w:szCs w:val="20"/>
                <w:lang w:eastAsia="en-ZW"/>
              </w:rPr>
              <w:t>Mojeño</w:t>
            </w:r>
            <w:proofErr w:type="spellEnd"/>
            <w:r w:rsidR="002A1367" w:rsidRPr="003B48AD">
              <w:rPr>
                <w:rFonts w:eastAsia="Times New Roman"/>
                <w:color w:val="000000"/>
                <w:sz w:val="20"/>
                <w:szCs w:val="20"/>
                <w:lang w:eastAsia="en-ZW"/>
              </w:rPr>
              <w:t xml:space="preserve"> </w:t>
            </w:r>
            <w:proofErr w:type="spellStart"/>
            <w:r w:rsidR="002A1367" w:rsidRPr="003B48AD">
              <w:rPr>
                <w:rFonts w:eastAsia="Times New Roman"/>
                <w:color w:val="000000"/>
                <w:sz w:val="20"/>
                <w:szCs w:val="20"/>
                <w:lang w:eastAsia="en-ZW"/>
              </w:rPr>
              <w:t>Ignaciano</w:t>
            </w:r>
            <w:proofErr w:type="spellEnd"/>
            <w:r w:rsidR="002A1367" w:rsidRPr="003B48AD">
              <w:rPr>
                <w:rFonts w:eastAsia="Times New Roman"/>
                <w:color w:val="000000"/>
                <w:sz w:val="20"/>
                <w:szCs w:val="20"/>
                <w:lang w:eastAsia="en-ZW"/>
              </w:rPr>
              <w:t xml:space="preserve"> (</w:t>
            </w:r>
            <w:r w:rsidRPr="003B48AD">
              <w:rPr>
                <w:rFonts w:eastAsia="Times New Roman"/>
                <w:color w:val="000000"/>
                <w:sz w:val="20"/>
                <w:szCs w:val="20"/>
                <w:lang w:eastAsia="en-ZW"/>
              </w:rPr>
              <w:t>TIMI</w:t>
            </w:r>
            <w:r w:rsidR="002A1367" w:rsidRPr="003B48AD">
              <w:rPr>
                <w:rFonts w:eastAsia="Times New Roman"/>
                <w:color w:val="000000"/>
                <w:sz w:val="20"/>
                <w:szCs w:val="20"/>
                <w:lang w:eastAsia="en-ZW"/>
              </w:rPr>
              <w:t>)</w:t>
            </w:r>
            <w:r w:rsidRPr="003B48AD">
              <w:rPr>
                <w:rFonts w:eastAsia="Times New Roman"/>
                <w:color w:val="000000"/>
                <w:sz w:val="20"/>
                <w:szCs w:val="20"/>
                <w:lang w:eastAsia="en-ZW"/>
              </w:rPr>
              <w:t>; Plans de Vida; Indigenous territorial governance instruments; community mapping; socio-environmental monitors; fire/restoration and sustainable-use proposals.</w:t>
            </w:r>
          </w:p>
        </w:tc>
        <w:tc>
          <w:tcPr>
            <w:tcW w:w="2268" w:type="dxa"/>
            <w:vAlign w:val="bottom"/>
            <w:hideMark/>
          </w:tcPr>
          <w:p w14:paraId="083F7EC4" w14:textId="18FD58DC"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 xml:space="preserve">Shows that Indigenous territorial governance, traditional knowledge, FPIC, women and youth participation, </w:t>
            </w:r>
            <w:proofErr w:type="gramStart"/>
            <w:r w:rsidRPr="003B48AD">
              <w:rPr>
                <w:rFonts w:eastAsia="Times New Roman"/>
                <w:color w:val="000000"/>
                <w:sz w:val="20"/>
                <w:szCs w:val="20"/>
                <w:lang w:eastAsia="en-ZW"/>
              </w:rPr>
              <w:t>Plans</w:t>
            </w:r>
            <w:proofErr w:type="gramEnd"/>
            <w:r w:rsidRPr="003B48AD">
              <w:rPr>
                <w:rFonts w:eastAsia="Times New Roman"/>
                <w:color w:val="000000"/>
                <w:sz w:val="20"/>
                <w:szCs w:val="20"/>
                <w:lang w:eastAsia="en-ZW"/>
              </w:rPr>
              <w:t xml:space="preserve"> de Vida, community mapping, restoration, fire management, sustainable customary use and territorial rights are central to GBF implementation in Bolivia.</w:t>
            </w:r>
          </w:p>
        </w:tc>
        <w:tc>
          <w:tcPr>
            <w:tcW w:w="1276" w:type="dxa"/>
            <w:vAlign w:val="bottom"/>
            <w:hideMark/>
          </w:tcPr>
          <w:p w14:paraId="06EEE904" w14:textId="77777777" w:rsidR="008B1F15" w:rsidRPr="003B48AD" w:rsidRDefault="008B1F15" w:rsidP="003B48AD">
            <w:pPr>
              <w:jc w:val="left"/>
              <w:rPr>
                <w:rFonts w:eastAsia="Times New Roman"/>
                <w:color w:val="000000"/>
                <w:sz w:val="20"/>
                <w:szCs w:val="20"/>
                <w:lang w:eastAsia="en-ZW"/>
              </w:rPr>
            </w:pPr>
            <w:r w:rsidRPr="003B48AD">
              <w:rPr>
                <w:rFonts w:eastAsia="Times New Roman"/>
                <w:color w:val="000000"/>
                <w:sz w:val="20"/>
                <w:szCs w:val="20"/>
                <w:lang w:eastAsia="en-ZW"/>
              </w:rPr>
              <w:t>1, 2, 3, 4, 5, 6, 9, 10, 11, 22</w:t>
            </w:r>
          </w:p>
        </w:tc>
      </w:tr>
    </w:tbl>
    <w:p w14:paraId="21559FBC" w14:textId="4D9C5F3C" w:rsidR="000377EC" w:rsidRPr="007E1430" w:rsidRDefault="00BC6563" w:rsidP="0045197B">
      <w:pPr>
        <w:pStyle w:val="CBDNormalNumber"/>
        <w:numPr>
          <w:ilvl w:val="0"/>
          <w:numId w:val="0"/>
        </w:numPr>
        <w:tabs>
          <w:tab w:val="clear" w:pos="567"/>
        </w:tabs>
        <w:jc w:val="center"/>
      </w:pPr>
      <w:r w:rsidRPr="00402127">
        <w:t>__________</w:t>
      </w:r>
    </w:p>
    <w:sectPr w:rsidR="000377EC" w:rsidRPr="007E1430" w:rsidSect="008B1F15">
      <w:pgSz w:w="15840" w:h="12240" w:orient="landscape" w:code="1"/>
      <w:pgMar w:top="1440" w:right="1021"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BB7EA" w14:textId="77777777" w:rsidR="002E23CA" w:rsidRPr="00402127" w:rsidRDefault="002E23CA" w:rsidP="00A96B21">
      <w:r w:rsidRPr="00402127">
        <w:separator/>
      </w:r>
    </w:p>
  </w:endnote>
  <w:endnote w:type="continuationSeparator" w:id="0">
    <w:p w14:paraId="04D730E4" w14:textId="77777777" w:rsidR="002E23CA" w:rsidRPr="00402127" w:rsidRDefault="002E23CA" w:rsidP="00A96B21">
      <w:r w:rsidRPr="00402127">
        <w:continuationSeparator/>
      </w:r>
    </w:p>
  </w:endnote>
  <w:endnote w:type="continuationNotice" w:id="1">
    <w:p w14:paraId="6D8E7FF3" w14:textId="77777777" w:rsidR="002E23CA" w:rsidRPr="00402127" w:rsidRDefault="002E2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2E23CA"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5197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4039" w14:textId="77777777" w:rsidR="002E23CA" w:rsidRPr="00402127" w:rsidRDefault="002E23CA" w:rsidP="00A96B21">
      <w:r w:rsidRPr="00402127">
        <w:separator/>
      </w:r>
    </w:p>
  </w:footnote>
  <w:footnote w:type="continuationSeparator" w:id="0">
    <w:p w14:paraId="45962A9E" w14:textId="77777777" w:rsidR="002E23CA" w:rsidRPr="00402127" w:rsidRDefault="002E23CA" w:rsidP="00A96B21">
      <w:r w:rsidRPr="00402127">
        <w:continuationSeparator/>
      </w:r>
    </w:p>
  </w:footnote>
  <w:footnote w:type="continuationNotice" w:id="1">
    <w:p w14:paraId="3B6A6285" w14:textId="77777777" w:rsidR="002E23CA" w:rsidRPr="00402127" w:rsidRDefault="002E23CA"/>
  </w:footnote>
  <w:footnote w:id="2">
    <w:p w14:paraId="0BD85847" w14:textId="24F299DC" w:rsidR="00363751" w:rsidRPr="00363751" w:rsidRDefault="00363751">
      <w:pPr>
        <w:pStyle w:val="FootnoteText"/>
      </w:pPr>
      <w:r>
        <w:rPr>
          <w:rStyle w:val="FootnoteReference"/>
        </w:rPr>
        <w:t>*</w:t>
      </w:r>
      <w:r>
        <w:t xml:space="preserve"> CBD/SBSTTA/28/1.</w:t>
      </w:r>
    </w:p>
  </w:footnote>
  <w:footnote w:id="3">
    <w:p w14:paraId="14F5C70B" w14:textId="54620490" w:rsidR="00527238" w:rsidRPr="00527238" w:rsidRDefault="00527238">
      <w:pPr>
        <w:pStyle w:val="FootnoteText"/>
      </w:pPr>
      <w:r>
        <w:rPr>
          <w:rStyle w:val="FootnoteReference"/>
        </w:rPr>
        <w:t>**</w:t>
      </w:r>
      <w:r>
        <w:t xml:space="preserve"> The present document is being issued without formal editing.</w:t>
      </w:r>
    </w:p>
  </w:footnote>
  <w:footnote w:id="4">
    <w:p w14:paraId="6C5DB289" w14:textId="58F39490" w:rsidR="00B06BA3" w:rsidRPr="00C603BF" w:rsidRDefault="00B06BA3">
      <w:pPr>
        <w:pStyle w:val="FootnoteText"/>
        <w:rPr>
          <w:lang w:val="en-ZW"/>
        </w:rPr>
      </w:pPr>
      <w:r>
        <w:rPr>
          <w:rStyle w:val="FootnoteReference"/>
        </w:rPr>
        <w:footnoteRef/>
      </w:r>
      <w:r>
        <w:t xml:space="preserve"> All the submissions can be found at </w:t>
      </w:r>
      <w:hyperlink r:id="rId1" w:history="1">
        <w:r w:rsidRPr="00D02B28">
          <w:rPr>
            <w:rStyle w:val="Hyperlink"/>
          </w:rPr>
          <w:t>https://www.cbd.int/notifications/2025-015</w:t>
        </w:r>
      </w:hyperlink>
    </w:p>
  </w:footnote>
  <w:footnote w:id="5">
    <w:p w14:paraId="110B60D5" w14:textId="77777777" w:rsidR="00140BDC" w:rsidRDefault="00140BDC" w:rsidP="00140BDC">
      <w:pPr>
        <w:pStyle w:val="FootnoteText"/>
      </w:pPr>
      <w:r>
        <w:rPr>
          <w:rStyle w:val="FootnoteReference"/>
        </w:rPr>
        <w:footnoteRef/>
      </w:r>
      <w:r>
        <w:t xml:space="preserve"> </w:t>
      </w:r>
      <w:hyperlink r:id="rId2" w:history="1">
        <w:r w:rsidRPr="00FF3AB3">
          <w:rPr>
            <w:rStyle w:val="Hyperlink"/>
          </w:rPr>
          <w:t>Decision 13/8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1F5A06EA" w:rsidR="00ED6E6F" w:rsidRPr="00402127" w:rsidRDefault="00ED6E6F" w:rsidP="003B48AD">
    <w:pPr>
      <w:pStyle w:val="CBDHeader"/>
      <w:spacing w:after="120"/>
    </w:pPr>
    <w:r w:rsidRPr="0045197B">
      <w:t>CBD/SBSTTA/28/</w:t>
    </w:r>
    <w:r w:rsidR="00881671">
      <w:t>INF/</w:t>
    </w:r>
    <w:r w:rsidR="00BE6E81">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6335D8A6" w:rsidR="00ED6E6F" w:rsidRPr="00402127" w:rsidRDefault="00ED6E6F" w:rsidP="003B48AD">
    <w:pPr>
      <w:pStyle w:val="CBDHeader"/>
      <w:jc w:val="right"/>
    </w:pPr>
    <w:r w:rsidRPr="0045197B">
      <w:t>CBD/SBSTTA/28/</w:t>
    </w:r>
    <w:r w:rsidR="00881671">
      <w:t>INF/</w:t>
    </w:r>
    <w:r w:rsidR="00BE6E81">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5197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DE6F6B"/>
    <w:multiLevelType w:val="multilevel"/>
    <w:tmpl w:val="5978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B31802"/>
    <w:multiLevelType w:val="hybridMultilevel"/>
    <w:tmpl w:val="72C0BE7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4" w15:restartNumberingAfterBreak="0">
    <w:nsid w:val="0ECA0025"/>
    <w:multiLevelType w:val="hybridMultilevel"/>
    <w:tmpl w:val="8A94E7E4"/>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15"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7" w15:restartNumberingAfterBreak="0">
    <w:nsid w:val="15521A9C"/>
    <w:multiLevelType w:val="hybridMultilevel"/>
    <w:tmpl w:val="B9C07DF2"/>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1E5734D6"/>
    <w:multiLevelType w:val="hybridMultilevel"/>
    <w:tmpl w:val="5B402DE8"/>
    <w:lvl w:ilvl="0" w:tplc="3EA6DB5E">
      <w:start w:val="1"/>
      <w:numFmt w:val="lowerLetter"/>
      <w:lvlText w:val="(%1)"/>
      <w:lvlJc w:val="left"/>
      <w:pPr>
        <w:ind w:left="1287" w:hanging="360"/>
      </w:pPr>
      <w:rPr>
        <w:rFonts w:ascii="Times New Roman" w:eastAsia="Arial" w:hAnsi="Times New Roman" w:cs="Times New Roman"/>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28545D65"/>
    <w:multiLevelType w:val="hybridMultilevel"/>
    <w:tmpl w:val="F384C8E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D8A4661"/>
    <w:multiLevelType w:val="hybridMultilevel"/>
    <w:tmpl w:val="53242184"/>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23" w15:restartNumberingAfterBreak="0">
    <w:nsid w:val="30032724"/>
    <w:multiLevelType w:val="hybridMultilevel"/>
    <w:tmpl w:val="B40A6CB0"/>
    <w:lvl w:ilvl="0" w:tplc="3EA6DB5E">
      <w:start w:val="1"/>
      <w:numFmt w:val="lowerLetter"/>
      <w:lvlText w:val="(%1)"/>
      <w:lvlJc w:val="left"/>
      <w:pPr>
        <w:ind w:left="1288" w:hanging="360"/>
      </w:pPr>
      <w:rPr>
        <w:rFonts w:ascii="Times New Roman" w:eastAsia="Arial" w:hAnsi="Times New Roman" w:cs="Times New Roman"/>
      </w:rPr>
    </w:lvl>
    <w:lvl w:ilvl="1" w:tplc="30090019" w:tentative="1">
      <w:start w:val="1"/>
      <w:numFmt w:val="lowerLetter"/>
      <w:lvlText w:val="%2."/>
      <w:lvlJc w:val="left"/>
      <w:pPr>
        <w:ind w:left="2008" w:hanging="360"/>
      </w:pPr>
    </w:lvl>
    <w:lvl w:ilvl="2" w:tplc="3009001B" w:tentative="1">
      <w:start w:val="1"/>
      <w:numFmt w:val="lowerRoman"/>
      <w:lvlText w:val="%3."/>
      <w:lvlJc w:val="right"/>
      <w:pPr>
        <w:ind w:left="2728" w:hanging="180"/>
      </w:pPr>
    </w:lvl>
    <w:lvl w:ilvl="3" w:tplc="3009000F" w:tentative="1">
      <w:start w:val="1"/>
      <w:numFmt w:val="decimal"/>
      <w:lvlText w:val="%4."/>
      <w:lvlJc w:val="left"/>
      <w:pPr>
        <w:ind w:left="3448" w:hanging="360"/>
      </w:pPr>
    </w:lvl>
    <w:lvl w:ilvl="4" w:tplc="30090019" w:tentative="1">
      <w:start w:val="1"/>
      <w:numFmt w:val="lowerLetter"/>
      <w:lvlText w:val="%5."/>
      <w:lvlJc w:val="left"/>
      <w:pPr>
        <w:ind w:left="4168" w:hanging="360"/>
      </w:pPr>
    </w:lvl>
    <w:lvl w:ilvl="5" w:tplc="3009001B" w:tentative="1">
      <w:start w:val="1"/>
      <w:numFmt w:val="lowerRoman"/>
      <w:lvlText w:val="%6."/>
      <w:lvlJc w:val="right"/>
      <w:pPr>
        <w:ind w:left="4888" w:hanging="180"/>
      </w:pPr>
    </w:lvl>
    <w:lvl w:ilvl="6" w:tplc="3009000F" w:tentative="1">
      <w:start w:val="1"/>
      <w:numFmt w:val="decimal"/>
      <w:lvlText w:val="%7."/>
      <w:lvlJc w:val="left"/>
      <w:pPr>
        <w:ind w:left="5608" w:hanging="360"/>
      </w:pPr>
    </w:lvl>
    <w:lvl w:ilvl="7" w:tplc="30090019" w:tentative="1">
      <w:start w:val="1"/>
      <w:numFmt w:val="lowerLetter"/>
      <w:lvlText w:val="%8."/>
      <w:lvlJc w:val="left"/>
      <w:pPr>
        <w:ind w:left="6328" w:hanging="360"/>
      </w:pPr>
    </w:lvl>
    <w:lvl w:ilvl="8" w:tplc="3009001B" w:tentative="1">
      <w:start w:val="1"/>
      <w:numFmt w:val="lowerRoman"/>
      <w:lvlText w:val="%9."/>
      <w:lvlJc w:val="right"/>
      <w:pPr>
        <w:ind w:left="7048" w:hanging="180"/>
      </w:pPr>
    </w:lvl>
  </w:abstractNum>
  <w:abstractNum w:abstractNumId="24"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31CB6CCC"/>
    <w:multiLevelType w:val="hybridMultilevel"/>
    <w:tmpl w:val="44E45E1E"/>
    <w:lvl w:ilvl="0" w:tplc="AAE826A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321207F1"/>
    <w:multiLevelType w:val="hybridMultilevel"/>
    <w:tmpl w:val="F384C8E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9" w15:restartNumberingAfterBreak="0">
    <w:nsid w:val="37F44D2C"/>
    <w:multiLevelType w:val="hybridMultilevel"/>
    <w:tmpl w:val="8FBC8B00"/>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3FA60419"/>
    <w:multiLevelType w:val="hybridMultilevel"/>
    <w:tmpl w:val="6554DD16"/>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33"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6CB23C79"/>
    <w:multiLevelType w:val="hybridMultilevel"/>
    <w:tmpl w:val="63F8A83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42"/>
  </w:num>
  <w:num w:numId="2" w16cid:durableId="2105613923">
    <w:abstractNumId w:val="21"/>
  </w:num>
  <w:num w:numId="3" w16cid:durableId="519390554">
    <w:abstractNumId w:val="36"/>
  </w:num>
  <w:num w:numId="4" w16cid:durableId="1072390599">
    <w:abstractNumId w:val="40"/>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39"/>
  </w:num>
  <w:num w:numId="12" w16cid:durableId="323945383">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785"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35"/>
  </w:num>
  <w:num w:numId="19" w16cid:durableId="935359089">
    <w:abstractNumId w:val="13"/>
  </w:num>
  <w:num w:numId="20" w16cid:durableId="133645657">
    <w:abstractNumId w:val="28"/>
  </w:num>
  <w:num w:numId="21" w16cid:durableId="245455930">
    <w:abstractNumId w:val="37"/>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32"/>
  </w:num>
  <w:num w:numId="23" w16cid:durableId="2098017694">
    <w:abstractNumId w:val="41"/>
  </w:num>
  <w:num w:numId="24" w16cid:durableId="1166170041">
    <w:abstractNumId w:val="19"/>
  </w:num>
  <w:num w:numId="25" w16cid:durableId="2019115967">
    <w:abstractNumId w:val="15"/>
  </w:num>
  <w:num w:numId="26" w16cid:durableId="55400048">
    <w:abstractNumId w:val="16"/>
  </w:num>
  <w:num w:numId="27" w16cid:durableId="1260408983">
    <w:abstractNumId w:val="31"/>
  </w:num>
  <w:num w:numId="28" w16cid:durableId="705522775">
    <w:abstractNumId w:val="43"/>
  </w:num>
  <w:num w:numId="29" w16cid:durableId="11250815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33"/>
  </w:num>
  <w:num w:numId="31" w16cid:durableId="2032416702">
    <w:abstractNumId w:val="27"/>
  </w:num>
  <w:num w:numId="32" w16cid:durableId="1288973005">
    <w:abstractNumId w:val="37"/>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24"/>
  </w:num>
  <w:num w:numId="34" w16cid:durableId="668757651">
    <w:abstractNumId w:val="12"/>
  </w:num>
  <w:num w:numId="35" w16cid:durableId="1445003574">
    <w:abstractNumId w:val="18"/>
  </w:num>
  <w:num w:numId="36" w16cid:durableId="657542970">
    <w:abstractNumId w:val="22"/>
  </w:num>
  <w:num w:numId="37" w16cid:durableId="1978679975">
    <w:abstractNumId w:val="23"/>
  </w:num>
  <w:num w:numId="38" w16cid:durableId="1980767884">
    <w:abstractNumId w:val="11"/>
  </w:num>
  <w:num w:numId="39" w16cid:durableId="1556546728">
    <w:abstractNumId w:val="25"/>
  </w:num>
  <w:num w:numId="40" w16cid:durableId="2143378149">
    <w:abstractNumId w:val="29"/>
  </w:num>
  <w:num w:numId="41" w16cid:durableId="1806852066">
    <w:abstractNumId w:val="20"/>
  </w:num>
  <w:num w:numId="42" w16cid:durableId="1078483546">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591400844">
    <w:abstractNumId w:val="14"/>
  </w:num>
  <w:num w:numId="44" w16cid:durableId="1325207145">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785"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303995864">
    <w:abstractNumId w:val="26"/>
  </w:num>
  <w:num w:numId="46" w16cid:durableId="915480656">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2114862952">
    <w:abstractNumId w:val="38"/>
  </w:num>
  <w:num w:numId="48" w16cid:durableId="144710012">
    <w:abstractNumId w:val="17"/>
  </w:num>
  <w:num w:numId="49" w16cid:durableId="1288855275">
    <w:abstractNumId w:val="30"/>
  </w:num>
  <w:num w:numId="50" w16cid:durableId="102027618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revisionView w:markup="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3A2"/>
    <w:rsid w:val="000076F6"/>
    <w:rsid w:val="00007D45"/>
    <w:rsid w:val="00010003"/>
    <w:rsid w:val="000108FF"/>
    <w:rsid w:val="00010A1A"/>
    <w:rsid w:val="00010F88"/>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82"/>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AED"/>
    <w:rsid w:val="00073EBF"/>
    <w:rsid w:val="000740FF"/>
    <w:rsid w:val="00074417"/>
    <w:rsid w:val="0007446E"/>
    <w:rsid w:val="00074531"/>
    <w:rsid w:val="0007471F"/>
    <w:rsid w:val="00074721"/>
    <w:rsid w:val="00074A01"/>
    <w:rsid w:val="00074DE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62F"/>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9CB"/>
    <w:rsid w:val="000C0B2B"/>
    <w:rsid w:val="000C18C4"/>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E7D36"/>
    <w:rsid w:val="000F0224"/>
    <w:rsid w:val="000F184D"/>
    <w:rsid w:val="000F1947"/>
    <w:rsid w:val="000F1B8D"/>
    <w:rsid w:val="000F1EE0"/>
    <w:rsid w:val="000F281A"/>
    <w:rsid w:val="000F291B"/>
    <w:rsid w:val="000F305E"/>
    <w:rsid w:val="000F327B"/>
    <w:rsid w:val="000F32F9"/>
    <w:rsid w:val="000F4149"/>
    <w:rsid w:val="000F4F74"/>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F78"/>
    <w:rsid w:val="00106751"/>
    <w:rsid w:val="00106F2E"/>
    <w:rsid w:val="001071B2"/>
    <w:rsid w:val="0010778A"/>
    <w:rsid w:val="00107B24"/>
    <w:rsid w:val="00107B6E"/>
    <w:rsid w:val="0011039D"/>
    <w:rsid w:val="00110724"/>
    <w:rsid w:val="00110C84"/>
    <w:rsid w:val="0011122F"/>
    <w:rsid w:val="001113F4"/>
    <w:rsid w:val="00111874"/>
    <w:rsid w:val="0011194C"/>
    <w:rsid w:val="00112037"/>
    <w:rsid w:val="001126A9"/>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5CA"/>
    <w:rsid w:val="0014080A"/>
    <w:rsid w:val="00140BDC"/>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09B3"/>
    <w:rsid w:val="00161327"/>
    <w:rsid w:val="001618CA"/>
    <w:rsid w:val="00161AEB"/>
    <w:rsid w:val="0016230C"/>
    <w:rsid w:val="001623EF"/>
    <w:rsid w:val="0016262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108"/>
    <w:rsid w:val="00181376"/>
    <w:rsid w:val="001818C8"/>
    <w:rsid w:val="00182179"/>
    <w:rsid w:val="00182BD0"/>
    <w:rsid w:val="00182BD2"/>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036"/>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E03E5"/>
    <w:rsid w:val="001E093B"/>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5D4C"/>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36F"/>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27C26"/>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02E"/>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682"/>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335D"/>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67"/>
    <w:rsid w:val="002A1387"/>
    <w:rsid w:val="002A19FD"/>
    <w:rsid w:val="002A1A39"/>
    <w:rsid w:val="002A1CD7"/>
    <w:rsid w:val="002A20C5"/>
    <w:rsid w:val="002A24F2"/>
    <w:rsid w:val="002A2B74"/>
    <w:rsid w:val="002A2E41"/>
    <w:rsid w:val="002A30D2"/>
    <w:rsid w:val="002A324E"/>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755"/>
    <w:rsid w:val="002C58FA"/>
    <w:rsid w:val="002C5A41"/>
    <w:rsid w:val="002C5BB8"/>
    <w:rsid w:val="002C5E9E"/>
    <w:rsid w:val="002C673B"/>
    <w:rsid w:val="002C6B20"/>
    <w:rsid w:val="002C6EA1"/>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286"/>
    <w:rsid w:val="002E1336"/>
    <w:rsid w:val="002E14D5"/>
    <w:rsid w:val="002E152E"/>
    <w:rsid w:val="002E1D36"/>
    <w:rsid w:val="002E205F"/>
    <w:rsid w:val="002E23CA"/>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9F6"/>
    <w:rsid w:val="00321BDB"/>
    <w:rsid w:val="003222BD"/>
    <w:rsid w:val="0032283D"/>
    <w:rsid w:val="0032284A"/>
    <w:rsid w:val="00322995"/>
    <w:rsid w:val="00322AB6"/>
    <w:rsid w:val="00323CC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122"/>
    <w:rsid w:val="00330231"/>
    <w:rsid w:val="003310B0"/>
    <w:rsid w:val="003310E7"/>
    <w:rsid w:val="00331ADF"/>
    <w:rsid w:val="00331B4F"/>
    <w:rsid w:val="00331B5C"/>
    <w:rsid w:val="00332905"/>
    <w:rsid w:val="00332D52"/>
    <w:rsid w:val="003333FE"/>
    <w:rsid w:val="0033425A"/>
    <w:rsid w:val="00334278"/>
    <w:rsid w:val="00334471"/>
    <w:rsid w:val="00334650"/>
    <w:rsid w:val="00334789"/>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0B"/>
    <w:rsid w:val="003410C6"/>
    <w:rsid w:val="0034169F"/>
    <w:rsid w:val="0034191A"/>
    <w:rsid w:val="00341AF4"/>
    <w:rsid w:val="00341B57"/>
    <w:rsid w:val="00341C70"/>
    <w:rsid w:val="00341FF5"/>
    <w:rsid w:val="00342856"/>
    <w:rsid w:val="00342A94"/>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1CA"/>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A66"/>
    <w:rsid w:val="00355C13"/>
    <w:rsid w:val="00355E37"/>
    <w:rsid w:val="00355EB3"/>
    <w:rsid w:val="003563C8"/>
    <w:rsid w:val="0035682E"/>
    <w:rsid w:val="00357067"/>
    <w:rsid w:val="003573C8"/>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751"/>
    <w:rsid w:val="003638E7"/>
    <w:rsid w:val="003641F9"/>
    <w:rsid w:val="0036420A"/>
    <w:rsid w:val="003642A9"/>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3D"/>
    <w:rsid w:val="0038478A"/>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507"/>
    <w:rsid w:val="003A3FF5"/>
    <w:rsid w:val="003A4118"/>
    <w:rsid w:val="003A499E"/>
    <w:rsid w:val="003A4ABA"/>
    <w:rsid w:val="003A4F35"/>
    <w:rsid w:val="003A50E6"/>
    <w:rsid w:val="003A5899"/>
    <w:rsid w:val="003A5A32"/>
    <w:rsid w:val="003A5AFE"/>
    <w:rsid w:val="003A5F01"/>
    <w:rsid w:val="003A673C"/>
    <w:rsid w:val="003A707E"/>
    <w:rsid w:val="003A71EF"/>
    <w:rsid w:val="003A7A0A"/>
    <w:rsid w:val="003A7CDD"/>
    <w:rsid w:val="003A7FBD"/>
    <w:rsid w:val="003B00E3"/>
    <w:rsid w:val="003B05D2"/>
    <w:rsid w:val="003B0B24"/>
    <w:rsid w:val="003B0B79"/>
    <w:rsid w:val="003B0E4B"/>
    <w:rsid w:val="003B133C"/>
    <w:rsid w:val="003B19DA"/>
    <w:rsid w:val="003B1B71"/>
    <w:rsid w:val="003B259D"/>
    <w:rsid w:val="003B2814"/>
    <w:rsid w:val="003B2D31"/>
    <w:rsid w:val="003B3034"/>
    <w:rsid w:val="003B3A48"/>
    <w:rsid w:val="003B3E2B"/>
    <w:rsid w:val="003B3E9F"/>
    <w:rsid w:val="003B3FB8"/>
    <w:rsid w:val="003B43B1"/>
    <w:rsid w:val="003B45E0"/>
    <w:rsid w:val="003B48AD"/>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864"/>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51E"/>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77"/>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374"/>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369"/>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7AE"/>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97B"/>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991"/>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90B"/>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4F6"/>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AB7"/>
    <w:rsid w:val="004A3E21"/>
    <w:rsid w:val="004A3ECC"/>
    <w:rsid w:val="004A3FF0"/>
    <w:rsid w:val="004A4CE2"/>
    <w:rsid w:val="004A4E35"/>
    <w:rsid w:val="004A5288"/>
    <w:rsid w:val="004A56AB"/>
    <w:rsid w:val="004A6096"/>
    <w:rsid w:val="004A635A"/>
    <w:rsid w:val="004A63FC"/>
    <w:rsid w:val="004A6DCA"/>
    <w:rsid w:val="004A7562"/>
    <w:rsid w:val="004A77F8"/>
    <w:rsid w:val="004A7D5F"/>
    <w:rsid w:val="004A7F8B"/>
    <w:rsid w:val="004B02F2"/>
    <w:rsid w:val="004B0302"/>
    <w:rsid w:val="004B05CD"/>
    <w:rsid w:val="004B075C"/>
    <w:rsid w:val="004B0A24"/>
    <w:rsid w:val="004B12A8"/>
    <w:rsid w:val="004B12D6"/>
    <w:rsid w:val="004B19DC"/>
    <w:rsid w:val="004B1FA8"/>
    <w:rsid w:val="004B23A6"/>
    <w:rsid w:val="004B23CC"/>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0EB"/>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247"/>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EE3"/>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DE7"/>
    <w:rsid w:val="00506F26"/>
    <w:rsid w:val="0050720E"/>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890"/>
    <w:rsid w:val="00514B93"/>
    <w:rsid w:val="00514DDD"/>
    <w:rsid w:val="0051569E"/>
    <w:rsid w:val="00515929"/>
    <w:rsid w:val="00515C63"/>
    <w:rsid w:val="00515CAB"/>
    <w:rsid w:val="00515F5A"/>
    <w:rsid w:val="00516030"/>
    <w:rsid w:val="00516533"/>
    <w:rsid w:val="005165C2"/>
    <w:rsid w:val="00516647"/>
    <w:rsid w:val="00516DEE"/>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3FA3"/>
    <w:rsid w:val="005241D1"/>
    <w:rsid w:val="00524CF3"/>
    <w:rsid w:val="00524D03"/>
    <w:rsid w:val="00524F79"/>
    <w:rsid w:val="00524F9F"/>
    <w:rsid w:val="005252D9"/>
    <w:rsid w:val="00525495"/>
    <w:rsid w:val="00525999"/>
    <w:rsid w:val="00525F7D"/>
    <w:rsid w:val="00526271"/>
    <w:rsid w:val="00526A24"/>
    <w:rsid w:val="00526CEF"/>
    <w:rsid w:val="0052712E"/>
    <w:rsid w:val="00527238"/>
    <w:rsid w:val="00527268"/>
    <w:rsid w:val="0052741D"/>
    <w:rsid w:val="00527D31"/>
    <w:rsid w:val="00530025"/>
    <w:rsid w:val="005300EF"/>
    <w:rsid w:val="005309E0"/>
    <w:rsid w:val="00530E4B"/>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51"/>
    <w:rsid w:val="005516AF"/>
    <w:rsid w:val="0055195E"/>
    <w:rsid w:val="00551FE1"/>
    <w:rsid w:val="005520CB"/>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7022"/>
    <w:rsid w:val="00567058"/>
    <w:rsid w:val="00567388"/>
    <w:rsid w:val="00567779"/>
    <w:rsid w:val="005677F0"/>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728"/>
    <w:rsid w:val="005828BE"/>
    <w:rsid w:val="00582912"/>
    <w:rsid w:val="00582A31"/>
    <w:rsid w:val="00582C28"/>
    <w:rsid w:val="00582EE6"/>
    <w:rsid w:val="00583091"/>
    <w:rsid w:val="00583266"/>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7FA"/>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A54"/>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60F"/>
    <w:rsid w:val="005A268D"/>
    <w:rsid w:val="005A29FB"/>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6DE0"/>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1B03"/>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235"/>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209"/>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BDD"/>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AF5"/>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E7D51"/>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965"/>
    <w:rsid w:val="00734C5E"/>
    <w:rsid w:val="00734E63"/>
    <w:rsid w:val="007354BC"/>
    <w:rsid w:val="007356E1"/>
    <w:rsid w:val="00735704"/>
    <w:rsid w:val="0073574B"/>
    <w:rsid w:val="007357F7"/>
    <w:rsid w:val="00735F26"/>
    <w:rsid w:val="00735F5B"/>
    <w:rsid w:val="007364B8"/>
    <w:rsid w:val="00736571"/>
    <w:rsid w:val="007367A7"/>
    <w:rsid w:val="007377FA"/>
    <w:rsid w:val="007379CA"/>
    <w:rsid w:val="00740371"/>
    <w:rsid w:val="0074087B"/>
    <w:rsid w:val="00740E1B"/>
    <w:rsid w:val="00741156"/>
    <w:rsid w:val="00741187"/>
    <w:rsid w:val="00741403"/>
    <w:rsid w:val="00742448"/>
    <w:rsid w:val="00742644"/>
    <w:rsid w:val="00742E5D"/>
    <w:rsid w:val="00743051"/>
    <w:rsid w:val="007430D4"/>
    <w:rsid w:val="0074392A"/>
    <w:rsid w:val="0074424E"/>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006"/>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87F7C"/>
    <w:rsid w:val="00790A51"/>
    <w:rsid w:val="0079162F"/>
    <w:rsid w:val="007917E7"/>
    <w:rsid w:val="00791E68"/>
    <w:rsid w:val="00791ECB"/>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0A"/>
    <w:rsid w:val="007A4E18"/>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947"/>
    <w:rsid w:val="007F126A"/>
    <w:rsid w:val="007F16A8"/>
    <w:rsid w:val="007F1793"/>
    <w:rsid w:val="007F25BC"/>
    <w:rsid w:val="007F2FFA"/>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CA"/>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5CCC"/>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851"/>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F4F"/>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36B"/>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3F0"/>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3E5F"/>
    <w:rsid w:val="008640BA"/>
    <w:rsid w:val="00864B88"/>
    <w:rsid w:val="00864C73"/>
    <w:rsid w:val="00864E84"/>
    <w:rsid w:val="0086509E"/>
    <w:rsid w:val="008652D2"/>
    <w:rsid w:val="0086557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71"/>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4C"/>
    <w:rsid w:val="008964D4"/>
    <w:rsid w:val="00896848"/>
    <w:rsid w:val="00896C13"/>
    <w:rsid w:val="00896E1E"/>
    <w:rsid w:val="00897155"/>
    <w:rsid w:val="00897648"/>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1F15"/>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917"/>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2DED"/>
    <w:rsid w:val="008F31EF"/>
    <w:rsid w:val="008F3F04"/>
    <w:rsid w:val="008F47BC"/>
    <w:rsid w:val="008F4976"/>
    <w:rsid w:val="008F5040"/>
    <w:rsid w:val="008F5777"/>
    <w:rsid w:val="008F59FD"/>
    <w:rsid w:val="008F5F84"/>
    <w:rsid w:val="008F624A"/>
    <w:rsid w:val="008F6B44"/>
    <w:rsid w:val="008F7042"/>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359"/>
    <w:rsid w:val="00906984"/>
    <w:rsid w:val="00906ABD"/>
    <w:rsid w:val="00906F52"/>
    <w:rsid w:val="009073B4"/>
    <w:rsid w:val="009075E9"/>
    <w:rsid w:val="00907DC7"/>
    <w:rsid w:val="0091013A"/>
    <w:rsid w:val="009109CF"/>
    <w:rsid w:val="00910D43"/>
    <w:rsid w:val="00910E34"/>
    <w:rsid w:val="00911776"/>
    <w:rsid w:val="00912271"/>
    <w:rsid w:val="00912295"/>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6551"/>
    <w:rsid w:val="00916694"/>
    <w:rsid w:val="009166F9"/>
    <w:rsid w:val="00916FBA"/>
    <w:rsid w:val="00916FD7"/>
    <w:rsid w:val="00917535"/>
    <w:rsid w:val="00917572"/>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894"/>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3DB"/>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302C"/>
    <w:rsid w:val="009E39C3"/>
    <w:rsid w:val="009E3D38"/>
    <w:rsid w:val="009E4BFE"/>
    <w:rsid w:val="009E508A"/>
    <w:rsid w:val="009E5109"/>
    <w:rsid w:val="009E519E"/>
    <w:rsid w:val="009E51BE"/>
    <w:rsid w:val="009E521C"/>
    <w:rsid w:val="009E52D1"/>
    <w:rsid w:val="009E6110"/>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4109"/>
    <w:rsid w:val="009F548D"/>
    <w:rsid w:val="009F612E"/>
    <w:rsid w:val="009F6331"/>
    <w:rsid w:val="009F641D"/>
    <w:rsid w:val="009F6795"/>
    <w:rsid w:val="009F6E99"/>
    <w:rsid w:val="009F71FF"/>
    <w:rsid w:val="009F74D0"/>
    <w:rsid w:val="009F7E1A"/>
    <w:rsid w:val="00A001AC"/>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5D48"/>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151"/>
    <w:rsid w:val="00A65585"/>
    <w:rsid w:val="00A65592"/>
    <w:rsid w:val="00A6590F"/>
    <w:rsid w:val="00A65C70"/>
    <w:rsid w:val="00A65D52"/>
    <w:rsid w:val="00A65FCC"/>
    <w:rsid w:val="00A66211"/>
    <w:rsid w:val="00A66392"/>
    <w:rsid w:val="00A66D6B"/>
    <w:rsid w:val="00A67222"/>
    <w:rsid w:val="00A6743C"/>
    <w:rsid w:val="00A6747F"/>
    <w:rsid w:val="00A675C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979"/>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2CC"/>
    <w:rsid w:val="00A842D8"/>
    <w:rsid w:val="00A843F5"/>
    <w:rsid w:val="00A846B4"/>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75F"/>
    <w:rsid w:val="00A94874"/>
    <w:rsid w:val="00A94A78"/>
    <w:rsid w:val="00A94C96"/>
    <w:rsid w:val="00A95050"/>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96"/>
    <w:rsid w:val="00AA29F1"/>
    <w:rsid w:val="00AA29F7"/>
    <w:rsid w:val="00AA2D33"/>
    <w:rsid w:val="00AA2DD8"/>
    <w:rsid w:val="00AA33EC"/>
    <w:rsid w:val="00AA3902"/>
    <w:rsid w:val="00AA3948"/>
    <w:rsid w:val="00AA3D11"/>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9D5"/>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BA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2C7E"/>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6E52"/>
    <w:rsid w:val="00BA70F8"/>
    <w:rsid w:val="00BA746B"/>
    <w:rsid w:val="00BA79BE"/>
    <w:rsid w:val="00BA7ED9"/>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0AD"/>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9F6"/>
    <w:rsid w:val="00BE0DC4"/>
    <w:rsid w:val="00BE1021"/>
    <w:rsid w:val="00BE1067"/>
    <w:rsid w:val="00BE15A8"/>
    <w:rsid w:val="00BE1A2F"/>
    <w:rsid w:val="00BE1C87"/>
    <w:rsid w:val="00BE1C8A"/>
    <w:rsid w:val="00BE1D1F"/>
    <w:rsid w:val="00BE1DAE"/>
    <w:rsid w:val="00BE1FA8"/>
    <w:rsid w:val="00BE2064"/>
    <w:rsid w:val="00BE230A"/>
    <w:rsid w:val="00BE2603"/>
    <w:rsid w:val="00BE2ACF"/>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E81"/>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306"/>
    <w:rsid w:val="00BF758A"/>
    <w:rsid w:val="00BF7745"/>
    <w:rsid w:val="00BF7B08"/>
    <w:rsid w:val="00C00F1D"/>
    <w:rsid w:val="00C0128B"/>
    <w:rsid w:val="00C015CB"/>
    <w:rsid w:val="00C016BE"/>
    <w:rsid w:val="00C01C77"/>
    <w:rsid w:val="00C01E86"/>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10F42"/>
    <w:rsid w:val="00C10F4D"/>
    <w:rsid w:val="00C110B1"/>
    <w:rsid w:val="00C1141A"/>
    <w:rsid w:val="00C1174D"/>
    <w:rsid w:val="00C126CE"/>
    <w:rsid w:val="00C129FA"/>
    <w:rsid w:val="00C12C4A"/>
    <w:rsid w:val="00C132DB"/>
    <w:rsid w:val="00C1340D"/>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7C9"/>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3BF"/>
    <w:rsid w:val="00C60756"/>
    <w:rsid w:val="00C60FAF"/>
    <w:rsid w:val="00C6107E"/>
    <w:rsid w:val="00C6124F"/>
    <w:rsid w:val="00C613A6"/>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5F1"/>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EAD"/>
    <w:rsid w:val="00C94461"/>
    <w:rsid w:val="00C949A9"/>
    <w:rsid w:val="00C94BA7"/>
    <w:rsid w:val="00C94E15"/>
    <w:rsid w:val="00C9503A"/>
    <w:rsid w:val="00C9561A"/>
    <w:rsid w:val="00C95667"/>
    <w:rsid w:val="00C9588D"/>
    <w:rsid w:val="00C95A3F"/>
    <w:rsid w:val="00C95BFC"/>
    <w:rsid w:val="00C96BD4"/>
    <w:rsid w:val="00C974CF"/>
    <w:rsid w:val="00C97693"/>
    <w:rsid w:val="00C97CC1"/>
    <w:rsid w:val="00CA0954"/>
    <w:rsid w:val="00CA0D48"/>
    <w:rsid w:val="00CA119A"/>
    <w:rsid w:val="00CA1322"/>
    <w:rsid w:val="00CA17F6"/>
    <w:rsid w:val="00CA1D0D"/>
    <w:rsid w:val="00CA1D30"/>
    <w:rsid w:val="00CA203A"/>
    <w:rsid w:val="00CA209E"/>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040F"/>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0A57"/>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DFD"/>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3A0"/>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870"/>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D5F"/>
    <w:rsid w:val="00D80F3E"/>
    <w:rsid w:val="00D8111A"/>
    <w:rsid w:val="00D8122B"/>
    <w:rsid w:val="00D81632"/>
    <w:rsid w:val="00D8166E"/>
    <w:rsid w:val="00D81877"/>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850"/>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E8C"/>
    <w:rsid w:val="00D97283"/>
    <w:rsid w:val="00D979AB"/>
    <w:rsid w:val="00D979F8"/>
    <w:rsid w:val="00D97AAF"/>
    <w:rsid w:val="00D97BB3"/>
    <w:rsid w:val="00DA0959"/>
    <w:rsid w:val="00DA0BA7"/>
    <w:rsid w:val="00DA1A9A"/>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92C"/>
    <w:rsid w:val="00DA7124"/>
    <w:rsid w:val="00DA755C"/>
    <w:rsid w:val="00DA7C12"/>
    <w:rsid w:val="00DB00CE"/>
    <w:rsid w:val="00DB0121"/>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881"/>
    <w:rsid w:val="00DF2FD9"/>
    <w:rsid w:val="00DF3271"/>
    <w:rsid w:val="00DF35C0"/>
    <w:rsid w:val="00DF377C"/>
    <w:rsid w:val="00DF38DC"/>
    <w:rsid w:val="00DF391D"/>
    <w:rsid w:val="00DF41F1"/>
    <w:rsid w:val="00DF433D"/>
    <w:rsid w:val="00DF4FF1"/>
    <w:rsid w:val="00DF50F2"/>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EF5"/>
    <w:rsid w:val="00E242FB"/>
    <w:rsid w:val="00E245F8"/>
    <w:rsid w:val="00E2490E"/>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58E5"/>
    <w:rsid w:val="00E366AC"/>
    <w:rsid w:val="00E3670D"/>
    <w:rsid w:val="00E36C6F"/>
    <w:rsid w:val="00E36D9A"/>
    <w:rsid w:val="00E37176"/>
    <w:rsid w:val="00E37690"/>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2323"/>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4DF3"/>
    <w:rsid w:val="00E751A4"/>
    <w:rsid w:val="00E757B3"/>
    <w:rsid w:val="00E75C70"/>
    <w:rsid w:val="00E75F31"/>
    <w:rsid w:val="00E76153"/>
    <w:rsid w:val="00E765AC"/>
    <w:rsid w:val="00E7662A"/>
    <w:rsid w:val="00E767AA"/>
    <w:rsid w:val="00E768E7"/>
    <w:rsid w:val="00E76CA3"/>
    <w:rsid w:val="00E76CA4"/>
    <w:rsid w:val="00E76E4D"/>
    <w:rsid w:val="00E77477"/>
    <w:rsid w:val="00E775E1"/>
    <w:rsid w:val="00E7792C"/>
    <w:rsid w:val="00E77B80"/>
    <w:rsid w:val="00E77D1D"/>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4021"/>
    <w:rsid w:val="00E94041"/>
    <w:rsid w:val="00E940A3"/>
    <w:rsid w:val="00E94155"/>
    <w:rsid w:val="00E9426C"/>
    <w:rsid w:val="00E9426D"/>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1EEA"/>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662"/>
    <w:rsid w:val="00EB6977"/>
    <w:rsid w:val="00EB75C6"/>
    <w:rsid w:val="00EC0417"/>
    <w:rsid w:val="00EC04B1"/>
    <w:rsid w:val="00EC053C"/>
    <w:rsid w:val="00EC0DA9"/>
    <w:rsid w:val="00EC0ECE"/>
    <w:rsid w:val="00EC12DC"/>
    <w:rsid w:val="00EC156C"/>
    <w:rsid w:val="00EC1670"/>
    <w:rsid w:val="00EC16F2"/>
    <w:rsid w:val="00EC19BC"/>
    <w:rsid w:val="00EC1A8F"/>
    <w:rsid w:val="00EC1ACD"/>
    <w:rsid w:val="00EC1FB2"/>
    <w:rsid w:val="00EC2156"/>
    <w:rsid w:val="00EC2C57"/>
    <w:rsid w:val="00EC2D66"/>
    <w:rsid w:val="00EC2E6E"/>
    <w:rsid w:val="00EC2EC6"/>
    <w:rsid w:val="00EC3446"/>
    <w:rsid w:val="00EC3711"/>
    <w:rsid w:val="00EC3C35"/>
    <w:rsid w:val="00EC4334"/>
    <w:rsid w:val="00EC4354"/>
    <w:rsid w:val="00EC4A9C"/>
    <w:rsid w:val="00EC5354"/>
    <w:rsid w:val="00EC5B56"/>
    <w:rsid w:val="00EC61AC"/>
    <w:rsid w:val="00EC61FC"/>
    <w:rsid w:val="00EC6259"/>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883"/>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2BA"/>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544"/>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29A"/>
    <w:rsid w:val="00F075A3"/>
    <w:rsid w:val="00F10115"/>
    <w:rsid w:val="00F10417"/>
    <w:rsid w:val="00F10553"/>
    <w:rsid w:val="00F10597"/>
    <w:rsid w:val="00F108EF"/>
    <w:rsid w:val="00F10AE9"/>
    <w:rsid w:val="00F10E91"/>
    <w:rsid w:val="00F1112D"/>
    <w:rsid w:val="00F113F7"/>
    <w:rsid w:val="00F11828"/>
    <w:rsid w:val="00F11BBF"/>
    <w:rsid w:val="00F11BF9"/>
    <w:rsid w:val="00F121D9"/>
    <w:rsid w:val="00F1238A"/>
    <w:rsid w:val="00F12452"/>
    <w:rsid w:val="00F12580"/>
    <w:rsid w:val="00F12595"/>
    <w:rsid w:val="00F1303E"/>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5FA"/>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F47"/>
    <w:rsid w:val="00F43FEC"/>
    <w:rsid w:val="00F44414"/>
    <w:rsid w:val="00F45166"/>
    <w:rsid w:val="00F451A6"/>
    <w:rsid w:val="00F4537A"/>
    <w:rsid w:val="00F459BE"/>
    <w:rsid w:val="00F45DB2"/>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48A"/>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D60"/>
    <w:rsid w:val="00FC3567"/>
    <w:rsid w:val="00FC37E4"/>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ind w:left="709"/>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7-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notifications/2025/ntf-2025-015-wildlife-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5-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3/cop-13-dec-08-en.pdf" TargetMode="External"/><Relationship Id="rId1" Type="http://schemas.openxmlformats.org/officeDocument/2006/relationships/hyperlink" Target="https://www.cbd.int/notifications/2025-0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6F03"/>
    <w:rsid w:val="00073AED"/>
    <w:rsid w:val="000A0165"/>
    <w:rsid w:val="000B1DCA"/>
    <w:rsid w:val="000B2081"/>
    <w:rsid w:val="000C5A0A"/>
    <w:rsid w:val="000C645D"/>
    <w:rsid w:val="00100B0C"/>
    <w:rsid w:val="00103B0D"/>
    <w:rsid w:val="00104D82"/>
    <w:rsid w:val="001240AC"/>
    <w:rsid w:val="001553E0"/>
    <w:rsid w:val="001E203A"/>
    <w:rsid w:val="001F0A0B"/>
    <w:rsid w:val="00214F45"/>
    <w:rsid w:val="0025222C"/>
    <w:rsid w:val="00264453"/>
    <w:rsid w:val="002845BB"/>
    <w:rsid w:val="00286D4C"/>
    <w:rsid w:val="002C192E"/>
    <w:rsid w:val="002C32D6"/>
    <w:rsid w:val="002D2EA2"/>
    <w:rsid w:val="002E0EA0"/>
    <w:rsid w:val="002E585B"/>
    <w:rsid w:val="002F674E"/>
    <w:rsid w:val="00342A94"/>
    <w:rsid w:val="003430DA"/>
    <w:rsid w:val="00384CBD"/>
    <w:rsid w:val="003860CE"/>
    <w:rsid w:val="003A4ABA"/>
    <w:rsid w:val="003A72EC"/>
    <w:rsid w:val="003C551A"/>
    <w:rsid w:val="003E5D02"/>
    <w:rsid w:val="003E7EA9"/>
    <w:rsid w:val="00405C14"/>
    <w:rsid w:val="00412374"/>
    <w:rsid w:val="00443DD5"/>
    <w:rsid w:val="00492086"/>
    <w:rsid w:val="00494CA3"/>
    <w:rsid w:val="004E7123"/>
    <w:rsid w:val="0050052F"/>
    <w:rsid w:val="00584E27"/>
    <w:rsid w:val="005918C8"/>
    <w:rsid w:val="005C1EBF"/>
    <w:rsid w:val="005D26D1"/>
    <w:rsid w:val="005D4AC5"/>
    <w:rsid w:val="005F5FAD"/>
    <w:rsid w:val="00607E3B"/>
    <w:rsid w:val="00661914"/>
    <w:rsid w:val="0067624B"/>
    <w:rsid w:val="00677F5A"/>
    <w:rsid w:val="006A1A31"/>
    <w:rsid w:val="006A6604"/>
    <w:rsid w:val="006D4E89"/>
    <w:rsid w:val="0074728E"/>
    <w:rsid w:val="00756B77"/>
    <w:rsid w:val="00766A3F"/>
    <w:rsid w:val="00783D9B"/>
    <w:rsid w:val="007A4446"/>
    <w:rsid w:val="007A470A"/>
    <w:rsid w:val="007B1CA4"/>
    <w:rsid w:val="00855D40"/>
    <w:rsid w:val="00860A8C"/>
    <w:rsid w:val="00881970"/>
    <w:rsid w:val="008B5505"/>
    <w:rsid w:val="008F5777"/>
    <w:rsid w:val="0090164D"/>
    <w:rsid w:val="00945FE9"/>
    <w:rsid w:val="009650AC"/>
    <w:rsid w:val="0098382B"/>
    <w:rsid w:val="009A714B"/>
    <w:rsid w:val="009B3A95"/>
    <w:rsid w:val="009C4B1D"/>
    <w:rsid w:val="00A11CDA"/>
    <w:rsid w:val="00A31792"/>
    <w:rsid w:val="00A55B7E"/>
    <w:rsid w:val="00AA537B"/>
    <w:rsid w:val="00AB2F58"/>
    <w:rsid w:val="00AC0B09"/>
    <w:rsid w:val="00AD54E3"/>
    <w:rsid w:val="00B37219"/>
    <w:rsid w:val="00B53A63"/>
    <w:rsid w:val="00B82638"/>
    <w:rsid w:val="00B95C80"/>
    <w:rsid w:val="00BA6716"/>
    <w:rsid w:val="00BB05DA"/>
    <w:rsid w:val="00BB3115"/>
    <w:rsid w:val="00BB6917"/>
    <w:rsid w:val="00BC2544"/>
    <w:rsid w:val="00BD40AD"/>
    <w:rsid w:val="00BF3A51"/>
    <w:rsid w:val="00C12B49"/>
    <w:rsid w:val="00C22E18"/>
    <w:rsid w:val="00C26862"/>
    <w:rsid w:val="00C40AB2"/>
    <w:rsid w:val="00C60E99"/>
    <w:rsid w:val="00C67541"/>
    <w:rsid w:val="00C9503A"/>
    <w:rsid w:val="00D02906"/>
    <w:rsid w:val="00D03553"/>
    <w:rsid w:val="00D143C8"/>
    <w:rsid w:val="00D42AE2"/>
    <w:rsid w:val="00D42B37"/>
    <w:rsid w:val="00D441EA"/>
    <w:rsid w:val="00D52C22"/>
    <w:rsid w:val="00D56B5A"/>
    <w:rsid w:val="00D63EAD"/>
    <w:rsid w:val="00D84AFA"/>
    <w:rsid w:val="00D87516"/>
    <w:rsid w:val="00DB0121"/>
    <w:rsid w:val="00DE60CE"/>
    <w:rsid w:val="00DF195D"/>
    <w:rsid w:val="00E00E92"/>
    <w:rsid w:val="00E13214"/>
    <w:rsid w:val="00E30D7D"/>
    <w:rsid w:val="00E42FDB"/>
    <w:rsid w:val="00E43BFC"/>
    <w:rsid w:val="00E47464"/>
    <w:rsid w:val="00E84DD7"/>
    <w:rsid w:val="00ED17BF"/>
    <w:rsid w:val="00EE2DB3"/>
    <w:rsid w:val="00EF720F"/>
    <w:rsid w:val="00F02AE2"/>
    <w:rsid w:val="00F75B28"/>
    <w:rsid w:val="00F81A80"/>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1AE32145-C5BD-42A8-85D4-0D9368C1D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13</Pages>
  <Words>3679</Words>
  <Characters>20972</Characters>
  <Application>Microsoft Office Word</Application>
  <DocSecurity>0</DocSecurity>
  <Lines>174</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Synthesis of submissions of information on best practices for sustainable wildlife management.</vt:lpstr>
      <vt:lpstr>Sustainable wildlife management</vt:lpstr>
    </vt:vector>
  </TitlesOfParts>
  <Company/>
  <LinksUpToDate>false</LinksUpToDate>
  <CharactersWithSpaces>24602</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and synthesis of submissions of information on best practices for sustainable wildlife management</dc:title>
  <dc:subject>CBD/SBSTTA/28/INF/6</dc:subject>
  <dc:creator>Secretariat of the Convention on Biological Diversity</dc:creator>
  <cp:keywords/>
  <dc:description/>
  <cp:lastModifiedBy>Veronique Lefebvre</cp:lastModifiedBy>
  <cp:revision>3</cp:revision>
  <cp:lastPrinted>2025-07-29T23:58:00Z</cp:lastPrinted>
  <dcterms:created xsi:type="dcterms:W3CDTF">2026-07-07T13:42:00Z</dcterms:created>
  <dcterms:modified xsi:type="dcterms:W3CDTF">2026-07-07T13:42:00Z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ies>
</file>