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2109FB" w14:paraId="3674F582" w14:textId="77777777" w:rsidTr="005912E9">
        <w:trPr>
          <w:trHeight w:val="851"/>
        </w:trPr>
        <w:tc>
          <w:tcPr>
            <w:tcW w:w="976" w:type="dxa"/>
            <w:tcBorders>
              <w:bottom w:val="single" w:sz="12" w:space="0" w:color="auto"/>
            </w:tcBorders>
          </w:tcPr>
          <w:p w14:paraId="59415024" w14:textId="77777777" w:rsidR="002109FB" w:rsidRPr="00321985" w:rsidRDefault="002109FB" w:rsidP="005912E9">
            <w:r>
              <w:rPr>
                <w:noProof/>
                <w:lang w:val="en-US"/>
              </w:rPr>
              <w:drawing>
                <wp:inline distT="0" distB="0" distL="0" distR="0" wp14:anchorId="516FD0A8" wp14:editId="49A49718">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39AC66D2" w14:textId="77777777" w:rsidR="002109FB" w:rsidRPr="00321985" w:rsidRDefault="002109FB" w:rsidP="005912E9">
            <w:r w:rsidRPr="00AA6F92">
              <w:rPr>
                <w:noProof/>
              </w:rPr>
              <w:drawing>
                <wp:inline distT="0" distB="0" distL="0" distR="0" wp14:anchorId="4A455A4C" wp14:editId="61A5E2A2">
                  <wp:extent cx="500870" cy="360000"/>
                  <wp:effectExtent l="0" t="0" r="0" b="2540"/>
                  <wp:docPr id="2"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25F155CA" w14:textId="77777777" w:rsidR="002109FB" w:rsidRPr="00C9161D" w:rsidRDefault="002109FB" w:rsidP="005912E9">
            <w:pPr>
              <w:jc w:val="right"/>
              <w:rPr>
                <w:rFonts w:ascii="Arial" w:hAnsi="Arial" w:cs="Arial"/>
                <w:b/>
                <w:sz w:val="32"/>
                <w:szCs w:val="32"/>
              </w:rPr>
            </w:pPr>
            <w:r w:rsidRPr="00C9161D">
              <w:rPr>
                <w:rFonts w:ascii="Arial" w:hAnsi="Arial" w:cs="Arial"/>
                <w:b/>
                <w:sz w:val="32"/>
                <w:szCs w:val="32"/>
              </w:rPr>
              <w:t>CBD</w:t>
            </w:r>
          </w:p>
        </w:tc>
      </w:tr>
      <w:tr w:rsidR="002109FB" w14:paraId="43A09CB5" w14:textId="77777777" w:rsidTr="005912E9">
        <w:tc>
          <w:tcPr>
            <w:tcW w:w="6117" w:type="dxa"/>
            <w:gridSpan w:val="2"/>
            <w:tcBorders>
              <w:top w:val="single" w:sz="12" w:space="0" w:color="auto"/>
              <w:bottom w:val="single" w:sz="36" w:space="0" w:color="auto"/>
            </w:tcBorders>
            <w:vAlign w:val="center"/>
          </w:tcPr>
          <w:p w14:paraId="3FFB4EDF" w14:textId="77777777" w:rsidR="002109FB" w:rsidRDefault="002109FB" w:rsidP="005912E9">
            <w:r>
              <w:rPr>
                <w:noProof/>
                <w:lang w:val="en-US"/>
              </w:rPr>
              <w:drawing>
                <wp:inline distT="0" distB="0" distL="0" distR="0" wp14:anchorId="33F45691" wp14:editId="3FA9B9DD">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270DA844" w14:textId="77777777" w:rsidR="002109FB" w:rsidRPr="00C9161D" w:rsidRDefault="002109FB" w:rsidP="005912E9">
            <w:pPr>
              <w:ind w:left="1215"/>
              <w:rPr>
                <w:szCs w:val="22"/>
              </w:rPr>
            </w:pPr>
            <w:r w:rsidRPr="00C9161D">
              <w:rPr>
                <w:szCs w:val="22"/>
              </w:rPr>
              <w:t>Distr.</w:t>
            </w:r>
          </w:p>
          <w:p w14:paraId="51FCF7B8" w14:textId="77777777" w:rsidR="002109FB" w:rsidRPr="00C9161D" w:rsidRDefault="002109FB" w:rsidP="005912E9">
            <w:pPr>
              <w:ind w:left="1215"/>
              <w:rPr>
                <w:szCs w:val="22"/>
              </w:rPr>
            </w:pPr>
            <w:r>
              <w:rPr>
                <w:caps/>
                <w:szCs w:val="22"/>
              </w:rPr>
              <w:t>LIMITED</w:t>
            </w:r>
          </w:p>
          <w:p w14:paraId="70B81E77" w14:textId="77777777" w:rsidR="002109FB" w:rsidRPr="00C9161D" w:rsidRDefault="002109FB" w:rsidP="005912E9">
            <w:pPr>
              <w:ind w:left="1215"/>
              <w:rPr>
                <w:szCs w:val="22"/>
              </w:rPr>
            </w:pPr>
          </w:p>
          <w:p w14:paraId="6275A627" w14:textId="77796F59" w:rsidR="002109FB" w:rsidRPr="00C9161D" w:rsidRDefault="00EE61C7" w:rsidP="005912E9">
            <w:pPr>
              <w:ind w:left="1215"/>
              <w:rPr>
                <w:szCs w:val="22"/>
              </w:rPr>
            </w:pPr>
            <w:sdt>
              <w:sdtPr>
                <w:rPr>
                  <w:lang w:val="en-US"/>
                </w:rPr>
                <w:alias w:val="Subject"/>
                <w:tag w:val=""/>
                <w:id w:val="2137136483"/>
                <w:placeholder>
                  <w:docPart w:val="389AF8573EDD448195CCBC65351B014C"/>
                </w:placeholder>
                <w:dataBinding w:prefixMappings="xmlns:ns0='http://purl.org/dc/elements/1.1/' xmlns:ns1='http://schemas.openxmlformats.org/package/2006/metadata/core-properties' " w:xpath="/ns1:coreProperties[1]/ns0:subject[1]" w:storeItemID="{6C3C8BC8-F283-45AE-878A-BAB7291924A1}"/>
                <w:text/>
              </w:sdtPr>
              <w:sdtEndPr/>
              <w:sdtContent>
                <w:r w:rsidR="002109FB">
                  <w:rPr>
                    <w:lang w:val="en-US"/>
                  </w:rPr>
                  <w:t>CBD/COP/15/L.13</w:t>
                </w:r>
              </w:sdtContent>
            </w:sdt>
          </w:p>
          <w:p w14:paraId="567407CC" w14:textId="20B51333" w:rsidR="002109FB" w:rsidRPr="00C9161D" w:rsidRDefault="002109FB" w:rsidP="005912E9">
            <w:pPr>
              <w:ind w:left="1215"/>
              <w:rPr>
                <w:szCs w:val="22"/>
              </w:rPr>
            </w:pPr>
            <w:r>
              <w:rPr>
                <w:szCs w:val="22"/>
                <w:lang w:val="en-US"/>
              </w:rPr>
              <w:t>13 December 2022</w:t>
            </w:r>
          </w:p>
          <w:p w14:paraId="3C5C10F3" w14:textId="77777777" w:rsidR="002109FB" w:rsidRPr="00C9161D" w:rsidRDefault="002109FB" w:rsidP="005912E9">
            <w:pPr>
              <w:ind w:left="1215"/>
              <w:rPr>
                <w:szCs w:val="22"/>
              </w:rPr>
            </w:pPr>
          </w:p>
          <w:p w14:paraId="33030D13" w14:textId="77777777" w:rsidR="002109FB" w:rsidRPr="00C9161D" w:rsidRDefault="002109FB" w:rsidP="005912E9">
            <w:pPr>
              <w:ind w:left="1215"/>
              <w:rPr>
                <w:szCs w:val="22"/>
              </w:rPr>
            </w:pPr>
            <w:r>
              <w:rPr>
                <w:szCs w:val="22"/>
              </w:rPr>
              <w:t xml:space="preserve">ORIGINAL: </w:t>
            </w:r>
            <w:r w:rsidRPr="00C9161D">
              <w:rPr>
                <w:szCs w:val="22"/>
              </w:rPr>
              <w:t>ENGLISH</w:t>
            </w:r>
          </w:p>
          <w:p w14:paraId="171960BB" w14:textId="77777777" w:rsidR="002109FB" w:rsidRDefault="002109FB" w:rsidP="005912E9"/>
        </w:tc>
      </w:tr>
    </w:tbl>
    <w:p w14:paraId="59A7FCB9" w14:textId="77777777" w:rsidR="00305E66" w:rsidRPr="00605FE4" w:rsidRDefault="00305E66" w:rsidP="00305E66">
      <w:pPr>
        <w:pStyle w:val="Cornernotation"/>
        <w:spacing w:before="60"/>
        <w:ind w:left="180" w:right="4784" w:hanging="180"/>
      </w:pPr>
      <w:r w:rsidRPr="00605FE4">
        <w:t>CONFERENCE OF THE PARTIES TO THE CONVENTION ON BIOLOGICAL DIVERSITY</w:t>
      </w:r>
    </w:p>
    <w:p w14:paraId="1C973394" w14:textId="77777777" w:rsidR="00305E66" w:rsidRDefault="00305E66" w:rsidP="00305E66">
      <w:pPr>
        <w:pStyle w:val="Cornernotation"/>
        <w:ind w:right="4784"/>
      </w:pPr>
      <w:r>
        <w:t xml:space="preserve">Fifteenth </w:t>
      </w:r>
      <w:r w:rsidRPr="00605FE4">
        <w:t>meeting</w:t>
      </w:r>
    </w:p>
    <w:p w14:paraId="6FA27D98" w14:textId="77777777" w:rsidR="00305E66" w:rsidRDefault="00305E66" w:rsidP="00305E66">
      <w:pPr>
        <w:pStyle w:val="Cornernotation"/>
        <w:kinsoku w:val="0"/>
        <w:overflowPunct w:val="0"/>
        <w:autoSpaceDE w:val="0"/>
        <w:autoSpaceDN w:val="0"/>
        <w:ind w:left="227" w:right="4075" w:hanging="227"/>
        <w:rPr>
          <w:snapToGrid w:val="0"/>
          <w:kern w:val="22"/>
          <w:szCs w:val="22"/>
          <w:lang w:eastAsia="nb-NO"/>
        </w:rPr>
      </w:pPr>
      <w:r>
        <w:rPr>
          <w:snapToGrid w:val="0"/>
          <w:kern w:val="22"/>
          <w:szCs w:val="22"/>
          <w:lang w:eastAsia="nb-NO"/>
        </w:rPr>
        <w:t>Montreal, Canada, 7-19 December 2022</w:t>
      </w:r>
    </w:p>
    <w:p w14:paraId="23F40E78" w14:textId="5430D00A" w:rsidR="00305E66" w:rsidRDefault="00305E66" w:rsidP="00305E66">
      <w:pPr>
        <w:pStyle w:val="Cornernotation"/>
      </w:pPr>
      <w:r>
        <w:t xml:space="preserve">Agenda item </w:t>
      </w:r>
      <w:r w:rsidR="00835E8A">
        <w:t>20A1</w:t>
      </w:r>
    </w:p>
    <w:p w14:paraId="5DA99371" w14:textId="6A5FCCF7" w:rsidR="00C9161D" w:rsidRDefault="00EE61C7" w:rsidP="00D42703">
      <w:pPr>
        <w:spacing w:before="240" w:after="240"/>
        <w:jc w:val="center"/>
        <w:rPr>
          <w:b/>
          <w:caps/>
        </w:rPr>
      </w:pPr>
      <w:sdt>
        <w:sdtPr>
          <w:rPr>
            <w:rStyle w:val="Heading2Char"/>
          </w:rPr>
          <w:alias w:val="Title"/>
          <w:tag w:val=""/>
          <w:id w:val="772832786"/>
          <w:placeholder>
            <w:docPart w:val="7E0485547563415784F9B28103CD7463"/>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F00B28" w:rsidRPr="00F00B28">
            <w:rPr>
              <w:rStyle w:val="Heading2Char"/>
            </w:rPr>
            <w:t>Ecologically or biologically significant marine areas in the North-East Atlantic Ocean and adjacent</w:t>
          </w:r>
          <w:r w:rsidR="00D1719E">
            <w:rPr>
              <w:rStyle w:val="Heading2Char"/>
            </w:rPr>
            <w:t> </w:t>
          </w:r>
          <w:r w:rsidR="00F00B28" w:rsidRPr="00F00B28">
            <w:rPr>
              <w:rStyle w:val="Heading2Char"/>
            </w:rPr>
            <w:t>areas</w:t>
          </w:r>
        </w:sdtContent>
      </w:sdt>
      <w:r w:rsidR="00105372" w:rsidRPr="00105372">
        <w:rPr>
          <w:b/>
          <w:caps/>
        </w:rPr>
        <w:t xml:space="preserve"> </w:t>
      </w:r>
    </w:p>
    <w:p w14:paraId="4DF63EB7" w14:textId="7B5D51B2" w:rsidR="00F00B28" w:rsidRPr="00686E7F" w:rsidRDefault="00686E7F" w:rsidP="00686E7F">
      <w:pPr>
        <w:pStyle w:val="Para1"/>
        <w:numPr>
          <w:ilvl w:val="0"/>
          <w:numId w:val="0"/>
        </w:numPr>
        <w:suppressLineNumbers/>
        <w:suppressAutoHyphens/>
        <w:spacing w:after="240"/>
        <w:jc w:val="center"/>
        <w:rPr>
          <w:b/>
          <w:bCs/>
          <w:iCs/>
          <w:kern w:val="22"/>
          <w:szCs w:val="22"/>
          <w:lang w:eastAsia="ja-JP"/>
        </w:rPr>
      </w:pPr>
      <w:r w:rsidRPr="008D1CD7">
        <w:rPr>
          <w:b/>
          <w:bCs/>
          <w:iCs/>
          <w:kern w:val="22"/>
          <w:szCs w:val="22"/>
          <w:lang w:eastAsia="ja-JP"/>
        </w:rPr>
        <w:t>Draft decision submitted by the Chair</w:t>
      </w:r>
      <w:r w:rsidR="002109FB">
        <w:rPr>
          <w:b/>
          <w:bCs/>
          <w:iCs/>
          <w:kern w:val="22"/>
          <w:szCs w:val="22"/>
          <w:lang w:eastAsia="ja-JP"/>
        </w:rPr>
        <w:t xml:space="preserve"> of Working Group II</w:t>
      </w:r>
    </w:p>
    <w:p w14:paraId="6EE7B71D" w14:textId="368CADD9" w:rsidR="006514DB" w:rsidRPr="00A73566" w:rsidRDefault="006514DB" w:rsidP="0009640F">
      <w:pPr>
        <w:suppressLineNumbers/>
        <w:suppressAutoHyphens/>
        <w:kinsoku w:val="0"/>
        <w:overflowPunct w:val="0"/>
        <w:autoSpaceDE w:val="0"/>
        <w:autoSpaceDN w:val="0"/>
        <w:spacing w:before="120" w:after="120"/>
        <w:ind w:firstLine="709"/>
        <w:rPr>
          <w:i/>
          <w:snapToGrid w:val="0"/>
          <w:kern w:val="22"/>
          <w:szCs w:val="22"/>
          <w:lang w:eastAsia="ko-KR"/>
        </w:rPr>
      </w:pPr>
      <w:r w:rsidRPr="00A73566">
        <w:rPr>
          <w:i/>
          <w:snapToGrid w:val="0"/>
          <w:kern w:val="22"/>
          <w:szCs w:val="22"/>
          <w:lang w:eastAsia="ko-KR"/>
        </w:rPr>
        <w:t>The Conference of the Parties</w:t>
      </w:r>
    </w:p>
    <w:p w14:paraId="4A68B47E" w14:textId="5E202A06" w:rsidR="006514DB" w:rsidRPr="0052289A" w:rsidRDefault="006514DB" w:rsidP="006514DB">
      <w:pPr>
        <w:spacing w:before="120" w:after="120"/>
        <w:ind w:firstLine="709"/>
        <w:rPr>
          <w:szCs w:val="22"/>
        </w:rPr>
      </w:pPr>
      <w:r w:rsidRPr="00233915">
        <w:rPr>
          <w:snapToGrid w:val="0"/>
          <w:kern w:val="22"/>
          <w:szCs w:val="22"/>
        </w:rPr>
        <w:t>1.</w:t>
      </w:r>
      <w:r w:rsidRPr="00233915">
        <w:rPr>
          <w:snapToGrid w:val="0"/>
          <w:kern w:val="22"/>
          <w:szCs w:val="22"/>
        </w:rPr>
        <w:tab/>
      </w:r>
      <w:r w:rsidRPr="0052289A">
        <w:rPr>
          <w:i/>
          <w:szCs w:val="22"/>
        </w:rPr>
        <w:t xml:space="preserve">Acknowledges </w:t>
      </w:r>
      <w:r w:rsidRPr="0052289A">
        <w:rPr>
          <w:szCs w:val="22"/>
        </w:rPr>
        <w:t>that the Executive Secretary, as requested by the Conference of the Parties at its tenth and eleventh meetings,</w:t>
      </w:r>
      <w:r w:rsidRPr="0052289A">
        <w:rPr>
          <w:rStyle w:val="FootnoteReference"/>
          <w:szCs w:val="22"/>
        </w:rPr>
        <w:footnoteReference w:id="1"/>
      </w:r>
      <w:r w:rsidRPr="0052289A">
        <w:rPr>
          <w:szCs w:val="22"/>
        </w:rPr>
        <w:t xml:space="preserve"> has successfully completed the series of regional workshops, covering most of the world’s ocean, facilitating the description of 338 areas meeting the criteria for ecologically or biologically significant marine </w:t>
      </w:r>
      <w:proofErr w:type="gramStart"/>
      <w:r w:rsidRPr="0052289A">
        <w:rPr>
          <w:szCs w:val="22"/>
        </w:rPr>
        <w:t>areas;</w:t>
      </w:r>
      <w:proofErr w:type="gramEnd"/>
    </w:p>
    <w:p w14:paraId="2DE1216A" w14:textId="275AB6B6" w:rsidR="006514DB" w:rsidRPr="0052289A" w:rsidRDefault="006514DB" w:rsidP="006514DB">
      <w:pPr>
        <w:spacing w:before="120" w:after="120"/>
        <w:ind w:firstLine="709"/>
        <w:rPr>
          <w:szCs w:val="22"/>
        </w:rPr>
      </w:pPr>
      <w:r w:rsidRPr="0052289A">
        <w:rPr>
          <w:szCs w:val="22"/>
        </w:rPr>
        <w:t>2.</w:t>
      </w:r>
      <w:r w:rsidRPr="0052289A">
        <w:rPr>
          <w:szCs w:val="22"/>
        </w:rPr>
        <w:tab/>
      </w:r>
      <w:r w:rsidRPr="0052289A">
        <w:rPr>
          <w:i/>
          <w:iCs/>
          <w:szCs w:val="22"/>
        </w:rPr>
        <w:t>Expresses its appreciation</w:t>
      </w:r>
      <w:r w:rsidRPr="0052289A">
        <w:rPr>
          <w:szCs w:val="22"/>
        </w:rPr>
        <w:t xml:space="preserve"> to all Parties, other Governments, organizations and stakeholders that have contributed to this process, and </w:t>
      </w:r>
      <w:r w:rsidRPr="0052289A">
        <w:rPr>
          <w:i/>
          <w:iCs/>
          <w:szCs w:val="22"/>
        </w:rPr>
        <w:t>encourages</w:t>
      </w:r>
      <w:r w:rsidRPr="0052289A">
        <w:rPr>
          <w:szCs w:val="22"/>
        </w:rPr>
        <w:t xml:space="preserve"> continued efforts to describe areas meeting the criteria for ecologically or biologically significant marine areas using the best available scientific information and to increase the number and coverage of ecologically or biologically significant marine areas around the </w:t>
      </w:r>
      <w:proofErr w:type="gramStart"/>
      <w:r w:rsidRPr="0052289A">
        <w:rPr>
          <w:szCs w:val="22"/>
        </w:rPr>
        <w:t>world;</w:t>
      </w:r>
      <w:proofErr w:type="gramEnd"/>
    </w:p>
    <w:p w14:paraId="30CB989B" w14:textId="7CD98372" w:rsidR="006514DB" w:rsidRPr="00A73566" w:rsidRDefault="006514DB" w:rsidP="006514DB">
      <w:pPr>
        <w:spacing w:before="120" w:after="120"/>
        <w:ind w:firstLine="709"/>
        <w:rPr>
          <w:snapToGrid w:val="0"/>
          <w:kern w:val="22"/>
          <w:szCs w:val="22"/>
        </w:rPr>
      </w:pPr>
      <w:r w:rsidRPr="00A73566">
        <w:rPr>
          <w:snapToGrid w:val="0"/>
          <w:kern w:val="22"/>
          <w:szCs w:val="22"/>
        </w:rPr>
        <w:t>3.</w:t>
      </w:r>
      <w:r w:rsidRPr="00A73566">
        <w:rPr>
          <w:i/>
          <w:snapToGrid w:val="0"/>
          <w:kern w:val="22"/>
          <w:szCs w:val="22"/>
        </w:rPr>
        <w:tab/>
        <w:t xml:space="preserve">Expresses its gratitude </w:t>
      </w:r>
      <w:r w:rsidRPr="00A73566">
        <w:rPr>
          <w:snapToGrid w:val="0"/>
          <w:kern w:val="22"/>
          <w:szCs w:val="22"/>
        </w:rPr>
        <w:t>to the Government of Sweden for hosting the Regional Workshop to Facilitate the Description of Ecologically or Biologically Significant Marine Areas in the North-East Atlantic Ocean, as well as the Governments of Denmark, France, Germany and Sweden for providing financial support for the workshop, and the Convention for the Protection of the Marine Environment of the North-East Atlantic and the North-East Atlantic Fisheries Commission for providing valuable scientific and technical input;</w:t>
      </w:r>
    </w:p>
    <w:p w14:paraId="0DAA3586" w14:textId="45FF7786" w:rsidR="006514DB" w:rsidRPr="00A73566" w:rsidRDefault="006514DB" w:rsidP="006514DB">
      <w:pPr>
        <w:suppressLineNumbers/>
        <w:suppressAutoHyphens/>
        <w:kinsoku w:val="0"/>
        <w:overflowPunct w:val="0"/>
        <w:autoSpaceDE w:val="0"/>
        <w:autoSpaceDN w:val="0"/>
        <w:spacing w:before="120" w:after="120"/>
        <w:ind w:firstLine="709"/>
        <w:rPr>
          <w:snapToGrid w:val="0"/>
          <w:kern w:val="22"/>
          <w:szCs w:val="22"/>
        </w:rPr>
      </w:pPr>
      <w:r w:rsidRPr="00A73566">
        <w:rPr>
          <w:snapToGrid w:val="0"/>
          <w:kern w:val="22"/>
          <w:szCs w:val="22"/>
        </w:rPr>
        <w:t>4.</w:t>
      </w:r>
      <w:r w:rsidRPr="00A73566">
        <w:rPr>
          <w:snapToGrid w:val="0"/>
          <w:kern w:val="22"/>
          <w:szCs w:val="22"/>
        </w:rPr>
        <w:tab/>
      </w:r>
      <w:r w:rsidRPr="00A73566">
        <w:rPr>
          <w:i/>
          <w:snapToGrid w:val="0"/>
          <w:kern w:val="22"/>
          <w:szCs w:val="22"/>
        </w:rPr>
        <w:t>Welcomes</w:t>
      </w:r>
      <w:r w:rsidRPr="00A73566">
        <w:rPr>
          <w:snapToGrid w:val="0"/>
          <w:kern w:val="22"/>
          <w:szCs w:val="22"/>
        </w:rPr>
        <w:t xml:space="preserve"> the summary reports prepared by the Subsidiary Body </w:t>
      </w:r>
      <w:r w:rsidRPr="00A73566">
        <w:rPr>
          <w:kern w:val="22"/>
          <w:szCs w:val="22"/>
        </w:rPr>
        <w:t>on Scientific, Technical and Technological Advice</w:t>
      </w:r>
      <w:r w:rsidRPr="00A73566">
        <w:rPr>
          <w:snapToGrid w:val="0"/>
          <w:kern w:val="22"/>
          <w:szCs w:val="22"/>
        </w:rPr>
        <w:t xml:space="preserve"> at its twenty-third meeting, which are annexed to the present draft decision and are based on the report of the Regional Workshop to Facilitate the Description of Ecologically or Biologically Significant Marine Areas in the North-East Atlantic Ocean;</w:t>
      </w:r>
      <w:r w:rsidRPr="00A73566">
        <w:rPr>
          <w:rStyle w:val="FootnoteReference"/>
          <w:rFonts w:eastAsiaTheme="majorEastAsia"/>
          <w:snapToGrid w:val="0"/>
          <w:kern w:val="22"/>
          <w:szCs w:val="22"/>
        </w:rPr>
        <w:footnoteReference w:id="2"/>
      </w:r>
      <w:r w:rsidR="00047D70">
        <w:rPr>
          <w:snapToGrid w:val="0"/>
          <w:kern w:val="22"/>
          <w:szCs w:val="22"/>
        </w:rPr>
        <w:t xml:space="preserve"> </w:t>
      </w:r>
    </w:p>
    <w:p w14:paraId="3C38AF9E" w14:textId="5C51B394" w:rsidR="006514DB" w:rsidRDefault="006514DB" w:rsidP="006514DB">
      <w:pPr>
        <w:suppressLineNumbers/>
        <w:suppressAutoHyphens/>
        <w:spacing w:before="120" w:after="120"/>
        <w:ind w:firstLine="720"/>
        <w:rPr>
          <w:snapToGrid w:val="0"/>
        </w:rPr>
        <w:sectPr w:rsidR="006514DB" w:rsidSect="00BA15E4">
          <w:pgSz w:w="12240" w:h="15840"/>
          <w:pgMar w:top="567" w:right="1389" w:bottom="1134" w:left="1389" w:header="709" w:footer="709" w:gutter="0"/>
          <w:cols w:space="708"/>
          <w:docGrid w:linePitch="360"/>
        </w:sectPr>
      </w:pPr>
      <w:r w:rsidRPr="00233915">
        <w:rPr>
          <w:iCs/>
          <w:snapToGrid w:val="0"/>
          <w:szCs w:val="22"/>
          <w:shd w:val="clear" w:color="auto" w:fill="FFFFFF"/>
        </w:rPr>
        <w:t>5.</w:t>
      </w:r>
      <w:r w:rsidRPr="00233915">
        <w:rPr>
          <w:iCs/>
          <w:snapToGrid w:val="0"/>
          <w:szCs w:val="22"/>
          <w:shd w:val="clear" w:color="auto" w:fill="FFFFFF"/>
        </w:rPr>
        <w:tab/>
      </w:r>
      <w:r w:rsidRPr="000D1A7C">
        <w:rPr>
          <w:i/>
          <w:snapToGrid w:val="0"/>
          <w:szCs w:val="22"/>
          <w:shd w:val="clear" w:color="auto" w:fill="FFFFFF"/>
        </w:rPr>
        <w:t>R</w:t>
      </w:r>
      <w:r w:rsidRPr="00A73566">
        <w:rPr>
          <w:i/>
          <w:snapToGrid w:val="0"/>
          <w:szCs w:val="22"/>
        </w:rPr>
        <w:t>equests</w:t>
      </w:r>
      <w:r w:rsidRPr="00A73566">
        <w:rPr>
          <w:snapToGrid w:val="0"/>
          <w:szCs w:val="22"/>
        </w:rPr>
        <w:t xml:space="preserve"> the Executive Secretary to include the summary reports in the EBSA repository, and to submit them to the United Nations General Assembly and its relevant processes, as well as Parties, other Governments and relevant international organizations, in line with the purpose and procedures set out in decisions </w:t>
      </w:r>
      <w:hyperlink r:id="rId15" w:history="1">
        <w:r w:rsidRPr="00A73566">
          <w:rPr>
            <w:rStyle w:val="Hyperlink"/>
            <w:snapToGrid w:val="0"/>
            <w:kern w:val="22"/>
            <w:sz w:val="22"/>
            <w:szCs w:val="22"/>
            <w:u w:val="none"/>
          </w:rPr>
          <w:t>X/29</w:t>
        </w:r>
      </w:hyperlink>
      <w:r w:rsidRPr="00A73566">
        <w:rPr>
          <w:snapToGrid w:val="0"/>
        </w:rPr>
        <w:t xml:space="preserve">, </w:t>
      </w:r>
      <w:hyperlink r:id="rId16" w:history="1">
        <w:r w:rsidRPr="00A73566">
          <w:rPr>
            <w:rStyle w:val="Hyperlink"/>
            <w:snapToGrid w:val="0"/>
            <w:kern w:val="22"/>
            <w:sz w:val="22"/>
            <w:szCs w:val="22"/>
            <w:u w:val="none"/>
          </w:rPr>
          <w:t>XI/17</w:t>
        </w:r>
      </w:hyperlink>
      <w:r w:rsidRPr="00A73566">
        <w:rPr>
          <w:snapToGrid w:val="0"/>
        </w:rPr>
        <w:t xml:space="preserve">, </w:t>
      </w:r>
      <w:hyperlink r:id="rId17" w:history="1">
        <w:r w:rsidRPr="00A73566">
          <w:rPr>
            <w:rStyle w:val="Hyperlink"/>
            <w:snapToGrid w:val="0"/>
            <w:kern w:val="22"/>
            <w:sz w:val="22"/>
            <w:szCs w:val="22"/>
            <w:u w:val="none"/>
          </w:rPr>
          <w:t>XII/22</w:t>
        </w:r>
      </w:hyperlink>
      <w:r w:rsidRPr="00A73566">
        <w:rPr>
          <w:snapToGrid w:val="0"/>
        </w:rPr>
        <w:t xml:space="preserve">, </w:t>
      </w:r>
      <w:hyperlink r:id="rId18" w:history="1">
        <w:r w:rsidRPr="00A73566">
          <w:rPr>
            <w:rStyle w:val="Hyperlink"/>
            <w:snapToGrid w:val="0"/>
            <w:kern w:val="22"/>
            <w:sz w:val="22"/>
            <w:szCs w:val="22"/>
            <w:u w:val="none"/>
          </w:rPr>
          <w:t>XIII/12</w:t>
        </w:r>
      </w:hyperlink>
      <w:r w:rsidRPr="00A73566">
        <w:rPr>
          <w:rStyle w:val="Hyperlink"/>
          <w:snapToGrid w:val="0"/>
          <w:color w:val="auto"/>
          <w:kern w:val="22"/>
          <w:sz w:val="22"/>
          <w:szCs w:val="22"/>
          <w:u w:val="none"/>
        </w:rPr>
        <w:t xml:space="preserve"> and </w:t>
      </w:r>
      <w:hyperlink r:id="rId19" w:history="1">
        <w:r w:rsidRPr="00A73566">
          <w:rPr>
            <w:rStyle w:val="Hyperlink"/>
            <w:snapToGrid w:val="0"/>
            <w:kern w:val="22"/>
            <w:sz w:val="22"/>
            <w:szCs w:val="22"/>
            <w:u w:val="none"/>
          </w:rPr>
          <w:t>14/9</w:t>
        </w:r>
      </w:hyperlink>
      <w:r w:rsidRPr="00A73566">
        <w:rPr>
          <w:snapToGrid w:val="0"/>
        </w:rPr>
        <w:t>.</w:t>
      </w:r>
      <w:r w:rsidR="00047D70">
        <w:rPr>
          <w:snapToGrid w:val="0"/>
        </w:rPr>
        <w:t xml:space="preserve"> </w:t>
      </w:r>
    </w:p>
    <w:p w14:paraId="65E3DAF4" w14:textId="77777777" w:rsidR="006514DB" w:rsidRPr="00A73566" w:rsidRDefault="006514DB" w:rsidP="006514DB">
      <w:pPr>
        <w:suppressLineNumbers/>
        <w:suppressAutoHyphens/>
        <w:spacing w:before="120" w:after="120"/>
        <w:ind w:firstLine="720"/>
        <w:rPr>
          <w:snapToGrid w:val="0"/>
        </w:rPr>
      </w:pPr>
    </w:p>
    <w:p w14:paraId="420B79BB" w14:textId="77777777" w:rsidR="006514DB" w:rsidRPr="0052289A" w:rsidRDefault="006514DB" w:rsidP="006514DB">
      <w:pPr>
        <w:rPr>
          <w:szCs w:val="22"/>
        </w:rPr>
        <w:sectPr w:rsidR="006514DB" w:rsidRPr="0052289A" w:rsidSect="006514DB">
          <w:type w:val="continuous"/>
          <w:pgSz w:w="12240" w:h="15840"/>
          <w:pgMar w:top="567" w:right="1389" w:bottom="1134" w:left="1389" w:header="709" w:footer="709" w:gutter="0"/>
          <w:cols w:space="708"/>
          <w:docGrid w:linePitch="360"/>
        </w:sectPr>
      </w:pPr>
    </w:p>
    <w:p w14:paraId="4D49CB1B" w14:textId="77777777" w:rsidR="006514DB" w:rsidRPr="00FD6CDE" w:rsidRDefault="006514DB" w:rsidP="006514DB">
      <w:pPr>
        <w:jc w:val="center"/>
        <w:rPr>
          <w:bCs/>
          <w:i/>
          <w:sz w:val="20"/>
          <w:szCs w:val="20"/>
        </w:rPr>
      </w:pPr>
      <w:r w:rsidRPr="00FD6CDE">
        <w:rPr>
          <w:bCs/>
          <w:i/>
          <w:sz w:val="20"/>
          <w:szCs w:val="20"/>
        </w:rPr>
        <w:lastRenderedPageBreak/>
        <w:t>Addendum</w:t>
      </w:r>
    </w:p>
    <w:p w14:paraId="2301B249" w14:textId="77777777" w:rsidR="006514DB" w:rsidRPr="00FD6CDE" w:rsidRDefault="006514DB" w:rsidP="006514DB">
      <w:pPr>
        <w:jc w:val="center"/>
        <w:rPr>
          <w:bCs/>
          <w:sz w:val="20"/>
          <w:szCs w:val="20"/>
        </w:rPr>
      </w:pPr>
    </w:p>
    <w:p w14:paraId="13216E71" w14:textId="64DBA25E" w:rsidR="006514DB" w:rsidRPr="00FD6CDE" w:rsidRDefault="006514DB" w:rsidP="006514DB">
      <w:pPr>
        <w:jc w:val="center"/>
        <w:rPr>
          <w:rFonts w:ascii="Times New Roman Bold" w:hAnsi="Times New Roman Bold"/>
          <w:b/>
          <w:bCs/>
          <w:kern w:val="22"/>
          <w:sz w:val="20"/>
          <w:szCs w:val="20"/>
        </w:rPr>
      </w:pPr>
      <w:r w:rsidRPr="00FD6CDE">
        <w:rPr>
          <w:rFonts w:ascii="Times New Roman Bold" w:hAnsi="Times New Roman Bold"/>
          <w:b/>
          <w:bCs/>
          <w:kern w:val="22"/>
          <w:sz w:val="20"/>
          <w:szCs w:val="20"/>
        </w:rPr>
        <w:t>SUMMARY REPORT ON THE DESCRIPTION OF AREAS MEETING THE SCIENTIFIC CRITERIA FOR ECOLOGICALLY OR BIOLOGICALLY SIGNIFICANT MARINE AREAS IN THE NORTH-EAST ATLANTIC OCEAN AND ADJACENT AREAS</w:t>
      </w:r>
    </w:p>
    <w:p w14:paraId="0496A950" w14:textId="77777777" w:rsidR="006514DB" w:rsidRPr="00FD6CDE" w:rsidRDefault="006514DB" w:rsidP="006514DB">
      <w:pPr>
        <w:rPr>
          <w:rFonts w:ascii="Times New Roman Bold" w:hAnsi="Times New Roman Bold"/>
          <w:b/>
          <w:bCs/>
          <w:kern w:val="22"/>
          <w:sz w:val="20"/>
          <w:szCs w:val="20"/>
        </w:rPr>
      </w:pPr>
    </w:p>
    <w:p w14:paraId="22EA27BF" w14:textId="77777777" w:rsidR="006514DB" w:rsidRPr="00FD6CDE" w:rsidRDefault="006514DB" w:rsidP="006514DB">
      <w:pPr>
        <w:jc w:val="center"/>
        <w:rPr>
          <w:b/>
          <w:bCs/>
          <w:sz w:val="20"/>
          <w:szCs w:val="20"/>
        </w:rPr>
      </w:pPr>
      <w:r w:rsidRPr="00FD6CDE">
        <w:rPr>
          <w:b/>
          <w:bCs/>
          <w:sz w:val="20"/>
          <w:szCs w:val="20"/>
        </w:rPr>
        <w:t>BACKGROUND</w:t>
      </w:r>
    </w:p>
    <w:p w14:paraId="0C03A162" w14:textId="77777777" w:rsidR="006514DB" w:rsidRPr="00FD6CDE" w:rsidRDefault="006514DB" w:rsidP="006514DB">
      <w:pPr>
        <w:pStyle w:val="Para1"/>
        <w:numPr>
          <w:ilvl w:val="0"/>
          <w:numId w:val="0"/>
        </w:numPr>
        <w:suppressLineNumbers/>
        <w:suppressAutoHyphens/>
        <w:kinsoku w:val="0"/>
        <w:overflowPunct w:val="0"/>
        <w:autoSpaceDE w:val="0"/>
        <w:autoSpaceDN w:val="0"/>
        <w:rPr>
          <w:kern w:val="22"/>
          <w:sz w:val="20"/>
          <w:szCs w:val="20"/>
        </w:rPr>
      </w:pPr>
      <w:r w:rsidRPr="00FD6CDE">
        <w:rPr>
          <w:kern w:val="22"/>
          <w:sz w:val="20"/>
          <w:szCs w:val="20"/>
          <w:lang w:eastAsia="en-GB"/>
        </w:rPr>
        <w:t>1.</w:t>
      </w:r>
      <w:r w:rsidRPr="00FD6CDE">
        <w:rPr>
          <w:kern w:val="22"/>
          <w:sz w:val="20"/>
          <w:szCs w:val="20"/>
          <w:lang w:eastAsia="en-GB"/>
        </w:rPr>
        <w:tab/>
        <w:t xml:space="preserve">Pursuant to decision </w:t>
      </w:r>
      <w:hyperlink r:id="rId20" w:history="1">
        <w:r w:rsidRPr="00FD6CDE">
          <w:rPr>
            <w:rStyle w:val="Hyperlink"/>
            <w:kern w:val="22"/>
            <w:sz w:val="20"/>
            <w:szCs w:val="20"/>
            <w:lang w:eastAsia="en-GB"/>
          </w:rPr>
          <w:t>X/29</w:t>
        </w:r>
      </w:hyperlink>
      <w:r w:rsidRPr="00FD6CDE">
        <w:rPr>
          <w:kern w:val="22"/>
          <w:sz w:val="20"/>
          <w:szCs w:val="20"/>
          <w:lang w:eastAsia="en-GB"/>
        </w:rPr>
        <w:t xml:space="preserve">, paragraph 36, decision </w:t>
      </w:r>
      <w:hyperlink r:id="rId21" w:history="1">
        <w:r w:rsidRPr="00FD6CDE">
          <w:rPr>
            <w:rStyle w:val="Hyperlink"/>
            <w:kern w:val="22"/>
            <w:sz w:val="20"/>
            <w:szCs w:val="20"/>
            <w:lang w:eastAsia="en-GB"/>
          </w:rPr>
          <w:t>XI/17</w:t>
        </w:r>
      </w:hyperlink>
      <w:r w:rsidRPr="00FD6CDE">
        <w:rPr>
          <w:kern w:val="22"/>
          <w:sz w:val="20"/>
          <w:szCs w:val="20"/>
          <w:lang w:eastAsia="en-GB"/>
        </w:rPr>
        <w:t xml:space="preserve">, paragraph 12, decision </w:t>
      </w:r>
      <w:hyperlink r:id="rId22" w:history="1">
        <w:r w:rsidRPr="00FD6CDE">
          <w:rPr>
            <w:rStyle w:val="Hyperlink"/>
            <w:kern w:val="22"/>
            <w:sz w:val="20"/>
            <w:szCs w:val="20"/>
            <w:lang w:eastAsia="en-GB"/>
          </w:rPr>
          <w:t>XII/22</w:t>
        </w:r>
      </w:hyperlink>
      <w:r w:rsidRPr="00FD6CDE">
        <w:rPr>
          <w:kern w:val="22"/>
          <w:sz w:val="20"/>
          <w:szCs w:val="20"/>
          <w:lang w:eastAsia="en-GB"/>
        </w:rPr>
        <w:t xml:space="preserve">, paragraph 6, decision </w:t>
      </w:r>
      <w:hyperlink r:id="rId23" w:history="1">
        <w:r w:rsidRPr="00FD6CDE">
          <w:rPr>
            <w:rStyle w:val="Hyperlink"/>
            <w:kern w:val="22"/>
            <w:sz w:val="20"/>
            <w:szCs w:val="20"/>
            <w:lang w:eastAsia="en-GB"/>
          </w:rPr>
          <w:t>XIII/12</w:t>
        </w:r>
      </w:hyperlink>
      <w:r w:rsidRPr="00FD6CDE">
        <w:rPr>
          <w:kern w:val="22"/>
          <w:sz w:val="20"/>
          <w:szCs w:val="20"/>
          <w:lang w:eastAsia="en-GB"/>
        </w:rPr>
        <w:t xml:space="preserve">, paragraph 8, and decision </w:t>
      </w:r>
      <w:hyperlink r:id="rId24" w:history="1">
        <w:r w:rsidRPr="00FD6CDE">
          <w:rPr>
            <w:rStyle w:val="Hyperlink"/>
            <w:kern w:val="22"/>
            <w:sz w:val="20"/>
            <w:szCs w:val="20"/>
            <w:lang w:eastAsia="en-GB"/>
          </w:rPr>
          <w:t>14/9</w:t>
        </w:r>
      </w:hyperlink>
      <w:r w:rsidRPr="00FD6CDE">
        <w:rPr>
          <w:kern w:val="22"/>
          <w:sz w:val="20"/>
          <w:szCs w:val="20"/>
          <w:lang w:eastAsia="en-GB"/>
        </w:rPr>
        <w:t>, paragraph 4, a regional workshop was convened by the Executive Secretary of the Convention on Biological Diversity to facilitate the description of ecologically or biologically significant marine areas (EBSAs) in the North-East Atlantic Ocean (Stockholm, 23-27 September 2019).</w:t>
      </w:r>
      <w:r w:rsidRPr="00FD6CDE">
        <w:rPr>
          <w:rStyle w:val="FootnoteReference"/>
          <w:kern w:val="22"/>
          <w:sz w:val="20"/>
          <w:szCs w:val="20"/>
          <w:lang w:eastAsia="en-GB"/>
        </w:rPr>
        <w:footnoteReference w:id="3"/>
      </w:r>
    </w:p>
    <w:p w14:paraId="0252DBA9" w14:textId="77777777" w:rsidR="006514DB" w:rsidRPr="00FD6CDE" w:rsidRDefault="006514DB" w:rsidP="006514DB">
      <w:pPr>
        <w:pStyle w:val="Para1"/>
        <w:numPr>
          <w:ilvl w:val="0"/>
          <w:numId w:val="0"/>
        </w:numPr>
        <w:suppressLineNumbers/>
        <w:suppressAutoHyphens/>
        <w:kinsoku w:val="0"/>
        <w:overflowPunct w:val="0"/>
        <w:autoSpaceDE w:val="0"/>
        <w:autoSpaceDN w:val="0"/>
        <w:rPr>
          <w:kern w:val="22"/>
          <w:sz w:val="20"/>
          <w:szCs w:val="20"/>
        </w:rPr>
      </w:pPr>
      <w:r w:rsidRPr="00FD6CDE">
        <w:rPr>
          <w:kern w:val="22"/>
          <w:sz w:val="20"/>
          <w:szCs w:val="20"/>
        </w:rPr>
        <w:t>2.</w:t>
      </w:r>
      <w:r w:rsidRPr="00FD6CDE">
        <w:rPr>
          <w:kern w:val="22"/>
          <w:sz w:val="20"/>
          <w:szCs w:val="20"/>
        </w:rPr>
        <w:tab/>
        <w:t>The description of areas as meeting the criteria for EBSAs does not imply the expression of any opinion whatsoever concerning the legal status of any country, territory, city or area or of its authorities, or concerning the delimitation of its frontiers or boundaries. Nor does it have economic or legal implications; it is strictly a scientific and technical exercise.</w:t>
      </w:r>
    </w:p>
    <w:p w14:paraId="3FC19891" w14:textId="77777777" w:rsidR="006514DB" w:rsidRPr="00FD6CDE" w:rsidRDefault="006514DB" w:rsidP="006514DB">
      <w:pPr>
        <w:pStyle w:val="Para1"/>
        <w:numPr>
          <w:ilvl w:val="0"/>
          <w:numId w:val="0"/>
        </w:numPr>
        <w:suppressLineNumbers/>
        <w:suppressAutoHyphens/>
        <w:kinsoku w:val="0"/>
        <w:overflowPunct w:val="0"/>
        <w:autoSpaceDE w:val="0"/>
        <w:autoSpaceDN w:val="0"/>
        <w:rPr>
          <w:kern w:val="22"/>
          <w:sz w:val="20"/>
          <w:szCs w:val="20"/>
        </w:rPr>
      </w:pPr>
      <w:r w:rsidRPr="00FD6CDE">
        <w:rPr>
          <w:kern w:val="22"/>
          <w:sz w:val="20"/>
          <w:szCs w:val="20"/>
        </w:rPr>
        <w:t>3.</w:t>
      </w:r>
      <w:r w:rsidRPr="00FD6CDE">
        <w:rPr>
          <w:kern w:val="22"/>
          <w:sz w:val="20"/>
          <w:szCs w:val="20"/>
        </w:rPr>
        <w:tab/>
        <w:t>Pursuant to decision XI/17, paragraph 12, a summary of the results of this regional workshop is provided in table 1 below, while full descriptions of how the areas meet the criteria for EBSAs are provided in an annex to the report on the workshop.</w:t>
      </w:r>
    </w:p>
    <w:p w14:paraId="0106D909" w14:textId="77777777" w:rsidR="006514DB" w:rsidRPr="00FD6CDE" w:rsidRDefault="006514DB" w:rsidP="006514DB">
      <w:pPr>
        <w:pStyle w:val="Para1"/>
        <w:numPr>
          <w:ilvl w:val="0"/>
          <w:numId w:val="0"/>
        </w:numPr>
        <w:suppressLineNumbers/>
        <w:suppressAutoHyphens/>
        <w:kinsoku w:val="0"/>
        <w:overflowPunct w:val="0"/>
        <w:autoSpaceDE w:val="0"/>
        <w:autoSpaceDN w:val="0"/>
        <w:rPr>
          <w:kern w:val="22"/>
          <w:sz w:val="20"/>
          <w:szCs w:val="20"/>
        </w:rPr>
      </w:pPr>
      <w:r w:rsidRPr="00FD6CDE">
        <w:rPr>
          <w:kern w:val="22"/>
          <w:sz w:val="20"/>
          <w:szCs w:val="20"/>
        </w:rPr>
        <w:t>4.</w:t>
      </w:r>
      <w:r w:rsidRPr="00FD6CDE">
        <w:rPr>
          <w:kern w:val="22"/>
          <w:sz w:val="20"/>
          <w:szCs w:val="20"/>
        </w:rPr>
        <w:tab/>
        <w:t xml:space="preserve">In decision X/29, paragraph 26, </w:t>
      </w:r>
      <w:r w:rsidRPr="00FD6CDE">
        <w:rPr>
          <w:kern w:val="22"/>
          <w:sz w:val="20"/>
          <w:szCs w:val="20"/>
          <w:lang w:eastAsia="en-GB"/>
        </w:rPr>
        <w:t xml:space="preserve">the Conference of Parties noted </w:t>
      </w:r>
      <w:r w:rsidRPr="00FD6CDE">
        <w:rPr>
          <w:kern w:val="22"/>
          <w:sz w:val="20"/>
          <w:szCs w:val="20"/>
        </w:rPr>
        <w:t>that the application of the EBSA criteria is a scientific and technical exercise, that areas found to meet the criteria may require enhanced conservation and management measures, and that this can be achieved through a variety of means, including marine spatial planning, marine protected areas, other effective area-based conservation measures and impact assessment. It also emphasized that the identification of EBSAs and the selection of conservation and management measures is a matter for States and competent intergovernmental organizations, in accordance with international law, including the United Nations Convention on the Law of the Sea.</w:t>
      </w:r>
      <w:r w:rsidRPr="00FD6CDE">
        <w:rPr>
          <w:rStyle w:val="FootnoteReference"/>
          <w:rFonts w:eastAsiaTheme="majorEastAsia"/>
          <w:kern w:val="22"/>
          <w:sz w:val="20"/>
          <w:szCs w:val="20"/>
        </w:rPr>
        <w:footnoteReference w:id="4"/>
      </w:r>
    </w:p>
    <w:p w14:paraId="7EC0D707" w14:textId="77777777" w:rsidR="006514DB" w:rsidRPr="00FD6CDE" w:rsidRDefault="006514DB" w:rsidP="006514DB">
      <w:pPr>
        <w:pStyle w:val="Para1"/>
        <w:numPr>
          <w:ilvl w:val="0"/>
          <w:numId w:val="0"/>
        </w:numPr>
        <w:suppressLineNumbers/>
        <w:suppressAutoHyphens/>
        <w:kinsoku w:val="0"/>
        <w:overflowPunct w:val="0"/>
        <w:autoSpaceDE w:val="0"/>
        <w:autoSpaceDN w:val="0"/>
        <w:rPr>
          <w:kern w:val="22"/>
          <w:sz w:val="20"/>
          <w:szCs w:val="20"/>
        </w:rPr>
      </w:pPr>
    </w:p>
    <w:p w14:paraId="4706208E" w14:textId="77777777" w:rsidR="006514DB" w:rsidRPr="00FD6CDE" w:rsidRDefault="006514DB" w:rsidP="006514DB">
      <w:pPr>
        <w:rPr>
          <w:rStyle w:val="Emphasis"/>
          <w:b/>
          <w:bCs/>
          <w:i w:val="0"/>
          <w:snapToGrid w:val="0"/>
          <w:kern w:val="22"/>
          <w:sz w:val="20"/>
          <w:szCs w:val="20"/>
        </w:rPr>
      </w:pPr>
      <w:r w:rsidRPr="00FD6CDE">
        <w:rPr>
          <w:rStyle w:val="Emphasis"/>
          <w:b/>
          <w:bCs/>
          <w:snapToGrid w:val="0"/>
          <w:kern w:val="22"/>
          <w:sz w:val="20"/>
          <w:szCs w:val="20"/>
        </w:rPr>
        <w:t>Key to the tables</w:t>
      </w:r>
      <w:r w:rsidRPr="00FD6CDE">
        <w:rPr>
          <w:rStyle w:val="Emphasis"/>
          <w:b/>
          <w:bCs/>
          <w:snapToGrid w:val="0"/>
          <w:kern w:val="22"/>
          <w:sz w:val="20"/>
          <w:szCs w:val="20"/>
        </w:rPr>
        <w:tab/>
      </w:r>
    </w:p>
    <w:tbl>
      <w:tblPr>
        <w:tblW w:w="0" w:type="auto"/>
        <w:tblInd w:w="534" w:type="dxa"/>
        <w:tblBorders>
          <w:insideH w:val="single" w:sz="4" w:space="0" w:color="auto"/>
          <w:insideV w:val="single" w:sz="4" w:space="0" w:color="auto"/>
        </w:tblBorders>
        <w:tblLook w:val="04A0" w:firstRow="1" w:lastRow="0" w:firstColumn="1" w:lastColumn="0" w:noHBand="0" w:noVBand="1"/>
      </w:tblPr>
      <w:tblGrid>
        <w:gridCol w:w="3551"/>
        <w:gridCol w:w="5377"/>
      </w:tblGrid>
      <w:tr w:rsidR="006514DB" w:rsidRPr="00FD6CDE" w14:paraId="7AB28CFE" w14:textId="77777777" w:rsidTr="00117478">
        <w:tc>
          <w:tcPr>
            <w:tcW w:w="3590" w:type="dxa"/>
            <w:shd w:val="clear" w:color="auto" w:fill="auto"/>
          </w:tcPr>
          <w:p w14:paraId="511BB416" w14:textId="77777777" w:rsidR="006514DB" w:rsidRPr="00FD6CDE" w:rsidRDefault="006514DB" w:rsidP="00117478">
            <w:pPr>
              <w:suppressLineNumbers/>
              <w:suppressAutoHyphens/>
              <w:kinsoku w:val="0"/>
              <w:overflowPunct w:val="0"/>
              <w:autoSpaceDE w:val="0"/>
              <w:autoSpaceDN w:val="0"/>
              <w:snapToGrid w:val="0"/>
              <w:spacing w:before="120" w:after="120"/>
              <w:rPr>
                <w:rFonts w:eastAsia="MS Mincho"/>
                <w:b/>
                <w:snapToGrid w:val="0"/>
                <w:kern w:val="22"/>
                <w:sz w:val="20"/>
                <w:szCs w:val="20"/>
              </w:rPr>
            </w:pPr>
            <w:r w:rsidRPr="00FD6CDE">
              <w:rPr>
                <w:rFonts w:eastAsia="MS Mincho"/>
                <w:b/>
                <w:snapToGrid w:val="0"/>
                <w:kern w:val="22"/>
                <w:sz w:val="20"/>
                <w:szCs w:val="20"/>
              </w:rPr>
              <w:t>RANKING OF EBSA CRITERIA</w:t>
            </w:r>
          </w:p>
          <w:p w14:paraId="2ED89B4A" w14:textId="77777777" w:rsidR="006514DB" w:rsidRPr="00FD6CDE" w:rsidRDefault="006514DB" w:rsidP="00117478">
            <w:pPr>
              <w:suppressLineNumbers/>
              <w:suppressAutoHyphens/>
              <w:kinsoku w:val="0"/>
              <w:overflowPunct w:val="0"/>
              <w:autoSpaceDE w:val="0"/>
              <w:autoSpaceDN w:val="0"/>
              <w:snapToGrid w:val="0"/>
              <w:rPr>
                <w:rFonts w:eastAsia="MS Mincho"/>
                <w:b/>
                <w:snapToGrid w:val="0"/>
                <w:kern w:val="22"/>
                <w:sz w:val="20"/>
                <w:szCs w:val="20"/>
              </w:rPr>
            </w:pPr>
            <w:r w:rsidRPr="00FD6CDE">
              <w:rPr>
                <w:rFonts w:eastAsia="MS Mincho"/>
                <w:b/>
                <w:snapToGrid w:val="0"/>
                <w:kern w:val="22"/>
                <w:sz w:val="20"/>
                <w:szCs w:val="20"/>
              </w:rPr>
              <w:t>Relevance</w:t>
            </w:r>
          </w:p>
          <w:p w14:paraId="46CA43EB" w14:textId="77777777" w:rsidR="006514DB" w:rsidRPr="00FD6CDE" w:rsidRDefault="006514DB" w:rsidP="00117478">
            <w:pPr>
              <w:suppressLineNumbers/>
              <w:tabs>
                <w:tab w:val="left" w:pos="836"/>
              </w:tabs>
              <w:suppressAutoHyphens/>
              <w:kinsoku w:val="0"/>
              <w:overflowPunct w:val="0"/>
              <w:autoSpaceDE w:val="0"/>
              <w:autoSpaceDN w:val="0"/>
              <w:snapToGrid w:val="0"/>
              <w:ind w:left="426"/>
              <w:rPr>
                <w:rFonts w:eastAsia="MS Mincho"/>
                <w:b/>
                <w:snapToGrid w:val="0"/>
                <w:kern w:val="22"/>
                <w:sz w:val="20"/>
                <w:szCs w:val="20"/>
              </w:rPr>
            </w:pPr>
            <w:r w:rsidRPr="00FD6CDE">
              <w:rPr>
                <w:rFonts w:eastAsia="MS Mincho"/>
                <w:b/>
                <w:snapToGrid w:val="0"/>
                <w:kern w:val="22"/>
                <w:sz w:val="20"/>
                <w:szCs w:val="20"/>
              </w:rPr>
              <w:t>H:</w:t>
            </w:r>
            <w:r w:rsidRPr="00FD6CDE">
              <w:rPr>
                <w:rFonts w:eastAsia="MS Mincho"/>
                <w:b/>
                <w:snapToGrid w:val="0"/>
                <w:kern w:val="22"/>
                <w:sz w:val="20"/>
                <w:szCs w:val="20"/>
              </w:rPr>
              <w:tab/>
              <w:t>High</w:t>
            </w:r>
          </w:p>
          <w:p w14:paraId="589C66A3" w14:textId="77777777" w:rsidR="006514DB" w:rsidRPr="00FD6CDE" w:rsidRDefault="006514DB" w:rsidP="00117478">
            <w:pPr>
              <w:suppressLineNumbers/>
              <w:tabs>
                <w:tab w:val="left" w:pos="836"/>
              </w:tabs>
              <w:suppressAutoHyphens/>
              <w:kinsoku w:val="0"/>
              <w:overflowPunct w:val="0"/>
              <w:autoSpaceDE w:val="0"/>
              <w:autoSpaceDN w:val="0"/>
              <w:snapToGrid w:val="0"/>
              <w:ind w:left="426"/>
              <w:rPr>
                <w:rFonts w:eastAsia="MS Mincho"/>
                <w:b/>
                <w:snapToGrid w:val="0"/>
                <w:kern w:val="22"/>
                <w:sz w:val="20"/>
                <w:szCs w:val="20"/>
              </w:rPr>
            </w:pPr>
            <w:r w:rsidRPr="00FD6CDE">
              <w:rPr>
                <w:rFonts w:eastAsia="MS Mincho"/>
                <w:b/>
                <w:snapToGrid w:val="0"/>
                <w:kern w:val="22"/>
                <w:sz w:val="20"/>
                <w:szCs w:val="20"/>
              </w:rPr>
              <w:t>M:</w:t>
            </w:r>
            <w:r w:rsidRPr="00FD6CDE">
              <w:rPr>
                <w:rFonts w:eastAsia="MS Mincho"/>
                <w:b/>
                <w:snapToGrid w:val="0"/>
                <w:kern w:val="22"/>
                <w:sz w:val="20"/>
                <w:szCs w:val="20"/>
              </w:rPr>
              <w:tab/>
              <w:t>Medium</w:t>
            </w:r>
          </w:p>
          <w:p w14:paraId="031A5402" w14:textId="77777777" w:rsidR="006514DB" w:rsidRPr="00FD6CDE" w:rsidRDefault="006514DB" w:rsidP="00117478">
            <w:pPr>
              <w:suppressLineNumbers/>
              <w:tabs>
                <w:tab w:val="left" w:pos="836"/>
              </w:tabs>
              <w:suppressAutoHyphens/>
              <w:kinsoku w:val="0"/>
              <w:overflowPunct w:val="0"/>
              <w:autoSpaceDE w:val="0"/>
              <w:autoSpaceDN w:val="0"/>
              <w:snapToGrid w:val="0"/>
              <w:ind w:left="426"/>
              <w:rPr>
                <w:rFonts w:eastAsia="MS Mincho"/>
                <w:b/>
                <w:snapToGrid w:val="0"/>
                <w:kern w:val="22"/>
                <w:sz w:val="20"/>
                <w:szCs w:val="20"/>
              </w:rPr>
            </w:pPr>
            <w:r w:rsidRPr="00FD6CDE">
              <w:rPr>
                <w:rFonts w:eastAsia="MS Mincho"/>
                <w:b/>
                <w:snapToGrid w:val="0"/>
                <w:kern w:val="22"/>
                <w:sz w:val="20"/>
                <w:szCs w:val="20"/>
              </w:rPr>
              <w:t>L:</w:t>
            </w:r>
            <w:r w:rsidRPr="00FD6CDE">
              <w:rPr>
                <w:rFonts w:eastAsia="MS Mincho"/>
                <w:b/>
                <w:snapToGrid w:val="0"/>
                <w:kern w:val="22"/>
                <w:sz w:val="20"/>
                <w:szCs w:val="20"/>
              </w:rPr>
              <w:tab/>
              <w:t>Low</w:t>
            </w:r>
          </w:p>
          <w:p w14:paraId="24158D92" w14:textId="77777777" w:rsidR="006514DB" w:rsidRPr="00FD6CDE" w:rsidRDefault="006514DB" w:rsidP="00117478">
            <w:pPr>
              <w:suppressLineNumbers/>
              <w:tabs>
                <w:tab w:val="left" w:pos="836"/>
              </w:tabs>
              <w:suppressAutoHyphens/>
              <w:kinsoku w:val="0"/>
              <w:overflowPunct w:val="0"/>
              <w:autoSpaceDE w:val="0"/>
              <w:autoSpaceDN w:val="0"/>
              <w:snapToGrid w:val="0"/>
              <w:spacing w:after="120"/>
              <w:ind w:left="425"/>
              <w:rPr>
                <w:rFonts w:eastAsia="MS Mincho"/>
                <w:b/>
                <w:snapToGrid w:val="0"/>
                <w:kern w:val="22"/>
                <w:sz w:val="20"/>
                <w:szCs w:val="20"/>
              </w:rPr>
            </w:pPr>
            <w:r w:rsidRPr="00FD6CDE">
              <w:rPr>
                <w:rFonts w:eastAsia="MS Mincho"/>
                <w:b/>
                <w:snapToGrid w:val="0"/>
                <w:kern w:val="22"/>
                <w:sz w:val="20"/>
                <w:szCs w:val="20"/>
              </w:rPr>
              <w:t>-:</w:t>
            </w:r>
            <w:r w:rsidRPr="00FD6CDE">
              <w:rPr>
                <w:rFonts w:eastAsia="MS Mincho"/>
                <w:b/>
                <w:snapToGrid w:val="0"/>
                <w:kern w:val="22"/>
                <w:sz w:val="20"/>
                <w:szCs w:val="20"/>
              </w:rPr>
              <w:tab/>
              <w:t>No information</w:t>
            </w:r>
          </w:p>
          <w:p w14:paraId="69E4E066" w14:textId="77777777" w:rsidR="006514DB" w:rsidRPr="00FD6CDE" w:rsidRDefault="006514DB" w:rsidP="00117478">
            <w:pPr>
              <w:suppressLineNumbers/>
              <w:suppressAutoHyphens/>
              <w:kinsoku w:val="0"/>
              <w:overflowPunct w:val="0"/>
              <w:autoSpaceDE w:val="0"/>
              <w:autoSpaceDN w:val="0"/>
              <w:snapToGrid w:val="0"/>
              <w:ind w:left="360"/>
              <w:rPr>
                <w:b/>
                <w:snapToGrid w:val="0"/>
                <w:kern w:val="22"/>
                <w:sz w:val="20"/>
                <w:szCs w:val="20"/>
              </w:rPr>
            </w:pPr>
          </w:p>
        </w:tc>
        <w:tc>
          <w:tcPr>
            <w:tcW w:w="5452" w:type="dxa"/>
          </w:tcPr>
          <w:p w14:paraId="0C81890B" w14:textId="77777777" w:rsidR="006514DB" w:rsidRPr="00FD6CDE" w:rsidRDefault="006514DB" w:rsidP="00117478">
            <w:pPr>
              <w:suppressLineNumbers/>
              <w:suppressAutoHyphens/>
              <w:kinsoku w:val="0"/>
              <w:overflowPunct w:val="0"/>
              <w:autoSpaceDE w:val="0"/>
              <w:autoSpaceDN w:val="0"/>
              <w:snapToGrid w:val="0"/>
              <w:spacing w:before="120" w:after="120"/>
              <w:rPr>
                <w:rFonts w:eastAsia="MS Mincho"/>
                <w:b/>
                <w:snapToGrid w:val="0"/>
                <w:kern w:val="22"/>
                <w:sz w:val="20"/>
                <w:szCs w:val="20"/>
              </w:rPr>
            </w:pPr>
            <w:r w:rsidRPr="00FD6CDE">
              <w:rPr>
                <w:rFonts w:eastAsia="MS Mincho"/>
                <w:b/>
                <w:snapToGrid w:val="0"/>
                <w:kern w:val="22"/>
                <w:sz w:val="20"/>
                <w:szCs w:val="20"/>
              </w:rPr>
              <w:t>CRITERIA</w:t>
            </w:r>
          </w:p>
          <w:p w14:paraId="60731242" w14:textId="77777777" w:rsidR="006514DB" w:rsidRPr="00FD6CDE" w:rsidRDefault="006514DB" w:rsidP="006514DB">
            <w:pPr>
              <w:numPr>
                <w:ilvl w:val="0"/>
                <w:numId w:val="2"/>
              </w:numPr>
              <w:suppressLineNumbers/>
              <w:suppressAutoHyphens/>
              <w:kinsoku w:val="0"/>
              <w:overflowPunct w:val="0"/>
              <w:autoSpaceDE w:val="0"/>
              <w:autoSpaceDN w:val="0"/>
              <w:snapToGrid w:val="0"/>
              <w:rPr>
                <w:snapToGrid w:val="0"/>
                <w:color w:val="000000"/>
                <w:kern w:val="22"/>
                <w:sz w:val="20"/>
                <w:szCs w:val="20"/>
              </w:rPr>
            </w:pPr>
            <w:r w:rsidRPr="00FD6CDE">
              <w:rPr>
                <w:b/>
                <w:snapToGrid w:val="0"/>
                <w:color w:val="000000"/>
                <w:kern w:val="22"/>
                <w:sz w:val="20"/>
                <w:szCs w:val="20"/>
              </w:rPr>
              <w:t>C1</w:t>
            </w:r>
            <w:r w:rsidRPr="00FD6CDE">
              <w:rPr>
                <w:snapToGrid w:val="0"/>
                <w:color w:val="000000"/>
                <w:kern w:val="22"/>
                <w:sz w:val="20"/>
                <w:szCs w:val="20"/>
              </w:rPr>
              <w:t xml:space="preserve">: Uniqueness or rarity </w:t>
            </w:r>
          </w:p>
          <w:p w14:paraId="39904EB6" w14:textId="77777777" w:rsidR="006514DB" w:rsidRPr="00FD6CDE" w:rsidRDefault="006514DB" w:rsidP="006514DB">
            <w:pPr>
              <w:numPr>
                <w:ilvl w:val="0"/>
                <w:numId w:val="2"/>
              </w:numPr>
              <w:suppressLineNumbers/>
              <w:suppressAutoHyphens/>
              <w:kinsoku w:val="0"/>
              <w:overflowPunct w:val="0"/>
              <w:autoSpaceDE w:val="0"/>
              <w:autoSpaceDN w:val="0"/>
              <w:snapToGrid w:val="0"/>
              <w:rPr>
                <w:snapToGrid w:val="0"/>
                <w:color w:val="000000"/>
                <w:kern w:val="22"/>
                <w:sz w:val="20"/>
                <w:szCs w:val="20"/>
              </w:rPr>
            </w:pPr>
            <w:r w:rsidRPr="00FD6CDE">
              <w:rPr>
                <w:b/>
                <w:snapToGrid w:val="0"/>
                <w:color w:val="000000"/>
                <w:kern w:val="22"/>
                <w:sz w:val="20"/>
                <w:szCs w:val="20"/>
              </w:rPr>
              <w:t>C2</w:t>
            </w:r>
            <w:r w:rsidRPr="00FD6CDE">
              <w:rPr>
                <w:snapToGrid w:val="0"/>
                <w:color w:val="000000"/>
                <w:kern w:val="22"/>
                <w:sz w:val="20"/>
                <w:szCs w:val="20"/>
              </w:rPr>
              <w:t>: Special importance for life-history stages of species</w:t>
            </w:r>
          </w:p>
          <w:p w14:paraId="702862B2" w14:textId="77777777" w:rsidR="006514DB" w:rsidRPr="00FD6CDE" w:rsidRDefault="006514DB" w:rsidP="006514DB">
            <w:pPr>
              <w:numPr>
                <w:ilvl w:val="0"/>
                <w:numId w:val="2"/>
              </w:numPr>
              <w:suppressLineNumbers/>
              <w:suppressAutoHyphens/>
              <w:kinsoku w:val="0"/>
              <w:overflowPunct w:val="0"/>
              <w:autoSpaceDE w:val="0"/>
              <w:autoSpaceDN w:val="0"/>
              <w:snapToGrid w:val="0"/>
              <w:rPr>
                <w:snapToGrid w:val="0"/>
                <w:color w:val="000000"/>
                <w:kern w:val="22"/>
                <w:sz w:val="20"/>
                <w:szCs w:val="20"/>
              </w:rPr>
            </w:pPr>
            <w:r w:rsidRPr="00FD6CDE">
              <w:rPr>
                <w:b/>
                <w:snapToGrid w:val="0"/>
                <w:color w:val="000000"/>
                <w:kern w:val="22"/>
                <w:sz w:val="20"/>
                <w:szCs w:val="20"/>
              </w:rPr>
              <w:t>C3</w:t>
            </w:r>
            <w:r w:rsidRPr="00FD6CDE">
              <w:rPr>
                <w:snapToGrid w:val="0"/>
                <w:color w:val="000000"/>
                <w:kern w:val="22"/>
                <w:sz w:val="20"/>
                <w:szCs w:val="20"/>
              </w:rPr>
              <w:t>: Importance for threatened, endangered or declining species and/or habitats</w:t>
            </w:r>
          </w:p>
          <w:p w14:paraId="585F4AE9" w14:textId="77777777" w:rsidR="006514DB" w:rsidRPr="00FD6CDE" w:rsidRDefault="006514DB" w:rsidP="006514DB">
            <w:pPr>
              <w:numPr>
                <w:ilvl w:val="0"/>
                <w:numId w:val="2"/>
              </w:numPr>
              <w:suppressLineNumbers/>
              <w:suppressAutoHyphens/>
              <w:kinsoku w:val="0"/>
              <w:overflowPunct w:val="0"/>
              <w:autoSpaceDE w:val="0"/>
              <w:autoSpaceDN w:val="0"/>
              <w:snapToGrid w:val="0"/>
              <w:rPr>
                <w:snapToGrid w:val="0"/>
                <w:color w:val="000000"/>
                <w:kern w:val="22"/>
                <w:sz w:val="20"/>
                <w:szCs w:val="20"/>
              </w:rPr>
            </w:pPr>
            <w:r w:rsidRPr="00FD6CDE">
              <w:rPr>
                <w:b/>
                <w:snapToGrid w:val="0"/>
                <w:color w:val="000000"/>
                <w:kern w:val="22"/>
                <w:sz w:val="20"/>
                <w:szCs w:val="20"/>
              </w:rPr>
              <w:t>C4</w:t>
            </w:r>
            <w:r w:rsidRPr="00FD6CDE">
              <w:rPr>
                <w:snapToGrid w:val="0"/>
                <w:color w:val="000000"/>
                <w:kern w:val="22"/>
                <w:sz w:val="20"/>
                <w:szCs w:val="20"/>
              </w:rPr>
              <w:t>: Vulnerability, fragility, sensitivity, or slow recovery</w:t>
            </w:r>
          </w:p>
          <w:p w14:paraId="5AC9BD69" w14:textId="77777777" w:rsidR="006514DB" w:rsidRPr="00FD6CDE" w:rsidRDefault="006514DB" w:rsidP="006514DB">
            <w:pPr>
              <w:numPr>
                <w:ilvl w:val="0"/>
                <w:numId w:val="2"/>
              </w:numPr>
              <w:suppressLineNumbers/>
              <w:suppressAutoHyphens/>
              <w:kinsoku w:val="0"/>
              <w:overflowPunct w:val="0"/>
              <w:autoSpaceDE w:val="0"/>
              <w:autoSpaceDN w:val="0"/>
              <w:snapToGrid w:val="0"/>
              <w:rPr>
                <w:snapToGrid w:val="0"/>
                <w:color w:val="000000"/>
                <w:kern w:val="22"/>
                <w:sz w:val="20"/>
                <w:szCs w:val="20"/>
              </w:rPr>
            </w:pPr>
            <w:r w:rsidRPr="00FD6CDE">
              <w:rPr>
                <w:b/>
                <w:snapToGrid w:val="0"/>
                <w:color w:val="000000"/>
                <w:kern w:val="22"/>
                <w:sz w:val="20"/>
                <w:szCs w:val="20"/>
              </w:rPr>
              <w:t>C5</w:t>
            </w:r>
            <w:r w:rsidRPr="00FD6CDE">
              <w:rPr>
                <w:snapToGrid w:val="0"/>
                <w:color w:val="000000"/>
                <w:kern w:val="22"/>
                <w:sz w:val="20"/>
                <w:szCs w:val="20"/>
              </w:rPr>
              <w:t>: Biological productivity</w:t>
            </w:r>
          </w:p>
          <w:p w14:paraId="08744D26" w14:textId="77777777" w:rsidR="006514DB" w:rsidRPr="00FD6CDE" w:rsidRDefault="006514DB" w:rsidP="006514DB">
            <w:pPr>
              <w:numPr>
                <w:ilvl w:val="0"/>
                <w:numId w:val="2"/>
              </w:numPr>
              <w:suppressLineNumbers/>
              <w:suppressAutoHyphens/>
              <w:kinsoku w:val="0"/>
              <w:overflowPunct w:val="0"/>
              <w:autoSpaceDE w:val="0"/>
              <w:autoSpaceDN w:val="0"/>
              <w:snapToGrid w:val="0"/>
              <w:rPr>
                <w:snapToGrid w:val="0"/>
                <w:color w:val="000000"/>
                <w:kern w:val="22"/>
                <w:sz w:val="20"/>
                <w:szCs w:val="20"/>
              </w:rPr>
            </w:pPr>
            <w:r w:rsidRPr="00FD6CDE">
              <w:rPr>
                <w:b/>
                <w:snapToGrid w:val="0"/>
                <w:color w:val="000000"/>
                <w:kern w:val="22"/>
                <w:sz w:val="20"/>
                <w:szCs w:val="20"/>
              </w:rPr>
              <w:t>C6</w:t>
            </w:r>
            <w:r w:rsidRPr="00FD6CDE">
              <w:rPr>
                <w:snapToGrid w:val="0"/>
                <w:color w:val="000000"/>
                <w:kern w:val="22"/>
                <w:sz w:val="20"/>
                <w:szCs w:val="20"/>
              </w:rPr>
              <w:t>: Biological diversity</w:t>
            </w:r>
          </w:p>
          <w:p w14:paraId="70C062C6" w14:textId="77777777" w:rsidR="006514DB" w:rsidRPr="00FD6CDE" w:rsidRDefault="006514DB" w:rsidP="006514DB">
            <w:pPr>
              <w:numPr>
                <w:ilvl w:val="0"/>
                <w:numId w:val="2"/>
              </w:numPr>
              <w:suppressLineNumbers/>
              <w:suppressAutoHyphens/>
              <w:kinsoku w:val="0"/>
              <w:overflowPunct w:val="0"/>
              <w:autoSpaceDE w:val="0"/>
              <w:autoSpaceDN w:val="0"/>
              <w:snapToGrid w:val="0"/>
              <w:rPr>
                <w:snapToGrid w:val="0"/>
                <w:kern w:val="22"/>
                <w:sz w:val="20"/>
                <w:szCs w:val="20"/>
              </w:rPr>
            </w:pPr>
            <w:r w:rsidRPr="00FD6CDE">
              <w:rPr>
                <w:b/>
                <w:snapToGrid w:val="0"/>
                <w:color w:val="000000"/>
                <w:kern w:val="22"/>
                <w:sz w:val="20"/>
                <w:szCs w:val="20"/>
              </w:rPr>
              <w:t>C7</w:t>
            </w:r>
            <w:r w:rsidRPr="00FD6CDE">
              <w:rPr>
                <w:snapToGrid w:val="0"/>
                <w:color w:val="000000"/>
                <w:kern w:val="22"/>
                <w:sz w:val="20"/>
                <w:szCs w:val="20"/>
              </w:rPr>
              <w:t>: Naturalness</w:t>
            </w:r>
          </w:p>
          <w:p w14:paraId="1F9A3A12" w14:textId="77777777" w:rsidR="006514DB" w:rsidRPr="00FD6CDE" w:rsidRDefault="006514DB" w:rsidP="00117478">
            <w:pPr>
              <w:suppressLineNumbers/>
              <w:suppressAutoHyphens/>
              <w:kinsoku w:val="0"/>
              <w:overflowPunct w:val="0"/>
              <w:autoSpaceDE w:val="0"/>
              <w:autoSpaceDN w:val="0"/>
              <w:snapToGrid w:val="0"/>
              <w:spacing w:before="120" w:after="120"/>
              <w:rPr>
                <w:rFonts w:eastAsia="MS Mincho"/>
                <w:b/>
                <w:snapToGrid w:val="0"/>
                <w:kern w:val="22"/>
                <w:sz w:val="20"/>
                <w:szCs w:val="20"/>
              </w:rPr>
            </w:pPr>
          </w:p>
        </w:tc>
      </w:tr>
    </w:tbl>
    <w:p w14:paraId="2ED7DEEA" w14:textId="77777777" w:rsidR="006514DB" w:rsidRPr="00FD6CDE" w:rsidRDefault="006514DB" w:rsidP="006514DB">
      <w:pPr>
        <w:jc w:val="center"/>
        <w:rPr>
          <w:b/>
          <w:bCs/>
          <w:sz w:val="20"/>
          <w:szCs w:val="20"/>
        </w:rPr>
        <w:sectPr w:rsidR="006514DB" w:rsidRPr="00FD6CDE" w:rsidSect="006902DB">
          <w:headerReference w:type="even" r:id="rId25"/>
          <w:footerReference w:type="even" r:id="rId26"/>
          <w:pgSz w:w="12240" w:h="15840"/>
          <w:pgMar w:top="567" w:right="1389" w:bottom="1134" w:left="1389" w:header="709" w:footer="709" w:gutter="0"/>
          <w:cols w:space="708"/>
          <w:docGrid w:linePitch="360"/>
        </w:sectPr>
      </w:pPr>
    </w:p>
    <w:p w14:paraId="2A8F8D8D" w14:textId="170D22AD" w:rsidR="006514DB" w:rsidRPr="00FD6CDE" w:rsidRDefault="006514DB" w:rsidP="006514DB">
      <w:pPr>
        <w:pStyle w:val="Header"/>
        <w:suppressLineNumbers/>
        <w:suppressAutoHyphens/>
        <w:kinsoku w:val="0"/>
        <w:overflowPunct w:val="0"/>
        <w:autoSpaceDE w:val="0"/>
        <w:autoSpaceDN w:val="0"/>
        <w:jc w:val="left"/>
        <w:rPr>
          <w:b/>
          <w:snapToGrid w:val="0"/>
          <w:kern w:val="22"/>
          <w:sz w:val="20"/>
          <w:szCs w:val="20"/>
        </w:rPr>
      </w:pPr>
      <w:r w:rsidRPr="00FD6CDE">
        <w:rPr>
          <w:b/>
          <w:snapToGrid w:val="0"/>
          <w:kern w:val="22"/>
          <w:sz w:val="20"/>
          <w:szCs w:val="20"/>
        </w:rPr>
        <w:lastRenderedPageBreak/>
        <w:t>Table 1. Description of areas meeting the EBSA criteria in the North-East Atlantic Ocean and adjacent areas</w:t>
      </w:r>
    </w:p>
    <w:p w14:paraId="60362C31" w14:textId="77777777" w:rsidR="006514DB" w:rsidRPr="00FD6CDE" w:rsidRDefault="006514DB" w:rsidP="006514DB">
      <w:pPr>
        <w:suppressLineNumber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kinsoku w:val="0"/>
        <w:overflowPunct w:val="0"/>
        <w:autoSpaceDE w:val="0"/>
        <w:autoSpaceDN w:val="0"/>
        <w:spacing w:before="120" w:after="120"/>
        <w:rPr>
          <w:i/>
          <w:iCs/>
          <w:sz w:val="20"/>
          <w:szCs w:val="20"/>
        </w:rPr>
      </w:pPr>
      <w:r w:rsidRPr="00FD6CDE">
        <w:rPr>
          <w:i/>
          <w:iCs/>
          <w:snapToGrid w:val="0"/>
          <w:kern w:val="22"/>
          <w:sz w:val="20"/>
          <w:szCs w:val="20"/>
        </w:rPr>
        <w:t xml:space="preserve">(Details are provided in </w:t>
      </w:r>
      <w:r w:rsidRPr="00FD6CDE">
        <w:rPr>
          <w:i/>
          <w:iCs/>
          <w:snapToGrid w:val="0"/>
          <w:kern w:val="22"/>
          <w:sz w:val="20"/>
          <w:szCs w:val="20"/>
          <w:lang w:eastAsia="ko-KR"/>
        </w:rPr>
        <w:t xml:space="preserve">the </w:t>
      </w:r>
      <w:r w:rsidRPr="00FD6CDE">
        <w:rPr>
          <w:i/>
          <w:iCs/>
          <w:snapToGrid w:val="0"/>
          <w:kern w:val="22"/>
          <w:sz w:val="20"/>
          <w:szCs w:val="20"/>
        </w:rPr>
        <w:t>report of the Regional Workshop to Facilitate the Description of Ecologically or Biologically Significant Marine Areas in the North-East Atlantic Ocean (</w:t>
      </w:r>
      <w:hyperlink r:id="rId27" w:history="1">
        <w:r w:rsidRPr="00FD6CDE">
          <w:rPr>
            <w:rStyle w:val="Hyperlink"/>
            <w:iCs/>
            <w:sz w:val="20"/>
            <w:szCs w:val="20"/>
          </w:rPr>
          <w:t>CBD/EBSA/WS/2019/1/4</w:t>
        </w:r>
      </w:hyperlink>
      <w:r w:rsidRPr="00FD6CDE">
        <w:rPr>
          <w:i/>
          <w:iCs/>
          <w:snapToGrid w:val="0"/>
          <w:kern w:val="22"/>
          <w:sz w:val="20"/>
          <w:szCs w:val="20"/>
        </w:rPr>
        <w:t>))</w:t>
      </w:r>
    </w:p>
    <w:tbl>
      <w:tblPr>
        <w:tblW w:w="1323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687"/>
        <w:gridCol w:w="506"/>
        <w:gridCol w:w="506"/>
        <w:gridCol w:w="506"/>
        <w:gridCol w:w="506"/>
        <w:gridCol w:w="506"/>
        <w:gridCol w:w="506"/>
        <w:gridCol w:w="507"/>
      </w:tblGrid>
      <w:tr w:rsidR="006514DB" w:rsidRPr="00FD6CDE" w14:paraId="7B0B4270" w14:textId="77777777" w:rsidTr="00117478">
        <w:trPr>
          <w:trHeight w:val="264"/>
          <w:tblHeader/>
        </w:trPr>
        <w:tc>
          <w:tcPr>
            <w:tcW w:w="9687" w:type="dxa"/>
            <w:vMerge w:val="restart"/>
            <w:shd w:val="clear" w:color="auto" w:fill="auto"/>
          </w:tcPr>
          <w:p w14:paraId="194A4911" w14:textId="77777777" w:rsidR="006514DB" w:rsidRPr="00FD6CDE" w:rsidRDefault="006514DB" w:rsidP="00117478">
            <w:pPr>
              <w:suppressLineNumbers/>
              <w:suppressAutoHyphens/>
              <w:kinsoku w:val="0"/>
              <w:overflowPunct w:val="0"/>
              <w:autoSpaceDE w:val="0"/>
              <w:autoSpaceDN w:val="0"/>
              <w:snapToGrid w:val="0"/>
              <w:jc w:val="center"/>
              <w:rPr>
                <w:b/>
                <w:snapToGrid w:val="0"/>
                <w:kern w:val="22"/>
                <w:sz w:val="20"/>
                <w:szCs w:val="20"/>
              </w:rPr>
            </w:pPr>
            <w:r w:rsidRPr="00FD6CDE">
              <w:rPr>
                <w:b/>
                <w:snapToGrid w:val="0"/>
                <w:kern w:val="22"/>
                <w:sz w:val="20"/>
                <w:szCs w:val="20"/>
              </w:rPr>
              <w:t>Location and brief description of areas</w:t>
            </w:r>
          </w:p>
        </w:tc>
        <w:tc>
          <w:tcPr>
            <w:tcW w:w="506" w:type="dxa"/>
          </w:tcPr>
          <w:p w14:paraId="51E1CEEA" w14:textId="77777777" w:rsidR="006514DB" w:rsidRPr="00FD6CDE" w:rsidRDefault="006514DB" w:rsidP="00117478">
            <w:pPr>
              <w:suppressLineNumbers/>
              <w:suppressAutoHyphens/>
              <w:kinsoku w:val="0"/>
              <w:overflowPunct w:val="0"/>
              <w:autoSpaceDE w:val="0"/>
              <w:autoSpaceDN w:val="0"/>
              <w:snapToGrid w:val="0"/>
              <w:jc w:val="center"/>
              <w:rPr>
                <w:b/>
                <w:snapToGrid w:val="0"/>
                <w:kern w:val="22"/>
                <w:sz w:val="20"/>
                <w:szCs w:val="20"/>
              </w:rPr>
            </w:pPr>
            <w:r w:rsidRPr="00FD6CDE">
              <w:rPr>
                <w:b/>
                <w:snapToGrid w:val="0"/>
                <w:kern w:val="22"/>
                <w:sz w:val="20"/>
                <w:szCs w:val="20"/>
              </w:rPr>
              <w:t>C1</w:t>
            </w:r>
          </w:p>
        </w:tc>
        <w:tc>
          <w:tcPr>
            <w:tcW w:w="506" w:type="dxa"/>
          </w:tcPr>
          <w:p w14:paraId="5ECBDA9F" w14:textId="77777777" w:rsidR="006514DB" w:rsidRPr="00FD6CDE" w:rsidRDefault="006514DB" w:rsidP="00117478">
            <w:pPr>
              <w:suppressLineNumbers/>
              <w:suppressAutoHyphens/>
              <w:kinsoku w:val="0"/>
              <w:overflowPunct w:val="0"/>
              <w:autoSpaceDE w:val="0"/>
              <w:autoSpaceDN w:val="0"/>
              <w:snapToGrid w:val="0"/>
              <w:jc w:val="center"/>
              <w:rPr>
                <w:b/>
                <w:snapToGrid w:val="0"/>
                <w:kern w:val="22"/>
                <w:sz w:val="20"/>
                <w:szCs w:val="20"/>
              </w:rPr>
            </w:pPr>
            <w:r w:rsidRPr="00FD6CDE">
              <w:rPr>
                <w:b/>
                <w:snapToGrid w:val="0"/>
                <w:kern w:val="22"/>
                <w:sz w:val="20"/>
                <w:szCs w:val="20"/>
              </w:rPr>
              <w:t>C2</w:t>
            </w:r>
          </w:p>
        </w:tc>
        <w:tc>
          <w:tcPr>
            <w:tcW w:w="506" w:type="dxa"/>
          </w:tcPr>
          <w:p w14:paraId="4D8EEA04" w14:textId="77777777" w:rsidR="006514DB" w:rsidRPr="00FD6CDE" w:rsidRDefault="006514DB" w:rsidP="00117478">
            <w:pPr>
              <w:suppressLineNumbers/>
              <w:suppressAutoHyphens/>
              <w:kinsoku w:val="0"/>
              <w:overflowPunct w:val="0"/>
              <w:autoSpaceDE w:val="0"/>
              <w:autoSpaceDN w:val="0"/>
              <w:snapToGrid w:val="0"/>
              <w:jc w:val="center"/>
              <w:rPr>
                <w:b/>
                <w:snapToGrid w:val="0"/>
                <w:kern w:val="22"/>
                <w:sz w:val="20"/>
                <w:szCs w:val="20"/>
              </w:rPr>
            </w:pPr>
            <w:r w:rsidRPr="00FD6CDE">
              <w:rPr>
                <w:b/>
                <w:snapToGrid w:val="0"/>
                <w:kern w:val="22"/>
                <w:sz w:val="20"/>
                <w:szCs w:val="20"/>
              </w:rPr>
              <w:t>C3</w:t>
            </w:r>
          </w:p>
        </w:tc>
        <w:tc>
          <w:tcPr>
            <w:tcW w:w="506" w:type="dxa"/>
          </w:tcPr>
          <w:p w14:paraId="7EB476A3" w14:textId="77777777" w:rsidR="006514DB" w:rsidRPr="00FD6CDE" w:rsidRDefault="006514DB" w:rsidP="00117478">
            <w:pPr>
              <w:suppressLineNumbers/>
              <w:suppressAutoHyphens/>
              <w:kinsoku w:val="0"/>
              <w:overflowPunct w:val="0"/>
              <w:autoSpaceDE w:val="0"/>
              <w:autoSpaceDN w:val="0"/>
              <w:snapToGrid w:val="0"/>
              <w:jc w:val="center"/>
              <w:rPr>
                <w:b/>
                <w:snapToGrid w:val="0"/>
                <w:kern w:val="22"/>
                <w:sz w:val="20"/>
                <w:szCs w:val="20"/>
              </w:rPr>
            </w:pPr>
            <w:r w:rsidRPr="00FD6CDE">
              <w:rPr>
                <w:b/>
                <w:snapToGrid w:val="0"/>
                <w:kern w:val="22"/>
                <w:sz w:val="20"/>
                <w:szCs w:val="20"/>
              </w:rPr>
              <w:t>C4</w:t>
            </w:r>
          </w:p>
        </w:tc>
        <w:tc>
          <w:tcPr>
            <w:tcW w:w="506" w:type="dxa"/>
          </w:tcPr>
          <w:p w14:paraId="6C384D96" w14:textId="77777777" w:rsidR="006514DB" w:rsidRPr="00FD6CDE" w:rsidRDefault="006514DB" w:rsidP="00117478">
            <w:pPr>
              <w:suppressLineNumbers/>
              <w:suppressAutoHyphens/>
              <w:kinsoku w:val="0"/>
              <w:overflowPunct w:val="0"/>
              <w:autoSpaceDE w:val="0"/>
              <w:autoSpaceDN w:val="0"/>
              <w:snapToGrid w:val="0"/>
              <w:jc w:val="center"/>
              <w:rPr>
                <w:b/>
                <w:snapToGrid w:val="0"/>
                <w:kern w:val="22"/>
                <w:sz w:val="20"/>
                <w:szCs w:val="20"/>
              </w:rPr>
            </w:pPr>
            <w:r w:rsidRPr="00FD6CDE">
              <w:rPr>
                <w:b/>
                <w:snapToGrid w:val="0"/>
                <w:kern w:val="22"/>
                <w:sz w:val="20"/>
                <w:szCs w:val="20"/>
              </w:rPr>
              <w:t>C5</w:t>
            </w:r>
          </w:p>
        </w:tc>
        <w:tc>
          <w:tcPr>
            <w:tcW w:w="506" w:type="dxa"/>
          </w:tcPr>
          <w:p w14:paraId="470575CB" w14:textId="77777777" w:rsidR="006514DB" w:rsidRPr="00FD6CDE" w:rsidRDefault="006514DB" w:rsidP="00117478">
            <w:pPr>
              <w:suppressLineNumbers/>
              <w:suppressAutoHyphens/>
              <w:kinsoku w:val="0"/>
              <w:overflowPunct w:val="0"/>
              <w:autoSpaceDE w:val="0"/>
              <w:autoSpaceDN w:val="0"/>
              <w:snapToGrid w:val="0"/>
              <w:jc w:val="center"/>
              <w:rPr>
                <w:b/>
                <w:snapToGrid w:val="0"/>
                <w:kern w:val="22"/>
                <w:sz w:val="20"/>
                <w:szCs w:val="20"/>
              </w:rPr>
            </w:pPr>
            <w:r w:rsidRPr="00FD6CDE">
              <w:rPr>
                <w:b/>
                <w:snapToGrid w:val="0"/>
                <w:kern w:val="22"/>
                <w:sz w:val="20"/>
                <w:szCs w:val="20"/>
              </w:rPr>
              <w:t>C6</w:t>
            </w:r>
          </w:p>
        </w:tc>
        <w:tc>
          <w:tcPr>
            <w:tcW w:w="507" w:type="dxa"/>
          </w:tcPr>
          <w:p w14:paraId="3784C1CA" w14:textId="77777777" w:rsidR="006514DB" w:rsidRPr="00FD6CDE" w:rsidRDefault="006514DB" w:rsidP="00117478">
            <w:pPr>
              <w:suppressLineNumbers/>
              <w:suppressAutoHyphens/>
              <w:kinsoku w:val="0"/>
              <w:overflowPunct w:val="0"/>
              <w:autoSpaceDE w:val="0"/>
              <w:autoSpaceDN w:val="0"/>
              <w:snapToGrid w:val="0"/>
              <w:jc w:val="center"/>
              <w:rPr>
                <w:b/>
                <w:snapToGrid w:val="0"/>
                <w:kern w:val="22"/>
                <w:sz w:val="20"/>
                <w:szCs w:val="20"/>
              </w:rPr>
            </w:pPr>
            <w:r w:rsidRPr="00FD6CDE">
              <w:rPr>
                <w:b/>
                <w:snapToGrid w:val="0"/>
                <w:kern w:val="22"/>
                <w:sz w:val="20"/>
                <w:szCs w:val="20"/>
              </w:rPr>
              <w:t>C7</w:t>
            </w:r>
          </w:p>
        </w:tc>
      </w:tr>
      <w:tr w:rsidR="006514DB" w:rsidRPr="00FD6CDE" w14:paraId="652DD17D" w14:textId="77777777" w:rsidTr="00117478">
        <w:trPr>
          <w:trHeight w:val="264"/>
          <w:tblHeader/>
        </w:trPr>
        <w:tc>
          <w:tcPr>
            <w:tcW w:w="9687" w:type="dxa"/>
            <w:vMerge/>
            <w:shd w:val="clear" w:color="auto" w:fill="auto"/>
          </w:tcPr>
          <w:p w14:paraId="7A00BDA4" w14:textId="77777777" w:rsidR="006514DB" w:rsidRPr="00FD6CDE" w:rsidRDefault="006514DB" w:rsidP="00117478">
            <w:pPr>
              <w:suppressLineNumbers/>
              <w:suppressAutoHyphens/>
              <w:kinsoku w:val="0"/>
              <w:overflowPunct w:val="0"/>
              <w:autoSpaceDE w:val="0"/>
              <w:autoSpaceDN w:val="0"/>
              <w:snapToGrid w:val="0"/>
              <w:jc w:val="center"/>
              <w:rPr>
                <w:b/>
                <w:snapToGrid w:val="0"/>
                <w:kern w:val="22"/>
                <w:sz w:val="20"/>
                <w:szCs w:val="20"/>
              </w:rPr>
            </w:pPr>
          </w:p>
        </w:tc>
        <w:tc>
          <w:tcPr>
            <w:tcW w:w="3543" w:type="dxa"/>
            <w:gridSpan w:val="7"/>
          </w:tcPr>
          <w:p w14:paraId="09783FA2" w14:textId="77777777" w:rsidR="006514DB" w:rsidRPr="00FD6CDE" w:rsidRDefault="006514DB" w:rsidP="00117478">
            <w:pPr>
              <w:suppressLineNumbers/>
              <w:suppressAutoHyphens/>
              <w:kinsoku w:val="0"/>
              <w:overflowPunct w:val="0"/>
              <w:autoSpaceDE w:val="0"/>
              <w:autoSpaceDN w:val="0"/>
              <w:snapToGrid w:val="0"/>
              <w:jc w:val="center"/>
              <w:rPr>
                <w:b/>
                <w:snapToGrid w:val="0"/>
                <w:kern w:val="22"/>
                <w:sz w:val="20"/>
                <w:szCs w:val="20"/>
              </w:rPr>
            </w:pPr>
            <w:r w:rsidRPr="00FD6CDE">
              <w:rPr>
                <w:snapToGrid w:val="0"/>
                <w:kern w:val="22"/>
                <w:sz w:val="20"/>
                <w:szCs w:val="20"/>
              </w:rPr>
              <w:t>See the above key to the tables</w:t>
            </w:r>
          </w:p>
        </w:tc>
      </w:tr>
      <w:tr w:rsidR="006514DB" w:rsidRPr="00FD6CDE" w14:paraId="2F70DC85" w14:textId="77777777" w:rsidTr="00117478">
        <w:tc>
          <w:tcPr>
            <w:tcW w:w="9687" w:type="dxa"/>
            <w:shd w:val="clear" w:color="auto" w:fill="auto"/>
          </w:tcPr>
          <w:p w14:paraId="29CA859F" w14:textId="77777777" w:rsidR="006514DB" w:rsidRPr="00FD6CDE" w:rsidRDefault="006514DB" w:rsidP="00117478">
            <w:pPr>
              <w:suppressLineNumbers/>
              <w:suppressAutoHyphens/>
              <w:kinsoku w:val="0"/>
              <w:overflowPunct w:val="0"/>
              <w:autoSpaceDE w:val="0"/>
              <w:autoSpaceDN w:val="0"/>
              <w:snapToGrid w:val="0"/>
              <w:rPr>
                <w:b/>
                <w:snapToGrid w:val="0"/>
                <w:kern w:val="22"/>
                <w:sz w:val="20"/>
                <w:szCs w:val="20"/>
              </w:rPr>
            </w:pPr>
            <w:r w:rsidRPr="00FD6CDE">
              <w:rPr>
                <w:b/>
                <w:snapToGrid w:val="0"/>
                <w:kern w:val="22"/>
                <w:sz w:val="20"/>
                <w:szCs w:val="20"/>
              </w:rPr>
              <w:t>1. Danish Skagerrak</w:t>
            </w:r>
          </w:p>
          <w:p w14:paraId="5974FD1A" w14:textId="77777777" w:rsidR="006514DB" w:rsidRPr="00FD6CDE" w:rsidRDefault="006514DB" w:rsidP="006514DB">
            <w:pPr>
              <w:numPr>
                <w:ilvl w:val="0"/>
                <w:numId w:val="3"/>
              </w:numPr>
              <w:suppressLineNumbers/>
              <w:suppressAutoHyphens/>
              <w:kinsoku w:val="0"/>
              <w:overflowPunct w:val="0"/>
              <w:autoSpaceDE w:val="0"/>
              <w:autoSpaceDN w:val="0"/>
              <w:rPr>
                <w:snapToGrid w:val="0"/>
                <w:kern w:val="22"/>
                <w:sz w:val="20"/>
                <w:szCs w:val="20"/>
              </w:rPr>
            </w:pPr>
            <w:r w:rsidRPr="00FD6CDE">
              <w:rPr>
                <w:snapToGrid w:val="0"/>
                <w:kern w:val="22"/>
                <w:sz w:val="20"/>
                <w:szCs w:val="20"/>
              </w:rPr>
              <w:t>Location: This area is situated in the Danish part of the Skagerrak. The area reaches westwards to 6°45’E, to Skagen, the northern tip of Jutland, and stretches northeast from Skagen. It comprises an area of 7,876 km</w:t>
            </w:r>
            <w:r w:rsidRPr="00FD6CDE">
              <w:rPr>
                <w:snapToGrid w:val="0"/>
                <w:kern w:val="22"/>
                <w:sz w:val="20"/>
                <w:szCs w:val="20"/>
                <w:vertAlign w:val="superscript"/>
              </w:rPr>
              <w:t>2</w:t>
            </w:r>
            <w:r w:rsidRPr="00FD6CDE">
              <w:rPr>
                <w:snapToGrid w:val="0"/>
                <w:kern w:val="22"/>
                <w:sz w:val="20"/>
                <w:szCs w:val="20"/>
              </w:rPr>
              <w:t xml:space="preserve"> and reaches depths from the coastline to 465m. The northern and western parts cover the southern reach of the Norwegian Trench.</w:t>
            </w:r>
          </w:p>
          <w:p w14:paraId="781EAE33" w14:textId="77777777" w:rsidR="006514DB" w:rsidRPr="00FD6CDE" w:rsidRDefault="006514DB" w:rsidP="006514DB">
            <w:pPr>
              <w:numPr>
                <w:ilvl w:val="0"/>
                <w:numId w:val="3"/>
              </w:numPr>
              <w:suppressLineNumbers/>
              <w:suppressAutoHyphens/>
              <w:kinsoku w:val="0"/>
              <w:overflowPunct w:val="0"/>
              <w:autoSpaceDE w:val="0"/>
              <w:autoSpaceDN w:val="0"/>
              <w:rPr>
                <w:snapToGrid w:val="0"/>
                <w:kern w:val="22"/>
                <w:sz w:val="20"/>
                <w:szCs w:val="20"/>
              </w:rPr>
            </w:pPr>
            <w:r w:rsidRPr="00FD6CDE">
              <w:rPr>
                <w:snapToGrid w:val="0"/>
                <w:kern w:val="22"/>
                <w:sz w:val="20"/>
                <w:szCs w:val="20"/>
              </w:rPr>
              <w:t xml:space="preserve">This area focuses on a highly productive upwelling zone along the southern edge of the Norwegian Trench. This area has high fish biomass and diversity, and the upwelling zone also provides valuable feeding grounds for </w:t>
            </w:r>
            <w:proofErr w:type="gramStart"/>
            <w:r w:rsidRPr="00FD6CDE">
              <w:rPr>
                <w:snapToGrid w:val="0"/>
                <w:kern w:val="22"/>
                <w:sz w:val="20"/>
                <w:szCs w:val="20"/>
              </w:rPr>
              <w:t>a number of</w:t>
            </w:r>
            <w:proofErr w:type="gramEnd"/>
            <w:r w:rsidRPr="00FD6CDE">
              <w:rPr>
                <w:snapToGrid w:val="0"/>
                <w:kern w:val="22"/>
                <w:sz w:val="20"/>
                <w:szCs w:val="20"/>
              </w:rPr>
              <w:t xml:space="preserve"> cetacean and bird species.</w:t>
            </w:r>
          </w:p>
        </w:tc>
        <w:tc>
          <w:tcPr>
            <w:tcW w:w="506" w:type="dxa"/>
            <w:vAlign w:val="center"/>
          </w:tcPr>
          <w:p w14:paraId="4C0DDFF9"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4B5640A1"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46FA2CEA"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M</w:t>
            </w:r>
          </w:p>
        </w:tc>
        <w:tc>
          <w:tcPr>
            <w:tcW w:w="506" w:type="dxa"/>
            <w:vAlign w:val="center"/>
          </w:tcPr>
          <w:p w14:paraId="0699F157"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L</w:t>
            </w:r>
          </w:p>
        </w:tc>
        <w:tc>
          <w:tcPr>
            <w:tcW w:w="506" w:type="dxa"/>
            <w:vAlign w:val="center"/>
          </w:tcPr>
          <w:p w14:paraId="5ACC5266"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6B81EAF1"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M</w:t>
            </w:r>
          </w:p>
        </w:tc>
        <w:tc>
          <w:tcPr>
            <w:tcW w:w="507" w:type="dxa"/>
            <w:vAlign w:val="center"/>
          </w:tcPr>
          <w:p w14:paraId="721F2239"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L</w:t>
            </w:r>
          </w:p>
        </w:tc>
      </w:tr>
      <w:tr w:rsidR="006514DB" w:rsidRPr="00FD6CDE" w14:paraId="33C3495F" w14:textId="77777777" w:rsidTr="00117478">
        <w:tc>
          <w:tcPr>
            <w:tcW w:w="9687" w:type="dxa"/>
            <w:shd w:val="clear" w:color="auto" w:fill="auto"/>
          </w:tcPr>
          <w:p w14:paraId="17C89EE1" w14:textId="77777777" w:rsidR="006514DB" w:rsidRPr="00FD6CDE" w:rsidRDefault="006514DB" w:rsidP="00117478">
            <w:pPr>
              <w:suppressLineNumbers/>
              <w:suppressAutoHyphens/>
              <w:kinsoku w:val="0"/>
              <w:overflowPunct w:val="0"/>
              <w:autoSpaceDE w:val="0"/>
              <w:autoSpaceDN w:val="0"/>
              <w:snapToGrid w:val="0"/>
              <w:rPr>
                <w:b/>
                <w:snapToGrid w:val="0"/>
                <w:kern w:val="22"/>
                <w:sz w:val="20"/>
                <w:szCs w:val="20"/>
              </w:rPr>
            </w:pPr>
            <w:r w:rsidRPr="00FD6CDE">
              <w:rPr>
                <w:b/>
                <w:snapToGrid w:val="0"/>
                <w:kern w:val="22"/>
                <w:sz w:val="20"/>
                <w:szCs w:val="20"/>
              </w:rPr>
              <w:t>2. Danish Kattegat</w:t>
            </w:r>
          </w:p>
          <w:p w14:paraId="0683D8EF" w14:textId="77777777" w:rsidR="006514DB" w:rsidRPr="00FD6CDE" w:rsidRDefault="006514DB" w:rsidP="006514DB">
            <w:pPr>
              <w:numPr>
                <w:ilvl w:val="0"/>
                <w:numId w:val="3"/>
              </w:numPr>
              <w:suppressLineNumbers/>
              <w:suppressAutoHyphens/>
              <w:kinsoku w:val="0"/>
              <w:overflowPunct w:val="0"/>
              <w:autoSpaceDE w:val="0"/>
              <w:autoSpaceDN w:val="0"/>
              <w:rPr>
                <w:snapToGrid w:val="0"/>
                <w:kern w:val="22"/>
                <w:sz w:val="20"/>
                <w:szCs w:val="20"/>
              </w:rPr>
            </w:pPr>
            <w:r w:rsidRPr="00FD6CDE">
              <w:rPr>
                <w:snapToGrid w:val="0"/>
                <w:kern w:val="22"/>
                <w:sz w:val="20"/>
                <w:szCs w:val="20"/>
              </w:rPr>
              <w:t xml:space="preserve">Location: The Kattegat area comprises the northern part of the inner Danish waters. It is bordered to the south by the north coast of </w:t>
            </w:r>
            <w:proofErr w:type="spellStart"/>
            <w:r w:rsidRPr="00FD6CDE">
              <w:rPr>
                <w:snapToGrid w:val="0"/>
                <w:kern w:val="22"/>
                <w:sz w:val="20"/>
                <w:szCs w:val="20"/>
              </w:rPr>
              <w:t>Sealand</w:t>
            </w:r>
            <w:proofErr w:type="spellEnd"/>
            <w:r w:rsidRPr="00FD6CDE">
              <w:rPr>
                <w:snapToGrid w:val="0"/>
                <w:kern w:val="22"/>
                <w:sz w:val="20"/>
                <w:szCs w:val="20"/>
              </w:rPr>
              <w:t>, to the west by the northeast Jutland coast, to the east by the Danish-Swedish border and to the north by a line from the northernmost point of Denmark to the northeast. It covers a total area of 14,995 km</w:t>
            </w:r>
            <w:r w:rsidRPr="00FD6CDE">
              <w:rPr>
                <w:snapToGrid w:val="0"/>
                <w:kern w:val="22"/>
                <w:sz w:val="20"/>
                <w:szCs w:val="20"/>
                <w:vertAlign w:val="superscript"/>
              </w:rPr>
              <w:t>2</w:t>
            </w:r>
            <w:r w:rsidRPr="00FD6CDE">
              <w:rPr>
                <w:snapToGrid w:val="0"/>
                <w:kern w:val="22"/>
                <w:sz w:val="20"/>
                <w:szCs w:val="20"/>
              </w:rPr>
              <w:t xml:space="preserve">. The existing EBSA (Area no. 9: </w:t>
            </w:r>
            <w:proofErr w:type="spellStart"/>
            <w:r w:rsidRPr="00FD6CDE">
              <w:rPr>
                <w:snapToGrid w:val="0"/>
                <w:kern w:val="22"/>
                <w:sz w:val="20"/>
                <w:szCs w:val="20"/>
              </w:rPr>
              <w:t>Fladen</w:t>
            </w:r>
            <w:proofErr w:type="spellEnd"/>
            <w:r w:rsidRPr="00FD6CDE">
              <w:rPr>
                <w:snapToGrid w:val="0"/>
                <w:kern w:val="22"/>
                <w:sz w:val="20"/>
                <w:szCs w:val="20"/>
              </w:rPr>
              <w:t xml:space="preserve"> and Stora and Lille </w:t>
            </w:r>
            <w:proofErr w:type="spellStart"/>
            <w:r w:rsidRPr="00FD6CDE">
              <w:rPr>
                <w:snapToGrid w:val="0"/>
                <w:kern w:val="22"/>
                <w:sz w:val="20"/>
                <w:szCs w:val="20"/>
              </w:rPr>
              <w:t>Middelgrund</w:t>
            </w:r>
            <w:proofErr w:type="spellEnd"/>
            <w:r w:rsidRPr="00FD6CDE">
              <w:rPr>
                <w:snapToGrid w:val="0"/>
                <w:kern w:val="22"/>
                <w:sz w:val="20"/>
                <w:szCs w:val="20"/>
              </w:rPr>
              <w:t xml:space="preserve">), described in the CBD regional EBSA workshop for the Baltic Sea, borders this area </w:t>
            </w:r>
            <w:r w:rsidRPr="00FD6CDE">
              <w:rPr>
                <w:rFonts w:eastAsia="MS Mincho"/>
                <w:sz w:val="20"/>
                <w:szCs w:val="20"/>
              </w:rPr>
              <w:t xml:space="preserve">(see workshop report here: </w:t>
            </w:r>
            <w:hyperlink r:id="rId28" w:history="1">
              <w:r w:rsidRPr="00FD6CDE">
                <w:rPr>
                  <w:rStyle w:val="Hyperlink"/>
                  <w:sz w:val="20"/>
                  <w:szCs w:val="20"/>
                </w:rPr>
                <w:t>https://www.cbd.int/doc/c/aa9a/bde9/eaf24f73bd471d64e8094722/ebsa-ws-2018-01-04-en.pdf</w:t>
              </w:r>
            </w:hyperlink>
            <w:r w:rsidRPr="00FD6CDE">
              <w:rPr>
                <w:sz w:val="20"/>
                <w:szCs w:val="20"/>
              </w:rPr>
              <w:t>)</w:t>
            </w:r>
            <w:r w:rsidRPr="00FD6CDE">
              <w:rPr>
                <w:snapToGrid w:val="0"/>
                <w:kern w:val="22"/>
                <w:sz w:val="20"/>
                <w:szCs w:val="20"/>
              </w:rPr>
              <w:t>.</w:t>
            </w:r>
          </w:p>
          <w:p w14:paraId="0B260F56" w14:textId="77777777" w:rsidR="006514DB" w:rsidRPr="00FD6CDE" w:rsidRDefault="006514DB" w:rsidP="006514DB">
            <w:pPr>
              <w:numPr>
                <w:ilvl w:val="0"/>
                <w:numId w:val="3"/>
              </w:numPr>
              <w:suppressLineNumbers/>
              <w:suppressAutoHyphens/>
              <w:kinsoku w:val="0"/>
              <w:overflowPunct w:val="0"/>
              <w:autoSpaceDE w:val="0"/>
              <w:autoSpaceDN w:val="0"/>
              <w:rPr>
                <w:snapToGrid w:val="0"/>
                <w:kern w:val="22"/>
                <w:sz w:val="20"/>
                <w:szCs w:val="20"/>
              </w:rPr>
            </w:pPr>
            <w:r w:rsidRPr="00FD6CDE">
              <w:rPr>
                <w:snapToGrid w:val="0"/>
                <w:kern w:val="22"/>
                <w:sz w:val="20"/>
                <w:szCs w:val="20"/>
              </w:rPr>
              <w:t xml:space="preserve">The Danish part of Kattegat hosts a landscape comprising shallow sandy flats, deeper muddy channels and areas with boulder reefs and bubbling reefs. The area has a diverse avifauna, with elements from pelagic environments in the North Sea, as well as wintering birds from breeding grounds in the Russian Federation and Scandinavia. Parts of the area are difficult to access for human activities and thus serve as valuable moulting sites for </w:t>
            </w:r>
            <w:proofErr w:type="spellStart"/>
            <w:r w:rsidRPr="00FD6CDE">
              <w:rPr>
                <w:snapToGrid w:val="0"/>
                <w:kern w:val="22"/>
                <w:sz w:val="20"/>
                <w:szCs w:val="20"/>
              </w:rPr>
              <w:t>seaducks</w:t>
            </w:r>
            <w:proofErr w:type="spellEnd"/>
            <w:r w:rsidRPr="00FD6CDE">
              <w:rPr>
                <w:snapToGrid w:val="0"/>
                <w:kern w:val="22"/>
                <w:sz w:val="20"/>
                <w:szCs w:val="20"/>
              </w:rPr>
              <w:t xml:space="preserve">, such as common scoter and velvet scoter. The area is a meeting site for two subpopulations of harbour porpoise. Eelgrass meadows exist here, although they are smaller than they were in the year 1900. Seaweed forests and rich fauna are found on boulder reefs and bubbling reefs in this area, and infauna communities have high biomasses. Horse-mussel beds are found primarily in the southern part of Kattegat, where they form biogenic reef structures. </w:t>
            </w:r>
            <w:proofErr w:type="spellStart"/>
            <w:r w:rsidRPr="00FD6CDE">
              <w:rPr>
                <w:rFonts w:eastAsia="MS Mincho"/>
                <w:i/>
                <w:sz w:val="20"/>
                <w:szCs w:val="20"/>
              </w:rPr>
              <w:t>Haploops</w:t>
            </w:r>
            <w:proofErr w:type="spellEnd"/>
            <w:r w:rsidRPr="00FD6CDE">
              <w:rPr>
                <w:rFonts w:eastAsia="MS Mincho"/>
                <w:i/>
                <w:sz w:val="20"/>
                <w:szCs w:val="20"/>
              </w:rPr>
              <w:t xml:space="preserve"> </w:t>
            </w:r>
            <w:proofErr w:type="spellStart"/>
            <w:r w:rsidRPr="00FD6CDE">
              <w:rPr>
                <w:rFonts w:eastAsia="MS Mincho"/>
                <w:i/>
                <w:sz w:val="20"/>
                <w:szCs w:val="20"/>
              </w:rPr>
              <w:t>tubicola</w:t>
            </w:r>
            <w:proofErr w:type="spellEnd"/>
            <w:r w:rsidRPr="00FD6CDE">
              <w:rPr>
                <w:rFonts w:eastAsia="MS Mincho"/>
                <w:i/>
                <w:sz w:val="20"/>
                <w:szCs w:val="20"/>
              </w:rPr>
              <w:t xml:space="preserve">, </w:t>
            </w:r>
            <w:r w:rsidRPr="00FD6CDE">
              <w:rPr>
                <w:rFonts w:eastAsia="MS Mincho"/>
                <w:sz w:val="20"/>
                <w:szCs w:val="20"/>
              </w:rPr>
              <w:t>a</w:t>
            </w:r>
            <w:r w:rsidRPr="00FD6CDE">
              <w:rPr>
                <w:snapToGrid w:val="0"/>
                <w:kern w:val="22"/>
                <w:sz w:val="20"/>
                <w:szCs w:val="20"/>
              </w:rPr>
              <w:t xml:space="preserve"> small crustacean, is present in the area, but no longer forms a specific habitat with high densities.</w:t>
            </w:r>
          </w:p>
        </w:tc>
        <w:tc>
          <w:tcPr>
            <w:tcW w:w="506" w:type="dxa"/>
            <w:vAlign w:val="center"/>
          </w:tcPr>
          <w:p w14:paraId="4E2706CC"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4A3C8E8F"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1035E49C"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7E8FF448"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739B7686"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M</w:t>
            </w:r>
          </w:p>
        </w:tc>
        <w:tc>
          <w:tcPr>
            <w:tcW w:w="506" w:type="dxa"/>
            <w:vAlign w:val="center"/>
          </w:tcPr>
          <w:p w14:paraId="2E1EE300"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M</w:t>
            </w:r>
          </w:p>
        </w:tc>
        <w:tc>
          <w:tcPr>
            <w:tcW w:w="507" w:type="dxa"/>
            <w:vAlign w:val="center"/>
          </w:tcPr>
          <w:p w14:paraId="71F73543"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M</w:t>
            </w:r>
          </w:p>
        </w:tc>
      </w:tr>
      <w:tr w:rsidR="006514DB" w:rsidRPr="00FD6CDE" w14:paraId="3EF0DE29" w14:textId="77777777" w:rsidTr="00117478">
        <w:tc>
          <w:tcPr>
            <w:tcW w:w="9687" w:type="dxa"/>
            <w:shd w:val="clear" w:color="auto" w:fill="auto"/>
          </w:tcPr>
          <w:p w14:paraId="65E28911" w14:textId="77777777" w:rsidR="006514DB" w:rsidRPr="00FD6CDE" w:rsidRDefault="006514DB" w:rsidP="00117478">
            <w:pPr>
              <w:pStyle w:val="Para1"/>
              <w:numPr>
                <w:ilvl w:val="0"/>
                <w:numId w:val="0"/>
              </w:numPr>
              <w:suppressLineNumbers/>
              <w:suppressAutoHyphens/>
              <w:kinsoku w:val="0"/>
              <w:overflowPunct w:val="0"/>
              <w:autoSpaceDE w:val="0"/>
              <w:autoSpaceDN w:val="0"/>
              <w:rPr>
                <w:b/>
                <w:kern w:val="22"/>
                <w:sz w:val="20"/>
                <w:szCs w:val="20"/>
              </w:rPr>
            </w:pPr>
            <w:r w:rsidRPr="00FD6CDE">
              <w:rPr>
                <w:b/>
                <w:kern w:val="22"/>
                <w:sz w:val="20"/>
                <w:szCs w:val="20"/>
              </w:rPr>
              <w:t>3. Cantabrian Sea (Southern Bay of Biscay)</w:t>
            </w:r>
          </w:p>
          <w:p w14:paraId="3EB13CEC" w14:textId="77777777" w:rsidR="006514DB" w:rsidRPr="00FD6CDE" w:rsidRDefault="006514DB" w:rsidP="006514DB">
            <w:pPr>
              <w:numPr>
                <w:ilvl w:val="0"/>
                <w:numId w:val="7"/>
              </w:numPr>
              <w:suppressLineNumbers/>
              <w:suppressAutoHyphens/>
              <w:kinsoku w:val="0"/>
              <w:overflowPunct w:val="0"/>
              <w:autoSpaceDE w:val="0"/>
              <w:autoSpaceDN w:val="0"/>
              <w:adjustRightInd w:val="0"/>
              <w:snapToGrid w:val="0"/>
              <w:rPr>
                <w:snapToGrid w:val="0"/>
                <w:color w:val="000000"/>
                <w:kern w:val="22"/>
                <w:sz w:val="20"/>
                <w:szCs w:val="20"/>
              </w:rPr>
            </w:pPr>
            <w:r w:rsidRPr="00FD6CDE">
              <w:rPr>
                <w:snapToGrid w:val="0"/>
                <w:kern w:val="22"/>
                <w:sz w:val="20"/>
                <w:szCs w:val="20"/>
              </w:rPr>
              <w:t xml:space="preserve">Location: The area </w:t>
            </w:r>
            <w:proofErr w:type="gramStart"/>
            <w:r w:rsidRPr="00FD6CDE">
              <w:rPr>
                <w:snapToGrid w:val="0"/>
                <w:kern w:val="22"/>
                <w:sz w:val="20"/>
                <w:szCs w:val="20"/>
              </w:rPr>
              <w:t>is located in</w:t>
            </w:r>
            <w:proofErr w:type="gramEnd"/>
            <w:r w:rsidRPr="00FD6CDE">
              <w:rPr>
                <w:snapToGrid w:val="0"/>
                <w:kern w:val="22"/>
                <w:sz w:val="20"/>
                <w:szCs w:val="20"/>
              </w:rPr>
              <w:t xml:space="preserve"> the south of the Bay of Biscay and is bounded by the parallels 43º 25'N and 45º 00'N and meridians 2º 10'W and 7º 00'W. The feature for which this area is described also extends eastwards and northwards, beyond the boundaries currently described.</w:t>
            </w:r>
          </w:p>
          <w:p w14:paraId="307B0B38" w14:textId="77777777" w:rsidR="006514DB" w:rsidRPr="00FD6CDE" w:rsidRDefault="006514DB" w:rsidP="006514DB">
            <w:pPr>
              <w:numPr>
                <w:ilvl w:val="0"/>
                <w:numId w:val="7"/>
              </w:numPr>
              <w:suppressLineNumbers/>
              <w:suppressAutoHyphens/>
              <w:kinsoku w:val="0"/>
              <w:overflowPunct w:val="0"/>
              <w:autoSpaceDE w:val="0"/>
              <w:autoSpaceDN w:val="0"/>
              <w:adjustRightInd w:val="0"/>
              <w:snapToGrid w:val="0"/>
              <w:rPr>
                <w:snapToGrid w:val="0"/>
                <w:color w:val="000000"/>
                <w:kern w:val="22"/>
                <w:sz w:val="20"/>
                <w:szCs w:val="20"/>
              </w:rPr>
            </w:pPr>
            <w:r w:rsidRPr="00FD6CDE">
              <w:rPr>
                <w:rFonts w:eastAsia="MS Mincho"/>
                <w:snapToGrid w:val="0"/>
                <w:kern w:val="22"/>
                <w:sz w:val="20"/>
                <w:szCs w:val="20"/>
              </w:rPr>
              <w:t xml:space="preserve">The Cantabrian Sea ecosystem includes the continental shelf and slope and the deep abyssal basin (5000 m water depth) located along the northern border of the Iberian Peninsula (Southern Bay of Biscay), from the </w:t>
            </w:r>
            <w:proofErr w:type="spellStart"/>
            <w:r w:rsidRPr="00FD6CDE">
              <w:rPr>
                <w:rFonts w:eastAsia="MS Mincho"/>
                <w:snapToGrid w:val="0"/>
                <w:kern w:val="22"/>
                <w:sz w:val="20"/>
                <w:szCs w:val="20"/>
              </w:rPr>
              <w:t>Capbreton</w:t>
            </w:r>
            <w:proofErr w:type="spellEnd"/>
            <w:r w:rsidRPr="00FD6CDE">
              <w:rPr>
                <w:rFonts w:eastAsia="MS Mincho"/>
                <w:snapToGrid w:val="0"/>
                <w:kern w:val="22"/>
                <w:sz w:val="20"/>
                <w:szCs w:val="20"/>
              </w:rPr>
              <w:t xml:space="preserve"> Canyon head to </w:t>
            </w:r>
            <w:proofErr w:type="spellStart"/>
            <w:r w:rsidRPr="00FD6CDE">
              <w:rPr>
                <w:rFonts w:eastAsia="MS Mincho"/>
                <w:snapToGrid w:val="0"/>
                <w:kern w:val="22"/>
                <w:sz w:val="20"/>
                <w:szCs w:val="20"/>
              </w:rPr>
              <w:t>Estaca</w:t>
            </w:r>
            <w:proofErr w:type="spellEnd"/>
            <w:r w:rsidRPr="00FD6CDE">
              <w:rPr>
                <w:rFonts w:eastAsia="MS Mincho"/>
                <w:snapToGrid w:val="0"/>
                <w:kern w:val="22"/>
                <w:sz w:val="20"/>
                <w:szCs w:val="20"/>
              </w:rPr>
              <w:t xml:space="preserve"> de Bares Cape, on the Galician coast. It is a highly complex area, where the narrow </w:t>
            </w:r>
            <w:r w:rsidRPr="00FD6CDE">
              <w:rPr>
                <w:rFonts w:eastAsia="MS Mincho"/>
                <w:snapToGrid w:val="0"/>
                <w:kern w:val="22"/>
                <w:sz w:val="20"/>
                <w:szCs w:val="20"/>
              </w:rPr>
              <w:lastRenderedPageBreak/>
              <w:t xml:space="preserve">continental shelf is deeply affected by the action of tectonic compression. The area contains important geomorphological elements, such as large submarine canyons and seamounts. The hydrology is also complex due to the interaction between waters formed in the Atlantic and waters of Mediterranean origin. </w:t>
            </w:r>
            <w:bookmarkStart w:id="0" w:name="_Hlk21006779"/>
            <w:r w:rsidRPr="00FD6CDE">
              <w:rPr>
                <w:rFonts w:eastAsia="MS Mincho"/>
                <w:snapToGrid w:val="0"/>
                <w:kern w:val="22"/>
                <w:sz w:val="20"/>
                <w:szCs w:val="20"/>
              </w:rPr>
              <w:t>This area includes a variety of benthic habitats, including habitats that are considered hotspots of biodiversity. These habitats serve as spawning grounds for several commercial species. The area also contains habitats for endangered, threatened and declining species and for migratory pelagic species, including cetaceans.</w:t>
            </w:r>
            <w:bookmarkEnd w:id="0"/>
          </w:p>
        </w:tc>
        <w:tc>
          <w:tcPr>
            <w:tcW w:w="506" w:type="dxa"/>
            <w:vAlign w:val="center"/>
          </w:tcPr>
          <w:p w14:paraId="7B6A22E1"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lastRenderedPageBreak/>
              <w:t>H</w:t>
            </w:r>
          </w:p>
        </w:tc>
        <w:tc>
          <w:tcPr>
            <w:tcW w:w="506" w:type="dxa"/>
            <w:vAlign w:val="center"/>
          </w:tcPr>
          <w:p w14:paraId="31C91324"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09F01A3B"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5B2B0E37"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1DCD4A72"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67ADB18E"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7" w:type="dxa"/>
            <w:vAlign w:val="center"/>
          </w:tcPr>
          <w:p w14:paraId="0D8192FE"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L</w:t>
            </w:r>
          </w:p>
        </w:tc>
      </w:tr>
      <w:tr w:rsidR="006514DB" w:rsidRPr="00FD6CDE" w14:paraId="2600A7CB" w14:textId="77777777" w:rsidTr="00117478">
        <w:tc>
          <w:tcPr>
            <w:tcW w:w="9687" w:type="dxa"/>
            <w:shd w:val="clear" w:color="auto" w:fill="auto"/>
          </w:tcPr>
          <w:p w14:paraId="3987941A" w14:textId="77777777" w:rsidR="006514DB" w:rsidRPr="00FD6CDE" w:rsidRDefault="006514DB" w:rsidP="00117478">
            <w:pPr>
              <w:suppressLineNumbers/>
              <w:suppressAutoHyphens/>
              <w:kinsoku w:val="0"/>
              <w:overflowPunct w:val="0"/>
              <w:autoSpaceDE w:val="0"/>
              <w:autoSpaceDN w:val="0"/>
              <w:snapToGrid w:val="0"/>
              <w:rPr>
                <w:b/>
                <w:snapToGrid w:val="0"/>
                <w:kern w:val="22"/>
                <w:sz w:val="20"/>
                <w:szCs w:val="20"/>
              </w:rPr>
            </w:pPr>
            <w:r w:rsidRPr="00FD6CDE">
              <w:rPr>
                <w:b/>
                <w:snapToGrid w:val="0"/>
                <w:kern w:val="22"/>
                <w:sz w:val="20"/>
                <w:szCs w:val="20"/>
              </w:rPr>
              <w:t>4. West Iberian Canyons and Banks</w:t>
            </w:r>
          </w:p>
          <w:p w14:paraId="21496EAE" w14:textId="77777777" w:rsidR="006514DB" w:rsidRPr="00FD6CDE" w:rsidRDefault="006514DB" w:rsidP="006514DB">
            <w:pPr>
              <w:pStyle w:val="ListParagraph"/>
              <w:numPr>
                <w:ilvl w:val="0"/>
                <w:numId w:val="15"/>
              </w:numPr>
              <w:suppressLineNumbers/>
              <w:suppressAutoHyphens/>
              <w:kinsoku w:val="0"/>
              <w:overflowPunct w:val="0"/>
              <w:autoSpaceDE w:val="0"/>
              <w:autoSpaceDN w:val="0"/>
              <w:ind w:left="395"/>
              <w:rPr>
                <w:snapToGrid w:val="0"/>
                <w:kern w:val="22"/>
                <w:sz w:val="20"/>
                <w:szCs w:val="20"/>
              </w:rPr>
            </w:pPr>
            <w:r w:rsidRPr="00FD6CDE">
              <w:rPr>
                <w:snapToGrid w:val="0"/>
                <w:kern w:val="22"/>
                <w:sz w:val="20"/>
                <w:szCs w:val="20"/>
              </w:rPr>
              <w:t xml:space="preserve">Location: The area </w:t>
            </w:r>
            <w:proofErr w:type="gramStart"/>
            <w:r w:rsidRPr="00FD6CDE">
              <w:rPr>
                <w:snapToGrid w:val="0"/>
                <w:kern w:val="22"/>
                <w:sz w:val="20"/>
                <w:szCs w:val="20"/>
              </w:rPr>
              <w:t>is located in</w:t>
            </w:r>
            <w:proofErr w:type="gramEnd"/>
            <w:r w:rsidRPr="00FD6CDE">
              <w:rPr>
                <w:snapToGrid w:val="0"/>
                <w:kern w:val="22"/>
                <w:sz w:val="20"/>
                <w:szCs w:val="20"/>
              </w:rPr>
              <w:t xml:space="preserve"> waters surrounding Portugal and Spain. Its total area is 189,239 km</w:t>
            </w:r>
            <w:r w:rsidRPr="00FD6CDE">
              <w:rPr>
                <w:snapToGrid w:val="0"/>
                <w:kern w:val="22"/>
                <w:sz w:val="20"/>
                <w:szCs w:val="20"/>
                <w:vertAlign w:val="superscript"/>
              </w:rPr>
              <w:t>2</w:t>
            </w:r>
            <w:r w:rsidRPr="00FD6CDE">
              <w:rPr>
                <w:snapToGrid w:val="0"/>
                <w:kern w:val="22"/>
                <w:sz w:val="20"/>
                <w:szCs w:val="20"/>
              </w:rPr>
              <w:t xml:space="preserve"> and is divided into three sections: </w:t>
            </w:r>
            <w:proofErr w:type="gramStart"/>
            <w:r w:rsidRPr="00FD6CDE">
              <w:rPr>
                <w:snapToGrid w:val="0"/>
                <w:kern w:val="22"/>
                <w:sz w:val="20"/>
                <w:szCs w:val="20"/>
              </w:rPr>
              <w:t>North Western</w:t>
            </w:r>
            <w:proofErr w:type="gramEnd"/>
            <w:r w:rsidRPr="00FD6CDE">
              <w:rPr>
                <w:snapToGrid w:val="0"/>
                <w:kern w:val="22"/>
                <w:sz w:val="20"/>
                <w:szCs w:val="20"/>
              </w:rPr>
              <w:t xml:space="preserve"> Iberian Peninsula, </w:t>
            </w:r>
            <w:proofErr w:type="spellStart"/>
            <w:r w:rsidRPr="00FD6CDE">
              <w:rPr>
                <w:snapToGrid w:val="0"/>
                <w:kern w:val="22"/>
                <w:sz w:val="20"/>
                <w:szCs w:val="20"/>
              </w:rPr>
              <w:t>Center</w:t>
            </w:r>
            <w:proofErr w:type="spellEnd"/>
            <w:r w:rsidRPr="00FD6CDE">
              <w:rPr>
                <w:snapToGrid w:val="0"/>
                <w:kern w:val="22"/>
                <w:sz w:val="20"/>
                <w:szCs w:val="20"/>
              </w:rPr>
              <w:t xml:space="preserve"> Western Iberian Peninsula and South Western Iberian Peninsula.</w:t>
            </w:r>
            <w:r w:rsidRPr="00FD6CDE">
              <w:rPr>
                <w:sz w:val="20"/>
                <w:szCs w:val="20"/>
              </w:rPr>
              <w:t xml:space="preserve"> </w:t>
            </w:r>
            <w:r w:rsidRPr="00FD6CDE">
              <w:rPr>
                <w:snapToGrid w:val="0"/>
                <w:kern w:val="22"/>
                <w:sz w:val="20"/>
                <w:szCs w:val="20"/>
              </w:rPr>
              <w:t xml:space="preserve">The area includes 12 submarine canyons, five </w:t>
            </w:r>
            <w:proofErr w:type="gramStart"/>
            <w:r w:rsidRPr="00FD6CDE">
              <w:rPr>
                <w:snapToGrid w:val="0"/>
                <w:kern w:val="22"/>
                <w:sz w:val="20"/>
                <w:szCs w:val="20"/>
              </w:rPr>
              <w:t>seamounts</w:t>
            </w:r>
            <w:proofErr w:type="gramEnd"/>
            <w:r w:rsidRPr="00FD6CDE">
              <w:rPr>
                <w:snapToGrid w:val="0"/>
                <w:kern w:val="22"/>
                <w:sz w:val="20"/>
                <w:szCs w:val="20"/>
              </w:rPr>
              <w:t xml:space="preserve"> structures, banks, islands and an archipelago.</w:t>
            </w:r>
          </w:p>
          <w:p w14:paraId="1927DCC2" w14:textId="77777777" w:rsidR="006514DB" w:rsidRPr="00FD6CDE" w:rsidRDefault="006514DB" w:rsidP="006514DB">
            <w:pPr>
              <w:pStyle w:val="ListParagraph"/>
              <w:numPr>
                <w:ilvl w:val="0"/>
                <w:numId w:val="15"/>
              </w:numPr>
              <w:suppressLineNumbers/>
              <w:suppressAutoHyphens/>
              <w:kinsoku w:val="0"/>
              <w:overflowPunct w:val="0"/>
              <w:autoSpaceDE w:val="0"/>
              <w:autoSpaceDN w:val="0"/>
              <w:ind w:left="395"/>
              <w:rPr>
                <w:snapToGrid w:val="0"/>
                <w:kern w:val="22"/>
                <w:sz w:val="20"/>
                <w:szCs w:val="20"/>
              </w:rPr>
            </w:pPr>
            <w:r w:rsidRPr="00FD6CDE">
              <w:rPr>
                <w:snapToGrid w:val="0"/>
                <w:kern w:val="22"/>
                <w:sz w:val="20"/>
                <w:szCs w:val="20"/>
              </w:rPr>
              <w:t xml:space="preserve">The area includes marine protected areas (including six OSPAR Marine Protected Areas), one UNESCO Biosphere Reserve, 12 Natura 2000 Sites of Community Interest and 10 Natura 2000 Special Protection Areas for seabirds. The area is divided into three sections: </w:t>
            </w:r>
            <w:proofErr w:type="gramStart"/>
            <w:r w:rsidRPr="00FD6CDE">
              <w:rPr>
                <w:snapToGrid w:val="0"/>
                <w:kern w:val="22"/>
                <w:sz w:val="20"/>
                <w:szCs w:val="20"/>
              </w:rPr>
              <w:t>North Western</w:t>
            </w:r>
            <w:proofErr w:type="gramEnd"/>
            <w:r w:rsidRPr="00FD6CDE">
              <w:rPr>
                <w:snapToGrid w:val="0"/>
                <w:kern w:val="22"/>
                <w:sz w:val="20"/>
                <w:szCs w:val="20"/>
              </w:rPr>
              <w:t>, Centre Western and South Western. The features in the area are hotspots of marine life, and they represent areas of enhanced productivity, especially when compared with surrounding areas. The area has a high diversity of benthic communities and spawning grounds for several species, and it is an important area for cetaceans. A total of 3,411 species are listed in the area, 11 per cent of which are protected under international or regional law.</w:t>
            </w:r>
            <w:r w:rsidRPr="00FD6CDE">
              <w:rPr>
                <w:rFonts w:eastAsia="MS Mincho"/>
                <w:snapToGrid w:val="0"/>
                <w:kern w:val="22"/>
                <w:sz w:val="20"/>
                <w:szCs w:val="20"/>
              </w:rPr>
              <w:t xml:space="preserve"> </w:t>
            </w:r>
          </w:p>
        </w:tc>
        <w:tc>
          <w:tcPr>
            <w:tcW w:w="506" w:type="dxa"/>
            <w:vAlign w:val="center"/>
          </w:tcPr>
          <w:p w14:paraId="294CC642"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015EAC45"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280381D3"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29983C51"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504ECB66"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79DDF3B0"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7" w:type="dxa"/>
            <w:vAlign w:val="center"/>
          </w:tcPr>
          <w:p w14:paraId="52DA912F"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L</w:t>
            </w:r>
          </w:p>
        </w:tc>
      </w:tr>
      <w:tr w:rsidR="006514DB" w:rsidRPr="00FD6CDE" w14:paraId="207FC835" w14:textId="77777777" w:rsidTr="00117478">
        <w:tc>
          <w:tcPr>
            <w:tcW w:w="9687" w:type="dxa"/>
            <w:shd w:val="clear" w:color="auto" w:fill="auto"/>
          </w:tcPr>
          <w:p w14:paraId="0231E9EC" w14:textId="77777777" w:rsidR="006514DB" w:rsidRPr="00FD6CDE" w:rsidRDefault="006514DB" w:rsidP="00117478">
            <w:pPr>
              <w:suppressLineNumbers/>
              <w:suppressAutoHyphens/>
              <w:kinsoku w:val="0"/>
              <w:overflowPunct w:val="0"/>
              <w:autoSpaceDE w:val="0"/>
              <w:autoSpaceDN w:val="0"/>
              <w:snapToGrid w:val="0"/>
              <w:rPr>
                <w:b/>
                <w:snapToGrid w:val="0"/>
                <w:kern w:val="22"/>
                <w:sz w:val="20"/>
                <w:szCs w:val="20"/>
              </w:rPr>
            </w:pPr>
            <w:r w:rsidRPr="00FD6CDE">
              <w:rPr>
                <w:b/>
                <w:snapToGrid w:val="0"/>
                <w:kern w:val="22"/>
                <w:sz w:val="20"/>
                <w:szCs w:val="20"/>
              </w:rPr>
              <w:t>5. Gulf of C</w:t>
            </w:r>
            <w:r w:rsidRPr="00FD6CDE">
              <w:rPr>
                <w:b/>
                <w:sz w:val="20"/>
                <w:szCs w:val="20"/>
              </w:rPr>
              <w:t>á</w:t>
            </w:r>
            <w:r w:rsidRPr="00FD6CDE">
              <w:rPr>
                <w:b/>
                <w:snapToGrid w:val="0"/>
                <w:kern w:val="22"/>
                <w:sz w:val="20"/>
                <w:szCs w:val="20"/>
              </w:rPr>
              <w:t>diz</w:t>
            </w:r>
          </w:p>
          <w:p w14:paraId="4FE7A7AC" w14:textId="77777777" w:rsidR="006514DB" w:rsidRPr="00FD6CDE" w:rsidRDefault="006514DB" w:rsidP="006514DB">
            <w:pPr>
              <w:pStyle w:val="ListParagraph"/>
              <w:numPr>
                <w:ilvl w:val="0"/>
                <w:numId w:val="18"/>
              </w:numPr>
              <w:suppressLineNumbers/>
              <w:suppressAutoHyphens/>
              <w:kinsoku w:val="0"/>
              <w:overflowPunct w:val="0"/>
              <w:autoSpaceDE w:val="0"/>
              <w:autoSpaceDN w:val="0"/>
              <w:snapToGrid w:val="0"/>
              <w:ind w:left="395"/>
              <w:rPr>
                <w:rFonts w:eastAsia="MS Mincho"/>
                <w:snapToGrid w:val="0"/>
                <w:kern w:val="22"/>
                <w:sz w:val="20"/>
                <w:szCs w:val="20"/>
              </w:rPr>
            </w:pPr>
            <w:r w:rsidRPr="00FD6CDE">
              <w:rPr>
                <w:snapToGrid w:val="0"/>
                <w:kern w:val="22"/>
                <w:sz w:val="20"/>
                <w:szCs w:val="20"/>
              </w:rPr>
              <w:t xml:space="preserve">Location: </w:t>
            </w:r>
            <w:r w:rsidRPr="00FD6CDE">
              <w:rPr>
                <w:rFonts w:eastAsia="MS Mincho"/>
                <w:snapToGrid w:val="0"/>
                <w:kern w:val="22"/>
                <w:sz w:val="20"/>
                <w:szCs w:val="20"/>
              </w:rPr>
              <w:t xml:space="preserve">The area is located </w:t>
            </w:r>
            <w:r w:rsidRPr="00FD6CDE">
              <w:rPr>
                <w:sz w:val="20"/>
                <w:szCs w:val="20"/>
              </w:rPr>
              <w:t xml:space="preserve">to the southwest of the Iberian Peninsula. Its eastern boundary is the Strait of Gibraltar, on the western border of the Mediterranean Sea. It </w:t>
            </w:r>
            <w:r w:rsidRPr="00FD6CDE">
              <w:rPr>
                <w:rFonts w:eastAsia="MS Mincho"/>
                <w:snapToGrid w:val="0"/>
                <w:kern w:val="22"/>
                <w:sz w:val="20"/>
                <w:szCs w:val="20"/>
              </w:rPr>
              <w:t>is bounded by the parallels (37º 00'N and 35º 56'N) and meridians (6º 00'W and 7º 24'W).</w:t>
            </w:r>
          </w:p>
          <w:p w14:paraId="05186062" w14:textId="77777777" w:rsidR="006514DB" w:rsidRPr="00FD6CDE" w:rsidRDefault="006514DB" w:rsidP="006514DB">
            <w:pPr>
              <w:pStyle w:val="ListParagraph"/>
              <w:numPr>
                <w:ilvl w:val="0"/>
                <w:numId w:val="18"/>
              </w:numPr>
              <w:suppressLineNumbers/>
              <w:suppressAutoHyphens/>
              <w:kinsoku w:val="0"/>
              <w:overflowPunct w:val="0"/>
              <w:autoSpaceDE w:val="0"/>
              <w:autoSpaceDN w:val="0"/>
              <w:snapToGrid w:val="0"/>
              <w:ind w:left="395"/>
              <w:rPr>
                <w:rFonts w:eastAsia="MS Mincho"/>
                <w:snapToGrid w:val="0"/>
                <w:kern w:val="22"/>
                <w:sz w:val="20"/>
                <w:szCs w:val="20"/>
              </w:rPr>
            </w:pPr>
            <w:r w:rsidRPr="00FD6CDE">
              <w:rPr>
                <w:rFonts w:eastAsia="MS Mincho"/>
                <w:snapToGrid w:val="0"/>
                <w:kern w:val="22"/>
                <w:sz w:val="20"/>
                <w:szCs w:val="20"/>
              </w:rPr>
              <w:t xml:space="preserve">The area is very structurally complex and contains important geomorphological elements such as large submarine canyons and seamounts. The hydrology is also complex due to the interaction between waters formed in the Atlantic and waters of Mediterranean origin. This area includes a variety of benthic habitats, both on soft and rocky bottoms, </w:t>
            </w:r>
            <w:bookmarkStart w:id="1" w:name="_Hlk21006732"/>
            <w:r w:rsidRPr="00FD6CDE">
              <w:rPr>
                <w:rFonts w:eastAsia="MS Mincho"/>
                <w:snapToGrid w:val="0"/>
                <w:kern w:val="22"/>
                <w:sz w:val="20"/>
                <w:szCs w:val="20"/>
              </w:rPr>
              <w:t>that are considered hotspots of biodiversity, and which serve as various habitats for endangered, threatened and declining species. It is also a seasonal migratory pathway for large migratory pelagic species and is, in particular, an important area for cetacean species.</w:t>
            </w:r>
            <w:bookmarkEnd w:id="1"/>
          </w:p>
        </w:tc>
        <w:tc>
          <w:tcPr>
            <w:tcW w:w="506" w:type="dxa"/>
            <w:vAlign w:val="center"/>
          </w:tcPr>
          <w:p w14:paraId="1336537D"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262DAB9E"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411D91A2"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2668C766"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1CB65BD7"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1AEDFB09"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7" w:type="dxa"/>
            <w:vAlign w:val="center"/>
          </w:tcPr>
          <w:p w14:paraId="36C43707"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L</w:t>
            </w:r>
          </w:p>
        </w:tc>
      </w:tr>
      <w:tr w:rsidR="006514DB" w:rsidRPr="00FD6CDE" w14:paraId="21BC57CD" w14:textId="77777777" w:rsidTr="00117478">
        <w:tc>
          <w:tcPr>
            <w:tcW w:w="9687" w:type="dxa"/>
            <w:shd w:val="clear" w:color="auto" w:fill="auto"/>
          </w:tcPr>
          <w:p w14:paraId="613069BA" w14:textId="77777777" w:rsidR="006514DB" w:rsidRPr="00FD6CDE" w:rsidRDefault="006514DB" w:rsidP="00117478">
            <w:pPr>
              <w:suppressLineNumbers/>
              <w:suppressAutoHyphens/>
              <w:kinsoku w:val="0"/>
              <w:overflowPunct w:val="0"/>
              <w:autoSpaceDE w:val="0"/>
              <w:autoSpaceDN w:val="0"/>
              <w:snapToGrid w:val="0"/>
              <w:rPr>
                <w:b/>
                <w:snapToGrid w:val="0"/>
                <w:kern w:val="22"/>
                <w:sz w:val="20"/>
                <w:szCs w:val="20"/>
              </w:rPr>
            </w:pPr>
            <w:r w:rsidRPr="00FD6CDE">
              <w:rPr>
                <w:b/>
                <w:snapToGrid w:val="0"/>
                <w:kern w:val="22"/>
                <w:sz w:val="20"/>
                <w:szCs w:val="20"/>
              </w:rPr>
              <w:t>6. Madeira – Tore</w:t>
            </w:r>
          </w:p>
          <w:p w14:paraId="1954E18F" w14:textId="77777777" w:rsidR="006514DB" w:rsidRPr="00FD6CDE" w:rsidRDefault="006514DB" w:rsidP="006514DB">
            <w:pPr>
              <w:numPr>
                <w:ilvl w:val="0"/>
                <w:numId w:val="4"/>
              </w:numPr>
              <w:suppressLineNumbers/>
              <w:suppressAutoHyphens/>
              <w:kinsoku w:val="0"/>
              <w:overflowPunct w:val="0"/>
              <w:autoSpaceDE w:val="0"/>
              <w:autoSpaceDN w:val="0"/>
              <w:rPr>
                <w:snapToGrid w:val="0"/>
                <w:kern w:val="22"/>
                <w:sz w:val="20"/>
                <w:szCs w:val="20"/>
              </w:rPr>
            </w:pPr>
            <w:r w:rsidRPr="00FD6CDE">
              <w:rPr>
                <w:snapToGrid w:val="0"/>
                <w:kern w:val="22"/>
                <w:sz w:val="20"/>
                <w:szCs w:val="20"/>
              </w:rPr>
              <w:t xml:space="preserve">Location: </w:t>
            </w:r>
            <w:bookmarkStart w:id="2" w:name="_Hlk22118131"/>
            <w:r w:rsidRPr="00FD6CDE">
              <w:rPr>
                <w:snapToGrid w:val="0"/>
                <w:kern w:val="22"/>
                <w:sz w:val="20"/>
                <w:szCs w:val="20"/>
              </w:rPr>
              <w:t>The area is bounded by the parallels 39º28`4.39``N and 33º31`17.04``N, and the meridians 13º31`12.88`` W and 14º25`58.54``W.</w:t>
            </w:r>
          </w:p>
          <w:bookmarkEnd w:id="2"/>
          <w:p w14:paraId="685DEE62" w14:textId="77777777" w:rsidR="006514DB" w:rsidRPr="00FD6CDE" w:rsidRDefault="006514DB" w:rsidP="006514DB">
            <w:pPr>
              <w:numPr>
                <w:ilvl w:val="0"/>
                <w:numId w:val="4"/>
              </w:numPr>
              <w:suppressLineNumbers/>
              <w:suppressAutoHyphens/>
              <w:kinsoku w:val="0"/>
              <w:overflowPunct w:val="0"/>
              <w:autoSpaceDE w:val="0"/>
              <w:autoSpaceDN w:val="0"/>
              <w:rPr>
                <w:snapToGrid w:val="0"/>
                <w:kern w:val="22"/>
                <w:sz w:val="20"/>
                <w:szCs w:val="20"/>
              </w:rPr>
            </w:pPr>
            <w:r w:rsidRPr="00FD6CDE">
              <w:rPr>
                <w:snapToGrid w:val="0"/>
                <w:kern w:val="22"/>
                <w:sz w:val="20"/>
                <w:szCs w:val="20"/>
              </w:rPr>
              <w:t>This area includes</w:t>
            </w:r>
            <w:r w:rsidRPr="00FD6CDE">
              <w:rPr>
                <w:rFonts w:eastAsia="MS Mincho"/>
                <w:sz w:val="20"/>
                <w:szCs w:val="20"/>
              </w:rPr>
              <w:t>19 remarkable structures</w:t>
            </w:r>
            <w:r w:rsidRPr="00FD6CDE">
              <w:rPr>
                <w:snapToGrid w:val="0"/>
                <w:kern w:val="22"/>
                <w:sz w:val="20"/>
                <w:szCs w:val="20"/>
              </w:rPr>
              <w:t xml:space="preserve">,17 of which are seamounts. Seamounts are hotspots of marine life and, in general, they are areas of enhanced productivity, especially when compared with surrounding abyssal areas. </w:t>
            </w:r>
            <w:r w:rsidRPr="00FD6CDE">
              <w:rPr>
                <w:rFonts w:eastAsia="MS Mincho"/>
                <w:sz w:val="20"/>
                <w:szCs w:val="20"/>
              </w:rPr>
              <w:t>Madeira – Tore</w:t>
            </w:r>
            <w:r w:rsidRPr="00FD6CDE">
              <w:rPr>
                <w:snapToGrid w:val="0"/>
                <w:kern w:val="22"/>
                <w:sz w:val="20"/>
                <w:szCs w:val="20"/>
              </w:rPr>
              <w:t xml:space="preserve"> has an area of 197,431 km</w:t>
            </w:r>
            <w:r w:rsidRPr="00FD6CDE">
              <w:rPr>
                <w:snapToGrid w:val="0"/>
                <w:kern w:val="22"/>
                <w:sz w:val="20"/>
                <w:szCs w:val="20"/>
                <w:vertAlign w:val="superscript"/>
              </w:rPr>
              <w:t>2</w:t>
            </w:r>
            <w:r w:rsidRPr="00FD6CDE">
              <w:rPr>
                <w:snapToGrid w:val="0"/>
                <w:kern w:val="22"/>
                <w:sz w:val="20"/>
                <w:szCs w:val="20"/>
              </w:rPr>
              <w:t xml:space="preserve">, with depths ranging from 25m (top of Gettysburg seamount) to 4930m (bottom of Tore seamount). The area includes a proposed Site of Community Importance (Gorringe Bank) and an </w:t>
            </w:r>
            <w:r w:rsidRPr="00FD6CDE">
              <w:rPr>
                <w:snapToGrid w:val="0"/>
                <w:kern w:val="22"/>
                <w:sz w:val="20"/>
                <w:szCs w:val="20"/>
              </w:rPr>
              <w:lastRenderedPageBreak/>
              <w:t>OSPAR High Seas Marine Protected Area (Josephine seamount). A total of 965 species are present in this area, 7 per cent of which are protected under international or regional law.</w:t>
            </w:r>
          </w:p>
        </w:tc>
        <w:tc>
          <w:tcPr>
            <w:tcW w:w="506" w:type="dxa"/>
            <w:vAlign w:val="center"/>
          </w:tcPr>
          <w:p w14:paraId="768F11B8"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lastRenderedPageBreak/>
              <w:t>H</w:t>
            </w:r>
          </w:p>
        </w:tc>
        <w:tc>
          <w:tcPr>
            <w:tcW w:w="506" w:type="dxa"/>
            <w:vAlign w:val="center"/>
          </w:tcPr>
          <w:p w14:paraId="69A7C42A"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641D7711"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596DB206"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60536AC4"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7B33D231"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7" w:type="dxa"/>
            <w:vAlign w:val="center"/>
          </w:tcPr>
          <w:p w14:paraId="0E139EB6"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M</w:t>
            </w:r>
          </w:p>
        </w:tc>
      </w:tr>
      <w:tr w:rsidR="006514DB" w:rsidRPr="00FD6CDE" w14:paraId="62806352" w14:textId="77777777" w:rsidTr="00117478">
        <w:tc>
          <w:tcPr>
            <w:tcW w:w="9687" w:type="dxa"/>
            <w:shd w:val="clear" w:color="auto" w:fill="auto"/>
          </w:tcPr>
          <w:p w14:paraId="51812957" w14:textId="77777777" w:rsidR="006514DB" w:rsidRPr="00FD6CDE" w:rsidRDefault="006514DB" w:rsidP="00117478">
            <w:pPr>
              <w:suppressLineNumbers/>
              <w:suppressAutoHyphens/>
              <w:kinsoku w:val="0"/>
              <w:overflowPunct w:val="0"/>
              <w:autoSpaceDE w:val="0"/>
              <w:autoSpaceDN w:val="0"/>
              <w:snapToGrid w:val="0"/>
              <w:rPr>
                <w:b/>
                <w:snapToGrid w:val="0"/>
                <w:kern w:val="22"/>
                <w:sz w:val="20"/>
                <w:szCs w:val="20"/>
              </w:rPr>
            </w:pPr>
            <w:r w:rsidRPr="00FD6CDE">
              <w:rPr>
                <w:b/>
                <w:snapToGrid w:val="0"/>
                <w:kern w:val="22"/>
                <w:sz w:val="20"/>
                <w:szCs w:val="20"/>
              </w:rPr>
              <w:t xml:space="preserve">7. </w:t>
            </w:r>
            <w:proofErr w:type="spellStart"/>
            <w:r w:rsidRPr="00FD6CDE">
              <w:rPr>
                <w:b/>
                <w:snapToGrid w:val="0"/>
                <w:kern w:val="22"/>
                <w:sz w:val="20"/>
                <w:szCs w:val="20"/>
              </w:rPr>
              <w:t>Desertas</w:t>
            </w:r>
            <w:proofErr w:type="spellEnd"/>
          </w:p>
          <w:p w14:paraId="631BCE96" w14:textId="77777777" w:rsidR="006514DB" w:rsidRPr="00FD6CDE" w:rsidRDefault="006514DB" w:rsidP="006514DB">
            <w:pPr>
              <w:numPr>
                <w:ilvl w:val="0"/>
                <w:numId w:val="16"/>
              </w:numPr>
              <w:suppressLineNumbers/>
              <w:suppressAutoHyphens/>
              <w:kinsoku w:val="0"/>
              <w:overflowPunct w:val="0"/>
              <w:autoSpaceDE w:val="0"/>
              <w:autoSpaceDN w:val="0"/>
              <w:adjustRightInd w:val="0"/>
              <w:ind w:left="395"/>
              <w:rPr>
                <w:snapToGrid w:val="0"/>
                <w:kern w:val="22"/>
                <w:sz w:val="20"/>
                <w:szCs w:val="20"/>
              </w:rPr>
            </w:pPr>
            <w:r w:rsidRPr="00FD6CDE">
              <w:rPr>
                <w:snapToGrid w:val="0"/>
                <w:kern w:val="22"/>
                <w:sz w:val="20"/>
                <w:szCs w:val="20"/>
              </w:rPr>
              <w:t xml:space="preserve">Location: This area includes the marine areas adjacent to the </w:t>
            </w:r>
            <w:proofErr w:type="spellStart"/>
            <w:r w:rsidRPr="00FD6CDE">
              <w:rPr>
                <w:snapToGrid w:val="0"/>
                <w:kern w:val="22"/>
                <w:sz w:val="20"/>
                <w:szCs w:val="20"/>
              </w:rPr>
              <w:t>Desertas</w:t>
            </w:r>
            <w:proofErr w:type="spellEnd"/>
            <w:r w:rsidRPr="00FD6CDE">
              <w:rPr>
                <w:snapToGrid w:val="0"/>
                <w:kern w:val="22"/>
                <w:sz w:val="20"/>
                <w:szCs w:val="20"/>
              </w:rPr>
              <w:t xml:space="preserve"> Islands. It has an area of 455 km</w:t>
            </w:r>
            <w:r w:rsidRPr="00FD6CDE">
              <w:rPr>
                <w:snapToGrid w:val="0"/>
                <w:kern w:val="22"/>
                <w:sz w:val="20"/>
                <w:szCs w:val="20"/>
                <w:vertAlign w:val="superscript"/>
              </w:rPr>
              <w:t>2</w:t>
            </w:r>
            <w:r w:rsidRPr="00FD6CDE">
              <w:rPr>
                <w:snapToGrid w:val="0"/>
                <w:kern w:val="22"/>
                <w:sz w:val="20"/>
                <w:szCs w:val="20"/>
              </w:rPr>
              <w:t xml:space="preserve"> and is located southeast of Madeira Island, Portugal (32.47N/-16.52W).</w:t>
            </w:r>
          </w:p>
          <w:p w14:paraId="3CD1447B" w14:textId="77777777" w:rsidR="006514DB" w:rsidRPr="00FD6CDE" w:rsidRDefault="006514DB" w:rsidP="006514DB">
            <w:pPr>
              <w:numPr>
                <w:ilvl w:val="0"/>
                <w:numId w:val="16"/>
              </w:numPr>
              <w:suppressLineNumbers/>
              <w:suppressAutoHyphens/>
              <w:kinsoku w:val="0"/>
              <w:overflowPunct w:val="0"/>
              <w:autoSpaceDE w:val="0"/>
              <w:autoSpaceDN w:val="0"/>
              <w:adjustRightInd w:val="0"/>
              <w:ind w:left="395"/>
              <w:rPr>
                <w:snapToGrid w:val="0"/>
                <w:kern w:val="22"/>
                <w:sz w:val="20"/>
                <w:szCs w:val="20"/>
              </w:rPr>
            </w:pPr>
            <w:r w:rsidRPr="00FD6CDE">
              <w:rPr>
                <w:snapToGrid w:val="0"/>
                <w:kern w:val="22"/>
                <w:sz w:val="20"/>
                <w:szCs w:val="20"/>
              </w:rPr>
              <w:t xml:space="preserve">The </w:t>
            </w:r>
            <w:proofErr w:type="spellStart"/>
            <w:r w:rsidRPr="00FD6CDE">
              <w:rPr>
                <w:snapToGrid w:val="0"/>
                <w:kern w:val="22"/>
                <w:sz w:val="20"/>
                <w:szCs w:val="20"/>
              </w:rPr>
              <w:t>Desertas</w:t>
            </w:r>
            <w:proofErr w:type="spellEnd"/>
            <w:r w:rsidRPr="00FD6CDE">
              <w:rPr>
                <w:snapToGrid w:val="0"/>
                <w:kern w:val="22"/>
                <w:sz w:val="20"/>
                <w:szCs w:val="20"/>
              </w:rPr>
              <w:t xml:space="preserve"> Islands hold some of the most important colonies of seabirds in the Atlantic, with large populations of </w:t>
            </w:r>
            <w:proofErr w:type="spellStart"/>
            <w:r w:rsidRPr="00FD6CDE">
              <w:rPr>
                <w:snapToGrid w:val="0"/>
                <w:kern w:val="22"/>
                <w:sz w:val="20"/>
                <w:szCs w:val="20"/>
              </w:rPr>
              <w:t>Procellariiforms</w:t>
            </w:r>
            <w:proofErr w:type="spellEnd"/>
            <w:r w:rsidRPr="00FD6CDE">
              <w:rPr>
                <w:snapToGrid w:val="0"/>
                <w:kern w:val="22"/>
                <w:sz w:val="20"/>
                <w:szCs w:val="20"/>
              </w:rPr>
              <w:t xml:space="preserve">, including the only population of vulnerable </w:t>
            </w:r>
            <w:proofErr w:type="spellStart"/>
            <w:r w:rsidRPr="00FD6CDE">
              <w:rPr>
                <w:snapToGrid w:val="0"/>
                <w:kern w:val="22"/>
                <w:sz w:val="20"/>
                <w:szCs w:val="20"/>
              </w:rPr>
              <w:t>Desertas</w:t>
            </w:r>
            <w:proofErr w:type="spellEnd"/>
            <w:r w:rsidRPr="00FD6CDE">
              <w:rPr>
                <w:snapToGrid w:val="0"/>
                <w:kern w:val="22"/>
                <w:sz w:val="20"/>
                <w:szCs w:val="20"/>
              </w:rPr>
              <w:t xml:space="preserve"> petrel (</w:t>
            </w:r>
            <w:r w:rsidRPr="00FD6CDE">
              <w:rPr>
                <w:i/>
                <w:iCs/>
                <w:snapToGrid w:val="0"/>
                <w:kern w:val="22"/>
                <w:sz w:val="20"/>
                <w:szCs w:val="20"/>
              </w:rPr>
              <w:t xml:space="preserve">Pterodroma </w:t>
            </w:r>
            <w:proofErr w:type="spellStart"/>
            <w:r w:rsidRPr="00FD6CDE">
              <w:rPr>
                <w:i/>
                <w:iCs/>
                <w:snapToGrid w:val="0"/>
                <w:kern w:val="22"/>
                <w:sz w:val="20"/>
                <w:szCs w:val="20"/>
              </w:rPr>
              <w:t>deserta</w:t>
            </w:r>
            <w:proofErr w:type="spellEnd"/>
            <w:r w:rsidRPr="00FD6CDE">
              <w:rPr>
                <w:snapToGrid w:val="0"/>
                <w:kern w:val="22"/>
                <w:sz w:val="20"/>
                <w:szCs w:val="20"/>
              </w:rPr>
              <w:t>). They also contain important reproductive and resting habitats for the endangered monk seal (</w:t>
            </w:r>
            <w:proofErr w:type="spellStart"/>
            <w:r w:rsidRPr="00FD6CDE">
              <w:rPr>
                <w:i/>
                <w:iCs/>
                <w:snapToGrid w:val="0"/>
                <w:kern w:val="22"/>
                <w:sz w:val="20"/>
                <w:szCs w:val="20"/>
              </w:rPr>
              <w:t>Monachus</w:t>
            </w:r>
            <w:proofErr w:type="spellEnd"/>
            <w:r w:rsidRPr="00FD6CDE">
              <w:rPr>
                <w:i/>
                <w:iCs/>
                <w:snapToGrid w:val="0"/>
                <w:kern w:val="22"/>
                <w:sz w:val="20"/>
                <w:szCs w:val="20"/>
              </w:rPr>
              <w:t xml:space="preserve"> </w:t>
            </w:r>
            <w:proofErr w:type="spellStart"/>
            <w:r w:rsidRPr="00FD6CDE">
              <w:rPr>
                <w:i/>
                <w:iCs/>
                <w:snapToGrid w:val="0"/>
                <w:kern w:val="22"/>
                <w:sz w:val="20"/>
                <w:szCs w:val="20"/>
              </w:rPr>
              <w:t>monachus</w:t>
            </w:r>
            <w:proofErr w:type="spellEnd"/>
            <w:r w:rsidRPr="00FD6CDE">
              <w:rPr>
                <w:snapToGrid w:val="0"/>
                <w:kern w:val="22"/>
                <w:sz w:val="20"/>
                <w:szCs w:val="20"/>
              </w:rPr>
              <w:t>) in the form of pupping caves and resting beaches.</w:t>
            </w:r>
          </w:p>
        </w:tc>
        <w:tc>
          <w:tcPr>
            <w:tcW w:w="506" w:type="dxa"/>
            <w:vAlign w:val="center"/>
          </w:tcPr>
          <w:p w14:paraId="433D036B"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16B8E675"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4E6DCE06"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6585ACDF"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5445C80B"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w:t>
            </w:r>
          </w:p>
        </w:tc>
        <w:tc>
          <w:tcPr>
            <w:tcW w:w="506" w:type="dxa"/>
            <w:vAlign w:val="center"/>
          </w:tcPr>
          <w:p w14:paraId="14183074"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w:t>
            </w:r>
          </w:p>
        </w:tc>
        <w:tc>
          <w:tcPr>
            <w:tcW w:w="507" w:type="dxa"/>
            <w:vAlign w:val="center"/>
          </w:tcPr>
          <w:p w14:paraId="7F079F8A"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w:t>
            </w:r>
          </w:p>
        </w:tc>
      </w:tr>
      <w:tr w:rsidR="006514DB" w:rsidRPr="00FD6CDE" w14:paraId="2A0BDC0C" w14:textId="77777777" w:rsidTr="00117478">
        <w:tc>
          <w:tcPr>
            <w:tcW w:w="9687" w:type="dxa"/>
            <w:shd w:val="clear" w:color="auto" w:fill="auto"/>
          </w:tcPr>
          <w:p w14:paraId="726F3A18" w14:textId="77777777" w:rsidR="006514DB" w:rsidRPr="00FD6CDE" w:rsidRDefault="006514DB" w:rsidP="00117478">
            <w:pPr>
              <w:suppressLineNumbers/>
              <w:suppressAutoHyphens/>
              <w:kinsoku w:val="0"/>
              <w:overflowPunct w:val="0"/>
              <w:autoSpaceDE w:val="0"/>
              <w:autoSpaceDN w:val="0"/>
              <w:snapToGrid w:val="0"/>
              <w:rPr>
                <w:b/>
                <w:snapToGrid w:val="0"/>
                <w:kern w:val="22"/>
                <w:sz w:val="20"/>
                <w:szCs w:val="20"/>
              </w:rPr>
            </w:pPr>
            <w:r w:rsidRPr="00FD6CDE">
              <w:rPr>
                <w:b/>
                <w:snapToGrid w:val="0"/>
                <w:kern w:val="22"/>
                <w:sz w:val="20"/>
                <w:szCs w:val="20"/>
              </w:rPr>
              <w:t>8. Oceanic Islands and Seamounts of the Canary Region</w:t>
            </w:r>
          </w:p>
          <w:p w14:paraId="3014ADD8" w14:textId="77777777" w:rsidR="006514DB" w:rsidRPr="00FD6CDE" w:rsidRDefault="006514DB" w:rsidP="006514DB">
            <w:pPr>
              <w:pStyle w:val="ListParagraph"/>
              <w:numPr>
                <w:ilvl w:val="0"/>
                <w:numId w:val="19"/>
              </w:numPr>
              <w:suppressLineNumbers/>
              <w:shd w:val="clear" w:color="auto" w:fill="FFFFFF"/>
              <w:suppressAutoHyphens/>
              <w:kinsoku w:val="0"/>
              <w:overflowPunct w:val="0"/>
              <w:autoSpaceDE w:val="0"/>
              <w:autoSpaceDN w:val="0"/>
              <w:ind w:left="395"/>
              <w:rPr>
                <w:snapToGrid w:val="0"/>
                <w:color w:val="212121"/>
                <w:kern w:val="22"/>
                <w:sz w:val="20"/>
                <w:szCs w:val="20"/>
                <w:lang w:eastAsia="ja-JP"/>
              </w:rPr>
            </w:pPr>
            <w:r w:rsidRPr="00FD6CDE">
              <w:rPr>
                <w:snapToGrid w:val="0"/>
                <w:kern w:val="22"/>
                <w:sz w:val="20"/>
                <w:szCs w:val="20"/>
              </w:rPr>
              <w:t xml:space="preserve">Location: </w:t>
            </w:r>
            <w:r w:rsidRPr="00FD6CDE">
              <w:rPr>
                <w:rFonts w:eastAsia="MS Mincho"/>
                <w:snapToGrid w:val="0"/>
                <w:kern w:val="22"/>
                <w:sz w:val="20"/>
                <w:szCs w:val="20"/>
              </w:rPr>
              <w:t xml:space="preserve">The area </w:t>
            </w:r>
            <w:proofErr w:type="gramStart"/>
            <w:r w:rsidRPr="00FD6CDE">
              <w:rPr>
                <w:rFonts w:eastAsia="MS Mincho"/>
                <w:snapToGrid w:val="0"/>
                <w:kern w:val="22"/>
                <w:sz w:val="20"/>
                <w:szCs w:val="20"/>
              </w:rPr>
              <w:t>is located in</w:t>
            </w:r>
            <w:proofErr w:type="gramEnd"/>
            <w:r w:rsidRPr="00FD6CDE">
              <w:rPr>
                <w:rFonts w:eastAsia="MS Mincho"/>
                <w:snapToGrid w:val="0"/>
                <w:kern w:val="22"/>
                <w:sz w:val="20"/>
                <w:szCs w:val="20"/>
              </w:rPr>
              <w:t xml:space="preserve"> and around the Canary Islands, between the parallels 24º60’N and 32º27’N and meridians 20º96’W and 30º33’W. It includes volcanic edifices (e.g., emerged islands, seamounts and banks) and has a maximum depth of 3000 m.</w:t>
            </w:r>
          </w:p>
          <w:p w14:paraId="245E0C84" w14:textId="77777777" w:rsidR="006514DB" w:rsidRPr="00FD6CDE" w:rsidRDefault="006514DB" w:rsidP="006514DB">
            <w:pPr>
              <w:pStyle w:val="ListParagraph"/>
              <w:numPr>
                <w:ilvl w:val="0"/>
                <w:numId w:val="19"/>
              </w:numPr>
              <w:suppressLineNumbers/>
              <w:shd w:val="clear" w:color="auto" w:fill="FFFFFF"/>
              <w:suppressAutoHyphens/>
              <w:kinsoku w:val="0"/>
              <w:overflowPunct w:val="0"/>
              <w:autoSpaceDE w:val="0"/>
              <w:autoSpaceDN w:val="0"/>
              <w:ind w:left="395"/>
              <w:rPr>
                <w:snapToGrid w:val="0"/>
                <w:color w:val="212121"/>
                <w:kern w:val="22"/>
                <w:sz w:val="20"/>
                <w:szCs w:val="20"/>
                <w:lang w:eastAsia="ja-JP"/>
              </w:rPr>
            </w:pPr>
            <w:r w:rsidRPr="00FD6CDE">
              <w:rPr>
                <w:snapToGrid w:val="0"/>
                <w:kern w:val="22"/>
                <w:sz w:val="20"/>
                <w:szCs w:val="20"/>
              </w:rPr>
              <w:t xml:space="preserve">The area around the Canary Islands includes a set of islands and seamounts influenced by magma-driven processes over tens of millions of years over the Canary hotspot. The archipelago is made up of seven major islands, a group of islets in the northeast and three seamount fields: one in the northeast of the archipelago, one in the southwest and another between the islands. Some of these seamounts (Concepción Bank, El </w:t>
            </w:r>
            <w:proofErr w:type="spellStart"/>
            <w:r w:rsidRPr="00FD6CDE">
              <w:rPr>
                <w:snapToGrid w:val="0"/>
                <w:kern w:val="22"/>
                <w:sz w:val="20"/>
                <w:szCs w:val="20"/>
              </w:rPr>
              <w:t>Banquete</w:t>
            </w:r>
            <w:proofErr w:type="spellEnd"/>
            <w:r w:rsidRPr="00FD6CDE">
              <w:rPr>
                <w:snapToGrid w:val="0"/>
                <w:kern w:val="22"/>
                <w:sz w:val="20"/>
                <w:szCs w:val="20"/>
              </w:rPr>
              <w:t xml:space="preserve"> and </w:t>
            </w:r>
            <w:proofErr w:type="spellStart"/>
            <w:r w:rsidRPr="00FD6CDE">
              <w:rPr>
                <w:snapToGrid w:val="0"/>
                <w:kern w:val="22"/>
                <w:sz w:val="20"/>
                <w:szCs w:val="20"/>
              </w:rPr>
              <w:t>Amanay</w:t>
            </w:r>
            <w:proofErr w:type="spellEnd"/>
            <w:r w:rsidRPr="00FD6CDE">
              <w:rPr>
                <w:snapToGrid w:val="0"/>
                <w:kern w:val="22"/>
                <w:sz w:val="20"/>
                <w:szCs w:val="20"/>
              </w:rPr>
              <w:t xml:space="preserve">) as well as coastal areas of the Canary region have been intensively studied. Thirty-nine marine Special Areas of Conservation and two Sites of Community Importance </w:t>
            </w:r>
            <w:bookmarkStart w:id="3" w:name="_Hlk22119041"/>
            <w:r w:rsidRPr="00FD6CDE">
              <w:rPr>
                <w:snapToGrid w:val="0"/>
                <w:kern w:val="22"/>
                <w:sz w:val="20"/>
                <w:szCs w:val="20"/>
              </w:rPr>
              <w:t xml:space="preserve">(both </w:t>
            </w:r>
            <w:r w:rsidRPr="00FD6CDE">
              <w:rPr>
                <w:rFonts w:eastAsia="MS Mincho"/>
                <w:sz w:val="20"/>
                <w:szCs w:val="20"/>
              </w:rPr>
              <w:t xml:space="preserve">under the Natura 2000 network), </w:t>
            </w:r>
            <w:bookmarkEnd w:id="3"/>
            <w:r w:rsidRPr="00FD6CDE">
              <w:rPr>
                <w:rFonts w:eastAsia="MS Mincho"/>
                <w:sz w:val="20"/>
                <w:szCs w:val="20"/>
              </w:rPr>
              <w:t>as well as</w:t>
            </w:r>
            <w:r w:rsidRPr="00FD6CDE">
              <w:rPr>
                <w:snapToGrid w:val="0"/>
                <w:kern w:val="22"/>
                <w:sz w:val="20"/>
                <w:szCs w:val="20"/>
              </w:rPr>
              <w:t xml:space="preserve"> three marine reserves </w:t>
            </w:r>
            <w:proofErr w:type="gramStart"/>
            <w:r w:rsidRPr="00FD6CDE">
              <w:rPr>
                <w:snapToGrid w:val="0"/>
                <w:kern w:val="22"/>
                <w:sz w:val="20"/>
                <w:szCs w:val="20"/>
              </w:rPr>
              <w:t>are located in</w:t>
            </w:r>
            <w:proofErr w:type="gramEnd"/>
            <w:r w:rsidRPr="00FD6CDE">
              <w:rPr>
                <w:snapToGrid w:val="0"/>
                <w:kern w:val="22"/>
                <w:sz w:val="20"/>
                <w:szCs w:val="20"/>
              </w:rPr>
              <w:t xml:space="preserve"> the area. This region, with its subtropical oceanographic conditions, represents the southern distribution limit for many pelagic and benthic species. It includes a variety of benthic habitats, including some that are considered hotspots of biodiversity. These habitats serve as spawning grounds for several commercial species. The area also includes habitats for endangered, threatened and declining species and for migratory pelagic species, including cetaceans.</w:t>
            </w:r>
          </w:p>
        </w:tc>
        <w:tc>
          <w:tcPr>
            <w:tcW w:w="506" w:type="dxa"/>
            <w:vAlign w:val="center"/>
          </w:tcPr>
          <w:p w14:paraId="4712DDA6"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39CDFDE6"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2E923D2B"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3B416194"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56494521"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53EDDF13"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7" w:type="dxa"/>
            <w:vAlign w:val="center"/>
          </w:tcPr>
          <w:p w14:paraId="6793BECE"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M</w:t>
            </w:r>
          </w:p>
        </w:tc>
      </w:tr>
      <w:tr w:rsidR="006514DB" w:rsidRPr="00FD6CDE" w14:paraId="6BF9EDB9" w14:textId="77777777" w:rsidTr="00117478">
        <w:tc>
          <w:tcPr>
            <w:tcW w:w="9687" w:type="dxa"/>
            <w:shd w:val="clear" w:color="auto" w:fill="auto"/>
          </w:tcPr>
          <w:p w14:paraId="240591D3" w14:textId="77777777" w:rsidR="006514DB" w:rsidRPr="00FD6CDE" w:rsidRDefault="006514DB" w:rsidP="00117478">
            <w:pPr>
              <w:suppressLineNumbers/>
              <w:suppressAutoHyphens/>
              <w:kinsoku w:val="0"/>
              <w:overflowPunct w:val="0"/>
              <w:autoSpaceDE w:val="0"/>
              <w:autoSpaceDN w:val="0"/>
              <w:rPr>
                <w:b/>
                <w:snapToGrid w:val="0"/>
                <w:kern w:val="22"/>
                <w:sz w:val="20"/>
                <w:szCs w:val="20"/>
              </w:rPr>
            </w:pPr>
            <w:r w:rsidRPr="00FD6CDE">
              <w:rPr>
                <w:b/>
                <w:snapToGrid w:val="0"/>
                <w:kern w:val="22"/>
                <w:sz w:val="20"/>
                <w:szCs w:val="20"/>
              </w:rPr>
              <w:t>9. Tropic Seamount</w:t>
            </w:r>
          </w:p>
          <w:p w14:paraId="04B820DA" w14:textId="77777777" w:rsidR="006514DB" w:rsidRPr="00FD6CDE" w:rsidRDefault="006514DB" w:rsidP="006514DB">
            <w:pPr>
              <w:pStyle w:val="ListParagraph"/>
              <w:numPr>
                <w:ilvl w:val="0"/>
                <w:numId w:val="8"/>
              </w:numPr>
              <w:suppressLineNumbers/>
              <w:suppressAutoHyphens/>
              <w:kinsoku w:val="0"/>
              <w:overflowPunct w:val="0"/>
              <w:autoSpaceDE w:val="0"/>
              <w:autoSpaceDN w:val="0"/>
              <w:rPr>
                <w:snapToGrid w:val="0"/>
                <w:kern w:val="22"/>
                <w:sz w:val="20"/>
                <w:szCs w:val="20"/>
              </w:rPr>
            </w:pPr>
            <w:r w:rsidRPr="00FD6CDE">
              <w:rPr>
                <w:snapToGrid w:val="0"/>
                <w:kern w:val="22"/>
                <w:sz w:val="20"/>
                <w:szCs w:val="20"/>
              </w:rPr>
              <w:t xml:space="preserve">Location: The Tropic Seamount </w:t>
            </w:r>
            <w:proofErr w:type="gramStart"/>
            <w:r w:rsidRPr="00FD6CDE">
              <w:rPr>
                <w:snapToGrid w:val="0"/>
                <w:kern w:val="22"/>
                <w:sz w:val="20"/>
                <w:szCs w:val="20"/>
              </w:rPr>
              <w:t>is located in</w:t>
            </w:r>
            <w:proofErr w:type="gramEnd"/>
            <w:r w:rsidRPr="00FD6CDE">
              <w:rPr>
                <w:snapToGrid w:val="0"/>
                <w:kern w:val="22"/>
                <w:sz w:val="20"/>
                <w:szCs w:val="20"/>
              </w:rPr>
              <w:t xml:space="preserve"> the North-East Atlantic (23°55’ N, 20°45’ W), along the north-western African continental margin.</w:t>
            </w:r>
          </w:p>
          <w:p w14:paraId="26D0EC77" w14:textId="25951050" w:rsidR="006514DB" w:rsidRPr="00FD6CDE" w:rsidRDefault="006514DB" w:rsidP="006514DB">
            <w:pPr>
              <w:numPr>
                <w:ilvl w:val="0"/>
                <w:numId w:val="8"/>
              </w:numPr>
              <w:suppressLineNumbers/>
              <w:suppressAutoHyphens/>
              <w:kinsoku w:val="0"/>
              <w:overflowPunct w:val="0"/>
              <w:autoSpaceDE w:val="0"/>
              <w:autoSpaceDN w:val="0"/>
              <w:rPr>
                <w:snapToGrid w:val="0"/>
                <w:kern w:val="22"/>
                <w:sz w:val="20"/>
                <w:szCs w:val="20"/>
              </w:rPr>
            </w:pPr>
            <w:r w:rsidRPr="00FD6CDE">
              <w:rPr>
                <w:snapToGrid w:val="0"/>
                <w:kern w:val="22"/>
                <w:sz w:val="20"/>
                <w:szCs w:val="20"/>
              </w:rPr>
              <w:t xml:space="preserve">The Tropic Seamount is home to numerous vulnerable taxa, including high-density octocoral gardens, </w:t>
            </w:r>
            <w:proofErr w:type="spellStart"/>
            <w:r w:rsidRPr="00FD6CDE">
              <w:rPr>
                <w:i/>
                <w:iCs/>
                <w:snapToGrid w:val="0"/>
                <w:kern w:val="22"/>
                <w:sz w:val="20"/>
                <w:szCs w:val="20"/>
              </w:rPr>
              <w:t>Solenosmilia</w:t>
            </w:r>
            <w:proofErr w:type="spellEnd"/>
            <w:r w:rsidRPr="00FD6CDE">
              <w:rPr>
                <w:i/>
                <w:iCs/>
                <w:snapToGrid w:val="0"/>
                <w:kern w:val="22"/>
                <w:sz w:val="20"/>
                <w:szCs w:val="20"/>
              </w:rPr>
              <w:t xml:space="preserve"> variabilis</w:t>
            </w:r>
            <w:r w:rsidRPr="00FD6CDE">
              <w:rPr>
                <w:snapToGrid w:val="0"/>
                <w:kern w:val="22"/>
                <w:sz w:val="20"/>
                <w:szCs w:val="20"/>
              </w:rPr>
              <w:t xml:space="preserve"> patch reefs, xenophyophores, crinoid fields and deep-sea sponge grounds. A recent study offered the first biological insight to </w:t>
            </w:r>
            <w:proofErr w:type="gramStart"/>
            <w:r w:rsidRPr="00FD6CDE">
              <w:rPr>
                <w:snapToGrid w:val="0"/>
                <w:kern w:val="22"/>
                <w:sz w:val="20"/>
                <w:szCs w:val="20"/>
              </w:rPr>
              <w:t>ground-truth</w:t>
            </w:r>
            <w:proofErr w:type="gramEnd"/>
            <w:r w:rsidRPr="00FD6CDE">
              <w:rPr>
                <w:snapToGrid w:val="0"/>
                <w:kern w:val="22"/>
                <w:sz w:val="20"/>
                <w:szCs w:val="20"/>
              </w:rPr>
              <w:t xml:space="preserve"> the occurrence of potential vulnerable ecosystems on the Tropic Seamount, alongside predictive models to increase the spatial coverage beyond surveys</w:t>
            </w:r>
            <w:r w:rsidRPr="00FD6CDE" w:rsidDel="00DD0262">
              <w:rPr>
                <w:snapToGrid w:val="0"/>
                <w:kern w:val="22"/>
                <w:sz w:val="20"/>
                <w:szCs w:val="20"/>
              </w:rPr>
              <w:t xml:space="preserve"> </w:t>
            </w:r>
            <w:r w:rsidRPr="00FD6CDE">
              <w:rPr>
                <w:snapToGrid w:val="0"/>
                <w:kern w:val="22"/>
                <w:sz w:val="20"/>
                <w:szCs w:val="20"/>
              </w:rPr>
              <w:t xml:space="preserve">conducted by remotely operated and </w:t>
            </w:r>
            <w:bookmarkStart w:id="4" w:name="_Hlk22119282"/>
            <w:r w:rsidRPr="00FD6CDE">
              <w:rPr>
                <w:snapToGrid w:val="0"/>
                <w:kern w:val="22"/>
                <w:sz w:val="20"/>
                <w:szCs w:val="20"/>
              </w:rPr>
              <w:t>autonomous underwater vehicles</w:t>
            </w:r>
            <w:bookmarkEnd w:id="4"/>
            <w:r w:rsidRPr="00FD6CDE">
              <w:rPr>
                <w:snapToGrid w:val="0"/>
                <w:kern w:val="22"/>
                <w:sz w:val="20"/>
                <w:szCs w:val="20"/>
              </w:rPr>
              <w:t>. Predicted habitat for the glass sponge (</w:t>
            </w:r>
            <w:proofErr w:type="spellStart"/>
            <w:r w:rsidRPr="00FD6CDE">
              <w:rPr>
                <w:i/>
                <w:iCs/>
                <w:snapToGrid w:val="0"/>
                <w:kern w:val="22"/>
                <w:sz w:val="20"/>
                <w:szCs w:val="20"/>
              </w:rPr>
              <w:t>Poliopogon</w:t>
            </w:r>
            <w:proofErr w:type="spellEnd"/>
            <w:r w:rsidRPr="00FD6CDE">
              <w:rPr>
                <w:i/>
                <w:iCs/>
                <w:snapToGrid w:val="0"/>
                <w:kern w:val="22"/>
                <w:sz w:val="20"/>
                <w:szCs w:val="20"/>
              </w:rPr>
              <w:t xml:space="preserve"> amadou)</w:t>
            </w:r>
            <w:r w:rsidRPr="00FD6CDE">
              <w:rPr>
                <w:snapToGrid w:val="0"/>
                <w:kern w:val="22"/>
                <w:sz w:val="20"/>
                <w:szCs w:val="20"/>
              </w:rPr>
              <w:t>, a biogeographically restricted hexactinellid forming extensive near-monospecific grounds, was found to favour the deep seamount flanks of this area within a very narrow oceanographic regime.</w:t>
            </w:r>
          </w:p>
        </w:tc>
        <w:tc>
          <w:tcPr>
            <w:tcW w:w="506" w:type="dxa"/>
            <w:vAlign w:val="center"/>
          </w:tcPr>
          <w:p w14:paraId="380C5D95"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4D6EFA7D"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w:t>
            </w:r>
          </w:p>
        </w:tc>
        <w:tc>
          <w:tcPr>
            <w:tcW w:w="506" w:type="dxa"/>
            <w:vAlign w:val="center"/>
          </w:tcPr>
          <w:p w14:paraId="358C73B0"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683EFE74"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53B487F9"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M</w:t>
            </w:r>
          </w:p>
        </w:tc>
        <w:tc>
          <w:tcPr>
            <w:tcW w:w="506" w:type="dxa"/>
            <w:vAlign w:val="center"/>
          </w:tcPr>
          <w:p w14:paraId="4FD14182"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7" w:type="dxa"/>
            <w:vAlign w:val="center"/>
          </w:tcPr>
          <w:p w14:paraId="29CB0134"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r>
      <w:tr w:rsidR="006514DB" w:rsidRPr="00FD6CDE" w14:paraId="6830A9D8" w14:textId="77777777" w:rsidTr="00117478">
        <w:tc>
          <w:tcPr>
            <w:tcW w:w="9687" w:type="dxa"/>
            <w:shd w:val="clear" w:color="auto" w:fill="auto"/>
          </w:tcPr>
          <w:p w14:paraId="6E21B722" w14:textId="77777777" w:rsidR="006514DB" w:rsidRPr="00FD6CDE" w:rsidRDefault="006514DB" w:rsidP="00117478">
            <w:pPr>
              <w:suppressLineNumbers/>
              <w:suppressAutoHyphens/>
              <w:kinsoku w:val="0"/>
              <w:overflowPunct w:val="0"/>
              <w:autoSpaceDE w:val="0"/>
              <w:autoSpaceDN w:val="0"/>
              <w:snapToGrid w:val="0"/>
              <w:rPr>
                <w:b/>
                <w:snapToGrid w:val="0"/>
                <w:kern w:val="22"/>
                <w:sz w:val="20"/>
                <w:szCs w:val="20"/>
              </w:rPr>
            </w:pPr>
            <w:r w:rsidRPr="00FD6CDE">
              <w:rPr>
                <w:b/>
                <w:snapToGrid w:val="0"/>
                <w:kern w:val="22"/>
                <w:sz w:val="20"/>
                <w:szCs w:val="20"/>
              </w:rPr>
              <w:lastRenderedPageBreak/>
              <w:t xml:space="preserve">10. </w:t>
            </w:r>
            <w:bookmarkStart w:id="5" w:name="_Hlk21011357"/>
            <w:r w:rsidRPr="00FD6CDE">
              <w:rPr>
                <w:b/>
                <w:snapToGrid w:val="0"/>
                <w:kern w:val="22"/>
                <w:sz w:val="20"/>
                <w:szCs w:val="20"/>
              </w:rPr>
              <w:t>Atlantis-Meteor Seamount Complex</w:t>
            </w:r>
            <w:bookmarkEnd w:id="5"/>
          </w:p>
          <w:p w14:paraId="1E7B86F8" w14:textId="77777777" w:rsidR="006514DB" w:rsidRPr="00FD6CDE" w:rsidRDefault="006514DB" w:rsidP="006514DB">
            <w:pPr>
              <w:numPr>
                <w:ilvl w:val="0"/>
                <w:numId w:val="5"/>
              </w:numPr>
              <w:suppressLineNumbers/>
              <w:suppressAutoHyphens/>
              <w:kinsoku w:val="0"/>
              <w:overflowPunct w:val="0"/>
              <w:autoSpaceDE w:val="0"/>
              <w:autoSpaceDN w:val="0"/>
              <w:rPr>
                <w:snapToGrid w:val="0"/>
                <w:kern w:val="22"/>
                <w:sz w:val="20"/>
                <w:szCs w:val="20"/>
              </w:rPr>
            </w:pPr>
            <w:r w:rsidRPr="00FD6CDE">
              <w:rPr>
                <w:snapToGrid w:val="0"/>
                <w:kern w:val="22"/>
                <w:sz w:val="20"/>
                <w:szCs w:val="20"/>
              </w:rPr>
              <w:t xml:space="preserve">Location: </w:t>
            </w:r>
            <w:bookmarkStart w:id="6" w:name="_Hlk22120364"/>
            <w:r w:rsidRPr="00FD6CDE">
              <w:rPr>
                <w:snapToGrid w:val="0"/>
                <w:kern w:val="22"/>
                <w:sz w:val="20"/>
                <w:szCs w:val="20"/>
              </w:rPr>
              <w:t>The area is situated roughly 700 km south of the Azores and about 1500 km northwest of Africa. It has a total area of 134,079 km</w:t>
            </w:r>
            <w:r w:rsidRPr="00FD6CDE">
              <w:rPr>
                <w:snapToGrid w:val="0"/>
                <w:kern w:val="22"/>
                <w:sz w:val="20"/>
                <w:szCs w:val="20"/>
                <w:vertAlign w:val="superscript"/>
              </w:rPr>
              <w:t>2</w:t>
            </w:r>
            <w:r w:rsidRPr="00FD6CDE">
              <w:rPr>
                <w:snapToGrid w:val="0"/>
                <w:kern w:val="22"/>
                <w:sz w:val="20"/>
                <w:szCs w:val="20"/>
              </w:rPr>
              <w:t>, with depths ranging from 265m (top of Atlantis seamount) to 4800m (bottom of Great Meteor seamount). The area is bounded by the parallels 35º30’0,000’’N and 29º12’0,000’’N and meridians -27º0’0,000’’W and -31º30’0,000’’W.</w:t>
            </w:r>
          </w:p>
          <w:bookmarkEnd w:id="6"/>
          <w:p w14:paraId="03F59610" w14:textId="77777777" w:rsidR="006514DB" w:rsidRPr="00FD6CDE" w:rsidRDefault="006514DB" w:rsidP="006514DB">
            <w:pPr>
              <w:numPr>
                <w:ilvl w:val="0"/>
                <w:numId w:val="5"/>
              </w:numPr>
              <w:suppressLineNumbers/>
              <w:suppressAutoHyphens/>
              <w:kinsoku w:val="0"/>
              <w:overflowPunct w:val="0"/>
              <w:autoSpaceDE w:val="0"/>
              <w:autoSpaceDN w:val="0"/>
              <w:rPr>
                <w:snapToGrid w:val="0"/>
                <w:kern w:val="22"/>
                <w:sz w:val="20"/>
                <w:szCs w:val="20"/>
              </w:rPr>
            </w:pPr>
            <w:r w:rsidRPr="00FD6CDE">
              <w:rPr>
                <w:snapToGrid w:val="0"/>
                <w:kern w:val="22"/>
                <w:sz w:val="20"/>
                <w:szCs w:val="20"/>
              </w:rPr>
              <w:t>The Atlantis-Meteor Seamount Complex comprises 10 seamounts. These seamounts are hotspots of marine life and areas of enhanced productivity, especially when compared with surrounding abyssal areas. This seamount complex has a total area of 134,079 km</w:t>
            </w:r>
            <w:r w:rsidRPr="00FD6CDE">
              <w:rPr>
                <w:snapToGrid w:val="0"/>
                <w:kern w:val="22"/>
                <w:sz w:val="20"/>
                <w:szCs w:val="20"/>
                <w:vertAlign w:val="superscript"/>
              </w:rPr>
              <w:t>2</w:t>
            </w:r>
            <w:r w:rsidRPr="00FD6CDE">
              <w:rPr>
                <w:snapToGrid w:val="0"/>
                <w:kern w:val="22"/>
                <w:sz w:val="20"/>
                <w:szCs w:val="20"/>
              </w:rPr>
              <w:t>, with depths ranging from 265m (top of Atlantis seamount) to 4800m (base of Great Meteor seamount). A total of 437 species are present in this area (with 16 per cent of mega- and macrofauna and up to 91 per cent of meiofauna endemic to the seamount group), 3.9 per cent of which are protected under international or regional law.</w:t>
            </w:r>
          </w:p>
        </w:tc>
        <w:tc>
          <w:tcPr>
            <w:tcW w:w="506" w:type="dxa"/>
            <w:vAlign w:val="center"/>
          </w:tcPr>
          <w:p w14:paraId="7F8A9F9A"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0419D534"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6E14E1E9"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322BA66D"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4F9C63F6"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M</w:t>
            </w:r>
          </w:p>
        </w:tc>
        <w:tc>
          <w:tcPr>
            <w:tcW w:w="506" w:type="dxa"/>
            <w:vAlign w:val="center"/>
          </w:tcPr>
          <w:p w14:paraId="3DB3AF55"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7" w:type="dxa"/>
            <w:vAlign w:val="center"/>
          </w:tcPr>
          <w:p w14:paraId="315A16FD"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M</w:t>
            </w:r>
          </w:p>
        </w:tc>
      </w:tr>
      <w:tr w:rsidR="006514DB" w:rsidRPr="00FD6CDE" w14:paraId="2033FFE5" w14:textId="77777777" w:rsidTr="00117478">
        <w:tc>
          <w:tcPr>
            <w:tcW w:w="9687" w:type="dxa"/>
            <w:shd w:val="clear" w:color="auto" w:fill="auto"/>
          </w:tcPr>
          <w:p w14:paraId="2DF0BDAE" w14:textId="77777777" w:rsidR="006514DB" w:rsidRPr="00FD6CDE" w:rsidRDefault="006514DB" w:rsidP="00117478">
            <w:pPr>
              <w:suppressLineNumbers/>
              <w:suppressAutoHyphens/>
              <w:kinsoku w:val="0"/>
              <w:overflowPunct w:val="0"/>
              <w:autoSpaceDE w:val="0"/>
              <w:autoSpaceDN w:val="0"/>
              <w:snapToGrid w:val="0"/>
              <w:rPr>
                <w:b/>
                <w:snapToGrid w:val="0"/>
                <w:kern w:val="22"/>
                <w:sz w:val="20"/>
                <w:szCs w:val="20"/>
              </w:rPr>
            </w:pPr>
            <w:r w:rsidRPr="00FD6CDE">
              <w:rPr>
                <w:b/>
                <w:snapToGrid w:val="0"/>
                <w:kern w:val="22"/>
                <w:sz w:val="20"/>
                <w:szCs w:val="20"/>
              </w:rPr>
              <w:t>11. Ridge South of the Azores</w:t>
            </w:r>
          </w:p>
          <w:p w14:paraId="07A97982" w14:textId="77777777" w:rsidR="006514DB" w:rsidRPr="00FD6CDE" w:rsidRDefault="006514DB" w:rsidP="006514DB">
            <w:pPr>
              <w:pStyle w:val="ListParagraph"/>
              <w:numPr>
                <w:ilvl w:val="0"/>
                <w:numId w:val="6"/>
              </w:numPr>
              <w:suppressLineNumbers/>
              <w:suppressAutoHyphens/>
              <w:kinsoku w:val="0"/>
              <w:overflowPunct w:val="0"/>
              <w:autoSpaceDE w:val="0"/>
              <w:autoSpaceDN w:val="0"/>
              <w:rPr>
                <w:rFonts w:eastAsia="MS Mincho"/>
                <w:snapToGrid w:val="0"/>
                <w:kern w:val="22"/>
                <w:sz w:val="20"/>
                <w:szCs w:val="20"/>
              </w:rPr>
            </w:pPr>
            <w:r w:rsidRPr="00FD6CDE">
              <w:rPr>
                <w:snapToGrid w:val="0"/>
                <w:kern w:val="22"/>
                <w:sz w:val="20"/>
                <w:szCs w:val="20"/>
              </w:rPr>
              <w:t xml:space="preserve">Location: </w:t>
            </w:r>
            <w:r w:rsidRPr="00FD6CDE">
              <w:rPr>
                <w:snapToGrid w:val="0"/>
                <w:kern w:val="22"/>
                <w:sz w:val="20"/>
                <w:szCs w:val="20"/>
                <w:lang w:eastAsia="ar-SA"/>
              </w:rPr>
              <w:t xml:space="preserve">The area is located on the Atlantic Ocean – South of the Azores. </w:t>
            </w:r>
            <w:r w:rsidRPr="00FD6CDE">
              <w:rPr>
                <w:bCs/>
                <w:iCs/>
                <w:sz w:val="20"/>
                <w:szCs w:val="20"/>
              </w:rPr>
              <w:t>This area has structures at depths ranging from 3460 m (inferred depth – south Oceanographer FZ), to the mid-range at 2320 m (measured depth – Rainbow), to the shallowest at Albert Monaco Ridge.</w:t>
            </w:r>
          </w:p>
          <w:p w14:paraId="0BA713AC" w14:textId="77777777" w:rsidR="006514DB" w:rsidRPr="00FD6CDE" w:rsidRDefault="006514DB" w:rsidP="006514DB">
            <w:pPr>
              <w:pStyle w:val="ListBullet"/>
              <w:numPr>
                <w:ilvl w:val="0"/>
                <w:numId w:val="6"/>
              </w:numPr>
              <w:suppressLineNumbers/>
              <w:suppressAutoHyphens/>
              <w:kinsoku w:val="0"/>
              <w:overflowPunct w:val="0"/>
              <w:autoSpaceDE w:val="0"/>
              <w:autoSpaceDN w:val="0"/>
              <w:rPr>
                <w:snapToGrid w:val="0"/>
                <w:kern w:val="22"/>
                <w:sz w:val="20"/>
                <w:szCs w:val="20"/>
              </w:rPr>
            </w:pPr>
            <w:r w:rsidRPr="00FD6CDE">
              <w:rPr>
                <w:rFonts w:eastAsia="MS Mincho"/>
                <w:snapToGrid w:val="0"/>
                <w:kern w:val="22"/>
                <w:sz w:val="20"/>
                <w:szCs w:val="20"/>
              </w:rPr>
              <w:t>This area encompasses the axial valley and ridge crests of the Mid-Atlantic Ridge, from the Menez Gwen hydrothermal vent field area to the Haynes fracture zone. At the east ridge crest, the area includes part of the Alberto Monaco Ridge and seamount-like features associated with the western portions of the ridge. The area includes three marine protected areas (</w:t>
            </w:r>
            <w:r w:rsidRPr="00FD6CDE">
              <w:rPr>
                <w:rFonts w:eastAsia="MS Mincho"/>
                <w:sz w:val="20"/>
                <w:szCs w:val="20"/>
              </w:rPr>
              <w:t xml:space="preserve">part of the OSPAR Network of Marine Protected </w:t>
            </w:r>
            <w:proofErr w:type="gramStart"/>
            <w:r w:rsidRPr="00FD6CDE">
              <w:rPr>
                <w:rFonts w:eastAsia="MS Mincho"/>
                <w:sz w:val="20"/>
                <w:szCs w:val="20"/>
              </w:rPr>
              <w:t>Areas)</w:t>
            </w:r>
            <w:r w:rsidRPr="00FD6CDE">
              <w:rPr>
                <w:rFonts w:eastAsia="MS Mincho"/>
                <w:snapToGrid w:val="0"/>
                <w:kern w:val="22"/>
                <w:sz w:val="20"/>
                <w:szCs w:val="20"/>
              </w:rPr>
              <w:t xml:space="preserve">  –</w:t>
            </w:r>
            <w:proofErr w:type="gramEnd"/>
            <w:r w:rsidRPr="00FD6CDE">
              <w:rPr>
                <w:rFonts w:eastAsia="MS Mincho"/>
                <w:snapToGrid w:val="0"/>
                <w:kern w:val="22"/>
                <w:sz w:val="20"/>
                <w:szCs w:val="20"/>
              </w:rPr>
              <w:t xml:space="preserve"> Lucky Strike, Menez Gwen and Rainbow vent fields. The features in this area are both hotspots of marine life and areas of enhanced productivity when compared with surrounding bathyal and abyssal areas. The hydrothermal temperatures range between 10ᵒ C (Menez Hom and Saldanha) and 362ᵒ C (Rainbow). The area also includes other seafloor features at the ridge crest that host sponge aggregations, cold-water corals and other charismatic fauna.</w:t>
            </w:r>
          </w:p>
        </w:tc>
        <w:tc>
          <w:tcPr>
            <w:tcW w:w="506" w:type="dxa"/>
            <w:vAlign w:val="center"/>
          </w:tcPr>
          <w:p w14:paraId="23AA5DBE"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59DAF499"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3FE682B9"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0931D7B1"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582C44AA"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355323C5"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7" w:type="dxa"/>
            <w:vAlign w:val="center"/>
          </w:tcPr>
          <w:p w14:paraId="519019A0"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r>
      <w:tr w:rsidR="006514DB" w:rsidRPr="00FD6CDE" w14:paraId="2FE4C301" w14:textId="77777777" w:rsidTr="00117478">
        <w:tc>
          <w:tcPr>
            <w:tcW w:w="9687" w:type="dxa"/>
            <w:shd w:val="clear" w:color="auto" w:fill="auto"/>
          </w:tcPr>
          <w:p w14:paraId="05ECB5D5" w14:textId="77777777" w:rsidR="006514DB" w:rsidRPr="00FD6CDE" w:rsidRDefault="006514DB" w:rsidP="00117478">
            <w:pPr>
              <w:suppressLineNumbers/>
              <w:suppressAutoHyphens/>
              <w:kinsoku w:val="0"/>
              <w:overflowPunct w:val="0"/>
              <w:autoSpaceDE w:val="0"/>
              <w:autoSpaceDN w:val="0"/>
              <w:snapToGrid w:val="0"/>
              <w:rPr>
                <w:b/>
                <w:snapToGrid w:val="0"/>
                <w:kern w:val="22"/>
                <w:sz w:val="20"/>
                <w:szCs w:val="20"/>
              </w:rPr>
            </w:pPr>
            <w:r w:rsidRPr="00FD6CDE">
              <w:rPr>
                <w:b/>
                <w:snapToGrid w:val="0"/>
                <w:kern w:val="22"/>
                <w:sz w:val="20"/>
                <w:szCs w:val="20"/>
              </w:rPr>
              <w:t>12. Graciosa</w:t>
            </w:r>
          </w:p>
          <w:p w14:paraId="65086459" w14:textId="77777777" w:rsidR="006514DB" w:rsidRPr="00FD6CDE" w:rsidRDefault="006514DB" w:rsidP="006514DB">
            <w:pPr>
              <w:pStyle w:val="ListParagraph"/>
              <w:numPr>
                <w:ilvl w:val="0"/>
                <w:numId w:val="11"/>
              </w:numPr>
              <w:suppressLineNumbers/>
              <w:suppressAutoHyphens/>
              <w:kinsoku w:val="0"/>
              <w:overflowPunct w:val="0"/>
              <w:autoSpaceDE w:val="0"/>
              <w:autoSpaceDN w:val="0"/>
              <w:ind w:left="395"/>
              <w:rPr>
                <w:snapToGrid w:val="0"/>
                <w:color w:val="000000"/>
                <w:kern w:val="22"/>
                <w:sz w:val="20"/>
                <w:szCs w:val="20"/>
              </w:rPr>
            </w:pPr>
            <w:r w:rsidRPr="00FD6CDE">
              <w:rPr>
                <w:snapToGrid w:val="0"/>
                <w:color w:val="000000"/>
                <w:kern w:val="22"/>
                <w:sz w:val="20"/>
                <w:szCs w:val="20"/>
              </w:rPr>
              <w:t xml:space="preserve">Location: This area encompasses the surrounding waters of Graciosa Island and two smaller islands: </w:t>
            </w:r>
            <w:proofErr w:type="spellStart"/>
            <w:r w:rsidRPr="00FD6CDE">
              <w:rPr>
                <w:snapToGrid w:val="0"/>
                <w:color w:val="000000"/>
                <w:kern w:val="22"/>
                <w:sz w:val="20"/>
                <w:szCs w:val="20"/>
              </w:rPr>
              <w:t>Baixo</w:t>
            </w:r>
            <w:proofErr w:type="spellEnd"/>
            <w:r w:rsidRPr="00FD6CDE">
              <w:rPr>
                <w:snapToGrid w:val="0"/>
                <w:color w:val="000000"/>
                <w:kern w:val="22"/>
                <w:sz w:val="20"/>
                <w:szCs w:val="20"/>
              </w:rPr>
              <w:t xml:space="preserve"> and Praia islets. It has an area of 277 km</w:t>
            </w:r>
            <w:r w:rsidRPr="00FD6CDE">
              <w:rPr>
                <w:snapToGrid w:val="0"/>
                <w:color w:val="000000"/>
                <w:kern w:val="22"/>
                <w:sz w:val="20"/>
                <w:szCs w:val="20"/>
                <w:vertAlign w:val="superscript"/>
              </w:rPr>
              <w:t>2</w:t>
            </w:r>
            <w:r w:rsidRPr="00FD6CDE">
              <w:rPr>
                <w:snapToGrid w:val="0"/>
                <w:color w:val="000000"/>
                <w:kern w:val="22"/>
                <w:sz w:val="20"/>
                <w:szCs w:val="20"/>
              </w:rPr>
              <w:t xml:space="preserve"> and is the northernmost island of the Azores, Portugal (39.05N/-27.99W).</w:t>
            </w:r>
          </w:p>
          <w:p w14:paraId="0DFE9E79" w14:textId="77777777" w:rsidR="006514DB" w:rsidRPr="00FD6CDE" w:rsidRDefault="006514DB" w:rsidP="006514DB">
            <w:pPr>
              <w:numPr>
                <w:ilvl w:val="0"/>
                <w:numId w:val="11"/>
              </w:numPr>
              <w:suppressLineNumbers/>
              <w:suppressAutoHyphens/>
              <w:kinsoku w:val="0"/>
              <w:overflowPunct w:val="0"/>
              <w:autoSpaceDE w:val="0"/>
              <w:autoSpaceDN w:val="0"/>
              <w:ind w:left="395"/>
              <w:rPr>
                <w:snapToGrid w:val="0"/>
                <w:kern w:val="22"/>
                <w:sz w:val="20"/>
                <w:szCs w:val="20"/>
              </w:rPr>
            </w:pPr>
            <w:r w:rsidRPr="00FD6CDE">
              <w:rPr>
                <w:snapToGrid w:val="0"/>
                <w:kern w:val="22"/>
                <w:sz w:val="20"/>
                <w:szCs w:val="20"/>
              </w:rPr>
              <w:t>This is a key area for the only breeding population of the vulnerable and endemic Monteiro’s storm-petrel (</w:t>
            </w:r>
            <w:proofErr w:type="spellStart"/>
            <w:r w:rsidRPr="00FD6CDE">
              <w:rPr>
                <w:i/>
                <w:iCs/>
                <w:snapToGrid w:val="0"/>
                <w:kern w:val="22"/>
                <w:sz w:val="20"/>
                <w:szCs w:val="20"/>
              </w:rPr>
              <w:t>Hydrobates</w:t>
            </w:r>
            <w:proofErr w:type="spellEnd"/>
            <w:r w:rsidRPr="00FD6CDE">
              <w:rPr>
                <w:i/>
                <w:iCs/>
                <w:snapToGrid w:val="0"/>
                <w:kern w:val="22"/>
                <w:sz w:val="20"/>
                <w:szCs w:val="20"/>
              </w:rPr>
              <w:t xml:space="preserve"> </w:t>
            </w:r>
            <w:proofErr w:type="spellStart"/>
            <w:r w:rsidRPr="00FD6CDE">
              <w:rPr>
                <w:i/>
                <w:iCs/>
                <w:snapToGrid w:val="0"/>
                <w:kern w:val="22"/>
                <w:sz w:val="20"/>
                <w:szCs w:val="20"/>
              </w:rPr>
              <w:t>monteiroi</w:t>
            </w:r>
            <w:proofErr w:type="spellEnd"/>
            <w:r w:rsidRPr="00FD6CDE">
              <w:rPr>
                <w:snapToGrid w:val="0"/>
                <w:kern w:val="22"/>
                <w:sz w:val="20"/>
                <w:szCs w:val="20"/>
              </w:rPr>
              <w:t>) and is also important for the breeding population of the Audubon’s shearwater (</w:t>
            </w:r>
            <w:proofErr w:type="spellStart"/>
            <w:r w:rsidRPr="00FD6CDE">
              <w:rPr>
                <w:i/>
                <w:iCs/>
                <w:snapToGrid w:val="0"/>
                <w:kern w:val="22"/>
                <w:sz w:val="20"/>
                <w:szCs w:val="20"/>
              </w:rPr>
              <w:t>Puffinus</w:t>
            </w:r>
            <w:proofErr w:type="spellEnd"/>
            <w:r w:rsidRPr="00FD6CDE">
              <w:rPr>
                <w:i/>
                <w:iCs/>
                <w:snapToGrid w:val="0"/>
                <w:kern w:val="22"/>
                <w:sz w:val="20"/>
                <w:szCs w:val="20"/>
              </w:rPr>
              <w:t xml:space="preserve"> </w:t>
            </w:r>
            <w:proofErr w:type="spellStart"/>
            <w:r w:rsidRPr="00FD6CDE">
              <w:rPr>
                <w:i/>
                <w:iCs/>
                <w:snapToGrid w:val="0"/>
                <w:kern w:val="22"/>
                <w:sz w:val="20"/>
                <w:szCs w:val="20"/>
              </w:rPr>
              <w:t>lherminieri</w:t>
            </w:r>
            <w:proofErr w:type="spellEnd"/>
            <w:r w:rsidRPr="00FD6CDE">
              <w:rPr>
                <w:i/>
                <w:iCs/>
                <w:snapToGrid w:val="0"/>
                <w:kern w:val="22"/>
                <w:sz w:val="20"/>
                <w:szCs w:val="20"/>
              </w:rPr>
              <w:t xml:space="preserve"> </w:t>
            </w:r>
            <w:proofErr w:type="spellStart"/>
            <w:r w:rsidRPr="00FD6CDE">
              <w:rPr>
                <w:i/>
                <w:iCs/>
                <w:snapToGrid w:val="0"/>
                <w:kern w:val="22"/>
                <w:sz w:val="20"/>
                <w:szCs w:val="20"/>
              </w:rPr>
              <w:t>baroli</w:t>
            </w:r>
            <w:proofErr w:type="spellEnd"/>
            <w:r w:rsidRPr="00FD6CDE">
              <w:rPr>
                <w:snapToGrid w:val="0"/>
                <w:kern w:val="22"/>
                <w:sz w:val="20"/>
                <w:szCs w:val="20"/>
              </w:rPr>
              <w:t>), which is listed by OSPAR as a threatened and/or declining species. Many other seabirds occur in these waters, such as band-</w:t>
            </w:r>
            <w:proofErr w:type="spellStart"/>
            <w:r w:rsidRPr="00FD6CDE">
              <w:rPr>
                <w:snapToGrid w:val="0"/>
                <w:kern w:val="22"/>
                <w:sz w:val="20"/>
                <w:szCs w:val="20"/>
              </w:rPr>
              <w:t>rumped</w:t>
            </w:r>
            <w:proofErr w:type="spellEnd"/>
            <w:r w:rsidRPr="00FD6CDE">
              <w:rPr>
                <w:snapToGrid w:val="0"/>
                <w:kern w:val="22"/>
                <w:sz w:val="20"/>
                <w:szCs w:val="20"/>
              </w:rPr>
              <w:t xml:space="preserve"> storm-petrel (</w:t>
            </w:r>
            <w:proofErr w:type="spellStart"/>
            <w:r w:rsidRPr="00FD6CDE">
              <w:rPr>
                <w:i/>
                <w:iCs/>
                <w:snapToGrid w:val="0"/>
                <w:kern w:val="22"/>
                <w:sz w:val="20"/>
                <w:szCs w:val="20"/>
              </w:rPr>
              <w:t>Hydrobates</w:t>
            </w:r>
            <w:proofErr w:type="spellEnd"/>
            <w:r w:rsidRPr="00FD6CDE">
              <w:rPr>
                <w:i/>
                <w:iCs/>
                <w:snapToGrid w:val="0"/>
                <w:kern w:val="22"/>
                <w:sz w:val="20"/>
                <w:szCs w:val="20"/>
              </w:rPr>
              <w:t xml:space="preserve"> </w:t>
            </w:r>
            <w:proofErr w:type="spellStart"/>
            <w:r w:rsidRPr="00FD6CDE">
              <w:rPr>
                <w:i/>
                <w:iCs/>
                <w:snapToGrid w:val="0"/>
                <w:kern w:val="22"/>
                <w:sz w:val="20"/>
                <w:szCs w:val="20"/>
              </w:rPr>
              <w:t>castro</w:t>
            </w:r>
            <w:proofErr w:type="spellEnd"/>
            <w:r w:rsidRPr="00FD6CDE">
              <w:rPr>
                <w:snapToGrid w:val="0"/>
                <w:kern w:val="22"/>
                <w:sz w:val="20"/>
                <w:szCs w:val="20"/>
              </w:rPr>
              <w:t>), Cory’s shearwater (</w:t>
            </w:r>
            <w:proofErr w:type="spellStart"/>
            <w:r w:rsidRPr="00FD6CDE">
              <w:rPr>
                <w:i/>
                <w:iCs/>
                <w:snapToGrid w:val="0"/>
                <w:kern w:val="22"/>
                <w:sz w:val="20"/>
                <w:szCs w:val="20"/>
              </w:rPr>
              <w:t>Calonectris</w:t>
            </w:r>
            <w:proofErr w:type="spellEnd"/>
            <w:r w:rsidRPr="00FD6CDE">
              <w:rPr>
                <w:i/>
                <w:iCs/>
                <w:snapToGrid w:val="0"/>
                <w:kern w:val="22"/>
                <w:sz w:val="20"/>
                <w:szCs w:val="20"/>
              </w:rPr>
              <w:t xml:space="preserve"> borealis</w:t>
            </w:r>
            <w:r w:rsidRPr="00FD6CDE">
              <w:rPr>
                <w:snapToGrid w:val="0"/>
                <w:kern w:val="22"/>
                <w:sz w:val="20"/>
                <w:szCs w:val="20"/>
              </w:rPr>
              <w:t>), common tern (</w:t>
            </w:r>
            <w:r w:rsidRPr="00FD6CDE">
              <w:rPr>
                <w:i/>
                <w:iCs/>
                <w:snapToGrid w:val="0"/>
                <w:kern w:val="22"/>
                <w:sz w:val="20"/>
                <w:szCs w:val="20"/>
              </w:rPr>
              <w:t xml:space="preserve">Sterna </w:t>
            </w:r>
            <w:proofErr w:type="spellStart"/>
            <w:r w:rsidRPr="00FD6CDE">
              <w:rPr>
                <w:i/>
                <w:iCs/>
                <w:snapToGrid w:val="0"/>
                <w:kern w:val="22"/>
                <w:sz w:val="20"/>
                <w:szCs w:val="20"/>
              </w:rPr>
              <w:t>hirundo</w:t>
            </w:r>
            <w:proofErr w:type="spellEnd"/>
            <w:r w:rsidRPr="00FD6CDE">
              <w:rPr>
                <w:snapToGrid w:val="0"/>
                <w:kern w:val="22"/>
                <w:sz w:val="20"/>
                <w:szCs w:val="20"/>
              </w:rPr>
              <w:t>) and roseate tern (</w:t>
            </w:r>
            <w:r w:rsidRPr="00FD6CDE">
              <w:rPr>
                <w:i/>
                <w:iCs/>
                <w:snapToGrid w:val="0"/>
                <w:kern w:val="22"/>
                <w:sz w:val="20"/>
                <w:szCs w:val="20"/>
              </w:rPr>
              <w:t xml:space="preserve">Sterna </w:t>
            </w:r>
            <w:proofErr w:type="spellStart"/>
            <w:r w:rsidRPr="00FD6CDE">
              <w:rPr>
                <w:i/>
                <w:iCs/>
                <w:snapToGrid w:val="0"/>
                <w:kern w:val="22"/>
                <w:sz w:val="20"/>
                <w:szCs w:val="20"/>
              </w:rPr>
              <w:t>dougallii</w:t>
            </w:r>
            <w:proofErr w:type="spellEnd"/>
            <w:r w:rsidRPr="00FD6CDE">
              <w:rPr>
                <w:snapToGrid w:val="0"/>
                <w:kern w:val="22"/>
                <w:sz w:val="20"/>
                <w:szCs w:val="20"/>
              </w:rPr>
              <w:t xml:space="preserve">). </w:t>
            </w:r>
            <w:proofErr w:type="gramStart"/>
            <w:r w:rsidRPr="00FD6CDE">
              <w:rPr>
                <w:snapToGrid w:val="0"/>
                <w:kern w:val="22"/>
                <w:sz w:val="20"/>
                <w:szCs w:val="20"/>
              </w:rPr>
              <w:t>All of</w:t>
            </w:r>
            <w:proofErr w:type="gramEnd"/>
            <w:r w:rsidRPr="00FD6CDE">
              <w:rPr>
                <w:snapToGrid w:val="0"/>
                <w:kern w:val="22"/>
                <w:sz w:val="20"/>
                <w:szCs w:val="20"/>
              </w:rPr>
              <w:t xml:space="preserve"> these species have low recovery rates and are highly sensitive to environmental degradation or depletion by human activity.</w:t>
            </w:r>
          </w:p>
        </w:tc>
        <w:tc>
          <w:tcPr>
            <w:tcW w:w="506" w:type="dxa"/>
            <w:vAlign w:val="center"/>
          </w:tcPr>
          <w:p w14:paraId="7C125042" w14:textId="77777777" w:rsidR="006514DB" w:rsidRPr="00FD6CDE" w:rsidRDefault="006514DB" w:rsidP="00117478">
            <w:pPr>
              <w:suppressLineNumbers/>
              <w:suppressAutoHyphens/>
              <w:kinsoku w:val="0"/>
              <w:overflowPunct w:val="0"/>
              <w:autoSpaceDE w:val="0"/>
              <w:autoSpaceDN w:val="0"/>
              <w:snapToGrid w:val="0"/>
              <w:jc w:val="center"/>
              <w:rPr>
                <w:snapToGrid w:val="0"/>
                <w:color w:val="000000"/>
                <w:kern w:val="22"/>
                <w:sz w:val="20"/>
                <w:szCs w:val="20"/>
              </w:rPr>
            </w:pPr>
            <w:r w:rsidRPr="00FD6CDE">
              <w:rPr>
                <w:snapToGrid w:val="0"/>
                <w:color w:val="000000"/>
                <w:kern w:val="22"/>
                <w:sz w:val="20"/>
                <w:szCs w:val="20"/>
              </w:rPr>
              <w:t>H</w:t>
            </w:r>
          </w:p>
        </w:tc>
        <w:tc>
          <w:tcPr>
            <w:tcW w:w="506" w:type="dxa"/>
            <w:vAlign w:val="center"/>
          </w:tcPr>
          <w:p w14:paraId="659DFF0B" w14:textId="77777777" w:rsidR="006514DB" w:rsidRPr="00FD6CDE" w:rsidRDefault="006514DB" w:rsidP="00117478">
            <w:pPr>
              <w:suppressLineNumbers/>
              <w:suppressAutoHyphens/>
              <w:kinsoku w:val="0"/>
              <w:overflowPunct w:val="0"/>
              <w:autoSpaceDE w:val="0"/>
              <w:autoSpaceDN w:val="0"/>
              <w:snapToGrid w:val="0"/>
              <w:jc w:val="center"/>
              <w:rPr>
                <w:snapToGrid w:val="0"/>
                <w:color w:val="000000"/>
                <w:kern w:val="22"/>
                <w:sz w:val="20"/>
                <w:szCs w:val="20"/>
              </w:rPr>
            </w:pPr>
            <w:r w:rsidRPr="00FD6CDE">
              <w:rPr>
                <w:snapToGrid w:val="0"/>
                <w:color w:val="000000"/>
                <w:kern w:val="22"/>
                <w:sz w:val="20"/>
                <w:szCs w:val="20"/>
              </w:rPr>
              <w:t>H</w:t>
            </w:r>
          </w:p>
        </w:tc>
        <w:tc>
          <w:tcPr>
            <w:tcW w:w="506" w:type="dxa"/>
            <w:vAlign w:val="center"/>
          </w:tcPr>
          <w:p w14:paraId="794E27A1" w14:textId="77777777" w:rsidR="006514DB" w:rsidRPr="00FD6CDE" w:rsidRDefault="006514DB" w:rsidP="00117478">
            <w:pPr>
              <w:suppressLineNumbers/>
              <w:suppressAutoHyphens/>
              <w:kinsoku w:val="0"/>
              <w:overflowPunct w:val="0"/>
              <w:autoSpaceDE w:val="0"/>
              <w:autoSpaceDN w:val="0"/>
              <w:snapToGrid w:val="0"/>
              <w:jc w:val="center"/>
              <w:rPr>
                <w:snapToGrid w:val="0"/>
                <w:color w:val="000000"/>
                <w:kern w:val="22"/>
                <w:sz w:val="20"/>
                <w:szCs w:val="20"/>
              </w:rPr>
            </w:pPr>
            <w:r w:rsidRPr="00FD6CDE">
              <w:rPr>
                <w:snapToGrid w:val="0"/>
                <w:color w:val="000000"/>
                <w:kern w:val="22"/>
                <w:sz w:val="20"/>
                <w:szCs w:val="20"/>
              </w:rPr>
              <w:t>H</w:t>
            </w:r>
          </w:p>
        </w:tc>
        <w:tc>
          <w:tcPr>
            <w:tcW w:w="506" w:type="dxa"/>
            <w:vAlign w:val="center"/>
          </w:tcPr>
          <w:p w14:paraId="46533523" w14:textId="77777777" w:rsidR="006514DB" w:rsidRPr="00FD6CDE" w:rsidRDefault="006514DB" w:rsidP="00117478">
            <w:pPr>
              <w:suppressLineNumbers/>
              <w:suppressAutoHyphens/>
              <w:kinsoku w:val="0"/>
              <w:overflowPunct w:val="0"/>
              <w:autoSpaceDE w:val="0"/>
              <w:autoSpaceDN w:val="0"/>
              <w:snapToGrid w:val="0"/>
              <w:jc w:val="center"/>
              <w:rPr>
                <w:snapToGrid w:val="0"/>
                <w:color w:val="000000"/>
                <w:kern w:val="22"/>
                <w:sz w:val="20"/>
                <w:szCs w:val="20"/>
              </w:rPr>
            </w:pPr>
            <w:r w:rsidRPr="00FD6CDE">
              <w:rPr>
                <w:snapToGrid w:val="0"/>
                <w:color w:val="000000"/>
                <w:kern w:val="22"/>
                <w:sz w:val="20"/>
                <w:szCs w:val="20"/>
              </w:rPr>
              <w:t>H</w:t>
            </w:r>
          </w:p>
        </w:tc>
        <w:tc>
          <w:tcPr>
            <w:tcW w:w="506" w:type="dxa"/>
            <w:vAlign w:val="center"/>
          </w:tcPr>
          <w:p w14:paraId="012A5E0E" w14:textId="77777777" w:rsidR="006514DB" w:rsidRPr="00FD6CDE" w:rsidRDefault="006514DB" w:rsidP="00117478">
            <w:pPr>
              <w:suppressLineNumbers/>
              <w:suppressAutoHyphens/>
              <w:kinsoku w:val="0"/>
              <w:overflowPunct w:val="0"/>
              <w:autoSpaceDE w:val="0"/>
              <w:autoSpaceDN w:val="0"/>
              <w:snapToGrid w:val="0"/>
              <w:jc w:val="center"/>
              <w:rPr>
                <w:snapToGrid w:val="0"/>
                <w:color w:val="000000"/>
                <w:kern w:val="22"/>
                <w:sz w:val="20"/>
                <w:szCs w:val="20"/>
              </w:rPr>
            </w:pPr>
            <w:r w:rsidRPr="00FD6CDE">
              <w:rPr>
                <w:snapToGrid w:val="0"/>
                <w:color w:val="000000"/>
                <w:kern w:val="22"/>
                <w:sz w:val="20"/>
                <w:szCs w:val="20"/>
              </w:rPr>
              <w:t>-</w:t>
            </w:r>
          </w:p>
        </w:tc>
        <w:tc>
          <w:tcPr>
            <w:tcW w:w="506" w:type="dxa"/>
            <w:vAlign w:val="center"/>
          </w:tcPr>
          <w:p w14:paraId="5166E67F" w14:textId="77777777" w:rsidR="006514DB" w:rsidRPr="00FD6CDE" w:rsidRDefault="006514DB" w:rsidP="00117478">
            <w:pPr>
              <w:suppressLineNumbers/>
              <w:suppressAutoHyphens/>
              <w:kinsoku w:val="0"/>
              <w:overflowPunct w:val="0"/>
              <w:autoSpaceDE w:val="0"/>
              <w:autoSpaceDN w:val="0"/>
              <w:snapToGrid w:val="0"/>
              <w:jc w:val="center"/>
              <w:rPr>
                <w:snapToGrid w:val="0"/>
                <w:color w:val="000000"/>
                <w:kern w:val="22"/>
                <w:sz w:val="20"/>
                <w:szCs w:val="20"/>
              </w:rPr>
            </w:pPr>
            <w:r w:rsidRPr="00FD6CDE">
              <w:rPr>
                <w:snapToGrid w:val="0"/>
                <w:color w:val="000000"/>
                <w:kern w:val="22"/>
                <w:sz w:val="20"/>
                <w:szCs w:val="20"/>
              </w:rPr>
              <w:t>-</w:t>
            </w:r>
          </w:p>
        </w:tc>
        <w:tc>
          <w:tcPr>
            <w:tcW w:w="507" w:type="dxa"/>
            <w:vAlign w:val="center"/>
          </w:tcPr>
          <w:p w14:paraId="73A584CE" w14:textId="77777777" w:rsidR="006514DB" w:rsidRPr="00FD6CDE" w:rsidRDefault="006514DB" w:rsidP="00117478">
            <w:pPr>
              <w:suppressLineNumbers/>
              <w:suppressAutoHyphens/>
              <w:kinsoku w:val="0"/>
              <w:overflowPunct w:val="0"/>
              <w:autoSpaceDE w:val="0"/>
              <w:autoSpaceDN w:val="0"/>
              <w:snapToGrid w:val="0"/>
              <w:jc w:val="center"/>
              <w:rPr>
                <w:snapToGrid w:val="0"/>
                <w:color w:val="000000"/>
                <w:kern w:val="22"/>
                <w:sz w:val="20"/>
                <w:szCs w:val="20"/>
              </w:rPr>
            </w:pPr>
            <w:r w:rsidRPr="00FD6CDE">
              <w:rPr>
                <w:snapToGrid w:val="0"/>
                <w:color w:val="000000"/>
                <w:kern w:val="22"/>
                <w:sz w:val="20"/>
                <w:szCs w:val="20"/>
              </w:rPr>
              <w:t>-</w:t>
            </w:r>
          </w:p>
        </w:tc>
      </w:tr>
      <w:tr w:rsidR="006514DB" w:rsidRPr="00FD6CDE" w14:paraId="58F650E8" w14:textId="77777777" w:rsidTr="00117478">
        <w:tc>
          <w:tcPr>
            <w:tcW w:w="9687" w:type="dxa"/>
            <w:shd w:val="clear" w:color="auto" w:fill="auto"/>
          </w:tcPr>
          <w:p w14:paraId="7619D40D" w14:textId="77777777" w:rsidR="006514DB" w:rsidRPr="00FD6CDE" w:rsidRDefault="006514DB" w:rsidP="00117478">
            <w:pPr>
              <w:suppressLineNumbers/>
              <w:suppressAutoHyphens/>
              <w:kinsoku w:val="0"/>
              <w:overflowPunct w:val="0"/>
              <w:autoSpaceDE w:val="0"/>
              <w:autoSpaceDN w:val="0"/>
              <w:jc w:val="left"/>
              <w:outlineLvl w:val="1"/>
              <w:rPr>
                <w:b/>
                <w:snapToGrid w:val="0"/>
                <w:kern w:val="22"/>
                <w:sz w:val="20"/>
                <w:szCs w:val="20"/>
              </w:rPr>
            </w:pPr>
            <w:bookmarkStart w:id="7" w:name="_Toc118355040"/>
            <w:r w:rsidRPr="00FD6CDE">
              <w:rPr>
                <w:b/>
                <w:snapToGrid w:val="0"/>
                <w:kern w:val="22"/>
                <w:sz w:val="20"/>
                <w:szCs w:val="20"/>
              </w:rPr>
              <w:t>13. North Azores Plateau</w:t>
            </w:r>
            <w:bookmarkEnd w:id="7"/>
          </w:p>
          <w:p w14:paraId="57E8FCFE" w14:textId="77777777" w:rsidR="006514DB" w:rsidRPr="00FD6CDE" w:rsidRDefault="006514DB" w:rsidP="006514DB">
            <w:pPr>
              <w:numPr>
                <w:ilvl w:val="0"/>
                <w:numId w:val="12"/>
              </w:numPr>
              <w:suppressLineNumbers/>
              <w:suppressAutoHyphens/>
              <w:kinsoku w:val="0"/>
              <w:overflowPunct w:val="0"/>
              <w:autoSpaceDE w:val="0"/>
              <w:autoSpaceDN w:val="0"/>
              <w:ind w:left="395"/>
              <w:rPr>
                <w:snapToGrid w:val="0"/>
                <w:kern w:val="22"/>
                <w:sz w:val="20"/>
                <w:szCs w:val="20"/>
              </w:rPr>
            </w:pPr>
            <w:r w:rsidRPr="00FD6CDE">
              <w:rPr>
                <w:snapToGrid w:val="0"/>
                <w:kern w:val="22"/>
                <w:sz w:val="20"/>
                <w:szCs w:val="20"/>
              </w:rPr>
              <w:lastRenderedPageBreak/>
              <w:t>Location: The area is spread over a wide part of the Atlantic Ocean, north of the Azores. The area is home to multiple types of structures (i.e., hydrothermal vent field, Mid-Atlantic Ridge North of the Azores High Seas Marine Protected Area, seamounts), which are very distinct in terms of biology and geology, and which have different compositions, locations and ages.</w:t>
            </w:r>
          </w:p>
          <w:p w14:paraId="203E894C" w14:textId="77777777" w:rsidR="006514DB" w:rsidRPr="00FD6CDE" w:rsidRDefault="006514DB" w:rsidP="006514DB">
            <w:pPr>
              <w:numPr>
                <w:ilvl w:val="0"/>
                <w:numId w:val="12"/>
              </w:numPr>
              <w:suppressLineNumbers/>
              <w:suppressAutoHyphens/>
              <w:kinsoku w:val="0"/>
              <w:overflowPunct w:val="0"/>
              <w:autoSpaceDE w:val="0"/>
              <w:autoSpaceDN w:val="0"/>
              <w:ind w:left="395"/>
              <w:rPr>
                <w:snapToGrid w:val="0"/>
                <w:kern w:val="22"/>
                <w:sz w:val="20"/>
                <w:szCs w:val="20"/>
              </w:rPr>
            </w:pPr>
            <w:r w:rsidRPr="00FD6CDE">
              <w:rPr>
                <w:snapToGrid w:val="0"/>
                <w:kern w:val="22"/>
                <w:sz w:val="20"/>
                <w:szCs w:val="20"/>
              </w:rPr>
              <w:t xml:space="preserve">This area is composed of several seamounts, one hydrothermal vent field, an undersea trough and a large portion of the Mid-Atlantic Ridge north of the Azores Plateau. The structures in this area are hotspots of marine life and, in general, are areas of enhanced productivity, especially when compared with surrounding abyssal areas. The </w:t>
            </w:r>
            <w:proofErr w:type="spellStart"/>
            <w:r w:rsidRPr="00FD6CDE">
              <w:rPr>
                <w:snapToGrid w:val="0"/>
                <w:kern w:val="22"/>
                <w:sz w:val="20"/>
                <w:szCs w:val="20"/>
              </w:rPr>
              <w:t>Moytirra</w:t>
            </w:r>
            <w:proofErr w:type="spellEnd"/>
            <w:r w:rsidRPr="00FD6CDE">
              <w:rPr>
                <w:snapToGrid w:val="0"/>
                <w:kern w:val="22"/>
                <w:sz w:val="20"/>
                <w:szCs w:val="20"/>
              </w:rPr>
              <w:t xml:space="preserve"> is the first known deep-sea hydrothermal vent field on the slow-spreading Mid-Atlantic Ridge north of the Azores, making this area highly unique. A total of 536 species have been observed in this area, 6 per cent of which are protected under international or regional law.</w:t>
            </w:r>
          </w:p>
        </w:tc>
        <w:tc>
          <w:tcPr>
            <w:tcW w:w="506" w:type="dxa"/>
            <w:vAlign w:val="center"/>
          </w:tcPr>
          <w:p w14:paraId="1A25E71A" w14:textId="77777777" w:rsidR="006514DB" w:rsidRPr="00FD6CDE" w:rsidRDefault="006514DB" w:rsidP="00117478">
            <w:pPr>
              <w:suppressLineNumbers/>
              <w:suppressAutoHyphens/>
              <w:kinsoku w:val="0"/>
              <w:overflowPunct w:val="0"/>
              <w:autoSpaceDE w:val="0"/>
              <w:autoSpaceDN w:val="0"/>
              <w:snapToGrid w:val="0"/>
              <w:jc w:val="center"/>
              <w:rPr>
                <w:snapToGrid w:val="0"/>
                <w:color w:val="000000"/>
                <w:kern w:val="22"/>
                <w:sz w:val="20"/>
                <w:szCs w:val="20"/>
              </w:rPr>
            </w:pPr>
            <w:r w:rsidRPr="00FD6CDE">
              <w:rPr>
                <w:snapToGrid w:val="0"/>
                <w:color w:val="000000"/>
                <w:kern w:val="22"/>
                <w:sz w:val="20"/>
                <w:szCs w:val="20"/>
              </w:rPr>
              <w:lastRenderedPageBreak/>
              <w:t>H</w:t>
            </w:r>
          </w:p>
        </w:tc>
        <w:tc>
          <w:tcPr>
            <w:tcW w:w="506" w:type="dxa"/>
            <w:vAlign w:val="center"/>
          </w:tcPr>
          <w:p w14:paraId="3B1F96A7" w14:textId="77777777" w:rsidR="006514DB" w:rsidRPr="00FD6CDE" w:rsidRDefault="006514DB" w:rsidP="00117478">
            <w:pPr>
              <w:suppressLineNumbers/>
              <w:suppressAutoHyphens/>
              <w:kinsoku w:val="0"/>
              <w:overflowPunct w:val="0"/>
              <w:autoSpaceDE w:val="0"/>
              <w:autoSpaceDN w:val="0"/>
              <w:snapToGrid w:val="0"/>
              <w:jc w:val="center"/>
              <w:rPr>
                <w:snapToGrid w:val="0"/>
                <w:color w:val="000000"/>
                <w:kern w:val="22"/>
                <w:sz w:val="20"/>
                <w:szCs w:val="20"/>
              </w:rPr>
            </w:pPr>
            <w:r w:rsidRPr="00FD6CDE">
              <w:rPr>
                <w:snapToGrid w:val="0"/>
                <w:color w:val="000000"/>
                <w:kern w:val="22"/>
                <w:sz w:val="20"/>
                <w:szCs w:val="20"/>
              </w:rPr>
              <w:t>H</w:t>
            </w:r>
          </w:p>
        </w:tc>
        <w:tc>
          <w:tcPr>
            <w:tcW w:w="506" w:type="dxa"/>
            <w:vAlign w:val="center"/>
          </w:tcPr>
          <w:p w14:paraId="45E36613" w14:textId="77777777" w:rsidR="006514DB" w:rsidRPr="00FD6CDE" w:rsidRDefault="006514DB" w:rsidP="00117478">
            <w:pPr>
              <w:suppressLineNumbers/>
              <w:suppressAutoHyphens/>
              <w:kinsoku w:val="0"/>
              <w:overflowPunct w:val="0"/>
              <w:autoSpaceDE w:val="0"/>
              <w:autoSpaceDN w:val="0"/>
              <w:snapToGrid w:val="0"/>
              <w:jc w:val="center"/>
              <w:rPr>
                <w:snapToGrid w:val="0"/>
                <w:color w:val="000000"/>
                <w:kern w:val="22"/>
                <w:sz w:val="20"/>
                <w:szCs w:val="20"/>
              </w:rPr>
            </w:pPr>
            <w:r w:rsidRPr="00FD6CDE">
              <w:rPr>
                <w:snapToGrid w:val="0"/>
                <w:color w:val="000000"/>
                <w:kern w:val="22"/>
                <w:sz w:val="20"/>
                <w:szCs w:val="20"/>
              </w:rPr>
              <w:t>H</w:t>
            </w:r>
          </w:p>
        </w:tc>
        <w:tc>
          <w:tcPr>
            <w:tcW w:w="506" w:type="dxa"/>
            <w:vAlign w:val="center"/>
          </w:tcPr>
          <w:p w14:paraId="3FCFC5D6" w14:textId="77777777" w:rsidR="006514DB" w:rsidRPr="00FD6CDE" w:rsidRDefault="006514DB" w:rsidP="00117478">
            <w:pPr>
              <w:suppressLineNumbers/>
              <w:suppressAutoHyphens/>
              <w:kinsoku w:val="0"/>
              <w:overflowPunct w:val="0"/>
              <w:autoSpaceDE w:val="0"/>
              <w:autoSpaceDN w:val="0"/>
              <w:snapToGrid w:val="0"/>
              <w:jc w:val="center"/>
              <w:rPr>
                <w:snapToGrid w:val="0"/>
                <w:color w:val="000000"/>
                <w:kern w:val="22"/>
                <w:sz w:val="20"/>
                <w:szCs w:val="20"/>
              </w:rPr>
            </w:pPr>
            <w:r w:rsidRPr="00FD6CDE">
              <w:rPr>
                <w:snapToGrid w:val="0"/>
                <w:color w:val="000000"/>
                <w:kern w:val="22"/>
                <w:sz w:val="20"/>
                <w:szCs w:val="20"/>
              </w:rPr>
              <w:t>H</w:t>
            </w:r>
          </w:p>
        </w:tc>
        <w:tc>
          <w:tcPr>
            <w:tcW w:w="506" w:type="dxa"/>
            <w:vAlign w:val="center"/>
          </w:tcPr>
          <w:p w14:paraId="20E581E7" w14:textId="77777777" w:rsidR="006514DB" w:rsidRPr="00FD6CDE" w:rsidRDefault="006514DB" w:rsidP="00117478">
            <w:pPr>
              <w:suppressLineNumbers/>
              <w:suppressAutoHyphens/>
              <w:kinsoku w:val="0"/>
              <w:overflowPunct w:val="0"/>
              <w:autoSpaceDE w:val="0"/>
              <w:autoSpaceDN w:val="0"/>
              <w:snapToGrid w:val="0"/>
              <w:jc w:val="center"/>
              <w:rPr>
                <w:snapToGrid w:val="0"/>
                <w:color w:val="000000"/>
                <w:kern w:val="22"/>
                <w:sz w:val="20"/>
                <w:szCs w:val="20"/>
              </w:rPr>
            </w:pPr>
            <w:r w:rsidRPr="00FD6CDE">
              <w:rPr>
                <w:snapToGrid w:val="0"/>
                <w:color w:val="000000"/>
                <w:kern w:val="22"/>
                <w:sz w:val="20"/>
                <w:szCs w:val="20"/>
              </w:rPr>
              <w:t>M</w:t>
            </w:r>
          </w:p>
        </w:tc>
        <w:tc>
          <w:tcPr>
            <w:tcW w:w="506" w:type="dxa"/>
            <w:vAlign w:val="center"/>
          </w:tcPr>
          <w:p w14:paraId="1FB5489F" w14:textId="77777777" w:rsidR="006514DB" w:rsidRPr="00FD6CDE" w:rsidRDefault="006514DB" w:rsidP="00117478">
            <w:pPr>
              <w:suppressLineNumbers/>
              <w:suppressAutoHyphens/>
              <w:kinsoku w:val="0"/>
              <w:overflowPunct w:val="0"/>
              <w:autoSpaceDE w:val="0"/>
              <w:autoSpaceDN w:val="0"/>
              <w:snapToGrid w:val="0"/>
              <w:jc w:val="center"/>
              <w:rPr>
                <w:snapToGrid w:val="0"/>
                <w:color w:val="000000"/>
                <w:kern w:val="22"/>
                <w:sz w:val="20"/>
                <w:szCs w:val="20"/>
              </w:rPr>
            </w:pPr>
            <w:r w:rsidRPr="00FD6CDE">
              <w:rPr>
                <w:snapToGrid w:val="0"/>
                <w:color w:val="000000"/>
                <w:kern w:val="22"/>
                <w:sz w:val="20"/>
                <w:szCs w:val="20"/>
              </w:rPr>
              <w:t>H</w:t>
            </w:r>
          </w:p>
        </w:tc>
        <w:tc>
          <w:tcPr>
            <w:tcW w:w="507" w:type="dxa"/>
            <w:vAlign w:val="center"/>
          </w:tcPr>
          <w:p w14:paraId="08AFBD1A" w14:textId="77777777" w:rsidR="006514DB" w:rsidRPr="00FD6CDE" w:rsidRDefault="006514DB" w:rsidP="00117478">
            <w:pPr>
              <w:suppressLineNumbers/>
              <w:suppressAutoHyphens/>
              <w:kinsoku w:val="0"/>
              <w:overflowPunct w:val="0"/>
              <w:autoSpaceDE w:val="0"/>
              <w:autoSpaceDN w:val="0"/>
              <w:snapToGrid w:val="0"/>
              <w:jc w:val="center"/>
              <w:rPr>
                <w:snapToGrid w:val="0"/>
                <w:color w:val="000000"/>
                <w:kern w:val="22"/>
                <w:sz w:val="20"/>
                <w:szCs w:val="20"/>
              </w:rPr>
            </w:pPr>
            <w:r w:rsidRPr="00FD6CDE">
              <w:rPr>
                <w:snapToGrid w:val="0"/>
                <w:color w:val="000000"/>
                <w:kern w:val="22"/>
                <w:sz w:val="20"/>
                <w:szCs w:val="20"/>
              </w:rPr>
              <w:t>M</w:t>
            </w:r>
          </w:p>
        </w:tc>
      </w:tr>
      <w:tr w:rsidR="006514DB" w:rsidRPr="00FD6CDE" w14:paraId="0AFD4329" w14:textId="77777777" w:rsidTr="00117478">
        <w:tc>
          <w:tcPr>
            <w:tcW w:w="9687" w:type="dxa"/>
            <w:shd w:val="clear" w:color="auto" w:fill="auto"/>
          </w:tcPr>
          <w:p w14:paraId="7C8AB28A" w14:textId="77777777" w:rsidR="006514DB" w:rsidRPr="00FD6CDE" w:rsidRDefault="006514DB" w:rsidP="00117478">
            <w:pPr>
              <w:suppressLineNumbers/>
              <w:suppressAutoHyphens/>
              <w:kinsoku w:val="0"/>
              <w:overflowPunct w:val="0"/>
              <w:autoSpaceDE w:val="0"/>
              <w:autoSpaceDN w:val="0"/>
              <w:jc w:val="left"/>
              <w:outlineLvl w:val="1"/>
              <w:rPr>
                <w:b/>
                <w:caps/>
                <w:snapToGrid w:val="0"/>
                <w:kern w:val="22"/>
                <w:sz w:val="20"/>
                <w:szCs w:val="20"/>
              </w:rPr>
            </w:pPr>
            <w:bookmarkStart w:id="8" w:name="_Toc118355041"/>
            <w:r w:rsidRPr="00FD6CDE">
              <w:rPr>
                <w:b/>
                <w:snapToGrid w:val="0"/>
                <w:kern w:val="22"/>
                <w:sz w:val="20"/>
                <w:szCs w:val="20"/>
              </w:rPr>
              <w:t>14. Mid-North-Atlantic Frontal System</w:t>
            </w:r>
            <w:bookmarkEnd w:id="8"/>
          </w:p>
          <w:p w14:paraId="6FF0454D" w14:textId="77777777" w:rsidR="006514DB" w:rsidRPr="00FD6CDE" w:rsidRDefault="006514DB" w:rsidP="006514DB">
            <w:pPr>
              <w:numPr>
                <w:ilvl w:val="0"/>
                <w:numId w:val="17"/>
              </w:numPr>
              <w:suppressLineNumbers/>
              <w:suppressAutoHyphens/>
              <w:kinsoku w:val="0"/>
              <w:overflowPunct w:val="0"/>
              <w:autoSpaceDE w:val="0"/>
              <w:autoSpaceDN w:val="0"/>
              <w:rPr>
                <w:snapToGrid w:val="0"/>
                <w:kern w:val="22"/>
                <w:sz w:val="20"/>
                <w:szCs w:val="20"/>
              </w:rPr>
            </w:pPr>
            <w:r w:rsidRPr="00FD6CDE">
              <w:rPr>
                <w:snapToGrid w:val="0"/>
                <w:kern w:val="22"/>
                <w:sz w:val="20"/>
                <w:szCs w:val="20"/>
              </w:rPr>
              <w:t>Location: This area has a well-defined western boundary (front), coinciding with the maritime boundary of the OSPAR Commission. It extends north along the east flank of the Grand Banks, where it forms a loop called the Northwest Corner and continues to the east. The northern boundary is defined by the northern extent of the Subpolar Front at 54°N. The North Subarctic Front is topographically fixed at the Charlie-Gibbs Fracture Zone at 30°W. It is known that the North Atlantic Current and frontal branches vary strongly, with latitudinal shifts up to 250-300 km. Thus, maps of annual means have been used to ensure that the area’s full temporal variability has been captured.</w:t>
            </w:r>
          </w:p>
          <w:p w14:paraId="6F9F8DD6" w14:textId="77777777" w:rsidR="006514DB" w:rsidRPr="00FD6CDE" w:rsidRDefault="006514DB" w:rsidP="006514DB">
            <w:pPr>
              <w:numPr>
                <w:ilvl w:val="0"/>
                <w:numId w:val="13"/>
              </w:numPr>
              <w:suppressLineNumbers/>
              <w:suppressAutoHyphens/>
              <w:kinsoku w:val="0"/>
              <w:overflowPunct w:val="0"/>
              <w:autoSpaceDE w:val="0"/>
              <w:autoSpaceDN w:val="0"/>
              <w:ind w:left="360"/>
              <w:rPr>
                <w:snapToGrid w:val="0"/>
                <w:kern w:val="22"/>
                <w:sz w:val="20"/>
                <w:szCs w:val="20"/>
              </w:rPr>
            </w:pPr>
            <w:r w:rsidRPr="00FD6CDE">
              <w:rPr>
                <w:snapToGrid w:val="0"/>
                <w:kern w:val="22"/>
                <w:sz w:val="20"/>
                <w:szCs w:val="20"/>
              </w:rPr>
              <w:t>This is a remote area of intense mesoscale activity with near stationary eddies and numerous thermal fronts aligned in zonal bands. These fronts and eddies enhance primary productivity and retain and concentrate secondary productivity both vertically and horizontally. The combination of localised high- intensity mixing in the eddies results in patchy, high-surface productivity at fine scales. Tracking data collected for seabirds, whales, sea turtles, tunas and sharks (several of which are globally threatened) confirm that this is an area of high productivity with a high intensity of foraging activity, suggesting that this productivity cascades to higher trophic levels.</w:t>
            </w:r>
          </w:p>
        </w:tc>
        <w:tc>
          <w:tcPr>
            <w:tcW w:w="506" w:type="dxa"/>
            <w:vAlign w:val="center"/>
          </w:tcPr>
          <w:p w14:paraId="5711361D"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w:t>
            </w:r>
          </w:p>
        </w:tc>
        <w:tc>
          <w:tcPr>
            <w:tcW w:w="506" w:type="dxa"/>
            <w:vAlign w:val="center"/>
          </w:tcPr>
          <w:p w14:paraId="4A55DB9D"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5AD6F126"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M</w:t>
            </w:r>
          </w:p>
        </w:tc>
        <w:tc>
          <w:tcPr>
            <w:tcW w:w="506" w:type="dxa"/>
            <w:vAlign w:val="center"/>
          </w:tcPr>
          <w:p w14:paraId="02EE13DA"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027C4BE5"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75783E6C"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7" w:type="dxa"/>
            <w:vAlign w:val="center"/>
          </w:tcPr>
          <w:p w14:paraId="20FFA8D9"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r>
      <w:tr w:rsidR="006514DB" w:rsidRPr="00FD6CDE" w14:paraId="07A79DD4" w14:textId="77777777" w:rsidTr="00117478">
        <w:tc>
          <w:tcPr>
            <w:tcW w:w="9687" w:type="dxa"/>
            <w:shd w:val="clear" w:color="auto" w:fill="auto"/>
          </w:tcPr>
          <w:p w14:paraId="31062375" w14:textId="77777777" w:rsidR="006514DB" w:rsidRPr="00FD6CDE" w:rsidRDefault="006514DB" w:rsidP="00117478">
            <w:pPr>
              <w:suppressLineNumbers/>
              <w:suppressAutoHyphens/>
              <w:kinsoku w:val="0"/>
              <w:overflowPunct w:val="0"/>
              <w:autoSpaceDE w:val="0"/>
              <w:autoSpaceDN w:val="0"/>
              <w:jc w:val="left"/>
              <w:outlineLvl w:val="1"/>
              <w:rPr>
                <w:b/>
                <w:snapToGrid w:val="0"/>
                <w:kern w:val="22"/>
                <w:sz w:val="20"/>
                <w:szCs w:val="20"/>
              </w:rPr>
            </w:pPr>
            <w:bookmarkStart w:id="9" w:name="_Toc118355042"/>
            <w:r w:rsidRPr="00FD6CDE">
              <w:rPr>
                <w:b/>
                <w:snapToGrid w:val="0"/>
                <w:kern w:val="22"/>
                <w:sz w:val="20"/>
                <w:szCs w:val="20"/>
              </w:rPr>
              <w:t>15. Charlie-Gibbs Fracture Zone</w:t>
            </w:r>
            <w:bookmarkEnd w:id="9"/>
          </w:p>
          <w:p w14:paraId="538B15BF" w14:textId="77777777" w:rsidR="006514DB" w:rsidRPr="00FD6CDE" w:rsidRDefault="006514DB" w:rsidP="006514DB">
            <w:pPr>
              <w:numPr>
                <w:ilvl w:val="0"/>
                <w:numId w:val="9"/>
              </w:numPr>
              <w:suppressLineNumbers/>
              <w:suppressAutoHyphens/>
              <w:kinsoku w:val="0"/>
              <w:overflowPunct w:val="0"/>
              <w:autoSpaceDE w:val="0"/>
              <w:autoSpaceDN w:val="0"/>
              <w:rPr>
                <w:snapToGrid w:val="0"/>
                <w:kern w:val="22"/>
                <w:sz w:val="20"/>
                <w:szCs w:val="20"/>
              </w:rPr>
            </w:pPr>
            <w:r w:rsidRPr="00FD6CDE">
              <w:rPr>
                <w:snapToGrid w:val="0"/>
                <w:kern w:val="22"/>
                <w:sz w:val="20"/>
                <w:szCs w:val="20"/>
              </w:rPr>
              <w:t>Location: This area extends from 48°N and 55°188′N along the Mid-Atlantic Ridge, and the Charlie-Gibbs Fracture Zone occurs at 52º30′N. The area extends from about 25°W to 45°W, with the transform faults occurring between 30°W and 35°W. The eastern boundary of the Charlie-Gibbs Fracture Zone is detectable beyond 42°W. The southern ridge continues uninterrupted to 45°W. This area encompasses the Charlie-Gibbs Fracture Zone, the meandering Sub-polar Frontal Zone and the benthic communities of the Mid-Atlantic Ridge in this area, including individual seamounts.</w:t>
            </w:r>
          </w:p>
          <w:p w14:paraId="19CE1CDA" w14:textId="77777777" w:rsidR="006514DB" w:rsidRPr="00FD6CDE" w:rsidRDefault="006514DB" w:rsidP="006514DB">
            <w:pPr>
              <w:numPr>
                <w:ilvl w:val="0"/>
                <w:numId w:val="9"/>
              </w:numPr>
              <w:suppressLineNumbers/>
              <w:suppressAutoHyphens/>
              <w:kinsoku w:val="0"/>
              <w:overflowPunct w:val="0"/>
              <w:autoSpaceDE w:val="0"/>
              <w:autoSpaceDN w:val="0"/>
              <w:rPr>
                <w:snapToGrid w:val="0"/>
                <w:kern w:val="22"/>
                <w:sz w:val="20"/>
                <w:szCs w:val="20"/>
              </w:rPr>
            </w:pPr>
            <w:r w:rsidRPr="00FD6CDE">
              <w:rPr>
                <w:rFonts w:eastAsia="MS Mincho" w:hint="eastAsia"/>
                <w:snapToGrid w:val="0"/>
                <w:kern w:val="22"/>
                <w:sz w:val="20"/>
                <w:szCs w:val="20"/>
              </w:rPr>
              <w:t>Fracture zones are common topographic features of the ocean that arise through plate tectonics. The Charlie-Gibbs Fracture Zone is an unusual left lateral strike-slip double transform fault in the North Atlantic Ocean, along which the rift valley of the Mid-Atlantic Ridge is offset by 350 km near 52</w:t>
            </w:r>
            <w:r w:rsidRPr="00FD6CDE">
              <w:rPr>
                <w:rFonts w:eastAsia="MS Mincho" w:hint="eastAsia"/>
                <w:snapToGrid w:val="0"/>
                <w:kern w:val="22"/>
                <w:sz w:val="20"/>
                <w:szCs w:val="20"/>
              </w:rPr>
              <w:t>º</w:t>
            </w:r>
            <w:r w:rsidRPr="00FD6CDE">
              <w:rPr>
                <w:rFonts w:eastAsia="MS Mincho" w:hint="eastAsia"/>
                <w:snapToGrid w:val="0"/>
                <w:kern w:val="22"/>
                <w:sz w:val="20"/>
                <w:szCs w:val="20"/>
              </w:rPr>
              <w:t>30</w:t>
            </w:r>
            <w:r w:rsidRPr="00FD6CDE">
              <w:rPr>
                <w:rFonts w:eastAsia="MS Mincho" w:hint="eastAsia"/>
                <w:snapToGrid w:val="0"/>
                <w:kern w:val="22"/>
                <w:sz w:val="20"/>
                <w:szCs w:val="20"/>
              </w:rPr>
              <w:t>′</w:t>
            </w:r>
            <w:r w:rsidRPr="00FD6CDE">
              <w:rPr>
                <w:rFonts w:eastAsia="MS Mincho" w:hint="eastAsia"/>
                <w:snapToGrid w:val="0"/>
                <w:kern w:val="22"/>
                <w:sz w:val="20"/>
                <w:szCs w:val="20"/>
              </w:rPr>
              <w:t xml:space="preserve">N. It opens the deepest connection between the northwest and northeast Atlantic (maximum depth of approximately 4500 m) and is approximately 2000 km in </w:t>
            </w:r>
            <w:r w:rsidRPr="00FD6CDE">
              <w:rPr>
                <w:rFonts w:eastAsia="MS Mincho" w:hint="eastAsia"/>
                <w:snapToGrid w:val="0"/>
                <w:kern w:val="22"/>
                <w:sz w:val="20"/>
                <w:szCs w:val="20"/>
              </w:rPr>
              <w:lastRenderedPageBreak/>
              <w:t>length, extending from about 25</w:t>
            </w:r>
            <w:r w:rsidRPr="00FD6CDE">
              <w:rPr>
                <w:rFonts w:eastAsia="MS Mincho" w:hint="eastAsia"/>
                <w:snapToGrid w:val="0"/>
                <w:kern w:val="22"/>
                <w:sz w:val="20"/>
                <w:szCs w:val="20"/>
              </w:rPr>
              <w:t>°</w:t>
            </w:r>
            <w:r w:rsidRPr="00FD6CDE">
              <w:rPr>
                <w:rFonts w:eastAsia="MS Mincho" w:hint="eastAsia"/>
                <w:snapToGrid w:val="0"/>
                <w:kern w:val="22"/>
                <w:sz w:val="20"/>
                <w:szCs w:val="20"/>
              </w:rPr>
              <w:t>W to 45</w:t>
            </w:r>
            <w:r w:rsidRPr="00FD6CDE">
              <w:rPr>
                <w:rFonts w:eastAsia="MS Mincho" w:hint="eastAsia"/>
                <w:snapToGrid w:val="0"/>
                <w:kern w:val="22"/>
                <w:sz w:val="20"/>
                <w:szCs w:val="20"/>
              </w:rPr>
              <w:t>°</w:t>
            </w:r>
            <w:r w:rsidRPr="00FD6CDE">
              <w:rPr>
                <w:rFonts w:eastAsia="MS Mincho" w:hint="eastAsia"/>
                <w:snapToGrid w:val="0"/>
                <w:kern w:val="22"/>
                <w:sz w:val="20"/>
                <w:szCs w:val="20"/>
              </w:rPr>
              <w:t xml:space="preserve">W. It is the most prominent interruption of the Mid-Atlantic Ridge between the Azores and Iceland and the only fracture zone between Europe and North America that has an offset of this size. Two named seamounts are associated with the transform faults: </w:t>
            </w:r>
            <w:r w:rsidRPr="00FD6CDE">
              <w:rPr>
                <w:rFonts w:eastAsia="MS Mincho"/>
                <w:snapToGrid w:val="0"/>
                <w:kern w:val="22"/>
                <w:sz w:val="20"/>
                <w:szCs w:val="20"/>
              </w:rPr>
              <w:t>Minia and Hecate. The area is a unique geomorphological feature in the North Atlantic. Further, it captures the Earth’s geological history, including significant ongoing geological processes. The sub-polar front is also representative of a pelagic frontal system. The area is described based on its importance as a section of the northern Mid-Atlantic Ridge and is a biogeographically representative section of the northern Mid-Atlantic Ridge. There is evidence of both deep-sea sponge aggregations and cold-water corals in this area. In addition, the Mid-Atlantic Ridge is the only extensive hard substrate available for the propagation of benthic suspension feeders off the continental shelves and isolated seamounts in the region.</w:t>
            </w:r>
          </w:p>
        </w:tc>
        <w:tc>
          <w:tcPr>
            <w:tcW w:w="506" w:type="dxa"/>
            <w:vAlign w:val="center"/>
          </w:tcPr>
          <w:p w14:paraId="13359038"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lastRenderedPageBreak/>
              <w:t>H</w:t>
            </w:r>
          </w:p>
        </w:tc>
        <w:tc>
          <w:tcPr>
            <w:tcW w:w="506" w:type="dxa"/>
            <w:vAlign w:val="center"/>
          </w:tcPr>
          <w:p w14:paraId="08EA7097"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w:t>
            </w:r>
          </w:p>
        </w:tc>
        <w:tc>
          <w:tcPr>
            <w:tcW w:w="506" w:type="dxa"/>
            <w:vAlign w:val="center"/>
          </w:tcPr>
          <w:p w14:paraId="24EE05D5"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5A627FF7"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0FD3FA6E"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w:t>
            </w:r>
          </w:p>
        </w:tc>
        <w:tc>
          <w:tcPr>
            <w:tcW w:w="506" w:type="dxa"/>
            <w:vAlign w:val="center"/>
          </w:tcPr>
          <w:p w14:paraId="523AFD51"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7" w:type="dxa"/>
            <w:vAlign w:val="center"/>
          </w:tcPr>
          <w:p w14:paraId="3C14DE79"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M</w:t>
            </w:r>
          </w:p>
        </w:tc>
      </w:tr>
      <w:tr w:rsidR="006514DB" w:rsidRPr="00FD6CDE" w14:paraId="6AA330F1" w14:textId="77777777" w:rsidTr="00117478">
        <w:tc>
          <w:tcPr>
            <w:tcW w:w="9687" w:type="dxa"/>
            <w:shd w:val="clear" w:color="auto" w:fill="auto"/>
          </w:tcPr>
          <w:p w14:paraId="445E87A3" w14:textId="77777777" w:rsidR="006514DB" w:rsidRPr="0087065C" w:rsidRDefault="006514DB" w:rsidP="00117478">
            <w:pPr>
              <w:suppressLineNumbers/>
              <w:suppressAutoHyphens/>
              <w:kinsoku w:val="0"/>
              <w:overflowPunct w:val="0"/>
              <w:autoSpaceDE w:val="0"/>
              <w:autoSpaceDN w:val="0"/>
              <w:outlineLvl w:val="1"/>
              <w:rPr>
                <w:b/>
                <w:snapToGrid w:val="0"/>
                <w:kern w:val="22"/>
                <w:sz w:val="20"/>
                <w:szCs w:val="20"/>
              </w:rPr>
            </w:pPr>
            <w:bookmarkStart w:id="10" w:name="_Toc118355043"/>
            <w:r w:rsidRPr="00FD6CDE">
              <w:rPr>
                <w:b/>
                <w:snapToGrid w:val="0"/>
                <w:kern w:val="22"/>
                <w:sz w:val="20"/>
                <w:szCs w:val="20"/>
              </w:rPr>
              <w:t xml:space="preserve">16. Southern </w:t>
            </w:r>
            <w:r w:rsidRPr="0087065C">
              <w:rPr>
                <w:b/>
                <w:snapToGrid w:val="0"/>
                <w:kern w:val="22"/>
                <w:sz w:val="20"/>
                <w:szCs w:val="20"/>
              </w:rPr>
              <w:t>Reykjanes Ridge</w:t>
            </w:r>
            <w:bookmarkEnd w:id="10"/>
          </w:p>
          <w:p w14:paraId="798645D6" w14:textId="11F14F74" w:rsidR="006514DB" w:rsidRPr="00047D70" w:rsidRDefault="006514DB" w:rsidP="00047D70">
            <w:pPr>
              <w:numPr>
                <w:ilvl w:val="0"/>
                <w:numId w:val="10"/>
              </w:numPr>
              <w:suppressLineNumbers/>
              <w:suppressAutoHyphens/>
              <w:kinsoku w:val="0"/>
              <w:overflowPunct w:val="0"/>
              <w:autoSpaceDE w:val="0"/>
              <w:autoSpaceDN w:val="0"/>
              <w:ind w:left="395"/>
              <w:rPr>
                <w:snapToGrid w:val="0"/>
                <w:kern w:val="22"/>
                <w:sz w:val="20"/>
                <w:szCs w:val="20"/>
              </w:rPr>
            </w:pPr>
            <w:r w:rsidRPr="0087065C">
              <w:rPr>
                <w:snapToGrid w:val="0"/>
                <w:kern w:val="22"/>
                <w:sz w:val="20"/>
                <w:szCs w:val="20"/>
              </w:rPr>
              <w:t xml:space="preserve">Location: </w:t>
            </w:r>
            <w:r w:rsidR="00B24C9F" w:rsidRPr="0087065C">
              <w:rPr>
                <w:rStyle w:val="apple-converted-space"/>
                <w:sz w:val="20"/>
                <w:szCs w:val="20"/>
              </w:rPr>
              <w:t>Situated, partly, on the continental shelf of Iceland</w:t>
            </w:r>
            <w:r w:rsidR="00816A67">
              <w:rPr>
                <w:rStyle w:val="apple-converted-space"/>
                <w:sz w:val="20"/>
                <w:szCs w:val="20"/>
              </w:rPr>
              <w:t>,</w:t>
            </w:r>
            <w:r w:rsidR="00B24C9F" w:rsidRPr="0087065C">
              <w:rPr>
                <w:rStyle w:val="apple-converted-space"/>
                <w:sz w:val="20"/>
                <w:szCs w:val="20"/>
              </w:rPr>
              <w:t xml:space="preserve"> </w:t>
            </w:r>
            <w:r w:rsidR="00047D70" w:rsidRPr="0087065C">
              <w:rPr>
                <w:snapToGrid w:val="0"/>
                <w:kern w:val="22"/>
                <w:sz w:val="20"/>
                <w:szCs w:val="20"/>
              </w:rPr>
              <w:t>t</w:t>
            </w:r>
            <w:r w:rsidRPr="0087065C">
              <w:rPr>
                <w:snapToGrid w:val="0"/>
                <w:kern w:val="22"/>
                <w:sz w:val="20"/>
                <w:szCs w:val="20"/>
              </w:rPr>
              <w:t xml:space="preserve">he </w:t>
            </w:r>
            <w:r w:rsidRPr="00B24C9F">
              <w:rPr>
                <w:snapToGrid w:val="0"/>
                <w:kern w:val="22"/>
                <w:sz w:val="20"/>
                <w:szCs w:val="20"/>
              </w:rPr>
              <w:t>northern boundary of the area is Iceland’s Exclusive Economic Zone. The southern boundary of this area is 55°188′N, well north the Sub-Polar Front, which separates the warm- and cold- water masses and is usually found between 52</w:t>
            </w:r>
            <w:r w:rsidRPr="00B24C9F">
              <w:rPr>
                <w:rFonts w:eastAsia="MS Mincho"/>
                <w:bCs/>
                <w:color w:val="000000"/>
                <w:sz w:val="20"/>
                <w:szCs w:val="20"/>
              </w:rPr>
              <w:t>°</w:t>
            </w:r>
            <w:r w:rsidRPr="00B24C9F">
              <w:rPr>
                <w:color w:val="000000"/>
                <w:sz w:val="20"/>
                <w:szCs w:val="20"/>
              </w:rPr>
              <w:t>N</w:t>
            </w:r>
            <w:r w:rsidRPr="00047D70">
              <w:rPr>
                <w:snapToGrid w:val="0"/>
                <w:kern w:val="22"/>
                <w:sz w:val="20"/>
                <w:szCs w:val="20"/>
              </w:rPr>
              <w:t xml:space="preserve"> and 53°N. The 2,500 m depth contour was used to define the boundaries of the area, as this captures most of the Ridge crest and known distribution of deep-water corals (maximum 2,400 m).</w:t>
            </w:r>
          </w:p>
          <w:p w14:paraId="2F3229D7" w14:textId="77777777" w:rsidR="006514DB" w:rsidRPr="00FD6CDE" w:rsidRDefault="006514DB" w:rsidP="006514DB">
            <w:pPr>
              <w:numPr>
                <w:ilvl w:val="0"/>
                <w:numId w:val="10"/>
              </w:numPr>
              <w:suppressLineNumbers/>
              <w:suppressAutoHyphens/>
              <w:kinsoku w:val="0"/>
              <w:overflowPunct w:val="0"/>
              <w:autoSpaceDE w:val="0"/>
              <w:autoSpaceDN w:val="0"/>
              <w:ind w:left="395"/>
              <w:rPr>
                <w:snapToGrid w:val="0"/>
                <w:kern w:val="22"/>
                <w:sz w:val="20"/>
                <w:szCs w:val="20"/>
              </w:rPr>
            </w:pPr>
            <w:r w:rsidRPr="00FD6CDE">
              <w:rPr>
                <w:snapToGrid w:val="0"/>
                <w:kern w:val="22"/>
                <w:sz w:val="20"/>
                <w:szCs w:val="20"/>
              </w:rPr>
              <w:t>Reykjanes Ridge is part of a major topographic feature of the Atlantic Ocean, the Mid-Atlantic Ridge. The Mid-Atlantic Ridge separates the Newfoundland and Labrador Basins from the West-European Basin and the Irminger Sea from the Iceland Basin, influencing hydrography and circulation. The ridge crest is generally cut by a deep rift valley along its length, bordered by high rift mountains, which are bordered by high fractured plateaus. This region is largely composed of volcanic rock, which is the foundation of the area and provides a hard-bottom substrate for the colonization of benthic communities, including vulnerable and habitat-forming species. The area supports several endangered and threatened shark and ray species. The Ridge itself and its complex hydrographic setting contributes to enhanced vertical mixing and turbulence, resulting in areas of increased productivity above it. The 2,500 m depth contour is used to delineate the boundary of the area, capturing most of the Ridge crest and known distribution of deep-water corals.</w:t>
            </w:r>
          </w:p>
        </w:tc>
        <w:tc>
          <w:tcPr>
            <w:tcW w:w="506" w:type="dxa"/>
            <w:vAlign w:val="center"/>
          </w:tcPr>
          <w:p w14:paraId="327BE3C4"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55DD94B1"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M</w:t>
            </w:r>
          </w:p>
        </w:tc>
        <w:tc>
          <w:tcPr>
            <w:tcW w:w="506" w:type="dxa"/>
            <w:vAlign w:val="center"/>
          </w:tcPr>
          <w:p w14:paraId="309E36E0"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40ABEA6B"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1E4CE9CF"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M</w:t>
            </w:r>
          </w:p>
        </w:tc>
        <w:tc>
          <w:tcPr>
            <w:tcW w:w="506" w:type="dxa"/>
            <w:vAlign w:val="center"/>
          </w:tcPr>
          <w:p w14:paraId="07B26300"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7" w:type="dxa"/>
            <w:vAlign w:val="center"/>
          </w:tcPr>
          <w:p w14:paraId="618C9E56"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w:t>
            </w:r>
          </w:p>
        </w:tc>
      </w:tr>
      <w:tr w:rsidR="006514DB" w:rsidRPr="00FD6CDE" w14:paraId="24127CC0" w14:textId="77777777" w:rsidTr="00117478">
        <w:tc>
          <w:tcPr>
            <w:tcW w:w="9687" w:type="dxa"/>
            <w:shd w:val="clear" w:color="auto" w:fill="auto"/>
          </w:tcPr>
          <w:p w14:paraId="11997661" w14:textId="77777777" w:rsidR="006514DB" w:rsidRPr="00FD6CDE" w:rsidRDefault="006514DB" w:rsidP="00117478">
            <w:pPr>
              <w:suppressLineNumbers/>
              <w:suppressAutoHyphens/>
              <w:kinsoku w:val="0"/>
              <w:overflowPunct w:val="0"/>
              <w:autoSpaceDE w:val="0"/>
              <w:autoSpaceDN w:val="0"/>
              <w:spacing w:line="280" w:lineRule="atLeast"/>
              <w:ind w:right="540"/>
              <w:jc w:val="left"/>
              <w:outlineLvl w:val="1"/>
              <w:rPr>
                <w:b/>
                <w:caps/>
                <w:snapToGrid w:val="0"/>
                <w:kern w:val="22"/>
                <w:sz w:val="20"/>
                <w:szCs w:val="20"/>
              </w:rPr>
            </w:pPr>
            <w:bookmarkStart w:id="11" w:name="_Toc118355044"/>
            <w:r w:rsidRPr="00FD6CDE">
              <w:rPr>
                <w:b/>
                <w:snapToGrid w:val="0"/>
                <w:kern w:val="22"/>
                <w:sz w:val="20"/>
                <w:szCs w:val="20"/>
              </w:rPr>
              <w:t>17. Hatton and Rockall Banks and Basin</w:t>
            </w:r>
            <w:bookmarkEnd w:id="11"/>
          </w:p>
          <w:p w14:paraId="475F1F22" w14:textId="77777777" w:rsidR="006514DB" w:rsidRPr="00FD6CDE" w:rsidRDefault="006514DB" w:rsidP="006514DB">
            <w:pPr>
              <w:numPr>
                <w:ilvl w:val="0"/>
                <w:numId w:val="14"/>
              </w:numPr>
              <w:suppressLineNumbers/>
              <w:suppressAutoHyphens/>
              <w:kinsoku w:val="0"/>
              <w:overflowPunct w:val="0"/>
              <w:autoSpaceDE w:val="0"/>
              <w:autoSpaceDN w:val="0"/>
              <w:ind w:left="395"/>
              <w:rPr>
                <w:snapToGrid w:val="0"/>
                <w:kern w:val="22"/>
                <w:sz w:val="20"/>
                <w:szCs w:val="20"/>
              </w:rPr>
            </w:pPr>
            <w:r w:rsidRPr="00FD6CDE">
              <w:rPr>
                <w:snapToGrid w:val="0"/>
                <w:kern w:val="22"/>
                <w:sz w:val="20"/>
                <w:szCs w:val="20"/>
              </w:rPr>
              <w:t>Location: The area is situated in the North-East Atlantic approximately 400-500 km west-northwest of Ireland and the United Kingdom of Great Britain and Northern Ireland and 400-500 km south-southeast of Iceland. It comprises the seabed and pelagic zones shallower than 3000m overlying the Rockall and Hatton Banks, together with the Rockall-Hatton Basin between them. The 3,000 m contour has been selected as delineating the boundary of this feature because: (</w:t>
            </w:r>
            <w:proofErr w:type="spellStart"/>
            <w:r w:rsidRPr="00FD6CDE">
              <w:rPr>
                <w:snapToGrid w:val="0"/>
                <w:kern w:val="22"/>
                <w:sz w:val="20"/>
                <w:szCs w:val="20"/>
              </w:rPr>
              <w:t>i</w:t>
            </w:r>
            <w:proofErr w:type="spellEnd"/>
            <w:r w:rsidRPr="00FD6CDE">
              <w:rPr>
                <w:snapToGrid w:val="0"/>
                <w:kern w:val="22"/>
                <w:sz w:val="20"/>
                <w:szCs w:val="20"/>
              </w:rPr>
              <w:t>) it marks the accepted boundary between the bathyal and abyssal environments; (ii) review of oceanographic data suggests the 3,000 m contour corresponds well with the oceanographic influence of the feature and thus its likely influence on pelagic communities and (iii) new data on birds and mammals suggest that species use the pelagic areas just off the bank, which are  captured by the boundary of this area.</w:t>
            </w:r>
          </w:p>
          <w:p w14:paraId="273A4886" w14:textId="77777777" w:rsidR="006514DB" w:rsidRPr="00FD6CDE" w:rsidRDefault="006514DB" w:rsidP="006514DB">
            <w:pPr>
              <w:numPr>
                <w:ilvl w:val="0"/>
                <w:numId w:val="14"/>
              </w:numPr>
              <w:suppressLineNumbers/>
              <w:suppressAutoHyphens/>
              <w:kinsoku w:val="0"/>
              <w:overflowPunct w:val="0"/>
              <w:autoSpaceDE w:val="0"/>
              <w:autoSpaceDN w:val="0"/>
              <w:ind w:left="395"/>
              <w:rPr>
                <w:snapToGrid w:val="0"/>
                <w:kern w:val="22"/>
                <w:sz w:val="20"/>
                <w:szCs w:val="20"/>
              </w:rPr>
            </w:pPr>
            <w:r w:rsidRPr="00FD6CDE">
              <w:rPr>
                <w:rStyle w:val="xbe"/>
                <w:snapToGrid w:val="0"/>
                <w:kern w:val="22"/>
                <w:sz w:val="20"/>
                <w:szCs w:val="20"/>
              </w:rPr>
              <w:lastRenderedPageBreak/>
              <w:t>The Hatton and Rockall Banks, as well as their associated slopes and connecting basin, represent offshore pelagic and bathyal habitats from the surface to 3,000 m deep that collectively constitute a unique and prominent feature of the North-East Atlantic. The area has high habitat heterogeneity and supports a wide range of benthic and pelagic species and associated ecosystems. Its comparatively remote oceanic location several hundred kilometres from the continental shelf afford it a level of protection and isolation from many human activities that are known to degrade the natural marine environment.</w:t>
            </w:r>
          </w:p>
        </w:tc>
        <w:tc>
          <w:tcPr>
            <w:tcW w:w="506" w:type="dxa"/>
            <w:vAlign w:val="center"/>
          </w:tcPr>
          <w:p w14:paraId="01FD091C"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lastRenderedPageBreak/>
              <w:t>H</w:t>
            </w:r>
          </w:p>
        </w:tc>
        <w:tc>
          <w:tcPr>
            <w:tcW w:w="506" w:type="dxa"/>
            <w:vAlign w:val="center"/>
          </w:tcPr>
          <w:p w14:paraId="63533523"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M</w:t>
            </w:r>
          </w:p>
        </w:tc>
        <w:tc>
          <w:tcPr>
            <w:tcW w:w="506" w:type="dxa"/>
            <w:vAlign w:val="center"/>
          </w:tcPr>
          <w:p w14:paraId="0A2A61E0"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16F996E9"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6" w:type="dxa"/>
            <w:vAlign w:val="center"/>
          </w:tcPr>
          <w:p w14:paraId="001F1588"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M</w:t>
            </w:r>
          </w:p>
        </w:tc>
        <w:tc>
          <w:tcPr>
            <w:tcW w:w="506" w:type="dxa"/>
            <w:vAlign w:val="center"/>
          </w:tcPr>
          <w:p w14:paraId="4389AE50"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H</w:t>
            </w:r>
          </w:p>
        </w:tc>
        <w:tc>
          <w:tcPr>
            <w:tcW w:w="507" w:type="dxa"/>
            <w:vAlign w:val="center"/>
          </w:tcPr>
          <w:p w14:paraId="13F11DD7" w14:textId="77777777" w:rsidR="006514DB" w:rsidRPr="00FD6CDE" w:rsidRDefault="006514DB" w:rsidP="00117478">
            <w:pPr>
              <w:suppressLineNumbers/>
              <w:suppressAutoHyphens/>
              <w:kinsoku w:val="0"/>
              <w:overflowPunct w:val="0"/>
              <w:autoSpaceDE w:val="0"/>
              <w:autoSpaceDN w:val="0"/>
              <w:snapToGrid w:val="0"/>
              <w:jc w:val="center"/>
              <w:rPr>
                <w:snapToGrid w:val="0"/>
                <w:kern w:val="22"/>
                <w:sz w:val="20"/>
                <w:szCs w:val="20"/>
              </w:rPr>
            </w:pPr>
            <w:r w:rsidRPr="00FD6CDE">
              <w:rPr>
                <w:snapToGrid w:val="0"/>
                <w:kern w:val="22"/>
                <w:sz w:val="20"/>
                <w:szCs w:val="20"/>
              </w:rPr>
              <w:t>M</w:t>
            </w:r>
          </w:p>
        </w:tc>
      </w:tr>
    </w:tbl>
    <w:p w14:paraId="1C61F222" w14:textId="77777777" w:rsidR="00F6586C" w:rsidRDefault="00F6586C" w:rsidP="00F6586C">
      <w:pPr>
        <w:pStyle w:val="Para1"/>
        <w:numPr>
          <w:ilvl w:val="0"/>
          <w:numId w:val="0"/>
        </w:numPr>
      </w:pPr>
    </w:p>
    <w:p w14:paraId="23778FB5" w14:textId="6A2F93A1" w:rsidR="00B3369F" w:rsidRPr="00C9161D" w:rsidRDefault="0009640F" w:rsidP="0009640F">
      <w:pPr>
        <w:jc w:val="center"/>
      </w:pPr>
      <w:r>
        <w:t>__________</w:t>
      </w:r>
    </w:p>
    <w:sectPr w:rsidR="00B3369F" w:rsidRPr="00C9161D" w:rsidSect="0009640F">
      <w:headerReference w:type="even" r:id="rId29"/>
      <w:headerReference w:type="default" r:id="rId30"/>
      <w:pgSz w:w="15840" w:h="12240" w:orient="landscape"/>
      <w:pgMar w:top="1440" w:right="567"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63686" w14:textId="77777777" w:rsidR="004C2E18" w:rsidRDefault="004C2E18" w:rsidP="00CF1848">
      <w:r>
        <w:separator/>
      </w:r>
    </w:p>
  </w:endnote>
  <w:endnote w:type="continuationSeparator" w:id="0">
    <w:p w14:paraId="3E3F9C32" w14:textId="77777777" w:rsidR="004C2E18" w:rsidRDefault="004C2E18"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4D82B" w14:textId="77777777" w:rsidR="006514DB" w:rsidRDefault="006514DB" w:rsidP="00130003">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AEEE5" w14:textId="77777777" w:rsidR="004C2E18" w:rsidRDefault="004C2E18" w:rsidP="00CF1848">
      <w:r>
        <w:separator/>
      </w:r>
    </w:p>
  </w:footnote>
  <w:footnote w:type="continuationSeparator" w:id="0">
    <w:p w14:paraId="175E5B22" w14:textId="77777777" w:rsidR="004C2E18" w:rsidRDefault="004C2E18" w:rsidP="00CF1848">
      <w:r>
        <w:continuationSeparator/>
      </w:r>
    </w:p>
  </w:footnote>
  <w:footnote w:id="1">
    <w:p w14:paraId="74489BB4" w14:textId="77777777" w:rsidR="006514DB" w:rsidRPr="0052289A" w:rsidRDefault="006514DB" w:rsidP="006514DB">
      <w:pPr>
        <w:pStyle w:val="FootnoteText"/>
        <w:suppressLineNumbers/>
        <w:suppressAutoHyphens/>
        <w:ind w:firstLine="0"/>
        <w:jc w:val="left"/>
        <w:rPr>
          <w:kern w:val="18"/>
          <w:szCs w:val="18"/>
        </w:rPr>
      </w:pPr>
      <w:r w:rsidRPr="0052289A">
        <w:rPr>
          <w:rStyle w:val="FootnoteReference"/>
          <w:kern w:val="18"/>
          <w:sz w:val="18"/>
          <w:szCs w:val="18"/>
        </w:rPr>
        <w:footnoteRef/>
      </w:r>
      <w:r w:rsidRPr="0052289A">
        <w:rPr>
          <w:kern w:val="18"/>
          <w:szCs w:val="18"/>
        </w:rPr>
        <w:t xml:space="preserve"> See decision</w:t>
      </w:r>
      <w:r>
        <w:rPr>
          <w:kern w:val="18"/>
          <w:szCs w:val="18"/>
        </w:rPr>
        <w:t>s</w:t>
      </w:r>
      <w:r w:rsidRPr="0052289A">
        <w:rPr>
          <w:kern w:val="18"/>
          <w:szCs w:val="18"/>
        </w:rPr>
        <w:t xml:space="preserve"> X/29, para. 36, and XI/17, para. 12.</w:t>
      </w:r>
    </w:p>
  </w:footnote>
  <w:footnote w:id="2">
    <w:p w14:paraId="208A2CF2" w14:textId="77777777" w:rsidR="006514DB" w:rsidRPr="00B656C8" w:rsidRDefault="006514DB" w:rsidP="006514DB">
      <w:pPr>
        <w:pStyle w:val="FootnoteText"/>
        <w:suppressLineNumbers/>
        <w:suppressAutoHyphens/>
        <w:kinsoku w:val="0"/>
        <w:overflowPunct w:val="0"/>
        <w:autoSpaceDE w:val="0"/>
        <w:autoSpaceDN w:val="0"/>
        <w:ind w:firstLine="0"/>
        <w:jc w:val="left"/>
        <w:rPr>
          <w:snapToGrid w:val="0"/>
          <w:kern w:val="18"/>
          <w:szCs w:val="18"/>
        </w:rPr>
      </w:pPr>
      <w:r w:rsidRPr="0064342E">
        <w:rPr>
          <w:rStyle w:val="FootnoteReference"/>
          <w:rFonts w:eastAsiaTheme="majorEastAsia"/>
          <w:snapToGrid w:val="0"/>
          <w:kern w:val="18"/>
          <w:sz w:val="18"/>
          <w:szCs w:val="18"/>
        </w:rPr>
        <w:footnoteRef/>
      </w:r>
      <w:r w:rsidRPr="0064342E">
        <w:rPr>
          <w:snapToGrid w:val="0"/>
          <w:kern w:val="18"/>
          <w:szCs w:val="18"/>
        </w:rPr>
        <w:t xml:space="preserve"> CBD/EBSA/WS/2019/1/5</w:t>
      </w:r>
      <w:r w:rsidRPr="00B656C8">
        <w:rPr>
          <w:snapToGrid w:val="0"/>
          <w:kern w:val="18"/>
          <w:szCs w:val="18"/>
        </w:rPr>
        <w:t>.</w:t>
      </w:r>
    </w:p>
  </w:footnote>
  <w:footnote w:id="3">
    <w:p w14:paraId="6FEB10C2" w14:textId="77777777" w:rsidR="006514DB" w:rsidRPr="00A73566" w:rsidRDefault="006514DB" w:rsidP="006514DB">
      <w:pPr>
        <w:pStyle w:val="FootnoteText"/>
        <w:suppressLineNumbers/>
        <w:suppressAutoHyphens/>
        <w:ind w:firstLine="0"/>
        <w:jc w:val="left"/>
        <w:rPr>
          <w:kern w:val="18"/>
          <w:szCs w:val="18"/>
        </w:rPr>
      </w:pPr>
      <w:r w:rsidRPr="0064342E">
        <w:rPr>
          <w:rStyle w:val="FootnoteReference"/>
          <w:kern w:val="18"/>
          <w:sz w:val="18"/>
          <w:szCs w:val="18"/>
        </w:rPr>
        <w:footnoteRef/>
      </w:r>
      <w:r w:rsidRPr="0064342E">
        <w:rPr>
          <w:kern w:val="18"/>
          <w:szCs w:val="18"/>
          <w:vertAlign w:val="superscript"/>
        </w:rPr>
        <w:t xml:space="preserve"> </w:t>
      </w:r>
      <w:r w:rsidRPr="00B656C8">
        <w:rPr>
          <w:kern w:val="18"/>
          <w:szCs w:val="18"/>
        </w:rPr>
        <w:t>For the report on the workshop, see CBD/EBSA/WS/2019/1/4.</w:t>
      </w:r>
    </w:p>
  </w:footnote>
  <w:footnote w:id="4">
    <w:p w14:paraId="27EEE24E" w14:textId="77777777" w:rsidR="006514DB" w:rsidRPr="00B656C8" w:rsidRDefault="006514DB" w:rsidP="006514DB">
      <w:pPr>
        <w:pStyle w:val="FootnoteText"/>
        <w:suppressLineNumbers/>
        <w:suppressAutoHyphens/>
        <w:kinsoku w:val="0"/>
        <w:overflowPunct w:val="0"/>
        <w:autoSpaceDE w:val="0"/>
        <w:autoSpaceDN w:val="0"/>
        <w:ind w:firstLine="0"/>
        <w:jc w:val="left"/>
        <w:rPr>
          <w:snapToGrid w:val="0"/>
          <w:kern w:val="18"/>
          <w:szCs w:val="18"/>
        </w:rPr>
      </w:pPr>
      <w:r w:rsidRPr="0064342E">
        <w:rPr>
          <w:rStyle w:val="FootnoteReference"/>
          <w:rFonts w:eastAsiaTheme="majorEastAsia"/>
          <w:snapToGrid w:val="0"/>
          <w:kern w:val="18"/>
          <w:sz w:val="18"/>
          <w:szCs w:val="18"/>
        </w:rPr>
        <w:footnoteRef/>
      </w:r>
      <w:r w:rsidRPr="0064342E">
        <w:rPr>
          <w:snapToGrid w:val="0"/>
          <w:kern w:val="18"/>
          <w:szCs w:val="18"/>
        </w:rPr>
        <w:t xml:space="preserve"> </w:t>
      </w:r>
      <w:hyperlink r:id="rId1" w:history="1">
        <w:r w:rsidRPr="0064342E">
          <w:rPr>
            <w:rStyle w:val="Hyperlink"/>
            <w:snapToGrid w:val="0"/>
            <w:kern w:val="18"/>
            <w:szCs w:val="18"/>
          </w:rPr>
          <w:t xml:space="preserve">United Nations, </w:t>
        </w:r>
        <w:r w:rsidRPr="0064342E">
          <w:rPr>
            <w:rStyle w:val="Hyperlink"/>
            <w:i/>
            <w:iCs/>
            <w:snapToGrid w:val="0"/>
            <w:kern w:val="18"/>
            <w:szCs w:val="18"/>
          </w:rPr>
          <w:t>Treaty Series</w:t>
        </w:r>
        <w:r w:rsidRPr="0064342E">
          <w:rPr>
            <w:rStyle w:val="Hyperlink"/>
            <w:snapToGrid w:val="0"/>
            <w:kern w:val="18"/>
            <w:szCs w:val="18"/>
          </w:rPr>
          <w:t>, vol. 1833, No. 31363</w:t>
        </w:r>
      </w:hyperlink>
      <w:r w:rsidRPr="0064342E">
        <w:rPr>
          <w:snapToGrid w:val="0"/>
          <w:kern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lang w:val="en-US"/>
      </w:rPr>
      <w:alias w:val="Subject"/>
      <w:tag w:val=""/>
      <w:id w:val="1531996536"/>
      <w:placeholder>
        <w:docPart w:val="B9A474D50EC04422AC29BC66F95F6EEF"/>
      </w:placeholder>
      <w:dataBinding w:prefixMappings="xmlns:ns0='http://purl.org/dc/elements/1.1/' xmlns:ns1='http://schemas.openxmlformats.org/package/2006/metadata/core-properties' " w:xpath="/ns1:coreProperties[1]/ns0:subject[1]" w:storeItemID="{6C3C8BC8-F283-45AE-878A-BAB7291924A1}"/>
      <w:text/>
    </w:sdtPr>
    <w:sdtEndPr/>
    <w:sdtContent>
      <w:p w14:paraId="126C9FAF" w14:textId="228F1212" w:rsidR="006514DB" w:rsidRPr="006514DB" w:rsidRDefault="002109FB" w:rsidP="00130003">
        <w:pPr>
          <w:jc w:val="left"/>
          <w:rPr>
            <w:noProof/>
            <w:kern w:val="22"/>
            <w:lang w:val="en-US"/>
          </w:rPr>
        </w:pPr>
        <w:r>
          <w:rPr>
            <w:noProof/>
            <w:kern w:val="22"/>
            <w:lang w:val="en-US"/>
          </w:rPr>
          <w:t>CBD/COP/15/L.13</w:t>
        </w:r>
      </w:p>
    </w:sdtContent>
  </w:sdt>
  <w:p w14:paraId="6C36ABC7" w14:textId="77777777" w:rsidR="006514DB" w:rsidRPr="006514DB" w:rsidRDefault="006514DB" w:rsidP="00130003">
    <w:pPr>
      <w:pStyle w:val="Header"/>
      <w:tabs>
        <w:tab w:val="clear" w:pos="4320"/>
        <w:tab w:val="clear" w:pos="8640"/>
      </w:tabs>
      <w:jc w:val="left"/>
      <w:rPr>
        <w:noProof/>
        <w:kern w:val="22"/>
        <w:lang w:val="en-US"/>
      </w:rPr>
    </w:pPr>
    <w:r w:rsidRPr="006514DB">
      <w:rPr>
        <w:noProof/>
        <w:kern w:val="22"/>
        <w:lang w:val="en-US"/>
      </w:rPr>
      <w:t xml:space="preserve">Page </w:t>
    </w:r>
    <w:r w:rsidRPr="003839D2">
      <w:rPr>
        <w:noProof/>
        <w:kern w:val="22"/>
      </w:rPr>
      <w:fldChar w:fldCharType="begin"/>
    </w:r>
    <w:r w:rsidRPr="006514DB">
      <w:rPr>
        <w:noProof/>
        <w:kern w:val="22"/>
        <w:lang w:val="en-US"/>
      </w:rPr>
      <w:instrText xml:space="preserve"> PAGE   \* MERGEFORMAT </w:instrText>
    </w:r>
    <w:r w:rsidRPr="003839D2">
      <w:rPr>
        <w:noProof/>
        <w:kern w:val="22"/>
      </w:rPr>
      <w:fldChar w:fldCharType="separate"/>
    </w:r>
    <w:r w:rsidRPr="006514DB">
      <w:rPr>
        <w:noProof/>
        <w:kern w:val="22"/>
        <w:lang w:val="en-US"/>
      </w:rPr>
      <w:t>2</w:t>
    </w:r>
    <w:r w:rsidRPr="003839D2">
      <w:rPr>
        <w:noProof/>
        <w:kern w:val="22"/>
      </w:rPr>
      <w:fldChar w:fldCharType="end"/>
    </w:r>
  </w:p>
  <w:p w14:paraId="0868DBC5" w14:textId="77777777" w:rsidR="006514DB" w:rsidRPr="006514DB" w:rsidRDefault="006514DB" w:rsidP="00130003">
    <w:pPr>
      <w:pStyle w:val="Header"/>
      <w:tabs>
        <w:tab w:val="clear" w:pos="4320"/>
        <w:tab w:val="clear" w:pos="8640"/>
      </w:tabs>
      <w:jc w:val="left"/>
      <w:rPr>
        <w:noProof/>
        <w:kern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594125222"/>
      <w:placeholder>
        <w:docPart w:val="59E124496F8B4B6694AA41FCF6BD10F3"/>
      </w:placeholder>
      <w:dataBinding w:prefixMappings="xmlns:ns0='http://purl.org/dc/elements/1.1/' xmlns:ns1='http://schemas.openxmlformats.org/package/2006/metadata/core-properties' " w:xpath="/ns1:coreProperties[1]/ns0:subject[1]" w:storeItemID="{6C3C8BC8-F283-45AE-878A-BAB7291924A1}"/>
      <w:text/>
    </w:sdtPr>
    <w:sdtEndPr/>
    <w:sdtContent>
      <w:p w14:paraId="0DFAA97C" w14:textId="664A0EEC" w:rsidR="00A373EB" w:rsidRPr="00442EED" w:rsidRDefault="002109FB" w:rsidP="00A373EB">
        <w:pPr>
          <w:pStyle w:val="Cornernotation"/>
          <w:ind w:right="-36"/>
          <w:rPr>
            <w:i/>
            <w:iCs/>
          </w:rPr>
        </w:pPr>
        <w:r>
          <w:t>CBD/COP/15/L.13</w:t>
        </w:r>
      </w:p>
    </w:sdtContent>
  </w:sdt>
  <w:p w14:paraId="5CB52F24" w14:textId="08DB1DD7" w:rsidR="000E579F" w:rsidRPr="00DF1739" w:rsidRDefault="00A373EB" w:rsidP="00DF1739">
    <w:pPr>
      <w:pStyle w:val="Header"/>
      <w:spacing w:after="240"/>
      <w:rPr>
        <w:lang w:val="en-US"/>
      </w:rPr>
    </w:pPr>
    <w:r w:rsidRPr="00C35549">
      <w:rPr>
        <w:lang w:val="en-US"/>
      </w:rPr>
      <w:t xml:space="preserve">Page </w:t>
    </w:r>
    <w:r>
      <w:fldChar w:fldCharType="begin"/>
    </w:r>
    <w:r w:rsidRPr="00C35549">
      <w:rPr>
        <w:lang w:val="en-US"/>
      </w:rPr>
      <w:instrText xml:space="preserve"> PAGE   \* MERGEFORMAT </w:instrText>
    </w:r>
    <w:r>
      <w:fldChar w:fldCharType="separate"/>
    </w:r>
    <w: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74F36640" w14:textId="5ED3E881" w:rsidR="009505C9" w:rsidRPr="00A373EB" w:rsidRDefault="002109FB" w:rsidP="009505C9">
        <w:pPr>
          <w:pStyle w:val="Header"/>
          <w:jc w:val="right"/>
          <w:rPr>
            <w:lang w:val="en-US"/>
          </w:rPr>
        </w:pPr>
        <w:r>
          <w:rPr>
            <w:lang w:val="en-US"/>
          </w:rPr>
          <w:t>CBD/COP/15/L.13</w:t>
        </w:r>
      </w:p>
    </w:sdtContent>
  </w:sdt>
  <w:p w14:paraId="38A69C04" w14:textId="77777777" w:rsidR="009505C9" w:rsidRPr="00A373EB" w:rsidRDefault="009505C9" w:rsidP="009505C9">
    <w:pPr>
      <w:pStyle w:val="Header"/>
      <w:jc w:val="right"/>
      <w:rPr>
        <w:lang w:val="en-US"/>
      </w:rPr>
    </w:pPr>
    <w:r w:rsidRPr="00A373EB">
      <w:rPr>
        <w:lang w:val="en-US"/>
      </w:rPr>
      <w:t xml:space="preserve">Page </w:t>
    </w:r>
    <w:r>
      <w:fldChar w:fldCharType="begin"/>
    </w:r>
    <w:r w:rsidRPr="00A373EB">
      <w:rPr>
        <w:lang w:val="en-US"/>
      </w:rPr>
      <w:instrText xml:space="preserve"> PAGE   \* MERGEFORMAT </w:instrText>
    </w:r>
    <w:r>
      <w:fldChar w:fldCharType="separate"/>
    </w:r>
    <w:r w:rsidR="00F6586C" w:rsidRPr="00A373EB">
      <w:rPr>
        <w:noProof/>
        <w:lang w:val="en-US"/>
      </w:rPr>
      <w:t>3</w:t>
    </w:r>
    <w:r>
      <w:rPr>
        <w:noProof/>
      </w:rPr>
      <w:fldChar w:fldCharType="end"/>
    </w:r>
  </w:p>
  <w:p w14:paraId="0AF4EC2C" w14:textId="77777777" w:rsidR="000E579F" w:rsidRDefault="000E57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C3F0C"/>
    <w:multiLevelType w:val="hybridMultilevel"/>
    <w:tmpl w:val="D50E3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A7A6258"/>
    <w:multiLevelType w:val="hybridMultilevel"/>
    <w:tmpl w:val="0E42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503171"/>
    <w:multiLevelType w:val="hybridMultilevel"/>
    <w:tmpl w:val="D9DA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D3DE6"/>
    <w:multiLevelType w:val="hybridMultilevel"/>
    <w:tmpl w:val="9F7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1E7E50"/>
    <w:multiLevelType w:val="hybridMultilevel"/>
    <w:tmpl w:val="F2B47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3B74B2"/>
    <w:multiLevelType w:val="hybridMultilevel"/>
    <w:tmpl w:val="6BD44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37D05C78"/>
    <w:multiLevelType w:val="hybridMultilevel"/>
    <w:tmpl w:val="93083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51A3F7A"/>
    <w:multiLevelType w:val="hybridMultilevel"/>
    <w:tmpl w:val="8C4CC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pStyle w:val="Heading5"/>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A8B067C"/>
    <w:multiLevelType w:val="hybridMultilevel"/>
    <w:tmpl w:val="C666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08135A1"/>
    <w:multiLevelType w:val="hybridMultilevel"/>
    <w:tmpl w:val="7E5C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C44B7F"/>
    <w:multiLevelType w:val="hybridMultilevel"/>
    <w:tmpl w:val="29E4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A53A5"/>
    <w:multiLevelType w:val="hybridMultilevel"/>
    <w:tmpl w:val="41D874EC"/>
    <w:lvl w:ilvl="0" w:tplc="04090001">
      <w:start w:val="1"/>
      <w:numFmt w:val="bullet"/>
      <w:pStyle w:val="Para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1D7E66"/>
    <w:multiLevelType w:val="hybridMultilevel"/>
    <w:tmpl w:val="B5761796"/>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60A848AA"/>
    <w:multiLevelType w:val="hybridMultilevel"/>
    <w:tmpl w:val="49F21688"/>
    <w:lvl w:ilvl="0" w:tplc="04090001">
      <w:start w:val="1"/>
      <w:numFmt w:val="bullet"/>
      <w:pStyle w:val="CBD-Doc"/>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627FE1"/>
    <w:multiLevelType w:val="hybridMultilevel"/>
    <w:tmpl w:val="5018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BD2333"/>
    <w:multiLevelType w:val="hybridMultilevel"/>
    <w:tmpl w:val="181C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82968"/>
    <w:multiLevelType w:val="hybridMultilevel"/>
    <w:tmpl w:val="FE162F2C"/>
    <w:lvl w:ilvl="0" w:tplc="2004B57A">
      <w:start w:val="1"/>
      <w:numFmt w:val="bullet"/>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612D21"/>
    <w:multiLevelType w:val="hybridMultilevel"/>
    <w:tmpl w:val="2C4CC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pStyle w:val="Para3"/>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F93583"/>
    <w:multiLevelType w:val="hybridMultilevel"/>
    <w:tmpl w:val="439A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4806905">
    <w:abstractNumId w:val="13"/>
  </w:num>
  <w:num w:numId="2" w16cid:durableId="166209745">
    <w:abstractNumId w:val="7"/>
  </w:num>
  <w:num w:numId="3" w16cid:durableId="790169973">
    <w:abstractNumId w:val="10"/>
  </w:num>
  <w:num w:numId="4" w16cid:durableId="1931232011">
    <w:abstractNumId w:val="18"/>
  </w:num>
  <w:num w:numId="5" w16cid:durableId="740980627">
    <w:abstractNumId w:val="26"/>
  </w:num>
  <w:num w:numId="6" w16cid:durableId="936909279">
    <w:abstractNumId w:val="12"/>
  </w:num>
  <w:num w:numId="7" w16cid:durableId="930506562">
    <w:abstractNumId w:val="8"/>
  </w:num>
  <w:num w:numId="8" w16cid:durableId="946699535">
    <w:abstractNumId w:val="2"/>
  </w:num>
  <w:num w:numId="9" w16cid:durableId="926886760">
    <w:abstractNumId w:val="22"/>
  </w:num>
  <w:num w:numId="10" w16cid:durableId="1925920379">
    <w:abstractNumId w:val="24"/>
  </w:num>
  <w:num w:numId="11" w16cid:durableId="933242455">
    <w:abstractNumId w:val="16"/>
  </w:num>
  <w:num w:numId="12" w16cid:durableId="2145806926">
    <w:abstractNumId w:val="4"/>
  </w:num>
  <w:num w:numId="13" w16cid:durableId="1708720944">
    <w:abstractNumId w:val="14"/>
  </w:num>
  <w:num w:numId="14" w16cid:durableId="1999723433">
    <w:abstractNumId w:val="17"/>
  </w:num>
  <w:num w:numId="15" w16cid:durableId="1305550471">
    <w:abstractNumId w:val="23"/>
  </w:num>
  <w:num w:numId="16" w16cid:durableId="669141497">
    <w:abstractNumId w:val="6"/>
  </w:num>
  <w:num w:numId="17" w16cid:durableId="1553614420">
    <w:abstractNumId w:val="21"/>
  </w:num>
  <w:num w:numId="18" w16cid:durableId="662003282">
    <w:abstractNumId w:val="5"/>
  </w:num>
  <w:num w:numId="19" w16cid:durableId="1205022539">
    <w:abstractNumId w:val="28"/>
  </w:num>
  <w:num w:numId="20" w16cid:durableId="11078500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72D"/>
    <w:rsid w:val="00027167"/>
    <w:rsid w:val="00044C7B"/>
    <w:rsid w:val="00047D70"/>
    <w:rsid w:val="0007171B"/>
    <w:rsid w:val="0009640F"/>
    <w:rsid w:val="000B6E5C"/>
    <w:rsid w:val="000B6EEA"/>
    <w:rsid w:val="000E579F"/>
    <w:rsid w:val="000E619B"/>
    <w:rsid w:val="000E673A"/>
    <w:rsid w:val="000F74F5"/>
    <w:rsid w:val="00105372"/>
    <w:rsid w:val="001210E3"/>
    <w:rsid w:val="001312AD"/>
    <w:rsid w:val="00131E7A"/>
    <w:rsid w:val="00134846"/>
    <w:rsid w:val="00172AF6"/>
    <w:rsid w:val="00176CEE"/>
    <w:rsid w:val="00186DD8"/>
    <w:rsid w:val="001B13FE"/>
    <w:rsid w:val="001C2CBE"/>
    <w:rsid w:val="002109FB"/>
    <w:rsid w:val="00215539"/>
    <w:rsid w:val="002624A5"/>
    <w:rsid w:val="0030169D"/>
    <w:rsid w:val="00302AAD"/>
    <w:rsid w:val="00305E66"/>
    <w:rsid w:val="003060EB"/>
    <w:rsid w:val="003153EB"/>
    <w:rsid w:val="00321985"/>
    <w:rsid w:val="0034759C"/>
    <w:rsid w:val="00351205"/>
    <w:rsid w:val="00365BA1"/>
    <w:rsid w:val="00372F74"/>
    <w:rsid w:val="003C02AC"/>
    <w:rsid w:val="003E5B0D"/>
    <w:rsid w:val="003F7224"/>
    <w:rsid w:val="00427D21"/>
    <w:rsid w:val="00430E63"/>
    <w:rsid w:val="00442EED"/>
    <w:rsid w:val="00443E56"/>
    <w:rsid w:val="004644C2"/>
    <w:rsid w:val="00467F9C"/>
    <w:rsid w:val="004B3507"/>
    <w:rsid w:val="004C2E18"/>
    <w:rsid w:val="005056F9"/>
    <w:rsid w:val="005208AC"/>
    <w:rsid w:val="00534681"/>
    <w:rsid w:val="0054172D"/>
    <w:rsid w:val="0054531B"/>
    <w:rsid w:val="00563442"/>
    <w:rsid w:val="00563CF5"/>
    <w:rsid w:val="00565B42"/>
    <w:rsid w:val="005C4CE6"/>
    <w:rsid w:val="006122BA"/>
    <w:rsid w:val="006514DB"/>
    <w:rsid w:val="00670691"/>
    <w:rsid w:val="0067755E"/>
    <w:rsid w:val="00686E7F"/>
    <w:rsid w:val="00691E64"/>
    <w:rsid w:val="00697E73"/>
    <w:rsid w:val="006B2290"/>
    <w:rsid w:val="006E41EE"/>
    <w:rsid w:val="00706CF7"/>
    <w:rsid w:val="00717D88"/>
    <w:rsid w:val="00786056"/>
    <w:rsid w:val="00791623"/>
    <w:rsid w:val="007919B3"/>
    <w:rsid w:val="007942D3"/>
    <w:rsid w:val="007B2099"/>
    <w:rsid w:val="007B6C09"/>
    <w:rsid w:val="007B7741"/>
    <w:rsid w:val="007C2383"/>
    <w:rsid w:val="007E09DA"/>
    <w:rsid w:val="00816A67"/>
    <w:rsid w:val="008178B6"/>
    <w:rsid w:val="0082191A"/>
    <w:rsid w:val="00835E8A"/>
    <w:rsid w:val="0085690A"/>
    <w:rsid w:val="00865B74"/>
    <w:rsid w:val="0087065C"/>
    <w:rsid w:val="008974F0"/>
    <w:rsid w:val="008A3ADB"/>
    <w:rsid w:val="008B012A"/>
    <w:rsid w:val="00906E17"/>
    <w:rsid w:val="00930BA1"/>
    <w:rsid w:val="0093169E"/>
    <w:rsid w:val="009505C9"/>
    <w:rsid w:val="00950752"/>
    <w:rsid w:val="00966424"/>
    <w:rsid w:val="009C2DE6"/>
    <w:rsid w:val="009D3278"/>
    <w:rsid w:val="009F0FBA"/>
    <w:rsid w:val="00A373EB"/>
    <w:rsid w:val="00AA5CA2"/>
    <w:rsid w:val="00AA6F92"/>
    <w:rsid w:val="00AB023C"/>
    <w:rsid w:val="00AB6934"/>
    <w:rsid w:val="00AF42DE"/>
    <w:rsid w:val="00B24C9F"/>
    <w:rsid w:val="00B3369F"/>
    <w:rsid w:val="00B94E6C"/>
    <w:rsid w:val="00BB4606"/>
    <w:rsid w:val="00BD76B5"/>
    <w:rsid w:val="00C22439"/>
    <w:rsid w:val="00C23D2F"/>
    <w:rsid w:val="00C443BD"/>
    <w:rsid w:val="00C451C5"/>
    <w:rsid w:val="00C55773"/>
    <w:rsid w:val="00C9161D"/>
    <w:rsid w:val="00CA0C1D"/>
    <w:rsid w:val="00CF1848"/>
    <w:rsid w:val="00D12044"/>
    <w:rsid w:val="00D1719E"/>
    <w:rsid w:val="00D33EFC"/>
    <w:rsid w:val="00D40DBC"/>
    <w:rsid w:val="00D42703"/>
    <w:rsid w:val="00D76A18"/>
    <w:rsid w:val="00D80849"/>
    <w:rsid w:val="00D82E8F"/>
    <w:rsid w:val="00DB0A74"/>
    <w:rsid w:val="00DD118C"/>
    <w:rsid w:val="00DD2520"/>
    <w:rsid w:val="00DD355E"/>
    <w:rsid w:val="00DF1739"/>
    <w:rsid w:val="00E65F7C"/>
    <w:rsid w:val="00E66235"/>
    <w:rsid w:val="00E83C24"/>
    <w:rsid w:val="00E9318D"/>
    <w:rsid w:val="00EE49DF"/>
    <w:rsid w:val="00EE61C7"/>
    <w:rsid w:val="00EE79A6"/>
    <w:rsid w:val="00EF5DAC"/>
    <w:rsid w:val="00F00B28"/>
    <w:rsid w:val="00F53193"/>
    <w:rsid w:val="00F5357E"/>
    <w:rsid w:val="00F6586C"/>
    <w:rsid w:val="00F94774"/>
    <w:rsid w:val="00F9477D"/>
    <w:rsid w:val="00F9795B"/>
    <w:rsid w:val="00FA663B"/>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298739"/>
  <w15:docId w15:val="{B5C21F5C-35DB-41C5-8559-79AA817A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6514DB"/>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6514DB"/>
    <w:rPr>
      <w:rFonts w:ascii="Times New Roman" w:eastAsia="Times New Roman" w:hAnsi="Times New Roman" w:cs="Times New Roman"/>
      <w:sz w:val="22"/>
      <w:lang w:val="en-GB"/>
    </w:rPr>
  </w:style>
  <w:style w:type="character" w:styleId="Emphasis">
    <w:name w:val="Emphasis"/>
    <w:uiPriority w:val="20"/>
    <w:qFormat/>
    <w:rsid w:val="006514DB"/>
    <w:rPr>
      <w:i/>
      <w:iCs/>
    </w:rPr>
  </w:style>
  <w:style w:type="paragraph" w:styleId="ListBullet">
    <w:name w:val="List Bullet"/>
    <w:basedOn w:val="Normal"/>
    <w:uiPriority w:val="99"/>
    <w:semiHidden/>
    <w:unhideWhenUsed/>
    <w:rsid w:val="006514DB"/>
    <w:pPr>
      <w:tabs>
        <w:tab w:val="num" w:pos="360"/>
      </w:tabs>
      <w:contextualSpacing/>
    </w:pPr>
  </w:style>
  <w:style w:type="character" w:customStyle="1" w:styleId="xbe">
    <w:name w:val="_xbe"/>
    <w:rsid w:val="006514DB"/>
  </w:style>
  <w:style w:type="character" w:customStyle="1" w:styleId="apple-converted-space">
    <w:name w:val="apple-converted-space"/>
    <w:basedOn w:val="DefaultParagraphFont"/>
    <w:rsid w:val="00EE49DF"/>
  </w:style>
  <w:style w:type="paragraph" w:styleId="Revision">
    <w:name w:val="Revision"/>
    <w:hidden/>
    <w:uiPriority w:val="99"/>
    <w:semiHidden/>
    <w:rsid w:val="00DD2520"/>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cbd.int/doc/decisions/cop-13/cop-13-dec-12-en.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bd.int/doc/decisions/cop-11/cop-11-dec-17-en.pdf"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doc/decisions/cop-12/cop-12-dec-22-en.pdf"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oc/decisions/cop-11/cop-11-dec-17-en.pdf" TargetMode="External"/><Relationship Id="rId20" Type="http://schemas.openxmlformats.org/officeDocument/2006/relationships/hyperlink" Target="https://www.cbd.int/doc/decisions/cop-10/cop-10-dec-29-en.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bd.int/doc/decisions/cop-14/cop-14-dec-09-en.pdf"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cbd.int/doc/decisions/cop-10/cop-10-dec-29-en.pdf" TargetMode="External"/><Relationship Id="rId23" Type="http://schemas.openxmlformats.org/officeDocument/2006/relationships/hyperlink" Target="https://www.cbd.int/doc/decisions/cop-13/cop-13-dec-12-en.pdf" TargetMode="External"/><Relationship Id="rId28" Type="http://schemas.openxmlformats.org/officeDocument/2006/relationships/hyperlink" Target="https://www.cbd.int/doc/c/aa9a/bde9/eaf24f73bd471d64e8094722/ebsa-ws-2018-01-04-en.pdf" TargetMode="External"/><Relationship Id="rId10" Type="http://schemas.openxmlformats.org/officeDocument/2006/relationships/footnotes" Target="footnotes.xml"/><Relationship Id="rId19" Type="http://schemas.openxmlformats.org/officeDocument/2006/relationships/hyperlink" Target="https://www.cbd.int/doc/decisions/cop-14/cop-14-dec-09-en.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s://www.cbd.int/doc/decisions/cop-12/cop-12-dec-22-en.pdf" TargetMode="External"/><Relationship Id="rId27" Type="http://schemas.openxmlformats.org/officeDocument/2006/relationships/hyperlink" Target="https://www.cbd.int/doc/c/7d96/2418/5a119cb332dbc741312d97b6/ebsa-ws-2019-01-04-en.pdf" TargetMode="External"/><Relationship Id="rId30" Type="http://schemas.openxmlformats.org/officeDocument/2006/relationships/header" Target="header3.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epts/los/convention_agreements/texts/unclos/unclos_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0485547563415784F9B28103CD7463"/>
        <w:category>
          <w:name w:val="General"/>
          <w:gallery w:val="placeholder"/>
        </w:category>
        <w:types>
          <w:type w:val="bbPlcHdr"/>
        </w:types>
        <w:behaviors>
          <w:behavior w:val="content"/>
        </w:behaviors>
        <w:guid w:val="{B19BDC96-2763-40DC-B8E8-8C15DFC49701}"/>
      </w:docPartPr>
      <w:docPartBody>
        <w:p w:rsidR="00800648" w:rsidRDefault="00AB72FA">
          <w:pPr>
            <w:pStyle w:val="7E0485547563415784F9B28103CD7463"/>
          </w:pPr>
          <w:r w:rsidRPr="007E02EB">
            <w:rPr>
              <w:rStyle w:val="PlaceholderText"/>
            </w:rPr>
            <w:t>[Title]</w:t>
          </w:r>
        </w:p>
      </w:docPartBody>
    </w:docPart>
    <w:docPart>
      <w:docPartPr>
        <w:name w:val="B9A474D50EC04422AC29BC66F95F6EEF"/>
        <w:category>
          <w:name w:val="General"/>
          <w:gallery w:val="placeholder"/>
        </w:category>
        <w:types>
          <w:type w:val="bbPlcHdr"/>
        </w:types>
        <w:behaviors>
          <w:behavior w:val="content"/>
        </w:behaviors>
        <w:guid w:val="{2F05C4C3-057C-4C14-8C0A-0D49DE319750}"/>
      </w:docPartPr>
      <w:docPartBody>
        <w:p w:rsidR="00AB26DE" w:rsidRDefault="00D35507" w:rsidP="00D35507">
          <w:pPr>
            <w:pStyle w:val="B9A474D50EC04422AC29BC66F95F6EEF"/>
          </w:pPr>
          <w:r w:rsidRPr="006D0F48">
            <w:rPr>
              <w:rStyle w:val="PlaceholderText"/>
            </w:rPr>
            <w:t>[Subject]</w:t>
          </w:r>
        </w:p>
      </w:docPartBody>
    </w:docPart>
    <w:docPart>
      <w:docPartPr>
        <w:name w:val="59E124496F8B4B6694AA41FCF6BD10F3"/>
        <w:category>
          <w:name w:val="General"/>
          <w:gallery w:val="placeholder"/>
        </w:category>
        <w:types>
          <w:type w:val="bbPlcHdr"/>
        </w:types>
        <w:behaviors>
          <w:behavior w:val="content"/>
        </w:behaviors>
        <w:guid w:val="{8B861EF1-CEC4-44D1-BD13-405BE906DB03}"/>
      </w:docPartPr>
      <w:docPartBody>
        <w:p w:rsidR="00AB26DE" w:rsidRDefault="00D35507" w:rsidP="00D35507">
          <w:pPr>
            <w:pStyle w:val="59E124496F8B4B6694AA41FCF6BD10F3"/>
          </w:pPr>
          <w:r>
            <w:rPr>
              <w:rStyle w:val="PlaceholderText"/>
            </w:rPr>
            <w:t>[Subject]</w:t>
          </w:r>
        </w:p>
      </w:docPartBody>
    </w:docPart>
    <w:docPart>
      <w:docPartPr>
        <w:name w:val="389AF8573EDD448195CCBC65351B014C"/>
        <w:category>
          <w:name w:val="General"/>
          <w:gallery w:val="placeholder"/>
        </w:category>
        <w:types>
          <w:type w:val="bbPlcHdr"/>
        </w:types>
        <w:behaviors>
          <w:behavior w:val="content"/>
        </w:behaviors>
        <w:guid w:val="{55F82130-3818-464D-A774-4B90BA3DD444}"/>
      </w:docPartPr>
      <w:docPartBody>
        <w:p w:rsidR="00683128" w:rsidRDefault="005C69AF" w:rsidP="005C69AF">
          <w:pPr>
            <w:pStyle w:val="389AF8573EDD448195CCBC65351B014C"/>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FA"/>
    <w:rsid w:val="00277146"/>
    <w:rsid w:val="00490D60"/>
    <w:rsid w:val="004C6765"/>
    <w:rsid w:val="005C69AF"/>
    <w:rsid w:val="00683128"/>
    <w:rsid w:val="007C3CA8"/>
    <w:rsid w:val="007C7D84"/>
    <w:rsid w:val="00800648"/>
    <w:rsid w:val="00854BF9"/>
    <w:rsid w:val="0092390E"/>
    <w:rsid w:val="009A09AB"/>
    <w:rsid w:val="00A72529"/>
    <w:rsid w:val="00AB26DE"/>
    <w:rsid w:val="00AB72FA"/>
    <w:rsid w:val="00C913F8"/>
    <w:rsid w:val="00D35507"/>
    <w:rsid w:val="00D36602"/>
    <w:rsid w:val="00F12983"/>
    <w:rsid w:val="00FC56A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C69AF"/>
  </w:style>
  <w:style w:type="paragraph" w:customStyle="1" w:styleId="7E0485547563415784F9B28103CD7463">
    <w:name w:val="7E0485547563415784F9B28103CD7463"/>
  </w:style>
  <w:style w:type="paragraph" w:customStyle="1" w:styleId="B9A474D50EC04422AC29BC66F95F6EEF">
    <w:name w:val="B9A474D50EC04422AC29BC66F95F6EEF"/>
    <w:rsid w:val="00D35507"/>
    <w:rPr>
      <w:lang w:val="en-US" w:eastAsia="zh-CN"/>
    </w:rPr>
  </w:style>
  <w:style w:type="paragraph" w:customStyle="1" w:styleId="59E124496F8B4B6694AA41FCF6BD10F3">
    <w:name w:val="59E124496F8B4B6694AA41FCF6BD10F3"/>
    <w:rsid w:val="00D35507"/>
    <w:rPr>
      <w:lang w:val="en-US" w:eastAsia="zh-CN"/>
    </w:rPr>
  </w:style>
  <w:style w:type="paragraph" w:customStyle="1" w:styleId="389AF8573EDD448195CCBC65351B014C">
    <w:name w:val="389AF8573EDD448195CCBC65351B014C"/>
    <w:rsid w:val="005C69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0C923DF0-88D3-4212-9DD7-B25BCAF04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2020-template-cbd2</Template>
  <TotalTime>10</TotalTime>
  <Pages>9</Pages>
  <Words>3929</Words>
  <Characters>22401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Ecologically or biologically significant marine areas in the North-East Atlantic Ocean and adjacent areas</vt:lpstr>
    </vt:vector>
  </TitlesOfParts>
  <Company>SCBD</Company>
  <LinksUpToDate>false</LinksUpToDate>
  <CharactersWithSpaces>26278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Ecologically or biologically significant marine areas in the North-East Atlantic Ocean and adjacent areas</dc:title>
  <dc:subject>CBD/COP/15/L.13</dc:subject>
  <dc:creator>Veronique Lefebvre</dc:creator>
  <cp:keywords>Conference of the Parties to the Convention on Biological Diversity, fifteenth meeting</cp:keywords>
  <cp:lastModifiedBy>Veronique Lefebvre</cp:lastModifiedBy>
  <cp:revision>10</cp:revision>
  <cp:lastPrinted>2020-01-21T16:56:00Z</cp:lastPrinted>
  <dcterms:created xsi:type="dcterms:W3CDTF">2022-12-13T23:39:00Z</dcterms:created>
  <dcterms:modified xsi:type="dcterms:W3CDTF">2022-12-14T23:18:00Z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