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883A1C" w:rsidTr="00644242">
        <w:trPr>
          <w:trHeight w:val="709"/>
        </w:trPr>
        <w:tc>
          <w:tcPr>
            <w:tcW w:w="976" w:type="dxa"/>
            <w:tcBorders>
              <w:bottom w:val="single" w:sz="12" w:space="0" w:color="auto"/>
            </w:tcBorders>
          </w:tcPr>
          <w:p w:rsidR="00207A6E" w:rsidRPr="00883A1C" w:rsidRDefault="00207A6E" w:rsidP="00883A1C">
            <w:pPr>
              <w:suppressLineNumbers/>
              <w:suppressAutoHyphens/>
              <w:kinsoku w:val="0"/>
              <w:overflowPunct w:val="0"/>
              <w:autoSpaceDE w:val="0"/>
              <w:autoSpaceDN w:val="0"/>
              <w:adjustRightInd w:val="0"/>
              <w:snapToGrid w:val="0"/>
              <w:rPr>
                <w:kern w:val="22"/>
              </w:rPr>
            </w:pPr>
            <w:r w:rsidRPr="00883A1C">
              <w:rPr>
                <w:noProof/>
                <w:kern w:val="22"/>
                <w:lang w:val="fr-CA" w:eastAsia="fr-CA"/>
              </w:rPr>
              <w:drawing>
                <wp:inline distT="0" distB="0" distL="0" distR="0" wp14:anchorId="558ECA84" wp14:editId="61FC1DD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883A1C" w:rsidRDefault="00207A6E" w:rsidP="00883A1C">
            <w:pPr>
              <w:suppressLineNumbers/>
              <w:suppressAutoHyphens/>
              <w:kinsoku w:val="0"/>
              <w:overflowPunct w:val="0"/>
              <w:autoSpaceDE w:val="0"/>
              <w:autoSpaceDN w:val="0"/>
              <w:adjustRightInd w:val="0"/>
              <w:snapToGrid w:val="0"/>
              <w:rPr>
                <w:kern w:val="22"/>
              </w:rPr>
            </w:pPr>
            <w:r w:rsidRPr="00883A1C">
              <w:rPr>
                <w:noProof/>
                <w:kern w:val="22"/>
                <w:lang w:val="fr-CA" w:eastAsia="fr-CA"/>
              </w:rPr>
              <w:drawing>
                <wp:inline distT="0" distB="0" distL="0" distR="0" wp14:anchorId="431DED21" wp14:editId="6E1ED8D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883A1C" w:rsidRDefault="00207A6E" w:rsidP="00883A1C">
            <w:pPr>
              <w:suppressLineNumbers/>
              <w:suppressAutoHyphens/>
              <w:kinsoku w:val="0"/>
              <w:overflowPunct w:val="0"/>
              <w:autoSpaceDE w:val="0"/>
              <w:autoSpaceDN w:val="0"/>
              <w:adjustRightInd w:val="0"/>
              <w:snapToGrid w:val="0"/>
              <w:jc w:val="right"/>
              <w:rPr>
                <w:rFonts w:ascii="Arial" w:hAnsi="Arial"/>
                <w:b/>
                <w:kern w:val="22"/>
                <w:sz w:val="32"/>
              </w:rPr>
            </w:pPr>
            <w:r w:rsidRPr="00883A1C">
              <w:rPr>
                <w:rFonts w:ascii="Arial" w:hAnsi="Arial"/>
                <w:b/>
                <w:kern w:val="22"/>
                <w:sz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FA2B25" w:rsidTr="009554D5">
        <w:trPr>
          <w:trHeight w:val="1693"/>
        </w:trPr>
        <w:tc>
          <w:tcPr>
            <w:tcW w:w="6227" w:type="dxa"/>
            <w:tcBorders>
              <w:top w:val="nil"/>
              <w:bottom w:val="single" w:sz="36" w:space="0" w:color="000000"/>
            </w:tcBorders>
          </w:tcPr>
          <w:p w:rsidR="00F16F02" w:rsidRPr="00883A1C" w:rsidRDefault="00F16F02" w:rsidP="00883A1C">
            <w:pPr>
              <w:suppressLineNumbers/>
              <w:suppressAutoHyphens/>
              <w:kinsoku w:val="0"/>
              <w:overflowPunct w:val="0"/>
              <w:autoSpaceDE w:val="0"/>
              <w:autoSpaceDN w:val="0"/>
              <w:adjustRightInd w:val="0"/>
              <w:snapToGrid w:val="0"/>
              <w:rPr>
                <w:snapToGrid w:val="0"/>
                <w:kern w:val="22"/>
              </w:rPr>
            </w:pPr>
          </w:p>
          <w:p w:rsidR="00F16F02" w:rsidRPr="00883A1C" w:rsidRDefault="00F16F02" w:rsidP="00883A1C">
            <w:pPr>
              <w:suppressLineNumbers/>
              <w:suppressAutoHyphens/>
              <w:kinsoku w:val="0"/>
              <w:overflowPunct w:val="0"/>
              <w:autoSpaceDE w:val="0"/>
              <w:autoSpaceDN w:val="0"/>
              <w:adjustRightInd w:val="0"/>
              <w:snapToGrid w:val="0"/>
              <w:rPr>
                <w:snapToGrid w:val="0"/>
                <w:kern w:val="22"/>
              </w:rPr>
            </w:pPr>
          </w:p>
          <w:p w:rsidR="00F16F02" w:rsidRPr="00CD62E6" w:rsidRDefault="00545FDC" w:rsidP="00883A1C">
            <w:pPr>
              <w:suppressLineNumbers/>
              <w:suppressAutoHyphens/>
              <w:kinsoku w:val="0"/>
              <w:overflowPunct w:val="0"/>
              <w:autoSpaceDE w:val="0"/>
              <w:autoSpaceDN w:val="0"/>
              <w:adjustRightInd w:val="0"/>
              <w:snapToGrid w:val="0"/>
              <w:rPr>
                <w:rFonts w:ascii="Univers" w:hAnsi="Univers"/>
                <w:snapToGrid w:val="0"/>
                <w:kern w:val="22"/>
                <w:sz w:val="32"/>
                <w:lang w:val="fr-FR"/>
              </w:rPr>
            </w:pPr>
            <w:r w:rsidRPr="003107A7">
              <w:rPr>
                <w:rFonts w:ascii="Univers" w:hAnsi="Univers"/>
                <w:noProof/>
                <w:kern w:val="22"/>
                <w:sz w:val="32"/>
                <w:lang w:val="fr-CA" w:eastAsia="fr-CA"/>
              </w:rPr>
              <w:drawing>
                <wp:inline distT="0" distB="0" distL="0" distR="0">
                  <wp:extent cx="2796540" cy="10629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0" cy="1062990"/>
                          </a:xfrm>
                          <a:prstGeom prst="rect">
                            <a:avLst/>
                          </a:prstGeom>
                          <a:noFill/>
                          <a:ln>
                            <a:noFill/>
                          </a:ln>
                        </pic:spPr>
                      </pic:pic>
                    </a:graphicData>
                  </a:graphic>
                </wp:inline>
              </w:drawing>
            </w:r>
          </w:p>
        </w:tc>
        <w:tc>
          <w:tcPr>
            <w:tcW w:w="1144" w:type="dxa"/>
            <w:tcBorders>
              <w:top w:val="nil"/>
              <w:bottom w:val="single" w:sz="36" w:space="0" w:color="000000"/>
            </w:tcBorders>
          </w:tcPr>
          <w:p w:rsidR="00F16F02" w:rsidRPr="00CD62E6" w:rsidRDefault="00F16F02" w:rsidP="00883A1C">
            <w:pPr>
              <w:pStyle w:val="En-tte"/>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val="fr-FR"/>
              </w:rPr>
            </w:pPr>
          </w:p>
        </w:tc>
        <w:tc>
          <w:tcPr>
            <w:tcW w:w="2977" w:type="dxa"/>
            <w:tcBorders>
              <w:top w:val="nil"/>
              <w:bottom w:val="single" w:sz="36" w:space="0" w:color="000000"/>
            </w:tcBorders>
          </w:tcPr>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r w:rsidRPr="00883A1C">
              <w:rPr>
                <w:snapToGrid w:val="0"/>
                <w:kern w:val="22"/>
                <w:szCs w:val="22"/>
              </w:rPr>
              <w:t>Distr.</w:t>
            </w:r>
          </w:p>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r w:rsidRPr="00883A1C">
              <w:rPr>
                <w:snapToGrid w:val="0"/>
                <w:kern w:val="22"/>
                <w:szCs w:val="22"/>
              </w:rPr>
              <w:t>GENERAL</w:t>
            </w:r>
            <w:r w:rsidR="00CD62E6">
              <w:rPr>
                <w:snapToGrid w:val="0"/>
                <w:kern w:val="22"/>
                <w:szCs w:val="22"/>
              </w:rPr>
              <w:t>E</w:t>
            </w:r>
          </w:p>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p>
          <w:sdt>
            <w:sdtPr>
              <w:rPr>
                <w:kern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883A1C" w:rsidRDefault="00E77A10" w:rsidP="00883A1C">
                <w:pPr>
                  <w:suppressLineNumbers/>
                  <w:suppressAutoHyphens/>
                  <w:kinsoku w:val="0"/>
                  <w:overflowPunct w:val="0"/>
                  <w:autoSpaceDE w:val="0"/>
                  <w:autoSpaceDN w:val="0"/>
                  <w:adjustRightInd w:val="0"/>
                  <w:snapToGrid w:val="0"/>
                  <w:ind w:left="63"/>
                  <w:rPr>
                    <w:kern w:val="22"/>
                  </w:rPr>
                </w:pPr>
                <w:r w:rsidRPr="00883A1C">
                  <w:rPr>
                    <w:kern w:val="22"/>
                    <w:lang w:val="en-US"/>
                  </w:rPr>
                  <w:t>CBD/SBI/2/10/Add.1</w:t>
                </w:r>
              </w:p>
            </w:sdtContent>
          </w:sdt>
          <w:p w:rsidR="00F16F02" w:rsidRPr="00E17A1E" w:rsidRDefault="003169A5" w:rsidP="00883A1C">
            <w:pPr>
              <w:suppressLineNumbers/>
              <w:suppressAutoHyphens/>
              <w:kinsoku w:val="0"/>
              <w:overflowPunct w:val="0"/>
              <w:autoSpaceDE w:val="0"/>
              <w:autoSpaceDN w:val="0"/>
              <w:adjustRightInd w:val="0"/>
              <w:snapToGrid w:val="0"/>
              <w:ind w:left="63"/>
              <w:rPr>
                <w:snapToGrid w:val="0"/>
                <w:kern w:val="22"/>
                <w:szCs w:val="22"/>
                <w:lang w:val="fr-FR"/>
              </w:rPr>
            </w:pPr>
            <w:r w:rsidRPr="00E17A1E">
              <w:rPr>
                <w:snapToGrid w:val="0"/>
                <w:kern w:val="22"/>
                <w:szCs w:val="22"/>
                <w:lang w:val="fr-FR"/>
              </w:rPr>
              <w:t>1</w:t>
            </w:r>
            <w:r w:rsidR="0033416E" w:rsidRPr="00E17A1E">
              <w:rPr>
                <w:snapToGrid w:val="0"/>
                <w:kern w:val="22"/>
                <w:szCs w:val="22"/>
                <w:vertAlign w:val="superscript"/>
                <w:lang w:val="fr-FR"/>
              </w:rPr>
              <w:t>er</w:t>
            </w:r>
            <w:r w:rsidRPr="00E17A1E">
              <w:rPr>
                <w:snapToGrid w:val="0"/>
                <w:kern w:val="22"/>
                <w:szCs w:val="22"/>
                <w:lang w:val="fr-FR"/>
              </w:rPr>
              <w:t xml:space="preserve"> </w:t>
            </w:r>
            <w:r w:rsidR="00031441" w:rsidRPr="00E17A1E">
              <w:rPr>
                <w:snapToGrid w:val="0"/>
                <w:kern w:val="22"/>
                <w:szCs w:val="22"/>
                <w:lang w:val="fr-FR"/>
              </w:rPr>
              <w:t>juin</w:t>
            </w:r>
            <w:r w:rsidRPr="00E17A1E">
              <w:rPr>
                <w:snapToGrid w:val="0"/>
                <w:kern w:val="22"/>
                <w:szCs w:val="22"/>
                <w:lang w:val="fr-FR"/>
              </w:rPr>
              <w:t xml:space="preserve"> </w:t>
            </w:r>
            <w:r w:rsidR="00D15589" w:rsidRPr="00E17A1E">
              <w:rPr>
                <w:snapToGrid w:val="0"/>
                <w:kern w:val="22"/>
                <w:szCs w:val="22"/>
                <w:lang w:val="fr-FR"/>
              </w:rPr>
              <w:t>2018</w:t>
            </w:r>
          </w:p>
          <w:p w:rsidR="00F16F02" w:rsidRPr="00E17A1E" w:rsidRDefault="00F16F02" w:rsidP="00883A1C">
            <w:pPr>
              <w:suppressLineNumbers/>
              <w:suppressAutoHyphens/>
              <w:kinsoku w:val="0"/>
              <w:overflowPunct w:val="0"/>
              <w:autoSpaceDE w:val="0"/>
              <w:autoSpaceDN w:val="0"/>
              <w:adjustRightInd w:val="0"/>
              <w:snapToGrid w:val="0"/>
              <w:ind w:left="63"/>
              <w:rPr>
                <w:snapToGrid w:val="0"/>
                <w:kern w:val="22"/>
                <w:szCs w:val="22"/>
                <w:lang w:val="fr-FR"/>
              </w:rPr>
            </w:pPr>
          </w:p>
          <w:p w:rsidR="00031441" w:rsidRPr="00E17A1E" w:rsidRDefault="00031441" w:rsidP="00883A1C">
            <w:pPr>
              <w:suppressLineNumbers/>
              <w:suppressAutoHyphens/>
              <w:kinsoku w:val="0"/>
              <w:overflowPunct w:val="0"/>
              <w:autoSpaceDE w:val="0"/>
              <w:autoSpaceDN w:val="0"/>
              <w:adjustRightInd w:val="0"/>
              <w:snapToGrid w:val="0"/>
              <w:ind w:left="63"/>
              <w:rPr>
                <w:snapToGrid w:val="0"/>
                <w:kern w:val="22"/>
                <w:szCs w:val="22"/>
                <w:lang w:val="fr-FR"/>
              </w:rPr>
            </w:pPr>
            <w:r w:rsidRPr="00E17A1E">
              <w:rPr>
                <w:snapToGrid w:val="0"/>
                <w:kern w:val="22"/>
                <w:szCs w:val="22"/>
                <w:lang w:val="fr-FR"/>
              </w:rPr>
              <w:t>FRANCAIS</w:t>
            </w:r>
          </w:p>
          <w:p w:rsidR="00F16F02" w:rsidRPr="00E17A1E" w:rsidRDefault="00F16F02" w:rsidP="00031441">
            <w:pPr>
              <w:suppressLineNumbers/>
              <w:suppressAutoHyphens/>
              <w:kinsoku w:val="0"/>
              <w:overflowPunct w:val="0"/>
              <w:autoSpaceDE w:val="0"/>
              <w:autoSpaceDN w:val="0"/>
              <w:adjustRightInd w:val="0"/>
              <w:snapToGrid w:val="0"/>
              <w:ind w:left="63"/>
              <w:rPr>
                <w:kern w:val="22"/>
                <w:u w:val="single"/>
                <w:lang w:val="fr-FR"/>
              </w:rPr>
            </w:pPr>
            <w:r w:rsidRPr="00E17A1E">
              <w:rPr>
                <w:snapToGrid w:val="0"/>
                <w:kern w:val="22"/>
                <w:szCs w:val="22"/>
                <w:lang w:val="fr-FR"/>
              </w:rPr>
              <w:t>ORIGINAL</w:t>
            </w:r>
            <w:r w:rsidR="00031441" w:rsidRPr="00E17A1E">
              <w:rPr>
                <w:snapToGrid w:val="0"/>
                <w:kern w:val="22"/>
                <w:szCs w:val="22"/>
                <w:lang w:val="fr-FR"/>
              </w:rPr>
              <w:t xml:space="preserve"> : ANGLAIS</w:t>
            </w:r>
          </w:p>
        </w:tc>
      </w:tr>
    </w:tbl>
    <w:bookmarkStart w:id="0" w:name="Meeting"/>
    <w:p w:rsidR="00CA6B87" w:rsidRPr="00031441" w:rsidRDefault="00D33525" w:rsidP="00883A1C">
      <w:pPr>
        <w:pStyle w:val="meetingname"/>
        <w:suppressLineNumbers/>
        <w:suppressAutoHyphens/>
        <w:kinsoku w:val="0"/>
        <w:overflowPunct w:val="0"/>
        <w:autoSpaceDE w:val="0"/>
        <w:autoSpaceDN w:val="0"/>
        <w:adjustRightInd w:val="0"/>
        <w:snapToGrid w:val="0"/>
        <w:ind w:right="4398"/>
        <w:rPr>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031441" w:rsidRPr="00031441">
            <w:rPr>
              <w:kern w:val="22"/>
              <w:szCs w:val="22"/>
              <w:lang w:val="fr-FR"/>
            </w:rPr>
            <w:t xml:space="preserve">ORGANE </w:t>
          </w:r>
          <w:r w:rsidR="00E77A10" w:rsidRPr="00031441">
            <w:rPr>
              <w:kern w:val="22"/>
              <w:szCs w:val="22"/>
              <w:lang w:val="fr-FR"/>
            </w:rPr>
            <w:t>SUBSIDIA</w:t>
          </w:r>
          <w:r w:rsidR="00031441" w:rsidRPr="00031441">
            <w:rPr>
              <w:kern w:val="22"/>
              <w:szCs w:val="22"/>
              <w:lang w:val="fr-FR"/>
            </w:rPr>
            <w:t>IRE CHARGE de l’Application</w:t>
          </w:r>
        </w:sdtContent>
      </w:sdt>
      <w:bookmarkEnd w:id="0"/>
    </w:p>
    <w:p w:rsidR="00D51069" w:rsidRPr="009E17B6" w:rsidRDefault="00031441" w:rsidP="00883A1C">
      <w:pPr>
        <w:suppressLineNumbers/>
        <w:suppressAutoHyphens/>
        <w:kinsoku w:val="0"/>
        <w:overflowPunct w:val="0"/>
        <w:autoSpaceDE w:val="0"/>
        <w:autoSpaceDN w:val="0"/>
        <w:adjustRightInd w:val="0"/>
        <w:snapToGrid w:val="0"/>
        <w:rPr>
          <w:snapToGrid w:val="0"/>
          <w:kern w:val="22"/>
          <w:szCs w:val="22"/>
          <w:lang w:val="fr-FR" w:eastAsia="nb-NO"/>
        </w:rPr>
      </w:pPr>
      <w:r w:rsidRPr="009E17B6">
        <w:rPr>
          <w:snapToGrid w:val="0"/>
          <w:kern w:val="22"/>
          <w:szCs w:val="22"/>
          <w:lang w:val="fr-FR" w:eastAsia="nb-NO"/>
        </w:rPr>
        <w:t>Deuxième réunion</w:t>
      </w:r>
    </w:p>
    <w:p w:rsidR="00CA6B87" w:rsidRPr="009E17B6" w:rsidRDefault="00031441" w:rsidP="00883A1C">
      <w:pPr>
        <w:suppressLineNumbers/>
        <w:suppressAutoHyphens/>
        <w:kinsoku w:val="0"/>
        <w:overflowPunct w:val="0"/>
        <w:autoSpaceDE w:val="0"/>
        <w:autoSpaceDN w:val="0"/>
        <w:adjustRightInd w:val="0"/>
        <w:snapToGrid w:val="0"/>
        <w:rPr>
          <w:snapToGrid w:val="0"/>
          <w:kern w:val="22"/>
          <w:szCs w:val="22"/>
          <w:lang w:val="fr-FR" w:eastAsia="nb-NO"/>
        </w:rPr>
      </w:pPr>
      <w:r w:rsidRPr="009E17B6">
        <w:rPr>
          <w:snapToGrid w:val="0"/>
          <w:kern w:val="22"/>
          <w:szCs w:val="22"/>
          <w:lang w:val="fr-FR" w:eastAsia="nb-NO"/>
        </w:rPr>
        <w:t>Montré</w:t>
      </w:r>
      <w:r w:rsidR="00D51069" w:rsidRPr="009E17B6">
        <w:rPr>
          <w:snapToGrid w:val="0"/>
          <w:kern w:val="22"/>
          <w:szCs w:val="22"/>
          <w:lang w:val="fr-FR" w:eastAsia="nb-NO"/>
        </w:rPr>
        <w:t>al</w:t>
      </w:r>
      <w:r w:rsidRPr="009E17B6">
        <w:rPr>
          <w:snapToGrid w:val="0"/>
          <w:kern w:val="22"/>
          <w:szCs w:val="22"/>
          <w:lang w:val="fr-FR" w:eastAsia="nb-NO"/>
        </w:rPr>
        <w:t xml:space="preserve"> (</w:t>
      </w:r>
      <w:r w:rsidR="00D51069" w:rsidRPr="009E17B6">
        <w:rPr>
          <w:snapToGrid w:val="0"/>
          <w:kern w:val="22"/>
          <w:szCs w:val="22"/>
          <w:lang w:val="fr-FR" w:eastAsia="nb-NO"/>
        </w:rPr>
        <w:t>Canada</w:t>
      </w:r>
      <w:r w:rsidRPr="009E17B6">
        <w:rPr>
          <w:snapToGrid w:val="0"/>
          <w:kern w:val="22"/>
          <w:szCs w:val="22"/>
          <w:lang w:val="fr-FR" w:eastAsia="nb-NO"/>
        </w:rPr>
        <w:t>)</w:t>
      </w:r>
      <w:r w:rsidR="00D51069" w:rsidRPr="009E17B6">
        <w:rPr>
          <w:snapToGrid w:val="0"/>
          <w:kern w:val="22"/>
          <w:szCs w:val="22"/>
          <w:lang w:val="fr-FR" w:eastAsia="nb-NO"/>
        </w:rPr>
        <w:t xml:space="preserve">, </w:t>
      </w:r>
      <w:r w:rsidR="002E0627" w:rsidRPr="009E17B6">
        <w:rPr>
          <w:snapToGrid w:val="0"/>
          <w:kern w:val="22"/>
          <w:szCs w:val="22"/>
          <w:lang w:val="fr-FR" w:eastAsia="nb-NO"/>
        </w:rPr>
        <w:t>9-13</w:t>
      </w:r>
      <w:r w:rsidR="00D15589" w:rsidRPr="009E17B6">
        <w:rPr>
          <w:snapToGrid w:val="0"/>
          <w:kern w:val="22"/>
          <w:szCs w:val="22"/>
          <w:lang w:val="fr-FR" w:eastAsia="nb-NO"/>
        </w:rPr>
        <w:t xml:space="preserve"> </w:t>
      </w:r>
      <w:r w:rsidRPr="009E17B6">
        <w:rPr>
          <w:snapToGrid w:val="0"/>
          <w:kern w:val="22"/>
          <w:szCs w:val="22"/>
          <w:lang w:val="fr-FR" w:eastAsia="nb-NO"/>
        </w:rPr>
        <w:t>juillet</w:t>
      </w:r>
      <w:r w:rsidR="00D15589" w:rsidRPr="009E17B6">
        <w:rPr>
          <w:snapToGrid w:val="0"/>
          <w:kern w:val="22"/>
          <w:szCs w:val="22"/>
          <w:lang w:val="fr-FR" w:eastAsia="nb-NO"/>
        </w:rPr>
        <w:t xml:space="preserve"> 2018</w:t>
      </w:r>
    </w:p>
    <w:p w:rsidR="00CA6B87" w:rsidRPr="00031441" w:rsidRDefault="00031441" w:rsidP="00883A1C">
      <w:pPr>
        <w:suppressLineNumbers/>
        <w:suppressAutoHyphens/>
        <w:kinsoku w:val="0"/>
        <w:overflowPunct w:val="0"/>
        <w:autoSpaceDE w:val="0"/>
        <w:autoSpaceDN w:val="0"/>
        <w:adjustRightInd w:val="0"/>
        <w:snapToGrid w:val="0"/>
        <w:rPr>
          <w:snapToGrid w:val="0"/>
          <w:kern w:val="22"/>
          <w:szCs w:val="22"/>
          <w:lang w:val="fr-FR" w:eastAsia="nb-NO"/>
        </w:rPr>
      </w:pPr>
      <w:r w:rsidRPr="00031441">
        <w:rPr>
          <w:snapToGrid w:val="0"/>
          <w:kern w:val="22"/>
          <w:szCs w:val="22"/>
          <w:lang w:val="fr-FR" w:eastAsia="nb-NO"/>
        </w:rPr>
        <w:t>Point</w:t>
      </w:r>
      <w:r w:rsidR="00CA6B87" w:rsidRPr="00031441">
        <w:rPr>
          <w:snapToGrid w:val="0"/>
          <w:kern w:val="22"/>
          <w:szCs w:val="22"/>
          <w:lang w:val="fr-FR" w:eastAsia="nb-NO"/>
        </w:rPr>
        <w:t xml:space="preserve"> </w:t>
      </w:r>
      <w:r w:rsidR="008C72B4" w:rsidRPr="00031441">
        <w:rPr>
          <w:snapToGrid w:val="0"/>
          <w:kern w:val="22"/>
          <w:szCs w:val="22"/>
          <w:lang w:val="fr-FR" w:eastAsia="nb-NO"/>
        </w:rPr>
        <w:t>11</w:t>
      </w:r>
      <w:r w:rsidR="00D51069" w:rsidRPr="00031441">
        <w:rPr>
          <w:snapToGrid w:val="0"/>
          <w:kern w:val="22"/>
          <w:szCs w:val="22"/>
          <w:lang w:val="fr-FR" w:eastAsia="nb-NO"/>
        </w:rPr>
        <w:t xml:space="preserve"> </w:t>
      </w:r>
      <w:r w:rsidRPr="00031441">
        <w:rPr>
          <w:snapToGrid w:val="0"/>
          <w:kern w:val="22"/>
          <w:szCs w:val="22"/>
          <w:lang w:val="fr-FR" w:eastAsia="nb-NO"/>
        </w:rPr>
        <w:t>de l’ordre du jour provisoire</w:t>
      </w:r>
      <w:r w:rsidR="00D51069" w:rsidRPr="00031441">
        <w:rPr>
          <w:rStyle w:val="Appelnotedebasdep"/>
          <w:kern w:val="22"/>
          <w:sz w:val="22"/>
          <w:szCs w:val="22"/>
          <w:u w:val="none"/>
          <w:lang w:val="fr-FR"/>
        </w:rPr>
        <w:footnoteReference w:customMarkFollows="1" w:id="2"/>
        <w:t>*</w:t>
      </w:r>
    </w:p>
    <w:p w:rsidR="00406BC6" w:rsidRPr="009E17B6" w:rsidRDefault="00D33525" w:rsidP="00883A1C">
      <w:pPr>
        <w:pStyle w:val="Titre1"/>
        <w:keepNext w:val="0"/>
        <w:suppressLineNumbers/>
        <w:tabs>
          <w:tab w:val="clear" w:pos="720"/>
        </w:tabs>
        <w:suppressAutoHyphens/>
        <w:kinsoku w:val="0"/>
        <w:overflowPunct w:val="0"/>
        <w:autoSpaceDE w:val="0"/>
        <w:autoSpaceDN w:val="0"/>
        <w:adjustRightInd w:val="0"/>
        <w:snapToGrid w:val="0"/>
        <w:rPr>
          <w:kern w:val="22"/>
          <w:szCs w:val="22"/>
          <w:lang w:val="fr-FR"/>
        </w:rPr>
      </w:pPr>
      <w:sdt>
        <w:sdtPr>
          <w:rPr>
            <w:kern w:val="22"/>
            <w:szCs w:val="22"/>
            <w:lang w:val="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71092C">
            <w:rPr>
              <w:kern w:val="22"/>
              <w:szCs w:val="22"/>
              <w:lang w:val="fr-FR"/>
            </w:rPr>
            <w:t xml:space="preserve">execution des </w:t>
          </w:r>
          <w:r w:rsidR="00E77A10" w:rsidRPr="009E17B6">
            <w:rPr>
              <w:kern w:val="22"/>
              <w:szCs w:val="22"/>
              <w:lang w:val="fr-FR"/>
            </w:rPr>
            <w:t xml:space="preserve">options </w:t>
          </w:r>
          <w:r w:rsidR="0071092C">
            <w:rPr>
              <w:kern w:val="22"/>
              <w:szCs w:val="22"/>
              <w:lang w:val="fr-FR"/>
            </w:rPr>
            <w:t>pour accroitre les</w:t>
          </w:r>
          <w:r w:rsidR="00E77A10" w:rsidRPr="009E17B6">
            <w:rPr>
              <w:kern w:val="22"/>
              <w:szCs w:val="22"/>
              <w:lang w:val="fr-FR"/>
            </w:rPr>
            <w:t xml:space="preserve"> synergies </w:t>
          </w:r>
          <w:r w:rsidR="0071092C">
            <w:rPr>
              <w:kern w:val="22"/>
              <w:szCs w:val="22"/>
              <w:lang w:val="fr-FR"/>
            </w:rPr>
            <w:t>entre les</w:t>
          </w:r>
          <w:r w:rsidR="00E77A10" w:rsidRPr="009E17B6">
            <w:rPr>
              <w:kern w:val="22"/>
              <w:szCs w:val="22"/>
              <w:lang w:val="fr-FR"/>
            </w:rPr>
            <w:t xml:space="preserve"> </w:t>
          </w:r>
          <w:r w:rsidR="008B0ED2" w:rsidRPr="009E17B6">
            <w:rPr>
              <w:kern w:val="22"/>
              <w:szCs w:val="22"/>
              <w:lang w:val="fr-FR"/>
            </w:rPr>
            <w:t>conventions relatives à la diversité biologique</w:t>
          </w:r>
        </w:sdtContent>
      </w:sdt>
    </w:p>
    <w:p w:rsidR="00C85EA4" w:rsidRPr="009E17B6" w:rsidRDefault="00C85EA4" w:rsidP="00883A1C">
      <w:pPr>
        <w:pStyle w:val="Titre2"/>
        <w:keepNext w:val="0"/>
        <w:suppressLineNumbers/>
        <w:suppressAutoHyphens/>
        <w:kinsoku w:val="0"/>
        <w:overflowPunct w:val="0"/>
        <w:autoSpaceDE w:val="0"/>
        <w:autoSpaceDN w:val="0"/>
        <w:adjustRightInd w:val="0"/>
        <w:snapToGrid w:val="0"/>
        <w:rPr>
          <w:b w:val="0"/>
          <w:i/>
          <w:kern w:val="22"/>
          <w:szCs w:val="22"/>
          <w:lang w:val="fr-FR"/>
        </w:rPr>
      </w:pPr>
      <w:r w:rsidRPr="009E17B6">
        <w:rPr>
          <w:b w:val="0"/>
          <w:i/>
          <w:kern w:val="22"/>
          <w:szCs w:val="22"/>
          <w:lang w:val="fr-FR"/>
        </w:rPr>
        <w:t xml:space="preserve">Note </w:t>
      </w:r>
      <w:r w:rsidR="00031441" w:rsidRPr="009E17B6">
        <w:rPr>
          <w:b w:val="0"/>
          <w:i/>
          <w:kern w:val="22"/>
          <w:szCs w:val="22"/>
          <w:lang w:val="fr-FR"/>
        </w:rPr>
        <w:t>de la Secrétaire exécutive</w:t>
      </w:r>
    </w:p>
    <w:p w:rsidR="000C2430" w:rsidRPr="00883A1C" w:rsidRDefault="000C2430" w:rsidP="00883A1C">
      <w:pPr>
        <w:numPr>
          <w:ilvl w:val="0"/>
          <w:numId w:val="37"/>
        </w:numPr>
        <w:suppressLineNumbers/>
        <w:tabs>
          <w:tab w:val="left" w:pos="720"/>
        </w:tabs>
        <w:suppressAutoHyphens/>
        <w:kinsoku w:val="0"/>
        <w:overflowPunct w:val="0"/>
        <w:autoSpaceDE w:val="0"/>
        <w:autoSpaceDN w:val="0"/>
        <w:adjustRightInd w:val="0"/>
        <w:snapToGrid w:val="0"/>
        <w:spacing w:before="120" w:after="120"/>
        <w:jc w:val="center"/>
        <w:outlineLvl w:val="0"/>
        <w:rPr>
          <w:b/>
          <w:caps/>
          <w:kern w:val="22"/>
          <w:szCs w:val="22"/>
        </w:rPr>
      </w:pPr>
      <w:r w:rsidRPr="00883A1C">
        <w:rPr>
          <w:b/>
          <w:caps/>
          <w:kern w:val="22"/>
          <w:szCs w:val="22"/>
        </w:rPr>
        <w:t>Introduction</w:t>
      </w:r>
    </w:p>
    <w:p w:rsidR="00736BC2" w:rsidRPr="00E17A1E" w:rsidRDefault="00E8598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713136">
        <w:rPr>
          <w:kern w:val="22"/>
          <w:szCs w:val="22"/>
          <w:lang w:val="fr-FR"/>
        </w:rPr>
        <w:t>A</w:t>
      </w:r>
      <w:r w:rsidR="00031441" w:rsidRPr="00713136">
        <w:rPr>
          <w:kern w:val="22"/>
          <w:szCs w:val="22"/>
          <w:lang w:val="fr-FR"/>
        </w:rPr>
        <w:t xml:space="preserve"> sa treizième réunion</w:t>
      </w:r>
      <w:r w:rsidRPr="00713136">
        <w:rPr>
          <w:kern w:val="22"/>
          <w:szCs w:val="22"/>
          <w:lang w:val="fr-FR"/>
        </w:rPr>
        <w:t xml:space="preserve">, </w:t>
      </w:r>
      <w:r w:rsidR="00031441" w:rsidRPr="00713136">
        <w:rPr>
          <w:kern w:val="22"/>
          <w:szCs w:val="22"/>
          <w:lang w:val="fr-FR"/>
        </w:rPr>
        <w:t>la Conférence des Parties</w:t>
      </w:r>
      <w:r w:rsidR="006D1026" w:rsidRPr="00713136">
        <w:rPr>
          <w:kern w:val="22"/>
          <w:szCs w:val="22"/>
          <w:lang w:val="fr-FR"/>
        </w:rPr>
        <w:t xml:space="preserve"> </w:t>
      </w:r>
      <w:r w:rsidR="00D544FE" w:rsidRPr="00713136">
        <w:rPr>
          <w:kern w:val="22"/>
          <w:szCs w:val="22"/>
          <w:lang w:val="fr-FR"/>
        </w:rPr>
        <w:t>à la</w:t>
      </w:r>
      <w:r w:rsidRPr="00713136">
        <w:rPr>
          <w:kern w:val="22"/>
          <w:szCs w:val="22"/>
          <w:lang w:val="fr-FR"/>
        </w:rPr>
        <w:t xml:space="preserve"> Convention </w:t>
      </w:r>
      <w:r w:rsidR="00D544FE" w:rsidRPr="00713136">
        <w:rPr>
          <w:kern w:val="22"/>
          <w:szCs w:val="22"/>
          <w:lang w:val="fr-FR"/>
        </w:rPr>
        <w:t>sur la diversité biologique</w:t>
      </w:r>
      <w:r w:rsidRPr="00713136">
        <w:rPr>
          <w:kern w:val="22"/>
          <w:szCs w:val="22"/>
          <w:lang w:val="fr-FR"/>
        </w:rPr>
        <w:t xml:space="preserve"> (CD</w:t>
      </w:r>
      <w:r w:rsidR="00D544FE" w:rsidRPr="00713136">
        <w:rPr>
          <w:kern w:val="22"/>
          <w:szCs w:val="22"/>
          <w:lang w:val="fr-FR"/>
        </w:rPr>
        <w:t>B</w:t>
      </w:r>
      <w:r w:rsidRPr="00713136">
        <w:rPr>
          <w:kern w:val="22"/>
          <w:szCs w:val="22"/>
          <w:lang w:val="fr-FR"/>
        </w:rPr>
        <w:t xml:space="preserve">) </w:t>
      </w:r>
      <w:r w:rsidR="00D544FE" w:rsidRPr="00713136">
        <w:rPr>
          <w:kern w:val="22"/>
          <w:szCs w:val="22"/>
          <w:lang w:val="fr-FR"/>
        </w:rPr>
        <w:t xml:space="preserve">a </w:t>
      </w:r>
      <w:r w:rsidR="00713136" w:rsidRPr="00713136">
        <w:rPr>
          <w:kern w:val="22"/>
          <w:szCs w:val="22"/>
          <w:lang w:val="fr-FR"/>
        </w:rPr>
        <w:t>a</w:t>
      </w:r>
      <w:r w:rsidR="00D544FE" w:rsidRPr="00713136">
        <w:rPr>
          <w:kern w:val="22"/>
          <w:szCs w:val="22"/>
          <w:lang w:val="fr-FR"/>
        </w:rPr>
        <w:t>dopté</w:t>
      </w:r>
      <w:r w:rsidR="00713136" w:rsidRPr="00713136">
        <w:rPr>
          <w:kern w:val="22"/>
          <w:szCs w:val="22"/>
          <w:lang w:val="fr-FR"/>
        </w:rPr>
        <w:t xml:space="preserve"> la dé</w:t>
      </w:r>
      <w:r w:rsidRPr="00713136">
        <w:rPr>
          <w:kern w:val="22"/>
          <w:szCs w:val="22"/>
          <w:lang w:val="fr-FR"/>
        </w:rPr>
        <w:t>cision</w:t>
      </w:r>
      <w:r w:rsidR="00CD62E6">
        <w:rPr>
          <w:kern w:val="22"/>
          <w:szCs w:val="22"/>
          <w:lang w:val="fr-FR"/>
        </w:rPr>
        <w:t xml:space="preserve"> </w:t>
      </w:r>
      <w:r w:rsidR="00D33525">
        <w:fldChar w:fldCharType="begin"/>
      </w:r>
      <w:r w:rsidR="00D33525" w:rsidRPr="00FA2B25">
        <w:rPr>
          <w:lang w:val="fr-CA"/>
        </w:rPr>
        <w:instrText xml:space="preserve"> HYPERLINK "https://www.cbd.int/doc/decisions/cop-13/cop-13-dec-24-fr.pdf" </w:instrText>
      </w:r>
      <w:r w:rsidR="00D33525">
        <w:fldChar w:fldCharType="separate"/>
      </w:r>
      <w:r w:rsidR="00CD62E6" w:rsidRPr="005256EE">
        <w:rPr>
          <w:rStyle w:val="Lienhypertexte"/>
          <w:kern w:val="22"/>
          <w:szCs w:val="22"/>
          <w:lang w:val="fr-FR"/>
        </w:rPr>
        <w:t>XI</w:t>
      </w:r>
      <w:r w:rsidR="005256EE">
        <w:rPr>
          <w:rStyle w:val="Lienhypertexte"/>
          <w:kern w:val="22"/>
          <w:szCs w:val="22"/>
          <w:lang w:val="fr-FR"/>
        </w:rPr>
        <w:t>II/24</w:t>
      </w:r>
      <w:r w:rsidR="00D33525">
        <w:rPr>
          <w:rStyle w:val="Lienhypertexte"/>
          <w:kern w:val="22"/>
          <w:szCs w:val="22"/>
          <w:lang w:val="fr-FR"/>
        </w:rPr>
        <w:fldChar w:fldCharType="end"/>
      </w:r>
      <w:r w:rsidR="00CD62E6">
        <w:rPr>
          <w:kern w:val="22"/>
          <w:szCs w:val="22"/>
          <w:lang w:val="fr-FR"/>
        </w:rPr>
        <w:t xml:space="preserve"> </w:t>
      </w:r>
      <w:r w:rsidR="00E17A1E">
        <w:rPr>
          <w:kern w:val="22"/>
          <w:szCs w:val="22"/>
          <w:lang w:val="fr-FR"/>
        </w:rPr>
        <w:t>sur la coopé</w:t>
      </w:r>
      <w:r w:rsidRPr="00713136">
        <w:rPr>
          <w:kern w:val="22"/>
          <w:szCs w:val="22"/>
          <w:lang w:val="fr-FR"/>
        </w:rPr>
        <w:t xml:space="preserve">ration </w:t>
      </w:r>
      <w:r w:rsidR="00E17A1E">
        <w:rPr>
          <w:kern w:val="22"/>
          <w:szCs w:val="22"/>
          <w:lang w:val="fr-FR"/>
        </w:rPr>
        <w:t>avec d’autres</w:t>
      </w:r>
      <w:r w:rsidRPr="00713136">
        <w:rPr>
          <w:kern w:val="22"/>
          <w:szCs w:val="22"/>
          <w:lang w:val="fr-FR"/>
        </w:rPr>
        <w:t xml:space="preserve"> conventions </w:t>
      </w:r>
      <w:r w:rsidR="00E17A1E">
        <w:rPr>
          <w:kern w:val="22"/>
          <w:szCs w:val="22"/>
          <w:lang w:val="fr-FR"/>
        </w:rPr>
        <w:t>et organis</w:t>
      </w:r>
      <w:r w:rsidRPr="00713136">
        <w:rPr>
          <w:kern w:val="22"/>
          <w:szCs w:val="22"/>
          <w:lang w:val="fr-FR"/>
        </w:rPr>
        <w:t>ations</w:t>
      </w:r>
      <w:r w:rsidR="00E17A1E">
        <w:rPr>
          <w:kern w:val="22"/>
          <w:szCs w:val="22"/>
          <w:lang w:val="fr-FR"/>
        </w:rPr>
        <w:t xml:space="preserve"> internationales</w:t>
      </w:r>
      <w:r w:rsidRPr="00713136">
        <w:rPr>
          <w:kern w:val="22"/>
          <w:szCs w:val="22"/>
          <w:lang w:val="fr-FR"/>
        </w:rPr>
        <w:t xml:space="preserve">, </w:t>
      </w:r>
      <w:r w:rsidR="00E17A1E">
        <w:rPr>
          <w:kern w:val="22"/>
          <w:szCs w:val="22"/>
          <w:lang w:val="fr-FR"/>
        </w:rPr>
        <w:t xml:space="preserve">y compris les </w:t>
      </w:r>
      <w:r w:rsidRPr="00713136">
        <w:rPr>
          <w:kern w:val="22"/>
          <w:szCs w:val="22"/>
          <w:lang w:val="fr-FR"/>
        </w:rPr>
        <w:t xml:space="preserve">options </w:t>
      </w:r>
      <w:r w:rsidR="00E17A1E">
        <w:rPr>
          <w:kern w:val="22"/>
          <w:szCs w:val="22"/>
          <w:lang w:val="fr-FR"/>
        </w:rPr>
        <w:t>pour accroître les</w:t>
      </w:r>
      <w:r w:rsidRPr="00713136">
        <w:rPr>
          <w:kern w:val="22"/>
          <w:szCs w:val="22"/>
          <w:lang w:val="fr-FR"/>
        </w:rPr>
        <w:t xml:space="preserve"> synergies </w:t>
      </w:r>
      <w:r w:rsidR="00E17A1E">
        <w:rPr>
          <w:kern w:val="22"/>
          <w:szCs w:val="22"/>
          <w:lang w:val="fr-FR"/>
        </w:rPr>
        <w:t>entre les</w:t>
      </w:r>
      <w:r w:rsidRPr="00713136">
        <w:rPr>
          <w:kern w:val="22"/>
          <w:szCs w:val="22"/>
          <w:lang w:val="fr-FR"/>
        </w:rPr>
        <w:t xml:space="preserve"> </w:t>
      </w:r>
      <w:r w:rsidR="008B0ED2">
        <w:rPr>
          <w:kern w:val="22"/>
          <w:szCs w:val="22"/>
          <w:lang w:val="fr-FR"/>
        </w:rPr>
        <w:t>conventions relatives à la diversité biologique</w:t>
      </w:r>
      <w:r w:rsidR="00F13DC0" w:rsidRPr="00713136">
        <w:rPr>
          <w:kern w:val="22"/>
          <w:szCs w:val="22"/>
          <w:lang w:val="fr-FR"/>
        </w:rPr>
        <w:t>.</w:t>
      </w:r>
      <w:r w:rsidRPr="00713136">
        <w:rPr>
          <w:kern w:val="22"/>
          <w:szCs w:val="22"/>
          <w:lang w:val="fr-FR"/>
        </w:rPr>
        <w:t xml:space="preserve"> </w:t>
      </w:r>
      <w:r w:rsidR="00E17A1E" w:rsidRPr="00E17A1E">
        <w:rPr>
          <w:kern w:val="22"/>
          <w:szCs w:val="22"/>
          <w:lang w:val="fr-FR"/>
        </w:rPr>
        <w:t xml:space="preserve">Elle s’est félicitée des options pour accroître les </w:t>
      </w:r>
      <w:r w:rsidR="00903E6D" w:rsidRPr="00E17A1E">
        <w:rPr>
          <w:kern w:val="22"/>
          <w:szCs w:val="22"/>
          <w:lang w:val="fr-FR"/>
        </w:rPr>
        <w:t>synergies</w:t>
      </w:r>
      <w:r w:rsidR="00E17A1E">
        <w:rPr>
          <w:kern w:val="22"/>
          <w:szCs w:val="22"/>
          <w:lang w:val="fr-FR"/>
        </w:rPr>
        <w:t xml:space="preserve"> entre les</w:t>
      </w:r>
      <w:r w:rsidR="00903E6D" w:rsidRPr="00E17A1E">
        <w:rPr>
          <w:kern w:val="22"/>
          <w:szCs w:val="22"/>
          <w:lang w:val="fr-FR"/>
        </w:rPr>
        <w:t xml:space="preserve"> </w:t>
      </w:r>
      <w:r w:rsidR="008B0ED2" w:rsidRPr="00E17A1E">
        <w:rPr>
          <w:kern w:val="22"/>
          <w:szCs w:val="22"/>
          <w:lang w:val="fr-FR"/>
        </w:rPr>
        <w:t>conventions relatives à la diversité biologique</w:t>
      </w:r>
      <w:r w:rsidR="00903E6D" w:rsidRPr="00E17A1E">
        <w:rPr>
          <w:kern w:val="22"/>
          <w:szCs w:val="22"/>
          <w:lang w:val="fr-FR"/>
        </w:rPr>
        <w:t xml:space="preserve"> </w:t>
      </w:r>
      <w:r w:rsidR="00E17A1E">
        <w:rPr>
          <w:kern w:val="22"/>
          <w:szCs w:val="22"/>
          <w:lang w:val="fr-FR"/>
        </w:rPr>
        <w:t>au niveau national qui figurent à l’</w:t>
      </w:r>
      <w:r w:rsidR="00903E6D" w:rsidRPr="00E17A1E">
        <w:rPr>
          <w:kern w:val="22"/>
          <w:szCs w:val="22"/>
          <w:lang w:val="fr-FR"/>
        </w:rPr>
        <w:t>annex</w:t>
      </w:r>
      <w:r w:rsidR="00713136" w:rsidRPr="00E17A1E">
        <w:rPr>
          <w:kern w:val="22"/>
          <w:szCs w:val="22"/>
          <w:lang w:val="fr-FR"/>
        </w:rPr>
        <w:t>e</w:t>
      </w:r>
      <w:r w:rsidR="00903E6D" w:rsidRPr="00E17A1E">
        <w:rPr>
          <w:kern w:val="22"/>
          <w:szCs w:val="22"/>
          <w:lang w:val="fr-FR"/>
        </w:rPr>
        <w:t xml:space="preserve"> I </w:t>
      </w:r>
      <w:r w:rsidR="00E17A1E">
        <w:rPr>
          <w:kern w:val="22"/>
          <w:szCs w:val="22"/>
          <w:lang w:val="fr-FR"/>
        </w:rPr>
        <w:t>de la dé</w:t>
      </w:r>
      <w:r w:rsidR="00903E6D" w:rsidRPr="00E17A1E">
        <w:rPr>
          <w:kern w:val="22"/>
          <w:szCs w:val="22"/>
          <w:lang w:val="fr-FR"/>
        </w:rPr>
        <w:t>cision</w:t>
      </w:r>
      <w:r w:rsidR="00E17A1E">
        <w:rPr>
          <w:kern w:val="22"/>
          <w:szCs w:val="22"/>
          <w:lang w:val="fr-FR"/>
        </w:rPr>
        <w:t xml:space="preserve"> ainsi que de la feuille de route pour accroître les synergies entre les</w:t>
      </w:r>
      <w:r w:rsidR="00903E6D" w:rsidRPr="00E17A1E">
        <w:rPr>
          <w:kern w:val="22"/>
          <w:szCs w:val="22"/>
          <w:lang w:val="fr-FR"/>
        </w:rPr>
        <w:t xml:space="preserve"> </w:t>
      </w:r>
      <w:r w:rsidR="008B0ED2" w:rsidRPr="00E17A1E">
        <w:rPr>
          <w:kern w:val="22"/>
          <w:szCs w:val="22"/>
          <w:lang w:val="fr-FR"/>
        </w:rPr>
        <w:t>conventions relatives à la diversité biologique</w:t>
      </w:r>
      <w:r w:rsidR="00903E6D" w:rsidRPr="00E17A1E">
        <w:rPr>
          <w:kern w:val="22"/>
          <w:szCs w:val="22"/>
          <w:lang w:val="fr-FR"/>
        </w:rPr>
        <w:t xml:space="preserve"> </w:t>
      </w:r>
      <w:r w:rsidR="00E17A1E">
        <w:rPr>
          <w:kern w:val="22"/>
          <w:szCs w:val="22"/>
          <w:lang w:val="fr-FR"/>
        </w:rPr>
        <w:t xml:space="preserve">au niveau </w:t>
      </w:r>
      <w:r w:rsidR="00903E6D" w:rsidRPr="00E17A1E">
        <w:rPr>
          <w:kern w:val="22"/>
          <w:szCs w:val="22"/>
          <w:lang w:val="fr-FR"/>
        </w:rPr>
        <w:t xml:space="preserve">international </w:t>
      </w:r>
      <w:r w:rsidR="00E17A1E">
        <w:rPr>
          <w:kern w:val="22"/>
          <w:szCs w:val="22"/>
          <w:lang w:val="fr-FR"/>
        </w:rPr>
        <w:t>(</w:t>
      </w:r>
      <w:r w:rsidR="00903E6D" w:rsidRPr="00E17A1E">
        <w:rPr>
          <w:kern w:val="22"/>
          <w:szCs w:val="22"/>
          <w:lang w:val="fr-FR"/>
        </w:rPr>
        <w:t>2017-2020</w:t>
      </w:r>
      <w:r w:rsidR="00E0386A">
        <w:rPr>
          <w:kern w:val="22"/>
          <w:szCs w:val="22"/>
          <w:lang w:val="fr-FR"/>
        </w:rPr>
        <w:t>)</w:t>
      </w:r>
      <w:r w:rsidR="006B0D4C" w:rsidRPr="00E17A1E">
        <w:rPr>
          <w:kern w:val="22"/>
          <w:szCs w:val="22"/>
          <w:lang w:val="fr-FR"/>
        </w:rPr>
        <w:t>,</w:t>
      </w:r>
      <w:r w:rsidR="00903E6D" w:rsidRPr="00E17A1E">
        <w:rPr>
          <w:kern w:val="22"/>
          <w:szCs w:val="22"/>
          <w:lang w:val="fr-FR"/>
        </w:rPr>
        <w:t xml:space="preserve"> </w:t>
      </w:r>
      <w:r w:rsidR="00E17A1E">
        <w:rPr>
          <w:kern w:val="22"/>
          <w:szCs w:val="22"/>
          <w:lang w:val="fr-FR"/>
        </w:rPr>
        <w:t>qui figurent à l’an</w:t>
      </w:r>
      <w:r w:rsidR="00903E6D" w:rsidRPr="00E17A1E">
        <w:rPr>
          <w:kern w:val="22"/>
          <w:szCs w:val="22"/>
          <w:lang w:val="fr-FR"/>
        </w:rPr>
        <w:t>nex</w:t>
      </w:r>
      <w:r w:rsidR="00713136" w:rsidRPr="00E17A1E">
        <w:rPr>
          <w:kern w:val="22"/>
          <w:szCs w:val="22"/>
          <w:lang w:val="fr-FR"/>
        </w:rPr>
        <w:t>e</w:t>
      </w:r>
      <w:r w:rsidR="00903E6D" w:rsidRPr="00E17A1E">
        <w:rPr>
          <w:kern w:val="22"/>
          <w:szCs w:val="22"/>
          <w:lang w:val="fr-FR"/>
        </w:rPr>
        <w:t xml:space="preserve"> II </w:t>
      </w:r>
      <w:r w:rsidR="00E17A1E">
        <w:rPr>
          <w:kern w:val="22"/>
          <w:szCs w:val="22"/>
          <w:lang w:val="fr-FR"/>
        </w:rPr>
        <w:t>de la dé</w:t>
      </w:r>
      <w:r w:rsidR="00903E6D" w:rsidRPr="00E17A1E">
        <w:rPr>
          <w:kern w:val="22"/>
          <w:szCs w:val="22"/>
          <w:lang w:val="fr-FR"/>
        </w:rPr>
        <w:t>cision.</w:t>
      </w:r>
    </w:p>
    <w:p w:rsidR="009902B9" w:rsidRPr="006B59BF" w:rsidRDefault="00713136"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E17A1E">
        <w:rPr>
          <w:kern w:val="22"/>
          <w:szCs w:val="22"/>
          <w:lang w:val="fr-FR"/>
        </w:rPr>
        <w:t>Au parag</w:t>
      </w:r>
      <w:r w:rsidR="006B59BF">
        <w:rPr>
          <w:kern w:val="22"/>
          <w:szCs w:val="22"/>
          <w:lang w:val="fr-FR"/>
        </w:rPr>
        <w:t>r</w:t>
      </w:r>
      <w:r w:rsidRPr="00E17A1E">
        <w:rPr>
          <w:kern w:val="22"/>
          <w:szCs w:val="22"/>
          <w:lang w:val="fr-FR"/>
        </w:rPr>
        <w:t>aphe 14 de la dé</w:t>
      </w:r>
      <w:r w:rsidR="009902B9" w:rsidRPr="00E17A1E">
        <w:rPr>
          <w:kern w:val="22"/>
          <w:szCs w:val="22"/>
          <w:lang w:val="fr-FR"/>
        </w:rPr>
        <w:t>cision XIII/24,</w:t>
      </w:r>
      <w:r w:rsidRPr="00E17A1E">
        <w:rPr>
          <w:kern w:val="22"/>
          <w:szCs w:val="22"/>
          <w:lang w:val="fr-FR"/>
        </w:rPr>
        <w:t xml:space="preserve"> </w:t>
      </w:r>
      <w:r w:rsidR="00031441" w:rsidRPr="00E17A1E">
        <w:rPr>
          <w:kern w:val="22"/>
          <w:szCs w:val="22"/>
          <w:lang w:val="fr-FR"/>
        </w:rPr>
        <w:t>la Conférence des Parties</w:t>
      </w:r>
      <w:r w:rsidR="006D1026" w:rsidRPr="00E17A1E">
        <w:rPr>
          <w:kern w:val="22"/>
          <w:szCs w:val="22"/>
          <w:lang w:val="fr-FR"/>
        </w:rPr>
        <w:t xml:space="preserve"> </w:t>
      </w:r>
      <w:r w:rsidR="00E17A1E" w:rsidRPr="00E17A1E">
        <w:rPr>
          <w:kern w:val="22"/>
          <w:szCs w:val="22"/>
          <w:lang w:val="fr-FR"/>
        </w:rPr>
        <w:t>a demandé au</w:t>
      </w:r>
      <w:r w:rsidR="009902B9" w:rsidRPr="00E17A1E">
        <w:rPr>
          <w:kern w:val="22"/>
          <w:szCs w:val="22"/>
          <w:lang w:val="fr-FR"/>
        </w:rPr>
        <w:t xml:space="preserve"> </w:t>
      </w:r>
      <w:r w:rsidR="00E17A1E" w:rsidRPr="00E17A1E">
        <w:rPr>
          <w:kern w:val="22"/>
          <w:szCs w:val="22"/>
          <w:lang w:val="fr-FR"/>
        </w:rPr>
        <w:t xml:space="preserve">Secrétaire exécutif </w:t>
      </w:r>
      <w:r w:rsidR="00E17A1E">
        <w:rPr>
          <w:kern w:val="22"/>
          <w:szCs w:val="22"/>
          <w:lang w:val="fr-FR"/>
        </w:rPr>
        <w:t xml:space="preserve">de faire rapport à l’Organe subsidiaire chargé de l’application à sa deuxième réunion </w:t>
      </w:r>
      <w:r w:rsidR="006B59BF">
        <w:rPr>
          <w:kern w:val="22"/>
          <w:szCs w:val="22"/>
          <w:lang w:val="fr-FR"/>
        </w:rPr>
        <w:t>sur l’exécution des mesures de la feuille de route.</w:t>
      </w:r>
      <w:r w:rsidR="009902B9" w:rsidRPr="00E17A1E">
        <w:rPr>
          <w:kern w:val="22"/>
          <w:szCs w:val="22"/>
          <w:lang w:val="fr-FR"/>
        </w:rPr>
        <w:t xml:space="preserve"> </w:t>
      </w:r>
      <w:r w:rsidRPr="006B59BF">
        <w:rPr>
          <w:kern w:val="22"/>
          <w:szCs w:val="22"/>
          <w:lang w:val="fr-FR"/>
        </w:rPr>
        <w:t>Dans cette même décision</w:t>
      </w:r>
      <w:r w:rsidR="006B0D4C" w:rsidRPr="006B59BF">
        <w:rPr>
          <w:kern w:val="22"/>
          <w:szCs w:val="22"/>
          <w:lang w:val="fr-FR"/>
        </w:rPr>
        <w:t xml:space="preserve">, </w:t>
      </w:r>
      <w:r w:rsidRPr="006B59BF">
        <w:rPr>
          <w:kern w:val="22"/>
          <w:szCs w:val="22"/>
          <w:lang w:val="fr-FR"/>
        </w:rPr>
        <w:t xml:space="preserve">elle </w:t>
      </w:r>
      <w:r w:rsidR="006B59BF">
        <w:rPr>
          <w:kern w:val="22"/>
          <w:szCs w:val="22"/>
          <w:lang w:val="fr-FR"/>
        </w:rPr>
        <w:t xml:space="preserve">a demandé au Secrétaire exécutif de fournir à l’Organe subsidiaire des </w:t>
      </w:r>
      <w:r w:rsidR="009902B9" w:rsidRPr="006B59BF">
        <w:rPr>
          <w:kern w:val="22"/>
          <w:szCs w:val="22"/>
          <w:lang w:val="fr-FR"/>
        </w:rPr>
        <w:t>information</w:t>
      </w:r>
      <w:r w:rsidR="006B59BF">
        <w:rPr>
          <w:kern w:val="22"/>
          <w:szCs w:val="22"/>
          <w:lang w:val="fr-FR"/>
        </w:rPr>
        <w:t>s sur les progrès accomplis pour améliorer la cohé</w:t>
      </w:r>
      <w:r w:rsidR="009902B9" w:rsidRPr="006B59BF">
        <w:rPr>
          <w:kern w:val="22"/>
          <w:szCs w:val="22"/>
          <w:lang w:val="fr-FR"/>
        </w:rPr>
        <w:t xml:space="preserve">rence </w:t>
      </w:r>
      <w:r w:rsidR="006B59BF">
        <w:rPr>
          <w:kern w:val="22"/>
          <w:szCs w:val="22"/>
          <w:lang w:val="fr-FR"/>
        </w:rPr>
        <w:t>et la coopé</w:t>
      </w:r>
      <w:r w:rsidR="009902B9" w:rsidRPr="006B59BF">
        <w:rPr>
          <w:kern w:val="22"/>
          <w:szCs w:val="22"/>
          <w:lang w:val="fr-FR"/>
        </w:rPr>
        <w:t xml:space="preserve">ration </w:t>
      </w:r>
      <w:r w:rsidR="006B59BF">
        <w:rPr>
          <w:kern w:val="22"/>
          <w:szCs w:val="22"/>
          <w:lang w:val="fr-FR"/>
        </w:rPr>
        <w:t>entre les</w:t>
      </w:r>
      <w:r w:rsidR="009902B9" w:rsidRPr="006B59BF">
        <w:rPr>
          <w:kern w:val="22"/>
          <w:szCs w:val="22"/>
          <w:lang w:val="fr-FR"/>
        </w:rPr>
        <w:t xml:space="preserve"> </w:t>
      </w:r>
      <w:r w:rsidR="008B0ED2" w:rsidRPr="006B59BF">
        <w:rPr>
          <w:kern w:val="22"/>
          <w:szCs w:val="22"/>
          <w:lang w:val="fr-FR"/>
        </w:rPr>
        <w:t>conventions relatives à la diversité biologique</w:t>
      </w:r>
      <w:r w:rsidR="009902B9" w:rsidRPr="006B59BF">
        <w:rPr>
          <w:kern w:val="22"/>
          <w:szCs w:val="22"/>
          <w:lang w:val="fr-FR"/>
        </w:rPr>
        <w:t xml:space="preserve"> </w:t>
      </w:r>
      <w:r w:rsidR="006B0D4C" w:rsidRPr="006B59BF">
        <w:rPr>
          <w:kern w:val="22"/>
          <w:szCs w:val="22"/>
          <w:lang w:val="fr-FR"/>
        </w:rPr>
        <w:t>(para</w:t>
      </w:r>
      <w:r w:rsidRPr="006B59BF">
        <w:rPr>
          <w:kern w:val="22"/>
          <w:szCs w:val="22"/>
          <w:lang w:val="fr-FR"/>
        </w:rPr>
        <w:t>graphe</w:t>
      </w:r>
      <w:r w:rsidR="006B0D4C" w:rsidRPr="006B59BF">
        <w:rPr>
          <w:kern w:val="22"/>
          <w:szCs w:val="22"/>
          <w:lang w:val="fr-FR"/>
        </w:rPr>
        <w:t>18)</w:t>
      </w:r>
      <w:r w:rsidR="00882425" w:rsidRPr="006B59BF">
        <w:rPr>
          <w:kern w:val="22"/>
          <w:szCs w:val="22"/>
          <w:lang w:val="fr-FR"/>
        </w:rPr>
        <w:t>.</w:t>
      </w:r>
    </w:p>
    <w:p w:rsidR="00300596" w:rsidRPr="0014672C" w:rsidRDefault="00713136"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713136">
        <w:rPr>
          <w:kern w:val="22"/>
          <w:szCs w:val="22"/>
          <w:lang w:val="fr-FR"/>
        </w:rPr>
        <w:t>Le présen</w:t>
      </w:r>
      <w:r w:rsidR="004F7114" w:rsidRPr="00713136">
        <w:rPr>
          <w:kern w:val="22"/>
          <w:szCs w:val="22"/>
          <w:lang w:val="fr-FR"/>
        </w:rPr>
        <w:t xml:space="preserve">t </w:t>
      </w:r>
      <w:r w:rsidR="006D1026" w:rsidRPr="00713136">
        <w:rPr>
          <w:kern w:val="22"/>
          <w:szCs w:val="22"/>
          <w:lang w:val="fr-FR"/>
        </w:rPr>
        <w:t xml:space="preserve">document </w:t>
      </w:r>
      <w:r w:rsidRPr="00713136">
        <w:rPr>
          <w:kern w:val="22"/>
          <w:szCs w:val="22"/>
          <w:lang w:val="fr-FR"/>
        </w:rPr>
        <w:t>répond à ces demandes</w:t>
      </w:r>
      <w:r w:rsidR="006B0D4C" w:rsidRPr="00713136">
        <w:rPr>
          <w:kern w:val="22"/>
          <w:szCs w:val="22"/>
          <w:lang w:val="fr-FR"/>
        </w:rPr>
        <w:t xml:space="preserve">. </w:t>
      </w:r>
      <w:r w:rsidRPr="0014672C">
        <w:rPr>
          <w:kern w:val="22"/>
          <w:szCs w:val="22"/>
          <w:lang w:val="fr-FR"/>
        </w:rPr>
        <w:t xml:space="preserve">La </w:t>
      </w:r>
      <w:r w:rsidR="008F26E1" w:rsidRPr="0014672C">
        <w:rPr>
          <w:kern w:val="22"/>
          <w:szCs w:val="22"/>
          <w:lang w:val="fr-FR"/>
        </w:rPr>
        <w:t xml:space="preserve">Section II </w:t>
      </w:r>
      <w:r w:rsidRPr="0014672C">
        <w:rPr>
          <w:kern w:val="22"/>
          <w:szCs w:val="22"/>
          <w:lang w:val="fr-FR"/>
        </w:rPr>
        <w:t>résume</w:t>
      </w:r>
      <w:r w:rsidR="008F26E1" w:rsidRPr="0014672C">
        <w:rPr>
          <w:kern w:val="22"/>
          <w:szCs w:val="22"/>
          <w:lang w:val="fr-FR"/>
        </w:rPr>
        <w:t xml:space="preserve"> </w:t>
      </w:r>
      <w:r w:rsidR="006B59BF">
        <w:rPr>
          <w:kern w:val="22"/>
          <w:szCs w:val="22"/>
          <w:lang w:val="fr-FR"/>
        </w:rPr>
        <w:t>les progrès accomplis dans la réalisation de la feuille de route pour accroître les</w:t>
      </w:r>
      <w:r w:rsidR="004F7114" w:rsidRPr="0014672C">
        <w:rPr>
          <w:kern w:val="22"/>
          <w:szCs w:val="22"/>
          <w:lang w:val="fr-FR"/>
        </w:rPr>
        <w:t xml:space="preserve"> synergies </w:t>
      </w:r>
      <w:r w:rsidR="006B59BF">
        <w:rPr>
          <w:kern w:val="22"/>
          <w:szCs w:val="22"/>
          <w:lang w:val="fr-FR"/>
        </w:rPr>
        <w:t>entre les</w:t>
      </w:r>
      <w:r w:rsidR="004F7114" w:rsidRPr="0014672C">
        <w:rPr>
          <w:kern w:val="22"/>
          <w:szCs w:val="22"/>
          <w:lang w:val="fr-FR"/>
        </w:rPr>
        <w:t xml:space="preserve"> </w:t>
      </w:r>
      <w:r w:rsidR="008B0ED2">
        <w:rPr>
          <w:kern w:val="22"/>
          <w:szCs w:val="22"/>
          <w:lang w:val="fr-FR"/>
        </w:rPr>
        <w:t>conventions relatives à la diversité biologique</w:t>
      </w:r>
      <w:r w:rsidR="006B59BF">
        <w:rPr>
          <w:kern w:val="22"/>
          <w:szCs w:val="22"/>
          <w:lang w:val="fr-FR"/>
        </w:rPr>
        <w:t xml:space="preserve"> au</w:t>
      </w:r>
      <w:r w:rsidR="004F7114" w:rsidRPr="0014672C">
        <w:rPr>
          <w:kern w:val="22"/>
          <w:szCs w:val="22"/>
          <w:lang w:val="fr-FR"/>
        </w:rPr>
        <w:t xml:space="preserve"> </w:t>
      </w:r>
      <w:r w:rsidR="006B59BF">
        <w:rPr>
          <w:kern w:val="22"/>
          <w:szCs w:val="22"/>
          <w:lang w:val="fr-FR"/>
        </w:rPr>
        <w:t xml:space="preserve">niveau </w:t>
      </w:r>
      <w:r w:rsidR="004F7114" w:rsidRPr="0014672C">
        <w:rPr>
          <w:kern w:val="22"/>
          <w:szCs w:val="22"/>
          <w:lang w:val="fr-FR"/>
        </w:rPr>
        <w:t xml:space="preserve">international </w:t>
      </w:r>
      <w:r w:rsidR="006B59BF">
        <w:rPr>
          <w:kern w:val="22"/>
          <w:szCs w:val="22"/>
          <w:lang w:val="fr-FR"/>
        </w:rPr>
        <w:t>(</w:t>
      </w:r>
      <w:r w:rsidR="004F7114" w:rsidRPr="0014672C">
        <w:rPr>
          <w:kern w:val="22"/>
          <w:szCs w:val="22"/>
          <w:lang w:val="fr-FR"/>
        </w:rPr>
        <w:t>2017-2020</w:t>
      </w:r>
      <w:r w:rsidR="006B59BF">
        <w:rPr>
          <w:kern w:val="22"/>
          <w:szCs w:val="22"/>
          <w:lang w:val="fr-FR"/>
        </w:rPr>
        <w:t>)</w:t>
      </w:r>
      <w:r w:rsidR="006B0D4C" w:rsidRPr="0014672C">
        <w:rPr>
          <w:kern w:val="22"/>
          <w:szCs w:val="22"/>
          <w:lang w:val="fr-FR"/>
        </w:rPr>
        <w:t xml:space="preserve">, </w:t>
      </w:r>
      <w:r w:rsidRPr="0014672C">
        <w:rPr>
          <w:kern w:val="22"/>
          <w:szCs w:val="22"/>
          <w:lang w:val="fr-FR"/>
        </w:rPr>
        <w:t>y compris les travaux entrepris à c</w:t>
      </w:r>
      <w:r w:rsidR="0014672C" w:rsidRPr="0014672C">
        <w:rPr>
          <w:kern w:val="22"/>
          <w:szCs w:val="22"/>
          <w:lang w:val="fr-FR"/>
        </w:rPr>
        <w:t>e</w:t>
      </w:r>
      <w:r w:rsidRPr="0014672C">
        <w:rPr>
          <w:kern w:val="22"/>
          <w:szCs w:val="22"/>
          <w:lang w:val="fr-FR"/>
        </w:rPr>
        <w:t xml:space="preserve">t égard par </w:t>
      </w:r>
      <w:r w:rsidR="0014672C">
        <w:rPr>
          <w:kern w:val="22"/>
          <w:szCs w:val="22"/>
          <w:lang w:val="fr-FR"/>
        </w:rPr>
        <w:t>le</w:t>
      </w:r>
      <w:r w:rsidRPr="0014672C">
        <w:rPr>
          <w:kern w:val="22"/>
          <w:szCs w:val="22"/>
          <w:lang w:val="fr-FR"/>
        </w:rPr>
        <w:t xml:space="preserve"> groupe consultatif informel sur les</w:t>
      </w:r>
      <w:r w:rsidR="008F26E1" w:rsidRPr="0014672C">
        <w:rPr>
          <w:kern w:val="22"/>
          <w:szCs w:val="22"/>
          <w:lang w:val="fr-FR"/>
        </w:rPr>
        <w:t xml:space="preserve"> synergies </w:t>
      </w:r>
      <w:r w:rsidR="0014672C" w:rsidRPr="0014672C">
        <w:rPr>
          <w:kern w:val="22"/>
          <w:szCs w:val="22"/>
          <w:lang w:val="fr-FR"/>
        </w:rPr>
        <w:t>créé par la dé</w:t>
      </w:r>
      <w:r w:rsidR="008F26E1" w:rsidRPr="0014672C">
        <w:rPr>
          <w:kern w:val="22"/>
          <w:szCs w:val="22"/>
          <w:lang w:val="fr-FR"/>
        </w:rPr>
        <w:t xml:space="preserve">cision XIII/24. </w:t>
      </w:r>
      <w:r w:rsidR="0014672C">
        <w:rPr>
          <w:kern w:val="22"/>
          <w:szCs w:val="22"/>
          <w:lang w:val="fr-FR"/>
        </w:rPr>
        <w:t xml:space="preserve"> La </w:t>
      </w:r>
      <w:r w:rsidR="009902B9" w:rsidRPr="0014672C">
        <w:rPr>
          <w:kern w:val="22"/>
          <w:szCs w:val="22"/>
          <w:lang w:val="fr-FR"/>
        </w:rPr>
        <w:t>S</w:t>
      </w:r>
      <w:r w:rsidR="008F26E1" w:rsidRPr="0014672C">
        <w:rPr>
          <w:kern w:val="22"/>
          <w:szCs w:val="22"/>
          <w:lang w:val="fr-FR"/>
        </w:rPr>
        <w:t xml:space="preserve">ection </w:t>
      </w:r>
      <w:r w:rsidR="006B0D4C" w:rsidRPr="0014672C">
        <w:rPr>
          <w:kern w:val="22"/>
          <w:szCs w:val="22"/>
          <w:lang w:val="fr-FR"/>
        </w:rPr>
        <w:t>I</w:t>
      </w:r>
      <w:r w:rsidR="00D0585E" w:rsidRPr="0014672C">
        <w:rPr>
          <w:kern w:val="22"/>
          <w:szCs w:val="22"/>
          <w:lang w:val="fr-FR"/>
        </w:rPr>
        <w:t xml:space="preserve">V </w:t>
      </w:r>
      <w:r w:rsidR="0014672C">
        <w:rPr>
          <w:kern w:val="22"/>
          <w:szCs w:val="22"/>
          <w:lang w:val="fr-FR"/>
        </w:rPr>
        <w:t>fait des propositions portant sur des travaux additionnels</w:t>
      </w:r>
      <w:r w:rsidR="008F26E1" w:rsidRPr="0014672C">
        <w:rPr>
          <w:kern w:val="22"/>
          <w:szCs w:val="22"/>
          <w:lang w:val="fr-FR"/>
        </w:rPr>
        <w:t>.</w:t>
      </w:r>
    </w:p>
    <w:p w:rsidR="0000751C" w:rsidRPr="0014672C" w:rsidRDefault="0014672C"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14672C">
        <w:rPr>
          <w:kern w:val="22"/>
          <w:szCs w:val="22"/>
          <w:lang w:val="fr-FR"/>
        </w:rPr>
        <w:t>D’éventuelles recomma</w:t>
      </w:r>
      <w:r w:rsidR="00E85989" w:rsidRPr="0014672C">
        <w:rPr>
          <w:kern w:val="22"/>
          <w:szCs w:val="22"/>
          <w:lang w:val="fr-FR"/>
        </w:rPr>
        <w:t xml:space="preserve">ndations </w:t>
      </w:r>
      <w:r w:rsidRPr="0014672C">
        <w:rPr>
          <w:kern w:val="22"/>
          <w:szCs w:val="22"/>
          <w:lang w:val="fr-FR"/>
        </w:rPr>
        <w:t>de l’Organe subsidiaire</w:t>
      </w:r>
      <w:r w:rsidR="00903E6D" w:rsidRPr="0014672C">
        <w:rPr>
          <w:kern w:val="22"/>
          <w:szCs w:val="22"/>
          <w:lang w:val="fr-FR"/>
        </w:rPr>
        <w:t>,</w:t>
      </w:r>
      <w:r w:rsidR="00E85989" w:rsidRPr="0014672C">
        <w:rPr>
          <w:kern w:val="22"/>
          <w:szCs w:val="22"/>
          <w:lang w:val="fr-FR"/>
        </w:rPr>
        <w:t xml:space="preserve"> </w:t>
      </w:r>
      <w:r w:rsidRPr="0014672C">
        <w:rPr>
          <w:kern w:val="22"/>
          <w:szCs w:val="22"/>
          <w:lang w:val="fr-FR"/>
        </w:rPr>
        <w:t>y compris des recomma</w:t>
      </w:r>
      <w:r w:rsidR="00E85989" w:rsidRPr="0014672C">
        <w:rPr>
          <w:kern w:val="22"/>
          <w:szCs w:val="22"/>
          <w:lang w:val="fr-FR"/>
        </w:rPr>
        <w:t xml:space="preserve">ndations </w:t>
      </w:r>
      <w:r w:rsidRPr="0014672C">
        <w:rPr>
          <w:kern w:val="22"/>
          <w:szCs w:val="22"/>
          <w:lang w:val="fr-FR"/>
        </w:rPr>
        <w:t>portant sur une dé</w:t>
      </w:r>
      <w:r w:rsidR="00E85989" w:rsidRPr="0014672C">
        <w:rPr>
          <w:kern w:val="22"/>
          <w:szCs w:val="22"/>
          <w:lang w:val="fr-FR"/>
        </w:rPr>
        <w:t xml:space="preserve">cision </w:t>
      </w:r>
      <w:r>
        <w:rPr>
          <w:kern w:val="22"/>
          <w:szCs w:val="22"/>
          <w:lang w:val="fr-FR"/>
        </w:rPr>
        <w:t xml:space="preserve">de la </w:t>
      </w:r>
      <w:r w:rsidR="00031441" w:rsidRPr="0014672C">
        <w:rPr>
          <w:kern w:val="22"/>
          <w:szCs w:val="22"/>
          <w:lang w:val="fr-FR"/>
        </w:rPr>
        <w:t>Conférence des Parties</w:t>
      </w:r>
      <w:r w:rsidR="00E85989" w:rsidRPr="0014672C">
        <w:rPr>
          <w:kern w:val="22"/>
          <w:szCs w:val="22"/>
          <w:lang w:val="fr-FR"/>
        </w:rPr>
        <w:t xml:space="preserve"> </w:t>
      </w:r>
      <w:r>
        <w:rPr>
          <w:kern w:val="22"/>
          <w:szCs w:val="22"/>
          <w:lang w:val="fr-FR"/>
        </w:rPr>
        <w:t>à sa quatorzième réunion</w:t>
      </w:r>
      <w:r w:rsidR="00E85989" w:rsidRPr="0014672C">
        <w:rPr>
          <w:kern w:val="22"/>
          <w:szCs w:val="22"/>
          <w:lang w:val="fr-FR"/>
        </w:rPr>
        <w:t xml:space="preserve">, </w:t>
      </w:r>
      <w:r>
        <w:rPr>
          <w:kern w:val="22"/>
          <w:szCs w:val="22"/>
          <w:lang w:val="fr-FR"/>
        </w:rPr>
        <w:t xml:space="preserve">figurent dans la </w:t>
      </w:r>
      <w:r w:rsidR="00380641" w:rsidRPr="0014672C">
        <w:rPr>
          <w:kern w:val="22"/>
          <w:szCs w:val="22"/>
          <w:lang w:val="fr-FR"/>
        </w:rPr>
        <w:t xml:space="preserve">note </w:t>
      </w:r>
      <w:r>
        <w:rPr>
          <w:kern w:val="22"/>
          <w:szCs w:val="22"/>
          <w:lang w:val="fr-FR"/>
        </w:rPr>
        <w:t xml:space="preserve">de la </w:t>
      </w:r>
      <w:r w:rsidR="00713136" w:rsidRPr="0014672C">
        <w:rPr>
          <w:kern w:val="22"/>
          <w:szCs w:val="22"/>
          <w:lang w:val="fr-FR"/>
        </w:rPr>
        <w:t>Secrétaire exécutive</w:t>
      </w:r>
      <w:r w:rsidR="00380641" w:rsidRPr="0014672C">
        <w:rPr>
          <w:kern w:val="22"/>
          <w:szCs w:val="22"/>
          <w:lang w:val="fr-FR"/>
        </w:rPr>
        <w:t xml:space="preserve"> </w:t>
      </w:r>
      <w:r>
        <w:rPr>
          <w:kern w:val="22"/>
          <w:szCs w:val="22"/>
          <w:lang w:val="fr-FR"/>
        </w:rPr>
        <w:t xml:space="preserve">sur la </w:t>
      </w:r>
      <w:r>
        <w:rPr>
          <w:szCs w:val="22"/>
          <w:lang w:val="fr-FR"/>
        </w:rPr>
        <w:t>coopé</w:t>
      </w:r>
      <w:r w:rsidR="00380641" w:rsidRPr="0014672C">
        <w:rPr>
          <w:szCs w:val="22"/>
          <w:lang w:val="fr-FR"/>
        </w:rPr>
        <w:t xml:space="preserve">ration </w:t>
      </w:r>
      <w:r w:rsidR="006B59BF">
        <w:rPr>
          <w:szCs w:val="22"/>
          <w:lang w:val="fr-FR"/>
        </w:rPr>
        <w:t>avec d’autres</w:t>
      </w:r>
      <w:r w:rsidR="00380641" w:rsidRPr="0014672C">
        <w:rPr>
          <w:szCs w:val="22"/>
          <w:lang w:val="fr-FR"/>
        </w:rPr>
        <w:t xml:space="preserve"> conventions, </w:t>
      </w:r>
      <w:r w:rsidR="006B59BF">
        <w:rPr>
          <w:szCs w:val="22"/>
          <w:lang w:val="fr-FR"/>
        </w:rPr>
        <w:t>organis</w:t>
      </w:r>
      <w:r w:rsidR="00380641" w:rsidRPr="0014672C">
        <w:rPr>
          <w:szCs w:val="22"/>
          <w:lang w:val="fr-FR"/>
        </w:rPr>
        <w:t>ations</w:t>
      </w:r>
      <w:r w:rsidR="006B59BF">
        <w:rPr>
          <w:szCs w:val="22"/>
          <w:lang w:val="fr-FR"/>
        </w:rPr>
        <w:t xml:space="preserve"> internationales et partenariats</w:t>
      </w:r>
      <w:r w:rsidR="00380641" w:rsidRPr="0014672C">
        <w:rPr>
          <w:kern w:val="22"/>
          <w:szCs w:val="22"/>
          <w:lang w:val="fr-FR"/>
        </w:rPr>
        <w:t xml:space="preserve"> (</w:t>
      </w:r>
      <w:r w:rsidR="00E85989" w:rsidRPr="005256EE">
        <w:rPr>
          <w:kern w:val="22"/>
          <w:szCs w:val="22"/>
          <w:lang w:val="fr-FR"/>
        </w:rPr>
        <w:t>CBD/</w:t>
      </w:r>
      <w:proofErr w:type="spellStart"/>
      <w:r w:rsidR="00E85989" w:rsidRPr="005256EE">
        <w:rPr>
          <w:kern w:val="22"/>
          <w:szCs w:val="22"/>
          <w:lang w:val="fr-FR"/>
        </w:rPr>
        <w:t>SBI</w:t>
      </w:r>
      <w:proofErr w:type="spellEnd"/>
      <w:r w:rsidR="00E85989" w:rsidRPr="005256EE">
        <w:rPr>
          <w:kern w:val="22"/>
          <w:szCs w:val="22"/>
          <w:lang w:val="fr-FR"/>
        </w:rPr>
        <w:t>/2/10</w:t>
      </w:r>
      <w:r w:rsidR="00380641" w:rsidRPr="0014672C">
        <w:rPr>
          <w:kern w:val="22"/>
          <w:szCs w:val="22"/>
          <w:lang w:val="fr-FR"/>
        </w:rPr>
        <w:t>)</w:t>
      </w:r>
      <w:r w:rsidR="00E85989" w:rsidRPr="0014672C">
        <w:rPr>
          <w:kern w:val="22"/>
          <w:szCs w:val="22"/>
          <w:lang w:val="fr-FR"/>
        </w:rPr>
        <w:t>.</w:t>
      </w:r>
      <w:r w:rsidR="00300596" w:rsidRPr="0014672C">
        <w:rPr>
          <w:kern w:val="22"/>
          <w:szCs w:val="22"/>
          <w:lang w:val="fr-FR"/>
        </w:rPr>
        <w:t xml:space="preserve"> </w:t>
      </w:r>
      <w:r>
        <w:rPr>
          <w:kern w:val="22"/>
          <w:szCs w:val="22"/>
          <w:lang w:val="fr-FR"/>
        </w:rPr>
        <w:t xml:space="preserve">Le rapport du groupe consultatif informel sur les </w:t>
      </w:r>
      <w:r w:rsidR="00300596" w:rsidRPr="0014672C">
        <w:rPr>
          <w:kern w:val="22"/>
          <w:szCs w:val="22"/>
          <w:lang w:val="fr-FR"/>
        </w:rPr>
        <w:t xml:space="preserve">synergies </w:t>
      </w:r>
      <w:r>
        <w:rPr>
          <w:kern w:val="22"/>
          <w:szCs w:val="22"/>
          <w:lang w:val="fr-FR"/>
        </w:rPr>
        <w:t>à l’Organe subsidiaire chargé de l’application est présenté dans le document d’</w:t>
      </w:r>
      <w:r w:rsidR="00300596" w:rsidRPr="0014672C">
        <w:rPr>
          <w:kern w:val="22"/>
          <w:szCs w:val="22"/>
          <w:lang w:val="fr-FR"/>
        </w:rPr>
        <w:t>information CBD/SBI/2/INF/14.</w:t>
      </w:r>
    </w:p>
    <w:p w:rsidR="00FA0BF9" w:rsidRPr="00B95161" w:rsidRDefault="00FA0BF9" w:rsidP="00883A1C">
      <w:pPr>
        <w:keepNext/>
        <w:numPr>
          <w:ilvl w:val="0"/>
          <w:numId w:val="37"/>
        </w:numPr>
        <w:suppressLineNumbers/>
        <w:suppressAutoHyphens/>
        <w:kinsoku w:val="0"/>
        <w:overflowPunct w:val="0"/>
        <w:autoSpaceDE w:val="0"/>
        <w:autoSpaceDN w:val="0"/>
        <w:adjustRightInd w:val="0"/>
        <w:snapToGrid w:val="0"/>
        <w:spacing w:before="120" w:after="120" w:line="238" w:lineRule="auto"/>
        <w:ind w:left="1152" w:hanging="432"/>
        <w:jc w:val="left"/>
        <w:outlineLvl w:val="0"/>
        <w:rPr>
          <w:b/>
          <w:caps/>
          <w:kern w:val="22"/>
          <w:szCs w:val="22"/>
          <w:lang w:val="fr-FR"/>
        </w:rPr>
      </w:pPr>
      <w:r w:rsidRPr="00B95161">
        <w:rPr>
          <w:b/>
          <w:caps/>
          <w:kern w:val="22"/>
          <w:szCs w:val="22"/>
          <w:lang w:val="fr-FR"/>
        </w:rPr>
        <w:lastRenderedPageBreak/>
        <w:t>Progres</w:t>
      </w:r>
      <w:r w:rsidR="006B59BF" w:rsidRPr="00B95161">
        <w:rPr>
          <w:b/>
          <w:caps/>
          <w:kern w:val="22"/>
          <w:szCs w:val="22"/>
          <w:lang w:val="fr-FR"/>
        </w:rPr>
        <w:t xml:space="preserve"> accomplis </w:t>
      </w:r>
      <w:r w:rsidR="00B95161" w:rsidRPr="00B95161">
        <w:rPr>
          <w:b/>
          <w:caps/>
          <w:kern w:val="22"/>
          <w:szCs w:val="22"/>
          <w:lang w:val="fr-FR"/>
        </w:rPr>
        <w:t>pour améliorer la c</w:t>
      </w:r>
      <w:r w:rsidRPr="00B95161">
        <w:rPr>
          <w:b/>
          <w:caps/>
          <w:kern w:val="22"/>
          <w:szCs w:val="22"/>
          <w:lang w:val="fr-FR"/>
        </w:rPr>
        <w:t xml:space="preserve">oherence </w:t>
      </w:r>
      <w:r w:rsidR="00B95161">
        <w:rPr>
          <w:b/>
          <w:caps/>
          <w:kern w:val="22"/>
          <w:szCs w:val="22"/>
          <w:lang w:val="fr-FR"/>
        </w:rPr>
        <w:t>et la</w:t>
      </w:r>
      <w:r w:rsidRPr="00B95161">
        <w:rPr>
          <w:b/>
          <w:caps/>
          <w:kern w:val="22"/>
          <w:szCs w:val="22"/>
          <w:lang w:val="fr-FR"/>
        </w:rPr>
        <w:t xml:space="preserve"> cooperation </w:t>
      </w:r>
      <w:r w:rsidR="00B95161">
        <w:rPr>
          <w:b/>
          <w:caps/>
          <w:kern w:val="22"/>
          <w:szCs w:val="22"/>
          <w:lang w:val="fr-FR"/>
        </w:rPr>
        <w:t>entre les</w:t>
      </w:r>
      <w:r w:rsidRPr="00B95161">
        <w:rPr>
          <w:b/>
          <w:caps/>
          <w:kern w:val="22"/>
          <w:szCs w:val="22"/>
          <w:lang w:val="fr-FR"/>
        </w:rPr>
        <w:t xml:space="preserve"> </w:t>
      </w:r>
      <w:r w:rsidR="008B0ED2" w:rsidRPr="00B95161">
        <w:rPr>
          <w:b/>
          <w:caps/>
          <w:kern w:val="22"/>
          <w:szCs w:val="22"/>
          <w:lang w:val="fr-FR"/>
        </w:rPr>
        <w:t>conventions relatives à la diversité biologique</w:t>
      </w:r>
    </w:p>
    <w:p w:rsidR="00FA0BF9" w:rsidRPr="008B0ED2" w:rsidRDefault="002B423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8B0ED2">
        <w:rPr>
          <w:kern w:val="22"/>
          <w:szCs w:val="22"/>
          <w:lang w:val="fr-FR"/>
        </w:rPr>
        <w:t xml:space="preserve">La présente </w:t>
      </w:r>
      <w:r w:rsidR="00FA0BF9" w:rsidRPr="008B0ED2">
        <w:rPr>
          <w:kern w:val="22"/>
          <w:szCs w:val="22"/>
          <w:lang w:val="fr-FR"/>
        </w:rPr>
        <w:t xml:space="preserve">section </w:t>
      </w:r>
      <w:r w:rsidR="008B0ED2" w:rsidRPr="008B0ED2">
        <w:rPr>
          <w:kern w:val="22"/>
          <w:szCs w:val="22"/>
          <w:lang w:val="fr-FR"/>
        </w:rPr>
        <w:t>fait rapport sur les mesures prises durant l’exercice biennal</w:t>
      </w:r>
      <w:r w:rsidR="008E2092" w:rsidRPr="008B0ED2">
        <w:rPr>
          <w:kern w:val="22"/>
          <w:szCs w:val="22"/>
          <w:lang w:val="fr-FR"/>
        </w:rPr>
        <w:t xml:space="preserve"> </w:t>
      </w:r>
      <w:r w:rsidR="00FA0BF9" w:rsidRPr="008B0ED2">
        <w:rPr>
          <w:kern w:val="22"/>
          <w:szCs w:val="22"/>
          <w:lang w:val="fr-FR"/>
        </w:rPr>
        <w:t xml:space="preserve">2017-2018 </w:t>
      </w:r>
      <w:r w:rsidR="008B0ED2" w:rsidRPr="008B0ED2">
        <w:rPr>
          <w:kern w:val="22"/>
          <w:szCs w:val="22"/>
          <w:lang w:val="fr-FR"/>
        </w:rPr>
        <w:t xml:space="preserve">pour </w:t>
      </w:r>
      <w:r w:rsidR="006B59BF">
        <w:rPr>
          <w:kern w:val="22"/>
          <w:szCs w:val="22"/>
          <w:lang w:val="fr-FR"/>
        </w:rPr>
        <w:t>améliorer la cohé</w:t>
      </w:r>
      <w:r w:rsidR="00FA0BF9" w:rsidRPr="008B0ED2">
        <w:rPr>
          <w:kern w:val="22"/>
          <w:szCs w:val="22"/>
          <w:lang w:val="fr-FR"/>
        </w:rPr>
        <w:t xml:space="preserve">rence </w:t>
      </w:r>
      <w:r w:rsidR="006B59BF">
        <w:rPr>
          <w:kern w:val="22"/>
          <w:szCs w:val="22"/>
          <w:lang w:val="fr-FR"/>
        </w:rPr>
        <w:t>et la</w:t>
      </w:r>
      <w:r w:rsidR="00FA0BF9" w:rsidRPr="008B0ED2">
        <w:rPr>
          <w:kern w:val="22"/>
          <w:szCs w:val="22"/>
          <w:lang w:val="fr-FR"/>
        </w:rPr>
        <w:t xml:space="preserve"> </w:t>
      </w:r>
      <w:r w:rsidR="006B59BF">
        <w:rPr>
          <w:kern w:val="22"/>
          <w:szCs w:val="22"/>
          <w:lang w:val="fr-FR"/>
        </w:rPr>
        <w:t>coopé</w:t>
      </w:r>
      <w:r w:rsidR="00FA0BF9" w:rsidRPr="008B0ED2">
        <w:rPr>
          <w:kern w:val="22"/>
          <w:szCs w:val="22"/>
          <w:lang w:val="fr-FR"/>
        </w:rPr>
        <w:t xml:space="preserve">ration </w:t>
      </w:r>
      <w:r w:rsidR="008B0ED2" w:rsidRPr="008B0ED2">
        <w:rPr>
          <w:kern w:val="22"/>
          <w:szCs w:val="22"/>
          <w:lang w:val="fr-FR"/>
        </w:rPr>
        <w:t>entre les</w:t>
      </w:r>
      <w:r w:rsidR="00FA0BF9" w:rsidRPr="008B0ED2">
        <w:rPr>
          <w:kern w:val="22"/>
          <w:szCs w:val="22"/>
          <w:lang w:val="fr-FR"/>
        </w:rPr>
        <w:t xml:space="preserve"> </w:t>
      </w:r>
      <w:r w:rsidR="008B0ED2" w:rsidRPr="008B0ED2">
        <w:rPr>
          <w:kern w:val="22"/>
          <w:szCs w:val="22"/>
          <w:lang w:val="fr-FR"/>
        </w:rPr>
        <w:t>conventions relatives à la diversité biologique</w:t>
      </w:r>
      <w:r w:rsidR="00D0585E" w:rsidRPr="008B0ED2">
        <w:rPr>
          <w:kern w:val="22"/>
          <w:szCs w:val="22"/>
          <w:lang w:val="fr-FR"/>
        </w:rPr>
        <w:t xml:space="preserve"> </w:t>
      </w:r>
      <w:r w:rsidR="008B0ED2" w:rsidRPr="008B0ED2">
        <w:rPr>
          <w:kern w:val="22"/>
          <w:szCs w:val="22"/>
          <w:lang w:val="fr-FR"/>
        </w:rPr>
        <w:t>par le biais des organes directeurs des</w:t>
      </w:r>
      <w:r w:rsidR="00D0585E" w:rsidRPr="008B0ED2">
        <w:rPr>
          <w:kern w:val="22"/>
          <w:szCs w:val="22"/>
          <w:lang w:val="fr-FR"/>
        </w:rPr>
        <w:t xml:space="preserve"> conventions</w:t>
      </w:r>
      <w:r w:rsidR="00B0768D" w:rsidRPr="008B0ED2">
        <w:rPr>
          <w:kern w:val="22"/>
          <w:szCs w:val="22"/>
          <w:lang w:val="fr-FR"/>
        </w:rPr>
        <w:t xml:space="preserve">, </w:t>
      </w:r>
      <w:r w:rsidR="00CD62E6">
        <w:rPr>
          <w:kern w:val="22"/>
          <w:szCs w:val="22"/>
          <w:lang w:val="fr-FR"/>
        </w:rPr>
        <w:t xml:space="preserve">de </w:t>
      </w:r>
      <w:r w:rsidR="008B0ED2" w:rsidRPr="008B0ED2">
        <w:rPr>
          <w:kern w:val="22"/>
          <w:szCs w:val="22"/>
          <w:lang w:val="fr-FR"/>
        </w:rPr>
        <w:t>la coopé</w:t>
      </w:r>
      <w:r w:rsidR="00B0768D" w:rsidRPr="008B0ED2">
        <w:rPr>
          <w:kern w:val="22"/>
          <w:szCs w:val="22"/>
          <w:lang w:val="fr-FR"/>
        </w:rPr>
        <w:t xml:space="preserve">ration </w:t>
      </w:r>
      <w:r w:rsidR="008B0ED2">
        <w:rPr>
          <w:kern w:val="22"/>
          <w:szCs w:val="22"/>
          <w:lang w:val="fr-FR"/>
        </w:rPr>
        <w:t xml:space="preserve">bilatérale entre les </w:t>
      </w:r>
      <w:r w:rsidR="00B0768D" w:rsidRPr="008B0ED2">
        <w:rPr>
          <w:kern w:val="22"/>
          <w:szCs w:val="22"/>
          <w:lang w:val="fr-FR"/>
        </w:rPr>
        <w:t xml:space="preserve">conventions, </w:t>
      </w:r>
      <w:r w:rsidR="00CD62E6">
        <w:rPr>
          <w:kern w:val="22"/>
          <w:szCs w:val="22"/>
          <w:lang w:val="fr-FR"/>
        </w:rPr>
        <w:t>du</w:t>
      </w:r>
      <w:r w:rsidR="008B0ED2">
        <w:rPr>
          <w:kern w:val="22"/>
          <w:szCs w:val="22"/>
          <w:lang w:val="fr-FR"/>
        </w:rPr>
        <w:t xml:space="preserve"> groupe de l</w:t>
      </w:r>
      <w:r w:rsidR="00B0768D" w:rsidRPr="008B0ED2">
        <w:rPr>
          <w:kern w:val="22"/>
          <w:szCs w:val="22"/>
          <w:lang w:val="fr-FR"/>
        </w:rPr>
        <w:t xml:space="preserve">iaison </w:t>
      </w:r>
      <w:r w:rsidR="008B0ED2">
        <w:rPr>
          <w:kern w:val="22"/>
          <w:szCs w:val="22"/>
          <w:lang w:val="fr-FR"/>
        </w:rPr>
        <w:t xml:space="preserve">des </w:t>
      </w:r>
      <w:r w:rsidR="00CD62E6">
        <w:rPr>
          <w:kern w:val="22"/>
          <w:szCs w:val="22"/>
          <w:lang w:val="fr-FR"/>
        </w:rPr>
        <w:t>c</w:t>
      </w:r>
      <w:r w:rsidR="008B0ED2" w:rsidRPr="008B0ED2">
        <w:rPr>
          <w:kern w:val="22"/>
          <w:szCs w:val="22"/>
          <w:lang w:val="fr-FR"/>
        </w:rPr>
        <w:t>onventions relatives à la diversité biologique</w:t>
      </w:r>
      <w:r w:rsidR="00B0768D" w:rsidRPr="008B0ED2">
        <w:rPr>
          <w:kern w:val="22"/>
          <w:szCs w:val="22"/>
          <w:lang w:val="fr-FR"/>
        </w:rPr>
        <w:t xml:space="preserve">, </w:t>
      </w:r>
      <w:r w:rsidR="00D0585E" w:rsidRPr="008B0ED2">
        <w:rPr>
          <w:kern w:val="22"/>
          <w:szCs w:val="22"/>
          <w:lang w:val="fr-FR"/>
        </w:rPr>
        <w:t>a</w:t>
      </w:r>
      <w:r w:rsidR="008B0ED2">
        <w:rPr>
          <w:kern w:val="22"/>
          <w:szCs w:val="22"/>
          <w:lang w:val="fr-FR"/>
        </w:rPr>
        <w:t>insi qu’au moyen d’autres</w:t>
      </w:r>
      <w:r w:rsidR="00B0768D" w:rsidRPr="008B0ED2">
        <w:rPr>
          <w:kern w:val="22"/>
          <w:szCs w:val="22"/>
          <w:lang w:val="fr-FR"/>
        </w:rPr>
        <w:t xml:space="preserve"> </w:t>
      </w:r>
      <w:r w:rsidR="008B0ED2">
        <w:rPr>
          <w:kern w:val="22"/>
          <w:szCs w:val="22"/>
          <w:lang w:val="fr-FR"/>
        </w:rPr>
        <w:t xml:space="preserve">mécanismes de coordination </w:t>
      </w:r>
      <w:proofErr w:type="spellStart"/>
      <w:r w:rsidR="008B0ED2">
        <w:rPr>
          <w:kern w:val="22"/>
          <w:szCs w:val="22"/>
          <w:lang w:val="fr-FR"/>
        </w:rPr>
        <w:t>interinstitutions</w:t>
      </w:r>
      <w:proofErr w:type="spellEnd"/>
      <w:r w:rsidR="00B0768D" w:rsidRPr="008B0ED2">
        <w:rPr>
          <w:kern w:val="22"/>
          <w:szCs w:val="22"/>
          <w:lang w:val="fr-FR"/>
        </w:rPr>
        <w:t>.</w:t>
      </w:r>
    </w:p>
    <w:p w:rsidR="000C2430" w:rsidRPr="00883A1C" w:rsidRDefault="006B5FA1" w:rsidP="00883A1C">
      <w:pPr>
        <w:keepNext/>
        <w:numPr>
          <w:ilvl w:val="0"/>
          <w:numId w:val="36"/>
        </w:numPr>
        <w:suppressLineNumbers/>
        <w:suppressAutoHyphens/>
        <w:kinsoku w:val="0"/>
        <w:overflowPunct w:val="0"/>
        <w:autoSpaceDE w:val="0"/>
        <w:autoSpaceDN w:val="0"/>
        <w:adjustRightInd w:val="0"/>
        <w:snapToGrid w:val="0"/>
        <w:spacing w:before="120" w:after="120" w:line="238" w:lineRule="auto"/>
        <w:jc w:val="center"/>
        <w:outlineLvl w:val="1"/>
        <w:rPr>
          <w:b/>
          <w:kern w:val="22"/>
          <w:szCs w:val="22"/>
        </w:rPr>
      </w:pPr>
      <w:proofErr w:type="spellStart"/>
      <w:r>
        <w:rPr>
          <w:b/>
          <w:kern w:val="22"/>
          <w:szCs w:val="22"/>
        </w:rPr>
        <w:t>Organes</w:t>
      </w:r>
      <w:proofErr w:type="spellEnd"/>
      <w:r>
        <w:rPr>
          <w:b/>
          <w:kern w:val="22"/>
          <w:szCs w:val="22"/>
        </w:rPr>
        <w:t xml:space="preserve"> </w:t>
      </w:r>
      <w:proofErr w:type="spellStart"/>
      <w:r>
        <w:rPr>
          <w:b/>
          <w:kern w:val="22"/>
          <w:szCs w:val="22"/>
        </w:rPr>
        <w:t>directeurs</w:t>
      </w:r>
      <w:proofErr w:type="spellEnd"/>
    </w:p>
    <w:p w:rsidR="009E17B6" w:rsidRPr="009051FE" w:rsidRDefault="006B5FA1" w:rsidP="009E17B6">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9E17B6">
        <w:rPr>
          <w:kern w:val="22"/>
          <w:szCs w:val="22"/>
          <w:lang w:val="fr-FR"/>
        </w:rPr>
        <w:t>Pour renforcer la coopé</w:t>
      </w:r>
      <w:r w:rsidR="009E1780" w:rsidRPr="009E17B6">
        <w:rPr>
          <w:kern w:val="22"/>
          <w:szCs w:val="22"/>
          <w:lang w:val="fr-FR"/>
        </w:rPr>
        <w:t xml:space="preserve">ration </w:t>
      </w:r>
      <w:r w:rsidRPr="009E17B6">
        <w:rPr>
          <w:kern w:val="22"/>
          <w:szCs w:val="22"/>
          <w:lang w:val="fr-FR"/>
        </w:rPr>
        <w:t xml:space="preserve">et les </w:t>
      </w:r>
      <w:r w:rsidR="007978AF" w:rsidRPr="009E17B6">
        <w:rPr>
          <w:kern w:val="22"/>
          <w:szCs w:val="22"/>
          <w:lang w:val="fr-FR"/>
        </w:rPr>
        <w:t xml:space="preserve">synergies </w:t>
      </w:r>
      <w:r w:rsidRPr="009E17B6">
        <w:rPr>
          <w:kern w:val="22"/>
          <w:szCs w:val="22"/>
          <w:lang w:val="fr-FR"/>
        </w:rPr>
        <w:t>entre les</w:t>
      </w:r>
      <w:r w:rsidR="007978AF" w:rsidRPr="009E17B6">
        <w:rPr>
          <w:kern w:val="22"/>
          <w:szCs w:val="22"/>
          <w:lang w:val="fr-FR"/>
        </w:rPr>
        <w:t xml:space="preserve"> </w:t>
      </w:r>
      <w:r w:rsidR="008B0ED2" w:rsidRPr="009E17B6">
        <w:rPr>
          <w:kern w:val="22"/>
          <w:szCs w:val="22"/>
          <w:lang w:val="fr-FR"/>
        </w:rPr>
        <w:t>conventions relatives à la diversité biologique</w:t>
      </w:r>
      <w:r w:rsidR="009E17B6" w:rsidRPr="009E17B6">
        <w:rPr>
          <w:kern w:val="22"/>
          <w:szCs w:val="22"/>
          <w:lang w:val="fr-FR"/>
        </w:rPr>
        <w:t>, il est notamment essentie</w:t>
      </w:r>
      <w:r w:rsidRPr="009E17B6">
        <w:rPr>
          <w:kern w:val="22"/>
          <w:szCs w:val="22"/>
          <w:lang w:val="fr-FR"/>
        </w:rPr>
        <w:t>l que les organes directeurs des conventions fassent pre</w:t>
      </w:r>
      <w:r w:rsidR="009E17B6" w:rsidRPr="009E17B6">
        <w:rPr>
          <w:kern w:val="22"/>
          <w:szCs w:val="22"/>
          <w:lang w:val="fr-FR"/>
        </w:rPr>
        <w:t xml:space="preserve">uve d’attention et de cohérence réciproques.  </w:t>
      </w:r>
      <w:r w:rsidR="009E17B6" w:rsidRPr="009051FE">
        <w:rPr>
          <w:kern w:val="22"/>
          <w:szCs w:val="22"/>
          <w:lang w:val="fr-FR"/>
        </w:rPr>
        <w:t xml:space="preserve">Depuis la  treizième </w:t>
      </w:r>
      <w:r w:rsidR="009051FE" w:rsidRPr="009051FE">
        <w:rPr>
          <w:kern w:val="22"/>
          <w:szCs w:val="22"/>
          <w:lang w:val="fr-FR"/>
        </w:rPr>
        <w:t>ré</w:t>
      </w:r>
      <w:r w:rsidR="009E17B6" w:rsidRPr="009051FE">
        <w:rPr>
          <w:kern w:val="22"/>
          <w:szCs w:val="22"/>
          <w:lang w:val="fr-FR"/>
        </w:rPr>
        <w:t xml:space="preserve">union de la Conférence des Parties, </w:t>
      </w:r>
      <w:r w:rsidR="009051FE" w:rsidRPr="009051FE">
        <w:rPr>
          <w:kern w:val="22"/>
          <w:szCs w:val="22"/>
          <w:lang w:val="fr-FR"/>
        </w:rPr>
        <w:t xml:space="preserve">des questions relatives à la </w:t>
      </w:r>
      <w:r w:rsidR="009051FE" w:rsidRPr="00CD62E6">
        <w:rPr>
          <w:kern w:val="22"/>
          <w:szCs w:val="22"/>
          <w:lang w:val="fr-FR"/>
        </w:rPr>
        <w:t>coopé</w:t>
      </w:r>
      <w:r w:rsidR="009E17B6" w:rsidRPr="00CD62E6">
        <w:rPr>
          <w:kern w:val="22"/>
          <w:szCs w:val="22"/>
          <w:lang w:val="fr-FR"/>
        </w:rPr>
        <w:t xml:space="preserve">ration </w:t>
      </w:r>
      <w:r w:rsidR="009051FE" w:rsidRPr="00CD62E6">
        <w:rPr>
          <w:kern w:val="22"/>
          <w:szCs w:val="22"/>
          <w:lang w:val="fr-FR"/>
        </w:rPr>
        <w:t>ont été traitées de manière approfondie par la</w:t>
      </w:r>
      <w:r w:rsidR="009E17B6" w:rsidRPr="00CD62E6">
        <w:rPr>
          <w:kern w:val="22"/>
          <w:szCs w:val="22"/>
          <w:lang w:val="fr-FR"/>
        </w:rPr>
        <w:t xml:space="preserve"> </w:t>
      </w:r>
      <w:r w:rsidR="009051FE" w:rsidRPr="00CD62E6">
        <w:rPr>
          <w:kern w:val="22"/>
          <w:szCs w:val="22"/>
          <w:lang w:val="fr-FR"/>
        </w:rPr>
        <w:t>Confé</w:t>
      </w:r>
      <w:r w:rsidR="009E17B6" w:rsidRPr="00CD62E6">
        <w:rPr>
          <w:kern w:val="22"/>
          <w:szCs w:val="22"/>
          <w:lang w:val="fr-FR"/>
        </w:rPr>
        <w:t xml:space="preserve">rence </w:t>
      </w:r>
      <w:r w:rsidR="009051FE" w:rsidRPr="00CD62E6">
        <w:rPr>
          <w:kern w:val="22"/>
          <w:szCs w:val="22"/>
          <w:lang w:val="fr-FR"/>
        </w:rPr>
        <w:t>des</w:t>
      </w:r>
      <w:r w:rsidR="009E17B6" w:rsidRPr="00CD62E6">
        <w:rPr>
          <w:kern w:val="22"/>
          <w:szCs w:val="22"/>
          <w:lang w:val="fr-FR"/>
        </w:rPr>
        <w:t xml:space="preserve"> Parties </w:t>
      </w:r>
      <w:r w:rsidR="009051FE" w:rsidRPr="00CD62E6">
        <w:rPr>
          <w:kern w:val="22"/>
          <w:szCs w:val="22"/>
          <w:lang w:val="fr-FR"/>
        </w:rPr>
        <w:t>à la</w:t>
      </w:r>
      <w:r w:rsidR="009E17B6" w:rsidRPr="00CD62E6">
        <w:rPr>
          <w:kern w:val="22"/>
          <w:szCs w:val="22"/>
          <w:lang w:val="fr-FR"/>
        </w:rPr>
        <w:t xml:space="preserve"> </w:t>
      </w:r>
      <w:r w:rsidR="00FC5921" w:rsidRPr="00CD62E6">
        <w:rPr>
          <w:color w:val="000000"/>
          <w:szCs w:val="22"/>
          <w:shd w:val="clear" w:color="auto" w:fill="FFFFFF"/>
          <w:lang w:val="fr-FR"/>
        </w:rPr>
        <w:t>Convention sur la conservation des espèces migratrices appartenant à la faune sauvage</w:t>
      </w:r>
      <w:r w:rsidR="009E17B6" w:rsidRPr="00CD62E6">
        <w:rPr>
          <w:kern w:val="22"/>
          <w:szCs w:val="22"/>
          <w:lang w:val="fr-FR"/>
        </w:rPr>
        <w:t xml:space="preserve"> </w:t>
      </w:r>
      <w:r w:rsidR="009051FE" w:rsidRPr="00CD62E6">
        <w:rPr>
          <w:kern w:val="22"/>
          <w:szCs w:val="22"/>
          <w:lang w:val="fr-FR"/>
        </w:rPr>
        <w:t>et l’Organe directeur du</w:t>
      </w:r>
      <w:r w:rsidR="009E17B6" w:rsidRPr="00CD62E6">
        <w:rPr>
          <w:kern w:val="22"/>
          <w:szCs w:val="22"/>
          <w:lang w:val="fr-FR"/>
        </w:rPr>
        <w:t xml:space="preserve"> </w:t>
      </w:r>
      <w:r w:rsidR="00B64015" w:rsidRPr="00CD62E6">
        <w:rPr>
          <w:kern w:val="22"/>
          <w:szCs w:val="22"/>
          <w:lang w:val="fr-FR"/>
        </w:rPr>
        <w:t>Traité i</w:t>
      </w:r>
      <w:r w:rsidR="009E17B6" w:rsidRPr="00CD62E6">
        <w:rPr>
          <w:kern w:val="22"/>
          <w:szCs w:val="22"/>
          <w:lang w:val="fr-FR"/>
        </w:rPr>
        <w:t>nternational</w:t>
      </w:r>
      <w:r w:rsidR="00B64015" w:rsidRPr="00CD62E6">
        <w:rPr>
          <w:kern w:val="22"/>
          <w:szCs w:val="22"/>
          <w:lang w:val="fr-FR"/>
        </w:rPr>
        <w:t xml:space="preserve"> sur les</w:t>
      </w:r>
      <w:r w:rsidR="009E17B6" w:rsidRPr="00CD62E6">
        <w:rPr>
          <w:kern w:val="22"/>
          <w:szCs w:val="22"/>
          <w:lang w:val="fr-FR"/>
        </w:rPr>
        <w:t xml:space="preserve"> </w:t>
      </w:r>
      <w:r w:rsidR="00B64015" w:rsidRPr="00CD62E6">
        <w:rPr>
          <w:kern w:val="22"/>
          <w:szCs w:val="22"/>
          <w:lang w:val="fr-FR"/>
        </w:rPr>
        <w:t>ressources phytogénétiques pour l’alimentation</w:t>
      </w:r>
      <w:r w:rsidR="00B64015">
        <w:rPr>
          <w:kern w:val="22"/>
          <w:szCs w:val="22"/>
          <w:lang w:val="fr-FR"/>
        </w:rPr>
        <w:t xml:space="preserve"> et l’agr</w:t>
      </w:r>
      <w:r w:rsidR="009E17B6" w:rsidRPr="009051FE">
        <w:rPr>
          <w:kern w:val="22"/>
          <w:szCs w:val="22"/>
          <w:lang w:val="fr-FR"/>
        </w:rPr>
        <w:t xml:space="preserve">iculture, </w:t>
      </w:r>
      <w:r w:rsidR="009051FE" w:rsidRPr="009051FE">
        <w:rPr>
          <w:kern w:val="22"/>
          <w:szCs w:val="22"/>
          <w:lang w:val="fr-FR"/>
        </w:rPr>
        <w:t>de m</w:t>
      </w:r>
      <w:r w:rsidR="009051FE">
        <w:rPr>
          <w:kern w:val="22"/>
          <w:szCs w:val="22"/>
          <w:lang w:val="fr-FR"/>
        </w:rPr>
        <w:t xml:space="preserve">ême que par le Comité permanent </w:t>
      </w:r>
      <w:r w:rsidR="00B64015">
        <w:rPr>
          <w:kern w:val="22"/>
          <w:szCs w:val="22"/>
          <w:lang w:val="fr-FR"/>
        </w:rPr>
        <w:t>de la</w:t>
      </w:r>
      <w:r w:rsidR="009E17B6" w:rsidRPr="009051FE">
        <w:rPr>
          <w:rFonts w:eastAsia="MS Mincho"/>
          <w:kern w:val="22"/>
          <w:szCs w:val="22"/>
          <w:lang w:val="fr-FR"/>
        </w:rPr>
        <w:t xml:space="preserve"> </w:t>
      </w:r>
      <w:r w:rsidR="009E17B6" w:rsidRPr="009051FE">
        <w:rPr>
          <w:kern w:val="22"/>
          <w:szCs w:val="22"/>
          <w:lang w:val="fr-FR"/>
        </w:rPr>
        <w:t xml:space="preserve">Convention </w:t>
      </w:r>
      <w:r w:rsidR="00B64015">
        <w:rPr>
          <w:kern w:val="22"/>
          <w:szCs w:val="22"/>
          <w:lang w:val="fr-FR"/>
        </w:rPr>
        <w:t>relative aux zones humides d’i</w:t>
      </w:r>
      <w:r w:rsidR="009E17B6" w:rsidRPr="009051FE">
        <w:rPr>
          <w:kern w:val="22"/>
          <w:szCs w:val="22"/>
          <w:lang w:val="fr-FR"/>
        </w:rPr>
        <w:t>mportance</w:t>
      </w:r>
      <w:r w:rsidR="00B64015">
        <w:rPr>
          <w:kern w:val="22"/>
          <w:szCs w:val="22"/>
          <w:lang w:val="fr-FR"/>
        </w:rPr>
        <w:t xml:space="preserve"> internationale</w:t>
      </w:r>
      <w:r w:rsidR="009E17B6" w:rsidRPr="009051FE">
        <w:rPr>
          <w:kern w:val="22"/>
          <w:szCs w:val="22"/>
          <w:lang w:val="fr-FR"/>
        </w:rPr>
        <w:t xml:space="preserve">, </w:t>
      </w:r>
      <w:r w:rsidR="00B64015">
        <w:rPr>
          <w:kern w:val="22"/>
          <w:szCs w:val="22"/>
          <w:lang w:val="fr-FR"/>
        </w:rPr>
        <w:t>particulièrement comme habitats de la sauvagine</w:t>
      </w:r>
      <w:r w:rsidR="009E17B6" w:rsidRPr="009051FE">
        <w:rPr>
          <w:kern w:val="22"/>
          <w:szCs w:val="22"/>
          <w:lang w:val="fr-FR"/>
        </w:rPr>
        <w:t xml:space="preserve"> (Convention</w:t>
      </w:r>
      <w:r w:rsidR="00B64015">
        <w:rPr>
          <w:kern w:val="22"/>
          <w:szCs w:val="22"/>
          <w:lang w:val="fr-FR"/>
        </w:rPr>
        <w:t xml:space="preserve"> de Ramsar</w:t>
      </w:r>
      <w:r w:rsidR="009E17B6" w:rsidRPr="009051FE">
        <w:rPr>
          <w:kern w:val="22"/>
          <w:szCs w:val="22"/>
          <w:lang w:val="fr-FR"/>
        </w:rPr>
        <w:t>).</w:t>
      </w:r>
    </w:p>
    <w:p w:rsidR="009E17B6" w:rsidRPr="00FC5921" w:rsidRDefault="009E17B6" w:rsidP="009E17B6">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033ADC">
        <w:rPr>
          <w:kern w:val="22"/>
          <w:szCs w:val="22"/>
          <w:lang w:val="fr-FR"/>
        </w:rPr>
        <w:t>A</w:t>
      </w:r>
      <w:r w:rsidR="009051FE" w:rsidRPr="00033ADC">
        <w:rPr>
          <w:kern w:val="22"/>
          <w:szCs w:val="22"/>
          <w:lang w:val="fr-FR"/>
        </w:rPr>
        <w:t xml:space="preserve"> sa douzième réunion (Manille, 23-28 octobre</w:t>
      </w:r>
      <w:r w:rsidRPr="00033ADC">
        <w:rPr>
          <w:kern w:val="22"/>
          <w:szCs w:val="22"/>
          <w:lang w:val="fr-FR"/>
        </w:rPr>
        <w:t xml:space="preserve"> 2017), </w:t>
      </w:r>
      <w:r w:rsidR="009051FE" w:rsidRPr="00033ADC">
        <w:rPr>
          <w:kern w:val="22"/>
          <w:szCs w:val="22"/>
          <w:lang w:val="fr-FR"/>
        </w:rPr>
        <w:t>la</w:t>
      </w:r>
      <w:r w:rsidRPr="00033ADC">
        <w:rPr>
          <w:kern w:val="22"/>
          <w:szCs w:val="22"/>
          <w:lang w:val="fr-FR"/>
        </w:rPr>
        <w:t xml:space="preserve"> Conf</w:t>
      </w:r>
      <w:r w:rsidR="009051FE" w:rsidRPr="00033ADC">
        <w:rPr>
          <w:kern w:val="22"/>
          <w:szCs w:val="22"/>
          <w:lang w:val="fr-FR"/>
        </w:rPr>
        <w:t>é</w:t>
      </w:r>
      <w:r w:rsidRPr="00033ADC">
        <w:rPr>
          <w:kern w:val="22"/>
          <w:szCs w:val="22"/>
          <w:lang w:val="fr-FR"/>
        </w:rPr>
        <w:t xml:space="preserve">rence </w:t>
      </w:r>
      <w:r w:rsidR="009051FE" w:rsidRPr="00033ADC">
        <w:rPr>
          <w:kern w:val="22"/>
          <w:szCs w:val="22"/>
          <w:lang w:val="fr-FR"/>
        </w:rPr>
        <w:t>des</w:t>
      </w:r>
      <w:r w:rsidRPr="00033ADC">
        <w:rPr>
          <w:kern w:val="22"/>
          <w:szCs w:val="22"/>
          <w:lang w:val="fr-FR"/>
        </w:rPr>
        <w:t xml:space="preserve"> Parties </w:t>
      </w:r>
      <w:r w:rsidR="009051FE" w:rsidRPr="00033ADC">
        <w:rPr>
          <w:kern w:val="22"/>
          <w:szCs w:val="22"/>
          <w:lang w:val="fr-FR"/>
        </w:rPr>
        <w:t>à la</w:t>
      </w:r>
      <w:r w:rsidR="00FC5921" w:rsidRPr="00033ADC">
        <w:rPr>
          <w:kern w:val="22"/>
          <w:szCs w:val="22"/>
          <w:lang w:val="fr-FR"/>
        </w:rPr>
        <w:t xml:space="preserve"> Convention </w:t>
      </w:r>
      <w:r w:rsidR="00FC5921" w:rsidRPr="00033ADC">
        <w:rPr>
          <w:color w:val="000000"/>
          <w:szCs w:val="22"/>
          <w:shd w:val="clear" w:color="auto" w:fill="FFFFFF"/>
          <w:lang w:val="fr-FR"/>
        </w:rPr>
        <w:t>sur la conservation des espèces migratrices appartenant à la faune sauvage</w:t>
      </w:r>
      <w:r w:rsidRPr="00033ADC">
        <w:rPr>
          <w:kern w:val="22"/>
          <w:szCs w:val="22"/>
          <w:lang w:val="fr-FR"/>
        </w:rPr>
        <w:t xml:space="preserve"> </w:t>
      </w:r>
      <w:r w:rsidR="009051FE" w:rsidRPr="00033ADC">
        <w:rPr>
          <w:kern w:val="22"/>
          <w:szCs w:val="22"/>
          <w:lang w:val="fr-FR"/>
        </w:rPr>
        <w:t>a adopté la</w:t>
      </w:r>
      <w:r w:rsidRPr="00033ADC">
        <w:rPr>
          <w:kern w:val="22"/>
          <w:szCs w:val="22"/>
          <w:lang w:val="fr-FR"/>
        </w:rPr>
        <w:t xml:space="preserve"> </w:t>
      </w:r>
      <w:r w:rsidR="00D33525">
        <w:fldChar w:fldCharType="begin"/>
      </w:r>
      <w:r w:rsidR="00D33525" w:rsidRPr="00FA2B25">
        <w:rPr>
          <w:lang w:val="fr-CA"/>
        </w:rPr>
        <w:instrText xml:space="preserve"> HYPERLINK "https://www.cms.int/sites/default/files/document/cms_cop12_res.11.10%28rev.cop12%29_f.pdf" </w:instrText>
      </w:r>
      <w:r w:rsidR="00D33525">
        <w:fldChar w:fldCharType="separate"/>
      </w:r>
      <w:r w:rsidR="00EB674C" w:rsidRPr="00823137">
        <w:rPr>
          <w:rStyle w:val="Lienhypertexte"/>
          <w:kern w:val="22"/>
          <w:szCs w:val="22"/>
          <w:lang w:val="fr-FR"/>
        </w:rPr>
        <w:t>résolution 11.10 (Rev.COP12)</w:t>
      </w:r>
      <w:r w:rsidR="00D33525">
        <w:rPr>
          <w:rStyle w:val="Lienhypertexte"/>
          <w:kern w:val="22"/>
          <w:szCs w:val="22"/>
          <w:lang w:val="fr-FR"/>
        </w:rPr>
        <w:fldChar w:fldCharType="end"/>
      </w:r>
      <w:r w:rsidRPr="00033ADC">
        <w:rPr>
          <w:kern w:val="22"/>
          <w:szCs w:val="22"/>
          <w:lang w:val="fr-FR"/>
        </w:rPr>
        <w:t xml:space="preserve"> </w:t>
      </w:r>
      <w:r w:rsidR="009051FE" w:rsidRPr="00033ADC">
        <w:rPr>
          <w:kern w:val="22"/>
          <w:szCs w:val="22"/>
          <w:lang w:val="fr-FR"/>
        </w:rPr>
        <w:t>sur</w:t>
      </w:r>
      <w:r w:rsidR="009051FE">
        <w:rPr>
          <w:kern w:val="22"/>
          <w:szCs w:val="22"/>
          <w:lang w:val="fr-FR"/>
        </w:rPr>
        <w:t xml:space="preserve"> les</w:t>
      </w:r>
      <w:r w:rsidR="009051FE" w:rsidRPr="00FC5921">
        <w:rPr>
          <w:b/>
          <w:kern w:val="22"/>
          <w:szCs w:val="22"/>
          <w:lang w:val="fr-FR"/>
        </w:rPr>
        <w:t xml:space="preserve"> </w:t>
      </w:r>
      <w:r w:rsidR="009051FE">
        <w:rPr>
          <w:kern w:val="22"/>
          <w:szCs w:val="22"/>
          <w:lang w:val="fr-FR"/>
        </w:rPr>
        <w:t>s</w:t>
      </w:r>
      <w:r w:rsidRPr="009051FE">
        <w:rPr>
          <w:kern w:val="22"/>
          <w:szCs w:val="22"/>
          <w:lang w:val="fr-FR"/>
        </w:rPr>
        <w:t xml:space="preserve">ynergies </w:t>
      </w:r>
      <w:r w:rsidR="009051FE">
        <w:rPr>
          <w:kern w:val="22"/>
          <w:szCs w:val="22"/>
          <w:lang w:val="fr-FR"/>
        </w:rPr>
        <w:t>et les partenariats qui donne des orientations détail</w:t>
      </w:r>
      <w:r w:rsidR="00CC444B">
        <w:rPr>
          <w:kern w:val="22"/>
          <w:szCs w:val="22"/>
          <w:lang w:val="fr-FR"/>
        </w:rPr>
        <w:t>lées e</w:t>
      </w:r>
      <w:r w:rsidR="00033ADC">
        <w:rPr>
          <w:kern w:val="22"/>
          <w:szCs w:val="22"/>
          <w:lang w:val="fr-FR"/>
        </w:rPr>
        <w:t>t</w:t>
      </w:r>
      <w:r w:rsidR="00CC444B">
        <w:rPr>
          <w:kern w:val="22"/>
          <w:szCs w:val="22"/>
          <w:lang w:val="fr-FR"/>
        </w:rPr>
        <w:t xml:space="preserve"> très amples aux </w:t>
      </w:r>
      <w:r w:rsidRPr="00CC444B">
        <w:rPr>
          <w:kern w:val="22"/>
          <w:szCs w:val="22"/>
          <w:lang w:val="fr-FR"/>
        </w:rPr>
        <w:t xml:space="preserve">Parties </w:t>
      </w:r>
      <w:r w:rsidR="00CC444B" w:rsidRPr="00CC444B">
        <w:rPr>
          <w:kern w:val="22"/>
          <w:szCs w:val="22"/>
          <w:lang w:val="fr-FR"/>
        </w:rPr>
        <w:t>et au Secrétariat notamment pour renforcer la coopé</w:t>
      </w:r>
      <w:r w:rsidRPr="00CC444B">
        <w:rPr>
          <w:kern w:val="22"/>
          <w:szCs w:val="22"/>
          <w:lang w:val="fr-FR"/>
        </w:rPr>
        <w:t xml:space="preserve">ration </w:t>
      </w:r>
      <w:r w:rsidR="00CC444B">
        <w:rPr>
          <w:kern w:val="22"/>
          <w:szCs w:val="22"/>
          <w:lang w:val="fr-FR"/>
        </w:rPr>
        <w:t xml:space="preserve">et les </w:t>
      </w:r>
      <w:r w:rsidRPr="00CC444B">
        <w:rPr>
          <w:kern w:val="22"/>
          <w:szCs w:val="22"/>
          <w:lang w:val="fr-FR"/>
        </w:rPr>
        <w:t xml:space="preserve">synergies </w:t>
      </w:r>
      <w:r w:rsidR="00CC444B">
        <w:rPr>
          <w:kern w:val="22"/>
          <w:szCs w:val="22"/>
          <w:lang w:val="fr-FR"/>
        </w:rPr>
        <w:t>avec d’autres conventions et organisations relatives à la diversité biologique</w:t>
      </w:r>
      <w:r w:rsidRPr="00CC444B">
        <w:rPr>
          <w:kern w:val="22"/>
          <w:szCs w:val="22"/>
          <w:lang w:val="fr-FR"/>
        </w:rPr>
        <w:t xml:space="preserve">, </w:t>
      </w:r>
      <w:r w:rsidR="00CC444B">
        <w:rPr>
          <w:kern w:val="22"/>
          <w:szCs w:val="22"/>
          <w:lang w:val="fr-FR"/>
        </w:rPr>
        <w:t>y compris dans le cadre du groupe de liaison des conventions relatives à la diversité biologique</w:t>
      </w:r>
      <w:r w:rsidRPr="00CC444B">
        <w:rPr>
          <w:kern w:val="22"/>
          <w:szCs w:val="22"/>
          <w:lang w:val="fr-FR"/>
        </w:rPr>
        <w:t xml:space="preserve">, </w:t>
      </w:r>
      <w:r w:rsidR="00CC444B">
        <w:rPr>
          <w:kern w:val="22"/>
          <w:szCs w:val="22"/>
          <w:lang w:val="fr-FR"/>
        </w:rPr>
        <w:t xml:space="preserve">du Plan stratégique </w:t>
      </w:r>
      <w:r w:rsidRPr="00CC444B">
        <w:rPr>
          <w:kern w:val="22"/>
          <w:szCs w:val="22"/>
          <w:lang w:val="fr-FR"/>
        </w:rPr>
        <w:t xml:space="preserve">2011-2020 </w:t>
      </w:r>
      <w:r w:rsidR="00CC444B">
        <w:rPr>
          <w:kern w:val="22"/>
          <w:szCs w:val="22"/>
          <w:lang w:val="fr-FR"/>
        </w:rPr>
        <w:t xml:space="preserve">pour la diversité biologique et de son suivi, du Plan stratégique </w:t>
      </w:r>
      <w:r w:rsidRPr="00CC444B">
        <w:rPr>
          <w:kern w:val="22"/>
          <w:szCs w:val="22"/>
          <w:lang w:val="fr-FR"/>
        </w:rPr>
        <w:t>2015-2023</w:t>
      </w:r>
      <w:r w:rsidR="00FC5921">
        <w:rPr>
          <w:kern w:val="22"/>
          <w:szCs w:val="22"/>
          <w:lang w:val="fr-FR"/>
        </w:rPr>
        <w:t xml:space="preserve"> pour les espèces migratrices et du Programme de développement durable à l’horizon </w:t>
      </w:r>
      <w:r w:rsidRPr="00CC444B">
        <w:rPr>
          <w:kern w:val="22"/>
          <w:szCs w:val="22"/>
          <w:lang w:val="fr-FR"/>
        </w:rPr>
        <w:t xml:space="preserve">2030. </w:t>
      </w:r>
      <w:r w:rsidR="00FC5921" w:rsidRPr="00FC5921">
        <w:rPr>
          <w:kern w:val="22"/>
          <w:szCs w:val="22"/>
          <w:lang w:val="fr-FR"/>
        </w:rPr>
        <w:t>Entre autres choses</w:t>
      </w:r>
      <w:r w:rsidRPr="00FC5921">
        <w:rPr>
          <w:kern w:val="22"/>
          <w:szCs w:val="22"/>
          <w:lang w:val="fr-FR"/>
        </w:rPr>
        <w:t xml:space="preserve">, </w:t>
      </w:r>
      <w:r w:rsidR="00FC5921" w:rsidRPr="00FC5921">
        <w:rPr>
          <w:kern w:val="22"/>
          <w:szCs w:val="22"/>
          <w:lang w:val="fr-FR"/>
        </w:rPr>
        <w:t xml:space="preserve">cette Conférence des </w:t>
      </w:r>
      <w:r w:rsidRPr="00FC5921">
        <w:rPr>
          <w:kern w:val="22"/>
          <w:szCs w:val="22"/>
          <w:lang w:val="fr-FR"/>
        </w:rPr>
        <w:t xml:space="preserve">Parties </w:t>
      </w:r>
      <w:r w:rsidR="00FC5921" w:rsidRPr="00FC5921">
        <w:rPr>
          <w:kern w:val="22"/>
          <w:szCs w:val="22"/>
          <w:lang w:val="fr-FR"/>
        </w:rPr>
        <w:t>s’est félicitée de la d</w:t>
      </w:r>
      <w:r w:rsidR="00FC5921">
        <w:rPr>
          <w:kern w:val="22"/>
          <w:szCs w:val="22"/>
          <w:lang w:val="fr-FR"/>
        </w:rPr>
        <w:t>é</w:t>
      </w:r>
      <w:r w:rsidR="00FC5921" w:rsidRPr="00FC5921">
        <w:rPr>
          <w:kern w:val="22"/>
          <w:szCs w:val="22"/>
          <w:lang w:val="fr-FR"/>
        </w:rPr>
        <w:t>cision sur la coopé</w:t>
      </w:r>
      <w:r w:rsidRPr="00FC5921">
        <w:rPr>
          <w:kern w:val="22"/>
          <w:szCs w:val="22"/>
          <w:lang w:val="fr-FR"/>
        </w:rPr>
        <w:t xml:space="preserve">ration, </w:t>
      </w:r>
      <w:r w:rsidR="00FC5921" w:rsidRPr="00FC5921">
        <w:rPr>
          <w:kern w:val="22"/>
          <w:szCs w:val="22"/>
          <w:lang w:val="fr-FR"/>
        </w:rPr>
        <w:t xml:space="preserve">la </w:t>
      </w:r>
      <w:r w:rsidRPr="00FC5921">
        <w:rPr>
          <w:kern w:val="22"/>
          <w:szCs w:val="22"/>
          <w:lang w:val="fr-FR"/>
        </w:rPr>
        <w:t xml:space="preserve">coordination </w:t>
      </w:r>
      <w:r w:rsidR="00FC5921">
        <w:rPr>
          <w:kern w:val="22"/>
          <w:szCs w:val="22"/>
          <w:lang w:val="fr-FR"/>
        </w:rPr>
        <w:t xml:space="preserve">et les </w:t>
      </w:r>
      <w:r w:rsidRPr="00FC5921">
        <w:rPr>
          <w:kern w:val="22"/>
          <w:szCs w:val="22"/>
          <w:lang w:val="fr-FR"/>
        </w:rPr>
        <w:t xml:space="preserve">synergies </w:t>
      </w:r>
      <w:r w:rsidR="00FC5921">
        <w:rPr>
          <w:kern w:val="22"/>
          <w:szCs w:val="22"/>
          <w:lang w:val="fr-FR"/>
        </w:rPr>
        <w:t>entre les</w:t>
      </w:r>
      <w:r w:rsidRPr="00FC5921">
        <w:rPr>
          <w:kern w:val="22"/>
          <w:szCs w:val="22"/>
          <w:lang w:val="fr-FR"/>
        </w:rPr>
        <w:t xml:space="preserve"> conventions</w:t>
      </w:r>
      <w:r w:rsidR="00B64015">
        <w:rPr>
          <w:kern w:val="22"/>
          <w:szCs w:val="22"/>
          <w:lang w:val="fr-FR"/>
        </w:rPr>
        <w:t xml:space="preserve"> relatives à la diversité </w:t>
      </w:r>
      <w:r w:rsidR="00FC5921">
        <w:rPr>
          <w:kern w:val="22"/>
          <w:szCs w:val="22"/>
          <w:lang w:val="fr-FR"/>
        </w:rPr>
        <w:t xml:space="preserve">biologique adoptée par la </w:t>
      </w:r>
      <w:r w:rsidR="00B64015">
        <w:rPr>
          <w:kern w:val="22"/>
          <w:szCs w:val="22"/>
          <w:lang w:val="fr-FR"/>
        </w:rPr>
        <w:t>Conférence des Parties</w:t>
      </w:r>
      <w:r w:rsidRPr="00FC5921">
        <w:rPr>
          <w:kern w:val="22"/>
          <w:szCs w:val="22"/>
          <w:lang w:val="fr-FR"/>
        </w:rPr>
        <w:t xml:space="preserve"> </w:t>
      </w:r>
      <w:r w:rsidR="00B64015">
        <w:rPr>
          <w:kern w:val="22"/>
          <w:szCs w:val="22"/>
          <w:lang w:val="fr-FR"/>
        </w:rPr>
        <w:t xml:space="preserve">à la </w:t>
      </w:r>
      <w:r w:rsidRPr="00FC5921">
        <w:rPr>
          <w:kern w:val="22"/>
          <w:szCs w:val="22"/>
          <w:lang w:val="fr-FR"/>
        </w:rPr>
        <w:t xml:space="preserve">Convention </w:t>
      </w:r>
      <w:r w:rsidR="00B64015">
        <w:rPr>
          <w:kern w:val="22"/>
          <w:szCs w:val="22"/>
          <w:lang w:val="fr-FR"/>
        </w:rPr>
        <w:t>sur la diversité biologique à sa treizième réunion</w:t>
      </w:r>
      <w:r w:rsidRPr="00FC5921">
        <w:rPr>
          <w:kern w:val="22"/>
          <w:szCs w:val="22"/>
          <w:lang w:val="fr-FR"/>
        </w:rPr>
        <w:t>.</w:t>
      </w:r>
    </w:p>
    <w:p w:rsidR="009E17B6" w:rsidRPr="00C50792" w:rsidRDefault="00843BA4" w:rsidP="009E17B6">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C50792">
        <w:rPr>
          <w:kern w:val="22"/>
          <w:szCs w:val="22"/>
          <w:lang w:val="fr-FR"/>
        </w:rPr>
        <w:t xml:space="preserve">Au </w:t>
      </w:r>
      <w:r w:rsidR="009E17B6" w:rsidRPr="00C50792">
        <w:rPr>
          <w:kern w:val="22"/>
          <w:szCs w:val="22"/>
          <w:lang w:val="fr-FR"/>
        </w:rPr>
        <w:t>paragraph</w:t>
      </w:r>
      <w:r w:rsidRPr="00C50792">
        <w:rPr>
          <w:kern w:val="22"/>
          <w:szCs w:val="22"/>
          <w:lang w:val="fr-FR"/>
        </w:rPr>
        <w:t>e</w:t>
      </w:r>
      <w:r w:rsidR="009E17B6" w:rsidRPr="00C50792">
        <w:rPr>
          <w:kern w:val="22"/>
          <w:szCs w:val="22"/>
          <w:lang w:val="fr-FR"/>
        </w:rPr>
        <w:t xml:space="preserve"> 10 </w:t>
      </w:r>
      <w:r w:rsidRPr="00C50792">
        <w:rPr>
          <w:kern w:val="22"/>
          <w:szCs w:val="22"/>
          <w:lang w:val="fr-FR"/>
        </w:rPr>
        <w:t>de la ré</w:t>
      </w:r>
      <w:r w:rsidR="009E17B6" w:rsidRPr="00C50792">
        <w:rPr>
          <w:kern w:val="22"/>
          <w:szCs w:val="22"/>
          <w:lang w:val="fr-FR"/>
        </w:rPr>
        <w:t xml:space="preserve">solution, </w:t>
      </w:r>
      <w:r w:rsidRPr="00C50792">
        <w:rPr>
          <w:kern w:val="22"/>
          <w:szCs w:val="22"/>
          <w:lang w:val="fr-FR"/>
        </w:rPr>
        <w:t>la</w:t>
      </w:r>
      <w:r w:rsidR="009E17B6" w:rsidRPr="00C50792">
        <w:rPr>
          <w:kern w:val="22"/>
          <w:szCs w:val="22"/>
          <w:lang w:val="fr-FR"/>
        </w:rPr>
        <w:t xml:space="preserve"> </w:t>
      </w:r>
      <w:r w:rsidR="00B64015" w:rsidRPr="00C50792">
        <w:rPr>
          <w:kern w:val="22"/>
          <w:szCs w:val="22"/>
          <w:lang w:val="fr-FR"/>
        </w:rPr>
        <w:t>Conférence des Parties</w:t>
      </w:r>
      <w:r w:rsidR="009E17B6" w:rsidRPr="00C50792">
        <w:rPr>
          <w:kern w:val="22"/>
          <w:szCs w:val="22"/>
          <w:lang w:val="fr-FR"/>
        </w:rPr>
        <w:t xml:space="preserve"> </w:t>
      </w:r>
      <w:r w:rsidRPr="00C50792">
        <w:rPr>
          <w:kern w:val="22"/>
          <w:szCs w:val="22"/>
          <w:lang w:val="fr-FR"/>
        </w:rPr>
        <w:t>à la</w:t>
      </w:r>
      <w:r w:rsidR="009E17B6" w:rsidRPr="00C50792">
        <w:rPr>
          <w:kern w:val="22"/>
          <w:szCs w:val="22"/>
          <w:lang w:val="fr-FR"/>
        </w:rPr>
        <w:t xml:space="preserve"> CMS </w:t>
      </w:r>
      <w:r w:rsidR="00C50792" w:rsidRPr="00C50792">
        <w:rPr>
          <w:kern w:val="22"/>
          <w:szCs w:val="22"/>
          <w:lang w:val="fr-FR"/>
        </w:rPr>
        <w:t xml:space="preserve">a prié le </w:t>
      </w:r>
      <w:r w:rsidR="00C50792">
        <w:rPr>
          <w:kern w:val="22"/>
          <w:szCs w:val="22"/>
          <w:lang w:val="fr-FR"/>
        </w:rPr>
        <w:t>Secré</w:t>
      </w:r>
      <w:r w:rsidR="009E17B6" w:rsidRPr="00C50792">
        <w:rPr>
          <w:kern w:val="22"/>
          <w:szCs w:val="22"/>
          <w:lang w:val="fr-FR"/>
        </w:rPr>
        <w:t>tariat</w:t>
      </w:r>
      <w:r w:rsidR="00C50792">
        <w:rPr>
          <w:kern w:val="22"/>
          <w:szCs w:val="22"/>
          <w:lang w:val="fr-FR"/>
        </w:rPr>
        <w:t xml:space="preserve"> de la CMS de </w:t>
      </w:r>
      <w:r w:rsidR="00C50792" w:rsidRPr="00C50792">
        <w:rPr>
          <w:lang w:val="fr-FR"/>
        </w:rPr>
        <w:t>préparer des propo</w:t>
      </w:r>
      <w:r w:rsidR="00033ADC">
        <w:rPr>
          <w:lang w:val="fr-FR"/>
        </w:rPr>
        <w:t>sitions</w:t>
      </w:r>
      <w:r w:rsidR="00C50792" w:rsidRPr="00C50792">
        <w:rPr>
          <w:lang w:val="fr-FR"/>
        </w:rPr>
        <w:t xml:space="preserve"> pour renforcer la coopération, la coordination et les synergies avec d’autres conventions relatives à la biodiversité</w:t>
      </w:r>
      <w:r w:rsidR="00C50792">
        <w:rPr>
          <w:lang w:val="fr-FR"/>
        </w:rPr>
        <w:t xml:space="preserve"> pour examen à ses</w:t>
      </w:r>
      <w:r w:rsidR="009E17B6" w:rsidRPr="00C50792">
        <w:rPr>
          <w:kern w:val="22"/>
          <w:szCs w:val="22"/>
          <w:lang w:val="fr-FR"/>
        </w:rPr>
        <w:t xml:space="preserve"> future</w:t>
      </w:r>
      <w:r w:rsidR="00C50792">
        <w:rPr>
          <w:kern w:val="22"/>
          <w:szCs w:val="22"/>
          <w:lang w:val="fr-FR"/>
        </w:rPr>
        <w:t>s réunions</w:t>
      </w:r>
      <w:r w:rsidR="009E17B6" w:rsidRPr="00C50792">
        <w:rPr>
          <w:kern w:val="22"/>
          <w:szCs w:val="22"/>
          <w:lang w:val="fr-FR"/>
        </w:rPr>
        <w:t xml:space="preserve">. </w:t>
      </w:r>
      <w:r w:rsidR="00C50792">
        <w:rPr>
          <w:kern w:val="22"/>
          <w:szCs w:val="22"/>
          <w:lang w:val="fr-FR"/>
        </w:rPr>
        <w:t>Elle a adressé plusieurs</w:t>
      </w:r>
      <w:r w:rsidR="009E17B6" w:rsidRPr="00C50792">
        <w:rPr>
          <w:kern w:val="22"/>
          <w:szCs w:val="22"/>
          <w:lang w:val="fr-FR"/>
        </w:rPr>
        <w:t xml:space="preserve"> invitations </w:t>
      </w:r>
      <w:r w:rsidR="00C50792">
        <w:rPr>
          <w:kern w:val="22"/>
          <w:szCs w:val="22"/>
          <w:lang w:val="fr-FR"/>
        </w:rPr>
        <w:t>à l’</w:t>
      </w:r>
      <w:r w:rsidR="009E17B6" w:rsidRPr="00C50792">
        <w:rPr>
          <w:kern w:val="22"/>
          <w:szCs w:val="22"/>
          <w:lang w:val="fr-FR"/>
        </w:rPr>
        <w:t xml:space="preserve">attention </w:t>
      </w:r>
      <w:r w:rsidR="00C50792">
        <w:rPr>
          <w:kern w:val="22"/>
          <w:szCs w:val="22"/>
          <w:lang w:val="fr-FR"/>
        </w:rPr>
        <w:t>du groupe de liaison des c</w:t>
      </w:r>
      <w:r w:rsidR="009E17B6" w:rsidRPr="00C50792">
        <w:rPr>
          <w:kern w:val="22"/>
          <w:szCs w:val="22"/>
          <w:lang w:val="fr-FR"/>
        </w:rPr>
        <w:t>onventions</w:t>
      </w:r>
      <w:r w:rsidR="00C50792">
        <w:rPr>
          <w:kern w:val="22"/>
          <w:szCs w:val="22"/>
          <w:lang w:val="fr-FR"/>
        </w:rPr>
        <w:t xml:space="preserve"> relatives à la diversité biologique</w:t>
      </w:r>
      <w:r w:rsidR="009E17B6" w:rsidRPr="00C50792">
        <w:rPr>
          <w:kern w:val="22"/>
          <w:szCs w:val="22"/>
          <w:lang w:val="fr-FR"/>
        </w:rPr>
        <w:t xml:space="preserve"> (</w:t>
      </w:r>
      <w:r w:rsidRPr="00C50792">
        <w:rPr>
          <w:kern w:val="22"/>
          <w:szCs w:val="22"/>
          <w:lang w:val="fr-FR"/>
        </w:rPr>
        <w:t>p.ex.</w:t>
      </w:r>
      <w:r w:rsidR="009E17B6" w:rsidRPr="00C50792">
        <w:rPr>
          <w:kern w:val="22"/>
          <w:szCs w:val="22"/>
          <w:lang w:val="fr-FR"/>
        </w:rPr>
        <w:t xml:space="preserve"> para</w:t>
      </w:r>
      <w:r w:rsidRPr="00C50792">
        <w:rPr>
          <w:kern w:val="22"/>
          <w:szCs w:val="22"/>
          <w:lang w:val="fr-FR"/>
        </w:rPr>
        <w:t>graphes</w:t>
      </w:r>
      <w:r w:rsidR="009E17B6" w:rsidRPr="00C50792">
        <w:rPr>
          <w:kern w:val="22"/>
          <w:szCs w:val="22"/>
          <w:lang w:val="fr-FR"/>
        </w:rPr>
        <w:t xml:space="preserve"> 17</w:t>
      </w:r>
      <w:r w:rsidRPr="00C50792">
        <w:rPr>
          <w:kern w:val="22"/>
          <w:szCs w:val="22"/>
          <w:lang w:val="fr-FR"/>
        </w:rPr>
        <w:t xml:space="preserve"> à </w:t>
      </w:r>
      <w:r w:rsidR="009E17B6" w:rsidRPr="00C50792">
        <w:rPr>
          <w:kern w:val="22"/>
          <w:szCs w:val="22"/>
          <w:lang w:val="fr-FR"/>
        </w:rPr>
        <w:t xml:space="preserve">20). </w:t>
      </w:r>
      <w:r w:rsidRPr="00C50792">
        <w:rPr>
          <w:kern w:val="22"/>
          <w:szCs w:val="22"/>
          <w:lang w:val="fr-FR"/>
        </w:rPr>
        <w:t>Au</w:t>
      </w:r>
      <w:r w:rsidR="009E17B6" w:rsidRPr="00C50792">
        <w:rPr>
          <w:kern w:val="22"/>
          <w:szCs w:val="22"/>
          <w:lang w:val="fr-FR"/>
        </w:rPr>
        <w:t xml:space="preserve"> paragraph</w:t>
      </w:r>
      <w:r w:rsidRPr="00C50792">
        <w:rPr>
          <w:kern w:val="22"/>
          <w:szCs w:val="22"/>
          <w:lang w:val="fr-FR"/>
        </w:rPr>
        <w:t>e</w:t>
      </w:r>
      <w:r w:rsidR="009E17B6" w:rsidRPr="00C50792">
        <w:rPr>
          <w:kern w:val="22"/>
          <w:szCs w:val="22"/>
          <w:lang w:val="fr-FR"/>
        </w:rPr>
        <w:t> </w:t>
      </w:r>
      <w:r w:rsidR="00C50792" w:rsidRPr="00C50792">
        <w:rPr>
          <w:kern w:val="22"/>
          <w:szCs w:val="22"/>
          <w:lang w:val="fr-FR"/>
        </w:rPr>
        <w:t xml:space="preserve">23, la </w:t>
      </w:r>
      <w:r w:rsidR="00B64015" w:rsidRPr="00C50792">
        <w:rPr>
          <w:kern w:val="22"/>
          <w:szCs w:val="22"/>
          <w:lang w:val="fr-FR"/>
        </w:rPr>
        <w:t>Conférence des Parties</w:t>
      </w:r>
      <w:r w:rsidR="009E17B6" w:rsidRPr="00C50792">
        <w:rPr>
          <w:kern w:val="22"/>
          <w:szCs w:val="22"/>
          <w:lang w:val="fr-FR"/>
        </w:rPr>
        <w:t xml:space="preserve"> </w:t>
      </w:r>
      <w:r w:rsidR="00C50792" w:rsidRPr="00C50792">
        <w:rPr>
          <w:kern w:val="22"/>
          <w:szCs w:val="22"/>
          <w:lang w:val="fr-FR"/>
        </w:rPr>
        <w:t xml:space="preserve">a prié instamment les </w:t>
      </w:r>
      <w:r w:rsidR="009E17B6" w:rsidRPr="00C50792">
        <w:rPr>
          <w:kern w:val="22"/>
          <w:szCs w:val="22"/>
          <w:lang w:val="fr-FR"/>
        </w:rPr>
        <w:t xml:space="preserve">Parties </w:t>
      </w:r>
      <w:r w:rsidR="00C50792" w:rsidRPr="00C50792">
        <w:rPr>
          <w:lang w:val="fr-FR"/>
        </w:rPr>
        <w:t xml:space="preserve">d’établir une collaboration étroite au niveau national entre le </w:t>
      </w:r>
      <w:r w:rsidR="00033ADC">
        <w:rPr>
          <w:lang w:val="fr-FR"/>
        </w:rPr>
        <w:t>correspondant</w:t>
      </w:r>
      <w:r w:rsidR="00C50792" w:rsidRPr="00C50792">
        <w:rPr>
          <w:lang w:val="fr-FR"/>
        </w:rPr>
        <w:t xml:space="preserve"> de la CMS et les </w:t>
      </w:r>
      <w:r w:rsidR="00033ADC">
        <w:rPr>
          <w:lang w:val="fr-FR"/>
        </w:rPr>
        <w:t>correspondants</w:t>
      </w:r>
      <w:r w:rsidR="00C50792" w:rsidRPr="00C50792">
        <w:rPr>
          <w:lang w:val="fr-FR"/>
        </w:rPr>
        <w:t xml:space="preserve"> des autres conventions co</w:t>
      </w:r>
      <w:r w:rsidR="00E0386A">
        <w:rPr>
          <w:lang w:val="fr-FR"/>
        </w:rPr>
        <w:t>ncernées</w:t>
      </w:r>
      <w:r w:rsidR="00C50792" w:rsidRPr="00C50792">
        <w:rPr>
          <w:lang w:val="fr-FR"/>
        </w:rPr>
        <w:t xml:space="preserve"> pour que les gouvernements élaborent des approches cohérentes et synergiques entre les conventions et accroissent l'efficacité des efforts nationaux, par exemple en développant des groupes de travail sur la diversité biologique nationale pour coordonner le travail des </w:t>
      </w:r>
      <w:r w:rsidR="00033ADC">
        <w:rPr>
          <w:lang w:val="fr-FR"/>
        </w:rPr>
        <w:t xml:space="preserve">correspondants des </w:t>
      </w:r>
      <w:r w:rsidR="00C50792">
        <w:rPr>
          <w:lang w:val="fr-FR"/>
        </w:rPr>
        <w:t>accords multilatéraux sur l’environnement pert</w:t>
      </w:r>
      <w:r w:rsidR="00C50792" w:rsidRPr="00C50792">
        <w:rPr>
          <w:lang w:val="fr-FR"/>
        </w:rPr>
        <w:t>inents et d’autres parties prenantes, entre autres, à travers des mesures dans les SPANB, les rapports nationaux harmonisés et l’adoption des positions nat</w:t>
      </w:r>
      <w:r w:rsidR="00C50792">
        <w:rPr>
          <w:lang w:val="fr-FR"/>
        </w:rPr>
        <w:t>ionales cohérentes pour chaque accord multilatéral sur l’environnement</w:t>
      </w:r>
      <w:r w:rsidR="009E17B6" w:rsidRPr="00C50792">
        <w:rPr>
          <w:kern w:val="22"/>
          <w:szCs w:val="22"/>
          <w:lang w:val="fr-FR"/>
        </w:rPr>
        <w:t>.</w:t>
      </w:r>
    </w:p>
    <w:p w:rsidR="009E17B6" w:rsidRPr="00B051EA" w:rsidRDefault="009E17B6" w:rsidP="009E17B6">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3B3FA6">
        <w:rPr>
          <w:kern w:val="22"/>
          <w:szCs w:val="22"/>
          <w:lang w:val="fr-FR"/>
        </w:rPr>
        <w:t>A</w:t>
      </w:r>
      <w:r w:rsidR="003B3FA6" w:rsidRPr="003B3FA6">
        <w:rPr>
          <w:kern w:val="22"/>
          <w:szCs w:val="22"/>
          <w:lang w:val="fr-FR"/>
        </w:rPr>
        <w:t xml:space="preserve"> sa septième session (Kigali, 30 octobre–3 novembre</w:t>
      </w:r>
      <w:r w:rsidRPr="003B3FA6">
        <w:rPr>
          <w:kern w:val="22"/>
          <w:szCs w:val="22"/>
          <w:lang w:val="fr-FR"/>
        </w:rPr>
        <w:t xml:space="preserve"> 2017), </w:t>
      </w:r>
      <w:r w:rsidR="003B3FA6" w:rsidRPr="003B3FA6">
        <w:rPr>
          <w:kern w:val="22"/>
          <w:szCs w:val="22"/>
          <w:lang w:val="fr-FR"/>
        </w:rPr>
        <w:t xml:space="preserve">l’organe directeur du Traité international sur les ressources phytogénétiques pour l’alimentation et l’agriculture </w:t>
      </w:r>
      <w:r w:rsidRPr="003B3FA6">
        <w:rPr>
          <w:kern w:val="22"/>
          <w:szCs w:val="22"/>
          <w:lang w:val="fr-FR"/>
        </w:rPr>
        <w:t xml:space="preserve">(ITPGRFA) </w:t>
      </w:r>
      <w:r w:rsidR="003B3FA6" w:rsidRPr="003B3FA6">
        <w:rPr>
          <w:kern w:val="22"/>
          <w:szCs w:val="22"/>
          <w:lang w:val="fr-FR"/>
        </w:rPr>
        <w:t>a adopté des ré</w:t>
      </w:r>
      <w:r w:rsidRPr="003B3FA6">
        <w:rPr>
          <w:kern w:val="22"/>
          <w:szCs w:val="22"/>
          <w:lang w:val="fr-FR"/>
        </w:rPr>
        <w:t>solutions concern</w:t>
      </w:r>
      <w:r w:rsidR="003B3FA6" w:rsidRPr="003B3FA6">
        <w:rPr>
          <w:kern w:val="22"/>
          <w:szCs w:val="22"/>
          <w:lang w:val="fr-FR"/>
        </w:rPr>
        <w:t>ant sa relation avec la</w:t>
      </w:r>
      <w:r w:rsidRPr="003B3FA6">
        <w:rPr>
          <w:kern w:val="22"/>
          <w:szCs w:val="22"/>
          <w:lang w:val="fr-FR"/>
        </w:rPr>
        <w:t xml:space="preserve"> Convention </w:t>
      </w:r>
      <w:r w:rsidR="003B3FA6" w:rsidRPr="003B3FA6">
        <w:rPr>
          <w:kern w:val="22"/>
          <w:szCs w:val="22"/>
          <w:lang w:val="fr-FR"/>
        </w:rPr>
        <w:t>sur la diversité biologique (ré</w:t>
      </w:r>
      <w:r w:rsidRPr="003B3FA6">
        <w:rPr>
          <w:kern w:val="22"/>
          <w:szCs w:val="22"/>
          <w:lang w:val="fr-FR"/>
        </w:rPr>
        <w:t xml:space="preserve">solution </w:t>
      </w:r>
      <w:r w:rsidR="00D33525">
        <w:fldChar w:fldCharType="begin"/>
      </w:r>
      <w:r w:rsidR="00D33525" w:rsidRPr="00FA2B25">
        <w:rPr>
          <w:lang w:val="fr-CA"/>
        </w:rPr>
        <w:instrText xml:space="preserve"> HYPERLINK "http://www.fao.org/3/a-mv088f.pdf" </w:instrText>
      </w:r>
      <w:r w:rsidR="00D33525">
        <w:fldChar w:fldCharType="separate"/>
      </w:r>
      <w:r w:rsidR="000521C8" w:rsidRPr="00823137">
        <w:rPr>
          <w:rStyle w:val="Lienhypertexte"/>
          <w:kern w:val="22"/>
          <w:szCs w:val="22"/>
          <w:lang w:val="fr-FR"/>
        </w:rPr>
        <w:t>9/2017</w:t>
      </w:r>
      <w:r w:rsidR="00D33525">
        <w:rPr>
          <w:rStyle w:val="Lienhypertexte"/>
          <w:kern w:val="22"/>
          <w:szCs w:val="22"/>
          <w:lang w:val="fr-FR"/>
        </w:rPr>
        <w:fldChar w:fldCharType="end"/>
      </w:r>
      <w:r w:rsidR="003B3FA6">
        <w:rPr>
          <w:kern w:val="22"/>
          <w:szCs w:val="22"/>
          <w:lang w:val="fr-FR"/>
        </w:rPr>
        <w:t>) et sa coopé</w:t>
      </w:r>
      <w:r w:rsidRPr="003B3FA6">
        <w:rPr>
          <w:kern w:val="22"/>
          <w:szCs w:val="22"/>
          <w:lang w:val="fr-FR"/>
        </w:rPr>
        <w:t xml:space="preserve">ration </w:t>
      </w:r>
      <w:r w:rsidR="003B3FA6">
        <w:rPr>
          <w:kern w:val="22"/>
          <w:szCs w:val="22"/>
          <w:lang w:val="fr-FR"/>
        </w:rPr>
        <w:t>avec d’autres organismes et organis</w:t>
      </w:r>
      <w:r w:rsidRPr="003B3FA6">
        <w:rPr>
          <w:kern w:val="22"/>
          <w:szCs w:val="22"/>
          <w:lang w:val="fr-FR"/>
        </w:rPr>
        <w:t xml:space="preserve">ations </w:t>
      </w:r>
      <w:r w:rsidR="003B3FA6">
        <w:rPr>
          <w:kern w:val="22"/>
          <w:szCs w:val="22"/>
          <w:lang w:val="fr-FR"/>
        </w:rPr>
        <w:t>internationaux</w:t>
      </w:r>
      <w:r w:rsidR="008A7969">
        <w:rPr>
          <w:kern w:val="22"/>
          <w:szCs w:val="22"/>
          <w:lang w:val="fr-FR"/>
        </w:rPr>
        <w:t xml:space="preserve"> (résolution</w:t>
      </w:r>
      <w:r w:rsidRPr="003B3FA6">
        <w:rPr>
          <w:kern w:val="22"/>
          <w:szCs w:val="22"/>
          <w:lang w:val="fr-FR"/>
        </w:rPr>
        <w:t xml:space="preserve"> </w:t>
      </w:r>
      <w:r w:rsidR="00D33525">
        <w:fldChar w:fldCharType="begin"/>
      </w:r>
      <w:r w:rsidR="00D33525" w:rsidRPr="00FA2B25">
        <w:rPr>
          <w:lang w:val="fr-CA"/>
        </w:rPr>
        <w:instrText xml:space="preserve"> HYPERLINK "http://www.fao.org/3/a-mv091f.pdf" </w:instrText>
      </w:r>
      <w:r w:rsidR="00D33525">
        <w:fldChar w:fldCharType="separate"/>
      </w:r>
      <w:r w:rsidR="000521C8" w:rsidRPr="00823137">
        <w:rPr>
          <w:rStyle w:val="Lienhypertexte"/>
          <w:kern w:val="22"/>
          <w:szCs w:val="22"/>
          <w:lang w:val="fr-FR"/>
        </w:rPr>
        <w:t>12/2017</w:t>
      </w:r>
      <w:r w:rsidR="00D33525">
        <w:rPr>
          <w:rStyle w:val="Lienhypertexte"/>
          <w:kern w:val="22"/>
          <w:szCs w:val="22"/>
          <w:lang w:val="fr-FR"/>
        </w:rPr>
        <w:fldChar w:fldCharType="end"/>
      </w:r>
      <w:r w:rsidRPr="003B3FA6">
        <w:rPr>
          <w:kern w:val="22"/>
          <w:szCs w:val="22"/>
          <w:lang w:val="fr-FR"/>
        </w:rPr>
        <w:t xml:space="preserve">). </w:t>
      </w:r>
      <w:r w:rsidR="003B3FA6" w:rsidRPr="00B051EA">
        <w:rPr>
          <w:kern w:val="22"/>
          <w:szCs w:val="22"/>
          <w:lang w:val="fr-FR"/>
        </w:rPr>
        <w:t>Dans la ré</w:t>
      </w:r>
      <w:r w:rsidRPr="00B051EA">
        <w:rPr>
          <w:kern w:val="22"/>
          <w:szCs w:val="22"/>
          <w:lang w:val="fr-FR"/>
        </w:rPr>
        <w:t xml:space="preserve">solution 9/2017, </w:t>
      </w:r>
      <w:r w:rsidR="003B3FA6" w:rsidRPr="00B051EA">
        <w:rPr>
          <w:kern w:val="22"/>
          <w:szCs w:val="22"/>
          <w:lang w:val="fr-FR"/>
        </w:rPr>
        <w:t xml:space="preserve">l‘organe directeur </w:t>
      </w:r>
      <w:r w:rsidR="00B051EA" w:rsidRPr="00B051EA">
        <w:rPr>
          <w:kern w:val="22"/>
          <w:szCs w:val="22"/>
          <w:lang w:val="fr-FR"/>
        </w:rPr>
        <w:t>a accueilli avec satisfaction les</w:t>
      </w:r>
      <w:r w:rsidRPr="00B051EA">
        <w:rPr>
          <w:kern w:val="22"/>
          <w:szCs w:val="22"/>
          <w:lang w:val="fr-FR"/>
        </w:rPr>
        <w:t xml:space="preserve"> annexes I </w:t>
      </w:r>
      <w:r w:rsidR="00B051EA" w:rsidRPr="00B051EA">
        <w:rPr>
          <w:kern w:val="22"/>
          <w:szCs w:val="22"/>
          <w:lang w:val="fr-FR"/>
        </w:rPr>
        <w:t>et</w:t>
      </w:r>
      <w:r w:rsidRPr="00B051EA">
        <w:rPr>
          <w:kern w:val="22"/>
          <w:szCs w:val="22"/>
          <w:lang w:val="fr-FR"/>
        </w:rPr>
        <w:t xml:space="preserve"> II </w:t>
      </w:r>
      <w:r w:rsidR="00B051EA" w:rsidRPr="00B051EA">
        <w:rPr>
          <w:kern w:val="22"/>
          <w:szCs w:val="22"/>
          <w:lang w:val="fr-FR"/>
        </w:rPr>
        <w:t>de la décision XIII/24, invité</w:t>
      </w:r>
      <w:r w:rsidR="00B051EA" w:rsidRPr="00B051EA">
        <w:rPr>
          <w:lang w:val="fr-FR"/>
        </w:rPr>
        <w:t xml:space="preserve"> les Parties contractantes à envisager d’appuyer la mise en œuvre dans le cadre des options susmentionnées, afin de renforcer encore la coopération et la coordination avec d'autres instruments internationaux pertinents et d'améliorer les synergies avec ces instruments;</w:t>
      </w:r>
      <w:r w:rsidR="00B051EA" w:rsidRPr="00B051EA">
        <w:rPr>
          <w:kern w:val="22"/>
          <w:szCs w:val="22"/>
          <w:lang w:val="fr-FR"/>
        </w:rPr>
        <w:t xml:space="preserve"> </w:t>
      </w:r>
      <w:r w:rsidR="00B051EA">
        <w:rPr>
          <w:kern w:val="22"/>
          <w:szCs w:val="22"/>
          <w:lang w:val="fr-FR"/>
        </w:rPr>
        <w:t xml:space="preserve">et </w:t>
      </w:r>
      <w:r w:rsidR="000521C8">
        <w:rPr>
          <w:kern w:val="22"/>
          <w:szCs w:val="22"/>
          <w:lang w:val="fr-FR"/>
        </w:rPr>
        <w:t xml:space="preserve">il a </w:t>
      </w:r>
      <w:r w:rsidR="00B051EA">
        <w:rPr>
          <w:kern w:val="22"/>
          <w:szCs w:val="22"/>
          <w:lang w:val="fr-FR"/>
        </w:rPr>
        <w:t xml:space="preserve">prié le Secrétaire </w:t>
      </w:r>
      <w:r w:rsidR="00B051EA" w:rsidRPr="00B051EA">
        <w:rPr>
          <w:lang w:val="fr-FR"/>
        </w:rPr>
        <w:t xml:space="preserve">de prendre les mesures pertinentes prévues dans les options susmentionnées, selon qu'il conviendra et sous réserve de la disponibilité de ressources financières, en particulier en ce qui concerne le Groupe de liaison </w:t>
      </w:r>
      <w:r w:rsidR="00B051EA" w:rsidRPr="00B051EA">
        <w:rPr>
          <w:lang w:val="fr-FR"/>
        </w:rPr>
        <w:lastRenderedPageBreak/>
        <w:t>des conventions relatives à la biodiversité, les programmes de travail conjoints avec d'autres instruments internationaux pertinents, l'information et la gestion des connaissances, la présentation de rapports et le suivi, la communication et les activités de renforcement des capacités</w:t>
      </w:r>
      <w:r w:rsidR="00B051EA">
        <w:rPr>
          <w:lang w:val="fr-FR"/>
        </w:rPr>
        <w:t>.</w:t>
      </w:r>
    </w:p>
    <w:p w:rsidR="009E17B6" w:rsidRPr="004A1416" w:rsidRDefault="00843BA4" w:rsidP="009E17B6">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C22F75">
        <w:rPr>
          <w:kern w:val="22"/>
          <w:szCs w:val="22"/>
          <w:lang w:val="fr-FR"/>
        </w:rPr>
        <w:t>Dans la même ré</w:t>
      </w:r>
      <w:r w:rsidR="009E17B6" w:rsidRPr="00C22F75">
        <w:rPr>
          <w:kern w:val="22"/>
          <w:szCs w:val="22"/>
          <w:lang w:val="fr-FR"/>
        </w:rPr>
        <w:t xml:space="preserve">solution, </w:t>
      </w:r>
      <w:r w:rsidRPr="00C22F75">
        <w:rPr>
          <w:kern w:val="22"/>
          <w:szCs w:val="22"/>
          <w:lang w:val="fr-FR"/>
        </w:rPr>
        <w:t xml:space="preserve">l’Organe directeur </w:t>
      </w:r>
      <w:r w:rsidR="00C22F75" w:rsidRPr="00C22F75">
        <w:rPr>
          <w:kern w:val="22"/>
          <w:szCs w:val="22"/>
          <w:lang w:val="fr-FR"/>
        </w:rPr>
        <w:t>s’est félicité de la dé</w:t>
      </w:r>
      <w:r w:rsidR="009E17B6" w:rsidRPr="00C22F75">
        <w:rPr>
          <w:kern w:val="22"/>
          <w:szCs w:val="22"/>
          <w:lang w:val="fr-FR"/>
        </w:rPr>
        <w:t xml:space="preserve">cision </w:t>
      </w:r>
      <w:r w:rsidR="00C22F75" w:rsidRPr="00C22F75">
        <w:rPr>
          <w:kern w:val="22"/>
          <w:szCs w:val="22"/>
          <w:lang w:val="fr-FR"/>
        </w:rPr>
        <w:t xml:space="preserve">prise </w:t>
      </w:r>
      <w:r w:rsidR="000521C8" w:rsidRPr="00C22F75">
        <w:rPr>
          <w:kern w:val="22"/>
          <w:szCs w:val="22"/>
          <w:lang w:val="fr-FR"/>
        </w:rPr>
        <w:t>à sa treizième réunion</w:t>
      </w:r>
      <w:r w:rsidR="000521C8">
        <w:rPr>
          <w:kern w:val="22"/>
          <w:szCs w:val="22"/>
          <w:lang w:val="fr-FR"/>
        </w:rPr>
        <w:t xml:space="preserve"> </w:t>
      </w:r>
      <w:r w:rsidR="00C22F75" w:rsidRPr="00C22F75">
        <w:rPr>
          <w:kern w:val="22"/>
          <w:szCs w:val="22"/>
          <w:lang w:val="fr-FR"/>
        </w:rPr>
        <w:t>par la</w:t>
      </w:r>
      <w:r w:rsidR="009E17B6" w:rsidRPr="00C22F75">
        <w:rPr>
          <w:kern w:val="22"/>
          <w:szCs w:val="22"/>
          <w:lang w:val="fr-FR"/>
        </w:rPr>
        <w:t xml:space="preserve"> </w:t>
      </w:r>
      <w:r w:rsidR="00B64015" w:rsidRPr="00C22F75">
        <w:rPr>
          <w:kern w:val="22"/>
          <w:szCs w:val="22"/>
          <w:lang w:val="fr-FR"/>
        </w:rPr>
        <w:t>Conférence des Parties</w:t>
      </w:r>
      <w:r w:rsidR="009E17B6" w:rsidRPr="00C22F75">
        <w:rPr>
          <w:kern w:val="22"/>
          <w:szCs w:val="22"/>
          <w:lang w:val="fr-FR"/>
        </w:rPr>
        <w:t xml:space="preserve"> </w:t>
      </w:r>
      <w:r w:rsidR="00C22F75" w:rsidRPr="00C22F75">
        <w:rPr>
          <w:kern w:val="22"/>
          <w:szCs w:val="22"/>
          <w:lang w:val="fr-FR"/>
        </w:rPr>
        <w:t>à la</w:t>
      </w:r>
      <w:r w:rsidR="009E17B6" w:rsidRPr="00C22F75">
        <w:rPr>
          <w:kern w:val="22"/>
          <w:szCs w:val="22"/>
          <w:lang w:val="fr-FR"/>
        </w:rPr>
        <w:t xml:space="preserve"> Convention </w:t>
      </w:r>
      <w:r w:rsidR="00C22F75" w:rsidRPr="00C22F75">
        <w:rPr>
          <w:kern w:val="22"/>
          <w:szCs w:val="22"/>
          <w:lang w:val="fr-FR"/>
        </w:rPr>
        <w:t>sur la diversité biologique</w:t>
      </w:r>
      <w:r w:rsidR="00C22F75">
        <w:rPr>
          <w:kern w:val="22"/>
          <w:szCs w:val="22"/>
          <w:lang w:val="fr-FR"/>
        </w:rPr>
        <w:t xml:space="preserve"> de prendre en compte les élé</w:t>
      </w:r>
      <w:r w:rsidR="009E17B6" w:rsidRPr="00C22F75">
        <w:rPr>
          <w:kern w:val="22"/>
          <w:szCs w:val="22"/>
          <w:lang w:val="fr-FR"/>
        </w:rPr>
        <w:t xml:space="preserve">ments </w:t>
      </w:r>
      <w:r w:rsidR="00C22F75">
        <w:rPr>
          <w:kern w:val="22"/>
          <w:szCs w:val="22"/>
          <w:lang w:val="fr-FR"/>
        </w:rPr>
        <w:t>d’avis du Traité dans le cadre quadriennal des priorités de programme  pour le Fonds mondial pour l’environnement</w:t>
      </w:r>
      <w:r w:rsidR="009E17B6" w:rsidRPr="00C22F75">
        <w:rPr>
          <w:kern w:val="22"/>
          <w:szCs w:val="22"/>
          <w:lang w:val="fr-FR"/>
        </w:rPr>
        <w:t xml:space="preserve">. </w:t>
      </w:r>
      <w:r w:rsidRPr="004A1416">
        <w:rPr>
          <w:kern w:val="22"/>
          <w:szCs w:val="22"/>
          <w:lang w:val="fr-FR"/>
        </w:rPr>
        <w:t>Il</w:t>
      </w:r>
      <w:r w:rsidR="009E17B6" w:rsidRPr="004A1416">
        <w:rPr>
          <w:kern w:val="22"/>
          <w:szCs w:val="22"/>
          <w:lang w:val="fr-FR"/>
        </w:rPr>
        <w:t xml:space="preserve"> </w:t>
      </w:r>
      <w:r w:rsidRPr="004A1416">
        <w:rPr>
          <w:kern w:val="22"/>
          <w:szCs w:val="22"/>
          <w:lang w:val="fr-FR"/>
        </w:rPr>
        <w:t xml:space="preserve">a pris </w:t>
      </w:r>
      <w:r w:rsidR="009E17B6" w:rsidRPr="004A1416">
        <w:rPr>
          <w:kern w:val="22"/>
          <w:szCs w:val="22"/>
          <w:lang w:val="fr-FR"/>
        </w:rPr>
        <w:t xml:space="preserve">note </w:t>
      </w:r>
      <w:r w:rsidRPr="004A1416">
        <w:rPr>
          <w:kern w:val="22"/>
          <w:szCs w:val="22"/>
          <w:lang w:val="fr-FR"/>
        </w:rPr>
        <w:t>de la dé</w:t>
      </w:r>
      <w:r w:rsidR="009E17B6" w:rsidRPr="004A1416">
        <w:rPr>
          <w:kern w:val="22"/>
          <w:szCs w:val="22"/>
          <w:lang w:val="fr-FR"/>
        </w:rPr>
        <w:t xml:space="preserve">cision </w:t>
      </w:r>
      <w:r w:rsidRPr="004A1416">
        <w:rPr>
          <w:kern w:val="22"/>
          <w:szCs w:val="22"/>
          <w:lang w:val="fr-FR"/>
        </w:rPr>
        <w:t>prise par la</w:t>
      </w:r>
      <w:r w:rsidR="009E17B6" w:rsidRPr="004A1416">
        <w:rPr>
          <w:kern w:val="22"/>
          <w:szCs w:val="22"/>
          <w:lang w:val="fr-FR"/>
        </w:rPr>
        <w:t xml:space="preserve"> </w:t>
      </w:r>
      <w:r w:rsidR="00B64015" w:rsidRPr="004A1416">
        <w:rPr>
          <w:kern w:val="22"/>
          <w:szCs w:val="22"/>
          <w:lang w:val="fr-FR"/>
        </w:rPr>
        <w:t>Conférence des Parties</w:t>
      </w:r>
      <w:r w:rsidR="009E17B6" w:rsidRPr="004A1416">
        <w:rPr>
          <w:kern w:val="22"/>
          <w:szCs w:val="22"/>
          <w:lang w:val="fr-FR"/>
        </w:rPr>
        <w:t xml:space="preserve"> </w:t>
      </w:r>
      <w:r w:rsidR="00C22F75" w:rsidRPr="004A1416">
        <w:rPr>
          <w:kern w:val="22"/>
          <w:szCs w:val="22"/>
          <w:lang w:val="fr-FR"/>
        </w:rPr>
        <w:t>à la</w:t>
      </w:r>
      <w:r w:rsidR="009E17B6" w:rsidRPr="004A1416">
        <w:rPr>
          <w:kern w:val="22"/>
          <w:szCs w:val="22"/>
          <w:lang w:val="fr-FR"/>
        </w:rPr>
        <w:t xml:space="preserve"> Convention </w:t>
      </w:r>
      <w:r w:rsidR="00C22F75" w:rsidRPr="004A1416">
        <w:rPr>
          <w:kern w:val="22"/>
          <w:szCs w:val="22"/>
          <w:lang w:val="fr-FR"/>
        </w:rPr>
        <w:t>sur la diversité biologique</w:t>
      </w:r>
      <w:r w:rsidR="004A1416" w:rsidRPr="004A1416">
        <w:rPr>
          <w:kern w:val="22"/>
          <w:szCs w:val="22"/>
          <w:lang w:val="fr-FR"/>
        </w:rPr>
        <w:t xml:space="preserve"> </w:t>
      </w:r>
      <w:r w:rsidR="004A1416" w:rsidRPr="004A1416">
        <w:rPr>
          <w:lang w:val="fr-FR"/>
        </w:rPr>
        <w:t>de formuler des orientations stratégiques relatives à la huitième reconstitution des ressources de la Caisse du Fonds pour l'environnement mondial, conformément à l'invitation figurant dans la décision XIII/21 de la Conférence des Parties à la Convent</w:t>
      </w:r>
      <w:r w:rsidR="004A1416">
        <w:rPr>
          <w:lang w:val="fr-FR"/>
        </w:rPr>
        <w:t>ion sur la diversité biologique.</w:t>
      </w:r>
      <w:r w:rsidR="009E17B6" w:rsidRPr="004A1416">
        <w:rPr>
          <w:kern w:val="22"/>
          <w:szCs w:val="22"/>
          <w:lang w:val="fr-FR"/>
        </w:rPr>
        <w:t xml:space="preserve"> </w:t>
      </w:r>
      <w:r w:rsidR="004A1416">
        <w:rPr>
          <w:kern w:val="22"/>
          <w:szCs w:val="22"/>
          <w:lang w:val="fr-FR"/>
        </w:rPr>
        <w:t xml:space="preserve">Il a également reconnu la possibilité dans le suivi du Plan stratégique </w:t>
      </w:r>
      <w:r w:rsidR="009E17B6" w:rsidRPr="004A1416">
        <w:rPr>
          <w:kern w:val="22"/>
          <w:szCs w:val="22"/>
          <w:lang w:val="fr-FR"/>
        </w:rPr>
        <w:t>2011-2020</w:t>
      </w:r>
      <w:r w:rsidR="004A1416" w:rsidRPr="004A1416">
        <w:rPr>
          <w:kern w:val="22"/>
          <w:szCs w:val="22"/>
          <w:lang w:val="fr-FR"/>
        </w:rPr>
        <w:t xml:space="preserve"> pour la diversité biologique de ren</w:t>
      </w:r>
      <w:r w:rsidR="004A1416">
        <w:rPr>
          <w:kern w:val="22"/>
          <w:szCs w:val="22"/>
          <w:lang w:val="fr-FR"/>
        </w:rPr>
        <w:t>forcer la cohé</w:t>
      </w:r>
      <w:r w:rsidR="009E17B6" w:rsidRPr="004A1416">
        <w:rPr>
          <w:kern w:val="22"/>
          <w:szCs w:val="22"/>
          <w:lang w:val="fr-FR"/>
        </w:rPr>
        <w:t xml:space="preserve">rence </w:t>
      </w:r>
      <w:r w:rsidR="004A1416">
        <w:rPr>
          <w:kern w:val="22"/>
          <w:szCs w:val="22"/>
          <w:lang w:val="fr-FR"/>
        </w:rPr>
        <w:t xml:space="preserve">et la </w:t>
      </w:r>
      <w:r w:rsidR="009E17B6" w:rsidRPr="004A1416">
        <w:rPr>
          <w:kern w:val="22"/>
          <w:szCs w:val="22"/>
          <w:lang w:val="fr-FR"/>
        </w:rPr>
        <w:t>coop</w:t>
      </w:r>
      <w:r w:rsidR="004A1416">
        <w:rPr>
          <w:kern w:val="22"/>
          <w:szCs w:val="22"/>
          <w:lang w:val="fr-FR"/>
        </w:rPr>
        <w:t>é</w:t>
      </w:r>
      <w:r w:rsidR="009E17B6" w:rsidRPr="004A1416">
        <w:rPr>
          <w:kern w:val="22"/>
          <w:szCs w:val="22"/>
          <w:lang w:val="fr-FR"/>
        </w:rPr>
        <w:t xml:space="preserve">ration </w:t>
      </w:r>
      <w:r w:rsidR="004A1416">
        <w:rPr>
          <w:kern w:val="22"/>
          <w:szCs w:val="22"/>
          <w:lang w:val="fr-FR"/>
        </w:rPr>
        <w:t>entre le traité international et la</w:t>
      </w:r>
      <w:r w:rsidR="009E17B6" w:rsidRPr="004A1416">
        <w:rPr>
          <w:kern w:val="22"/>
          <w:szCs w:val="22"/>
          <w:lang w:val="fr-FR"/>
        </w:rPr>
        <w:t xml:space="preserve"> Convention. </w:t>
      </w:r>
      <w:r w:rsidRPr="004A1416">
        <w:rPr>
          <w:kern w:val="22"/>
          <w:szCs w:val="22"/>
          <w:lang w:val="fr-FR"/>
        </w:rPr>
        <w:t>En outre</w:t>
      </w:r>
      <w:r w:rsidR="009E17B6" w:rsidRPr="004A1416">
        <w:rPr>
          <w:kern w:val="22"/>
          <w:szCs w:val="22"/>
          <w:lang w:val="fr-FR"/>
        </w:rPr>
        <w:t>,</w:t>
      </w:r>
      <w:r w:rsidR="004A1416" w:rsidRPr="004A1416">
        <w:rPr>
          <w:kern w:val="22"/>
          <w:szCs w:val="22"/>
          <w:lang w:val="fr-FR"/>
        </w:rPr>
        <w:t xml:space="preserve"> il a demandé au Secrétaire de</w:t>
      </w:r>
      <w:r w:rsidR="009E17B6" w:rsidRPr="004A1416">
        <w:rPr>
          <w:kern w:val="22"/>
          <w:szCs w:val="22"/>
          <w:lang w:val="fr-FR"/>
        </w:rPr>
        <w:t xml:space="preserve"> continue</w:t>
      </w:r>
      <w:r w:rsidR="004A1416" w:rsidRPr="004A1416">
        <w:rPr>
          <w:kern w:val="22"/>
          <w:szCs w:val="22"/>
          <w:lang w:val="fr-FR"/>
        </w:rPr>
        <w:t>r</w:t>
      </w:r>
      <w:r w:rsidR="009E17B6" w:rsidRPr="004A1416">
        <w:rPr>
          <w:kern w:val="22"/>
          <w:szCs w:val="22"/>
          <w:lang w:val="fr-FR"/>
        </w:rPr>
        <w:t xml:space="preserve"> </w:t>
      </w:r>
      <w:r w:rsidR="004A1416" w:rsidRPr="004A1416">
        <w:rPr>
          <w:kern w:val="22"/>
          <w:szCs w:val="22"/>
          <w:lang w:val="fr-FR"/>
        </w:rPr>
        <w:t>à collaborer avec le Secré</w:t>
      </w:r>
      <w:r w:rsidR="009E17B6" w:rsidRPr="004A1416">
        <w:rPr>
          <w:kern w:val="22"/>
          <w:szCs w:val="22"/>
          <w:lang w:val="fr-FR"/>
        </w:rPr>
        <w:t xml:space="preserve">tariat </w:t>
      </w:r>
      <w:r w:rsidR="004A1416" w:rsidRPr="004A1416">
        <w:rPr>
          <w:kern w:val="22"/>
          <w:szCs w:val="22"/>
          <w:lang w:val="fr-FR"/>
        </w:rPr>
        <w:t>de la</w:t>
      </w:r>
      <w:r w:rsidR="009E17B6" w:rsidRPr="004A1416">
        <w:rPr>
          <w:kern w:val="22"/>
          <w:szCs w:val="22"/>
          <w:lang w:val="fr-FR"/>
        </w:rPr>
        <w:t xml:space="preserve"> Convention </w:t>
      </w:r>
      <w:r w:rsidR="004A1416" w:rsidRPr="004A1416">
        <w:rPr>
          <w:kern w:val="22"/>
          <w:szCs w:val="22"/>
          <w:lang w:val="fr-FR"/>
        </w:rPr>
        <w:t xml:space="preserve">sur la diversité biologique et d’autres </w:t>
      </w:r>
      <w:r w:rsidR="004A1416">
        <w:rPr>
          <w:kern w:val="22"/>
          <w:szCs w:val="22"/>
          <w:lang w:val="fr-FR"/>
        </w:rPr>
        <w:t>p</w:t>
      </w:r>
      <w:r w:rsidR="004A1416" w:rsidRPr="004A1416">
        <w:rPr>
          <w:kern w:val="22"/>
          <w:szCs w:val="22"/>
          <w:lang w:val="fr-FR"/>
        </w:rPr>
        <w:t xml:space="preserve">artenaires </w:t>
      </w:r>
      <w:r w:rsidR="009D601B">
        <w:rPr>
          <w:kern w:val="22"/>
          <w:szCs w:val="22"/>
          <w:lang w:val="fr-FR"/>
        </w:rPr>
        <w:t>pertinents</w:t>
      </w:r>
      <w:r w:rsidR="009E17B6" w:rsidRPr="004A1416">
        <w:rPr>
          <w:kern w:val="22"/>
          <w:szCs w:val="22"/>
          <w:lang w:val="fr-FR"/>
        </w:rPr>
        <w:t xml:space="preserve">, </w:t>
      </w:r>
      <w:r w:rsidR="009D601B">
        <w:rPr>
          <w:kern w:val="22"/>
          <w:szCs w:val="22"/>
          <w:lang w:val="fr-FR"/>
        </w:rPr>
        <w:t>dans d’autres domaines</w:t>
      </w:r>
      <w:r w:rsidR="009E17B6" w:rsidRPr="004A1416">
        <w:rPr>
          <w:kern w:val="22"/>
          <w:szCs w:val="22"/>
          <w:lang w:val="fr-FR"/>
        </w:rPr>
        <w:t xml:space="preserve">, </w:t>
      </w:r>
      <w:r w:rsidR="009D601B">
        <w:rPr>
          <w:kern w:val="22"/>
          <w:szCs w:val="22"/>
          <w:lang w:val="fr-FR"/>
        </w:rPr>
        <w:t xml:space="preserve">y compris l’information sur la séquence génétique, l’accès </w:t>
      </w:r>
      <w:r w:rsidR="000521C8">
        <w:rPr>
          <w:kern w:val="22"/>
          <w:szCs w:val="22"/>
          <w:lang w:val="fr-FR"/>
        </w:rPr>
        <w:t>et</w:t>
      </w:r>
      <w:r w:rsidR="009D601B">
        <w:rPr>
          <w:kern w:val="22"/>
          <w:szCs w:val="22"/>
          <w:lang w:val="fr-FR"/>
        </w:rPr>
        <w:t xml:space="preserve"> le partage des avantages</w:t>
      </w:r>
      <w:r w:rsidR="009E17B6" w:rsidRPr="004A1416">
        <w:rPr>
          <w:kern w:val="22"/>
          <w:szCs w:val="22"/>
          <w:lang w:val="fr-FR"/>
        </w:rPr>
        <w:t xml:space="preserve">, </w:t>
      </w:r>
      <w:r w:rsidR="009D601B">
        <w:rPr>
          <w:kern w:val="22"/>
          <w:szCs w:val="22"/>
          <w:lang w:val="fr-FR"/>
        </w:rPr>
        <w:t>l’article 8 j) de la</w:t>
      </w:r>
      <w:r w:rsidR="009E17B6" w:rsidRPr="004A1416">
        <w:rPr>
          <w:kern w:val="22"/>
          <w:szCs w:val="22"/>
          <w:lang w:val="fr-FR"/>
        </w:rPr>
        <w:t xml:space="preserve"> Convention</w:t>
      </w:r>
      <w:r w:rsidR="009D601B">
        <w:rPr>
          <w:kern w:val="22"/>
          <w:szCs w:val="22"/>
          <w:lang w:val="fr-FR"/>
        </w:rPr>
        <w:t xml:space="preserve"> et l’a</w:t>
      </w:r>
      <w:r w:rsidR="009E17B6" w:rsidRPr="004A1416">
        <w:rPr>
          <w:kern w:val="22"/>
          <w:szCs w:val="22"/>
          <w:lang w:val="fr-FR"/>
        </w:rPr>
        <w:t xml:space="preserve">rticle 10 </w:t>
      </w:r>
      <w:r w:rsidR="009D601B">
        <w:rPr>
          <w:kern w:val="22"/>
          <w:szCs w:val="22"/>
          <w:lang w:val="fr-FR"/>
        </w:rPr>
        <w:t>du P</w:t>
      </w:r>
      <w:r w:rsidR="009E17B6" w:rsidRPr="004A1416">
        <w:rPr>
          <w:kern w:val="22"/>
          <w:szCs w:val="22"/>
          <w:lang w:val="fr-FR"/>
        </w:rPr>
        <w:t>rotocol</w:t>
      </w:r>
      <w:r w:rsidR="009D601B">
        <w:rPr>
          <w:kern w:val="22"/>
          <w:szCs w:val="22"/>
          <w:lang w:val="fr-FR"/>
        </w:rPr>
        <w:t>e de Nagoya</w:t>
      </w:r>
      <w:r w:rsidR="009E17B6" w:rsidRPr="004A1416">
        <w:rPr>
          <w:kern w:val="22"/>
          <w:szCs w:val="22"/>
          <w:lang w:val="fr-FR"/>
        </w:rPr>
        <w:t>.</w:t>
      </w:r>
    </w:p>
    <w:p w:rsidR="009E17B6" w:rsidRPr="00457E42" w:rsidRDefault="005006DC" w:rsidP="009E17B6">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3465EF">
        <w:rPr>
          <w:kern w:val="22"/>
          <w:szCs w:val="22"/>
          <w:lang w:val="fr-FR"/>
        </w:rPr>
        <w:t>Dans la ré</w:t>
      </w:r>
      <w:r w:rsidR="009E17B6" w:rsidRPr="003465EF">
        <w:rPr>
          <w:kern w:val="22"/>
          <w:szCs w:val="22"/>
          <w:lang w:val="fr-FR"/>
        </w:rPr>
        <w:t xml:space="preserve">solution 12/2017, </w:t>
      </w:r>
      <w:r w:rsidRPr="003465EF">
        <w:rPr>
          <w:kern w:val="22"/>
          <w:szCs w:val="22"/>
          <w:lang w:val="fr-FR"/>
        </w:rPr>
        <w:t xml:space="preserve">l’Organe directeur a prié son Secrétaire </w:t>
      </w:r>
      <w:r w:rsidR="003465EF" w:rsidRPr="003465EF">
        <w:rPr>
          <w:lang w:val="fr-FR"/>
        </w:rPr>
        <w:t>de poursuivre, de renforcer encore et d'étendre la collaboration avec le Secrétariat de la Convention sur la diversité biologique, l'Initiative de renforcement des capacités en matière d'accès et de partage des avantages et d'autres organisations axées sur le renforcement des capacités, afin d'aider les Parties contractantes à mettre en œuvre le</w:t>
      </w:r>
      <w:r w:rsidR="003465EF">
        <w:rPr>
          <w:lang w:val="fr-FR"/>
        </w:rPr>
        <w:t>s instruments</w:t>
      </w:r>
      <w:r w:rsidR="003465EF" w:rsidRPr="003465EF">
        <w:rPr>
          <w:lang w:val="fr-FR"/>
        </w:rPr>
        <w:t xml:space="preserve"> de faço</w:t>
      </w:r>
      <w:r w:rsidR="003465EF">
        <w:rPr>
          <w:lang w:val="fr-FR"/>
        </w:rPr>
        <w:t>n harmonieuse et complémentaire</w:t>
      </w:r>
      <w:r w:rsidR="009E17B6" w:rsidRPr="003465EF">
        <w:rPr>
          <w:kern w:val="22"/>
          <w:szCs w:val="22"/>
          <w:lang w:val="fr-FR"/>
        </w:rPr>
        <w:t xml:space="preserve">. </w:t>
      </w:r>
      <w:r w:rsidR="003465EF" w:rsidRPr="003465EF">
        <w:rPr>
          <w:kern w:val="22"/>
          <w:szCs w:val="22"/>
          <w:lang w:val="fr-FR"/>
        </w:rPr>
        <w:t xml:space="preserve">Dans la même </w:t>
      </w:r>
      <w:r w:rsidR="003465EF">
        <w:rPr>
          <w:kern w:val="22"/>
          <w:szCs w:val="22"/>
          <w:lang w:val="fr-FR"/>
        </w:rPr>
        <w:t>ré</w:t>
      </w:r>
      <w:r w:rsidR="003465EF" w:rsidRPr="003465EF">
        <w:rPr>
          <w:kern w:val="22"/>
          <w:szCs w:val="22"/>
          <w:lang w:val="fr-FR"/>
        </w:rPr>
        <w:t xml:space="preserve">solution, l’Organe directeur a demandé </w:t>
      </w:r>
      <w:r w:rsidR="003465EF" w:rsidRPr="003465EF">
        <w:rPr>
          <w:lang w:val="fr-FR"/>
        </w:rPr>
        <w:t xml:space="preserve">Secrétaire de continuer à participer </w:t>
      </w:r>
      <w:r w:rsidR="003465EF">
        <w:rPr>
          <w:lang w:val="fr-FR"/>
        </w:rPr>
        <w:t>activement aux activités pertinentes du groupe de liaison des conventions relatives à la diversité biologique</w:t>
      </w:r>
      <w:r w:rsidR="009E17B6" w:rsidRPr="003465EF">
        <w:rPr>
          <w:kern w:val="22"/>
          <w:szCs w:val="22"/>
          <w:lang w:val="fr-FR"/>
        </w:rPr>
        <w:t xml:space="preserve"> </w:t>
      </w:r>
      <w:r w:rsidR="003465EF">
        <w:rPr>
          <w:kern w:val="22"/>
          <w:szCs w:val="22"/>
          <w:lang w:val="fr-FR"/>
        </w:rPr>
        <w:t xml:space="preserve">et prié </w:t>
      </w:r>
      <w:r w:rsidR="000521C8">
        <w:rPr>
          <w:lang w:val="fr-FR"/>
        </w:rPr>
        <w:t>les Parties contractantes de</w:t>
      </w:r>
      <w:r w:rsidR="003465EF" w:rsidRPr="003465EF">
        <w:rPr>
          <w:lang w:val="fr-FR"/>
        </w:rPr>
        <w:t xml:space="preserve"> prendre des mesures visant à renforcer les synergies dans l'application des conventions relatives à la biodiversité ou dans la participation aux activités y relatives, afin de favoriser la cohérence des politiques, d'améliorer l'efficacité et de renforcer la coordination et la coopération à tous les niveaux</w:t>
      </w:r>
      <w:r w:rsidR="009E17B6" w:rsidRPr="003465EF">
        <w:rPr>
          <w:kern w:val="22"/>
          <w:szCs w:val="22"/>
          <w:lang w:val="fr-FR"/>
        </w:rPr>
        <w:t xml:space="preserve">. </w:t>
      </w:r>
      <w:r w:rsidR="00457E42" w:rsidRPr="00457E42">
        <w:rPr>
          <w:kern w:val="22"/>
          <w:szCs w:val="22"/>
          <w:lang w:val="fr-FR"/>
        </w:rPr>
        <w:t>Il a également invité les organisations international</w:t>
      </w:r>
      <w:r w:rsidR="00457E42">
        <w:rPr>
          <w:kern w:val="22"/>
          <w:szCs w:val="22"/>
          <w:lang w:val="fr-FR"/>
        </w:rPr>
        <w:t>e</w:t>
      </w:r>
      <w:r w:rsidR="00457E42" w:rsidRPr="00457E42">
        <w:rPr>
          <w:kern w:val="22"/>
          <w:szCs w:val="22"/>
          <w:lang w:val="fr-FR"/>
        </w:rPr>
        <w:t xml:space="preserve">s et les donateurs à fournir des ressources financières pour appuyer les efforts qui </w:t>
      </w:r>
      <w:r w:rsidR="009E17B6" w:rsidRPr="00457E42">
        <w:rPr>
          <w:kern w:val="22"/>
          <w:szCs w:val="22"/>
          <w:lang w:val="fr-FR"/>
        </w:rPr>
        <w:t>encourage</w:t>
      </w:r>
      <w:r w:rsidR="00457E42" w:rsidRPr="00457E42">
        <w:rPr>
          <w:kern w:val="22"/>
          <w:szCs w:val="22"/>
          <w:lang w:val="fr-FR"/>
        </w:rPr>
        <w:t>nt les</w:t>
      </w:r>
      <w:r w:rsidR="009E17B6" w:rsidRPr="00457E42">
        <w:rPr>
          <w:kern w:val="22"/>
          <w:szCs w:val="22"/>
          <w:lang w:val="fr-FR"/>
        </w:rPr>
        <w:t xml:space="preserve"> synergies </w:t>
      </w:r>
      <w:r w:rsidR="00457E42">
        <w:rPr>
          <w:kern w:val="22"/>
          <w:szCs w:val="22"/>
          <w:lang w:val="fr-FR"/>
        </w:rPr>
        <w:t>en matière d’élaboration de politiques et le respect des</w:t>
      </w:r>
      <w:r w:rsidR="009E17B6" w:rsidRPr="00457E42">
        <w:rPr>
          <w:kern w:val="22"/>
          <w:szCs w:val="22"/>
          <w:lang w:val="fr-FR"/>
        </w:rPr>
        <w:t xml:space="preserve"> obligations </w:t>
      </w:r>
      <w:r w:rsidR="00457E42">
        <w:rPr>
          <w:kern w:val="22"/>
          <w:szCs w:val="22"/>
          <w:lang w:val="fr-FR"/>
        </w:rPr>
        <w:t>en vertu des conventions relatives à la diversité biologique</w:t>
      </w:r>
      <w:r w:rsidR="009E17B6" w:rsidRPr="00457E42">
        <w:rPr>
          <w:kern w:val="22"/>
          <w:szCs w:val="22"/>
          <w:lang w:val="fr-FR"/>
        </w:rPr>
        <w:t>.</w:t>
      </w:r>
    </w:p>
    <w:p w:rsidR="004F34CE" w:rsidRPr="00302E2E" w:rsidRDefault="00691E77" w:rsidP="00883A1C">
      <w:pPr>
        <w:pStyle w:val="Para1"/>
        <w:suppressLineNumbers/>
        <w:tabs>
          <w:tab w:val="clear" w:pos="720"/>
        </w:tabs>
        <w:suppressAutoHyphens/>
        <w:kinsoku w:val="0"/>
        <w:overflowPunct w:val="0"/>
        <w:autoSpaceDE w:val="0"/>
        <w:autoSpaceDN w:val="0"/>
        <w:adjustRightInd w:val="0"/>
        <w:snapToGrid w:val="0"/>
        <w:spacing w:line="238" w:lineRule="auto"/>
        <w:rPr>
          <w:b/>
          <w:snapToGrid/>
          <w:kern w:val="22"/>
          <w:szCs w:val="22"/>
          <w:lang w:val="fr-FR"/>
        </w:rPr>
      </w:pPr>
      <w:r w:rsidRPr="00302E2E">
        <w:rPr>
          <w:rFonts w:eastAsia="Calibri"/>
          <w:kern w:val="22"/>
          <w:szCs w:val="22"/>
          <w:lang w:val="fr-FR"/>
        </w:rPr>
        <w:t>A</w:t>
      </w:r>
      <w:r w:rsidR="00302E2E" w:rsidRPr="00302E2E">
        <w:rPr>
          <w:rFonts w:eastAsia="Calibri"/>
          <w:kern w:val="22"/>
          <w:szCs w:val="22"/>
          <w:lang w:val="fr-FR"/>
        </w:rPr>
        <w:t xml:space="preserve"> sa</w:t>
      </w:r>
      <w:r w:rsidRPr="00302E2E">
        <w:rPr>
          <w:rFonts w:eastAsia="Calibri"/>
          <w:kern w:val="22"/>
          <w:szCs w:val="22"/>
          <w:lang w:val="fr-FR"/>
        </w:rPr>
        <w:t xml:space="preserve"> 53</w:t>
      </w:r>
      <w:r w:rsidR="00302E2E" w:rsidRPr="00302E2E">
        <w:rPr>
          <w:rFonts w:eastAsia="Calibri"/>
          <w:kern w:val="22"/>
          <w:szCs w:val="22"/>
          <w:vertAlign w:val="superscript"/>
          <w:lang w:val="fr-FR"/>
        </w:rPr>
        <w:t>e</w:t>
      </w:r>
      <w:r w:rsidRPr="00302E2E">
        <w:rPr>
          <w:rFonts w:eastAsia="Calibri"/>
          <w:kern w:val="22"/>
          <w:szCs w:val="22"/>
          <w:lang w:val="fr-FR"/>
        </w:rPr>
        <w:t xml:space="preserve"> </w:t>
      </w:r>
      <w:r w:rsidR="00302E2E" w:rsidRPr="00302E2E">
        <w:rPr>
          <w:rFonts w:eastAsia="Calibri"/>
          <w:kern w:val="22"/>
          <w:szCs w:val="22"/>
          <w:lang w:val="fr-FR"/>
        </w:rPr>
        <w:t>réunion</w:t>
      </w:r>
      <w:r w:rsidR="00C147E0" w:rsidRPr="00302E2E">
        <w:rPr>
          <w:rFonts w:eastAsia="Calibri"/>
          <w:kern w:val="22"/>
          <w:szCs w:val="22"/>
          <w:lang w:val="fr-FR"/>
        </w:rPr>
        <w:t xml:space="preserve"> (</w:t>
      </w:r>
      <w:r w:rsidR="008A7969">
        <w:rPr>
          <w:kern w:val="18"/>
          <w:szCs w:val="22"/>
          <w:lang w:val="fr-FR"/>
        </w:rPr>
        <w:t>Gland, Suisse, 29 mai</w:t>
      </w:r>
      <w:r w:rsidR="00C147E0" w:rsidRPr="00302E2E">
        <w:rPr>
          <w:kern w:val="18"/>
          <w:szCs w:val="22"/>
          <w:lang w:val="fr-FR"/>
        </w:rPr>
        <w:t xml:space="preserve">–2 </w:t>
      </w:r>
      <w:r w:rsidR="00302E2E" w:rsidRPr="00302E2E">
        <w:rPr>
          <w:kern w:val="18"/>
          <w:szCs w:val="22"/>
          <w:lang w:val="fr-FR"/>
        </w:rPr>
        <w:t>juin</w:t>
      </w:r>
      <w:r w:rsidR="00C147E0" w:rsidRPr="00302E2E">
        <w:rPr>
          <w:kern w:val="18"/>
          <w:szCs w:val="22"/>
          <w:lang w:val="fr-FR"/>
        </w:rPr>
        <w:t xml:space="preserve"> 2017</w:t>
      </w:r>
      <w:r w:rsidR="00C147E0" w:rsidRPr="00302E2E">
        <w:rPr>
          <w:rFonts w:eastAsia="Calibri"/>
          <w:kern w:val="22"/>
          <w:szCs w:val="22"/>
          <w:lang w:val="fr-FR"/>
        </w:rPr>
        <w:t>)</w:t>
      </w:r>
      <w:r w:rsidRPr="00302E2E">
        <w:rPr>
          <w:rFonts w:eastAsia="Calibri"/>
          <w:kern w:val="22"/>
          <w:szCs w:val="22"/>
          <w:lang w:val="fr-FR"/>
        </w:rPr>
        <w:t xml:space="preserve">, </w:t>
      </w:r>
      <w:r w:rsidR="00302E2E" w:rsidRPr="00302E2E">
        <w:rPr>
          <w:rFonts w:eastAsia="Calibri"/>
          <w:kern w:val="22"/>
          <w:szCs w:val="22"/>
          <w:lang w:val="fr-FR"/>
        </w:rPr>
        <w:t>le Comité permanent de la Conv</w:t>
      </w:r>
      <w:r w:rsidRPr="00302E2E">
        <w:rPr>
          <w:kern w:val="22"/>
          <w:szCs w:val="22"/>
          <w:lang w:val="fr-FR"/>
        </w:rPr>
        <w:t xml:space="preserve">ention </w:t>
      </w:r>
      <w:r w:rsidR="00302E2E" w:rsidRPr="00302E2E">
        <w:rPr>
          <w:kern w:val="22"/>
          <w:szCs w:val="22"/>
          <w:lang w:val="fr-FR"/>
        </w:rPr>
        <w:t>de Ramsar a demandé que le Secrétariat de la C</w:t>
      </w:r>
      <w:r w:rsidRPr="00302E2E">
        <w:rPr>
          <w:kern w:val="22"/>
          <w:szCs w:val="22"/>
          <w:lang w:val="fr-FR"/>
        </w:rPr>
        <w:t xml:space="preserve">onvention </w:t>
      </w:r>
      <w:r w:rsidR="00302E2E">
        <w:rPr>
          <w:kern w:val="22"/>
          <w:szCs w:val="22"/>
          <w:lang w:val="fr-FR"/>
        </w:rPr>
        <w:t>examine les mesures figurant dans les</w:t>
      </w:r>
      <w:r w:rsidRPr="00302E2E">
        <w:rPr>
          <w:kern w:val="22"/>
          <w:szCs w:val="22"/>
          <w:lang w:val="fr-FR"/>
        </w:rPr>
        <w:t xml:space="preserve"> </w:t>
      </w:r>
      <w:r w:rsidR="0056218C" w:rsidRPr="00302E2E">
        <w:rPr>
          <w:bCs/>
          <w:kern w:val="22"/>
          <w:szCs w:val="22"/>
          <w:lang w:val="fr-FR"/>
        </w:rPr>
        <w:t>a</w:t>
      </w:r>
      <w:r w:rsidRPr="00302E2E">
        <w:rPr>
          <w:kern w:val="22"/>
          <w:szCs w:val="22"/>
          <w:lang w:val="fr-FR"/>
        </w:rPr>
        <w:t xml:space="preserve">nnexes I </w:t>
      </w:r>
      <w:r w:rsidR="00302E2E">
        <w:rPr>
          <w:kern w:val="22"/>
          <w:szCs w:val="22"/>
          <w:lang w:val="fr-FR"/>
        </w:rPr>
        <w:t xml:space="preserve">et </w:t>
      </w:r>
      <w:r w:rsidRPr="00302E2E">
        <w:rPr>
          <w:kern w:val="22"/>
          <w:szCs w:val="22"/>
          <w:lang w:val="fr-FR"/>
        </w:rPr>
        <w:t xml:space="preserve">II </w:t>
      </w:r>
      <w:r w:rsidR="00302E2E">
        <w:rPr>
          <w:kern w:val="22"/>
          <w:szCs w:val="22"/>
          <w:lang w:val="fr-FR"/>
        </w:rPr>
        <w:t>de la déc</w:t>
      </w:r>
      <w:r w:rsidRPr="00302E2E">
        <w:rPr>
          <w:kern w:val="22"/>
          <w:szCs w:val="22"/>
          <w:lang w:val="fr-FR"/>
        </w:rPr>
        <w:t xml:space="preserve">ision XIII/24 </w:t>
      </w:r>
      <w:r w:rsidR="00302E2E">
        <w:rPr>
          <w:kern w:val="22"/>
          <w:szCs w:val="22"/>
          <w:lang w:val="fr-FR"/>
        </w:rPr>
        <w:t>de la</w:t>
      </w:r>
      <w:r w:rsidR="00031441" w:rsidRPr="00302E2E">
        <w:rPr>
          <w:bCs/>
          <w:kern w:val="22"/>
          <w:szCs w:val="22"/>
          <w:lang w:val="fr-FR"/>
        </w:rPr>
        <w:t xml:space="preserve"> Conférence des Parties</w:t>
      </w:r>
      <w:r w:rsidR="00A30A96" w:rsidRPr="00302E2E">
        <w:rPr>
          <w:bCs/>
          <w:kern w:val="22"/>
          <w:szCs w:val="22"/>
          <w:lang w:val="fr-FR"/>
        </w:rPr>
        <w:t xml:space="preserve"> </w:t>
      </w:r>
      <w:r w:rsidR="00302E2E">
        <w:rPr>
          <w:bCs/>
          <w:kern w:val="22"/>
          <w:szCs w:val="22"/>
          <w:lang w:val="fr-FR"/>
        </w:rPr>
        <w:t>à la</w:t>
      </w:r>
      <w:r w:rsidR="00A30A96" w:rsidRPr="00302E2E">
        <w:rPr>
          <w:bCs/>
          <w:kern w:val="22"/>
          <w:szCs w:val="22"/>
          <w:lang w:val="fr-FR"/>
        </w:rPr>
        <w:t xml:space="preserve"> </w:t>
      </w:r>
      <w:r w:rsidR="0056218C" w:rsidRPr="00302E2E">
        <w:rPr>
          <w:bCs/>
          <w:kern w:val="22"/>
          <w:szCs w:val="22"/>
          <w:lang w:val="fr-FR"/>
        </w:rPr>
        <w:t xml:space="preserve">Convention </w:t>
      </w:r>
      <w:r w:rsidR="00302E2E">
        <w:rPr>
          <w:bCs/>
          <w:kern w:val="22"/>
          <w:szCs w:val="22"/>
          <w:lang w:val="fr-FR"/>
        </w:rPr>
        <w:t xml:space="preserve">sur la diversité biologique qui étaient pertinentes pour la </w:t>
      </w:r>
      <w:r w:rsidRPr="00302E2E">
        <w:rPr>
          <w:kern w:val="22"/>
          <w:szCs w:val="22"/>
          <w:lang w:val="fr-FR"/>
        </w:rPr>
        <w:t>Convention</w:t>
      </w:r>
      <w:r w:rsidR="00302E2E">
        <w:rPr>
          <w:kern w:val="22"/>
          <w:szCs w:val="22"/>
          <w:lang w:val="fr-FR"/>
        </w:rPr>
        <w:t xml:space="preserve"> de Ramsar et fournisse des </w:t>
      </w:r>
      <w:r w:rsidR="002E1729">
        <w:rPr>
          <w:kern w:val="22"/>
          <w:szCs w:val="22"/>
          <w:lang w:val="fr-FR"/>
        </w:rPr>
        <w:t>apports</w:t>
      </w:r>
      <w:r w:rsidR="00302E2E">
        <w:rPr>
          <w:kern w:val="22"/>
          <w:szCs w:val="22"/>
          <w:lang w:val="fr-FR"/>
        </w:rPr>
        <w:t xml:space="preserve"> au</w:t>
      </w:r>
      <w:r w:rsidR="002E1729">
        <w:rPr>
          <w:kern w:val="22"/>
          <w:szCs w:val="22"/>
          <w:lang w:val="fr-FR"/>
        </w:rPr>
        <w:t xml:space="preserve"> processus de synergie selon qu’il convient</w:t>
      </w:r>
      <w:r w:rsidRPr="00302E2E">
        <w:rPr>
          <w:kern w:val="22"/>
          <w:szCs w:val="22"/>
          <w:lang w:val="fr-FR"/>
        </w:rPr>
        <w:t xml:space="preserve"> (</w:t>
      </w:r>
      <w:r w:rsidR="00302E2E">
        <w:rPr>
          <w:kern w:val="22"/>
          <w:szCs w:val="22"/>
          <w:lang w:val="fr-FR"/>
        </w:rPr>
        <w:t>voir la dé</w:t>
      </w:r>
      <w:r w:rsidRPr="00302E2E">
        <w:rPr>
          <w:kern w:val="22"/>
          <w:szCs w:val="22"/>
          <w:lang w:val="fr-FR"/>
        </w:rPr>
        <w:t>cision SC53-19)</w:t>
      </w:r>
      <w:r w:rsidR="00121CC8" w:rsidRPr="00883A1C">
        <w:rPr>
          <w:rStyle w:val="Appelnotedebasdep"/>
          <w:kern w:val="22"/>
          <w:sz w:val="22"/>
          <w:szCs w:val="22"/>
          <w:u w:val="none"/>
          <w:vertAlign w:val="superscript"/>
        </w:rPr>
        <w:footnoteReference w:id="3"/>
      </w:r>
      <w:r w:rsidR="00302E2E">
        <w:rPr>
          <w:kern w:val="22"/>
          <w:szCs w:val="22"/>
          <w:lang w:val="fr-FR"/>
        </w:rPr>
        <w:t>.</w:t>
      </w:r>
    </w:p>
    <w:p w:rsidR="00706F41" w:rsidRPr="008B0ED2" w:rsidRDefault="00706F41" w:rsidP="00883A1C">
      <w:pPr>
        <w:numPr>
          <w:ilvl w:val="0"/>
          <w:numId w:val="36"/>
        </w:numPr>
        <w:suppressLineNumbers/>
        <w:tabs>
          <w:tab w:val="left" w:pos="720"/>
        </w:tabs>
        <w:suppressAutoHyphens/>
        <w:kinsoku w:val="0"/>
        <w:overflowPunct w:val="0"/>
        <w:autoSpaceDE w:val="0"/>
        <w:autoSpaceDN w:val="0"/>
        <w:adjustRightInd w:val="0"/>
        <w:snapToGrid w:val="0"/>
        <w:spacing w:before="120" w:after="120" w:line="238" w:lineRule="auto"/>
        <w:jc w:val="center"/>
        <w:outlineLvl w:val="1"/>
        <w:rPr>
          <w:b/>
          <w:kern w:val="22"/>
          <w:szCs w:val="22"/>
          <w:lang w:val="fr-FR"/>
        </w:rPr>
      </w:pPr>
      <w:r w:rsidRPr="008B0ED2">
        <w:rPr>
          <w:b/>
          <w:kern w:val="22"/>
          <w:szCs w:val="22"/>
          <w:lang w:val="fr-FR"/>
        </w:rPr>
        <w:t>Group</w:t>
      </w:r>
      <w:r w:rsidR="00302E2E">
        <w:rPr>
          <w:b/>
          <w:kern w:val="22"/>
          <w:szCs w:val="22"/>
          <w:lang w:val="fr-FR"/>
        </w:rPr>
        <w:t>e de liaison des</w:t>
      </w:r>
      <w:r w:rsidRPr="008B0ED2">
        <w:rPr>
          <w:b/>
          <w:kern w:val="22"/>
          <w:szCs w:val="22"/>
          <w:lang w:val="fr-FR"/>
        </w:rPr>
        <w:t xml:space="preserve"> </w:t>
      </w:r>
      <w:r w:rsidR="00302E2E">
        <w:rPr>
          <w:b/>
          <w:kern w:val="22"/>
          <w:szCs w:val="22"/>
          <w:lang w:val="fr-FR"/>
        </w:rPr>
        <w:t>c</w:t>
      </w:r>
      <w:r w:rsidR="008B0ED2" w:rsidRPr="008B0ED2">
        <w:rPr>
          <w:b/>
          <w:kern w:val="22"/>
          <w:szCs w:val="22"/>
          <w:lang w:val="fr-FR"/>
        </w:rPr>
        <w:t>onventions relatives à la diversité biologique</w:t>
      </w:r>
    </w:p>
    <w:p w:rsidR="009B7CA5" w:rsidRPr="00546475" w:rsidRDefault="00B011D3"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B011D3">
        <w:rPr>
          <w:kern w:val="22"/>
          <w:szCs w:val="22"/>
          <w:lang w:val="fr-FR"/>
        </w:rPr>
        <w:t>Une réunion du groupe de liaison des c</w:t>
      </w:r>
      <w:r w:rsidR="008B0ED2" w:rsidRPr="00B011D3">
        <w:rPr>
          <w:kern w:val="22"/>
          <w:szCs w:val="22"/>
          <w:lang w:val="fr-FR"/>
        </w:rPr>
        <w:t>onventions relatives à la diversité biologique</w:t>
      </w:r>
      <w:r w:rsidR="009B7CA5" w:rsidRPr="00B011D3">
        <w:rPr>
          <w:kern w:val="22"/>
          <w:szCs w:val="22"/>
          <w:lang w:val="fr-FR"/>
        </w:rPr>
        <w:t xml:space="preserve"> </w:t>
      </w:r>
      <w:r>
        <w:rPr>
          <w:kern w:val="22"/>
          <w:szCs w:val="22"/>
          <w:lang w:val="fr-FR"/>
        </w:rPr>
        <w:t>s’est tenue le 25 janvier 2017 par vidé</w:t>
      </w:r>
      <w:r w:rsidR="009B7CA5" w:rsidRPr="00B011D3">
        <w:rPr>
          <w:kern w:val="22"/>
          <w:szCs w:val="22"/>
          <w:lang w:val="fr-FR"/>
        </w:rPr>
        <w:t>oco</w:t>
      </w:r>
      <w:r>
        <w:rPr>
          <w:kern w:val="22"/>
          <w:szCs w:val="22"/>
          <w:lang w:val="fr-FR"/>
        </w:rPr>
        <w:t>nfé</w:t>
      </w:r>
      <w:r w:rsidR="00C76087" w:rsidRPr="00B011D3">
        <w:rPr>
          <w:kern w:val="22"/>
          <w:szCs w:val="22"/>
          <w:lang w:val="fr-FR"/>
        </w:rPr>
        <w:t xml:space="preserve">rence </w:t>
      </w:r>
      <w:r>
        <w:rPr>
          <w:kern w:val="22"/>
          <w:szCs w:val="22"/>
          <w:lang w:val="fr-FR"/>
        </w:rPr>
        <w:t xml:space="preserve">pour faire rapport sur les résultats de la </w:t>
      </w:r>
      <w:r w:rsidR="00F750A3" w:rsidRPr="00B011D3">
        <w:rPr>
          <w:kern w:val="22"/>
          <w:szCs w:val="22"/>
          <w:lang w:val="fr-FR"/>
        </w:rPr>
        <w:t>treizième réunion</w:t>
      </w:r>
      <w:r w:rsidR="0056218C" w:rsidRPr="00B011D3">
        <w:rPr>
          <w:kern w:val="22"/>
          <w:szCs w:val="22"/>
          <w:lang w:val="fr-FR"/>
        </w:rPr>
        <w:t xml:space="preserve"> </w:t>
      </w:r>
      <w:r>
        <w:rPr>
          <w:kern w:val="22"/>
          <w:szCs w:val="22"/>
          <w:lang w:val="fr-FR"/>
        </w:rPr>
        <w:t xml:space="preserve">de la </w:t>
      </w:r>
      <w:r w:rsidR="00031441" w:rsidRPr="00B011D3">
        <w:rPr>
          <w:kern w:val="22"/>
          <w:szCs w:val="22"/>
          <w:lang w:val="fr-FR"/>
        </w:rPr>
        <w:t>Conférence des Parties</w:t>
      </w:r>
      <w:r w:rsidR="004369D2" w:rsidRPr="00B011D3">
        <w:rPr>
          <w:kern w:val="22"/>
          <w:szCs w:val="22"/>
          <w:lang w:val="fr-FR"/>
        </w:rPr>
        <w:t xml:space="preserve"> </w:t>
      </w:r>
      <w:r>
        <w:rPr>
          <w:kern w:val="22"/>
          <w:szCs w:val="22"/>
          <w:lang w:val="fr-FR"/>
        </w:rPr>
        <w:t>et les faits nouveaux récents relevant d’autres</w:t>
      </w:r>
      <w:r w:rsidR="004369D2" w:rsidRPr="00B011D3">
        <w:rPr>
          <w:kern w:val="22"/>
          <w:szCs w:val="22"/>
          <w:lang w:val="fr-FR"/>
        </w:rPr>
        <w:t xml:space="preserve"> conventions</w:t>
      </w:r>
      <w:r w:rsidR="009B7CA5" w:rsidRPr="00B011D3">
        <w:rPr>
          <w:kern w:val="22"/>
          <w:szCs w:val="22"/>
          <w:lang w:val="fr-FR"/>
        </w:rPr>
        <w:t xml:space="preserve">. </w:t>
      </w:r>
      <w:r>
        <w:rPr>
          <w:kern w:val="22"/>
          <w:szCs w:val="22"/>
          <w:lang w:val="fr-FR"/>
        </w:rPr>
        <w:t>A cette réunion, le groupe s’est intéressé de près à la dé</w:t>
      </w:r>
      <w:r w:rsidR="009B7CA5" w:rsidRPr="00B011D3">
        <w:rPr>
          <w:kern w:val="22"/>
          <w:szCs w:val="22"/>
          <w:lang w:val="fr-FR"/>
        </w:rPr>
        <w:t>cision XIII/24</w:t>
      </w:r>
      <w:r>
        <w:rPr>
          <w:kern w:val="22"/>
          <w:szCs w:val="22"/>
          <w:lang w:val="fr-FR"/>
        </w:rPr>
        <w:t xml:space="preserve"> dont il a débattu en détail</w:t>
      </w:r>
      <w:r w:rsidR="009B7CA5" w:rsidRPr="00B011D3">
        <w:rPr>
          <w:kern w:val="22"/>
          <w:szCs w:val="22"/>
          <w:lang w:val="fr-FR"/>
        </w:rPr>
        <w:t xml:space="preserve">. </w:t>
      </w:r>
      <w:r w:rsidRPr="00546475">
        <w:rPr>
          <w:kern w:val="22"/>
          <w:szCs w:val="22"/>
          <w:lang w:val="fr-FR"/>
        </w:rPr>
        <w:t xml:space="preserve">La douzième réunion ordinaire </w:t>
      </w:r>
      <w:r w:rsidR="00546475" w:rsidRPr="00546475">
        <w:rPr>
          <w:kern w:val="22"/>
          <w:szCs w:val="22"/>
          <w:lang w:val="fr-FR"/>
        </w:rPr>
        <w:t>du</w:t>
      </w:r>
      <w:r w:rsidR="008F26E1" w:rsidRPr="00546475">
        <w:rPr>
          <w:kern w:val="22"/>
          <w:szCs w:val="22"/>
          <w:lang w:val="fr-FR"/>
        </w:rPr>
        <w:t xml:space="preserve"> </w:t>
      </w:r>
      <w:r w:rsidRPr="00546475">
        <w:rPr>
          <w:kern w:val="22"/>
          <w:szCs w:val="22"/>
          <w:lang w:val="fr-FR"/>
        </w:rPr>
        <w:t>Groupe de liai</w:t>
      </w:r>
      <w:r w:rsidR="00546475" w:rsidRPr="00546475">
        <w:rPr>
          <w:kern w:val="22"/>
          <w:szCs w:val="22"/>
          <w:lang w:val="fr-FR"/>
        </w:rPr>
        <w:t>s</w:t>
      </w:r>
      <w:r w:rsidRPr="00546475">
        <w:rPr>
          <w:kern w:val="22"/>
          <w:szCs w:val="22"/>
          <w:lang w:val="fr-FR"/>
        </w:rPr>
        <w:t>on des</w:t>
      </w:r>
      <w:r w:rsidR="008F26E1" w:rsidRPr="00546475">
        <w:rPr>
          <w:kern w:val="22"/>
          <w:szCs w:val="22"/>
          <w:lang w:val="fr-FR"/>
        </w:rPr>
        <w:t xml:space="preserve"> </w:t>
      </w:r>
      <w:r w:rsidR="00546475" w:rsidRPr="00546475">
        <w:rPr>
          <w:kern w:val="22"/>
          <w:szCs w:val="22"/>
          <w:lang w:val="fr-FR"/>
        </w:rPr>
        <w:t>c</w:t>
      </w:r>
      <w:r w:rsidR="008B0ED2" w:rsidRPr="00546475">
        <w:rPr>
          <w:kern w:val="22"/>
          <w:szCs w:val="22"/>
          <w:lang w:val="fr-FR"/>
        </w:rPr>
        <w:t>onventions relatives à la diversité biologique</w:t>
      </w:r>
      <w:r w:rsidR="009B7CA5" w:rsidRPr="00546475">
        <w:rPr>
          <w:kern w:val="22"/>
          <w:szCs w:val="22"/>
          <w:lang w:val="fr-FR"/>
        </w:rPr>
        <w:t xml:space="preserve"> </w:t>
      </w:r>
      <w:r w:rsidR="00546475">
        <w:rPr>
          <w:kern w:val="22"/>
          <w:szCs w:val="22"/>
          <w:lang w:val="fr-FR"/>
        </w:rPr>
        <w:t>a eu lieu le 28 septembre 2017 à Rome au siège de l’Organisation des Nations Unies pour et l’agri</w:t>
      </w:r>
      <w:r w:rsidR="009B7CA5" w:rsidRPr="00546475">
        <w:rPr>
          <w:kern w:val="22"/>
          <w:szCs w:val="22"/>
          <w:lang w:val="fr-FR"/>
        </w:rPr>
        <w:t xml:space="preserve">culture. </w:t>
      </w:r>
      <w:r w:rsidR="00546475">
        <w:rPr>
          <w:kern w:val="22"/>
          <w:szCs w:val="22"/>
          <w:lang w:val="fr-FR"/>
        </w:rPr>
        <w:t>Elle a été présidée par le</w:t>
      </w:r>
      <w:r w:rsidR="00546475" w:rsidRPr="00546475">
        <w:rPr>
          <w:kern w:val="22"/>
          <w:szCs w:val="22"/>
          <w:lang w:val="fr-FR"/>
        </w:rPr>
        <w:t xml:space="preserve"> Secré</w:t>
      </w:r>
      <w:r w:rsidR="009B7CA5" w:rsidRPr="00546475">
        <w:rPr>
          <w:kern w:val="22"/>
          <w:szCs w:val="22"/>
          <w:lang w:val="fr-FR"/>
        </w:rPr>
        <w:t>ta</w:t>
      </w:r>
      <w:r w:rsidR="00546475" w:rsidRPr="00546475">
        <w:rPr>
          <w:kern w:val="22"/>
          <w:szCs w:val="22"/>
          <w:lang w:val="fr-FR"/>
        </w:rPr>
        <w:t>ire de l’</w:t>
      </w:r>
      <w:r w:rsidR="009B7CA5" w:rsidRPr="00546475">
        <w:rPr>
          <w:kern w:val="22"/>
          <w:szCs w:val="22"/>
          <w:lang w:val="fr-FR"/>
        </w:rPr>
        <w:t>ITPGRFA</w:t>
      </w:r>
      <w:r w:rsidR="00C76087" w:rsidRPr="00546475">
        <w:rPr>
          <w:kern w:val="22"/>
          <w:szCs w:val="22"/>
          <w:lang w:val="fr-FR"/>
        </w:rPr>
        <w:t>.</w:t>
      </w:r>
      <w:r w:rsidR="004369D2" w:rsidRPr="00546475">
        <w:rPr>
          <w:kern w:val="22"/>
          <w:szCs w:val="22"/>
          <w:lang w:val="fr-FR"/>
        </w:rPr>
        <w:t xml:space="preserve"> </w:t>
      </w:r>
      <w:r w:rsidR="00546475" w:rsidRPr="00546475">
        <w:rPr>
          <w:kern w:val="22"/>
          <w:szCs w:val="22"/>
          <w:lang w:val="fr-FR"/>
        </w:rPr>
        <w:t>Les participants ont également examiné entre autres questions la dé</w:t>
      </w:r>
      <w:r w:rsidR="004369D2" w:rsidRPr="00546475">
        <w:rPr>
          <w:kern w:val="22"/>
          <w:szCs w:val="22"/>
          <w:lang w:val="fr-FR"/>
        </w:rPr>
        <w:t>cision XIII/24</w:t>
      </w:r>
      <w:r w:rsidR="009902B9" w:rsidRPr="00546475">
        <w:rPr>
          <w:kern w:val="22"/>
          <w:szCs w:val="22"/>
          <w:lang w:val="fr-FR"/>
        </w:rPr>
        <w:t xml:space="preserve"> a</w:t>
      </w:r>
      <w:r w:rsidR="00546475" w:rsidRPr="00546475">
        <w:rPr>
          <w:kern w:val="22"/>
          <w:szCs w:val="22"/>
          <w:lang w:val="fr-FR"/>
        </w:rPr>
        <w:t>insi que la</w:t>
      </w:r>
      <w:r w:rsidR="009902B9" w:rsidRPr="00546475">
        <w:rPr>
          <w:kern w:val="22"/>
          <w:szCs w:val="22"/>
          <w:lang w:val="fr-FR"/>
        </w:rPr>
        <w:t xml:space="preserve"> contribution </w:t>
      </w:r>
      <w:r w:rsidR="00546475" w:rsidRPr="00546475">
        <w:rPr>
          <w:kern w:val="22"/>
          <w:szCs w:val="22"/>
          <w:lang w:val="fr-FR"/>
        </w:rPr>
        <w:t>des</w:t>
      </w:r>
      <w:r w:rsidR="009902B9" w:rsidRPr="00546475">
        <w:rPr>
          <w:kern w:val="22"/>
          <w:szCs w:val="22"/>
          <w:lang w:val="fr-FR"/>
        </w:rPr>
        <w:t xml:space="preserve"> conventions </w:t>
      </w:r>
      <w:r w:rsidR="00546475">
        <w:rPr>
          <w:kern w:val="22"/>
          <w:szCs w:val="22"/>
          <w:lang w:val="fr-FR"/>
        </w:rPr>
        <w:t xml:space="preserve">au processus d’élaboration du cadre </w:t>
      </w:r>
      <w:r w:rsidR="002E1729">
        <w:rPr>
          <w:kern w:val="22"/>
          <w:szCs w:val="22"/>
          <w:lang w:val="fr-FR"/>
        </w:rPr>
        <w:t>d’</w:t>
      </w:r>
      <w:r w:rsidR="00546475">
        <w:rPr>
          <w:kern w:val="22"/>
          <w:szCs w:val="22"/>
          <w:lang w:val="fr-FR"/>
        </w:rPr>
        <w:t>après 2020 pour la diversité biologique</w:t>
      </w:r>
      <w:r w:rsidR="004369D2" w:rsidRPr="00546475">
        <w:rPr>
          <w:kern w:val="22"/>
          <w:szCs w:val="22"/>
          <w:lang w:val="fr-FR"/>
        </w:rPr>
        <w:t xml:space="preserve">. </w:t>
      </w:r>
      <w:r w:rsidR="00546475">
        <w:rPr>
          <w:kern w:val="22"/>
          <w:szCs w:val="22"/>
          <w:lang w:val="fr-FR"/>
        </w:rPr>
        <w:t>Le groupe de liaison a souligné la plus grande qualité et le nombre accru de</w:t>
      </w:r>
      <w:r w:rsidR="007C0289">
        <w:rPr>
          <w:kern w:val="22"/>
          <w:szCs w:val="22"/>
          <w:lang w:val="fr-FR"/>
        </w:rPr>
        <w:t>s</w:t>
      </w:r>
      <w:r w:rsidR="00546475">
        <w:rPr>
          <w:kern w:val="22"/>
          <w:szCs w:val="22"/>
          <w:lang w:val="fr-FR"/>
        </w:rPr>
        <w:t xml:space="preserve"> mesures pratiques prises par les secré</w:t>
      </w:r>
      <w:r w:rsidR="004369D2" w:rsidRPr="00546475">
        <w:rPr>
          <w:kern w:val="22"/>
          <w:szCs w:val="22"/>
          <w:lang w:val="fr-FR"/>
        </w:rPr>
        <w:t xml:space="preserve">tariats </w:t>
      </w:r>
      <w:r w:rsidR="00546475">
        <w:rPr>
          <w:kern w:val="22"/>
          <w:szCs w:val="22"/>
          <w:lang w:val="fr-FR"/>
        </w:rPr>
        <w:t>pour renforcer la coopé</w:t>
      </w:r>
      <w:r w:rsidR="004369D2" w:rsidRPr="00546475">
        <w:rPr>
          <w:kern w:val="22"/>
          <w:szCs w:val="22"/>
          <w:lang w:val="fr-FR"/>
        </w:rPr>
        <w:t xml:space="preserve">ration </w:t>
      </w:r>
      <w:r w:rsidR="00546475">
        <w:rPr>
          <w:kern w:val="22"/>
          <w:szCs w:val="22"/>
          <w:lang w:val="fr-FR"/>
        </w:rPr>
        <w:t xml:space="preserve">et les </w:t>
      </w:r>
      <w:r w:rsidR="004369D2" w:rsidRPr="00546475">
        <w:rPr>
          <w:kern w:val="22"/>
          <w:szCs w:val="22"/>
          <w:lang w:val="fr-FR"/>
        </w:rPr>
        <w:t xml:space="preserve">synergies </w:t>
      </w:r>
      <w:r w:rsidR="007C0289">
        <w:rPr>
          <w:kern w:val="22"/>
          <w:szCs w:val="22"/>
          <w:lang w:val="fr-FR"/>
        </w:rPr>
        <w:t>ces dernières années</w:t>
      </w:r>
      <w:r w:rsidR="004369D2" w:rsidRPr="00546475">
        <w:rPr>
          <w:kern w:val="22"/>
          <w:szCs w:val="22"/>
          <w:lang w:val="fr-FR"/>
        </w:rPr>
        <w:t xml:space="preserve">, </w:t>
      </w:r>
      <w:r w:rsidR="007C0289">
        <w:rPr>
          <w:kern w:val="22"/>
          <w:szCs w:val="22"/>
          <w:lang w:val="fr-FR"/>
        </w:rPr>
        <w:t>accueillant en outre avec satisfaction les possibilités additionnelles de coopérer</w:t>
      </w:r>
      <w:r w:rsidR="005F4284" w:rsidRPr="00546475">
        <w:rPr>
          <w:kern w:val="22"/>
          <w:szCs w:val="22"/>
          <w:lang w:val="fr-FR"/>
        </w:rPr>
        <w:t>,</w:t>
      </w:r>
      <w:r w:rsidR="004369D2" w:rsidRPr="00546475">
        <w:rPr>
          <w:kern w:val="22"/>
          <w:szCs w:val="22"/>
          <w:lang w:val="fr-FR"/>
        </w:rPr>
        <w:t xml:space="preserve"> </w:t>
      </w:r>
      <w:r w:rsidR="007C0289">
        <w:rPr>
          <w:kern w:val="22"/>
          <w:szCs w:val="22"/>
          <w:lang w:val="fr-FR"/>
        </w:rPr>
        <w:t xml:space="preserve">y compris au moyen d’une coopération bilatérale et de plans et </w:t>
      </w:r>
      <w:r w:rsidR="002E1729">
        <w:rPr>
          <w:kern w:val="22"/>
          <w:szCs w:val="22"/>
          <w:lang w:val="fr-FR"/>
        </w:rPr>
        <w:t>d’</w:t>
      </w:r>
      <w:r w:rsidR="007C0289">
        <w:rPr>
          <w:kern w:val="22"/>
          <w:szCs w:val="22"/>
          <w:lang w:val="fr-FR"/>
        </w:rPr>
        <w:t>activités de travail conjoints</w:t>
      </w:r>
      <w:r w:rsidR="004369D2" w:rsidRPr="00546475">
        <w:rPr>
          <w:kern w:val="22"/>
          <w:szCs w:val="22"/>
          <w:lang w:val="fr-FR"/>
        </w:rPr>
        <w:t>.</w:t>
      </w:r>
    </w:p>
    <w:p w:rsidR="00E85989" w:rsidRPr="0028568C" w:rsidRDefault="0041087D"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41087D">
        <w:rPr>
          <w:kern w:val="22"/>
          <w:szCs w:val="22"/>
          <w:lang w:val="fr-FR"/>
        </w:rPr>
        <w:lastRenderedPageBreak/>
        <w:t>Le 29 septembre</w:t>
      </w:r>
      <w:r w:rsidR="009B7CA5" w:rsidRPr="0041087D">
        <w:rPr>
          <w:kern w:val="22"/>
          <w:szCs w:val="22"/>
          <w:lang w:val="fr-FR"/>
        </w:rPr>
        <w:t xml:space="preserve"> </w:t>
      </w:r>
      <w:r w:rsidR="009902B9" w:rsidRPr="0041087D">
        <w:rPr>
          <w:kern w:val="22"/>
          <w:szCs w:val="22"/>
          <w:lang w:val="fr-FR"/>
        </w:rPr>
        <w:t>2017</w:t>
      </w:r>
      <w:r w:rsidR="009B7CA5" w:rsidRPr="0041087D">
        <w:rPr>
          <w:kern w:val="22"/>
          <w:szCs w:val="22"/>
          <w:lang w:val="fr-FR"/>
        </w:rPr>
        <w:t xml:space="preserve">, </w:t>
      </w:r>
      <w:r w:rsidRPr="0041087D">
        <w:rPr>
          <w:kern w:val="22"/>
          <w:szCs w:val="22"/>
          <w:lang w:val="fr-FR"/>
        </w:rPr>
        <w:t xml:space="preserve">le </w:t>
      </w:r>
      <w:r>
        <w:rPr>
          <w:kern w:val="22"/>
          <w:szCs w:val="22"/>
          <w:lang w:val="fr-FR"/>
        </w:rPr>
        <w:t>Secré</w:t>
      </w:r>
      <w:r w:rsidR="009B7CA5" w:rsidRPr="0041087D">
        <w:rPr>
          <w:kern w:val="22"/>
          <w:szCs w:val="22"/>
          <w:lang w:val="fr-FR"/>
        </w:rPr>
        <w:t xml:space="preserve">tariat </w:t>
      </w:r>
      <w:r>
        <w:rPr>
          <w:kern w:val="22"/>
          <w:szCs w:val="22"/>
          <w:lang w:val="fr-FR"/>
        </w:rPr>
        <w:t>a convoqué une réunion des membres du</w:t>
      </w:r>
      <w:r w:rsidR="009B7CA5" w:rsidRPr="0041087D">
        <w:rPr>
          <w:kern w:val="22"/>
          <w:szCs w:val="22"/>
          <w:lang w:val="fr-FR"/>
        </w:rPr>
        <w:t xml:space="preserve"> </w:t>
      </w:r>
      <w:r w:rsidR="00B011D3" w:rsidRPr="0041087D">
        <w:rPr>
          <w:kern w:val="22"/>
          <w:szCs w:val="22"/>
          <w:lang w:val="fr-FR"/>
        </w:rPr>
        <w:t>Groupe de liai</w:t>
      </w:r>
      <w:r w:rsidR="00546475" w:rsidRPr="0041087D">
        <w:rPr>
          <w:kern w:val="22"/>
          <w:szCs w:val="22"/>
          <w:lang w:val="fr-FR"/>
        </w:rPr>
        <w:t>s</w:t>
      </w:r>
      <w:r w:rsidR="00B011D3" w:rsidRPr="0041087D">
        <w:rPr>
          <w:kern w:val="22"/>
          <w:szCs w:val="22"/>
          <w:lang w:val="fr-FR"/>
        </w:rPr>
        <w:t>on des</w:t>
      </w:r>
      <w:r w:rsidR="009B7CA5" w:rsidRPr="0041087D">
        <w:rPr>
          <w:kern w:val="22"/>
          <w:szCs w:val="22"/>
          <w:lang w:val="fr-FR"/>
        </w:rPr>
        <w:t xml:space="preserve"> </w:t>
      </w:r>
      <w:r w:rsidR="002E1729">
        <w:rPr>
          <w:kern w:val="22"/>
          <w:szCs w:val="22"/>
          <w:lang w:val="fr-FR"/>
        </w:rPr>
        <w:t>c</w:t>
      </w:r>
      <w:r w:rsidR="008B0ED2" w:rsidRPr="0041087D">
        <w:rPr>
          <w:kern w:val="22"/>
          <w:szCs w:val="22"/>
          <w:lang w:val="fr-FR"/>
        </w:rPr>
        <w:t>onventions rela</w:t>
      </w:r>
      <w:r w:rsidR="00D074D0">
        <w:rPr>
          <w:kern w:val="22"/>
          <w:szCs w:val="22"/>
          <w:lang w:val="fr-FR"/>
        </w:rPr>
        <w:t>t</w:t>
      </w:r>
      <w:r w:rsidR="008B0ED2" w:rsidRPr="0041087D">
        <w:rPr>
          <w:kern w:val="22"/>
          <w:szCs w:val="22"/>
          <w:lang w:val="fr-FR"/>
        </w:rPr>
        <w:t>ives à la diversité biologique</w:t>
      </w:r>
      <w:r w:rsidR="009B7CA5" w:rsidRPr="0041087D">
        <w:rPr>
          <w:kern w:val="22"/>
          <w:szCs w:val="22"/>
          <w:lang w:val="fr-FR"/>
        </w:rPr>
        <w:t xml:space="preserve"> </w:t>
      </w:r>
      <w:r>
        <w:rPr>
          <w:kern w:val="22"/>
          <w:szCs w:val="22"/>
          <w:lang w:val="fr-FR"/>
        </w:rPr>
        <w:t>et des organis</w:t>
      </w:r>
      <w:r w:rsidR="009B7CA5" w:rsidRPr="0041087D">
        <w:rPr>
          <w:kern w:val="22"/>
          <w:szCs w:val="22"/>
          <w:lang w:val="fr-FR"/>
        </w:rPr>
        <w:t xml:space="preserve">ations </w:t>
      </w:r>
      <w:r>
        <w:rPr>
          <w:kern w:val="22"/>
          <w:szCs w:val="22"/>
          <w:lang w:val="fr-FR"/>
        </w:rPr>
        <w:t>qui assurent leurs secré</w:t>
      </w:r>
      <w:r w:rsidR="009B7CA5" w:rsidRPr="0041087D">
        <w:rPr>
          <w:kern w:val="22"/>
          <w:szCs w:val="22"/>
          <w:lang w:val="fr-FR"/>
        </w:rPr>
        <w:t xml:space="preserve">tariats. </w:t>
      </w:r>
      <w:r w:rsidR="002E1729">
        <w:rPr>
          <w:kern w:val="22"/>
          <w:szCs w:val="22"/>
          <w:lang w:val="fr-FR"/>
        </w:rPr>
        <w:t>Présidée par le</w:t>
      </w:r>
      <w:r w:rsidR="009B7CA5" w:rsidRPr="00D074D0">
        <w:rPr>
          <w:kern w:val="22"/>
          <w:szCs w:val="22"/>
          <w:lang w:val="fr-FR"/>
        </w:rPr>
        <w:t xml:space="preserve"> </w:t>
      </w:r>
      <w:r w:rsidR="00713136" w:rsidRPr="00D074D0">
        <w:rPr>
          <w:kern w:val="22"/>
          <w:szCs w:val="22"/>
          <w:lang w:val="fr-FR"/>
        </w:rPr>
        <w:t xml:space="preserve">Secrétaire </w:t>
      </w:r>
      <w:r w:rsidR="002E1729">
        <w:rPr>
          <w:kern w:val="22"/>
          <w:szCs w:val="22"/>
          <w:lang w:val="fr-FR"/>
        </w:rPr>
        <w:t>exécutif</w:t>
      </w:r>
      <w:r w:rsidRPr="00D074D0">
        <w:rPr>
          <w:kern w:val="22"/>
          <w:szCs w:val="22"/>
          <w:lang w:val="fr-FR"/>
        </w:rPr>
        <w:t>, les participants à cette réunion ont</w:t>
      </w:r>
      <w:r w:rsidR="009B7CA5" w:rsidRPr="00D074D0">
        <w:rPr>
          <w:kern w:val="22"/>
          <w:szCs w:val="22"/>
          <w:lang w:val="fr-FR"/>
        </w:rPr>
        <w:t xml:space="preserve"> </w:t>
      </w:r>
      <w:r w:rsidR="00D074D0">
        <w:rPr>
          <w:kern w:val="22"/>
          <w:szCs w:val="22"/>
          <w:lang w:val="fr-FR"/>
        </w:rPr>
        <w:t>examiné</w:t>
      </w:r>
      <w:r w:rsidRPr="00D074D0">
        <w:rPr>
          <w:kern w:val="22"/>
          <w:szCs w:val="22"/>
          <w:lang w:val="fr-FR"/>
        </w:rPr>
        <w:t xml:space="preserve"> </w:t>
      </w:r>
      <w:r w:rsidR="00D074D0" w:rsidRPr="00D074D0">
        <w:rPr>
          <w:kern w:val="22"/>
          <w:szCs w:val="22"/>
          <w:lang w:val="fr-FR"/>
        </w:rPr>
        <w:t xml:space="preserve">les possibilités de renforcer la </w:t>
      </w:r>
      <w:r w:rsidR="004369D2" w:rsidRPr="00D074D0">
        <w:rPr>
          <w:kern w:val="22"/>
          <w:szCs w:val="22"/>
          <w:lang w:val="fr-FR"/>
        </w:rPr>
        <w:t xml:space="preserve">coordination </w:t>
      </w:r>
      <w:r w:rsidR="00D074D0" w:rsidRPr="00D074D0">
        <w:rPr>
          <w:kern w:val="22"/>
          <w:szCs w:val="22"/>
          <w:lang w:val="fr-FR"/>
        </w:rPr>
        <w:t>et la</w:t>
      </w:r>
      <w:r w:rsidR="00D074D0">
        <w:rPr>
          <w:kern w:val="22"/>
          <w:szCs w:val="22"/>
          <w:lang w:val="fr-FR"/>
        </w:rPr>
        <w:t xml:space="preserve"> c</w:t>
      </w:r>
      <w:r w:rsidR="004369D2" w:rsidRPr="00D074D0">
        <w:rPr>
          <w:kern w:val="22"/>
          <w:szCs w:val="22"/>
          <w:lang w:val="fr-FR"/>
        </w:rPr>
        <w:t>oop</w:t>
      </w:r>
      <w:r w:rsidR="00D074D0">
        <w:rPr>
          <w:kern w:val="22"/>
          <w:szCs w:val="22"/>
          <w:lang w:val="fr-FR"/>
        </w:rPr>
        <w:t>é</w:t>
      </w:r>
      <w:r w:rsidR="004369D2" w:rsidRPr="00D074D0">
        <w:rPr>
          <w:kern w:val="22"/>
          <w:szCs w:val="22"/>
          <w:lang w:val="fr-FR"/>
        </w:rPr>
        <w:t xml:space="preserve">ration </w:t>
      </w:r>
      <w:proofErr w:type="spellStart"/>
      <w:r w:rsidR="00D074D0">
        <w:rPr>
          <w:kern w:val="22"/>
          <w:szCs w:val="22"/>
          <w:lang w:val="fr-FR"/>
        </w:rPr>
        <w:t>interinstitutions</w:t>
      </w:r>
      <w:proofErr w:type="spellEnd"/>
      <w:r w:rsidR="00D074D0">
        <w:rPr>
          <w:kern w:val="22"/>
          <w:szCs w:val="22"/>
          <w:lang w:val="fr-FR"/>
        </w:rPr>
        <w:t xml:space="preserve"> à l’appui de la biodiversité et des programmes de développement durable</w:t>
      </w:r>
      <w:r w:rsidR="004369D2" w:rsidRPr="00D074D0">
        <w:rPr>
          <w:kern w:val="22"/>
          <w:szCs w:val="22"/>
          <w:lang w:val="fr-FR"/>
        </w:rPr>
        <w:t xml:space="preserve">, </w:t>
      </w:r>
      <w:r w:rsidR="00D074D0">
        <w:rPr>
          <w:kern w:val="22"/>
          <w:szCs w:val="22"/>
          <w:lang w:val="fr-FR"/>
        </w:rPr>
        <w:t xml:space="preserve">en particulier </w:t>
      </w:r>
      <w:r w:rsidR="00951750">
        <w:rPr>
          <w:kern w:val="22"/>
          <w:szCs w:val="22"/>
          <w:lang w:val="fr-FR"/>
        </w:rPr>
        <w:t>l’application des</w:t>
      </w:r>
      <w:r w:rsidR="004369D2" w:rsidRPr="00D074D0">
        <w:rPr>
          <w:kern w:val="22"/>
          <w:szCs w:val="22"/>
          <w:lang w:val="fr-FR"/>
        </w:rPr>
        <w:t xml:space="preserve"> </w:t>
      </w:r>
      <w:r w:rsidR="008B0ED2" w:rsidRPr="00D074D0">
        <w:rPr>
          <w:kern w:val="22"/>
          <w:szCs w:val="22"/>
          <w:lang w:val="fr-FR"/>
        </w:rPr>
        <w:t>conventions relatives à la diversité biologique</w:t>
      </w:r>
      <w:r w:rsidR="00951750">
        <w:rPr>
          <w:kern w:val="22"/>
          <w:szCs w:val="22"/>
          <w:lang w:val="fr-FR"/>
        </w:rPr>
        <w:t xml:space="preserve"> au</w:t>
      </w:r>
      <w:r w:rsidR="004369D2" w:rsidRPr="00D074D0">
        <w:rPr>
          <w:kern w:val="22"/>
          <w:szCs w:val="22"/>
          <w:lang w:val="fr-FR"/>
        </w:rPr>
        <w:t xml:space="preserve"> </w:t>
      </w:r>
      <w:r w:rsidR="00951750">
        <w:rPr>
          <w:kern w:val="22"/>
          <w:szCs w:val="22"/>
          <w:lang w:val="fr-FR"/>
        </w:rPr>
        <w:t xml:space="preserve">niveau </w:t>
      </w:r>
      <w:r w:rsidR="004369D2" w:rsidRPr="00D074D0">
        <w:rPr>
          <w:kern w:val="22"/>
          <w:szCs w:val="22"/>
          <w:lang w:val="fr-FR"/>
        </w:rPr>
        <w:t xml:space="preserve">national, </w:t>
      </w:r>
      <w:r w:rsidR="00951750">
        <w:rPr>
          <w:kern w:val="22"/>
          <w:szCs w:val="22"/>
          <w:lang w:val="fr-FR"/>
        </w:rPr>
        <w:t>au moyen d’activités qui se renforcent mutuellement, y compris le renforcement des capacités</w:t>
      </w:r>
      <w:r w:rsidR="004369D2" w:rsidRPr="00D074D0">
        <w:rPr>
          <w:kern w:val="22"/>
          <w:szCs w:val="22"/>
          <w:lang w:val="fr-FR"/>
        </w:rPr>
        <w:t xml:space="preserve">. </w:t>
      </w:r>
      <w:r w:rsidR="00951750" w:rsidRPr="00951750">
        <w:rPr>
          <w:kern w:val="22"/>
          <w:szCs w:val="22"/>
          <w:lang w:val="fr-FR"/>
        </w:rPr>
        <w:t xml:space="preserve">Cette question a été examinée dans le contexte de la mise en </w:t>
      </w:r>
      <w:proofErr w:type="spellStart"/>
      <w:r w:rsidR="00951750" w:rsidRPr="00951750">
        <w:rPr>
          <w:kern w:val="22"/>
          <w:szCs w:val="22"/>
          <w:lang w:val="fr-FR"/>
        </w:rPr>
        <w:t>oeuvre</w:t>
      </w:r>
      <w:proofErr w:type="spellEnd"/>
      <w:r w:rsidR="00951750" w:rsidRPr="00951750">
        <w:rPr>
          <w:kern w:val="22"/>
          <w:szCs w:val="22"/>
          <w:lang w:val="fr-FR"/>
        </w:rPr>
        <w:t xml:space="preserve"> du Plan stratégique 2011-2</w:t>
      </w:r>
      <w:r w:rsidR="009902B9" w:rsidRPr="00951750">
        <w:rPr>
          <w:kern w:val="22"/>
          <w:szCs w:val="22"/>
          <w:lang w:val="fr-FR"/>
        </w:rPr>
        <w:t xml:space="preserve">020 </w:t>
      </w:r>
      <w:r w:rsidR="00951750">
        <w:rPr>
          <w:kern w:val="22"/>
          <w:szCs w:val="22"/>
          <w:lang w:val="fr-FR"/>
        </w:rPr>
        <w:t xml:space="preserve">pour la diversité biologique et </w:t>
      </w:r>
      <w:r w:rsidR="008A7969">
        <w:rPr>
          <w:kern w:val="22"/>
          <w:szCs w:val="22"/>
          <w:lang w:val="fr-FR"/>
        </w:rPr>
        <w:t xml:space="preserve">de </w:t>
      </w:r>
      <w:r w:rsidR="00951750">
        <w:rPr>
          <w:kern w:val="22"/>
          <w:szCs w:val="22"/>
          <w:lang w:val="fr-FR"/>
        </w:rPr>
        <w:t>son suivi.</w:t>
      </w:r>
      <w:r w:rsidR="009902B9" w:rsidRPr="00951750">
        <w:rPr>
          <w:kern w:val="22"/>
          <w:szCs w:val="22"/>
          <w:lang w:val="fr-FR"/>
        </w:rPr>
        <w:t xml:space="preserve"> </w:t>
      </w:r>
      <w:r w:rsidR="00951750" w:rsidRPr="00951750">
        <w:rPr>
          <w:kern w:val="22"/>
          <w:szCs w:val="22"/>
          <w:lang w:val="fr-FR"/>
        </w:rPr>
        <w:t>Il a été convenu qu’une réunion similaire à laquelle prendrait part un plus grand groupe d’organis</w:t>
      </w:r>
      <w:r w:rsidR="008A7969">
        <w:rPr>
          <w:kern w:val="22"/>
          <w:szCs w:val="22"/>
          <w:lang w:val="fr-FR"/>
        </w:rPr>
        <w:t>ations</w:t>
      </w:r>
      <w:r w:rsidR="009902B9" w:rsidRPr="00951750">
        <w:rPr>
          <w:kern w:val="22"/>
          <w:szCs w:val="22"/>
          <w:lang w:val="fr-FR"/>
        </w:rPr>
        <w:t xml:space="preserve"> </w:t>
      </w:r>
      <w:r w:rsidR="00951750">
        <w:rPr>
          <w:kern w:val="22"/>
          <w:szCs w:val="22"/>
          <w:lang w:val="fr-FR"/>
        </w:rPr>
        <w:t xml:space="preserve">se tiendrait en 2018 </w:t>
      </w:r>
      <w:r w:rsidR="00DC45C0">
        <w:rPr>
          <w:kern w:val="22"/>
          <w:szCs w:val="22"/>
          <w:lang w:val="fr-FR"/>
        </w:rPr>
        <w:t>en combinaison avec la réunion du Groupe de liaison</w:t>
      </w:r>
      <w:r w:rsidR="009902B9" w:rsidRPr="00951750">
        <w:rPr>
          <w:kern w:val="22"/>
          <w:szCs w:val="22"/>
          <w:lang w:val="fr-FR"/>
        </w:rPr>
        <w:t xml:space="preserve">. </w:t>
      </w:r>
      <w:r w:rsidR="00DC45C0" w:rsidRPr="00DC45C0">
        <w:rPr>
          <w:kern w:val="22"/>
          <w:szCs w:val="22"/>
          <w:lang w:val="fr-FR"/>
        </w:rPr>
        <w:t>En tant que suivi d’une des recomma</w:t>
      </w:r>
      <w:r w:rsidR="004369D2" w:rsidRPr="00DC45C0">
        <w:rPr>
          <w:kern w:val="22"/>
          <w:szCs w:val="22"/>
          <w:lang w:val="fr-FR"/>
        </w:rPr>
        <w:t>ndations</w:t>
      </w:r>
      <w:r w:rsidR="00DC45C0" w:rsidRPr="00DC45C0">
        <w:rPr>
          <w:kern w:val="22"/>
          <w:szCs w:val="22"/>
          <w:lang w:val="fr-FR"/>
        </w:rPr>
        <w:t xml:space="preserve"> de la réunion, le Secré</w:t>
      </w:r>
      <w:r w:rsidR="004369D2" w:rsidRPr="00DC45C0">
        <w:rPr>
          <w:kern w:val="22"/>
          <w:szCs w:val="22"/>
          <w:lang w:val="fr-FR"/>
        </w:rPr>
        <w:t xml:space="preserve">tariat </w:t>
      </w:r>
      <w:r w:rsidR="00DC45C0">
        <w:rPr>
          <w:kern w:val="22"/>
          <w:szCs w:val="22"/>
          <w:lang w:val="fr-FR"/>
        </w:rPr>
        <w:t xml:space="preserve">a mis en place un </w:t>
      </w:r>
      <w:r w:rsidR="00DC45C0" w:rsidRPr="00DC45C0">
        <w:rPr>
          <w:kern w:val="22"/>
          <w:szCs w:val="22"/>
          <w:lang w:val="fr-FR"/>
        </w:rPr>
        <w:t xml:space="preserve">système de consultation </w:t>
      </w:r>
      <w:r w:rsidR="00DC45C0">
        <w:rPr>
          <w:kern w:val="22"/>
          <w:szCs w:val="22"/>
          <w:lang w:val="fr-FR"/>
        </w:rPr>
        <w:t>permanent avec les coordonnateurs du renforcement des capacités des secrétariats des conventions relatives à la diversité biologique et des organisations i</w:t>
      </w:r>
      <w:r w:rsidR="004369D2" w:rsidRPr="00DC45C0">
        <w:rPr>
          <w:kern w:val="22"/>
          <w:szCs w:val="22"/>
          <w:lang w:val="fr-FR"/>
        </w:rPr>
        <w:t>nternational</w:t>
      </w:r>
      <w:r w:rsidR="00DC45C0">
        <w:rPr>
          <w:kern w:val="22"/>
          <w:szCs w:val="22"/>
          <w:lang w:val="fr-FR"/>
        </w:rPr>
        <w:t xml:space="preserve">es pertinentes pour </w:t>
      </w:r>
      <w:r w:rsidR="004369D2" w:rsidRPr="00DC45C0">
        <w:rPr>
          <w:kern w:val="22"/>
          <w:szCs w:val="22"/>
          <w:lang w:val="fr-FR"/>
        </w:rPr>
        <w:t xml:space="preserve"> </w:t>
      </w:r>
      <w:r w:rsidR="00DC45C0">
        <w:rPr>
          <w:kern w:val="22"/>
          <w:szCs w:val="22"/>
          <w:lang w:val="fr-FR"/>
        </w:rPr>
        <w:t>promouvoir l’application de la</w:t>
      </w:r>
      <w:r w:rsidR="004369D2" w:rsidRPr="00DC45C0">
        <w:rPr>
          <w:kern w:val="22"/>
          <w:szCs w:val="22"/>
          <w:lang w:val="fr-FR"/>
        </w:rPr>
        <w:t xml:space="preserve"> d</w:t>
      </w:r>
      <w:r w:rsidR="00DC45C0">
        <w:rPr>
          <w:kern w:val="22"/>
          <w:szCs w:val="22"/>
          <w:lang w:val="fr-FR"/>
        </w:rPr>
        <w:t>é</w:t>
      </w:r>
      <w:r w:rsidR="004369D2" w:rsidRPr="00DC45C0">
        <w:rPr>
          <w:kern w:val="22"/>
          <w:szCs w:val="22"/>
          <w:lang w:val="fr-FR"/>
        </w:rPr>
        <w:t>cision XIII/23.</w:t>
      </w:r>
      <w:r w:rsidR="009902B9" w:rsidRPr="00DC45C0">
        <w:rPr>
          <w:kern w:val="22"/>
          <w:szCs w:val="22"/>
          <w:lang w:val="fr-FR"/>
        </w:rPr>
        <w:t xml:space="preserve"> </w:t>
      </w:r>
      <w:r w:rsidR="0028568C" w:rsidRPr="0028568C">
        <w:rPr>
          <w:kern w:val="22"/>
          <w:szCs w:val="22"/>
          <w:lang w:val="fr-FR"/>
        </w:rPr>
        <w:t>On trouvera de plus amples</w:t>
      </w:r>
      <w:r w:rsidR="00AA3D4F" w:rsidRPr="0028568C">
        <w:rPr>
          <w:kern w:val="22"/>
          <w:szCs w:val="22"/>
          <w:lang w:val="fr-FR"/>
        </w:rPr>
        <w:t xml:space="preserve"> information</w:t>
      </w:r>
      <w:r w:rsidR="0028568C" w:rsidRPr="0028568C">
        <w:rPr>
          <w:kern w:val="22"/>
          <w:szCs w:val="22"/>
          <w:lang w:val="fr-FR"/>
        </w:rPr>
        <w:t xml:space="preserve">s sur cette </w:t>
      </w:r>
      <w:r w:rsidR="0028568C">
        <w:rPr>
          <w:kern w:val="22"/>
          <w:szCs w:val="22"/>
          <w:lang w:val="fr-FR"/>
        </w:rPr>
        <w:t>ré</w:t>
      </w:r>
      <w:r w:rsidR="0028568C" w:rsidRPr="0028568C">
        <w:rPr>
          <w:kern w:val="22"/>
          <w:szCs w:val="22"/>
          <w:lang w:val="fr-FR"/>
        </w:rPr>
        <w:t>union et celle</w:t>
      </w:r>
      <w:r w:rsidR="0028568C">
        <w:rPr>
          <w:kern w:val="22"/>
          <w:szCs w:val="22"/>
          <w:lang w:val="fr-FR"/>
        </w:rPr>
        <w:t xml:space="preserve"> du Groupe de liaison dans le document d’</w:t>
      </w:r>
      <w:r w:rsidR="00262DBC" w:rsidRPr="0028568C">
        <w:rPr>
          <w:kern w:val="22"/>
          <w:szCs w:val="22"/>
          <w:lang w:val="fr-FR"/>
        </w:rPr>
        <w:t>information</w:t>
      </w:r>
      <w:r w:rsidR="0028568C">
        <w:rPr>
          <w:kern w:val="22"/>
          <w:szCs w:val="22"/>
          <w:lang w:val="fr-FR"/>
        </w:rPr>
        <w:t xml:space="preserve"> </w:t>
      </w:r>
      <w:r w:rsidR="00AA3D4F" w:rsidRPr="0028568C">
        <w:rPr>
          <w:kern w:val="22"/>
          <w:szCs w:val="22"/>
          <w:lang w:val="fr-FR"/>
        </w:rPr>
        <w:t>CBD/SBI/2/INF/</w:t>
      </w:r>
      <w:r w:rsidR="004369D2" w:rsidRPr="0028568C">
        <w:rPr>
          <w:kern w:val="22"/>
          <w:szCs w:val="22"/>
          <w:lang w:val="fr-FR"/>
        </w:rPr>
        <w:t>12</w:t>
      </w:r>
      <w:r w:rsidR="00AA3D4F" w:rsidRPr="0028568C">
        <w:rPr>
          <w:kern w:val="22"/>
          <w:szCs w:val="22"/>
          <w:lang w:val="fr-FR"/>
        </w:rPr>
        <w:t>.</w:t>
      </w:r>
    </w:p>
    <w:p w:rsidR="00C76CD2" w:rsidRPr="00883A1C" w:rsidRDefault="00BB72B9" w:rsidP="00883A1C">
      <w:pPr>
        <w:keepNext/>
        <w:numPr>
          <w:ilvl w:val="0"/>
          <w:numId w:val="36"/>
        </w:numPr>
        <w:suppressLineNumbers/>
        <w:suppressAutoHyphens/>
        <w:kinsoku w:val="0"/>
        <w:overflowPunct w:val="0"/>
        <w:autoSpaceDE w:val="0"/>
        <w:autoSpaceDN w:val="0"/>
        <w:adjustRightInd w:val="0"/>
        <w:snapToGrid w:val="0"/>
        <w:spacing w:before="120" w:after="120" w:line="238" w:lineRule="auto"/>
        <w:jc w:val="center"/>
        <w:outlineLvl w:val="1"/>
        <w:rPr>
          <w:b/>
          <w:kern w:val="22"/>
          <w:szCs w:val="22"/>
        </w:rPr>
      </w:pPr>
      <w:proofErr w:type="spellStart"/>
      <w:r>
        <w:rPr>
          <w:b/>
          <w:kern w:val="22"/>
          <w:szCs w:val="22"/>
        </w:rPr>
        <w:t>Coopé</w:t>
      </w:r>
      <w:r w:rsidR="008F650F" w:rsidRPr="00883A1C">
        <w:rPr>
          <w:b/>
          <w:kern w:val="22"/>
          <w:szCs w:val="22"/>
        </w:rPr>
        <w:t>ration</w:t>
      </w:r>
      <w:proofErr w:type="spellEnd"/>
      <w:r>
        <w:rPr>
          <w:b/>
          <w:kern w:val="22"/>
          <w:szCs w:val="22"/>
        </w:rPr>
        <w:t xml:space="preserve"> </w:t>
      </w:r>
      <w:proofErr w:type="spellStart"/>
      <w:r>
        <w:rPr>
          <w:b/>
          <w:kern w:val="22"/>
          <w:szCs w:val="22"/>
        </w:rPr>
        <w:t>bilatérale</w:t>
      </w:r>
      <w:proofErr w:type="spellEnd"/>
    </w:p>
    <w:p w:rsidR="004F34CE" w:rsidRPr="004660D1" w:rsidRDefault="00BB72B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BB72B9">
        <w:rPr>
          <w:kern w:val="22"/>
          <w:szCs w:val="22"/>
          <w:lang w:val="fr-FR"/>
        </w:rPr>
        <w:t>Les</w:t>
      </w:r>
      <w:r w:rsidR="004F34CE" w:rsidRPr="00BB72B9">
        <w:rPr>
          <w:kern w:val="22"/>
          <w:szCs w:val="22"/>
          <w:lang w:val="fr-FR"/>
        </w:rPr>
        <w:t xml:space="preserve"> conventions coop</w:t>
      </w:r>
      <w:r w:rsidRPr="00BB72B9">
        <w:rPr>
          <w:kern w:val="22"/>
          <w:szCs w:val="22"/>
          <w:lang w:val="fr-FR"/>
        </w:rPr>
        <w:t xml:space="preserve">èrent entre elles par le biais de nombreuses relations bilatérales dont l’objet est </w:t>
      </w:r>
      <w:r>
        <w:rPr>
          <w:kern w:val="22"/>
          <w:szCs w:val="22"/>
          <w:lang w:val="fr-FR"/>
        </w:rPr>
        <w:t xml:space="preserve">d’obtenir de plus grands avantages au moyen de </w:t>
      </w:r>
      <w:r w:rsidR="004F34CE" w:rsidRPr="00BB72B9">
        <w:rPr>
          <w:kern w:val="22"/>
          <w:szCs w:val="22"/>
          <w:lang w:val="fr-FR"/>
        </w:rPr>
        <w:t xml:space="preserve">synergies </w:t>
      </w:r>
      <w:r>
        <w:rPr>
          <w:kern w:val="22"/>
          <w:szCs w:val="22"/>
          <w:lang w:val="fr-FR"/>
        </w:rPr>
        <w:t>dans des domaines d’</w:t>
      </w:r>
      <w:r w:rsidR="004F34CE" w:rsidRPr="00BB72B9">
        <w:rPr>
          <w:kern w:val="22"/>
          <w:szCs w:val="22"/>
          <w:lang w:val="fr-FR"/>
        </w:rPr>
        <w:t>intersect</w:t>
      </w:r>
      <w:r>
        <w:rPr>
          <w:kern w:val="22"/>
          <w:szCs w:val="22"/>
          <w:lang w:val="fr-FR"/>
        </w:rPr>
        <w:t xml:space="preserve">ion entre les </w:t>
      </w:r>
      <w:r w:rsidR="004F34CE" w:rsidRPr="00BB72B9">
        <w:rPr>
          <w:kern w:val="22"/>
          <w:szCs w:val="22"/>
          <w:lang w:val="fr-FR"/>
        </w:rPr>
        <w:t>conventions</w:t>
      </w:r>
      <w:r w:rsidR="00691E77" w:rsidRPr="00BB72B9">
        <w:rPr>
          <w:kern w:val="22"/>
          <w:szCs w:val="22"/>
          <w:lang w:val="fr-FR"/>
        </w:rPr>
        <w:t xml:space="preserve"> concern</w:t>
      </w:r>
      <w:r>
        <w:rPr>
          <w:kern w:val="22"/>
          <w:szCs w:val="22"/>
          <w:lang w:val="fr-FR"/>
        </w:rPr>
        <w:t>ées</w:t>
      </w:r>
      <w:r w:rsidR="004F34CE" w:rsidRPr="00BB72B9">
        <w:rPr>
          <w:kern w:val="22"/>
          <w:szCs w:val="22"/>
          <w:lang w:val="fr-FR"/>
        </w:rPr>
        <w:t xml:space="preserve">. </w:t>
      </w:r>
      <w:r>
        <w:rPr>
          <w:kern w:val="22"/>
          <w:szCs w:val="22"/>
          <w:lang w:val="fr-FR"/>
        </w:rPr>
        <w:t>C’est un domaine considéré par la</w:t>
      </w:r>
      <w:r w:rsidR="00031441" w:rsidRPr="00BB72B9">
        <w:rPr>
          <w:kern w:val="22"/>
          <w:szCs w:val="22"/>
          <w:lang w:val="fr-FR"/>
        </w:rPr>
        <w:t xml:space="preserve"> Conférence des Parties</w:t>
      </w:r>
      <w:r w:rsidR="0056218C" w:rsidRPr="00BB72B9">
        <w:rPr>
          <w:bCs/>
          <w:iCs/>
          <w:kern w:val="22"/>
          <w:szCs w:val="22"/>
          <w:lang w:val="fr-FR"/>
        </w:rPr>
        <w:t xml:space="preserve"> </w:t>
      </w:r>
      <w:r w:rsidRPr="00BB72B9">
        <w:rPr>
          <w:bCs/>
          <w:iCs/>
          <w:kern w:val="22"/>
          <w:szCs w:val="22"/>
          <w:lang w:val="fr-FR"/>
        </w:rPr>
        <w:t xml:space="preserve">à la </w:t>
      </w:r>
      <w:r w:rsidR="0056218C" w:rsidRPr="00BB72B9">
        <w:rPr>
          <w:bCs/>
          <w:iCs/>
          <w:kern w:val="22"/>
          <w:szCs w:val="22"/>
          <w:lang w:val="fr-FR"/>
        </w:rPr>
        <w:t>Convention</w:t>
      </w:r>
      <w:r w:rsidR="009D01B3" w:rsidRPr="00BB72B9">
        <w:rPr>
          <w:kern w:val="22"/>
          <w:szCs w:val="22"/>
          <w:lang w:val="fr-FR"/>
        </w:rPr>
        <w:t xml:space="preserve"> </w:t>
      </w:r>
      <w:r>
        <w:rPr>
          <w:kern w:val="22"/>
          <w:szCs w:val="22"/>
          <w:lang w:val="fr-FR"/>
        </w:rPr>
        <w:t>comme</w:t>
      </w:r>
      <w:r w:rsidR="009D01B3" w:rsidRPr="00BB72B9">
        <w:rPr>
          <w:kern w:val="22"/>
          <w:szCs w:val="22"/>
          <w:lang w:val="fr-FR"/>
        </w:rPr>
        <w:t xml:space="preserve"> important </w:t>
      </w:r>
      <w:r>
        <w:rPr>
          <w:kern w:val="22"/>
          <w:szCs w:val="22"/>
          <w:lang w:val="fr-FR"/>
        </w:rPr>
        <w:t>pour accroître les</w:t>
      </w:r>
      <w:r w:rsidR="009D01B3" w:rsidRPr="00BB72B9">
        <w:rPr>
          <w:kern w:val="22"/>
          <w:szCs w:val="22"/>
          <w:lang w:val="fr-FR"/>
        </w:rPr>
        <w:t xml:space="preserve"> synergies </w:t>
      </w:r>
      <w:r w:rsidR="004660D1">
        <w:rPr>
          <w:kern w:val="22"/>
          <w:szCs w:val="22"/>
          <w:lang w:val="fr-FR"/>
        </w:rPr>
        <w:t>dans l’application des</w:t>
      </w:r>
      <w:r w:rsidR="00AA3D4F" w:rsidRPr="00BB72B9">
        <w:rPr>
          <w:kern w:val="22"/>
          <w:szCs w:val="22"/>
          <w:lang w:val="fr-FR"/>
        </w:rPr>
        <w:t xml:space="preserve"> conventions</w:t>
      </w:r>
      <w:r w:rsidR="009D01B3" w:rsidRPr="00BB72B9">
        <w:rPr>
          <w:kern w:val="22"/>
          <w:szCs w:val="22"/>
          <w:lang w:val="fr-FR"/>
        </w:rPr>
        <w:t xml:space="preserve">, </w:t>
      </w:r>
      <w:r w:rsidR="002E1729">
        <w:rPr>
          <w:kern w:val="22"/>
          <w:szCs w:val="22"/>
          <w:lang w:val="fr-FR"/>
        </w:rPr>
        <w:t xml:space="preserve">principale </w:t>
      </w:r>
      <w:r w:rsidR="004660D1">
        <w:rPr>
          <w:kern w:val="22"/>
          <w:szCs w:val="22"/>
          <w:lang w:val="fr-FR"/>
        </w:rPr>
        <w:t>mesure</w:t>
      </w:r>
      <w:r w:rsidR="002E1729">
        <w:rPr>
          <w:kern w:val="22"/>
          <w:szCs w:val="22"/>
          <w:lang w:val="fr-FR"/>
        </w:rPr>
        <w:t xml:space="preserve"> souhaitable</w:t>
      </w:r>
      <w:r w:rsidR="004660D1">
        <w:rPr>
          <w:kern w:val="22"/>
          <w:szCs w:val="22"/>
          <w:lang w:val="fr-FR"/>
        </w:rPr>
        <w:t xml:space="preserve"> dans la feuille de route pour renforcer les</w:t>
      </w:r>
      <w:r w:rsidR="004F34CE" w:rsidRPr="00BB72B9">
        <w:rPr>
          <w:kern w:val="22"/>
          <w:szCs w:val="22"/>
          <w:lang w:val="fr-FR"/>
        </w:rPr>
        <w:t xml:space="preserve"> synergies </w:t>
      </w:r>
      <w:r w:rsidR="004660D1">
        <w:rPr>
          <w:kern w:val="22"/>
          <w:szCs w:val="22"/>
          <w:lang w:val="fr-FR"/>
        </w:rPr>
        <w:t xml:space="preserve">entre les </w:t>
      </w:r>
      <w:r w:rsidR="008B0ED2" w:rsidRPr="00BB72B9">
        <w:rPr>
          <w:kern w:val="22"/>
          <w:szCs w:val="22"/>
          <w:lang w:val="fr-FR"/>
        </w:rPr>
        <w:t>conventions relatives à la diversité biologique</w:t>
      </w:r>
      <w:r w:rsidR="004660D1">
        <w:rPr>
          <w:kern w:val="22"/>
          <w:szCs w:val="22"/>
          <w:lang w:val="fr-FR"/>
        </w:rPr>
        <w:t xml:space="preserve"> au niveau</w:t>
      </w:r>
      <w:r w:rsidR="004F34CE" w:rsidRPr="00BB72B9">
        <w:rPr>
          <w:kern w:val="22"/>
          <w:szCs w:val="22"/>
          <w:lang w:val="fr-FR"/>
        </w:rPr>
        <w:t xml:space="preserve"> international </w:t>
      </w:r>
      <w:r w:rsidR="002E1729">
        <w:rPr>
          <w:kern w:val="22"/>
          <w:szCs w:val="22"/>
          <w:lang w:val="fr-FR"/>
        </w:rPr>
        <w:t>(</w:t>
      </w:r>
      <w:r w:rsidR="004F34CE" w:rsidRPr="00BB72B9">
        <w:rPr>
          <w:kern w:val="22"/>
          <w:szCs w:val="22"/>
          <w:lang w:val="fr-FR"/>
        </w:rPr>
        <w:t>2017-2020</w:t>
      </w:r>
      <w:r w:rsidR="002E1729">
        <w:rPr>
          <w:kern w:val="22"/>
          <w:szCs w:val="22"/>
          <w:lang w:val="fr-FR"/>
        </w:rPr>
        <w:t>)</w:t>
      </w:r>
      <w:r w:rsidR="004F34CE" w:rsidRPr="00BB72B9">
        <w:rPr>
          <w:kern w:val="22"/>
          <w:szCs w:val="22"/>
          <w:lang w:val="fr-FR"/>
        </w:rPr>
        <w:t>.</w:t>
      </w:r>
      <w:r w:rsidR="009D01B3" w:rsidRPr="00BB72B9">
        <w:rPr>
          <w:kern w:val="22"/>
          <w:szCs w:val="22"/>
          <w:lang w:val="fr-FR"/>
        </w:rPr>
        <w:t xml:space="preserve"> </w:t>
      </w:r>
      <w:r w:rsidR="004660D1">
        <w:rPr>
          <w:kern w:val="22"/>
          <w:szCs w:val="22"/>
          <w:lang w:val="fr-FR"/>
        </w:rPr>
        <w:t>On trouvera ci-dessous une esquisse d’exemples récents de ces efforts de coopération</w:t>
      </w:r>
      <w:r w:rsidR="00E77D29" w:rsidRPr="004660D1">
        <w:rPr>
          <w:kern w:val="22"/>
          <w:szCs w:val="22"/>
          <w:lang w:val="fr-FR"/>
        </w:rPr>
        <w:t>.</w:t>
      </w:r>
    </w:p>
    <w:p w:rsidR="00C76CD2" w:rsidRPr="00294D4C" w:rsidRDefault="004660D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4660D1">
        <w:rPr>
          <w:kern w:val="22"/>
          <w:szCs w:val="22"/>
          <w:lang w:val="fr-FR"/>
        </w:rPr>
        <w:t xml:space="preserve">Le Comité permanent de la </w:t>
      </w:r>
      <w:r w:rsidR="00133987" w:rsidRPr="004660D1">
        <w:rPr>
          <w:kern w:val="22"/>
          <w:szCs w:val="22"/>
          <w:lang w:val="fr-FR"/>
        </w:rPr>
        <w:t xml:space="preserve">Convention </w:t>
      </w:r>
      <w:r>
        <w:rPr>
          <w:kern w:val="22"/>
          <w:szCs w:val="22"/>
          <w:lang w:val="fr-FR"/>
        </w:rPr>
        <w:t>sur le commerce i</w:t>
      </w:r>
      <w:r w:rsidR="00133987" w:rsidRPr="004660D1">
        <w:rPr>
          <w:kern w:val="22"/>
          <w:szCs w:val="22"/>
          <w:lang w:val="fr-FR"/>
        </w:rPr>
        <w:t>nternational</w:t>
      </w:r>
      <w:r>
        <w:rPr>
          <w:kern w:val="22"/>
          <w:szCs w:val="22"/>
          <w:lang w:val="fr-FR"/>
        </w:rPr>
        <w:t xml:space="preserve"> des espèces de faune et de flore sauvages menacées d’extinction</w:t>
      </w:r>
      <w:r w:rsidR="00133987" w:rsidRPr="004660D1">
        <w:rPr>
          <w:kern w:val="22"/>
          <w:szCs w:val="22"/>
          <w:lang w:val="fr-FR"/>
        </w:rPr>
        <w:t xml:space="preserve"> (CITES) </w:t>
      </w:r>
      <w:r>
        <w:rPr>
          <w:kern w:val="22"/>
          <w:szCs w:val="22"/>
          <w:lang w:val="fr-FR"/>
        </w:rPr>
        <w:t>et la</w:t>
      </w:r>
      <w:r w:rsidR="00031441" w:rsidRPr="004660D1">
        <w:rPr>
          <w:kern w:val="22"/>
          <w:szCs w:val="22"/>
          <w:lang w:val="fr-FR"/>
        </w:rPr>
        <w:t xml:space="preserve"> Conférence des Parties</w:t>
      </w:r>
      <w:r w:rsidR="0056218C" w:rsidRPr="004660D1">
        <w:rPr>
          <w:kern w:val="22"/>
          <w:szCs w:val="22"/>
          <w:lang w:val="fr-FR"/>
        </w:rPr>
        <w:t xml:space="preserve"> </w:t>
      </w:r>
      <w:r>
        <w:rPr>
          <w:kern w:val="22"/>
          <w:szCs w:val="22"/>
          <w:lang w:val="fr-FR"/>
        </w:rPr>
        <w:t>à la</w:t>
      </w:r>
      <w:r w:rsidR="0056218C" w:rsidRPr="004660D1">
        <w:rPr>
          <w:kern w:val="22"/>
          <w:szCs w:val="22"/>
          <w:lang w:val="fr-FR"/>
        </w:rPr>
        <w:t xml:space="preserve"> </w:t>
      </w:r>
      <w:r w:rsidR="00FD4EBA" w:rsidRPr="004660D1">
        <w:rPr>
          <w:kern w:val="22"/>
          <w:szCs w:val="22"/>
          <w:lang w:val="fr-FR"/>
        </w:rPr>
        <w:t xml:space="preserve">CMS </w:t>
      </w:r>
      <w:r>
        <w:rPr>
          <w:kern w:val="22"/>
          <w:szCs w:val="22"/>
          <w:lang w:val="fr-FR"/>
        </w:rPr>
        <w:t>ont approuvé un programme de travail conjoint CITES</w:t>
      </w:r>
      <w:r w:rsidR="008F650F" w:rsidRPr="004660D1">
        <w:rPr>
          <w:kern w:val="22"/>
          <w:szCs w:val="22"/>
          <w:lang w:val="fr-FR"/>
        </w:rPr>
        <w:t>-CMS</w:t>
      </w:r>
      <w:r w:rsidR="002E1729">
        <w:rPr>
          <w:kern w:val="22"/>
          <w:szCs w:val="22"/>
          <w:lang w:val="fr-FR"/>
        </w:rPr>
        <w:t xml:space="preserve"> pour</w:t>
      </w:r>
      <w:r w:rsidR="008F650F" w:rsidRPr="004660D1">
        <w:rPr>
          <w:kern w:val="22"/>
          <w:szCs w:val="22"/>
          <w:lang w:val="fr-FR"/>
        </w:rPr>
        <w:t xml:space="preserve"> 2015-2020</w:t>
      </w:r>
      <w:r w:rsidR="008F650F" w:rsidRPr="00883A1C">
        <w:rPr>
          <w:kern w:val="22"/>
          <w:szCs w:val="22"/>
          <w:vertAlign w:val="superscript"/>
        </w:rPr>
        <w:footnoteReference w:id="4"/>
      </w:r>
      <w:r w:rsidRPr="004660D1">
        <w:rPr>
          <w:kern w:val="22"/>
          <w:szCs w:val="22"/>
          <w:lang w:val="fr-FR"/>
        </w:rPr>
        <w:t>.</w:t>
      </w:r>
      <w:r w:rsidR="00FD4EBA" w:rsidRPr="004660D1">
        <w:rPr>
          <w:kern w:val="22"/>
          <w:szCs w:val="22"/>
          <w:lang w:val="fr-FR"/>
        </w:rPr>
        <w:t xml:space="preserve"> </w:t>
      </w:r>
      <w:r w:rsidR="00294D4C" w:rsidRPr="00294D4C">
        <w:rPr>
          <w:kern w:val="22"/>
          <w:szCs w:val="22"/>
          <w:lang w:val="fr-FR"/>
        </w:rPr>
        <w:t>Avec le soutien d’un administrateur de programmes conjoint</w:t>
      </w:r>
      <w:r w:rsidR="008F650F" w:rsidRPr="00294D4C">
        <w:rPr>
          <w:kern w:val="22"/>
          <w:szCs w:val="22"/>
          <w:lang w:val="fr-FR"/>
        </w:rPr>
        <w:t xml:space="preserve"> CMS/CITES, </w:t>
      </w:r>
      <w:r w:rsidR="00294D4C" w:rsidRPr="00294D4C">
        <w:rPr>
          <w:kern w:val="22"/>
          <w:szCs w:val="22"/>
          <w:lang w:val="fr-FR"/>
        </w:rPr>
        <w:t>généreusement financé par le gouvernement de l’Allemagne et o</w:t>
      </w:r>
      <w:r w:rsidR="00294D4C">
        <w:rPr>
          <w:kern w:val="22"/>
          <w:szCs w:val="22"/>
          <w:lang w:val="fr-FR"/>
        </w:rPr>
        <w:t>pé</w:t>
      </w:r>
      <w:r w:rsidR="00FD4EBA" w:rsidRPr="00294D4C">
        <w:rPr>
          <w:kern w:val="22"/>
          <w:szCs w:val="22"/>
          <w:lang w:val="fr-FR"/>
        </w:rPr>
        <w:t>ration</w:t>
      </w:r>
      <w:r w:rsidR="00294D4C">
        <w:rPr>
          <w:kern w:val="22"/>
          <w:szCs w:val="22"/>
          <w:lang w:val="fr-FR"/>
        </w:rPr>
        <w:t>nel depuis le mois de juillet</w:t>
      </w:r>
      <w:r w:rsidR="00FD4EBA" w:rsidRPr="00294D4C">
        <w:rPr>
          <w:kern w:val="22"/>
          <w:szCs w:val="22"/>
          <w:lang w:val="fr-FR"/>
        </w:rPr>
        <w:t xml:space="preserve"> 2015, </w:t>
      </w:r>
      <w:r w:rsidR="00294D4C">
        <w:rPr>
          <w:kern w:val="22"/>
          <w:szCs w:val="22"/>
          <w:lang w:val="fr-FR"/>
        </w:rPr>
        <w:t>le Secré</w:t>
      </w:r>
      <w:r w:rsidR="008F650F" w:rsidRPr="00294D4C">
        <w:rPr>
          <w:kern w:val="22"/>
          <w:szCs w:val="22"/>
          <w:lang w:val="fr-FR"/>
        </w:rPr>
        <w:t>tariat</w:t>
      </w:r>
      <w:r w:rsidR="00294D4C">
        <w:rPr>
          <w:kern w:val="22"/>
          <w:szCs w:val="22"/>
          <w:lang w:val="fr-FR"/>
        </w:rPr>
        <w:t xml:space="preserve"> de la CITES coopère avec les secré</w:t>
      </w:r>
      <w:r w:rsidR="008F650F" w:rsidRPr="00294D4C">
        <w:rPr>
          <w:kern w:val="22"/>
          <w:szCs w:val="22"/>
          <w:lang w:val="fr-FR"/>
        </w:rPr>
        <w:t xml:space="preserve">tariats </w:t>
      </w:r>
      <w:r w:rsidR="00294D4C">
        <w:rPr>
          <w:kern w:val="22"/>
          <w:szCs w:val="22"/>
          <w:lang w:val="fr-FR"/>
        </w:rPr>
        <w:t xml:space="preserve">de la </w:t>
      </w:r>
      <w:r w:rsidR="008F650F" w:rsidRPr="00294D4C">
        <w:rPr>
          <w:kern w:val="22"/>
          <w:szCs w:val="22"/>
          <w:lang w:val="fr-FR"/>
        </w:rPr>
        <w:t xml:space="preserve">CMS </w:t>
      </w:r>
      <w:r w:rsidR="00294D4C">
        <w:rPr>
          <w:kern w:val="22"/>
          <w:szCs w:val="22"/>
          <w:lang w:val="fr-FR"/>
        </w:rPr>
        <w:t xml:space="preserve">et des accords sœurs sur plusieurs questions </w:t>
      </w:r>
      <w:r w:rsidR="008F650F" w:rsidRPr="00294D4C">
        <w:rPr>
          <w:kern w:val="22"/>
          <w:szCs w:val="22"/>
          <w:lang w:val="fr-FR"/>
        </w:rPr>
        <w:t>:</w:t>
      </w:r>
    </w:p>
    <w:p w:rsidR="008F650F" w:rsidRPr="00294D4C" w:rsidRDefault="00294D4C" w:rsidP="002E1729">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Pr>
          <w:kern w:val="22"/>
          <w:szCs w:val="22"/>
          <w:lang w:val="fr-FR"/>
        </w:rPr>
        <w:t>Coopé</w:t>
      </w:r>
      <w:r w:rsidR="008F650F" w:rsidRPr="00294D4C">
        <w:rPr>
          <w:kern w:val="22"/>
          <w:szCs w:val="22"/>
          <w:lang w:val="fr-FR"/>
        </w:rPr>
        <w:t xml:space="preserve">ration </w:t>
      </w:r>
      <w:r>
        <w:rPr>
          <w:kern w:val="22"/>
          <w:szCs w:val="22"/>
          <w:lang w:val="fr-FR"/>
        </w:rPr>
        <w:t>avec le Secré</w:t>
      </w:r>
      <w:r w:rsidR="008F650F" w:rsidRPr="00294D4C">
        <w:rPr>
          <w:kern w:val="22"/>
          <w:szCs w:val="22"/>
          <w:lang w:val="fr-FR"/>
        </w:rPr>
        <w:t xml:space="preserve">tariat </w:t>
      </w:r>
      <w:r>
        <w:rPr>
          <w:kern w:val="22"/>
          <w:szCs w:val="22"/>
          <w:lang w:val="fr-FR"/>
        </w:rPr>
        <w:t>de l’</w:t>
      </w:r>
      <w:r w:rsidRPr="00294D4C">
        <w:rPr>
          <w:bCs/>
          <w:color w:val="000000"/>
          <w:szCs w:val="22"/>
          <w:shd w:val="clear" w:color="auto" w:fill="FFFFFF"/>
          <w:lang w:val="fr-FR"/>
        </w:rPr>
        <w:t>Accord sur la Conservation des Cétacés de la Mer Noire, de la Méditerranée et de la zone Atlantique adjacente</w:t>
      </w:r>
      <w:r w:rsidRPr="00294D4C">
        <w:rPr>
          <w:rFonts w:ascii="Arial" w:hAnsi="Arial" w:cs="Arial"/>
          <w:b/>
          <w:bCs/>
          <w:color w:val="000000"/>
          <w:sz w:val="17"/>
          <w:szCs w:val="17"/>
          <w:shd w:val="clear" w:color="auto" w:fill="FFFFFF"/>
          <w:lang w:val="fr-FR"/>
        </w:rPr>
        <w:t> </w:t>
      </w:r>
      <w:r>
        <w:rPr>
          <w:kern w:val="22"/>
          <w:szCs w:val="22"/>
          <w:lang w:val="fr-FR"/>
        </w:rPr>
        <w:t>(AC</w:t>
      </w:r>
      <w:r w:rsidR="008F650F" w:rsidRPr="00294D4C">
        <w:rPr>
          <w:kern w:val="22"/>
          <w:szCs w:val="22"/>
          <w:lang w:val="fr-FR"/>
        </w:rPr>
        <w:t xml:space="preserve">COBAMS) </w:t>
      </w:r>
      <w:r w:rsidR="002E1729">
        <w:rPr>
          <w:kern w:val="22"/>
          <w:szCs w:val="22"/>
          <w:lang w:val="fr-FR"/>
        </w:rPr>
        <w:t>sur le grand dauphin de la Mer N</w:t>
      </w:r>
      <w:r w:rsidR="00355CAE">
        <w:rPr>
          <w:kern w:val="22"/>
          <w:szCs w:val="22"/>
          <w:lang w:val="fr-FR"/>
        </w:rPr>
        <w:t>oire</w:t>
      </w:r>
      <w:r w:rsidR="008F650F" w:rsidRPr="00294D4C">
        <w:rPr>
          <w:kern w:val="22"/>
          <w:szCs w:val="22"/>
          <w:lang w:val="fr-FR"/>
        </w:rPr>
        <w:t xml:space="preserve"> (</w:t>
      </w:r>
      <w:r w:rsidR="008F650F" w:rsidRPr="00883A1C">
        <w:rPr>
          <w:i/>
          <w:kern w:val="22"/>
          <w:szCs w:val="22"/>
          <w:lang w:val="la-Latn"/>
        </w:rPr>
        <w:t>Tursiops truncatus ponticus</w:t>
      </w:r>
      <w:r w:rsidR="002E1729">
        <w:rPr>
          <w:i/>
          <w:kern w:val="22"/>
          <w:szCs w:val="22"/>
          <w:lang w:val="fr-FR"/>
        </w:rPr>
        <w:t>);</w:t>
      </w:r>
    </w:p>
    <w:p w:rsidR="008F650F" w:rsidRPr="00355CAE" w:rsidRDefault="00355CAE"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lang w:val="fr-FR"/>
        </w:rPr>
      </w:pPr>
      <w:r w:rsidRPr="00355CAE">
        <w:rPr>
          <w:kern w:val="22"/>
          <w:szCs w:val="22"/>
          <w:lang w:val="fr-FR"/>
        </w:rPr>
        <w:t>Coopé</w:t>
      </w:r>
      <w:r w:rsidR="008F650F" w:rsidRPr="00355CAE">
        <w:rPr>
          <w:kern w:val="22"/>
          <w:szCs w:val="22"/>
          <w:lang w:val="fr-FR"/>
        </w:rPr>
        <w:t xml:space="preserve">ration </w:t>
      </w:r>
      <w:r w:rsidRPr="00355CAE">
        <w:rPr>
          <w:kern w:val="22"/>
          <w:szCs w:val="22"/>
          <w:lang w:val="fr-FR"/>
        </w:rPr>
        <w:t>avec le Secré</w:t>
      </w:r>
      <w:r w:rsidR="008F650F" w:rsidRPr="00355CAE">
        <w:rPr>
          <w:kern w:val="22"/>
          <w:szCs w:val="22"/>
          <w:lang w:val="fr-FR"/>
        </w:rPr>
        <w:t xml:space="preserve">tariat </w:t>
      </w:r>
      <w:r w:rsidRPr="00355CAE">
        <w:rPr>
          <w:kern w:val="22"/>
          <w:szCs w:val="22"/>
          <w:lang w:val="fr-FR"/>
        </w:rPr>
        <w:t>du mémorandum d’accord sur la c</w:t>
      </w:r>
      <w:r w:rsidR="008F650F" w:rsidRPr="00355CAE">
        <w:rPr>
          <w:kern w:val="22"/>
          <w:szCs w:val="22"/>
          <w:lang w:val="fr-FR"/>
        </w:rPr>
        <w:t>onservation</w:t>
      </w:r>
      <w:r w:rsidRPr="00355CAE">
        <w:rPr>
          <w:kern w:val="22"/>
          <w:szCs w:val="22"/>
          <w:lang w:val="fr-FR"/>
        </w:rPr>
        <w:t xml:space="preserve"> et la gestion </w:t>
      </w:r>
      <w:r w:rsidR="008F650F" w:rsidRPr="00355CAE">
        <w:rPr>
          <w:kern w:val="22"/>
          <w:szCs w:val="22"/>
          <w:lang w:val="fr-FR"/>
        </w:rPr>
        <w:t xml:space="preserve"> </w:t>
      </w:r>
      <w:r w:rsidRPr="00355CAE">
        <w:rPr>
          <w:kern w:val="22"/>
          <w:szCs w:val="22"/>
          <w:lang w:val="fr-FR"/>
        </w:rPr>
        <w:t>des tortues de mer et leurs h</w:t>
      </w:r>
      <w:r w:rsidR="008F650F" w:rsidRPr="00355CAE">
        <w:rPr>
          <w:kern w:val="22"/>
          <w:szCs w:val="22"/>
          <w:lang w:val="fr-FR"/>
        </w:rPr>
        <w:t xml:space="preserve">abitats </w:t>
      </w:r>
      <w:r>
        <w:rPr>
          <w:kern w:val="22"/>
          <w:szCs w:val="22"/>
          <w:lang w:val="fr-FR"/>
        </w:rPr>
        <w:t>de l’océan indien et de l’Asie du Sud-Est</w:t>
      </w:r>
      <w:r w:rsidR="008F650F" w:rsidRPr="00355CAE">
        <w:rPr>
          <w:kern w:val="22"/>
          <w:szCs w:val="22"/>
          <w:lang w:val="fr-FR"/>
        </w:rPr>
        <w:t xml:space="preserve"> </w:t>
      </w:r>
      <w:r>
        <w:rPr>
          <w:kern w:val="22"/>
          <w:szCs w:val="22"/>
          <w:lang w:val="fr-FR"/>
        </w:rPr>
        <w:t>à la préparation d’une étude sur le trafic de</w:t>
      </w:r>
      <w:r w:rsidR="0004205A">
        <w:rPr>
          <w:kern w:val="22"/>
          <w:szCs w:val="22"/>
          <w:lang w:val="fr-FR"/>
        </w:rPr>
        <w:t xml:space="preserve">s </w:t>
      </w:r>
      <w:r>
        <w:rPr>
          <w:kern w:val="22"/>
          <w:szCs w:val="22"/>
          <w:lang w:val="fr-FR"/>
        </w:rPr>
        <w:t>tortues de mer</w:t>
      </w:r>
      <w:r w:rsidR="008F650F" w:rsidRPr="00355CAE">
        <w:rPr>
          <w:kern w:val="22"/>
          <w:szCs w:val="22"/>
          <w:lang w:val="fr-FR"/>
        </w:rPr>
        <w:t>;</w:t>
      </w:r>
    </w:p>
    <w:p w:rsidR="008F650F" w:rsidRPr="00414C3D" w:rsidRDefault="00355CAE"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lang w:val="fr-FR"/>
        </w:rPr>
      </w:pPr>
      <w:r w:rsidRPr="00414C3D">
        <w:rPr>
          <w:kern w:val="22"/>
          <w:szCs w:val="22"/>
          <w:lang w:val="fr-FR"/>
        </w:rPr>
        <w:t>Coopé</w:t>
      </w:r>
      <w:r w:rsidR="008F650F" w:rsidRPr="00414C3D">
        <w:rPr>
          <w:kern w:val="22"/>
          <w:szCs w:val="22"/>
          <w:lang w:val="fr-FR"/>
        </w:rPr>
        <w:t xml:space="preserve">ration </w:t>
      </w:r>
      <w:r w:rsidRPr="00414C3D">
        <w:rPr>
          <w:kern w:val="22"/>
          <w:szCs w:val="22"/>
          <w:lang w:val="fr-FR"/>
        </w:rPr>
        <w:t xml:space="preserve">avec le Secrétariat de la </w:t>
      </w:r>
      <w:r w:rsidR="008F650F" w:rsidRPr="00414C3D">
        <w:rPr>
          <w:kern w:val="22"/>
          <w:szCs w:val="22"/>
          <w:lang w:val="fr-FR"/>
        </w:rPr>
        <w:t xml:space="preserve">CMS </w:t>
      </w:r>
      <w:r w:rsidRPr="00414C3D">
        <w:rPr>
          <w:kern w:val="22"/>
          <w:szCs w:val="22"/>
          <w:lang w:val="fr-FR"/>
        </w:rPr>
        <w:t>sur le lion africa</w:t>
      </w:r>
      <w:r w:rsidR="00414C3D">
        <w:rPr>
          <w:kern w:val="22"/>
          <w:szCs w:val="22"/>
          <w:lang w:val="fr-FR"/>
        </w:rPr>
        <w:t>i</w:t>
      </w:r>
      <w:r w:rsidRPr="00414C3D">
        <w:rPr>
          <w:kern w:val="22"/>
          <w:szCs w:val="22"/>
          <w:lang w:val="fr-FR"/>
        </w:rPr>
        <w:t>n</w:t>
      </w:r>
      <w:r w:rsidR="008F650F" w:rsidRPr="00414C3D">
        <w:rPr>
          <w:kern w:val="22"/>
          <w:szCs w:val="22"/>
          <w:lang w:val="fr-FR"/>
        </w:rPr>
        <w:t xml:space="preserve"> (</w:t>
      </w:r>
      <w:r w:rsidR="008F650F" w:rsidRPr="00883A1C">
        <w:rPr>
          <w:i/>
          <w:kern w:val="22"/>
          <w:szCs w:val="22"/>
          <w:lang w:val="la-Latn"/>
        </w:rPr>
        <w:t>Panthera leo</w:t>
      </w:r>
      <w:r w:rsidR="008F650F" w:rsidRPr="00414C3D">
        <w:rPr>
          <w:kern w:val="22"/>
          <w:szCs w:val="22"/>
          <w:lang w:val="fr-FR"/>
        </w:rPr>
        <w:t>)</w:t>
      </w:r>
      <w:r w:rsidR="007E6EE3" w:rsidRPr="00414C3D">
        <w:rPr>
          <w:kern w:val="22"/>
          <w:szCs w:val="22"/>
          <w:lang w:val="fr-FR"/>
        </w:rPr>
        <w:t>,</w:t>
      </w:r>
      <w:r w:rsidR="008F650F" w:rsidRPr="00414C3D">
        <w:rPr>
          <w:kern w:val="22"/>
          <w:szCs w:val="22"/>
          <w:lang w:val="fr-FR"/>
        </w:rPr>
        <w:t xml:space="preserve"> </w:t>
      </w:r>
      <w:r w:rsidR="00414C3D" w:rsidRPr="00414C3D">
        <w:rPr>
          <w:kern w:val="22"/>
          <w:szCs w:val="22"/>
          <w:lang w:val="fr-FR"/>
        </w:rPr>
        <w:t xml:space="preserve">y compris la création d’un portail web sur le lion pour permettre entre autres choses l’échange d’informations et </w:t>
      </w:r>
      <w:r w:rsidR="00414C3D">
        <w:rPr>
          <w:kern w:val="22"/>
          <w:szCs w:val="22"/>
          <w:lang w:val="fr-FR"/>
        </w:rPr>
        <w:t>d’orientations volontaires sur l’utilisation durable des lions africains</w:t>
      </w:r>
      <w:r w:rsidR="008F650F" w:rsidRPr="00414C3D">
        <w:rPr>
          <w:kern w:val="22"/>
          <w:szCs w:val="22"/>
          <w:lang w:val="fr-FR"/>
        </w:rPr>
        <w:t>;</w:t>
      </w:r>
    </w:p>
    <w:p w:rsidR="008F650F" w:rsidRPr="00414C3D" w:rsidRDefault="00414C3D"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lang w:val="fr-FR"/>
        </w:rPr>
      </w:pPr>
      <w:r w:rsidRPr="00414C3D">
        <w:rPr>
          <w:kern w:val="22"/>
          <w:szCs w:val="22"/>
          <w:lang w:val="fr-FR"/>
        </w:rPr>
        <w:t>Coopé</w:t>
      </w:r>
      <w:r w:rsidR="008F650F" w:rsidRPr="00414C3D">
        <w:rPr>
          <w:kern w:val="22"/>
          <w:szCs w:val="22"/>
          <w:lang w:val="fr-FR"/>
        </w:rPr>
        <w:t xml:space="preserve">ration </w:t>
      </w:r>
      <w:r w:rsidRPr="00414C3D">
        <w:rPr>
          <w:kern w:val="22"/>
          <w:szCs w:val="22"/>
          <w:lang w:val="fr-FR"/>
        </w:rPr>
        <w:t>avec le Secré</w:t>
      </w:r>
      <w:r w:rsidR="008F650F" w:rsidRPr="00414C3D">
        <w:rPr>
          <w:kern w:val="22"/>
          <w:szCs w:val="22"/>
          <w:lang w:val="fr-FR"/>
        </w:rPr>
        <w:t xml:space="preserve">tariat </w:t>
      </w:r>
      <w:r w:rsidRPr="00414C3D">
        <w:rPr>
          <w:kern w:val="22"/>
          <w:szCs w:val="22"/>
          <w:lang w:val="fr-FR"/>
        </w:rPr>
        <w:t>du mémorandum d’accord concernant la</w:t>
      </w:r>
      <w:r>
        <w:rPr>
          <w:kern w:val="22"/>
          <w:szCs w:val="22"/>
          <w:lang w:val="fr-FR"/>
        </w:rPr>
        <w:t xml:space="preserve"> c</w:t>
      </w:r>
      <w:r w:rsidR="008F650F" w:rsidRPr="00414C3D">
        <w:rPr>
          <w:kern w:val="22"/>
          <w:szCs w:val="22"/>
          <w:lang w:val="fr-FR"/>
        </w:rPr>
        <w:t xml:space="preserve">onservation, </w:t>
      </w:r>
      <w:r>
        <w:rPr>
          <w:kern w:val="22"/>
          <w:szCs w:val="22"/>
          <w:lang w:val="fr-FR"/>
        </w:rPr>
        <w:t xml:space="preserve">la restauration et l’utilisation durable de l’antilope </w:t>
      </w:r>
      <w:proofErr w:type="spellStart"/>
      <w:r w:rsidR="008F650F" w:rsidRPr="00414C3D">
        <w:rPr>
          <w:kern w:val="22"/>
          <w:szCs w:val="22"/>
          <w:lang w:val="fr-FR"/>
        </w:rPr>
        <w:t>Saiga</w:t>
      </w:r>
      <w:proofErr w:type="spellEnd"/>
      <w:r w:rsidR="008F650F" w:rsidRPr="00414C3D">
        <w:rPr>
          <w:kern w:val="22"/>
          <w:szCs w:val="22"/>
          <w:lang w:val="fr-FR"/>
        </w:rPr>
        <w:t xml:space="preserve"> (</w:t>
      </w:r>
      <w:r w:rsidR="008F650F" w:rsidRPr="00883A1C">
        <w:rPr>
          <w:i/>
          <w:kern w:val="22"/>
          <w:szCs w:val="22"/>
          <w:lang w:val="la-Latn"/>
        </w:rPr>
        <w:t>Saiga</w:t>
      </w:r>
      <w:r w:rsidR="008F650F" w:rsidRPr="00414C3D">
        <w:rPr>
          <w:kern w:val="22"/>
          <w:szCs w:val="22"/>
          <w:lang w:val="fr-FR"/>
        </w:rPr>
        <w:t xml:space="preserve"> </w:t>
      </w:r>
      <w:proofErr w:type="spellStart"/>
      <w:r w:rsidR="008F650F" w:rsidRPr="00414C3D">
        <w:rPr>
          <w:kern w:val="22"/>
          <w:szCs w:val="22"/>
          <w:lang w:val="fr-FR"/>
        </w:rPr>
        <w:t>spp</w:t>
      </w:r>
      <w:proofErr w:type="spellEnd"/>
      <w:r w:rsidR="008F650F" w:rsidRPr="00414C3D">
        <w:rPr>
          <w:kern w:val="22"/>
          <w:szCs w:val="22"/>
          <w:lang w:val="fr-FR"/>
        </w:rPr>
        <w:t>.).</w:t>
      </w:r>
    </w:p>
    <w:p w:rsidR="00FD4EBA" w:rsidRPr="005C50CD" w:rsidRDefault="00491EA3"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491EA3">
        <w:rPr>
          <w:kern w:val="22"/>
          <w:szCs w:val="22"/>
          <w:lang w:val="fr-FR"/>
        </w:rPr>
        <w:t>Dans ce</w:t>
      </w:r>
      <w:r w:rsidR="00FD4EBA" w:rsidRPr="00491EA3">
        <w:rPr>
          <w:kern w:val="22"/>
          <w:szCs w:val="22"/>
          <w:lang w:val="fr-FR"/>
        </w:rPr>
        <w:t xml:space="preserve"> context</w:t>
      </w:r>
      <w:r w:rsidRPr="00491EA3">
        <w:rPr>
          <w:kern w:val="22"/>
          <w:szCs w:val="22"/>
          <w:lang w:val="fr-FR"/>
        </w:rPr>
        <w:t>e</w:t>
      </w:r>
      <w:r w:rsidR="00FD4EBA" w:rsidRPr="00491EA3">
        <w:rPr>
          <w:kern w:val="22"/>
          <w:szCs w:val="22"/>
          <w:lang w:val="fr-FR"/>
        </w:rPr>
        <w:t xml:space="preserve">, </w:t>
      </w:r>
      <w:r w:rsidRPr="00491EA3">
        <w:rPr>
          <w:kern w:val="22"/>
          <w:szCs w:val="22"/>
          <w:lang w:val="fr-FR"/>
        </w:rPr>
        <w:t xml:space="preserve">par exemple, les secrétariats de la </w:t>
      </w:r>
      <w:r w:rsidR="00FD4EBA" w:rsidRPr="00491EA3">
        <w:rPr>
          <w:kern w:val="22"/>
          <w:szCs w:val="22"/>
          <w:lang w:val="fr-FR"/>
        </w:rPr>
        <w:t xml:space="preserve">CMS </w:t>
      </w:r>
      <w:r w:rsidRPr="00491EA3">
        <w:rPr>
          <w:kern w:val="22"/>
          <w:szCs w:val="22"/>
          <w:lang w:val="fr-FR"/>
        </w:rPr>
        <w:t>et de la</w:t>
      </w:r>
      <w:r w:rsidR="00FD4EBA" w:rsidRPr="00491EA3">
        <w:rPr>
          <w:kern w:val="22"/>
          <w:szCs w:val="22"/>
          <w:lang w:val="fr-FR"/>
        </w:rPr>
        <w:t xml:space="preserve"> CITES</w:t>
      </w:r>
      <w:r w:rsidRPr="00491EA3">
        <w:rPr>
          <w:kern w:val="22"/>
          <w:szCs w:val="22"/>
          <w:lang w:val="fr-FR"/>
        </w:rPr>
        <w:t xml:space="preserve"> ont convoqué une réunion conjointe pour </w:t>
      </w:r>
      <w:r w:rsidR="0045488E">
        <w:rPr>
          <w:kern w:val="22"/>
          <w:szCs w:val="22"/>
          <w:lang w:val="fr-FR"/>
        </w:rPr>
        <w:t>débattre de manière générale la conservation à l’échelle du continent du lion africain tout en facilitant dans le même temps l’application de la ré</w:t>
      </w:r>
      <w:r w:rsidR="00FD4EBA" w:rsidRPr="00491EA3">
        <w:rPr>
          <w:kern w:val="22"/>
          <w:szCs w:val="22"/>
          <w:lang w:val="fr-FR"/>
        </w:rPr>
        <w:t>solution 11.32</w:t>
      </w:r>
      <w:r w:rsidR="0045488E">
        <w:rPr>
          <w:kern w:val="22"/>
          <w:szCs w:val="22"/>
          <w:lang w:val="fr-FR"/>
        </w:rPr>
        <w:t xml:space="preserve"> de la CMS et en examinant le</w:t>
      </w:r>
      <w:r w:rsidR="001E4F89">
        <w:rPr>
          <w:kern w:val="22"/>
          <w:szCs w:val="22"/>
          <w:lang w:val="fr-FR"/>
        </w:rPr>
        <w:t>s</w:t>
      </w:r>
      <w:r w:rsidR="0045488E">
        <w:rPr>
          <w:kern w:val="22"/>
          <w:szCs w:val="22"/>
          <w:lang w:val="fr-FR"/>
        </w:rPr>
        <w:t xml:space="preserve"> listes appropriées des espèces relevant de la </w:t>
      </w:r>
      <w:r w:rsidR="00FD4EBA" w:rsidRPr="00491EA3">
        <w:rPr>
          <w:kern w:val="22"/>
          <w:szCs w:val="22"/>
          <w:lang w:val="fr-FR"/>
        </w:rPr>
        <w:t xml:space="preserve">CITES </w:t>
      </w:r>
      <w:r w:rsidR="0045488E">
        <w:rPr>
          <w:kern w:val="22"/>
          <w:szCs w:val="22"/>
          <w:lang w:val="fr-FR"/>
        </w:rPr>
        <w:t>et de la</w:t>
      </w:r>
      <w:r w:rsidR="00FD4EBA" w:rsidRPr="00491EA3">
        <w:rPr>
          <w:kern w:val="22"/>
          <w:szCs w:val="22"/>
          <w:lang w:val="fr-FR"/>
        </w:rPr>
        <w:t xml:space="preserve"> CMS. </w:t>
      </w:r>
      <w:r w:rsidR="0045488E" w:rsidRPr="0045488E">
        <w:rPr>
          <w:kern w:val="22"/>
          <w:szCs w:val="22"/>
          <w:lang w:val="fr-FR"/>
        </w:rPr>
        <w:t>La réunion s’est tenue les 30 et 31 mai 2016 à Entebbe en Ouganda</w:t>
      </w:r>
      <w:r w:rsidR="0045488E">
        <w:rPr>
          <w:kern w:val="22"/>
          <w:szCs w:val="22"/>
          <w:lang w:val="fr-FR"/>
        </w:rPr>
        <w:t xml:space="preserve">  </w:t>
      </w:r>
      <w:r w:rsidR="001E4F89">
        <w:rPr>
          <w:kern w:val="22"/>
          <w:szCs w:val="22"/>
          <w:lang w:val="fr-FR"/>
        </w:rPr>
        <w:t xml:space="preserve">à </w:t>
      </w:r>
      <w:r w:rsidR="0045488E">
        <w:rPr>
          <w:kern w:val="22"/>
          <w:szCs w:val="22"/>
          <w:lang w:val="fr-FR"/>
        </w:rPr>
        <w:t>l’issue de laquelle a été publié un com</w:t>
      </w:r>
      <w:r w:rsidR="00FD4EBA" w:rsidRPr="0045488E">
        <w:rPr>
          <w:kern w:val="22"/>
          <w:szCs w:val="22"/>
          <w:lang w:val="fr-FR"/>
        </w:rPr>
        <w:t xml:space="preserve">muniqué </w:t>
      </w:r>
      <w:r w:rsidR="0045488E">
        <w:rPr>
          <w:kern w:val="22"/>
          <w:szCs w:val="22"/>
          <w:lang w:val="fr-FR"/>
        </w:rPr>
        <w:t xml:space="preserve">qui préconise des efforts concertés pour </w:t>
      </w:r>
      <w:r w:rsidR="00FD4EBA" w:rsidRPr="0045488E">
        <w:rPr>
          <w:kern w:val="22"/>
          <w:szCs w:val="22"/>
          <w:lang w:val="fr-FR"/>
        </w:rPr>
        <w:t xml:space="preserve"> conserve</w:t>
      </w:r>
      <w:r w:rsidR="0045488E">
        <w:rPr>
          <w:kern w:val="22"/>
          <w:szCs w:val="22"/>
          <w:lang w:val="fr-FR"/>
        </w:rPr>
        <w:t>r cette espèce</w:t>
      </w:r>
      <w:r w:rsidR="00FD4EBA" w:rsidRPr="0045488E">
        <w:rPr>
          <w:kern w:val="22"/>
          <w:szCs w:val="22"/>
          <w:lang w:val="fr-FR"/>
        </w:rPr>
        <w:t xml:space="preserve">. </w:t>
      </w:r>
      <w:r w:rsidR="0045488E" w:rsidRPr="0045488E">
        <w:rPr>
          <w:kern w:val="22"/>
          <w:szCs w:val="22"/>
          <w:lang w:val="fr-FR"/>
        </w:rPr>
        <w:t>Sur la base de ce travail conjoint, les</w:t>
      </w:r>
      <w:r w:rsidR="00FD4EBA" w:rsidRPr="0045488E">
        <w:rPr>
          <w:kern w:val="22"/>
          <w:szCs w:val="22"/>
          <w:lang w:val="fr-FR"/>
        </w:rPr>
        <w:t xml:space="preserve"> </w:t>
      </w:r>
      <w:r w:rsidR="004F2C2B" w:rsidRPr="0045488E">
        <w:rPr>
          <w:kern w:val="22"/>
          <w:szCs w:val="22"/>
          <w:lang w:val="fr-FR"/>
        </w:rPr>
        <w:t>s</w:t>
      </w:r>
      <w:r w:rsidR="0045488E" w:rsidRPr="0045488E">
        <w:rPr>
          <w:kern w:val="22"/>
          <w:szCs w:val="22"/>
          <w:lang w:val="fr-FR"/>
        </w:rPr>
        <w:t>ecré</w:t>
      </w:r>
      <w:r w:rsidR="00FD4EBA" w:rsidRPr="0045488E">
        <w:rPr>
          <w:kern w:val="22"/>
          <w:szCs w:val="22"/>
          <w:lang w:val="fr-FR"/>
        </w:rPr>
        <w:t xml:space="preserve">tariats </w:t>
      </w:r>
      <w:r w:rsidR="0045488E">
        <w:rPr>
          <w:kern w:val="22"/>
          <w:szCs w:val="22"/>
          <w:lang w:val="fr-FR"/>
        </w:rPr>
        <w:t xml:space="preserve">ont </w:t>
      </w:r>
      <w:r w:rsidR="0045488E">
        <w:rPr>
          <w:kern w:val="22"/>
          <w:szCs w:val="22"/>
          <w:lang w:val="fr-FR"/>
        </w:rPr>
        <w:lastRenderedPageBreak/>
        <w:t xml:space="preserve">élaboré une proposition portant sur </w:t>
      </w:r>
      <w:r w:rsidR="005C50CD">
        <w:rPr>
          <w:kern w:val="22"/>
          <w:szCs w:val="22"/>
          <w:lang w:val="fr-FR"/>
        </w:rPr>
        <w:t>la création d’une initiative conjointe</w:t>
      </w:r>
      <w:r w:rsidR="00FD4EBA" w:rsidRPr="0045488E">
        <w:rPr>
          <w:kern w:val="22"/>
          <w:szCs w:val="22"/>
          <w:lang w:val="fr-FR"/>
        </w:rPr>
        <w:t xml:space="preserve"> CITES-CMS </w:t>
      </w:r>
      <w:r w:rsidR="005C50CD">
        <w:rPr>
          <w:kern w:val="22"/>
          <w:szCs w:val="22"/>
          <w:lang w:val="fr-FR"/>
        </w:rPr>
        <w:t>pour les c</w:t>
      </w:r>
      <w:r w:rsidR="00FD4EBA" w:rsidRPr="0045488E">
        <w:rPr>
          <w:kern w:val="22"/>
          <w:szCs w:val="22"/>
          <w:lang w:val="fr-FR"/>
        </w:rPr>
        <w:t>arnivores</w:t>
      </w:r>
      <w:r w:rsidR="005C50CD">
        <w:rPr>
          <w:kern w:val="22"/>
          <w:szCs w:val="22"/>
          <w:lang w:val="fr-FR"/>
        </w:rPr>
        <w:t xml:space="preserve"> africains</w:t>
      </w:r>
      <w:r w:rsidR="00FD4EBA" w:rsidRPr="0045488E">
        <w:rPr>
          <w:kern w:val="22"/>
          <w:szCs w:val="22"/>
          <w:lang w:val="fr-FR"/>
        </w:rPr>
        <w:t xml:space="preserve">, </w:t>
      </w:r>
      <w:r w:rsidR="005C50CD">
        <w:rPr>
          <w:kern w:val="22"/>
          <w:szCs w:val="22"/>
          <w:lang w:val="fr-FR"/>
        </w:rPr>
        <w:t>que l</w:t>
      </w:r>
      <w:r w:rsidR="00031441" w:rsidRPr="0045488E">
        <w:rPr>
          <w:kern w:val="22"/>
          <w:szCs w:val="22"/>
          <w:lang w:val="fr-FR"/>
        </w:rPr>
        <w:t>a Conférence des Parties</w:t>
      </w:r>
      <w:r w:rsidR="00B73C13" w:rsidRPr="0045488E">
        <w:rPr>
          <w:kern w:val="22"/>
          <w:szCs w:val="22"/>
          <w:lang w:val="fr-FR"/>
        </w:rPr>
        <w:t xml:space="preserve"> </w:t>
      </w:r>
      <w:r w:rsidR="005C50CD">
        <w:rPr>
          <w:kern w:val="22"/>
          <w:szCs w:val="22"/>
          <w:lang w:val="fr-FR"/>
        </w:rPr>
        <w:t xml:space="preserve">à la </w:t>
      </w:r>
      <w:r w:rsidR="00B73C13" w:rsidRPr="0045488E">
        <w:rPr>
          <w:kern w:val="22"/>
          <w:szCs w:val="22"/>
          <w:lang w:val="fr-FR"/>
        </w:rPr>
        <w:t xml:space="preserve">CMS </w:t>
      </w:r>
      <w:r w:rsidR="005C50CD">
        <w:rPr>
          <w:kern w:val="22"/>
          <w:szCs w:val="22"/>
          <w:lang w:val="fr-FR"/>
        </w:rPr>
        <w:t>a adoptée en novembre 2017 à sa douzième réunion</w:t>
      </w:r>
      <w:r w:rsidR="00FD4EBA" w:rsidRPr="0045488E">
        <w:rPr>
          <w:kern w:val="22"/>
          <w:szCs w:val="22"/>
          <w:lang w:val="fr-FR"/>
        </w:rPr>
        <w:t xml:space="preserve">. </w:t>
      </w:r>
      <w:r w:rsidR="005C50CD" w:rsidRPr="005C50CD">
        <w:rPr>
          <w:kern w:val="22"/>
          <w:szCs w:val="22"/>
          <w:lang w:val="fr-FR"/>
        </w:rPr>
        <w:t>E</w:t>
      </w:r>
      <w:r w:rsidR="00FD4EBA" w:rsidRPr="005C50CD">
        <w:rPr>
          <w:kern w:val="22"/>
          <w:szCs w:val="22"/>
          <w:lang w:val="fr-FR"/>
        </w:rPr>
        <w:t xml:space="preserve">n </w:t>
      </w:r>
      <w:r w:rsidR="005C50CD" w:rsidRPr="005C50CD">
        <w:rPr>
          <w:kern w:val="22"/>
          <w:szCs w:val="22"/>
          <w:lang w:val="fr-FR"/>
        </w:rPr>
        <w:t>outre</w:t>
      </w:r>
      <w:r w:rsidR="00FD4EBA" w:rsidRPr="005C50CD">
        <w:rPr>
          <w:kern w:val="22"/>
          <w:szCs w:val="22"/>
          <w:lang w:val="fr-FR"/>
        </w:rPr>
        <w:t xml:space="preserve">, </w:t>
      </w:r>
      <w:r w:rsidR="005C50CD" w:rsidRPr="005C50CD">
        <w:rPr>
          <w:kern w:val="22"/>
          <w:szCs w:val="22"/>
          <w:lang w:val="fr-FR"/>
        </w:rPr>
        <w:t>d’autres</w:t>
      </w:r>
      <w:r w:rsidR="00FD4EBA" w:rsidRPr="005C50CD">
        <w:rPr>
          <w:kern w:val="22"/>
          <w:szCs w:val="22"/>
          <w:lang w:val="fr-FR"/>
        </w:rPr>
        <w:t xml:space="preserve"> </w:t>
      </w:r>
      <w:r w:rsidR="004F2C2B" w:rsidRPr="005C50CD">
        <w:rPr>
          <w:kern w:val="22"/>
          <w:szCs w:val="22"/>
          <w:lang w:val="fr-FR"/>
        </w:rPr>
        <w:t>r</w:t>
      </w:r>
      <w:r w:rsidR="005C50CD" w:rsidRPr="005C50CD">
        <w:rPr>
          <w:kern w:val="22"/>
          <w:szCs w:val="22"/>
          <w:lang w:val="fr-FR"/>
        </w:rPr>
        <w:t>é</w:t>
      </w:r>
      <w:r w:rsidR="00FD4EBA" w:rsidRPr="005C50CD">
        <w:rPr>
          <w:kern w:val="22"/>
          <w:szCs w:val="22"/>
          <w:lang w:val="fr-FR"/>
        </w:rPr>
        <w:t xml:space="preserve">solutions </w:t>
      </w:r>
      <w:r w:rsidR="005C50CD" w:rsidRPr="005C50CD">
        <w:rPr>
          <w:kern w:val="22"/>
          <w:szCs w:val="22"/>
          <w:lang w:val="fr-FR"/>
        </w:rPr>
        <w:t>favorisant la coopé</w:t>
      </w:r>
      <w:r w:rsidR="00FD4EBA" w:rsidRPr="005C50CD">
        <w:rPr>
          <w:kern w:val="22"/>
          <w:szCs w:val="22"/>
          <w:lang w:val="fr-FR"/>
        </w:rPr>
        <w:t xml:space="preserve">ration </w:t>
      </w:r>
      <w:r w:rsidR="005C50CD" w:rsidRPr="005C50CD">
        <w:rPr>
          <w:kern w:val="22"/>
          <w:szCs w:val="22"/>
          <w:lang w:val="fr-FR"/>
        </w:rPr>
        <w:t xml:space="preserve">entre les deux </w:t>
      </w:r>
      <w:r w:rsidR="004F2C2B" w:rsidRPr="005C50CD">
        <w:rPr>
          <w:kern w:val="22"/>
          <w:szCs w:val="22"/>
          <w:lang w:val="fr-FR"/>
        </w:rPr>
        <w:t>s</w:t>
      </w:r>
      <w:r w:rsidR="005C50CD" w:rsidRPr="005C50CD">
        <w:rPr>
          <w:kern w:val="22"/>
          <w:szCs w:val="22"/>
          <w:lang w:val="fr-FR"/>
        </w:rPr>
        <w:t>ecré</w:t>
      </w:r>
      <w:r w:rsidR="00FD4EBA" w:rsidRPr="005C50CD">
        <w:rPr>
          <w:kern w:val="22"/>
          <w:szCs w:val="22"/>
          <w:lang w:val="fr-FR"/>
        </w:rPr>
        <w:t xml:space="preserve">tariats </w:t>
      </w:r>
      <w:r w:rsidR="005C50CD">
        <w:rPr>
          <w:kern w:val="22"/>
          <w:szCs w:val="22"/>
          <w:lang w:val="fr-FR"/>
        </w:rPr>
        <w:t>sur des espèces spécifiques, y compris les éléphants</w:t>
      </w:r>
      <w:r w:rsidR="00FD4EBA" w:rsidRPr="005C50CD">
        <w:rPr>
          <w:kern w:val="22"/>
          <w:szCs w:val="22"/>
          <w:lang w:val="fr-FR"/>
        </w:rPr>
        <w:t xml:space="preserve">, </w:t>
      </w:r>
      <w:r w:rsidR="003D6B06">
        <w:rPr>
          <w:kern w:val="22"/>
          <w:szCs w:val="22"/>
          <w:lang w:val="fr-FR"/>
        </w:rPr>
        <w:t>ont été approuvées</w:t>
      </w:r>
      <w:r w:rsidR="00FD4EBA" w:rsidRPr="005C50CD">
        <w:rPr>
          <w:kern w:val="22"/>
          <w:szCs w:val="22"/>
          <w:lang w:val="fr-FR"/>
        </w:rPr>
        <w:t>.</w:t>
      </w:r>
    </w:p>
    <w:p w:rsidR="008F650F" w:rsidRPr="003D6B06" w:rsidRDefault="003D6B06"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3D6B06">
        <w:rPr>
          <w:kern w:val="22"/>
          <w:szCs w:val="22"/>
          <w:lang w:val="fr-FR"/>
        </w:rPr>
        <w:t xml:space="preserve">Les secrétariats de la </w:t>
      </w:r>
      <w:r w:rsidR="008F650F" w:rsidRPr="003D6B06">
        <w:rPr>
          <w:kern w:val="22"/>
          <w:szCs w:val="22"/>
          <w:lang w:val="fr-FR"/>
        </w:rPr>
        <w:t xml:space="preserve">CMS </w:t>
      </w:r>
      <w:r w:rsidRPr="003D6B06">
        <w:rPr>
          <w:kern w:val="22"/>
          <w:szCs w:val="22"/>
          <w:lang w:val="fr-FR"/>
        </w:rPr>
        <w:t>et de la</w:t>
      </w:r>
      <w:r w:rsidR="008F650F" w:rsidRPr="003D6B06">
        <w:rPr>
          <w:kern w:val="22"/>
          <w:szCs w:val="22"/>
          <w:lang w:val="fr-FR"/>
        </w:rPr>
        <w:t xml:space="preserve"> CITES </w:t>
      </w:r>
      <w:r w:rsidRPr="003D6B06">
        <w:rPr>
          <w:kern w:val="22"/>
          <w:szCs w:val="22"/>
          <w:lang w:val="fr-FR"/>
        </w:rPr>
        <w:t>collaborent aussi étroitement sur les requins et les raie</w:t>
      </w:r>
      <w:r w:rsidR="008F650F" w:rsidRPr="003D6B06">
        <w:rPr>
          <w:kern w:val="22"/>
          <w:szCs w:val="22"/>
          <w:lang w:val="fr-FR"/>
        </w:rPr>
        <w:t xml:space="preserve">s, </w:t>
      </w:r>
      <w:r>
        <w:rPr>
          <w:kern w:val="22"/>
          <w:szCs w:val="22"/>
          <w:lang w:val="fr-FR"/>
        </w:rPr>
        <w:t>les espèces de l’Asie centrale</w:t>
      </w:r>
      <w:r w:rsidR="008F650F" w:rsidRPr="003D6B06">
        <w:rPr>
          <w:kern w:val="22"/>
          <w:szCs w:val="22"/>
          <w:lang w:val="fr-FR"/>
        </w:rPr>
        <w:t xml:space="preserve">, </w:t>
      </w:r>
      <w:r>
        <w:rPr>
          <w:kern w:val="22"/>
          <w:szCs w:val="22"/>
          <w:lang w:val="fr-FR"/>
        </w:rPr>
        <w:t>les anguilles, les grands singes et les élé</w:t>
      </w:r>
      <w:r w:rsidR="008F650F" w:rsidRPr="003D6B06">
        <w:rPr>
          <w:kern w:val="22"/>
          <w:szCs w:val="22"/>
          <w:lang w:val="fr-FR"/>
        </w:rPr>
        <w:t>phants.</w:t>
      </w:r>
    </w:p>
    <w:p w:rsidR="00FD4EBA" w:rsidRPr="004E610E" w:rsidRDefault="003D6B06"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4E610E">
        <w:rPr>
          <w:kern w:val="22"/>
          <w:szCs w:val="22"/>
          <w:lang w:val="fr-FR"/>
        </w:rPr>
        <w:t>Le secrétariat de la</w:t>
      </w:r>
      <w:r w:rsidR="00FD4EBA" w:rsidRPr="004E610E">
        <w:rPr>
          <w:kern w:val="22"/>
          <w:szCs w:val="22"/>
          <w:lang w:val="fr-FR"/>
        </w:rPr>
        <w:t xml:space="preserve"> CMS </w:t>
      </w:r>
      <w:r w:rsidRPr="004E610E">
        <w:rPr>
          <w:kern w:val="22"/>
          <w:szCs w:val="22"/>
          <w:lang w:val="fr-FR"/>
        </w:rPr>
        <w:t>a également créé des</w:t>
      </w:r>
      <w:r w:rsidR="00FD4EBA" w:rsidRPr="004E610E">
        <w:rPr>
          <w:kern w:val="22"/>
          <w:szCs w:val="22"/>
          <w:lang w:val="fr-FR"/>
        </w:rPr>
        <w:t xml:space="preserve"> synergies </w:t>
      </w:r>
      <w:r w:rsidRPr="004E610E">
        <w:rPr>
          <w:kern w:val="22"/>
          <w:szCs w:val="22"/>
          <w:lang w:val="fr-FR"/>
        </w:rPr>
        <w:t>avec la Commission baleinière i</w:t>
      </w:r>
      <w:r w:rsidR="00FD4EBA" w:rsidRPr="004E610E">
        <w:rPr>
          <w:kern w:val="22"/>
          <w:szCs w:val="22"/>
          <w:lang w:val="fr-FR"/>
        </w:rPr>
        <w:t>nternational</w:t>
      </w:r>
      <w:r w:rsidRPr="004E610E">
        <w:rPr>
          <w:kern w:val="22"/>
          <w:szCs w:val="22"/>
          <w:lang w:val="fr-FR"/>
        </w:rPr>
        <w:t>e concernant l’élaboration conjointe d’</w:t>
      </w:r>
      <w:r w:rsidR="004E610E" w:rsidRPr="004E610E">
        <w:rPr>
          <w:kern w:val="22"/>
          <w:szCs w:val="22"/>
          <w:lang w:val="fr-FR"/>
        </w:rPr>
        <w:t xml:space="preserve">un manuel en ligne d’observation des baleines et ce, en réponse à une demande des </w:t>
      </w:r>
      <w:r w:rsidR="00FD4EBA" w:rsidRPr="004E610E">
        <w:rPr>
          <w:kern w:val="22"/>
          <w:szCs w:val="22"/>
          <w:lang w:val="fr-FR"/>
        </w:rPr>
        <w:t xml:space="preserve">Parties </w:t>
      </w:r>
      <w:r w:rsidR="004E610E">
        <w:rPr>
          <w:kern w:val="22"/>
          <w:szCs w:val="22"/>
          <w:lang w:val="fr-FR"/>
        </w:rPr>
        <w:t>aux deux traités</w:t>
      </w:r>
      <w:r w:rsidR="00FD4EBA" w:rsidRPr="004E610E">
        <w:rPr>
          <w:kern w:val="22"/>
          <w:szCs w:val="22"/>
          <w:lang w:val="fr-FR"/>
        </w:rPr>
        <w:t>.</w:t>
      </w:r>
    </w:p>
    <w:p w:rsidR="00FD4EBA" w:rsidRPr="0021443E" w:rsidRDefault="00B90ED6"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B90ED6">
        <w:rPr>
          <w:kern w:val="22"/>
          <w:szCs w:val="22"/>
          <w:lang w:val="fr-FR"/>
        </w:rPr>
        <w:t>La coopé</w:t>
      </w:r>
      <w:r w:rsidR="009D01B3" w:rsidRPr="00B90ED6">
        <w:rPr>
          <w:kern w:val="22"/>
          <w:szCs w:val="22"/>
          <w:lang w:val="fr-FR"/>
        </w:rPr>
        <w:t xml:space="preserve">ration </w:t>
      </w:r>
      <w:r w:rsidRPr="00B90ED6">
        <w:rPr>
          <w:kern w:val="22"/>
          <w:szCs w:val="22"/>
          <w:lang w:val="fr-FR"/>
        </w:rPr>
        <w:t>entre la CMS et la</w:t>
      </w:r>
      <w:r w:rsidR="009D01B3" w:rsidRPr="00B90ED6">
        <w:rPr>
          <w:kern w:val="22"/>
          <w:szCs w:val="22"/>
          <w:lang w:val="fr-FR"/>
        </w:rPr>
        <w:t xml:space="preserve"> CD</w:t>
      </w:r>
      <w:r w:rsidRPr="00B90ED6">
        <w:rPr>
          <w:kern w:val="22"/>
          <w:szCs w:val="22"/>
          <w:lang w:val="fr-FR"/>
        </w:rPr>
        <w:t>B</w:t>
      </w:r>
      <w:r w:rsidR="009D01B3" w:rsidRPr="00B90ED6">
        <w:rPr>
          <w:kern w:val="22"/>
          <w:szCs w:val="22"/>
          <w:lang w:val="fr-FR"/>
        </w:rPr>
        <w:t xml:space="preserve"> </w:t>
      </w:r>
      <w:r w:rsidRPr="00B90ED6">
        <w:rPr>
          <w:kern w:val="22"/>
          <w:szCs w:val="22"/>
          <w:lang w:val="fr-FR"/>
        </w:rPr>
        <w:t xml:space="preserve">est actuellement guidée par un Plan de travail conjoint </w:t>
      </w:r>
      <w:r w:rsidR="001E4F89">
        <w:rPr>
          <w:kern w:val="22"/>
          <w:szCs w:val="22"/>
          <w:lang w:val="fr-FR"/>
        </w:rPr>
        <w:t xml:space="preserve">2016-2018 </w:t>
      </w:r>
      <w:r w:rsidRPr="00B90ED6">
        <w:rPr>
          <w:kern w:val="22"/>
          <w:szCs w:val="22"/>
          <w:lang w:val="fr-FR"/>
        </w:rPr>
        <w:t xml:space="preserve">pour les </w:t>
      </w:r>
      <w:r>
        <w:rPr>
          <w:kern w:val="22"/>
          <w:szCs w:val="22"/>
          <w:lang w:val="fr-FR"/>
        </w:rPr>
        <w:t>secré</w:t>
      </w:r>
      <w:r w:rsidRPr="00B90ED6">
        <w:rPr>
          <w:kern w:val="22"/>
          <w:szCs w:val="22"/>
          <w:lang w:val="fr-FR"/>
        </w:rPr>
        <w:t>tariats de la CDB et de la CMS</w:t>
      </w:r>
      <w:r w:rsidR="009D01B3" w:rsidRPr="00B90ED6">
        <w:rPr>
          <w:kern w:val="22"/>
          <w:szCs w:val="22"/>
          <w:lang w:val="fr-FR"/>
        </w:rPr>
        <w:t xml:space="preserve">. </w:t>
      </w:r>
      <w:r>
        <w:rPr>
          <w:kern w:val="22"/>
          <w:szCs w:val="22"/>
          <w:lang w:val="fr-FR"/>
        </w:rPr>
        <w:t>Cela comprend leur coopération continue dans le contexte du</w:t>
      </w:r>
      <w:r w:rsidR="00167AD4" w:rsidRPr="00B90ED6">
        <w:rPr>
          <w:kern w:val="22"/>
          <w:szCs w:val="22"/>
          <w:lang w:val="fr-FR"/>
        </w:rPr>
        <w:t xml:space="preserve"> </w:t>
      </w:r>
      <w:r w:rsidR="00B011D3" w:rsidRPr="00B90ED6">
        <w:rPr>
          <w:kern w:val="22"/>
          <w:szCs w:val="22"/>
          <w:lang w:val="fr-FR"/>
        </w:rPr>
        <w:t>Groupe de liai</w:t>
      </w:r>
      <w:r w:rsidR="0071092C" w:rsidRPr="00B90ED6">
        <w:rPr>
          <w:kern w:val="22"/>
          <w:szCs w:val="22"/>
          <w:lang w:val="fr-FR"/>
        </w:rPr>
        <w:t>s</w:t>
      </w:r>
      <w:r w:rsidR="00B011D3" w:rsidRPr="00B90ED6">
        <w:rPr>
          <w:kern w:val="22"/>
          <w:szCs w:val="22"/>
          <w:lang w:val="fr-FR"/>
        </w:rPr>
        <w:t>on des</w:t>
      </w:r>
      <w:r w:rsidR="00167AD4" w:rsidRPr="00B90ED6">
        <w:rPr>
          <w:kern w:val="22"/>
          <w:szCs w:val="22"/>
          <w:lang w:val="fr-FR"/>
        </w:rPr>
        <w:t xml:space="preserve"> </w:t>
      </w:r>
      <w:r w:rsidRPr="00B90ED6">
        <w:rPr>
          <w:kern w:val="22"/>
          <w:szCs w:val="22"/>
          <w:lang w:val="fr-FR"/>
        </w:rPr>
        <w:t>c</w:t>
      </w:r>
      <w:r w:rsidR="008B0ED2" w:rsidRPr="00B90ED6">
        <w:rPr>
          <w:kern w:val="22"/>
          <w:szCs w:val="22"/>
          <w:lang w:val="fr-FR"/>
        </w:rPr>
        <w:t>onventions relatives à la diversité biologique</w:t>
      </w:r>
      <w:r w:rsidR="00167AD4" w:rsidRPr="00B90ED6">
        <w:rPr>
          <w:kern w:val="22"/>
          <w:szCs w:val="22"/>
          <w:lang w:val="fr-FR"/>
        </w:rPr>
        <w:t xml:space="preserve"> </w:t>
      </w:r>
      <w:r w:rsidRPr="00B90ED6">
        <w:rPr>
          <w:kern w:val="22"/>
          <w:szCs w:val="22"/>
          <w:lang w:val="fr-FR"/>
        </w:rPr>
        <w:t>et, e</w:t>
      </w:r>
      <w:r w:rsidR="00167AD4" w:rsidRPr="00B90ED6">
        <w:rPr>
          <w:kern w:val="22"/>
          <w:szCs w:val="22"/>
          <w:lang w:val="fr-FR"/>
        </w:rPr>
        <w:t xml:space="preserve">n </w:t>
      </w:r>
      <w:r>
        <w:rPr>
          <w:kern w:val="22"/>
          <w:szCs w:val="22"/>
          <w:lang w:val="fr-FR"/>
        </w:rPr>
        <w:t>ré</w:t>
      </w:r>
      <w:r w:rsidR="009D01B3" w:rsidRPr="00B90ED6">
        <w:rPr>
          <w:kern w:val="22"/>
          <w:szCs w:val="22"/>
          <w:lang w:val="fr-FR"/>
        </w:rPr>
        <w:t>ponse</w:t>
      </w:r>
      <w:r>
        <w:rPr>
          <w:kern w:val="22"/>
          <w:szCs w:val="22"/>
          <w:lang w:val="fr-FR"/>
        </w:rPr>
        <w:t xml:space="preserve"> à la dé</w:t>
      </w:r>
      <w:bookmarkStart w:id="1" w:name="START"/>
      <w:bookmarkEnd w:id="1"/>
      <w:r>
        <w:rPr>
          <w:kern w:val="22"/>
          <w:szCs w:val="22"/>
          <w:lang w:val="fr-FR"/>
        </w:rPr>
        <w:t>c</w:t>
      </w:r>
      <w:r w:rsidR="009D01B3" w:rsidRPr="00B90ED6">
        <w:rPr>
          <w:kern w:val="22"/>
          <w:szCs w:val="22"/>
          <w:lang w:val="fr-FR"/>
        </w:rPr>
        <w:t>ision XII/6</w:t>
      </w:r>
      <w:r>
        <w:rPr>
          <w:kern w:val="22"/>
          <w:szCs w:val="22"/>
          <w:lang w:val="fr-FR"/>
        </w:rPr>
        <w:t xml:space="preserve"> de la Conférence des Parties à la CDB et de la ré</w:t>
      </w:r>
      <w:r w:rsidR="009D01B3" w:rsidRPr="00B90ED6">
        <w:rPr>
          <w:kern w:val="22"/>
          <w:szCs w:val="22"/>
          <w:lang w:val="fr-FR"/>
        </w:rPr>
        <w:t>solution 11.10</w:t>
      </w:r>
      <w:r>
        <w:rPr>
          <w:kern w:val="22"/>
          <w:szCs w:val="22"/>
          <w:lang w:val="fr-FR"/>
        </w:rPr>
        <w:t xml:space="preserve"> de la Conférence des Parties à la CMS</w:t>
      </w:r>
      <w:r w:rsidR="00167AD4" w:rsidRPr="00B90ED6">
        <w:rPr>
          <w:kern w:val="22"/>
          <w:szCs w:val="22"/>
          <w:lang w:val="fr-FR"/>
        </w:rPr>
        <w:t xml:space="preserve">, </w:t>
      </w:r>
      <w:r>
        <w:rPr>
          <w:kern w:val="22"/>
          <w:szCs w:val="22"/>
          <w:lang w:val="fr-FR"/>
        </w:rPr>
        <w:t>leur</w:t>
      </w:r>
      <w:r w:rsidR="00167AD4" w:rsidRPr="00B90ED6">
        <w:rPr>
          <w:kern w:val="22"/>
          <w:szCs w:val="22"/>
          <w:lang w:val="fr-FR"/>
        </w:rPr>
        <w:t xml:space="preserve"> contribution</w:t>
      </w:r>
      <w:r>
        <w:rPr>
          <w:kern w:val="22"/>
          <w:szCs w:val="22"/>
          <w:lang w:val="fr-FR"/>
        </w:rPr>
        <w:t xml:space="preserve"> conjointe au processus conduit par les Parties pour </w:t>
      </w:r>
      <w:r w:rsidR="004379F6">
        <w:rPr>
          <w:kern w:val="22"/>
          <w:szCs w:val="22"/>
          <w:lang w:val="fr-FR"/>
        </w:rPr>
        <w:t xml:space="preserve">renforcer </w:t>
      </w:r>
      <w:r>
        <w:rPr>
          <w:kern w:val="22"/>
          <w:szCs w:val="22"/>
          <w:lang w:val="fr-FR"/>
        </w:rPr>
        <w:t>la collaboration et</w:t>
      </w:r>
      <w:r w:rsidR="00167AD4" w:rsidRPr="00B90ED6">
        <w:rPr>
          <w:kern w:val="22"/>
          <w:szCs w:val="22"/>
          <w:lang w:val="fr-FR"/>
        </w:rPr>
        <w:t xml:space="preserve"> </w:t>
      </w:r>
      <w:r w:rsidR="004379F6">
        <w:rPr>
          <w:kern w:val="22"/>
          <w:szCs w:val="22"/>
          <w:lang w:val="fr-FR"/>
        </w:rPr>
        <w:t>améliorer les efficiences entre les</w:t>
      </w:r>
      <w:r w:rsidR="00167AD4" w:rsidRPr="00B90ED6">
        <w:rPr>
          <w:kern w:val="22"/>
          <w:szCs w:val="22"/>
          <w:lang w:val="fr-FR"/>
        </w:rPr>
        <w:t xml:space="preserve"> conventions.</w:t>
      </w:r>
      <w:r w:rsidR="009D01B3" w:rsidRPr="00B90ED6">
        <w:rPr>
          <w:kern w:val="22"/>
          <w:szCs w:val="22"/>
          <w:lang w:val="fr-FR"/>
        </w:rPr>
        <w:t xml:space="preserve"> </w:t>
      </w:r>
      <w:r w:rsidR="00737695">
        <w:rPr>
          <w:kern w:val="22"/>
          <w:szCs w:val="22"/>
          <w:lang w:val="fr-FR"/>
        </w:rPr>
        <w:t>Les activités qui relèvent du Plan de travail conjoint s’inscrivent dans le cadre de leur</w:t>
      </w:r>
      <w:r w:rsidR="009D01B3" w:rsidRPr="00737695">
        <w:rPr>
          <w:kern w:val="22"/>
          <w:szCs w:val="22"/>
          <w:lang w:val="fr-FR"/>
        </w:rPr>
        <w:t xml:space="preserve"> contribution </w:t>
      </w:r>
      <w:r w:rsidR="00737695" w:rsidRPr="00737695">
        <w:rPr>
          <w:kern w:val="22"/>
          <w:szCs w:val="22"/>
          <w:lang w:val="fr-FR"/>
        </w:rPr>
        <w:t>aux</w:t>
      </w:r>
      <w:r w:rsidR="00737695">
        <w:rPr>
          <w:kern w:val="22"/>
          <w:szCs w:val="22"/>
          <w:lang w:val="fr-FR"/>
        </w:rPr>
        <w:t xml:space="preserve"> </w:t>
      </w:r>
      <w:r w:rsidR="00737695" w:rsidRPr="00737695">
        <w:rPr>
          <w:kern w:val="22"/>
          <w:szCs w:val="22"/>
          <w:lang w:val="fr-FR"/>
        </w:rPr>
        <w:t xml:space="preserve">objectifs </w:t>
      </w:r>
      <w:r w:rsidR="00737695">
        <w:rPr>
          <w:kern w:val="22"/>
          <w:szCs w:val="22"/>
          <w:lang w:val="fr-FR"/>
        </w:rPr>
        <w:t>du Plan stratégique 2</w:t>
      </w:r>
      <w:r w:rsidR="009D01B3" w:rsidRPr="00737695">
        <w:rPr>
          <w:kern w:val="22"/>
          <w:szCs w:val="22"/>
          <w:lang w:val="fr-FR"/>
        </w:rPr>
        <w:t>015-2023</w:t>
      </w:r>
      <w:r w:rsidR="00737695">
        <w:rPr>
          <w:kern w:val="22"/>
          <w:szCs w:val="22"/>
          <w:lang w:val="fr-FR"/>
        </w:rPr>
        <w:t xml:space="preserve"> pour les espèces migratrices et les objectifs d’A</w:t>
      </w:r>
      <w:r w:rsidR="009D01B3" w:rsidRPr="00737695">
        <w:rPr>
          <w:kern w:val="22"/>
          <w:szCs w:val="22"/>
          <w:lang w:val="fr-FR"/>
        </w:rPr>
        <w:t>ichi</w:t>
      </w:r>
      <w:r w:rsidR="00737695">
        <w:rPr>
          <w:kern w:val="22"/>
          <w:szCs w:val="22"/>
          <w:lang w:val="fr-FR"/>
        </w:rPr>
        <w:t xml:space="preserve"> pour la biodiversité</w:t>
      </w:r>
      <w:r w:rsidR="009D01B3" w:rsidRPr="00737695">
        <w:rPr>
          <w:kern w:val="22"/>
          <w:szCs w:val="22"/>
          <w:lang w:val="fr-FR"/>
        </w:rPr>
        <w:t xml:space="preserve">. </w:t>
      </w:r>
      <w:r w:rsidR="00737695" w:rsidRPr="00737695">
        <w:rPr>
          <w:kern w:val="22"/>
          <w:szCs w:val="22"/>
          <w:lang w:val="fr-FR"/>
        </w:rPr>
        <w:t>Elles couvrent des domaines tels que les</w:t>
      </w:r>
      <w:r w:rsidR="001E4F89">
        <w:rPr>
          <w:kern w:val="22"/>
          <w:szCs w:val="22"/>
          <w:lang w:val="fr-FR"/>
        </w:rPr>
        <w:t xml:space="preserve"> communications,</w:t>
      </w:r>
      <w:r w:rsidR="009D01B3" w:rsidRPr="00737695">
        <w:rPr>
          <w:kern w:val="22"/>
          <w:szCs w:val="22"/>
          <w:lang w:val="fr-FR"/>
        </w:rPr>
        <w:t xml:space="preserve"> </w:t>
      </w:r>
      <w:r w:rsidR="00737695" w:rsidRPr="00737695">
        <w:rPr>
          <w:kern w:val="22"/>
          <w:szCs w:val="22"/>
          <w:lang w:val="fr-FR"/>
        </w:rPr>
        <w:t>les mesures de conservation fondées sur les zones, les faits nouveaux du secteur de l’</w:t>
      </w:r>
      <w:r w:rsidR="00737695">
        <w:rPr>
          <w:kern w:val="22"/>
          <w:szCs w:val="22"/>
          <w:lang w:val="fr-FR"/>
        </w:rPr>
        <w:t>énergie avec</w:t>
      </w:r>
      <w:r w:rsidR="00737695" w:rsidRPr="00737695">
        <w:rPr>
          <w:kern w:val="22"/>
          <w:szCs w:val="22"/>
          <w:lang w:val="fr-FR"/>
        </w:rPr>
        <w:t xml:space="preserve"> la conservation des espèces migratrices, l’attention réciproque accordée aux questions</w:t>
      </w:r>
      <w:r w:rsidR="00737695">
        <w:rPr>
          <w:kern w:val="22"/>
          <w:szCs w:val="22"/>
          <w:lang w:val="fr-FR"/>
        </w:rPr>
        <w:t xml:space="preserve"> du </w:t>
      </w:r>
      <w:r w:rsidR="009D01B3" w:rsidRPr="00737695">
        <w:rPr>
          <w:kern w:val="22"/>
          <w:szCs w:val="22"/>
          <w:lang w:val="fr-FR"/>
        </w:rPr>
        <w:t xml:space="preserve"> </w:t>
      </w:r>
      <w:r w:rsidR="00737695">
        <w:rPr>
          <w:kern w:val="22"/>
          <w:szCs w:val="22"/>
          <w:lang w:val="fr-FR"/>
        </w:rPr>
        <w:t xml:space="preserve">bruit sous </w:t>
      </w:r>
      <w:r w:rsidR="00311579">
        <w:rPr>
          <w:kern w:val="22"/>
          <w:szCs w:val="22"/>
          <w:lang w:val="fr-FR"/>
        </w:rPr>
        <w:t>l’eau</w:t>
      </w:r>
      <w:r w:rsidR="00737695">
        <w:rPr>
          <w:kern w:val="22"/>
          <w:szCs w:val="22"/>
          <w:lang w:val="fr-FR"/>
        </w:rPr>
        <w:t xml:space="preserve"> et des débris marins dont traitent deux conventions, la gestion </w:t>
      </w:r>
      <w:r w:rsidR="004F1FAD">
        <w:rPr>
          <w:kern w:val="22"/>
          <w:szCs w:val="22"/>
          <w:lang w:val="fr-FR"/>
        </w:rPr>
        <w:t xml:space="preserve">durable </w:t>
      </w:r>
      <w:r w:rsidR="00737695">
        <w:rPr>
          <w:kern w:val="22"/>
          <w:szCs w:val="22"/>
          <w:lang w:val="fr-FR"/>
        </w:rPr>
        <w:t>des pêche</w:t>
      </w:r>
      <w:r w:rsidR="00311579">
        <w:rPr>
          <w:kern w:val="22"/>
          <w:szCs w:val="22"/>
          <w:lang w:val="fr-FR"/>
        </w:rPr>
        <w:t>s</w:t>
      </w:r>
      <w:r w:rsidR="00737695">
        <w:rPr>
          <w:kern w:val="22"/>
          <w:szCs w:val="22"/>
          <w:lang w:val="fr-FR"/>
        </w:rPr>
        <w:t xml:space="preserve"> et de la vie sauvage, la coopération pour ce qui est d’autres aspects pertinents de la biodiversité marine</w:t>
      </w:r>
      <w:r w:rsidR="009D01B3" w:rsidRPr="00737695">
        <w:rPr>
          <w:kern w:val="22"/>
          <w:szCs w:val="22"/>
          <w:lang w:val="fr-FR"/>
        </w:rPr>
        <w:t xml:space="preserve">, </w:t>
      </w:r>
      <w:r w:rsidR="00737695">
        <w:rPr>
          <w:kern w:val="22"/>
          <w:szCs w:val="22"/>
          <w:lang w:val="fr-FR"/>
        </w:rPr>
        <w:t xml:space="preserve">y compris le processus de </w:t>
      </w:r>
      <w:r w:rsidR="009D01B3" w:rsidRPr="00737695">
        <w:rPr>
          <w:kern w:val="22"/>
          <w:szCs w:val="22"/>
          <w:lang w:val="fr-FR"/>
        </w:rPr>
        <w:t xml:space="preserve">description </w:t>
      </w:r>
      <w:r w:rsidR="00737695">
        <w:rPr>
          <w:kern w:val="22"/>
          <w:szCs w:val="22"/>
          <w:lang w:val="fr-FR"/>
        </w:rPr>
        <w:t>des aires marines d’importance écologique ou biologique (AIEB)</w:t>
      </w:r>
      <w:r w:rsidR="009D01B3" w:rsidRPr="00737695">
        <w:rPr>
          <w:kern w:val="22"/>
          <w:szCs w:val="22"/>
          <w:lang w:val="fr-FR"/>
        </w:rPr>
        <w:t xml:space="preserve">. </w:t>
      </w:r>
      <w:r w:rsidR="0021443E" w:rsidRPr="0021443E">
        <w:rPr>
          <w:kern w:val="22"/>
          <w:szCs w:val="22"/>
          <w:lang w:val="fr-FR"/>
        </w:rPr>
        <w:t>S’agissant de ces dernières</w:t>
      </w:r>
      <w:r w:rsidR="009D01B3" w:rsidRPr="0021443E">
        <w:rPr>
          <w:kern w:val="22"/>
          <w:szCs w:val="22"/>
          <w:lang w:val="fr-FR"/>
        </w:rPr>
        <w:t xml:space="preserve">, </w:t>
      </w:r>
      <w:r w:rsidR="0021443E" w:rsidRPr="0021443E">
        <w:rPr>
          <w:kern w:val="22"/>
          <w:szCs w:val="22"/>
          <w:lang w:val="fr-FR"/>
        </w:rPr>
        <w:t>le Bureau de la</w:t>
      </w:r>
      <w:r w:rsidR="00FD4EBA" w:rsidRPr="0021443E">
        <w:rPr>
          <w:kern w:val="22"/>
          <w:szCs w:val="22"/>
          <w:lang w:val="fr-FR"/>
        </w:rPr>
        <w:t xml:space="preserve"> CMS </w:t>
      </w:r>
      <w:r w:rsidR="0021443E" w:rsidRPr="0021443E">
        <w:rPr>
          <w:kern w:val="22"/>
          <w:szCs w:val="22"/>
          <w:lang w:val="fr-FR"/>
        </w:rPr>
        <w:t>à</w:t>
      </w:r>
      <w:r w:rsidR="00C27436" w:rsidRPr="0021443E">
        <w:rPr>
          <w:kern w:val="22"/>
          <w:szCs w:val="22"/>
          <w:lang w:val="fr-FR"/>
        </w:rPr>
        <w:t xml:space="preserve"> </w:t>
      </w:r>
      <w:r w:rsidR="00FD4EBA" w:rsidRPr="0021443E">
        <w:rPr>
          <w:kern w:val="22"/>
          <w:szCs w:val="22"/>
          <w:lang w:val="fr-FR"/>
        </w:rPr>
        <w:t>Abu</w:t>
      </w:r>
      <w:r w:rsidR="00C27436" w:rsidRPr="0021443E">
        <w:rPr>
          <w:kern w:val="22"/>
          <w:szCs w:val="22"/>
          <w:lang w:val="fr-FR"/>
        </w:rPr>
        <w:t> </w:t>
      </w:r>
      <w:r w:rsidR="00FD4EBA" w:rsidRPr="0021443E">
        <w:rPr>
          <w:kern w:val="22"/>
          <w:szCs w:val="22"/>
          <w:lang w:val="fr-FR"/>
        </w:rPr>
        <w:t xml:space="preserve">Dhabi </w:t>
      </w:r>
      <w:r w:rsidR="0021443E" w:rsidRPr="0021443E">
        <w:rPr>
          <w:kern w:val="22"/>
          <w:szCs w:val="22"/>
          <w:lang w:val="fr-FR"/>
        </w:rPr>
        <w:t>a appuyé l’organis</w:t>
      </w:r>
      <w:r w:rsidR="00FD4EBA" w:rsidRPr="0021443E">
        <w:rPr>
          <w:kern w:val="22"/>
          <w:szCs w:val="22"/>
          <w:lang w:val="fr-FR"/>
        </w:rPr>
        <w:t>ation</w:t>
      </w:r>
      <w:r w:rsidR="0021443E" w:rsidRPr="0021443E">
        <w:rPr>
          <w:kern w:val="22"/>
          <w:szCs w:val="22"/>
          <w:lang w:val="fr-FR"/>
        </w:rPr>
        <w:t xml:space="preserve"> en avril 2015 d’un atelier régional de la CDB pour faciliter la description des AIEB dans le nord-ouest de l’océan Indien et les aires adjacentes du Golfe</w:t>
      </w:r>
      <w:r w:rsidR="00FD4EBA" w:rsidRPr="0021443E">
        <w:rPr>
          <w:kern w:val="22"/>
          <w:szCs w:val="22"/>
          <w:lang w:val="fr-FR"/>
        </w:rPr>
        <w:t>.</w:t>
      </w:r>
    </w:p>
    <w:p w:rsidR="004F34CE" w:rsidRPr="0071092C" w:rsidRDefault="0071092C"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71092C">
        <w:rPr>
          <w:kern w:val="22"/>
          <w:szCs w:val="22"/>
          <w:lang w:val="fr-FR"/>
        </w:rPr>
        <w:t>Le Secré</w:t>
      </w:r>
      <w:r w:rsidR="004F34CE" w:rsidRPr="0071092C">
        <w:rPr>
          <w:kern w:val="22"/>
          <w:szCs w:val="22"/>
          <w:lang w:val="fr-FR"/>
        </w:rPr>
        <w:t xml:space="preserve">tariat </w:t>
      </w:r>
      <w:r w:rsidRPr="0071092C">
        <w:rPr>
          <w:kern w:val="22"/>
          <w:szCs w:val="22"/>
          <w:lang w:val="fr-FR"/>
        </w:rPr>
        <w:t xml:space="preserve">de la </w:t>
      </w:r>
      <w:r w:rsidR="0056218C" w:rsidRPr="0071092C">
        <w:rPr>
          <w:kern w:val="22"/>
          <w:szCs w:val="22"/>
          <w:lang w:val="fr-FR"/>
        </w:rPr>
        <w:t xml:space="preserve">Convention </w:t>
      </w:r>
      <w:r>
        <w:rPr>
          <w:kern w:val="22"/>
          <w:szCs w:val="22"/>
          <w:lang w:val="fr-FR"/>
        </w:rPr>
        <w:t>sur la diversité biolog</w:t>
      </w:r>
      <w:r w:rsidRPr="0071092C">
        <w:rPr>
          <w:kern w:val="22"/>
          <w:szCs w:val="22"/>
          <w:lang w:val="fr-FR"/>
        </w:rPr>
        <w:t>ique a organisé avec la</w:t>
      </w:r>
      <w:r w:rsidR="004F34CE" w:rsidRPr="0071092C">
        <w:rPr>
          <w:kern w:val="22"/>
          <w:szCs w:val="22"/>
          <w:lang w:val="fr-FR"/>
        </w:rPr>
        <w:t xml:space="preserve"> </w:t>
      </w:r>
      <w:r w:rsidR="00691E77" w:rsidRPr="0071092C">
        <w:rPr>
          <w:kern w:val="22"/>
          <w:szCs w:val="22"/>
          <w:lang w:val="fr-FR"/>
        </w:rPr>
        <w:t xml:space="preserve">participation </w:t>
      </w:r>
      <w:r w:rsidRPr="0071092C">
        <w:rPr>
          <w:kern w:val="22"/>
          <w:szCs w:val="22"/>
          <w:lang w:val="fr-FR"/>
        </w:rPr>
        <w:t>des</w:t>
      </w:r>
      <w:r w:rsidR="00691E77" w:rsidRPr="0071092C">
        <w:rPr>
          <w:kern w:val="22"/>
          <w:szCs w:val="22"/>
          <w:lang w:val="fr-FR"/>
        </w:rPr>
        <w:t xml:space="preserve"> </w:t>
      </w:r>
      <w:r w:rsidR="000F756F" w:rsidRPr="0071092C">
        <w:rPr>
          <w:kern w:val="22"/>
          <w:szCs w:val="22"/>
          <w:lang w:val="fr-FR"/>
        </w:rPr>
        <w:t>s</w:t>
      </w:r>
      <w:r w:rsidRPr="0071092C">
        <w:rPr>
          <w:kern w:val="22"/>
          <w:szCs w:val="22"/>
          <w:lang w:val="fr-FR"/>
        </w:rPr>
        <w:t>ecré</w:t>
      </w:r>
      <w:r w:rsidR="004F34CE" w:rsidRPr="0071092C">
        <w:rPr>
          <w:kern w:val="22"/>
          <w:szCs w:val="22"/>
          <w:lang w:val="fr-FR"/>
        </w:rPr>
        <w:t xml:space="preserve">tariats </w:t>
      </w:r>
      <w:r w:rsidRPr="0071092C">
        <w:rPr>
          <w:kern w:val="22"/>
          <w:szCs w:val="22"/>
          <w:lang w:val="fr-FR"/>
        </w:rPr>
        <w:t>de la</w:t>
      </w:r>
      <w:r w:rsidR="004F34CE" w:rsidRPr="0071092C">
        <w:rPr>
          <w:kern w:val="22"/>
          <w:szCs w:val="22"/>
          <w:lang w:val="fr-FR"/>
        </w:rPr>
        <w:t xml:space="preserve"> CMS, </w:t>
      </w:r>
      <w:r w:rsidRPr="0071092C">
        <w:rPr>
          <w:kern w:val="22"/>
          <w:szCs w:val="22"/>
          <w:lang w:val="fr-FR"/>
        </w:rPr>
        <w:t xml:space="preserve">de la </w:t>
      </w:r>
      <w:r w:rsidR="004F34CE" w:rsidRPr="0071092C">
        <w:rPr>
          <w:kern w:val="22"/>
          <w:szCs w:val="22"/>
          <w:lang w:val="fr-FR"/>
        </w:rPr>
        <w:t xml:space="preserve">CITES </w:t>
      </w:r>
      <w:r w:rsidRPr="0071092C">
        <w:rPr>
          <w:kern w:val="22"/>
          <w:szCs w:val="22"/>
          <w:lang w:val="fr-FR"/>
        </w:rPr>
        <w:t>et de la Convention de R</w:t>
      </w:r>
      <w:r w:rsidR="004F34CE" w:rsidRPr="0071092C">
        <w:rPr>
          <w:kern w:val="22"/>
          <w:szCs w:val="22"/>
          <w:lang w:val="fr-FR"/>
        </w:rPr>
        <w:t>amsar</w:t>
      </w:r>
      <w:r w:rsidR="0056218C" w:rsidRPr="0071092C">
        <w:rPr>
          <w:kern w:val="22"/>
          <w:szCs w:val="22"/>
          <w:lang w:val="fr-FR"/>
        </w:rPr>
        <w:t>,</w:t>
      </w:r>
      <w:r w:rsidR="004F34CE" w:rsidRPr="0071092C">
        <w:rPr>
          <w:kern w:val="22"/>
          <w:szCs w:val="22"/>
          <w:lang w:val="fr-FR"/>
        </w:rPr>
        <w:t xml:space="preserve"> </w:t>
      </w:r>
      <w:r w:rsidR="003B7EDA">
        <w:rPr>
          <w:kern w:val="22"/>
          <w:szCs w:val="22"/>
          <w:lang w:val="fr-FR"/>
        </w:rPr>
        <w:t>une manifestation parallèle</w:t>
      </w:r>
      <w:r w:rsidR="004F34CE" w:rsidRPr="0071092C">
        <w:rPr>
          <w:kern w:val="22"/>
          <w:szCs w:val="22"/>
          <w:lang w:val="fr-FR"/>
        </w:rPr>
        <w:t xml:space="preserve"> </w:t>
      </w:r>
      <w:r>
        <w:rPr>
          <w:kern w:val="22"/>
          <w:szCs w:val="22"/>
          <w:lang w:val="fr-FR"/>
        </w:rPr>
        <w:t>à la douzième réunion de la</w:t>
      </w:r>
      <w:r w:rsidR="00031441" w:rsidRPr="0071092C">
        <w:rPr>
          <w:kern w:val="22"/>
          <w:szCs w:val="22"/>
          <w:lang w:val="fr-FR"/>
        </w:rPr>
        <w:t xml:space="preserve"> Conférence des Parties</w:t>
      </w:r>
      <w:r w:rsidR="004F34CE" w:rsidRPr="0071092C">
        <w:rPr>
          <w:kern w:val="22"/>
          <w:szCs w:val="22"/>
          <w:lang w:val="fr-FR"/>
        </w:rPr>
        <w:t xml:space="preserve"> </w:t>
      </w:r>
      <w:r>
        <w:rPr>
          <w:kern w:val="22"/>
          <w:szCs w:val="22"/>
          <w:lang w:val="fr-FR"/>
        </w:rPr>
        <w:t xml:space="preserve">à la </w:t>
      </w:r>
      <w:r w:rsidR="004F34CE" w:rsidRPr="0071092C">
        <w:rPr>
          <w:kern w:val="22"/>
          <w:szCs w:val="22"/>
          <w:lang w:val="fr-FR"/>
        </w:rPr>
        <w:t>CMS</w:t>
      </w:r>
      <w:r w:rsidR="00691E77" w:rsidRPr="0071092C">
        <w:rPr>
          <w:kern w:val="22"/>
          <w:szCs w:val="22"/>
          <w:lang w:val="fr-FR"/>
        </w:rPr>
        <w:t>,</w:t>
      </w:r>
      <w:r w:rsidR="004F34CE" w:rsidRPr="0071092C">
        <w:rPr>
          <w:kern w:val="22"/>
          <w:szCs w:val="22"/>
          <w:lang w:val="fr-FR"/>
        </w:rPr>
        <w:t xml:space="preserve"> </w:t>
      </w:r>
      <w:r>
        <w:rPr>
          <w:kern w:val="22"/>
          <w:szCs w:val="22"/>
          <w:lang w:val="fr-FR"/>
        </w:rPr>
        <w:t>portant sur les possibilités qu’ont toutes les</w:t>
      </w:r>
      <w:r w:rsidR="004F34CE" w:rsidRPr="0071092C">
        <w:rPr>
          <w:kern w:val="22"/>
          <w:szCs w:val="22"/>
          <w:lang w:val="fr-FR"/>
        </w:rPr>
        <w:t xml:space="preserve"> </w:t>
      </w:r>
      <w:r w:rsidR="008B0ED2" w:rsidRPr="0071092C">
        <w:rPr>
          <w:kern w:val="22"/>
          <w:szCs w:val="22"/>
          <w:lang w:val="fr-FR"/>
        </w:rPr>
        <w:t>conventions relatives à la diversité biologique</w:t>
      </w:r>
      <w:r w:rsidR="004F34CE" w:rsidRPr="0071092C">
        <w:rPr>
          <w:kern w:val="22"/>
          <w:szCs w:val="22"/>
          <w:lang w:val="fr-FR"/>
        </w:rPr>
        <w:t xml:space="preserve"> </w:t>
      </w:r>
      <w:r>
        <w:rPr>
          <w:kern w:val="22"/>
          <w:szCs w:val="22"/>
          <w:lang w:val="fr-FR"/>
        </w:rPr>
        <w:t xml:space="preserve">de contribuer à l’élaboration du cadre mondial </w:t>
      </w:r>
      <w:r w:rsidR="00087503">
        <w:rPr>
          <w:kern w:val="22"/>
          <w:szCs w:val="22"/>
          <w:lang w:val="fr-FR"/>
        </w:rPr>
        <w:t xml:space="preserve">pour </w:t>
      </w:r>
      <w:r>
        <w:rPr>
          <w:kern w:val="22"/>
          <w:szCs w:val="22"/>
          <w:lang w:val="fr-FR"/>
        </w:rPr>
        <w:t xml:space="preserve">la biodiversité d’après </w:t>
      </w:r>
      <w:r w:rsidR="004F34CE" w:rsidRPr="0071092C">
        <w:rPr>
          <w:kern w:val="22"/>
          <w:szCs w:val="22"/>
          <w:lang w:val="fr-FR"/>
        </w:rPr>
        <w:t xml:space="preserve">2020. </w:t>
      </w:r>
      <w:r w:rsidRPr="0071092C">
        <w:rPr>
          <w:kern w:val="22"/>
          <w:szCs w:val="22"/>
          <w:lang w:val="fr-FR"/>
        </w:rPr>
        <w:t>Le Secré</w:t>
      </w:r>
      <w:r w:rsidR="004F34CE" w:rsidRPr="0071092C">
        <w:rPr>
          <w:kern w:val="22"/>
          <w:szCs w:val="22"/>
          <w:lang w:val="fr-FR"/>
        </w:rPr>
        <w:t xml:space="preserve">tariat </w:t>
      </w:r>
      <w:r w:rsidRPr="0071092C">
        <w:rPr>
          <w:kern w:val="22"/>
          <w:szCs w:val="22"/>
          <w:lang w:val="fr-FR"/>
        </w:rPr>
        <w:t xml:space="preserve">de la </w:t>
      </w:r>
      <w:r w:rsidR="004F34CE" w:rsidRPr="0071092C">
        <w:rPr>
          <w:kern w:val="22"/>
          <w:szCs w:val="22"/>
          <w:lang w:val="fr-FR"/>
        </w:rPr>
        <w:t>Convention</w:t>
      </w:r>
      <w:r w:rsidRPr="0071092C">
        <w:rPr>
          <w:kern w:val="22"/>
          <w:szCs w:val="22"/>
          <w:lang w:val="fr-FR"/>
        </w:rPr>
        <w:t xml:space="preserve"> de Ramsar a organisé avec celui de la CMS</w:t>
      </w:r>
      <w:r w:rsidR="004F34CE" w:rsidRPr="0071092C">
        <w:rPr>
          <w:kern w:val="22"/>
          <w:szCs w:val="22"/>
          <w:lang w:val="fr-FR"/>
        </w:rPr>
        <w:t xml:space="preserve"> </w:t>
      </w:r>
      <w:r w:rsidR="003B7EDA">
        <w:rPr>
          <w:kern w:val="22"/>
          <w:szCs w:val="22"/>
          <w:lang w:val="fr-FR"/>
        </w:rPr>
        <w:t>une</w:t>
      </w:r>
      <w:r w:rsidR="004F34CE" w:rsidRPr="0071092C">
        <w:rPr>
          <w:kern w:val="22"/>
          <w:szCs w:val="22"/>
          <w:lang w:val="fr-FR"/>
        </w:rPr>
        <w:t xml:space="preserve"> </w:t>
      </w:r>
      <w:r w:rsidR="003B7EDA">
        <w:rPr>
          <w:kern w:val="22"/>
          <w:szCs w:val="22"/>
          <w:lang w:val="fr-FR"/>
        </w:rPr>
        <w:t>manifestation parallèle</w:t>
      </w:r>
      <w:r w:rsidR="004F34CE" w:rsidRPr="0071092C">
        <w:rPr>
          <w:kern w:val="22"/>
          <w:szCs w:val="22"/>
          <w:lang w:val="fr-FR"/>
        </w:rPr>
        <w:t xml:space="preserve"> </w:t>
      </w:r>
      <w:r w:rsidRPr="0071092C">
        <w:rPr>
          <w:kern w:val="22"/>
          <w:szCs w:val="22"/>
          <w:lang w:val="fr-FR"/>
        </w:rPr>
        <w:t xml:space="preserve">à la douzième </w:t>
      </w:r>
      <w:r w:rsidR="003B7EDA">
        <w:rPr>
          <w:kern w:val="22"/>
          <w:szCs w:val="22"/>
          <w:lang w:val="fr-FR"/>
        </w:rPr>
        <w:t>ré</w:t>
      </w:r>
      <w:r w:rsidRPr="0071092C">
        <w:rPr>
          <w:kern w:val="22"/>
          <w:szCs w:val="22"/>
          <w:lang w:val="fr-FR"/>
        </w:rPr>
        <w:t xml:space="preserve">union de la </w:t>
      </w:r>
      <w:r w:rsidR="00031441" w:rsidRPr="0071092C">
        <w:rPr>
          <w:kern w:val="22"/>
          <w:szCs w:val="22"/>
          <w:lang w:val="fr-FR"/>
        </w:rPr>
        <w:t>Conférence des Parties</w:t>
      </w:r>
      <w:r w:rsidR="00757672" w:rsidRPr="0071092C">
        <w:rPr>
          <w:kern w:val="22"/>
          <w:szCs w:val="22"/>
          <w:lang w:val="fr-FR"/>
        </w:rPr>
        <w:t xml:space="preserve"> </w:t>
      </w:r>
      <w:r>
        <w:rPr>
          <w:kern w:val="22"/>
          <w:szCs w:val="22"/>
          <w:lang w:val="fr-FR"/>
        </w:rPr>
        <w:t>à la</w:t>
      </w:r>
      <w:r w:rsidR="00757672" w:rsidRPr="0071092C">
        <w:rPr>
          <w:kern w:val="22"/>
          <w:szCs w:val="22"/>
          <w:lang w:val="fr-FR"/>
        </w:rPr>
        <w:t xml:space="preserve"> </w:t>
      </w:r>
      <w:r w:rsidR="004F34CE" w:rsidRPr="0071092C">
        <w:rPr>
          <w:kern w:val="22"/>
          <w:szCs w:val="22"/>
          <w:lang w:val="fr-FR"/>
        </w:rPr>
        <w:t xml:space="preserve">CMS </w:t>
      </w:r>
      <w:r>
        <w:rPr>
          <w:kern w:val="22"/>
          <w:szCs w:val="22"/>
          <w:lang w:val="fr-FR"/>
        </w:rPr>
        <w:t xml:space="preserve">qui portait sur </w:t>
      </w:r>
      <w:r w:rsidR="003B7EDA">
        <w:rPr>
          <w:kern w:val="22"/>
          <w:szCs w:val="22"/>
          <w:lang w:val="fr-FR"/>
        </w:rPr>
        <w:t>des mécanismes concrets pour les synergies</w:t>
      </w:r>
      <w:r w:rsidR="004F34CE" w:rsidRPr="0071092C">
        <w:rPr>
          <w:kern w:val="22"/>
          <w:szCs w:val="22"/>
          <w:lang w:val="fr-FR"/>
        </w:rPr>
        <w:t xml:space="preserve"> </w:t>
      </w:r>
      <w:r w:rsidR="003B7EDA">
        <w:rPr>
          <w:kern w:val="22"/>
          <w:szCs w:val="22"/>
          <w:lang w:val="fr-FR"/>
        </w:rPr>
        <w:t xml:space="preserve">comme l’Initiative régionale </w:t>
      </w:r>
      <w:r w:rsidR="004F34CE" w:rsidRPr="0071092C">
        <w:rPr>
          <w:kern w:val="22"/>
          <w:szCs w:val="22"/>
          <w:lang w:val="fr-FR"/>
        </w:rPr>
        <w:t xml:space="preserve"> Ramsar </w:t>
      </w:r>
      <w:r w:rsidR="003B7EDA">
        <w:rPr>
          <w:kern w:val="22"/>
          <w:szCs w:val="22"/>
          <w:lang w:val="fr-FR"/>
        </w:rPr>
        <w:t>pour les zones humides des hautes Andes et le mémorandum d’accord de la  CMS sur les flamants des hautes Andes</w:t>
      </w:r>
      <w:r w:rsidR="004F34CE" w:rsidRPr="0071092C">
        <w:rPr>
          <w:kern w:val="22"/>
          <w:szCs w:val="22"/>
          <w:lang w:val="fr-FR"/>
        </w:rPr>
        <w:t>.</w:t>
      </w:r>
    </w:p>
    <w:p w:rsidR="008F650F" w:rsidRPr="0021443E" w:rsidRDefault="0021443E"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21443E">
        <w:rPr>
          <w:kern w:val="22"/>
          <w:szCs w:val="22"/>
          <w:lang w:val="fr-FR"/>
        </w:rPr>
        <w:t>Dans le cadre du 5</w:t>
      </w:r>
      <w:r w:rsidRPr="000118AF">
        <w:rPr>
          <w:kern w:val="22"/>
          <w:szCs w:val="22"/>
          <w:vertAlign w:val="superscript"/>
          <w:lang w:val="fr-FR"/>
        </w:rPr>
        <w:t>e</w:t>
      </w:r>
      <w:r w:rsidRPr="0021443E">
        <w:rPr>
          <w:kern w:val="22"/>
          <w:szCs w:val="22"/>
          <w:lang w:val="fr-FR"/>
        </w:rPr>
        <w:t xml:space="preserve"> Plan de travail conjoint 2011-2020 CDB-Ramsar, l</w:t>
      </w:r>
      <w:r w:rsidR="008F650F" w:rsidRPr="0021443E">
        <w:rPr>
          <w:kern w:val="22"/>
          <w:szCs w:val="22"/>
          <w:lang w:val="fr-FR"/>
        </w:rPr>
        <w:t xml:space="preserve">e </w:t>
      </w:r>
      <w:r w:rsidR="00B011D3" w:rsidRPr="0021443E">
        <w:rPr>
          <w:kern w:val="22"/>
          <w:szCs w:val="22"/>
          <w:lang w:val="fr-FR"/>
        </w:rPr>
        <w:t>Secrétariat de la Convention de Ramsar</w:t>
      </w:r>
      <w:r w:rsidR="008F650F" w:rsidRPr="0021443E">
        <w:rPr>
          <w:kern w:val="22"/>
          <w:szCs w:val="22"/>
          <w:lang w:val="fr-FR"/>
        </w:rPr>
        <w:t xml:space="preserve"> </w:t>
      </w:r>
      <w:r w:rsidRPr="0021443E">
        <w:rPr>
          <w:kern w:val="22"/>
          <w:szCs w:val="22"/>
          <w:lang w:val="fr-FR"/>
        </w:rPr>
        <w:t>a continu</w:t>
      </w:r>
      <w:r>
        <w:rPr>
          <w:kern w:val="22"/>
          <w:szCs w:val="22"/>
          <w:lang w:val="fr-FR"/>
        </w:rPr>
        <w:t>é</w:t>
      </w:r>
      <w:r w:rsidRPr="0021443E">
        <w:rPr>
          <w:kern w:val="22"/>
          <w:szCs w:val="22"/>
          <w:lang w:val="fr-FR"/>
        </w:rPr>
        <w:t xml:space="preserve"> de travailler et de renforcer sa </w:t>
      </w:r>
      <w:r w:rsidR="008F650F" w:rsidRPr="0021443E">
        <w:rPr>
          <w:kern w:val="22"/>
          <w:szCs w:val="22"/>
          <w:lang w:val="fr-FR"/>
        </w:rPr>
        <w:t xml:space="preserve">collaboration </w:t>
      </w:r>
      <w:r>
        <w:rPr>
          <w:kern w:val="22"/>
          <w:szCs w:val="22"/>
          <w:lang w:val="fr-FR"/>
        </w:rPr>
        <w:t>avec la</w:t>
      </w:r>
      <w:r w:rsidR="008F650F" w:rsidRPr="0021443E">
        <w:rPr>
          <w:kern w:val="22"/>
          <w:szCs w:val="22"/>
          <w:lang w:val="fr-FR"/>
        </w:rPr>
        <w:t xml:space="preserve"> </w:t>
      </w:r>
      <w:r w:rsidR="00AA126C" w:rsidRPr="0021443E">
        <w:rPr>
          <w:kern w:val="22"/>
          <w:szCs w:val="22"/>
          <w:lang w:val="fr-FR"/>
        </w:rPr>
        <w:t>Convention</w:t>
      </w:r>
      <w:r>
        <w:rPr>
          <w:kern w:val="22"/>
          <w:szCs w:val="22"/>
          <w:lang w:val="fr-FR"/>
        </w:rPr>
        <w:t xml:space="preserve"> sur la diversité biologique,</w:t>
      </w:r>
      <w:r w:rsidR="008F650F" w:rsidRPr="0021443E">
        <w:rPr>
          <w:kern w:val="22"/>
          <w:szCs w:val="22"/>
          <w:lang w:val="fr-FR"/>
        </w:rPr>
        <w:t xml:space="preserve"> </w:t>
      </w:r>
      <w:r>
        <w:rPr>
          <w:kern w:val="22"/>
          <w:szCs w:val="22"/>
          <w:lang w:val="fr-FR"/>
        </w:rPr>
        <w:t>contribuant à divers processus</w:t>
      </w:r>
      <w:r w:rsidR="004F34CE" w:rsidRPr="0021443E">
        <w:rPr>
          <w:kern w:val="22"/>
          <w:szCs w:val="22"/>
          <w:lang w:val="fr-FR"/>
        </w:rPr>
        <w:t xml:space="preserve">, </w:t>
      </w:r>
      <w:r>
        <w:rPr>
          <w:kern w:val="22"/>
          <w:szCs w:val="22"/>
          <w:lang w:val="fr-FR"/>
        </w:rPr>
        <w:t xml:space="preserve">y compris le suivi du Plan stratégique </w:t>
      </w:r>
      <w:r w:rsidR="008F650F" w:rsidRPr="0021443E">
        <w:rPr>
          <w:kern w:val="22"/>
          <w:szCs w:val="22"/>
          <w:lang w:val="fr-FR"/>
        </w:rPr>
        <w:t>2011-2020</w:t>
      </w:r>
      <w:r>
        <w:rPr>
          <w:kern w:val="22"/>
          <w:szCs w:val="22"/>
          <w:lang w:val="fr-FR"/>
        </w:rPr>
        <w:t xml:space="preserve"> pour la diversité biologique</w:t>
      </w:r>
      <w:r w:rsidR="008F650F" w:rsidRPr="0021443E">
        <w:rPr>
          <w:kern w:val="22"/>
          <w:szCs w:val="22"/>
          <w:lang w:val="fr-FR"/>
        </w:rPr>
        <w:t xml:space="preserve">, </w:t>
      </w:r>
      <w:r>
        <w:rPr>
          <w:kern w:val="22"/>
          <w:szCs w:val="22"/>
          <w:lang w:val="fr-FR"/>
        </w:rPr>
        <w:t>les AIE</w:t>
      </w:r>
      <w:r w:rsidR="003A4045">
        <w:rPr>
          <w:kern w:val="22"/>
          <w:szCs w:val="22"/>
          <w:lang w:val="fr-FR"/>
        </w:rPr>
        <w:t>B</w:t>
      </w:r>
      <w:r w:rsidR="008F650F" w:rsidRPr="0021443E">
        <w:rPr>
          <w:kern w:val="22"/>
          <w:szCs w:val="22"/>
          <w:lang w:val="fr-FR"/>
        </w:rPr>
        <w:t xml:space="preserve">, </w:t>
      </w:r>
      <w:r w:rsidR="003A4045">
        <w:rPr>
          <w:kern w:val="22"/>
          <w:szCs w:val="22"/>
          <w:lang w:val="fr-FR"/>
        </w:rPr>
        <w:t xml:space="preserve">les </w:t>
      </w:r>
      <w:r w:rsidR="008F650F" w:rsidRPr="0021443E">
        <w:rPr>
          <w:kern w:val="22"/>
          <w:szCs w:val="22"/>
          <w:lang w:val="fr-FR"/>
        </w:rPr>
        <w:t>synergies</w:t>
      </w:r>
      <w:r w:rsidR="003A4045">
        <w:rPr>
          <w:kern w:val="22"/>
          <w:szCs w:val="22"/>
          <w:lang w:val="fr-FR"/>
        </w:rPr>
        <w:t xml:space="preserve"> et le renforcement des capacités</w:t>
      </w:r>
      <w:r w:rsidR="008F650F" w:rsidRPr="0021443E">
        <w:rPr>
          <w:kern w:val="22"/>
          <w:szCs w:val="22"/>
          <w:lang w:val="fr-FR"/>
        </w:rPr>
        <w:t>.</w:t>
      </w:r>
    </w:p>
    <w:p w:rsidR="008F650F" w:rsidRPr="000118AF" w:rsidRDefault="000118A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0118AF">
        <w:rPr>
          <w:kern w:val="22"/>
          <w:szCs w:val="22"/>
          <w:lang w:val="fr-FR"/>
        </w:rPr>
        <w:t>Comme il re</w:t>
      </w:r>
      <w:r>
        <w:rPr>
          <w:kern w:val="22"/>
          <w:szCs w:val="22"/>
          <w:lang w:val="fr-FR"/>
        </w:rPr>
        <w:t>s</w:t>
      </w:r>
      <w:r w:rsidRPr="000118AF">
        <w:rPr>
          <w:kern w:val="22"/>
          <w:szCs w:val="22"/>
          <w:lang w:val="fr-FR"/>
        </w:rPr>
        <w:t xml:space="preserve">sort de la </w:t>
      </w:r>
      <w:r>
        <w:rPr>
          <w:kern w:val="22"/>
          <w:szCs w:val="22"/>
          <w:lang w:val="fr-FR"/>
        </w:rPr>
        <w:t>déc</w:t>
      </w:r>
      <w:r w:rsidR="008F650F" w:rsidRPr="000118AF">
        <w:rPr>
          <w:kern w:val="22"/>
          <w:szCs w:val="22"/>
          <w:lang w:val="fr-FR"/>
        </w:rPr>
        <w:t>ision</w:t>
      </w:r>
      <w:r>
        <w:rPr>
          <w:kern w:val="22"/>
          <w:szCs w:val="22"/>
          <w:lang w:val="fr-FR"/>
        </w:rPr>
        <w:t xml:space="preserve"> </w:t>
      </w:r>
      <w:r w:rsidR="00D33525">
        <w:fldChar w:fldCharType="begin"/>
      </w:r>
      <w:r w:rsidR="00D33525" w:rsidRPr="00FA2B25">
        <w:rPr>
          <w:lang w:val="fr-CA"/>
        </w:rPr>
        <w:instrText xml:space="preserve"> HYPERLINK "https://www.cbd.int/decision/cop/default.shtml?id=7117" </w:instrText>
      </w:r>
      <w:r w:rsidR="00D33525">
        <w:fldChar w:fldCharType="separate"/>
      </w:r>
      <w:r w:rsidRPr="00823137">
        <w:rPr>
          <w:rStyle w:val="Lienhypertexte"/>
          <w:kern w:val="22"/>
          <w:szCs w:val="22"/>
          <w:lang w:val="fr-FR"/>
        </w:rPr>
        <w:t>III/21</w:t>
      </w:r>
      <w:r w:rsidR="00D33525">
        <w:rPr>
          <w:rStyle w:val="Lienhypertexte"/>
          <w:kern w:val="22"/>
          <w:szCs w:val="22"/>
          <w:lang w:val="fr-FR"/>
        </w:rPr>
        <w:fldChar w:fldCharType="end"/>
      </w:r>
      <w:r>
        <w:rPr>
          <w:kern w:val="22"/>
          <w:szCs w:val="22"/>
          <w:lang w:val="fr-FR"/>
        </w:rPr>
        <w:t xml:space="preserve"> de</w:t>
      </w:r>
      <w:r w:rsidR="000712A5" w:rsidRPr="000118AF">
        <w:rPr>
          <w:kern w:val="22"/>
          <w:szCs w:val="22"/>
          <w:lang w:val="fr-FR"/>
        </w:rPr>
        <w:t xml:space="preserve"> </w:t>
      </w:r>
      <w:r w:rsidR="00031441" w:rsidRPr="000118AF">
        <w:rPr>
          <w:kern w:val="22"/>
          <w:szCs w:val="22"/>
          <w:lang w:val="fr-FR"/>
        </w:rPr>
        <w:t>la Conférence des Parties</w:t>
      </w:r>
      <w:r w:rsidRPr="000118AF">
        <w:rPr>
          <w:kern w:val="22"/>
          <w:szCs w:val="22"/>
          <w:lang w:val="fr-FR"/>
        </w:rPr>
        <w:t xml:space="preserve"> à la</w:t>
      </w:r>
      <w:r w:rsidR="000712A5" w:rsidRPr="000118AF">
        <w:rPr>
          <w:kern w:val="22"/>
          <w:szCs w:val="22"/>
          <w:lang w:val="fr-FR"/>
        </w:rPr>
        <w:t xml:space="preserve"> Convention </w:t>
      </w:r>
      <w:r w:rsidRPr="000118AF">
        <w:rPr>
          <w:kern w:val="22"/>
          <w:szCs w:val="22"/>
          <w:lang w:val="fr-FR"/>
        </w:rPr>
        <w:t>sur la diversité biologique</w:t>
      </w:r>
      <w:r w:rsidR="008F650F" w:rsidRPr="000118AF">
        <w:rPr>
          <w:kern w:val="22"/>
          <w:szCs w:val="22"/>
          <w:lang w:val="fr-FR"/>
        </w:rPr>
        <w:t xml:space="preserve">, </w:t>
      </w:r>
      <w:r>
        <w:rPr>
          <w:kern w:val="22"/>
          <w:szCs w:val="22"/>
          <w:lang w:val="fr-FR"/>
        </w:rPr>
        <w:t>la</w:t>
      </w:r>
      <w:r w:rsidR="008F650F" w:rsidRPr="000118AF">
        <w:rPr>
          <w:kern w:val="22"/>
          <w:szCs w:val="22"/>
          <w:lang w:val="fr-FR"/>
        </w:rPr>
        <w:t xml:space="preserve"> Convention</w:t>
      </w:r>
      <w:r>
        <w:rPr>
          <w:kern w:val="22"/>
          <w:szCs w:val="22"/>
          <w:lang w:val="fr-FR"/>
        </w:rPr>
        <w:t xml:space="preserve"> de Ramsar joue un rôle conducteur pour ce qui est des zones humides </w:t>
      </w:r>
      <w:r w:rsidR="00736C10" w:rsidRPr="000118AF">
        <w:rPr>
          <w:kern w:val="22"/>
          <w:szCs w:val="22"/>
          <w:lang w:val="fr-FR"/>
        </w:rPr>
        <w:t xml:space="preserve">vis-à-vis </w:t>
      </w:r>
      <w:r>
        <w:rPr>
          <w:kern w:val="22"/>
          <w:szCs w:val="22"/>
          <w:lang w:val="fr-FR"/>
        </w:rPr>
        <w:t>de la</w:t>
      </w:r>
      <w:r w:rsidR="005178AB" w:rsidRPr="000118AF">
        <w:rPr>
          <w:kern w:val="22"/>
          <w:szCs w:val="22"/>
          <w:lang w:val="fr-FR"/>
        </w:rPr>
        <w:t xml:space="preserve"> Convention </w:t>
      </w:r>
      <w:r>
        <w:rPr>
          <w:kern w:val="22"/>
          <w:szCs w:val="22"/>
          <w:lang w:val="fr-FR"/>
        </w:rPr>
        <w:t>sur la diversité biologique</w:t>
      </w:r>
      <w:r w:rsidR="008F650F" w:rsidRPr="000118AF">
        <w:rPr>
          <w:kern w:val="22"/>
          <w:szCs w:val="22"/>
          <w:lang w:val="fr-FR"/>
        </w:rPr>
        <w:t xml:space="preserve">. </w:t>
      </w:r>
      <w:r w:rsidRPr="000118AF">
        <w:rPr>
          <w:kern w:val="22"/>
          <w:szCs w:val="22"/>
          <w:lang w:val="fr-FR"/>
        </w:rPr>
        <w:t>Le</w:t>
      </w:r>
      <w:r w:rsidR="008F650F" w:rsidRPr="000118AF">
        <w:rPr>
          <w:kern w:val="22"/>
          <w:szCs w:val="22"/>
          <w:lang w:val="fr-FR"/>
        </w:rPr>
        <w:t xml:space="preserve"> </w:t>
      </w:r>
      <w:r w:rsidR="00B011D3" w:rsidRPr="000118AF">
        <w:rPr>
          <w:kern w:val="22"/>
          <w:szCs w:val="22"/>
          <w:lang w:val="fr-FR"/>
        </w:rPr>
        <w:t>Secrétariat de la Convention de Ramsar</w:t>
      </w:r>
      <w:r w:rsidR="008F650F" w:rsidRPr="000118AF">
        <w:rPr>
          <w:kern w:val="22"/>
          <w:szCs w:val="22"/>
          <w:lang w:val="fr-FR"/>
        </w:rPr>
        <w:t xml:space="preserve"> </w:t>
      </w:r>
      <w:r w:rsidRPr="000118AF">
        <w:rPr>
          <w:kern w:val="22"/>
          <w:szCs w:val="22"/>
          <w:lang w:val="fr-FR"/>
        </w:rPr>
        <w:t>analyse actuellement les rapports nationaux soum</w:t>
      </w:r>
      <w:r w:rsidR="008F650F" w:rsidRPr="000118AF">
        <w:rPr>
          <w:kern w:val="22"/>
          <w:szCs w:val="22"/>
          <w:lang w:val="fr-FR"/>
        </w:rPr>
        <w:t xml:space="preserve">is </w:t>
      </w:r>
      <w:r w:rsidRPr="000118AF">
        <w:rPr>
          <w:kern w:val="22"/>
          <w:szCs w:val="22"/>
          <w:lang w:val="fr-FR"/>
        </w:rPr>
        <w:t>par ses Parties contractantes et il préparera pour sa</w:t>
      </w:r>
      <w:r w:rsidR="008F650F" w:rsidRPr="000118AF">
        <w:rPr>
          <w:kern w:val="22"/>
          <w:szCs w:val="22"/>
          <w:lang w:val="fr-FR"/>
        </w:rPr>
        <w:t xml:space="preserve"> </w:t>
      </w:r>
      <w:r w:rsidR="00F750A3" w:rsidRPr="000118AF">
        <w:rPr>
          <w:kern w:val="22"/>
          <w:szCs w:val="22"/>
          <w:lang w:val="fr-FR"/>
        </w:rPr>
        <w:t>treizième réunion</w:t>
      </w:r>
      <w:r w:rsidR="00836154" w:rsidRPr="000118AF">
        <w:rPr>
          <w:kern w:val="22"/>
          <w:szCs w:val="22"/>
          <w:lang w:val="fr-FR"/>
        </w:rPr>
        <w:t xml:space="preserve"> </w:t>
      </w:r>
      <w:r w:rsidRPr="000118AF">
        <w:rPr>
          <w:kern w:val="22"/>
          <w:szCs w:val="22"/>
          <w:lang w:val="fr-FR"/>
        </w:rPr>
        <w:t>des</w:t>
      </w:r>
      <w:r w:rsidR="00836154" w:rsidRPr="000118AF">
        <w:rPr>
          <w:kern w:val="22"/>
          <w:szCs w:val="22"/>
          <w:lang w:val="fr-FR"/>
        </w:rPr>
        <w:t xml:space="preserve"> Parties</w:t>
      </w:r>
      <w:r w:rsidR="008F650F" w:rsidRPr="000118AF">
        <w:rPr>
          <w:kern w:val="22"/>
          <w:szCs w:val="22"/>
          <w:lang w:val="fr-FR"/>
        </w:rPr>
        <w:t xml:space="preserve"> </w:t>
      </w:r>
      <w:r w:rsidRPr="000118AF">
        <w:rPr>
          <w:kern w:val="22"/>
          <w:szCs w:val="22"/>
          <w:lang w:val="fr-FR"/>
        </w:rPr>
        <w:t>des rapports d’exécution mondiaux et régionaux</w:t>
      </w:r>
      <w:r w:rsidR="008F650F" w:rsidRPr="000118AF">
        <w:rPr>
          <w:kern w:val="22"/>
          <w:szCs w:val="22"/>
          <w:lang w:val="fr-FR"/>
        </w:rPr>
        <w:t xml:space="preserve">, </w:t>
      </w:r>
      <w:r w:rsidRPr="000118AF">
        <w:rPr>
          <w:kern w:val="22"/>
          <w:szCs w:val="22"/>
          <w:lang w:val="fr-FR"/>
        </w:rPr>
        <w:t xml:space="preserve">y compris la </w:t>
      </w:r>
      <w:r w:rsidR="008F650F" w:rsidRPr="000118AF">
        <w:rPr>
          <w:kern w:val="22"/>
          <w:szCs w:val="22"/>
          <w:lang w:val="fr-FR"/>
        </w:rPr>
        <w:t xml:space="preserve">contribution </w:t>
      </w:r>
      <w:r>
        <w:rPr>
          <w:kern w:val="22"/>
          <w:szCs w:val="22"/>
          <w:lang w:val="fr-FR"/>
        </w:rPr>
        <w:t xml:space="preserve">de la </w:t>
      </w:r>
      <w:r w:rsidR="008F650F" w:rsidRPr="000118AF">
        <w:rPr>
          <w:kern w:val="22"/>
          <w:szCs w:val="22"/>
          <w:lang w:val="fr-FR"/>
        </w:rPr>
        <w:t>Convention</w:t>
      </w:r>
      <w:r>
        <w:rPr>
          <w:kern w:val="22"/>
          <w:szCs w:val="22"/>
          <w:lang w:val="fr-FR"/>
        </w:rPr>
        <w:t xml:space="preserve"> de Ramsar à des domaines spécifiques du Plan de travail conjoint et aux objectifs d’Aichi pour la biodiversité</w:t>
      </w:r>
      <w:r w:rsidR="008F650F" w:rsidRPr="000118AF">
        <w:rPr>
          <w:kern w:val="22"/>
          <w:szCs w:val="22"/>
          <w:lang w:val="fr-FR"/>
        </w:rPr>
        <w:t>.</w:t>
      </w:r>
    </w:p>
    <w:p w:rsidR="008E0FD0" w:rsidRPr="00DE5EAE" w:rsidRDefault="00DE5EAE"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DE5EAE">
        <w:rPr>
          <w:kern w:val="22"/>
          <w:szCs w:val="22"/>
          <w:lang w:val="fr-FR"/>
        </w:rPr>
        <w:t xml:space="preserve">Conformément aux décisions pertinentes de leurs organes directeurs, les </w:t>
      </w:r>
      <w:r w:rsidR="00C515B0" w:rsidRPr="00DE5EAE">
        <w:rPr>
          <w:kern w:val="22"/>
          <w:szCs w:val="22"/>
          <w:lang w:val="fr-FR"/>
        </w:rPr>
        <w:t>s</w:t>
      </w:r>
      <w:r w:rsidRPr="00DE5EAE">
        <w:rPr>
          <w:kern w:val="22"/>
          <w:szCs w:val="22"/>
          <w:lang w:val="fr-FR"/>
        </w:rPr>
        <w:t>ecré</w:t>
      </w:r>
      <w:r w:rsidR="008E0FD0" w:rsidRPr="00DE5EAE">
        <w:rPr>
          <w:kern w:val="22"/>
          <w:szCs w:val="22"/>
          <w:lang w:val="fr-FR"/>
        </w:rPr>
        <w:t xml:space="preserve">tariats </w:t>
      </w:r>
      <w:r w:rsidRPr="00DE5EAE">
        <w:rPr>
          <w:kern w:val="22"/>
          <w:szCs w:val="22"/>
          <w:lang w:val="fr-FR"/>
        </w:rPr>
        <w:t xml:space="preserve">de la </w:t>
      </w:r>
      <w:r w:rsidR="008E0FD0" w:rsidRPr="00DE5EAE">
        <w:rPr>
          <w:kern w:val="22"/>
          <w:szCs w:val="22"/>
          <w:lang w:val="fr-FR"/>
        </w:rPr>
        <w:t>Convention</w:t>
      </w:r>
      <w:r w:rsidRPr="00DE5EAE">
        <w:rPr>
          <w:kern w:val="22"/>
          <w:szCs w:val="22"/>
          <w:lang w:val="fr-FR"/>
        </w:rPr>
        <w:t xml:space="preserve"> de Ramsar</w:t>
      </w:r>
      <w:r w:rsidR="008E0FD0" w:rsidRPr="00DE5EAE">
        <w:rPr>
          <w:kern w:val="22"/>
          <w:szCs w:val="22"/>
          <w:lang w:val="fr-FR"/>
        </w:rPr>
        <w:t xml:space="preserve">, </w:t>
      </w:r>
      <w:r w:rsidRPr="00DE5EAE">
        <w:rPr>
          <w:kern w:val="22"/>
          <w:szCs w:val="22"/>
          <w:lang w:val="fr-FR"/>
        </w:rPr>
        <w:t xml:space="preserve">de la CDB et de la CMS </w:t>
      </w:r>
      <w:r w:rsidR="008E0FD0" w:rsidRPr="00DE5EAE">
        <w:rPr>
          <w:kern w:val="22"/>
          <w:szCs w:val="22"/>
          <w:lang w:val="fr-FR"/>
        </w:rPr>
        <w:t xml:space="preserve">CBD and CMS </w:t>
      </w:r>
      <w:r>
        <w:rPr>
          <w:kern w:val="22"/>
          <w:szCs w:val="22"/>
          <w:lang w:val="fr-FR"/>
        </w:rPr>
        <w:t>collaborent dans le domaine de la restauration des écosystèmes des zones humides côtières et dans le contexte de l’initiative</w:t>
      </w:r>
      <w:r w:rsidR="00867462" w:rsidRPr="00DE5EAE">
        <w:rPr>
          <w:kern w:val="22"/>
          <w:szCs w:val="22"/>
          <w:lang w:val="fr-FR"/>
        </w:rPr>
        <w:t xml:space="preserve"> “</w:t>
      </w:r>
      <w:proofErr w:type="spellStart"/>
      <w:r w:rsidR="008E0FD0" w:rsidRPr="00DE5EAE">
        <w:rPr>
          <w:kern w:val="22"/>
          <w:szCs w:val="22"/>
          <w:lang w:val="fr-FR"/>
        </w:rPr>
        <w:t>Caring</w:t>
      </w:r>
      <w:proofErr w:type="spellEnd"/>
      <w:r w:rsidR="008E0FD0" w:rsidRPr="00DE5EAE">
        <w:rPr>
          <w:kern w:val="22"/>
          <w:szCs w:val="22"/>
          <w:lang w:val="fr-FR"/>
        </w:rPr>
        <w:t xml:space="preserve"> for </w:t>
      </w:r>
      <w:proofErr w:type="spellStart"/>
      <w:r w:rsidR="008E0FD0" w:rsidRPr="00DE5EAE">
        <w:rPr>
          <w:kern w:val="22"/>
          <w:szCs w:val="22"/>
          <w:lang w:val="fr-FR"/>
        </w:rPr>
        <w:t>Coasts</w:t>
      </w:r>
      <w:proofErr w:type="spellEnd"/>
      <w:r w:rsidR="00F81ABF" w:rsidRPr="00DE5EAE">
        <w:rPr>
          <w:kern w:val="22"/>
          <w:szCs w:val="22"/>
          <w:lang w:val="fr-FR"/>
        </w:rPr>
        <w:t>”</w:t>
      </w:r>
      <w:r w:rsidR="00282833" w:rsidRPr="00DE5EAE">
        <w:rPr>
          <w:kern w:val="22"/>
          <w:szCs w:val="22"/>
          <w:lang w:val="fr-FR"/>
        </w:rPr>
        <w:t xml:space="preserve">. </w:t>
      </w:r>
      <w:r w:rsidRPr="00DE5EAE">
        <w:rPr>
          <w:kern w:val="22"/>
          <w:szCs w:val="22"/>
          <w:lang w:val="fr-FR"/>
        </w:rPr>
        <w:t xml:space="preserve">En vertu de la Convention pour la protection du </w:t>
      </w:r>
      <w:r>
        <w:rPr>
          <w:kern w:val="22"/>
          <w:szCs w:val="22"/>
          <w:lang w:val="fr-FR"/>
        </w:rPr>
        <w:t>p</w:t>
      </w:r>
      <w:r w:rsidRPr="00DE5EAE">
        <w:rPr>
          <w:kern w:val="22"/>
          <w:szCs w:val="22"/>
          <w:lang w:val="fr-FR"/>
        </w:rPr>
        <w:t>atrimoine mondial</w:t>
      </w:r>
      <w:r w:rsidR="00282833" w:rsidRPr="00DE5EAE">
        <w:rPr>
          <w:kern w:val="22"/>
          <w:szCs w:val="22"/>
          <w:lang w:val="fr-FR"/>
        </w:rPr>
        <w:t xml:space="preserve">, </w:t>
      </w:r>
      <w:r>
        <w:rPr>
          <w:kern w:val="22"/>
          <w:szCs w:val="22"/>
          <w:lang w:val="fr-FR"/>
        </w:rPr>
        <w:t>plusieurs zones humides intertidales ont été désignées comme étant des sites du patrimoine mondial</w:t>
      </w:r>
      <w:r w:rsidR="00282833" w:rsidRPr="00DE5EAE">
        <w:rPr>
          <w:kern w:val="22"/>
          <w:szCs w:val="22"/>
          <w:lang w:val="fr-FR"/>
        </w:rPr>
        <w:t xml:space="preserve">. </w:t>
      </w:r>
      <w:r w:rsidRPr="00DE5EAE">
        <w:rPr>
          <w:kern w:val="22"/>
          <w:szCs w:val="22"/>
          <w:lang w:val="fr-FR"/>
        </w:rPr>
        <w:t>Un suivi sera assuré pour ce qui est de la ré</w:t>
      </w:r>
      <w:r w:rsidR="008A4659" w:rsidRPr="00DE5EAE">
        <w:rPr>
          <w:kern w:val="22"/>
          <w:szCs w:val="22"/>
          <w:lang w:val="fr-FR"/>
        </w:rPr>
        <w:t xml:space="preserve">solution 12.25 </w:t>
      </w:r>
      <w:r w:rsidRPr="00DE5EAE">
        <w:rPr>
          <w:kern w:val="22"/>
          <w:szCs w:val="22"/>
          <w:lang w:val="fr-FR"/>
        </w:rPr>
        <w:t xml:space="preserve">de la </w:t>
      </w:r>
      <w:r w:rsidR="00B64015" w:rsidRPr="00DE5EAE">
        <w:rPr>
          <w:kern w:val="22"/>
          <w:szCs w:val="22"/>
          <w:lang w:val="fr-FR"/>
        </w:rPr>
        <w:t>Conférence des Parties</w:t>
      </w:r>
      <w:r w:rsidRPr="00DE5EAE">
        <w:rPr>
          <w:kern w:val="22"/>
          <w:szCs w:val="22"/>
          <w:lang w:val="fr-FR"/>
        </w:rPr>
        <w:t xml:space="preserve"> de la CMS qui a demandé au Secrétariat de la </w:t>
      </w:r>
      <w:r w:rsidRPr="00DE5EAE">
        <w:rPr>
          <w:kern w:val="22"/>
          <w:szCs w:val="22"/>
          <w:lang w:val="fr-FR"/>
        </w:rPr>
        <w:lastRenderedPageBreak/>
        <w:t>CMS d’</w:t>
      </w:r>
      <w:r w:rsidR="00C775F1" w:rsidRPr="00DE5EAE">
        <w:rPr>
          <w:kern w:val="22"/>
          <w:szCs w:val="22"/>
          <w:lang w:val="fr-FR"/>
        </w:rPr>
        <w:t>explore</w:t>
      </w:r>
      <w:r>
        <w:rPr>
          <w:kern w:val="22"/>
          <w:szCs w:val="22"/>
          <w:lang w:val="fr-FR"/>
        </w:rPr>
        <w:t xml:space="preserve">r avec les secrétariats d’autres accords multilatéraux sur l’environnement la </w:t>
      </w:r>
      <w:r w:rsidR="004B3850">
        <w:rPr>
          <w:kern w:val="22"/>
          <w:szCs w:val="22"/>
          <w:lang w:val="fr-FR"/>
        </w:rPr>
        <w:t>mise en place</w:t>
      </w:r>
      <w:r>
        <w:rPr>
          <w:kern w:val="22"/>
          <w:szCs w:val="22"/>
          <w:lang w:val="fr-FR"/>
        </w:rPr>
        <w:t xml:space="preserve"> d’un</w:t>
      </w:r>
      <w:r w:rsidR="00C775F1" w:rsidRPr="00DE5EAE">
        <w:rPr>
          <w:kern w:val="22"/>
          <w:szCs w:val="22"/>
          <w:lang w:val="fr-FR"/>
        </w:rPr>
        <w:t xml:space="preserve"> </w:t>
      </w:r>
      <w:r w:rsidR="004E4E83" w:rsidRPr="00DE5EAE">
        <w:rPr>
          <w:kern w:val="22"/>
          <w:szCs w:val="22"/>
          <w:lang w:val="fr-FR"/>
        </w:rPr>
        <w:t>“</w:t>
      </w:r>
      <w:r w:rsidR="00E64A5E">
        <w:rPr>
          <w:kern w:val="22"/>
          <w:szCs w:val="22"/>
          <w:lang w:val="fr-FR"/>
        </w:rPr>
        <w:t xml:space="preserve">forum </w:t>
      </w:r>
      <w:r w:rsidR="004B3850">
        <w:rPr>
          <w:kern w:val="22"/>
          <w:szCs w:val="22"/>
          <w:lang w:val="fr-FR"/>
        </w:rPr>
        <w:t xml:space="preserve">sur les zones </w:t>
      </w:r>
      <w:r w:rsidR="00E64A5E">
        <w:rPr>
          <w:kern w:val="22"/>
          <w:szCs w:val="22"/>
          <w:lang w:val="fr-FR"/>
        </w:rPr>
        <w:t>côti</w:t>
      </w:r>
      <w:r w:rsidR="004B3850">
        <w:rPr>
          <w:kern w:val="22"/>
          <w:szCs w:val="22"/>
          <w:lang w:val="fr-FR"/>
        </w:rPr>
        <w:t>ères</w:t>
      </w:r>
      <w:r w:rsidR="004E4E83" w:rsidRPr="00DE5EAE">
        <w:rPr>
          <w:kern w:val="22"/>
          <w:szCs w:val="22"/>
          <w:lang w:val="fr-FR"/>
        </w:rPr>
        <w:t>”</w:t>
      </w:r>
      <w:r w:rsidR="00E64A5E">
        <w:rPr>
          <w:kern w:val="22"/>
          <w:szCs w:val="22"/>
          <w:lang w:val="fr-FR"/>
        </w:rPr>
        <w:t xml:space="preserve"> et demandé au Conseil scientifique de </w:t>
      </w:r>
      <w:r w:rsidR="004B3850">
        <w:rPr>
          <w:kern w:val="22"/>
          <w:szCs w:val="22"/>
          <w:lang w:val="fr-FR"/>
        </w:rPr>
        <w:t>faire appel aux</w:t>
      </w:r>
      <w:r w:rsidR="00E64A5E">
        <w:rPr>
          <w:kern w:val="22"/>
          <w:szCs w:val="22"/>
          <w:lang w:val="fr-FR"/>
        </w:rPr>
        <w:t xml:space="preserve"> organes subsidiaires scientifiques d’autres accords multilatéraux sur l’environnement</w:t>
      </w:r>
      <w:r w:rsidR="00C775F1" w:rsidRPr="00DE5EAE">
        <w:rPr>
          <w:kern w:val="22"/>
          <w:szCs w:val="22"/>
          <w:lang w:val="fr-FR"/>
        </w:rPr>
        <w:t xml:space="preserve"> </w:t>
      </w:r>
      <w:r w:rsidR="00E64A5E">
        <w:rPr>
          <w:kern w:val="22"/>
          <w:szCs w:val="22"/>
          <w:lang w:val="fr-FR"/>
        </w:rPr>
        <w:t xml:space="preserve">afin d’établir un groupe de travail </w:t>
      </w:r>
      <w:r w:rsidR="004B3850">
        <w:rPr>
          <w:kern w:val="22"/>
          <w:szCs w:val="22"/>
          <w:lang w:val="fr-FR"/>
        </w:rPr>
        <w:t>multi-intervenants</w:t>
      </w:r>
      <w:r w:rsidR="00E64A5E">
        <w:rPr>
          <w:kern w:val="22"/>
          <w:szCs w:val="22"/>
          <w:lang w:val="fr-FR"/>
        </w:rPr>
        <w:t xml:space="preserve"> </w:t>
      </w:r>
      <w:r w:rsidR="005805A0">
        <w:rPr>
          <w:kern w:val="22"/>
          <w:szCs w:val="22"/>
          <w:lang w:val="fr-FR"/>
        </w:rPr>
        <w:t xml:space="preserve">dans le cadre du </w:t>
      </w:r>
      <w:r w:rsidR="00E64A5E">
        <w:rPr>
          <w:kern w:val="22"/>
          <w:szCs w:val="22"/>
          <w:lang w:val="fr-FR"/>
        </w:rPr>
        <w:t xml:space="preserve">forum </w:t>
      </w:r>
      <w:r w:rsidR="005805A0">
        <w:rPr>
          <w:kern w:val="22"/>
          <w:szCs w:val="22"/>
          <w:lang w:val="fr-FR"/>
        </w:rPr>
        <w:t>sur les zones côtières</w:t>
      </w:r>
      <w:r w:rsidR="00E64A5E">
        <w:rPr>
          <w:kern w:val="22"/>
          <w:szCs w:val="22"/>
          <w:lang w:val="fr-FR"/>
        </w:rPr>
        <w:t xml:space="preserve"> proposé.</w:t>
      </w:r>
    </w:p>
    <w:p w:rsidR="008F650F" w:rsidRPr="00884DDF" w:rsidRDefault="006E7F0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6E7F0F">
        <w:rPr>
          <w:kern w:val="22"/>
          <w:szCs w:val="22"/>
          <w:lang w:val="fr-FR"/>
        </w:rPr>
        <w:t xml:space="preserve">Le </w:t>
      </w:r>
      <w:r w:rsidR="008F650F" w:rsidRPr="006E7F0F">
        <w:rPr>
          <w:kern w:val="22"/>
          <w:szCs w:val="22"/>
          <w:lang w:val="fr-FR"/>
        </w:rPr>
        <w:t>Centre</w:t>
      </w:r>
      <w:r w:rsidRPr="006E7F0F">
        <w:rPr>
          <w:kern w:val="22"/>
          <w:szCs w:val="22"/>
          <w:lang w:val="fr-FR"/>
        </w:rPr>
        <w:t xml:space="preserve"> du patrimoine mondial et le</w:t>
      </w:r>
      <w:r w:rsidR="008F650F" w:rsidRPr="006E7F0F">
        <w:rPr>
          <w:kern w:val="22"/>
          <w:szCs w:val="22"/>
          <w:lang w:val="fr-FR"/>
        </w:rPr>
        <w:t xml:space="preserve"> </w:t>
      </w:r>
      <w:r w:rsidR="00B011D3" w:rsidRPr="006E7F0F">
        <w:rPr>
          <w:kern w:val="22"/>
          <w:szCs w:val="22"/>
          <w:lang w:val="fr-FR"/>
        </w:rPr>
        <w:t>Secrétariat de la Convention de Ramsar</w:t>
      </w:r>
      <w:r w:rsidR="008F650F" w:rsidRPr="006E7F0F">
        <w:rPr>
          <w:kern w:val="22"/>
          <w:szCs w:val="22"/>
          <w:lang w:val="fr-FR"/>
        </w:rPr>
        <w:t xml:space="preserve"> </w:t>
      </w:r>
      <w:r w:rsidRPr="006E7F0F">
        <w:rPr>
          <w:kern w:val="22"/>
          <w:szCs w:val="22"/>
          <w:lang w:val="fr-FR"/>
        </w:rPr>
        <w:t>ont continu</w:t>
      </w:r>
      <w:r w:rsidR="00087503">
        <w:rPr>
          <w:kern w:val="22"/>
          <w:szCs w:val="22"/>
          <w:lang w:val="fr-FR"/>
        </w:rPr>
        <w:t>é</w:t>
      </w:r>
      <w:r w:rsidRPr="006E7F0F">
        <w:rPr>
          <w:kern w:val="22"/>
          <w:szCs w:val="22"/>
          <w:lang w:val="fr-FR"/>
        </w:rPr>
        <w:t xml:space="preserve"> de contribuer à un projet commun qui s’est terminé avec la</w:t>
      </w:r>
      <w:r>
        <w:rPr>
          <w:kern w:val="22"/>
          <w:szCs w:val="22"/>
          <w:lang w:val="fr-FR"/>
        </w:rPr>
        <w:t xml:space="preserve"> </w:t>
      </w:r>
      <w:r w:rsidR="008F650F" w:rsidRPr="006E7F0F">
        <w:rPr>
          <w:kern w:val="22"/>
          <w:szCs w:val="22"/>
          <w:lang w:val="fr-FR"/>
        </w:rPr>
        <w:t xml:space="preserve">publication </w:t>
      </w:r>
      <w:r>
        <w:rPr>
          <w:kern w:val="22"/>
          <w:szCs w:val="22"/>
          <w:lang w:val="fr-FR"/>
        </w:rPr>
        <w:t>du rapport intitulé</w:t>
      </w:r>
      <w:r w:rsidR="008F650F" w:rsidRPr="006E7F0F">
        <w:rPr>
          <w:kern w:val="22"/>
          <w:szCs w:val="22"/>
          <w:lang w:val="fr-FR"/>
        </w:rPr>
        <w:t xml:space="preserve"> </w:t>
      </w:r>
      <w:proofErr w:type="spellStart"/>
      <w:r w:rsidR="008F650F" w:rsidRPr="006E7F0F">
        <w:rPr>
          <w:i/>
          <w:iCs/>
          <w:kern w:val="22"/>
          <w:szCs w:val="22"/>
          <w:lang w:val="fr-FR"/>
        </w:rPr>
        <w:t>Ramsar</w:t>
      </w:r>
      <w:proofErr w:type="spellEnd"/>
      <w:r w:rsidR="008F650F" w:rsidRPr="006E7F0F">
        <w:rPr>
          <w:i/>
          <w:iCs/>
          <w:kern w:val="22"/>
          <w:szCs w:val="22"/>
          <w:lang w:val="fr-FR"/>
        </w:rPr>
        <w:t xml:space="preserve"> </w:t>
      </w:r>
      <w:r w:rsidR="00D770B5" w:rsidRPr="006E7F0F">
        <w:rPr>
          <w:i/>
          <w:iCs/>
          <w:kern w:val="22"/>
          <w:szCs w:val="22"/>
          <w:lang w:val="fr-FR"/>
        </w:rPr>
        <w:t xml:space="preserve">and </w:t>
      </w:r>
      <w:r w:rsidR="008F650F" w:rsidRPr="006E7F0F">
        <w:rPr>
          <w:i/>
          <w:iCs/>
          <w:kern w:val="22"/>
          <w:szCs w:val="22"/>
          <w:lang w:val="fr-FR"/>
        </w:rPr>
        <w:t xml:space="preserve">World </w:t>
      </w:r>
      <w:proofErr w:type="spellStart"/>
      <w:r w:rsidR="008F650F" w:rsidRPr="006E7F0F">
        <w:rPr>
          <w:i/>
          <w:iCs/>
          <w:kern w:val="22"/>
          <w:szCs w:val="22"/>
          <w:lang w:val="fr-FR"/>
        </w:rPr>
        <w:t>Heritage</w:t>
      </w:r>
      <w:proofErr w:type="spellEnd"/>
      <w:r w:rsidR="008F650F" w:rsidRPr="006E7F0F">
        <w:rPr>
          <w:i/>
          <w:iCs/>
          <w:kern w:val="22"/>
          <w:szCs w:val="22"/>
          <w:lang w:val="fr-FR"/>
        </w:rPr>
        <w:t xml:space="preserve"> Conventions </w:t>
      </w:r>
      <w:proofErr w:type="spellStart"/>
      <w:r w:rsidR="00D770B5" w:rsidRPr="006E7F0F">
        <w:rPr>
          <w:i/>
          <w:iCs/>
          <w:kern w:val="22"/>
          <w:szCs w:val="22"/>
          <w:lang w:val="fr-FR"/>
        </w:rPr>
        <w:t>Converging</w:t>
      </w:r>
      <w:proofErr w:type="spellEnd"/>
      <w:r w:rsidR="00D770B5" w:rsidRPr="006E7F0F">
        <w:rPr>
          <w:i/>
          <w:iCs/>
          <w:kern w:val="22"/>
          <w:szCs w:val="22"/>
          <w:lang w:val="fr-FR"/>
        </w:rPr>
        <w:t xml:space="preserve"> </w:t>
      </w:r>
      <w:proofErr w:type="spellStart"/>
      <w:r w:rsidR="00D770B5" w:rsidRPr="006E7F0F">
        <w:rPr>
          <w:i/>
          <w:iCs/>
          <w:kern w:val="22"/>
          <w:szCs w:val="22"/>
          <w:lang w:val="fr-FR"/>
        </w:rPr>
        <w:t>towards</w:t>
      </w:r>
      <w:proofErr w:type="spellEnd"/>
      <w:r w:rsidR="00D770B5" w:rsidRPr="006E7F0F">
        <w:rPr>
          <w:i/>
          <w:iCs/>
          <w:kern w:val="22"/>
          <w:szCs w:val="22"/>
          <w:lang w:val="fr-FR"/>
        </w:rPr>
        <w:t xml:space="preserve"> </w:t>
      </w:r>
      <w:proofErr w:type="spellStart"/>
      <w:r w:rsidR="00D770B5" w:rsidRPr="006E7F0F">
        <w:rPr>
          <w:i/>
          <w:iCs/>
          <w:kern w:val="22"/>
          <w:szCs w:val="22"/>
          <w:lang w:val="fr-FR"/>
        </w:rPr>
        <w:t>Success</w:t>
      </w:r>
      <w:proofErr w:type="spellEnd"/>
      <w:r w:rsidR="008F650F" w:rsidRPr="00883A1C">
        <w:rPr>
          <w:rStyle w:val="Appelnotedebasdep"/>
          <w:kern w:val="22"/>
          <w:sz w:val="22"/>
          <w:szCs w:val="22"/>
          <w:u w:val="none"/>
          <w:vertAlign w:val="superscript"/>
        </w:rPr>
        <w:footnoteReference w:id="5"/>
      </w:r>
      <w:r>
        <w:rPr>
          <w:i/>
          <w:iCs/>
          <w:kern w:val="22"/>
          <w:szCs w:val="22"/>
          <w:lang w:val="fr-FR"/>
        </w:rPr>
        <w:t>.</w:t>
      </w:r>
      <w:r w:rsidR="008F650F" w:rsidRPr="006E7F0F">
        <w:rPr>
          <w:kern w:val="22"/>
          <w:szCs w:val="22"/>
          <w:lang w:val="fr-FR"/>
        </w:rPr>
        <w:t xml:space="preserve"> </w:t>
      </w:r>
      <w:r w:rsidRPr="006E7F0F">
        <w:rPr>
          <w:kern w:val="22"/>
          <w:szCs w:val="22"/>
          <w:lang w:val="fr-FR"/>
        </w:rPr>
        <w:t>A l’</w:t>
      </w:r>
      <w:r w:rsidR="008F650F" w:rsidRPr="006E7F0F">
        <w:rPr>
          <w:kern w:val="22"/>
          <w:szCs w:val="22"/>
          <w:lang w:val="fr-FR"/>
        </w:rPr>
        <w:t xml:space="preserve">occasion </w:t>
      </w:r>
      <w:r w:rsidRPr="006E7F0F">
        <w:rPr>
          <w:kern w:val="22"/>
          <w:szCs w:val="22"/>
          <w:lang w:val="fr-FR"/>
        </w:rPr>
        <w:t>de la publication de ce rapport en 2</w:t>
      </w:r>
      <w:r w:rsidR="008F650F" w:rsidRPr="006E7F0F">
        <w:rPr>
          <w:kern w:val="22"/>
          <w:szCs w:val="22"/>
          <w:lang w:val="fr-FR"/>
        </w:rPr>
        <w:t xml:space="preserve">017, </w:t>
      </w:r>
      <w:r w:rsidRPr="006E7F0F">
        <w:rPr>
          <w:kern w:val="22"/>
          <w:szCs w:val="22"/>
          <w:lang w:val="fr-FR"/>
        </w:rPr>
        <w:t>le</w:t>
      </w:r>
      <w:r>
        <w:rPr>
          <w:kern w:val="22"/>
          <w:szCs w:val="22"/>
          <w:lang w:val="fr-FR"/>
        </w:rPr>
        <w:t xml:space="preserve"> </w:t>
      </w:r>
      <w:r w:rsidR="008F650F" w:rsidRPr="006E7F0F">
        <w:rPr>
          <w:kern w:val="22"/>
          <w:szCs w:val="22"/>
          <w:lang w:val="fr-FR"/>
        </w:rPr>
        <w:t xml:space="preserve">Centre </w:t>
      </w:r>
      <w:r>
        <w:rPr>
          <w:kern w:val="22"/>
          <w:szCs w:val="22"/>
          <w:lang w:val="fr-FR"/>
        </w:rPr>
        <w:t>a lancé un nouveau site web pour donner des informations sur la coopération entre le Centre du patrimoine mondial et le</w:t>
      </w:r>
      <w:r w:rsidR="008F650F" w:rsidRPr="006E7F0F">
        <w:rPr>
          <w:kern w:val="22"/>
          <w:szCs w:val="22"/>
          <w:lang w:val="fr-FR"/>
        </w:rPr>
        <w:t xml:space="preserve"> </w:t>
      </w:r>
      <w:r w:rsidR="00B011D3" w:rsidRPr="006E7F0F">
        <w:rPr>
          <w:kern w:val="22"/>
          <w:szCs w:val="22"/>
          <w:lang w:val="fr-FR"/>
        </w:rPr>
        <w:t>Secrétariat de la Convention de Ramsar</w:t>
      </w:r>
      <w:r w:rsidR="008F650F" w:rsidRPr="00883A1C">
        <w:rPr>
          <w:rStyle w:val="Appelnotedebasdep"/>
          <w:kern w:val="22"/>
          <w:sz w:val="22"/>
          <w:szCs w:val="22"/>
          <w:u w:val="none"/>
          <w:vertAlign w:val="superscript"/>
        </w:rPr>
        <w:footnoteReference w:id="6"/>
      </w:r>
      <w:r w:rsidRPr="006E7F0F">
        <w:rPr>
          <w:kern w:val="22"/>
          <w:szCs w:val="22"/>
          <w:lang w:val="fr-FR"/>
        </w:rPr>
        <w:t>.</w:t>
      </w:r>
      <w:r w:rsidR="008F650F" w:rsidRPr="006E7F0F">
        <w:rPr>
          <w:kern w:val="22"/>
          <w:szCs w:val="22"/>
          <w:lang w:val="fr-FR"/>
        </w:rPr>
        <w:t xml:space="preserve"> </w:t>
      </w:r>
      <w:r>
        <w:rPr>
          <w:kern w:val="22"/>
          <w:szCs w:val="22"/>
          <w:lang w:val="fr-FR"/>
        </w:rPr>
        <w:t xml:space="preserve"> Le rapport montre par le biais d’ét</w:t>
      </w:r>
      <w:r w:rsidR="002853BD">
        <w:rPr>
          <w:kern w:val="22"/>
          <w:szCs w:val="22"/>
          <w:lang w:val="fr-FR"/>
        </w:rPr>
        <w:t>u</w:t>
      </w:r>
      <w:r>
        <w:rPr>
          <w:kern w:val="22"/>
          <w:szCs w:val="22"/>
          <w:lang w:val="fr-FR"/>
        </w:rPr>
        <w:t xml:space="preserve">des de cas comment la </w:t>
      </w:r>
      <w:r w:rsidR="008F650F" w:rsidRPr="006E7F0F">
        <w:rPr>
          <w:kern w:val="22"/>
          <w:szCs w:val="22"/>
          <w:lang w:val="fr-FR"/>
        </w:rPr>
        <w:t xml:space="preserve">conservation </w:t>
      </w:r>
      <w:r>
        <w:rPr>
          <w:kern w:val="22"/>
          <w:szCs w:val="22"/>
          <w:lang w:val="fr-FR"/>
        </w:rPr>
        <w:t>des valeurs culturelles et naturelles peut bénéficier de désignations doubles en vertu des conventions de</w:t>
      </w:r>
      <w:r w:rsidR="008F650F" w:rsidRPr="006E7F0F">
        <w:rPr>
          <w:kern w:val="22"/>
          <w:szCs w:val="22"/>
          <w:lang w:val="fr-FR"/>
        </w:rPr>
        <w:t xml:space="preserve"> Ramsar </w:t>
      </w:r>
      <w:r>
        <w:rPr>
          <w:kern w:val="22"/>
          <w:szCs w:val="22"/>
          <w:lang w:val="fr-FR"/>
        </w:rPr>
        <w:t>et de celle du patrimoine mondial et comment</w:t>
      </w:r>
      <w:r w:rsidR="00884DDF">
        <w:rPr>
          <w:kern w:val="22"/>
          <w:szCs w:val="22"/>
          <w:lang w:val="fr-FR"/>
        </w:rPr>
        <w:t xml:space="preserve"> la participation des communautés peut c</w:t>
      </w:r>
      <w:r w:rsidR="008F650F" w:rsidRPr="006E7F0F">
        <w:rPr>
          <w:kern w:val="22"/>
          <w:szCs w:val="22"/>
          <w:lang w:val="fr-FR"/>
        </w:rPr>
        <w:t>ontribu</w:t>
      </w:r>
      <w:r w:rsidR="00884DDF">
        <w:rPr>
          <w:kern w:val="22"/>
          <w:szCs w:val="22"/>
          <w:lang w:val="fr-FR"/>
        </w:rPr>
        <w:t>er à des résultats positifs en matière de</w:t>
      </w:r>
      <w:r w:rsidR="008F650F" w:rsidRPr="006E7F0F">
        <w:rPr>
          <w:kern w:val="22"/>
          <w:szCs w:val="22"/>
          <w:lang w:val="fr-FR"/>
        </w:rPr>
        <w:t xml:space="preserve"> conservation. </w:t>
      </w:r>
      <w:r w:rsidR="00884DDF" w:rsidRPr="00884DDF">
        <w:rPr>
          <w:kern w:val="22"/>
          <w:szCs w:val="22"/>
          <w:lang w:val="fr-FR"/>
        </w:rPr>
        <w:t>Le projet conjoint s’est inspiré de la récente étude de l’UICN</w:t>
      </w:r>
      <w:r w:rsidR="008F650F" w:rsidRPr="00884DDF">
        <w:rPr>
          <w:kern w:val="22"/>
          <w:szCs w:val="22"/>
          <w:lang w:val="fr-FR"/>
        </w:rPr>
        <w:t xml:space="preserve"> </w:t>
      </w:r>
      <w:proofErr w:type="spellStart"/>
      <w:r w:rsidR="008F650F" w:rsidRPr="00884DDF">
        <w:rPr>
          <w:i/>
          <w:iCs/>
          <w:kern w:val="22"/>
          <w:szCs w:val="22"/>
          <w:lang w:val="fr-FR"/>
        </w:rPr>
        <w:t>Managing</w:t>
      </w:r>
      <w:proofErr w:type="spellEnd"/>
      <w:r w:rsidR="008F650F" w:rsidRPr="00884DDF">
        <w:rPr>
          <w:i/>
          <w:iCs/>
          <w:kern w:val="22"/>
          <w:szCs w:val="22"/>
          <w:lang w:val="fr-FR"/>
        </w:rPr>
        <w:t xml:space="preserve"> </w:t>
      </w:r>
      <w:proofErr w:type="spellStart"/>
      <w:r w:rsidR="008F650F" w:rsidRPr="00884DDF">
        <w:rPr>
          <w:i/>
          <w:iCs/>
          <w:kern w:val="22"/>
          <w:szCs w:val="22"/>
          <w:lang w:val="fr-FR"/>
        </w:rPr>
        <w:t>MIDAs</w:t>
      </w:r>
      <w:proofErr w:type="spellEnd"/>
      <w:r w:rsidR="008F650F" w:rsidRPr="00884DDF">
        <w:rPr>
          <w:i/>
          <w:iCs/>
          <w:kern w:val="22"/>
          <w:szCs w:val="22"/>
          <w:lang w:val="fr-FR"/>
        </w:rPr>
        <w:t xml:space="preserve"> - </w:t>
      </w:r>
      <w:proofErr w:type="spellStart"/>
      <w:r w:rsidR="008F650F" w:rsidRPr="00884DDF">
        <w:rPr>
          <w:i/>
          <w:iCs/>
          <w:kern w:val="22"/>
          <w:szCs w:val="22"/>
          <w:lang w:val="fr-FR"/>
        </w:rPr>
        <w:t>Harmonising</w:t>
      </w:r>
      <w:proofErr w:type="spellEnd"/>
      <w:r w:rsidR="008F650F" w:rsidRPr="00884DDF">
        <w:rPr>
          <w:i/>
          <w:iCs/>
          <w:kern w:val="22"/>
          <w:szCs w:val="22"/>
          <w:lang w:val="fr-FR"/>
        </w:rPr>
        <w:t xml:space="preserve"> the </w:t>
      </w:r>
      <w:r w:rsidR="009134B0" w:rsidRPr="00884DDF">
        <w:rPr>
          <w:i/>
          <w:iCs/>
          <w:kern w:val="22"/>
          <w:szCs w:val="22"/>
          <w:lang w:val="fr-FR"/>
        </w:rPr>
        <w:t xml:space="preserve">Management </w:t>
      </w:r>
      <w:r w:rsidR="008F650F" w:rsidRPr="00884DDF">
        <w:rPr>
          <w:i/>
          <w:iCs/>
          <w:kern w:val="22"/>
          <w:szCs w:val="22"/>
          <w:lang w:val="fr-FR"/>
        </w:rPr>
        <w:t>of Multi-</w:t>
      </w:r>
      <w:proofErr w:type="spellStart"/>
      <w:r w:rsidR="008F650F" w:rsidRPr="00884DDF">
        <w:rPr>
          <w:i/>
          <w:iCs/>
          <w:kern w:val="22"/>
          <w:szCs w:val="22"/>
          <w:lang w:val="fr-FR"/>
        </w:rPr>
        <w:t>Internationally</w:t>
      </w:r>
      <w:proofErr w:type="spellEnd"/>
      <w:r w:rsidR="008F650F" w:rsidRPr="00884DDF">
        <w:rPr>
          <w:i/>
          <w:iCs/>
          <w:kern w:val="22"/>
          <w:szCs w:val="22"/>
          <w:lang w:val="fr-FR"/>
        </w:rPr>
        <w:t xml:space="preserve"> </w:t>
      </w:r>
      <w:proofErr w:type="spellStart"/>
      <w:r w:rsidR="008F650F" w:rsidRPr="00884DDF">
        <w:rPr>
          <w:i/>
          <w:iCs/>
          <w:kern w:val="22"/>
          <w:szCs w:val="22"/>
          <w:lang w:val="fr-FR"/>
        </w:rPr>
        <w:t>Designated</w:t>
      </w:r>
      <w:proofErr w:type="spellEnd"/>
      <w:r w:rsidR="008F650F" w:rsidRPr="00884DDF">
        <w:rPr>
          <w:i/>
          <w:iCs/>
          <w:kern w:val="22"/>
          <w:szCs w:val="22"/>
          <w:lang w:val="fr-FR"/>
        </w:rPr>
        <w:t xml:space="preserve"> Areas: </w:t>
      </w:r>
      <w:proofErr w:type="spellStart"/>
      <w:r w:rsidR="008F650F" w:rsidRPr="00884DDF">
        <w:rPr>
          <w:i/>
          <w:iCs/>
          <w:kern w:val="22"/>
          <w:szCs w:val="22"/>
          <w:lang w:val="fr-FR"/>
        </w:rPr>
        <w:t>Ramsar</w:t>
      </w:r>
      <w:proofErr w:type="spellEnd"/>
      <w:r w:rsidR="008F650F" w:rsidRPr="00884DDF">
        <w:rPr>
          <w:i/>
          <w:iCs/>
          <w:kern w:val="22"/>
          <w:szCs w:val="22"/>
          <w:lang w:val="fr-FR"/>
        </w:rPr>
        <w:t xml:space="preserve"> Sites, World </w:t>
      </w:r>
      <w:proofErr w:type="spellStart"/>
      <w:r w:rsidR="008F650F" w:rsidRPr="00884DDF">
        <w:rPr>
          <w:i/>
          <w:iCs/>
          <w:kern w:val="22"/>
          <w:szCs w:val="22"/>
          <w:lang w:val="fr-FR"/>
        </w:rPr>
        <w:t>Heritage</w:t>
      </w:r>
      <w:proofErr w:type="spellEnd"/>
      <w:r w:rsidR="008F650F" w:rsidRPr="00884DDF">
        <w:rPr>
          <w:i/>
          <w:iCs/>
          <w:kern w:val="22"/>
          <w:szCs w:val="22"/>
          <w:lang w:val="fr-FR"/>
        </w:rPr>
        <w:t xml:space="preserve"> sites, </w:t>
      </w:r>
      <w:proofErr w:type="spellStart"/>
      <w:r w:rsidR="008F650F" w:rsidRPr="00884DDF">
        <w:rPr>
          <w:i/>
          <w:iCs/>
          <w:kern w:val="22"/>
          <w:szCs w:val="22"/>
          <w:lang w:val="fr-FR"/>
        </w:rPr>
        <w:t>Biosphere</w:t>
      </w:r>
      <w:proofErr w:type="spellEnd"/>
      <w:r w:rsidR="008F650F" w:rsidRPr="00884DDF">
        <w:rPr>
          <w:i/>
          <w:iCs/>
          <w:kern w:val="22"/>
          <w:szCs w:val="22"/>
          <w:lang w:val="fr-FR"/>
        </w:rPr>
        <w:t xml:space="preserve"> </w:t>
      </w:r>
      <w:proofErr w:type="spellStart"/>
      <w:r w:rsidR="008F650F" w:rsidRPr="00884DDF">
        <w:rPr>
          <w:i/>
          <w:iCs/>
          <w:kern w:val="22"/>
          <w:szCs w:val="22"/>
          <w:lang w:val="fr-FR"/>
        </w:rPr>
        <w:t>Reserves</w:t>
      </w:r>
      <w:proofErr w:type="spellEnd"/>
      <w:r w:rsidR="008F650F" w:rsidRPr="00884DDF">
        <w:rPr>
          <w:i/>
          <w:iCs/>
          <w:kern w:val="22"/>
          <w:szCs w:val="22"/>
          <w:lang w:val="fr-FR"/>
        </w:rPr>
        <w:t xml:space="preserve"> and UNESCO Global </w:t>
      </w:r>
      <w:proofErr w:type="spellStart"/>
      <w:r w:rsidR="008F650F" w:rsidRPr="00884DDF">
        <w:rPr>
          <w:i/>
          <w:iCs/>
          <w:kern w:val="22"/>
          <w:szCs w:val="22"/>
          <w:lang w:val="fr-FR"/>
        </w:rPr>
        <w:t>Geoparks</w:t>
      </w:r>
      <w:proofErr w:type="spellEnd"/>
      <w:r w:rsidR="008F650F" w:rsidRPr="00883A1C">
        <w:rPr>
          <w:rStyle w:val="Appelnotedebasdep"/>
          <w:kern w:val="22"/>
          <w:sz w:val="22"/>
          <w:szCs w:val="22"/>
          <w:u w:val="none"/>
          <w:vertAlign w:val="superscript"/>
        </w:rPr>
        <w:footnoteReference w:id="7"/>
      </w:r>
      <w:r w:rsidR="00884DDF" w:rsidRPr="00884DDF">
        <w:rPr>
          <w:i/>
          <w:iCs/>
          <w:kern w:val="22"/>
          <w:szCs w:val="22"/>
          <w:lang w:val="fr-FR"/>
        </w:rPr>
        <w:t>,</w:t>
      </w:r>
      <w:r w:rsidR="008F650F" w:rsidRPr="00884DDF">
        <w:rPr>
          <w:kern w:val="22"/>
          <w:szCs w:val="22"/>
          <w:lang w:val="fr-FR"/>
        </w:rPr>
        <w:t xml:space="preserve"> </w:t>
      </w:r>
      <w:r w:rsidR="00884DDF" w:rsidRPr="00884DDF">
        <w:rPr>
          <w:kern w:val="22"/>
          <w:szCs w:val="22"/>
          <w:lang w:val="fr-FR"/>
        </w:rPr>
        <w:t>publiée en</w:t>
      </w:r>
      <w:r w:rsidR="008F650F" w:rsidRPr="00884DDF">
        <w:rPr>
          <w:kern w:val="22"/>
          <w:szCs w:val="22"/>
          <w:lang w:val="fr-FR"/>
        </w:rPr>
        <w:t xml:space="preserve"> 2016, </w:t>
      </w:r>
      <w:r w:rsidR="00884DDF" w:rsidRPr="00884DDF">
        <w:rPr>
          <w:kern w:val="22"/>
          <w:szCs w:val="22"/>
          <w:lang w:val="fr-FR"/>
        </w:rPr>
        <w:t xml:space="preserve">et il s’est donné pour cible l’identification des possibilités de renforcer les </w:t>
      </w:r>
      <w:r w:rsidR="008F650F" w:rsidRPr="00884DDF">
        <w:rPr>
          <w:kern w:val="22"/>
          <w:szCs w:val="22"/>
          <w:lang w:val="fr-FR"/>
        </w:rPr>
        <w:t>synergies a</w:t>
      </w:r>
      <w:r w:rsidR="00884DDF">
        <w:rPr>
          <w:kern w:val="22"/>
          <w:szCs w:val="22"/>
          <w:lang w:val="fr-FR"/>
        </w:rPr>
        <w:t>ux niveaux local et régional</w:t>
      </w:r>
      <w:r w:rsidR="008F650F" w:rsidRPr="00884DDF">
        <w:rPr>
          <w:kern w:val="22"/>
          <w:szCs w:val="22"/>
          <w:lang w:val="fr-FR"/>
        </w:rPr>
        <w:t xml:space="preserve">, </w:t>
      </w:r>
      <w:r w:rsidR="00884DDF">
        <w:rPr>
          <w:kern w:val="22"/>
          <w:szCs w:val="22"/>
          <w:lang w:val="fr-FR"/>
        </w:rPr>
        <w:t>y compris pour ce qui est de multiples zones préservées à l’échelle internationale</w:t>
      </w:r>
      <w:r w:rsidR="008F650F" w:rsidRPr="00884DDF">
        <w:rPr>
          <w:kern w:val="22"/>
          <w:szCs w:val="22"/>
          <w:lang w:val="fr-FR"/>
        </w:rPr>
        <w:t xml:space="preserve">, </w:t>
      </w:r>
      <w:r w:rsidR="00884DDF">
        <w:rPr>
          <w:kern w:val="22"/>
          <w:szCs w:val="22"/>
          <w:lang w:val="fr-FR"/>
        </w:rPr>
        <w:t>ce qui correspond également à la dé</w:t>
      </w:r>
      <w:r w:rsidR="008F650F" w:rsidRPr="00884DDF">
        <w:rPr>
          <w:kern w:val="22"/>
          <w:szCs w:val="22"/>
          <w:lang w:val="fr-FR"/>
        </w:rPr>
        <w:t>cision XIII/24</w:t>
      </w:r>
      <w:r w:rsidR="006B3095" w:rsidRPr="00884DDF">
        <w:rPr>
          <w:kern w:val="22"/>
          <w:szCs w:val="22"/>
          <w:lang w:val="fr-FR"/>
        </w:rPr>
        <w:t> </w:t>
      </w:r>
      <w:r w:rsidR="008F650F" w:rsidRPr="00884DDF">
        <w:rPr>
          <w:kern w:val="22"/>
          <w:szCs w:val="22"/>
          <w:lang w:val="fr-FR"/>
        </w:rPr>
        <w:t>B</w:t>
      </w:r>
      <w:r w:rsidR="00884DDF">
        <w:rPr>
          <w:kern w:val="22"/>
          <w:szCs w:val="22"/>
          <w:lang w:val="fr-FR"/>
        </w:rPr>
        <w:t xml:space="preserve"> de la CDB</w:t>
      </w:r>
      <w:r w:rsidR="008F650F" w:rsidRPr="00884DDF">
        <w:rPr>
          <w:kern w:val="22"/>
          <w:szCs w:val="22"/>
          <w:lang w:val="fr-FR"/>
        </w:rPr>
        <w:t>.</w:t>
      </w:r>
    </w:p>
    <w:p w:rsidR="00691E77" w:rsidRPr="00E208C5" w:rsidRDefault="00884DD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0A6E9F">
        <w:rPr>
          <w:kern w:val="22"/>
          <w:szCs w:val="22"/>
          <w:lang w:val="fr-FR"/>
        </w:rPr>
        <w:t xml:space="preserve">Le </w:t>
      </w:r>
      <w:r w:rsidR="00691E77" w:rsidRPr="000A6E9F">
        <w:rPr>
          <w:kern w:val="22"/>
          <w:szCs w:val="22"/>
          <w:lang w:val="fr-FR"/>
        </w:rPr>
        <w:t>Centre</w:t>
      </w:r>
      <w:r w:rsidRPr="000A6E9F">
        <w:rPr>
          <w:kern w:val="22"/>
          <w:szCs w:val="22"/>
          <w:lang w:val="fr-FR"/>
        </w:rPr>
        <w:t xml:space="preserve"> du patrimoine mondial a continué de coopérer étroitement </w:t>
      </w:r>
      <w:r w:rsidR="000A6E9F" w:rsidRPr="000A6E9F">
        <w:rPr>
          <w:kern w:val="22"/>
          <w:szCs w:val="22"/>
          <w:lang w:val="fr-FR"/>
        </w:rPr>
        <w:t>à l’</w:t>
      </w:r>
      <w:r w:rsidR="002853BD">
        <w:rPr>
          <w:kern w:val="22"/>
          <w:szCs w:val="22"/>
          <w:lang w:val="fr-FR"/>
        </w:rPr>
        <w:t>"</w:t>
      </w:r>
      <w:r w:rsidR="000A6E9F" w:rsidRPr="000A6E9F">
        <w:rPr>
          <w:kern w:val="22"/>
          <w:szCs w:val="22"/>
          <w:lang w:val="fr-FR"/>
        </w:rPr>
        <w:t>état de</w:t>
      </w:r>
      <w:r w:rsidR="00691E77" w:rsidRPr="000A6E9F">
        <w:rPr>
          <w:kern w:val="22"/>
          <w:szCs w:val="22"/>
          <w:lang w:val="fr-FR"/>
        </w:rPr>
        <w:t xml:space="preserve"> </w:t>
      </w:r>
      <w:r w:rsidR="00041574" w:rsidRPr="000A6E9F">
        <w:rPr>
          <w:kern w:val="22"/>
          <w:szCs w:val="22"/>
          <w:lang w:val="fr-FR"/>
        </w:rPr>
        <w:t>c</w:t>
      </w:r>
      <w:r w:rsidR="00691E77" w:rsidRPr="000A6E9F">
        <w:rPr>
          <w:kern w:val="22"/>
          <w:szCs w:val="22"/>
          <w:lang w:val="fr-FR"/>
        </w:rPr>
        <w:t>onservation</w:t>
      </w:r>
      <w:r w:rsidR="00FC1A34" w:rsidRPr="000A6E9F">
        <w:rPr>
          <w:kern w:val="22"/>
          <w:szCs w:val="22"/>
          <w:lang w:val="fr-FR"/>
        </w:rPr>
        <w:t>”</w:t>
      </w:r>
      <w:r w:rsidR="00691E77" w:rsidRPr="000A6E9F">
        <w:rPr>
          <w:kern w:val="22"/>
          <w:szCs w:val="22"/>
          <w:lang w:val="fr-FR"/>
        </w:rPr>
        <w:t xml:space="preserve"> </w:t>
      </w:r>
      <w:r w:rsidR="000A6E9F" w:rsidRPr="000A6E9F">
        <w:rPr>
          <w:kern w:val="22"/>
          <w:szCs w:val="22"/>
          <w:lang w:val="fr-FR"/>
        </w:rPr>
        <w:t>de plusieurs propriétés</w:t>
      </w:r>
      <w:r w:rsidR="000A6E9F">
        <w:rPr>
          <w:kern w:val="22"/>
          <w:szCs w:val="22"/>
          <w:lang w:val="fr-FR"/>
        </w:rPr>
        <w:t xml:space="preserve"> qui sont fortement touchées par les</w:t>
      </w:r>
      <w:r w:rsidR="00691E77" w:rsidRPr="000A6E9F">
        <w:rPr>
          <w:kern w:val="22"/>
          <w:szCs w:val="22"/>
          <w:lang w:val="fr-FR"/>
        </w:rPr>
        <w:t xml:space="preserve"> impacts </w:t>
      </w:r>
      <w:r w:rsidR="000A6E9F">
        <w:rPr>
          <w:kern w:val="22"/>
          <w:szCs w:val="22"/>
          <w:lang w:val="fr-FR"/>
        </w:rPr>
        <w:t>du trafic d’espèces sauvages</w:t>
      </w:r>
      <w:r w:rsidR="00691E77" w:rsidRPr="000A6E9F">
        <w:rPr>
          <w:kern w:val="22"/>
          <w:szCs w:val="22"/>
          <w:lang w:val="fr-FR"/>
        </w:rPr>
        <w:t xml:space="preserve">. </w:t>
      </w:r>
      <w:r w:rsidR="000A6E9F" w:rsidRPr="000A6E9F">
        <w:rPr>
          <w:kern w:val="22"/>
          <w:szCs w:val="22"/>
          <w:lang w:val="fr-FR"/>
        </w:rPr>
        <w:t>Bon exempl</w:t>
      </w:r>
      <w:r w:rsidR="002853BD">
        <w:rPr>
          <w:kern w:val="22"/>
          <w:szCs w:val="22"/>
          <w:lang w:val="fr-FR"/>
        </w:rPr>
        <w:t>e de coopération, il s’est livré</w:t>
      </w:r>
      <w:r w:rsidR="000A6E9F" w:rsidRPr="000A6E9F">
        <w:rPr>
          <w:kern w:val="22"/>
          <w:szCs w:val="22"/>
          <w:lang w:val="fr-FR"/>
        </w:rPr>
        <w:t xml:space="preserve"> à plusieurs</w:t>
      </w:r>
      <w:r w:rsidR="00691E77" w:rsidRPr="000A6E9F">
        <w:rPr>
          <w:kern w:val="22"/>
          <w:szCs w:val="22"/>
          <w:lang w:val="fr-FR"/>
        </w:rPr>
        <w:t xml:space="preserve"> consultations </w:t>
      </w:r>
      <w:r w:rsidR="000A6E9F" w:rsidRPr="000A6E9F">
        <w:rPr>
          <w:kern w:val="22"/>
          <w:szCs w:val="22"/>
          <w:lang w:val="fr-FR"/>
        </w:rPr>
        <w:t>avec le Secré</w:t>
      </w:r>
      <w:r w:rsidR="00691E77" w:rsidRPr="000A6E9F">
        <w:rPr>
          <w:kern w:val="22"/>
          <w:szCs w:val="22"/>
          <w:lang w:val="fr-FR"/>
        </w:rPr>
        <w:t>tariat</w:t>
      </w:r>
      <w:r w:rsidR="000A6E9F" w:rsidRPr="000A6E9F">
        <w:rPr>
          <w:kern w:val="22"/>
          <w:szCs w:val="22"/>
          <w:lang w:val="fr-FR"/>
        </w:rPr>
        <w:t xml:space="preserve"> de la CITES sur l’état de conservation des îles et zone</w:t>
      </w:r>
      <w:r w:rsidR="000A6E9F">
        <w:rPr>
          <w:kern w:val="22"/>
          <w:szCs w:val="22"/>
          <w:lang w:val="fr-FR"/>
        </w:rPr>
        <w:t>s protégées du golfe de Californie</w:t>
      </w:r>
      <w:r w:rsidR="00691E77" w:rsidRPr="000A6E9F">
        <w:rPr>
          <w:kern w:val="22"/>
          <w:szCs w:val="22"/>
          <w:lang w:val="fr-FR"/>
        </w:rPr>
        <w:t xml:space="preserve"> (Mexi</w:t>
      </w:r>
      <w:r w:rsidR="000A6E9F">
        <w:rPr>
          <w:kern w:val="22"/>
          <w:szCs w:val="22"/>
          <w:lang w:val="fr-FR"/>
        </w:rPr>
        <w:t>que</w:t>
      </w:r>
      <w:r w:rsidR="004F1FAD">
        <w:rPr>
          <w:kern w:val="22"/>
          <w:szCs w:val="22"/>
          <w:lang w:val="fr-FR"/>
        </w:rPr>
        <w:t>)</w:t>
      </w:r>
      <w:r w:rsidR="00691E77" w:rsidRPr="000A6E9F">
        <w:rPr>
          <w:kern w:val="22"/>
          <w:szCs w:val="22"/>
          <w:lang w:val="fr-FR"/>
        </w:rPr>
        <w:t xml:space="preserve"> </w:t>
      </w:r>
      <w:r w:rsidR="000A6E9F">
        <w:rPr>
          <w:kern w:val="22"/>
          <w:szCs w:val="22"/>
          <w:lang w:val="fr-FR"/>
        </w:rPr>
        <w:t>où la pêche illicite de l’</w:t>
      </w:r>
      <w:proofErr w:type="spellStart"/>
      <w:r w:rsidR="000A6E9F">
        <w:rPr>
          <w:kern w:val="22"/>
          <w:szCs w:val="22"/>
          <w:lang w:val="fr-FR"/>
        </w:rPr>
        <w:t>acouba</w:t>
      </w:r>
      <w:proofErr w:type="spellEnd"/>
      <w:r w:rsidR="000A6E9F">
        <w:rPr>
          <w:kern w:val="22"/>
          <w:szCs w:val="22"/>
          <w:lang w:val="fr-FR"/>
        </w:rPr>
        <w:t xml:space="preserve"> endémique</w:t>
      </w:r>
      <w:r w:rsidR="00691E77" w:rsidRPr="000A6E9F">
        <w:rPr>
          <w:kern w:val="22"/>
          <w:szCs w:val="22"/>
          <w:lang w:val="fr-FR"/>
        </w:rPr>
        <w:t xml:space="preserve"> (</w:t>
      </w:r>
      <w:r w:rsidR="00691E77" w:rsidRPr="00883A1C">
        <w:rPr>
          <w:i/>
          <w:kern w:val="22"/>
          <w:szCs w:val="22"/>
          <w:lang w:val="la-Latn"/>
        </w:rPr>
        <w:t>Totoaba</w:t>
      </w:r>
      <w:r w:rsidR="00691E77" w:rsidRPr="000A6E9F">
        <w:rPr>
          <w:i/>
          <w:kern w:val="22"/>
          <w:szCs w:val="22"/>
          <w:lang w:val="fr-FR"/>
        </w:rPr>
        <w:t xml:space="preserve"> </w:t>
      </w:r>
      <w:r w:rsidR="00691E77" w:rsidRPr="00883A1C">
        <w:rPr>
          <w:i/>
          <w:kern w:val="22"/>
          <w:szCs w:val="22"/>
          <w:lang w:val="la-Latn"/>
        </w:rPr>
        <w:t>macdonaldi</w:t>
      </w:r>
      <w:r w:rsidR="00691E77" w:rsidRPr="000A6E9F">
        <w:rPr>
          <w:kern w:val="22"/>
          <w:szCs w:val="22"/>
          <w:lang w:val="fr-FR"/>
        </w:rPr>
        <w:t xml:space="preserve">) </w:t>
      </w:r>
      <w:r w:rsidR="000A6E9F">
        <w:rPr>
          <w:kern w:val="22"/>
          <w:szCs w:val="22"/>
          <w:lang w:val="fr-FR"/>
        </w:rPr>
        <w:t>met en danger le marsouin</w:t>
      </w:r>
      <w:r w:rsidR="00691E77" w:rsidRPr="000A6E9F">
        <w:rPr>
          <w:kern w:val="22"/>
          <w:szCs w:val="22"/>
          <w:lang w:val="fr-FR"/>
        </w:rPr>
        <w:t xml:space="preserve"> (</w:t>
      </w:r>
      <w:r w:rsidR="00691E77" w:rsidRPr="00883A1C">
        <w:rPr>
          <w:i/>
          <w:kern w:val="22"/>
          <w:szCs w:val="22"/>
          <w:lang w:val="la-Latn"/>
        </w:rPr>
        <w:t>Phocoena</w:t>
      </w:r>
      <w:r w:rsidR="00691E77" w:rsidRPr="000A6E9F">
        <w:rPr>
          <w:i/>
          <w:kern w:val="22"/>
          <w:szCs w:val="22"/>
          <w:lang w:val="fr-FR"/>
        </w:rPr>
        <w:t xml:space="preserve"> </w:t>
      </w:r>
      <w:r w:rsidR="00691E77" w:rsidRPr="00883A1C">
        <w:rPr>
          <w:i/>
          <w:kern w:val="22"/>
          <w:szCs w:val="22"/>
          <w:lang w:val="la-Latn"/>
        </w:rPr>
        <w:t>sinus</w:t>
      </w:r>
      <w:r w:rsidR="00691E77" w:rsidRPr="000A6E9F">
        <w:rPr>
          <w:kern w:val="22"/>
          <w:szCs w:val="22"/>
          <w:lang w:val="fr-FR"/>
        </w:rPr>
        <w:t xml:space="preserve">), </w:t>
      </w:r>
      <w:r w:rsidR="000A6E9F">
        <w:rPr>
          <w:kern w:val="22"/>
          <w:szCs w:val="22"/>
          <w:lang w:val="fr-FR"/>
        </w:rPr>
        <w:t>l’espèce de baleine la plus menacée dans le monde</w:t>
      </w:r>
      <w:r w:rsidR="00691E77" w:rsidRPr="000A6E9F">
        <w:rPr>
          <w:kern w:val="22"/>
          <w:szCs w:val="22"/>
          <w:lang w:val="fr-FR"/>
        </w:rPr>
        <w:t xml:space="preserve">. </w:t>
      </w:r>
      <w:r w:rsidR="000A6E9F" w:rsidRPr="00F55077">
        <w:rPr>
          <w:kern w:val="22"/>
          <w:szCs w:val="22"/>
          <w:lang w:val="fr-FR"/>
        </w:rPr>
        <w:t xml:space="preserve">Ces deux espèces sont listées </w:t>
      </w:r>
      <w:r w:rsidR="00F55077" w:rsidRPr="00F55077">
        <w:rPr>
          <w:kern w:val="22"/>
          <w:szCs w:val="22"/>
          <w:lang w:val="fr-FR"/>
        </w:rPr>
        <w:t>à l’appendice I de la</w:t>
      </w:r>
      <w:r w:rsidR="00691E77" w:rsidRPr="00F55077">
        <w:rPr>
          <w:kern w:val="22"/>
          <w:szCs w:val="22"/>
          <w:lang w:val="fr-FR"/>
        </w:rPr>
        <w:t xml:space="preserve"> CITES</w:t>
      </w:r>
      <w:r w:rsidR="00F55077" w:rsidRPr="00F55077">
        <w:rPr>
          <w:kern w:val="22"/>
          <w:szCs w:val="22"/>
          <w:lang w:val="fr-FR"/>
        </w:rPr>
        <w:t>. L</w:t>
      </w:r>
      <w:r w:rsidR="00691E77" w:rsidRPr="00F55077">
        <w:rPr>
          <w:kern w:val="22"/>
          <w:szCs w:val="22"/>
          <w:lang w:val="fr-FR"/>
        </w:rPr>
        <w:t xml:space="preserve">e Centre </w:t>
      </w:r>
      <w:r w:rsidR="00F55077" w:rsidRPr="00F55077">
        <w:rPr>
          <w:kern w:val="22"/>
          <w:szCs w:val="22"/>
          <w:lang w:val="fr-FR"/>
        </w:rPr>
        <w:t xml:space="preserve">a </w:t>
      </w:r>
      <w:r w:rsidR="00691E77" w:rsidRPr="00F55077">
        <w:rPr>
          <w:kern w:val="22"/>
          <w:szCs w:val="22"/>
          <w:lang w:val="fr-FR"/>
        </w:rPr>
        <w:t>particip</w:t>
      </w:r>
      <w:r w:rsidR="00F55077" w:rsidRPr="00F55077">
        <w:rPr>
          <w:kern w:val="22"/>
          <w:szCs w:val="22"/>
          <w:lang w:val="fr-FR"/>
        </w:rPr>
        <w:t>é e</w:t>
      </w:r>
      <w:r w:rsidR="002853BD">
        <w:rPr>
          <w:kern w:val="22"/>
          <w:szCs w:val="22"/>
          <w:lang w:val="fr-FR"/>
        </w:rPr>
        <w:t>n</w:t>
      </w:r>
      <w:r w:rsidR="00F55077" w:rsidRPr="00F55077">
        <w:rPr>
          <w:kern w:val="22"/>
          <w:szCs w:val="22"/>
          <w:lang w:val="fr-FR"/>
        </w:rPr>
        <w:t xml:space="preserve"> août</w:t>
      </w:r>
      <w:r w:rsidR="00691E77" w:rsidRPr="00F55077">
        <w:rPr>
          <w:kern w:val="22"/>
          <w:szCs w:val="22"/>
          <w:lang w:val="fr-FR"/>
        </w:rPr>
        <w:t xml:space="preserve"> 2017 </w:t>
      </w:r>
      <w:r w:rsidR="00F55077" w:rsidRPr="00F55077">
        <w:rPr>
          <w:kern w:val="22"/>
          <w:szCs w:val="22"/>
          <w:lang w:val="fr-FR"/>
        </w:rPr>
        <w:t xml:space="preserve">avec le secrétariat de la </w:t>
      </w:r>
      <w:r w:rsidR="00691E77" w:rsidRPr="00F55077">
        <w:rPr>
          <w:kern w:val="22"/>
          <w:szCs w:val="22"/>
          <w:lang w:val="fr-FR"/>
        </w:rPr>
        <w:t xml:space="preserve">CITES </w:t>
      </w:r>
      <w:r w:rsidR="00F55077" w:rsidRPr="00F55077">
        <w:rPr>
          <w:kern w:val="22"/>
          <w:szCs w:val="22"/>
          <w:lang w:val="fr-FR"/>
        </w:rPr>
        <w:t>à une réunion trilatérale organisée par le Mexique avec la Chine et les Etats-Unis à</w:t>
      </w:r>
      <w:r w:rsidR="00691E77" w:rsidRPr="00F55077">
        <w:rPr>
          <w:kern w:val="22"/>
          <w:szCs w:val="22"/>
          <w:lang w:val="fr-FR"/>
        </w:rPr>
        <w:t xml:space="preserve"> Ensenada</w:t>
      </w:r>
      <w:r w:rsidR="00F55077">
        <w:rPr>
          <w:kern w:val="22"/>
          <w:szCs w:val="22"/>
          <w:lang w:val="fr-FR"/>
        </w:rPr>
        <w:t xml:space="preserve"> au Mexique sur la manière de mieux combattre le trafic d’</w:t>
      </w:r>
      <w:proofErr w:type="spellStart"/>
      <w:r w:rsidR="00F55077">
        <w:rPr>
          <w:kern w:val="22"/>
          <w:szCs w:val="22"/>
          <w:lang w:val="fr-FR"/>
        </w:rPr>
        <w:t>acouba</w:t>
      </w:r>
      <w:proofErr w:type="spellEnd"/>
      <w:r w:rsidR="00691E77" w:rsidRPr="00F55077">
        <w:rPr>
          <w:kern w:val="22"/>
          <w:szCs w:val="22"/>
          <w:lang w:val="fr-FR"/>
        </w:rPr>
        <w:t xml:space="preserve">. </w:t>
      </w:r>
      <w:r w:rsidR="0043205F" w:rsidRPr="0043205F">
        <w:rPr>
          <w:kern w:val="22"/>
          <w:szCs w:val="22"/>
          <w:lang w:val="fr-FR"/>
        </w:rPr>
        <w:t>L</w:t>
      </w:r>
      <w:r w:rsidR="00691E77" w:rsidRPr="0043205F">
        <w:rPr>
          <w:kern w:val="22"/>
          <w:szCs w:val="22"/>
          <w:lang w:val="fr-FR"/>
        </w:rPr>
        <w:t xml:space="preserve">e Centre </w:t>
      </w:r>
      <w:r w:rsidR="0043205F" w:rsidRPr="0043205F">
        <w:rPr>
          <w:kern w:val="22"/>
          <w:szCs w:val="22"/>
          <w:lang w:val="fr-FR"/>
        </w:rPr>
        <w:t>s’est également livré à plusieurs</w:t>
      </w:r>
      <w:r w:rsidR="00691E77" w:rsidRPr="0043205F">
        <w:rPr>
          <w:kern w:val="22"/>
          <w:szCs w:val="22"/>
          <w:lang w:val="fr-FR"/>
        </w:rPr>
        <w:t xml:space="preserve"> consultations </w:t>
      </w:r>
      <w:r w:rsidR="0043205F" w:rsidRPr="0043205F">
        <w:rPr>
          <w:kern w:val="22"/>
          <w:szCs w:val="22"/>
          <w:lang w:val="fr-FR"/>
        </w:rPr>
        <w:t xml:space="preserve">avec la </w:t>
      </w:r>
      <w:r w:rsidR="00691E77" w:rsidRPr="0043205F">
        <w:rPr>
          <w:kern w:val="22"/>
          <w:szCs w:val="22"/>
          <w:lang w:val="fr-FR"/>
        </w:rPr>
        <w:t xml:space="preserve">CITES </w:t>
      </w:r>
      <w:r w:rsidR="0043205F" w:rsidRPr="0043205F">
        <w:rPr>
          <w:kern w:val="22"/>
          <w:szCs w:val="22"/>
          <w:lang w:val="fr-FR"/>
        </w:rPr>
        <w:t>sur l’organis</w:t>
      </w:r>
      <w:r w:rsidR="00691E77" w:rsidRPr="0043205F">
        <w:rPr>
          <w:kern w:val="22"/>
          <w:szCs w:val="22"/>
          <w:lang w:val="fr-FR"/>
        </w:rPr>
        <w:t xml:space="preserve">ation </w:t>
      </w:r>
      <w:r w:rsidR="0043205F" w:rsidRPr="0043205F">
        <w:rPr>
          <w:kern w:val="22"/>
          <w:szCs w:val="22"/>
          <w:lang w:val="fr-FR"/>
        </w:rPr>
        <w:t>de la mission r</w:t>
      </w:r>
      <w:r w:rsidR="0043205F">
        <w:rPr>
          <w:kern w:val="22"/>
          <w:szCs w:val="22"/>
          <w:lang w:val="fr-FR"/>
        </w:rPr>
        <w:t>é</w:t>
      </w:r>
      <w:r w:rsidR="0043205F" w:rsidRPr="0043205F">
        <w:rPr>
          <w:kern w:val="22"/>
          <w:szCs w:val="22"/>
          <w:lang w:val="fr-FR"/>
        </w:rPr>
        <w:t xml:space="preserve">active de surveillance de la propriété et il a été consulté sur la </w:t>
      </w:r>
      <w:r w:rsidR="0043205F">
        <w:rPr>
          <w:kern w:val="22"/>
          <w:szCs w:val="22"/>
          <w:lang w:val="fr-FR"/>
        </w:rPr>
        <w:t>ré</w:t>
      </w:r>
      <w:r w:rsidR="0043205F" w:rsidRPr="0043205F">
        <w:rPr>
          <w:kern w:val="22"/>
          <w:szCs w:val="22"/>
          <w:lang w:val="fr-FR"/>
        </w:rPr>
        <w:t>alisation d’une étude sur</w:t>
      </w:r>
      <w:r w:rsidR="00691E77" w:rsidRPr="0043205F">
        <w:rPr>
          <w:kern w:val="22"/>
          <w:szCs w:val="22"/>
          <w:lang w:val="fr-FR"/>
        </w:rPr>
        <w:t xml:space="preserve"> </w:t>
      </w:r>
      <w:r w:rsidR="0043205F">
        <w:rPr>
          <w:kern w:val="22"/>
          <w:szCs w:val="22"/>
          <w:lang w:val="fr-FR"/>
        </w:rPr>
        <w:t>le trafic d’</w:t>
      </w:r>
      <w:proofErr w:type="spellStart"/>
      <w:r w:rsidR="0043205F">
        <w:rPr>
          <w:kern w:val="22"/>
          <w:szCs w:val="22"/>
          <w:lang w:val="fr-FR"/>
        </w:rPr>
        <w:t>acouba</w:t>
      </w:r>
      <w:proofErr w:type="spellEnd"/>
      <w:r w:rsidR="0043205F">
        <w:rPr>
          <w:kern w:val="22"/>
          <w:szCs w:val="22"/>
          <w:lang w:val="fr-FR"/>
        </w:rPr>
        <w:t xml:space="preserve"> et se</w:t>
      </w:r>
      <w:r w:rsidR="00691E77" w:rsidRPr="0043205F">
        <w:rPr>
          <w:kern w:val="22"/>
          <w:szCs w:val="22"/>
          <w:lang w:val="fr-FR"/>
        </w:rPr>
        <w:t xml:space="preserve">s impacts </w:t>
      </w:r>
      <w:r w:rsidR="0043205F">
        <w:rPr>
          <w:kern w:val="22"/>
          <w:szCs w:val="22"/>
          <w:lang w:val="fr-FR"/>
        </w:rPr>
        <w:t>sur le marsouin comme le demandait la dé</w:t>
      </w:r>
      <w:r w:rsidR="00691E77" w:rsidRPr="0043205F">
        <w:rPr>
          <w:kern w:val="22"/>
          <w:szCs w:val="22"/>
          <w:lang w:val="fr-FR"/>
        </w:rPr>
        <w:t xml:space="preserve">cision 17.149 </w:t>
      </w:r>
      <w:r w:rsidR="0043205F">
        <w:rPr>
          <w:kern w:val="22"/>
          <w:szCs w:val="22"/>
          <w:lang w:val="fr-FR"/>
        </w:rPr>
        <w:t xml:space="preserve">de la </w:t>
      </w:r>
      <w:r w:rsidR="00B64015" w:rsidRPr="0043205F">
        <w:rPr>
          <w:kern w:val="22"/>
          <w:szCs w:val="22"/>
          <w:lang w:val="fr-FR"/>
        </w:rPr>
        <w:t>Conférence des Parties</w:t>
      </w:r>
      <w:r w:rsidR="0043205F">
        <w:rPr>
          <w:kern w:val="22"/>
          <w:szCs w:val="22"/>
          <w:lang w:val="fr-FR"/>
        </w:rPr>
        <w:t xml:space="preserve"> à la CITES</w:t>
      </w:r>
      <w:r w:rsidR="00691E77" w:rsidRPr="0043205F">
        <w:rPr>
          <w:kern w:val="22"/>
          <w:szCs w:val="22"/>
          <w:lang w:val="fr-FR"/>
        </w:rPr>
        <w:t xml:space="preserve">. </w:t>
      </w:r>
      <w:r w:rsidR="0043205F" w:rsidRPr="00E208C5">
        <w:rPr>
          <w:kern w:val="22"/>
          <w:szCs w:val="22"/>
          <w:lang w:val="fr-FR"/>
        </w:rPr>
        <w:t>D’autres exemples comprennent le Programme MIKE</w:t>
      </w:r>
      <w:r w:rsidR="00691E77" w:rsidRPr="00E208C5">
        <w:rPr>
          <w:kern w:val="22"/>
          <w:szCs w:val="22"/>
          <w:lang w:val="fr-FR"/>
        </w:rPr>
        <w:t xml:space="preserve"> “</w:t>
      </w:r>
      <w:proofErr w:type="spellStart"/>
      <w:r w:rsidR="00691E77" w:rsidRPr="00E208C5">
        <w:rPr>
          <w:kern w:val="22"/>
          <w:szCs w:val="22"/>
          <w:lang w:val="fr-FR"/>
        </w:rPr>
        <w:t>Minimizing</w:t>
      </w:r>
      <w:proofErr w:type="spellEnd"/>
      <w:r w:rsidR="00691E77" w:rsidRPr="00E208C5">
        <w:rPr>
          <w:kern w:val="22"/>
          <w:szCs w:val="22"/>
          <w:lang w:val="fr-FR"/>
        </w:rPr>
        <w:t xml:space="preserve"> the </w:t>
      </w:r>
      <w:proofErr w:type="spellStart"/>
      <w:r w:rsidR="00691E77" w:rsidRPr="00E208C5">
        <w:rPr>
          <w:kern w:val="22"/>
          <w:szCs w:val="22"/>
          <w:lang w:val="fr-FR"/>
        </w:rPr>
        <w:t>Illegal</w:t>
      </w:r>
      <w:proofErr w:type="spellEnd"/>
      <w:r w:rsidR="00691E77" w:rsidRPr="00E208C5">
        <w:rPr>
          <w:kern w:val="22"/>
          <w:szCs w:val="22"/>
          <w:lang w:val="fr-FR"/>
        </w:rPr>
        <w:t xml:space="preserve"> Killing of </w:t>
      </w:r>
      <w:proofErr w:type="spellStart"/>
      <w:r w:rsidR="00691E77" w:rsidRPr="00E208C5">
        <w:rPr>
          <w:kern w:val="22"/>
          <w:szCs w:val="22"/>
          <w:lang w:val="fr-FR"/>
        </w:rPr>
        <w:t>Elephants</w:t>
      </w:r>
      <w:proofErr w:type="spellEnd"/>
      <w:r w:rsidR="00691E77" w:rsidRPr="00E208C5">
        <w:rPr>
          <w:kern w:val="22"/>
          <w:szCs w:val="22"/>
          <w:lang w:val="fr-FR"/>
        </w:rPr>
        <w:t xml:space="preserve"> and </w:t>
      </w:r>
      <w:proofErr w:type="spellStart"/>
      <w:r w:rsidR="00691E77" w:rsidRPr="00E208C5">
        <w:rPr>
          <w:kern w:val="22"/>
          <w:szCs w:val="22"/>
          <w:lang w:val="fr-FR"/>
        </w:rPr>
        <w:t>other</w:t>
      </w:r>
      <w:proofErr w:type="spellEnd"/>
      <w:r w:rsidR="00691E77" w:rsidRPr="00E208C5">
        <w:rPr>
          <w:kern w:val="22"/>
          <w:szCs w:val="22"/>
          <w:lang w:val="fr-FR"/>
        </w:rPr>
        <w:t xml:space="preserve"> </w:t>
      </w:r>
      <w:proofErr w:type="spellStart"/>
      <w:r w:rsidR="00691E77" w:rsidRPr="00E208C5">
        <w:rPr>
          <w:kern w:val="22"/>
          <w:szCs w:val="22"/>
          <w:lang w:val="fr-FR"/>
        </w:rPr>
        <w:t>Endangered</w:t>
      </w:r>
      <w:proofErr w:type="spellEnd"/>
      <w:r w:rsidR="00691E77" w:rsidRPr="00E208C5">
        <w:rPr>
          <w:kern w:val="22"/>
          <w:szCs w:val="22"/>
          <w:lang w:val="fr-FR"/>
        </w:rPr>
        <w:t xml:space="preserve"> </w:t>
      </w:r>
      <w:proofErr w:type="spellStart"/>
      <w:r w:rsidR="00691E77" w:rsidRPr="00E208C5">
        <w:rPr>
          <w:kern w:val="22"/>
          <w:szCs w:val="22"/>
          <w:lang w:val="fr-FR"/>
        </w:rPr>
        <w:t>Species</w:t>
      </w:r>
      <w:proofErr w:type="spellEnd"/>
      <w:r w:rsidR="00691E77" w:rsidRPr="00E208C5">
        <w:rPr>
          <w:kern w:val="22"/>
          <w:szCs w:val="22"/>
          <w:lang w:val="fr-FR"/>
        </w:rPr>
        <w:t xml:space="preserve">” (MIKE) </w:t>
      </w:r>
      <w:r w:rsidR="0043205F" w:rsidRPr="00E208C5">
        <w:rPr>
          <w:kern w:val="22"/>
          <w:szCs w:val="22"/>
          <w:lang w:val="fr-FR"/>
        </w:rPr>
        <w:t>de la CITES</w:t>
      </w:r>
      <w:r w:rsidR="00691E77" w:rsidRPr="00E208C5">
        <w:rPr>
          <w:kern w:val="22"/>
          <w:szCs w:val="22"/>
          <w:lang w:val="fr-FR"/>
        </w:rPr>
        <w:t xml:space="preserve">, </w:t>
      </w:r>
      <w:r w:rsidR="0043205F" w:rsidRPr="00E208C5">
        <w:rPr>
          <w:kern w:val="22"/>
          <w:szCs w:val="22"/>
          <w:lang w:val="fr-FR"/>
        </w:rPr>
        <w:t>qui appuie l’application des lois dans un certain nombre de propriétés en Afrique qui sont touch</w:t>
      </w:r>
      <w:r w:rsidR="00E208C5" w:rsidRPr="00E208C5">
        <w:rPr>
          <w:kern w:val="22"/>
          <w:szCs w:val="22"/>
          <w:lang w:val="fr-FR"/>
        </w:rPr>
        <w:t>é</w:t>
      </w:r>
      <w:r w:rsidR="0043205F" w:rsidRPr="00E208C5">
        <w:rPr>
          <w:kern w:val="22"/>
          <w:szCs w:val="22"/>
          <w:lang w:val="fr-FR"/>
        </w:rPr>
        <w:t>es par</w:t>
      </w:r>
      <w:r w:rsidR="00691E77" w:rsidRPr="00E208C5">
        <w:rPr>
          <w:kern w:val="22"/>
          <w:szCs w:val="22"/>
          <w:lang w:val="fr-FR"/>
        </w:rPr>
        <w:t xml:space="preserve"> </w:t>
      </w:r>
      <w:r w:rsidR="00E208C5" w:rsidRPr="00E208C5">
        <w:rPr>
          <w:kern w:val="22"/>
          <w:szCs w:val="22"/>
          <w:lang w:val="fr-FR"/>
        </w:rPr>
        <w:t>le trafic d’ivoire et de corne de rh</w:t>
      </w:r>
      <w:r w:rsidR="00E208C5">
        <w:rPr>
          <w:kern w:val="22"/>
          <w:szCs w:val="22"/>
          <w:lang w:val="fr-FR"/>
        </w:rPr>
        <w:t>inocéros</w:t>
      </w:r>
      <w:r w:rsidR="00691E77" w:rsidRPr="00E208C5">
        <w:rPr>
          <w:kern w:val="22"/>
          <w:szCs w:val="22"/>
          <w:lang w:val="fr-FR"/>
        </w:rPr>
        <w:t xml:space="preserve">, </w:t>
      </w:r>
      <w:r w:rsidR="00E208C5">
        <w:rPr>
          <w:kern w:val="22"/>
          <w:szCs w:val="22"/>
          <w:lang w:val="fr-FR"/>
        </w:rPr>
        <w:t>et dans d’autres pour réduire le trafic de requins</w:t>
      </w:r>
      <w:r w:rsidR="00691E77" w:rsidRPr="00E208C5">
        <w:rPr>
          <w:kern w:val="22"/>
          <w:szCs w:val="22"/>
          <w:lang w:val="fr-FR"/>
        </w:rPr>
        <w:t xml:space="preserve">, </w:t>
      </w:r>
      <w:r w:rsidR="00E208C5">
        <w:rPr>
          <w:kern w:val="22"/>
          <w:szCs w:val="22"/>
          <w:lang w:val="fr-FR"/>
        </w:rPr>
        <w:t>touchant plusieurs sites marins du patrimoine mondial</w:t>
      </w:r>
      <w:r w:rsidR="00691E77" w:rsidRPr="00E208C5">
        <w:rPr>
          <w:kern w:val="22"/>
          <w:szCs w:val="22"/>
          <w:lang w:val="fr-FR"/>
        </w:rPr>
        <w:t>, a</w:t>
      </w:r>
      <w:r w:rsidR="00E208C5">
        <w:rPr>
          <w:kern w:val="22"/>
          <w:szCs w:val="22"/>
          <w:lang w:val="fr-FR"/>
        </w:rPr>
        <w:t>insi que le trafic d’espèces de bois de rose</w:t>
      </w:r>
      <w:r w:rsidR="00691E77" w:rsidRPr="00E208C5">
        <w:rPr>
          <w:kern w:val="22"/>
          <w:szCs w:val="22"/>
          <w:lang w:val="fr-FR"/>
        </w:rPr>
        <w:t xml:space="preserve">. </w:t>
      </w:r>
      <w:r w:rsidR="00E208C5" w:rsidRPr="00E208C5">
        <w:rPr>
          <w:kern w:val="22"/>
          <w:szCs w:val="22"/>
          <w:lang w:val="fr-FR"/>
        </w:rPr>
        <w:t>Sous réserve des ressources disponibles</w:t>
      </w:r>
      <w:r w:rsidR="00691E77" w:rsidRPr="00E208C5">
        <w:rPr>
          <w:kern w:val="22"/>
          <w:szCs w:val="22"/>
          <w:lang w:val="fr-FR"/>
        </w:rPr>
        <w:t xml:space="preserve">, </w:t>
      </w:r>
      <w:r w:rsidR="00E208C5" w:rsidRPr="00E208C5">
        <w:rPr>
          <w:kern w:val="22"/>
          <w:szCs w:val="22"/>
          <w:lang w:val="fr-FR"/>
        </w:rPr>
        <w:t>le C</w:t>
      </w:r>
      <w:r w:rsidR="00E208C5">
        <w:rPr>
          <w:kern w:val="22"/>
          <w:szCs w:val="22"/>
          <w:lang w:val="fr-FR"/>
        </w:rPr>
        <w:t>entre du patrimoine mondial es</w:t>
      </w:r>
      <w:r w:rsidR="002853BD">
        <w:rPr>
          <w:kern w:val="22"/>
          <w:szCs w:val="22"/>
          <w:lang w:val="fr-FR"/>
        </w:rPr>
        <w:t xml:space="preserve">t </w:t>
      </w:r>
      <w:r w:rsidR="00E208C5">
        <w:rPr>
          <w:kern w:val="22"/>
          <w:szCs w:val="22"/>
          <w:lang w:val="fr-FR"/>
        </w:rPr>
        <w:t>décidé à poursuivre et renforcer davantage ces efforts concrets conjoints</w:t>
      </w:r>
      <w:r w:rsidR="00691E77" w:rsidRPr="00E208C5">
        <w:rPr>
          <w:kern w:val="22"/>
          <w:szCs w:val="22"/>
          <w:lang w:val="fr-FR"/>
        </w:rPr>
        <w:t>.</w:t>
      </w:r>
    </w:p>
    <w:p w:rsidR="00A229F5" w:rsidRPr="00E0354D" w:rsidRDefault="00DE4463"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DE4463">
        <w:rPr>
          <w:kern w:val="22"/>
          <w:szCs w:val="22"/>
          <w:lang w:val="fr-FR"/>
        </w:rPr>
        <w:t>La Con</w:t>
      </w:r>
      <w:r w:rsidR="00B22F10">
        <w:rPr>
          <w:kern w:val="22"/>
          <w:szCs w:val="22"/>
          <w:lang w:val="fr-FR"/>
        </w:rPr>
        <w:t>v</w:t>
      </w:r>
      <w:r w:rsidRPr="00DE4463">
        <w:rPr>
          <w:kern w:val="22"/>
          <w:szCs w:val="22"/>
          <w:lang w:val="fr-FR"/>
        </w:rPr>
        <w:t>ention internationale pour la p</w:t>
      </w:r>
      <w:r w:rsidR="00FD4EBA" w:rsidRPr="00DE4463">
        <w:rPr>
          <w:kern w:val="22"/>
          <w:szCs w:val="22"/>
          <w:lang w:val="fr-FR"/>
        </w:rPr>
        <w:t>rotection</w:t>
      </w:r>
      <w:r w:rsidRPr="00DE4463">
        <w:rPr>
          <w:kern w:val="22"/>
          <w:szCs w:val="22"/>
          <w:lang w:val="fr-FR"/>
        </w:rPr>
        <w:t xml:space="preserve"> des végétaux </w:t>
      </w:r>
      <w:r w:rsidR="00FD4EBA" w:rsidRPr="00DE4463">
        <w:rPr>
          <w:kern w:val="22"/>
          <w:szCs w:val="22"/>
          <w:lang w:val="fr-FR"/>
        </w:rPr>
        <w:t>(</w:t>
      </w:r>
      <w:r w:rsidRPr="00DE4463">
        <w:rPr>
          <w:kern w:val="22"/>
          <w:szCs w:val="22"/>
          <w:lang w:val="fr-FR"/>
        </w:rPr>
        <w:t>CIPV</w:t>
      </w:r>
      <w:r w:rsidR="00FD4EBA" w:rsidRPr="00DE4463">
        <w:rPr>
          <w:kern w:val="22"/>
          <w:szCs w:val="22"/>
          <w:lang w:val="fr-FR"/>
        </w:rPr>
        <w:t xml:space="preserve">) </w:t>
      </w:r>
      <w:r w:rsidRPr="00DE4463">
        <w:rPr>
          <w:kern w:val="22"/>
          <w:szCs w:val="22"/>
          <w:lang w:val="fr-FR"/>
        </w:rPr>
        <w:t>et la</w:t>
      </w:r>
      <w:r w:rsidR="00227F3A" w:rsidRPr="00DE4463">
        <w:rPr>
          <w:kern w:val="22"/>
          <w:szCs w:val="22"/>
          <w:lang w:val="fr-FR"/>
        </w:rPr>
        <w:t xml:space="preserve"> Convention </w:t>
      </w:r>
      <w:r w:rsidRPr="00DE4463">
        <w:rPr>
          <w:kern w:val="22"/>
          <w:szCs w:val="22"/>
          <w:lang w:val="fr-FR"/>
        </w:rPr>
        <w:t>sur la diversité biologique coopèrent depuis longtemps par l’intermédiaire de leurs</w:t>
      </w:r>
      <w:r w:rsidR="00A229F5" w:rsidRPr="00DE4463">
        <w:rPr>
          <w:kern w:val="22"/>
          <w:szCs w:val="22"/>
          <w:lang w:val="fr-FR"/>
        </w:rPr>
        <w:t xml:space="preserve"> </w:t>
      </w:r>
      <w:r w:rsidR="00AD7419" w:rsidRPr="00DE4463">
        <w:rPr>
          <w:kern w:val="22"/>
          <w:szCs w:val="22"/>
          <w:lang w:val="fr-FR"/>
        </w:rPr>
        <w:t>s</w:t>
      </w:r>
      <w:r w:rsidRPr="00DE4463">
        <w:rPr>
          <w:kern w:val="22"/>
          <w:szCs w:val="22"/>
          <w:lang w:val="fr-FR"/>
        </w:rPr>
        <w:t>ecré</w:t>
      </w:r>
      <w:r w:rsidR="00A229F5" w:rsidRPr="00DE4463">
        <w:rPr>
          <w:kern w:val="22"/>
          <w:szCs w:val="22"/>
          <w:lang w:val="fr-FR"/>
        </w:rPr>
        <w:t xml:space="preserve">tariats, </w:t>
      </w:r>
      <w:r>
        <w:rPr>
          <w:kern w:val="22"/>
          <w:szCs w:val="22"/>
          <w:lang w:val="fr-FR"/>
        </w:rPr>
        <w:t xml:space="preserve">ciblant leurs efforts sur les espèces exotiques envahissantes et le Protocole de </w:t>
      </w:r>
      <w:r w:rsidR="00FD4EBA" w:rsidRPr="00DE4463">
        <w:rPr>
          <w:kern w:val="22"/>
          <w:szCs w:val="22"/>
          <w:lang w:val="fr-FR"/>
        </w:rPr>
        <w:t xml:space="preserve">Cartagena </w:t>
      </w:r>
      <w:r>
        <w:rPr>
          <w:kern w:val="22"/>
          <w:szCs w:val="22"/>
          <w:lang w:val="fr-FR"/>
        </w:rPr>
        <w:t>sur la prévention des risques biotech</w:t>
      </w:r>
      <w:r w:rsidR="00B22F10">
        <w:rPr>
          <w:kern w:val="22"/>
          <w:szCs w:val="22"/>
          <w:lang w:val="fr-FR"/>
        </w:rPr>
        <w:t>n</w:t>
      </w:r>
      <w:r>
        <w:rPr>
          <w:kern w:val="22"/>
          <w:szCs w:val="22"/>
          <w:lang w:val="fr-FR"/>
        </w:rPr>
        <w:t>ologiques</w:t>
      </w:r>
      <w:r w:rsidR="00FD4EBA" w:rsidRPr="00DE4463">
        <w:rPr>
          <w:kern w:val="22"/>
          <w:szCs w:val="22"/>
          <w:lang w:val="fr-FR"/>
        </w:rPr>
        <w:t xml:space="preserve">. </w:t>
      </w:r>
      <w:r w:rsidR="00B22F10" w:rsidRPr="00B22F10">
        <w:rPr>
          <w:kern w:val="22"/>
          <w:szCs w:val="22"/>
          <w:lang w:val="fr-FR"/>
        </w:rPr>
        <w:t>En septemb</w:t>
      </w:r>
      <w:r w:rsidR="00FD4EBA" w:rsidRPr="00B22F10">
        <w:rPr>
          <w:kern w:val="22"/>
          <w:szCs w:val="22"/>
          <w:lang w:val="fr-FR"/>
        </w:rPr>
        <w:t>r</w:t>
      </w:r>
      <w:r w:rsidR="00B22F10" w:rsidRPr="00B22F10">
        <w:rPr>
          <w:kern w:val="22"/>
          <w:szCs w:val="22"/>
          <w:lang w:val="fr-FR"/>
        </w:rPr>
        <w:t>e</w:t>
      </w:r>
      <w:r w:rsidR="00FD4EBA" w:rsidRPr="00B22F10">
        <w:rPr>
          <w:kern w:val="22"/>
          <w:szCs w:val="22"/>
          <w:lang w:val="fr-FR"/>
        </w:rPr>
        <w:t xml:space="preserve"> 2017, </w:t>
      </w:r>
      <w:r w:rsidR="00B22F10" w:rsidRPr="00B22F10">
        <w:rPr>
          <w:kern w:val="22"/>
          <w:szCs w:val="22"/>
          <w:lang w:val="fr-FR"/>
        </w:rPr>
        <w:t xml:space="preserve">les deux </w:t>
      </w:r>
      <w:r w:rsidR="00AD7419" w:rsidRPr="00B22F10">
        <w:rPr>
          <w:kern w:val="22"/>
          <w:szCs w:val="22"/>
          <w:lang w:val="fr-FR"/>
        </w:rPr>
        <w:t>s</w:t>
      </w:r>
      <w:r w:rsidR="00B22F10" w:rsidRPr="00B22F10">
        <w:rPr>
          <w:kern w:val="22"/>
          <w:szCs w:val="22"/>
          <w:lang w:val="fr-FR"/>
        </w:rPr>
        <w:t>ecré</w:t>
      </w:r>
      <w:r w:rsidR="00FD4EBA" w:rsidRPr="00B22F10">
        <w:rPr>
          <w:kern w:val="22"/>
          <w:szCs w:val="22"/>
          <w:lang w:val="fr-FR"/>
        </w:rPr>
        <w:t xml:space="preserve">tariats </w:t>
      </w:r>
      <w:r w:rsidR="00B22F10" w:rsidRPr="00B22F10">
        <w:rPr>
          <w:kern w:val="22"/>
          <w:szCs w:val="22"/>
          <w:lang w:val="fr-FR"/>
        </w:rPr>
        <w:t xml:space="preserve">ont signé un Plan de travail conjoint de </w:t>
      </w:r>
      <w:r w:rsidR="00B22F10">
        <w:rPr>
          <w:kern w:val="22"/>
          <w:szCs w:val="22"/>
          <w:lang w:val="fr-FR"/>
        </w:rPr>
        <w:t>coopé</w:t>
      </w:r>
      <w:r w:rsidR="00B22F10" w:rsidRPr="00B22F10">
        <w:rPr>
          <w:kern w:val="22"/>
          <w:szCs w:val="22"/>
          <w:lang w:val="fr-FR"/>
        </w:rPr>
        <w:t xml:space="preserve">ration pour l’exercice biennal </w:t>
      </w:r>
      <w:r w:rsidR="00FD4EBA" w:rsidRPr="00B22F10">
        <w:rPr>
          <w:kern w:val="22"/>
          <w:szCs w:val="22"/>
          <w:lang w:val="fr-FR"/>
        </w:rPr>
        <w:t>2017-2018</w:t>
      </w:r>
      <w:r w:rsidR="00A229F5" w:rsidRPr="00B22F10">
        <w:rPr>
          <w:kern w:val="22"/>
          <w:szCs w:val="22"/>
          <w:lang w:val="fr-FR"/>
        </w:rPr>
        <w:t>,</w:t>
      </w:r>
      <w:r w:rsidR="00FD4EBA" w:rsidRPr="00B22F10">
        <w:rPr>
          <w:kern w:val="22"/>
          <w:szCs w:val="22"/>
          <w:lang w:val="fr-FR"/>
        </w:rPr>
        <w:t xml:space="preserve"> </w:t>
      </w:r>
      <w:r w:rsidR="00B22F10">
        <w:rPr>
          <w:kern w:val="22"/>
          <w:szCs w:val="22"/>
          <w:lang w:val="fr-FR"/>
        </w:rPr>
        <w:t>qui sera revu et actualisé selon que de besoin pour l’exercice biennal suivant</w:t>
      </w:r>
      <w:r w:rsidR="00FD4EBA" w:rsidRPr="00B22F10">
        <w:rPr>
          <w:kern w:val="22"/>
          <w:szCs w:val="22"/>
          <w:lang w:val="fr-FR"/>
        </w:rPr>
        <w:t xml:space="preserve"> 2019-2020. </w:t>
      </w:r>
      <w:r w:rsidR="00B22F10" w:rsidRPr="00B22F10">
        <w:rPr>
          <w:kern w:val="22"/>
          <w:szCs w:val="22"/>
          <w:lang w:val="fr-FR"/>
        </w:rPr>
        <w:t xml:space="preserve">Les activités de ce Plan à réaliser sous réserve des ressources disponibles sont les suivantes </w:t>
      </w:r>
      <w:r w:rsidR="00A229F5" w:rsidRPr="00B22F10">
        <w:rPr>
          <w:kern w:val="22"/>
          <w:szCs w:val="22"/>
          <w:lang w:val="fr-FR"/>
        </w:rPr>
        <w:t>:</w:t>
      </w:r>
      <w:r w:rsidR="00FD4EBA" w:rsidRPr="00B22F10">
        <w:rPr>
          <w:kern w:val="22"/>
          <w:szCs w:val="22"/>
          <w:lang w:val="fr-FR"/>
        </w:rPr>
        <w:t xml:space="preserve"> </w:t>
      </w:r>
      <w:r w:rsidR="00697170" w:rsidRPr="00B22F10">
        <w:rPr>
          <w:kern w:val="22"/>
          <w:szCs w:val="22"/>
          <w:lang w:val="fr-FR"/>
        </w:rPr>
        <w:t>a) </w:t>
      </w:r>
      <w:r w:rsidR="00B22F10" w:rsidRPr="00B22F10">
        <w:rPr>
          <w:kern w:val="22"/>
          <w:szCs w:val="22"/>
          <w:lang w:val="fr-FR"/>
        </w:rPr>
        <w:t xml:space="preserve">assurer la participation réciproque et la </w:t>
      </w:r>
      <w:r w:rsidR="00B22F10">
        <w:rPr>
          <w:kern w:val="22"/>
          <w:szCs w:val="22"/>
          <w:lang w:val="fr-FR"/>
        </w:rPr>
        <w:t>pré</w:t>
      </w:r>
      <w:r w:rsidR="00B22F10" w:rsidRPr="00B22F10">
        <w:rPr>
          <w:kern w:val="22"/>
          <w:szCs w:val="22"/>
          <w:lang w:val="fr-FR"/>
        </w:rPr>
        <w:t>sentation de rapports des deux secré</w:t>
      </w:r>
      <w:r w:rsidR="00FD4EBA" w:rsidRPr="00B22F10">
        <w:rPr>
          <w:kern w:val="22"/>
          <w:szCs w:val="22"/>
          <w:lang w:val="fr-FR"/>
        </w:rPr>
        <w:t xml:space="preserve">tariats </w:t>
      </w:r>
      <w:r w:rsidR="00B22F10" w:rsidRPr="00B22F10">
        <w:rPr>
          <w:kern w:val="22"/>
          <w:szCs w:val="22"/>
          <w:lang w:val="fr-FR"/>
        </w:rPr>
        <w:t>aux r</w:t>
      </w:r>
      <w:r w:rsidR="00974ABF">
        <w:rPr>
          <w:kern w:val="22"/>
          <w:szCs w:val="22"/>
          <w:lang w:val="fr-FR"/>
        </w:rPr>
        <w:t>é</w:t>
      </w:r>
      <w:r w:rsidR="00B22F10" w:rsidRPr="00B22F10">
        <w:rPr>
          <w:kern w:val="22"/>
          <w:szCs w:val="22"/>
          <w:lang w:val="fr-FR"/>
        </w:rPr>
        <w:t>unions de leurs organes directeurs respectifs</w:t>
      </w:r>
      <w:r w:rsidR="00FD4EBA" w:rsidRPr="00B22F10">
        <w:rPr>
          <w:kern w:val="22"/>
          <w:szCs w:val="22"/>
          <w:lang w:val="fr-FR"/>
        </w:rPr>
        <w:t xml:space="preserve">; </w:t>
      </w:r>
      <w:r w:rsidR="00697170" w:rsidRPr="00B22F10">
        <w:rPr>
          <w:kern w:val="22"/>
          <w:szCs w:val="22"/>
          <w:lang w:val="fr-FR"/>
        </w:rPr>
        <w:t>b) </w:t>
      </w:r>
      <w:r w:rsidR="00B22F10" w:rsidRPr="00B22F10">
        <w:rPr>
          <w:kern w:val="22"/>
          <w:szCs w:val="22"/>
          <w:lang w:val="fr-FR"/>
        </w:rPr>
        <w:t>coopérer aux activités de formation de l’</w:t>
      </w:r>
      <w:r w:rsidR="00FD4EBA" w:rsidRPr="00B22F10">
        <w:rPr>
          <w:kern w:val="22"/>
          <w:szCs w:val="22"/>
          <w:lang w:val="fr-FR"/>
        </w:rPr>
        <w:t>Initiative</w:t>
      </w:r>
      <w:r w:rsidR="00B22F10" w:rsidRPr="00B22F10">
        <w:rPr>
          <w:kern w:val="22"/>
          <w:szCs w:val="22"/>
          <w:lang w:val="fr-FR"/>
        </w:rPr>
        <w:t xml:space="preserve"> taxonomique mondiale et aux </w:t>
      </w:r>
      <w:r w:rsidR="00B22F10">
        <w:rPr>
          <w:kern w:val="22"/>
          <w:szCs w:val="22"/>
          <w:lang w:val="fr-FR"/>
        </w:rPr>
        <w:t>ré</w:t>
      </w:r>
      <w:r w:rsidR="00B22F10" w:rsidRPr="00B22F10">
        <w:rPr>
          <w:kern w:val="22"/>
          <w:szCs w:val="22"/>
          <w:lang w:val="fr-FR"/>
        </w:rPr>
        <w:t xml:space="preserve">unions d’experts </w:t>
      </w:r>
      <w:r w:rsidR="00FD4EBA" w:rsidRPr="00B22F10">
        <w:rPr>
          <w:kern w:val="22"/>
          <w:szCs w:val="22"/>
          <w:lang w:val="fr-FR"/>
        </w:rPr>
        <w:t xml:space="preserve"> </w:t>
      </w:r>
      <w:r w:rsidR="00974ABF">
        <w:rPr>
          <w:kern w:val="22"/>
          <w:szCs w:val="22"/>
          <w:lang w:val="fr-FR"/>
        </w:rPr>
        <w:t>concernant le commerce électronique</w:t>
      </w:r>
      <w:r w:rsidR="00FD4EBA" w:rsidRPr="00B22F10">
        <w:rPr>
          <w:kern w:val="22"/>
          <w:szCs w:val="22"/>
          <w:lang w:val="fr-FR"/>
        </w:rPr>
        <w:t xml:space="preserve">; </w:t>
      </w:r>
      <w:r w:rsidR="00697170" w:rsidRPr="00B22F10">
        <w:rPr>
          <w:kern w:val="22"/>
          <w:szCs w:val="22"/>
          <w:lang w:val="fr-FR"/>
        </w:rPr>
        <w:t>c) </w:t>
      </w:r>
      <w:r w:rsidR="00974ABF">
        <w:rPr>
          <w:kern w:val="22"/>
          <w:szCs w:val="22"/>
          <w:lang w:val="fr-FR"/>
        </w:rPr>
        <w:t xml:space="preserve">travailler sur la </w:t>
      </w:r>
      <w:r w:rsidR="00FD4EBA" w:rsidRPr="00B22F10">
        <w:rPr>
          <w:kern w:val="22"/>
          <w:szCs w:val="22"/>
          <w:lang w:val="fr-FR"/>
        </w:rPr>
        <w:t>compar</w:t>
      </w:r>
      <w:r w:rsidR="00974ABF">
        <w:rPr>
          <w:kern w:val="22"/>
          <w:szCs w:val="22"/>
          <w:lang w:val="fr-FR"/>
        </w:rPr>
        <w:t>a</w:t>
      </w:r>
      <w:r w:rsidR="00FD4EBA" w:rsidRPr="00B22F10">
        <w:rPr>
          <w:kern w:val="22"/>
          <w:szCs w:val="22"/>
          <w:lang w:val="fr-FR"/>
        </w:rPr>
        <w:t xml:space="preserve">ison </w:t>
      </w:r>
      <w:r w:rsidR="00974ABF">
        <w:rPr>
          <w:kern w:val="22"/>
          <w:szCs w:val="22"/>
          <w:lang w:val="fr-FR"/>
        </w:rPr>
        <w:t xml:space="preserve">des termes utilisés dans le </w:t>
      </w:r>
      <w:r w:rsidR="00FD4EBA" w:rsidRPr="00B22F10">
        <w:rPr>
          <w:kern w:val="22"/>
          <w:szCs w:val="22"/>
          <w:lang w:val="fr-FR"/>
        </w:rPr>
        <w:t>Protocol</w:t>
      </w:r>
      <w:r w:rsidR="00974ABF">
        <w:rPr>
          <w:kern w:val="22"/>
          <w:szCs w:val="22"/>
          <w:lang w:val="fr-FR"/>
        </w:rPr>
        <w:t>e de Cartagena sur la prévention des risques biotechnologiques</w:t>
      </w:r>
      <w:r w:rsidR="00FD4EBA" w:rsidRPr="00B22F10">
        <w:rPr>
          <w:kern w:val="22"/>
          <w:szCs w:val="22"/>
          <w:lang w:val="fr-FR"/>
        </w:rPr>
        <w:t xml:space="preserve">, </w:t>
      </w:r>
      <w:r w:rsidR="00974ABF">
        <w:rPr>
          <w:kern w:val="22"/>
          <w:szCs w:val="22"/>
          <w:lang w:val="fr-FR"/>
        </w:rPr>
        <w:t xml:space="preserve">le </w:t>
      </w:r>
      <w:r w:rsidR="00FD4EBA" w:rsidRPr="00B22F10">
        <w:rPr>
          <w:kern w:val="22"/>
          <w:szCs w:val="22"/>
          <w:lang w:val="fr-FR"/>
        </w:rPr>
        <w:t>Glossa</w:t>
      </w:r>
      <w:r w:rsidR="00974ABF">
        <w:rPr>
          <w:kern w:val="22"/>
          <w:szCs w:val="22"/>
          <w:lang w:val="fr-FR"/>
        </w:rPr>
        <w:t>ire des termes p</w:t>
      </w:r>
      <w:r w:rsidR="00FD4EBA" w:rsidRPr="00B22F10">
        <w:rPr>
          <w:kern w:val="22"/>
          <w:szCs w:val="22"/>
          <w:lang w:val="fr-FR"/>
        </w:rPr>
        <w:t>hytosanita</w:t>
      </w:r>
      <w:r w:rsidR="00974ABF">
        <w:rPr>
          <w:kern w:val="22"/>
          <w:szCs w:val="22"/>
          <w:lang w:val="fr-FR"/>
        </w:rPr>
        <w:t xml:space="preserve">ires et autres instruments </w:t>
      </w:r>
      <w:r w:rsidR="00974ABF">
        <w:rPr>
          <w:kern w:val="22"/>
          <w:szCs w:val="22"/>
          <w:lang w:val="fr-FR"/>
        </w:rPr>
        <w:lastRenderedPageBreak/>
        <w:t>pertinents</w:t>
      </w:r>
      <w:r w:rsidR="00FD4EBA" w:rsidRPr="00B22F10">
        <w:rPr>
          <w:kern w:val="22"/>
          <w:szCs w:val="22"/>
          <w:lang w:val="fr-FR"/>
        </w:rPr>
        <w:t xml:space="preserve">; </w:t>
      </w:r>
      <w:r w:rsidR="00697170" w:rsidRPr="00B22F10">
        <w:rPr>
          <w:kern w:val="22"/>
          <w:szCs w:val="22"/>
          <w:lang w:val="fr-FR"/>
        </w:rPr>
        <w:t>d) </w:t>
      </w:r>
      <w:r w:rsidR="00974ABF">
        <w:rPr>
          <w:kern w:val="22"/>
          <w:szCs w:val="22"/>
          <w:lang w:val="fr-FR"/>
        </w:rPr>
        <w:t>soutien des deux secré</w:t>
      </w:r>
      <w:r w:rsidR="00FD4EBA" w:rsidRPr="00B22F10">
        <w:rPr>
          <w:kern w:val="22"/>
          <w:szCs w:val="22"/>
          <w:lang w:val="fr-FR"/>
        </w:rPr>
        <w:t xml:space="preserve">tariats </w:t>
      </w:r>
      <w:r w:rsidR="00974ABF">
        <w:rPr>
          <w:kern w:val="22"/>
          <w:szCs w:val="22"/>
          <w:lang w:val="fr-FR"/>
        </w:rPr>
        <w:t>à leurs</w:t>
      </w:r>
      <w:r w:rsidR="00FD4EBA" w:rsidRPr="00B22F10">
        <w:rPr>
          <w:kern w:val="22"/>
          <w:szCs w:val="22"/>
          <w:lang w:val="fr-FR"/>
        </w:rPr>
        <w:t xml:space="preserve"> Parties </w:t>
      </w:r>
      <w:r w:rsidR="00974ABF">
        <w:rPr>
          <w:kern w:val="22"/>
          <w:szCs w:val="22"/>
          <w:lang w:val="fr-FR"/>
        </w:rPr>
        <w:t>pour la</w:t>
      </w:r>
      <w:r w:rsidR="00FD4EBA" w:rsidRPr="00B22F10">
        <w:rPr>
          <w:kern w:val="22"/>
          <w:szCs w:val="22"/>
          <w:lang w:val="fr-FR"/>
        </w:rPr>
        <w:t xml:space="preserve"> formulation</w:t>
      </w:r>
      <w:r w:rsidR="00974ABF">
        <w:rPr>
          <w:kern w:val="22"/>
          <w:szCs w:val="22"/>
          <w:lang w:val="fr-FR"/>
        </w:rPr>
        <w:t xml:space="preserve"> de projets pouvant bénéficier de mécanismes de financement appropriés</w:t>
      </w:r>
      <w:r w:rsidR="00FD4EBA" w:rsidRPr="00B22F10">
        <w:rPr>
          <w:kern w:val="22"/>
          <w:szCs w:val="22"/>
          <w:lang w:val="fr-FR"/>
        </w:rPr>
        <w:t xml:space="preserve">; </w:t>
      </w:r>
      <w:r w:rsidR="00974ABF">
        <w:rPr>
          <w:kern w:val="22"/>
          <w:szCs w:val="22"/>
          <w:lang w:val="fr-FR"/>
        </w:rPr>
        <w:t xml:space="preserve">et </w:t>
      </w:r>
      <w:r w:rsidR="00697170" w:rsidRPr="00B22F10">
        <w:rPr>
          <w:kern w:val="22"/>
          <w:szCs w:val="22"/>
          <w:lang w:val="fr-FR"/>
        </w:rPr>
        <w:t>e) </w:t>
      </w:r>
      <w:r w:rsidR="00974ABF">
        <w:rPr>
          <w:kern w:val="22"/>
          <w:szCs w:val="22"/>
          <w:lang w:val="fr-FR"/>
        </w:rPr>
        <w:t>coopé</w:t>
      </w:r>
      <w:r w:rsidR="00FD4EBA" w:rsidRPr="00B22F10">
        <w:rPr>
          <w:kern w:val="22"/>
          <w:szCs w:val="22"/>
          <w:lang w:val="fr-FR"/>
        </w:rPr>
        <w:t xml:space="preserve">ration </w:t>
      </w:r>
      <w:r w:rsidR="00974ABF">
        <w:rPr>
          <w:kern w:val="22"/>
          <w:szCs w:val="22"/>
          <w:lang w:val="fr-FR"/>
        </w:rPr>
        <w:t xml:space="preserve">en matière de </w:t>
      </w:r>
      <w:r w:rsidR="00210EB1" w:rsidRPr="00B22F10">
        <w:rPr>
          <w:kern w:val="22"/>
          <w:szCs w:val="22"/>
          <w:lang w:val="fr-FR"/>
        </w:rPr>
        <w:t xml:space="preserve">communication </w:t>
      </w:r>
      <w:r w:rsidR="00974ABF">
        <w:rPr>
          <w:kern w:val="22"/>
          <w:szCs w:val="22"/>
          <w:lang w:val="fr-FR"/>
        </w:rPr>
        <w:t>de l’information publique, y compris dans le</w:t>
      </w:r>
      <w:r w:rsidR="00FD4EBA" w:rsidRPr="00B22F10">
        <w:rPr>
          <w:kern w:val="22"/>
          <w:szCs w:val="22"/>
          <w:lang w:val="fr-FR"/>
        </w:rPr>
        <w:t xml:space="preserve"> context</w:t>
      </w:r>
      <w:r w:rsidR="00974ABF">
        <w:rPr>
          <w:kern w:val="22"/>
          <w:szCs w:val="22"/>
          <w:lang w:val="fr-FR"/>
        </w:rPr>
        <w:t>e de l’Année i</w:t>
      </w:r>
      <w:r w:rsidR="00FD4EBA" w:rsidRPr="00B22F10">
        <w:rPr>
          <w:kern w:val="22"/>
          <w:szCs w:val="22"/>
          <w:lang w:val="fr-FR"/>
        </w:rPr>
        <w:t>nternational</w:t>
      </w:r>
      <w:r w:rsidR="00974ABF">
        <w:rPr>
          <w:kern w:val="22"/>
          <w:szCs w:val="22"/>
          <w:lang w:val="fr-FR"/>
        </w:rPr>
        <w:t xml:space="preserve">e de la santé des </w:t>
      </w:r>
      <w:r w:rsidR="00E0354D">
        <w:rPr>
          <w:kern w:val="22"/>
          <w:szCs w:val="22"/>
          <w:lang w:val="fr-FR"/>
        </w:rPr>
        <w:t>végétaux en</w:t>
      </w:r>
      <w:r w:rsidR="00974ABF">
        <w:rPr>
          <w:kern w:val="22"/>
          <w:szCs w:val="22"/>
          <w:lang w:val="fr-FR"/>
        </w:rPr>
        <w:t xml:space="preserve"> </w:t>
      </w:r>
      <w:r w:rsidR="00FD4EBA" w:rsidRPr="00B22F10">
        <w:rPr>
          <w:kern w:val="22"/>
          <w:szCs w:val="22"/>
          <w:lang w:val="fr-FR"/>
        </w:rPr>
        <w:t xml:space="preserve">2020 </w:t>
      </w:r>
      <w:r w:rsidR="00974ABF">
        <w:rPr>
          <w:kern w:val="22"/>
          <w:szCs w:val="22"/>
          <w:lang w:val="fr-FR"/>
        </w:rPr>
        <w:t xml:space="preserve">et de la Décennie des Nations Unies </w:t>
      </w:r>
      <w:r w:rsidR="00E0354D">
        <w:rPr>
          <w:kern w:val="22"/>
          <w:szCs w:val="22"/>
          <w:lang w:val="fr-FR"/>
        </w:rPr>
        <w:t>pour la biodiversité</w:t>
      </w:r>
      <w:r w:rsidR="00FD4EBA" w:rsidRPr="00B22F10">
        <w:rPr>
          <w:kern w:val="22"/>
          <w:szCs w:val="22"/>
          <w:lang w:val="fr-FR"/>
        </w:rPr>
        <w:t>.</w:t>
      </w:r>
      <w:r w:rsidR="00A229F5" w:rsidRPr="00B22F10">
        <w:rPr>
          <w:kern w:val="22"/>
          <w:szCs w:val="22"/>
          <w:lang w:val="fr-FR"/>
        </w:rPr>
        <w:t xml:space="preserve"> </w:t>
      </w:r>
      <w:r w:rsidR="00E0354D" w:rsidRPr="00E0354D">
        <w:rPr>
          <w:kern w:val="22"/>
          <w:szCs w:val="22"/>
          <w:lang w:val="fr-FR"/>
        </w:rPr>
        <w:t xml:space="preserve">Des </w:t>
      </w:r>
      <w:r w:rsidR="00A229F5" w:rsidRPr="00E0354D">
        <w:rPr>
          <w:kern w:val="22"/>
          <w:szCs w:val="22"/>
          <w:lang w:val="fr-FR"/>
        </w:rPr>
        <w:t>information</w:t>
      </w:r>
      <w:r w:rsidR="00E0354D" w:rsidRPr="00E0354D">
        <w:rPr>
          <w:kern w:val="22"/>
          <w:szCs w:val="22"/>
          <w:lang w:val="fr-FR"/>
        </w:rPr>
        <w:t>s pertinentes ont été fournies dans les rapports du Secrétariat de la CDB à la</w:t>
      </w:r>
      <w:r w:rsidR="00A229F5" w:rsidRPr="00E0354D">
        <w:rPr>
          <w:kern w:val="22"/>
          <w:szCs w:val="22"/>
          <w:lang w:val="fr-FR"/>
        </w:rPr>
        <w:t xml:space="preserve"> Commission </w:t>
      </w:r>
      <w:r w:rsidR="00E0354D" w:rsidRPr="00E0354D">
        <w:rPr>
          <w:kern w:val="22"/>
          <w:szCs w:val="22"/>
          <w:lang w:val="fr-FR"/>
        </w:rPr>
        <w:t>sur les mesures phytosanitaires à ses douzième et treizième sessions tenues en</w:t>
      </w:r>
      <w:r w:rsidR="00A229F5" w:rsidRPr="00E0354D">
        <w:rPr>
          <w:kern w:val="22"/>
          <w:szCs w:val="22"/>
          <w:lang w:val="fr-FR"/>
        </w:rPr>
        <w:t xml:space="preserve"> 2017 </w:t>
      </w:r>
      <w:r w:rsidR="00E0354D" w:rsidRPr="00E0354D">
        <w:rPr>
          <w:kern w:val="22"/>
          <w:szCs w:val="22"/>
          <w:lang w:val="fr-FR"/>
        </w:rPr>
        <w:t>et</w:t>
      </w:r>
      <w:r w:rsidR="00A229F5" w:rsidRPr="00E0354D">
        <w:rPr>
          <w:kern w:val="22"/>
          <w:szCs w:val="22"/>
          <w:lang w:val="fr-FR"/>
        </w:rPr>
        <w:t xml:space="preserve"> 2018 respective</w:t>
      </w:r>
      <w:r w:rsidR="00E0354D" w:rsidRPr="00E0354D">
        <w:rPr>
          <w:kern w:val="22"/>
          <w:szCs w:val="22"/>
          <w:lang w:val="fr-FR"/>
        </w:rPr>
        <w:t xml:space="preserve">ment </w:t>
      </w:r>
      <w:r w:rsidR="00E0354D">
        <w:rPr>
          <w:kern w:val="22"/>
          <w:szCs w:val="22"/>
          <w:lang w:val="fr-FR"/>
        </w:rPr>
        <w:t>comme indiqué dans les rapports du Secré</w:t>
      </w:r>
      <w:r w:rsidR="00A229F5" w:rsidRPr="00E0354D">
        <w:rPr>
          <w:kern w:val="22"/>
          <w:szCs w:val="22"/>
          <w:lang w:val="fr-FR"/>
        </w:rPr>
        <w:t>tariat</w:t>
      </w:r>
      <w:r w:rsidR="00E0354D">
        <w:rPr>
          <w:kern w:val="22"/>
          <w:szCs w:val="22"/>
          <w:lang w:val="fr-FR"/>
        </w:rPr>
        <w:t xml:space="preserve"> de la CIPV</w:t>
      </w:r>
      <w:r w:rsidR="00A229F5" w:rsidRPr="00883A1C">
        <w:rPr>
          <w:rStyle w:val="Appelnotedebasdep"/>
          <w:kern w:val="22"/>
          <w:sz w:val="22"/>
          <w:szCs w:val="22"/>
          <w:u w:val="none"/>
          <w:vertAlign w:val="superscript"/>
        </w:rPr>
        <w:footnoteReference w:id="8"/>
      </w:r>
      <w:r w:rsidR="00E0354D">
        <w:rPr>
          <w:kern w:val="22"/>
          <w:szCs w:val="22"/>
          <w:lang w:val="fr-FR"/>
        </w:rPr>
        <w:t>.</w:t>
      </w:r>
    </w:p>
    <w:p w:rsidR="00FD4EBA" w:rsidRPr="006B7DB1" w:rsidRDefault="00092F10"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092F10">
        <w:rPr>
          <w:kern w:val="22"/>
          <w:szCs w:val="22"/>
          <w:lang w:val="fr-FR"/>
        </w:rPr>
        <w:t>La relation du Traité i</w:t>
      </w:r>
      <w:r w:rsidR="00FD4EBA" w:rsidRPr="00092F10">
        <w:rPr>
          <w:kern w:val="22"/>
          <w:szCs w:val="22"/>
          <w:lang w:val="fr-FR"/>
        </w:rPr>
        <w:t xml:space="preserve">nternational </w:t>
      </w:r>
      <w:r w:rsidRPr="00092F10">
        <w:rPr>
          <w:kern w:val="22"/>
          <w:szCs w:val="22"/>
          <w:lang w:val="fr-FR"/>
        </w:rPr>
        <w:t>sur les ressources phytogénétiques pour l’alimentation et l’a</w:t>
      </w:r>
      <w:r w:rsidR="00FD4EBA" w:rsidRPr="00092F10">
        <w:rPr>
          <w:kern w:val="22"/>
          <w:szCs w:val="22"/>
          <w:lang w:val="fr-FR"/>
        </w:rPr>
        <w:t xml:space="preserve">griculture </w:t>
      </w:r>
      <w:r>
        <w:rPr>
          <w:kern w:val="22"/>
          <w:szCs w:val="22"/>
          <w:lang w:val="fr-FR"/>
        </w:rPr>
        <w:t>avec la CDB est établie par les articles 1.2, 19.3 (l) et</w:t>
      </w:r>
      <w:r w:rsidR="00FD4EBA" w:rsidRPr="00092F10">
        <w:rPr>
          <w:kern w:val="22"/>
          <w:szCs w:val="22"/>
          <w:lang w:val="fr-FR"/>
        </w:rPr>
        <w:t xml:space="preserve"> 20.5 </w:t>
      </w:r>
      <w:r>
        <w:rPr>
          <w:kern w:val="22"/>
          <w:szCs w:val="22"/>
          <w:lang w:val="fr-FR"/>
        </w:rPr>
        <w:t>du Traité i</w:t>
      </w:r>
      <w:r w:rsidR="00FD4EBA" w:rsidRPr="00092F10">
        <w:rPr>
          <w:kern w:val="22"/>
          <w:szCs w:val="22"/>
          <w:lang w:val="fr-FR"/>
        </w:rPr>
        <w:t xml:space="preserve">nternational. </w:t>
      </w:r>
      <w:r>
        <w:rPr>
          <w:kern w:val="22"/>
          <w:szCs w:val="22"/>
          <w:lang w:val="fr-FR"/>
        </w:rPr>
        <w:t xml:space="preserve"> </w:t>
      </w:r>
      <w:r w:rsidRPr="00092F10">
        <w:rPr>
          <w:kern w:val="22"/>
          <w:szCs w:val="22"/>
          <w:lang w:val="fr-FR"/>
        </w:rPr>
        <w:t>La coopé</w:t>
      </w:r>
      <w:r w:rsidR="00691E77" w:rsidRPr="00092F10">
        <w:rPr>
          <w:kern w:val="22"/>
          <w:szCs w:val="22"/>
          <w:lang w:val="fr-FR"/>
        </w:rPr>
        <w:t xml:space="preserve">ration </w:t>
      </w:r>
      <w:r w:rsidRPr="00092F10">
        <w:rPr>
          <w:kern w:val="22"/>
          <w:szCs w:val="22"/>
          <w:lang w:val="fr-FR"/>
        </w:rPr>
        <w:t>entre les deux</w:t>
      </w:r>
      <w:r w:rsidR="00691E77" w:rsidRPr="00092F10">
        <w:rPr>
          <w:kern w:val="22"/>
          <w:szCs w:val="22"/>
          <w:lang w:val="fr-FR"/>
        </w:rPr>
        <w:t xml:space="preserve"> </w:t>
      </w:r>
      <w:r w:rsidR="00697170" w:rsidRPr="00092F10">
        <w:rPr>
          <w:kern w:val="22"/>
          <w:szCs w:val="22"/>
          <w:lang w:val="fr-FR"/>
        </w:rPr>
        <w:t>s</w:t>
      </w:r>
      <w:r w:rsidRPr="00092F10">
        <w:rPr>
          <w:kern w:val="22"/>
          <w:szCs w:val="22"/>
          <w:lang w:val="fr-FR"/>
        </w:rPr>
        <w:t>ecré</w:t>
      </w:r>
      <w:r w:rsidR="00691E77" w:rsidRPr="00092F10">
        <w:rPr>
          <w:kern w:val="22"/>
          <w:szCs w:val="22"/>
          <w:lang w:val="fr-FR"/>
        </w:rPr>
        <w:t xml:space="preserve">tariats </w:t>
      </w:r>
      <w:r w:rsidRPr="00092F10">
        <w:rPr>
          <w:kern w:val="22"/>
          <w:szCs w:val="22"/>
          <w:lang w:val="fr-FR"/>
        </w:rPr>
        <w:t xml:space="preserve">a lieu dans le cadre d’un </w:t>
      </w:r>
      <w:r>
        <w:rPr>
          <w:kern w:val="22"/>
          <w:szCs w:val="22"/>
          <w:lang w:val="fr-FR"/>
        </w:rPr>
        <w:t>mé</w:t>
      </w:r>
      <w:r w:rsidRPr="00092F10">
        <w:rPr>
          <w:kern w:val="22"/>
          <w:szCs w:val="22"/>
          <w:lang w:val="fr-FR"/>
        </w:rPr>
        <w:t>morandum de coo</w:t>
      </w:r>
      <w:r>
        <w:rPr>
          <w:kern w:val="22"/>
          <w:szCs w:val="22"/>
          <w:lang w:val="fr-FR"/>
        </w:rPr>
        <w:t>pé</w:t>
      </w:r>
      <w:r w:rsidR="00691E77" w:rsidRPr="00092F10">
        <w:rPr>
          <w:kern w:val="22"/>
          <w:szCs w:val="22"/>
          <w:lang w:val="fr-FR"/>
        </w:rPr>
        <w:t xml:space="preserve">ration </w:t>
      </w:r>
      <w:r>
        <w:rPr>
          <w:kern w:val="22"/>
          <w:szCs w:val="22"/>
          <w:lang w:val="fr-FR"/>
        </w:rPr>
        <w:t>conclu en</w:t>
      </w:r>
      <w:r w:rsidR="00691E77" w:rsidRPr="00092F10">
        <w:rPr>
          <w:kern w:val="22"/>
          <w:szCs w:val="22"/>
          <w:lang w:val="fr-FR"/>
        </w:rPr>
        <w:t xml:space="preserve"> 2010. </w:t>
      </w:r>
      <w:r w:rsidRPr="006B7DB1">
        <w:rPr>
          <w:kern w:val="22"/>
          <w:szCs w:val="22"/>
          <w:lang w:val="fr-FR"/>
        </w:rPr>
        <w:t xml:space="preserve">Les </w:t>
      </w:r>
      <w:r w:rsidR="006B7DB1" w:rsidRPr="006B7DB1">
        <w:rPr>
          <w:kern w:val="22"/>
          <w:szCs w:val="22"/>
          <w:lang w:val="fr-FR"/>
        </w:rPr>
        <w:t>deux</w:t>
      </w:r>
      <w:r w:rsidR="00691E77" w:rsidRPr="006B7DB1">
        <w:rPr>
          <w:kern w:val="22"/>
          <w:szCs w:val="22"/>
          <w:lang w:val="fr-FR"/>
        </w:rPr>
        <w:t xml:space="preserve"> </w:t>
      </w:r>
      <w:r w:rsidR="00BE66B4" w:rsidRPr="006B7DB1">
        <w:rPr>
          <w:kern w:val="22"/>
          <w:szCs w:val="22"/>
          <w:lang w:val="fr-FR"/>
        </w:rPr>
        <w:t>s</w:t>
      </w:r>
      <w:r w:rsidR="006B7DB1" w:rsidRPr="006B7DB1">
        <w:rPr>
          <w:kern w:val="22"/>
          <w:szCs w:val="22"/>
          <w:lang w:val="fr-FR"/>
        </w:rPr>
        <w:t>ecré</w:t>
      </w:r>
      <w:r w:rsidR="00691E77" w:rsidRPr="006B7DB1">
        <w:rPr>
          <w:kern w:val="22"/>
          <w:szCs w:val="22"/>
          <w:lang w:val="fr-FR"/>
        </w:rPr>
        <w:t xml:space="preserve">tariats </w:t>
      </w:r>
      <w:r w:rsidR="006B7DB1" w:rsidRPr="006B7DB1">
        <w:rPr>
          <w:kern w:val="22"/>
          <w:szCs w:val="22"/>
          <w:lang w:val="fr-FR"/>
        </w:rPr>
        <w:t xml:space="preserve">sont également convenus d’une </w:t>
      </w:r>
      <w:r w:rsidR="00691E77" w:rsidRPr="006B7DB1">
        <w:rPr>
          <w:kern w:val="22"/>
          <w:szCs w:val="22"/>
          <w:lang w:val="fr-FR"/>
        </w:rPr>
        <w:t xml:space="preserve">Initiative </w:t>
      </w:r>
      <w:r w:rsidR="006B7DB1" w:rsidRPr="006B7DB1">
        <w:rPr>
          <w:kern w:val="22"/>
          <w:szCs w:val="22"/>
          <w:lang w:val="fr-FR"/>
        </w:rPr>
        <w:t>conjointe pour l’application harmonieuse du Traité i</w:t>
      </w:r>
      <w:r w:rsidR="00691E77" w:rsidRPr="006B7DB1">
        <w:rPr>
          <w:kern w:val="22"/>
          <w:szCs w:val="22"/>
          <w:lang w:val="fr-FR"/>
        </w:rPr>
        <w:t xml:space="preserve">nternational </w:t>
      </w:r>
      <w:r w:rsidR="006B7DB1">
        <w:rPr>
          <w:kern w:val="22"/>
          <w:szCs w:val="22"/>
          <w:lang w:val="fr-FR"/>
        </w:rPr>
        <w:t xml:space="preserve">et de la </w:t>
      </w:r>
      <w:r w:rsidR="00691E77" w:rsidRPr="006B7DB1">
        <w:rPr>
          <w:kern w:val="22"/>
          <w:szCs w:val="22"/>
          <w:lang w:val="fr-FR"/>
        </w:rPr>
        <w:t xml:space="preserve">Convention </w:t>
      </w:r>
      <w:r w:rsidR="006B7DB1">
        <w:rPr>
          <w:kern w:val="22"/>
          <w:szCs w:val="22"/>
          <w:lang w:val="fr-FR"/>
        </w:rPr>
        <w:t>comme de son Protocole de</w:t>
      </w:r>
      <w:r w:rsidR="00691E77" w:rsidRPr="006B7DB1">
        <w:rPr>
          <w:kern w:val="22"/>
          <w:szCs w:val="22"/>
          <w:lang w:val="fr-FR"/>
        </w:rPr>
        <w:t xml:space="preserve"> Nagoya. </w:t>
      </w:r>
      <w:r w:rsidR="006B7DB1" w:rsidRPr="006B7DB1">
        <w:rPr>
          <w:kern w:val="22"/>
          <w:szCs w:val="22"/>
          <w:lang w:val="fr-FR"/>
        </w:rPr>
        <w:t>L’I</w:t>
      </w:r>
      <w:r w:rsidR="00691E77" w:rsidRPr="006B7DB1">
        <w:rPr>
          <w:kern w:val="22"/>
          <w:szCs w:val="22"/>
          <w:lang w:val="fr-FR"/>
        </w:rPr>
        <w:t>nitiative</w:t>
      </w:r>
      <w:r w:rsidR="006B7DB1" w:rsidRPr="006B7DB1">
        <w:rPr>
          <w:kern w:val="22"/>
          <w:szCs w:val="22"/>
          <w:lang w:val="fr-FR"/>
        </w:rPr>
        <w:t xml:space="preserve"> conjointe identifie un certain nombre de mesures concrètes liées à l’accès et au partage des avantages, à la c</w:t>
      </w:r>
      <w:r w:rsidR="00691E77" w:rsidRPr="006B7DB1">
        <w:rPr>
          <w:kern w:val="22"/>
          <w:szCs w:val="22"/>
          <w:lang w:val="fr-FR"/>
        </w:rPr>
        <w:t>onservation</w:t>
      </w:r>
      <w:r w:rsidR="006B7DB1">
        <w:rPr>
          <w:kern w:val="22"/>
          <w:szCs w:val="22"/>
          <w:lang w:val="fr-FR"/>
        </w:rPr>
        <w:t xml:space="preserve"> des fermes et à l’utilisation durable des ressources génétiques végétales pour l’alimentation et l’</w:t>
      </w:r>
      <w:r w:rsidR="00691E77" w:rsidRPr="006B7DB1">
        <w:rPr>
          <w:kern w:val="22"/>
          <w:szCs w:val="22"/>
          <w:lang w:val="fr-FR"/>
        </w:rPr>
        <w:t xml:space="preserve">agriculture. </w:t>
      </w:r>
      <w:r w:rsidR="006B7DB1">
        <w:rPr>
          <w:kern w:val="22"/>
          <w:szCs w:val="22"/>
          <w:lang w:val="fr-FR"/>
        </w:rPr>
        <w:t>De récentes activités de coopération ont porté sur des projets favorisant l’application complémentaire de l’</w:t>
      </w:r>
      <w:r w:rsidR="00FD4EBA" w:rsidRPr="006B7DB1">
        <w:rPr>
          <w:kern w:val="22"/>
          <w:szCs w:val="22"/>
          <w:lang w:val="fr-FR"/>
        </w:rPr>
        <w:t xml:space="preserve">ITPGRFA </w:t>
      </w:r>
      <w:r w:rsidR="006B7DB1">
        <w:rPr>
          <w:kern w:val="22"/>
          <w:szCs w:val="22"/>
          <w:lang w:val="fr-FR"/>
        </w:rPr>
        <w:t xml:space="preserve">et du </w:t>
      </w:r>
      <w:r w:rsidR="00FD4EBA" w:rsidRPr="006B7DB1">
        <w:rPr>
          <w:kern w:val="22"/>
          <w:szCs w:val="22"/>
          <w:lang w:val="fr-FR"/>
        </w:rPr>
        <w:t>Protocol</w:t>
      </w:r>
      <w:r w:rsidR="006B7DB1">
        <w:rPr>
          <w:kern w:val="22"/>
          <w:szCs w:val="22"/>
          <w:lang w:val="fr-FR"/>
        </w:rPr>
        <w:t>e de Nagoya</w:t>
      </w:r>
      <w:r w:rsidR="00FD4EBA" w:rsidRPr="006B7DB1">
        <w:rPr>
          <w:kern w:val="22"/>
          <w:szCs w:val="22"/>
          <w:lang w:val="fr-FR"/>
        </w:rPr>
        <w:t xml:space="preserve">. </w:t>
      </w:r>
      <w:r w:rsidR="006B7DB1" w:rsidRPr="006B7DB1">
        <w:rPr>
          <w:kern w:val="22"/>
          <w:szCs w:val="22"/>
          <w:lang w:val="fr-FR"/>
        </w:rPr>
        <w:t>Le Secré</w:t>
      </w:r>
      <w:r w:rsidR="00FD4EBA" w:rsidRPr="006B7DB1">
        <w:rPr>
          <w:kern w:val="22"/>
          <w:szCs w:val="22"/>
          <w:lang w:val="fr-FR"/>
        </w:rPr>
        <w:t xml:space="preserve">tariat </w:t>
      </w:r>
      <w:r w:rsidR="006B7DB1" w:rsidRPr="006B7DB1">
        <w:rPr>
          <w:kern w:val="22"/>
          <w:szCs w:val="22"/>
          <w:lang w:val="fr-FR"/>
        </w:rPr>
        <w:t>de la</w:t>
      </w:r>
      <w:r w:rsidR="00FD4EBA" w:rsidRPr="006B7DB1">
        <w:rPr>
          <w:kern w:val="22"/>
          <w:szCs w:val="22"/>
          <w:lang w:val="fr-FR"/>
        </w:rPr>
        <w:t xml:space="preserve"> CBD </w:t>
      </w:r>
      <w:r w:rsidR="006B7DB1" w:rsidRPr="006B7DB1">
        <w:rPr>
          <w:kern w:val="22"/>
          <w:szCs w:val="22"/>
          <w:lang w:val="fr-FR"/>
        </w:rPr>
        <w:t>et le Secré</w:t>
      </w:r>
      <w:r w:rsidR="00FD4EBA" w:rsidRPr="006B7DB1">
        <w:rPr>
          <w:kern w:val="22"/>
          <w:szCs w:val="22"/>
          <w:lang w:val="fr-FR"/>
        </w:rPr>
        <w:t xml:space="preserve">tariat </w:t>
      </w:r>
      <w:r w:rsidR="006B7DB1" w:rsidRPr="006B7DB1">
        <w:rPr>
          <w:kern w:val="22"/>
          <w:szCs w:val="22"/>
          <w:lang w:val="fr-FR"/>
        </w:rPr>
        <w:t>de l’</w:t>
      </w:r>
      <w:proofErr w:type="spellStart"/>
      <w:r w:rsidR="00FD4EBA" w:rsidRPr="006B7DB1">
        <w:rPr>
          <w:kern w:val="22"/>
          <w:szCs w:val="22"/>
          <w:lang w:val="fr-FR"/>
        </w:rPr>
        <w:t>ITPGRFA</w:t>
      </w:r>
      <w:proofErr w:type="spellEnd"/>
      <w:r w:rsidR="00FD4EBA" w:rsidRPr="006B7DB1">
        <w:rPr>
          <w:kern w:val="22"/>
          <w:szCs w:val="22"/>
          <w:lang w:val="fr-FR"/>
        </w:rPr>
        <w:t xml:space="preserve"> </w:t>
      </w:r>
      <w:r w:rsidR="006B7DB1" w:rsidRPr="006B7DB1">
        <w:rPr>
          <w:kern w:val="22"/>
          <w:szCs w:val="22"/>
          <w:lang w:val="fr-FR"/>
        </w:rPr>
        <w:t xml:space="preserve">ont </w:t>
      </w:r>
      <w:proofErr w:type="spellStart"/>
      <w:r w:rsidR="00DE4463">
        <w:rPr>
          <w:kern w:val="22"/>
          <w:szCs w:val="22"/>
          <w:lang w:val="fr-FR"/>
        </w:rPr>
        <w:t>oeuvré</w:t>
      </w:r>
      <w:proofErr w:type="spellEnd"/>
      <w:r w:rsidR="006B7DB1" w:rsidRPr="006B7DB1">
        <w:rPr>
          <w:kern w:val="22"/>
          <w:szCs w:val="22"/>
          <w:lang w:val="fr-FR"/>
        </w:rPr>
        <w:t xml:space="preserve"> avec un certain nombre de partenaires pour </w:t>
      </w:r>
      <w:r w:rsidR="00DE4463">
        <w:rPr>
          <w:kern w:val="22"/>
          <w:szCs w:val="22"/>
          <w:lang w:val="fr-FR"/>
        </w:rPr>
        <w:t>entreprendre différ</w:t>
      </w:r>
      <w:r w:rsidR="00FD4EBA" w:rsidRPr="006B7DB1">
        <w:rPr>
          <w:kern w:val="22"/>
          <w:szCs w:val="22"/>
          <w:lang w:val="fr-FR"/>
        </w:rPr>
        <w:t>ent</w:t>
      </w:r>
      <w:r w:rsidR="00DE4463">
        <w:rPr>
          <w:kern w:val="22"/>
          <w:szCs w:val="22"/>
          <w:lang w:val="fr-FR"/>
        </w:rPr>
        <w:t>es</w:t>
      </w:r>
      <w:r w:rsidR="00FD4EBA" w:rsidRPr="006B7DB1">
        <w:rPr>
          <w:kern w:val="22"/>
          <w:szCs w:val="22"/>
          <w:lang w:val="fr-FR"/>
        </w:rPr>
        <w:t xml:space="preserve"> ac</w:t>
      </w:r>
      <w:r w:rsidR="00DE4463">
        <w:rPr>
          <w:kern w:val="22"/>
          <w:szCs w:val="22"/>
          <w:lang w:val="fr-FR"/>
        </w:rPr>
        <w:t>tivités</w:t>
      </w:r>
      <w:r w:rsidR="00691E77" w:rsidRPr="006B7DB1">
        <w:rPr>
          <w:kern w:val="22"/>
          <w:szCs w:val="22"/>
          <w:lang w:val="fr-FR"/>
        </w:rPr>
        <w:t>.</w:t>
      </w:r>
    </w:p>
    <w:p w:rsidR="00691E77" w:rsidRPr="00092F10" w:rsidRDefault="00E23A70"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E23A70">
        <w:rPr>
          <w:kern w:val="22"/>
          <w:szCs w:val="22"/>
          <w:lang w:val="fr-FR"/>
        </w:rPr>
        <w:t>Les détails de la coopé</w:t>
      </w:r>
      <w:r w:rsidR="00691E77" w:rsidRPr="00E23A70">
        <w:rPr>
          <w:kern w:val="22"/>
          <w:szCs w:val="22"/>
          <w:lang w:val="fr-FR"/>
        </w:rPr>
        <w:t xml:space="preserve">ration </w:t>
      </w:r>
      <w:r w:rsidRPr="00E23A70">
        <w:rPr>
          <w:kern w:val="22"/>
          <w:szCs w:val="22"/>
          <w:lang w:val="fr-FR"/>
        </w:rPr>
        <w:t>entre l’I</w:t>
      </w:r>
      <w:r w:rsidR="00691E77" w:rsidRPr="00E23A70">
        <w:rPr>
          <w:kern w:val="22"/>
          <w:szCs w:val="22"/>
          <w:lang w:val="fr-FR"/>
        </w:rPr>
        <w:t xml:space="preserve">TPGRFA </w:t>
      </w:r>
      <w:r w:rsidR="00716958">
        <w:rPr>
          <w:kern w:val="22"/>
          <w:szCs w:val="22"/>
          <w:lang w:val="fr-FR"/>
        </w:rPr>
        <w:t>et la CDB</w:t>
      </w:r>
      <w:r w:rsidRPr="00E23A70">
        <w:rPr>
          <w:kern w:val="22"/>
          <w:szCs w:val="22"/>
          <w:lang w:val="fr-FR"/>
        </w:rPr>
        <w:t xml:space="preserve"> au cours du dernier exercice biennal sont donnés dans le rapport sur la coopé</w:t>
      </w:r>
      <w:r w:rsidR="00A52987" w:rsidRPr="00E23A70">
        <w:rPr>
          <w:kern w:val="22"/>
          <w:szCs w:val="22"/>
          <w:lang w:val="fr-FR"/>
        </w:rPr>
        <w:t xml:space="preserve">ration </w:t>
      </w:r>
      <w:r w:rsidRPr="00E23A70">
        <w:rPr>
          <w:kern w:val="22"/>
          <w:szCs w:val="22"/>
          <w:lang w:val="fr-FR"/>
        </w:rPr>
        <w:t xml:space="preserve">avec la </w:t>
      </w:r>
      <w:r w:rsidR="00A52987" w:rsidRPr="00E23A70">
        <w:rPr>
          <w:kern w:val="22"/>
          <w:szCs w:val="22"/>
          <w:lang w:val="fr-FR"/>
        </w:rPr>
        <w:t xml:space="preserve">Convention </w:t>
      </w:r>
      <w:r w:rsidRPr="00E23A70">
        <w:rPr>
          <w:kern w:val="22"/>
          <w:szCs w:val="22"/>
          <w:lang w:val="fr-FR"/>
        </w:rPr>
        <w:t>sur la diversité biologique</w:t>
      </w:r>
      <w:r w:rsidR="00A52987" w:rsidRPr="00883A1C">
        <w:rPr>
          <w:rStyle w:val="Appelnotedebasdep"/>
          <w:kern w:val="22"/>
          <w:sz w:val="22"/>
          <w:szCs w:val="22"/>
          <w:u w:val="none"/>
          <w:vertAlign w:val="superscript"/>
        </w:rPr>
        <w:footnoteReference w:id="9"/>
      </w:r>
      <w:r w:rsidR="00A52987" w:rsidRPr="00E23A70">
        <w:rPr>
          <w:kern w:val="22"/>
          <w:szCs w:val="22"/>
          <w:lang w:val="fr-FR"/>
        </w:rPr>
        <w:t xml:space="preserve"> </w:t>
      </w:r>
      <w:r w:rsidRPr="00E23A70">
        <w:rPr>
          <w:kern w:val="22"/>
          <w:szCs w:val="22"/>
          <w:lang w:val="fr-FR"/>
        </w:rPr>
        <w:t>et le rapport du Secré</w:t>
      </w:r>
      <w:r w:rsidR="00A52987" w:rsidRPr="00E23A70">
        <w:rPr>
          <w:kern w:val="22"/>
          <w:szCs w:val="22"/>
          <w:lang w:val="fr-FR"/>
        </w:rPr>
        <w:t xml:space="preserve">tariat </w:t>
      </w:r>
      <w:r>
        <w:rPr>
          <w:kern w:val="22"/>
          <w:szCs w:val="22"/>
          <w:lang w:val="fr-FR"/>
        </w:rPr>
        <w:t>de la C</w:t>
      </w:r>
      <w:r w:rsidR="00A52987" w:rsidRPr="00E23A70">
        <w:rPr>
          <w:kern w:val="22"/>
          <w:szCs w:val="22"/>
          <w:lang w:val="fr-FR"/>
        </w:rPr>
        <w:t xml:space="preserve">onvention </w:t>
      </w:r>
      <w:r>
        <w:rPr>
          <w:kern w:val="22"/>
          <w:szCs w:val="22"/>
          <w:lang w:val="fr-FR"/>
        </w:rPr>
        <w:t>sur la diversité biologique sur la coopé</w:t>
      </w:r>
      <w:r w:rsidR="00A52987" w:rsidRPr="00E23A70">
        <w:rPr>
          <w:kern w:val="22"/>
          <w:szCs w:val="22"/>
          <w:lang w:val="fr-FR"/>
        </w:rPr>
        <w:t xml:space="preserve">ration </w:t>
      </w:r>
      <w:r>
        <w:rPr>
          <w:kern w:val="22"/>
          <w:szCs w:val="22"/>
          <w:lang w:val="fr-FR"/>
        </w:rPr>
        <w:t>avec le Traité in</w:t>
      </w:r>
      <w:r w:rsidR="00A52987" w:rsidRPr="00E23A70">
        <w:rPr>
          <w:kern w:val="22"/>
          <w:szCs w:val="22"/>
          <w:lang w:val="fr-FR"/>
        </w:rPr>
        <w:t>ternational</w:t>
      </w:r>
      <w:r w:rsidR="00983E36" w:rsidRPr="00883A1C">
        <w:rPr>
          <w:rStyle w:val="Appelnotedebasdep"/>
          <w:kern w:val="22"/>
          <w:sz w:val="22"/>
          <w:szCs w:val="22"/>
          <w:u w:val="none"/>
          <w:vertAlign w:val="superscript"/>
        </w:rPr>
        <w:footnoteReference w:id="10"/>
      </w:r>
      <w:r>
        <w:rPr>
          <w:kern w:val="22"/>
          <w:szCs w:val="22"/>
          <w:lang w:val="fr-FR"/>
        </w:rPr>
        <w:t>,</w:t>
      </w:r>
      <w:r w:rsidR="00A229F5" w:rsidRPr="00E23A70">
        <w:rPr>
          <w:kern w:val="22"/>
          <w:szCs w:val="22"/>
          <w:lang w:val="fr-FR"/>
        </w:rPr>
        <w:t xml:space="preserve"> </w:t>
      </w:r>
      <w:r>
        <w:rPr>
          <w:kern w:val="22"/>
          <w:szCs w:val="22"/>
          <w:lang w:val="fr-FR"/>
        </w:rPr>
        <w:t>chacun soumis à l’Organe directeur du Traité i</w:t>
      </w:r>
      <w:r w:rsidR="00A229F5" w:rsidRPr="00E23A70">
        <w:rPr>
          <w:kern w:val="22"/>
          <w:szCs w:val="22"/>
          <w:lang w:val="fr-FR"/>
        </w:rPr>
        <w:t>nternational</w:t>
      </w:r>
      <w:r>
        <w:rPr>
          <w:kern w:val="22"/>
          <w:szCs w:val="22"/>
          <w:lang w:val="fr-FR"/>
        </w:rPr>
        <w:t xml:space="preserve"> à sa septième session</w:t>
      </w:r>
      <w:r w:rsidR="00691E77" w:rsidRPr="00E23A70">
        <w:rPr>
          <w:kern w:val="22"/>
          <w:szCs w:val="22"/>
          <w:lang w:val="fr-FR"/>
        </w:rPr>
        <w:t>.</w:t>
      </w:r>
      <w:r w:rsidR="00A52987" w:rsidRPr="00E23A70">
        <w:rPr>
          <w:kern w:val="22"/>
          <w:szCs w:val="22"/>
          <w:lang w:val="fr-FR"/>
        </w:rPr>
        <w:t xml:space="preserve"> </w:t>
      </w:r>
      <w:r w:rsidRPr="00896006">
        <w:rPr>
          <w:kern w:val="22"/>
          <w:szCs w:val="22"/>
          <w:lang w:val="fr-FR"/>
        </w:rPr>
        <w:t xml:space="preserve">Des progrès considérables ont été réalisés </w:t>
      </w:r>
      <w:r w:rsidR="00896006" w:rsidRPr="00896006">
        <w:rPr>
          <w:kern w:val="22"/>
          <w:szCs w:val="22"/>
          <w:lang w:val="fr-FR"/>
        </w:rPr>
        <w:t>dans les domaines des activités de renforcement des capacités, de l’</w:t>
      </w:r>
      <w:r w:rsidR="00896006">
        <w:rPr>
          <w:kern w:val="22"/>
          <w:szCs w:val="22"/>
          <w:lang w:val="fr-FR"/>
        </w:rPr>
        <w:t>i</w:t>
      </w:r>
      <w:r w:rsidR="00691E77" w:rsidRPr="00896006">
        <w:rPr>
          <w:kern w:val="22"/>
          <w:szCs w:val="22"/>
          <w:lang w:val="fr-FR"/>
        </w:rPr>
        <w:t>nformation</w:t>
      </w:r>
      <w:r w:rsidR="00896006">
        <w:rPr>
          <w:kern w:val="22"/>
          <w:szCs w:val="22"/>
          <w:lang w:val="fr-FR"/>
        </w:rPr>
        <w:t xml:space="preserve"> et de la gestion des </w:t>
      </w:r>
      <w:r w:rsidR="00716958">
        <w:rPr>
          <w:kern w:val="22"/>
          <w:szCs w:val="22"/>
          <w:lang w:val="fr-FR"/>
        </w:rPr>
        <w:t>connaissances</w:t>
      </w:r>
      <w:r w:rsidR="00896006">
        <w:rPr>
          <w:kern w:val="22"/>
          <w:szCs w:val="22"/>
          <w:lang w:val="fr-FR"/>
        </w:rPr>
        <w:t xml:space="preserve"> de même qu’à l’appui de la mise e</w:t>
      </w:r>
      <w:r w:rsidR="00691E77" w:rsidRPr="00896006">
        <w:rPr>
          <w:kern w:val="22"/>
          <w:szCs w:val="22"/>
          <w:lang w:val="fr-FR"/>
        </w:rPr>
        <w:t xml:space="preserve">n </w:t>
      </w:r>
      <w:r w:rsidR="00896006">
        <w:rPr>
          <w:kern w:val="22"/>
          <w:szCs w:val="22"/>
          <w:lang w:val="fr-FR"/>
        </w:rPr>
        <w:t xml:space="preserve">œuvre du Programme de développement durable à l’horizon </w:t>
      </w:r>
      <w:r w:rsidR="00691E77" w:rsidRPr="00896006">
        <w:rPr>
          <w:kern w:val="22"/>
          <w:szCs w:val="22"/>
          <w:lang w:val="fr-FR"/>
        </w:rPr>
        <w:t>2030</w:t>
      </w:r>
      <w:r w:rsidR="00896006">
        <w:rPr>
          <w:kern w:val="22"/>
          <w:szCs w:val="22"/>
          <w:lang w:val="fr-FR"/>
        </w:rPr>
        <w:t xml:space="preserve"> et de ses Objectifs de développement durable</w:t>
      </w:r>
      <w:r w:rsidR="00691E77" w:rsidRPr="00896006">
        <w:rPr>
          <w:kern w:val="22"/>
          <w:szCs w:val="22"/>
          <w:lang w:val="fr-FR"/>
        </w:rPr>
        <w:t xml:space="preserve">. </w:t>
      </w:r>
      <w:r w:rsidR="00896006" w:rsidRPr="00896006">
        <w:rPr>
          <w:kern w:val="22"/>
          <w:szCs w:val="22"/>
          <w:lang w:val="fr-FR"/>
        </w:rPr>
        <w:t xml:space="preserve">Les deux </w:t>
      </w:r>
      <w:r w:rsidR="001E669D" w:rsidRPr="00896006">
        <w:rPr>
          <w:kern w:val="22"/>
          <w:szCs w:val="22"/>
          <w:lang w:val="fr-FR"/>
        </w:rPr>
        <w:t>s</w:t>
      </w:r>
      <w:r w:rsidR="00896006" w:rsidRPr="00896006">
        <w:rPr>
          <w:kern w:val="22"/>
          <w:szCs w:val="22"/>
          <w:lang w:val="fr-FR"/>
        </w:rPr>
        <w:t>ecré</w:t>
      </w:r>
      <w:r w:rsidR="00691E77" w:rsidRPr="00896006">
        <w:rPr>
          <w:kern w:val="22"/>
          <w:szCs w:val="22"/>
          <w:lang w:val="fr-FR"/>
        </w:rPr>
        <w:t xml:space="preserve">tariats </w:t>
      </w:r>
      <w:r w:rsidR="00896006" w:rsidRPr="00896006">
        <w:rPr>
          <w:kern w:val="22"/>
          <w:szCs w:val="22"/>
          <w:lang w:val="fr-FR"/>
        </w:rPr>
        <w:t>ont collaboré à l’élaboration d’indicateurs comme partie du cadre mondial d’indicateurs pour les object</w:t>
      </w:r>
      <w:r w:rsidR="00896006">
        <w:rPr>
          <w:kern w:val="22"/>
          <w:szCs w:val="22"/>
          <w:lang w:val="fr-FR"/>
        </w:rPr>
        <w:t>i</w:t>
      </w:r>
      <w:r w:rsidR="00896006" w:rsidRPr="00896006">
        <w:rPr>
          <w:kern w:val="22"/>
          <w:szCs w:val="22"/>
          <w:lang w:val="fr-FR"/>
        </w:rPr>
        <w:t>fs et cibles de développement durable</w:t>
      </w:r>
      <w:r w:rsidR="00691E77" w:rsidRPr="00896006">
        <w:rPr>
          <w:kern w:val="22"/>
          <w:szCs w:val="22"/>
          <w:lang w:val="fr-FR"/>
        </w:rPr>
        <w:t xml:space="preserve">. </w:t>
      </w:r>
      <w:r w:rsidR="00896006" w:rsidRPr="00092F10">
        <w:rPr>
          <w:kern w:val="22"/>
          <w:szCs w:val="22"/>
          <w:lang w:val="fr-FR"/>
        </w:rPr>
        <w:t>Ce travail a porté sur l’indicateur</w:t>
      </w:r>
      <w:r w:rsidR="00691E77" w:rsidRPr="00092F10">
        <w:rPr>
          <w:kern w:val="22"/>
          <w:szCs w:val="22"/>
          <w:lang w:val="fr-FR"/>
        </w:rPr>
        <w:t xml:space="preserve"> 15.6.1</w:t>
      </w:r>
      <w:r w:rsidR="00221D21" w:rsidRPr="00092F10">
        <w:rPr>
          <w:kern w:val="22"/>
          <w:szCs w:val="22"/>
          <w:lang w:val="fr-FR"/>
        </w:rPr>
        <w:t>,</w:t>
      </w:r>
      <w:r w:rsidR="00691E77" w:rsidRPr="00092F10">
        <w:rPr>
          <w:kern w:val="22"/>
          <w:szCs w:val="22"/>
          <w:lang w:val="fr-FR"/>
        </w:rPr>
        <w:t xml:space="preserve"> </w:t>
      </w:r>
      <w:r w:rsidR="00896006" w:rsidRPr="00092F10">
        <w:rPr>
          <w:kern w:val="22"/>
          <w:szCs w:val="22"/>
          <w:lang w:val="fr-FR"/>
        </w:rPr>
        <w:t xml:space="preserve">qui évaluera les progrès accomplis dans la </w:t>
      </w:r>
      <w:r w:rsidR="00092F10" w:rsidRPr="00092F10">
        <w:rPr>
          <w:kern w:val="22"/>
          <w:szCs w:val="22"/>
          <w:lang w:val="fr-FR"/>
        </w:rPr>
        <w:t>ré</w:t>
      </w:r>
      <w:r w:rsidR="00896006" w:rsidRPr="00092F10">
        <w:rPr>
          <w:kern w:val="22"/>
          <w:szCs w:val="22"/>
          <w:lang w:val="fr-FR"/>
        </w:rPr>
        <w:t>alisation de la cible</w:t>
      </w:r>
      <w:r w:rsidR="00691E77" w:rsidRPr="00092F10">
        <w:rPr>
          <w:kern w:val="22"/>
          <w:szCs w:val="22"/>
          <w:lang w:val="fr-FR"/>
        </w:rPr>
        <w:t xml:space="preserve"> 15.6 (</w:t>
      </w:r>
      <w:r w:rsidR="00A349F7">
        <w:rPr>
          <w:kern w:val="22"/>
          <w:szCs w:val="22"/>
          <w:lang w:val="fr-FR"/>
        </w:rPr>
        <w:t>favoriser</w:t>
      </w:r>
      <w:r w:rsidR="00092F10" w:rsidRPr="00092F10">
        <w:rPr>
          <w:kern w:val="22"/>
          <w:szCs w:val="22"/>
          <w:lang w:val="fr-FR"/>
        </w:rPr>
        <w:t xml:space="preserve"> le partage juste et </w:t>
      </w:r>
      <w:r w:rsidR="00092F10">
        <w:rPr>
          <w:kern w:val="22"/>
          <w:szCs w:val="22"/>
          <w:lang w:val="fr-FR"/>
        </w:rPr>
        <w:t>é</w:t>
      </w:r>
      <w:r w:rsidR="00A349F7">
        <w:rPr>
          <w:kern w:val="22"/>
          <w:szCs w:val="22"/>
          <w:lang w:val="fr-FR"/>
        </w:rPr>
        <w:t>quitable des bénéfices</w:t>
      </w:r>
      <w:r w:rsidR="00092F10" w:rsidRPr="00092F10">
        <w:rPr>
          <w:kern w:val="22"/>
          <w:szCs w:val="22"/>
          <w:lang w:val="fr-FR"/>
        </w:rPr>
        <w:t xml:space="preserve"> découlant de l’utilisation de</w:t>
      </w:r>
      <w:r w:rsidR="00092F10">
        <w:rPr>
          <w:kern w:val="22"/>
          <w:szCs w:val="22"/>
          <w:lang w:val="fr-FR"/>
        </w:rPr>
        <w:t>s</w:t>
      </w:r>
      <w:r w:rsidR="00092F10" w:rsidRPr="00092F10">
        <w:rPr>
          <w:kern w:val="22"/>
          <w:szCs w:val="22"/>
          <w:lang w:val="fr-FR"/>
        </w:rPr>
        <w:t xml:space="preserve"> ressources génétiques et promouvoir un accès approprié à </w:t>
      </w:r>
      <w:r w:rsidR="00A349F7">
        <w:rPr>
          <w:kern w:val="22"/>
          <w:szCs w:val="22"/>
          <w:lang w:val="fr-FR"/>
        </w:rPr>
        <w:t>celles-ci ainsi que cela a été décidé</w:t>
      </w:r>
      <w:r w:rsidR="00092F10" w:rsidRPr="00092F10">
        <w:rPr>
          <w:kern w:val="22"/>
          <w:szCs w:val="22"/>
          <w:lang w:val="fr-FR"/>
        </w:rPr>
        <w:t xml:space="preserve"> à l’échelle internationale</w:t>
      </w:r>
      <w:r w:rsidR="00691E77" w:rsidRPr="00092F10">
        <w:rPr>
          <w:kern w:val="22"/>
          <w:szCs w:val="22"/>
          <w:lang w:val="fr-FR"/>
        </w:rPr>
        <w:t>).</w:t>
      </w:r>
    </w:p>
    <w:p w:rsidR="00706F41" w:rsidRPr="00883A1C" w:rsidRDefault="00273A08" w:rsidP="00883A1C">
      <w:pPr>
        <w:numPr>
          <w:ilvl w:val="0"/>
          <w:numId w:val="36"/>
        </w:numPr>
        <w:suppressLineNumbers/>
        <w:suppressAutoHyphens/>
        <w:kinsoku w:val="0"/>
        <w:overflowPunct w:val="0"/>
        <w:autoSpaceDE w:val="0"/>
        <w:autoSpaceDN w:val="0"/>
        <w:adjustRightInd w:val="0"/>
        <w:snapToGrid w:val="0"/>
        <w:spacing w:before="120" w:after="120" w:line="238" w:lineRule="auto"/>
        <w:jc w:val="center"/>
        <w:outlineLvl w:val="1"/>
        <w:rPr>
          <w:b/>
          <w:kern w:val="22"/>
          <w:szCs w:val="22"/>
        </w:rPr>
      </w:pPr>
      <w:proofErr w:type="spellStart"/>
      <w:r>
        <w:rPr>
          <w:b/>
          <w:kern w:val="22"/>
          <w:szCs w:val="22"/>
        </w:rPr>
        <w:t>Autres</w:t>
      </w:r>
      <w:proofErr w:type="spellEnd"/>
      <w:r>
        <w:rPr>
          <w:b/>
          <w:kern w:val="22"/>
          <w:szCs w:val="22"/>
        </w:rPr>
        <w:t xml:space="preserve"> </w:t>
      </w:r>
      <w:proofErr w:type="spellStart"/>
      <w:r>
        <w:rPr>
          <w:b/>
          <w:kern w:val="22"/>
          <w:szCs w:val="22"/>
        </w:rPr>
        <w:t>groupes</w:t>
      </w:r>
      <w:proofErr w:type="spellEnd"/>
      <w:r>
        <w:rPr>
          <w:b/>
          <w:kern w:val="22"/>
          <w:szCs w:val="22"/>
        </w:rPr>
        <w:t xml:space="preserve"> </w:t>
      </w:r>
      <w:proofErr w:type="spellStart"/>
      <w:r>
        <w:rPr>
          <w:b/>
          <w:kern w:val="22"/>
          <w:szCs w:val="22"/>
        </w:rPr>
        <w:t>interinstitutions</w:t>
      </w:r>
      <w:proofErr w:type="spellEnd"/>
    </w:p>
    <w:p w:rsidR="00FD4EBA" w:rsidRPr="00273A08" w:rsidRDefault="00273A08"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273A08">
        <w:rPr>
          <w:kern w:val="22"/>
          <w:szCs w:val="22"/>
          <w:lang w:val="fr-FR"/>
        </w:rPr>
        <w:t>Les secré</w:t>
      </w:r>
      <w:r w:rsidR="00FD4EBA" w:rsidRPr="00273A08">
        <w:rPr>
          <w:kern w:val="22"/>
          <w:szCs w:val="22"/>
          <w:lang w:val="fr-FR"/>
        </w:rPr>
        <w:t xml:space="preserve">tariats </w:t>
      </w:r>
      <w:r w:rsidRPr="00273A08">
        <w:rPr>
          <w:kern w:val="22"/>
          <w:szCs w:val="22"/>
          <w:lang w:val="fr-FR"/>
        </w:rPr>
        <w:t>des</w:t>
      </w:r>
      <w:r w:rsidR="00FD4EBA" w:rsidRPr="00273A08">
        <w:rPr>
          <w:kern w:val="22"/>
          <w:szCs w:val="22"/>
          <w:lang w:val="fr-FR"/>
        </w:rPr>
        <w:t xml:space="preserve"> </w:t>
      </w:r>
      <w:r w:rsidR="008B0ED2" w:rsidRPr="00273A08">
        <w:rPr>
          <w:kern w:val="22"/>
          <w:szCs w:val="22"/>
          <w:lang w:val="fr-FR"/>
        </w:rPr>
        <w:t>conventions relatives à la diversité biologique</w:t>
      </w:r>
      <w:r w:rsidR="00FD4EBA" w:rsidRPr="00273A08">
        <w:rPr>
          <w:kern w:val="22"/>
          <w:szCs w:val="22"/>
          <w:lang w:val="fr-FR"/>
        </w:rPr>
        <w:t xml:space="preserve"> </w:t>
      </w:r>
      <w:r>
        <w:rPr>
          <w:kern w:val="22"/>
          <w:szCs w:val="22"/>
          <w:lang w:val="fr-FR"/>
        </w:rPr>
        <w:t>sont également</w:t>
      </w:r>
      <w:r w:rsidRPr="00273A08">
        <w:rPr>
          <w:kern w:val="22"/>
          <w:szCs w:val="22"/>
          <w:lang w:val="fr-FR"/>
        </w:rPr>
        <w:t xml:space="preserve"> des membres actifs d’autres</w:t>
      </w:r>
      <w:r w:rsidR="004F34CE" w:rsidRPr="00273A08">
        <w:rPr>
          <w:kern w:val="22"/>
          <w:szCs w:val="22"/>
          <w:lang w:val="fr-FR"/>
        </w:rPr>
        <w:t xml:space="preserve"> </w:t>
      </w:r>
      <w:r w:rsidR="008B0ED2" w:rsidRPr="00273A08">
        <w:rPr>
          <w:kern w:val="22"/>
          <w:szCs w:val="22"/>
          <w:lang w:val="fr-FR"/>
        </w:rPr>
        <w:t xml:space="preserve">mécanismes de coordination </w:t>
      </w:r>
      <w:proofErr w:type="spellStart"/>
      <w:r w:rsidR="008B0ED2" w:rsidRPr="00273A08">
        <w:rPr>
          <w:kern w:val="22"/>
          <w:szCs w:val="22"/>
          <w:lang w:val="fr-FR"/>
        </w:rPr>
        <w:t>interinstitutions</w:t>
      </w:r>
      <w:proofErr w:type="spellEnd"/>
      <w:r w:rsidR="004F34CE" w:rsidRPr="00273A08">
        <w:rPr>
          <w:kern w:val="22"/>
          <w:szCs w:val="22"/>
          <w:lang w:val="fr-FR"/>
        </w:rPr>
        <w:t xml:space="preserve"> </w:t>
      </w:r>
      <w:r w:rsidRPr="00273A08">
        <w:rPr>
          <w:kern w:val="22"/>
          <w:szCs w:val="22"/>
          <w:lang w:val="fr-FR"/>
        </w:rPr>
        <w:t xml:space="preserve">qui </w:t>
      </w:r>
      <w:r>
        <w:rPr>
          <w:kern w:val="22"/>
          <w:szCs w:val="22"/>
          <w:lang w:val="fr-FR"/>
        </w:rPr>
        <w:t>stimulent la coopé</w:t>
      </w:r>
      <w:r w:rsidR="004F34CE" w:rsidRPr="00273A08">
        <w:rPr>
          <w:kern w:val="22"/>
          <w:szCs w:val="22"/>
          <w:lang w:val="fr-FR"/>
        </w:rPr>
        <w:t xml:space="preserve">ration </w:t>
      </w:r>
      <w:r>
        <w:rPr>
          <w:kern w:val="22"/>
          <w:szCs w:val="22"/>
          <w:lang w:val="fr-FR"/>
        </w:rPr>
        <w:t>et les</w:t>
      </w:r>
      <w:r w:rsidR="004F34CE" w:rsidRPr="00273A08">
        <w:rPr>
          <w:kern w:val="22"/>
          <w:szCs w:val="22"/>
          <w:lang w:val="fr-FR"/>
        </w:rPr>
        <w:t xml:space="preserve"> synergies </w:t>
      </w:r>
      <w:r>
        <w:rPr>
          <w:kern w:val="22"/>
          <w:szCs w:val="22"/>
          <w:lang w:val="fr-FR"/>
        </w:rPr>
        <w:t>dans des domaines thématiques ou intersectoriels</w:t>
      </w:r>
      <w:r w:rsidR="00FD4EBA" w:rsidRPr="00273A08">
        <w:rPr>
          <w:kern w:val="22"/>
          <w:szCs w:val="22"/>
          <w:lang w:val="fr-FR"/>
        </w:rPr>
        <w:t>.</w:t>
      </w:r>
    </w:p>
    <w:p w:rsidR="004F34CE" w:rsidRPr="00070395" w:rsidRDefault="00273A08"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F70942">
        <w:rPr>
          <w:kern w:val="22"/>
          <w:szCs w:val="22"/>
          <w:lang w:val="fr-FR"/>
        </w:rPr>
        <w:t xml:space="preserve">Ce sont </w:t>
      </w:r>
      <w:r w:rsidR="00A52987" w:rsidRPr="00F70942">
        <w:rPr>
          <w:kern w:val="22"/>
          <w:szCs w:val="22"/>
          <w:lang w:val="fr-FR"/>
        </w:rPr>
        <w:t>:</w:t>
      </w:r>
      <w:r w:rsidR="004F34CE" w:rsidRPr="00F70942">
        <w:rPr>
          <w:kern w:val="22"/>
          <w:szCs w:val="22"/>
          <w:lang w:val="fr-FR"/>
        </w:rPr>
        <w:t xml:space="preserve"> </w:t>
      </w:r>
      <w:r w:rsidR="00C40250" w:rsidRPr="00F70942">
        <w:rPr>
          <w:kern w:val="22"/>
          <w:szCs w:val="22"/>
          <w:lang w:val="fr-FR"/>
        </w:rPr>
        <w:t>a) </w:t>
      </w:r>
      <w:r w:rsidRPr="00F70942">
        <w:rPr>
          <w:kern w:val="22"/>
          <w:szCs w:val="22"/>
          <w:lang w:val="fr-FR"/>
        </w:rPr>
        <w:t>le Groupe de gestion environnementale</w:t>
      </w:r>
      <w:r w:rsidR="00A52987" w:rsidRPr="00F70942">
        <w:rPr>
          <w:kern w:val="22"/>
          <w:szCs w:val="22"/>
          <w:lang w:val="fr-FR"/>
        </w:rPr>
        <w:t xml:space="preserve"> (EMG) </w:t>
      </w:r>
      <w:r w:rsidRPr="00F70942">
        <w:rPr>
          <w:kern w:val="22"/>
          <w:szCs w:val="22"/>
          <w:lang w:val="fr-FR"/>
        </w:rPr>
        <w:t>des Nations Unies</w:t>
      </w:r>
      <w:r w:rsidR="00A52987" w:rsidRPr="00F70942">
        <w:rPr>
          <w:kern w:val="22"/>
          <w:szCs w:val="22"/>
          <w:lang w:val="fr-FR"/>
        </w:rPr>
        <w:t xml:space="preserve">, </w:t>
      </w:r>
      <w:r w:rsidRPr="00F70942">
        <w:rPr>
          <w:kern w:val="22"/>
          <w:szCs w:val="22"/>
          <w:lang w:val="fr-FR"/>
        </w:rPr>
        <w:t>dont sont membres</w:t>
      </w:r>
      <w:r w:rsidR="00320297" w:rsidRPr="00F70942">
        <w:rPr>
          <w:kern w:val="22"/>
          <w:szCs w:val="22"/>
          <w:lang w:val="fr-FR"/>
        </w:rPr>
        <w:t xml:space="preserve"> </w:t>
      </w:r>
      <w:r w:rsidRPr="00F70942">
        <w:rPr>
          <w:kern w:val="22"/>
          <w:szCs w:val="22"/>
          <w:lang w:val="fr-FR"/>
        </w:rPr>
        <w:t>la CDB</w:t>
      </w:r>
      <w:r w:rsidR="00A52987" w:rsidRPr="00F70942">
        <w:rPr>
          <w:kern w:val="22"/>
          <w:szCs w:val="22"/>
          <w:lang w:val="fr-FR"/>
        </w:rPr>
        <w:t xml:space="preserve">, </w:t>
      </w:r>
      <w:r w:rsidRPr="00F70942">
        <w:rPr>
          <w:kern w:val="22"/>
          <w:szCs w:val="22"/>
          <w:lang w:val="fr-FR"/>
        </w:rPr>
        <w:t xml:space="preserve">la </w:t>
      </w:r>
      <w:r w:rsidR="00A52987" w:rsidRPr="00F70942">
        <w:rPr>
          <w:kern w:val="22"/>
          <w:szCs w:val="22"/>
          <w:lang w:val="fr-FR"/>
        </w:rPr>
        <w:t xml:space="preserve">CITES, </w:t>
      </w:r>
      <w:r w:rsidRPr="00F70942">
        <w:rPr>
          <w:kern w:val="22"/>
          <w:szCs w:val="22"/>
          <w:lang w:val="fr-FR"/>
        </w:rPr>
        <w:t xml:space="preserve">la </w:t>
      </w:r>
      <w:r w:rsidR="00A52987" w:rsidRPr="00F70942">
        <w:rPr>
          <w:kern w:val="22"/>
          <w:szCs w:val="22"/>
          <w:lang w:val="fr-FR"/>
        </w:rPr>
        <w:t xml:space="preserve">CMS </w:t>
      </w:r>
      <w:r w:rsidRPr="00F70942">
        <w:rPr>
          <w:kern w:val="22"/>
          <w:szCs w:val="22"/>
          <w:lang w:val="fr-FR"/>
        </w:rPr>
        <w:t>et la Convention de</w:t>
      </w:r>
      <w:r w:rsidR="00A52987" w:rsidRPr="00F70942">
        <w:rPr>
          <w:kern w:val="22"/>
          <w:szCs w:val="22"/>
          <w:lang w:val="fr-FR"/>
        </w:rPr>
        <w:t xml:space="preserve"> Ramsar </w:t>
      </w:r>
      <w:r w:rsidR="00320297" w:rsidRPr="00F70942">
        <w:rPr>
          <w:kern w:val="22"/>
          <w:szCs w:val="22"/>
          <w:lang w:val="fr-FR"/>
        </w:rPr>
        <w:t>et où sont repré</w:t>
      </w:r>
      <w:r w:rsidR="00716958">
        <w:rPr>
          <w:kern w:val="22"/>
          <w:szCs w:val="22"/>
          <w:lang w:val="fr-FR"/>
        </w:rPr>
        <w:t>sentés par la FAO et l’Unesco la</w:t>
      </w:r>
      <w:r w:rsidR="00320297" w:rsidRPr="00F70942">
        <w:rPr>
          <w:kern w:val="22"/>
          <w:szCs w:val="22"/>
          <w:lang w:val="fr-FR"/>
        </w:rPr>
        <w:t xml:space="preserve"> </w:t>
      </w:r>
      <w:r w:rsidR="00716958">
        <w:rPr>
          <w:kern w:val="22"/>
          <w:szCs w:val="22"/>
          <w:lang w:val="fr-FR"/>
        </w:rPr>
        <w:t>CIPV</w:t>
      </w:r>
      <w:r w:rsidR="00320297" w:rsidRPr="00F70942">
        <w:rPr>
          <w:kern w:val="22"/>
          <w:szCs w:val="22"/>
          <w:lang w:val="fr-FR"/>
        </w:rPr>
        <w:t>, l’</w:t>
      </w:r>
      <w:r w:rsidR="00A52987" w:rsidRPr="00F70942">
        <w:rPr>
          <w:kern w:val="22"/>
          <w:szCs w:val="22"/>
          <w:lang w:val="fr-FR"/>
        </w:rPr>
        <w:t xml:space="preserve">ITPGRFA </w:t>
      </w:r>
      <w:r w:rsidR="00320297" w:rsidRPr="00F70942">
        <w:rPr>
          <w:kern w:val="22"/>
          <w:szCs w:val="22"/>
          <w:lang w:val="fr-FR"/>
        </w:rPr>
        <w:t>et le Centre du patrimoine mondial</w:t>
      </w:r>
      <w:r w:rsidR="00A52987" w:rsidRPr="00F70942">
        <w:rPr>
          <w:kern w:val="22"/>
          <w:szCs w:val="22"/>
          <w:lang w:val="fr-FR"/>
        </w:rPr>
        <w:t xml:space="preserve">; </w:t>
      </w:r>
      <w:r w:rsidR="00C40250" w:rsidRPr="00F70942">
        <w:rPr>
          <w:kern w:val="22"/>
          <w:szCs w:val="22"/>
          <w:lang w:val="fr-FR"/>
        </w:rPr>
        <w:t>b) </w:t>
      </w:r>
      <w:r w:rsidR="00372025">
        <w:rPr>
          <w:kern w:val="22"/>
          <w:szCs w:val="22"/>
          <w:lang w:val="fr-FR"/>
        </w:rPr>
        <w:t xml:space="preserve">l’Initiative de gestion de l’information et des connaissances </w:t>
      </w:r>
      <w:r w:rsidR="00332964">
        <w:rPr>
          <w:kern w:val="22"/>
          <w:szCs w:val="22"/>
          <w:lang w:val="fr-FR"/>
        </w:rPr>
        <w:t>sur les accords multilatéraux sur l’environnement</w:t>
      </w:r>
      <w:r w:rsidR="00A52987" w:rsidRPr="00F70942">
        <w:rPr>
          <w:kern w:val="22"/>
          <w:szCs w:val="22"/>
          <w:lang w:val="fr-FR"/>
        </w:rPr>
        <w:t xml:space="preserve"> (MEA </w:t>
      </w:r>
      <w:r w:rsidR="004F34CE" w:rsidRPr="00F70942">
        <w:rPr>
          <w:kern w:val="22"/>
          <w:szCs w:val="22"/>
          <w:lang w:val="fr-FR"/>
        </w:rPr>
        <w:t>IKM),</w:t>
      </w:r>
      <w:r w:rsidR="00A52987" w:rsidRPr="00F70942">
        <w:rPr>
          <w:kern w:val="22"/>
          <w:szCs w:val="22"/>
          <w:lang w:val="fr-FR"/>
        </w:rPr>
        <w:t xml:space="preserve"> </w:t>
      </w:r>
      <w:r w:rsidR="00F70942" w:rsidRPr="00F70942">
        <w:rPr>
          <w:kern w:val="22"/>
          <w:szCs w:val="22"/>
          <w:lang w:val="fr-FR"/>
        </w:rPr>
        <w:t>dont sont membres la CDB, la</w:t>
      </w:r>
      <w:r w:rsidR="004F34CE" w:rsidRPr="00F70942">
        <w:rPr>
          <w:kern w:val="22"/>
          <w:szCs w:val="22"/>
          <w:lang w:val="fr-FR"/>
        </w:rPr>
        <w:t xml:space="preserve"> CITES, </w:t>
      </w:r>
      <w:r w:rsidR="00F70942">
        <w:rPr>
          <w:kern w:val="22"/>
          <w:szCs w:val="22"/>
          <w:lang w:val="fr-FR"/>
        </w:rPr>
        <w:t xml:space="preserve">la </w:t>
      </w:r>
      <w:r w:rsidR="004F34CE" w:rsidRPr="00F70942">
        <w:rPr>
          <w:kern w:val="22"/>
          <w:szCs w:val="22"/>
          <w:lang w:val="fr-FR"/>
        </w:rPr>
        <w:t xml:space="preserve">CMS, </w:t>
      </w:r>
      <w:r w:rsidR="00F70942">
        <w:rPr>
          <w:kern w:val="22"/>
          <w:szCs w:val="22"/>
          <w:lang w:val="fr-FR"/>
        </w:rPr>
        <w:t>la CIPV</w:t>
      </w:r>
      <w:r w:rsidR="004F34CE" w:rsidRPr="00F70942">
        <w:rPr>
          <w:kern w:val="22"/>
          <w:szCs w:val="22"/>
          <w:lang w:val="fr-FR"/>
        </w:rPr>
        <w:t xml:space="preserve">, </w:t>
      </w:r>
      <w:r w:rsidR="00F70942">
        <w:rPr>
          <w:kern w:val="22"/>
          <w:szCs w:val="22"/>
          <w:lang w:val="fr-FR"/>
        </w:rPr>
        <w:t>l’</w:t>
      </w:r>
      <w:r w:rsidR="004F34CE" w:rsidRPr="00F70942">
        <w:rPr>
          <w:kern w:val="22"/>
          <w:szCs w:val="22"/>
          <w:lang w:val="fr-FR"/>
        </w:rPr>
        <w:t xml:space="preserve">ITPGRFA, </w:t>
      </w:r>
      <w:r w:rsidR="00F70942">
        <w:rPr>
          <w:kern w:val="22"/>
          <w:szCs w:val="22"/>
          <w:lang w:val="fr-FR"/>
        </w:rPr>
        <w:t xml:space="preserve">la </w:t>
      </w:r>
      <w:r w:rsidR="00A52987" w:rsidRPr="00F70942">
        <w:rPr>
          <w:kern w:val="22"/>
          <w:szCs w:val="22"/>
          <w:lang w:val="fr-FR"/>
        </w:rPr>
        <w:t xml:space="preserve">Convention </w:t>
      </w:r>
      <w:r w:rsidR="00F70942">
        <w:rPr>
          <w:kern w:val="22"/>
          <w:szCs w:val="22"/>
          <w:lang w:val="fr-FR"/>
        </w:rPr>
        <w:t>de Ramsar et la Convention sur le patrimoine mondial ; c</w:t>
      </w:r>
      <w:r w:rsidR="00C40250" w:rsidRPr="00F70942">
        <w:rPr>
          <w:kern w:val="22"/>
          <w:szCs w:val="22"/>
          <w:lang w:val="fr-FR"/>
        </w:rPr>
        <w:t>) </w:t>
      </w:r>
      <w:r w:rsidR="00F70942">
        <w:rPr>
          <w:kern w:val="22"/>
          <w:szCs w:val="22"/>
          <w:lang w:val="fr-FR"/>
        </w:rPr>
        <w:t>l</w:t>
      </w:r>
      <w:r w:rsidR="00A52987" w:rsidRPr="00F70942">
        <w:rPr>
          <w:kern w:val="22"/>
          <w:szCs w:val="22"/>
          <w:lang w:val="fr-FR"/>
        </w:rPr>
        <w:t xml:space="preserve">e </w:t>
      </w:r>
      <w:r w:rsidR="00F70942">
        <w:rPr>
          <w:kern w:val="22"/>
          <w:szCs w:val="22"/>
          <w:lang w:val="fr-FR"/>
        </w:rPr>
        <w:t xml:space="preserve">Groupe de liaison </w:t>
      </w:r>
      <w:proofErr w:type="spellStart"/>
      <w:r w:rsidR="00F70942">
        <w:rPr>
          <w:kern w:val="22"/>
          <w:szCs w:val="22"/>
          <w:lang w:val="fr-FR"/>
        </w:rPr>
        <w:t>interinstitutions</w:t>
      </w:r>
      <w:proofErr w:type="spellEnd"/>
      <w:r w:rsidR="00F70942">
        <w:rPr>
          <w:kern w:val="22"/>
          <w:szCs w:val="22"/>
          <w:lang w:val="fr-FR"/>
        </w:rPr>
        <w:t xml:space="preserve"> sur les espèces exotiques envahissantes dont sont membres la CDB</w:t>
      </w:r>
      <w:r w:rsidR="004F34CE" w:rsidRPr="00F70942">
        <w:rPr>
          <w:kern w:val="22"/>
          <w:szCs w:val="22"/>
          <w:lang w:val="fr-FR"/>
        </w:rPr>
        <w:t xml:space="preserve">, </w:t>
      </w:r>
      <w:r w:rsidR="00F70942">
        <w:rPr>
          <w:kern w:val="22"/>
          <w:szCs w:val="22"/>
          <w:lang w:val="fr-FR"/>
        </w:rPr>
        <w:t xml:space="preserve">la </w:t>
      </w:r>
      <w:r w:rsidR="00A52987" w:rsidRPr="00F70942">
        <w:rPr>
          <w:kern w:val="22"/>
          <w:szCs w:val="22"/>
          <w:lang w:val="fr-FR"/>
        </w:rPr>
        <w:t xml:space="preserve">CITES </w:t>
      </w:r>
      <w:r w:rsidR="00F70942">
        <w:rPr>
          <w:kern w:val="22"/>
          <w:szCs w:val="22"/>
          <w:lang w:val="fr-FR"/>
        </w:rPr>
        <w:t>et la CIPV</w:t>
      </w:r>
      <w:r w:rsidR="004F34CE" w:rsidRPr="00F70942">
        <w:rPr>
          <w:kern w:val="22"/>
          <w:szCs w:val="22"/>
          <w:lang w:val="fr-FR"/>
        </w:rPr>
        <w:t>;</w:t>
      </w:r>
      <w:r w:rsidR="00F70942">
        <w:rPr>
          <w:kern w:val="22"/>
          <w:szCs w:val="22"/>
          <w:lang w:val="fr-FR"/>
        </w:rPr>
        <w:t xml:space="preserve"> </w:t>
      </w:r>
      <w:r w:rsidR="00C40250" w:rsidRPr="00F70942">
        <w:rPr>
          <w:kern w:val="22"/>
          <w:szCs w:val="22"/>
          <w:lang w:val="fr-FR"/>
        </w:rPr>
        <w:t>d) </w:t>
      </w:r>
      <w:r w:rsidR="00070395">
        <w:rPr>
          <w:kern w:val="22"/>
          <w:szCs w:val="22"/>
          <w:lang w:val="fr-FR"/>
        </w:rPr>
        <w:t>le Partenariat des indicateurs de la biodiversité dont sont membres la CDB</w:t>
      </w:r>
      <w:r w:rsidR="00FD4EBA" w:rsidRPr="00F70942">
        <w:rPr>
          <w:kern w:val="22"/>
          <w:szCs w:val="22"/>
          <w:lang w:val="fr-FR"/>
        </w:rPr>
        <w:t xml:space="preserve">, </w:t>
      </w:r>
      <w:r w:rsidR="00070395">
        <w:rPr>
          <w:kern w:val="22"/>
          <w:szCs w:val="22"/>
          <w:lang w:val="fr-FR"/>
        </w:rPr>
        <w:t xml:space="preserve">la </w:t>
      </w:r>
      <w:r w:rsidR="00FD4EBA" w:rsidRPr="00F70942">
        <w:rPr>
          <w:kern w:val="22"/>
          <w:szCs w:val="22"/>
          <w:lang w:val="fr-FR"/>
        </w:rPr>
        <w:t xml:space="preserve">CITES, </w:t>
      </w:r>
      <w:r w:rsidR="00070395">
        <w:rPr>
          <w:kern w:val="22"/>
          <w:szCs w:val="22"/>
          <w:lang w:val="fr-FR"/>
        </w:rPr>
        <w:t>l’</w:t>
      </w:r>
      <w:r w:rsidR="00FD4EBA" w:rsidRPr="00F70942">
        <w:rPr>
          <w:kern w:val="22"/>
          <w:szCs w:val="22"/>
          <w:lang w:val="fr-FR"/>
        </w:rPr>
        <w:t xml:space="preserve">ITPGRFA </w:t>
      </w:r>
      <w:r w:rsidR="00070395">
        <w:rPr>
          <w:kern w:val="22"/>
          <w:szCs w:val="22"/>
          <w:lang w:val="fr-FR"/>
        </w:rPr>
        <w:t>et la</w:t>
      </w:r>
      <w:r w:rsidR="00FD4EBA" w:rsidRPr="00F70942">
        <w:rPr>
          <w:kern w:val="22"/>
          <w:szCs w:val="22"/>
          <w:lang w:val="fr-FR"/>
        </w:rPr>
        <w:t xml:space="preserve"> Convention</w:t>
      </w:r>
      <w:r w:rsidR="00070395">
        <w:rPr>
          <w:kern w:val="22"/>
          <w:szCs w:val="22"/>
          <w:lang w:val="fr-FR"/>
        </w:rPr>
        <w:t xml:space="preserve"> de Ramsar et où sont représentés par la FAO et l’Unesco respectivement la CIPV et le Centre du patrimoine mondial</w:t>
      </w:r>
      <w:r w:rsidR="0099648B" w:rsidRPr="00F70942">
        <w:rPr>
          <w:kern w:val="22"/>
          <w:szCs w:val="22"/>
          <w:lang w:val="fr-FR"/>
        </w:rPr>
        <w:t xml:space="preserve">; </w:t>
      </w:r>
      <w:r w:rsidR="00070395">
        <w:rPr>
          <w:kern w:val="22"/>
          <w:szCs w:val="22"/>
          <w:lang w:val="fr-FR"/>
        </w:rPr>
        <w:t xml:space="preserve">et </w:t>
      </w:r>
      <w:r w:rsidR="003760B3" w:rsidRPr="00F70942">
        <w:rPr>
          <w:kern w:val="22"/>
          <w:szCs w:val="22"/>
          <w:lang w:val="fr-FR"/>
        </w:rPr>
        <w:t>e) </w:t>
      </w:r>
      <w:r w:rsidR="00070395">
        <w:rPr>
          <w:kern w:val="22"/>
          <w:szCs w:val="22"/>
          <w:lang w:val="fr-FR"/>
        </w:rPr>
        <w:t xml:space="preserve">le </w:t>
      </w:r>
      <w:r w:rsidR="00070395">
        <w:rPr>
          <w:kern w:val="22"/>
          <w:szCs w:val="22"/>
          <w:lang w:val="fr-FR"/>
        </w:rPr>
        <w:lastRenderedPageBreak/>
        <w:t xml:space="preserve">Partenariat de collaboration sur la gestion durable de la vie sauvage dont sont membres la CDB, la </w:t>
      </w:r>
      <w:r w:rsidR="00A52987" w:rsidRPr="00F70942">
        <w:rPr>
          <w:kern w:val="22"/>
          <w:szCs w:val="22"/>
          <w:lang w:val="fr-FR"/>
        </w:rPr>
        <w:t xml:space="preserve">CITES </w:t>
      </w:r>
      <w:r w:rsidR="00070395">
        <w:rPr>
          <w:kern w:val="22"/>
          <w:szCs w:val="22"/>
          <w:lang w:val="fr-FR"/>
        </w:rPr>
        <w:t>et la</w:t>
      </w:r>
      <w:r w:rsidR="004F34CE" w:rsidRPr="00F70942">
        <w:rPr>
          <w:kern w:val="22"/>
          <w:szCs w:val="22"/>
          <w:lang w:val="fr-FR"/>
        </w:rPr>
        <w:t xml:space="preserve"> CMS</w:t>
      </w:r>
      <w:r w:rsidR="00AE701F" w:rsidRPr="00F70942">
        <w:rPr>
          <w:kern w:val="22"/>
          <w:szCs w:val="22"/>
          <w:lang w:val="fr-FR"/>
        </w:rPr>
        <w:t xml:space="preserve">. </w:t>
      </w:r>
      <w:r w:rsidR="00070395">
        <w:rPr>
          <w:kern w:val="22"/>
          <w:szCs w:val="22"/>
          <w:lang w:val="fr-FR"/>
        </w:rPr>
        <w:t xml:space="preserve"> On trouvera dans le document C</w:t>
      </w:r>
      <w:r w:rsidR="00AE701F" w:rsidRPr="00070395">
        <w:rPr>
          <w:kern w:val="22"/>
          <w:szCs w:val="22"/>
          <w:lang w:val="fr-FR"/>
        </w:rPr>
        <w:t>BD/SBI/2/INF/</w:t>
      </w:r>
      <w:r w:rsidR="00715E54" w:rsidRPr="00070395">
        <w:rPr>
          <w:kern w:val="22"/>
          <w:szCs w:val="22"/>
          <w:lang w:val="fr-FR"/>
        </w:rPr>
        <w:t>12</w:t>
      </w:r>
      <w:r w:rsidR="00070395">
        <w:rPr>
          <w:kern w:val="22"/>
          <w:szCs w:val="22"/>
          <w:lang w:val="fr-FR"/>
        </w:rPr>
        <w:t xml:space="preserve"> de plus amples informations sur quelques-unes de ces initiatives</w:t>
      </w:r>
      <w:r w:rsidR="004F34CE" w:rsidRPr="00070395">
        <w:rPr>
          <w:kern w:val="22"/>
          <w:szCs w:val="22"/>
          <w:lang w:val="fr-FR"/>
        </w:rPr>
        <w:t>.</w:t>
      </w:r>
    </w:p>
    <w:p w:rsidR="00A56A01" w:rsidRPr="00CE15CD" w:rsidRDefault="00372025" w:rsidP="00883A1C">
      <w:pPr>
        <w:numPr>
          <w:ilvl w:val="0"/>
          <w:numId w:val="37"/>
        </w:numPr>
        <w:suppressLineNumbers/>
        <w:suppressAutoHyphens/>
        <w:kinsoku w:val="0"/>
        <w:overflowPunct w:val="0"/>
        <w:autoSpaceDE w:val="0"/>
        <w:autoSpaceDN w:val="0"/>
        <w:adjustRightInd w:val="0"/>
        <w:snapToGrid w:val="0"/>
        <w:spacing w:before="120" w:after="120" w:line="238" w:lineRule="auto"/>
        <w:ind w:left="1296"/>
        <w:jc w:val="left"/>
        <w:outlineLvl w:val="0"/>
        <w:rPr>
          <w:b/>
          <w:caps/>
          <w:kern w:val="22"/>
          <w:szCs w:val="22"/>
          <w:lang w:val="fr-FR"/>
        </w:rPr>
      </w:pPr>
      <w:r>
        <w:rPr>
          <w:b/>
          <w:caps/>
          <w:kern w:val="22"/>
          <w:szCs w:val="22"/>
          <w:lang w:val="fr-FR"/>
        </w:rPr>
        <w:t>execution</w:t>
      </w:r>
      <w:r w:rsidR="00A56A01" w:rsidRPr="00CE15CD">
        <w:rPr>
          <w:b/>
          <w:caps/>
          <w:kern w:val="22"/>
          <w:szCs w:val="22"/>
          <w:lang w:val="fr-FR"/>
        </w:rPr>
        <w:t xml:space="preserve"> </w:t>
      </w:r>
      <w:r w:rsidR="00CE15CD" w:rsidRPr="00CE15CD">
        <w:rPr>
          <w:b/>
          <w:caps/>
          <w:kern w:val="22"/>
          <w:szCs w:val="22"/>
          <w:lang w:val="fr-FR"/>
        </w:rPr>
        <w:t>de la feuille de route pour renforcer les s</w:t>
      </w:r>
      <w:r w:rsidR="00A56A01" w:rsidRPr="00CE15CD">
        <w:rPr>
          <w:b/>
          <w:caps/>
          <w:kern w:val="22"/>
          <w:szCs w:val="22"/>
          <w:lang w:val="fr-FR"/>
        </w:rPr>
        <w:t>ynergies a</w:t>
      </w:r>
      <w:r w:rsidR="00CE15CD">
        <w:rPr>
          <w:b/>
          <w:caps/>
          <w:kern w:val="22"/>
          <w:szCs w:val="22"/>
          <w:lang w:val="fr-FR"/>
        </w:rPr>
        <w:t>u niveau</w:t>
      </w:r>
      <w:r w:rsidR="00A56A01" w:rsidRPr="00CE15CD">
        <w:rPr>
          <w:b/>
          <w:caps/>
          <w:kern w:val="22"/>
          <w:szCs w:val="22"/>
          <w:lang w:val="fr-FR"/>
        </w:rPr>
        <w:t xml:space="preserve"> international 2017-2020</w:t>
      </w:r>
    </w:p>
    <w:p w:rsidR="00A56A01" w:rsidRPr="00CE15CD" w:rsidRDefault="00CE15CD"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CE15CD">
        <w:rPr>
          <w:kern w:val="22"/>
          <w:szCs w:val="22"/>
          <w:lang w:val="fr-FR"/>
        </w:rPr>
        <w:t xml:space="preserve">La présente </w:t>
      </w:r>
      <w:r w:rsidR="00A56A01" w:rsidRPr="00CE15CD">
        <w:rPr>
          <w:kern w:val="22"/>
          <w:szCs w:val="22"/>
          <w:lang w:val="fr-FR"/>
        </w:rPr>
        <w:t xml:space="preserve">section </w:t>
      </w:r>
      <w:r w:rsidRPr="00CE15CD">
        <w:rPr>
          <w:kern w:val="22"/>
          <w:szCs w:val="22"/>
          <w:lang w:val="fr-FR"/>
        </w:rPr>
        <w:t>du</w:t>
      </w:r>
      <w:r w:rsidR="00B0768D" w:rsidRPr="00CE15CD">
        <w:rPr>
          <w:kern w:val="22"/>
          <w:szCs w:val="22"/>
          <w:lang w:val="fr-FR"/>
        </w:rPr>
        <w:t xml:space="preserve"> </w:t>
      </w:r>
      <w:r w:rsidR="006B3095" w:rsidRPr="00CE15CD">
        <w:rPr>
          <w:kern w:val="22"/>
          <w:szCs w:val="22"/>
          <w:lang w:val="fr-FR"/>
        </w:rPr>
        <w:t>document</w:t>
      </w:r>
      <w:r w:rsidR="006B0D4C" w:rsidRPr="00CE15CD">
        <w:rPr>
          <w:kern w:val="22"/>
          <w:szCs w:val="22"/>
          <w:lang w:val="fr-FR"/>
        </w:rPr>
        <w:t xml:space="preserve"> </w:t>
      </w:r>
      <w:r w:rsidRPr="00CE15CD">
        <w:rPr>
          <w:kern w:val="22"/>
          <w:szCs w:val="22"/>
          <w:lang w:val="fr-FR"/>
        </w:rPr>
        <w:t>résume les mesures prises et les progrès accomplis pendant l’exercice biennal</w:t>
      </w:r>
      <w:r w:rsidR="00A56A01" w:rsidRPr="00CE15CD">
        <w:rPr>
          <w:kern w:val="22"/>
          <w:szCs w:val="22"/>
          <w:lang w:val="fr-FR"/>
        </w:rPr>
        <w:t xml:space="preserve"> 2017-2018 </w:t>
      </w:r>
      <w:r w:rsidRPr="00CE15CD">
        <w:rPr>
          <w:kern w:val="22"/>
          <w:szCs w:val="22"/>
          <w:lang w:val="fr-FR"/>
        </w:rPr>
        <w:t xml:space="preserve">concernant l’exécution de la feuille de route </w:t>
      </w:r>
      <w:r>
        <w:rPr>
          <w:kern w:val="22"/>
          <w:szCs w:val="22"/>
          <w:lang w:val="fr-FR"/>
        </w:rPr>
        <w:t>p</w:t>
      </w:r>
      <w:r w:rsidRPr="00CE15CD">
        <w:rPr>
          <w:kern w:val="22"/>
          <w:szCs w:val="22"/>
          <w:lang w:val="fr-FR"/>
        </w:rPr>
        <w:t xml:space="preserve">our renforcer les synergies au niveau </w:t>
      </w:r>
      <w:r w:rsidR="00A56A01" w:rsidRPr="00CE15CD">
        <w:rPr>
          <w:kern w:val="22"/>
          <w:szCs w:val="22"/>
          <w:lang w:val="fr-FR"/>
        </w:rPr>
        <w:t>international 2017-2020</w:t>
      </w:r>
      <w:r w:rsidR="006B0D4C" w:rsidRPr="00CE15CD">
        <w:rPr>
          <w:kern w:val="22"/>
          <w:szCs w:val="22"/>
          <w:lang w:val="fr-FR"/>
        </w:rPr>
        <w:t xml:space="preserve">, </w:t>
      </w:r>
      <w:r>
        <w:rPr>
          <w:kern w:val="22"/>
          <w:szCs w:val="22"/>
          <w:lang w:val="fr-FR"/>
        </w:rPr>
        <w:t>y compris les travaux du group</w:t>
      </w:r>
      <w:r w:rsidRPr="00CE15CD">
        <w:rPr>
          <w:kern w:val="22"/>
          <w:szCs w:val="22"/>
          <w:lang w:val="fr-FR"/>
        </w:rPr>
        <w:t xml:space="preserve">e consultatif informel </w:t>
      </w:r>
      <w:r>
        <w:rPr>
          <w:kern w:val="22"/>
          <w:szCs w:val="22"/>
          <w:lang w:val="fr-FR"/>
        </w:rPr>
        <w:t>créé par la déc</w:t>
      </w:r>
      <w:r w:rsidR="00A56A01" w:rsidRPr="00CE15CD">
        <w:rPr>
          <w:kern w:val="22"/>
          <w:szCs w:val="22"/>
          <w:lang w:val="fr-FR"/>
        </w:rPr>
        <w:t>ision XIII/24</w:t>
      </w:r>
      <w:r w:rsidR="006B0D4C" w:rsidRPr="00CE15CD">
        <w:rPr>
          <w:kern w:val="22"/>
          <w:szCs w:val="22"/>
          <w:lang w:val="fr-FR"/>
        </w:rPr>
        <w:t>.</w:t>
      </w:r>
    </w:p>
    <w:p w:rsidR="007770D1" w:rsidRPr="00CE15CD" w:rsidRDefault="00CE15CD" w:rsidP="00883A1C">
      <w:pPr>
        <w:keepNext/>
        <w:numPr>
          <w:ilvl w:val="0"/>
          <w:numId w:val="63"/>
        </w:numPr>
        <w:suppressLineNumbers/>
        <w:suppressAutoHyphens/>
        <w:kinsoku w:val="0"/>
        <w:overflowPunct w:val="0"/>
        <w:autoSpaceDE w:val="0"/>
        <w:autoSpaceDN w:val="0"/>
        <w:adjustRightInd w:val="0"/>
        <w:snapToGrid w:val="0"/>
        <w:spacing w:before="120" w:after="120" w:line="238" w:lineRule="auto"/>
        <w:ind w:left="1296" w:hanging="576"/>
        <w:jc w:val="left"/>
        <w:outlineLvl w:val="1"/>
        <w:rPr>
          <w:b/>
          <w:kern w:val="22"/>
          <w:szCs w:val="22"/>
          <w:lang w:val="fr-FR"/>
        </w:rPr>
      </w:pPr>
      <w:r>
        <w:rPr>
          <w:b/>
          <w:kern w:val="22"/>
          <w:szCs w:val="22"/>
          <w:lang w:val="fr-FR"/>
        </w:rPr>
        <w:t>Mesure</w:t>
      </w:r>
      <w:r w:rsidR="00372025">
        <w:rPr>
          <w:b/>
          <w:kern w:val="22"/>
          <w:szCs w:val="22"/>
          <w:lang w:val="fr-FR"/>
        </w:rPr>
        <w:t>s</w:t>
      </w:r>
      <w:r>
        <w:rPr>
          <w:b/>
          <w:kern w:val="22"/>
          <w:szCs w:val="22"/>
          <w:lang w:val="fr-FR"/>
        </w:rPr>
        <w:t xml:space="preserve"> prises par la</w:t>
      </w:r>
      <w:r w:rsidR="007770D1" w:rsidRPr="00CE15CD">
        <w:rPr>
          <w:b/>
          <w:kern w:val="22"/>
          <w:szCs w:val="22"/>
          <w:lang w:val="fr-FR"/>
        </w:rPr>
        <w:t xml:space="preserve"> </w:t>
      </w:r>
      <w:r w:rsidR="00713136" w:rsidRPr="00CE15CD">
        <w:rPr>
          <w:b/>
          <w:kern w:val="22"/>
          <w:szCs w:val="22"/>
          <w:lang w:val="fr-FR"/>
        </w:rPr>
        <w:t>Secrétaire exécutive</w:t>
      </w:r>
      <w:r w:rsidR="00F7499E" w:rsidRPr="00CE15CD">
        <w:rPr>
          <w:b/>
          <w:kern w:val="22"/>
          <w:szCs w:val="22"/>
          <w:lang w:val="fr-FR"/>
        </w:rPr>
        <w:t xml:space="preserve">, </w:t>
      </w:r>
      <w:r w:rsidRPr="00CE15CD">
        <w:rPr>
          <w:b/>
          <w:kern w:val="22"/>
          <w:szCs w:val="22"/>
          <w:lang w:val="fr-FR"/>
        </w:rPr>
        <w:t>les organisa</w:t>
      </w:r>
      <w:r w:rsidR="00F7499E" w:rsidRPr="00CE15CD">
        <w:rPr>
          <w:b/>
          <w:kern w:val="22"/>
          <w:szCs w:val="22"/>
          <w:lang w:val="fr-FR"/>
        </w:rPr>
        <w:t>tions</w:t>
      </w:r>
      <w:r>
        <w:rPr>
          <w:b/>
          <w:kern w:val="22"/>
          <w:szCs w:val="22"/>
          <w:lang w:val="fr-FR"/>
        </w:rPr>
        <w:t xml:space="preserve"> partenaires et les</w:t>
      </w:r>
      <w:r w:rsidR="00F7499E" w:rsidRPr="00CE15CD">
        <w:rPr>
          <w:b/>
          <w:kern w:val="22"/>
          <w:szCs w:val="22"/>
          <w:lang w:val="fr-FR"/>
        </w:rPr>
        <w:t xml:space="preserve"> Parties </w:t>
      </w:r>
      <w:r>
        <w:rPr>
          <w:b/>
          <w:kern w:val="22"/>
          <w:szCs w:val="22"/>
          <w:lang w:val="fr-FR"/>
        </w:rPr>
        <w:t>à la</w:t>
      </w:r>
      <w:r w:rsidR="00F7499E" w:rsidRPr="00CE15CD">
        <w:rPr>
          <w:b/>
          <w:kern w:val="22"/>
          <w:szCs w:val="22"/>
          <w:lang w:val="fr-FR"/>
        </w:rPr>
        <w:t xml:space="preserve"> Convention</w:t>
      </w:r>
    </w:p>
    <w:p w:rsidR="00DB0A37" w:rsidRPr="00C4452E" w:rsidRDefault="00CE15CD"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Pr>
          <w:kern w:val="22"/>
          <w:szCs w:val="22"/>
          <w:lang w:val="fr-FR"/>
        </w:rPr>
        <w:t>La</w:t>
      </w:r>
      <w:r w:rsidR="00A56A01" w:rsidRPr="00CE15CD">
        <w:rPr>
          <w:kern w:val="22"/>
          <w:szCs w:val="22"/>
          <w:lang w:val="fr-FR"/>
        </w:rPr>
        <w:t xml:space="preserve"> </w:t>
      </w:r>
      <w:r w:rsidR="00713136" w:rsidRPr="00CE15CD">
        <w:rPr>
          <w:kern w:val="22"/>
          <w:szCs w:val="22"/>
          <w:lang w:val="fr-FR"/>
        </w:rPr>
        <w:t>Secrétaire exécutive</w:t>
      </w:r>
      <w:r w:rsidR="006B0D4C" w:rsidRPr="00CE15CD">
        <w:rPr>
          <w:kern w:val="22"/>
          <w:szCs w:val="22"/>
          <w:lang w:val="fr-FR"/>
        </w:rPr>
        <w:t xml:space="preserve"> </w:t>
      </w:r>
      <w:r w:rsidRPr="00CE15CD">
        <w:rPr>
          <w:kern w:val="22"/>
          <w:szCs w:val="22"/>
          <w:lang w:val="fr-FR"/>
        </w:rPr>
        <w:t xml:space="preserve">a entrepris </w:t>
      </w:r>
      <w:r>
        <w:rPr>
          <w:kern w:val="22"/>
          <w:szCs w:val="22"/>
          <w:lang w:val="fr-FR"/>
        </w:rPr>
        <w:t>d</w:t>
      </w:r>
      <w:r w:rsidRPr="00CE15CD">
        <w:rPr>
          <w:kern w:val="22"/>
          <w:szCs w:val="22"/>
          <w:lang w:val="fr-FR"/>
        </w:rPr>
        <w:t xml:space="preserve">urant le </w:t>
      </w:r>
      <w:r>
        <w:rPr>
          <w:kern w:val="22"/>
          <w:szCs w:val="22"/>
          <w:lang w:val="fr-FR"/>
        </w:rPr>
        <w:t>pré</w:t>
      </w:r>
      <w:r w:rsidRPr="00CE15CD">
        <w:rPr>
          <w:kern w:val="22"/>
          <w:szCs w:val="22"/>
          <w:lang w:val="fr-FR"/>
        </w:rPr>
        <w:t>sent exercice biennal d’importants travaux à l’appui de l’exécution de la feuille de route.</w:t>
      </w:r>
      <w:r w:rsidR="006B0D4C" w:rsidRPr="00CE15CD">
        <w:rPr>
          <w:kern w:val="22"/>
          <w:szCs w:val="22"/>
          <w:lang w:val="fr-FR"/>
        </w:rPr>
        <w:t xml:space="preserve"> </w:t>
      </w:r>
      <w:r w:rsidR="00C4452E">
        <w:rPr>
          <w:kern w:val="22"/>
          <w:szCs w:val="22"/>
          <w:lang w:val="fr-FR"/>
        </w:rPr>
        <w:t>Parmi les nombreuses activités, elle a notamment fourni les services de secrétariat pour le groupe consultatif informel comme le décrit la s</w:t>
      </w:r>
      <w:r w:rsidR="00F7499E" w:rsidRPr="00C4452E">
        <w:rPr>
          <w:kern w:val="22"/>
          <w:szCs w:val="22"/>
          <w:lang w:val="fr-FR"/>
        </w:rPr>
        <w:t>ection B</w:t>
      </w:r>
      <w:r w:rsidR="00C4452E">
        <w:rPr>
          <w:kern w:val="22"/>
          <w:szCs w:val="22"/>
          <w:lang w:val="fr-FR"/>
        </w:rPr>
        <w:t xml:space="preserve"> ci-dessous et contribué aux travaux décrits ci-dessous auxquels ont participé des organisations partenaires et </w:t>
      </w:r>
      <w:r w:rsidR="00F7499E" w:rsidRPr="00C4452E">
        <w:rPr>
          <w:kern w:val="22"/>
          <w:szCs w:val="22"/>
          <w:lang w:val="fr-FR"/>
        </w:rPr>
        <w:t xml:space="preserve">Parties </w:t>
      </w:r>
      <w:r w:rsidR="00C4452E">
        <w:rPr>
          <w:kern w:val="22"/>
          <w:szCs w:val="22"/>
          <w:lang w:val="fr-FR"/>
        </w:rPr>
        <w:t>à la</w:t>
      </w:r>
      <w:r w:rsidR="00F7499E" w:rsidRPr="00C4452E">
        <w:rPr>
          <w:kern w:val="22"/>
          <w:szCs w:val="22"/>
          <w:lang w:val="fr-FR"/>
        </w:rPr>
        <w:t xml:space="preserve"> Convention.</w:t>
      </w:r>
    </w:p>
    <w:p w:rsidR="00F234E3" w:rsidRPr="00321DCF" w:rsidRDefault="00321DC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321DCF">
        <w:rPr>
          <w:kern w:val="22"/>
          <w:szCs w:val="22"/>
          <w:lang w:val="fr-FR"/>
        </w:rPr>
        <w:t>En ce qui concerne l’</w:t>
      </w:r>
      <w:r w:rsidR="0066397F" w:rsidRPr="00321DCF">
        <w:rPr>
          <w:kern w:val="22"/>
          <w:szCs w:val="22"/>
          <w:lang w:val="fr-FR"/>
        </w:rPr>
        <w:t xml:space="preserve">engagement </w:t>
      </w:r>
      <w:r w:rsidRPr="00321DCF">
        <w:rPr>
          <w:kern w:val="22"/>
          <w:szCs w:val="22"/>
          <w:lang w:val="fr-FR"/>
        </w:rPr>
        <w:t>d’autres</w:t>
      </w:r>
      <w:r w:rsidR="0066397F" w:rsidRPr="00321DCF">
        <w:rPr>
          <w:kern w:val="22"/>
          <w:szCs w:val="22"/>
          <w:lang w:val="fr-FR"/>
        </w:rPr>
        <w:t xml:space="preserve"> </w:t>
      </w:r>
      <w:r w:rsidR="008B0ED2" w:rsidRPr="00321DCF">
        <w:rPr>
          <w:kern w:val="22"/>
          <w:szCs w:val="22"/>
          <w:lang w:val="fr-FR"/>
        </w:rPr>
        <w:t>conventions relatives à la diversité biologique</w:t>
      </w:r>
      <w:r w:rsidRPr="00321DCF">
        <w:rPr>
          <w:kern w:val="22"/>
          <w:szCs w:val="22"/>
          <w:lang w:val="fr-FR"/>
        </w:rPr>
        <w:t>, l</w:t>
      </w:r>
      <w:r w:rsidR="0066397F" w:rsidRPr="00321DCF">
        <w:rPr>
          <w:kern w:val="22"/>
          <w:szCs w:val="22"/>
          <w:lang w:val="fr-FR"/>
        </w:rPr>
        <w:t>e S</w:t>
      </w:r>
      <w:r w:rsidRPr="00321DCF">
        <w:rPr>
          <w:kern w:val="22"/>
          <w:szCs w:val="22"/>
          <w:lang w:val="fr-FR"/>
        </w:rPr>
        <w:t>ecré</w:t>
      </w:r>
      <w:r w:rsidR="0066397F" w:rsidRPr="00321DCF">
        <w:rPr>
          <w:kern w:val="22"/>
          <w:szCs w:val="22"/>
          <w:lang w:val="fr-FR"/>
        </w:rPr>
        <w:t>tariat</w:t>
      </w:r>
      <w:r w:rsidRPr="00321DCF">
        <w:rPr>
          <w:kern w:val="22"/>
          <w:szCs w:val="22"/>
          <w:lang w:val="fr-FR"/>
        </w:rPr>
        <w:t xml:space="preserve"> </w:t>
      </w:r>
      <w:r w:rsidR="0066397F" w:rsidRPr="00321DCF">
        <w:rPr>
          <w:kern w:val="22"/>
          <w:szCs w:val="22"/>
          <w:lang w:val="fr-FR"/>
        </w:rPr>
        <w:t xml:space="preserve">: </w:t>
      </w:r>
      <w:r w:rsidR="00AB20B6" w:rsidRPr="00321DCF">
        <w:rPr>
          <w:kern w:val="22"/>
          <w:szCs w:val="22"/>
          <w:lang w:val="fr-FR"/>
        </w:rPr>
        <w:t>a</w:t>
      </w:r>
      <w:r w:rsidR="006B0D4C" w:rsidRPr="00321DCF">
        <w:rPr>
          <w:kern w:val="22"/>
          <w:szCs w:val="22"/>
          <w:lang w:val="fr-FR"/>
        </w:rPr>
        <w:t xml:space="preserve">) </w:t>
      </w:r>
      <w:r w:rsidRPr="00321DCF">
        <w:rPr>
          <w:kern w:val="22"/>
          <w:szCs w:val="22"/>
          <w:lang w:val="fr-FR"/>
        </w:rPr>
        <w:t xml:space="preserve">a fourni des </w:t>
      </w:r>
      <w:r w:rsidR="00A56A01" w:rsidRPr="00321DCF">
        <w:rPr>
          <w:kern w:val="22"/>
          <w:szCs w:val="22"/>
          <w:lang w:val="fr-FR"/>
        </w:rPr>
        <w:t>information</w:t>
      </w:r>
      <w:r w:rsidRPr="00321DCF">
        <w:rPr>
          <w:kern w:val="22"/>
          <w:szCs w:val="22"/>
          <w:lang w:val="fr-FR"/>
        </w:rPr>
        <w:t>s</w:t>
      </w:r>
      <w:r w:rsidR="00A56A01" w:rsidRPr="00321DCF">
        <w:rPr>
          <w:kern w:val="22"/>
          <w:szCs w:val="22"/>
          <w:lang w:val="fr-FR"/>
        </w:rPr>
        <w:t xml:space="preserve"> </w:t>
      </w:r>
      <w:r w:rsidRPr="00321DCF">
        <w:rPr>
          <w:kern w:val="22"/>
          <w:szCs w:val="22"/>
          <w:lang w:val="fr-FR"/>
        </w:rPr>
        <w:t>portant sur la dé</w:t>
      </w:r>
      <w:r w:rsidR="00A56A01" w:rsidRPr="00321DCF">
        <w:rPr>
          <w:kern w:val="22"/>
          <w:szCs w:val="22"/>
          <w:lang w:val="fr-FR"/>
        </w:rPr>
        <w:t xml:space="preserve">cision XIII/24 </w:t>
      </w:r>
      <w:r w:rsidRPr="00321DCF">
        <w:rPr>
          <w:kern w:val="22"/>
          <w:szCs w:val="22"/>
          <w:lang w:val="fr-FR"/>
        </w:rPr>
        <w:t xml:space="preserve">et son suivi ainsi que sur d’autres </w:t>
      </w:r>
      <w:r>
        <w:rPr>
          <w:kern w:val="22"/>
          <w:szCs w:val="22"/>
          <w:lang w:val="fr-FR"/>
        </w:rPr>
        <w:t>dé</w:t>
      </w:r>
      <w:r w:rsidRPr="00321DCF">
        <w:rPr>
          <w:kern w:val="22"/>
          <w:szCs w:val="22"/>
          <w:lang w:val="fr-FR"/>
        </w:rPr>
        <w:t>cisions pertinentes de la</w:t>
      </w:r>
      <w:r w:rsidR="00AB20B6" w:rsidRPr="00321DCF">
        <w:rPr>
          <w:kern w:val="22"/>
          <w:szCs w:val="22"/>
          <w:lang w:val="fr-FR"/>
        </w:rPr>
        <w:t xml:space="preserve"> </w:t>
      </w:r>
      <w:r w:rsidR="00F750A3" w:rsidRPr="00321DCF">
        <w:rPr>
          <w:kern w:val="22"/>
          <w:szCs w:val="22"/>
          <w:lang w:val="fr-FR"/>
        </w:rPr>
        <w:t>treizième réunion</w:t>
      </w:r>
      <w:r w:rsidR="00AB20B6" w:rsidRPr="00321DCF">
        <w:rPr>
          <w:kern w:val="22"/>
          <w:szCs w:val="22"/>
          <w:lang w:val="fr-FR"/>
        </w:rPr>
        <w:t xml:space="preserve"> of </w:t>
      </w:r>
      <w:r w:rsidR="00031441" w:rsidRPr="00321DCF">
        <w:rPr>
          <w:kern w:val="22"/>
          <w:szCs w:val="22"/>
          <w:lang w:val="fr-FR"/>
        </w:rPr>
        <w:t>la Conférence des Parties</w:t>
      </w:r>
      <w:r w:rsidR="00A56A01" w:rsidRPr="00321DCF">
        <w:rPr>
          <w:kern w:val="22"/>
          <w:szCs w:val="22"/>
          <w:lang w:val="fr-FR"/>
        </w:rPr>
        <w:t xml:space="preserve">, </w:t>
      </w:r>
      <w:r w:rsidRPr="00321DCF">
        <w:rPr>
          <w:kern w:val="22"/>
          <w:szCs w:val="22"/>
          <w:lang w:val="fr-FR"/>
        </w:rPr>
        <w:t>aux secré</w:t>
      </w:r>
      <w:r w:rsidR="00A56A01" w:rsidRPr="00321DCF">
        <w:rPr>
          <w:kern w:val="22"/>
          <w:szCs w:val="22"/>
          <w:lang w:val="fr-FR"/>
        </w:rPr>
        <w:t xml:space="preserve">tariats </w:t>
      </w:r>
      <w:r w:rsidRPr="00321DCF">
        <w:rPr>
          <w:kern w:val="22"/>
          <w:szCs w:val="22"/>
          <w:lang w:val="fr-FR"/>
        </w:rPr>
        <w:t>d’autres</w:t>
      </w:r>
      <w:r w:rsidR="00A56A01" w:rsidRPr="00321DCF">
        <w:rPr>
          <w:kern w:val="22"/>
          <w:szCs w:val="22"/>
          <w:lang w:val="fr-FR"/>
        </w:rPr>
        <w:t xml:space="preserve"> </w:t>
      </w:r>
      <w:r w:rsidR="008B0ED2" w:rsidRPr="00321DCF">
        <w:rPr>
          <w:kern w:val="22"/>
          <w:szCs w:val="22"/>
          <w:lang w:val="fr-FR"/>
        </w:rPr>
        <w:t>conventions relatives à la diversité biologique</w:t>
      </w:r>
      <w:r w:rsidR="006B0D4C" w:rsidRPr="00321DCF">
        <w:rPr>
          <w:kern w:val="22"/>
          <w:szCs w:val="22"/>
          <w:lang w:val="fr-FR"/>
        </w:rPr>
        <w:t xml:space="preserve">; </w:t>
      </w:r>
      <w:r w:rsidR="00AB20B6" w:rsidRPr="00321DCF">
        <w:rPr>
          <w:kern w:val="22"/>
          <w:szCs w:val="22"/>
          <w:lang w:val="fr-FR"/>
        </w:rPr>
        <w:t>b</w:t>
      </w:r>
      <w:r w:rsidR="006B0D4C" w:rsidRPr="00321DCF">
        <w:rPr>
          <w:kern w:val="22"/>
          <w:szCs w:val="22"/>
          <w:lang w:val="fr-FR"/>
        </w:rPr>
        <w:t xml:space="preserve">) </w:t>
      </w:r>
      <w:r>
        <w:rPr>
          <w:kern w:val="22"/>
          <w:szCs w:val="22"/>
          <w:lang w:val="fr-FR"/>
        </w:rPr>
        <w:t xml:space="preserve">a convoqué une réunion du </w:t>
      </w:r>
      <w:r w:rsidR="00B011D3" w:rsidRPr="00321DCF">
        <w:rPr>
          <w:kern w:val="22"/>
          <w:szCs w:val="22"/>
          <w:lang w:val="fr-FR"/>
        </w:rPr>
        <w:t>Groupe de lia</w:t>
      </w:r>
      <w:r>
        <w:rPr>
          <w:kern w:val="22"/>
          <w:szCs w:val="22"/>
          <w:lang w:val="fr-FR"/>
        </w:rPr>
        <w:t>is</w:t>
      </w:r>
      <w:r w:rsidR="00B011D3" w:rsidRPr="00321DCF">
        <w:rPr>
          <w:kern w:val="22"/>
          <w:szCs w:val="22"/>
          <w:lang w:val="fr-FR"/>
        </w:rPr>
        <w:t>on des</w:t>
      </w:r>
      <w:r w:rsidR="006B0D4C" w:rsidRPr="00321DCF">
        <w:rPr>
          <w:kern w:val="22"/>
          <w:szCs w:val="22"/>
          <w:lang w:val="fr-FR"/>
        </w:rPr>
        <w:t xml:space="preserve"> </w:t>
      </w:r>
      <w:r w:rsidR="00716958">
        <w:rPr>
          <w:kern w:val="22"/>
          <w:szCs w:val="22"/>
          <w:lang w:val="fr-FR"/>
        </w:rPr>
        <w:t>c</w:t>
      </w:r>
      <w:r w:rsidR="008B0ED2" w:rsidRPr="00321DCF">
        <w:rPr>
          <w:kern w:val="22"/>
          <w:szCs w:val="22"/>
          <w:lang w:val="fr-FR"/>
        </w:rPr>
        <w:t>onventions relatives à la diversité biologique</w:t>
      </w:r>
      <w:r w:rsidR="006B0D4C" w:rsidRPr="00321DCF">
        <w:rPr>
          <w:kern w:val="22"/>
          <w:szCs w:val="22"/>
          <w:lang w:val="fr-FR"/>
        </w:rPr>
        <w:t xml:space="preserve"> </w:t>
      </w:r>
      <w:r>
        <w:rPr>
          <w:kern w:val="22"/>
          <w:szCs w:val="22"/>
          <w:lang w:val="fr-FR"/>
        </w:rPr>
        <w:t>par vid</w:t>
      </w:r>
      <w:r w:rsidR="008424FB">
        <w:rPr>
          <w:kern w:val="22"/>
          <w:szCs w:val="22"/>
          <w:lang w:val="fr-FR"/>
        </w:rPr>
        <w:t>é</w:t>
      </w:r>
      <w:r>
        <w:rPr>
          <w:kern w:val="22"/>
          <w:szCs w:val="22"/>
          <w:lang w:val="fr-FR"/>
        </w:rPr>
        <w:t>oconfé</w:t>
      </w:r>
      <w:r w:rsidR="008424FB">
        <w:rPr>
          <w:kern w:val="22"/>
          <w:szCs w:val="22"/>
          <w:lang w:val="fr-FR"/>
        </w:rPr>
        <w:t>rence en janvier</w:t>
      </w:r>
      <w:r w:rsidR="00A56A01" w:rsidRPr="00321DCF">
        <w:rPr>
          <w:kern w:val="22"/>
          <w:szCs w:val="22"/>
          <w:lang w:val="fr-FR"/>
        </w:rPr>
        <w:t xml:space="preserve"> 2017 </w:t>
      </w:r>
      <w:r w:rsidR="008424FB">
        <w:rPr>
          <w:kern w:val="22"/>
          <w:szCs w:val="22"/>
          <w:lang w:val="fr-FR"/>
        </w:rPr>
        <w:t>et la douzième réunion ordinaire  du Groupe de liaison le 28 septembre</w:t>
      </w:r>
      <w:r w:rsidR="00A56A01" w:rsidRPr="00321DCF">
        <w:rPr>
          <w:kern w:val="22"/>
          <w:szCs w:val="22"/>
          <w:lang w:val="fr-FR"/>
        </w:rPr>
        <w:t xml:space="preserve"> 2017</w:t>
      </w:r>
      <w:r w:rsidR="008424FB">
        <w:rPr>
          <w:kern w:val="22"/>
          <w:szCs w:val="22"/>
          <w:lang w:val="fr-FR"/>
        </w:rPr>
        <w:t xml:space="preserve">; </w:t>
      </w:r>
      <w:r w:rsidR="00AB20B6" w:rsidRPr="00321DCF">
        <w:rPr>
          <w:bCs/>
          <w:iCs/>
          <w:kern w:val="22"/>
          <w:szCs w:val="22"/>
          <w:lang w:val="fr-FR"/>
        </w:rPr>
        <w:t>c</w:t>
      </w:r>
      <w:r w:rsidR="006B0D4C" w:rsidRPr="00321DCF">
        <w:rPr>
          <w:kern w:val="22"/>
          <w:szCs w:val="22"/>
          <w:lang w:val="fr-FR"/>
        </w:rPr>
        <w:t xml:space="preserve">) </w:t>
      </w:r>
      <w:r w:rsidR="008424FB">
        <w:rPr>
          <w:kern w:val="22"/>
          <w:szCs w:val="22"/>
          <w:lang w:val="fr-FR"/>
        </w:rPr>
        <w:t>a convoqué une réunion entre les membre</w:t>
      </w:r>
      <w:r w:rsidR="00A56A01" w:rsidRPr="00321DCF">
        <w:rPr>
          <w:kern w:val="22"/>
          <w:szCs w:val="22"/>
          <w:lang w:val="fr-FR"/>
        </w:rPr>
        <w:t xml:space="preserve">s </w:t>
      </w:r>
      <w:r w:rsidR="008424FB">
        <w:rPr>
          <w:kern w:val="22"/>
          <w:szCs w:val="22"/>
          <w:lang w:val="fr-FR"/>
        </w:rPr>
        <w:t>du Groupe de liaison et les organis</w:t>
      </w:r>
      <w:r w:rsidR="00A56A01" w:rsidRPr="00321DCF">
        <w:rPr>
          <w:kern w:val="22"/>
          <w:szCs w:val="22"/>
          <w:lang w:val="fr-FR"/>
        </w:rPr>
        <w:t xml:space="preserve">ations </w:t>
      </w:r>
      <w:r w:rsidR="008424FB">
        <w:rPr>
          <w:kern w:val="22"/>
          <w:szCs w:val="22"/>
          <w:lang w:val="fr-FR"/>
        </w:rPr>
        <w:t>qui assurent  leurs secré</w:t>
      </w:r>
      <w:r w:rsidR="00A56A01" w:rsidRPr="00321DCF">
        <w:rPr>
          <w:kern w:val="22"/>
          <w:szCs w:val="22"/>
          <w:lang w:val="fr-FR"/>
        </w:rPr>
        <w:t xml:space="preserve">tariats </w:t>
      </w:r>
      <w:r w:rsidR="008424FB">
        <w:rPr>
          <w:kern w:val="22"/>
          <w:szCs w:val="22"/>
          <w:lang w:val="fr-FR"/>
        </w:rPr>
        <w:t>le 29 septembre</w:t>
      </w:r>
      <w:r w:rsidR="00A56A01" w:rsidRPr="00321DCF">
        <w:rPr>
          <w:kern w:val="22"/>
          <w:szCs w:val="22"/>
          <w:lang w:val="fr-FR"/>
        </w:rPr>
        <w:t xml:space="preserve"> 2019</w:t>
      </w:r>
      <w:r w:rsidR="00656127" w:rsidRPr="00321DCF">
        <w:rPr>
          <w:kern w:val="22"/>
          <w:szCs w:val="22"/>
          <w:lang w:val="fr-FR"/>
        </w:rPr>
        <w:t xml:space="preserve">; </w:t>
      </w:r>
      <w:r w:rsidR="008424FB">
        <w:rPr>
          <w:kern w:val="22"/>
          <w:szCs w:val="22"/>
          <w:lang w:val="fr-FR"/>
        </w:rPr>
        <w:t xml:space="preserve">et </w:t>
      </w:r>
      <w:r w:rsidR="00AB20B6" w:rsidRPr="00321DCF">
        <w:rPr>
          <w:kern w:val="22"/>
          <w:szCs w:val="22"/>
          <w:lang w:val="fr-FR"/>
        </w:rPr>
        <w:t>d</w:t>
      </w:r>
      <w:r w:rsidR="00656127" w:rsidRPr="00321DCF">
        <w:rPr>
          <w:kern w:val="22"/>
          <w:szCs w:val="22"/>
          <w:lang w:val="fr-FR"/>
        </w:rPr>
        <w:t xml:space="preserve">) </w:t>
      </w:r>
      <w:r w:rsidR="008424FB">
        <w:rPr>
          <w:kern w:val="22"/>
          <w:szCs w:val="22"/>
          <w:lang w:val="fr-FR"/>
        </w:rPr>
        <w:t xml:space="preserve">a cherché et obtenu des </w:t>
      </w:r>
      <w:r w:rsidR="00716958">
        <w:rPr>
          <w:kern w:val="22"/>
          <w:szCs w:val="22"/>
          <w:lang w:val="fr-FR"/>
        </w:rPr>
        <w:t>apports</w:t>
      </w:r>
      <w:r w:rsidR="008424FB">
        <w:rPr>
          <w:kern w:val="22"/>
          <w:szCs w:val="22"/>
          <w:lang w:val="fr-FR"/>
        </w:rPr>
        <w:t xml:space="preserve"> des autres secré</w:t>
      </w:r>
      <w:r w:rsidR="00656127" w:rsidRPr="00321DCF">
        <w:rPr>
          <w:kern w:val="22"/>
          <w:szCs w:val="22"/>
          <w:lang w:val="fr-FR"/>
        </w:rPr>
        <w:t xml:space="preserve">tariats </w:t>
      </w:r>
      <w:r w:rsidR="008424FB">
        <w:rPr>
          <w:kern w:val="22"/>
          <w:szCs w:val="22"/>
          <w:lang w:val="fr-FR"/>
        </w:rPr>
        <w:t>à l’examen comme à l’actualisation du</w:t>
      </w:r>
      <w:r w:rsidR="00656127" w:rsidRPr="00321DCF">
        <w:rPr>
          <w:kern w:val="22"/>
          <w:szCs w:val="22"/>
          <w:lang w:val="fr-FR"/>
        </w:rPr>
        <w:t xml:space="preserve"> table</w:t>
      </w:r>
      <w:r w:rsidR="008424FB">
        <w:rPr>
          <w:kern w:val="22"/>
          <w:szCs w:val="22"/>
          <w:lang w:val="fr-FR"/>
        </w:rPr>
        <w:t>au figurant dans l’</w:t>
      </w:r>
      <w:r w:rsidR="00656127" w:rsidRPr="00321DCF">
        <w:rPr>
          <w:kern w:val="22"/>
          <w:szCs w:val="22"/>
          <w:lang w:val="fr-FR"/>
        </w:rPr>
        <w:t>annex</w:t>
      </w:r>
      <w:r w:rsidR="008424FB">
        <w:rPr>
          <w:kern w:val="22"/>
          <w:szCs w:val="22"/>
          <w:lang w:val="fr-FR"/>
        </w:rPr>
        <w:t>e</w:t>
      </w:r>
      <w:r w:rsidR="00656127" w:rsidRPr="00321DCF">
        <w:rPr>
          <w:kern w:val="22"/>
          <w:szCs w:val="22"/>
          <w:lang w:val="fr-FR"/>
        </w:rPr>
        <w:t xml:space="preserve"> II </w:t>
      </w:r>
      <w:r w:rsidR="008424FB">
        <w:rPr>
          <w:kern w:val="22"/>
          <w:szCs w:val="22"/>
          <w:lang w:val="fr-FR"/>
        </w:rPr>
        <w:t>de la dé</w:t>
      </w:r>
      <w:r w:rsidR="00656127" w:rsidRPr="00321DCF">
        <w:rPr>
          <w:kern w:val="22"/>
          <w:szCs w:val="22"/>
          <w:lang w:val="fr-FR"/>
        </w:rPr>
        <w:t>cision XIII/24, a</w:t>
      </w:r>
      <w:r w:rsidR="008424FB">
        <w:rPr>
          <w:kern w:val="22"/>
          <w:szCs w:val="22"/>
          <w:lang w:val="fr-FR"/>
        </w:rPr>
        <w:t>insi que leurs</w:t>
      </w:r>
      <w:r w:rsidR="00882425" w:rsidRPr="00321DCF">
        <w:rPr>
          <w:kern w:val="22"/>
          <w:szCs w:val="22"/>
          <w:lang w:val="fr-FR"/>
        </w:rPr>
        <w:t xml:space="preserve"> contributions </w:t>
      </w:r>
      <w:r w:rsidR="008424FB">
        <w:rPr>
          <w:kern w:val="22"/>
          <w:szCs w:val="22"/>
          <w:lang w:val="fr-FR"/>
        </w:rPr>
        <w:t xml:space="preserve">aux résultats des travaux décrits dans le </w:t>
      </w:r>
      <w:r w:rsidR="0066397F" w:rsidRPr="00321DCF">
        <w:rPr>
          <w:kern w:val="22"/>
          <w:szCs w:val="22"/>
          <w:lang w:val="fr-FR"/>
        </w:rPr>
        <w:t>paragraph</w:t>
      </w:r>
      <w:r w:rsidR="008424FB">
        <w:rPr>
          <w:kern w:val="22"/>
          <w:szCs w:val="22"/>
          <w:lang w:val="fr-FR"/>
        </w:rPr>
        <w:t>e</w:t>
      </w:r>
      <w:r w:rsidR="0066397F" w:rsidRPr="00321DCF">
        <w:rPr>
          <w:kern w:val="22"/>
          <w:szCs w:val="22"/>
          <w:lang w:val="fr-FR"/>
        </w:rPr>
        <w:t xml:space="preserve"> 35 </w:t>
      </w:r>
      <w:r w:rsidR="008424FB">
        <w:rPr>
          <w:kern w:val="22"/>
          <w:szCs w:val="22"/>
          <w:lang w:val="fr-FR"/>
        </w:rPr>
        <w:t>ci-dessous</w:t>
      </w:r>
      <w:r w:rsidR="0066397F" w:rsidRPr="00321DCF">
        <w:rPr>
          <w:kern w:val="22"/>
          <w:szCs w:val="22"/>
          <w:lang w:val="fr-FR"/>
        </w:rPr>
        <w:t>.</w:t>
      </w:r>
    </w:p>
    <w:p w:rsidR="00261546" w:rsidRPr="00716958" w:rsidRDefault="008424FB"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5B6907">
        <w:rPr>
          <w:kern w:val="22"/>
          <w:szCs w:val="22"/>
          <w:lang w:val="fr-FR"/>
        </w:rPr>
        <w:t>La réalisation de plusieurs</w:t>
      </w:r>
      <w:r w:rsidR="00716958">
        <w:rPr>
          <w:kern w:val="22"/>
          <w:szCs w:val="22"/>
          <w:lang w:val="fr-FR"/>
        </w:rPr>
        <w:t xml:space="preserve"> des principales mesures </w:t>
      </w:r>
      <w:r w:rsidRPr="005B6907">
        <w:rPr>
          <w:kern w:val="22"/>
          <w:szCs w:val="22"/>
          <w:lang w:val="fr-FR"/>
        </w:rPr>
        <w:t xml:space="preserve">de la feuille de route </w:t>
      </w:r>
      <w:r w:rsidR="005B6907" w:rsidRPr="005B6907">
        <w:rPr>
          <w:kern w:val="22"/>
          <w:szCs w:val="22"/>
          <w:lang w:val="fr-FR"/>
        </w:rPr>
        <w:t>a progressé grâce aux travaux entrepris en partenariat entre le S</w:t>
      </w:r>
      <w:r w:rsidR="005B6907">
        <w:rPr>
          <w:kern w:val="22"/>
          <w:szCs w:val="22"/>
          <w:lang w:val="fr-FR"/>
        </w:rPr>
        <w:t>e</w:t>
      </w:r>
      <w:r w:rsidR="005B6907" w:rsidRPr="005B6907">
        <w:rPr>
          <w:kern w:val="22"/>
          <w:szCs w:val="22"/>
          <w:lang w:val="fr-FR"/>
        </w:rPr>
        <w:t>crét</w:t>
      </w:r>
      <w:r w:rsidR="00A56A01" w:rsidRPr="005B6907">
        <w:rPr>
          <w:kern w:val="22"/>
          <w:szCs w:val="22"/>
          <w:lang w:val="fr-FR"/>
        </w:rPr>
        <w:t xml:space="preserve">ariat, </w:t>
      </w:r>
      <w:r w:rsidR="005B6907">
        <w:rPr>
          <w:kern w:val="22"/>
          <w:szCs w:val="22"/>
          <w:lang w:val="fr-FR"/>
        </w:rPr>
        <w:t xml:space="preserve">le Programme des Nations Unies pour l’environnement </w:t>
      </w:r>
      <w:r w:rsidR="00B85CDA" w:rsidRPr="005B6907">
        <w:rPr>
          <w:kern w:val="22"/>
          <w:szCs w:val="22"/>
          <w:lang w:val="fr-FR"/>
        </w:rPr>
        <w:t>(</w:t>
      </w:r>
      <w:r w:rsidR="005B6907">
        <w:rPr>
          <w:kern w:val="22"/>
          <w:szCs w:val="22"/>
          <w:lang w:val="fr-FR"/>
        </w:rPr>
        <w:t>PNUE</w:t>
      </w:r>
      <w:r w:rsidR="00B85CDA" w:rsidRPr="005B6907">
        <w:rPr>
          <w:kern w:val="22"/>
          <w:szCs w:val="22"/>
          <w:lang w:val="fr-FR"/>
        </w:rPr>
        <w:t>)</w:t>
      </w:r>
      <w:r w:rsidR="00A56A01" w:rsidRPr="005B6907">
        <w:rPr>
          <w:kern w:val="22"/>
          <w:szCs w:val="22"/>
          <w:lang w:val="fr-FR"/>
        </w:rPr>
        <w:t xml:space="preserve"> </w:t>
      </w:r>
      <w:r w:rsidR="005B6907">
        <w:rPr>
          <w:kern w:val="22"/>
          <w:szCs w:val="22"/>
          <w:lang w:val="fr-FR"/>
        </w:rPr>
        <w:t>et le Centre mondial de surveillance de la co</w:t>
      </w:r>
      <w:r w:rsidR="00A56A01" w:rsidRPr="005B6907">
        <w:rPr>
          <w:kern w:val="22"/>
          <w:szCs w:val="22"/>
          <w:lang w:val="fr-FR"/>
        </w:rPr>
        <w:t>nservation (</w:t>
      </w:r>
      <w:r w:rsidR="005B6907">
        <w:rPr>
          <w:kern w:val="22"/>
          <w:szCs w:val="22"/>
          <w:lang w:val="fr-FR"/>
        </w:rPr>
        <w:t>PNUE</w:t>
      </w:r>
      <w:r w:rsidR="00A56A01" w:rsidRPr="005B6907">
        <w:rPr>
          <w:kern w:val="22"/>
          <w:szCs w:val="22"/>
          <w:lang w:val="fr-FR"/>
        </w:rPr>
        <w:t>-WCMC).</w:t>
      </w:r>
      <w:r w:rsidR="009D3740" w:rsidRPr="005B6907">
        <w:rPr>
          <w:kern w:val="22"/>
          <w:szCs w:val="22"/>
          <w:lang w:val="fr-FR"/>
        </w:rPr>
        <w:t xml:space="preserve"> </w:t>
      </w:r>
      <w:r w:rsidR="005B6907">
        <w:rPr>
          <w:kern w:val="22"/>
          <w:szCs w:val="22"/>
          <w:lang w:val="fr-FR"/>
        </w:rPr>
        <w:t xml:space="preserve">Ces travaux ont donné les résultats suivants </w:t>
      </w:r>
      <w:r w:rsidR="009D3740" w:rsidRPr="00716958">
        <w:rPr>
          <w:kern w:val="22"/>
          <w:szCs w:val="22"/>
          <w:lang w:val="fr-FR"/>
        </w:rPr>
        <w:t>:</w:t>
      </w:r>
    </w:p>
    <w:p w:rsidR="00A56A01" w:rsidRPr="005B6907"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sidRPr="005B6907">
        <w:rPr>
          <w:kern w:val="22"/>
          <w:szCs w:val="22"/>
          <w:lang w:val="fr-FR"/>
        </w:rPr>
        <w:t>T</w:t>
      </w:r>
      <w:r w:rsidR="005B6907" w:rsidRPr="005B6907">
        <w:rPr>
          <w:kern w:val="22"/>
          <w:szCs w:val="22"/>
          <w:lang w:val="fr-FR"/>
        </w:rPr>
        <w:t xml:space="preserve">rois recueils d’orientations qui synthétisent les informations disponibles sur les sujets suivants afin de les </w:t>
      </w:r>
      <w:r w:rsidR="005B6907">
        <w:rPr>
          <w:kern w:val="22"/>
          <w:szCs w:val="22"/>
          <w:lang w:val="fr-FR"/>
        </w:rPr>
        <w:t>rend</w:t>
      </w:r>
      <w:r w:rsidR="005B6907" w:rsidRPr="005B6907">
        <w:rPr>
          <w:kern w:val="22"/>
          <w:szCs w:val="22"/>
          <w:lang w:val="fr-FR"/>
        </w:rPr>
        <w:t>r</w:t>
      </w:r>
      <w:r w:rsidR="005B6907">
        <w:rPr>
          <w:kern w:val="22"/>
          <w:szCs w:val="22"/>
          <w:lang w:val="fr-FR"/>
        </w:rPr>
        <w:t>e</w:t>
      </w:r>
      <w:r w:rsidR="005B6907" w:rsidRPr="005B6907">
        <w:rPr>
          <w:kern w:val="22"/>
          <w:szCs w:val="22"/>
          <w:lang w:val="fr-FR"/>
        </w:rPr>
        <w:t xml:space="preserve"> plus faciles d’accès aux </w:t>
      </w:r>
      <w:r w:rsidR="005B6907">
        <w:rPr>
          <w:kern w:val="22"/>
          <w:szCs w:val="22"/>
          <w:lang w:val="fr-FR"/>
        </w:rPr>
        <w:t xml:space="preserve">utilisateurs </w:t>
      </w:r>
      <w:r w:rsidRPr="005B6907">
        <w:rPr>
          <w:kern w:val="22"/>
          <w:szCs w:val="22"/>
          <w:lang w:val="fr-FR"/>
        </w:rPr>
        <w:t>:</w:t>
      </w:r>
    </w:p>
    <w:p w:rsidR="00A56A01" w:rsidRPr="00FF342A" w:rsidRDefault="00D21A01" w:rsidP="00F45758">
      <w:pPr>
        <w:pStyle w:val="Para3"/>
        <w:numPr>
          <w:ilvl w:val="2"/>
          <w:numId w:val="64"/>
        </w:numPr>
        <w:suppressLineNumbers/>
        <w:tabs>
          <w:tab w:val="clear" w:pos="1980"/>
        </w:tabs>
        <w:suppressAutoHyphens/>
        <w:kinsoku w:val="0"/>
        <w:overflowPunct w:val="0"/>
        <w:autoSpaceDE w:val="0"/>
        <w:autoSpaceDN w:val="0"/>
        <w:adjustRightInd w:val="0"/>
        <w:snapToGrid w:val="0"/>
        <w:spacing w:before="0" w:after="0" w:line="238" w:lineRule="auto"/>
        <w:jc w:val="left"/>
        <w:rPr>
          <w:kern w:val="22"/>
          <w:szCs w:val="22"/>
          <w:lang w:val="fr-FR"/>
        </w:rPr>
      </w:pPr>
      <w:r w:rsidRPr="00FF342A">
        <w:rPr>
          <w:kern w:val="22"/>
          <w:szCs w:val="22"/>
          <w:lang w:val="fr-FR"/>
        </w:rPr>
        <w:t>S</w:t>
      </w:r>
      <w:r w:rsidR="00A56A01" w:rsidRPr="00FF342A">
        <w:rPr>
          <w:kern w:val="22"/>
          <w:szCs w:val="22"/>
          <w:lang w:val="fr-FR"/>
        </w:rPr>
        <w:t xml:space="preserve">ynergies </w:t>
      </w:r>
      <w:r w:rsidR="00FF342A" w:rsidRPr="00FF342A">
        <w:rPr>
          <w:kern w:val="22"/>
          <w:szCs w:val="22"/>
          <w:lang w:val="fr-FR"/>
        </w:rPr>
        <w:t>entre les con</w:t>
      </w:r>
      <w:r w:rsidR="008B0ED2" w:rsidRPr="00FF342A">
        <w:rPr>
          <w:kern w:val="22"/>
          <w:szCs w:val="22"/>
          <w:lang w:val="fr-FR"/>
        </w:rPr>
        <w:t>ventions relatives à la diversité biologique</w:t>
      </w:r>
      <w:r w:rsidR="00FF342A">
        <w:rPr>
          <w:kern w:val="22"/>
          <w:szCs w:val="22"/>
          <w:lang w:val="fr-FR"/>
        </w:rPr>
        <w:t xml:space="preserve"> au niveau </w:t>
      </w:r>
      <w:r w:rsidR="00A56A01" w:rsidRPr="00FF342A">
        <w:rPr>
          <w:kern w:val="22"/>
          <w:szCs w:val="22"/>
          <w:lang w:val="fr-FR"/>
        </w:rPr>
        <w:t>national;</w:t>
      </w:r>
    </w:p>
    <w:p w:rsidR="00A56A01" w:rsidRPr="000F7FAC" w:rsidRDefault="00D21A01" w:rsidP="00883A1C">
      <w:pPr>
        <w:pStyle w:val="Para3"/>
        <w:numPr>
          <w:ilvl w:val="2"/>
          <w:numId w:val="64"/>
        </w:numPr>
        <w:suppressLineNumbers/>
        <w:tabs>
          <w:tab w:val="clear" w:pos="1440"/>
          <w:tab w:val="clear" w:pos="1980"/>
        </w:tabs>
        <w:suppressAutoHyphens/>
        <w:kinsoku w:val="0"/>
        <w:overflowPunct w:val="0"/>
        <w:autoSpaceDE w:val="0"/>
        <w:autoSpaceDN w:val="0"/>
        <w:adjustRightInd w:val="0"/>
        <w:snapToGrid w:val="0"/>
        <w:spacing w:before="0" w:after="0" w:line="238" w:lineRule="auto"/>
        <w:ind w:hanging="446"/>
        <w:jc w:val="left"/>
        <w:rPr>
          <w:kern w:val="22"/>
          <w:szCs w:val="22"/>
          <w:lang w:val="fr-FR"/>
        </w:rPr>
      </w:pPr>
      <w:r w:rsidRPr="000F7FAC">
        <w:rPr>
          <w:kern w:val="22"/>
          <w:szCs w:val="22"/>
          <w:lang w:val="fr-FR"/>
        </w:rPr>
        <w:t>C</w:t>
      </w:r>
      <w:r w:rsidR="00A56A01" w:rsidRPr="000F7FAC">
        <w:rPr>
          <w:kern w:val="22"/>
          <w:szCs w:val="22"/>
          <w:lang w:val="fr-FR"/>
        </w:rPr>
        <w:t>aptur</w:t>
      </w:r>
      <w:r w:rsidR="000F7FAC" w:rsidRPr="000F7FAC">
        <w:rPr>
          <w:kern w:val="22"/>
          <w:szCs w:val="22"/>
          <w:lang w:val="fr-FR"/>
        </w:rPr>
        <w:t>e</w:t>
      </w:r>
      <w:r w:rsidR="00A56A01" w:rsidRPr="000F7FAC">
        <w:rPr>
          <w:kern w:val="22"/>
          <w:szCs w:val="22"/>
          <w:lang w:val="fr-FR"/>
        </w:rPr>
        <w:t xml:space="preserve">, </w:t>
      </w:r>
      <w:r w:rsidR="000F7FAC" w:rsidRPr="000F7FAC">
        <w:rPr>
          <w:kern w:val="22"/>
          <w:szCs w:val="22"/>
          <w:lang w:val="fr-FR"/>
        </w:rPr>
        <w:t>gestion et utilisation de données et d’i</w:t>
      </w:r>
      <w:r w:rsidR="00A56A01" w:rsidRPr="000F7FAC">
        <w:rPr>
          <w:kern w:val="22"/>
          <w:szCs w:val="22"/>
          <w:lang w:val="fr-FR"/>
        </w:rPr>
        <w:t>nformation</w:t>
      </w:r>
      <w:r w:rsidR="000F7FAC" w:rsidRPr="000F7FAC">
        <w:rPr>
          <w:kern w:val="22"/>
          <w:szCs w:val="22"/>
          <w:lang w:val="fr-FR"/>
        </w:rPr>
        <w:t>s</w:t>
      </w:r>
      <w:r w:rsidR="00A56A01" w:rsidRPr="000F7FAC">
        <w:rPr>
          <w:kern w:val="22"/>
          <w:szCs w:val="22"/>
          <w:lang w:val="fr-FR"/>
        </w:rPr>
        <w:t>;</w:t>
      </w:r>
    </w:p>
    <w:p w:rsidR="00A56A01" w:rsidRPr="000F7FAC" w:rsidRDefault="000F7FAC" w:rsidP="00883A1C">
      <w:pPr>
        <w:pStyle w:val="Para3"/>
        <w:numPr>
          <w:ilvl w:val="2"/>
          <w:numId w:val="64"/>
        </w:numPr>
        <w:suppressLineNumbers/>
        <w:tabs>
          <w:tab w:val="clear" w:pos="1440"/>
          <w:tab w:val="clear" w:pos="1980"/>
        </w:tabs>
        <w:suppressAutoHyphens/>
        <w:kinsoku w:val="0"/>
        <w:overflowPunct w:val="0"/>
        <w:autoSpaceDE w:val="0"/>
        <w:autoSpaceDN w:val="0"/>
        <w:adjustRightInd w:val="0"/>
        <w:snapToGrid w:val="0"/>
        <w:spacing w:before="0" w:after="120" w:line="238" w:lineRule="auto"/>
        <w:ind w:hanging="446"/>
        <w:jc w:val="left"/>
        <w:rPr>
          <w:kern w:val="22"/>
          <w:szCs w:val="22"/>
          <w:lang w:val="fr-FR"/>
        </w:rPr>
      </w:pPr>
      <w:r w:rsidRPr="000F7FAC">
        <w:rPr>
          <w:kern w:val="22"/>
          <w:szCs w:val="22"/>
          <w:lang w:val="fr-FR"/>
        </w:rPr>
        <w:t xml:space="preserve">Bases de données mondiales clés </w:t>
      </w:r>
      <w:r>
        <w:rPr>
          <w:kern w:val="22"/>
          <w:szCs w:val="22"/>
          <w:lang w:val="fr-FR"/>
        </w:rPr>
        <w:t xml:space="preserve">relatives </w:t>
      </w:r>
      <w:r w:rsidR="008B0ED2" w:rsidRPr="000F7FAC">
        <w:rPr>
          <w:kern w:val="22"/>
          <w:szCs w:val="22"/>
          <w:lang w:val="fr-FR"/>
        </w:rPr>
        <w:t>à la diversité biologique</w:t>
      </w:r>
      <w:r w:rsidR="00A56A01" w:rsidRPr="000F7FAC">
        <w:rPr>
          <w:kern w:val="22"/>
          <w:szCs w:val="22"/>
          <w:lang w:val="fr-FR"/>
        </w:rPr>
        <w:t>;</w:t>
      </w:r>
    </w:p>
    <w:p w:rsidR="00A56A01" w:rsidRPr="00616B49" w:rsidRDefault="00616B49"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Pr>
          <w:kern w:val="22"/>
          <w:szCs w:val="22"/>
          <w:lang w:val="fr-FR"/>
        </w:rPr>
        <w:t xml:space="preserve">Un rapport qui donne un aperçu des </w:t>
      </w:r>
      <w:r w:rsidR="00A56A01" w:rsidRPr="00616B49">
        <w:rPr>
          <w:kern w:val="22"/>
          <w:szCs w:val="22"/>
          <w:lang w:val="fr-FR"/>
        </w:rPr>
        <w:t>initiatives</w:t>
      </w:r>
      <w:r>
        <w:rPr>
          <w:kern w:val="22"/>
          <w:szCs w:val="22"/>
          <w:lang w:val="fr-FR"/>
        </w:rPr>
        <w:t xml:space="preserve"> prises pour renforcer la</w:t>
      </w:r>
      <w:r w:rsidR="00A56A01" w:rsidRPr="00616B49">
        <w:rPr>
          <w:kern w:val="22"/>
          <w:szCs w:val="22"/>
          <w:lang w:val="fr-FR"/>
        </w:rPr>
        <w:t xml:space="preserve"> coordination </w:t>
      </w:r>
      <w:r>
        <w:rPr>
          <w:kern w:val="22"/>
          <w:szCs w:val="22"/>
          <w:lang w:val="fr-FR"/>
        </w:rPr>
        <w:t>et la collaboration à différents niveaux entre les</w:t>
      </w:r>
      <w:r w:rsidR="00A56A01" w:rsidRPr="00616B49">
        <w:rPr>
          <w:kern w:val="22"/>
          <w:szCs w:val="22"/>
          <w:lang w:val="fr-FR"/>
        </w:rPr>
        <w:t xml:space="preserve"> </w:t>
      </w:r>
      <w:r w:rsidR="008B0ED2" w:rsidRPr="00616B49">
        <w:rPr>
          <w:kern w:val="22"/>
          <w:szCs w:val="22"/>
          <w:lang w:val="fr-FR"/>
        </w:rPr>
        <w:t>conventions relatives à la diversité biologique</w:t>
      </w:r>
      <w:r w:rsidR="00A56A01" w:rsidRPr="00616B49">
        <w:rPr>
          <w:kern w:val="22"/>
          <w:szCs w:val="22"/>
          <w:lang w:val="fr-FR"/>
        </w:rPr>
        <w:t>;</w:t>
      </w:r>
    </w:p>
    <w:p w:rsidR="00A56A01" w:rsidRPr="00616B49" w:rsidRDefault="00616B49"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sidRPr="00616B49">
        <w:rPr>
          <w:kern w:val="22"/>
          <w:szCs w:val="22"/>
          <w:lang w:val="fr-FR"/>
        </w:rPr>
        <w:t>Etudes de cas en réponse à une no</w:t>
      </w:r>
      <w:r w:rsidR="00A56A01" w:rsidRPr="00616B49">
        <w:rPr>
          <w:kern w:val="22"/>
          <w:szCs w:val="22"/>
          <w:lang w:val="fr-FR"/>
        </w:rPr>
        <w:t>tification</w:t>
      </w:r>
      <w:r w:rsidRPr="00616B49">
        <w:rPr>
          <w:kern w:val="22"/>
          <w:szCs w:val="22"/>
          <w:lang w:val="fr-FR"/>
        </w:rPr>
        <w:t xml:space="preserve"> de la CDB ainsi qu’une manifestation parallèle tenue en marge de la vingt-et-unième </w:t>
      </w:r>
      <w:r>
        <w:rPr>
          <w:kern w:val="22"/>
          <w:szCs w:val="22"/>
          <w:lang w:val="fr-FR"/>
        </w:rPr>
        <w:t>ré</w:t>
      </w:r>
      <w:r w:rsidRPr="00616B49">
        <w:rPr>
          <w:kern w:val="22"/>
          <w:szCs w:val="22"/>
          <w:lang w:val="fr-FR"/>
        </w:rPr>
        <w:t xml:space="preserve">union de l’Organe subsidiaire chargé de fournir des avis scientifiques, </w:t>
      </w:r>
      <w:r>
        <w:rPr>
          <w:kern w:val="22"/>
          <w:szCs w:val="22"/>
          <w:lang w:val="fr-FR"/>
        </w:rPr>
        <w:t>techniques et technologiques</w:t>
      </w:r>
      <w:r w:rsidR="00A56A01" w:rsidRPr="00616B49">
        <w:rPr>
          <w:kern w:val="22"/>
          <w:szCs w:val="22"/>
          <w:lang w:val="fr-FR"/>
        </w:rPr>
        <w:t xml:space="preserve"> </w:t>
      </w:r>
      <w:r>
        <w:rPr>
          <w:kern w:val="22"/>
          <w:szCs w:val="22"/>
          <w:lang w:val="fr-FR"/>
        </w:rPr>
        <w:t>tenue en décembre 2017 à Montré</w:t>
      </w:r>
      <w:r w:rsidR="00A56A01" w:rsidRPr="00616B49">
        <w:rPr>
          <w:kern w:val="22"/>
          <w:szCs w:val="22"/>
          <w:lang w:val="fr-FR"/>
        </w:rPr>
        <w:t>al;</w:t>
      </w:r>
    </w:p>
    <w:p w:rsidR="00A56A01" w:rsidRPr="005C73D5" w:rsidRDefault="005C73D5"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sidRPr="005C73D5">
        <w:rPr>
          <w:kern w:val="22"/>
          <w:szCs w:val="22"/>
          <w:lang w:val="fr-FR"/>
        </w:rPr>
        <w:t>Elaboration d’idées initial</w:t>
      </w:r>
      <w:r>
        <w:rPr>
          <w:kern w:val="22"/>
          <w:szCs w:val="22"/>
          <w:lang w:val="fr-FR"/>
        </w:rPr>
        <w:t>e</w:t>
      </w:r>
      <w:r w:rsidRPr="005C73D5">
        <w:rPr>
          <w:kern w:val="22"/>
          <w:szCs w:val="22"/>
          <w:lang w:val="fr-FR"/>
        </w:rPr>
        <w:t>s pour la création d’une bibliothèque en ligne d’études de cas/</w:t>
      </w:r>
      <w:r>
        <w:rPr>
          <w:kern w:val="22"/>
          <w:szCs w:val="22"/>
          <w:lang w:val="fr-FR"/>
        </w:rPr>
        <w:t>succès</w:t>
      </w:r>
      <w:r w:rsidR="00A56A01" w:rsidRPr="005C73D5">
        <w:rPr>
          <w:kern w:val="22"/>
          <w:szCs w:val="22"/>
          <w:lang w:val="fr-FR"/>
        </w:rPr>
        <w:t xml:space="preserve"> </w:t>
      </w:r>
      <w:r>
        <w:rPr>
          <w:kern w:val="22"/>
          <w:szCs w:val="22"/>
          <w:lang w:val="fr-FR"/>
        </w:rPr>
        <w:t>sur les</w:t>
      </w:r>
      <w:r w:rsidR="00A56A01" w:rsidRPr="005C73D5">
        <w:rPr>
          <w:kern w:val="22"/>
          <w:szCs w:val="22"/>
          <w:lang w:val="fr-FR"/>
        </w:rPr>
        <w:t xml:space="preserve"> synergies </w:t>
      </w:r>
      <w:r>
        <w:rPr>
          <w:kern w:val="22"/>
          <w:szCs w:val="22"/>
          <w:lang w:val="fr-FR"/>
        </w:rPr>
        <w:t>entre les</w:t>
      </w:r>
      <w:r w:rsidR="00A56A01" w:rsidRPr="005C73D5">
        <w:rPr>
          <w:kern w:val="22"/>
          <w:szCs w:val="22"/>
          <w:lang w:val="fr-FR"/>
        </w:rPr>
        <w:t xml:space="preserve"> </w:t>
      </w:r>
      <w:r w:rsidR="008B0ED2" w:rsidRPr="005C73D5">
        <w:rPr>
          <w:kern w:val="22"/>
          <w:szCs w:val="22"/>
          <w:lang w:val="fr-FR"/>
        </w:rPr>
        <w:t>conventions relatives à la diversité biologique</w:t>
      </w:r>
      <w:r w:rsidR="00A56A01" w:rsidRPr="005C73D5">
        <w:rPr>
          <w:kern w:val="22"/>
          <w:szCs w:val="22"/>
          <w:lang w:val="fr-FR"/>
        </w:rPr>
        <w:t xml:space="preserve"> </w:t>
      </w:r>
      <w:r>
        <w:rPr>
          <w:kern w:val="22"/>
          <w:szCs w:val="22"/>
          <w:lang w:val="fr-FR"/>
        </w:rPr>
        <w:t>pour partager les expé</w:t>
      </w:r>
      <w:r w:rsidR="00A56A01" w:rsidRPr="005C73D5">
        <w:rPr>
          <w:kern w:val="22"/>
          <w:szCs w:val="22"/>
          <w:lang w:val="fr-FR"/>
        </w:rPr>
        <w:t>rience</w:t>
      </w:r>
      <w:r>
        <w:rPr>
          <w:kern w:val="22"/>
          <w:szCs w:val="22"/>
          <w:lang w:val="fr-FR"/>
        </w:rPr>
        <w:t>s</w:t>
      </w:r>
      <w:r w:rsidR="00A56A01" w:rsidRPr="005C73D5">
        <w:rPr>
          <w:kern w:val="22"/>
          <w:szCs w:val="22"/>
          <w:lang w:val="fr-FR"/>
        </w:rPr>
        <w:t>;</w:t>
      </w:r>
    </w:p>
    <w:p w:rsidR="00A56A01" w:rsidRPr="00B93317" w:rsidRDefault="005C73D5"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sidRPr="00B93317">
        <w:rPr>
          <w:kern w:val="22"/>
          <w:szCs w:val="22"/>
          <w:lang w:val="fr-FR"/>
        </w:rPr>
        <w:t xml:space="preserve">Elaboration d’un exposé à jour avec des notes et un concept </w:t>
      </w:r>
      <w:r w:rsidR="00B93317">
        <w:rPr>
          <w:kern w:val="22"/>
          <w:szCs w:val="22"/>
          <w:lang w:val="fr-FR"/>
        </w:rPr>
        <w:t>pour un webinaire sur le</w:t>
      </w:r>
      <w:r w:rsidR="00AB20B6" w:rsidRPr="00B93317">
        <w:rPr>
          <w:kern w:val="22"/>
          <w:szCs w:val="22"/>
          <w:lang w:val="fr-FR"/>
        </w:rPr>
        <w:t xml:space="preserve"> </w:t>
      </w:r>
      <w:proofErr w:type="spellStart"/>
      <w:r w:rsidR="00A56A01" w:rsidRPr="00B93317">
        <w:rPr>
          <w:kern w:val="22"/>
          <w:szCs w:val="22"/>
          <w:lang w:val="fr-FR"/>
        </w:rPr>
        <w:t>Sourcebook</w:t>
      </w:r>
      <w:proofErr w:type="spellEnd"/>
      <w:r w:rsidR="00A56A01" w:rsidRPr="00B93317">
        <w:rPr>
          <w:kern w:val="22"/>
          <w:szCs w:val="22"/>
          <w:lang w:val="fr-FR"/>
        </w:rPr>
        <w:t xml:space="preserve"> </w:t>
      </w:r>
      <w:r w:rsidR="00B93317">
        <w:rPr>
          <w:kern w:val="22"/>
          <w:szCs w:val="22"/>
          <w:lang w:val="fr-FR"/>
        </w:rPr>
        <w:t>du PNUE sur les possibilités d’accroître la coopé</w:t>
      </w:r>
      <w:r w:rsidR="00A56A01" w:rsidRPr="00B93317">
        <w:rPr>
          <w:kern w:val="22"/>
          <w:szCs w:val="22"/>
          <w:lang w:val="fr-FR"/>
        </w:rPr>
        <w:t xml:space="preserve">ration </w:t>
      </w:r>
      <w:r w:rsidR="00B93317">
        <w:rPr>
          <w:kern w:val="22"/>
          <w:szCs w:val="22"/>
          <w:lang w:val="fr-FR"/>
        </w:rPr>
        <w:t xml:space="preserve">entre les </w:t>
      </w:r>
      <w:r w:rsidR="008B0ED2" w:rsidRPr="00B93317">
        <w:rPr>
          <w:kern w:val="22"/>
          <w:szCs w:val="22"/>
          <w:lang w:val="fr-FR"/>
        </w:rPr>
        <w:t>conventions relatives à la diversité biologique</w:t>
      </w:r>
      <w:r w:rsidR="00A56A01" w:rsidRPr="00B93317">
        <w:rPr>
          <w:kern w:val="22"/>
          <w:szCs w:val="22"/>
          <w:lang w:val="fr-FR"/>
        </w:rPr>
        <w:t xml:space="preserve"> a</w:t>
      </w:r>
      <w:r w:rsidR="00B93317">
        <w:rPr>
          <w:kern w:val="22"/>
          <w:szCs w:val="22"/>
          <w:lang w:val="fr-FR"/>
        </w:rPr>
        <w:t xml:space="preserve">ux niveaux </w:t>
      </w:r>
      <w:r w:rsidR="00A56A01" w:rsidRPr="00B93317">
        <w:rPr>
          <w:kern w:val="22"/>
          <w:szCs w:val="22"/>
          <w:lang w:val="fr-FR"/>
        </w:rPr>
        <w:t xml:space="preserve">national </w:t>
      </w:r>
      <w:r w:rsidR="00B93317">
        <w:rPr>
          <w:kern w:val="22"/>
          <w:szCs w:val="22"/>
          <w:lang w:val="fr-FR"/>
        </w:rPr>
        <w:t>et ré</w:t>
      </w:r>
      <w:r w:rsidR="00A56A01" w:rsidRPr="00B93317">
        <w:rPr>
          <w:kern w:val="22"/>
          <w:szCs w:val="22"/>
          <w:lang w:val="fr-FR"/>
        </w:rPr>
        <w:t xml:space="preserve">gional, </w:t>
      </w:r>
      <w:r w:rsidR="00B93317">
        <w:rPr>
          <w:kern w:val="22"/>
          <w:szCs w:val="22"/>
          <w:lang w:val="fr-FR"/>
        </w:rPr>
        <w:t>afin de faciliter le partage d’expé</w:t>
      </w:r>
      <w:r w:rsidR="00A56A01" w:rsidRPr="00B93317">
        <w:rPr>
          <w:kern w:val="22"/>
          <w:szCs w:val="22"/>
          <w:lang w:val="fr-FR"/>
        </w:rPr>
        <w:t>riences;</w:t>
      </w:r>
    </w:p>
    <w:p w:rsidR="00A56A01" w:rsidRPr="00B93317" w:rsidRDefault="00B93317"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sidRPr="00B93317">
        <w:rPr>
          <w:kern w:val="22"/>
          <w:szCs w:val="22"/>
          <w:lang w:val="fr-FR"/>
        </w:rPr>
        <w:lastRenderedPageBreak/>
        <w:t>Recomma</w:t>
      </w:r>
      <w:r w:rsidR="00A56A01" w:rsidRPr="00B93317">
        <w:rPr>
          <w:kern w:val="22"/>
          <w:szCs w:val="22"/>
          <w:lang w:val="fr-FR"/>
        </w:rPr>
        <w:t xml:space="preserve">ndations </w:t>
      </w:r>
      <w:r w:rsidRPr="00B93317">
        <w:rPr>
          <w:kern w:val="22"/>
          <w:szCs w:val="22"/>
          <w:lang w:val="fr-FR"/>
        </w:rPr>
        <w:t>sur la manière d’améliorer l’accès aux données et aux</w:t>
      </w:r>
      <w:r w:rsidR="00A56A01" w:rsidRPr="00B93317">
        <w:rPr>
          <w:kern w:val="22"/>
          <w:szCs w:val="22"/>
          <w:lang w:val="fr-FR"/>
        </w:rPr>
        <w:t xml:space="preserve"> information</w:t>
      </w:r>
      <w:r w:rsidRPr="00B93317">
        <w:rPr>
          <w:kern w:val="22"/>
          <w:szCs w:val="22"/>
          <w:lang w:val="fr-FR"/>
        </w:rPr>
        <w:t>s</w:t>
      </w:r>
      <w:r w:rsidR="00A56A01" w:rsidRPr="00B93317">
        <w:rPr>
          <w:kern w:val="22"/>
          <w:szCs w:val="22"/>
          <w:lang w:val="fr-FR"/>
        </w:rPr>
        <w:t xml:space="preserve"> relat</w:t>
      </w:r>
      <w:r>
        <w:rPr>
          <w:kern w:val="22"/>
          <w:szCs w:val="22"/>
          <w:lang w:val="fr-FR"/>
        </w:rPr>
        <w:t>ives à la coopé</w:t>
      </w:r>
      <w:r w:rsidR="00A56A01" w:rsidRPr="00B93317">
        <w:rPr>
          <w:kern w:val="22"/>
          <w:szCs w:val="22"/>
          <w:lang w:val="fr-FR"/>
        </w:rPr>
        <w:t xml:space="preserve">ration </w:t>
      </w:r>
      <w:r>
        <w:rPr>
          <w:kern w:val="22"/>
          <w:szCs w:val="22"/>
          <w:lang w:val="fr-FR"/>
        </w:rPr>
        <w:t>et aux s</w:t>
      </w:r>
      <w:r w:rsidR="00A56A01" w:rsidRPr="00B93317">
        <w:rPr>
          <w:kern w:val="22"/>
          <w:szCs w:val="22"/>
          <w:lang w:val="fr-FR"/>
        </w:rPr>
        <w:t xml:space="preserve">ynergies </w:t>
      </w:r>
      <w:r>
        <w:rPr>
          <w:kern w:val="22"/>
          <w:szCs w:val="22"/>
          <w:lang w:val="fr-FR"/>
        </w:rPr>
        <w:t>entre les</w:t>
      </w:r>
      <w:r w:rsidR="00A56A01" w:rsidRPr="00B93317">
        <w:rPr>
          <w:kern w:val="22"/>
          <w:szCs w:val="22"/>
          <w:lang w:val="fr-FR"/>
        </w:rPr>
        <w:t xml:space="preserve"> </w:t>
      </w:r>
      <w:r w:rsidR="008B0ED2" w:rsidRPr="00B93317">
        <w:rPr>
          <w:kern w:val="22"/>
          <w:szCs w:val="22"/>
          <w:lang w:val="fr-FR"/>
        </w:rPr>
        <w:t>conventions relatives à la diversité biologique</w:t>
      </w:r>
      <w:r w:rsidR="00A56A01" w:rsidRPr="00B93317">
        <w:rPr>
          <w:kern w:val="22"/>
          <w:szCs w:val="22"/>
          <w:lang w:val="fr-FR"/>
        </w:rPr>
        <w:t>;</w:t>
      </w:r>
    </w:p>
    <w:p w:rsidR="00A56A01" w:rsidRPr="00C75D40"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lang w:val="fr-FR"/>
        </w:rPr>
      </w:pPr>
      <w:r w:rsidRPr="00C75D40">
        <w:rPr>
          <w:kern w:val="22"/>
          <w:szCs w:val="22"/>
          <w:lang w:val="fr-FR"/>
        </w:rPr>
        <w:t>Recomm</w:t>
      </w:r>
      <w:r w:rsidR="00B93317" w:rsidRPr="00C75D40">
        <w:rPr>
          <w:kern w:val="22"/>
          <w:szCs w:val="22"/>
          <w:lang w:val="fr-FR"/>
        </w:rPr>
        <w:t xml:space="preserve">andations sur </w:t>
      </w:r>
      <w:r w:rsidR="00C75D40" w:rsidRPr="00C75D40">
        <w:rPr>
          <w:kern w:val="22"/>
          <w:szCs w:val="22"/>
          <w:lang w:val="fr-FR"/>
        </w:rPr>
        <w:t>les mesures éventuelles suivantes pour contribuer à l’application de la dé</w:t>
      </w:r>
      <w:r w:rsidRPr="00C75D40">
        <w:rPr>
          <w:kern w:val="22"/>
          <w:szCs w:val="22"/>
          <w:lang w:val="fr-FR"/>
        </w:rPr>
        <w:t>cision XIII/24</w:t>
      </w:r>
      <w:r w:rsidR="00C75D40">
        <w:rPr>
          <w:kern w:val="22"/>
          <w:szCs w:val="22"/>
          <w:lang w:val="fr-FR"/>
        </w:rPr>
        <w:t xml:space="preserve"> de la CDB</w:t>
      </w:r>
      <w:r w:rsidRPr="00C75D40">
        <w:rPr>
          <w:kern w:val="22"/>
          <w:szCs w:val="22"/>
          <w:lang w:val="fr-FR"/>
        </w:rPr>
        <w:t>.</w:t>
      </w:r>
    </w:p>
    <w:p w:rsidR="00A56A01" w:rsidRPr="00D8279A" w:rsidRDefault="00C75D40" w:rsidP="00883A1C">
      <w:pPr>
        <w:pStyle w:val="Para1"/>
        <w:suppressLineNumbers/>
        <w:suppressAutoHyphens/>
        <w:kinsoku w:val="0"/>
        <w:overflowPunct w:val="0"/>
        <w:autoSpaceDE w:val="0"/>
        <w:autoSpaceDN w:val="0"/>
        <w:adjustRightInd w:val="0"/>
        <w:snapToGrid w:val="0"/>
        <w:spacing w:line="238" w:lineRule="auto"/>
        <w:rPr>
          <w:kern w:val="22"/>
          <w:szCs w:val="22"/>
          <w:lang w:val="fr-FR"/>
        </w:rPr>
      </w:pPr>
      <w:r w:rsidRPr="00C75D40">
        <w:rPr>
          <w:kern w:val="22"/>
          <w:szCs w:val="22"/>
          <w:lang w:val="fr-FR"/>
        </w:rPr>
        <w:t>Des informations sur les objectifs et résultats de ces travaux</w:t>
      </w:r>
      <w:r w:rsidR="009D3740" w:rsidRPr="00C75D40">
        <w:rPr>
          <w:kern w:val="22"/>
          <w:szCs w:val="22"/>
          <w:lang w:val="fr-FR"/>
        </w:rPr>
        <w:t xml:space="preserve">, </w:t>
      </w:r>
      <w:r w:rsidRPr="00C75D40">
        <w:rPr>
          <w:kern w:val="22"/>
          <w:szCs w:val="22"/>
          <w:lang w:val="fr-FR"/>
        </w:rPr>
        <w:t>y compris son rapport intitulé</w:t>
      </w:r>
      <w:r w:rsidR="009D3740" w:rsidRPr="00C75D40">
        <w:rPr>
          <w:kern w:val="22"/>
          <w:szCs w:val="22"/>
          <w:lang w:val="fr-FR"/>
        </w:rPr>
        <w:t xml:space="preserve"> “</w:t>
      </w:r>
      <w:proofErr w:type="spellStart"/>
      <w:r w:rsidR="009D3740" w:rsidRPr="00C75D40">
        <w:rPr>
          <w:kern w:val="22"/>
          <w:szCs w:val="22"/>
          <w:lang w:val="fr-FR"/>
        </w:rPr>
        <w:t>Recommendations</w:t>
      </w:r>
      <w:proofErr w:type="spellEnd"/>
      <w:r w:rsidR="009D3740" w:rsidRPr="00C75D40">
        <w:rPr>
          <w:kern w:val="22"/>
          <w:szCs w:val="22"/>
          <w:lang w:val="fr-FR"/>
        </w:rPr>
        <w:t xml:space="preserve"> on possible </w:t>
      </w:r>
      <w:proofErr w:type="spellStart"/>
      <w:r w:rsidR="009D3740" w:rsidRPr="00C75D40">
        <w:rPr>
          <w:kern w:val="22"/>
          <w:szCs w:val="22"/>
          <w:lang w:val="fr-FR"/>
        </w:rPr>
        <w:t>next</w:t>
      </w:r>
      <w:proofErr w:type="spellEnd"/>
      <w:r w:rsidR="009D3740" w:rsidRPr="00C75D40">
        <w:rPr>
          <w:kern w:val="22"/>
          <w:szCs w:val="22"/>
          <w:lang w:val="fr-FR"/>
        </w:rPr>
        <w:t xml:space="preserve"> </w:t>
      </w:r>
      <w:proofErr w:type="spellStart"/>
      <w:r w:rsidR="009D3740" w:rsidRPr="00C75D40">
        <w:rPr>
          <w:kern w:val="22"/>
          <w:szCs w:val="22"/>
          <w:lang w:val="fr-FR"/>
        </w:rPr>
        <w:t>steps</w:t>
      </w:r>
      <w:proofErr w:type="spellEnd"/>
      <w:r w:rsidR="009D3740" w:rsidRPr="00C75D40">
        <w:rPr>
          <w:kern w:val="22"/>
          <w:szCs w:val="22"/>
          <w:lang w:val="fr-FR"/>
        </w:rPr>
        <w:t xml:space="preserve"> and </w:t>
      </w:r>
      <w:proofErr w:type="spellStart"/>
      <w:r w:rsidR="009D3740" w:rsidRPr="00C75D40">
        <w:rPr>
          <w:kern w:val="22"/>
          <w:szCs w:val="22"/>
          <w:lang w:val="fr-FR"/>
        </w:rPr>
        <w:t>activities</w:t>
      </w:r>
      <w:proofErr w:type="spellEnd"/>
      <w:r w:rsidR="009D3740" w:rsidRPr="00C75D40">
        <w:rPr>
          <w:kern w:val="22"/>
          <w:szCs w:val="22"/>
          <w:lang w:val="fr-FR"/>
        </w:rPr>
        <w:t xml:space="preserve"> to </w:t>
      </w:r>
      <w:proofErr w:type="spellStart"/>
      <w:r w:rsidR="009D3740" w:rsidRPr="00C75D40">
        <w:rPr>
          <w:kern w:val="22"/>
          <w:szCs w:val="22"/>
          <w:lang w:val="fr-FR"/>
        </w:rPr>
        <w:t>enhance</w:t>
      </w:r>
      <w:proofErr w:type="spellEnd"/>
      <w:r w:rsidR="009D3740" w:rsidRPr="00C75D40">
        <w:rPr>
          <w:kern w:val="22"/>
          <w:szCs w:val="22"/>
          <w:lang w:val="fr-FR"/>
        </w:rPr>
        <w:t xml:space="preserve"> </w:t>
      </w:r>
      <w:proofErr w:type="spellStart"/>
      <w:r w:rsidR="009D3740" w:rsidRPr="00C75D40">
        <w:rPr>
          <w:kern w:val="22"/>
          <w:szCs w:val="22"/>
          <w:lang w:val="fr-FR"/>
        </w:rPr>
        <w:t>cooperation</w:t>
      </w:r>
      <w:proofErr w:type="spellEnd"/>
      <w:r w:rsidR="009D3740" w:rsidRPr="00C75D40">
        <w:rPr>
          <w:kern w:val="22"/>
          <w:szCs w:val="22"/>
          <w:lang w:val="fr-FR"/>
        </w:rPr>
        <w:t xml:space="preserve"> and collaboration </w:t>
      </w:r>
      <w:proofErr w:type="spellStart"/>
      <w:r w:rsidR="009D3740" w:rsidRPr="00C75D40">
        <w:rPr>
          <w:kern w:val="22"/>
          <w:szCs w:val="22"/>
          <w:lang w:val="fr-FR"/>
        </w:rPr>
        <w:t>among</w:t>
      </w:r>
      <w:proofErr w:type="spellEnd"/>
      <w:r w:rsidR="009D3740" w:rsidRPr="00C75D40">
        <w:rPr>
          <w:kern w:val="22"/>
          <w:szCs w:val="22"/>
          <w:lang w:val="fr-FR"/>
        </w:rPr>
        <w:t xml:space="preserve"> the </w:t>
      </w:r>
      <w:proofErr w:type="spellStart"/>
      <w:r>
        <w:rPr>
          <w:kern w:val="22"/>
          <w:szCs w:val="22"/>
          <w:lang w:val="fr-FR"/>
        </w:rPr>
        <w:t>biological</w:t>
      </w:r>
      <w:proofErr w:type="spellEnd"/>
      <w:r>
        <w:rPr>
          <w:kern w:val="22"/>
          <w:szCs w:val="22"/>
          <w:lang w:val="fr-FR"/>
        </w:rPr>
        <w:t xml:space="preserve"> </w:t>
      </w:r>
      <w:proofErr w:type="spellStart"/>
      <w:r>
        <w:rPr>
          <w:kern w:val="22"/>
          <w:szCs w:val="22"/>
          <w:lang w:val="fr-FR"/>
        </w:rPr>
        <w:t>related</w:t>
      </w:r>
      <w:proofErr w:type="spellEnd"/>
      <w:r>
        <w:rPr>
          <w:kern w:val="22"/>
          <w:szCs w:val="22"/>
          <w:lang w:val="fr-FR"/>
        </w:rPr>
        <w:t xml:space="preserve"> </w:t>
      </w:r>
      <w:r w:rsidR="008B0ED2" w:rsidRPr="00C75D40">
        <w:rPr>
          <w:kern w:val="22"/>
          <w:szCs w:val="22"/>
          <w:lang w:val="fr-FR"/>
        </w:rPr>
        <w:t>conventions</w:t>
      </w:r>
      <w:r w:rsidR="009D3740" w:rsidRPr="00C75D40">
        <w:rPr>
          <w:kern w:val="22"/>
          <w:szCs w:val="22"/>
          <w:lang w:val="fr-FR"/>
        </w:rPr>
        <w:t xml:space="preserve">, and </w:t>
      </w:r>
      <w:proofErr w:type="spellStart"/>
      <w:r w:rsidR="009D3740" w:rsidRPr="00C75D40">
        <w:rPr>
          <w:kern w:val="22"/>
          <w:szCs w:val="22"/>
          <w:lang w:val="fr-FR"/>
        </w:rPr>
        <w:t>delivering</w:t>
      </w:r>
      <w:proofErr w:type="spellEnd"/>
      <w:r w:rsidR="009D3740" w:rsidRPr="00C75D40">
        <w:rPr>
          <w:kern w:val="22"/>
          <w:szCs w:val="22"/>
          <w:lang w:val="fr-FR"/>
        </w:rPr>
        <w:t xml:space="preserve"> on COP </w:t>
      </w:r>
      <w:proofErr w:type="spellStart"/>
      <w:r w:rsidR="009D3740" w:rsidRPr="00C75D40">
        <w:rPr>
          <w:kern w:val="22"/>
          <w:szCs w:val="22"/>
          <w:lang w:val="fr-FR"/>
        </w:rPr>
        <w:t>decision</w:t>
      </w:r>
      <w:proofErr w:type="spellEnd"/>
      <w:r w:rsidR="009D3740" w:rsidRPr="00C75D40">
        <w:rPr>
          <w:kern w:val="22"/>
          <w:szCs w:val="22"/>
          <w:lang w:val="fr-FR"/>
        </w:rPr>
        <w:t xml:space="preserve"> XIII/24”, </w:t>
      </w:r>
      <w:r>
        <w:rPr>
          <w:kern w:val="22"/>
          <w:szCs w:val="22"/>
          <w:lang w:val="fr-FR"/>
        </w:rPr>
        <w:t xml:space="preserve">sont fournies dans le document d’information </w:t>
      </w:r>
      <w:r w:rsidR="009D3740" w:rsidRPr="00C75D40">
        <w:rPr>
          <w:kern w:val="22"/>
          <w:szCs w:val="22"/>
          <w:lang w:val="fr-FR"/>
        </w:rPr>
        <w:t xml:space="preserve">CBD/SBI/2/INF/13. </w:t>
      </w:r>
      <w:r>
        <w:rPr>
          <w:kern w:val="22"/>
          <w:szCs w:val="22"/>
          <w:lang w:val="fr-FR"/>
        </w:rPr>
        <w:t>Des éléments de ce travail sont complémenté</w:t>
      </w:r>
      <w:r w:rsidR="00993755">
        <w:rPr>
          <w:kern w:val="22"/>
          <w:szCs w:val="22"/>
          <w:lang w:val="fr-FR"/>
        </w:rPr>
        <w:t>s</w:t>
      </w:r>
      <w:r>
        <w:rPr>
          <w:kern w:val="22"/>
          <w:szCs w:val="22"/>
          <w:lang w:val="fr-FR"/>
        </w:rPr>
        <w:t xml:space="preserve"> et consolidés par le PNUE au moyen d’un projet qui vise à renforcer les </w:t>
      </w:r>
      <w:r w:rsidR="00A56A01" w:rsidRPr="00C75D40">
        <w:rPr>
          <w:kern w:val="22"/>
          <w:szCs w:val="22"/>
          <w:lang w:val="fr-FR"/>
        </w:rPr>
        <w:t xml:space="preserve">synergies </w:t>
      </w:r>
      <w:r>
        <w:rPr>
          <w:kern w:val="22"/>
          <w:szCs w:val="22"/>
          <w:lang w:val="fr-FR"/>
        </w:rPr>
        <w:t>et appuyer la mise en œuvre des décisions XIII/24 (coopé</w:t>
      </w:r>
      <w:r w:rsidR="00A56A01" w:rsidRPr="00C75D40">
        <w:rPr>
          <w:kern w:val="22"/>
          <w:szCs w:val="22"/>
          <w:lang w:val="fr-FR"/>
        </w:rPr>
        <w:t>ration), XIII/22 (communications), XIII/23 (</w:t>
      </w:r>
      <w:r>
        <w:rPr>
          <w:kern w:val="22"/>
          <w:szCs w:val="22"/>
          <w:lang w:val="fr-FR"/>
        </w:rPr>
        <w:t>renforcement des capacités</w:t>
      </w:r>
      <w:r w:rsidR="00A56A01" w:rsidRPr="00C75D40">
        <w:rPr>
          <w:kern w:val="22"/>
          <w:szCs w:val="22"/>
          <w:lang w:val="fr-FR"/>
        </w:rPr>
        <w:t xml:space="preserve">) </w:t>
      </w:r>
      <w:r>
        <w:rPr>
          <w:kern w:val="22"/>
          <w:szCs w:val="22"/>
          <w:lang w:val="fr-FR"/>
        </w:rPr>
        <w:t>et</w:t>
      </w:r>
      <w:r w:rsidR="00A56A01" w:rsidRPr="00C75D40">
        <w:rPr>
          <w:kern w:val="22"/>
          <w:szCs w:val="22"/>
          <w:lang w:val="fr-FR"/>
        </w:rPr>
        <w:t xml:space="preserve"> XIII/27 (</w:t>
      </w:r>
      <w:r>
        <w:rPr>
          <w:kern w:val="22"/>
          <w:szCs w:val="22"/>
          <w:lang w:val="fr-FR"/>
        </w:rPr>
        <w:t>rapports nationaux</w:t>
      </w:r>
      <w:r w:rsidR="00A56A01" w:rsidRPr="00C75D40">
        <w:rPr>
          <w:kern w:val="22"/>
          <w:szCs w:val="22"/>
          <w:lang w:val="fr-FR"/>
        </w:rPr>
        <w:t>)</w:t>
      </w:r>
      <w:r>
        <w:rPr>
          <w:kern w:val="22"/>
          <w:szCs w:val="22"/>
          <w:lang w:val="fr-FR"/>
        </w:rPr>
        <w:t xml:space="preserve"> de la CDB</w:t>
      </w:r>
      <w:r w:rsidR="00A56A01" w:rsidRPr="00C75D40">
        <w:rPr>
          <w:kern w:val="22"/>
          <w:szCs w:val="22"/>
          <w:lang w:val="fr-FR"/>
        </w:rPr>
        <w:t>, a</w:t>
      </w:r>
      <w:r w:rsidR="00993755">
        <w:rPr>
          <w:kern w:val="22"/>
          <w:szCs w:val="22"/>
          <w:lang w:val="fr-FR"/>
        </w:rPr>
        <w:t>insi que de</w:t>
      </w:r>
      <w:r w:rsidR="00A56A01" w:rsidRPr="00C75D40">
        <w:rPr>
          <w:kern w:val="22"/>
          <w:szCs w:val="22"/>
          <w:lang w:val="fr-FR"/>
        </w:rPr>
        <w:t xml:space="preserve">s </w:t>
      </w:r>
      <w:r w:rsidR="00993755">
        <w:rPr>
          <w:kern w:val="22"/>
          <w:szCs w:val="22"/>
          <w:lang w:val="fr-FR"/>
        </w:rPr>
        <w:t>résolutions apparentées de l’Assemblée des Nations Unies pour l’environnement, e</w:t>
      </w:r>
      <w:r w:rsidR="00F45758">
        <w:rPr>
          <w:kern w:val="22"/>
          <w:szCs w:val="22"/>
          <w:lang w:val="fr-FR"/>
        </w:rPr>
        <w:t>n</w:t>
      </w:r>
      <w:r w:rsidR="00993755">
        <w:rPr>
          <w:kern w:val="22"/>
          <w:szCs w:val="22"/>
          <w:lang w:val="fr-FR"/>
        </w:rPr>
        <w:t xml:space="preserve"> particulier la ré</w:t>
      </w:r>
      <w:r w:rsidR="00A56A01" w:rsidRPr="00C75D40">
        <w:rPr>
          <w:kern w:val="22"/>
          <w:szCs w:val="22"/>
          <w:lang w:val="fr-FR"/>
        </w:rPr>
        <w:t xml:space="preserve">solution 2/17, </w:t>
      </w:r>
      <w:r w:rsidR="00993755">
        <w:rPr>
          <w:kern w:val="22"/>
          <w:szCs w:val="22"/>
          <w:lang w:val="fr-FR"/>
        </w:rPr>
        <w:t>et les dé</w:t>
      </w:r>
      <w:r w:rsidR="00A56A01" w:rsidRPr="00C75D40">
        <w:rPr>
          <w:kern w:val="22"/>
          <w:szCs w:val="22"/>
          <w:lang w:val="fr-FR"/>
        </w:rPr>
        <w:t xml:space="preserve">cisions </w:t>
      </w:r>
      <w:r w:rsidR="00993755">
        <w:rPr>
          <w:kern w:val="22"/>
          <w:szCs w:val="22"/>
          <w:lang w:val="fr-FR"/>
        </w:rPr>
        <w:t>d’autres</w:t>
      </w:r>
      <w:r w:rsidR="00A56A01" w:rsidRPr="00C75D40">
        <w:rPr>
          <w:kern w:val="22"/>
          <w:szCs w:val="22"/>
          <w:lang w:val="fr-FR"/>
        </w:rPr>
        <w:t xml:space="preserve"> </w:t>
      </w:r>
      <w:r w:rsidR="008B0ED2" w:rsidRPr="00C75D40">
        <w:rPr>
          <w:kern w:val="22"/>
          <w:szCs w:val="22"/>
          <w:lang w:val="fr-FR"/>
        </w:rPr>
        <w:t>conventions relatives à la diversité biologique</w:t>
      </w:r>
      <w:r w:rsidR="00A56A01" w:rsidRPr="00C75D40">
        <w:rPr>
          <w:kern w:val="22"/>
          <w:szCs w:val="22"/>
          <w:lang w:val="fr-FR"/>
        </w:rPr>
        <w:t xml:space="preserve">. </w:t>
      </w:r>
      <w:r w:rsidR="00993755">
        <w:rPr>
          <w:kern w:val="22"/>
          <w:szCs w:val="22"/>
          <w:lang w:val="fr-FR"/>
        </w:rPr>
        <w:t>De plus amples</w:t>
      </w:r>
      <w:r w:rsidR="000135FD" w:rsidRPr="00D8279A">
        <w:rPr>
          <w:kern w:val="22"/>
          <w:szCs w:val="22"/>
          <w:lang w:val="fr-FR"/>
        </w:rPr>
        <w:t xml:space="preserve"> information</w:t>
      </w:r>
      <w:r w:rsidR="00993755" w:rsidRPr="00D8279A">
        <w:rPr>
          <w:kern w:val="22"/>
          <w:szCs w:val="22"/>
          <w:lang w:val="fr-FR"/>
        </w:rPr>
        <w:t>s sont fournies dans le document d’</w:t>
      </w:r>
      <w:r w:rsidR="00A56A01" w:rsidRPr="00D8279A">
        <w:rPr>
          <w:kern w:val="22"/>
          <w:szCs w:val="22"/>
          <w:lang w:val="fr-FR"/>
        </w:rPr>
        <w:t>information CBD/SBI/2/INF/13.</w:t>
      </w:r>
    </w:p>
    <w:p w:rsidR="00B85CDA" w:rsidRPr="002A2127" w:rsidRDefault="00D8279A" w:rsidP="00883A1C">
      <w:pPr>
        <w:pStyle w:val="Para1"/>
        <w:suppressLineNumbers/>
        <w:suppressAutoHyphens/>
        <w:kinsoku w:val="0"/>
        <w:overflowPunct w:val="0"/>
        <w:autoSpaceDE w:val="0"/>
        <w:autoSpaceDN w:val="0"/>
        <w:adjustRightInd w:val="0"/>
        <w:snapToGrid w:val="0"/>
        <w:spacing w:line="238" w:lineRule="auto"/>
        <w:rPr>
          <w:kern w:val="22"/>
          <w:szCs w:val="22"/>
          <w:lang w:val="fr-FR"/>
        </w:rPr>
      </w:pPr>
      <w:r>
        <w:rPr>
          <w:kern w:val="22"/>
          <w:szCs w:val="22"/>
          <w:lang w:val="fr-FR"/>
        </w:rPr>
        <w:t xml:space="preserve">Plusieurs </w:t>
      </w:r>
      <w:r w:rsidR="00B85CDA" w:rsidRPr="00D8279A">
        <w:rPr>
          <w:kern w:val="22"/>
          <w:szCs w:val="22"/>
          <w:lang w:val="fr-FR"/>
        </w:rPr>
        <w:t xml:space="preserve">Parties </w:t>
      </w:r>
      <w:r w:rsidRPr="00D8279A">
        <w:rPr>
          <w:kern w:val="22"/>
          <w:szCs w:val="22"/>
          <w:lang w:val="fr-FR"/>
        </w:rPr>
        <w:t>à la</w:t>
      </w:r>
      <w:r w:rsidR="00DB0A37" w:rsidRPr="00D8279A">
        <w:rPr>
          <w:kern w:val="22"/>
          <w:szCs w:val="22"/>
          <w:lang w:val="fr-FR"/>
        </w:rPr>
        <w:t xml:space="preserve"> Convention </w:t>
      </w:r>
      <w:r w:rsidRPr="00D8279A">
        <w:rPr>
          <w:kern w:val="22"/>
          <w:szCs w:val="22"/>
          <w:lang w:val="fr-FR"/>
        </w:rPr>
        <w:t>ont contribué aux études de cas susmentionnées</w:t>
      </w:r>
      <w:r w:rsidR="00B85CDA" w:rsidRPr="00D8279A">
        <w:rPr>
          <w:kern w:val="22"/>
          <w:szCs w:val="22"/>
          <w:lang w:val="fr-FR"/>
        </w:rPr>
        <w:t xml:space="preserve">. </w:t>
      </w:r>
      <w:r>
        <w:rPr>
          <w:kern w:val="22"/>
          <w:szCs w:val="22"/>
          <w:lang w:val="fr-FR"/>
        </w:rPr>
        <w:t xml:space="preserve">Plusieurs autres </w:t>
      </w:r>
      <w:r w:rsidR="00B85CDA" w:rsidRPr="00D8279A">
        <w:rPr>
          <w:kern w:val="22"/>
          <w:szCs w:val="22"/>
          <w:lang w:val="fr-FR"/>
        </w:rPr>
        <w:t>institutions</w:t>
      </w:r>
      <w:r w:rsidRPr="00D8279A">
        <w:rPr>
          <w:kern w:val="22"/>
          <w:szCs w:val="22"/>
          <w:lang w:val="fr-FR"/>
        </w:rPr>
        <w:t xml:space="preserve"> nationales ont apporté un contenu aux recueils d’orientations et en ont fait un examen. </w:t>
      </w:r>
      <w:r>
        <w:rPr>
          <w:kern w:val="22"/>
          <w:szCs w:val="22"/>
          <w:lang w:val="fr-FR"/>
        </w:rPr>
        <w:t xml:space="preserve"> </w:t>
      </w:r>
      <w:r w:rsidRPr="00D8279A">
        <w:rPr>
          <w:kern w:val="22"/>
          <w:szCs w:val="22"/>
          <w:lang w:val="fr-FR"/>
        </w:rPr>
        <w:t>Trois</w:t>
      </w:r>
      <w:r w:rsidR="00B85CDA" w:rsidRPr="00D8279A">
        <w:rPr>
          <w:kern w:val="22"/>
          <w:szCs w:val="22"/>
          <w:lang w:val="fr-FR"/>
        </w:rPr>
        <w:t xml:space="preserve"> Parties </w:t>
      </w:r>
      <w:r w:rsidRPr="00D8279A">
        <w:rPr>
          <w:kern w:val="22"/>
          <w:szCs w:val="22"/>
          <w:lang w:val="fr-FR"/>
        </w:rPr>
        <w:t>ont fait des contributions volontaires, que ce soit par l’intermédiaire du</w:t>
      </w:r>
      <w:r w:rsidR="0031333B" w:rsidRPr="00D8279A">
        <w:rPr>
          <w:bCs/>
          <w:kern w:val="22"/>
          <w:szCs w:val="22"/>
          <w:lang w:val="fr-FR"/>
        </w:rPr>
        <w:t xml:space="preserve"> </w:t>
      </w:r>
      <w:r w:rsidRPr="00D8279A">
        <w:rPr>
          <w:kern w:val="22"/>
          <w:szCs w:val="22"/>
          <w:lang w:val="fr-FR"/>
        </w:rPr>
        <w:t>Secré</w:t>
      </w:r>
      <w:r w:rsidR="00B85CDA" w:rsidRPr="00D8279A">
        <w:rPr>
          <w:kern w:val="22"/>
          <w:szCs w:val="22"/>
          <w:lang w:val="fr-FR"/>
        </w:rPr>
        <w:t xml:space="preserve">tariat </w:t>
      </w:r>
      <w:r>
        <w:rPr>
          <w:bCs/>
          <w:kern w:val="22"/>
          <w:szCs w:val="22"/>
          <w:lang w:val="fr-FR"/>
        </w:rPr>
        <w:t>de la</w:t>
      </w:r>
      <w:r w:rsidR="0031333B" w:rsidRPr="00D8279A">
        <w:rPr>
          <w:bCs/>
          <w:kern w:val="22"/>
          <w:szCs w:val="22"/>
          <w:lang w:val="fr-FR"/>
        </w:rPr>
        <w:t xml:space="preserve"> Convention </w:t>
      </w:r>
      <w:r w:rsidR="00B85CDA" w:rsidRPr="00D8279A">
        <w:rPr>
          <w:kern w:val="22"/>
          <w:szCs w:val="22"/>
          <w:lang w:val="fr-FR"/>
        </w:rPr>
        <w:t>o</w:t>
      </w:r>
      <w:r>
        <w:rPr>
          <w:kern w:val="22"/>
          <w:szCs w:val="22"/>
          <w:lang w:val="fr-FR"/>
        </w:rPr>
        <w:t>u du PNUE</w:t>
      </w:r>
      <w:r w:rsidR="00B85CDA" w:rsidRPr="00D8279A">
        <w:rPr>
          <w:kern w:val="22"/>
          <w:szCs w:val="22"/>
          <w:lang w:val="fr-FR"/>
        </w:rPr>
        <w:t xml:space="preserve">, </w:t>
      </w:r>
      <w:r w:rsidR="002A2127">
        <w:rPr>
          <w:kern w:val="22"/>
          <w:szCs w:val="22"/>
          <w:lang w:val="fr-FR"/>
        </w:rPr>
        <w:t>à l’appui de la réalisation d’activités pertinentes</w:t>
      </w:r>
      <w:r w:rsidR="00B85CDA" w:rsidRPr="00D8279A">
        <w:rPr>
          <w:kern w:val="22"/>
          <w:szCs w:val="22"/>
          <w:lang w:val="fr-FR"/>
        </w:rPr>
        <w:t xml:space="preserve">. </w:t>
      </w:r>
      <w:r w:rsidR="002A2127" w:rsidRPr="002A2127">
        <w:rPr>
          <w:kern w:val="22"/>
          <w:szCs w:val="22"/>
          <w:lang w:val="fr-FR"/>
        </w:rPr>
        <w:t>Enfin</w:t>
      </w:r>
      <w:r w:rsidR="00B53743" w:rsidRPr="002A2127">
        <w:rPr>
          <w:kern w:val="22"/>
          <w:szCs w:val="22"/>
          <w:lang w:val="fr-FR"/>
        </w:rPr>
        <w:t xml:space="preserve">, </w:t>
      </w:r>
      <w:r w:rsidR="002A2127" w:rsidRPr="002A2127">
        <w:rPr>
          <w:kern w:val="22"/>
          <w:szCs w:val="22"/>
          <w:lang w:val="fr-FR"/>
        </w:rPr>
        <w:t xml:space="preserve">quelques </w:t>
      </w:r>
      <w:r w:rsidR="00B85CDA" w:rsidRPr="002A2127">
        <w:rPr>
          <w:kern w:val="22"/>
          <w:szCs w:val="22"/>
          <w:lang w:val="fr-FR"/>
        </w:rPr>
        <w:t xml:space="preserve">Parties </w:t>
      </w:r>
      <w:r w:rsidR="002A2127" w:rsidRPr="002A2127">
        <w:rPr>
          <w:kern w:val="22"/>
          <w:szCs w:val="22"/>
          <w:lang w:val="fr-FR"/>
        </w:rPr>
        <w:t>ont contribué à l’obtention de la réciprocité dans les dé</w:t>
      </w:r>
      <w:r w:rsidR="00B85CDA" w:rsidRPr="002A2127">
        <w:rPr>
          <w:kern w:val="22"/>
          <w:szCs w:val="22"/>
          <w:lang w:val="fr-FR"/>
        </w:rPr>
        <w:t xml:space="preserve">cisions </w:t>
      </w:r>
      <w:r w:rsidR="002A2127">
        <w:rPr>
          <w:kern w:val="22"/>
          <w:szCs w:val="22"/>
          <w:lang w:val="fr-FR"/>
        </w:rPr>
        <w:t xml:space="preserve">des organes directeurs d’autres </w:t>
      </w:r>
      <w:r w:rsidR="008B0ED2" w:rsidRPr="002A2127">
        <w:rPr>
          <w:kern w:val="22"/>
          <w:szCs w:val="22"/>
          <w:lang w:val="fr-FR"/>
        </w:rPr>
        <w:t>conventions relatives à la diversité biologique</w:t>
      </w:r>
      <w:r w:rsidR="002A2127">
        <w:rPr>
          <w:kern w:val="22"/>
          <w:szCs w:val="22"/>
          <w:lang w:val="fr-FR"/>
        </w:rPr>
        <w:t xml:space="preserve"> comme par exemple la ré</w:t>
      </w:r>
      <w:r w:rsidR="00B85CDA" w:rsidRPr="002A2127">
        <w:rPr>
          <w:kern w:val="22"/>
          <w:szCs w:val="22"/>
          <w:lang w:val="fr-FR"/>
        </w:rPr>
        <w:t xml:space="preserve">solution </w:t>
      </w:r>
      <w:r w:rsidR="002A2127">
        <w:rPr>
          <w:kern w:val="22"/>
          <w:szCs w:val="22"/>
          <w:lang w:val="fr-FR"/>
        </w:rPr>
        <w:t>sur les</w:t>
      </w:r>
      <w:r w:rsidR="00B85CDA" w:rsidRPr="002A2127">
        <w:rPr>
          <w:kern w:val="22"/>
          <w:szCs w:val="22"/>
          <w:lang w:val="fr-FR"/>
        </w:rPr>
        <w:t xml:space="preserve"> synergies </w:t>
      </w:r>
      <w:r w:rsidR="002A2127">
        <w:rPr>
          <w:kern w:val="22"/>
          <w:szCs w:val="22"/>
          <w:lang w:val="fr-FR"/>
        </w:rPr>
        <w:t xml:space="preserve">et les partenariats adoptée à sa douzième réunion par la </w:t>
      </w:r>
      <w:r w:rsidR="00031441" w:rsidRPr="002A2127">
        <w:rPr>
          <w:kern w:val="22"/>
          <w:szCs w:val="22"/>
          <w:lang w:val="fr-FR"/>
        </w:rPr>
        <w:t>Conférence des Parties</w:t>
      </w:r>
      <w:r w:rsidR="0031333B" w:rsidRPr="002A2127">
        <w:rPr>
          <w:bCs/>
          <w:kern w:val="22"/>
          <w:szCs w:val="22"/>
          <w:lang w:val="fr-FR"/>
        </w:rPr>
        <w:t xml:space="preserve"> </w:t>
      </w:r>
      <w:r w:rsidR="002A2127">
        <w:rPr>
          <w:bCs/>
          <w:kern w:val="22"/>
          <w:szCs w:val="22"/>
          <w:lang w:val="fr-FR"/>
        </w:rPr>
        <w:t>à la</w:t>
      </w:r>
      <w:r w:rsidR="0031333B" w:rsidRPr="002A2127">
        <w:rPr>
          <w:bCs/>
          <w:kern w:val="22"/>
          <w:szCs w:val="22"/>
          <w:lang w:val="fr-FR"/>
        </w:rPr>
        <w:t xml:space="preserve"> </w:t>
      </w:r>
      <w:r w:rsidR="00B85CDA" w:rsidRPr="002A2127">
        <w:rPr>
          <w:kern w:val="22"/>
          <w:szCs w:val="22"/>
          <w:lang w:val="fr-FR"/>
        </w:rPr>
        <w:t>CMS (section II</w:t>
      </w:r>
      <w:r w:rsidR="0031333B" w:rsidRPr="002A2127">
        <w:rPr>
          <w:bCs/>
          <w:kern w:val="22"/>
          <w:szCs w:val="22"/>
          <w:lang w:val="fr-FR"/>
        </w:rPr>
        <w:t>,</w:t>
      </w:r>
      <w:r w:rsidR="00B85CDA" w:rsidRPr="002A2127">
        <w:rPr>
          <w:kern w:val="22"/>
          <w:szCs w:val="22"/>
          <w:lang w:val="fr-FR"/>
        </w:rPr>
        <w:t xml:space="preserve"> A, </w:t>
      </w:r>
      <w:r w:rsidR="002A2127">
        <w:rPr>
          <w:kern w:val="22"/>
          <w:szCs w:val="22"/>
          <w:lang w:val="fr-FR"/>
        </w:rPr>
        <w:t>ci-dessus</w:t>
      </w:r>
      <w:r w:rsidR="00B85CDA" w:rsidRPr="002A2127">
        <w:rPr>
          <w:kern w:val="22"/>
          <w:szCs w:val="22"/>
          <w:lang w:val="fr-FR"/>
        </w:rPr>
        <w:t>).</w:t>
      </w:r>
    </w:p>
    <w:p w:rsidR="007770D1" w:rsidRPr="004E1D46" w:rsidRDefault="004E1D46" w:rsidP="00883A1C">
      <w:pPr>
        <w:keepNext/>
        <w:numPr>
          <w:ilvl w:val="0"/>
          <w:numId w:val="63"/>
        </w:numPr>
        <w:suppressLineNumbers/>
        <w:suppressAutoHyphens/>
        <w:kinsoku w:val="0"/>
        <w:overflowPunct w:val="0"/>
        <w:autoSpaceDE w:val="0"/>
        <w:autoSpaceDN w:val="0"/>
        <w:adjustRightInd w:val="0"/>
        <w:snapToGrid w:val="0"/>
        <w:spacing w:before="120" w:after="120" w:line="238" w:lineRule="auto"/>
        <w:ind w:left="1440" w:hanging="576"/>
        <w:jc w:val="left"/>
        <w:outlineLvl w:val="1"/>
        <w:rPr>
          <w:b/>
          <w:kern w:val="22"/>
          <w:szCs w:val="22"/>
          <w:lang w:val="fr-FR"/>
        </w:rPr>
      </w:pPr>
      <w:r>
        <w:rPr>
          <w:b/>
          <w:kern w:val="22"/>
          <w:szCs w:val="22"/>
          <w:lang w:val="fr-FR"/>
        </w:rPr>
        <w:t>Mesures prises par le groupe consultatif informel sur les</w:t>
      </w:r>
      <w:r w:rsidR="00855928" w:rsidRPr="004E1D46">
        <w:rPr>
          <w:b/>
          <w:kern w:val="22"/>
          <w:szCs w:val="22"/>
          <w:lang w:val="fr-FR"/>
        </w:rPr>
        <w:t xml:space="preserve"> synergies </w:t>
      </w:r>
      <w:r w:rsidRPr="004E1D46">
        <w:rPr>
          <w:b/>
          <w:kern w:val="22"/>
          <w:szCs w:val="22"/>
          <w:lang w:val="fr-FR"/>
        </w:rPr>
        <w:t>entre les</w:t>
      </w:r>
      <w:r w:rsidR="00855928" w:rsidRPr="004E1D46">
        <w:rPr>
          <w:b/>
          <w:kern w:val="22"/>
          <w:szCs w:val="22"/>
          <w:lang w:val="fr-FR"/>
        </w:rPr>
        <w:t xml:space="preserve"> </w:t>
      </w:r>
      <w:r w:rsidR="008B0ED2" w:rsidRPr="004E1D46">
        <w:rPr>
          <w:b/>
          <w:kern w:val="22"/>
          <w:szCs w:val="22"/>
          <w:lang w:val="fr-FR"/>
        </w:rPr>
        <w:t>conventions relatives à la diversité biologique</w:t>
      </w:r>
    </w:p>
    <w:p w:rsidR="007D6BAB" w:rsidRPr="00ED2BC8" w:rsidRDefault="00ED2BC8" w:rsidP="00883A1C">
      <w:pPr>
        <w:numPr>
          <w:ilvl w:val="0"/>
          <w:numId w:val="6"/>
        </w:numPr>
        <w:suppressLineNumbers/>
        <w:suppressAutoHyphens/>
        <w:kinsoku w:val="0"/>
        <w:overflowPunct w:val="0"/>
        <w:autoSpaceDE w:val="0"/>
        <w:autoSpaceDN w:val="0"/>
        <w:adjustRightInd w:val="0"/>
        <w:snapToGrid w:val="0"/>
        <w:spacing w:before="120" w:after="120" w:line="238" w:lineRule="auto"/>
        <w:rPr>
          <w:kern w:val="22"/>
          <w:szCs w:val="22"/>
          <w:lang w:val="fr-FR"/>
        </w:rPr>
      </w:pPr>
      <w:r w:rsidRPr="00ED2BC8">
        <w:rPr>
          <w:kern w:val="22"/>
          <w:szCs w:val="22"/>
          <w:lang w:val="fr-FR"/>
        </w:rPr>
        <w:t>Au</w:t>
      </w:r>
      <w:r w:rsidR="007D6BAB" w:rsidRPr="00ED2BC8">
        <w:rPr>
          <w:kern w:val="22"/>
          <w:szCs w:val="22"/>
          <w:lang w:val="fr-FR"/>
        </w:rPr>
        <w:t xml:space="preserve"> paragraph</w:t>
      </w:r>
      <w:r w:rsidRPr="00ED2BC8">
        <w:rPr>
          <w:kern w:val="22"/>
          <w:szCs w:val="22"/>
          <w:lang w:val="fr-FR"/>
        </w:rPr>
        <w:t>e</w:t>
      </w:r>
      <w:r w:rsidR="007D6BAB" w:rsidRPr="00ED2BC8">
        <w:rPr>
          <w:kern w:val="22"/>
          <w:szCs w:val="22"/>
          <w:lang w:val="fr-FR"/>
        </w:rPr>
        <w:t xml:space="preserve"> 15 </w:t>
      </w:r>
      <w:r w:rsidRPr="00ED2BC8">
        <w:rPr>
          <w:kern w:val="22"/>
          <w:szCs w:val="22"/>
          <w:lang w:val="fr-FR"/>
        </w:rPr>
        <w:t>de la dé</w:t>
      </w:r>
      <w:r w:rsidR="007D6BAB" w:rsidRPr="00ED2BC8">
        <w:rPr>
          <w:kern w:val="22"/>
          <w:szCs w:val="22"/>
          <w:lang w:val="fr-FR"/>
        </w:rPr>
        <w:t>cision</w:t>
      </w:r>
      <w:r w:rsidR="00C76087" w:rsidRPr="00ED2BC8">
        <w:rPr>
          <w:kern w:val="22"/>
          <w:szCs w:val="22"/>
          <w:lang w:val="fr-FR"/>
        </w:rPr>
        <w:t xml:space="preserve"> XIII/24</w:t>
      </w:r>
      <w:r w:rsidR="007D6BAB" w:rsidRPr="00ED2BC8">
        <w:rPr>
          <w:kern w:val="22"/>
          <w:szCs w:val="22"/>
          <w:lang w:val="fr-FR"/>
        </w:rPr>
        <w:t xml:space="preserve">, </w:t>
      </w:r>
      <w:r w:rsidR="00031441" w:rsidRPr="00ED2BC8">
        <w:rPr>
          <w:kern w:val="22"/>
          <w:szCs w:val="22"/>
          <w:lang w:val="fr-FR"/>
        </w:rPr>
        <w:t>la Conférence des Parties</w:t>
      </w:r>
      <w:r w:rsidRPr="00ED2BC8">
        <w:rPr>
          <w:kern w:val="22"/>
          <w:szCs w:val="22"/>
          <w:lang w:val="fr-FR"/>
        </w:rPr>
        <w:t xml:space="preserve"> a demandé au</w:t>
      </w:r>
      <w:r w:rsidR="007D6BAB" w:rsidRPr="00ED2BC8">
        <w:rPr>
          <w:kern w:val="22"/>
          <w:szCs w:val="22"/>
          <w:lang w:val="fr-FR"/>
        </w:rPr>
        <w:t xml:space="preserve"> </w:t>
      </w:r>
      <w:r w:rsidRPr="00ED2BC8">
        <w:rPr>
          <w:kern w:val="22"/>
          <w:szCs w:val="22"/>
          <w:lang w:val="fr-FR"/>
        </w:rPr>
        <w:t>Secrétaire exécutif</w:t>
      </w:r>
      <w:r w:rsidR="007D6BAB" w:rsidRPr="00ED2BC8">
        <w:rPr>
          <w:kern w:val="22"/>
          <w:szCs w:val="22"/>
          <w:lang w:val="fr-FR"/>
        </w:rPr>
        <w:t xml:space="preserve">, </w:t>
      </w:r>
      <w:r>
        <w:rPr>
          <w:snapToGrid w:val="0"/>
          <w:kern w:val="22"/>
          <w:lang w:val="fr-FR"/>
        </w:rPr>
        <w:t xml:space="preserve">en consultation avec le Bureau de la </w:t>
      </w:r>
      <w:proofErr w:type="spellStart"/>
      <w:r>
        <w:rPr>
          <w:snapToGrid w:val="0"/>
          <w:kern w:val="22"/>
          <w:lang w:val="fr-FR"/>
        </w:rPr>
        <w:t>CdP</w:t>
      </w:r>
      <w:proofErr w:type="spellEnd"/>
      <w:r>
        <w:rPr>
          <w:snapToGrid w:val="0"/>
          <w:kern w:val="22"/>
          <w:lang w:val="fr-FR"/>
        </w:rPr>
        <w:t xml:space="preserve"> 13, et sous réserve des ressources disponibles, de constituer un groupe consultatif informel sur les synergies, composé de représentants de Parties, en assurant une représentation équilibrée, notamment sur le plan régional, dont la tâche sera de fournir des avis au Secrétaire exécutif, au Bureau et au Groupe de liaison des conventions relatives à la biodiversité, selon qu’il convient, sur a) l’ordre de priorité à accorder aux mesures énoncées dans le tableau figurant à l’annexe II de la décision, et b) sur la mise en œuvre des mesures ainsi hiérarchisées et faire rapport à l’Organe subsidiaire chargé de l’application, à sa deuxième réunion</w:t>
      </w:r>
      <w:r w:rsidR="007D6BAB" w:rsidRPr="00ED2BC8">
        <w:rPr>
          <w:kern w:val="22"/>
          <w:szCs w:val="22"/>
          <w:lang w:val="fr-FR"/>
        </w:rPr>
        <w:t>.</w:t>
      </w:r>
    </w:p>
    <w:p w:rsidR="007D6BAB" w:rsidRPr="00ED2BC8" w:rsidRDefault="00ED2BC8" w:rsidP="00883A1C">
      <w:pPr>
        <w:numPr>
          <w:ilvl w:val="0"/>
          <w:numId w:val="6"/>
        </w:numPr>
        <w:suppressLineNumbers/>
        <w:suppressAutoHyphens/>
        <w:kinsoku w:val="0"/>
        <w:overflowPunct w:val="0"/>
        <w:autoSpaceDE w:val="0"/>
        <w:autoSpaceDN w:val="0"/>
        <w:adjustRightInd w:val="0"/>
        <w:snapToGrid w:val="0"/>
        <w:spacing w:before="120" w:after="120" w:line="238" w:lineRule="auto"/>
        <w:rPr>
          <w:kern w:val="22"/>
          <w:szCs w:val="22"/>
          <w:lang w:val="fr-FR"/>
        </w:rPr>
      </w:pPr>
      <w:r w:rsidRPr="00ED2BC8">
        <w:rPr>
          <w:kern w:val="22"/>
          <w:szCs w:val="22"/>
          <w:lang w:val="fr-FR"/>
        </w:rPr>
        <w:t>La présente s</w:t>
      </w:r>
      <w:r w:rsidR="007D6BAB" w:rsidRPr="00ED2BC8">
        <w:rPr>
          <w:kern w:val="22"/>
          <w:szCs w:val="22"/>
          <w:lang w:val="fr-FR"/>
        </w:rPr>
        <w:t xml:space="preserve">ection </w:t>
      </w:r>
      <w:r w:rsidRPr="00ED2BC8">
        <w:rPr>
          <w:kern w:val="22"/>
          <w:szCs w:val="22"/>
          <w:lang w:val="fr-FR"/>
        </w:rPr>
        <w:t>du</w:t>
      </w:r>
      <w:r w:rsidR="007D6BAB" w:rsidRPr="00ED2BC8">
        <w:rPr>
          <w:kern w:val="22"/>
          <w:szCs w:val="22"/>
          <w:lang w:val="fr-FR"/>
        </w:rPr>
        <w:t xml:space="preserve"> document </w:t>
      </w:r>
      <w:r w:rsidRPr="00ED2BC8">
        <w:rPr>
          <w:kern w:val="22"/>
          <w:szCs w:val="22"/>
          <w:lang w:val="fr-FR"/>
        </w:rPr>
        <w:t xml:space="preserve">fait rapport sur les travaux du groupe consultatif informel sur </w:t>
      </w:r>
      <w:r>
        <w:rPr>
          <w:kern w:val="22"/>
          <w:szCs w:val="22"/>
          <w:lang w:val="fr-FR"/>
        </w:rPr>
        <w:t>les</w:t>
      </w:r>
      <w:r w:rsidR="007D6BAB" w:rsidRPr="00ED2BC8">
        <w:rPr>
          <w:kern w:val="22"/>
          <w:szCs w:val="22"/>
          <w:lang w:val="fr-FR"/>
        </w:rPr>
        <w:t xml:space="preserve"> synergies </w:t>
      </w:r>
      <w:r>
        <w:rPr>
          <w:kern w:val="22"/>
          <w:szCs w:val="22"/>
          <w:lang w:val="fr-FR"/>
        </w:rPr>
        <w:t>et les résultats de ses travaux.</w:t>
      </w:r>
      <w:r w:rsidR="007D6BAB" w:rsidRPr="00ED2BC8">
        <w:rPr>
          <w:kern w:val="22"/>
          <w:szCs w:val="22"/>
          <w:lang w:val="fr-FR"/>
        </w:rPr>
        <w:t xml:space="preserve"> </w:t>
      </w:r>
      <w:r>
        <w:rPr>
          <w:kern w:val="22"/>
          <w:szCs w:val="22"/>
          <w:lang w:val="fr-FR"/>
        </w:rPr>
        <w:t xml:space="preserve"> </w:t>
      </w:r>
      <w:r w:rsidRPr="00ED2BC8">
        <w:rPr>
          <w:kern w:val="22"/>
          <w:szCs w:val="22"/>
          <w:lang w:val="fr-FR"/>
        </w:rPr>
        <w:t>De plus amples détails sur le groupe consultatif informel et ses travaux figurent</w:t>
      </w:r>
      <w:r>
        <w:rPr>
          <w:kern w:val="22"/>
          <w:szCs w:val="22"/>
          <w:lang w:val="fr-FR"/>
        </w:rPr>
        <w:t xml:space="preserve"> </w:t>
      </w:r>
      <w:r w:rsidRPr="00ED2BC8">
        <w:rPr>
          <w:kern w:val="22"/>
          <w:szCs w:val="22"/>
          <w:lang w:val="fr-FR"/>
        </w:rPr>
        <w:t>dans le rapport du groupe à l’Organe subsidiaire chargé de l’application</w:t>
      </w:r>
      <w:r w:rsidR="00715E54" w:rsidRPr="00ED2BC8">
        <w:rPr>
          <w:kern w:val="22"/>
          <w:szCs w:val="22"/>
          <w:lang w:val="fr-FR"/>
        </w:rPr>
        <w:t xml:space="preserve"> </w:t>
      </w:r>
      <w:r w:rsidR="009109A3" w:rsidRPr="00ED2BC8">
        <w:rPr>
          <w:kern w:val="22"/>
          <w:szCs w:val="22"/>
          <w:lang w:val="fr-FR"/>
        </w:rPr>
        <w:t>(</w:t>
      </w:r>
      <w:r w:rsidR="007D6BAB" w:rsidRPr="00ED2BC8">
        <w:rPr>
          <w:kern w:val="22"/>
          <w:szCs w:val="22"/>
          <w:lang w:val="fr-FR"/>
        </w:rPr>
        <w:t>CBD/SBI/2/INF/</w:t>
      </w:r>
      <w:r w:rsidR="00715E54" w:rsidRPr="00ED2BC8">
        <w:rPr>
          <w:kern w:val="22"/>
          <w:szCs w:val="22"/>
          <w:lang w:val="fr-FR"/>
        </w:rPr>
        <w:t>14</w:t>
      </w:r>
      <w:r w:rsidR="009109A3" w:rsidRPr="00ED2BC8">
        <w:rPr>
          <w:kern w:val="22"/>
          <w:szCs w:val="22"/>
          <w:lang w:val="fr-FR"/>
        </w:rPr>
        <w:t>)</w:t>
      </w:r>
      <w:r w:rsidR="007D6BAB" w:rsidRPr="00ED2BC8">
        <w:rPr>
          <w:kern w:val="22"/>
          <w:szCs w:val="22"/>
          <w:lang w:val="fr-FR"/>
        </w:rPr>
        <w:t>.</w:t>
      </w:r>
    </w:p>
    <w:p w:rsidR="007770D1" w:rsidRPr="00A80D17" w:rsidRDefault="007770D1" w:rsidP="00883A1C">
      <w:pPr>
        <w:keepNext/>
        <w:suppressLineNumbers/>
        <w:tabs>
          <w:tab w:val="left" w:pos="360"/>
        </w:tabs>
        <w:suppressAutoHyphens/>
        <w:kinsoku w:val="0"/>
        <w:overflowPunct w:val="0"/>
        <w:autoSpaceDE w:val="0"/>
        <w:autoSpaceDN w:val="0"/>
        <w:adjustRightInd w:val="0"/>
        <w:snapToGrid w:val="0"/>
        <w:spacing w:before="120" w:after="120" w:line="238" w:lineRule="auto"/>
        <w:jc w:val="center"/>
        <w:outlineLvl w:val="2"/>
        <w:rPr>
          <w:i/>
          <w:kern w:val="22"/>
          <w:szCs w:val="22"/>
          <w:lang w:val="fr-FR"/>
        </w:rPr>
      </w:pPr>
      <w:r w:rsidRPr="00A80D17">
        <w:rPr>
          <w:i/>
          <w:kern w:val="22"/>
          <w:szCs w:val="22"/>
          <w:lang w:val="fr-FR"/>
        </w:rPr>
        <w:t>1.</w:t>
      </w:r>
      <w:r w:rsidRPr="00A80D17">
        <w:rPr>
          <w:i/>
          <w:kern w:val="22"/>
          <w:szCs w:val="22"/>
          <w:lang w:val="fr-FR"/>
        </w:rPr>
        <w:tab/>
      </w:r>
      <w:r w:rsidR="00A80D17">
        <w:rPr>
          <w:i/>
          <w:kern w:val="22"/>
          <w:szCs w:val="22"/>
          <w:lang w:val="fr-FR"/>
        </w:rPr>
        <w:t>Création</w:t>
      </w:r>
      <w:r w:rsidRPr="00A80D17">
        <w:rPr>
          <w:i/>
          <w:kern w:val="22"/>
          <w:szCs w:val="22"/>
          <w:lang w:val="fr-FR"/>
        </w:rPr>
        <w:t xml:space="preserve">, composition </w:t>
      </w:r>
      <w:r w:rsidR="00A80D17" w:rsidRPr="00A80D17">
        <w:rPr>
          <w:i/>
          <w:kern w:val="22"/>
          <w:szCs w:val="22"/>
          <w:lang w:val="fr-FR"/>
        </w:rPr>
        <w:t>et activités du groupe consultatif informel</w:t>
      </w:r>
    </w:p>
    <w:p w:rsidR="007D6BAB" w:rsidRPr="00A80D17" w:rsidRDefault="00A80D17" w:rsidP="00883A1C">
      <w:pPr>
        <w:numPr>
          <w:ilvl w:val="0"/>
          <w:numId w:val="6"/>
        </w:numPr>
        <w:suppressLineNumbers/>
        <w:suppressAutoHyphens/>
        <w:kinsoku w:val="0"/>
        <w:overflowPunct w:val="0"/>
        <w:autoSpaceDE w:val="0"/>
        <w:autoSpaceDN w:val="0"/>
        <w:adjustRightInd w:val="0"/>
        <w:snapToGrid w:val="0"/>
        <w:spacing w:before="120" w:after="120" w:line="238" w:lineRule="auto"/>
        <w:rPr>
          <w:kern w:val="22"/>
          <w:szCs w:val="22"/>
          <w:lang w:val="fr-FR"/>
        </w:rPr>
      </w:pPr>
      <w:r w:rsidRPr="00A80D17">
        <w:rPr>
          <w:kern w:val="22"/>
          <w:szCs w:val="22"/>
          <w:lang w:val="fr-FR"/>
        </w:rPr>
        <w:t>En réponse à la dé</w:t>
      </w:r>
      <w:r w:rsidR="007D6BAB" w:rsidRPr="00A80D17">
        <w:rPr>
          <w:kern w:val="22"/>
          <w:szCs w:val="22"/>
          <w:lang w:val="fr-FR"/>
        </w:rPr>
        <w:t xml:space="preserve">cision XIII/24 </w:t>
      </w:r>
      <w:r w:rsidRPr="00A80D17">
        <w:rPr>
          <w:kern w:val="22"/>
          <w:szCs w:val="22"/>
          <w:lang w:val="fr-FR"/>
        </w:rPr>
        <w:t>et à l’appui du mandat du</w:t>
      </w:r>
      <w:r w:rsidR="007D6BAB" w:rsidRPr="00A80D17">
        <w:rPr>
          <w:kern w:val="22"/>
          <w:szCs w:val="22"/>
          <w:lang w:val="fr-FR"/>
        </w:rPr>
        <w:t xml:space="preserve"> </w:t>
      </w:r>
      <w:r>
        <w:rPr>
          <w:kern w:val="22"/>
          <w:szCs w:val="22"/>
          <w:lang w:val="fr-FR"/>
        </w:rPr>
        <w:t>groupe consultatif informel, le Secré</w:t>
      </w:r>
      <w:r w:rsidR="007D6BAB" w:rsidRPr="00A80D17">
        <w:rPr>
          <w:kern w:val="22"/>
          <w:szCs w:val="22"/>
          <w:lang w:val="fr-FR"/>
        </w:rPr>
        <w:t>tariat:</w:t>
      </w:r>
    </w:p>
    <w:p w:rsidR="007D6BAB" w:rsidRPr="00A80D17" w:rsidRDefault="007F42DD" w:rsidP="00A80D17">
      <w:pPr>
        <w:numPr>
          <w:ilvl w:val="0"/>
          <w:numId w:val="65"/>
        </w:numPr>
        <w:suppressLineNumbers/>
        <w:tabs>
          <w:tab w:val="left" w:pos="1260"/>
        </w:tabs>
        <w:suppressAutoHyphens/>
        <w:kinsoku w:val="0"/>
        <w:overflowPunct w:val="0"/>
        <w:autoSpaceDE w:val="0"/>
        <w:autoSpaceDN w:val="0"/>
        <w:adjustRightInd w:val="0"/>
        <w:snapToGrid w:val="0"/>
        <w:spacing w:after="120" w:line="238" w:lineRule="auto"/>
        <w:ind w:left="0" w:firstLine="720"/>
        <w:rPr>
          <w:snapToGrid w:val="0"/>
          <w:kern w:val="22"/>
          <w:szCs w:val="22"/>
          <w:lang w:val="fr-FR"/>
        </w:rPr>
      </w:pPr>
      <w:r>
        <w:rPr>
          <w:snapToGrid w:val="0"/>
          <w:kern w:val="22"/>
          <w:szCs w:val="22"/>
          <w:lang w:val="fr-FR"/>
        </w:rPr>
        <w:t>a</w:t>
      </w:r>
      <w:r w:rsidR="00A80D17" w:rsidRPr="00A80D17">
        <w:rPr>
          <w:snapToGrid w:val="0"/>
          <w:kern w:val="22"/>
          <w:szCs w:val="22"/>
          <w:lang w:val="fr-FR"/>
        </w:rPr>
        <w:t xml:space="preserve"> émis une </w:t>
      </w:r>
      <w:r w:rsidR="007D6BAB" w:rsidRPr="00A80D17">
        <w:rPr>
          <w:snapToGrid w:val="0"/>
          <w:kern w:val="22"/>
          <w:szCs w:val="22"/>
          <w:lang w:val="fr-FR"/>
        </w:rPr>
        <w:t>notification invit</w:t>
      </w:r>
      <w:r w:rsidR="00A80D17" w:rsidRPr="00A80D17">
        <w:rPr>
          <w:snapToGrid w:val="0"/>
          <w:kern w:val="22"/>
          <w:szCs w:val="22"/>
          <w:lang w:val="fr-FR"/>
        </w:rPr>
        <w:t>ant les P</w:t>
      </w:r>
      <w:r w:rsidR="007D6BAB" w:rsidRPr="00A80D17">
        <w:rPr>
          <w:snapToGrid w:val="0"/>
          <w:kern w:val="22"/>
          <w:szCs w:val="22"/>
          <w:lang w:val="fr-FR"/>
        </w:rPr>
        <w:t xml:space="preserve">arties </w:t>
      </w:r>
      <w:r w:rsidR="00A80D17" w:rsidRPr="00A80D17">
        <w:rPr>
          <w:snapToGrid w:val="0"/>
          <w:kern w:val="22"/>
          <w:szCs w:val="22"/>
          <w:lang w:val="fr-FR"/>
        </w:rPr>
        <w:t>à soumettre la candidature de représentants qualifiés</w:t>
      </w:r>
      <w:r w:rsidR="007D6BAB" w:rsidRPr="00883A1C">
        <w:rPr>
          <w:snapToGrid w:val="0"/>
          <w:kern w:val="22"/>
          <w:szCs w:val="22"/>
          <w:vertAlign w:val="superscript"/>
        </w:rPr>
        <w:footnoteReference w:id="11"/>
      </w:r>
      <w:r w:rsidR="00A80D17" w:rsidRPr="00A80D17">
        <w:rPr>
          <w:snapToGrid w:val="0"/>
          <w:kern w:val="22"/>
          <w:szCs w:val="22"/>
          <w:lang w:val="fr-FR"/>
        </w:rPr>
        <w:t>,</w:t>
      </w:r>
      <w:r w:rsidR="00706F41" w:rsidRPr="00A80D17">
        <w:rPr>
          <w:snapToGrid w:val="0"/>
          <w:kern w:val="22"/>
          <w:szCs w:val="22"/>
          <w:lang w:val="fr-FR"/>
        </w:rPr>
        <w:t xml:space="preserve"> </w:t>
      </w:r>
      <w:r w:rsidR="00F45758">
        <w:rPr>
          <w:snapToGrid w:val="0"/>
          <w:kern w:val="22"/>
          <w:szCs w:val="22"/>
          <w:lang w:val="fr-FR"/>
        </w:rPr>
        <w:t>compilé et analysé</w:t>
      </w:r>
      <w:r w:rsidR="00A80D17" w:rsidRPr="00A80D17">
        <w:rPr>
          <w:snapToGrid w:val="0"/>
          <w:kern w:val="22"/>
          <w:szCs w:val="22"/>
          <w:lang w:val="fr-FR"/>
        </w:rPr>
        <w:t xml:space="preserve"> les candidatures reçues et consulté le </w:t>
      </w:r>
      <w:r w:rsidR="005E5829" w:rsidRPr="00A80D17">
        <w:rPr>
          <w:snapToGrid w:val="0"/>
          <w:kern w:val="22"/>
          <w:szCs w:val="22"/>
          <w:lang w:val="fr-FR"/>
        </w:rPr>
        <w:t>B</w:t>
      </w:r>
      <w:r w:rsidR="007D6BAB" w:rsidRPr="00A80D17">
        <w:rPr>
          <w:snapToGrid w:val="0"/>
          <w:kern w:val="22"/>
          <w:szCs w:val="22"/>
          <w:lang w:val="fr-FR"/>
        </w:rPr>
        <w:t xml:space="preserve">ureau </w:t>
      </w:r>
      <w:r w:rsidR="00A80D17" w:rsidRPr="00A80D17">
        <w:rPr>
          <w:snapToGrid w:val="0"/>
          <w:kern w:val="22"/>
          <w:szCs w:val="22"/>
          <w:lang w:val="fr-FR"/>
        </w:rPr>
        <w:t>pour le choix des membres et</w:t>
      </w:r>
      <w:r w:rsidR="00A80D17">
        <w:rPr>
          <w:snapToGrid w:val="0"/>
          <w:kern w:val="22"/>
          <w:szCs w:val="22"/>
          <w:lang w:val="fr-FR"/>
        </w:rPr>
        <w:t xml:space="preserve"> émis le 3 novembre 2017 une </w:t>
      </w:r>
      <w:r w:rsidR="007D6BAB" w:rsidRPr="00A80D17">
        <w:rPr>
          <w:snapToGrid w:val="0"/>
          <w:kern w:val="22"/>
          <w:szCs w:val="22"/>
          <w:lang w:val="fr-FR"/>
        </w:rPr>
        <w:t>notification</w:t>
      </w:r>
      <w:r w:rsidR="007D6BAB" w:rsidRPr="00A80D17">
        <w:rPr>
          <w:snapToGrid w:val="0"/>
          <w:kern w:val="22"/>
          <w:szCs w:val="22"/>
          <w:vertAlign w:val="superscript"/>
          <w:lang w:val="fr-FR"/>
        </w:rPr>
        <w:t xml:space="preserve"> </w:t>
      </w:r>
      <w:r w:rsidR="00A80D17">
        <w:rPr>
          <w:snapToGrid w:val="0"/>
          <w:kern w:val="22"/>
          <w:szCs w:val="22"/>
          <w:lang w:val="fr-FR"/>
        </w:rPr>
        <w:t>pour communiquer aux</w:t>
      </w:r>
      <w:r w:rsidR="007D6BAB" w:rsidRPr="00A80D17">
        <w:rPr>
          <w:snapToGrid w:val="0"/>
          <w:kern w:val="22"/>
          <w:szCs w:val="22"/>
          <w:lang w:val="fr-FR"/>
        </w:rPr>
        <w:t xml:space="preserve"> Parties </w:t>
      </w:r>
      <w:r w:rsidR="00A80D17">
        <w:rPr>
          <w:snapToGrid w:val="0"/>
          <w:kern w:val="22"/>
          <w:szCs w:val="22"/>
          <w:lang w:val="fr-FR"/>
        </w:rPr>
        <w:t>la</w:t>
      </w:r>
      <w:r w:rsidR="007D6BAB" w:rsidRPr="00A80D17">
        <w:rPr>
          <w:snapToGrid w:val="0"/>
          <w:kern w:val="22"/>
          <w:szCs w:val="22"/>
          <w:lang w:val="fr-FR"/>
        </w:rPr>
        <w:t xml:space="preserve"> composition </w:t>
      </w:r>
      <w:r w:rsidR="00A80D17">
        <w:rPr>
          <w:snapToGrid w:val="0"/>
          <w:kern w:val="22"/>
          <w:szCs w:val="22"/>
          <w:lang w:val="fr-FR"/>
        </w:rPr>
        <w:t>du</w:t>
      </w:r>
      <w:r w:rsidR="007D6BAB" w:rsidRPr="00A80D17">
        <w:rPr>
          <w:snapToGrid w:val="0"/>
          <w:kern w:val="22"/>
          <w:szCs w:val="22"/>
          <w:lang w:val="fr-FR"/>
        </w:rPr>
        <w:t xml:space="preserve"> </w:t>
      </w:r>
      <w:r w:rsidR="00A80D17" w:rsidRPr="00A80D17">
        <w:rPr>
          <w:snapToGrid w:val="0"/>
          <w:kern w:val="22"/>
          <w:szCs w:val="22"/>
          <w:lang w:val="fr-FR"/>
        </w:rPr>
        <w:t>groupe consultatif informel</w:t>
      </w:r>
      <w:r w:rsidR="007D6BAB" w:rsidRPr="00883A1C">
        <w:rPr>
          <w:snapToGrid w:val="0"/>
          <w:kern w:val="22"/>
          <w:szCs w:val="22"/>
          <w:vertAlign w:val="superscript"/>
        </w:rPr>
        <w:footnoteReference w:id="12"/>
      </w:r>
      <w:r w:rsidR="00A80D17" w:rsidRPr="00A80D17">
        <w:rPr>
          <w:snapToGrid w:val="0"/>
          <w:kern w:val="22"/>
          <w:szCs w:val="22"/>
          <w:lang w:val="fr-FR"/>
        </w:rPr>
        <w:t>;</w:t>
      </w:r>
    </w:p>
    <w:p w:rsidR="007D6BAB" w:rsidRPr="00CA0CD3" w:rsidRDefault="007F42DD" w:rsidP="00883A1C">
      <w:pPr>
        <w:numPr>
          <w:ilvl w:val="0"/>
          <w:numId w:val="65"/>
        </w:numPr>
        <w:suppressLineNumbers/>
        <w:suppressAutoHyphens/>
        <w:kinsoku w:val="0"/>
        <w:overflowPunct w:val="0"/>
        <w:autoSpaceDE w:val="0"/>
        <w:autoSpaceDN w:val="0"/>
        <w:adjustRightInd w:val="0"/>
        <w:snapToGrid w:val="0"/>
        <w:spacing w:after="120" w:line="238" w:lineRule="auto"/>
        <w:ind w:left="0" w:firstLine="720"/>
        <w:rPr>
          <w:snapToGrid w:val="0"/>
          <w:kern w:val="22"/>
          <w:szCs w:val="22"/>
          <w:lang w:val="fr-FR"/>
        </w:rPr>
      </w:pPr>
      <w:proofErr w:type="spellStart"/>
      <w:r>
        <w:rPr>
          <w:snapToGrid w:val="0"/>
          <w:kern w:val="22"/>
          <w:szCs w:val="22"/>
          <w:lang w:val="fr-FR"/>
        </w:rPr>
        <w:t>a</w:t>
      </w:r>
      <w:proofErr w:type="spellEnd"/>
      <w:r>
        <w:rPr>
          <w:snapToGrid w:val="0"/>
          <w:kern w:val="22"/>
          <w:szCs w:val="22"/>
          <w:lang w:val="fr-FR"/>
        </w:rPr>
        <w:t xml:space="preserve"> </w:t>
      </w:r>
      <w:proofErr w:type="spellStart"/>
      <w:r>
        <w:rPr>
          <w:snapToGrid w:val="0"/>
          <w:kern w:val="22"/>
          <w:szCs w:val="22"/>
          <w:lang w:val="fr-FR"/>
        </w:rPr>
        <w:t>o</w:t>
      </w:r>
      <w:r w:rsidR="00A80D17" w:rsidRPr="00CA0CD3">
        <w:rPr>
          <w:snapToGrid w:val="0"/>
          <w:kern w:val="22"/>
          <w:szCs w:val="22"/>
          <w:lang w:val="fr-FR"/>
        </w:rPr>
        <w:t>euvré</w:t>
      </w:r>
      <w:proofErr w:type="spellEnd"/>
      <w:r w:rsidR="00A80D17" w:rsidRPr="00CA0CD3">
        <w:rPr>
          <w:snapToGrid w:val="0"/>
          <w:kern w:val="22"/>
          <w:szCs w:val="22"/>
          <w:lang w:val="fr-FR"/>
        </w:rPr>
        <w:t xml:space="preserve"> régulièrement en liaison avec le</w:t>
      </w:r>
      <w:r w:rsidR="007D6BAB" w:rsidRPr="00CA0CD3">
        <w:rPr>
          <w:snapToGrid w:val="0"/>
          <w:kern w:val="22"/>
          <w:szCs w:val="22"/>
          <w:lang w:val="fr-FR"/>
        </w:rPr>
        <w:t xml:space="preserve"> </w:t>
      </w:r>
      <w:r w:rsidR="00A80D17" w:rsidRPr="00CA0CD3">
        <w:rPr>
          <w:snapToGrid w:val="0"/>
          <w:kern w:val="22"/>
          <w:szCs w:val="22"/>
          <w:lang w:val="fr-FR"/>
        </w:rPr>
        <w:t>groupe consultatif informel</w:t>
      </w:r>
      <w:r w:rsidR="007D6BAB" w:rsidRPr="00CA0CD3">
        <w:rPr>
          <w:snapToGrid w:val="0"/>
          <w:kern w:val="22"/>
          <w:szCs w:val="22"/>
          <w:lang w:val="fr-FR"/>
        </w:rPr>
        <w:t xml:space="preserve"> </w:t>
      </w:r>
      <w:r w:rsidR="00A80D17" w:rsidRPr="00CA0CD3">
        <w:rPr>
          <w:snapToGrid w:val="0"/>
          <w:kern w:val="22"/>
          <w:szCs w:val="22"/>
          <w:lang w:val="fr-FR"/>
        </w:rPr>
        <w:t>et convoqué</w:t>
      </w:r>
      <w:r w:rsidR="00CA0CD3">
        <w:rPr>
          <w:snapToGrid w:val="0"/>
          <w:kern w:val="22"/>
          <w:szCs w:val="22"/>
          <w:lang w:val="fr-FR"/>
        </w:rPr>
        <w:t xml:space="preserve"> les</w:t>
      </w:r>
      <w:r w:rsidR="00CA0CD3" w:rsidRPr="00CA0CD3">
        <w:rPr>
          <w:snapToGrid w:val="0"/>
          <w:kern w:val="22"/>
          <w:szCs w:val="22"/>
          <w:lang w:val="fr-FR"/>
        </w:rPr>
        <w:t xml:space="preserve"> </w:t>
      </w:r>
      <w:r w:rsidR="00CA0CD3">
        <w:rPr>
          <w:snapToGrid w:val="0"/>
          <w:kern w:val="22"/>
          <w:szCs w:val="22"/>
          <w:lang w:val="fr-FR"/>
        </w:rPr>
        <w:t>ré</w:t>
      </w:r>
      <w:r w:rsidR="00CA0CD3" w:rsidRPr="00CA0CD3">
        <w:rPr>
          <w:snapToGrid w:val="0"/>
          <w:kern w:val="22"/>
          <w:szCs w:val="22"/>
          <w:lang w:val="fr-FR"/>
        </w:rPr>
        <w:t>unions du groupe</w:t>
      </w:r>
      <w:r w:rsidR="00CA0CD3">
        <w:rPr>
          <w:snapToGrid w:val="0"/>
          <w:kern w:val="22"/>
          <w:szCs w:val="22"/>
          <w:lang w:val="fr-FR"/>
        </w:rPr>
        <w:t xml:space="preserve">, les </w:t>
      </w:r>
      <w:r w:rsidR="00F45758">
        <w:rPr>
          <w:snapToGrid w:val="0"/>
          <w:kern w:val="22"/>
          <w:szCs w:val="22"/>
          <w:lang w:val="fr-FR"/>
        </w:rPr>
        <w:t xml:space="preserve">a </w:t>
      </w:r>
      <w:r w:rsidR="00CA0CD3">
        <w:rPr>
          <w:snapToGrid w:val="0"/>
          <w:kern w:val="22"/>
          <w:szCs w:val="22"/>
          <w:lang w:val="fr-FR"/>
        </w:rPr>
        <w:t>facilitées et leur</w:t>
      </w:r>
      <w:r w:rsidR="00F45758">
        <w:rPr>
          <w:snapToGrid w:val="0"/>
          <w:kern w:val="22"/>
          <w:szCs w:val="22"/>
          <w:lang w:val="fr-FR"/>
        </w:rPr>
        <w:t xml:space="preserve"> a </w:t>
      </w:r>
      <w:r w:rsidR="00CA0CD3">
        <w:rPr>
          <w:snapToGrid w:val="0"/>
          <w:kern w:val="22"/>
          <w:szCs w:val="22"/>
          <w:lang w:val="fr-FR"/>
        </w:rPr>
        <w:t>apporté des contributions tout en appuyant son président</w:t>
      </w:r>
      <w:r w:rsidR="007D6BAB" w:rsidRPr="00CA0CD3">
        <w:rPr>
          <w:snapToGrid w:val="0"/>
          <w:kern w:val="22"/>
          <w:szCs w:val="22"/>
          <w:lang w:val="fr-FR"/>
        </w:rPr>
        <w:t>;</w:t>
      </w:r>
    </w:p>
    <w:p w:rsidR="007D6BAB" w:rsidRPr="007F42DD" w:rsidRDefault="007F42DD" w:rsidP="00883A1C">
      <w:pPr>
        <w:numPr>
          <w:ilvl w:val="0"/>
          <w:numId w:val="65"/>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sidRPr="007F42DD">
        <w:rPr>
          <w:snapToGrid w:val="0"/>
          <w:kern w:val="22"/>
          <w:szCs w:val="22"/>
          <w:lang w:val="fr-FR"/>
        </w:rPr>
        <w:lastRenderedPageBreak/>
        <w:t xml:space="preserve">a </w:t>
      </w:r>
      <w:r w:rsidR="006F3F82">
        <w:rPr>
          <w:snapToGrid w:val="0"/>
          <w:kern w:val="22"/>
          <w:szCs w:val="22"/>
          <w:lang w:val="fr-FR"/>
        </w:rPr>
        <w:t>préparé</w:t>
      </w:r>
      <w:r w:rsidRPr="007F42DD">
        <w:rPr>
          <w:snapToGrid w:val="0"/>
          <w:kern w:val="22"/>
          <w:szCs w:val="22"/>
          <w:lang w:val="fr-FR"/>
        </w:rPr>
        <w:t xml:space="preserve"> et fourni une plateforme de </w:t>
      </w:r>
      <w:r w:rsidR="007D6BAB" w:rsidRPr="007F42DD">
        <w:rPr>
          <w:snapToGrid w:val="0"/>
          <w:kern w:val="22"/>
          <w:szCs w:val="22"/>
          <w:lang w:val="fr-FR"/>
        </w:rPr>
        <w:t xml:space="preserve">discussion </w:t>
      </w:r>
      <w:r w:rsidRPr="007F42DD">
        <w:rPr>
          <w:snapToGrid w:val="0"/>
          <w:kern w:val="22"/>
          <w:szCs w:val="22"/>
          <w:lang w:val="fr-FR"/>
        </w:rPr>
        <w:t xml:space="preserve">en ligne ainsi que du </w:t>
      </w:r>
      <w:r w:rsidR="006F3F82">
        <w:rPr>
          <w:snapToGrid w:val="0"/>
          <w:kern w:val="22"/>
          <w:szCs w:val="22"/>
          <w:lang w:val="fr-FR"/>
        </w:rPr>
        <w:t>maté</w:t>
      </w:r>
      <w:r w:rsidRPr="007F42DD">
        <w:rPr>
          <w:snapToGrid w:val="0"/>
          <w:kern w:val="22"/>
          <w:szCs w:val="22"/>
          <w:lang w:val="fr-FR"/>
        </w:rPr>
        <w:t>riel pertinent pour appuyer et faciliter les dé</w:t>
      </w:r>
      <w:r w:rsidR="007D6BAB" w:rsidRPr="007F42DD">
        <w:rPr>
          <w:snapToGrid w:val="0"/>
          <w:kern w:val="22"/>
          <w:szCs w:val="22"/>
          <w:lang w:val="fr-FR"/>
        </w:rPr>
        <w:t>lib</w:t>
      </w:r>
      <w:r w:rsidR="006F3F82">
        <w:rPr>
          <w:snapToGrid w:val="0"/>
          <w:kern w:val="22"/>
          <w:szCs w:val="22"/>
          <w:lang w:val="fr-FR"/>
        </w:rPr>
        <w:t>é</w:t>
      </w:r>
      <w:r w:rsidR="007D6BAB" w:rsidRPr="007F42DD">
        <w:rPr>
          <w:snapToGrid w:val="0"/>
          <w:kern w:val="22"/>
          <w:szCs w:val="22"/>
          <w:lang w:val="fr-FR"/>
        </w:rPr>
        <w:t xml:space="preserve">rations </w:t>
      </w:r>
      <w:r w:rsidR="00F45758">
        <w:rPr>
          <w:snapToGrid w:val="0"/>
          <w:kern w:val="22"/>
          <w:szCs w:val="22"/>
          <w:lang w:val="fr-FR"/>
        </w:rPr>
        <w:t>du</w:t>
      </w:r>
      <w:r w:rsidR="007D6BAB" w:rsidRPr="007F42DD">
        <w:rPr>
          <w:snapToGrid w:val="0"/>
          <w:kern w:val="22"/>
          <w:szCs w:val="22"/>
          <w:lang w:val="fr-FR"/>
        </w:rPr>
        <w:t xml:space="preserve"> </w:t>
      </w:r>
      <w:r w:rsidR="00A80D17" w:rsidRPr="007F42DD">
        <w:rPr>
          <w:snapToGrid w:val="0"/>
          <w:kern w:val="22"/>
          <w:szCs w:val="22"/>
          <w:lang w:val="fr-FR"/>
        </w:rPr>
        <w:t>groupe consultatif informel</w:t>
      </w:r>
      <w:r w:rsidR="00706F41" w:rsidRPr="007F42DD">
        <w:rPr>
          <w:snapToGrid w:val="0"/>
          <w:kern w:val="22"/>
          <w:szCs w:val="22"/>
          <w:lang w:val="fr-FR"/>
        </w:rPr>
        <w:t>,</w:t>
      </w:r>
      <w:r w:rsidRPr="007F42DD">
        <w:rPr>
          <w:snapToGrid w:val="0"/>
          <w:kern w:val="22"/>
          <w:szCs w:val="22"/>
          <w:lang w:val="fr-FR"/>
        </w:rPr>
        <w:t xml:space="preserve"> qui comprenait </w:t>
      </w:r>
      <w:r w:rsidR="007D6BAB" w:rsidRPr="007F42DD">
        <w:rPr>
          <w:snapToGrid w:val="0"/>
          <w:kern w:val="22"/>
          <w:szCs w:val="22"/>
          <w:lang w:val="fr-FR"/>
        </w:rPr>
        <w:t>:</w:t>
      </w:r>
      <w:r w:rsidR="007D6BAB" w:rsidRPr="007F42DD">
        <w:rPr>
          <w:kern w:val="22"/>
          <w:szCs w:val="22"/>
          <w:lang w:val="fr-FR"/>
        </w:rPr>
        <w:t xml:space="preserve"> </w:t>
      </w:r>
      <w:r w:rsidRPr="007F42DD">
        <w:rPr>
          <w:kern w:val="22"/>
          <w:szCs w:val="22"/>
          <w:lang w:val="fr-FR"/>
        </w:rPr>
        <w:t>une note d’introduction sur le</w:t>
      </w:r>
      <w:r w:rsidR="007D6BAB" w:rsidRPr="007F42DD">
        <w:rPr>
          <w:snapToGrid w:val="0"/>
          <w:kern w:val="22"/>
          <w:szCs w:val="22"/>
          <w:lang w:val="fr-FR"/>
        </w:rPr>
        <w:t xml:space="preserve"> </w:t>
      </w:r>
      <w:r w:rsidR="00A80D17" w:rsidRPr="007F42DD">
        <w:rPr>
          <w:snapToGrid w:val="0"/>
          <w:kern w:val="22"/>
          <w:szCs w:val="22"/>
          <w:lang w:val="fr-FR"/>
        </w:rPr>
        <w:t>groupe consultatif informel</w:t>
      </w:r>
      <w:r w:rsidR="007D6BAB" w:rsidRPr="007F42DD">
        <w:rPr>
          <w:snapToGrid w:val="0"/>
          <w:kern w:val="22"/>
          <w:szCs w:val="22"/>
          <w:lang w:val="fr-FR"/>
        </w:rPr>
        <w:t xml:space="preserve">; </w:t>
      </w:r>
      <w:r w:rsidRPr="007F42DD">
        <w:rPr>
          <w:snapToGrid w:val="0"/>
          <w:kern w:val="22"/>
          <w:szCs w:val="22"/>
          <w:lang w:val="fr-FR"/>
        </w:rPr>
        <w:t>les ordres du jour et les rapports de cinq réunions</w:t>
      </w:r>
      <w:r>
        <w:rPr>
          <w:snapToGrid w:val="0"/>
          <w:kern w:val="22"/>
          <w:szCs w:val="22"/>
          <w:lang w:val="fr-FR"/>
        </w:rPr>
        <w:t>; un calendrier d’événements internationaux pertinents</w:t>
      </w:r>
      <w:r w:rsidR="007D6BAB" w:rsidRPr="007F42DD">
        <w:rPr>
          <w:snapToGrid w:val="0"/>
          <w:kern w:val="22"/>
          <w:szCs w:val="22"/>
          <w:lang w:val="fr-FR"/>
        </w:rPr>
        <w:t xml:space="preserve">; </w:t>
      </w:r>
      <w:r>
        <w:rPr>
          <w:snapToGrid w:val="0"/>
          <w:kern w:val="22"/>
          <w:szCs w:val="22"/>
          <w:lang w:val="fr-FR"/>
        </w:rPr>
        <w:t>une liste des</w:t>
      </w:r>
      <w:r w:rsidR="007D6BAB" w:rsidRPr="007F42DD">
        <w:rPr>
          <w:snapToGrid w:val="0"/>
          <w:kern w:val="22"/>
          <w:szCs w:val="22"/>
          <w:lang w:val="fr-FR"/>
        </w:rPr>
        <w:t xml:space="preserve"> </w:t>
      </w:r>
      <w:r w:rsidR="002A6D48" w:rsidRPr="007F42DD">
        <w:rPr>
          <w:snapToGrid w:val="0"/>
          <w:kern w:val="22"/>
          <w:szCs w:val="22"/>
          <w:lang w:val="fr-FR"/>
        </w:rPr>
        <w:t>membres</w:t>
      </w:r>
      <w:r w:rsidR="007D6BAB" w:rsidRPr="007F42DD">
        <w:rPr>
          <w:snapToGrid w:val="0"/>
          <w:kern w:val="22"/>
          <w:szCs w:val="22"/>
          <w:lang w:val="fr-FR"/>
        </w:rPr>
        <w:t xml:space="preserve"> </w:t>
      </w:r>
      <w:r>
        <w:rPr>
          <w:snapToGrid w:val="0"/>
          <w:kern w:val="22"/>
          <w:szCs w:val="22"/>
          <w:lang w:val="fr-FR"/>
        </w:rPr>
        <w:t>du</w:t>
      </w:r>
      <w:r w:rsidR="007D6BAB" w:rsidRPr="007F42DD">
        <w:rPr>
          <w:snapToGrid w:val="0"/>
          <w:kern w:val="22"/>
          <w:szCs w:val="22"/>
          <w:lang w:val="fr-FR"/>
        </w:rPr>
        <w:t xml:space="preserve"> </w:t>
      </w:r>
      <w:r w:rsidR="00A80D17" w:rsidRPr="007F42DD">
        <w:rPr>
          <w:snapToGrid w:val="0"/>
          <w:kern w:val="22"/>
          <w:szCs w:val="22"/>
          <w:lang w:val="fr-FR"/>
        </w:rPr>
        <w:t>groupe consultatif informel</w:t>
      </w:r>
      <w:r w:rsidR="007D6BAB" w:rsidRPr="007F42DD">
        <w:rPr>
          <w:snapToGrid w:val="0"/>
          <w:kern w:val="22"/>
          <w:szCs w:val="22"/>
          <w:lang w:val="fr-FR"/>
        </w:rPr>
        <w:t xml:space="preserve"> </w:t>
      </w:r>
      <w:r>
        <w:rPr>
          <w:snapToGrid w:val="0"/>
          <w:kern w:val="22"/>
          <w:szCs w:val="22"/>
          <w:lang w:val="fr-FR"/>
        </w:rPr>
        <w:t>et de leurs compétences en matière de</w:t>
      </w:r>
      <w:r w:rsidR="007D6BAB" w:rsidRPr="007F42DD">
        <w:rPr>
          <w:snapToGrid w:val="0"/>
          <w:kern w:val="22"/>
          <w:szCs w:val="22"/>
          <w:lang w:val="fr-FR"/>
        </w:rPr>
        <w:t xml:space="preserve"> </w:t>
      </w:r>
      <w:r w:rsidR="008B0ED2" w:rsidRPr="007F42DD">
        <w:rPr>
          <w:snapToGrid w:val="0"/>
          <w:kern w:val="22"/>
          <w:szCs w:val="22"/>
          <w:lang w:val="fr-FR"/>
        </w:rPr>
        <w:t>conventions relatives à la diversité biologique</w:t>
      </w:r>
      <w:r w:rsidR="007D6BAB" w:rsidRPr="007F42DD">
        <w:rPr>
          <w:snapToGrid w:val="0"/>
          <w:kern w:val="22"/>
          <w:szCs w:val="22"/>
          <w:lang w:val="fr-FR"/>
        </w:rPr>
        <w:t xml:space="preserve">; </w:t>
      </w:r>
      <w:r>
        <w:rPr>
          <w:snapToGrid w:val="0"/>
          <w:kern w:val="22"/>
          <w:szCs w:val="22"/>
          <w:lang w:val="fr-FR"/>
        </w:rPr>
        <w:t>une d</w:t>
      </w:r>
      <w:r w:rsidR="00D42D76" w:rsidRPr="007F42DD">
        <w:rPr>
          <w:snapToGrid w:val="0"/>
          <w:kern w:val="22"/>
          <w:szCs w:val="22"/>
          <w:lang w:val="fr-FR"/>
        </w:rPr>
        <w:t xml:space="preserve">escription </w:t>
      </w:r>
      <w:r>
        <w:rPr>
          <w:snapToGrid w:val="0"/>
          <w:kern w:val="22"/>
          <w:szCs w:val="22"/>
          <w:lang w:val="fr-FR"/>
        </w:rPr>
        <w:t xml:space="preserve">des goulets d’étranglement et des difficultés rencontrées pour exécuter des </w:t>
      </w:r>
      <w:r w:rsidR="000E696D">
        <w:rPr>
          <w:snapToGrid w:val="0"/>
          <w:kern w:val="22"/>
          <w:szCs w:val="22"/>
          <w:lang w:val="fr-FR"/>
        </w:rPr>
        <w:t>principales mesures souhaitables</w:t>
      </w:r>
      <w:r w:rsidR="007D6BAB" w:rsidRPr="007F42DD">
        <w:rPr>
          <w:snapToGrid w:val="0"/>
          <w:kern w:val="22"/>
          <w:szCs w:val="22"/>
          <w:lang w:val="fr-FR"/>
        </w:rPr>
        <w:t xml:space="preserve">; </w:t>
      </w:r>
      <w:r>
        <w:rPr>
          <w:snapToGrid w:val="0"/>
          <w:kern w:val="22"/>
          <w:szCs w:val="22"/>
          <w:lang w:val="fr-FR"/>
        </w:rPr>
        <w:t>une</w:t>
      </w:r>
      <w:r w:rsidR="00706F41" w:rsidRPr="007F42DD">
        <w:rPr>
          <w:snapToGrid w:val="0"/>
          <w:kern w:val="22"/>
          <w:szCs w:val="22"/>
          <w:lang w:val="fr-FR"/>
        </w:rPr>
        <w:t xml:space="preserve"> </w:t>
      </w:r>
      <w:r w:rsidR="007D6BAB" w:rsidRPr="007F42DD">
        <w:rPr>
          <w:snapToGrid w:val="0"/>
          <w:kern w:val="22"/>
          <w:szCs w:val="22"/>
          <w:lang w:val="fr-FR"/>
        </w:rPr>
        <w:t xml:space="preserve">note </w:t>
      </w:r>
      <w:r>
        <w:rPr>
          <w:snapToGrid w:val="0"/>
          <w:kern w:val="22"/>
          <w:szCs w:val="22"/>
          <w:lang w:val="fr-FR"/>
        </w:rPr>
        <w:t>sur la chronologie d’élaboration de documents consacrés aux synergies</w:t>
      </w:r>
      <w:r w:rsidR="007D6BAB" w:rsidRPr="007F42DD">
        <w:rPr>
          <w:snapToGrid w:val="0"/>
          <w:kern w:val="22"/>
          <w:szCs w:val="22"/>
          <w:lang w:val="fr-FR"/>
        </w:rPr>
        <w:t xml:space="preserve">; </w:t>
      </w:r>
      <w:r w:rsidR="006F3F82">
        <w:rPr>
          <w:snapToGrid w:val="0"/>
          <w:kern w:val="22"/>
          <w:szCs w:val="22"/>
          <w:lang w:val="fr-FR"/>
        </w:rPr>
        <w:t>un aperçu du projet du Secré</w:t>
      </w:r>
      <w:r w:rsidR="007D6BAB" w:rsidRPr="007F42DD">
        <w:rPr>
          <w:snapToGrid w:val="0"/>
          <w:kern w:val="22"/>
          <w:szCs w:val="22"/>
          <w:lang w:val="fr-FR"/>
        </w:rPr>
        <w:t>tariat</w:t>
      </w:r>
      <w:r w:rsidR="006F3F82">
        <w:rPr>
          <w:snapToGrid w:val="0"/>
          <w:kern w:val="22"/>
          <w:szCs w:val="22"/>
          <w:lang w:val="fr-FR"/>
        </w:rPr>
        <w:t xml:space="preserve"> de la CDB</w:t>
      </w:r>
      <w:r w:rsidR="007D6BAB" w:rsidRPr="007F42DD">
        <w:rPr>
          <w:snapToGrid w:val="0"/>
          <w:kern w:val="22"/>
          <w:szCs w:val="22"/>
          <w:lang w:val="fr-FR"/>
        </w:rPr>
        <w:t>/</w:t>
      </w:r>
      <w:r w:rsidR="006F3F82">
        <w:rPr>
          <w:snapToGrid w:val="0"/>
          <w:kern w:val="22"/>
          <w:szCs w:val="22"/>
          <w:lang w:val="fr-FR"/>
        </w:rPr>
        <w:t>PNUE</w:t>
      </w:r>
      <w:r w:rsidR="00D42D76" w:rsidRPr="007F42DD">
        <w:rPr>
          <w:snapToGrid w:val="0"/>
          <w:kern w:val="22"/>
          <w:szCs w:val="22"/>
          <w:lang w:val="fr-FR"/>
        </w:rPr>
        <w:t>-</w:t>
      </w:r>
      <w:r w:rsidR="007D6BAB" w:rsidRPr="007F42DD">
        <w:rPr>
          <w:snapToGrid w:val="0"/>
          <w:kern w:val="22"/>
          <w:szCs w:val="22"/>
          <w:lang w:val="fr-FR"/>
        </w:rPr>
        <w:t xml:space="preserve">WCMC </w:t>
      </w:r>
      <w:r w:rsidR="006F3F82">
        <w:rPr>
          <w:snapToGrid w:val="0"/>
          <w:kern w:val="22"/>
          <w:szCs w:val="22"/>
          <w:lang w:val="fr-FR"/>
        </w:rPr>
        <w:t xml:space="preserve">et des activités à l’appui de l’exécution des </w:t>
      </w:r>
      <w:r w:rsidR="000E696D">
        <w:rPr>
          <w:snapToGrid w:val="0"/>
          <w:kern w:val="22"/>
          <w:szCs w:val="22"/>
          <w:lang w:val="fr-FR"/>
        </w:rPr>
        <w:t>principales mesures souhaitables</w:t>
      </w:r>
      <w:r w:rsidR="007D6BAB" w:rsidRPr="007F42DD">
        <w:rPr>
          <w:snapToGrid w:val="0"/>
          <w:kern w:val="22"/>
          <w:szCs w:val="22"/>
          <w:lang w:val="fr-FR"/>
        </w:rPr>
        <w:t>;</w:t>
      </w:r>
      <w:r w:rsidR="006F3F82">
        <w:rPr>
          <w:snapToGrid w:val="0"/>
          <w:kern w:val="22"/>
          <w:szCs w:val="22"/>
          <w:lang w:val="fr-FR"/>
        </w:rPr>
        <w:t xml:space="preserve"> des projets d’avis possibles du</w:t>
      </w:r>
      <w:r w:rsidR="007D6BAB" w:rsidRPr="007F42DD">
        <w:rPr>
          <w:snapToGrid w:val="0"/>
          <w:kern w:val="22"/>
          <w:szCs w:val="22"/>
          <w:lang w:val="fr-FR"/>
        </w:rPr>
        <w:t xml:space="preserve"> </w:t>
      </w:r>
      <w:r w:rsidR="00A80D17" w:rsidRPr="007F42DD">
        <w:rPr>
          <w:snapToGrid w:val="0"/>
          <w:kern w:val="22"/>
          <w:szCs w:val="22"/>
          <w:lang w:val="fr-FR"/>
        </w:rPr>
        <w:t>groupe consultatif informel</w:t>
      </w:r>
      <w:r w:rsidR="007D6BAB" w:rsidRPr="007F42DD">
        <w:rPr>
          <w:snapToGrid w:val="0"/>
          <w:kern w:val="22"/>
          <w:szCs w:val="22"/>
          <w:lang w:val="fr-FR"/>
        </w:rPr>
        <w:t xml:space="preserve"> </w:t>
      </w:r>
      <w:r w:rsidR="006F3F82">
        <w:rPr>
          <w:snapToGrid w:val="0"/>
          <w:kern w:val="22"/>
          <w:szCs w:val="22"/>
          <w:lang w:val="fr-FR"/>
        </w:rPr>
        <w:t>au Secrétaire exécutif</w:t>
      </w:r>
      <w:r w:rsidR="007D6BAB" w:rsidRPr="007F42DD">
        <w:rPr>
          <w:snapToGrid w:val="0"/>
          <w:kern w:val="22"/>
          <w:szCs w:val="22"/>
          <w:lang w:val="fr-FR"/>
        </w:rPr>
        <w:t xml:space="preserve">, </w:t>
      </w:r>
      <w:r w:rsidR="006F3F82">
        <w:rPr>
          <w:snapToGrid w:val="0"/>
          <w:kern w:val="22"/>
          <w:szCs w:val="22"/>
          <w:lang w:val="fr-FR"/>
        </w:rPr>
        <w:t>au B</w:t>
      </w:r>
      <w:r w:rsidR="007D6BAB" w:rsidRPr="007F42DD">
        <w:rPr>
          <w:snapToGrid w:val="0"/>
          <w:kern w:val="22"/>
          <w:szCs w:val="22"/>
          <w:lang w:val="fr-FR"/>
        </w:rPr>
        <w:t xml:space="preserve">ureau </w:t>
      </w:r>
      <w:r w:rsidR="006F3F82">
        <w:rPr>
          <w:snapToGrid w:val="0"/>
          <w:kern w:val="22"/>
          <w:szCs w:val="22"/>
          <w:lang w:val="fr-FR"/>
        </w:rPr>
        <w:t xml:space="preserve">et au </w:t>
      </w:r>
      <w:r w:rsidR="00B011D3" w:rsidRPr="007F42DD">
        <w:rPr>
          <w:snapToGrid w:val="0"/>
          <w:kern w:val="22"/>
          <w:szCs w:val="22"/>
          <w:lang w:val="fr-FR"/>
        </w:rPr>
        <w:t>Groupe de liai</w:t>
      </w:r>
      <w:r w:rsidR="006F3F82">
        <w:rPr>
          <w:snapToGrid w:val="0"/>
          <w:kern w:val="22"/>
          <w:szCs w:val="22"/>
          <w:lang w:val="fr-FR"/>
        </w:rPr>
        <w:t>s</w:t>
      </w:r>
      <w:r w:rsidR="00B011D3" w:rsidRPr="007F42DD">
        <w:rPr>
          <w:snapToGrid w:val="0"/>
          <w:kern w:val="22"/>
          <w:szCs w:val="22"/>
          <w:lang w:val="fr-FR"/>
        </w:rPr>
        <w:t>on des</w:t>
      </w:r>
      <w:r w:rsidR="007D6BAB" w:rsidRPr="007F42DD">
        <w:rPr>
          <w:snapToGrid w:val="0"/>
          <w:kern w:val="22"/>
          <w:szCs w:val="22"/>
          <w:lang w:val="fr-FR"/>
        </w:rPr>
        <w:t xml:space="preserve"> </w:t>
      </w:r>
      <w:r w:rsidR="006F3F82">
        <w:rPr>
          <w:snapToGrid w:val="0"/>
          <w:kern w:val="22"/>
          <w:szCs w:val="22"/>
          <w:lang w:val="fr-FR"/>
        </w:rPr>
        <w:t>c</w:t>
      </w:r>
      <w:r w:rsidR="008B0ED2" w:rsidRPr="007F42DD">
        <w:rPr>
          <w:snapToGrid w:val="0"/>
          <w:kern w:val="22"/>
          <w:szCs w:val="22"/>
          <w:lang w:val="fr-FR"/>
        </w:rPr>
        <w:t>onventions relatives à la diversité biologique</w:t>
      </w:r>
      <w:r w:rsidR="006F3F82">
        <w:rPr>
          <w:snapToGrid w:val="0"/>
          <w:kern w:val="22"/>
          <w:szCs w:val="22"/>
          <w:lang w:val="fr-FR"/>
        </w:rPr>
        <w:t xml:space="preserve">; une </w:t>
      </w:r>
      <w:r w:rsidR="007D6BAB" w:rsidRPr="007F42DD">
        <w:rPr>
          <w:snapToGrid w:val="0"/>
          <w:kern w:val="22"/>
          <w:szCs w:val="22"/>
          <w:lang w:val="fr-FR"/>
        </w:rPr>
        <w:t xml:space="preserve">note </w:t>
      </w:r>
      <w:r w:rsidR="006F3F82">
        <w:rPr>
          <w:snapToGrid w:val="0"/>
          <w:kern w:val="22"/>
          <w:szCs w:val="22"/>
          <w:lang w:val="fr-FR"/>
        </w:rPr>
        <w:t>sur le rapport du</w:t>
      </w:r>
      <w:r w:rsidR="007D6BAB" w:rsidRPr="007F42DD">
        <w:rPr>
          <w:snapToGrid w:val="0"/>
          <w:kern w:val="22"/>
          <w:szCs w:val="22"/>
          <w:lang w:val="fr-FR"/>
        </w:rPr>
        <w:t xml:space="preserve"> </w:t>
      </w:r>
      <w:r w:rsidR="00A80D17" w:rsidRPr="007F42DD">
        <w:rPr>
          <w:snapToGrid w:val="0"/>
          <w:kern w:val="22"/>
          <w:szCs w:val="22"/>
          <w:lang w:val="fr-FR"/>
        </w:rPr>
        <w:t>groupe consultatif informel</w:t>
      </w:r>
      <w:r w:rsidR="00D42D76" w:rsidRPr="007F42DD">
        <w:rPr>
          <w:snapToGrid w:val="0"/>
          <w:kern w:val="22"/>
          <w:szCs w:val="22"/>
          <w:lang w:val="fr-FR"/>
        </w:rPr>
        <w:t>;</w:t>
      </w:r>
      <w:r w:rsidR="007D6BAB" w:rsidRPr="007F42DD">
        <w:rPr>
          <w:snapToGrid w:val="0"/>
          <w:kern w:val="22"/>
          <w:szCs w:val="22"/>
          <w:lang w:val="fr-FR"/>
        </w:rPr>
        <w:t xml:space="preserve"> </w:t>
      </w:r>
      <w:r w:rsidR="006F3F82">
        <w:rPr>
          <w:snapToGrid w:val="0"/>
          <w:kern w:val="22"/>
          <w:szCs w:val="22"/>
          <w:lang w:val="fr-FR"/>
        </w:rPr>
        <w:t>et un projet de rapport du g</w:t>
      </w:r>
      <w:r w:rsidR="007D6BAB" w:rsidRPr="007F42DD">
        <w:rPr>
          <w:snapToGrid w:val="0"/>
          <w:kern w:val="22"/>
          <w:szCs w:val="22"/>
          <w:lang w:val="fr-FR"/>
        </w:rPr>
        <w:t>roup</w:t>
      </w:r>
      <w:r w:rsidR="006F3F82">
        <w:rPr>
          <w:snapToGrid w:val="0"/>
          <w:kern w:val="22"/>
          <w:szCs w:val="22"/>
          <w:lang w:val="fr-FR"/>
        </w:rPr>
        <w:t>e à l’Organe subsidiaire chargé de l’application</w:t>
      </w:r>
      <w:r w:rsidR="007D6BAB" w:rsidRPr="007F42DD">
        <w:rPr>
          <w:snapToGrid w:val="0"/>
          <w:kern w:val="22"/>
          <w:szCs w:val="22"/>
          <w:lang w:val="fr-FR"/>
        </w:rPr>
        <w:t>.</w:t>
      </w:r>
    </w:p>
    <w:p w:rsidR="007D6BAB" w:rsidRPr="00B8736D" w:rsidRDefault="002A6D48"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2A6D48">
        <w:rPr>
          <w:kern w:val="22"/>
          <w:szCs w:val="22"/>
          <w:lang w:val="fr-FR"/>
        </w:rPr>
        <w:t>Comme le demande le paragraphe 15 de la dé</w:t>
      </w:r>
      <w:r w:rsidR="007D6BAB" w:rsidRPr="002A6D48">
        <w:rPr>
          <w:kern w:val="22"/>
          <w:szCs w:val="22"/>
          <w:lang w:val="fr-FR"/>
        </w:rPr>
        <w:t>cision XIII/24</w:t>
      </w:r>
      <w:r w:rsidR="0031333B" w:rsidRPr="002A6D48">
        <w:rPr>
          <w:kern w:val="22"/>
          <w:szCs w:val="22"/>
          <w:lang w:val="fr-FR"/>
        </w:rPr>
        <w:t>,</w:t>
      </w:r>
      <w:r w:rsidRPr="002A6D48">
        <w:rPr>
          <w:kern w:val="22"/>
          <w:szCs w:val="22"/>
          <w:lang w:val="fr-FR"/>
        </w:rPr>
        <w:t xml:space="preserve"> le groupe consultatif informel se compose de </w:t>
      </w:r>
      <w:r>
        <w:rPr>
          <w:snapToGrid w:val="0"/>
          <w:kern w:val="22"/>
          <w:lang w:val="fr-FR"/>
        </w:rPr>
        <w:t>représentants de Parties, en assurant une représentation équilibrée, notamment sur le plan régional</w:t>
      </w:r>
      <w:r w:rsidR="007D6BAB" w:rsidRPr="002A6D48">
        <w:rPr>
          <w:kern w:val="22"/>
          <w:szCs w:val="22"/>
          <w:lang w:val="fr-FR"/>
        </w:rPr>
        <w:t xml:space="preserve">. </w:t>
      </w:r>
      <w:r w:rsidRPr="002A6D48">
        <w:rPr>
          <w:kern w:val="22"/>
          <w:szCs w:val="22"/>
          <w:lang w:val="fr-FR"/>
        </w:rPr>
        <w:t>Il est composé de 19 memb</w:t>
      </w:r>
      <w:r w:rsidR="007D6BAB" w:rsidRPr="002A6D48">
        <w:rPr>
          <w:kern w:val="22"/>
          <w:szCs w:val="22"/>
          <w:lang w:val="fr-FR"/>
        </w:rPr>
        <w:t>r</w:t>
      </w:r>
      <w:r w:rsidRPr="002A6D48">
        <w:rPr>
          <w:kern w:val="22"/>
          <w:szCs w:val="22"/>
          <w:lang w:val="fr-FR"/>
        </w:rPr>
        <w:t>e</w:t>
      </w:r>
      <w:r w:rsidR="007D6BAB" w:rsidRPr="002A6D48">
        <w:rPr>
          <w:kern w:val="22"/>
          <w:szCs w:val="22"/>
          <w:lang w:val="fr-FR"/>
        </w:rPr>
        <w:t>s</w:t>
      </w:r>
      <w:r w:rsidRPr="002A6D48">
        <w:rPr>
          <w:kern w:val="22"/>
          <w:szCs w:val="22"/>
          <w:lang w:val="fr-FR"/>
        </w:rPr>
        <w:t xml:space="preserve"> avec une repré</w:t>
      </w:r>
      <w:r w:rsidR="007D6BAB" w:rsidRPr="002A6D48">
        <w:rPr>
          <w:kern w:val="22"/>
          <w:szCs w:val="22"/>
          <w:lang w:val="fr-FR"/>
        </w:rPr>
        <w:t xml:space="preserve">sentation </w:t>
      </w:r>
      <w:r w:rsidRPr="002A6D48">
        <w:rPr>
          <w:kern w:val="22"/>
          <w:szCs w:val="22"/>
          <w:lang w:val="fr-FR"/>
        </w:rPr>
        <w:t xml:space="preserve">de l’Afrique </w:t>
      </w:r>
      <w:r w:rsidR="007D6BAB" w:rsidRPr="002A6D48">
        <w:rPr>
          <w:kern w:val="22"/>
          <w:szCs w:val="22"/>
          <w:lang w:val="fr-FR"/>
        </w:rPr>
        <w:t>(</w:t>
      </w:r>
      <w:r w:rsidRPr="002A6D48">
        <w:rPr>
          <w:kern w:val="22"/>
          <w:szCs w:val="22"/>
          <w:lang w:val="fr-FR"/>
        </w:rPr>
        <w:t>quatre</w:t>
      </w:r>
      <w:r w:rsidR="007D6BAB" w:rsidRPr="002A6D48">
        <w:rPr>
          <w:kern w:val="22"/>
          <w:szCs w:val="22"/>
          <w:lang w:val="fr-FR"/>
        </w:rPr>
        <w:t xml:space="preserve"> </w:t>
      </w:r>
      <w:r w:rsidRPr="002A6D48">
        <w:rPr>
          <w:kern w:val="22"/>
          <w:szCs w:val="22"/>
          <w:lang w:val="fr-FR"/>
        </w:rPr>
        <w:t>membres</w:t>
      </w:r>
      <w:r w:rsidR="007D6BAB" w:rsidRPr="002A6D48">
        <w:rPr>
          <w:kern w:val="22"/>
          <w:szCs w:val="22"/>
          <w:lang w:val="fr-FR"/>
        </w:rPr>
        <w:t xml:space="preserve">), </w:t>
      </w:r>
      <w:r w:rsidRPr="002A6D48">
        <w:rPr>
          <w:kern w:val="22"/>
          <w:szCs w:val="22"/>
          <w:lang w:val="fr-FR"/>
        </w:rPr>
        <w:t>de l’Asi</w:t>
      </w:r>
      <w:r w:rsidR="00B8736D">
        <w:rPr>
          <w:kern w:val="22"/>
          <w:szCs w:val="22"/>
          <w:lang w:val="fr-FR"/>
        </w:rPr>
        <w:t xml:space="preserve">e </w:t>
      </w:r>
      <w:r w:rsidRPr="002A6D48">
        <w:rPr>
          <w:kern w:val="22"/>
          <w:szCs w:val="22"/>
          <w:lang w:val="fr-FR"/>
        </w:rPr>
        <w:t>et du Pacifique</w:t>
      </w:r>
      <w:r w:rsidR="007D6BAB" w:rsidRPr="002A6D48">
        <w:rPr>
          <w:kern w:val="22"/>
          <w:szCs w:val="22"/>
          <w:lang w:val="fr-FR"/>
        </w:rPr>
        <w:t xml:space="preserve"> (</w:t>
      </w:r>
      <w:r w:rsidRPr="002A6D48">
        <w:rPr>
          <w:kern w:val="22"/>
          <w:szCs w:val="22"/>
          <w:lang w:val="fr-FR"/>
        </w:rPr>
        <w:t>qu</w:t>
      </w:r>
      <w:r>
        <w:rPr>
          <w:kern w:val="22"/>
          <w:szCs w:val="22"/>
          <w:lang w:val="fr-FR"/>
        </w:rPr>
        <w:t>atre</w:t>
      </w:r>
      <w:r w:rsidR="007D6BAB" w:rsidRPr="002A6D48">
        <w:rPr>
          <w:kern w:val="22"/>
          <w:szCs w:val="22"/>
          <w:lang w:val="fr-FR"/>
        </w:rPr>
        <w:t xml:space="preserve"> </w:t>
      </w:r>
      <w:r w:rsidRPr="002A6D48">
        <w:rPr>
          <w:kern w:val="22"/>
          <w:szCs w:val="22"/>
          <w:lang w:val="fr-FR"/>
        </w:rPr>
        <w:t>membres</w:t>
      </w:r>
      <w:r w:rsidR="007D6BAB" w:rsidRPr="002A6D48">
        <w:rPr>
          <w:kern w:val="22"/>
          <w:szCs w:val="22"/>
          <w:lang w:val="fr-FR"/>
        </w:rPr>
        <w:t xml:space="preserve">), </w:t>
      </w:r>
      <w:r>
        <w:rPr>
          <w:kern w:val="22"/>
          <w:szCs w:val="22"/>
          <w:lang w:val="fr-FR"/>
        </w:rPr>
        <w:t xml:space="preserve">de l’Amérique latine et des </w:t>
      </w:r>
      <w:proofErr w:type="spellStart"/>
      <w:r>
        <w:rPr>
          <w:kern w:val="22"/>
          <w:szCs w:val="22"/>
          <w:lang w:val="fr-FR"/>
        </w:rPr>
        <w:t>Caraibes</w:t>
      </w:r>
      <w:proofErr w:type="spellEnd"/>
      <w:r w:rsidR="007D6BAB" w:rsidRPr="002A6D48">
        <w:rPr>
          <w:kern w:val="22"/>
          <w:szCs w:val="22"/>
          <w:lang w:val="fr-FR"/>
        </w:rPr>
        <w:t xml:space="preserve"> (</w:t>
      </w:r>
      <w:r>
        <w:rPr>
          <w:kern w:val="22"/>
          <w:szCs w:val="22"/>
          <w:lang w:val="fr-FR"/>
        </w:rPr>
        <w:t>quatre</w:t>
      </w:r>
      <w:r w:rsidR="007D6BAB" w:rsidRPr="002A6D48">
        <w:rPr>
          <w:kern w:val="22"/>
          <w:szCs w:val="22"/>
          <w:lang w:val="fr-FR"/>
        </w:rPr>
        <w:t> </w:t>
      </w:r>
      <w:r w:rsidRPr="002A6D48">
        <w:rPr>
          <w:kern w:val="22"/>
          <w:szCs w:val="22"/>
          <w:lang w:val="fr-FR"/>
        </w:rPr>
        <w:t>membres</w:t>
      </w:r>
      <w:r w:rsidR="007D6BAB" w:rsidRPr="002A6D48">
        <w:rPr>
          <w:kern w:val="22"/>
          <w:szCs w:val="22"/>
          <w:lang w:val="fr-FR"/>
        </w:rPr>
        <w:t xml:space="preserve">), </w:t>
      </w:r>
      <w:r>
        <w:rPr>
          <w:kern w:val="22"/>
          <w:szCs w:val="22"/>
          <w:lang w:val="fr-FR"/>
        </w:rPr>
        <w:t>de l’Europe centrale et orientale (deux</w:t>
      </w:r>
      <w:r w:rsidR="007D6BAB" w:rsidRPr="002A6D48">
        <w:rPr>
          <w:kern w:val="22"/>
          <w:szCs w:val="22"/>
          <w:lang w:val="fr-FR"/>
        </w:rPr>
        <w:t xml:space="preserve"> </w:t>
      </w:r>
      <w:r w:rsidRPr="002A6D48">
        <w:rPr>
          <w:kern w:val="22"/>
          <w:szCs w:val="22"/>
          <w:lang w:val="fr-FR"/>
        </w:rPr>
        <w:t>membres</w:t>
      </w:r>
      <w:r>
        <w:rPr>
          <w:kern w:val="22"/>
          <w:szCs w:val="22"/>
          <w:lang w:val="fr-FR"/>
        </w:rPr>
        <w:t xml:space="preserve"> (un de l’Union européenne</w:t>
      </w:r>
      <w:r w:rsidR="007D6BAB" w:rsidRPr="002A6D48">
        <w:rPr>
          <w:kern w:val="22"/>
          <w:szCs w:val="22"/>
          <w:lang w:val="fr-FR"/>
        </w:rPr>
        <w:t xml:space="preserve">)), </w:t>
      </w:r>
      <w:r>
        <w:rPr>
          <w:kern w:val="22"/>
          <w:szCs w:val="22"/>
          <w:lang w:val="fr-FR"/>
        </w:rPr>
        <w:t xml:space="preserve">du Groupe des pays de l’Europe occidentale et autres </w:t>
      </w:r>
      <w:r w:rsidR="007D6BAB" w:rsidRPr="002A6D48">
        <w:rPr>
          <w:kern w:val="22"/>
          <w:szCs w:val="22"/>
          <w:lang w:val="fr-FR"/>
        </w:rPr>
        <w:t>(</w:t>
      </w:r>
      <w:r>
        <w:rPr>
          <w:kern w:val="22"/>
          <w:szCs w:val="22"/>
          <w:lang w:val="fr-FR"/>
        </w:rPr>
        <w:t>quatre membres</w:t>
      </w:r>
      <w:r w:rsidR="007D6BAB" w:rsidRPr="002A6D48">
        <w:rPr>
          <w:kern w:val="22"/>
          <w:szCs w:val="22"/>
          <w:lang w:val="fr-FR"/>
        </w:rPr>
        <w:t xml:space="preserve"> (</w:t>
      </w:r>
      <w:r>
        <w:rPr>
          <w:kern w:val="22"/>
          <w:szCs w:val="22"/>
          <w:lang w:val="fr-FR"/>
        </w:rPr>
        <w:t xml:space="preserve">deux </w:t>
      </w:r>
      <w:r w:rsidR="00A25299">
        <w:rPr>
          <w:kern w:val="22"/>
          <w:szCs w:val="22"/>
          <w:lang w:val="fr-FR"/>
        </w:rPr>
        <w:t>de l’Union européenne et deux du</w:t>
      </w:r>
      <w:r>
        <w:rPr>
          <w:kern w:val="22"/>
          <w:szCs w:val="22"/>
          <w:lang w:val="fr-FR"/>
        </w:rPr>
        <w:t xml:space="preserve"> J</w:t>
      </w:r>
      <w:r w:rsidR="007D6BAB" w:rsidRPr="002A6D48">
        <w:rPr>
          <w:kern w:val="22"/>
          <w:szCs w:val="22"/>
          <w:lang w:val="fr-FR"/>
        </w:rPr>
        <w:t xml:space="preserve">USCANZ)), </w:t>
      </w:r>
      <w:r w:rsidR="00B8736D">
        <w:rPr>
          <w:kern w:val="22"/>
          <w:szCs w:val="22"/>
          <w:lang w:val="fr-FR"/>
        </w:rPr>
        <w:t>et de la Commission européenne</w:t>
      </w:r>
      <w:r w:rsidR="007D6BAB" w:rsidRPr="002A6D48">
        <w:rPr>
          <w:kern w:val="22"/>
          <w:szCs w:val="22"/>
          <w:lang w:val="fr-FR"/>
        </w:rPr>
        <w:t xml:space="preserve"> (</w:t>
      </w:r>
      <w:r w:rsidR="00B8736D">
        <w:rPr>
          <w:kern w:val="22"/>
          <w:szCs w:val="22"/>
          <w:lang w:val="fr-FR"/>
        </w:rPr>
        <w:t>un membre</w:t>
      </w:r>
      <w:r w:rsidR="007D6BAB" w:rsidRPr="002A6D48">
        <w:rPr>
          <w:kern w:val="22"/>
          <w:szCs w:val="22"/>
          <w:lang w:val="fr-FR"/>
        </w:rPr>
        <w:t xml:space="preserve">). </w:t>
      </w:r>
      <w:r w:rsidR="00B8736D" w:rsidRPr="00B8736D">
        <w:rPr>
          <w:kern w:val="22"/>
          <w:szCs w:val="22"/>
          <w:lang w:val="fr-FR"/>
        </w:rPr>
        <w:t xml:space="preserve">La composition complète figure à l’annexe III du </w:t>
      </w:r>
      <w:r w:rsidR="00B8736D">
        <w:rPr>
          <w:kern w:val="22"/>
          <w:szCs w:val="22"/>
          <w:lang w:val="fr-FR"/>
        </w:rPr>
        <w:t xml:space="preserve">rapport du </w:t>
      </w:r>
      <w:r w:rsidR="007D6BAB" w:rsidRPr="00B8736D">
        <w:rPr>
          <w:kern w:val="22"/>
          <w:szCs w:val="22"/>
          <w:lang w:val="fr-FR"/>
        </w:rPr>
        <w:t>Group</w:t>
      </w:r>
      <w:r w:rsidR="00B8736D">
        <w:rPr>
          <w:kern w:val="22"/>
          <w:szCs w:val="22"/>
          <w:lang w:val="fr-FR"/>
        </w:rPr>
        <w:t>e</w:t>
      </w:r>
      <w:r w:rsidR="007D6BAB" w:rsidRPr="00B8736D">
        <w:rPr>
          <w:kern w:val="22"/>
          <w:szCs w:val="22"/>
          <w:lang w:val="fr-FR"/>
        </w:rPr>
        <w:t xml:space="preserve"> (CBD/SBI/2/INF/</w:t>
      </w:r>
      <w:r w:rsidR="00715E54" w:rsidRPr="00B8736D">
        <w:rPr>
          <w:kern w:val="22"/>
          <w:szCs w:val="22"/>
          <w:lang w:val="fr-FR"/>
        </w:rPr>
        <w:t>14</w:t>
      </w:r>
      <w:r w:rsidR="007D6BAB" w:rsidRPr="00B8736D">
        <w:rPr>
          <w:kern w:val="22"/>
          <w:szCs w:val="22"/>
          <w:lang w:val="fr-FR"/>
        </w:rPr>
        <w:t xml:space="preserve">). </w:t>
      </w:r>
      <w:r w:rsidR="00B8736D" w:rsidRPr="00B8736D">
        <w:rPr>
          <w:kern w:val="22"/>
          <w:szCs w:val="22"/>
          <w:lang w:val="fr-FR"/>
        </w:rPr>
        <w:t>Le Groupe a élu M.</w:t>
      </w:r>
      <w:r w:rsidR="00706F41" w:rsidRPr="00B8736D">
        <w:rPr>
          <w:kern w:val="22"/>
          <w:szCs w:val="22"/>
          <w:lang w:val="fr-FR"/>
        </w:rPr>
        <w:t xml:space="preserve"> </w:t>
      </w:r>
      <w:proofErr w:type="spellStart"/>
      <w:r w:rsidR="00706F41" w:rsidRPr="00B8736D">
        <w:rPr>
          <w:kern w:val="22"/>
          <w:szCs w:val="22"/>
          <w:lang w:val="fr-FR"/>
        </w:rPr>
        <w:t>Hesiquio</w:t>
      </w:r>
      <w:proofErr w:type="spellEnd"/>
      <w:r w:rsidR="00706F41" w:rsidRPr="00B8736D">
        <w:rPr>
          <w:kern w:val="22"/>
          <w:szCs w:val="22"/>
          <w:lang w:val="fr-FR"/>
        </w:rPr>
        <w:t xml:space="preserve"> </w:t>
      </w:r>
      <w:proofErr w:type="spellStart"/>
      <w:r w:rsidR="00706F41" w:rsidRPr="00B8736D">
        <w:rPr>
          <w:kern w:val="22"/>
          <w:szCs w:val="22"/>
          <w:lang w:val="fr-FR"/>
        </w:rPr>
        <w:t>Benitez</w:t>
      </w:r>
      <w:proofErr w:type="spellEnd"/>
      <w:r w:rsidR="00706F41" w:rsidRPr="00B8736D">
        <w:rPr>
          <w:kern w:val="22"/>
          <w:szCs w:val="22"/>
          <w:lang w:val="fr-FR"/>
        </w:rPr>
        <w:t xml:space="preserve"> </w:t>
      </w:r>
      <w:r w:rsidR="00B8736D" w:rsidRPr="00B8736D">
        <w:rPr>
          <w:kern w:val="22"/>
          <w:szCs w:val="22"/>
          <w:lang w:val="fr-FR"/>
        </w:rPr>
        <w:t xml:space="preserve">du </w:t>
      </w:r>
      <w:r w:rsidR="00A25299">
        <w:rPr>
          <w:kern w:val="22"/>
          <w:szCs w:val="22"/>
          <w:lang w:val="fr-FR"/>
        </w:rPr>
        <w:t>Mexique à</w:t>
      </w:r>
      <w:r w:rsidR="00B8736D" w:rsidRPr="00B8736D">
        <w:rPr>
          <w:kern w:val="22"/>
          <w:szCs w:val="22"/>
          <w:lang w:val="fr-FR"/>
        </w:rPr>
        <w:t xml:space="preserve"> sa prési</w:t>
      </w:r>
      <w:r w:rsidR="00B8736D">
        <w:rPr>
          <w:kern w:val="22"/>
          <w:szCs w:val="22"/>
          <w:lang w:val="fr-FR"/>
        </w:rPr>
        <w:t>dence</w:t>
      </w:r>
      <w:r w:rsidR="00706F41" w:rsidRPr="00B8736D">
        <w:rPr>
          <w:kern w:val="22"/>
          <w:szCs w:val="22"/>
          <w:lang w:val="fr-FR"/>
        </w:rPr>
        <w:t>.</w:t>
      </w:r>
    </w:p>
    <w:p w:rsidR="007D6BAB" w:rsidRPr="00B8736D" w:rsidRDefault="00B8736D"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B8736D">
        <w:rPr>
          <w:kern w:val="22"/>
          <w:szCs w:val="22"/>
          <w:lang w:val="fr-FR"/>
        </w:rPr>
        <w:t>Des e</w:t>
      </w:r>
      <w:r w:rsidR="007D6BAB" w:rsidRPr="00B8736D">
        <w:rPr>
          <w:kern w:val="22"/>
          <w:szCs w:val="22"/>
          <w:lang w:val="fr-FR"/>
        </w:rPr>
        <w:t xml:space="preserve">xperts </w:t>
      </w:r>
      <w:r w:rsidRPr="00B8736D">
        <w:rPr>
          <w:kern w:val="22"/>
          <w:szCs w:val="22"/>
          <w:lang w:val="fr-FR"/>
        </w:rPr>
        <w:t>du PNUE et du PNUE-</w:t>
      </w:r>
      <w:r w:rsidR="006E76D2" w:rsidRPr="00B8736D">
        <w:rPr>
          <w:kern w:val="22"/>
          <w:szCs w:val="22"/>
          <w:lang w:val="fr-FR"/>
        </w:rPr>
        <w:t>WCMC</w:t>
      </w:r>
      <w:r w:rsidR="00D42D76" w:rsidRPr="00B8736D">
        <w:rPr>
          <w:kern w:val="22"/>
          <w:szCs w:val="22"/>
          <w:lang w:val="fr-FR"/>
        </w:rPr>
        <w:t xml:space="preserve"> </w:t>
      </w:r>
      <w:r w:rsidRPr="00B8736D">
        <w:rPr>
          <w:kern w:val="22"/>
          <w:szCs w:val="22"/>
          <w:lang w:val="fr-FR"/>
        </w:rPr>
        <w:t>ont participé aux travaux et activités du groupe consultatif informel.</w:t>
      </w:r>
      <w:r w:rsidR="007D6BAB" w:rsidRPr="00B8736D">
        <w:rPr>
          <w:kern w:val="22"/>
          <w:szCs w:val="22"/>
          <w:lang w:val="fr-FR"/>
        </w:rPr>
        <w:t xml:space="preserve"> </w:t>
      </w:r>
      <w:r w:rsidRPr="00B8736D">
        <w:rPr>
          <w:kern w:val="22"/>
          <w:szCs w:val="22"/>
          <w:lang w:val="fr-FR"/>
        </w:rPr>
        <w:t xml:space="preserve">Le </w:t>
      </w:r>
      <w:r w:rsidR="007D6BAB" w:rsidRPr="00B8736D">
        <w:rPr>
          <w:kern w:val="22"/>
          <w:szCs w:val="22"/>
          <w:lang w:val="fr-FR"/>
        </w:rPr>
        <w:t>Group</w:t>
      </w:r>
      <w:r w:rsidRPr="00B8736D">
        <w:rPr>
          <w:kern w:val="22"/>
          <w:szCs w:val="22"/>
          <w:lang w:val="fr-FR"/>
        </w:rPr>
        <w:t>e</w:t>
      </w:r>
      <w:r w:rsidR="007D6BAB" w:rsidRPr="00B8736D">
        <w:rPr>
          <w:kern w:val="22"/>
          <w:szCs w:val="22"/>
          <w:lang w:val="fr-FR"/>
        </w:rPr>
        <w:t xml:space="preserve"> </w:t>
      </w:r>
      <w:r w:rsidRPr="00B8736D">
        <w:rPr>
          <w:kern w:val="22"/>
          <w:szCs w:val="22"/>
          <w:lang w:val="fr-FR"/>
        </w:rPr>
        <w:t xml:space="preserve">a examiné la nécessité d’identifier, de faire participer et de </w:t>
      </w:r>
      <w:r w:rsidR="007D6BAB" w:rsidRPr="00B8736D">
        <w:rPr>
          <w:kern w:val="22"/>
          <w:szCs w:val="22"/>
          <w:lang w:val="fr-FR"/>
        </w:rPr>
        <w:t>consult</w:t>
      </w:r>
      <w:r w:rsidRPr="00B8736D">
        <w:rPr>
          <w:kern w:val="22"/>
          <w:szCs w:val="22"/>
          <w:lang w:val="fr-FR"/>
        </w:rPr>
        <w:t>er d’autres experts pertinen</w:t>
      </w:r>
      <w:r>
        <w:rPr>
          <w:kern w:val="22"/>
          <w:szCs w:val="22"/>
          <w:lang w:val="fr-FR"/>
        </w:rPr>
        <w:t>ts m</w:t>
      </w:r>
      <w:r w:rsidRPr="00B8736D">
        <w:rPr>
          <w:kern w:val="22"/>
          <w:szCs w:val="22"/>
          <w:lang w:val="fr-FR"/>
        </w:rPr>
        <w:t>ais, compte tenu des compétences de</w:t>
      </w:r>
      <w:r>
        <w:rPr>
          <w:kern w:val="22"/>
          <w:szCs w:val="22"/>
          <w:lang w:val="fr-FR"/>
        </w:rPr>
        <w:t xml:space="preserve"> </w:t>
      </w:r>
      <w:r w:rsidRPr="00B8736D">
        <w:rPr>
          <w:kern w:val="22"/>
          <w:szCs w:val="22"/>
          <w:lang w:val="fr-FR"/>
        </w:rPr>
        <w:t>s</w:t>
      </w:r>
      <w:r>
        <w:rPr>
          <w:kern w:val="22"/>
          <w:szCs w:val="22"/>
          <w:lang w:val="fr-FR"/>
        </w:rPr>
        <w:t>es</w:t>
      </w:r>
      <w:r w:rsidRPr="00B8736D">
        <w:rPr>
          <w:kern w:val="22"/>
          <w:szCs w:val="22"/>
          <w:lang w:val="fr-FR"/>
        </w:rPr>
        <w:t xml:space="preserve"> membres</w:t>
      </w:r>
      <w:r>
        <w:rPr>
          <w:kern w:val="22"/>
          <w:szCs w:val="22"/>
          <w:lang w:val="fr-FR"/>
        </w:rPr>
        <w:t xml:space="preserve"> comme le montre l’annexe III</w:t>
      </w:r>
      <w:r w:rsidR="007D6BAB" w:rsidRPr="00B8736D">
        <w:rPr>
          <w:kern w:val="22"/>
          <w:szCs w:val="22"/>
          <w:lang w:val="fr-FR"/>
        </w:rPr>
        <w:t xml:space="preserve"> </w:t>
      </w:r>
      <w:r>
        <w:rPr>
          <w:kern w:val="22"/>
          <w:szCs w:val="22"/>
          <w:lang w:val="fr-FR"/>
        </w:rPr>
        <w:t>de son rapport</w:t>
      </w:r>
      <w:r w:rsidR="007D6BAB" w:rsidRPr="00B8736D">
        <w:rPr>
          <w:kern w:val="22"/>
          <w:szCs w:val="22"/>
          <w:lang w:val="fr-FR"/>
        </w:rPr>
        <w:t xml:space="preserve"> </w:t>
      </w:r>
      <w:r w:rsidR="007D6BAB" w:rsidRPr="00B8736D">
        <w:rPr>
          <w:color w:val="000000" w:themeColor="text1"/>
          <w:kern w:val="22"/>
          <w:szCs w:val="22"/>
          <w:lang w:val="fr-FR"/>
        </w:rPr>
        <w:t>(CBD/SBI/2/INF/</w:t>
      </w:r>
      <w:r w:rsidR="00715E54" w:rsidRPr="00B8736D">
        <w:rPr>
          <w:color w:val="000000" w:themeColor="text1"/>
          <w:kern w:val="22"/>
          <w:szCs w:val="22"/>
          <w:lang w:val="fr-FR"/>
        </w:rPr>
        <w:t>14</w:t>
      </w:r>
      <w:r w:rsidR="007D6BAB" w:rsidRPr="00B8736D">
        <w:rPr>
          <w:color w:val="000000" w:themeColor="text1"/>
          <w:kern w:val="22"/>
          <w:szCs w:val="22"/>
          <w:lang w:val="fr-FR"/>
        </w:rPr>
        <w:t>)</w:t>
      </w:r>
      <w:r w:rsidR="007D6BAB" w:rsidRPr="00B8736D">
        <w:rPr>
          <w:kern w:val="22"/>
          <w:szCs w:val="22"/>
          <w:lang w:val="fr-FR"/>
        </w:rPr>
        <w:t xml:space="preserve">, </w:t>
      </w:r>
      <w:r>
        <w:rPr>
          <w:kern w:val="22"/>
          <w:szCs w:val="22"/>
          <w:lang w:val="fr-FR"/>
        </w:rPr>
        <w:t xml:space="preserve">il a conclu qu’aucun autre expert </w:t>
      </w:r>
      <w:r w:rsidR="00037905">
        <w:rPr>
          <w:kern w:val="22"/>
          <w:szCs w:val="22"/>
          <w:lang w:val="fr-FR"/>
        </w:rPr>
        <w:t>n’</w:t>
      </w:r>
      <w:r>
        <w:rPr>
          <w:kern w:val="22"/>
          <w:szCs w:val="22"/>
          <w:lang w:val="fr-FR"/>
        </w:rPr>
        <w:t>était nécessaire pour exécuter son mandat.</w:t>
      </w:r>
    </w:p>
    <w:p w:rsidR="007D6BAB" w:rsidRPr="00304A01" w:rsidRDefault="00037905"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037905">
        <w:rPr>
          <w:kern w:val="22"/>
          <w:szCs w:val="22"/>
          <w:lang w:val="fr-FR"/>
        </w:rPr>
        <w:t>Avec le soutien du Secrétariat, l</w:t>
      </w:r>
      <w:r w:rsidR="007D6BAB" w:rsidRPr="00037905">
        <w:rPr>
          <w:kern w:val="22"/>
          <w:szCs w:val="22"/>
          <w:lang w:val="fr-FR"/>
        </w:rPr>
        <w:t xml:space="preserve">e </w:t>
      </w:r>
      <w:r w:rsidRPr="00037905">
        <w:rPr>
          <w:kern w:val="22"/>
          <w:szCs w:val="22"/>
          <w:lang w:val="fr-FR"/>
        </w:rPr>
        <w:t xml:space="preserve">groupe a effectué la majeure partie de son travail au moyen d’un système rentable de </w:t>
      </w:r>
      <w:r>
        <w:rPr>
          <w:kern w:val="22"/>
          <w:szCs w:val="22"/>
          <w:lang w:val="fr-FR"/>
        </w:rPr>
        <w:t>vidéoconfé</w:t>
      </w:r>
      <w:r w:rsidRPr="00037905">
        <w:rPr>
          <w:kern w:val="22"/>
          <w:szCs w:val="22"/>
          <w:lang w:val="fr-FR"/>
        </w:rPr>
        <w:t>rence en ligne</w:t>
      </w:r>
      <w:r w:rsidR="00706F41" w:rsidRPr="00037905">
        <w:rPr>
          <w:kern w:val="22"/>
          <w:szCs w:val="22"/>
          <w:lang w:val="fr-FR"/>
        </w:rPr>
        <w:t xml:space="preserve">, </w:t>
      </w:r>
      <w:r>
        <w:rPr>
          <w:kern w:val="22"/>
          <w:szCs w:val="22"/>
          <w:lang w:val="fr-FR"/>
        </w:rPr>
        <w:t>une réunion de deux jours en personne ayant été convoquée les 17 et 18 décembre 2017 à Montré</w:t>
      </w:r>
      <w:r w:rsidR="00706F41" w:rsidRPr="00037905">
        <w:rPr>
          <w:kern w:val="22"/>
          <w:szCs w:val="22"/>
          <w:lang w:val="fr-FR"/>
        </w:rPr>
        <w:t>al</w:t>
      </w:r>
      <w:r w:rsidR="007D6BAB" w:rsidRPr="00037905">
        <w:rPr>
          <w:kern w:val="22"/>
          <w:szCs w:val="22"/>
          <w:lang w:val="fr-FR"/>
        </w:rPr>
        <w:t xml:space="preserve">. </w:t>
      </w:r>
      <w:r>
        <w:rPr>
          <w:kern w:val="22"/>
          <w:szCs w:val="22"/>
          <w:lang w:val="fr-FR"/>
        </w:rPr>
        <w:t xml:space="preserve">Des réunions en ligne ont eu lieu le </w:t>
      </w:r>
      <w:r w:rsidRPr="00037905">
        <w:rPr>
          <w:kern w:val="22"/>
          <w:szCs w:val="22"/>
          <w:lang w:val="fr-FR"/>
        </w:rPr>
        <w:t>7 dé</w:t>
      </w:r>
      <w:r>
        <w:rPr>
          <w:kern w:val="22"/>
          <w:szCs w:val="22"/>
          <w:lang w:val="fr-FR"/>
        </w:rPr>
        <w:t>cembre</w:t>
      </w:r>
      <w:r w:rsidR="0094289E" w:rsidRPr="00037905">
        <w:rPr>
          <w:kern w:val="22"/>
          <w:szCs w:val="22"/>
          <w:lang w:val="fr-FR"/>
        </w:rPr>
        <w:t xml:space="preserve"> 2017, </w:t>
      </w:r>
      <w:r>
        <w:rPr>
          <w:kern w:val="22"/>
          <w:szCs w:val="22"/>
          <w:lang w:val="fr-FR"/>
        </w:rPr>
        <w:t xml:space="preserve">le </w:t>
      </w:r>
      <w:r w:rsidR="0094289E" w:rsidRPr="00037905">
        <w:rPr>
          <w:kern w:val="22"/>
          <w:szCs w:val="22"/>
          <w:lang w:val="fr-FR"/>
        </w:rPr>
        <w:t xml:space="preserve">7 </w:t>
      </w:r>
      <w:r>
        <w:rPr>
          <w:kern w:val="22"/>
          <w:szCs w:val="22"/>
          <w:lang w:val="fr-FR"/>
        </w:rPr>
        <w:t>février</w:t>
      </w:r>
      <w:r w:rsidR="0094289E" w:rsidRPr="00037905">
        <w:rPr>
          <w:kern w:val="22"/>
          <w:szCs w:val="22"/>
          <w:lang w:val="fr-FR"/>
        </w:rPr>
        <w:t xml:space="preserve"> 2018, </w:t>
      </w:r>
      <w:r>
        <w:rPr>
          <w:kern w:val="22"/>
          <w:szCs w:val="22"/>
          <w:lang w:val="fr-FR"/>
        </w:rPr>
        <w:t xml:space="preserve">le </w:t>
      </w:r>
      <w:r w:rsidR="0094289E" w:rsidRPr="00037905">
        <w:rPr>
          <w:kern w:val="22"/>
          <w:szCs w:val="22"/>
          <w:lang w:val="fr-FR"/>
        </w:rPr>
        <w:t xml:space="preserve">15 </w:t>
      </w:r>
      <w:r>
        <w:rPr>
          <w:kern w:val="22"/>
          <w:szCs w:val="22"/>
          <w:lang w:val="fr-FR"/>
        </w:rPr>
        <w:t>mars</w:t>
      </w:r>
      <w:r w:rsidR="0094289E" w:rsidRPr="00037905">
        <w:rPr>
          <w:kern w:val="22"/>
          <w:szCs w:val="22"/>
          <w:lang w:val="fr-FR"/>
        </w:rPr>
        <w:t xml:space="preserve"> 2018 </w:t>
      </w:r>
      <w:r>
        <w:rPr>
          <w:kern w:val="22"/>
          <w:szCs w:val="22"/>
          <w:lang w:val="fr-FR"/>
        </w:rPr>
        <w:t>et le 30 avr</w:t>
      </w:r>
      <w:r w:rsidR="0094289E" w:rsidRPr="00037905">
        <w:rPr>
          <w:kern w:val="22"/>
          <w:szCs w:val="22"/>
          <w:lang w:val="fr-FR"/>
        </w:rPr>
        <w:t>il 2018</w:t>
      </w:r>
      <w:r w:rsidR="00706F41" w:rsidRPr="00037905">
        <w:rPr>
          <w:kern w:val="22"/>
          <w:szCs w:val="22"/>
          <w:lang w:val="fr-FR"/>
        </w:rPr>
        <w:t>.</w:t>
      </w:r>
      <w:r w:rsidR="007D6BAB" w:rsidRPr="00037905">
        <w:rPr>
          <w:kern w:val="22"/>
          <w:szCs w:val="22"/>
          <w:lang w:val="fr-FR"/>
        </w:rPr>
        <w:t xml:space="preserve"> </w:t>
      </w:r>
      <w:r w:rsidR="00304A01" w:rsidRPr="00304A01">
        <w:rPr>
          <w:kern w:val="22"/>
          <w:szCs w:val="22"/>
          <w:lang w:val="fr-FR"/>
        </w:rPr>
        <w:t>Une équipe de quatre</w:t>
      </w:r>
      <w:r w:rsidR="00602DB5" w:rsidRPr="00304A01">
        <w:rPr>
          <w:kern w:val="22"/>
          <w:szCs w:val="22"/>
          <w:lang w:val="fr-FR"/>
        </w:rPr>
        <w:t xml:space="preserve"> </w:t>
      </w:r>
      <w:r w:rsidR="002A6D48" w:rsidRPr="00304A01">
        <w:rPr>
          <w:kern w:val="22"/>
          <w:szCs w:val="22"/>
          <w:lang w:val="fr-FR"/>
        </w:rPr>
        <w:t>membres</w:t>
      </w:r>
      <w:r w:rsidR="00602DB5" w:rsidRPr="00304A01">
        <w:rPr>
          <w:kern w:val="22"/>
          <w:szCs w:val="22"/>
          <w:lang w:val="fr-FR"/>
        </w:rPr>
        <w:t xml:space="preserve"> </w:t>
      </w:r>
      <w:r w:rsidR="00304A01" w:rsidRPr="00304A01">
        <w:rPr>
          <w:kern w:val="22"/>
          <w:szCs w:val="22"/>
          <w:lang w:val="fr-FR"/>
        </w:rPr>
        <w:t>désignée pour remplir quelques t</w:t>
      </w:r>
      <w:r w:rsidR="00304A01">
        <w:rPr>
          <w:kern w:val="22"/>
          <w:szCs w:val="22"/>
          <w:lang w:val="fr-FR"/>
        </w:rPr>
        <w:t>âches restantes a tenu une réunion en ligne le 7 mai</w:t>
      </w:r>
      <w:r w:rsidR="00602DB5" w:rsidRPr="00304A01">
        <w:rPr>
          <w:kern w:val="22"/>
          <w:szCs w:val="22"/>
          <w:lang w:val="fr-FR"/>
        </w:rPr>
        <w:t xml:space="preserve"> 2018.</w:t>
      </w:r>
    </w:p>
    <w:p w:rsidR="007770D1" w:rsidRPr="00455364" w:rsidRDefault="007770D1" w:rsidP="00883A1C">
      <w:pPr>
        <w:keepNext/>
        <w:suppressLineNumbers/>
        <w:suppressAutoHyphens/>
        <w:kinsoku w:val="0"/>
        <w:overflowPunct w:val="0"/>
        <w:autoSpaceDE w:val="0"/>
        <w:autoSpaceDN w:val="0"/>
        <w:adjustRightInd w:val="0"/>
        <w:snapToGrid w:val="0"/>
        <w:spacing w:before="120" w:after="120" w:line="238" w:lineRule="auto"/>
        <w:ind w:left="1714" w:right="432" w:hanging="432"/>
        <w:jc w:val="left"/>
        <w:outlineLvl w:val="2"/>
        <w:rPr>
          <w:i/>
          <w:kern w:val="22"/>
          <w:szCs w:val="22"/>
          <w:lang w:val="fr-FR"/>
        </w:rPr>
      </w:pPr>
      <w:r w:rsidRPr="00455364">
        <w:rPr>
          <w:i/>
          <w:kern w:val="22"/>
          <w:szCs w:val="22"/>
          <w:lang w:val="fr-FR"/>
        </w:rPr>
        <w:t>2.</w:t>
      </w:r>
      <w:r w:rsidRPr="00455364">
        <w:rPr>
          <w:i/>
          <w:kern w:val="22"/>
          <w:szCs w:val="22"/>
          <w:lang w:val="fr-FR"/>
        </w:rPr>
        <w:tab/>
        <w:t>Formulati</w:t>
      </w:r>
      <w:r w:rsidR="00455364" w:rsidRPr="00455364">
        <w:rPr>
          <w:i/>
          <w:kern w:val="22"/>
          <w:szCs w:val="22"/>
          <w:lang w:val="fr-FR"/>
        </w:rPr>
        <w:t xml:space="preserve">on d’avis sur la priorisation des mesures figurant dans le tableau </w:t>
      </w:r>
      <w:r w:rsidR="00455364">
        <w:rPr>
          <w:i/>
          <w:kern w:val="22"/>
          <w:szCs w:val="22"/>
          <w:lang w:val="fr-FR"/>
        </w:rPr>
        <w:t>q</w:t>
      </w:r>
      <w:r w:rsidR="00455364" w:rsidRPr="00455364">
        <w:rPr>
          <w:i/>
          <w:kern w:val="22"/>
          <w:szCs w:val="22"/>
          <w:lang w:val="fr-FR"/>
        </w:rPr>
        <w:t>ue contient</w:t>
      </w:r>
      <w:r w:rsidR="00455364">
        <w:rPr>
          <w:i/>
          <w:kern w:val="22"/>
          <w:szCs w:val="22"/>
          <w:lang w:val="fr-FR"/>
        </w:rPr>
        <w:t xml:space="preserve"> l’annexe</w:t>
      </w:r>
      <w:r w:rsidRPr="00455364">
        <w:rPr>
          <w:i/>
          <w:kern w:val="22"/>
          <w:szCs w:val="22"/>
          <w:lang w:val="fr-FR"/>
        </w:rPr>
        <w:t xml:space="preserve"> II </w:t>
      </w:r>
      <w:r w:rsidR="00455364">
        <w:rPr>
          <w:i/>
          <w:kern w:val="22"/>
          <w:szCs w:val="22"/>
          <w:lang w:val="fr-FR"/>
        </w:rPr>
        <w:t>de la dé</w:t>
      </w:r>
      <w:r w:rsidRPr="00455364">
        <w:rPr>
          <w:i/>
          <w:kern w:val="22"/>
          <w:szCs w:val="22"/>
          <w:lang w:val="fr-FR"/>
        </w:rPr>
        <w:t xml:space="preserve">cision XIII/24 </w:t>
      </w:r>
      <w:r w:rsidR="00455364">
        <w:rPr>
          <w:i/>
          <w:kern w:val="22"/>
          <w:szCs w:val="22"/>
          <w:lang w:val="fr-FR"/>
        </w:rPr>
        <w:t>et sur l’exécution des mesures jugées prioritaires</w:t>
      </w:r>
    </w:p>
    <w:p w:rsidR="007D6BAB" w:rsidRPr="00455364" w:rsidRDefault="00455364" w:rsidP="00883A1C">
      <w:pPr>
        <w:numPr>
          <w:ilvl w:val="0"/>
          <w:numId w:val="6"/>
        </w:numPr>
        <w:suppressLineNumbers/>
        <w:tabs>
          <w:tab w:val="num" w:pos="1800"/>
        </w:tabs>
        <w:suppressAutoHyphens/>
        <w:kinsoku w:val="0"/>
        <w:overflowPunct w:val="0"/>
        <w:autoSpaceDE w:val="0"/>
        <w:autoSpaceDN w:val="0"/>
        <w:adjustRightInd w:val="0"/>
        <w:snapToGrid w:val="0"/>
        <w:spacing w:before="120" w:after="120" w:line="238" w:lineRule="auto"/>
        <w:rPr>
          <w:kern w:val="22"/>
          <w:szCs w:val="22"/>
          <w:lang w:val="fr-FR"/>
        </w:rPr>
      </w:pPr>
      <w:r w:rsidRPr="00455364">
        <w:rPr>
          <w:kern w:val="22"/>
          <w:szCs w:val="22"/>
          <w:lang w:val="fr-FR"/>
        </w:rPr>
        <w:t>Pour remplir son mandat</w:t>
      </w:r>
      <w:r w:rsidR="007D6BAB" w:rsidRPr="00455364">
        <w:rPr>
          <w:kern w:val="22"/>
          <w:szCs w:val="22"/>
          <w:lang w:val="fr-FR"/>
        </w:rPr>
        <w:t xml:space="preserve">, </w:t>
      </w:r>
      <w:r w:rsidR="00A25299">
        <w:rPr>
          <w:kern w:val="22"/>
          <w:szCs w:val="22"/>
          <w:lang w:val="fr-FR"/>
        </w:rPr>
        <w:t>l</w:t>
      </w:r>
      <w:r w:rsidR="007D6BAB" w:rsidRPr="00455364">
        <w:rPr>
          <w:kern w:val="22"/>
          <w:szCs w:val="22"/>
          <w:lang w:val="fr-FR"/>
        </w:rPr>
        <w:t xml:space="preserve">e </w:t>
      </w:r>
      <w:r w:rsidR="00A80D17" w:rsidRPr="00455364">
        <w:rPr>
          <w:kern w:val="22"/>
          <w:szCs w:val="22"/>
          <w:lang w:val="fr-FR"/>
        </w:rPr>
        <w:t>groupe consultatif informel</w:t>
      </w:r>
      <w:r w:rsidR="007D6BAB" w:rsidRPr="00455364">
        <w:rPr>
          <w:kern w:val="22"/>
          <w:szCs w:val="22"/>
          <w:lang w:val="fr-FR"/>
        </w:rPr>
        <w:t xml:space="preserve"> </w:t>
      </w:r>
      <w:r w:rsidRPr="00455364">
        <w:rPr>
          <w:kern w:val="22"/>
          <w:szCs w:val="22"/>
          <w:lang w:val="fr-FR"/>
        </w:rPr>
        <w:t>a, ave</w:t>
      </w:r>
      <w:r>
        <w:rPr>
          <w:kern w:val="22"/>
          <w:szCs w:val="22"/>
          <w:lang w:val="fr-FR"/>
        </w:rPr>
        <w:t xml:space="preserve">c </w:t>
      </w:r>
      <w:r w:rsidRPr="00455364">
        <w:rPr>
          <w:kern w:val="22"/>
          <w:szCs w:val="22"/>
          <w:lang w:val="fr-FR"/>
        </w:rPr>
        <w:t xml:space="preserve">l’appui du Secrétariat, </w:t>
      </w:r>
      <w:r>
        <w:rPr>
          <w:kern w:val="22"/>
          <w:szCs w:val="22"/>
          <w:lang w:val="fr-FR"/>
        </w:rPr>
        <w:t>exécuté</w:t>
      </w:r>
      <w:r w:rsidR="00DE596C">
        <w:rPr>
          <w:kern w:val="22"/>
          <w:szCs w:val="22"/>
          <w:lang w:val="fr-FR"/>
        </w:rPr>
        <w:t xml:space="preserve"> les tâ</w:t>
      </w:r>
      <w:r w:rsidRPr="00455364">
        <w:rPr>
          <w:kern w:val="22"/>
          <w:szCs w:val="22"/>
          <w:lang w:val="fr-FR"/>
        </w:rPr>
        <w:t xml:space="preserve">ches suivantes </w:t>
      </w:r>
      <w:r w:rsidR="007D6BAB" w:rsidRPr="00455364">
        <w:rPr>
          <w:kern w:val="22"/>
          <w:szCs w:val="22"/>
          <w:lang w:val="fr-FR"/>
        </w:rPr>
        <w:t>:</w:t>
      </w:r>
    </w:p>
    <w:p w:rsidR="007D6BAB" w:rsidRPr="00A852E0" w:rsidRDefault="00372025" w:rsidP="00A852E0">
      <w:pPr>
        <w:pStyle w:val="Paragraphedeliste"/>
        <w:numPr>
          <w:ilvl w:val="0"/>
          <w:numId w:val="42"/>
        </w:numPr>
        <w:suppressLineNumbers/>
        <w:suppressAutoHyphens/>
        <w:kinsoku w:val="0"/>
        <w:overflowPunct w:val="0"/>
        <w:autoSpaceDE w:val="0"/>
        <w:autoSpaceDN w:val="0"/>
        <w:adjustRightInd w:val="0"/>
        <w:snapToGrid w:val="0"/>
        <w:spacing w:after="120" w:line="238" w:lineRule="auto"/>
        <w:rPr>
          <w:kern w:val="22"/>
          <w:szCs w:val="22"/>
          <w:lang w:val="fr-FR"/>
        </w:rPr>
      </w:pPr>
      <w:r>
        <w:rPr>
          <w:snapToGrid w:val="0"/>
          <w:kern w:val="22"/>
          <w:szCs w:val="22"/>
          <w:lang w:val="fr-FR"/>
        </w:rPr>
        <w:t>é</w:t>
      </w:r>
      <w:r w:rsidR="00455364" w:rsidRPr="00A852E0">
        <w:rPr>
          <w:snapToGrid w:val="0"/>
          <w:kern w:val="22"/>
          <w:szCs w:val="22"/>
          <w:lang w:val="fr-FR"/>
        </w:rPr>
        <w:t>laboré un processus de conduite de ses travaux</w:t>
      </w:r>
      <w:r w:rsidR="007D6BAB" w:rsidRPr="00A852E0">
        <w:rPr>
          <w:kern w:val="22"/>
          <w:szCs w:val="22"/>
          <w:lang w:val="fr-FR"/>
        </w:rPr>
        <w:t>;</w:t>
      </w:r>
    </w:p>
    <w:p w:rsidR="007D6BAB" w:rsidRPr="00455364"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a</w:t>
      </w:r>
      <w:r w:rsidR="00455364">
        <w:rPr>
          <w:snapToGrid w:val="0"/>
          <w:kern w:val="22"/>
          <w:szCs w:val="22"/>
          <w:lang w:val="fr-FR"/>
        </w:rPr>
        <w:t xml:space="preserve">nalysé les </w:t>
      </w:r>
      <w:r w:rsidR="000E696D">
        <w:rPr>
          <w:snapToGrid w:val="0"/>
          <w:kern w:val="22"/>
          <w:szCs w:val="22"/>
          <w:lang w:val="fr-FR"/>
        </w:rPr>
        <w:t>principales mesures souhaitables</w:t>
      </w:r>
      <w:r w:rsidR="00455364">
        <w:rPr>
          <w:snapToGrid w:val="0"/>
          <w:kern w:val="22"/>
          <w:szCs w:val="22"/>
          <w:lang w:val="fr-FR"/>
        </w:rPr>
        <w:t xml:space="preserve"> contenues dans le tableau de l’annexe II de la dé</w:t>
      </w:r>
      <w:r w:rsidR="007D6BAB" w:rsidRPr="00455364">
        <w:rPr>
          <w:kern w:val="22"/>
          <w:szCs w:val="22"/>
          <w:lang w:val="fr-FR"/>
        </w:rPr>
        <w:t>cision XIII/24;</w:t>
      </w:r>
    </w:p>
    <w:p w:rsidR="007D6BAB" w:rsidRPr="00455364"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é</w:t>
      </w:r>
      <w:r w:rsidR="00455364">
        <w:rPr>
          <w:snapToGrid w:val="0"/>
          <w:kern w:val="22"/>
          <w:szCs w:val="22"/>
          <w:lang w:val="fr-FR"/>
        </w:rPr>
        <w:t xml:space="preserve">laboré des notes contenant des </w:t>
      </w:r>
      <w:r w:rsidR="000D052B" w:rsidRPr="00455364">
        <w:rPr>
          <w:kern w:val="22"/>
          <w:szCs w:val="22"/>
          <w:lang w:val="fr-FR"/>
        </w:rPr>
        <w:t xml:space="preserve">observations </w:t>
      </w:r>
      <w:r w:rsidR="00455364" w:rsidRPr="00455364">
        <w:rPr>
          <w:kern w:val="22"/>
          <w:szCs w:val="22"/>
          <w:lang w:val="fr-FR"/>
        </w:rPr>
        <w:t>et</w:t>
      </w:r>
      <w:r w:rsidR="000D052B" w:rsidRPr="00455364">
        <w:rPr>
          <w:kern w:val="22"/>
          <w:szCs w:val="22"/>
          <w:lang w:val="fr-FR"/>
        </w:rPr>
        <w:t xml:space="preserve"> </w:t>
      </w:r>
      <w:r w:rsidR="007D6BAB" w:rsidRPr="00455364">
        <w:rPr>
          <w:kern w:val="22"/>
          <w:szCs w:val="22"/>
          <w:lang w:val="fr-FR"/>
        </w:rPr>
        <w:t xml:space="preserve">suggestions </w:t>
      </w:r>
      <w:r w:rsidR="00455364" w:rsidRPr="00455364">
        <w:rPr>
          <w:kern w:val="22"/>
          <w:szCs w:val="22"/>
          <w:lang w:val="fr-FR"/>
        </w:rPr>
        <w:t xml:space="preserve">concernant l’exécution des </w:t>
      </w:r>
      <w:r w:rsidR="000E696D">
        <w:rPr>
          <w:kern w:val="22"/>
          <w:szCs w:val="22"/>
          <w:lang w:val="fr-FR"/>
        </w:rPr>
        <w:t>principales mesures souhaitables</w:t>
      </w:r>
      <w:r w:rsidR="007D6BAB" w:rsidRPr="00455364">
        <w:rPr>
          <w:kern w:val="22"/>
          <w:szCs w:val="22"/>
          <w:lang w:val="fr-FR"/>
        </w:rPr>
        <w:t>;</w:t>
      </w:r>
    </w:p>
    <w:p w:rsidR="007D6BAB" w:rsidRPr="00505D07"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e</w:t>
      </w:r>
      <w:r w:rsidR="00505D07">
        <w:rPr>
          <w:snapToGrid w:val="0"/>
          <w:kern w:val="22"/>
          <w:szCs w:val="22"/>
          <w:lang w:val="fr-FR"/>
        </w:rPr>
        <w:t xml:space="preserve">xaminé les difficultés et goulets d’étranglement potentiels dans l’exécution des </w:t>
      </w:r>
      <w:r w:rsidR="000E696D">
        <w:rPr>
          <w:snapToGrid w:val="0"/>
          <w:kern w:val="22"/>
          <w:szCs w:val="22"/>
          <w:lang w:val="fr-FR"/>
        </w:rPr>
        <w:t>principales mesures souhaitables</w:t>
      </w:r>
      <w:r w:rsidR="007D6BAB" w:rsidRPr="00505D07">
        <w:rPr>
          <w:kern w:val="22"/>
          <w:szCs w:val="22"/>
          <w:lang w:val="fr-FR"/>
        </w:rPr>
        <w:t>;</w:t>
      </w:r>
    </w:p>
    <w:p w:rsidR="007D6BAB" w:rsidRPr="00505D07"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p</w:t>
      </w:r>
      <w:r w:rsidR="00505D07">
        <w:rPr>
          <w:snapToGrid w:val="0"/>
          <w:kern w:val="22"/>
          <w:szCs w:val="22"/>
          <w:lang w:val="fr-FR"/>
        </w:rPr>
        <w:t xml:space="preserve">riorisé les mesures en classant les </w:t>
      </w:r>
      <w:r w:rsidR="000E696D">
        <w:rPr>
          <w:snapToGrid w:val="0"/>
          <w:kern w:val="22"/>
          <w:szCs w:val="22"/>
          <w:lang w:val="fr-FR"/>
        </w:rPr>
        <w:t>principales mesures souhaitables</w:t>
      </w:r>
      <w:r w:rsidR="007D6BAB" w:rsidRPr="00505D07">
        <w:rPr>
          <w:kern w:val="22"/>
          <w:szCs w:val="22"/>
          <w:lang w:val="fr-FR"/>
        </w:rPr>
        <w:t>;</w:t>
      </w:r>
    </w:p>
    <w:p w:rsidR="007D6BAB" w:rsidRPr="00505D07"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i</w:t>
      </w:r>
      <w:r w:rsidR="007D6BAB" w:rsidRPr="00505D07">
        <w:rPr>
          <w:kern w:val="22"/>
          <w:szCs w:val="22"/>
          <w:lang w:val="fr-FR"/>
        </w:rPr>
        <w:t>dentifi</w:t>
      </w:r>
      <w:r w:rsidR="00505D07" w:rsidRPr="00505D07">
        <w:rPr>
          <w:kern w:val="22"/>
          <w:szCs w:val="22"/>
          <w:lang w:val="fr-FR"/>
        </w:rPr>
        <w:t>é</w:t>
      </w:r>
      <w:r w:rsidR="007D6BAB" w:rsidRPr="00505D07">
        <w:rPr>
          <w:kern w:val="22"/>
          <w:szCs w:val="22"/>
          <w:lang w:val="fr-FR"/>
        </w:rPr>
        <w:t xml:space="preserve"> </w:t>
      </w:r>
      <w:r w:rsidR="00505D07" w:rsidRPr="00505D07">
        <w:rPr>
          <w:kern w:val="22"/>
          <w:szCs w:val="22"/>
          <w:lang w:val="fr-FR"/>
        </w:rPr>
        <w:t xml:space="preserve">les activités pertinentes s’ajoutant aux </w:t>
      </w:r>
      <w:r w:rsidR="000E696D">
        <w:rPr>
          <w:kern w:val="22"/>
          <w:szCs w:val="22"/>
          <w:lang w:val="fr-FR"/>
        </w:rPr>
        <w:t>principales mesures souhaitables</w:t>
      </w:r>
      <w:r w:rsidR="00505D07" w:rsidRPr="00505D07">
        <w:rPr>
          <w:kern w:val="22"/>
          <w:szCs w:val="22"/>
          <w:lang w:val="fr-FR"/>
        </w:rPr>
        <w:t xml:space="preserve"> qui pourraient compléter leurs objectifs et y contribuer</w:t>
      </w:r>
      <w:r w:rsidR="007D6BAB" w:rsidRPr="00505D07">
        <w:rPr>
          <w:kern w:val="22"/>
          <w:szCs w:val="22"/>
          <w:lang w:val="fr-FR"/>
        </w:rPr>
        <w:t>;</w:t>
      </w:r>
    </w:p>
    <w:p w:rsidR="007D6BAB" w:rsidRPr="00505D07"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examiné</w:t>
      </w:r>
      <w:r w:rsidR="00505D07" w:rsidRPr="00505D07">
        <w:rPr>
          <w:snapToGrid w:val="0"/>
          <w:kern w:val="22"/>
          <w:szCs w:val="22"/>
          <w:lang w:val="fr-FR"/>
        </w:rPr>
        <w:t xml:space="preserve"> les résultats des travaux effectués en</w:t>
      </w:r>
      <w:r w:rsidR="00706F41" w:rsidRPr="00505D07">
        <w:rPr>
          <w:kern w:val="22"/>
          <w:szCs w:val="22"/>
          <w:lang w:val="fr-FR"/>
        </w:rPr>
        <w:t xml:space="preserve"> collaboration </w:t>
      </w:r>
      <w:r w:rsidR="00505D07" w:rsidRPr="00505D07">
        <w:rPr>
          <w:kern w:val="22"/>
          <w:szCs w:val="22"/>
          <w:lang w:val="fr-FR"/>
        </w:rPr>
        <w:t>par le Secré</w:t>
      </w:r>
      <w:r w:rsidR="00706F41" w:rsidRPr="00505D07">
        <w:rPr>
          <w:kern w:val="22"/>
          <w:szCs w:val="22"/>
          <w:lang w:val="fr-FR"/>
        </w:rPr>
        <w:t xml:space="preserve">tariat, </w:t>
      </w:r>
      <w:r w:rsidR="00505D07">
        <w:rPr>
          <w:kern w:val="22"/>
          <w:szCs w:val="22"/>
          <w:lang w:val="fr-FR"/>
        </w:rPr>
        <w:t>le PNUE et le PNUE</w:t>
      </w:r>
      <w:r w:rsidR="00706F41" w:rsidRPr="00505D07">
        <w:rPr>
          <w:kern w:val="22"/>
          <w:szCs w:val="22"/>
          <w:lang w:val="fr-FR"/>
        </w:rPr>
        <w:t>-WCMC</w:t>
      </w:r>
      <w:r w:rsidR="007D6BAB" w:rsidRPr="00505D07">
        <w:rPr>
          <w:kern w:val="22"/>
          <w:szCs w:val="22"/>
          <w:lang w:val="fr-FR"/>
        </w:rPr>
        <w:t xml:space="preserve"> </w:t>
      </w:r>
      <w:r w:rsidR="00505D07">
        <w:rPr>
          <w:kern w:val="22"/>
          <w:szCs w:val="22"/>
          <w:lang w:val="fr-FR"/>
        </w:rPr>
        <w:t>à l’appui de mesures clés de la feuille de route</w:t>
      </w:r>
      <w:r w:rsidR="000D052B" w:rsidRPr="00505D07">
        <w:rPr>
          <w:kern w:val="22"/>
          <w:szCs w:val="22"/>
          <w:lang w:val="fr-FR"/>
        </w:rPr>
        <w:t>,</w:t>
      </w:r>
      <w:r w:rsidR="007D6BAB" w:rsidRPr="00505D07">
        <w:rPr>
          <w:kern w:val="22"/>
          <w:szCs w:val="22"/>
          <w:lang w:val="fr-FR"/>
        </w:rPr>
        <w:t xml:space="preserve"> 2017-2020 (</w:t>
      </w:r>
      <w:r w:rsidR="00BB0EE6" w:rsidRPr="00505D07">
        <w:rPr>
          <w:snapToGrid w:val="0"/>
          <w:kern w:val="22"/>
          <w:szCs w:val="22"/>
          <w:lang w:val="fr-FR"/>
        </w:rPr>
        <w:t>s</w:t>
      </w:r>
      <w:r w:rsidR="00706F41" w:rsidRPr="00505D07">
        <w:rPr>
          <w:kern w:val="22"/>
          <w:szCs w:val="22"/>
          <w:lang w:val="fr-FR"/>
        </w:rPr>
        <w:t>ection II</w:t>
      </w:r>
      <w:r w:rsidR="000D052B" w:rsidRPr="00505D07">
        <w:rPr>
          <w:kern w:val="22"/>
          <w:szCs w:val="22"/>
          <w:lang w:val="fr-FR"/>
        </w:rPr>
        <w:t xml:space="preserve">I </w:t>
      </w:r>
      <w:r w:rsidR="00505D07">
        <w:rPr>
          <w:kern w:val="22"/>
          <w:szCs w:val="22"/>
          <w:lang w:val="fr-FR"/>
        </w:rPr>
        <w:t xml:space="preserve">ci-dessus et </w:t>
      </w:r>
      <w:r w:rsidR="007D6BAB" w:rsidRPr="00505D07">
        <w:rPr>
          <w:kern w:val="22"/>
          <w:szCs w:val="22"/>
          <w:lang w:val="fr-FR"/>
        </w:rPr>
        <w:t>CBD/SBI/2/INF/</w:t>
      </w:r>
      <w:r w:rsidR="00715E54" w:rsidRPr="00505D07">
        <w:rPr>
          <w:kern w:val="22"/>
          <w:szCs w:val="22"/>
          <w:lang w:val="fr-FR"/>
        </w:rPr>
        <w:t>13</w:t>
      </w:r>
      <w:r w:rsidR="007D6BAB" w:rsidRPr="00505D07">
        <w:rPr>
          <w:kern w:val="22"/>
          <w:szCs w:val="22"/>
          <w:lang w:val="fr-FR"/>
        </w:rPr>
        <w:t>);</w:t>
      </w:r>
    </w:p>
    <w:p w:rsidR="007D6BAB" w:rsidRPr="00505D07"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lastRenderedPageBreak/>
        <w:t>é</w:t>
      </w:r>
      <w:r w:rsidR="00505D07">
        <w:rPr>
          <w:snapToGrid w:val="0"/>
          <w:kern w:val="22"/>
          <w:szCs w:val="22"/>
          <w:lang w:val="fr-FR"/>
        </w:rPr>
        <w:t xml:space="preserve">laboré des éléments d’avis sur l’exécution des </w:t>
      </w:r>
      <w:r w:rsidR="000E696D">
        <w:rPr>
          <w:snapToGrid w:val="0"/>
          <w:kern w:val="22"/>
          <w:szCs w:val="22"/>
          <w:lang w:val="fr-FR"/>
        </w:rPr>
        <w:t>principales mesures souhaitables</w:t>
      </w:r>
      <w:r w:rsidR="007D6BAB" w:rsidRPr="00505D07">
        <w:rPr>
          <w:kern w:val="22"/>
          <w:szCs w:val="22"/>
          <w:lang w:val="fr-FR"/>
        </w:rPr>
        <w:t>, applicable</w:t>
      </w:r>
      <w:r w:rsidR="00505D07">
        <w:rPr>
          <w:kern w:val="22"/>
          <w:szCs w:val="22"/>
          <w:lang w:val="fr-FR"/>
        </w:rPr>
        <w:t>s à la</w:t>
      </w:r>
      <w:r w:rsidR="007D6BAB" w:rsidRPr="00505D07">
        <w:rPr>
          <w:kern w:val="22"/>
          <w:szCs w:val="22"/>
          <w:lang w:val="fr-FR"/>
        </w:rPr>
        <w:t xml:space="preserve"> </w:t>
      </w:r>
      <w:r w:rsidR="00713136" w:rsidRPr="00505D07">
        <w:rPr>
          <w:kern w:val="22"/>
          <w:szCs w:val="22"/>
          <w:lang w:val="fr-FR"/>
        </w:rPr>
        <w:t>Secrétaire exécutive</w:t>
      </w:r>
      <w:r w:rsidR="007D6BAB" w:rsidRPr="00505D07">
        <w:rPr>
          <w:kern w:val="22"/>
          <w:szCs w:val="22"/>
          <w:lang w:val="fr-FR"/>
        </w:rPr>
        <w:t xml:space="preserve">, </w:t>
      </w:r>
      <w:r w:rsidR="00505D07">
        <w:rPr>
          <w:kern w:val="22"/>
          <w:szCs w:val="22"/>
          <w:lang w:val="fr-FR"/>
        </w:rPr>
        <w:t>au</w:t>
      </w:r>
      <w:r w:rsidR="007D6BAB" w:rsidRPr="00505D07">
        <w:rPr>
          <w:kern w:val="22"/>
          <w:szCs w:val="22"/>
          <w:lang w:val="fr-FR"/>
        </w:rPr>
        <w:t xml:space="preserve"> </w:t>
      </w:r>
      <w:r w:rsidR="005E5829" w:rsidRPr="00505D07">
        <w:rPr>
          <w:kern w:val="22"/>
          <w:szCs w:val="22"/>
          <w:lang w:val="fr-FR"/>
        </w:rPr>
        <w:t>B</w:t>
      </w:r>
      <w:r w:rsidR="007D6BAB" w:rsidRPr="00505D07">
        <w:rPr>
          <w:kern w:val="22"/>
          <w:szCs w:val="22"/>
          <w:lang w:val="fr-FR"/>
        </w:rPr>
        <w:t xml:space="preserve">ureau </w:t>
      </w:r>
      <w:r w:rsidR="00505D07">
        <w:rPr>
          <w:kern w:val="22"/>
          <w:szCs w:val="22"/>
          <w:lang w:val="fr-FR"/>
        </w:rPr>
        <w:t>et au</w:t>
      </w:r>
      <w:r w:rsidR="007D6BAB" w:rsidRPr="00505D07">
        <w:rPr>
          <w:kern w:val="22"/>
          <w:szCs w:val="22"/>
          <w:lang w:val="fr-FR"/>
        </w:rPr>
        <w:t xml:space="preserve"> </w:t>
      </w:r>
      <w:r w:rsidR="00B011D3" w:rsidRPr="00505D07">
        <w:rPr>
          <w:kern w:val="22"/>
          <w:szCs w:val="22"/>
          <w:lang w:val="fr-FR"/>
        </w:rPr>
        <w:t>Groupe de liai</w:t>
      </w:r>
      <w:r w:rsidR="00505D07">
        <w:rPr>
          <w:kern w:val="22"/>
          <w:szCs w:val="22"/>
          <w:lang w:val="fr-FR"/>
        </w:rPr>
        <w:t>s</w:t>
      </w:r>
      <w:r w:rsidR="00B011D3" w:rsidRPr="00505D07">
        <w:rPr>
          <w:kern w:val="22"/>
          <w:szCs w:val="22"/>
          <w:lang w:val="fr-FR"/>
        </w:rPr>
        <w:t>on des</w:t>
      </w:r>
      <w:r w:rsidR="007D6BAB" w:rsidRPr="00505D07">
        <w:rPr>
          <w:kern w:val="22"/>
          <w:szCs w:val="22"/>
          <w:lang w:val="fr-FR"/>
        </w:rPr>
        <w:t xml:space="preserve"> </w:t>
      </w:r>
      <w:r w:rsidR="00505D07">
        <w:rPr>
          <w:kern w:val="22"/>
          <w:szCs w:val="22"/>
          <w:lang w:val="fr-FR"/>
        </w:rPr>
        <w:t>c</w:t>
      </w:r>
      <w:r w:rsidR="008B0ED2" w:rsidRPr="00505D07">
        <w:rPr>
          <w:kern w:val="22"/>
          <w:szCs w:val="22"/>
          <w:lang w:val="fr-FR"/>
        </w:rPr>
        <w:t>onventions relatives à la diversité biologique</w:t>
      </w:r>
      <w:r w:rsidR="007D6BAB" w:rsidRPr="00505D07">
        <w:rPr>
          <w:kern w:val="22"/>
          <w:szCs w:val="22"/>
          <w:lang w:val="fr-FR"/>
        </w:rPr>
        <w:t>;</w:t>
      </w:r>
    </w:p>
    <w:p w:rsidR="007D6BAB" w:rsidRPr="0046048D" w:rsidRDefault="00372025" w:rsidP="00883A1C">
      <w:pPr>
        <w:numPr>
          <w:ilvl w:val="0"/>
          <w:numId w:val="42"/>
        </w:numPr>
        <w:suppressLineNumbers/>
        <w:suppressAutoHyphens/>
        <w:kinsoku w:val="0"/>
        <w:overflowPunct w:val="0"/>
        <w:autoSpaceDE w:val="0"/>
        <w:autoSpaceDN w:val="0"/>
        <w:adjustRightInd w:val="0"/>
        <w:snapToGrid w:val="0"/>
        <w:spacing w:after="120" w:line="238" w:lineRule="auto"/>
        <w:ind w:left="0" w:firstLine="720"/>
        <w:rPr>
          <w:kern w:val="22"/>
          <w:szCs w:val="22"/>
          <w:lang w:val="fr-FR"/>
        </w:rPr>
      </w:pPr>
      <w:r>
        <w:rPr>
          <w:snapToGrid w:val="0"/>
          <w:kern w:val="22"/>
          <w:szCs w:val="22"/>
          <w:lang w:val="fr-FR"/>
        </w:rPr>
        <w:t>p</w:t>
      </w:r>
      <w:r w:rsidR="0046048D" w:rsidRPr="0046048D">
        <w:rPr>
          <w:snapToGrid w:val="0"/>
          <w:kern w:val="22"/>
          <w:szCs w:val="22"/>
          <w:lang w:val="fr-FR"/>
        </w:rPr>
        <w:t>réparé</w:t>
      </w:r>
      <w:r w:rsidR="00782D2B" w:rsidRPr="0046048D">
        <w:rPr>
          <w:snapToGrid w:val="0"/>
          <w:kern w:val="22"/>
          <w:szCs w:val="22"/>
          <w:lang w:val="fr-FR"/>
        </w:rPr>
        <w:t xml:space="preserve"> et finalis</w:t>
      </w:r>
      <w:r w:rsidR="0046048D" w:rsidRPr="0046048D">
        <w:rPr>
          <w:snapToGrid w:val="0"/>
          <w:kern w:val="22"/>
          <w:szCs w:val="22"/>
          <w:lang w:val="fr-FR"/>
        </w:rPr>
        <w:t>é</w:t>
      </w:r>
      <w:r w:rsidR="00782D2B" w:rsidRPr="0046048D">
        <w:rPr>
          <w:snapToGrid w:val="0"/>
          <w:kern w:val="22"/>
          <w:szCs w:val="22"/>
          <w:lang w:val="fr-FR"/>
        </w:rPr>
        <w:t xml:space="preserve"> un rapport sur ses travaux et </w:t>
      </w:r>
      <w:r w:rsidR="007D6BAB" w:rsidRPr="0046048D">
        <w:rPr>
          <w:kern w:val="22"/>
          <w:szCs w:val="22"/>
          <w:lang w:val="fr-FR"/>
        </w:rPr>
        <w:t>conclusions</w:t>
      </w:r>
      <w:r w:rsidR="00782D2B" w:rsidRPr="0046048D">
        <w:rPr>
          <w:kern w:val="22"/>
          <w:szCs w:val="22"/>
          <w:lang w:val="fr-FR"/>
        </w:rPr>
        <w:t xml:space="preserve"> à soumettre à l’Organe subsidiaire chargé de l’application</w:t>
      </w:r>
      <w:r w:rsidR="007D6BAB" w:rsidRPr="0046048D">
        <w:rPr>
          <w:kern w:val="22"/>
          <w:szCs w:val="22"/>
          <w:lang w:val="fr-FR"/>
        </w:rPr>
        <w:t>.</w:t>
      </w:r>
    </w:p>
    <w:p w:rsidR="007D6BAB" w:rsidRPr="0046048D"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46048D">
        <w:rPr>
          <w:kern w:val="22"/>
          <w:szCs w:val="22"/>
          <w:lang w:val="fr-FR"/>
        </w:rPr>
        <w:t>A</w:t>
      </w:r>
      <w:r w:rsidR="0046048D" w:rsidRPr="0046048D">
        <w:rPr>
          <w:kern w:val="22"/>
          <w:szCs w:val="22"/>
          <w:lang w:val="fr-FR"/>
        </w:rPr>
        <w:t xml:space="preserve"> sa </w:t>
      </w:r>
      <w:r w:rsidR="0046048D">
        <w:rPr>
          <w:kern w:val="22"/>
          <w:szCs w:val="22"/>
          <w:lang w:val="fr-FR"/>
        </w:rPr>
        <w:t>ré</w:t>
      </w:r>
      <w:r w:rsidR="0046048D" w:rsidRPr="0046048D">
        <w:rPr>
          <w:kern w:val="22"/>
          <w:szCs w:val="22"/>
          <w:lang w:val="fr-FR"/>
        </w:rPr>
        <w:t xml:space="preserve">union les </w:t>
      </w:r>
      <w:r w:rsidRPr="0046048D">
        <w:rPr>
          <w:kern w:val="22"/>
          <w:szCs w:val="22"/>
          <w:lang w:val="fr-FR"/>
        </w:rPr>
        <w:t xml:space="preserve">17 </w:t>
      </w:r>
      <w:r w:rsidR="0046048D" w:rsidRPr="0046048D">
        <w:rPr>
          <w:kern w:val="22"/>
          <w:szCs w:val="22"/>
          <w:lang w:val="fr-FR"/>
        </w:rPr>
        <w:t>et</w:t>
      </w:r>
      <w:r w:rsidR="00F039D8" w:rsidRPr="0046048D">
        <w:rPr>
          <w:kern w:val="22"/>
          <w:szCs w:val="22"/>
          <w:lang w:val="fr-FR"/>
        </w:rPr>
        <w:t xml:space="preserve"> </w:t>
      </w:r>
      <w:r w:rsidR="0046048D" w:rsidRPr="0046048D">
        <w:rPr>
          <w:kern w:val="22"/>
          <w:szCs w:val="22"/>
          <w:lang w:val="fr-FR"/>
        </w:rPr>
        <w:t>18 décembre 2017, l</w:t>
      </w:r>
      <w:r w:rsidRPr="0046048D">
        <w:rPr>
          <w:kern w:val="22"/>
          <w:szCs w:val="22"/>
          <w:lang w:val="fr-FR"/>
        </w:rPr>
        <w:t>e Group</w:t>
      </w:r>
      <w:r w:rsidR="0046048D" w:rsidRPr="0046048D">
        <w:rPr>
          <w:kern w:val="22"/>
          <w:szCs w:val="22"/>
          <w:lang w:val="fr-FR"/>
        </w:rPr>
        <w:t>e</w:t>
      </w:r>
      <w:r w:rsidRPr="0046048D">
        <w:rPr>
          <w:kern w:val="22"/>
          <w:szCs w:val="22"/>
          <w:lang w:val="fr-FR"/>
        </w:rPr>
        <w:t xml:space="preserve"> </w:t>
      </w:r>
      <w:r w:rsidR="0046048D" w:rsidRPr="0046048D">
        <w:rPr>
          <w:kern w:val="22"/>
          <w:szCs w:val="22"/>
          <w:lang w:val="fr-FR"/>
        </w:rPr>
        <w:t xml:space="preserve">a examiné et débattu les </w:t>
      </w:r>
      <w:r w:rsidR="000E696D">
        <w:rPr>
          <w:kern w:val="22"/>
          <w:szCs w:val="22"/>
          <w:lang w:val="fr-FR"/>
        </w:rPr>
        <w:t>principales mesures souhaitables</w:t>
      </w:r>
      <w:r w:rsidR="0046048D" w:rsidRPr="0046048D">
        <w:rPr>
          <w:kern w:val="22"/>
          <w:szCs w:val="22"/>
          <w:lang w:val="fr-FR"/>
        </w:rPr>
        <w:t xml:space="preserve"> contenues dans l’</w:t>
      </w:r>
      <w:r w:rsidRPr="0046048D">
        <w:rPr>
          <w:kern w:val="22"/>
          <w:szCs w:val="22"/>
          <w:lang w:val="fr-FR"/>
        </w:rPr>
        <w:t>annex</w:t>
      </w:r>
      <w:r w:rsidR="0046048D" w:rsidRPr="0046048D">
        <w:rPr>
          <w:kern w:val="22"/>
          <w:szCs w:val="22"/>
          <w:lang w:val="fr-FR"/>
        </w:rPr>
        <w:t>e</w:t>
      </w:r>
      <w:r w:rsidRPr="0046048D">
        <w:rPr>
          <w:kern w:val="22"/>
          <w:szCs w:val="22"/>
          <w:lang w:val="fr-FR"/>
        </w:rPr>
        <w:t xml:space="preserve"> II </w:t>
      </w:r>
      <w:r w:rsidR="0046048D">
        <w:rPr>
          <w:kern w:val="22"/>
          <w:szCs w:val="22"/>
          <w:lang w:val="fr-FR"/>
        </w:rPr>
        <w:t>de la dé</w:t>
      </w:r>
      <w:r w:rsidRPr="0046048D">
        <w:rPr>
          <w:kern w:val="22"/>
          <w:szCs w:val="22"/>
          <w:lang w:val="fr-FR"/>
        </w:rPr>
        <w:t xml:space="preserve">cision XIII/24 </w:t>
      </w:r>
      <w:r w:rsidR="0046048D">
        <w:rPr>
          <w:kern w:val="22"/>
          <w:szCs w:val="22"/>
          <w:lang w:val="fr-FR"/>
        </w:rPr>
        <w:t xml:space="preserve">et faite des </w:t>
      </w:r>
      <w:r w:rsidRPr="0046048D">
        <w:rPr>
          <w:kern w:val="22"/>
          <w:szCs w:val="22"/>
          <w:lang w:val="fr-FR"/>
        </w:rPr>
        <w:t xml:space="preserve">observations </w:t>
      </w:r>
      <w:r w:rsidR="0046048D">
        <w:rPr>
          <w:kern w:val="22"/>
          <w:szCs w:val="22"/>
          <w:lang w:val="fr-FR"/>
        </w:rPr>
        <w:t>concernant leur exécution</w:t>
      </w:r>
      <w:r w:rsidRPr="0046048D">
        <w:rPr>
          <w:kern w:val="22"/>
          <w:szCs w:val="22"/>
          <w:lang w:val="fr-FR"/>
        </w:rPr>
        <w:t xml:space="preserve">. </w:t>
      </w:r>
      <w:r w:rsidR="0046048D">
        <w:rPr>
          <w:kern w:val="22"/>
          <w:szCs w:val="22"/>
          <w:lang w:val="fr-FR"/>
        </w:rPr>
        <w:t xml:space="preserve">Les </w:t>
      </w:r>
      <w:r w:rsidRPr="0046048D">
        <w:rPr>
          <w:kern w:val="22"/>
          <w:szCs w:val="22"/>
          <w:lang w:val="fr-FR"/>
        </w:rPr>
        <w:t xml:space="preserve">notes </w:t>
      </w:r>
      <w:r w:rsidR="0046048D" w:rsidRPr="0046048D">
        <w:rPr>
          <w:kern w:val="22"/>
          <w:szCs w:val="22"/>
          <w:lang w:val="fr-FR"/>
        </w:rPr>
        <w:t xml:space="preserve">découlant de cette </w:t>
      </w:r>
      <w:r w:rsidR="000D052B" w:rsidRPr="0046048D">
        <w:rPr>
          <w:kern w:val="22"/>
          <w:szCs w:val="22"/>
          <w:lang w:val="fr-FR"/>
        </w:rPr>
        <w:t xml:space="preserve">discussion, </w:t>
      </w:r>
      <w:r w:rsidR="0046048D" w:rsidRPr="0046048D">
        <w:rPr>
          <w:kern w:val="22"/>
          <w:szCs w:val="22"/>
          <w:lang w:val="fr-FR"/>
        </w:rPr>
        <w:t>qui contiennent des</w:t>
      </w:r>
      <w:r w:rsidR="000D052B" w:rsidRPr="0046048D">
        <w:rPr>
          <w:kern w:val="22"/>
          <w:szCs w:val="22"/>
          <w:lang w:val="fr-FR"/>
        </w:rPr>
        <w:t xml:space="preserve"> observations </w:t>
      </w:r>
      <w:r w:rsidR="0046048D" w:rsidRPr="0046048D">
        <w:rPr>
          <w:kern w:val="22"/>
          <w:szCs w:val="22"/>
          <w:lang w:val="fr-FR"/>
        </w:rPr>
        <w:t>et</w:t>
      </w:r>
      <w:r w:rsidR="000D052B" w:rsidRPr="0046048D">
        <w:rPr>
          <w:kern w:val="22"/>
          <w:szCs w:val="22"/>
          <w:lang w:val="fr-FR"/>
        </w:rPr>
        <w:t xml:space="preserve"> </w:t>
      </w:r>
      <w:r w:rsidR="00A25299">
        <w:rPr>
          <w:kern w:val="22"/>
          <w:szCs w:val="22"/>
          <w:lang w:val="fr-FR"/>
        </w:rPr>
        <w:t xml:space="preserve">des </w:t>
      </w:r>
      <w:r w:rsidR="000D052B" w:rsidRPr="0046048D">
        <w:rPr>
          <w:kern w:val="22"/>
          <w:szCs w:val="22"/>
          <w:lang w:val="fr-FR"/>
        </w:rPr>
        <w:t xml:space="preserve">suggestions </w:t>
      </w:r>
      <w:r w:rsidR="0046048D">
        <w:rPr>
          <w:kern w:val="22"/>
          <w:szCs w:val="22"/>
          <w:lang w:val="fr-FR"/>
        </w:rPr>
        <w:t xml:space="preserve">concernant l’exécution des </w:t>
      </w:r>
      <w:r w:rsidR="000E696D">
        <w:rPr>
          <w:kern w:val="22"/>
          <w:szCs w:val="22"/>
          <w:lang w:val="fr-FR"/>
        </w:rPr>
        <w:t>principales mesures souhaitables</w:t>
      </w:r>
      <w:r w:rsidR="000D052B" w:rsidRPr="0046048D">
        <w:rPr>
          <w:kern w:val="22"/>
          <w:szCs w:val="22"/>
          <w:lang w:val="fr-FR"/>
        </w:rPr>
        <w:t>,</w:t>
      </w:r>
      <w:r w:rsidR="000D052B" w:rsidRPr="0046048D" w:rsidDel="000D052B">
        <w:rPr>
          <w:kern w:val="22"/>
          <w:szCs w:val="22"/>
          <w:lang w:val="fr-FR"/>
        </w:rPr>
        <w:t xml:space="preserve"> </w:t>
      </w:r>
      <w:r w:rsidR="0046048D">
        <w:rPr>
          <w:kern w:val="22"/>
          <w:szCs w:val="22"/>
          <w:lang w:val="fr-FR"/>
        </w:rPr>
        <w:t xml:space="preserve">constituent la base </w:t>
      </w:r>
      <w:r w:rsidR="000D052B" w:rsidRPr="0046048D">
        <w:rPr>
          <w:kern w:val="22"/>
          <w:szCs w:val="22"/>
          <w:lang w:val="fr-FR"/>
        </w:rPr>
        <w:t>initial</w:t>
      </w:r>
      <w:r w:rsidR="0046048D">
        <w:rPr>
          <w:kern w:val="22"/>
          <w:szCs w:val="22"/>
          <w:lang w:val="fr-FR"/>
        </w:rPr>
        <w:t>e de leurs avis</w:t>
      </w:r>
      <w:r w:rsidRPr="0046048D">
        <w:rPr>
          <w:kern w:val="22"/>
          <w:szCs w:val="22"/>
          <w:lang w:val="fr-FR"/>
        </w:rPr>
        <w:t xml:space="preserve">. </w:t>
      </w:r>
      <w:r w:rsidR="0046048D">
        <w:rPr>
          <w:kern w:val="22"/>
          <w:szCs w:val="22"/>
          <w:lang w:val="fr-FR"/>
        </w:rPr>
        <w:t>Qui plus est</w:t>
      </w:r>
      <w:r w:rsidR="000D052B" w:rsidRPr="0046048D">
        <w:rPr>
          <w:kern w:val="22"/>
          <w:szCs w:val="22"/>
          <w:lang w:val="fr-FR"/>
        </w:rPr>
        <w:t xml:space="preserve">, </w:t>
      </w:r>
      <w:r w:rsidR="0046048D" w:rsidRPr="0046048D">
        <w:rPr>
          <w:kern w:val="22"/>
          <w:szCs w:val="22"/>
          <w:lang w:val="fr-FR"/>
        </w:rPr>
        <w:t>le groupe a également reconnu que ses avis devraient tenir compte des difficulté</w:t>
      </w:r>
      <w:r w:rsidRPr="0046048D">
        <w:rPr>
          <w:kern w:val="22"/>
          <w:szCs w:val="22"/>
          <w:lang w:val="fr-FR"/>
        </w:rPr>
        <w:t xml:space="preserve">s </w:t>
      </w:r>
      <w:r w:rsidR="0046048D">
        <w:rPr>
          <w:kern w:val="22"/>
          <w:szCs w:val="22"/>
          <w:lang w:val="fr-FR"/>
        </w:rPr>
        <w:t>et goulets d’étranglement qui entravent l’exécution de quelques-unes des mesures et prié le Secré</w:t>
      </w:r>
      <w:r w:rsidRPr="0046048D">
        <w:rPr>
          <w:kern w:val="22"/>
          <w:szCs w:val="22"/>
          <w:lang w:val="fr-FR"/>
        </w:rPr>
        <w:t xml:space="preserve">tariat </w:t>
      </w:r>
      <w:r w:rsidR="0046048D">
        <w:rPr>
          <w:kern w:val="22"/>
          <w:szCs w:val="22"/>
          <w:lang w:val="fr-FR"/>
        </w:rPr>
        <w:t>de les identifier pour examen à ses réunions ultérieures.</w:t>
      </w:r>
    </w:p>
    <w:p w:rsidR="007D6BAB" w:rsidRPr="00B754B7" w:rsidRDefault="00B754B7"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B754B7">
        <w:rPr>
          <w:kern w:val="22"/>
          <w:szCs w:val="22"/>
          <w:lang w:val="fr-FR"/>
        </w:rPr>
        <w:t xml:space="preserve">Le </w:t>
      </w:r>
      <w:r w:rsidR="007D6BAB" w:rsidRPr="00B754B7">
        <w:rPr>
          <w:kern w:val="22"/>
          <w:szCs w:val="22"/>
          <w:lang w:val="fr-FR"/>
        </w:rPr>
        <w:t>Group</w:t>
      </w:r>
      <w:r w:rsidRPr="00B754B7">
        <w:rPr>
          <w:kern w:val="22"/>
          <w:szCs w:val="22"/>
          <w:lang w:val="fr-FR"/>
        </w:rPr>
        <w:t>e</w:t>
      </w:r>
      <w:r w:rsidR="007D6BAB" w:rsidRPr="00B754B7">
        <w:rPr>
          <w:kern w:val="22"/>
          <w:szCs w:val="22"/>
          <w:lang w:val="fr-FR"/>
        </w:rPr>
        <w:t xml:space="preserve"> </w:t>
      </w:r>
      <w:r w:rsidRPr="00B754B7">
        <w:rPr>
          <w:kern w:val="22"/>
          <w:szCs w:val="22"/>
          <w:lang w:val="fr-FR"/>
        </w:rPr>
        <w:t>a entrepris de prioriser les principales mesures souhaitables sur la base des notes élab</w:t>
      </w:r>
      <w:r w:rsidR="00F91569">
        <w:rPr>
          <w:kern w:val="22"/>
          <w:szCs w:val="22"/>
          <w:lang w:val="fr-FR"/>
        </w:rPr>
        <w:t>orées à sa ré</w:t>
      </w:r>
      <w:r w:rsidRPr="00B754B7">
        <w:rPr>
          <w:kern w:val="22"/>
          <w:szCs w:val="22"/>
          <w:lang w:val="fr-FR"/>
        </w:rPr>
        <w:t xml:space="preserve">union tenue les </w:t>
      </w:r>
      <w:r w:rsidR="007D6BAB" w:rsidRPr="00B754B7">
        <w:rPr>
          <w:kern w:val="22"/>
          <w:szCs w:val="22"/>
          <w:lang w:val="fr-FR"/>
        </w:rPr>
        <w:t>17</w:t>
      </w:r>
      <w:r w:rsidR="00BB0EE6" w:rsidRPr="00B754B7">
        <w:rPr>
          <w:snapToGrid w:val="0"/>
          <w:kern w:val="22"/>
          <w:szCs w:val="22"/>
          <w:lang w:val="fr-FR"/>
        </w:rPr>
        <w:t xml:space="preserve"> </w:t>
      </w:r>
      <w:r w:rsidRPr="00B754B7">
        <w:rPr>
          <w:snapToGrid w:val="0"/>
          <w:kern w:val="22"/>
          <w:szCs w:val="22"/>
          <w:lang w:val="fr-FR"/>
        </w:rPr>
        <w:t>et</w:t>
      </w:r>
      <w:r w:rsidR="00BB0EE6" w:rsidRPr="00B754B7">
        <w:rPr>
          <w:snapToGrid w:val="0"/>
          <w:kern w:val="22"/>
          <w:szCs w:val="22"/>
          <w:lang w:val="fr-FR"/>
        </w:rPr>
        <w:t xml:space="preserve"> </w:t>
      </w:r>
      <w:r w:rsidRPr="00B754B7">
        <w:rPr>
          <w:kern w:val="22"/>
          <w:szCs w:val="22"/>
          <w:lang w:val="fr-FR"/>
        </w:rPr>
        <w:t>18 dé</w:t>
      </w:r>
      <w:r>
        <w:rPr>
          <w:kern w:val="22"/>
          <w:szCs w:val="22"/>
          <w:lang w:val="fr-FR"/>
        </w:rPr>
        <w:t>cembre</w:t>
      </w:r>
      <w:r w:rsidR="00BB0EE6" w:rsidRPr="00B754B7">
        <w:rPr>
          <w:snapToGrid w:val="0"/>
          <w:kern w:val="22"/>
          <w:szCs w:val="22"/>
          <w:lang w:val="fr-FR"/>
        </w:rPr>
        <w:t>,</w:t>
      </w:r>
      <w:r w:rsidR="007D6BAB" w:rsidRPr="00B754B7">
        <w:rPr>
          <w:kern w:val="22"/>
          <w:szCs w:val="22"/>
          <w:lang w:val="fr-FR"/>
        </w:rPr>
        <w:t xml:space="preserve"> </w:t>
      </w:r>
      <w:r>
        <w:rPr>
          <w:kern w:val="22"/>
          <w:szCs w:val="22"/>
          <w:lang w:val="fr-FR"/>
        </w:rPr>
        <w:t>et compte tenu des difficultés et goulets d’étranglement pour le</w:t>
      </w:r>
      <w:r w:rsidR="00E533B2">
        <w:rPr>
          <w:kern w:val="22"/>
          <w:szCs w:val="22"/>
          <w:lang w:val="fr-FR"/>
        </w:rPr>
        <w:t>s exécuter tel</w:t>
      </w:r>
      <w:r>
        <w:rPr>
          <w:kern w:val="22"/>
          <w:szCs w:val="22"/>
          <w:lang w:val="fr-FR"/>
        </w:rPr>
        <w:t>s qu’ils ont été identifiés par le Secré</w:t>
      </w:r>
      <w:r w:rsidR="007D6BAB" w:rsidRPr="00B754B7">
        <w:rPr>
          <w:kern w:val="22"/>
          <w:szCs w:val="22"/>
          <w:lang w:val="fr-FR"/>
        </w:rPr>
        <w:t>tariat. A</w:t>
      </w:r>
      <w:r w:rsidRPr="00B754B7">
        <w:rPr>
          <w:kern w:val="22"/>
          <w:szCs w:val="22"/>
          <w:lang w:val="fr-FR"/>
        </w:rPr>
        <w:t xml:space="preserve"> la demande du président</w:t>
      </w:r>
      <w:r w:rsidR="007D6BAB" w:rsidRPr="00B754B7">
        <w:rPr>
          <w:kern w:val="22"/>
          <w:szCs w:val="22"/>
          <w:lang w:val="fr-FR"/>
        </w:rPr>
        <w:t xml:space="preserve">, </w:t>
      </w:r>
      <w:r w:rsidRPr="00B754B7">
        <w:rPr>
          <w:kern w:val="22"/>
          <w:szCs w:val="22"/>
          <w:lang w:val="fr-FR"/>
        </w:rPr>
        <w:t xml:space="preserve">chaque membre a identifié cinq mesures prioritaires qui ont été soumises au </w:t>
      </w:r>
      <w:r>
        <w:rPr>
          <w:kern w:val="22"/>
          <w:szCs w:val="22"/>
          <w:lang w:val="fr-FR"/>
        </w:rPr>
        <w:t>pré</w:t>
      </w:r>
      <w:r w:rsidRPr="00B754B7">
        <w:rPr>
          <w:kern w:val="22"/>
          <w:szCs w:val="22"/>
          <w:lang w:val="fr-FR"/>
        </w:rPr>
        <w:t>sident, lequel a compilé les apports avec l’appui du Secré</w:t>
      </w:r>
      <w:r w:rsidR="007D6BAB" w:rsidRPr="00B754B7">
        <w:rPr>
          <w:kern w:val="22"/>
          <w:szCs w:val="22"/>
          <w:lang w:val="fr-FR"/>
        </w:rPr>
        <w:t xml:space="preserve">tariat. </w:t>
      </w:r>
      <w:r w:rsidRPr="00B754B7">
        <w:rPr>
          <w:kern w:val="22"/>
          <w:szCs w:val="22"/>
          <w:lang w:val="fr-FR"/>
        </w:rPr>
        <w:t>Le tableau sommaire des résultats est disponible à l’annexe</w:t>
      </w:r>
      <w:r w:rsidR="007D6BAB" w:rsidRPr="00B754B7">
        <w:rPr>
          <w:kern w:val="22"/>
          <w:szCs w:val="22"/>
          <w:lang w:val="fr-FR"/>
        </w:rPr>
        <w:t xml:space="preserve"> </w:t>
      </w:r>
      <w:r w:rsidR="00BB0EE6" w:rsidRPr="00B754B7">
        <w:rPr>
          <w:snapToGrid w:val="0"/>
          <w:kern w:val="22"/>
          <w:szCs w:val="22"/>
          <w:lang w:val="fr-FR"/>
        </w:rPr>
        <w:t>I</w:t>
      </w:r>
      <w:r w:rsidR="0002705B" w:rsidRPr="00B754B7">
        <w:rPr>
          <w:kern w:val="22"/>
          <w:szCs w:val="22"/>
          <w:lang w:val="fr-FR"/>
        </w:rPr>
        <w:t xml:space="preserve"> </w:t>
      </w:r>
      <w:r w:rsidRPr="00B754B7">
        <w:rPr>
          <w:kern w:val="22"/>
          <w:szCs w:val="22"/>
          <w:lang w:val="fr-FR"/>
        </w:rPr>
        <w:t>du rapport du Groupe</w:t>
      </w:r>
      <w:bookmarkStart w:id="3" w:name="_Ref516144830"/>
      <w:r w:rsidR="00BB0EE6" w:rsidRPr="00883A1C">
        <w:rPr>
          <w:rStyle w:val="Appelnotedebasdep"/>
          <w:snapToGrid w:val="0"/>
          <w:kern w:val="22"/>
          <w:sz w:val="22"/>
          <w:szCs w:val="22"/>
          <w:u w:val="none"/>
          <w:vertAlign w:val="superscript"/>
        </w:rPr>
        <w:footnoteReference w:id="13"/>
      </w:r>
      <w:bookmarkEnd w:id="3"/>
      <w:r w:rsidRPr="00B754B7">
        <w:rPr>
          <w:kern w:val="22"/>
          <w:szCs w:val="22"/>
          <w:lang w:val="fr-FR"/>
        </w:rPr>
        <w:t>.</w:t>
      </w:r>
    </w:p>
    <w:p w:rsidR="007D6BAB" w:rsidRPr="00372025" w:rsidRDefault="00A852E0"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A852E0">
        <w:rPr>
          <w:kern w:val="22"/>
          <w:szCs w:val="22"/>
          <w:lang w:val="fr-FR"/>
        </w:rPr>
        <w:t>Comme suite à l’exercice de priorisation, le</w:t>
      </w:r>
      <w:r w:rsidR="007D6BAB" w:rsidRPr="00A852E0">
        <w:rPr>
          <w:kern w:val="22"/>
          <w:szCs w:val="22"/>
          <w:lang w:val="fr-FR"/>
        </w:rPr>
        <w:t xml:space="preserve"> Group</w:t>
      </w:r>
      <w:r w:rsidRPr="00A852E0">
        <w:rPr>
          <w:kern w:val="22"/>
          <w:szCs w:val="22"/>
          <w:lang w:val="fr-FR"/>
        </w:rPr>
        <w:t>e a prié le Secré</w:t>
      </w:r>
      <w:r w:rsidR="007D6BAB" w:rsidRPr="00A852E0">
        <w:rPr>
          <w:kern w:val="22"/>
          <w:szCs w:val="22"/>
          <w:lang w:val="fr-FR"/>
        </w:rPr>
        <w:t xml:space="preserve">tariat </w:t>
      </w:r>
      <w:r w:rsidRPr="00A852E0">
        <w:rPr>
          <w:kern w:val="22"/>
          <w:szCs w:val="22"/>
          <w:lang w:val="fr-FR"/>
        </w:rPr>
        <w:t xml:space="preserve">de formuler des projets d’éléments </w:t>
      </w:r>
      <w:r>
        <w:rPr>
          <w:kern w:val="22"/>
          <w:szCs w:val="22"/>
          <w:lang w:val="fr-FR"/>
        </w:rPr>
        <w:t>d’avis possibles à la</w:t>
      </w:r>
      <w:r w:rsidR="007D6BAB" w:rsidRPr="00A852E0">
        <w:rPr>
          <w:kern w:val="22"/>
          <w:szCs w:val="22"/>
          <w:lang w:val="fr-FR"/>
        </w:rPr>
        <w:t xml:space="preserve"> </w:t>
      </w:r>
      <w:r w:rsidR="00713136" w:rsidRPr="00A852E0">
        <w:rPr>
          <w:kern w:val="22"/>
          <w:szCs w:val="22"/>
          <w:lang w:val="fr-FR"/>
        </w:rPr>
        <w:t>Secrétaire exécutive</w:t>
      </w:r>
      <w:r w:rsidR="005E5829" w:rsidRPr="00A852E0">
        <w:rPr>
          <w:kern w:val="22"/>
          <w:szCs w:val="22"/>
          <w:lang w:val="fr-FR"/>
        </w:rPr>
        <w:t xml:space="preserve">, </w:t>
      </w:r>
      <w:r>
        <w:rPr>
          <w:kern w:val="22"/>
          <w:szCs w:val="22"/>
          <w:lang w:val="fr-FR"/>
        </w:rPr>
        <w:t>au</w:t>
      </w:r>
      <w:r w:rsidR="005E5829" w:rsidRPr="00A852E0">
        <w:rPr>
          <w:kern w:val="22"/>
          <w:szCs w:val="22"/>
          <w:lang w:val="fr-FR"/>
        </w:rPr>
        <w:t xml:space="preserve"> B</w:t>
      </w:r>
      <w:r w:rsidR="007D6BAB" w:rsidRPr="00A852E0">
        <w:rPr>
          <w:kern w:val="22"/>
          <w:szCs w:val="22"/>
          <w:lang w:val="fr-FR"/>
        </w:rPr>
        <w:t xml:space="preserve">ureau </w:t>
      </w:r>
      <w:r>
        <w:rPr>
          <w:kern w:val="22"/>
          <w:szCs w:val="22"/>
          <w:lang w:val="fr-FR"/>
        </w:rPr>
        <w:t>et au</w:t>
      </w:r>
      <w:r w:rsidR="007D6BAB" w:rsidRPr="00A852E0">
        <w:rPr>
          <w:kern w:val="22"/>
          <w:szCs w:val="22"/>
          <w:lang w:val="fr-FR"/>
        </w:rPr>
        <w:t xml:space="preserve"> </w:t>
      </w:r>
      <w:r w:rsidR="00B011D3" w:rsidRPr="00A852E0">
        <w:rPr>
          <w:kern w:val="22"/>
          <w:szCs w:val="22"/>
          <w:lang w:val="fr-FR"/>
        </w:rPr>
        <w:t>Groupe de liai</w:t>
      </w:r>
      <w:r>
        <w:rPr>
          <w:kern w:val="22"/>
          <w:szCs w:val="22"/>
          <w:lang w:val="fr-FR"/>
        </w:rPr>
        <w:t>s</w:t>
      </w:r>
      <w:r w:rsidR="00B011D3" w:rsidRPr="00A852E0">
        <w:rPr>
          <w:kern w:val="22"/>
          <w:szCs w:val="22"/>
          <w:lang w:val="fr-FR"/>
        </w:rPr>
        <w:t>on des</w:t>
      </w:r>
      <w:r w:rsidR="007D6BAB" w:rsidRPr="00A852E0">
        <w:rPr>
          <w:kern w:val="22"/>
          <w:szCs w:val="22"/>
          <w:lang w:val="fr-FR"/>
        </w:rPr>
        <w:t xml:space="preserve"> </w:t>
      </w:r>
      <w:r>
        <w:rPr>
          <w:kern w:val="22"/>
          <w:szCs w:val="22"/>
          <w:lang w:val="fr-FR"/>
        </w:rPr>
        <w:t>c</w:t>
      </w:r>
      <w:r w:rsidR="008B0ED2" w:rsidRPr="00A852E0">
        <w:rPr>
          <w:kern w:val="22"/>
          <w:szCs w:val="22"/>
          <w:lang w:val="fr-FR"/>
        </w:rPr>
        <w:t>onventions relatives à la diversité biologique</w:t>
      </w:r>
      <w:r w:rsidR="007D6BAB" w:rsidRPr="00A852E0">
        <w:rPr>
          <w:kern w:val="22"/>
          <w:szCs w:val="22"/>
          <w:lang w:val="fr-FR"/>
        </w:rPr>
        <w:t xml:space="preserve"> </w:t>
      </w:r>
      <w:r>
        <w:rPr>
          <w:kern w:val="22"/>
          <w:szCs w:val="22"/>
          <w:lang w:val="fr-FR"/>
        </w:rPr>
        <w:t>concernant l’exécution des principales mesures souhaitables, sur la base des</w:t>
      </w:r>
      <w:r w:rsidR="007D6BAB" w:rsidRPr="00A852E0">
        <w:rPr>
          <w:kern w:val="22"/>
          <w:szCs w:val="22"/>
          <w:lang w:val="fr-FR"/>
        </w:rPr>
        <w:t xml:space="preserve"> observations </w:t>
      </w:r>
      <w:r>
        <w:rPr>
          <w:kern w:val="22"/>
          <w:szCs w:val="22"/>
          <w:lang w:val="fr-FR"/>
        </w:rPr>
        <w:t>et</w:t>
      </w:r>
      <w:r w:rsidR="007D6BAB" w:rsidRPr="00A852E0">
        <w:rPr>
          <w:kern w:val="22"/>
          <w:szCs w:val="22"/>
          <w:lang w:val="fr-FR"/>
        </w:rPr>
        <w:t xml:space="preserve"> suggestions </w:t>
      </w:r>
      <w:r>
        <w:rPr>
          <w:kern w:val="22"/>
          <w:szCs w:val="22"/>
          <w:lang w:val="fr-FR"/>
        </w:rPr>
        <w:t>du</w:t>
      </w:r>
      <w:r w:rsidR="007D6BAB" w:rsidRPr="00A852E0">
        <w:rPr>
          <w:kern w:val="22"/>
          <w:szCs w:val="22"/>
          <w:lang w:val="fr-FR"/>
        </w:rPr>
        <w:t xml:space="preserve"> </w:t>
      </w:r>
      <w:r w:rsidR="00706F41" w:rsidRPr="00A852E0">
        <w:rPr>
          <w:kern w:val="22"/>
          <w:szCs w:val="22"/>
          <w:lang w:val="fr-FR"/>
        </w:rPr>
        <w:t>Group</w:t>
      </w:r>
      <w:r>
        <w:rPr>
          <w:kern w:val="22"/>
          <w:szCs w:val="22"/>
          <w:lang w:val="fr-FR"/>
        </w:rPr>
        <w:t>e et tenant compte des difficultés et goulets d’étranglement en matière d’exécution qui avaient été identifiés</w:t>
      </w:r>
      <w:r w:rsidR="007D6BAB" w:rsidRPr="00A852E0">
        <w:rPr>
          <w:kern w:val="22"/>
          <w:szCs w:val="22"/>
          <w:lang w:val="fr-FR"/>
        </w:rPr>
        <w:t xml:space="preserve">. </w:t>
      </w:r>
      <w:r>
        <w:rPr>
          <w:kern w:val="22"/>
          <w:szCs w:val="22"/>
          <w:lang w:val="fr-FR"/>
        </w:rPr>
        <w:t>Le projet d’avis a été examiné par le</w:t>
      </w:r>
      <w:r w:rsidR="007D6BAB" w:rsidRPr="00A852E0">
        <w:rPr>
          <w:kern w:val="22"/>
          <w:szCs w:val="22"/>
          <w:lang w:val="fr-FR"/>
        </w:rPr>
        <w:t xml:space="preserve"> Group</w:t>
      </w:r>
      <w:r w:rsidRPr="00A852E0">
        <w:rPr>
          <w:kern w:val="22"/>
          <w:szCs w:val="22"/>
          <w:lang w:val="fr-FR"/>
        </w:rPr>
        <w:t xml:space="preserve">e à sa quatrième </w:t>
      </w:r>
      <w:r w:rsidR="00372025">
        <w:rPr>
          <w:kern w:val="22"/>
          <w:szCs w:val="22"/>
          <w:lang w:val="fr-FR"/>
        </w:rPr>
        <w:t>ré</w:t>
      </w:r>
      <w:r w:rsidRPr="00A852E0">
        <w:rPr>
          <w:kern w:val="22"/>
          <w:szCs w:val="22"/>
          <w:lang w:val="fr-FR"/>
        </w:rPr>
        <w:t xml:space="preserve">union en ligne et par l’équipe de travail créée </w:t>
      </w:r>
      <w:r>
        <w:rPr>
          <w:kern w:val="22"/>
          <w:szCs w:val="22"/>
          <w:lang w:val="fr-FR"/>
        </w:rPr>
        <w:t>pour entreprendre les tâches restantes à sa réunion le 7 mai 2018</w:t>
      </w:r>
      <w:r w:rsidR="00585032" w:rsidRPr="00A852E0">
        <w:rPr>
          <w:kern w:val="22"/>
          <w:szCs w:val="22"/>
          <w:lang w:val="fr-FR"/>
        </w:rPr>
        <w:t xml:space="preserve">. </w:t>
      </w:r>
      <w:r w:rsidRPr="00372025">
        <w:rPr>
          <w:kern w:val="22"/>
          <w:szCs w:val="22"/>
          <w:lang w:val="fr-FR"/>
        </w:rPr>
        <w:t>Sur la base des travaux et des recomman</w:t>
      </w:r>
      <w:r w:rsidR="00585032" w:rsidRPr="00372025">
        <w:rPr>
          <w:kern w:val="22"/>
          <w:szCs w:val="22"/>
          <w:lang w:val="fr-FR"/>
        </w:rPr>
        <w:t xml:space="preserve">dations </w:t>
      </w:r>
      <w:r w:rsidR="00372025" w:rsidRPr="00372025">
        <w:rPr>
          <w:kern w:val="22"/>
          <w:szCs w:val="22"/>
          <w:lang w:val="fr-FR"/>
        </w:rPr>
        <w:t xml:space="preserve">de cette équipe, une </w:t>
      </w:r>
      <w:r w:rsidR="00585032" w:rsidRPr="00372025">
        <w:rPr>
          <w:kern w:val="22"/>
          <w:szCs w:val="22"/>
          <w:lang w:val="fr-FR"/>
        </w:rPr>
        <w:t>formulation</w:t>
      </w:r>
      <w:r w:rsidR="00372025" w:rsidRPr="00372025">
        <w:rPr>
          <w:kern w:val="22"/>
          <w:szCs w:val="22"/>
          <w:lang w:val="fr-FR"/>
        </w:rPr>
        <w:t xml:space="preserve"> finale de l’avis a été proposée par le </w:t>
      </w:r>
      <w:r w:rsidR="00372025">
        <w:rPr>
          <w:kern w:val="22"/>
          <w:szCs w:val="22"/>
          <w:lang w:val="fr-FR"/>
        </w:rPr>
        <w:t>pré</w:t>
      </w:r>
      <w:r w:rsidR="00372025" w:rsidRPr="00372025">
        <w:rPr>
          <w:kern w:val="22"/>
          <w:szCs w:val="22"/>
          <w:lang w:val="fr-FR"/>
        </w:rPr>
        <w:t>sident et d</w:t>
      </w:r>
      <w:r w:rsidR="00372025">
        <w:rPr>
          <w:kern w:val="22"/>
          <w:szCs w:val="22"/>
          <w:lang w:val="fr-FR"/>
        </w:rPr>
        <w:t>iffusé</w:t>
      </w:r>
      <w:r w:rsidR="00372025" w:rsidRPr="00372025">
        <w:rPr>
          <w:kern w:val="22"/>
          <w:szCs w:val="22"/>
          <w:lang w:val="fr-FR"/>
        </w:rPr>
        <w:t xml:space="preserve"> avec un projet de rapport final</w:t>
      </w:r>
      <w:r w:rsidR="00CE5341" w:rsidRPr="00372025">
        <w:rPr>
          <w:kern w:val="22"/>
          <w:szCs w:val="22"/>
          <w:lang w:val="fr-FR"/>
        </w:rPr>
        <w:t xml:space="preserve">, </w:t>
      </w:r>
      <w:r w:rsidR="00372025">
        <w:rPr>
          <w:kern w:val="22"/>
          <w:szCs w:val="22"/>
          <w:lang w:val="fr-FR"/>
        </w:rPr>
        <w:t>pour l’examen et l’accord du</w:t>
      </w:r>
      <w:r w:rsidR="00CE5341" w:rsidRPr="00372025">
        <w:rPr>
          <w:kern w:val="22"/>
          <w:szCs w:val="22"/>
          <w:lang w:val="fr-FR"/>
        </w:rPr>
        <w:t xml:space="preserve"> Group</w:t>
      </w:r>
      <w:r w:rsidR="00372025">
        <w:rPr>
          <w:kern w:val="22"/>
          <w:szCs w:val="22"/>
          <w:lang w:val="fr-FR"/>
        </w:rPr>
        <w:t>e</w:t>
      </w:r>
      <w:r w:rsidR="00DC0264" w:rsidRPr="00372025">
        <w:rPr>
          <w:kern w:val="22"/>
          <w:szCs w:val="22"/>
          <w:lang w:val="fr-FR"/>
        </w:rPr>
        <w:t>,</w:t>
      </w:r>
      <w:r w:rsidR="00CE5341" w:rsidRPr="00372025">
        <w:rPr>
          <w:kern w:val="22"/>
          <w:szCs w:val="22"/>
          <w:lang w:val="fr-FR"/>
        </w:rPr>
        <w:t xml:space="preserve"> </w:t>
      </w:r>
      <w:r w:rsidR="00372025">
        <w:rPr>
          <w:kern w:val="22"/>
          <w:szCs w:val="22"/>
          <w:lang w:val="fr-FR"/>
        </w:rPr>
        <w:t>lequel a terminé ses travaux le 8 juin</w:t>
      </w:r>
      <w:r w:rsidR="00CE5341" w:rsidRPr="00372025">
        <w:rPr>
          <w:kern w:val="22"/>
          <w:szCs w:val="22"/>
          <w:lang w:val="fr-FR"/>
        </w:rPr>
        <w:t xml:space="preserve"> 2018.</w:t>
      </w:r>
    </w:p>
    <w:p w:rsidR="007D6BAB" w:rsidRPr="00F91569" w:rsidRDefault="00F91569"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F91569">
        <w:rPr>
          <w:kern w:val="22"/>
          <w:szCs w:val="22"/>
          <w:lang w:val="fr-FR"/>
        </w:rPr>
        <w:t>Les résultats des travaux entrepris par le</w:t>
      </w:r>
      <w:r w:rsidR="007D6BAB" w:rsidRPr="00F91569">
        <w:rPr>
          <w:kern w:val="22"/>
          <w:szCs w:val="22"/>
          <w:lang w:val="fr-FR"/>
        </w:rPr>
        <w:t xml:space="preserve"> Group</w:t>
      </w:r>
      <w:r w:rsidRPr="00F91569">
        <w:rPr>
          <w:kern w:val="22"/>
          <w:szCs w:val="22"/>
          <w:lang w:val="fr-FR"/>
        </w:rPr>
        <w:t>e sur la priorisation et l’exécution des mesures énumérées dans le tableau que contient</w:t>
      </w:r>
      <w:r w:rsidR="007D6BAB" w:rsidRPr="00F91569">
        <w:rPr>
          <w:kern w:val="22"/>
          <w:szCs w:val="22"/>
          <w:lang w:val="fr-FR"/>
        </w:rPr>
        <w:t xml:space="preserve"> </w:t>
      </w:r>
      <w:r w:rsidRPr="00F91569">
        <w:rPr>
          <w:kern w:val="22"/>
          <w:szCs w:val="22"/>
          <w:lang w:val="fr-FR"/>
        </w:rPr>
        <w:t>l’</w:t>
      </w:r>
      <w:r w:rsidR="007D6BAB" w:rsidRPr="00F91569">
        <w:rPr>
          <w:kern w:val="22"/>
          <w:szCs w:val="22"/>
          <w:lang w:val="fr-FR"/>
        </w:rPr>
        <w:t>annex</w:t>
      </w:r>
      <w:r>
        <w:rPr>
          <w:kern w:val="22"/>
          <w:szCs w:val="22"/>
          <w:lang w:val="fr-FR"/>
        </w:rPr>
        <w:t>e</w:t>
      </w:r>
      <w:r w:rsidR="007D6BAB" w:rsidRPr="00F91569">
        <w:rPr>
          <w:kern w:val="22"/>
          <w:szCs w:val="22"/>
          <w:lang w:val="fr-FR"/>
        </w:rPr>
        <w:t xml:space="preserve"> II </w:t>
      </w:r>
      <w:r>
        <w:rPr>
          <w:kern w:val="22"/>
          <w:szCs w:val="22"/>
          <w:lang w:val="fr-FR"/>
        </w:rPr>
        <w:t>de la dé</w:t>
      </w:r>
      <w:r w:rsidR="007D6BAB" w:rsidRPr="00F91569">
        <w:rPr>
          <w:kern w:val="22"/>
          <w:szCs w:val="22"/>
          <w:lang w:val="fr-FR"/>
        </w:rPr>
        <w:t xml:space="preserve">cision XIII/24 </w:t>
      </w:r>
      <w:r>
        <w:rPr>
          <w:kern w:val="22"/>
          <w:szCs w:val="22"/>
          <w:lang w:val="fr-FR"/>
        </w:rPr>
        <w:t>sont présentés dans le rapport du Groupe</w:t>
      </w:r>
      <w:r w:rsidR="00BB0EE6" w:rsidRPr="00883A1C">
        <w:rPr>
          <w:snapToGrid w:val="0"/>
          <w:color w:val="000000" w:themeColor="text1"/>
          <w:kern w:val="22"/>
          <w:szCs w:val="22"/>
          <w:vertAlign w:val="superscript"/>
        </w:rPr>
        <w:fldChar w:fldCharType="begin"/>
      </w:r>
      <w:r w:rsidR="00BB0EE6" w:rsidRPr="00F91569">
        <w:rPr>
          <w:snapToGrid w:val="0"/>
          <w:color w:val="000000" w:themeColor="text1"/>
          <w:kern w:val="22"/>
          <w:szCs w:val="22"/>
          <w:vertAlign w:val="superscript"/>
          <w:lang w:val="fr-FR"/>
        </w:rPr>
        <w:instrText xml:space="preserve"> NOTEREF _Ref516144830 \h  \* MERGEFORMAT </w:instrText>
      </w:r>
      <w:r w:rsidR="00BB0EE6" w:rsidRPr="00883A1C">
        <w:rPr>
          <w:snapToGrid w:val="0"/>
          <w:color w:val="000000" w:themeColor="text1"/>
          <w:kern w:val="22"/>
          <w:szCs w:val="22"/>
          <w:vertAlign w:val="superscript"/>
        </w:rPr>
      </w:r>
      <w:r w:rsidR="00BB0EE6" w:rsidRPr="00883A1C">
        <w:rPr>
          <w:snapToGrid w:val="0"/>
          <w:color w:val="000000" w:themeColor="text1"/>
          <w:kern w:val="22"/>
          <w:szCs w:val="22"/>
          <w:vertAlign w:val="superscript"/>
        </w:rPr>
        <w:fldChar w:fldCharType="separate"/>
      </w:r>
      <w:r w:rsidR="00BB0EE6" w:rsidRPr="00F91569">
        <w:rPr>
          <w:snapToGrid w:val="0"/>
          <w:color w:val="000000" w:themeColor="text1"/>
          <w:kern w:val="22"/>
          <w:szCs w:val="22"/>
          <w:vertAlign w:val="superscript"/>
          <w:lang w:val="fr-FR"/>
        </w:rPr>
        <w:t>13</w:t>
      </w:r>
      <w:r w:rsidR="00BB0EE6" w:rsidRPr="00883A1C">
        <w:rPr>
          <w:snapToGrid w:val="0"/>
          <w:color w:val="000000" w:themeColor="text1"/>
          <w:kern w:val="22"/>
          <w:szCs w:val="22"/>
          <w:vertAlign w:val="superscript"/>
        </w:rPr>
        <w:fldChar w:fldCharType="end"/>
      </w:r>
      <w:r w:rsidRPr="00F91569">
        <w:rPr>
          <w:color w:val="000000" w:themeColor="text1"/>
          <w:kern w:val="22"/>
          <w:szCs w:val="22"/>
          <w:lang w:val="fr-FR"/>
        </w:rPr>
        <w:t>. Ils comprennent un tableau qui résume les notes et les obs</w:t>
      </w:r>
      <w:r w:rsidR="007D6BAB" w:rsidRPr="00F91569">
        <w:rPr>
          <w:color w:val="000000" w:themeColor="text1"/>
          <w:kern w:val="22"/>
          <w:szCs w:val="22"/>
          <w:lang w:val="fr-FR"/>
        </w:rPr>
        <w:t>ervations</w:t>
      </w:r>
      <w:r w:rsidRPr="00F91569">
        <w:rPr>
          <w:color w:val="000000" w:themeColor="text1"/>
          <w:kern w:val="22"/>
          <w:szCs w:val="22"/>
          <w:lang w:val="fr-FR"/>
        </w:rPr>
        <w:t xml:space="preserve"> du Groupe sur l’exécution de chacune des principales mesures souhaitables</w:t>
      </w:r>
      <w:r w:rsidR="0099377D" w:rsidRPr="00F91569">
        <w:rPr>
          <w:color w:val="000000" w:themeColor="text1"/>
          <w:kern w:val="22"/>
          <w:szCs w:val="22"/>
          <w:lang w:val="fr-FR"/>
        </w:rPr>
        <w:t>,</w:t>
      </w:r>
      <w:r w:rsidR="007D6BAB" w:rsidRPr="00F91569">
        <w:rPr>
          <w:color w:val="000000" w:themeColor="text1"/>
          <w:kern w:val="22"/>
          <w:szCs w:val="22"/>
          <w:lang w:val="fr-FR"/>
        </w:rPr>
        <w:t xml:space="preserve"> </w:t>
      </w:r>
      <w:r w:rsidRPr="00F91569">
        <w:rPr>
          <w:color w:val="000000" w:themeColor="text1"/>
          <w:kern w:val="22"/>
          <w:szCs w:val="22"/>
          <w:lang w:val="fr-FR"/>
        </w:rPr>
        <w:t>l’état d’exécution ainsi que les goulets d’étrang</w:t>
      </w:r>
      <w:r>
        <w:rPr>
          <w:color w:val="000000" w:themeColor="text1"/>
          <w:kern w:val="22"/>
          <w:szCs w:val="22"/>
          <w:lang w:val="fr-FR"/>
        </w:rPr>
        <w:t>l</w:t>
      </w:r>
      <w:r w:rsidRPr="00F91569">
        <w:rPr>
          <w:color w:val="000000" w:themeColor="text1"/>
          <w:kern w:val="22"/>
          <w:szCs w:val="22"/>
          <w:lang w:val="fr-FR"/>
        </w:rPr>
        <w:t xml:space="preserve">ement </w:t>
      </w:r>
      <w:r>
        <w:rPr>
          <w:color w:val="000000" w:themeColor="text1"/>
          <w:kern w:val="22"/>
          <w:szCs w:val="22"/>
          <w:lang w:val="fr-FR"/>
        </w:rPr>
        <w:t>et les difficultés identifiés</w:t>
      </w:r>
      <w:r w:rsidR="0099377D" w:rsidRPr="00F91569">
        <w:rPr>
          <w:color w:val="000000" w:themeColor="text1"/>
          <w:kern w:val="22"/>
          <w:szCs w:val="22"/>
          <w:lang w:val="fr-FR"/>
        </w:rPr>
        <w:t>,</w:t>
      </w:r>
      <w:r w:rsidR="007D6BAB" w:rsidRPr="00F91569">
        <w:rPr>
          <w:color w:val="000000" w:themeColor="text1"/>
          <w:kern w:val="22"/>
          <w:szCs w:val="22"/>
          <w:lang w:val="fr-FR"/>
        </w:rPr>
        <w:t xml:space="preserve"> </w:t>
      </w:r>
      <w:r w:rsidR="00A852E0">
        <w:rPr>
          <w:color w:val="000000" w:themeColor="text1"/>
          <w:kern w:val="22"/>
          <w:szCs w:val="22"/>
          <w:lang w:val="fr-FR"/>
        </w:rPr>
        <w:t>sans oublier les avis du</w:t>
      </w:r>
      <w:r w:rsidR="007D6BAB" w:rsidRPr="00F91569">
        <w:rPr>
          <w:color w:val="000000" w:themeColor="text1"/>
          <w:kern w:val="22"/>
          <w:szCs w:val="22"/>
          <w:lang w:val="fr-FR"/>
        </w:rPr>
        <w:t xml:space="preserve"> Group</w:t>
      </w:r>
      <w:r w:rsidR="00A852E0">
        <w:rPr>
          <w:color w:val="000000" w:themeColor="text1"/>
          <w:kern w:val="22"/>
          <w:szCs w:val="22"/>
          <w:lang w:val="fr-FR"/>
        </w:rPr>
        <w:t>e émanant de leur prise en compte</w:t>
      </w:r>
      <w:r w:rsidR="007D6BAB" w:rsidRPr="00F91569">
        <w:rPr>
          <w:color w:val="000000" w:themeColor="text1"/>
          <w:kern w:val="22"/>
          <w:szCs w:val="22"/>
          <w:lang w:val="fr-FR"/>
        </w:rPr>
        <w:t>.</w:t>
      </w:r>
    </w:p>
    <w:p w:rsidR="007770D1" w:rsidRPr="00883A1C" w:rsidRDefault="007770D1" w:rsidP="00883A1C">
      <w:pPr>
        <w:keepNext/>
        <w:suppressLineNumbers/>
        <w:tabs>
          <w:tab w:val="left" w:pos="360"/>
        </w:tabs>
        <w:suppressAutoHyphens/>
        <w:kinsoku w:val="0"/>
        <w:overflowPunct w:val="0"/>
        <w:autoSpaceDE w:val="0"/>
        <w:autoSpaceDN w:val="0"/>
        <w:adjustRightInd w:val="0"/>
        <w:snapToGrid w:val="0"/>
        <w:spacing w:before="120" w:after="120" w:line="238" w:lineRule="auto"/>
        <w:jc w:val="center"/>
        <w:outlineLvl w:val="2"/>
        <w:rPr>
          <w:i/>
          <w:kern w:val="22"/>
          <w:szCs w:val="22"/>
        </w:rPr>
      </w:pPr>
      <w:r w:rsidRPr="00883A1C">
        <w:rPr>
          <w:i/>
          <w:kern w:val="22"/>
          <w:szCs w:val="22"/>
        </w:rPr>
        <w:t>3.</w:t>
      </w:r>
      <w:r w:rsidRPr="00883A1C">
        <w:rPr>
          <w:i/>
          <w:kern w:val="22"/>
          <w:szCs w:val="22"/>
        </w:rPr>
        <w:tab/>
        <w:t>A</w:t>
      </w:r>
      <w:r w:rsidR="00B754B7">
        <w:rPr>
          <w:i/>
          <w:kern w:val="22"/>
          <w:szCs w:val="22"/>
        </w:rPr>
        <w:t xml:space="preserve">vis du </w:t>
      </w:r>
      <w:proofErr w:type="spellStart"/>
      <w:r w:rsidR="00A80D17">
        <w:rPr>
          <w:i/>
          <w:kern w:val="22"/>
          <w:szCs w:val="22"/>
        </w:rPr>
        <w:t>groupe</w:t>
      </w:r>
      <w:proofErr w:type="spellEnd"/>
      <w:r w:rsidR="00A80D17">
        <w:rPr>
          <w:i/>
          <w:kern w:val="22"/>
          <w:szCs w:val="22"/>
        </w:rPr>
        <w:t xml:space="preserve"> </w:t>
      </w:r>
      <w:proofErr w:type="spellStart"/>
      <w:r w:rsidR="00A80D17">
        <w:rPr>
          <w:i/>
          <w:kern w:val="22"/>
          <w:szCs w:val="22"/>
        </w:rPr>
        <w:t>consultatif</w:t>
      </w:r>
      <w:proofErr w:type="spellEnd"/>
      <w:r w:rsidR="00A80D17">
        <w:rPr>
          <w:i/>
          <w:kern w:val="22"/>
          <w:szCs w:val="22"/>
        </w:rPr>
        <w:t xml:space="preserve"> </w:t>
      </w:r>
      <w:proofErr w:type="spellStart"/>
      <w:r w:rsidR="00A80D17">
        <w:rPr>
          <w:i/>
          <w:kern w:val="22"/>
          <w:szCs w:val="22"/>
        </w:rPr>
        <w:t>informel</w:t>
      </w:r>
      <w:proofErr w:type="spellEnd"/>
    </w:p>
    <w:p w:rsidR="00DE3A6A" w:rsidRPr="00B754B7" w:rsidRDefault="00B754B7"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B754B7">
        <w:rPr>
          <w:kern w:val="22"/>
          <w:szCs w:val="22"/>
          <w:lang w:val="fr-FR"/>
        </w:rPr>
        <w:t>Les avis du g</w:t>
      </w:r>
      <w:r w:rsidR="00A80D17" w:rsidRPr="00B754B7">
        <w:rPr>
          <w:kern w:val="22"/>
          <w:szCs w:val="22"/>
          <w:lang w:val="fr-FR"/>
        </w:rPr>
        <w:t>roupe consultatif informel</w:t>
      </w:r>
      <w:r w:rsidR="00DE3A6A" w:rsidRPr="00B754B7">
        <w:rPr>
          <w:kern w:val="22"/>
          <w:szCs w:val="22"/>
          <w:lang w:val="fr-FR"/>
        </w:rPr>
        <w:t xml:space="preserve"> </w:t>
      </w:r>
      <w:r w:rsidRPr="00B754B7">
        <w:rPr>
          <w:kern w:val="22"/>
          <w:szCs w:val="22"/>
          <w:lang w:val="fr-FR"/>
        </w:rPr>
        <w:t>à la</w:t>
      </w:r>
      <w:r w:rsidR="00DE3A6A" w:rsidRPr="00B754B7">
        <w:rPr>
          <w:kern w:val="22"/>
          <w:szCs w:val="22"/>
          <w:lang w:val="fr-FR"/>
        </w:rPr>
        <w:t xml:space="preserve"> </w:t>
      </w:r>
      <w:r w:rsidR="00713136" w:rsidRPr="00B754B7">
        <w:rPr>
          <w:kern w:val="22"/>
          <w:szCs w:val="22"/>
          <w:lang w:val="fr-FR"/>
        </w:rPr>
        <w:t>Secrétaire exécutive</w:t>
      </w:r>
      <w:r w:rsidR="00DE3A6A" w:rsidRPr="00B754B7">
        <w:rPr>
          <w:kern w:val="22"/>
          <w:szCs w:val="22"/>
          <w:lang w:val="fr-FR"/>
        </w:rPr>
        <w:t xml:space="preserve">, </w:t>
      </w:r>
      <w:r w:rsidRPr="00B754B7">
        <w:rPr>
          <w:kern w:val="22"/>
          <w:szCs w:val="22"/>
          <w:lang w:val="fr-FR"/>
        </w:rPr>
        <w:t>au</w:t>
      </w:r>
      <w:r w:rsidR="004070EA" w:rsidRPr="00B754B7">
        <w:rPr>
          <w:kern w:val="22"/>
          <w:szCs w:val="22"/>
          <w:lang w:val="fr-FR"/>
        </w:rPr>
        <w:t xml:space="preserve"> </w:t>
      </w:r>
      <w:r w:rsidR="00BB0EE6" w:rsidRPr="00B754B7">
        <w:rPr>
          <w:snapToGrid w:val="0"/>
          <w:kern w:val="22"/>
          <w:szCs w:val="22"/>
          <w:lang w:val="fr-FR"/>
        </w:rPr>
        <w:t>B</w:t>
      </w:r>
      <w:r w:rsidR="00DE3A6A" w:rsidRPr="00B754B7">
        <w:rPr>
          <w:kern w:val="22"/>
          <w:szCs w:val="22"/>
          <w:lang w:val="fr-FR"/>
        </w:rPr>
        <w:t xml:space="preserve">ureau </w:t>
      </w:r>
      <w:r w:rsidRPr="00B754B7">
        <w:rPr>
          <w:kern w:val="22"/>
          <w:szCs w:val="22"/>
          <w:lang w:val="fr-FR"/>
        </w:rPr>
        <w:t>de la</w:t>
      </w:r>
      <w:r w:rsidR="0031644C" w:rsidRPr="00B754B7">
        <w:rPr>
          <w:kern w:val="22"/>
          <w:szCs w:val="22"/>
          <w:lang w:val="fr-FR"/>
        </w:rPr>
        <w:t xml:space="preserve"> </w:t>
      </w:r>
      <w:r w:rsidR="00F750A3" w:rsidRPr="00B754B7">
        <w:rPr>
          <w:kern w:val="22"/>
          <w:szCs w:val="22"/>
          <w:lang w:val="fr-FR"/>
        </w:rPr>
        <w:t>treizième réunion</w:t>
      </w:r>
      <w:r w:rsidR="0031644C" w:rsidRPr="00B754B7">
        <w:rPr>
          <w:kern w:val="22"/>
          <w:szCs w:val="22"/>
          <w:lang w:val="fr-FR"/>
        </w:rPr>
        <w:t xml:space="preserve"> </w:t>
      </w:r>
      <w:r w:rsidR="004B23BC">
        <w:rPr>
          <w:kern w:val="22"/>
          <w:szCs w:val="22"/>
          <w:lang w:val="fr-FR"/>
        </w:rPr>
        <w:t>de</w:t>
      </w:r>
      <w:r w:rsidR="0031644C" w:rsidRPr="00B754B7">
        <w:rPr>
          <w:kern w:val="22"/>
          <w:szCs w:val="22"/>
          <w:lang w:val="fr-FR"/>
        </w:rPr>
        <w:t xml:space="preserve"> </w:t>
      </w:r>
      <w:r w:rsidR="00031441" w:rsidRPr="00B754B7">
        <w:rPr>
          <w:kern w:val="22"/>
          <w:szCs w:val="22"/>
          <w:lang w:val="fr-FR"/>
        </w:rPr>
        <w:t>la Conférence des Parties</w:t>
      </w:r>
      <w:r w:rsidRPr="00B754B7">
        <w:rPr>
          <w:kern w:val="22"/>
          <w:szCs w:val="22"/>
          <w:lang w:val="fr-FR"/>
        </w:rPr>
        <w:t xml:space="preserve"> et au</w:t>
      </w:r>
      <w:r w:rsidR="00DE3A6A" w:rsidRPr="00B754B7">
        <w:rPr>
          <w:kern w:val="22"/>
          <w:szCs w:val="22"/>
          <w:lang w:val="fr-FR"/>
        </w:rPr>
        <w:t xml:space="preserve"> Group</w:t>
      </w:r>
      <w:r w:rsidRPr="00B754B7">
        <w:rPr>
          <w:kern w:val="22"/>
          <w:szCs w:val="22"/>
          <w:lang w:val="fr-FR"/>
        </w:rPr>
        <w:t>e de liaison sur les c</w:t>
      </w:r>
      <w:r w:rsidR="008B0ED2" w:rsidRPr="00B754B7">
        <w:rPr>
          <w:kern w:val="22"/>
          <w:szCs w:val="22"/>
          <w:lang w:val="fr-FR"/>
        </w:rPr>
        <w:t>onventions relatives à la diversité biologique</w:t>
      </w:r>
      <w:r w:rsidR="00DE3A6A" w:rsidRPr="00B754B7">
        <w:rPr>
          <w:kern w:val="22"/>
          <w:szCs w:val="22"/>
          <w:lang w:val="fr-FR"/>
        </w:rPr>
        <w:t xml:space="preserve"> </w:t>
      </w:r>
      <w:r w:rsidRPr="00B754B7">
        <w:rPr>
          <w:kern w:val="22"/>
          <w:szCs w:val="22"/>
          <w:lang w:val="fr-FR"/>
        </w:rPr>
        <w:t>sur l’exécution des principales mesures souhaitables de la feuille de route sont présentés dans le rapport du Groupe à l’Organe subsidiaire chargé de l’application</w:t>
      </w:r>
      <w:r w:rsidR="00BB0EE6" w:rsidRPr="00883A1C">
        <w:rPr>
          <w:snapToGrid w:val="0"/>
          <w:kern w:val="22"/>
          <w:szCs w:val="22"/>
          <w:vertAlign w:val="superscript"/>
        </w:rPr>
        <w:fldChar w:fldCharType="begin"/>
      </w:r>
      <w:r w:rsidR="00BB0EE6" w:rsidRPr="00B754B7">
        <w:rPr>
          <w:snapToGrid w:val="0"/>
          <w:kern w:val="22"/>
          <w:szCs w:val="22"/>
          <w:vertAlign w:val="superscript"/>
          <w:lang w:val="fr-FR"/>
        </w:rPr>
        <w:instrText xml:space="preserve"> NOTEREF _Ref516144830 \h  \* MERGEFORMAT </w:instrText>
      </w:r>
      <w:r w:rsidR="00BB0EE6" w:rsidRPr="00883A1C">
        <w:rPr>
          <w:snapToGrid w:val="0"/>
          <w:kern w:val="22"/>
          <w:szCs w:val="22"/>
          <w:vertAlign w:val="superscript"/>
        </w:rPr>
      </w:r>
      <w:r w:rsidR="00BB0EE6" w:rsidRPr="00883A1C">
        <w:rPr>
          <w:snapToGrid w:val="0"/>
          <w:kern w:val="22"/>
          <w:szCs w:val="22"/>
          <w:vertAlign w:val="superscript"/>
        </w:rPr>
        <w:fldChar w:fldCharType="separate"/>
      </w:r>
      <w:r w:rsidR="00BB0EE6" w:rsidRPr="00B754B7">
        <w:rPr>
          <w:snapToGrid w:val="0"/>
          <w:kern w:val="22"/>
          <w:szCs w:val="22"/>
          <w:vertAlign w:val="superscript"/>
          <w:lang w:val="fr-FR"/>
        </w:rPr>
        <w:t>13</w:t>
      </w:r>
      <w:r w:rsidR="00BB0EE6" w:rsidRPr="00883A1C">
        <w:rPr>
          <w:snapToGrid w:val="0"/>
          <w:kern w:val="22"/>
          <w:szCs w:val="22"/>
          <w:vertAlign w:val="superscript"/>
        </w:rPr>
        <w:fldChar w:fldCharType="end"/>
      </w:r>
      <w:r w:rsidR="00100A14" w:rsidRPr="00100A14">
        <w:rPr>
          <w:snapToGrid w:val="0"/>
          <w:kern w:val="22"/>
          <w:szCs w:val="22"/>
          <w:vertAlign w:val="superscript"/>
          <w:lang w:val="fr-FR"/>
        </w:rPr>
        <w:t>.</w:t>
      </w:r>
    </w:p>
    <w:p w:rsidR="008D70AA" w:rsidRPr="006B3DB0" w:rsidRDefault="00100A14"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100A14">
        <w:rPr>
          <w:bCs/>
          <w:snapToGrid w:val="0"/>
          <w:szCs w:val="22"/>
          <w:lang w:val="fr-FR"/>
        </w:rPr>
        <w:t>S’il est vrai que les principales mesures souhaitables qui ont reçu l</w:t>
      </w:r>
      <w:r w:rsidR="004B23BC">
        <w:rPr>
          <w:bCs/>
          <w:snapToGrid w:val="0"/>
          <w:szCs w:val="22"/>
          <w:lang w:val="fr-FR"/>
        </w:rPr>
        <w:t>es notes les plus élevées d</w:t>
      </w:r>
      <w:r w:rsidRPr="00100A14">
        <w:rPr>
          <w:bCs/>
          <w:snapToGrid w:val="0"/>
          <w:szCs w:val="22"/>
          <w:lang w:val="fr-FR"/>
        </w:rPr>
        <w:t>urant l’exercice de priorisation du groupe sont identifi</w:t>
      </w:r>
      <w:r>
        <w:rPr>
          <w:bCs/>
          <w:snapToGrid w:val="0"/>
          <w:szCs w:val="22"/>
          <w:lang w:val="fr-FR"/>
        </w:rPr>
        <w:t>é</w:t>
      </w:r>
      <w:r w:rsidRPr="00100A14">
        <w:rPr>
          <w:bCs/>
          <w:snapToGrid w:val="0"/>
          <w:szCs w:val="22"/>
          <w:lang w:val="fr-FR"/>
        </w:rPr>
        <w:t>es, il n’en reste pas moins que l</w:t>
      </w:r>
      <w:r w:rsidR="008D70AA" w:rsidRPr="00100A14">
        <w:rPr>
          <w:kern w:val="22"/>
          <w:szCs w:val="22"/>
          <w:lang w:val="fr-FR"/>
        </w:rPr>
        <w:t>e Group</w:t>
      </w:r>
      <w:r w:rsidR="004B23BC">
        <w:rPr>
          <w:kern w:val="22"/>
          <w:szCs w:val="22"/>
          <w:lang w:val="fr-FR"/>
        </w:rPr>
        <w:t>e</w:t>
      </w:r>
      <w:r w:rsidR="008D70AA" w:rsidRPr="00100A14">
        <w:rPr>
          <w:kern w:val="22"/>
          <w:szCs w:val="22"/>
          <w:lang w:val="fr-FR"/>
        </w:rPr>
        <w:t xml:space="preserve"> </w:t>
      </w:r>
      <w:r>
        <w:rPr>
          <w:kern w:val="22"/>
          <w:szCs w:val="22"/>
          <w:lang w:val="fr-FR"/>
        </w:rPr>
        <w:t xml:space="preserve">les considère toutes comme </w:t>
      </w:r>
      <w:r w:rsidR="008D70AA" w:rsidRPr="00100A14">
        <w:rPr>
          <w:kern w:val="22"/>
          <w:szCs w:val="22"/>
          <w:lang w:val="fr-FR"/>
        </w:rPr>
        <w:t>important</w:t>
      </w:r>
      <w:r>
        <w:rPr>
          <w:kern w:val="22"/>
          <w:szCs w:val="22"/>
          <w:lang w:val="fr-FR"/>
        </w:rPr>
        <w:t xml:space="preserve">es et que toutes devraient être exécutées. </w:t>
      </w:r>
      <w:r w:rsidRPr="006B3DB0">
        <w:rPr>
          <w:kern w:val="22"/>
          <w:szCs w:val="22"/>
          <w:lang w:val="fr-FR"/>
        </w:rPr>
        <w:t xml:space="preserve">Des avis ont par conséquent été donnés pour l’exécution de chacune des principales mesures plutôt que pour </w:t>
      </w:r>
      <w:r w:rsidR="004B23BC">
        <w:rPr>
          <w:kern w:val="22"/>
          <w:szCs w:val="22"/>
          <w:lang w:val="fr-FR"/>
        </w:rPr>
        <w:t xml:space="preserve">celle de </w:t>
      </w:r>
      <w:r w:rsidRPr="006B3DB0">
        <w:rPr>
          <w:kern w:val="22"/>
          <w:szCs w:val="22"/>
          <w:lang w:val="fr-FR"/>
        </w:rPr>
        <w:t xml:space="preserve">quelques-unes qui </w:t>
      </w:r>
      <w:r w:rsidR="006B3DB0" w:rsidRPr="006B3DB0">
        <w:rPr>
          <w:kern w:val="22"/>
          <w:szCs w:val="22"/>
          <w:lang w:val="fr-FR"/>
        </w:rPr>
        <w:t xml:space="preserve">ont </w:t>
      </w:r>
      <w:r w:rsidRPr="006B3DB0">
        <w:rPr>
          <w:kern w:val="22"/>
          <w:szCs w:val="22"/>
          <w:lang w:val="fr-FR"/>
        </w:rPr>
        <w:t>été priorisées</w:t>
      </w:r>
      <w:r w:rsidR="00B17445" w:rsidRPr="006B3DB0">
        <w:rPr>
          <w:kern w:val="22"/>
          <w:szCs w:val="22"/>
          <w:lang w:val="fr-FR"/>
        </w:rPr>
        <w:t>.</w:t>
      </w:r>
    </w:p>
    <w:p w:rsidR="008D70AA" w:rsidRPr="0024514E" w:rsidRDefault="006B3DB0"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6B3DB0">
        <w:rPr>
          <w:kern w:val="22"/>
          <w:szCs w:val="22"/>
          <w:lang w:val="fr-FR"/>
        </w:rPr>
        <w:t xml:space="preserve">Le </w:t>
      </w:r>
      <w:r w:rsidR="00C36D90" w:rsidRPr="006B3DB0">
        <w:rPr>
          <w:kern w:val="22"/>
          <w:szCs w:val="22"/>
          <w:lang w:val="fr-FR"/>
        </w:rPr>
        <w:t>Group</w:t>
      </w:r>
      <w:r w:rsidRPr="006B3DB0">
        <w:rPr>
          <w:kern w:val="22"/>
          <w:szCs w:val="22"/>
          <w:lang w:val="fr-FR"/>
        </w:rPr>
        <w:t>e</w:t>
      </w:r>
      <w:r w:rsidR="00C36D90" w:rsidRPr="006B3DB0">
        <w:rPr>
          <w:kern w:val="22"/>
          <w:szCs w:val="22"/>
          <w:lang w:val="fr-FR"/>
        </w:rPr>
        <w:t xml:space="preserve"> reco</w:t>
      </w:r>
      <w:r w:rsidRPr="006B3DB0">
        <w:rPr>
          <w:kern w:val="22"/>
          <w:szCs w:val="22"/>
          <w:lang w:val="fr-FR"/>
        </w:rPr>
        <w:t>nnaît qu’un certain nombre des principales mesures souhaitables ont été soit achevées en partie ou achevées totalement ou qu’elles sont</w:t>
      </w:r>
      <w:r>
        <w:rPr>
          <w:kern w:val="22"/>
          <w:szCs w:val="22"/>
          <w:lang w:val="fr-FR"/>
        </w:rPr>
        <w:t xml:space="preserve"> </w:t>
      </w:r>
      <w:r w:rsidRPr="006B3DB0">
        <w:rPr>
          <w:kern w:val="22"/>
          <w:szCs w:val="22"/>
          <w:lang w:val="fr-FR"/>
        </w:rPr>
        <w:t>en cours</w:t>
      </w:r>
      <w:r w:rsidR="00FC6AA2" w:rsidRPr="006B3DB0">
        <w:rPr>
          <w:kern w:val="22"/>
          <w:szCs w:val="22"/>
          <w:lang w:val="fr-FR"/>
        </w:rPr>
        <w:t xml:space="preserve">, </w:t>
      </w:r>
      <w:r>
        <w:rPr>
          <w:kern w:val="22"/>
          <w:szCs w:val="22"/>
          <w:lang w:val="fr-FR"/>
        </w:rPr>
        <w:t>et que</w:t>
      </w:r>
      <w:r w:rsidR="002C7CCD" w:rsidRPr="006B3DB0">
        <w:rPr>
          <w:kern w:val="22"/>
          <w:szCs w:val="22"/>
          <w:lang w:val="fr-FR"/>
        </w:rPr>
        <w:t>,</w:t>
      </w:r>
      <w:r w:rsidR="00FC6AA2" w:rsidRPr="006B3DB0">
        <w:rPr>
          <w:kern w:val="22"/>
          <w:szCs w:val="22"/>
          <w:lang w:val="fr-FR"/>
        </w:rPr>
        <w:t xml:space="preserve"> </w:t>
      </w:r>
      <w:r>
        <w:rPr>
          <w:kern w:val="22"/>
          <w:szCs w:val="22"/>
          <w:lang w:val="fr-FR"/>
        </w:rPr>
        <w:t>dans plusieurs de ces cas, ses avis fournissent des</w:t>
      </w:r>
      <w:r w:rsidR="00FC6AA2" w:rsidRPr="006B3DB0">
        <w:rPr>
          <w:kern w:val="22"/>
          <w:szCs w:val="22"/>
          <w:lang w:val="fr-FR"/>
        </w:rPr>
        <w:t xml:space="preserve"> suggestions </w:t>
      </w:r>
      <w:r>
        <w:rPr>
          <w:kern w:val="22"/>
          <w:szCs w:val="22"/>
          <w:lang w:val="fr-FR"/>
        </w:rPr>
        <w:t xml:space="preserve">sur la manière </w:t>
      </w:r>
      <w:r w:rsidR="0024514E">
        <w:rPr>
          <w:kern w:val="22"/>
          <w:szCs w:val="22"/>
          <w:lang w:val="fr-FR"/>
        </w:rPr>
        <w:t>de mettre à profit les résultats de ces activités</w:t>
      </w:r>
      <w:r w:rsidR="00CA2B5F" w:rsidRPr="006B3DB0">
        <w:rPr>
          <w:kern w:val="22"/>
          <w:szCs w:val="22"/>
          <w:lang w:val="fr-FR"/>
        </w:rPr>
        <w:t xml:space="preserve">. </w:t>
      </w:r>
      <w:r w:rsidR="0024514E">
        <w:rPr>
          <w:kern w:val="22"/>
          <w:szCs w:val="22"/>
          <w:lang w:val="fr-FR"/>
        </w:rPr>
        <w:t xml:space="preserve">Dans </w:t>
      </w:r>
      <w:r w:rsidR="0024514E">
        <w:rPr>
          <w:kern w:val="22"/>
          <w:szCs w:val="22"/>
          <w:lang w:val="fr-FR"/>
        </w:rPr>
        <w:lastRenderedPageBreak/>
        <w:t>nombre de cas</w:t>
      </w:r>
      <w:r w:rsidR="00BA3FAE" w:rsidRPr="0024514E">
        <w:rPr>
          <w:kern w:val="22"/>
          <w:szCs w:val="22"/>
          <w:lang w:val="fr-FR"/>
        </w:rPr>
        <w:t>,</w:t>
      </w:r>
      <w:r w:rsidR="00CA2B5F" w:rsidRPr="0024514E">
        <w:rPr>
          <w:kern w:val="22"/>
          <w:szCs w:val="22"/>
          <w:lang w:val="fr-FR"/>
        </w:rPr>
        <w:t xml:space="preserve"> </w:t>
      </w:r>
      <w:r w:rsidR="0024514E" w:rsidRPr="0024514E">
        <w:rPr>
          <w:kern w:val="22"/>
          <w:szCs w:val="22"/>
          <w:lang w:val="fr-FR"/>
        </w:rPr>
        <w:t xml:space="preserve">ces </w:t>
      </w:r>
      <w:r w:rsidR="004B23BC">
        <w:rPr>
          <w:kern w:val="22"/>
          <w:szCs w:val="22"/>
          <w:lang w:val="fr-FR"/>
        </w:rPr>
        <w:t>p</w:t>
      </w:r>
      <w:r w:rsidR="0024514E" w:rsidRPr="0024514E">
        <w:rPr>
          <w:kern w:val="22"/>
          <w:szCs w:val="22"/>
          <w:lang w:val="fr-FR"/>
        </w:rPr>
        <w:t>rincipales</w:t>
      </w:r>
      <w:r w:rsidR="004B23BC">
        <w:rPr>
          <w:kern w:val="22"/>
          <w:szCs w:val="22"/>
          <w:lang w:val="fr-FR"/>
        </w:rPr>
        <w:t> mesures</w:t>
      </w:r>
      <w:r w:rsidR="0024514E" w:rsidRPr="0024514E">
        <w:rPr>
          <w:kern w:val="22"/>
          <w:szCs w:val="22"/>
          <w:lang w:val="fr-FR"/>
        </w:rPr>
        <w:t xml:space="preserve"> ont été avancées par le projet </w:t>
      </w:r>
      <w:r w:rsidR="0024514E">
        <w:rPr>
          <w:kern w:val="22"/>
          <w:szCs w:val="22"/>
          <w:lang w:val="fr-FR"/>
        </w:rPr>
        <w:t>exécuté par le PNUE</w:t>
      </w:r>
      <w:r w:rsidR="00CA2B5F" w:rsidRPr="0024514E">
        <w:rPr>
          <w:kern w:val="22"/>
          <w:szCs w:val="22"/>
          <w:lang w:val="fr-FR"/>
        </w:rPr>
        <w:t xml:space="preserve">-WCMC </w:t>
      </w:r>
      <w:r w:rsidR="0024514E">
        <w:rPr>
          <w:kern w:val="22"/>
          <w:szCs w:val="22"/>
          <w:lang w:val="fr-FR"/>
        </w:rPr>
        <w:t>qui appuie l’application de la dé</w:t>
      </w:r>
      <w:r w:rsidR="00CA2B5F" w:rsidRPr="0024514E">
        <w:rPr>
          <w:kern w:val="22"/>
          <w:szCs w:val="22"/>
          <w:lang w:val="fr-FR"/>
        </w:rPr>
        <w:t>cision XIII/24</w:t>
      </w:r>
      <w:r w:rsidR="0024514E">
        <w:rPr>
          <w:kern w:val="22"/>
          <w:szCs w:val="22"/>
          <w:lang w:val="fr-FR"/>
        </w:rPr>
        <w:t xml:space="preserve"> de la CDB</w:t>
      </w:r>
      <w:r w:rsidR="00CA2B5F" w:rsidRPr="0024514E">
        <w:rPr>
          <w:kern w:val="22"/>
          <w:szCs w:val="22"/>
          <w:lang w:val="fr-FR"/>
        </w:rPr>
        <w:t xml:space="preserve">. </w:t>
      </w:r>
      <w:r w:rsidR="0048291A">
        <w:rPr>
          <w:kern w:val="22"/>
          <w:szCs w:val="22"/>
          <w:lang w:val="fr-FR"/>
        </w:rPr>
        <w:t xml:space="preserve"> Dans ces cas-</w:t>
      </w:r>
      <w:r w:rsidR="0024514E">
        <w:rPr>
          <w:kern w:val="22"/>
          <w:szCs w:val="22"/>
          <w:lang w:val="fr-FR"/>
        </w:rPr>
        <w:t>là</w:t>
      </w:r>
      <w:r w:rsidR="00CA2B5F" w:rsidRPr="0024514E">
        <w:rPr>
          <w:kern w:val="22"/>
          <w:szCs w:val="22"/>
          <w:lang w:val="fr-FR"/>
        </w:rPr>
        <w:t xml:space="preserve">, </w:t>
      </w:r>
      <w:r w:rsidR="0024514E" w:rsidRPr="0024514E">
        <w:rPr>
          <w:kern w:val="22"/>
          <w:szCs w:val="22"/>
          <w:lang w:val="fr-FR"/>
        </w:rPr>
        <w:t>l’avis du Gr</w:t>
      </w:r>
      <w:r w:rsidR="0024514E">
        <w:rPr>
          <w:snapToGrid w:val="0"/>
          <w:color w:val="000000"/>
          <w:kern w:val="22"/>
          <w:szCs w:val="22"/>
          <w:lang w:val="fr-FR"/>
        </w:rPr>
        <w:t xml:space="preserve">oupe </w:t>
      </w:r>
      <w:r w:rsidR="004B23BC">
        <w:rPr>
          <w:snapToGrid w:val="0"/>
          <w:color w:val="000000"/>
          <w:kern w:val="22"/>
          <w:szCs w:val="22"/>
          <w:lang w:val="fr-FR"/>
        </w:rPr>
        <w:t>à la</w:t>
      </w:r>
      <w:r w:rsidR="004070EA" w:rsidRPr="0024514E">
        <w:rPr>
          <w:snapToGrid w:val="0"/>
          <w:color w:val="000000"/>
          <w:kern w:val="22"/>
          <w:szCs w:val="22"/>
          <w:lang w:val="fr-FR"/>
        </w:rPr>
        <w:t xml:space="preserve"> </w:t>
      </w:r>
      <w:r w:rsidR="004B23BC">
        <w:rPr>
          <w:snapToGrid w:val="0"/>
          <w:color w:val="000000"/>
          <w:kern w:val="22"/>
          <w:szCs w:val="22"/>
          <w:lang w:val="fr-FR"/>
        </w:rPr>
        <w:t>Secrétaire exécutive</w:t>
      </w:r>
      <w:r w:rsidR="004070EA" w:rsidRPr="0024514E">
        <w:rPr>
          <w:snapToGrid w:val="0"/>
          <w:color w:val="000000"/>
          <w:kern w:val="22"/>
          <w:szCs w:val="22"/>
          <w:lang w:val="fr-FR"/>
        </w:rPr>
        <w:t xml:space="preserve"> </w:t>
      </w:r>
      <w:r w:rsidR="0024514E">
        <w:rPr>
          <w:snapToGrid w:val="0"/>
          <w:color w:val="000000"/>
          <w:kern w:val="22"/>
          <w:szCs w:val="22"/>
          <w:lang w:val="fr-FR"/>
        </w:rPr>
        <w:t>et au</w:t>
      </w:r>
      <w:r w:rsidR="004070EA" w:rsidRPr="0024514E">
        <w:rPr>
          <w:snapToGrid w:val="0"/>
          <w:color w:val="000000"/>
          <w:kern w:val="22"/>
          <w:szCs w:val="22"/>
          <w:lang w:val="fr-FR"/>
        </w:rPr>
        <w:t xml:space="preserve"> </w:t>
      </w:r>
      <w:r w:rsidR="00B011D3" w:rsidRPr="0024514E">
        <w:rPr>
          <w:snapToGrid w:val="0"/>
          <w:color w:val="000000"/>
          <w:kern w:val="22"/>
          <w:szCs w:val="22"/>
          <w:lang w:val="fr-FR"/>
        </w:rPr>
        <w:t>Groupe de liai</w:t>
      </w:r>
      <w:r w:rsidR="0024514E">
        <w:rPr>
          <w:snapToGrid w:val="0"/>
          <w:color w:val="000000"/>
          <w:kern w:val="22"/>
          <w:szCs w:val="22"/>
          <w:lang w:val="fr-FR"/>
        </w:rPr>
        <w:t>s</w:t>
      </w:r>
      <w:r w:rsidR="00B011D3" w:rsidRPr="0024514E">
        <w:rPr>
          <w:snapToGrid w:val="0"/>
          <w:color w:val="000000"/>
          <w:kern w:val="22"/>
          <w:szCs w:val="22"/>
          <w:lang w:val="fr-FR"/>
        </w:rPr>
        <w:t>on des</w:t>
      </w:r>
      <w:r w:rsidR="004070EA" w:rsidRPr="0024514E">
        <w:rPr>
          <w:snapToGrid w:val="0"/>
          <w:color w:val="000000"/>
          <w:kern w:val="22"/>
          <w:szCs w:val="22"/>
          <w:lang w:val="fr-FR"/>
        </w:rPr>
        <w:t xml:space="preserve"> </w:t>
      </w:r>
      <w:r w:rsidR="0024514E">
        <w:rPr>
          <w:snapToGrid w:val="0"/>
          <w:color w:val="000000"/>
          <w:kern w:val="22"/>
          <w:szCs w:val="22"/>
          <w:lang w:val="fr-FR"/>
        </w:rPr>
        <w:t>c</w:t>
      </w:r>
      <w:r w:rsidR="008B0ED2" w:rsidRPr="0024514E">
        <w:rPr>
          <w:snapToGrid w:val="0"/>
          <w:color w:val="000000"/>
          <w:kern w:val="22"/>
          <w:szCs w:val="22"/>
          <w:lang w:val="fr-FR"/>
        </w:rPr>
        <w:t>onventions relatives à la diversité biologique</w:t>
      </w:r>
      <w:r w:rsidR="004070EA" w:rsidRPr="0024514E">
        <w:rPr>
          <w:snapToGrid w:val="0"/>
          <w:color w:val="000000"/>
          <w:kern w:val="22"/>
          <w:szCs w:val="22"/>
          <w:lang w:val="fr-FR"/>
        </w:rPr>
        <w:t xml:space="preserve"> </w:t>
      </w:r>
      <w:r w:rsidR="0024514E">
        <w:rPr>
          <w:snapToGrid w:val="0"/>
          <w:color w:val="000000"/>
          <w:kern w:val="22"/>
          <w:szCs w:val="22"/>
          <w:lang w:val="fr-FR"/>
        </w:rPr>
        <w:t>comprend une recomma</w:t>
      </w:r>
      <w:r w:rsidR="00F43B05" w:rsidRPr="0024514E">
        <w:rPr>
          <w:snapToGrid w:val="0"/>
          <w:color w:val="000000"/>
          <w:kern w:val="22"/>
          <w:szCs w:val="22"/>
          <w:lang w:val="fr-FR"/>
        </w:rPr>
        <w:t>ndation</w:t>
      </w:r>
      <w:r w:rsidR="0024514E">
        <w:rPr>
          <w:snapToGrid w:val="0"/>
          <w:color w:val="000000"/>
          <w:kern w:val="22"/>
          <w:szCs w:val="22"/>
          <w:lang w:val="fr-FR"/>
        </w:rPr>
        <w:t xml:space="preserve"> favorisant l’utilisation des résultats de ces travaux</w:t>
      </w:r>
      <w:r w:rsidR="00F43B05" w:rsidRPr="0024514E">
        <w:rPr>
          <w:snapToGrid w:val="0"/>
          <w:color w:val="000000"/>
          <w:kern w:val="22"/>
          <w:szCs w:val="22"/>
          <w:lang w:val="fr-FR"/>
        </w:rPr>
        <w:t>.</w:t>
      </w:r>
    </w:p>
    <w:p w:rsidR="006A5D5D" w:rsidRPr="008751E6" w:rsidRDefault="002B7C4A"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2B7C4A">
        <w:rPr>
          <w:snapToGrid w:val="0"/>
          <w:color w:val="000000"/>
          <w:kern w:val="22"/>
          <w:szCs w:val="22"/>
          <w:lang w:val="fr-FR"/>
        </w:rPr>
        <w:t>L’exécution de plusieurs des principales mesures peut exiger un projet ou</w:t>
      </w:r>
      <w:r>
        <w:rPr>
          <w:snapToGrid w:val="0"/>
          <w:color w:val="000000"/>
          <w:kern w:val="22"/>
          <w:szCs w:val="22"/>
          <w:lang w:val="fr-FR"/>
        </w:rPr>
        <w:t xml:space="preserve"> une initiative qui leur sont consacrés à l’appui de leur progression ou achèvement.</w:t>
      </w:r>
      <w:r w:rsidR="0092022B" w:rsidRPr="002B7C4A">
        <w:rPr>
          <w:snapToGrid w:val="0"/>
          <w:color w:val="000000"/>
          <w:kern w:val="22"/>
          <w:szCs w:val="22"/>
          <w:lang w:val="fr-FR"/>
        </w:rPr>
        <w:t xml:space="preserve"> </w:t>
      </w:r>
      <w:r w:rsidRPr="002B7C4A">
        <w:rPr>
          <w:snapToGrid w:val="0"/>
          <w:color w:val="000000"/>
          <w:kern w:val="22"/>
          <w:szCs w:val="22"/>
          <w:lang w:val="fr-FR"/>
        </w:rPr>
        <w:t>Cela est en particulier le cas des principal</w:t>
      </w:r>
      <w:r>
        <w:rPr>
          <w:snapToGrid w:val="0"/>
          <w:color w:val="000000"/>
          <w:kern w:val="22"/>
          <w:szCs w:val="22"/>
          <w:lang w:val="fr-FR"/>
        </w:rPr>
        <w:t>e</w:t>
      </w:r>
      <w:r w:rsidRPr="002B7C4A">
        <w:rPr>
          <w:snapToGrid w:val="0"/>
          <w:color w:val="000000"/>
          <w:kern w:val="22"/>
          <w:szCs w:val="22"/>
          <w:lang w:val="fr-FR"/>
        </w:rPr>
        <w:t>s mesures liées à la</w:t>
      </w:r>
      <w:r w:rsidR="0079373A" w:rsidRPr="002B7C4A">
        <w:rPr>
          <w:snapToGrid w:val="0"/>
          <w:color w:val="000000"/>
          <w:kern w:val="22"/>
          <w:szCs w:val="22"/>
          <w:lang w:val="fr-FR"/>
        </w:rPr>
        <w:t xml:space="preserve"> collaboration </w:t>
      </w:r>
      <w:r>
        <w:rPr>
          <w:snapToGrid w:val="0"/>
          <w:color w:val="000000"/>
          <w:kern w:val="22"/>
          <w:szCs w:val="22"/>
          <w:lang w:val="fr-FR"/>
        </w:rPr>
        <w:t>en matière de gestion de l’information et des connaissances de même qu’en matière d’alignement de la collecte des données nationales</w:t>
      </w:r>
      <w:r w:rsidR="0079373A" w:rsidRPr="002B7C4A">
        <w:rPr>
          <w:bCs/>
          <w:snapToGrid w:val="0"/>
          <w:color w:val="000000"/>
          <w:kern w:val="22"/>
          <w:szCs w:val="22"/>
          <w:lang w:val="fr-FR"/>
        </w:rPr>
        <w:t xml:space="preserve">, </w:t>
      </w:r>
      <w:r>
        <w:rPr>
          <w:bCs/>
          <w:snapToGrid w:val="0"/>
          <w:color w:val="000000"/>
          <w:kern w:val="22"/>
          <w:szCs w:val="22"/>
          <w:lang w:val="fr-FR"/>
        </w:rPr>
        <w:t>des rapports, de la surveillance et des indicateurs</w:t>
      </w:r>
      <w:r w:rsidR="00E827E9" w:rsidRPr="00883A1C">
        <w:rPr>
          <w:szCs w:val="22"/>
          <w:vertAlign w:val="superscript"/>
        </w:rPr>
        <w:footnoteReference w:id="14"/>
      </w:r>
      <w:r>
        <w:rPr>
          <w:bCs/>
          <w:snapToGrid w:val="0"/>
          <w:color w:val="000000"/>
          <w:kern w:val="22"/>
          <w:szCs w:val="22"/>
          <w:lang w:val="fr-FR"/>
        </w:rPr>
        <w:t>.</w:t>
      </w:r>
      <w:r w:rsidR="0079373A" w:rsidRPr="002B7C4A">
        <w:rPr>
          <w:bCs/>
          <w:snapToGrid w:val="0"/>
          <w:color w:val="000000"/>
          <w:kern w:val="22"/>
          <w:szCs w:val="22"/>
          <w:lang w:val="fr-FR"/>
        </w:rPr>
        <w:t xml:space="preserve"> </w:t>
      </w:r>
      <w:r>
        <w:rPr>
          <w:bCs/>
          <w:snapToGrid w:val="0"/>
          <w:color w:val="000000"/>
          <w:kern w:val="22"/>
          <w:szCs w:val="22"/>
          <w:lang w:val="fr-FR"/>
        </w:rPr>
        <w:t xml:space="preserve"> </w:t>
      </w:r>
      <w:r w:rsidRPr="002B7C4A">
        <w:rPr>
          <w:bCs/>
          <w:snapToGrid w:val="0"/>
          <w:color w:val="000000"/>
          <w:kern w:val="22"/>
          <w:szCs w:val="22"/>
          <w:lang w:val="fr-FR"/>
        </w:rPr>
        <w:t>C’est pour cette raison que</w:t>
      </w:r>
      <w:r w:rsidR="00190F2A" w:rsidRPr="002B7C4A">
        <w:rPr>
          <w:snapToGrid w:val="0"/>
          <w:color w:val="000000"/>
          <w:kern w:val="22"/>
          <w:szCs w:val="22"/>
          <w:lang w:val="fr-FR"/>
        </w:rPr>
        <w:t>,</w:t>
      </w:r>
      <w:r w:rsidR="0092022B" w:rsidRPr="002B7C4A">
        <w:rPr>
          <w:snapToGrid w:val="0"/>
          <w:color w:val="000000"/>
          <w:kern w:val="22"/>
          <w:szCs w:val="22"/>
          <w:lang w:val="fr-FR"/>
        </w:rPr>
        <w:t xml:space="preserve"> </w:t>
      </w:r>
      <w:r w:rsidRPr="002B7C4A">
        <w:rPr>
          <w:snapToGrid w:val="0"/>
          <w:color w:val="000000"/>
          <w:kern w:val="22"/>
          <w:szCs w:val="22"/>
          <w:lang w:val="fr-FR"/>
        </w:rPr>
        <w:t>s’agi</w:t>
      </w:r>
      <w:r>
        <w:rPr>
          <w:snapToGrid w:val="0"/>
          <w:color w:val="000000"/>
          <w:kern w:val="22"/>
          <w:szCs w:val="22"/>
          <w:lang w:val="fr-FR"/>
        </w:rPr>
        <w:t>ssant de ces principales mesures</w:t>
      </w:r>
      <w:r w:rsidR="00190F2A" w:rsidRPr="002B7C4A">
        <w:rPr>
          <w:snapToGrid w:val="0"/>
          <w:color w:val="000000"/>
          <w:kern w:val="22"/>
          <w:szCs w:val="22"/>
          <w:lang w:val="fr-FR"/>
        </w:rPr>
        <w:t xml:space="preserve">, </w:t>
      </w:r>
      <w:r>
        <w:rPr>
          <w:snapToGrid w:val="0"/>
          <w:color w:val="000000"/>
          <w:kern w:val="22"/>
          <w:szCs w:val="22"/>
          <w:lang w:val="fr-FR"/>
        </w:rPr>
        <w:t>l’avis à la</w:t>
      </w:r>
      <w:r w:rsidR="0092022B" w:rsidRPr="002B7C4A">
        <w:rPr>
          <w:snapToGrid w:val="0"/>
          <w:color w:val="000000"/>
          <w:kern w:val="22"/>
          <w:szCs w:val="22"/>
          <w:lang w:val="fr-FR"/>
        </w:rPr>
        <w:t xml:space="preserve"> </w:t>
      </w:r>
      <w:r w:rsidR="00713136" w:rsidRPr="002B7C4A">
        <w:rPr>
          <w:snapToGrid w:val="0"/>
          <w:color w:val="000000"/>
          <w:kern w:val="22"/>
          <w:szCs w:val="22"/>
          <w:lang w:val="fr-FR"/>
        </w:rPr>
        <w:t>Secrétaire exécutive</w:t>
      </w:r>
      <w:r w:rsidR="0092022B" w:rsidRPr="002B7C4A">
        <w:rPr>
          <w:snapToGrid w:val="0"/>
          <w:color w:val="000000"/>
          <w:kern w:val="22"/>
          <w:szCs w:val="22"/>
          <w:lang w:val="fr-FR"/>
        </w:rPr>
        <w:t xml:space="preserve"> </w:t>
      </w:r>
      <w:r>
        <w:rPr>
          <w:snapToGrid w:val="0"/>
          <w:color w:val="000000"/>
          <w:kern w:val="22"/>
          <w:szCs w:val="22"/>
          <w:lang w:val="fr-FR"/>
        </w:rPr>
        <w:t xml:space="preserve">et au </w:t>
      </w:r>
      <w:r w:rsidR="00B011D3" w:rsidRPr="002B7C4A">
        <w:rPr>
          <w:snapToGrid w:val="0"/>
          <w:color w:val="000000"/>
          <w:kern w:val="22"/>
          <w:szCs w:val="22"/>
          <w:lang w:val="fr-FR"/>
        </w:rPr>
        <w:t>Groupe de liai</w:t>
      </w:r>
      <w:r>
        <w:rPr>
          <w:snapToGrid w:val="0"/>
          <w:color w:val="000000"/>
          <w:kern w:val="22"/>
          <w:szCs w:val="22"/>
          <w:lang w:val="fr-FR"/>
        </w:rPr>
        <w:t>s</w:t>
      </w:r>
      <w:r w:rsidR="00B011D3" w:rsidRPr="002B7C4A">
        <w:rPr>
          <w:snapToGrid w:val="0"/>
          <w:color w:val="000000"/>
          <w:kern w:val="22"/>
          <w:szCs w:val="22"/>
          <w:lang w:val="fr-FR"/>
        </w:rPr>
        <w:t>on des</w:t>
      </w:r>
      <w:r w:rsidR="00551803" w:rsidRPr="002B7C4A">
        <w:rPr>
          <w:snapToGrid w:val="0"/>
          <w:color w:val="000000"/>
          <w:kern w:val="22"/>
          <w:szCs w:val="22"/>
          <w:lang w:val="fr-FR"/>
        </w:rPr>
        <w:t xml:space="preserve"> </w:t>
      </w:r>
      <w:r>
        <w:rPr>
          <w:snapToGrid w:val="0"/>
          <w:color w:val="000000"/>
          <w:kern w:val="22"/>
          <w:szCs w:val="22"/>
          <w:lang w:val="fr-FR"/>
        </w:rPr>
        <w:t>c</w:t>
      </w:r>
      <w:r w:rsidR="008B0ED2" w:rsidRPr="002B7C4A">
        <w:rPr>
          <w:snapToGrid w:val="0"/>
          <w:color w:val="000000"/>
          <w:kern w:val="22"/>
          <w:szCs w:val="22"/>
          <w:lang w:val="fr-FR"/>
        </w:rPr>
        <w:t>onventions relatives à la diversité biologique</w:t>
      </w:r>
      <w:r w:rsidR="0092022B" w:rsidRPr="002B7C4A">
        <w:rPr>
          <w:snapToGrid w:val="0"/>
          <w:color w:val="000000"/>
          <w:kern w:val="22"/>
          <w:szCs w:val="22"/>
          <w:lang w:val="fr-FR"/>
        </w:rPr>
        <w:t xml:space="preserve"> </w:t>
      </w:r>
      <w:r>
        <w:rPr>
          <w:snapToGrid w:val="0"/>
          <w:color w:val="000000"/>
          <w:kern w:val="22"/>
          <w:szCs w:val="22"/>
          <w:lang w:val="fr-FR"/>
        </w:rPr>
        <w:t>inclut une recomma</w:t>
      </w:r>
      <w:r w:rsidR="0092022B" w:rsidRPr="002B7C4A">
        <w:rPr>
          <w:snapToGrid w:val="0"/>
          <w:color w:val="000000"/>
          <w:kern w:val="22"/>
          <w:szCs w:val="22"/>
          <w:lang w:val="fr-FR"/>
        </w:rPr>
        <w:t xml:space="preserve">ndation </w:t>
      </w:r>
      <w:r>
        <w:rPr>
          <w:snapToGrid w:val="0"/>
          <w:color w:val="000000"/>
          <w:kern w:val="22"/>
          <w:szCs w:val="22"/>
          <w:lang w:val="fr-FR"/>
        </w:rPr>
        <w:t xml:space="preserve">pour catalyser </w:t>
      </w:r>
      <w:r w:rsidR="008751E6">
        <w:rPr>
          <w:snapToGrid w:val="0"/>
          <w:color w:val="000000"/>
          <w:kern w:val="22"/>
          <w:szCs w:val="22"/>
          <w:lang w:val="fr-FR"/>
        </w:rPr>
        <w:t>le financement et les mécanismes d’exécution appropriés d’un projet</w:t>
      </w:r>
      <w:r w:rsidR="0092022B" w:rsidRPr="002B7C4A">
        <w:rPr>
          <w:snapToGrid w:val="0"/>
          <w:color w:val="000000"/>
          <w:kern w:val="22"/>
          <w:szCs w:val="22"/>
          <w:lang w:val="fr-FR"/>
        </w:rPr>
        <w:t xml:space="preserve"> </w:t>
      </w:r>
      <w:r w:rsidR="008751E6">
        <w:rPr>
          <w:snapToGrid w:val="0"/>
          <w:color w:val="000000"/>
          <w:kern w:val="22"/>
          <w:szCs w:val="22"/>
          <w:lang w:val="fr-FR"/>
        </w:rPr>
        <w:t>ou d’une</w:t>
      </w:r>
      <w:r w:rsidR="0035643F" w:rsidRPr="002B7C4A">
        <w:rPr>
          <w:snapToGrid w:val="0"/>
          <w:color w:val="000000"/>
          <w:kern w:val="22"/>
          <w:szCs w:val="22"/>
          <w:lang w:val="fr-FR"/>
        </w:rPr>
        <w:t xml:space="preserve"> initiative </w:t>
      </w:r>
      <w:r w:rsidR="008751E6">
        <w:rPr>
          <w:snapToGrid w:val="0"/>
          <w:color w:val="000000"/>
          <w:kern w:val="22"/>
          <w:szCs w:val="22"/>
          <w:lang w:val="fr-FR"/>
        </w:rPr>
        <w:t>pour entreprendre la principale mesure ou les travaux connexes.</w:t>
      </w:r>
      <w:r w:rsidR="00F43B05" w:rsidRPr="002B7C4A">
        <w:rPr>
          <w:snapToGrid w:val="0"/>
          <w:color w:val="000000"/>
          <w:kern w:val="22"/>
          <w:szCs w:val="22"/>
          <w:lang w:val="fr-FR"/>
        </w:rPr>
        <w:t xml:space="preserve"> </w:t>
      </w:r>
      <w:r w:rsidR="008751E6">
        <w:rPr>
          <w:snapToGrid w:val="0"/>
          <w:color w:val="000000"/>
          <w:kern w:val="22"/>
          <w:szCs w:val="22"/>
          <w:lang w:val="fr-FR"/>
        </w:rPr>
        <w:t xml:space="preserve"> </w:t>
      </w:r>
      <w:r w:rsidR="00440C26">
        <w:rPr>
          <w:snapToGrid w:val="0"/>
          <w:color w:val="000000"/>
          <w:kern w:val="22"/>
          <w:szCs w:val="22"/>
          <w:lang w:val="fr-FR"/>
        </w:rPr>
        <w:t xml:space="preserve">Dans ces </w:t>
      </w:r>
      <w:r w:rsidR="0048291A">
        <w:rPr>
          <w:snapToGrid w:val="0"/>
          <w:color w:val="000000"/>
          <w:kern w:val="22"/>
          <w:szCs w:val="22"/>
          <w:lang w:val="fr-FR"/>
        </w:rPr>
        <w:t>cas-</w:t>
      </w:r>
      <w:r w:rsidR="008751E6" w:rsidRPr="008751E6">
        <w:rPr>
          <w:snapToGrid w:val="0"/>
          <w:color w:val="000000"/>
          <w:kern w:val="22"/>
          <w:szCs w:val="22"/>
          <w:lang w:val="fr-FR"/>
        </w:rPr>
        <w:t>là</w:t>
      </w:r>
      <w:r w:rsidR="0092022B" w:rsidRPr="008751E6">
        <w:rPr>
          <w:snapToGrid w:val="0"/>
          <w:color w:val="000000"/>
          <w:kern w:val="22"/>
          <w:szCs w:val="22"/>
          <w:lang w:val="fr-FR"/>
        </w:rPr>
        <w:t>,</w:t>
      </w:r>
      <w:r w:rsidR="006A5D5D" w:rsidRPr="008751E6">
        <w:rPr>
          <w:snapToGrid w:val="0"/>
          <w:color w:val="000000"/>
          <w:kern w:val="22"/>
          <w:szCs w:val="22"/>
          <w:lang w:val="fr-FR"/>
        </w:rPr>
        <w:t xml:space="preserve"> </w:t>
      </w:r>
      <w:r w:rsidR="008751E6" w:rsidRPr="008751E6">
        <w:rPr>
          <w:snapToGrid w:val="0"/>
          <w:color w:val="000000"/>
          <w:kern w:val="22"/>
          <w:szCs w:val="22"/>
          <w:lang w:val="fr-FR"/>
        </w:rPr>
        <w:t>l</w:t>
      </w:r>
      <w:r w:rsidR="0092022B" w:rsidRPr="008751E6">
        <w:rPr>
          <w:snapToGrid w:val="0"/>
          <w:color w:val="000000"/>
          <w:kern w:val="22"/>
          <w:szCs w:val="22"/>
          <w:lang w:val="fr-FR"/>
        </w:rPr>
        <w:t xml:space="preserve">e </w:t>
      </w:r>
      <w:r w:rsidR="00A80D17" w:rsidRPr="008751E6">
        <w:rPr>
          <w:snapToGrid w:val="0"/>
          <w:color w:val="000000"/>
          <w:kern w:val="22"/>
          <w:szCs w:val="22"/>
          <w:lang w:val="fr-FR"/>
        </w:rPr>
        <w:t>groupe consultatif informel</w:t>
      </w:r>
      <w:r w:rsidR="0092022B" w:rsidRPr="008751E6">
        <w:rPr>
          <w:snapToGrid w:val="0"/>
          <w:color w:val="000000"/>
          <w:kern w:val="22"/>
          <w:szCs w:val="22"/>
          <w:lang w:val="fr-FR"/>
        </w:rPr>
        <w:t xml:space="preserve"> </w:t>
      </w:r>
      <w:r w:rsidR="008751E6" w:rsidRPr="008751E6">
        <w:rPr>
          <w:snapToGrid w:val="0"/>
          <w:color w:val="000000"/>
          <w:kern w:val="22"/>
          <w:szCs w:val="22"/>
          <w:lang w:val="fr-FR"/>
        </w:rPr>
        <w:t>conseille également à la</w:t>
      </w:r>
      <w:r w:rsidR="0092022B" w:rsidRPr="008751E6">
        <w:rPr>
          <w:snapToGrid w:val="0"/>
          <w:color w:val="000000"/>
          <w:kern w:val="22"/>
          <w:szCs w:val="22"/>
          <w:lang w:val="fr-FR"/>
        </w:rPr>
        <w:t xml:space="preserve"> </w:t>
      </w:r>
      <w:r w:rsidR="00713136" w:rsidRPr="008751E6">
        <w:rPr>
          <w:snapToGrid w:val="0"/>
          <w:color w:val="000000"/>
          <w:kern w:val="22"/>
          <w:szCs w:val="22"/>
          <w:lang w:val="fr-FR"/>
        </w:rPr>
        <w:t>Secrétaire exécutive</w:t>
      </w:r>
      <w:r w:rsidR="0092022B" w:rsidRPr="008751E6">
        <w:rPr>
          <w:snapToGrid w:val="0"/>
          <w:color w:val="000000"/>
          <w:kern w:val="22"/>
          <w:szCs w:val="22"/>
          <w:lang w:val="fr-FR"/>
        </w:rPr>
        <w:t xml:space="preserve"> </w:t>
      </w:r>
      <w:r w:rsidR="008751E6" w:rsidRPr="008751E6">
        <w:rPr>
          <w:snapToGrid w:val="0"/>
          <w:color w:val="000000"/>
          <w:kern w:val="22"/>
          <w:szCs w:val="22"/>
          <w:lang w:val="fr-FR"/>
        </w:rPr>
        <w:t xml:space="preserve">d’envisager d’inclure la mesure dans </w:t>
      </w:r>
      <w:r w:rsidR="008751E6">
        <w:rPr>
          <w:snapToGrid w:val="0"/>
          <w:color w:val="000000"/>
          <w:kern w:val="22"/>
          <w:szCs w:val="22"/>
          <w:lang w:val="fr-FR"/>
        </w:rPr>
        <w:t xml:space="preserve">les activités et le budget des contributions volontaires qui y est associé de la Convention proposé pour l’exercice biennal </w:t>
      </w:r>
      <w:r w:rsidR="0079373A" w:rsidRPr="008751E6">
        <w:rPr>
          <w:snapToGrid w:val="0"/>
          <w:color w:val="000000"/>
          <w:kern w:val="22"/>
          <w:szCs w:val="22"/>
          <w:lang w:val="fr-FR"/>
        </w:rPr>
        <w:t xml:space="preserve">2019-2020 </w:t>
      </w:r>
      <w:r w:rsidR="008751E6">
        <w:rPr>
          <w:snapToGrid w:val="0"/>
          <w:color w:val="000000"/>
          <w:kern w:val="22"/>
          <w:szCs w:val="22"/>
          <w:lang w:val="fr-FR"/>
        </w:rPr>
        <w:t>en vue de son examen par la</w:t>
      </w:r>
      <w:r w:rsidR="00031441" w:rsidRPr="008751E6">
        <w:rPr>
          <w:snapToGrid w:val="0"/>
          <w:color w:val="000000"/>
          <w:kern w:val="22"/>
          <w:szCs w:val="22"/>
          <w:lang w:val="fr-FR"/>
        </w:rPr>
        <w:t xml:space="preserve"> Conférence des Parties</w:t>
      </w:r>
      <w:r w:rsidR="004003D1" w:rsidRPr="008751E6">
        <w:rPr>
          <w:snapToGrid w:val="0"/>
          <w:color w:val="000000"/>
          <w:kern w:val="22"/>
          <w:szCs w:val="22"/>
          <w:lang w:val="fr-FR"/>
        </w:rPr>
        <w:t xml:space="preserve"> </w:t>
      </w:r>
      <w:r w:rsidR="008751E6">
        <w:rPr>
          <w:snapToGrid w:val="0"/>
          <w:color w:val="000000"/>
          <w:kern w:val="22"/>
          <w:szCs w:val="22"/>
          <w:lang w:val="fr-FR"/>
        </w:rPr>
        <w:t>à sa quatorzième réunion</w:t>
      </w:r>
      <w:r w:rsidR="0079373A" w:rsidRPr="008751E6">
        <w:rPr>
          <w:snapToGrid w:val="0"/>
          <w:color w:val="000000"/>
          <w:kern w:val="22"/>
          <w:szCs w:val="22"/>
          <w:lang w:val="fr-FR"/>
        </w:rPr>
        <w:t>.</w:t>
      </w:r>
    </w:p>
    <w:p w:rsidR="00B1448C" w:rsidRPr="00DD5160" w:rsidRDefault="00893BC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893BCF">
        <w:rPr>
          <w:kern w:val="22"/>
          <w:szCs w:val="22"/>
          <w:lang w:val="fr-FR"/>
        </w:rPr>
        <w:t xml:space="preserve">Tandis que la plupart de ses avis sont adressés à </w:t>
      </w:r>
      <w:r>
        <w:rPr>
          <w:kern w:val="22"/>
          <w:szCs w:val="22"/>
          <w:lang w:val="fr-FR"/>
        </w:rPr>
        <w:t>la</w:t>
      </w:r>
      <w:r w:rsidR="00B1448C" w:rsidRPr="00893BCF">
        <w:rPr>
          <w:kern w:val="22"/>
          <w:szCs w:val="22"/>
          <w:lang w:val="fr-FR"/>
        </w:rPr>
        <w:t xml:space="preserve"> </w:t>
      </w:r>
      <w:r w:rsidR="00713136" w:rsidRPr="00893BCF">
        <w:rPr>
          <w:kern w:val="22"/>
          <w:szCs w:val="22"/>
          <w:lang w:val="fr-FR"/>
        </w:rPr>
        <w:t>Secrétaire exécutive</w:t>
      </w:r>
      <w:r w:rsidR="00B1448C" w:rsidRPr="00893BCF">
        <w:rPr>
          <w:kern w:val="22"/>
          <w:szCs w:val="22"/>
          <w:lang w:val="fr-FR"/>
        </w:rPr>
        <w:t xml:space="preserve"> </w:t>
      </w:r>
      <w:r>
        <w:rPr>
          <w:kern w:val="22"/>
          <w:szCs w:val="22"/>
          <w:lang w:val="fr-FR"/>
        </w:rPr>
        <w:t>et aux</w:t>
      </w:r>
      <w:r w:rsidR="00B1448C" w:rsidRPr="00893BCF">
        <w:rPr>
          <w:kern w:val="22"/>
          <w:szCs w:val="22"/>
          <w:lang w:val="fr-FR"/>
        </w:rPr>
        <w:t xml:space="preserve"> </w:t>
      </w:r>
      <w:r w:rsidR="002A6D48" w:rsidRPr="00893BCF">
        <w:rPr>
          <w:kern w:val="22"/>
          <w:szCs w:val="22"/>
          <w:lang w:val="fr-FR"/>
        </w:rPr>
        <w:t>membres</w:t>
      </w:r>
      <w:r w:rsidR="00B1448C" w:rsidRPr="00893BCF">
        <w:rPr>
          <w:kern w:val="22"/>
          <w:szCs w:val="22"/>
          <w:lang w:val="fr-FR"/>
        </w:rPr>
        <w:t xml:space="preserve"> </w:t>
      </w:r>
      <w:r>
        <w:rPr>
          <w:kern w:val="22"/>
          <w:szCs w:val="22"/>
          <w:lang w:val="fr-FR"/>
        </w:rPr>
        <w:t>du Groupe de l</w:t>
      </w:r>
      <w:r w:rsidR="00B1448C" w:rsidRPr="00893BCF">
        <w:rPr>
          <w:kern w:val="22"/>
          <w:szCs w:val="22"/>
          <w:lang w:val="fr-FR"/>
        </w:rPr>
        <w:t>iaison</w:t>
      </w:r>
      <w:r>
        <w:rPr>
          <w:kern w:val="22"/>
          <w:szCs w:val="22"/>
          <w:lang w:val="fr-FR"/>
        </w:rPr>
        <w:t xml:space="preserve"> sur les c</w:t>
      </w:r>
      <w:r w:rsidR="008B0ED2" w:rsidRPr="00893BCF">
        <w:rPr>
          <w:kern w:val="22"/>
          <w:szCs w:val="22"/>
          <w:lang w:val="fr-FR"/>
        </w:rPr>
        <w:t>onventions relatives à la diversité biologique</w:t>
      </w:r>
      <w:r>
        <w:rPr>
          <w:kern w:val="22"/>
          <w:szCs w:val="22"/>
          <w:lang w:val="fr-FR"/>
        </w:rPr>
        <w:t>, le</w:t>
      </w:r>
      <w:r w:rsidR="00F234E3" w:rsidRPr="00893BCF">
        <w:rPr>
          <w:kern w:val="22"/>
          <w:szCs w:val="22"/>
          <w:lang w:val="fr-FR"/>
        </w:rPr>
        <w:t xml:space="preserve"> Group</w:t>
      </w:r>
      <w:r>
        <w:rPr>
          <w:kern w:val="22"/>
          <w:szCs w:val="22"/>
          <w:lang w:val="fr-FR"/>
        </w:rPr>
        <w:t>e</w:t>
      </w:r>
      <w:r w:rsidR="00F234E3" w:rsidRPr="00893BCF">
        <w:rPr>
          <w:kern w:val="22"/>
          <w:szCs w:val="22"/>
          <w:lang w:val="fr-FR"/>
        </w:rPr>
        <w:t xml:space="preserve"> </w:t>
      </w:r>
      <w:r>
        <w:rPr>
          <w:kern w:val="22"/>
          <w:szCs w:val="22"/>
          <w:lang w:val="fr-FR"/>
        </w:rPr>
        <w:t>a inclus une recomma</w:t>
      </w:r>
      <w:r w:rsidR="00F234E3" w:rsidRPr="00893BCF">
        <w:rPr>
          <w:kern w:val="22"/>
          <w:szCs w:val="22"/>
          <w:lang w:val="fr-FR"/>
        </w:rPr>
        <w:t>ndation</w:t>
      </w:r>
      <w:r>
        <w:rPr>
          <w:kern w:val="22"/>
          <w:szCs w:val="22"/>
          <w:lang w:val="fr-FR"/>
        </w:rPr>
        <w:t xml:space="preserve"> adressée au Bureau de la CDB</w:t>
      </w:r>
      <w:r w:rsidR="00FC3EF7" w:rsidRPr="00893BCF">
        <w:rPr>
          <w:kern w:val="22"/>
          <w:szCs w:val="22"/>
          <w:lang w:val="fr-FR"/>
        </w:rPr>
        <w:t>.</w:t>
      </w:r>
      <w:r w:rsidR="00F234E3" w:rsidRPr="00893BCF">
        <w:rPr>
          <w:kern w:val="22"/>
          <w:szCs w:val="22"/>
          <w:lang w:val="fr-FR"/>
        </w:rPr>
        <w:t xml:space="preserve"> </w:t>
      </w:r>
      <w:r w:rsidR="00DD5160">
        <w:rPr>
          <w:kern w:val="22"/>
          <w:szCs w:val="22"/>
          <w:lang w:val="fr-FR"/>
        </w:rPr>
        <w:t xml:space="preserve"> </w:t>
      </w:r>
      <w:r w:rsidR="004B23BC">
        <w:rPr>
          <w:kern w:val="22"/>
          <w:szCs w:val="22"/>
          <w:lang w:val="fr-FR"/>
        </w:rPr>
        <w:t xml:space="preserve">Elle </w:t>
      </w:r>
      <w:r w:rsidR="00DD5160" w:rsidRPr="00DD5160">
        <w:rPr>
          <w:kern w:val="22"/>
          <w:szCs w:val="22"/>
          <w:lang w:val="fr-FR"/>
        </w:rPr>
        <w:t>recommande que le Bureau examine différentes façons pour les P</w:t>
      </w:r>
      <w:r w:rsidR="00DD5160">
        <w:rPr>
          <w:kern w:val="22"/>
          <w:szCs w:val="22"/>
          <w:lang w:val="fr-FR"/>
        </w:rPr>
        <w:t>art</w:t>
      </w:r>
      <w:r w:rsidR="00B1448C" w:rsidRPr="00DD5160">
        <w:rPr>
          <w:kern w:val="22"/>
          <w:szCs w:val="22"/>
          <w:lang w:val="fr-FR"/>
        </w:rPr>
        <w:t xml:space="preserve">ies </w:t>
      </w:r>
      <w:r w:rsidR="00DD5160">
        <w:rPr>
          <w:kern w:val="22"/>
          <w:szCs w:val="22"/>
          <w:lang w:val="fr-FR"/>
        </w:rPr>
        <w:t>aux</w:t>
      </w:r>
      <w:r w:rsidR="00B1448C" w:rsidRPr="00DD5160">
        <w:rPr>
          <w:kern w:val="22"/>
          <w:szCs w:val="22"/>
          <w:lang w:val="fr-FR"/>
        </w:rPr>
        <w:t xml:space="preserve"> conventions, </w:t>
      </w:r>
      <w:r w:rsidR="00DD5160">
        <w:rPr>
          <w:kern w:val="22"/>
          <w:szCs w:val="22"/>
          <w:lang w:val="fr-FR"/>
        </w:rPr>
        <w:t>par l’intermédiaire peut-être de leurs</w:t>
      </w:r>
      <w:r w:rsidR="00B1448C" w:rsidRPr="00DD5160">
        <w:rPr>
          <w:kern w:val="22"/>
          <w:szCs w:val="22"/>
          <w:lang w:val="fr-FR"/>
        </w:rPr>
        <w:t xml:space="preserve"> bureaux, </w:t>
      </w:r>
      <w:r w:rsidR="00DD5160">
        <w:rPr>
          <w:kern w:val="22"/>
          <w:szCs w:val="22"/>
          <w:lang w:val="fr-FR"/>
        </w:rPr>
        <w:t>comités permanents ou organes équivalents, ou par le biais d’autres mécanismes, agisse en liaison avec le Groupe de liaison sur les c</w:t>
      </w:r>
      <w:r w:rsidR="008B0ED2" w:rsidRPr="00DD5160">
        <w:rPr>
          <w:kern w:val="22"/>
          <w:szCs w:val="22"/>
          <w:lang w:val="fr-FR"/>
        </w:rPr>
        <w:t>onventions relatives à la diversité biologique</w:t>
      </w:r>
      <w:r w:rsidR="00B1448C" w:rsidRPr="00DD5160">
        <w:rPr>
          <w:kern w:val="22"/>
          <w:szCs w:val="22"/>
          <w:lang w:val="fr-FR"/>
        </w:rPr>
        <w:t>.</w:t>
      </w:r>
      <w:r w:rsidR="00C85A4A" w:rsidRPr="00DD5160">
        <w:rPr>
          <w:kern w:val="22"/>
          <w:szCs w:val="22"/>
          <w:lang w:val="fr-FR"/>
        </w:rPr>
        <w:t xml:space="preserve"> </w:t>
      </w:r>
      <w:r w:rsidR="00DD5160">
        <w:rPr>
          <w:kern w:val="22"/>
          <w:szCs w:val="22"/>
          <w:lang w:val="fr-FR"/>
        </w:rPr>
        <w:t>Le même avis est donné au Groupe de liaison sur les c</w:t>
      </w:r>
      <w:r w:rsidR="008B0ED2" w:rsidRPr="00DD5160">
        <w:rPr>
          <w:kern w:val="22"/>
          <w:szCs w:val="22"/>
          <w:lang w:val="fr-FR"/>
        </w:rPr>
        <w:t>onventions relatives à la diversité biologique</w:t>
      </w:r>
      <w:r w:rsidR="00C85A4A" w:rsidRPr="00DD5160">
        <w:rPr>
          <w:kern w:val="22"/>
          <w:szCs w:val="22"/>
          <w:lang w:val="fr-FR"/>
        </w:rPr>
        <w:t>.</w:t>
      </w:r>
    </w:p>
    <w:p w:rsidR="007D6BAB" w:rsidRPr="000E696D" w:rsidRDefault="000E696D"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lang w:val="fr-FR"/>
        </w:rPr>
      </w:pPr>
      <w:r w:rsidRPr="000E696D">
        <w:rPr>
          <w:kern w:val="22"/>
          <w:szCs w:val="22"/>
          <w:lang w:val="fr-FR"/>
        </w:rPr>
        <w:t>Un représentant du</w:t>
      </w:r>
      <w:r w:rsidR="007D6BAB" w:rsidRPr="000E696D">
        <w:rPr>
          <w:kern w:val="22"/>
          <w:szCs w:val="22"/>
          <w:lang w:val="fr-FR"/>
        </w:rPr>
        <w:t xml:space="preserve"> Group</w:t>
      </w:r>
      <w:r w:rsidRPr="000E696D">
        <w:rPr>
          <w:kern w:val="22"/>
          <w:szCs w:val="22"/>
          <w:lang w:val="fr-FR"/>
        </w:rPr>
        <w:t>e</w:t>
      </w:r>
      <w:r w:rsidR="007D6BAB" w:rsidRPr="000E696D">
        <w:rPr>
          <w:kern w:val="22"/>
          <w:szCs w:val="22"/>
          <w:lang w:val="fr-FR"/>
        </w:rPr>
        <w:t xml:space="preserve"> </w:t>
      </w:r>
      <w:r w:rsidRPr="000E696D">
        <w:rPr>
          <w:kern w:val="22"/>
          <w:szCs w:val="22"/>
          <w:lang w:val="fr-FR"/>
        </w:rPr>
        <w:t>présentera l’avis du Groupe à la</w:t>
      </w:r>
      <w:r w:rsidR="007D6BAB" w:rsidRPr="000E696D">
        <w:rPr>
          <w:kern w:val="22"/>
          <w:szCs w:val="22"/>
          <w:lang w:val="fr-FR"/>
        </w:rPr>
        <w:t xml:space="preserve"> </w:t>
      </w:r>
      <w:r w:rsidR="00713136" w:rsidRPr="000E696D">
        <w:rPr>
          <w:kern w:val="22"/>
          <w:szCs w:val="22"/>
          <w:lang w:val="fr-FR"/>
        </w:rPr>
        <w:t>Secrétaire exécutive</w:t>
      </w:r>
      <w:r w:rsidR="007D6BAB" w:rsidRPr="000E696D">
        <w:rPr>
          <w:kern w:val="22"/>
          <w:szCs w:val="22"/>
          <w:lang w:val="fr-FR"/>
        </w:rPr>
        <w:t xml:space="preserve"> </w:t>
      </w:r>
      <w:r w:rsidRPr="000E696D">
        <w:rPr>
          <w:kern w:val="22"/>
          <w:szCs w:val="22"/>
          <w:lang w:val="fr-FR"/>
        </w:rPr>
        <w:t>et au</w:t>
      </w:r>
      <w:r w:rsidR="007D6BAB" w:rsidRPr="000E696D">
        <w:rPr>
          <w:kern w:val="22"/>
          <w:szCs w:val="22"/>
          <w:lang w:val="fr-FR"/>
        </w:rPr>
        <w:t xml:space="preserve"> </w:t>
      </w:r>
      <w:r w:rsidR="00CB06DA" w:rsidRPr="000E696D">
        <w:rPr>
          <w:snapToGrid w:val="0"/>
          <w:kern w:val="22"/>
          <w:szCs w:val="22"/>
          <w:lang w:val="fr-FR"/>
        </w:rPr>
        <w:t>B</w:t>
      </w:r>
      <w:r w:rsidRPr="000E696D">
        <w:rPr>
          <w:kern w:val="22"/>
          <w:szCs w:val="22"/>
          <w:lang w:val="fr-FR"/>
        </w:rPr>
        <w:t xml:space="preserve">ureau à la réunion du </w:t>
      </w:r>
      <w:r w:rsidR="005E5829" w:rsidRPr="000E696D">
        <w:rPr>
          <w:kern w:val="22"/>
          <w:szCs w:val="22"/>
          <w:lang w:val="fr-FR"/>
        </w:rPr>
        <w:t>B</w:t>
      </w:r>
      <w:r w:rsidR="007D6BAB" w:rsidRPr="000E696D">
        <w:rPr>
          <w:kern w:val="22"/>
          <w:szCs w:val="22"/>
          <w:lang w:val="fr-FR"/>
        </w:rPr>
        <w:t xml:space="preserve">ureau </w:t>
      </w:r>
      <w:r w:rsidRPr="000E696D">
        <w:rPr>
          <w:kern w:val="22"/>
          <w:szCs w:val="22"/>
          <w:lang w:val="fr-FR"/>
        </w:rPr>
        <w:t>qui se tiendra en juillet 2018 à</w:t>
      </w:r>
      <w:r w:rsidR="007D6BAB" w:rsidRPr="000E696D">
        <w:rPr>
          <w:kern w:val="22"/>
          <w:szCs w:val="22"/>
          <w:lang w:val="fr-FR"/>
        </w:rPr>
        <w:t xml:space="preserve"> Montr</w:t>
      </w:r>
      <w:r>
        <w:rPr>
          <w:kern w:val="22"/>
          <w:szCs w:val="22"/>
          <w:lang w:val="fr-FR"/>
        </w:rPr>
        <w:t>é</w:t>
      </w:r>
      <w:r w:rsidR="007D6BAB" w:rsidRPr="000E696D">
        <w:rPr>
          <w:kern w:val="22"/>
          <w:szCs w:val="22"/>
          <w:lang w:val="fr-FR"/>
        </w:rPr>
        <w:t xml:space="preserve">al, </w:t>
      </w:r>
      <w:r>
        <w:rPr>
          <w:kern w:val="22"/>
          <w:szCs w:val="22"/>
          <w:lang w:val="fr-FR"/>
        </w:rPr>
        <w:t xml:space="preserve">et il présentera son avis </w:t>
      </w:r>
      <w:r w:rsidR="00E55DA6">
        <w:rPr>
          <w:kern w:val="22"/>
          <w:szCs w:val="22"/>
          <w:lang w:val="fr-FR"/>
        </w:rPr>
        <w:t>au</w:t>
      </w:r>
      <w:r w:rsidR="007D6BAB" w:rsidRPr="000E696D">
        <w:rPr>
          <w:kern w:val="22"/>
          <w:szCs w:val="22"/>
          <w:lang w:val="fr-FR"/>
        </w:rPr>
        <w:t xml:space="preserve"> </w:t>
      </w:r>
      <w:r w:rsidR="00B011D3" w:rsidRPr="000E696D">
        <w:rPr>
          <w:kern w:val="22"/>
          <w:szCs w:val="22"/>
          <w:lang w:val="fr-FR"/>
        </w:rPr>
        <w:t>Groupe de lia</w:t>
      </w:r>
      <w:r w:rsidR="00E55DA6">
        <w:rPr>
          <w:kern w:val="22"/>
          <w:szCs w:val="22"/>
          <w:lang w:val="fr-FR"/>
        </w:rPr>
        <w:t>is</w:t>
      </w:r>
      <w:r w:rsidR="00B011D3" w:rsidRPr="000E696D">
        <w:rPr>
          <w:kern w:val="22"/>
          <w:szCs w:val="22"/>
          <w:lang w:val="fr-FR"/>
        </w:rPr>
        <w:t>on des</w:t>
      </w:r>
      <w:r w:rsidR="00A70CDF" w:rsidRPr="000E696D">
        <w:rPr>
          <w:kern w:val="22"/>
          <w:szCs w:val="22"/>
          <w:lang w:val="fr-FR"/>
        </w:rPr>
        <w:t xml:space="preserve"> </w:t>
      </w:r>
      <w:r w:rsidR="00E55DA6">
        <w:rPr>
          <w:kern w:val="22"/>
          <w:szCs w:val="22"/>
          <w:lang w:val="fr-FR"/>
        </w:rPr>
        <w:t>c</w:t>
      </w:r>
      <w:r w:rsidR="008B0ED2" w:rsidRPr="000E696D">
        <w:rPr>
          <w:kern w:val="22"/>
          <w:szCs w:val="22"/>
          <w:lang w:val="fr-FR"/>
        </w:rPr>
        <w:t>onventions relatives à la diversité biologique</w:t>
      </w:r>
      <w:r w:rsidR="00E55DA6">
        <w:rPr>
          <w:kern w:val="22"/>
          <w:szCs w:val="22"/>
          <w:lang w:val="fr-FR"/>
        </w:rPr>
        <w:t xml:space="preserve"> à la prochaine réunion du Groupe de liaison prévue pour l’automne </w:t>
      </w:r>
      <w:r w:rsidR="007D6BAB" w:rsidRPr="000E696D">
        <w:rPr>
          <w:kern w:val="22"/>
          <w:szCs w:val="22"/>
          <w:lang w:val="fr-FR"/>
        </w:rPr>
        <w:t>2018</w:t>
      </w:r>
      <w:r w:rsidR="00A70CDF" w:rsidRPr="000E696D">
        <w:rPr>
          <w:kern w:val="22"/>
          <w:szCs w:val="22"/>
          <w:lang w:val="fr-FR"/>
        </w:rPr>
        <w:t>,</w:t>
      </w:r>
      <w:r w:rsidR="007D6BAB" w:rsidRPr="000E696D">
        <w:rPr>
          <w:kern w:val="22"/>
          <w:szCs w:val="22"/>
          <w:lang w:val="fr-FR"/>
        </w:rPr>
        <w:t xml:space="preserve"> </w:t>
      </w:r>
      <w:r w:rsidR="00E55DA6">
        <w:rPr>
          <w:kern w:val="22"/>
          <w:szCs w:val="22"/>
          <w:lang w:val="fr-FR"/>
        </w:rPr>
        <w:t xml:space="preserve">avant la quatorzième réunion de la </w:t>
      </w:r>
      <w:r w:rsidR="00031441" w:rsidRPr="000E696D">
        <w:rPr>
          <w:snapToGrid w:val="0"/>
          <w:kern w:val="22"/>
          <w:szCs w:val="22"/>
          <w:lang w:val="fr-FR"/>
        </w:rPr>
        <w:t>Conférence des Parties</w:t>
      </w:r>
      <w:r w:rsidR="007D6BAB" w:rsidRPr="000E696D">
        <w:rPr>
          <w:kern w:val="22"/>
          <w:szCs w:val="22"/>
          <w:lang w:val="fr-FR"/>
        </w:rPr>
        <w:t>.</w:t>
      </w:r>
    </w:p>
    <w:p w:rsidR="007770D1" w:rsidRPr="00013AAB" w:rsidRDefault="007770D1" w:rsidP="00883A1C">
      <w:pPr>
        <w:keepNext/>
        <w:suppressLineNumbers/>
        <w:tabs>
          <w:tab w:val="left" w:pos="360"/>
        </w:tabs>
        <w:suppressAutoHyphens/>
        <w:kinsoku w:val="0"/>
        <w:overflowPunct w:val="0"/>
        <w:autoSpaceDE w:val="0"/>
        <w:autoSpaceDN w:val="0"/>
        <w:adjustRightInd w:val="0"/>
        <w:snapToGrid w:val="0"/>
        <w:spacing w:before="120" w:after="120" w:line="238" w:lineRule="auto"/>
        <w:jc w:val="center"/>
        <w:outlineLvl w:val="2"/>
        <w:rPr>
          <w:i/>
          <w:kern w:val="22"/>
          <w:szCs w:val="22"/>
          <w:lang w:val="fr-FR"/>
        </w:rPr>
      </w:pPr>
      <w:r w:rsidRPr="00013AAB">
        <w:rPr>
          <w:i/>
          <w:kern w:val="22"/>
          <w:szCs w:val="22"/>
          <w:lang w:val="fr-FR"/>
        </w:rPr>
        <w:t>4.</w:t>
      </w:r>
      <w:r w:rsidRPr="00013AAB">
        <w:rPr>
          <w:i/>
          <w:kern w:val="22"/>
          <w:szCs w:val="22"/>
          <w:lang w:val="fr-FR"/>
        </w:rPr>
        <w:tab/>
      </w:r>
      <w:r w:rsidR="00013AAB" w:rsidRPr="00013AAB">
        <w:rPr>
          <w:i/>
          <w:kern w:val="22"/>
          <w:szCs w:val="22"/>
          <w:lang w:val="fr-FR"/>
        </w:rPr>
        <w:t>Recomma</w:t>
      </w:r>
      <w:r w:rsidRPr="00013AAB">
        <w:rPr>
          <w:i/>
          <w:kern w:val="22"/>
          <w:szCs w:val="22"/>
          <w:lang w:val="fr-FR"/>
        </w:rPr>
        <w:t xml:space="preserve">ndations </w:t>
      </w:r>
      <w:r w:rsidR="00013AAB" w:rsidRPr="00013AAB">
        <w:rPr>
          <w:i/>
          <w:kern w:val="22"/>
          <w:szCs w:val="22"/>
          <w:lang w:val="fr-FR"/>
        </w:rPr>
        <w:t>additionnelles du</w:t>
      </w:r>
      <w:r w:rsidRPr="00013AAB">
        <w:rPr>
          <w:i/>
          <w:kern w:val="22"/>
          <w:szCs w:val="22"/>
          <w:lang w:val="fr-FR"/>
        </w:rPr>
        <w:t xml:space="preserve"> </w:t>
      </w:r>
      <w:r w:rsidR="00A80D17" w:rsidRPr="00013AAB">
        <w:rPr>
          <w:i/>
          <w:kern w:val="22"/>
          <w:szCs w:val="22"/>
          <w:lang w:val="fr-FR"/>
        </w:rPr>
        <w:t>groupe consultatif informel</w:t>
      </w:r>
    </w:p>
    <w:p w:rsidR="007D6BAB" w:rsidRPr="00EA4419" w:rsidRDefault="00013A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lang w:val="fr-FR"/>
        </w:rPr>
      </w:pPr>
      <w:r w:rsidRPr="00013AAB">
        <w:rPr>
          <w:kern w:val="22"/>
          <w:szCs w:val="22"/>
          <w:lang w:val="fr-FR"/>
        </w:rPr>
        <w:t>Lors de l’examen des principales mesures souhaitables figurant dans la feuille de route 2017-2020, l</w:t>
      </w:r>
      <w:r w:rsidR="007D6BAB" w:rsidRPr="00013AAB">
        <w:rPr>
          <w:kern w:val="22"/>
          <w:szCs w:val="22"/>
          <w:lang w:val="fr-FR"/>
        </w:rPr>
        <w:t xml:space="preserve">e </w:t>
      </w:r>
      <w:r w:rsidR="00A80D17" w:rsidRPr="00013AAB">
        <w:rPr>
          <w:kern w:val="22"/>
          <w:szCs w:val="22"/>
          <w:lang w:val="fr-FR"/>
        </w:rPr>
        <w:t>groupe consultatif informel</w:t>
      </w:r>
      <w:r w:rsidR="007D6BAB" w:rsidRPr="00013AAB">
        <w:rPr>
          <w:kern w:val="22"/>
          <w:szCs w:val="22"/>
          <w:lang w:val="fr-FR"/>
        </w:rPr>
        <w:t xml:space="preserve"> </w:t>
      </w:r>
      <w:r>
        <w:rPr>
          <w:kern w:val="22"/>
          <w:szCs w:val="22"/>
          <w:lang w:val="fr-FR"/>
        </w:rPr>
        <w:t>a également identifié un certain nombre de mesures additionnelles qui pourraient contribu</w:t>
      </w:r>
      <w:r w:rsidR="007D6BAB" w:rsidRPr="00013AAB">
        <w:rPr>
          <w:kern w:val="22"/>
          <w:szCs w:val="22"/>
          <w:lang w:val="fr-FR"/>
        </w:rPr>
        <w:t>e</w:t>
      </w:r>
      <w:r>
        <w:rPr>
          <w:kern w:val="22"/>
          <w:szCs w:val="22"/>
          <w:lang w:val="fr-FR"/>
        </w:rPr>
        <w:t>r</w:t>
      </w:r>
      <w:r w:rsidR="007D6BAB" w:rsidRPr="00013AAB">
        <w:rPr>
          <w:kern w:val="22"/>
          <w:szCs w:val="22"/>
          <w:lang w:val="fr-FR"/>
        </w:rPr>
        <w:t xml:space="preserve"> </w:t>
      </w:r>
      <w:r>
        <w:rPr>
          <w:kern w:val="22"/>
          <w:szCs w:val="22"/>
          <w:lang w:val="fr-FR"/>
        </w:rPr>
        <w:t>à améliorer l’exécution cohérente et les</w:t>
      </w:r>
      <w:r w:rsidR="007D6BAB" w:rsidRPr="00013AAB">
        <w:rPr>
          <w:kern w:val="22"/>
          <w:szCs w:val="22"/>
          <w:lang w:val="fr-FR"/>
        </w:rPr>
        <w:t xml:space="preserve"> synergies </w:t>
      </w:r>
      <w:r>
        <w:rPr>
          <w:kern w:val="22"/>
          <w:szCs w:val="22"/>
          <w:lang w:val="fr-FR"/>
        </w:rPr>
        <w:t>entre les</w:t>
      </w:r>
      <w:r w:rsidR="007D6BAB" w:rsidRPr="00013AAB">
        <w:rPr>
          <w:kern w:val="22"/>
          <w:szCs w:val="22"/>
          <w:lang w:val="fr-FR"/>
        </w:rPr>
        <w:t xml:space="preserve"> </w:t>
      </w:r>
      <w:r w:rsidR="008B0ED2" w:rsidRPr="00013AAB">
        <w:rPr>
          <w:kern w:val="22"/>
          <w:szCs w:val="22"/>
          <w:lang w:val="fr-FR"/>
        </w:rPr>
        <w:t>conventions relatives à la diversité biologique</w:t>
      </w:r>
      <w:r w:rsidR="007D6BAB" w:rsidRPr="00013AAB">
        <w:rPr>
          <w:kern w:val="22"/>
          <w:szCs w:val="22"/>
          <w:lang w:val="fr-FR"/>
        </w:rPr>
        <w:t xml:space="preserve">. </w:t>
      </w:r>
      <w:r w:rsidRPr="00F63C06">
        <w:rPr>
          <w:kern w:val="22"/>
          <w:szCs w:val="22"/>
          <w:lang w:val="fr-FR"/>
        </w:rPr>
        <w:t>Ces mesures additionnelles viendraient compléter les principales mesures souhaitables que contient l’annexe II de la dé</w:t>
      </w:r>
      <w:r w:rsidR="007D6BAB" w:rsidRPr="00F63C06">
        <w:rPr>
          <w:kern w:val="22"/>
          <w:szCs w:val="22"/>
          <w:lang w:val="fr-FR"/>
        </w:rPr>
        <w:t>cision XIII/24.</w:t>
      </w:r>
      <w:r w:rsidR="000F13AD" w:rsidRPr="00F63C06">
        <w:rPr>
          <w:kern w:val="22"/>
          <w:szCs w:val="22"/>
          <w:lang w:val="fr-FR"/>
        </w:rPr>
        <w:t xml:space="preserve"> </w:t>
      </w:r>
      <w:r w:rsidR="00F63C06">
        <w:rPr>
          <w:kern w:val="22"/>
          <w:szCs w:val="22"/>
          <w:lang w:val="fr-FR"/>
        </w:rPr>
        <w:t>Une</w:t>
      </w:r>
      <w:r w:rsidR="007D6BAB" w:rsidRPr="00F63C06">
        <w:rPr>
          <w:kern w:val="22"/>
          <w:szCs w:val="22"/>
          <w:lang w:val="fr-FR"/>
        </w:rPr>
        <w:t xml:space="preserve"> list</w:t>
      </w:r>
      <w:r w:rsidR="00F63C06" w:rsidRPr="00F63C06">
        <w:rPr>
          <w:kern w:val="22"/>
          <w:szCs w:val="22"/>
          <w:lang w:val="fr-FR"/>
        </w:rPr>
        <w:t>e des mesures additionnelles souhaitables identifiées par le</w:t>
      </w:r>
      <w:r w:rsidR="007D6BAB" w:rsidRPr="00F63C06">
        <w:rPr>
          <w:kern w:val="22"/>
          <w:szCs w:val="22"/>
          <w:lang w:val="fr-FR"/>
        </w:rPr>
        <w:t xml:space="preserve"> Group</w:t>
      </w:r>
      <w:r w:rsidR="00F63C06" w:rsidRPr="00F63C06">
        <w:rPr>
          <w:kern w:val="22"/>
          <w:szCs w:val="22"/>
          <w:lang w:val="fr-FR"/>
        </w:rPr>
        <w:t>e est présentée dans son rapport</w:t>
      </w:r>
      <w:r w:rsidR="007D6BAB" w:rsidRPr="00F63C06">
        <w:rPr>
          <w:snapToGrid w:val="0"/>
          <w:color w:val="000000"/>
          <w:kern w:val="22"/>
          <w:szCs w:val="22"/>
          <w:lang w:val="fr-FR"/>
        </w:rPr>
        <w:t>.</w:t>
      </w:r>
      <w:r w:rsidR="00171E3D" w:rsidRPr="00F63C06">
        <w:rPr>
          <w:snapToGrid w:val="0"/>
          <w:color w:val="000000"/>
          <w:kern w:val="22"/>
          <w:szCs w:val="22"/>
          <w:lang w:val="fr-FR"/>
        </w:rPr>
        <w:t xml:space="preserve"> </w:t>
      </w:r>
      <w:r w:rsidR="00EA4419" w:rsidRPr="00EA4419">
        <w:rPr>
          <w:snapToGrid w:val="0"/>
          <w:color w:val="000000"/>
          <w:kern w:val="22"/>
          <w:szCs w:val="22"/>
          <w:lang w:val="fr-FR"/>
        </w:rPr>
        <w:t>L</w:t>
      </w:r>
      <w:r w:rsidR="00171E3D" w:rsidRPr="00EA4419">
        <w:rPr>
          <w:snapToGrid w:val="0"/>
          <w:color w:val="000000"/>
          <w:kern w:val="22"/>
          <w:szCs w:val="22"/>
          <w:lang w:val="fr-FR"/>
        </w:rPr>
        <w:t>e Group</w:t>
      </w:r>
      <w:r w:rsidR="00EA4419" w:rsidRPr="00EA4419">
        <w:rPr>
          <w:snapToGrid w:val="0"/>
          <w:color w:val="000000"/>
          <w:kern w:val="22"/>
          <w:szCs w:val="22"/>
          <w:lang w:val="fr-FR"/>
        </w:rPr>
        <w:t>e recommande que la</w:t>
      </w:r>
      <w:r w:rsidR="00171E3D" w:rsidRPr="00EA4419">
        <w:rPr>
          <w:snapToGrid w:val="0"/>
          <w:color w:val="000000"/>
          <w:kern w:val="22"/>
          <w:szCs w:val="22"/>
          <w:lang w:val="fr-FR"/>
        </w:rPr>
        <w:t xml:space="preserve"> </w:t>
      </w:r>
      <w:r w:rsidR="00713136" w:rsidRPr="00EA4419">
        <w:rPr>
          <w:snapToGrid w:val="0"/>
          <w:color w:val="000000"/>
          <w:kern w:val="22"/>
          <w:szCs w:val="22"/>
          <w:lang w:val="fr-FR"/>
        </w:rPr>
        <w:t>Secrétaire exécutive</w:t>
      </w:r>
      <w:r w:rsidR="000F13AD" w:rsidRPr="00EA4419">
        <w:rPr>
          <w:snapToGrid w:val="0"/>
          <w:color w:val="000000"/>
          <w:kern w:val="22"/>
          <w:szCs w:val="22"/>
          <w:lang w:val="fr-FR"/>
        </w:rPr>
        <w:t xml:space="preserve"> </w:t>
      </w:r>
      <w:r w:rsidR="00EA4419">
        <w:rPr>
          <w:snapToGrid w:val="0"/>
          <w:color w:val="000000"/>
          <w:kern w:val="22"/>
          <w:szCs w:val="22"/>
          <w:lang w:val="fr-FR"/>
        </w:rPr>
        <w:t>et le</w:t>
      </w:r>
      <w:r w:rsidR="000F13AD" w:rsidRPr="00EA4419">
        <w:rPr>
          <w:snapToGrid w:val="0"/>
          <w:color w:val="000000"/>
          <w:kern w:val="22"/>
          <w:szCs w:val="22"/>
          <w:lang w:val="fr-FR"/>
        </w:rPr>
        <w:t xml:space="preserve"> </w:t>
      </w:r>
      <w:r w:rsidR="00B011D3" w:rsidRPr="00EA4419">
        <w:rPr>
          <w:snapToGrid w:val="0"/>
          <w:color w:val="000000"/>
          <w:kern w:val="22"/>
          <w:szCs w:val="22"/>
          <w:lang w:val="fr-FR"/>
        </w:rPr>
        <w:t>Groupe de liai</w:t>
      </w:r>
      <w:r w:rsidR="00EA4419">
        <w:rPr>
          <w:snapToGrid w:val="0"/>
          <w:color w:val="000000"/>
          <w:kern w:val="22"/>
          <w:szCs w:val="22"/>
          <w:lang w:val="fr-FR"/>
        </w:rPr>
        <w:t>s</w:t>
      </w:r>
      <w:r w:rsidR="00B011D3" w:rsidRPr="00EA4419">
        <w:rPr>
          <w:snapToGrid w:val="0"/>
          <w:color w:val="000000"/>
          <w:kern w:val="22"/>
          <w:szCs w:val="22"/>
          <w:lang w:val="fr-FR"/>
        </w:rPr>
        <w:t>on des</w:t>
      </w:r>
      <w:r w:rsidR="00171E3D" w:rsidRPr="00EA4419">
        <w:rPr>
          <w:snapToGrid w:val="0"/>
          <w:color w:val="000000"/>
          <w:kern w:val="22"/>
          <w:szCs w:val="22"/>
          <w:lang w:val="fr-FR"/>
        </w:rPr>
        <w:t xml:space="preserve"> </w:t>
      </w:r>
      <w:r w:rsidR="00EA4419">
        <w:rPr>
          <w:snapToGrid w:val="0"/>
          <w:color w:val="000000"/>
          <w:kern w:val="22"/>
          <w:szCs w:val="22"/>
          <w:lang w:val="fr-FR"/>
        </w:rPr>
        <w:t>c</w:t>
      </w:r>
      <w:r w:rsidR="008B0ED2" w:rsidRPr="00EA4419">
        <w:rPr>
          <w:snapToGrid w:val="0"/>
          <w:color w:val="000000"/>
          <w:kern w:val="22"/>
          <w:szCs w:val="22"/>
          <w:lang w:val="fr-FR"/>
        </w:rPr>
        <w:t>onventions relatives à la diversité biologique</w:t>
      </w:r>
      <w:r w:rsidR="00171E3D" w:rsidRPr="00EA4419">
        <w:rPr>
          <w:snapToGrid w:val="0"/>
          <w:color w:val="000000"/>
          <w:kern w:val="22"/>
          <w:szCs w:val="22"/>
          <w:lang w:val="fr-FR"/>
        </w:rPr>
        <w:t xml:space="preserve"> </w:t>
      </w:r>
      <w:r w:rsidR="00EA4419">
        <w:rPr>
          <w:snapToGrid w:val="0"/>
          <w:color w:val="000000"/>
          <w:kern w:val="22"/>
          <w:szCs w:val="22"/>
          <w:lang w:val="fr-FR"/>
        </w:rPr>
        <w:t>examine ces mesures additionnelles afin d’en promouvoir quelques-unes selon qu’il convient</w:t>
      </w:r>
      <w:r w:rsidR="000F13AD" w:rsidRPr="00EA4419">
        <w:rPr>
          <w:snapToGrid w:val="0"/>
          <w:color w:val="000000"/>
          <w:kern w:val="22"/>
          <w:szCs w:val="22"/>
          <w:lang w:val="fr-FR"/>
        </w:rPr>
        <w:t>.</w:t>
      </w:r>
    </w:p>
    <w:p w:rsidR="000376EE" w:rsidRPr="00EA4419" w:rsidRDefault="00EA4419"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lang w:val="fr-FR"/>
        </w:rPr>
      </w:pPr>
      <w:r w:rsidRPr="00EA4419">
        <w:rPr>
          <w:snapToGrid w:val="0"/>
          <w:color w:val="000000"/>
          <w:kern w:val="22"/>
          <w:szCs w:val="22"/>
          <w:lang w:val="fr-FR"/>
        </w:rPr>
        <w:t>Le</w:t>
      </w:r>
      <w:r w:rsidR="0061303E" w:rsidRPr="00EA4419">
        <w:rPr>
          <w:snapToGrid w:val="0"/>
          <w:color w:val="000000"/>
          <w:kern w:val="22"/>
          <w:szCs w:val="22"/>
          <w:lang w:val="fr-FR"/>
        </w:rPr>
        <w:t xml:space="preserve"> Group</w:t>
      </w:r>
      <w:r w:rsidRPr="00EA4419">
        <w:rPr>
          <w:snapToGrid w:val="0"/>
          <w:color w:val="000000"/>
          <w:kern w:val="22"/>
          <w:szCs w:val="22"/>
          <w:lang w:val="fr-FR"/>
        </w:rPr>
        <w:t>e</w:t>
      </w:r>
      <w:r w:rsidR="0061303E" w:rsidRPr="00EA4419">
        <w:rPr>
          <w:snapToGrid w:val="0"/>
          <w:color w:val="000000"/>
          <w:kern w:val="22"/>
          <w:szCs w:val="22"/>
          <w:lang w:val="fr-FR"/>
        </w:rPr>
        <w:t xml:space="preserve"> </w:t>
      </w:r>
      <w:r w:rsidRPr="00EA4419">
        <w:rPr>
          <w:snapToGrid w:val="0"/>
          <w:color w:val="000000"/>
          <w:kern w:val="22"/>
          <w:szCs w:val="22"/>
          <w:lang w:val="fr-FR"/>
        </w:rPr>
        <w:t>recommande également que la</w:t>
      </w:r>
      <w:r w:rsidR="0061303E" w:rsidRPr="00EA4419">
        <w:rPr>
          <w:snapToGrid w:val="0"/>
          <w:color w:val="000000"/>
          <w:kern w:val="22"/>
          <w:szCs w:val="22"/>
          <w:lang w:val="fr-FR"/>
        </w:rPr>
        <w:t xml:space="preserve"> </w:t>
      </w:r>
      <w:r w:rsidR="00713136" w:rsidRPr="00EA4419">
        <w:rPr>
          <w:snapToGrid w:val="0"/>
          <w:color w:val="000000"/>
          <w:kern w:val="22"/>
          <w:szCs w:val="22"/>
          <w:lang w:val="fr-FR"/>
        </w:rPr>
        <w:t>Secrétaire exécutive</w:t>
      </w:r>
      <w:r w:rsidR="0061303E" w:rsidRPr="00EA4419">
        <w:rPr>
          <w:snapToGrid w:val="0"/>
          <w:color w:val="000000"/>
          <w:kern w:val="22"/>
          <w:szCs w:val="22"/>
          <w:lang w:val="fr-FR"/>
        </w:rPr>
        <w:t xml:space="preserve"> </w:t>
      </w:r>
      <w:r w:rsidRPr="00EA4419">
        <w:rPr>
          <w:snapToGrid w:val="0"/>
          <w:color w:val="000000"/>
          <w:kern w:val="22"/>
          <w:szCs w:val="22"/>
          <w:lang w:val="fr-FR"/>
        </w:rPr>
        <w:t>et les</w:t>
      </w:r>
      <w:r w:rsidR="0061303E" w:rsidRPr="00EA4419">
        <w:rPr>
          <w:snapToGrid w:val="0"/>
          <w:color w:val="000000"/>
          <w:kern w:val="22"/>
          <w:szCs w:val="22"/>
          <w:lang w:val="fr-FR"/>
        </w:rPr>
        <w:t xml:space="preserve"> </w:t>
      </w:r>
      <w:r w:rsidR="002A6D48" w:rsidRPr="00EA4419">
        <w:rPr>
          <w:snapToGrid w:val="0"/>
          <w:color w:val="000000"/>
          <w:kern w:val="22"/>
          <w:szCs w:val="22"/>
          <w:lang w:val="fr-FR"/>
        </w:rPr>
        <w:t>membres</w:t>
      </w:r>
      <w:r w:rsidR="0061303E" w:rsidRPr="00EA4419">
        <w:rPr>
          <w:snapToGrid w:val="0"/>
          <w:color w:val="000000"/>
          <w:kern w:val="22"/>
          <w:szCs w:val="22"/>
          <w:lang w:val="fr-FR"/>
        </w:rPr>
        <w:t xml:space="preserve"> </w:t>
      </w:r>
      <w:r w:rsidRPr="00EA4419">
        <w:rPr>
          <w:snapToGrid w:val="0"/>
          <w:color w:val="000000"/>
          <w:kern w:val="22"/>
          <w:szCs w:val="22"/>
          <w:lang w:val="fr-FR"/>
        </w:rPr>
        <w:t>du</w:t>
      </w:r>
      <w:r w:rsidR="0061303E" w:rsidRPr="00EA4419">
        <w:rPr>
          <w:snapToGrid w:val="0"/>
          <w:color w:val="000000"/>
          <w:kern w:val="22"/>
          <w:szCs w:val="22"/>
          <w:lang w:val="fr-FR"/>
        </w:rPr>
        <w:t xml:space="preserve"> </w:t>
      </w:r>
      <w:r w:rsidR="00B011D3" w:rsidRPr="00EA4419">
        <w:rPr>
          <w:snapToGrid w:val="0"/>
          <w:color w:val="000000"/>
          <w:kern w:val="22"/>
          <w:szCs w:val="22"/>
          <w:lang w:val="fr-FR"/>
        </w:rPr>
        <w:t>Groupe de liai</w:t>
      </w:r>
      <w:r w:rsidRPr="00EA4419">
        <w:rPr>
          <w:snapToGrid w:val="0"/>
          <w:color w:val="000000"/>
          <w:kern w:val="22"/>
          <w:szCs w:val="22"/>
          <w:lang w:val="fr-FR"/>
        </w:rPr>
        <w:t>s</w:t>
      </w:r>
      <w:r w:rsidR="00B011D3" w:rsidRPr="00EA4419">
        <w:rPr>
          <w:snapToGrid w:val="0"/>
          <w:color w:val="000000"/>
          <w:kern w:val="22"/>
          <w:szCs w:val="22"/>
          <w:lang w:val="fr-FR"/>
        </w:rPr>
        <w:t>on des</w:t>
      </w:r>
      <w:r w:rsidR="0061303E" w:rsidRPr="00EA4419">
        <w:rPr>
          <w:snapToGrid w:val="0"/>
          <w:color w:val="000000"/>
          <w:kern w:val="22"/>
          <w:szCs w:val="22"/>
          <w:lang w:val="fr-FR"/>
        </w:rPr>
        <w:t xml:space="preserve"> </w:t>
      </w:r>
      <w:r>
        <w:rPr>
          <w:snapToGrid w:val="0"/>
          <w:color w:val="000000"/>
          <w:kern w:val="22"/>
          <w:szCs w:val="22"/>
          <w:lang w:val="fr-FR"/>
        </w:rPr>
        <w:t>c</w:t>
      </w:r>
      <w:r w:rsidR="008B0ED2" w:rsidRPr="00EA4419">
        <w:rPr>
          <w:snapToGrid w:val="0"/>
          <w:color w:val="000000"/>
          <w:kern w:val="22"/>
          <w:szCs w:val="22"/>
          <w:lang w:val="fr-FR"/>
        </w:rPr>
        <w:t>onventions relatives à la diversité biologique</w:t>
      </w:r>
      <w:r w:rsidR="0061303E" w:rsidRPr="00EA4419">
        <w:rPr>
          <w:snapToGrid w:val="0"/>
          <w:color w:val="000000"/>
          <w:kern w:val="22"/>
          <w:szCs w:val="22"/>
          <w:lang w:val="fr-FR"/>
        </w:rPr>
        <w:t xml:space="preserve"> </w:t>
      </w:r>
      <w:r>
        <w:rPr>
          <w:snapToGrid w:val="0"/>
          <w:color w:val="000000"/>
          <w:kern w:val="22"/>
          <w:szCs w:val="22"/>
          <w:lang w:val="fr-FR"/>
        </w:rPr>
        <w:t>examinent les recomma</w:t>
      </w:r>
      <w:r w:rsidR="0061303E" w:rsidRPr="00EA4419">
        <w:rPr>
          <w:snapToGrid w:val="0"/>
          <w:color w:val="000000"/>
          <w:kern w:val="22"/>
          <w:szCs w:val="22"/>
          <w:lang w:val="fr-FR"/>
        </w:rPr>
        <w:t xml:space="preserve">ndations </w:t>
      </w:r>
      <w:r>
        <w:rPr>
          <w:snapToGrid w:val="0"/>
          <w:color w:val="000000"/>
          <w:kern w:val="22"/>
          <w:szCs w:val="22"/>
          <w:lang w:val="fr-FR"/>
        </w:rPr>
        <w:t>qui ont été préparées en tant qu’un des produits du projet appuyant l’exécution de la décision XIII/24, telle qu’elles figurent dans le rapport du projet intitulé</w:t>
      </w:r>
      <w:r w:rsidR="00171E3D" w:rsidRPr="00EA4419">
        <w:rPr>
          <w:bCs/>
          <w:snapToGrid w:val="0"/>
          <w:color w:val="000000"/>
          <w:kern w:val="22"/>
          <w:szCs w:val="22"/>
          <w:lang w:val="fr-FR"/>
        </w:rPr>
        <w:t xml:space="preserve"> “</w:t>
      </w:r>
      <w:proofErr w:type="spellStart"/>
      <w:r w:rsidR="00171E3D" w:rsidRPr="00EA4419">
        <w:rPr>
          <w:bCs/>
          <w:snapToGrid w:val="0"/>
          <w:color w:val="000000"/>
          <w:kern w:val="22"/>
          <w:szCs w:val="22"/>
          <w:lang w:val="fr-FR"/>
        </w:rPr>
        <w:t>Recommendations</w:t>
      </w:r>
      <w:proofErr w:type="spellEnd"/>
      <w:r w:rsidR="00171E3D" w:rsidRPr="00EA4419">
        <w:rPr>
          <w:bCs/>
          <w:snapToGrid w:val="0"/>
          <w:color w:val="000000"/>
          <w:kern w:val="22"/>
          <w:szCs w:val="22"/>
          <w:lang w:val="fr-FR"/>
        </w:rPr>
        <w:t xml:space="preserve"> on possible </w:t>
      </w:r>
      <w:proofErr w:type="spellStart"/>
      <w:r w:rsidR="00171E3D" w:rsidRPr="00EA4419">
        <w:rPr>
          <w:bCs/>
          <w:snapToGrid w:val="0"/>
          <w:color w:val="000000"/>
          <w:kern w:val="22"/>
          <w:szCs w:val="22"/>
          <w:lang w:val="fr-FR"/>
        </w:rPr>
        <w:t>next</w:t>
      </w:r>
      <w:proofErr w:type="spellEnd"/>
      <w:r w:rsidR="00171E3D" w:rsidRPr="00EA4419">
        <w:rPr>
          <w:bCs/>
          <w:snapToGrid w:val="0"/>
          <w:color w:val="000000"/>
          <w:kern w:val="22"/>
          <w:szCs w:val="22"/>
          <w:lang w:val="fr-FR"/>
        </w:rPr>
        <w:t xml:space="preserve"> </w:t>
      </w:r>
      <w:proofErr w:type="spellStart"/>
      <w:r w:rsidR="00171E3D" w:rsidRPr="00EA4419">
        <w:rPr>
          <w:bCs/>
          <w:snapToGrid w:val="0"/>
          <w:color w:val="000000"/>
          <w:kern w:val="22"/>
          <w:szCs w:val="22"/>
          <w:lang w:val="fr-FR"/>
        </w:rPr>
        <w:t>steps</w:t>
      </w:r>
      <w:proofErr w:type="spellEnd"/>
      <w:r w:rsidR="00171E3D" w:rsidRPr="00EA4419">
        <w:rPr>
          <w:bCs/>
          <w:snapToGrid w:val="0"/>
          <w:color w:val="000000"/>
          <w:kern w:val="22"/>
          <w:szCs w:val="22"/>
          <w:lang w:val="fr-FR"/>
        </w:rPr>
        <w:t xml:space="preserve"> and </w:t>
      </w:r>
      <w:proofErr w:type="spellStart"/>
      <w:r w:rsidR="00171E3D" w:rsidRPr="00EA4419">
        <w:rPr>
          <w:bCs/>
          <w:snapToGrid w:val="0"/>
          <w:color w:val="000000"/>
          <w:kern w:val="22"/>
          <w:szCs w:val="22"/>
          <w:lang w:val="fr-FR"/>
        </w:rPr>
        <w:t>activities</w:t>
      </w:r>
      <w:proofErr w:type="spellEnd"/>
      <w:r w:rsidR="00171E3D" w:rsidRPr="00EA4419">
        <w:rPr>
          <w:bCs/>
          <w:snapToGrid w:val="0"/>
          <w:color w:val="000000"/>
          <w:kern w:val="22"/>
          <w:szCs w:val="22"/>
          <w:lang w:val="fr-FR"/>
        </w:rPr>
        <w:t xml:space="preserve"> to </w:t>
      </w:r>
      <w:proofErr w:type="spellStart"/>
      <w:r w:rsidR="00171E3D" w:rsidRPr="00EA4419">
        <w:rPr>
          <w:bCs/>
          <w:snapToGrid w:val="0"/>
          <w:color w:val="000000"/>
          <w:kern w:val="22"/>
          <w:szCs w:val="22"/>
          <w:lang w:val="fr-FR"/>
        </w:rPr>
        <w:t>enhance</w:t>
      </w:r>
      <w:proofErr w:type="spellEnd"/>
      <w:r w:rsidR="00171E3D" w:rsidRPr="00EA4419">
        <w:rPr>
          <w:bCs/>
          <w:snapToGrid w:val="0"/>
          <w:color w:val="000000"/>
          <w:kern w:val="22"/>
          <w:szCs w:val="22"/>
          <w:lang w:val="fr-FR"/>
        </w:rPr>
        <w:t xml:space="preserve"> </w:t>
      </w:r>
      <w:proofErr w:type="spellStart"/>
      <w:r w:rsidR="00171E3D" w:rsidRPr="00EA4419">
        <w:rPr>
          <w:bCs/>
          <w:snapToGrid w:val="0"/>
          <w:color w:val="000000"/>
          <w:kern w:val="22"/>
          <w:szCs w:val="22"/>
          <w:lang w:val="fr-FR"/>
        </w:rPr>
        <w:t>cooperation</w:t>
      </w:r>
      <w:proofErr w:type="spellEnd"/>
      <w:r w:rsidR="00171E3D" w:rsidRPr="00EA4419">
        <w:rPr>
          <w:bCs/>
          <w:snapToGrid w:val="0"/>
          <w:color w:val="000000"/>
          <w:kern w:val="22"/>
          <w:szCs w:val="22"/>
          <w:lang w:val="fr-FR"/>
        </w:rPr>
        <w:t xml:space="preserve"> and collaboration </w:t>
      </w:r>
      <w:proofErr w:type="spellStart"/>
      <w:r w:rsidR="00171E3D" w:rsidRPr="00EA4419">
        <w:rPr>
          <w:bCs/>
          <w:snapToGrid w:val="0"/>
          <w:color w:val="000000"/>
          <w:kern w:val="22"/>
          <w:szCs w:val="22"/>
          <w:lang w:val="fr-FR"/>
        </w:rPr>
        <w:t>among</w:t>
      </w:r>
      <w:proofErr w:type="spellEnd"/>
      <w:r w:rsidR="00171E3D" w:rsidRPr="00EA4419">
        <w:rPr>
          <w:bCs/>
          <w:snapToGrid w:val="0"/>
          <w:color w:val="000000"/>
          <w:kern w:val="22"/>
          <w:szCs w:val="22"/>
          <w:lang w:val="fr-FR"/>
        </w:rPr>
        <w:t xml:space="preserve"> the </w:t>
      </w:r>
      <w:proofErr w:type="spellStart"/>
      <w:r>
        <w:rPr>
          <w:bCs/>
          <w:snapToGrid w:val="0"/>
          <w:color w:val="000000"/>
          <w:kern w:val="22"/>
          <w:szCs w:val="22"/>
          <w:lang w:val="fr-FR"/>
        </w:rPr>
        <w:t>biodiversity</w:t>
      </w:r>
      <w:proofErr w:type="spellEnd"/>
      <w:r>
        <w:rPr>
          <w:bCs/>
          <w:snapToGrid w:val="0"/>
          <w:color w:val="000000"/>
          <w:kern w:val="22"/>
          <w:szCs w:val="22"/>
          <w:lang w:val="fr-FR"/>
        </w:rPr>
        <w:t xml:space="preserve"> </w:t>
      </w:r>
      <w:proofErr w:type="spellStart"/>
      <w:r>
        <w:rPr>
          <w:bCs/>
          <w:snapToGrid w:val="0"/>
          <w:color w:val="000000"/>
          <w:kern w:val="22"/>
          <w:szCs w:val="22"/>
          <w:lang w:val="fr-FR"/>
        </w:rPr>
        <w:t>related</w:t>
      </w:r>
      <w:proofErr w:type="spellEnd"/>
      <w:r>
        <w:rPr>
          <w:bCs/>
          <w:snapToGrid w:val="0"/>
          <w:color w:val="000000"/>
          <w:kern w:val="22"/>
          <w:szCs w:val="22"/>
          <w:lang w:val="fr-FR"/>
        </w:rPr>
        <w:t xml:space="preserve"> </w:t>
      </w:r>
      <w:r w:rsidR="008B0ED2" w:rsidRPr="00EA4419">
        <w:rPr>
          <w:bCs/>
          <w:snapToGrid w:val="0"/>
          <w:color w:val="000000"/>
          <w:kern w:val="22"/>
          <w:szCs w:val="22"/>
          <w:lang w:val="fr-FR"/>
        </w:rPr>
        <w:t>conventions</w:t>
      </w:r>
      <w:r w:rsidR="00171E3D" w:rsidRPr="00EA4419">
        <w:rPr>
          <w:bCs/>
          <w:snapToGrid w:val="0"/>
          <w:color w:val="000000"/>
          <w:kern w:val="22"/>
          <w:szCs w:val="22"/>
          <w:lang w:val="fr-FR"/>
        </w:rPr>
        <w:t xml:space="preserve">, and </w:t>
      </w:r>
      <w:proofErr w:type="spellStart"/>
      <w:r w:rsidR="00171E3D" w:rsidRPr="00EA4419">
        <w:rPr>
          <w:bCs/>
          <w:snapToGrid w:val="0"/>
          <w:color w:val="000000"/>
          <w:kern w:val="22"/>
          <w:szCs w:val="22"/>
          <w:lang w:val="fr-FR"/>
        </w:rPr>
        <w:t>delivering</w:t>
      </w:r>
      <w:proofErr w:type="spellEnd"/>
      <w:r w:rsidR="00171E3D" w:rsidRPr="00EA4419">
        <w:rPr>
          <w:bCs/>
          <w:snapToGrid w:val="0"/>
          <w:color w:val="000000"/>
          <w:kern w:val="22"/>
          <w:szCs w:val="22"/>
          <w:lang w:val="fr-FR"/>
        </w:rPr>
        <w:t xml:space="preserve"> on COP </w:t>
      </w:r>
      <w:proofErr w:type="spellStart"/>
      <w:r w:rsidR="00171E3D" w:rsidRPr="00EA4419">
        <w:rPr>
          <w:bCs/>
          <w:snapToGrid w:val="0"/>
          <w:color w:val="000000"/>
          <w:kern w:val="22"/>
          <w:szCs w:val="22"/>
          <w:lang w:val="fr-FR"/>
        </w:rPr>
        <w:t>decision</w:t>
      </w:r>
      <w:proofErr w:type="spellEnd"/>
      <w:r w:rsidR="00171E3D" w:rsidRPr="00EA4419">
        <w:rPr>
          <w:bCs/>
          <w:snapToGrid w:val="0"/>
          <w:color w:val="000000"/>
          <w:kern w:val="22"/>
          <w:szCs w:val="22"/>
          <w:lang w:val="fr-FR"/>
        </w:rPr>
        <w:t xml:space="preserve"> XIII/24” (CBD/SBI/2/INF/13),</w:t>
      </w:r>
      <w:r w:rsidR="0061303E" w:rsidRPr="00EA4419">
        <w:rPr>
          <w:snapToGrid w:val="0"/>
          <w:color w:val="000000"/>
          <w:kern w:val="22"/>
          <w:szCs w:val="22"/>
          <w:lang w:val="fr-FR"/>
        </w:rPr>
        <w:t xml:space="preserve"> </w:t>
      </w:r>
      <w:r>
        <w:rPr>
          <w:snapToGrid w:val="0"/>
          <w:color w:val="000000"/>
          <w:kern w:val="22"/>
          <w:szCs w:val="22"/>
          <w:lang w:val="fr-FR"/>
        </w:rPr>
        <w:t>en vue de leur suivi comme de leur exécution potentiels</w:t>
      </w:r>
      <w:r w:rsidR="0061303E" w:rsidRPr="00EA4419">
        <w:rPr>
          <w:snapToGrid w:val="0"/>
          <w:color w:val="000000"/>
          <w:kern w:val="22"/>
          <w:szCs w:val="22"/>
          <w:lang w:val="fr-FR"/>
        </w:rPr>
        <w:t>.</w:t>
      </w:r>
    </w:p>
    <w:p w:rsidR="0062697F" w:rsidRPr="00A91DE0" w:rsidRDefault="00A91DE0"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lang w:val="fr-FR"/>
        </w:rPr>
      </w:pPr>
      <w:r>
        <w:rPr>
          <w:snapToGrid w:val="0"/>
          <w:color w:val="000000"/>
          <w:kern w:val="22"/>
          <w:szCs w:val="22"/>
          <w:lang w:val="fr-FR"/>
        </w:rPr>
        <w:t>En outre</w:t>
      </w:r>
      <w:r w:rsidR="000F13AD" w:rsidRPr="00A91DE0">
        <w:rPr>
          <w:snapToGrid w:val="0"/>
          <w:color w:val="000000"/>
          <w:kern w:val="22"/>
          <w:szCs w:val="22"/>
          <w:lang w:val="fr-FR"/>
        </w:rPr>
        <w:t xml:space="preserve">, </w:t>
      </w:r>
      <w:r w:rsidRPr="00A91DE0">
        <w:rPr>
          <w:snapToGrid w:val="0"/>
          <w:color w:val="000000"/>
          <w:kern w:val="22"/>
          <w:szCs w:val="22"/>
          <w:lang w:val="fr-FR"/>
        </w:rPr>
        <w:t>au cas o</w:t>
      </w:r>
      <w:r>
        <w:rPr>
          <w:snapToGrid w:val="0"/>
          <w:color w:val="000000"/>
          <w:kern w:val="22"/>
          <w:szCs w:val="22"/>
          <w:lang w:val="fr-FR"/>
        </w:rPr>
        <w:t>ù la</w:t>
      </w:r>
      <w:r w:rsidR="00031441" w:rsidRPr="00A91DE0">
        <w:rPr>
          <w:snapToGrid w:val="0"/>
          <w:color w:val="000000"/>
          <w:kern w:val="22"/>
          <w:szCs w:val="22"/>
          <w:lang w:val="fr-FR"/>
        </w:rPr>
        <w:t xml:space="preserve"> Conférence des Parties</w:t>
      </w:r>
      <w:r>
        <w:rPr>
          <w:snapToGrid w:val="0"/>
          <w:color w:val="000000"/>
          <w:kern w:val="22"/>
          <w:szCs w:val="22"/>
          <w:lang w:val="fr-FR"/>
        </w:rPr>
        <w:t xml:space="preserve"> dé</w:t>
      </w:r>
      <w:r w:rsidR="005825A3" w:rsidRPr="00A91DE0">
        <w:rPr>
          <w:snapToGrid w:val="0"/>
          <w:color w:val="000000"/>
          <w:kern w:val="22"/>
          <w:szCs w:val="22"/>
          <w:lang w:val="fr-FR"/>
        </w:rPr>
        <w:t>cide</w:t>
      </w:r>
      <w:r>
        <w:rPr>
          <w:snapToGrid w:val="0"/>
          <w:color w:val="000000"/>
          <w:kern w:val="22"/>
          <w:szCs w:val="22"/>
          <w:lang w:val="fr-FR"/>
        </w:rPr>
        <w:t xml:space="preserve"> de prolonger le mandat du Groupe</w:t>
      </w:r>
      <w:r w:rsidR="005825A3" w:rsidRPr="00A91DE0">
        <w:rPr>
          <w:snapToGrid w:val="0"/>
          <w:color w:val="000000"/>
          <w:kern w:val="22"/>
          <w:szCs w:val="22"/>
          <w:lang w:val="fr-FR"/>
        </w:rPr>
        <w:t xml:space="preserve">, </w:t>
      </w:r>
      <w:r>
        <w:rPr>
          <w:snapToGrid w:val="0"/>
          <w:color w:val="000000"/>
          <w:kern w:val="22"/>
          <w:szCs w:val="22"/>
          <w:lang w:val="fr-FR"/>
        </w:rPr>
        <w:t>ce dernier recommande que soient fournies des possibilités de renforcer la coopé</w:t>
      </w:r>
      <w:r w:rsidR="000C68F9" w:rsidRPr="00A91DE0">
        <w:rPr>
          <w:snapToGrid w:val="0"/>
          <w:color w:val="000000"/>
          <w:kern w:val="22"/>
          <w:szCs w:val="22"/>
          <w:lang w:val="fr-FR"/>
        </w:rPr>
        <w:t xml:space="preserve">ration </w:t>
      </w:r>
      <w:r>
        <w:rPr>
          <w:snapToGrid w:val="0"/>
          <w:color w:val="000000"/>
          <w:kern w:val="22"/>
          <w:szCs w:val="22"/>
          <w:lang w:val="fr-FR"/>
        </w:rPr>
        <w:t>et la</w:t>
      </w:r>
      <w:r w:rsidR="000C68F9" w:rsidRPr="00A91DE0">
        <w:rPr>
          <w:snapToGrid w:val="0"/>
          <w:color w:val="000000"/>
          <w:kern w:val="22"/>
          <w:szCs w:val="22"/>
          <w:lang w:val="fr-FR"/>
        </w:rPr>
        <w:t xml:space="preserve"> consultation </w:t>
      </w:r>
      <w:r>
        <w:rPr>
          <w:snapToGrid w:val="0"/>
          <w:color w:val="000000"/>
          <w:kern w:val="22"/>
          <w:szCs w:val="22"/>
          <w:lang w:val="fr-FR"/>
        </w:rPr>
        <w:t>entre le</w:t>
      </w:r>
      <w:r w:rsidR="005825A3" w:rsidRPr="00A91DE0">
        <w:rPr>
          <w:snapToGrid w:val="0"/>
          <w:color w:val="000000"/>
          <w:kern w:val="22"/>
          <w:szCs w:val="22"/>
          <w:lang w:val="fr-FR"/>
        </w:rPr>
        <w:t xml:space="preserve"> </w:t>
      </w:r>
      <w:r w:rsidR="00B011D3" w:rsidRPr="00A91DE0">
        <w:rPr>
          <w:snapToGrid w:val="0"/>
          <w:color w:val="000000"/>
          <w:kern w:val="22"/>
          <w:szCs w:val="22"/>
          <w:lang w:val="fr-FR"/>
        </w:rPr>
        <w:t>Groupe de liai</w:t>
      </w:r>
      <w:r>
        <w:rPr>
          <w:snapToGrid w:val="0"/>
          <w:color w:val="000000"/>
          <w:kern w:val="22"/>
          <w:szCs w:val="22"/>
          <w:lang w:val="fr-FR"/>
        </w:rPr>
        <w:t>s</w:t>
      </w:r>
      <w:r w:rsidR="00B011D3" w:rsidRPr="00A91DE0">
        <w:rPr>
          <w:snapToGrid w:val="0"/>
          <w:color w:val="000000"/>
          <w:kern w:val="22"/>
          <w:szCs w:val="22"/>
          <w:lang w:val="fr-FR"/>
        </w:rPr>
        <w:t>on des</w:t>
      </w:r>
      <w:r w:rsidR="00C450BF" w:rsidRPr="00A91DE0">
        <w:rPr>
          <w:snapToGrid w:val="0"/>
          <w:color w:val="000000"/>
          <w:kern w:val="22"/>
          <w:szCs w:val="22"/>
          <w:lang w:val="fr-FR"/>
        </w:rPr>
        <w:t xml:space="preserve"> </w:t>
      </w:r>
      <w:r>
        <w:rPr>
          <w:snapToGrid w:val="0"/>
          <w:color w:val="000000"/>
          <w:kern w:val="22"/>
          <w:szCs w:val="22"/>
          <w:lang w:val="fr-FR"/>
        </w:rPr>
        <w:t>c</w:t>
      </w:r>
      <w:r w:rsidR="008B0ED2" w:rsidRPr="00A91DE0">
        <w:rPr>
          <w:snapToGrid w:val="0"/>
          <w:color w:val="000000"/>
          <w:kern w:val="22"/>
          <w:szCs w:val="22"/>
          <w:lang w:val="fr-FR"/>
        </w:rPr>
        <w:t>onventions relatives à la diversité biologique</w:t>
      </w:r>
      <w:r w:rsidR="0062697F" w:rsidRPr="00A91DE0">
        <w:rPr>
          <w:snapToGrid w:val="0"/>
          <w:color w:val="000000"/>
          <w:kern w:val="22"/>
          <w:szCs w:val="22"/>
          <w:lang w:val="fr-FR"/>
        </w:rPr>
        <w:t xml:space="preserve"> </w:t>
      </w:r>
      <w:r>
        <w:rPr>
          <w:snapToGrid w:val="0"/>
          <w:color w:val="000000"/>
          <w:kern w:val="22"/>
          <w:szCs w:val="22"/>
          <w:lang w:val="fr-FR"/>
        </w:rPr>
        <w:t>et le</w:t>
      </w:r>
      <w:r w:rsidR="0062697F" w:rsidRPr="00A91DE0">
        <w:rPr>
          <w:snapToGrid w:val="0"/>
          <w:color w:val="000000"/>
          <w:kern w:val="22"/>
          <w:szCs w:val="22"/>
          <w:lang w:val="fr-FR"/>
        </w:rPr>
        <w:t xml:space="preserve"> </w:t>
      </w:r>
      <w:r w:rsidR="00A80D17" w:rsidRPr="00A91DE0">
        <w:rPr>
          <w:snapToGrid w:val="0"/>
          <w:color w:val="000000"/>
          <w:kern w:val="22"/>
          <w:szCs w:val="22"/>
          <w:lang w:val="fr-FR"/>
        </w:rPr>
        <w:t>groupe consultatif informel</w:t>
      </w:r>
      <w:r w:rsidR="0062697F" w:rsidRPr="00A91DE0">
        <w:rPr>
          <w:snapToGrid w:val="0"/>
          <w:color w:val="000000"/>
          <w:kern w:val="22"/>
          <w:szCs w:val="22"/>
          <w:lang w:val="fr-FR"/>
        </w:rPr>
        <w:t xml:space="preserve"> </w:t>
      </w:r>
      <w:r>
        <w:rPr>
          <w:snapToGrid w:val="0"/>
          <w:color w:val="000000"/>
          <w:kern w:val="22"/>
          <w:szCs w:val="22"/>
          <w:lang w:val="fr-FR"/>
        </w:rPr>
        <w:t>sur les</w:t>
      </w:r>
      <w:r w:rsidR="0062697F" w:rsidRPr="00A91DE0">
        <w:rPr>
          <w:snapToGrid w:val="0"/>
          <w:color w:val="000000"/>
          <w:kern w:val="22"/>
          <w:szCs w:val="22"/>
          <w:lang w:val="fr-FR"/>
        </w:rPr>
        <w:t xml:space="preserve"> synergies</w:t>
      </w:r>
      <w:r w:rsidR="000C68F9" w:rsidRPr="00A91DE0">
        <w:rPr>
          <w:snapToGrid w:val="0"/>
          <w:color w:val="000000"/>
          <w:kern w:val="22"/>
          <w:szCs w:val="22"/>
          <w:lang w:val="fr-FR"/>
        </w:rPr>
        <w:t xml:space="preserve">. </w:t>
      </w:r>
      <w:r w:rsidRPr="00A91DE0">
        <w:rPr>
          <w:snapToGrid w:val="0"/>
          <w:color w:val="000000"/>
          <w:kern w:val="22"/>
          <w:szCs w:val="22"/>
          <w:lang w:val="fr-FR"/>
        </w:rPr>
        <w:t>Cette</w:t>
      </w:r>
      <w:r w:rsidR="000C68F9" w:rsidRPr="00A91DE0">
        <w:rPr>
          <w:snapToGrid w:val="0"/>
          <w:color w:val="000000"/>
          <w:kern w:val="22"/>
          <w:szCs w:val="22"/>
          <w:lang w:val="fr-FR"/>
        </w:rPr>
        <w:t xml:space="preserve"> consultation </w:t>
      </w:r>
      <w:r w:rsidRPr="00A91DE0">
        <w:rPr>
          <w:snapToGrid w:val="0"/>
          <w:color w:val="000000"/>
          <w:kern w:val="22"/>
          <w:szCs w:val="22"/>
          <w:lang w:val="fr-FR"/>
        </w:rPr>
        <w:t>pourrait contribuer aux mesures que le</w:t>
      </w:r>
      <w:r w:rsidR="000C68F9" w:rsidRPr="00A91DE0">
        <w:rPr>
          <w:snapToGrid w:val="0"/>
          <w:color w:val="000000"/>
          <w:kern w:val="22"/>
          <w:szCs w:val="22"/>
          <w:lang w:val="fr-FR"/>
        </w:rPr>
        <w:t xml:space="preserve"> </w:t>
      </w:r>
      <w:r w:rsidR="00B011D3" w:rsidRPr="00A91DE0">
        <w:rPr>
          <w:snapToGrid w:val="0"/>
          <w:color w:val="000000"/>
          <w:kern w:val="22"/>
          <w:szCs w:val="22"/>
          <w:lang w:val="fr-FR"/>
        </w:rPr>
        <w:t>Groupe de liai</w:t>
      </w:r>
      <w:r w:rsidRPr="00A91DE0">
        <w:rPr>
          <w:snapToGrid w:val="0"/>
          <w:color w:val="000000"/>
          <w:kern w:val="22"/>
          <w:szCs w:val="22"/>
          <w:lang w:val="fr-FR"/>
        </w:rPr>
        <w:t>s</w:t>
      </w:r>
      <w:r w:rsidR="00B011D3" w:rsidRPr="00A91DE0">
        <w:rPr>
          <w:snapToGrid w:val="0"/>
          <w:color w:val="000000"/>
          <w:kern w:val="22"/>
          <w:szCs w:val="22"/>
          <w:lang w:val="fr-FR"/>
        </w:rPr>
        <w:t>on des</w:t>
      </w:r>
      <w:r w:rsidR="00632A12" w:rsidRPr="00A91DE0">
        <w:rPr>
          <w:snapToGrid w:val="0"/>
          <w:color w:val="000000"/>
          <w:kern w:val="22"/>
          <w:szCs w:val="22"/>
          <w:lang w:val="fr-FR"/>
        </w:rPr>
        <w:t xml:space="preserve"> </w:t>
      </w:r>
      <w:r w:rsidRPr="00A91DE0">
        <w:rPr>
          <w:snapToGrid w:val="0"/>
          <w:color w:val="000000"/>
          <w:kern w:val="22"/>
          <w:szCs w:val="22"/>
          <w:lang w:val="fr-FR"/>
        </w:rPr>
        <w:t>c</w:t>
      </w:r>
      <w:r w:rsidR="008B0ED2" w:rsidRPr="00A91DE0">
        <w:rPr>
          <w:snapToGrid w:val="0"/>
          <w:color w:val="000000"/>
          <w:kern w:val="22"/>
          <w:szCs w:val="22"/>
          <w:lang w:val="fr-FR"/>
        </w:rPr>
        <w:t>onventions relatives à la diversité biologique</w:t>
      </w:r>
      <w:r w:rsidR="000C68F9" w:rsidRPr="00A91DE0">
        <w:rPr>
          <w:snapToGrid w:val="0"/>
          <w:color w:val="000000"/>
          <w:kern w:val="22"/>
          <w:szCs w:val="22"/>
          <w:lang w:val="fr-FR"/>
        </w:rPr>
        <w:t xml:space="preserve"> </w:t>
      </w:r>
      <w:r w:rsidRPr="00A91DE0">
        <w:rPr>
          <w:snapToGrid w:val="0"/>
          <w:color w:val="000000"/>
          <w:kern w:val="22"/>
          <w:szCs w:val="22"/>
          <w:lang w:val="fr-FR"/>
        </w:rPr>
        <w:t xml:space="preserve">peut prendre pour améliorer l’efficacité des travaux et </w:t>
      </w:r>
      <w:r w:rsidRPr="00A91DE0">
        <w:rPr>
          <w:snapToGrid w:val="0"/>
          <w:color w:val="000000"/>
          <w:kern w:val="22"/>
          <w:szCs w:val="22"/>
          <w:lang w:val="fr-FR"/>
        </w:rPr>
        <w:lastRenderedPageBreak/>
        <w:t>les processus du Groupe de l</w:t>
      </w:r>
      <w:r w:rsidR="005825A3" w:rsidRPr="00A91DE0">
        <w:rPr>
          <w:snapToGrid w:val="0"/>
          <w:color w:val="000000"/>
          <w:kern w:val="22"/>
          <w:szCs w:val="22"/>
          <w:lang w:val="fr-FR"/>
        </w:rPr>
        <w:t>iaison,</w:t>
      </w:r>
      <w:r w:rsidR="0094289E" w:rsidRPr="00A91DE0">
        <w:rPr>
          <w:snapToGrid w:val="0"/>
          <w:color w:val="000000"/>
          <w:kern w:val="22"/>
          <w:szCs w:val="22"/>
          <w:lang w:val="fr-FR"/>
        </w:rPr>
        <w:t xml:space="preserve"> </w:t>
      </w:r>
      <w:r>
        <w:rPr>
          <w:snapToGrid w:val="0"/>
          <w:color w:val="000000"/>
          <w:kern w:val="22"/>
          <w:szCs w:val="22"/>
          <w:lang w:val="fr-FR"/>
        </w:rPr>
        <w:t>telles qu’elles sont décrites dans la feuille de route comme les mesures propres à renforcer les travaux de collaboration de leur personnel de contrepartie dans des domaines thématiques spécifiques</w:t>
      </w:r>
      <w:r w:rsidR="000C68F9" w:rsidRPr="00A91DE0">
        <w:rPr>
          <w:snapToGrid w:val="0"/>
          <w:color w:val="000000"/>
          <w:kern w:val="22"/>
          <w:szCs w:val="22"/>
          <w:lang w:val="fr-FR"/>
        </w:rPr>
        <w:t xml:space="preserve">, </w:t>
      </w:r>
      <w:r>
        <w:rPr>
          <w:snapToGrid w:val="0"/>
          <w:color w:val="000000"/>
          <w:kern w:val="22"/>
          <w:szCs w:val="22"/>
          <w:lang w:val="fr-FR"/>
        </w:rPr>
        <w:t xml:space="preserve">les mesures visant à </w:t>
      </w:r>
      <w:r w:rsidR="00A03245">
        <w:rPr>
          <w:snapToGrid w:val="0"/>
          <w:color w:val="000000"/>
          <w:kern w:val="22"/>
          <w:szCs w:val="22"/>
          <w:lang w:val="fr-FR"/>
        </w:rPr>
        <w:t>faire participer d’autres organis</w:t>
      </w:r>
      <w:r w:rsidR="001B6195" w:rsidRPr="00A91DE0">
        <w:rPr>
          <w:snapToGrid w:val="0"/>
          <w:color w:val="000000"/>
          <w:kern w:val="22"/>
          <w:szCs w:val="22"/>
          <w:lang w:val="fr-FR"/>
        </w:rPr>
        <w:t>ation</w:t>
      </w:r>
      <w:r w:rsidR="000C68F9" w:rsidRPr="00A91DE0">
        <w:rPr>
          <w:snapToGrid w:val="0"/>
          <w:color w:val="000000"/>
          <w:kern w:val="22"/>
          <w:szCs w:val="22"/>
          <w:lang w:val="fr-FR"/>
        </w:rPr>
        <w:t xml:space="preserve">s </w:t>
      </w:r>
      <w:r w:rsidR="00A03245">
        <w:rPr>
          <w:snapToGrid w:val="0"/>
          <w:color w:val="000000"/>
          <w:kern w:val="22"/>
          <w:szCs w:val="22"/>
          <w:lang w:val="fr-FR"/>
        </w:rPr>
        <w:t>pertinentes à ses travaux et</w:t>
      </w:r>
      <w:r w:rsidR="000C68F9" w:rsidRPr="00A91DE0">
        <w:rPr>
          <w:snapToGrid w:val="0"/>
          <w:color w:val="000000"/>
          <w:kern w:val="22"/>
          <w:szCs w:val="22"/>
          <w:lang w:val="fr-FR"/>
        </w:rPr>
        <w:t xml:space="preserve"> discussions,</w:t>
      </w:r>
      <w:r w:rsidR="001B6195" w:rsidRPr="00A91DE0">
        <w:rPr>
          <w:snapToGrid w:val="0"/>
          <w:color w:val="000000"/>
          <w:kern w:val="22"/>
          <w:szCs w:val="22"/>
          <w:lang w:val="fr-FR"/>
        </w:rPr>
        <w:t xml:space="preserve"> </w:t>
      </w:r>
      <w:r w:rsidR="00A03245">
        <w:rPr>
          <w:snapToGrid w:val="0"/>
          <w:color w:val="000000"/>
          <w:kern w:val="22"/>
          <w:szCs w:val="22"/>
          <w:lang w:val="fr-FR"/>
        </w:rPr>
        <w:t>et les mesures propres à faciliter le mécanisme de consultation des présidents des organes consultatifs scientifiques des co</w:t>
      </w:r>
      <w:r w:rsidR="008B0ED2" w:rsidRPr="00A91DE0">
        <w:rPr>
          <w:snapToGrid w:val="0"/>
          <w:color w:val="000000"/>
          <w:kern w:val="22"/>
          <w:szCs w:val="22"/>
          <w:lang w:val="fr-FR"/>
        </w:rPr>
        <w:t>nventions relatives à la diversité biologique</w:t>
      </w:r>
      <w:r w:rsidR="001B6195" w:rsidRPr="00A91DE0">
        <w:rPr>
          <w:snapToGrid w:val="0"/>
          <w:color w:val="000000"/>
          <w:kern w:val="22"/>
          <w:szCs w:val="22"/>
          <w:lang w:val="fr-FR"/>
        </w:rPr>
        <w:t>.</w:t>
      </w:r>
    </w:p>
    <w:p w:rsidR="00797393" w:rsidRPr="00505ACC" w:rsidRDefault="00505ACC"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lang w:val="fr-FR"/>
        </w:rPr>
      </w:pPr>
      <w:r w:rsidRPr="00505ACC">
        <w:rPr>
          <w:snapToGrid w:val="0"/>
          <w:color w:val="000000"/>
          <w:kern w:val="22"/>
          <w:szCs w:val="22"/>
          <w:lang w:val="fr-FR"/>
        </w:rPr>
        <w:t xml:space="preserve">Etant donné qu’un grand nombre des principales mesures de la feuille de route serait entrepris en </w:t>
      </w:r>
      <w:r w:rsidR="000F13AD" w:rsidRPr="00505ACC">
        <w:rPr>
          <w:snapToGrid w:val="0"/>
          <w:color w:val="000000"/>
          <w:kern w:val="22"/>
          <w:szCs w:val="22"/>
          <w:lang w:val="fr-FR"/>
        </w:rPr>
        <w:t xml:space="preserve">collaboration </w:t>
      </w:r>
      <w:r>
        <w:rPr>
          <w:snapToGrid w:val="0"/>
          <w:color w:val="000000"/>
          <w:kern w:val="22"/>
          <w:szCs w:val="22"/>
          <w:lang w:val="fr-FR"/>
        </w:rPr>
        <w:t>avec d’autres organis</w:t>
      </w:r>
      <w:r w:rsidR="00797393" w:rsidRPr="00505ACC">
        <w:rPr>
          <w:snapToGrid w:val="0"/>
          <w:color w:val="000000"/>
          <w:kern w:val="22"/>
          <w:szCs w:val="22"/>
          <w:lang w:val="fr-FR"/>
        </w:rPr>
        <w:t>ations</w:t>
      </w:r>
      <w:r>
        <w:rPr>
          <w:snapToGrid w:val="0"/>
          <w:color w:val="000000"/>
          <w:kern w:val="22"/>
          <w:szCs w:val="22"/>
          <w:lang w:val="fr-FR"/>
        </w:rPr>
        <w:t xml:space="preserve"> concernées</w:t>
      </w:r>
      <w:r w:rsidR="00797393" w:rsidRPr="00505ACC">
        <w:rPr>
          <w:snapToGrid w:val="0"/>
          <w:color w:val="000000"/>
          <w:kern w:val="22"/>
          <w:szCs w:val="22"/>
          <w:lang w:val="fr-FR"/>
        </w:rPr>
        <w:t xml:space="preserve">, </w:t>
      </w:r>
      <w:r>
        <w:rPr>
          <w:snapToGrid w:val="0"/>
          <w:color w:val="000000"/>
          <w:kern w:val="22"/>
          <w:szCs w:val="22"/>
          <w:lang w:val="fr-FR"/>
        </w:rPr>
        <w:t>l</w:t>
      </w:r>
      <w:r w:rsidR="000F13AD" w:rsidRPr="00505ACC">
        <w:rPr>
          <w:snapToGrid w:val="0"/>
          <w:color w:val="000000"/>
          <w:kern w:val="22"/>
          <w:szCs w:val="22"/>
          <w:lang w:val="fr-FR"/>
        </w:rPr>
        <w:t>e Group</w:t>
      </w:r>
      <w:r>
        <w:rPr>
          <w:snapToGrid w:val="0"/>
          <w:color w:val="000000"/>
          <w:kern w:val="22"/>
          <w:szCs w:val="22"/>
          <w:lang w:val="fr-FR"/>
        </w:rPr>
        <w:t>e recommande également que les avis qu’il a donnés à la</w:t>
      </w:r>
      <w:r w:rsidR="00797393" w:rsidRPr="00505ACC">
        <w:rPr>
          <w:snapToGrid w:val="0"/>
          <w:color w:val="000000"/>
          <w:kern w:val="22"/>
          <w:szCs w:val="22"/>
          <w:lang w:val="fr-FR"/>
        </w:rPr>
        <w:t xml:space="preserve"> </w:t>
      </w:r>
      <w:r w:rsidR="00713136" w:rsidRPr="00505ACC">
        <w:rPr>
          <w:snapToGrid w:val="0"/>
          <w:color w:val="000000"/>
          <w:kern w:val="22"/>
          <w:szCs w:val="22"/>
          <w:lang w:val="fr-FR"/>
        </w:rPr>
        <w:t>Secrétaire exécutive</w:t>
      </w:r>
      <w:r>
        <w:rPr>
          <w:snapToGrid w:val="0"/>
          <w:color w:val="000000"/>
          <w:kern w:val="22"/>
          <w:szCs w:val="22"/>
          <w:lang w:val="fr-FR"/>
        </w:rPr>
        <w:t>, au</w:t>
      </w:r>
      <w:r w:rsidR="00797393" w:rsidRPr="00505ACC">
        <w:rPr>
          <w:snapToGrid w:val="0"/>
          <w:color w:val="000000"/>
          <w:kern w:val="22"/>
          <w:szCs w:val="22"/>
          <w:lang w:val="fr-FR"/>
        </w:rPr>
        <w:t xml:space="preserve"> </w:t>
      </w:r>
      <w:r w:rsidR="00E35B05" w:rsidRPr="00505ACC">
        <w:rPr>
          <w:snapToGrid w:val="0"/>
          <w:color w:val="000000"/>
          <w:kern w:val="22"/>
          <w:szCs w:val="22"/>
          <w:lang w:val="fr-FR"/>
        </w:rPr>
        <w:t>B</w:t>
      </w:r>
      <w:r w:rsidR="00797393" w:rsidRPr="00505ACC">
        <w:rPr>
          <w:snapToGrid w:val="0"/>
          <w:color w:val="000000"/>
          <w:kern w:val="22"/>
          <w:szCs w:val="22"/>
          <w:lang w:val="fr-FR"/>
        </w:rPr>
        <w:t>ureau</w:t>
      </w:r>
      <w:r>
        <w:rPr>
          <w:snapToGrid w:val="0"/>
          <w:color w:val="000000"/>
          <w:kern w:val="22"/>
          <w:szCs w:val="22"/>
          <w:lang w:val="fr-FR"/>
        </w:rPr>
        <w:t xml:space="preserve"> de la</w:t>
      </w:r>
      <w:r w:rsidR="00E900FC" w:rsidRPr="00505ACC">
        <w:rPr>
          <w:snapToGrid w:val="0"/>
          <w:color w:val="000000"/>
          <w:kern w:val="22"/>
          <w:szCs w:val="22"/>
          <w:lang w:val="fr-FR"/>
        </w:rPr>
        <w:t xml:space="preserve"> </w:t>
      </w:r>
      <w:r w:rsidR="00F750A3" w:rsidRPr="00505ACC">
        <w:rPr>
          <w:snapToGrid w:val="0"/>
          <w:color w:val="000000"/>
          <w:kern w:val="22"/>
          <w:szCs w:val="22"/>
          <w:lang w:val="fr-FR"/>
        </w:rPr>
        <w:t>treizième réunion</w:t>
      </w:r>
      <w:r>
        <w:rPr>
          <w:snapToGrid w:val="0"/>
          <w:color w:val="000000"/>
          <w:kern w:val="22"/>
          <w:szCs w:val="22"/>
          <w:lang w:val="fr-FR"/>
        </w:rPr>
        <w:t xml:space="preserve"> de l</w:t>
      </w:r>
      <w:r w:rsidR="00031441" w:rsidRPr="00505ACC">
        <w:rPr>
          <w:snapToGrid w:val="0"/>
          <w:color w:val="000000"/>
          <w:kern w:val="22"/>
          <w:szCs w:val="22"/>
          <w:lang w:val="fr-FR"/>
        </w:rPr>
        <w:t>a Conférence des Parties</w:t>
      </w:r>
      <w:r w:rsidR="00072A6A">
        <w:rPr>
          <w:snapToGrid w:val="0"/>
          <w:color w:val="000000"/>
          <w:kern w:val="22"/>
          <w:szCs w:val="22"/>
          <w:lang w:val="fr-FR"/>
        </w:rPr>
        <w:t xml:space="preserve"> et au</w:t>
      </w:r>
      <w:r w:rsidR="00797393" w:rsidRPr="00505ACC">
        <w:rPr>
          <w:snapToGrid w:val="0"/>
          <w:color w:val="000000"/>
          <w:kern w:val="22"/>
          <w:szCs w:val="22"/>
          <w:lang w:val="fr-FR"/>
        </w:rPr>
        <w:t xml:space="preserve"> </w:t>
      </w:r>
      <w:r w:rsidR="00B011D3" w:rsidRPr="00505ACC">
        <w:rPr>
          <w:snapToGrid w:val="0"/>
          <w:color w:val="000000"/>
          <w:kern w:val="22"/>
          <w:szCs w:val="22"/>
          <w:lang w:val="fr-FR"/>
        </w:rPr>
        <w:t>Groupe de liai</w:t>
      </w:r>
      <w:r w:rsidR="00072A6A">
        <w:rPr>
          <w:snapToGrid w:val="0"/>
          <w:color w:val="000000"/>
          <w:kern w:val="22"/>
          <w:szCs w:val="22"/>
          <w:lang w:val="fr-FR"/>
        </w:rPr>
        <w:t>s</w:t>
      </w:r>
      <w:r w:rsidR="00B011D3" w:rsidRPr="00505ACC">
        <w:rPr>
          <w:snapToGrid w:val="0"/>
          <w:color w:val="000000"/>
          <w:kern w:val="22"/>
          <w:szCs w:val="22"/>
          <w:lang w:val="fr-FR"/>
        </w:rPr>
        <w:t>on des</w:t>
      </w:r>
      <w:r w:rsidR="00E900FC" w:rsidRPr="00505ACC">
        <w:rPr>
          <w:snapToGrid w:val="0"/>
          <w:color w:val="000000"/>
          <w:kern w:val="22"/>
          <w:szCs w:val="22"/>
          <w:lang w:val="fr-FR"/>
        </w:rPr>
        <w:t xml:space="preserve"> </w:t>
      </w:r>
      <w:r w:rsidR="00072A6A">
        <w:rPr>
          <w:snapToGrid w:val="0"/>
          <w:color w:val="000000"/>
          <w:kern w:val="22"/>
          <w:szCs w:val="22"/>
          <w:lang w:val="fr-FR"/>
        </w:rPr>
        <w:t>c</w:t>
      </w:r>
      <w:r w:rsidR="008B0ED2" w:rsidRPr="00505ACC">
        <w:rPr>
          <w:snapToGrid w:val="0"/>
          <w:color w:val="000000"/>
          <w:kern w:val="22"/>
          <w:szCs w:val="22"/>
          <w:lang w:val="fr-FR"/>
        </w:rPr>
        <w:t>onventions relatives à la diversité biologique</w:t>
      </w:r>
      <w:r w:rsidR="00797393" w:rsidRPr="00505ACC">
        <w:rPr>
          <w:snapToGrid w:val="0"/>
          <w:color w:val="000000"/>
          <w:kern w:val="22"/>
          <w:szCs w:val="22"/>
          <w:lang w:val="fr-FR"/>
        </w:rPr>
        <w:t xml:space="preserve"> </w:t>
      </w:r>
      <w:r w:rsidR="00072A6A">
        <w:rPr>
          <w:snapToGrid w:val="0"/>
          <w:color w:val="000000"/>
          <w:kern w:val="22"/>
          <w:szCs w:val="22"/>
          <w:lang w:val="fr-FR"/>
        </w:rPr>
        <w:t>soient également partagés avec d’autres organis</w:t>
      </w:r>
      <w:r w:rsidR="00797393" w:rsidRPr="00505ACC">
        <w:rPr>
          <w:snapToGrid w:val="0"/>
          <w:color w:val="000000"/>
          <w:kern w:val="22"/>
          <w:szCs w:val="22"/>
          <w:lang w:val="fr-FR"/>
        </w:rPr>
        <w:t>ations</w:t>
      </w:r>
      <w:r w:rsidR="00072A6A">
        <w:rPr>
          <w:snapToGrid w:val="0"/>
          <w:color w:val="000000"/>
          <w:kern w:val="22"/>
          <w:szCs w:val="22"/>
          <w:lang w:val="fr-FR"/>
        </w:rPr>
        <w:t xml:space="preserve"> concernées</w:t>
      </w:r>
      <w:r w:rsidR="00797393" w:rsidRPr="00505ACC">
        <w:rPr>
          <w:snapToGrid w:val="0"/>
          <w:color w:val="000000"/>
          <w:kern w:val="22"/>
          <w:szCs w:val="22"/>
          <w:lang w:val="fr-FR"/>
        </w:rPr>
        <w:t>.</w:t>
      </w:r>
    </w:p>
    <w:p w:rsidR="007D6BAB" w:rsidRPr="00505ACC" w:rsidRDefault="00505ACC"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lang w:val="fr-FR"/>
        </w:rPr>
      </w:pPr>
      <w:r w:rsidRPr="00505ACC">
        <w:rPr>
          <w:snapToGrid w:val="0"/>
          <w:color w:val="000000"/>
          <w:kern w:val="22"/>
          <w:szCs w:val="22"/>
          <w:lang w:val="fr-FR"/>
        </w:rPr>
        <w:t>Le</w:t>
      </w:r>
      <w:r w:rsidR="007D6BAB" w:rsidRPr="00505ACC">
        <w:rPr>
          <w:snapToGrid w:val="0"/>
          <w:color w:val="000000"/>
          <w:kern w:val="22"/>
          <w:szCs w:val="22"/>
          <w:lang w:val="fr-FR"/>
        </w:rPr>
        <w:t xml:space="preserve"> </w:t>
      </w:r>
      <w:r w:rsidR="00A80D17" w:rsidRPr="00505ACC">
        <w:rPr>
          <w:snapToGrid w:val="0"/>
          <w:color w:val="000000"/>
          <w:kern w:val="22"/>
          <w:szCs w:val="22"/>
          <w:lang w:val="fr-FR"/>
        </w:rPr>
        <w:t>groupe consultatif informel</w:t>
      </w:r>
      <w:r w:rsidR="007D6BAB" w:rsidRPr="00505ACC">
        <w:rPr>
          <w:snapToGrid w:val="0"/>
          <w:color w:val="000000"/>
          <w:kern w:val="22"/>
          <w:szCs w:val="22"/>
          <w:lang w:val="fr-FR"/>
        </w:rPr>
        <w:t xml:space="preserve"> a</w:t>
      </w:r>
      <w:r w:rsidRPr="00505ACC">
        <w:rPr>
          <w:snapToGrid w:val="0"/>
          <w:color w:val="000000"/>
          <w:kern w:val="22"/>
          <w:szCs w:val="22"/>
          <w:lang w:val="fr-FR"/>
        </w:rPr>
        <w:t xml:space="preserve"> également contribué à la </w:t>
      </w:r>
      <w:r w:rsidR="007D6BAB" w:rsidRPr="00505ACC">
        <w:rPr>
          <w:snapToGrid w:val="0"/>
          <w:color w:val="000000"/>
          <w:kern w:val="22"/>
          <w:szCs w:val="22"/>
          <w:lang w:val="fr-FR"/>
        </w:rPr>
        <w:t xml:space="preserve">formulation </w:t>
      </w:r>
      <w:r w:rsidRPr="00505ACC">
        <w:rPr>
          <w:snapToGrid w:val="0"/>
          <w:color w:val="000000"/>
          <w:kern w:val="22"/>
          <w:szCs w:val="22"/>
          <w:lang w:val="fr-FR"/>
        </w:rPr>
        <w:t>du projet de recomma</w:t>
      </w:r>
      <w:r w:rsidR="007D6BAB" w:rsidRPr="00505ACC">
        <w:rPr>
          <w:snapToGrid w:val="0"/>
          <w:color w:val="000000"/>
          <w:kern w:val="22"/>
          <w:szCs w:val="22"/>
          <w:lang w:val="fr-FR"/>
        </w:rPr>
        <w:t xml:space="preserve">ndations </w:t>
      </w:r>
      <w:r w:rsidRPr="00505ACC">
        <w:rPr>
          <w:snapToGrid w:val="0"/>
          <w:color w:val="000000"/>
          <w:kern w:val="22"/>
          <w:szCs w:val="22"/>
          <w:lang w:val="fr-FR"/>
        </w:rPr>
        <w:t>liées à ses travaux</w:t>
      </w:r>
      <w:r w:rsidR="00440C26">
        <w:rPr>
          <w:snapToGrid w:val="0"/>
          <w:color w:val="000000"/>
          <w:kern w:val="22"/>
          <w:szCs w:val="22"/>
          <w:lang w:val="fr-FR"/>
        </w:rPr>
        <w:t>,</w:t>
      </w:r>
      <w:r w:rsidRPr="00505ACC">
        <w:rPr>
          <w:snapToGrid w:val="0"/>
          <w:color w:val="000000"/>
          <w:kern w:val="22"/>
          <w:szCs w:val="22"/>
          <w:lang w:val="fr-FR"/>
        </w:rPr>
        <w:t xml:space="preserve"> qui son</w:t>
      </w:r>
      <w:r>
        <w:rPr>
          <w:snapToGrid w:val="0"/>
          <w:color w:val="000000"/>
          <w:kern w:val="22"/>
          <w:szCs w:val="22"/>
          <w:lang w:val="fr-FR"/>
        </w:rPr>
        <w:t>t présentées pour examen à l’Organe subsidiaire chargé de l’application à sa deuxième réunion</w:t>
      </w:r>
      <w:r w:rsidR="007D6BAB" w:rsidRPr="00505ACC">
        <w:rPr>
          <w:snapToGrid w:val="0"/>
          <w:color w:val="000000"/>
          <w:kern w:val="22"/>
          <w:szCs w:val="22"/>
          <w:lang w:val="fr-FR"/>
        </w:rPr>
        <w:t xml:space="preserve"> </w:t>
      </w:r>
      <w:r w:rsidR="00172FBE" w:rsidRPr="00505ACC">
        <w:rPr>
          <w:snapToGrid w:val="0"/>
          <w:color w:val="000000"/>
          <w:kern w:val="22"/>
          <w:szCs w:val="22"/>
          <w:lang w:val="fr-FR"/>
        </w:rPr>
        <w:t>(</w:t>
      </w:r>
      <w:r w:rsidR="007D6BAB" w:rsidRPr="00505ACC">
        <w:rPr>
          <w:snapToGrid w:val="0"/>
          <w:color w:val="000000"/>
          <w:kern w:val="22"/>
          <w:szCs w:val="22"/>
          <w:lang w:val="fr-FR"/>
        </w:rPr>
        <w:t>CBD/SBI/2/10</w:t>
      </w:r>
      <w:r w:rsidR="00172FBE" w:rsidRPr="00505ACC">
        <w:rPr>
          <w:snapToGrid w:val="0"/>
          <w:color w:val="000000"/>
          <w:kern w:val="22"/>
          <w:szCs w:val="22"/>
          <w:lang w:val="fr-FR"/>
        </w:rPr>
        <w:t>)</w:t>
      </w:r>
      <w:r w:rsidR="007D6BAB" w:rsidRPr="00505ACC">
        <w:rPr>
          <w:snapToGrid w:val="0"/>
          <w:color w:val="000000"/>
          <w:kern w:val="22"/>
          <w:szCs w:val="22"/>
          <w:lang w:val="fr-FR"/>
        </w:rPr>
        <w:t>.</w:t>
      </w:r>
    </w:p>
    <w:p w:rsidR="007F3FB5" w:rsidRPr="00883A1C" w:rsidRDefault="0047527A" w:rsidP="00883A1C">
      <w:pPr>
        <w:keepNext/>
        <w:numPr>
          <w:ilvl w:val="0"/>
          <w:numId w:val="37"/>
        </w:numPr>
        <w:suppressLineNumbers/>
        <w:tabs>
          <w:tab w:val="left" w:pos="360"/>
        </w:tabs>
        <w:suppressAutoHyphens/>
        <w:kinsoku w:val="0"/>
        <w:overflowPunct w:val="0"/>
        <w:autoSpaceDE w:val="0"/>
        <w:autoSpaceDN w:val="0"/>
        <w:adjustRightInd w:val="0"/>
        <w:snapToGrid w:val="0"/>
        <w:spacing w:before="120" w:after="120" w:line="238" w:lineRule="auto"/>
        <w:ind w:left="0" w:firstLine="0"/>
        <w:jc w:val="center"/>
        <w:outlineLvl w:val="0"/>
        <w:rPr>
          <w:b/>
          <w:caps/>
          <w:kern w:val="22"/>
          <w:szCs w:val="22"/>
        </w:rPr>
      </w:pPr>
      <w:r>
        <w:rPr>
          <w:b/>
          <w:caps/>
          <w:kern w:val="22"/>
          <w:szCs w:val="22"/>
        </w:rPr>
        <w:t xml:space="preserve">travaux additionnels </w:t>
      </w:r>
      <w:r w:rsidR="007F3FB5" w:rsidRPr="00883A1C">
        <w:rPr>
          <w:b/>
          <w:caps/>
          <w:kern w:val="22"/>
          <w:szCs w:val="22"/>
        </w:rPr>
        <w:t>Possible</w:t>
      </w:r>
      <w:r>
        <w:rPr>
          <w:b/>
          <w:caps/>
          <w:kern w:val="22"/>
          <w:szCs w:val="22"/>
        </w:rPr>
        <w:t>s</w:t>
      </w:r>
    </w:p>
    <w:p w:rsidR="0094289E" w:rsidRPr="0065412B" w:rsidRDefault="0003144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65412B">
        <w:rPr>
          <w:kern w:val="22"/>
          <w:szCs w:val="22"/>
          <w:lang w:val="fr-FR"/>
        </w:rPr>
        <w:t>La Conférence des Parties</w:t>
      </w:r>
      <w:r w:rsidR="0094289E" w:rsidRPr="0065412B">
        <w:rPr>
          <w:kern w:val="22"/>
          <w:szCs w:val="22"/>
          <w:lang w:val="fr-FR"/>
        </w:rPr>
        <w:t xml:space="preserve"> </w:t>
      </w:r>
      <w:r w:rsidR="0047527A" w:rsidRPr="0065412B">
        <w:rPr>
          <w:kern w:val="22"/>
          <w:szCs w:val="22"/>
          <w:lang w:val="fr-FR"/>
        </w:rPr>
        <w:t>a également souligné le rôle im</w:t>
      </w:r>
      <w:r w:rsidR="007F3FB5" w:rsidRPr="0065412B">
        <w:rPr>
          <w:kern w:val="22"/>
          <w:szCs w:val="22"/>
          <w:lang w:val="fr-FR"/>
        </w:rPr>
        <w:t xml:space="preserve">portant </w:t>
      </w:r>
      <w:r w:rsidR="0047527A" w:rsidRPr="0065412B">
        <w:rPr>
          <w:kern w:val="22"/>
          <w:szCs w:val="22"/>
          <w:lang w:val="fr-FR"/>
        </w:rPr>
        <w:t xml:space="preserve">que jouent les </w:t>
      </w:r>
      <w:r w:rsidR="007F3FB5" w:rsidRPr="0065412B">
        <w:rPr>
          <w:kern w:val="22"/>
          <w:szCs w:val="22"/>
          <w:lang w:val="fr-FR"/>
        </w:rPr>
        <w:t>Parties</w:t>
      </w:r>
      <w:r w:rsidR="0047527A" w:rsidRPr="0065412B">
        <w:rPr>
          <w:kern w:val="22"/>
          <w:szCs w:val="22"/>
          <w:lang w:val="fr-FR"/>
        </w:rPr>
        <w:t xml:space="preserve"> dans la promotion de la cohé</w:t>
      </w:r>
      <w:r w:rsidR="007F3FB5" w:rsidRPr="0065412B">
        <w:rPr>
          <w:kern w:val="22"/>
          <w:szCs w:val="22"/>
          <w:lang w:val="fr-FR"/>
        </w:rPr>
        <w:t xml:space="preserve">rence </w:t>
      </w:r>
      <w:r w:rsidR="0065412B" w:rsidRPr="0065412B">
        <w:rPr>
          <w:kern w:val="22"/>
          <w:szCs w:val="22"/>
          <w:lang w:val="fr-FR"/>
        </w:rPr>
        <w:t xml:space="preserve">en matière de gestion des </w:t>
      </w:r>
      <w:r w:rsidR="007F3FB5" w:rsidRPr="0065412B">
        <w:rPr>
          <w:kern w:val="22"/>
          <w:szCs w:val="22"/>
          <w:lang w:val="fr-FR"/>
        </w:rPr>
        <w:t xml:space="preserve">conventions </w:t>
      </w:r>
      <w:r w:rsidR="0065412B" w:rsidRPr="0065412B">
        <w:rPr>
          <w:kern w:val="22"/>
          <w:szCs w:val="22"/>
          <w:lang w:val="fr-FR"/>
        </w:rPr>
        <w:t>et organis</w:t>
      </w:r>
      <w:r w:rsidR="007F3FB5" w:rsidRPr="0065412B">
        <w:rPr>
          <w:kern w:val="22"/>
          <w:szCs w:val="22"/>
          <w:lang w:val="fr-FR"/>
        </w:rPr>
        <w:t>ations</w:t>
      </w:r>
      <w:r w:rsidR="0065412B" w:rsidRPr="0065412B">
        <w:rPr>
          <w:kern w:val="22"/>
          <w:szCs w:val="22"/>
          <w:lang w:val="fr-FR"/>
        </w:rPr>
        <w:t xml:space="preserve"> concernées</w:t>
      </w:r>
      <w:r w:rsidR="007F3FB5" w:rsidRPr="0065412B">
        <w:rPr>
          <w:kern w:val="22"/>
          <w:szCs w:val="22"/>
          <w:lang w:val="fr-FR"/>
        </w:rPr>
        <w:t xml:space="preserve">, </w:t>
      </w:r>
      <w:r w:rsidR="0065412B" w:rsidRPr="0065412B">
        <w:rPr>
          <w:kern w:val="22"/>
          <w:szCs w:val="22"/>
          <w:lang w:val="fr-FR"/>
        </w:rPr>
        <w:t xml:space="preserve">par exemple </w:t>
      </w:r>
      <w:r w:rsidR="0065412B">
        <w:rPr>
          <w:kern w:val="22"/>
          <w:szCs w:val="22"/>
          <w:lang w:val="fr-FR"/>
        </w:rPr>
        <w:t>e</w:t>
      </w:r>
      <w:r w:rsidR="0065412B" w:rsidRPr="0065412B">
        <w:rPr>
          <w:kern w:val="22"/>
          <w:szCs w:val="22"/>
          <w:lang w:val="fr-FR"/>
        </w:rPr>
        <w:t xml:space="preserve">n coordonnant leurs </w:t>
      </w:r>
      <w:r w:rsidR="007F3FB5" w:rsidRPr="0065412B">
        <w:rPr>
          <w:kern w:val="22"/>
          <w:szCs w:val="22"/>
          <w:lang w:val="fr-FR"/>
        </w:rPr>
        <w:t>positions</w:t>
      </w:r>
      <w:r w:rsidR="0065412B" w:rsidRPr="0065412B">
        <w:rPr>
          <w:kern w:val="22"/>
          <w:szCs w:val="22"/>
          <w:lang w:val="fr-FR"/>
        </w:rPr>
        <w:t xml:space="preserve"> nationales entre les diverses</w:t>
      </w:r>
      <w:r w:rsidR="007F3FB5" w:rsidRPr="0065412B">
        <w:rPr>
          <w:kern w:val="22"/>
          <w:szCs w:val="22"/>
          <w:lang w:val="fr-FR"/>
        </w:rPr>
        <w:t xml:space="preserve"> conventions </w:t>
      </w:r>
      <w:r w:rsidR="0065412B" w:rsidRPr="0065412B">
        <w:rPr>
          <w:kern w:val="22"/>
          <w:szCs w:val="22"/>
          <w:lang w:val="fr-FR"/>
        </w:rPr>
        <w:t>et autres instances</w:t>
      </w:r>
      <w:r w:rsidR="007F3FB5" w:rsidRPr="0065412B">
        <w:rPr>
          <w:kern w:val="22"/>
          <w:szCs w:val="22"/>
          <w:lang w:val="fr-FR"/>
        </w:rPr>
        <w:t xml:space="preserve"> international</w:t>
      </w:r>
      <w:r w:rsidR="0065412B" w:rsidRPr="0065412B">
        <w:rPr>
          <w:kern w:val="22"/>
          <w:szCs w:val="22"/>
          <w:lang w:val="fr-FR"/>
        </w:rPr>
        <w:t>es</w:t>
      </w:r>
      <w:r w:rsidR="007F3FB5" w:rsidRPr="0065412B">
        <w:rPr>
          <w:kern w:val="22"/>
          <w:szCs w:val="22"/>
          <w:lang w:val="fr-FR"/>
        </w:rPr>
        <w:t xml:space="preserve"> </w:t>
      </w:r>
      <w:r w:rsidR="004B23BC">
        <w:rPr>
          <w:kern w:val="22"/>
          <w:szCs w:val="22"/>
          <w:lang w:val="fr-FR"/>
        </w:rPr>
        <w:t>auxquelles elles participe</w:t>
      </w:r>
      <w:r w:rsidR="0065412B" w:rsidRPr="0065412B">
        <w:rPr>
          <w:kern w:val="22"/>
          <w:szCs w:val="22"/>
          <w:lang w:val="fr-FR"/>
        </w:rPr>
        <w:t>nt et créant une étroite</w:t>
      </w:r>
      <w:r w:rsidR="007F3FB5" w:rsidRPr="0065412B">
        <w:rPr>
          <w:kern w:val="22"/>
          <w:szCs w:val="22"/>
          <w:lang w:val="fr-FR"/>
        </w:rPr>
        <w:t xml:space="preserve"> collaboration </w:t>
      </w:r>
      <w:r w:rsidR="0065412B" w:rsidRPr="0065412B">
        <w:rPr>
          <w:kern w:val="22"/>
          <w:szCs w:val="22"/>
          <w:lang w:val="fr-FR"/>
        </w:rPr>
        <w:t xml:space="preserve">entre les </w:t>
      </w:r>
      <w:r w:rsidR="004B23BC">
        <w:rPr>
          <w:kern w:val="22"/>
          <w:szCs w:val="22"/>
          <w:lang w:val="fr-FR"/>
        </w:rPr>
        <w:t>correspondants</w:t>
      </w:r>
      <w:r w:rsidR="0065412B" w:rsidRPr="0065412B">
        <w:rPr>
          <w:kern w:val="22"/>
          <w:szCs w:val="22"/>
          <w:lang w:val="fr-FR"/>
        </w:rPr>
        <w:t xml:space="preserve"> </w:t>
      </w:r>
      <w:r w:rsidR="0065412B">
        <w:rPr>
          <w:kern w:val="22"/>
          <w:szCs w:val="22"/>
          <w:lang w:val="fr-FR"/>
        </w:rPr>
        <w:t>pour élaborer des approches cohérentes et synergiques entre les conventions</w:t>
      </w:r>
      <w:r w:rsidR="007F3FB5" w:rsidRPr="00883A1C">
        <w:rPr>
          <w:rStyle w:val="Appelnotedebasdep"/>
          <w:kern w:val="22"/>
          <w:sz w:val="22"/>
          <w:szCs w:val="22"/>
          <w:u w:val="none"/>
          <w:vertAlign w:val="superscript"/>
        </w:rPr>
        <w:footnoteReference w:id="15"/>
      </w:r>
      <w:r w:rsidR="0065412B">
        <w:rPr>
          <w:kern w:val="22"/>
          <w:szCs w:val="22"/>
          <w:lang w:val="fr-FR"/>
        </w:rPr>
        <w:t>.</w:t>
      </w:r>
    </w:p>
    <w:p w:rsidR="007F3FB5" w:rsidRPr="00B65E51" w:rsidRDefault="00B65E5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B65E51">
        <w:rPr>
          <w:kern w:val="22"/>
          <w:szCs w:val="22"/>
          <w:lang w:val="fr-FR"/>
        </w:rPr>
        <w:t xml:space="preserve">Un examen plus poussé pourrait être fait de l’avantage </w:t>
      </w:r>
      <w:r w:rsidR="007D556D">
        <w:rPr>
          <w:kern w:val="22"/>
          <w:szCs w:val="22"/>
          <w:lang w:val="fr-FR"/>
        </w:rPr>
        <w:t>et</w:t>
      </w:r>
      <w:r w:rsidRPr="00B65E51">
        <w:rPr>
          <w:kern w:val="22"/>
          <w:szCs w:val="22"/>
          <w:lang w:val="fr-FR"/>
        </w:rPr>
        <w:t xml:space="preserve"> de la viabilité potentiels d’un mécanisme </w:t>
      </w:r>
      <w:r w:rsidR="007D556D">
        <w:rPr>
          <w:kern w:val="22"/>
          <w:szCs w:val="22"/>
          <w:lang w:val="fr-FR"/>
        </w:rPr>
        <w:t>tel qu’un comité informel conjoint de toutes les</w:t>
      </w:r>
      <w:r w:rsidR="007F3FB5" w:rsidRPr="00B65E51">
        <w:rPr>
          <w:kern w:val="22"/>
          <w:szCs w:val="22"/>
          <w:lang w:val="fr-FR"/>
        </w:rPr>
        <w:t xml:space="preserve"> </w:t>
      </w:r>
      <w:r w:rsidR="008B0ED2" w:rsidRPr="00B65E51">
        <w:rPr>
          <w:kern w:val="22"/>
          <w:szCs w:val="22"/>
          <w:lang w:val="fr-FR"/>
        </w:rPr>
        <w:t>conventions relatives à la diversité biologique</w:t>
      </w:r>
      <w:r w:rsidR="007F3FB5" w:rsidRPr="00B65E51">
        <w:rPr>
          <w:kern w:val="22"/>
          <w:szCs w:val="22"/>
          <w:lang w:val="fr-FR"/>
        </w:rPr>
        <w:t xml:space="preserve">, </w:t>
      </w:r>
      <w:r w:rsidR="007D556D">
        <w:rPr>
          <w:kern w:val="22"/>
          <w:szCs w:val="22"/>
          <w:lang w:val="fr-FR"/>
        </w:rPr>
        <w:t>pour siéger à titre consultatif, qui donnerait aux Parties la possibilité d’assurer une liaison directe entre les organes directeurs des c</w:t>
      </w:r>
      <w:r w:rsidR="007F3FB5" w:rsidRPr="00B65E51">
        <w:rPr>
          <w:kern w:val="22"/>
          <w:szCs w:val="22"/>
          <w:lang w:val="fr-FR"/>
        </w:rPr>
        <w:t>onventions</w:t>
      </w:r>
      <w:r w:rsidR="007F3FB5" w:rsidRPr="00883A1C">
        <w:rPr>
          <w:rStyle w:val="Appelnotedebasdep"/>
          <w:kern w:val="22"/>
          <w:sz w:val="22"/>
          <w:szCs w:val="22"/>
          <w:u w:val="none"/>
          <w:vertAlign w:val="superscript"/>
        </w:rPr>
        <w:footnoteReference w:id="16"/>
      </w:r>
      <w:r w:rsidR="007D556D">
        <w:rPr>
          <w:kern w:val="22"/>
          <w:szCs w:val="22"/>
          <w:lang w:val="fr-FR"/>
        </w:rPr>
        <w:t>.</w:t>
      </w:r>
    </w:p>
    <w:p w:rsidR="007F3FB5" w:rsidRPr="004301A8" w:rsidRDefault="004301A8"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lang w:val="fr-FR"/>
        </w:rPr>
      </w:pPr>
      <w:r w:rsidRPr="004301A8">
        <w:rPr>
          <w:kern w:val="22"/>
          <w:szCs w:val="22"/>
          <w:lang w:val="fr-FR"/>
        </w:rPr>
        <w:t>En outre</w:t>
      </w:r>
      <w:r w:rsidR="007F3FB5" w:rsidRPr="004301A8">
        <w:rPr>
          <w:kern w:val="22"/>
          <w:szCs w:val="22"/>
          <w:lang w:val="fr-FR"/>
        </w:rPr>
        <w:t xml:space="preserve">, </w:t>
      </w:r>
      <w:r w:rsidRPr="004301A8">
        <w:rPr>
          <w:kern w:val="22"/>
          <w:szCs w:val="22"/>
          <w:lang w:val="fr-FR"/>
        </w:rPr>
        <w:t xml:space="preserve">s’agissant de l’application au niveau national, </w:t>
      </w:r>
      <w:r w:rsidR="00031441" w:rsidRPr="004301A8">
        <w:rPr>
          <w:kern w:val="22"/>
          <w:szCs w:val="22"/>
          <w:lang w:val="fr-FR"/>
        </w:rPr>
        <w:t>la Conférence des Parties</w:t>
      </w:r>
      <w:r w:rsidRPr="004301A8">
        <w:rPr>
          <w:kern w:val="22"/>
          <w:szCs w:val="22"/>
          <w:lang w:val="fr-FR"/>
        </w:rPr>
        <w:t xml:space="preserve"> a fréquemment </w:t>
      </w:r>
      <w:r w:rsidR="00172FBE" w:rsidRPr="004301A8">
        <w:rPr>
          <w:kern w:val="22"/>
          <w:szCs w:val="22"/>
          <w:lang w:val="fr-FR"/>
        </w:rPr>
        <w:t xml:space="preserve"> </w:t>
      </w:r>
      <w:r w:rsidRPr="004301A8">
        <w:rPr>
          <w:kern w:val="22"/>
          <w:szCs w:val="22"/>
          <w:lang w:val="fr-FR"/>
        </w:rPr>
        <w:t xml:space="preserve">demandé aux </w:t>
      </w:r>
      <w:r w:rsidR="007F3FB5" w:rsidRPr="004301A8">
        <w:rPr>
          <w:kern w:val="22"/>
          <w:szCs w:val="22"/>
          <w:lang w:val="fr-FR"/>
        </w:rPr>
        <w:t xml:space="preserve">Parties </w:t>
      </w:r>
      <w:r w:rsidRPr="004301A8">
        <w:rPr>
          <w:kern w:val="22"/>
          <w:szCs w:val="22"/>
          <w:lang w:val="fr-FR"/>
        </w:rPr>
        <w:t>de p</w:t>
      </w:r>
      <w:r>
        <w:rPr>
          <w:kern w:val="22"/>
          <w:szCs w:val="22"/>
          <w:lang w:val="fr-FR"/>
        </w:rPr>
        <w:t>romouvoir la</w:t>
      </w:r>
      <w:r w:rsidR="007F3FB5" w:rsidRPr="004301A8">
        <w:rPr>
          <w:kern w:val="22"/>
          <w:szCs w:val="22"/>
          <w:lang w:val="fr-FR"/>
        </w:rPr>
        <w:t xml:space="preserve"> coordination </w:t>
      </w:r>
      <w:r>
        <w:rPr>
          <w:kern w:val="22"/>
          <w:szCs w:val="22"/>
          <w:lang w:val="fr-FR"/>
        </w:rPr>
        <w:t>entre les correspondants nationaux pour la</w:t>
      </w:r>
      <w:r w:rsidR="00172FBE" w:rsidRPr="004301A8">
        <w:rPr>
          <w:kern w:val="22"/>
          <w:szCs w:val="22"/>
          <w:lang w:val="fr-FR"/>
        </w:rPr>
        <w:t xml:space="preserve"> Convention </w:t>
      </w:r>
      <w:r>
        <w:rPr>
          <w:kern w:val="22"/>
          <w:szCs w:val="22"/>
          <w:lang w:val="fr-FR"/>
        </w:rPr>
        <w:t xml:space="preserve">sur la diversité biologique et autres </w:t>
      </w:r>
      <w:r w:rsidR="007F3FB5" w:rsidRPr="004301A8">
        <w:rPr>
          <w:kern w:val="22"/>
          <w:szCs w:val="22"/>
          <w:lang w:val="fr-FR"/>
        </w:rPr>
        <w:t>conventions</w:t>
      </w:r>
      <w:r>
        <w:rPr>
          <w:kern w:val="22"/>
          <w:szCs w:val="22"/>
          <w:lang w:val="fr-FR"/>
        </w:rPr>
        <w:t xml:space="preserve"> pertinentes afin d’obtenir des </w:t>
      </w:r>
      <w:r w:rsidR="007F3FB5" w:rsidRPr="004301A8">
        <w:rPr>
          <w:kern w:val="22"/>
          <w:szCs w:val="22"/>
          <w:lang w:val="fr-FR"/>
        </w:rPr>
        <w:t xml:space="preserve">synergies </w:t>
      </w:r>
      <w:r>
        <w:rPr>
          <w:kern w:val="22"/>
          <w:szCs w:val="22"/>
          <w:lang w:val="fr-FR"/>
        </w:rPr>
        <w:t xml:space="preserve">sur des questions communes et intersectorielles et d’améliorer l’application au niveau national des </w:t>
      </w:r>
      <w:r w:rsidR="007F3FB5" w:rsidRPr="004301A8">
        <w:rPr>
          <w:kern w:val="22"/>
          <w:szCs w:val="22"/>
          <w:lang w:val="fr-FR"/>
        </w:rPr>
        <w:t xml:space="preserve">conventions </w:t>
      </w:r>
      <w:r>
        <w:rPr>
          <w:kern w:val="22"/>
          <w:szCs w:val="22"/>
          <w:lang w:val="fr-FR"/>
        </w:rPr>
        <w:t>ainsi que les efficacités entre elles</w:t>
      </w:r>
      <w:r w:rsidR="007F3FB5" w:rsidRPr="00883A1C">
        <w:rPr>
          <w:rStyle w:val="Appelnotedebasdep"/>
          <w:kern w:val="22"/>
          <w:sz w:val="22"/>
          <w:szCs w:val="22"/>
          <w:u w:val="none"/>
          <w:vertAlign w:val="superscript"/>
        </w:rPr>
        <w:footnoteReference w:id="17"/>
      </w:r>
      <w:r>
        <w:rPr>
          <w:kern w:val="22"/>
          <w:szCs w:val="22"/>
          <w:lang w:val="fr-FR"/>
        </w:rPr>
        <w:t>.</w:t>
      </w:r>
      <w:r w:rsidR="007F3FB5" w:rsidRPr="004301A8">
        <w:rPr>
          <w:kern w:val="22"/>
          <w:szCs w:val="22"/>
          <w:lang w:val="fr-FR"/>
        </w:rPr>
        <w:t xml:space="preserve"> </w:t>
      </w:r>
      <w:r w:rsidRPr="004301A8">
        <w:rPr>
          <w:kern w:val="22"/>
          <w:szCs w:val="22"/>
          <w:lang w:val="fr-FR"/>
        </w:rPr>
        <w:t>Pourraient être envisagés des mécanismes au niveau i</w:t>
      </w:r>
      <w:r w:rsidR="007F3FB5" w:rsidRPr="004301A8">
        <w:rPr>
          <w:kern w:val="22"/>
          <w:szCs w:val="22"/>
          <w:lang w:val="fr-FR"/>
        </w:rPr>
        <w:t>nternational</w:t>
      </w:r>
      <w:r w:rsidRPr="004301A8">
        <w:rPr>
          <w:kern w:val="22"/>
          <w:szCs w:val="22"/>
          <w:lang w:val="fr-FR"/>
        </w:rPr>
        <w:t xml:space="preserve"> qui fourniraient un appui à la </w:t>
      </w:r>
      <w:r>
        <w:rPr>
          <w:kern w:val="22"/>
          <w:szCs w:val="22"/>
          <w:lang w:val="fr-FR"/>
        </w:rPr>
        <w:t>cré</w:t>
      </w:r>
      <w:r w:rsidRPr="004301A8">
        <w:rPr>
          <w:kern w:val="22"/>
          <w:szCs w:val="22"/>
          <w:lang w:val="fr-FR"/>
        </w:rPr>
        <w:t xml:space="preserve">ation </w:t>
      </w:r>
      <w:r>
        <w:rPr>
          <w:kern w:val="22"/>
          <w:szCs w:val="22"/>
          <w:lang w:val="fr-FR"/>
        </w:rPr>
        <w:t xml:space="preserve">ou au renforcement et à l’exécution de cette coordination nationale et </w:t>
      </w:r>
      <w:r w:rsidR="00BB6059">
        <w:rPr>
          <w:kern w:val="22"/>
          <w:szCs w:val="22"/>
          <w:lang w:val="fr-FR"/>
        </w:rPr>
        <w:t xml:space="preserve">des mécanismes institutionnels pertinents au niveau national, notamment au moyen de l’exécution de mesures principales pertinentes de la feuille de route pour l’amélioration des </w:t>
      </w:r>
      <w:r w:rsidR="007F3FB5" w:rsidRPr="004301A8">
        <w:rPr>
          <w:kern w:val="22"/>
          <w:szCs w:val="22"/>
          <w:lang w:val="fr-FR"/>
        </w:rPr>
        <w:t xml:space="preserve">synergies </w:t>
      </w:r>
      <w:r w:rsidR="00BB6059">
        <w:rPr>
          <w:kern w:val="22"/>
          <w:szCs w:val="22"/>
          <w:lang w:val="fr-FR"/>
        </w:rPr>
        <w:t>entre les</w:t>
      </w:r>
      <w:r w:rsidR="007F3FB5" w:rsidRPr="004301A8">
        <w:rPr>
          <w:kern w:val="22"/>
          <w:szCs w:val="22"/>
          <w:lang w:val="fr-FR"/>
        </w:rPr>
        <w:t xml:space="preserve"> </w:t>
      </w:r>
      <w:r w:rsidR="008B0ED2" w:rsidRPr="004301A8">
        <w:rPr>
          <w:kern w:val="22"/>
          <w:szCs w:val="22"/>
          <w:lang w:val="fr-FR"/>
        </w:rPr>
        <w:t>conventions relatives à la diversité biologique</w:t>
      </w:r>
      <w:r w:rsidR="00BB6059">
        <w:rPr>
          <w:kern w:val="22"/>
          <w:szCs w:val="22"/>
          <w:lang w:val="fr-FR"/>
        </w:rPr>
        <w:t xml:space="preserve"> au niveau</w:t>
      </w:r>
      <w:r w:rsidR="007F3FB5" w:rsidRPr="004301A8">
        <w:rPr>
          <w:kern w:val="22"/>
          <w:szCs w:val="22"/>
          <w:lang w:val="fr-FR"/>
        </w:rPr>
        <w:t xml:space="preserve"> international </w:t>
      </w:r>
      <w:r w:rsidR="00BB6059">
        <w:rPr>
          <w:kern w:val="22"/>
          <w:szCs w:val="22"/>
          <w:lang w:val="fr-FR"/>
        </w:rPr>
        <w:t>(</w:t>
      </w:r>
      <w:r w:rsidR="007F3FB5" w:rsidRPr="004301A8">
        <w:rPr>
          <w:kern w:val="22"/>
          <w:szCs w:val="22"/>
          <w:lang w:val="fr-FR"/>
        </w:rPr>
        <w:t>2017-2020</w:t>
      </w:r>
      <w:r w:rsidR="00BB6059">
        <w:rPr>
          <w:kern w:val="22"/>
          <w:szCs w:val="22"/>
          <w:lang w:val="fr-FR"/>
        </w:rPr>
        <w:t>)</w:t>
      </w:r>
      <w:r w:rsidR="007F3FB5" w:rsidRPr="004301A8">
        <w:rPr>
          <w:kern w:val="22"/>
          <w:szCs w:val="22"/>
          <w:lang w:val="fr-FR"/>
        </w:rPr>
        <w:t>.</w:t>
      </w:r>
    </w:p>
    <w:p w:rsidR="00D15589" w:rsidRPr="00883A1C" w:rsidRDefault="00CA6B87" w:rsidP="00883A1C">
      <w:pPr>
        <w:suppressLineNumbers/>
        <w:suppressAutoHyphens/>
        <w:kinsoku w:val="0"/>
        <w:overflowPunct w:val="0"/>
        <w:autoSpaceDE w:val="0"/>
        <w:autoSpaceDN w:val="0"/>
        <w:adjustRightInd w:val="0"/>
        <w:snapToGrid w:val="0"/>
        <w:spacing w:before="120" w:after="120" w:line="238" w:lineRule="auto"/>
        <w:jc w:val="center"/>
        <w:rPr>
          <w:snapToGrid w:val="0"/>
          <w:kern w:val="22"/>
          <w:szCs w:val="22"/>
        </w:rPr>
      </w:pPr>
      <w:r w:rsidRPr="00883A1C">
        <w:rPr>
          <w:snapToGrid w:val="0"/>
          <w:kern w:val="22"/>
          <w:szCs w:val="22"/>
        </w:rPr>
        <w:t>__________</w:t>
      </w:r>
    </w:p>
    <w:p w:rsidR="00794E11" w:rsidRPr="00883A1C" w:rsidRDefault="00794E11" w:rsidP="00883A1C">
      <w:pPr>
        <w:suppressLineNumbers/>
        <w:suppressAutoHyphens/>
        <w:kinsoku w:val="0"/>
        <w:overflowPunct w:val="0"/>
        <w:autoSpaceDE w:val="0"/>
        <w:autoSpaceDN w:val="0"/>
        <w:adjustRightInd w:val="0"/>
        <w:snapToGrid w:val="0"/>
        <w:spacing w:before="120" w:after="120" w:line="238" w:lineRule="auto"/>
        <w:jc w:val="left"/>
        <w:rPr>
          <w:kern w:val="22"/>
          <w:szCs w:val="22"/>
        </w:rPr>
      </w:pPr>
    </w:p>
    <w:p w:rsidR="0034689D" w:rsidRPr="00883A1C" w:rsidRDefault="0034689D" w:rsidP="00883A1C">
      <w:pPr>
        <w:suppressLineNumbers/>
        <w:tabs>
          <w:tab w:val="left" w:pos="720"/>
        </w:tabs>
        <w:suppressAutoHyphens/>
        <w:kinsoku w:val="0"/>
        <w:overflowPunct w:val="0"/>
        <w:autoSpaceDE w:val="0"/>
        <w:autoSpaceDN w:val="0"/>
        <w:adjustRightInd w:val="0"/>
        <w:snapToGrid w:val="0"/>
        <w:spacing w:line="238" w:lineRule="auto"/>
        <w:rPr>
          <w:kern w:val="22"/>
          <w:szCs w:val="22"/>
        </w:rPr>
      </w:pPr>
    </w:p>
    <w:sectPr w:rsidR="0034689D" w:rsidRPr="00883A1C" w:rsidSect="00CA1572">
      <w:headerReference w:type="even" r:id="rId11"/>
      <w:headerReference w:type="default" r:id="rId12"/>
      <w:footerReference w:type="even" r:id="rId13"/>
      <w:headerReference w:type="first" r:id="rId14"/>
      <w:footerReference w:type="firs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25" w:rsidRDefault="00D33525">
      <w:r>
        <w:separator/>
      </w:r>
    </w:p>
  </w:endnote>
  <w:endnote w:type="continuationSeparator" w:id="0">
    <w:p w:rsidR="00D33525" w:rsidRDefault="00D33525">
      <w:r>
        <w:continuationSeparator/>
      </w:r>
    </w:p>
  </w:endnote>
  <w:endnote w:type="continuationNotice" w:id="1">
    <w:p w:rsidR="00D33525" w:rsidRDefault="00D3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7B" w:rsidRDefault="00600F7B" w:rsidP="00883A1C">
    <w:pPr>
      <w:pStyle w:val="Pieddepage"/>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7B" w:rsidRDefault="00600F7B" w:rsidP="00883A1C">
    <w:pPr>
      <w:pStyle w:val="Pieddepage"/>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25" w:rsidRDefault="00D33525">
      <w:r>
        <w:separator/>
      </w:r>
    </w:p>
  </w:footnote>
  <w:footnote w:type="continuationSeparator" w:id="0">
    <w:p w:rsidR="00D33525" w:rsidRDefault="00D33525">
      <w:r>
        <w:continuationSeparator/>
      </w:r>
    </w:p>
  </w:footnote>
  <w:footnote w:type="continuationNotice" w:id="1">
    <w:p w:rsidR="00D33525" w:rsidRDefault="00D33525"/>
  </w:footnote>
  <w:footnote w:id="2">
    <w:p w:rsidR="00600F7B" w:rsidRPr="006E7F0F"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6E7F0F">
        <w:rPr>
          <w:rStyle w:val="Appelnotedebasdep"/>
          <w:snapToGrid w:val="0"/>
          <w:kern w:val="18"/>
          <w:u w:val="none"/>
          <w:lang w:val="fr-FR"/>
        </w:rPr>
        <w:t>*</w:t>
      </w:r>
      <w:r w:rsidRPr="006E7F0F">
        <w:rPr>
          <w:snapToGrid w:val="0"/>
          <w:kern w:val="18"/>
          <w:lang w:val="fr-FR"/>
        </w:rPr>
        <w:t xml:space="preserve"> </w:t>
      </w:r>
      <w:r w:rsidRPr="005256EE">
        <w:rPr>
          <w:snapToGrid w:val="0"/>
          <w:kern w:val="18"/>
          <w:lang w:val="fr-FR"/>
        </w:rPr>
        <w:t>CBD/</w:t>
      </w:r>
      <w:proofErr w:type="spellStart"/>
      <w:r w:rsidRPr="005256EE">
        <w:rPr>
          <w:snapToGrid w:val="0"/>
          <w:kern w:val="18"/>
          <w:lang w:val="fr-FR"/>
        </w:rPr>
        <w:t>SBI</w:t>
      </w:r>
      <w:proofErr w:type="spellEnd"/>
      <w:r w:rsidRPr="005256EE">
        <w:rPr>
          <w:snapToGrid w:val="0"/>
          <w:kern w:val="18"/>
          <w:lang w:val="fr-FR"/>
        </w:rPr>
        <w:t>/2/1</w:t>
      </w:r>
      <w:r w:rsidRPr="006E7F0F">
        <w:rPr>
          <w:snapToGrid w:val="0"/>
          <w:kern w:val="18"/>
          <w:lang w:val="fr-FR"/>
        </w:rPr>
        <w:t>.</w:t>
      </w:r>
    </w:p>
  </w:footnote>
  <w:footnote w:id="3">
    <w:p w:rsidR="00301304" w:rsidRPr="00FA2B25" w:rsidRDefault="00600F7B" w:rsidP="00301304">
      <w:pPr>
        <w:pStyle w:val="Notedebasdepage"/>
        <w:kinsoku w:val="0"/>
        <w:overflowPunct w:val="0"/>
        <w:autoSpaceDE w:val="0"/>
        <w:autoSpaceDN w:val="0"/>
        <w:adjustRightInd w:val="0"/>
        <w:snapToGrid w:val="0"/>
        <w:ind w:firstLine="0"/>
        <w:jc w:val="left"/>
        <w:rPr>
          <w:snapToGrid w:val="0"/>
          <w:kern w:val="18"/>
          <w:lang w:val="fr-CA"/>
        </w:rPr>
      </w:pPr>
      <w:r w:rsidRPr="00E61273">
        <w:rPr>
          <w:rStyle w:val="Appelnotedebasdep"/>
          <w:snapToGrid w:val="0"/>
          <w:kern w:val="18"/>
          <w:u w:val="none"/>
          <w:vertAlign w:val="superscript"/>
        </w:rPr>
        <w:footnoteRef/>
      </w:r>
      <w:r w:rsidRPr="00302E2E">
        <w:rPr>
          <w:snapToGrid w:val="0"/>
          <w:kern w:val="18"/>
          <w:lang w:val="fr-FR"/>
        </w:rPr>
        <w:t xml:space="preserve"> Voir </w:t>
      </w:r>
      <w:hyperlink r:id="rId1" w:history="1">
        <w:r w:rsidR="00301304" w:rsidRPr="00FA2B25">
          <w:rPr>
            <w:rStyle w:val="Lienhypertexte"/>
            <w:snapToGrid w:val="0"/>
            <w:kern w:val="18"/>
            <w:lang w:val="fr-CA"/>
          </w:rPr>
          <w:t>https://www.ramsar.org/sites/default/files/documents/library/sc53_decisions_f.pdf</w:t>
        </w:r>
      </w:hyperlink>
    </w:p>
    <w:p w:rsidR="00600F7B" w:rsidRPr="00302E2E" w:rsidRDefault="00600F7B" w:rsidP="00877657">
      <w:pPr>
        <w:pStyle w:val="Notedebasdepage"/>
        <w:kinsoku w:val="0"/>
        <w:overflowPunct w:val="0"/>
        <w:autoSpaceDE w:val="0"/>
        <w:autoSpaceDN w:val="0"/>
        <w:adjustRightInd w:val="0"/>
        <w:snapToGrid w:val="0"/>
        <w:ind w:firstLine="0"/>
        <w:jc w:val="left"/>
        <w:rPr>
          <w:snapToGrid w:val="0"/>
          <w:kern w:val="18"/>
          <w:lang w:val="fr-FR"/>
        </w:rPr>
      </w:pPr>
    </w:p>
  </w:footnote>
  <w:footnote w:id="4">
    <w:p w:rsidR="00600F7B" w:rsidRPr="00273A08"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273A08">
        <w:rPr>
          <w:snapToGrid w:val="0"/>
          <w:kern w:val="18"/>
          <w:lang w:val="fr-FR"/>
        </w:rPr>
        <w:t xml:space="preserve"> Programme de travail conjoint CITES-</w:t>
      </w:r>
      <w:proofErr w:type="spellStart"/>
      <w:r w:rsidRPr="00273A08">
        <w:rPr>
          <w:snapToGrid w:val="0"/>
          <w:kern w:val="18"/>
          <w:lang w:val="fr-FR"/>
        </w:rPr>
        <w:t>CMS</w:t>
      </w:r>
      <w:proofErr w:type="spellEnd"/>
      <w:r w:rsidRPr="00273A08">
        <w:rPr>
          <w:snapToGrid w:val="0"/>
          <w:kern w:val="18"/>
          <w:lang w:val="fr-FR"/>
        </w:rPr>
        <w:t xml:space="preserve"> 2015-2020</w:t>
      </w:r>
      <w:r w:rsidR="004F1FAD">
        <w:rPr>
          <w:snapToGrid w:val="0"/>
          <w:kern w:val="18"/>
          <w:lang w:val="fr-FR"/>
        </w:rPr>
        <w:t xml:space="preserve"> </w:t>
      </w:r>
      <w:r w:rsidRPr="00273A08">
        <w:rPr>
          <w:snapToGrid w:val="0"/>
          <w:kern w:val="18"/>
          <w:lang w:val="fr-FR"/>
        </w:rPr>
        <w:t xml:space="preserve">: </w:t>
      </w:r>
      <w:hyperlink r:id="rId2" w:history="1">
        <w:r w:rsidR="00301304" w:rsidRPr="00301304">
          <w:rPr>
            <w:rStyle w:val="Lienhypertexte"/>
            <w:snapToGrid w:val="0"/>
            <w:kern w:val="18"/>
            <w:lang w:val="fr-FR"/>
          </w:rPr>
          <w:t>https://cites.org/sites/default/files/common/disc/sec/CITES-CMS-wp-fr.pdf</w:t>
        </w:r>
      </w:hyperlink>
    </w:p>
  </w:footnote>
  <w:footnote w:id="5">
    <w:p w:rsidR="00600F7B" w:rsidRPr="009D4AD9" w:rsidRDefault="00600F7B" w:rsidP="00883A1C">
      <w:pPr>
        <w:pStyle w:val="Notedebasdepage"/>
        <w:kinsoku w:val="0"/>
        <w:overflowPunct w:val="0"/>
        <w:autoSpaceDE w:val="0"/>
        <w:autoSpaceDN w:val="0"/>
        <w:adjustRightInd w:val="0"/>
        <w:snapToGrid w:val="0"/>
        <w:ind w:firstLine="0"/>
        <w:jc w:val="left"/>
        <w:rPr>
          <w:snapToGrid w:val="0"/>
          <w:kern w:val="18"/>
          <w:lang w:val="fr-CA"/>
        </w:rPr>
      </w:pPr>
      <w:r w:rsidRPr="00883A1C">
        <w:rPr>
          <w:rStyle w:val="Appelnotedebasdep"/>
          <w:snapToGrid w:val="0"/>
          <w:kern w:val="18"/>
          <w:u w:val="none"/>
          <w:vertAlign w:val="superscript"/>
        </w:rPr>
        <w:footnoteRef/>
      </w:r>
      <w:r w:rsidRPr="00A349F7">
        <w:rPr>
          <w:snapToGrid w:val="0"/>
          <w:kern w:val="18"/>
          <w:lang w:val="fr-FR"/>
        </w:rPr>
        <w:t xml:space="preserve"> McInnes R., Ali M. </w:t>
      </w:r>
      <w:r w:rsidR="00A349F7" w:rsidRPr="00A349F7">
        <w:rPr>
          <w:snapToGrid w:val="0"/>
          <w:kern w:val="18"/>
          <w:lang w:val="fr-FR"/>
        </w:rPr>
        <w:t>et</w:t>
      </w:r>
      <w:r w:rsidRPr="00A349F7">
        <w:rPr>
          <w:snapToGrid w:val="0"/>
          <w:kern w:val="18"/>
          <w:lang w:val="fr-FR"/>
        </w:rPr>
        <w:t xml:space="preserve"> Pritchard D. (2017).</w:t>
      </w:r>
      <w:r w:rsidRPr="00A349F7" w:rsidDel="00BD7294">
        <w:rPr>
          <w:snapToGrid w:val="0"/>
          <w:kern w:val="18"/>
          <w:lang w:val="fr-FR"/>
        </w:rPr>
        <w:t xml:space="preserve"> </w:t>
      </w:r>
      <w:hyperlink r:id="rId3" w:history="1">
        <w:proofErr w:type="spellStart"/>
        <w:r w:rsidR="00301304" w:rsidRPr="00FA2B25">
          <w:rPr>
            <w:rStyle w:val="Lienhypertexte"/>
            <w:i/>
            <w:iCs/>
            <w:snapToGrid w:val="0"/>
            <w:kern w:val="18"/>
            <w:lang w:val="fr-CA"/>
          </w:rPr>
          <w:t>Ramsar</w:t>
        </w:r>
        <w:proofErr w:type="spellEnd"/>
        <w:r w:rsidR="00301304" w:rsidRPr="00FA2B25">
          <w:rPr>
            <w:rStyle w:val="Lienhypertexte"/>
            <w:i/>
            <w:iCs/>
            <w:snapToGrid w:val="0"/>
            <w:kern w:val="18"/>
            <w:lang w:val="fr-CA"/>
          </w:rPr>
          <w:t xml:space="preserve"> et Patrimoine Mondial : une coopération durable pour la conservation</w:t>
        </w:r>
      </w:hyperlink>
      <w:r w:rsidR="009D4AD9" w:rsidRPr="00FA2B25">
        <w:rPr>
          <w:snapToGrid w:val="0"/>
          <w:kern w:val="18"/>
          <w:lang w:val="fr-CA"/>
        </w:rPr>
        <w:t>.</w:t>
      </w:r>
      <w:r w:rsidRPr="00FA2B25">
        <w:rPr>
          <w:snapToGrid w:val="0"/>
          <w:kern w:val="18"/>
          <w:lang w:val="fr-CA"/>
        </w:rPr>
        <w:t xml:space="preserve"> </w:t>
      </w:r>
      <w:r w:rsidRPr="009D4AD9">
        <w:rPr>
          <w:snapToGrid w:val="0"/>
          <w:kern w:val="18"/>
          <w:lang w:val="fr-CA"/>
        </w:rPr>
        <w:t xml:space="preserve">Secrétariat de la Convention de </w:t>
      </w:r>
      <w:proofErr w:type="spellStart"/>
      <w:r w:rsidRPr="009D4AD9">
        <w:rPr>
          <w:snapToGrid w:val="0"/>
          <w:kern w:val="18"/>
          <w:lang w:val="fr-CA"/>
        </w:rPr>
        <w:t>Ramsar</w:t>
      </w:r>
      <w:proofErr w:type="spellEnd"/>
      <w:r w:rsidRPr="009D4AD9">
        <w:rPr>
          <w:snapToGrid w:val="0"/>
          <w:kern w:val="18"/>
          <w:lang w:val="fr-CA"/>
        </w:rPr>
        <w:t>.</w:t>
      </w:r>
    </w:p>
  </w:footnote>
  <w:footnote w:id="6">
    <w:p w:rsidR="00600F7B" w:rsidRPr="009D4AD9" w:rsidRDefault="00600F7B" w:rsidP="00883A1C">
      <w:pPr>
        <w:pStyle w:val="Notedebasdepage"/>
        <w:kinsoku w:val="0"/>
        <w:overflowPunct w:val="0"/>
        <w:autoSpaceDE w:val="0"/>
        <w:autoSpaceDN w:val="0"/>
        <w:adjustRightInd w:val="0"/>
        <w:snapToGrid w:val="0"/>
        <w:ind w:firstLine="0"/>
        <w:jc w:val="left"/>
        <w:rPr>
          <w:snapToGrid w:val="0"/>
          <w:kern w:val="18"/>
          <w:lang w:val="fr-CA"/>
        </w:rPr>
      </w:pPr>
      <w:r w:rsidRPr="00883A1C">
        <w:rPr>
          <w:rStyle w:val="Appelnotedebasdep"/>
          <w:snapToGrid w:val="0"/>
          <w:kern w:val="18"/>
          <w:u w:val="none"/>
          <w:vertAlign w:val="superscript"/>
        </w:rPr>
        <w:footnoteRef/>
      </w:r>
      <w:r w:rsidRPr="009D4AD9">
        <w:rPr>
          <w:snapToGrid w:val="0"/>
          <w:kern w:val="18"/>
          <w:lang w:val="fr-CA"/>
        </w:rPr>
        <w:t xml:space="preserve"> </w:t>
      </w:r>
      <w:r w:rsidR="00A349F7" w:rsidRPr="009D4AD9">
        <w:rPr>
          <w:snapToGrid w:val="0"/>
          <w:kern w:val="18"/>
          <w:lang w:val="fr-CA"/>
        </w:rPr>
        <w:t xml:space="preserve">Site Web du </w:t>
      </w:r>
      <w:proofErr w:type="spellStart"/>
      <w:r w:rsidR="00A349F7" w:rsidRPr="009D4AD9">
        <w:rPr>
          <w:snapToGrid w:val="0"/>
          <w:kern w:val="18"/>
          <w:lang w:val="fr-CA"/>
        </w:rPr>
        <w:t>CPM</w:t>
      </w:r>
      <w:proofErr w:type="spellEnd"/>
      <w:r w:rsidR="00A349F7" w:rsidRPr="009D4AD9">
        <w:rPr>
          <w:snapToGrid w:val="0"/>
          <w:kern w:val="18"/>
          <w:lang w:val="fr-CA"/>
        </w:rPr>
        <w:t xml:space="preserve"> </w:t>
      </w:r>
      <w:r w:rsidRPr="009D4AD9">
        <w:rPr>
          <w:snapToGrid w:val="0"/>
          <w:kern w:val="18"/>
          <w:lang w:val="fr-CA"/>
        </w:rPr>
        <w:t xml:space="preserve">: </w:t>
      </w:r>
      <w:r w:rsidR="00A349F7" w:rsidRPr="009D4AD9">
        <w:rPr>
          <w:snapToGrid w:val="0"/>
          <w:kern w:val="18"/>
          <w:lang w:val="fr-CA"/>
        </w:rPr>
        <w:t>http://whc.unesco.org/fr/activities/920</w:t>
      </w:r>
    </w:p>
  </w:footnote>
  <w:footnote w:id="7">
    <w:p w:rsidR="00600F7B" w:rsidRPr="00092F10"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092F10">
        <w:rPr>
          <w:snapToGrid w:val="0"/>
          <w:kern w:val="18"/>
          <w:lang w:val="fr-FR"/>
        </w:rPr>
        <w:t xml:space="preserve"> Voir </w:t>
      </w:r>
      <w:r w:rsidR="00A349F7" w:rsidRPr="009D4AD9">
        <w:rPr>
          <w:snapToGrid w:val="0"/>
          <w:kern w:val="18"/>
          <w:lang w:val="fr-FR"/>
        </w:rPr>
        <w:t>http://whc.unesco.org/fr/</w:t>
      </w:r>
      <w:r w:rsidR="00FA2B25">
        <w:rPr>
          <w:snapToGrid w:val="0"/>
          <w:kern w:val="18"/>
          <w:lang w:val="fr-FR"/>
        </w:rPr>
        <w:t>actualites</w:t>
      </w:r>
      <w:r w:rsidR="00A349F7" w:rsidRPr="009D4AD9">
        <w:rPr>
          <w:snapToGrid w:val="0"/>
          <w:kern w:val="18"/>
          <w:lang w:val="fr-FR"/>
        </w:rPr>
        <w:t>/1550</w:t>
      </w:r>
    </w:p>
  </w:footnote>
  <w:footnote w:id="8">
    <w:p w:rsidR="00600F7B" w:rsidRPr="00F70942"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F70942">
        <w:rPr>
          <w:snapToGrid w:val="0"/>
          <w:kern w:val="18"/>
          <w:lang w:val="fr-FR"/>
        </w:rPr>
        <w:t xml:space="preserve"> Douzième session de la Commission sur les mesures phytosanitaires, Incheon (République de Corée), 5-11 avril 2017 : Rapport </w:t>
      </w:r>
      <w:r>
        <w:rPr>
          <w:snapToGrid w:val="0"/>
          <w:kern w:val="18"/>
          <w:lang w:val="fr-FR"/>
        </w:rPr>
        <w:t>du Secré</w:t>
      </w:r>
      <w:r w:rsidRPr="00F70942">
        <w:rPr>
          <w:snapToGrid w:val="0"/>
          <w:kern w:val="18"/>
          <w:lang w:val="fr-FR"/>
        </w:rPr>
        <w:t xml:space="preserve">tariat </w:t>
      </w:r>
      <w:r>
        <w:rPr>
          <w:snapToGrid w:val="0"/>
          <w:kern w:val="18"/>
          <w:lang w:val="fr-FR"/>
        </w:rPr>
        <w:t>de la</w:t>
      </w:r>
      <w:r w:rsidRPr="00F70942">
        <w:rPr>
          <w:snapToGrid w:val="0"/>
          <w:kern w:val="18"/>
          <w:lang w:val="fr-FR"/>
        </w:rPr>
        <w:t xml:space="preserve"> Convention </w:t>
      </w:r>
      <w:r>
        <w:rPr>
          <w:snapToGrid w:val="0"/>
          <w:kern w:val="18"/>
          <w:lang w:val="fr-FR"/>
        </w:rPr>
        <w:t>sur la diversité biologique</w:t>
      </w:r>
      <w:r w:rsidRPr="00F70942">
        <w:rPr>
          <w:snapToGrid w:val="0"/>
          <w:kern w:val="18"/>
          <w:lang w:val="fr-FR"/>
        </w:rPr>
        <w:t xml:space="preserve"> (CPM 2017/CRP/03); </w:t>
      </w:r>
      <w:r>
        <w:rPr>
          <w:snapToGrid w:val="0"/>
          <w:kern w:val="18"/>
          <w:lang w:val="fr-FR"/>
        </w:rPr>
        <w:t>Coopé</w:t>
      </w:r>
      <w:r w:rsidRPr="00F70942">
        <w:rPr>
          <w:snapToGrid w:val="0"/>
          <w:kern w:val="18"/>
          <w:lang w:val="fr-FR"/>
        </w:rPr>
        <w:t>ration</w:t>
      </w:r>
      <w:r>
        <w:rPr>
          <w:snapToGrid w:val="0"/>
          <w:kern w:val="18"/>
          <w:lang w:val="fr-FR"/>
        </w:rPr>
        <w:t xml:space="preserve"> internationale</w:t>
      </w:r>
      <w:r w:rsidRPr="00F70942">
        <w:rPr>
          <w:snapToGrid w:val="0"/>
          <w:kern w:val="18"/>
          <w:lang w:val="fr-FR"/>
        </w:rPr>
        <w:t xml:space="preserve"> </w:t>
      </w:r>
      <w:r>
        <w:rPr>
          <w:snapToGrid w:val="0"/>
          <w:kern w:val="18"/>
          <w:lang w:val="fr-FR"/>
        </w:rPr>
        <w:t>–</w:t>
      </w:r>
      <w:r w:rsidRPr="00F70942">
        <w:rPr>
          <w:snapToGrid w:val="0"/>
          <w:kern w:val="18"/>
          <w:lang w:val="fr-FR"/>
        </w:rPr>
        <w:t xml:space="preserve"> </w:t>
      </w:r>
      <w:r>
        <w:rPr>
          <w:snapToGrid w:val="0"/>
          <w:kern w:val="18"/>
          <w:lang w:val="fr-FR"/>
        </w:rPr>
        <w:t>Coopération du Secrétariat de la CIPV avec les organisations concernées</w:t>
      </w:r>
      <w:r w:rsidRPr="00F70942">
        <w:rPr>
          <w:snapToGrid w:val="0"/>
          <w:kern w:val="18"/>
          <w:lang w:val="fr-FR"/>
        </w:rPr>
        <w:t xml:space="preserve"> (CPM 2017/30). Treizième session de la Commission sur les mesures phytosanitaires, Rome, 16-20 avril 2018 : R</w:t>
      </w:r>
      <w:r>
        <w:rPr>
          <w:snapToGrid w:val="0"/>
          <w:kern w:val="18"/>
          <w:lang w:val="fr-FR"/>
        </w:rPr>
        <w:t>apport du Secrétariat de la</w:t>
      </w:r>
      <w:r w:rsidRPr="00F70942">
        <w:rPr>
          <w:snapToGrid w:val="0"/>
          <w:kern w:val="18"/>
          <w:lang w:val="fr-FR"/>
        </w:rPr>
        <w:t xml:space="preserve"> Convention </w:t>
      </w:r>
      <w:r>
        <w:rPr>
          <w:snapToGrid w:val="0"/>
          <w:kern w:val="18"/>
          <w:lang w:val="fr-FR"/>
        </w:rPr>
        <w:t>sur la diversité biologique (CPM 2018/CRP/09); Rap</w:t>
      </w:r>
      <w:r w:rsidRPr="00F70942">
        <w:rPr>
          <w:snapToGrid w:val="0"/>
          <w:kern w:val="18"/>
          <w:lang w:val="fr-FR"/>
        </w:rPr>
        <w:t xml:space="preserve">port </w:t>
      </w:r>
      <w:r>
        <w:rPr>
          <w:snapToGrid w:val="0"/>
          <w:kern w:val="18"/>
          <w:lang w:val="fr-FR"/>
        </w:rPr>
        <w:t>du Secrétariat de la CIPV - Rap</w:t>
      </w:r>
      <w:r w:rsidRPr="00F70942">
        <w:rPr>
          <w:snapToGrid w:val="0"/>
          <w:kern w:val="18"/>
          <w:lang w:val="fr-FR"/>
        </w:rPr>
        <w:t xml:space="preserve">port </w:t>
      </w:r>
      <w:r>
        <w:rPr>
          <w:snapToGrid w:val="0"/>
          <w:kern w:val="18"/>
          <w:lang w:val="fr-FR"/>
        </w:rPr>
        <w:t>sur la coopération i</w:t>
      </w:r>
      <w:r w:rsidRPr="00F70942">
        <w:rPr>
          <w:snapToGrid w:val="0"/>
          <w:kern w:val="18"/>
          <w:lang w:val="fr-FR"/>
        </w:rPr>
        <w:t>nternational</w:t>
      </w:r>
      <w:r>
        <w:rPr>
          <w:snapToGrid w:val="0"/>
          <w:kern w:val="18"/>
          <w:lang w:val="fr-FR"/>
        </w:rPr>
        <w:t>e</w:t>
      </w:r>
      <w:r w:rsidRPr="00F70942">
        <w:rPr>
          <w:snapToGrid w:val="0"/>
          <w:kern w:val="18"/>
          <w:lang w:val="fr-FR"/>
        </w:rPr>
        <w:t xml:space="preserve"> (CPM 2018/31).</w:t>
      </w:r>
    </w:p>
  </w:footnote>
  <w:footnote w:id="9">
    <w:p w:rsidR="00600F7B" w:rsidRPr="00883A1C" w:rsidRDefault="00600F7B" w:rsidP="00883A1C">
      <w:pPr>
        <w:pStyle w:val="Notedebasdepage"/>
        <w:kinsoku w:val="0"/>
        <w:overflowPunct w:val="0"/>
        <w:autoSpaceDE w:val="0"/>
        <w:autoSpaceDN w:val="0"/>
        <w:adjustRightInd w:val="0"/>
        <w:snapToGrid w:val="0"/>
        <w:ind w:firstLine="0"/>
        <w:jc w:val="left"/>
        <w:rPr>
          <w:snapToGrid w:val="0"/>
          <w:kern w:val="18"/>
        </w:rPr>
      </w:pPr>
      <w:r w:rsidRPr="00883A1C">
        <w:rPr>
          <w:rStyle w:val="Appelnotedebasdep"/>
          <w:snapToGrid w:val="0"/>
          <w:kern w:val="18"/>
          <w:u w:val="none"/>
          <w:vertAlign w:val="superscript"/>
        </w:rPr>
        <w:footnoteRef/>
      </w:r>
      <w:r w:rsidRPr="00883A1C">
        <w:rPr>
          <w:snapToGrid w:val="0"/>
          <w:kern w:val="18"/>
        </w:rPr>
        <w:t xml:space="preserve"> IT/GB-7/17/19 (</w:t>
      </w:r>
      <w:hyperlink r:id="rId4" w:history="1">
        <w:r w:rsidR="00FA2B25" w:rsidRPr="00FA2B25">
          <w:rPr>
            <w:rStyle w:val="Lienhypertexte"/>
            <w:snapToGrid w:val="0"/>
            <w:kern w:val="18"/>
          </w:rPr>
          <w:t>http://www.fao.org/3/a-mu388f.pdf</w:t>
        </w:r>
      </w:hyperlink>
      <w:bookmarkStart w:id="2" w:name="_GoBack"/>
      <w:bookmarkEnd w:id="2"/>
      <w:r w:rsidR="009D4AD9">
        <w:rPr>
          <w:snapToGrid w:val="0"/>
          <w:kern w:val="18"/>
        </w:rPr>
        <w:t>).</w:t>
      </w:r>
    </w:p>
  </w:footnote>
  <w:footnote w:id="10">
    <w:p w:rsidR="00600F7B" w:rsidRPr="00883A1C" w:rsidRDefault="00600F7B" w:rsidP="00883A1C">
      <w:pPr>
        <w:pStyle w:val="Notedebasdepage"/>
        <w:kinsoku w:val="0"/>
        <w:overflowPunct w:val="0"/>
        <w:autoSpaceDE w:val="0"/>
        <w:autoSpaceDN w:val="0"/>
        <w:adjustRightInd w:val="0"/>
        <w:snapToGrid w:val="0"/>
        <w:ind w:firstLine="0"/>
        <w:jc w:val="left"/>
        <w:rPr>
          <w:snapToGrid w:val="0"/>
          <w:kern w:val="18"/>
        </w:rPr>
      </w:pPr>
      <w:r w:rsidRPr="00883A1C">
        <w:rPr>
          <w:rStyle w:val="Appelnotedebasdep"/>
          <w:snapToGrid w:val="0"/>
          <w:kern w:val="18"/>
          <w:u w:val="none"/>
          <w:vertAlign w:val="superscript"/>
        </w:rPr>
        <w:footnoteRef/>
      </w:r>
      <w:r w:rsidRPr="00883A1C">
        <w:rPr>
          <w:snapToGrid w:val="0"/>
          <w:kern w:val="18"/>
        </w:rPr>
        <w:t xml:space="preserve"> IT/GB-7/17/Inf.14 (</w:t>
      </w:r>
      <w:r w:rsidRPr="009D4AD9">
        <w:rPr>
          <w:snapToGrid w:val="0"/>
          <w:kern w:val="18"/>
        </w:rPr>
        <w:t>http://www.fao.org/3/a-bs781e.pdf</w:t>
      </w:r>
      <w:r w:rsidRPr="00883A1C">
        <w:rPr>
          <w:snapToGrid w:val="0"/>
          <w:kern w:val="18"/>
        </w:rPr>
        <w:t>).</w:t>
      </w:r>
    </w:p>
  </w:footnote>
  <w:footnote w:id="11">
    <w:p w:rsidR="00600F7B" w:rsidRPr="00B8736D"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B8736D">
        <w:rPr>
          <w:snapToGrid w:val="0"/>
          <w:kern w:val="18"/>
          <w:lang w:val="fr-FR"/>
        </w:rPr>
        <w:t xml:space="preserve"> </w:t>
      </w:r>
      <w:r w:rsidRPr="00B8736D">
        <w:rPr>
          <w:snapToGrid w:val="0"/>
          <w:spacing w:val="-2"/>
          <w:kern w:val="18"/>
          <w:lang w:val="fr-FR"/>
        </w:rPr>
        <w:t>Notification 2017-081</w:t>
      </w:r>
      <w:r w:rsidRPr="00B8736D">
        <w:rPr>
          <w:snapToGrid w:val="0"/>
          <w:spacing w:val="-2"/>
          <w:kern w:val="18"/>
          <w:szCs w:val="22"/>
          <w:lang w:val="fr-FR"/>
        </w:rPr>
        <w:t>, 28 août 2017,</w:t>
      </w:r>
      <w:r w:rsidRPr="00B8736D">
        <w:rPr>
          <w:snapToGrid w:val="0"/>
          <w:spacing w:val="-2"/>
          <w:kern w:val="18"/>
          <w:lang w:val="fr-FR"/>
        </w:rPr>
        <w:t xml:space="preserve"> disponible à : </w:t>
      </w:r>
      <w:r w:rsidRPr="009D4AD9">
        <w:rPr>
          <w:snapToGrid w:val="0"/>
          <w:spacing w:val="-2"/>
          <w:kern w:val="18"/>
          <w:lang w:val="fr-FR"/>
        </w:rPr>
        <w:t>https://www.cbd.int/doc/notifications/2017/ntf-2017-081-cooperation-en.pdf</w:t>
      </w:r>
    </w:p>
  </w:footnote>
  <w:footnote w:id="12">
    <w:p w:rsidR="00600F7B" w:rsidRPr="00B8736D"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B8736D">
        <w:rPr>
          <w:rStyle w:val="Appelnotedebasdep"/>
          <w:snapToGrid w:val="0"/>
          <w:kern w:val="18"/>
          <w:u w:val="none"/>
          <w:vertAlign w:val="superscript"/>
          <w:lang w:val="fr-FR"/>
        </w:rPr>
        <w:t xml:space="preserve"> </w:t>
      </w:r>
      <w:r w:rsidRPr="00B8736D">
        <w:rPr>
          <w:snapToGrid w:val="0"/>
          <w:kern w:val="18"/>
          <w:lang w:val="fr-FR"/>
        </w:rPr>
        <w:t xml:space="preserve">Notification 2017-114 disponible à : </w:t>
      </w:r>
      <w:r w:rsidRPr="009D4AD9">
        <w:rPr>
          <w:snapToGrid w:val="0"/>
          <w:kern w:val="18"/>
          <w:lang w:val="fr-FR"/>
        </w:rPr>
        <w:t>https://www.cbd.int/doc/notifications/2017/ntf-2017-114-iag-en.pdf</w:t>
      </w:r>
    </w:p>
  </w:footnote>
  <w:footnote w:id="13">
    <w:p w:rsidR="00600F7B" w:rsidRPr="00B90ED6"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B90ED6">
        <w:rPr>
          <w:snapToGrid w:val="0"/>
          <w:kern w:val="18"/>
          <w:lang w:val="fr-FR"/>
        </w:rPr>
        <w:t xml:space="preserve"> </w:t>
      </w:r>
      <w:r w:rsidRPr="00B90ED6">
        <w:rPr>
          <w:snapToGrid w:val="0"/>
          <w:color w:val="000000" w:themeColor="text1"/>
          <w:kern w:val="18"/>
          <w:szCs w:val="18"/>
          <w:lang w:val="fr-FR"/>
        </w:rPr>
        <w:t>CBD/SBI/2/INF/14.</w:t>
      </w:r>
    </w:p>
  </w:footnote>
  <w:footnote w:id="14">
    <w:p w:rsidR="00600F7B" w:rsidRPr="008751E6"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8751E6">
        <w:rPr>
          <w:snapToGrid w:val="0"/>
          <w:kern w:val="18"/>
          <w:lang w:val="fr-FR"/>
        </w:rPr>
        <w:t xml:space="preserve"> Activité 2.1 de la feuille de route</w:t>
      </w:r>
      <w:r w:rsidRPr="008751E6">
        <w:rPr>
          <w:bCs/>
          <w:snapToGrid w:val="0"/>
          <w:kern w:val="18"/>
          <w:lang w:val="fr-FR"/>
        </w:rPr>
        <w:t>.</w:t>
      </w:r>
    </w:p>
  </w:footnote>
  <w:footnote w:id="15">
    <w:p w:rsidR="00600F7B" w:rsidRPr="0047527A"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47527A">
        <w:rPr>
          <w:snapToGrid w:val="0"/>
          <w:kern w:val="18"/>
          <w:lang w:val="fr-FR"/>
        </w:rPr>
        <w:t xml:space="preserve"> Décision VIII/16, paragraphe</w:t>
      </w:r>
      <w:r>
        <w:rPr>
          <w:snapToGrid w:val="0"/>
          <w:kern w:val="18"/>
          <w:lang w:val="fr-FR"/>
        </w:rPr>
        <w:t xml:space="preserve"> 1; dé</w:t>
      </w:r>
      <w:r w:rsidRPr="0047527A">
        <w:rPr>
          <w:snapToGrid w:val="0"/>
          <w:kern w:val="18"/>
          <w:lang w:val="fr-FR"/>
        </w:rPr>
        <w:t>cision IX/27, paragraphe 12.</w:t>
      </w:r>
    </w:p>
  </w:footnote>
  <w:footnote w:id="16">
    <w:p w:rsidR="00600F7B" w:rsidRPr="00BB6059"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sidRPr="00BB6059">
        <w:rPr>
          <w:snapToGrid w:val="0"/>
          <w:kern w:val="18"/>
          <w:lang w:val="fr-FR"/>
        </w:rPr>
        <w:t xml:space="preserve"> Par exemple, création d’un comité informel conjoint des conventions, pour jouer un rôle consultatif, qui s’inspirerait de l’expérience acquise au m</w:t>
      </w:r>
      <w:r>
        <w:rPr>
          <w:snapToGrid w:val="0"/>
          <w:kern w:val="18"/>
          <w:lang w:val="fr-FR"/>
        </w:rPr>
        <w:t>o</w:t>
      </w:r>
      <w:r w:rsidRPr="00BB6059">
        <w:rPr>
          <w:snapToGrid w:val="0"/>
          <w:kern w:val="18"/>
          <w:lang w:val="fr-FR"/>
        </w:rPr>
        <w:t>yen d’un atelier</w:t>
      </w:r>
      <w:r>
        <w:rPr>
          <w:snapToGrid w:val="0"/>
          <w:kern w:val="18"/>
          <w:lang w:val="fr-FR"/>
        </w:rPr>
        <w:t xml:space="preserve"> organisé en</w:t>
      </w:r>
      <w:r w:rsidRPr="00BB6059">
        <w:rPr>
          <w:snapToGrid w:val="0"/>
          <w:kern w:val="18"/>
          <w:lang w:val="fr-FR"/>
        </w:rPr>
        <w:t xml:space="preserve"> 2016 </w:t>
      </w:r>
      <w:r>
        <w:rPr>
          <w:snapToGrid w:val="0"/>
          <w:kern w:val="18"/>
          <w:lang w:val="fr-FR"/>
        </w:rPr>
        <w:t>en réponse à la dé</w:t>
      </w:r>
      <w:r w:rsidRPr="00BB6059">
        <w:rPr>
          <w:snapToGrid w:val="0"/>
          <w:kern w:val="18"/>
          <w:lang w:val="fr-FR"/>
        </w:rPr>
        <w:t xml:space="preserve">cision XII/6, </w:t>
      </w:r>
      <w:r>
        <w:rPr>
          <w:snapToGrid w:val="0"/>
          <w:kern w:val="18"/>
          <w:lang w:val="fr-FR"/>
        </w:rPr>
        <w:t xml:space="preserve">laquelle convoquait la représentation des </w:t>
      </w:r>
      <w:r w:rsidRPr="00BB6059">
        <w:rPr>
          <w:snapToGrid w:val="0"/>
          <w:kern w:val="18"/>
          <w:lang w:val="fr-FR"/>
        </w:rPr>
        <w:t xml:space="preserve">Parties </w:t>
      </w:r>
      <w:r>
        <w:rPr>
          <w:snapToGrid w:val="0"/>
          <w:kern w:val="18"/>
          <w:lang w:val="fr-FR"/>
        </w:rPr>
        <w:t xml:space="preserve">à chacune des sept </w:t>
      </w:r>
      <w:r w:rsidRPr="00BB6059">
        <w:rPr>
          <w:snapToGrid w:val="0"/>
          <w:kern w:val="18"/>
          <w:lang w:val="fr-FR"/>
        </w:rPr>
        <w:t>conventions</w:t>
      </w:r>
      <w:r>
        <w:rPr>
          <w:snapToGrid w:val="0"/>
          <w:kern w:val="18"/>
          <w:lang w:val="fr-FR"/>
        </w:rPr>
        <w:t xml:space="preserve"> mondiales</w:t>
      </w:r>
      <w:r w:rsidRPr="00BB6059">
        <w:rPr>
          <w:snapToGrid w:val="0"/>
          <w:kern w:val="18"/>
          <w:lang w:val="fr-FR"/>
        </w:rPr>
        <w:t xml:space="preserve"> relatives à la diversité biologique, </w:t>
      </w:r>
      <w:r>
        <w:rPr>
          <w:snapToGrid w:val="0"/>
          <w:kern w:val="18"/>
          <w:lang w:val="fr-FR"/>
        </w:rPr>
        <w:t>venant de leurs</w:t>
      </w:r>
      <w:r w:rsidRPr="00BB6059">
        <w:rPr>
          <w:snapToGrid w:val="0"/>
          <w:kern w:val="18"/>
          <w:lang w:val="fr-FR"/>
        </w:rPr>
        <w:t xml:space="preserve"> bureaux, </w:t>
      </w:r>
      <w:r>
        <w:rPr>
          <w:snapToGrid w:val="0"/>
          <w:kern w:val="18"/>
          <w:lang w:val="fr-FR"/>
        </w:rPr>
        <w:t>comités permanents ou organes équivalents</w:t>
      </w:r>
      <w:r w:rsidRPr="00BB6059">
        <w:rPr>
          <w:snapToGrid w:val="0"/>
          <w:kern w:val="18"/>
          <w:lang w:val="fr-FR"/>
        </w:rPr>
        <w:t xml:space="preserve"> (UNEP/CBD/COP/13/15).</w:t>
      </w:r>
    </w:p>
  </w:footnote>
  <w:footnote w:id="17">
    <w:p w:rsidR="00600F7B" w:rsidRPr="00BB6059" w:rsidRDefault="00600F7B" w:rsidP="00883A1C">
      <w:pPr>
        <w:pStyle w:val="Notedebasdepage"/>
        <w:kinsoku w:val="0"/>
        <w:overflowPunct w:val="0"/>
        <w:autoSpaceDE w:val="0"/>
        <w:autoSpaceDN w:val="0"/>
        <w:adjustRightInd w:val="0"/>
        <w:snapToGrid w:val="0"/>
        <w:ind w:firstLine="0"/>
        <w:jc w:val="left"/>
        <w:rPr>
          <w:snapToGrid w:val="0"/>
          <w:kern w:val="18"/>
          <w:lang w:val="fr-FR"/>
        </w:rPr>
      </w:pPr>
      <w:r w:rsidRPr="00883A1C">
        <w:rPr>
          <w:rStyle w:val="Appelnotedebasdep"/>
          <w:snapToGrid w:val="0"/>
          <w:kern w:val="18"/>
          <w:u w:val="none"/>
          <w:vertAlign w:val="superscript"/>
        </w:rPr>
        <w:footnoteRef/>
      </w:r>
      <w:r>
        <w:rPr>
          <w:snapToGrid w:val="0"/>
          <w:kern w:val="18"/>
          <w:lang w:val="fr-FR"/>
        </w:rPr>
        <w:t xml:space="preserve"> Dé</w:t>
      </w:r>
      <w:r w:rsidRPr="00BB6059">
        <w:rPr>
          <w:snapToGrid w:val="0"/>
          <w:kern w:val="18"/>
          <w:lang w:val="fr-FR"/>
        </w:rPr>
        <w:t>cision VIII/16, paragraphe 2; décision X/20, paragraphe</w:t>
      </w:r>
      <w:r>
        <w:rPr>
          <w:snapToGrid w:val="0"/>
          <w:kern w:val="18"/>
          <w:lang w:val="fr-FR"/>
        </w:rPr>
        <w:t xml:space="preserve"> 5; dé</w:t>
      </w:r>
      <w:r w:rsidRPr="00BB6059">
        <w:rPr>
          <w:snapToGrid w:val="0"/>
          <w:kern w:val="18"/>
          <w:lang w:val="fr-FR"/>
        </w:rPr>
        <w:t>cision XI/6, para</w:t>
      </w:r>
      <w:r>
        <w:rPr>
          <w:snapToGrid w:val="0"/>
          <w:kern w:val="18"/>
          <w:lang w:val="fr-FR"/>
        </w:rPr>
        <w:t>graphe 10; dé</w:t>
      </w:r>
      <w:r w:rsidRPr="00BB6059">
        <w:rPr>
          <w:snapToGrid w:val="0"/>
          <w:kern w:val="18"/>
          <w:lang w:val="fr-FR"/>
        </w:rPr>
        <w:t>cision XIII/24, para</w:t>
      </w:r>
      <w:r>
        <w:rPr>
          <w:snapToGrid w:val="0"/>
          <w:kern w:val="18"/>
          <w:lang w:val="fr-FR"/>
        </w:rPr>
        <w:t>graphe</w:t>
      </w:r>
      <w:r w:rsidRPr="00BB6059">
        <w:rPr>
          <w:snapToGrid w:val="0"/>
          <w:kern w:val="18"/>
          <w:lang w:val="fr-FR"/>
        </w:rPr>
        <w:t xml:space="preserve"> 11. </w:t>
      </w:r>
      <w:r>
        <w:rPr>
          <w:snapToGrid w:val="0"/>
          <w:kern w:val="18"/>
          <w:lang w:val="fr-FR"/>
        </w:rPr>
        <w:t>Cela a été souligné dans les</w:t>
      </w:r>
      <w:r w:rsidRPr="00BB6059">
        <w:rPr>
          <w:snapToGrid w:val="0"/>
          <w:kern w:val="18"/>
          <w:lang w:val="fr-FR"/>
        </w:rPr>
        <w:t xml:space="preserve"> options pour renforcer les synergies </w:t>
      </w:r>
      <w:r>
        <w:rPr>
          <w:snapToGrid w:val="0"/>
          <w:kern w:val="18"/>
          <w:lang w:val="fr-FR"/>
        </w:rPr>
        <w:t>entre les</w:t>
      </w:r>
      <w:r w:rsidRPr="00BB6059">
        <w:rPr>
          <w:snapToGrid w:val="0"/>
          <w:kern w:val="18"/>
          <w:lang w:val="fr-FR"/>
        </w:rPr>
        <w:t xml:space="preserve"> conventions relatives à la diversité biologique a</w:t>
      </w:r>
      <w:r>
        <w:rPr>
          <w:snapToGrid w:val="0"/>
          <w:kern w:val="18"/>
          <w:lang w:val="fr-FR"/>
        </w:rPr>
        <w:t>u niveau</w:t>
      </w:r>
      <w:r w:rsidRPr="00BB6059">
        <w:rPr>
          <w:snapToGrid w:val="0"/>
          <w:kern w:val="18"/>
          <w:lang w:val="fr-FR"/>
        </w:rPr>
        <w:t xml:space="preserve"> national</w:t>
      </w:r>
      <w:r>
        <w:rPr>
          <w:snapToGrid w:val="0"/>
          <w:kern w:val="18"/>
          <w:lang w:val="fr-FR"/>
        </w:rPr>
        <w:t xml:space="preserve"> que contient l’a</w:t>
      </w:r>
      <w:r w:rsidRPr="00BB6059">
        <w:rPr>
          <w:snapToGrid w:val="0"/>
          <w:kern w:val="18"/>
          <w:lang w:val="fr-FR"/>
        </w:rPr>
        <w:t>nnex</w:t>
      </w:r>
      <w:r>
        <w:rPr>
          <w:snapToGrid w:val="0"/>
          <w:kern w:val="18"/>
          <w:lang w:val="fr-FR"/>
        </w:rPr>
        <w:t>e I de la dé</w:t>
      </w:r>
      <w:r w:rsidRPr="00BB6059">
        <w:rPr>
          <w:snapToGrid w:val="0"/>
          <w:kern w:val="18"/>
          <w:lang w:val="fr-FR"/>
        </w:rPr>
        <w:t>cision XIII/24.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rsidR="00600F7B" w:rsidRPr="008A2A48" w:rsidRDefault="00600F7B" w:rsidP="00883A1C">
        <w:pPr>
          <w:pStyle w:val="En-tte"/>
          <w:tabs>
            <w:tab w:val="clear" w:pos="4320"/>
            <w:tab w:val="clear" w:pos="8640"/>
          </w:tabs>
          <w:kinsoku w:val="0"/>
          <w:overflowPunct w:val="0"/>
          <w:autoSpaceDE w:val="0"/>
          <w:autoSpaceDN w:val="0"/>
          <w:adjustRightInd w:val="0"/>
          <w:snapToGrid w:val="0"/>
          <w:jc w:val="left"/>
          <w:rPr>
            <w:noProof/>
            <w:kern w:val="22"/>
          </w:rPr>
        </w:pPr>
        <w:r w:rsidRPr="008A2A48">
          <w:rPr>
            <w:noProof/>
            <w:kern w:val="22"/>
          </w:rPr>
          <w:t>CBD/SBI/2/10/Add.1</w:t>
        </w:r>
      </w:p>
    </w:sdtContent>
  </w:sdt>
  <w:p w:rsidR="00600F7B" w:rsidRPr="008A2A48" w:rsidRDefault="00600F7B" w:rsidP="00883A1C">
    <w:pPr>
      <w:pStyle w:val="En-tte"/>
      <w:tabs>
        <w:tab w:val="clear" w:pos="4320"/>
        <w:tab w:val="clear" w:pos="8640"/>
      </w:tabs>
      <w:kinsoku w:val="0"/>
      <w:overflowPunct w:val="0"/>
      <w:autoSpaceDE w:val="0"/>
      <w:autoSpaceDN w:val="0"/>
      <w:adjustRightInd w:val="0"/>
      <w:snapToGrid w:val="0"/>
      <w:jc w:val="left"/>
      <w:rPr>
        <w:noProof/>
        <w:kern w:val="22"/>
      </w:rPr>
    </w:pPr>
    <w:r w:rsidRPr="008A2A48">
      <w:rPr>
        <w:noProof/>
        <w:kern w:val="22"/>
      </w:rPr>
      <w:t xml:space="preserve">Page </w:t>
    </w:r>
    <w:r w:rsidRPr="008A2A48">
      <w:rPr>
        <w:noProof/>
        <w:kern w:val="22"/>
      </w:rPr>
      <w:fldChar w:fldCharType="begin"/>
    </w:r>
    <w:r w:rsidRPr="008A2A48">
      <w:rPr>
        <w:noProof/>
        <w:kern w:val="22"/>
      </w:rPr>
      <w:instrText xml:space="preserve"> PAGE   \* MERGEFORMAT </w:instrText>
    </w:r>
    <w:r w:rsidRPr="008A2A48">
      <w:rPr>
        <w:noProof/>
        <w:kern w:val="22"/>
      </w:rPr>
      <w:fldChar w:fldCharType="separate"/>
    </w:r>
    <w:r w:rsidR="008D722D">
      <w:rPr>
        <w:noProof/>
        <w:kern w:val="22"/>
      </w:rPr>
      <w:t>2</w:t>
    </w:r>
    <w:r w:rsidRPr="008A2A48">
      <w:rPr>
        <w:noProof/>
        <w:kern w:val="22"/>
      </w:rPr>
      <w:fldChar w:fldCharType="end"/>
    </w:r>
  </w:p>
  <w:p w:rsidR="00600F7B" w:rsidRPr="00036A2C" w:rsidRDefault="00600F7B" w:rsidP="00883A1C">
    <w:pPr>
      <w:kinsoku w:val="0"/>
      <w:overflowPunct w:val="0"/>
      <w:autoSpaceDE w:val="0"/>
      <w:autoSpaceDN w:val="0"/>
      <w:adjustRightInd w:val="0"/>
      <w:snapToGrid w:val="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600F7B" w:rsidRPr="005440A6" w:rsidRDefault="00600F7B" w:rsidP="00883A1C">
        <w:pPr>
          <w:pStyle w:val="En-tte"/>
          <w:tabs>
            <w:tab w:val="clear" w:pos="4320"/>
            <w:tab w:val="clear" w:pos="8640"/>
          </w:tabs>
          <w:kinsoku w:val="0"/>
          <w:overflowPunct w:val="0"/>
          <w:autoSpaceDE w:val="0"/>
          <w:autoSpaceDN w:val="0"/>
          <w:adjustRightInd w:val="0"/>
          <w:snapToGrid w:val="0"/>
          <w:jc w:val="right"/>
          <w:rPr>
            <w:noProof/>
            <w:kern w:val="22"/>
          </w:rPr>
        </w:pPr>
        <w:r>
          <w:rPr>
            <w:noProof/>
            <w:kern w:val="22"/>
            <w:lang w:val="en-US"/>
          </w:rPr>
          <w:t>CBD/SBI/2/10/Add.1</w:t>
        </w:r>
      </w:p>
    </w:sdtContent>
  </w:sdt>
  <w:p w:rsidR="00600F7B" w:rsidRPr="005440A6" w:rsidRDefault="00600F7B" w:rsidP="00883A1C">
    <w:pPr>
      <w:pStyle w:val="En-tte"/>
      <w:tabs>
        <w:tab w:val="clear" w:pos="4320"/>
        <w:tab w:val="clear" w:pos="8640"/>
      </w:tabs>
      <w:kinsoku w:val="0"/>
      <w:overflowPunct w:val="0"/>
      <w:autoSpaceDE w:val="0"/>
      <w:autoSpaceDN w:val="0"/>
      <w:adjustRightInd w:val="0"/>
      <w:snapToGrid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8D722D">
      <w:rPr>
        <w:noProof/>
        <w:kern w:val="22"/>
      </w:rPr>
      <w:t>13</w:t>
    </w:r>
    <w:r w:rsidRPr="005440A6">
      <w:rPr>
        <w:noProof/>
        <w:kern w:val="22"/>
      </w:rPr>
      <w:fldChar w:fldCharType="end"/>
    </w:r>
  </w:p>
  <w:p w:rsidR="00600F7B" w:rsidRDefault="00600F7B" w:rsidP="00883A1C">
    <w:pPr>
      <w:kinsoku w:val="0"/>
      <w:overflowPunct w:val="0"/>
      <w:autoSpaceDE w:val="0"/>
      <w:autoSpaceDN w:val="0"/>
      <w:adjustRightInd w:val="0"/>
      <w:snapToGrid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7B" w:rsidRDefault="00600F7B" w:rsidP="00883A1C">
    <w:pPr>
      <w:pStyle w:val="En-tte"/>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1DED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2.25pt;height:408.7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EB16A7"/>
    <w:multiLevelType w:val="hybridMultilevel"/>
    <w:tmpl w:val="01B037B6"/>
    <w:lvl w:ilvl="0" w:tplc="08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2E229B"/>
    <w:multiLevelType w:val="hybridMultilevel"/>
    <w:tmpl w:val="A1BAD62E"/>
    <w:lvl w:ilvl="0" w:tplc="CAB40D4C">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E8D7B7F"/>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17AE2"/>
    <w:multiLevelType w:val="hybridMultilevel"/>
    <w:tmpl w:val="49FA716C"/>
    <w:lvl w:ilvl="0" w:tplc="9BD276D6">
      <w:start w:val="1"/>
      <w:numFmt w:val="lowerLetter"/>
      <w:lvlText w:val="%1)"/>
      <w:lvlJc w:val="left"/>
      <w:pPr>
        <w:ind w:left="1374" w:hanging="360"/>
      </w:pPr>
      <w:rPr>
        <w:rFonts w:hint="default"/>
      </w:rPr>
    </w:lvl>
    <w:lvl w:ilvl="1" w:tplc="10090019" w:tentative="1">
      <w:start w:val="1"/>
      <w:numFmt w:val="lowerLetter"/>
      <w:lvlText w:val="%2."/>
      <w:lvlJc w:val="left"/>
      <w:pPr>
        <w:ind w:left="2094" w:hanging="360"/>
      </w:pPr>
    </w:lvl>
    <w:lvl w:ilvl="2" w:tplc="1009001B" w:tentative="1">
      <w:start w:val="1"/>
      <w:numFmt w:val="lowerRoman"/>
      <w:lvlText w:val="%3."/>
      <w:lvlJc w:val="right"/>
      <w:pPr>
        <w:ind w:left="2814" w:hanging="180"/>
      </w:pPr>
    </w:lvl>
    <w:lvl w:ilvl="3" w:tplc="1009000F" w:tentative="1">
      <w:start w:val="1"/>
      <w:numFmt w:val="decimal"/>
      <w:lvlText w:val="%4."/>
      <w:lvlJc w:val="left"/>
      <w:pPr>
        <w:ind w:left="3534" w:hanging="360"/>
      </w:pPr>
    </w:lvl>
    <w:lvl w:ilvl="4" w:tplc="10090019" w:tentative="1">
      <w:start w:val="1"/>
      <w:numFmt w:val="lowerLetter"/>
      <w:lvlText w:val="%5."/>
      <w:lvlJc w:val="left"/>
      <w:pPr>
        <w:ind w:left="4254" w:hanging="360"/>
      </w:pPr>
    </w:lvl>
    <w:lvl w:ilvl="5" w:tplc="1009001B" w:tentative="1">
      <w:start w:val="1"/>
      <w:numFmt w:val="lowerRoman"/>
      <w:lvlText w:val="%6."/>
      <w:lvlJc w:val="right"/>
      <w:pPr>
        <w:ind w:left="4974" w:hanging="180"/>
      </w:pPr>
    </w:lvl>
    <w:lvl w:ilvl="6" w:tplc="1009000F" w:tentative="1">
      <w:start w:val="1"/>
      <w:numFmt w:val="decimal"/>
      <w:lvlText w:val="%7."/>
      <w:lvlJc w:val="left"/>
      <w:pPr>
        <w:ind w:left="5694" w:hanging="360"/>
      </w:pPr>
    </w:lvl>
    <w:lvl w:ilvl="7" w:tplc="10090019" w:tentative="1">
      <w:start w:val="1"/>
      <w:numFmt w:val="lowerLetter"/>
      <w:lvlText w:val="%8."/>
      <w:lvlJc w:val="left"/>
      <w:pPr>
        <w:ind w:left="6414" w:hanging="360"/>
      </w:pPr>
    </w:lvl>
    <w:lvl w:ilvl="8" w:tplc="1009001B" w:tentative="1">
      <w:start w:val="1"/>
      <w:numFmt w:val="lowerRoman"/>
      <w:lvlText w:val="%9."/>
      <w:lvlJc w:val="right"/>
      <w:pPr>
        <w:ind w:left="7134" w:hanging="180"/>
      </w:pPr>
    </w:lvl>
  </w:abstractNum>
  <w:abstractNum w:abstractNumId="10" w15:restartNumberingAfterBreak="0">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28B14839"/>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31962"/>
    <w:multiLevelType w:val="hybridMultilevel"/>
    <w:tmpl w:val="F342AD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D110F9"/>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1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0987444"/>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23" w15:restartNumberingAfterBreak="0">
    <w:nsid w:val="34FE4430"/>
    <w:multiLevelType w:val="hybridMultilevel"/>
    <w:tmpl w:val="542EC2FA"/>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24" w15:restartNumberingAfterBreak="0">
    <w:nsid w:val="35AB2191"/>
    <w:multiLevelType w:val="hybridMultilevel"/>
    <w:tmpl w:val="49FA716C"/>
    <w:lvl w:ilvl="0" w:tplc="9BD276D6">
      <w:start w:val="1"/>
      <w:numFmt w:val="lowerLetter"/>
      <w:lvlText w:val="%1)"/>
      <w:lvlJc w:val="left"/>
      <w:pPr>
        <w:ind w:left="1374" w:hanging="360"/>
      </w:pPr>
      <w:rPr>
        <w:rFonts w:hint="default"/>
      </w:rPr>
    </w:lvl>
    <w:lvl w:ilvl="1" w:tplc="10090019" w:tentative="1">
      <w:start w:val="1"/>
      <w:numFmt w:val="lowerLetter"/>
      <w:lvlText w:val="%2."/>
      <w:lvlJc w:val="left"/>
      <w:pPr>
        <w:ind w:left="2094" w:hanging="360"/>
      </w:pPr>
    </w:lvl>
    <w:lvl w:ilvl="2" w:tplc="1009001B" w:tentative="1">
      <w:start w:val="1"/>
      <w:numFmt w:val="lowerRoman"/>
      <w:lvlText w:val="%3."/>
      <w:lvlJc w:val="right"/>
      <w:pPr>
        <w:ind w:left="2814" w:hanging="180"/>
      </w:pPr>
    </w:lvl>
    <w:lvl w:ilvl="3" w:tplc="1009000F" w:tentative="1">
      <w:start w:val="1"/>
      <w:numFmt w:val="decimal"/>
      <w:lvlText w:val="%4."/>
      <w:lvlJc w:val="left"/>
      <w:pPr>
        <w:ind w:left="3534" w:hanging="360"/>
      </w:pPr>
    </w:lvl>
    <w:lvl w:ilvl="4" w:tplc="10090019" w:tentative="1">
      <w:start w:val="1"/>
      <w:numFmt w:val="lowerLetter"/>
      <w:lvlText w:val="%5."/>
      <w:lvlJc w:val="left"/>
      <w:pPr>
        <w:ind w:left="4254" w:hanging="360"/>
      </w:pPr>
    </w:lvl>
    <w:lvl w:ilvl="5" w:tplc="1009001B" w:tentative="1">
      <w:start w:val="1"/>
      <w:numFmt w:val="lowerRoman"/>
      <w:lvlText w:val="%6."/>
      <w:lvlJc w:val="right"/>
      <w:pPr>
        <w:ind w:left="4974" w:hanging="180"/>
      </w:pPr>
    </w:lvl>
    <w:lvl w:ilvl="6" w:tplc="1009000F" w:tentative="1">
      <w:start w:val="1"/>
      <w:numFmt w:val="decimal"/>
      <w:lvlText w:val="%7."/>
      <w:lvlJc w:val="left"/>
      <w:pPr>
        <w:ind w:left="5694" w:hanging="360"/>
      </w:pPr>
    </w:lvl>
    <w:lvl w:ilvl="7" w:tplc="10090019" w:tentative="1">
      <w:start w:val="1"/>
      <w:numFmt w:val="lowerLetter"/>
      <w:lvlText w:val="%8."/>
      <w:lvlJc w:val="left"/>
      <w:pPr>
        <w:ind w:left="6414" w:hanging="360"/>
      </w:pPr>
    </w:lvl>
    <w:lvl w:ilvl="8" w:tplc="1009001B" w:tentative="1">
      <w:start w:val="1"/>
      <w:numFmt w:val="lowerRoman"/>
      <w:lvlText w:val="%9."/>
      <w:lvlJc w:val="right"/>
      <w:pPr>
        <w:ind w:left="7134" w:hanging="180"/>
      </w:pPr>
    </w:lvl>
  </w:abstractNum>
  <w:abstractNum w:abstractNumId="25" w15:restartNumberingAfterBreak="0">
    <w:nsid w:val="375C7577"/>
    <w:multiLevelType w:val="hybridMultilevel"/>
    <w:tmpl w:val="64EAC7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5D7A99"/>
    <w:multiLevelType w:val="multilevel"/>
    <w:tmpl w:val="5EC0814A"/>
    <w:lvl w:ilvl="0">
      <w:start w:val="1"/>
      <w:numFmt w:val="lowerLetter"/>
      <w:lvlText w:val="%1)"/>
      <w:lvlJc w:val="left"/>
      <w:pPr>
        <w:tabs>
          <w:tab w:val="num" w:pos="1080"/>
        </w:tabs>
        <w:ind w:left="720" w:firstLine="0"/>
      </w:pPr>
      <w:rPr>
        <w:rFonts w:ascii="Times New Roman" w:eastAsia="Times New Roman" w:hAnsi="Times New Roman" w:cs="Times New Roman"/>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388E6B29"/>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2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3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833650"/>
    <w:multiLevelType w:val="hybridMultilevel"/>
    <w:tmpl w:val="CFC2E4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4B6D66A8"/>
    <w:multiLevelType w:val="hybridMultilevel"/>
    <w:tmpl w:val="C794350E"/>
    <w:lvl w:ilvl="0" w:tplc="E74028C6">
      <w:start w:val="1"/>
      <w:numFmt w:val="decimal"/>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0442B4"/>
    <w:multiLevelType w:val="multilevel"/>
    <w:tmpl w:val="BB1E1896"/>
    <w:lvl w:ilvl="0">
      <w:start w:val="1"/>
      <w:numFmt w:val="decimal"/>
      <w:pStyle w:val="Para1"/>
      <w:lvlText w:val="%1."/>
      <w:lvlJc w:val="left"/>
      <w:pPr>
        <w:tabs>
          <w:tab w:val="num" w:pos="72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8E646C"/>
    <w:multiLevelType w:val="multilevel"/>
    <w:tmpl w:val="0182508C"/>
    <w:lvl w:ilvl="0">
      <w:start w:val="1"/>
      <w:numFmt w:val="decimal"/>
      <w:lvlText w:val="%1."/>
      <w:lvlJc w:val="left"/>
      <w:pPr>
        <w:tabs>
          <w:tab w:val="num" w:pos="72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ascii="Times New Roman" w:eastAsia="Times New Roman" w:hAnsi="Times New Roman" w:cs="Times New Roman"/>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B1C1616"/>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C3B1385"/>
    <w:multiLevelType w:val="hybridMultilevel"/>
    <w:tmpl w:val="34C25D3C"/>
    <w:lvl w:ilvl="0" w:tplc="10090017">
      <w:start w:val="1"/>
      <w:numFmt w:val="lowerLetter"/>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7">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4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EA118F9"/>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0747D10"/>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874089"/>
    <w:multiLevelType w:val="hybridMultilevel"/>
    <w:tmpl w:val="048E3084"/>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7C6E6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C36F5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355956"/>
    <w:multiLevelType w:val="hybridMultilevel"/>
    <w:tmpl w:val="1D1C2626"/>
    <w:lvl w:ilvl="0" w:tplc="10090017">
      <w:start w:val="1"/>
      <w:numFmt w:val="lowerLetter"/>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2" w15:restartNumberingAfterBreak="0">
    <w:nsid w:val="6F60025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3583F81"/>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7"/>
  </w:num>
  <w:num w:numId="4">
    <w:abstractNumId w:val="53"/>
  </w:num>
  <w:num w:numId="5">
    <w:abstractNumId w:val="21"/>
  </w:num>
  <w:num w:numId="6">
    <w:abstractNumId w:val="36"/>
  </w:num>
  <w:num w:numId="7">
    <w:abstractNumId w:val="30"/>
  </w:num>
  <w:num w:numId="8">
    <w:abstractNumId w:val="28"/>
  </w:num>
  <w:num w:numId="9">
    <w:abstractNumId w:val="36"/>
  </w:num>
  <w:num w:numId="10">
    <w:abstractNumId w:val="33"/>
  </w:num>
  <w:num w:numId="11">
    <w:abstractNumId w:val="29"/>
  </w:num>
  <w:num w:numId="12">
    <w:abstractNumId w:val="13"/>
  </w:num>
  <w:num w:numId="13">
    <w:abstractNumId w:val="32"/>
  </w:num>
  <w:num w:numId="14">
    <w:abstractNumId w:val="2"/>
  </w:num>
  <w:num w:numId="15">
    <w:abstractNumId w:val="55"/>
  </w:num>
  <w:num w:numId="16">
    <w:abstractNumId w:val="40"/>
  </w:num>
  <w:num w:numId="17">
    <w:abstractNumId w:val="12"/>
  </w:num>
  <w:num w:numId="18">
    <w:abstractNumId w:val="36"/>
    <w:lvlOverride w:ilvl="0">
      <w:startOverride w:val="1"/>
    </w:lvlOverride>
    <w:lvlOverride w:ilvl="1">
      <w:startOverride w:val="1"/>
    </w:lvlOverride>
    <w:lvlOverride w:ilvl="2">
      <w:startOverride w:val="2"/>
    </w:lvlOverride>
  </w:num>
  <w:num w:numId="19">
    <w:abstractNumId w:val="36"/>
    <w:lvlOverride w:ilvl="0">
      <w:startOverride w:val="1"/>
    </w:lvlOverride>
    <w:lvlOverride w:ilvl="1">
      <w:startOverride w:val="1"/>
    </w:lvlOverride>
    <w:lvlOverride w:ilvl="2">
      <w:startOverride w:val="3"/>
    </w:lvlOverride>
  </w:num>
  <w:num w:numId="20">
    <w:abstractNumId w:val="11"/>
  </w:num>
  <w:num w:numId="21">
    <w:abstractNumId w:val="42"/>
  </w:num>
  <w:num w:numId="22">
    <w:abstractNumId w:val="37"/>
  </w:num>
  <w:num w:numId="23">
    <w:abstractNumId w:val="14"/>
  </w:num>
  <w:num w:numId="24">
    <w:abstractNumId w:val="46"/>
  </w:num>
  <w:num w:numId="25">
    <w:abstractNumId w:val="48"/>
  </w:num>
  <w:num w:numId="26">
    <w:abstractNumId w:val="31"/>
  </w:num>
  <w:num w:numId="27">
    <w:abstractNumId w:val="36"/>
  </w:num>
  <w:num w:numId="28">
    <w:abstractNumId w:val="36"/>
  </w:num>
  <w:num w:numId="29">
    <w:abstractNumId w:val="36"/>
  </w:num>
  <w:num w:numId="30">
    <w:abstractNumId w:val="36"/>
  </w:num>
  <w:num w:numId="31">
    <w:abstractNumId w:val="4"/>
  </w:num>
  <w:num w:numId="32">
    <w:abstractNumId w:val="7"/>
  </w:num>
  <w:num w:numId="33">
    <w:abstractNumId w:val="8"/>
  </w:num>
  <w:num w:numId="34">
    <w:abstractNumId w:val="0"/>
  </w:num>
  <w:num w:numId="35">
    <w:abstractNumId w:val="43"/>
  </w:num>
  <w:num w:numId="36">
    <w:abstractNumId w:val="52"/>
  </w:num>
  <w:num w:numId="37">
    <w:abstractNumId w:val="10"/>
  </w:num>
  <w:num w:numId="38">
    <w:abstractNumId w:val="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26"/>
  </w:num>
  <w:num w:numId="43">
    <w:abstractNumId w:val="47"/>
  </w:num>
  <w:num w:numId="44">
    <w:abstractNumId w:val="41"/>
  </w:num>
  <w:num w:numId="45">
    <w:abstractNumId w:val="27"/>
  </w:num>
  <w:num w:numId="46">
    <w:abstractNumId w:val="18"/>
  </w:num>
  <w:num w:numId="47">
    <w:abstractNumId w:val="22"/>
  </w:num>
  <w:num w:numId="48">
    <w:abstractNumId w:val="23"/>
  </w:num>
  <w:num w:numId="49">
    <w:abstractNumId w:val="24"/>
  </w:num>
  <w:num w:numId="50">
    <w:abstractNumId w:val="9"/>
  </w:num>
  <w:num w:numId="51">
    <w:abstractNumId w:val="45"/>
  </w:num>
  <w:num w:numId="52">
    <w:abstractNumId w:val="6"/>
  </w:num>
  <w:num w:numId="53">
    <w:abstractNumId w:val="44"/>
  </w:num>
  <w:num w:numId="54">
    <w:abstractNumId w:val="39"/>
  </w:num>
  <w:num w:numId="55">
    <w:abstractNumId w:val="16"/>
  </w:num>
  <w:num w:numId="56">
    <w:abstractNumId w:val="25"/>
  </w:num>
  <w:num w:numId="57">
    <w:abstractNumId w:val="51"/>
  </w:num>
  <w:num w:numId="58">
    <w:abstractNumId w:val="36"/>
  </w:num>
  <w:num w:numId="59">
    <w:abstractNumId w:val="35"/>
  </w:num>
  <w:num w:numId="60">
    <w:abstractNumId w:val="15"/>
  </w:num>
  <w:num w:numId="61">
    <w:abstractNumId w:val="49"/>
  </w:num>
  <w:num w:numId="62">
    <w:abstractNumId w:val="50"/>
  </w:num>
  <w:num w:numId="63">
    <w:abstractNumId w:val="1"/>
  </w:num>
  <w:num w:numId="64">
    <w:abstractNumId w:val="38"/>
  </w:num>
  <w:num w:numId="65">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751C"/>
    <w:rsid w:val="000118AF"/>
    <w:rsid w:val="000134A1"/>
    <w:rsid w:val="000135FD"/>
    <w:rsid w:val="00013AAB"/>
    <w:rsid w:val="000219AC"/>
    <w:rsid w:val="00021E0B"/>
    <w:rsid w:val="0002705B"/>
    <w:rsid w:val="00031441"/>
    <w:rsid w:val="00031D24"/>
    <w:rsid w:val="00033ADC"/>
    <w:rsid w:val="00036A2C"/>
    <w:rsid w:val="000376EE"/>
    <w:rsid w:val="00037873"/>
    <w:rsid w:val="00037905"/>
    <w:rsid w:val="0004114D"/>
    <w:rsid w:val="00041574"/>
    <w:rsid w:val="0004205A"/>
    <w:rsid w:val="000512D2"/>
    <w:rsid w:val="000521C8"/>
    <w:rsid w:val="00054381"/>
    <w:rsid w:val="00057708"/>
    <w:rsid w:val="0006136E"/>
    <w:rsid w:val="000656B8"/>
    <w:rsid w:val="00070395"/>
    <w:rsid w:val="000711E1"/>
    <w:rsid w:val="000712A5"/>
    <w:rsid w:val="00072A6A"/>
    <w:rsid w:val="00072AD5"/>
    <w:rsid w:val="000733C7"/>
    <w:rsid w:val="00073708"/>
    <w:rsid w:val="00083934"/>
    <w:rsid w:val="000857E0"/>
    <w:rsid w:val="00087503"/>
    <w:rsid w:val="00092B48"/>
    <w:rsid w:val="00092F10"/>
    <w:rsid w:val="00093EFC"/>
    <w:rsid w:val="000A5034"/>
    <w:rsid w:val="000A6E9F"/>
    <w:rsid w:val="000B7AFA"/>
    <w:rsid w:val="000C2430"/>
    <w:rsid w:val="000C68F9"/>
    <w:rsid w:val="000D052B"/>
    <w:rsid w:val="000D5D5F"/>
    <w:rsid w:val="000E484A"/>
    <w:rsid w:val="000E637D"/>
    <w:rsid w:val="000E696D"/>
    <w:rsid w:val="000E7E6A"/>
    <w:rsid w:val="000F13AD"/>
    <w:rsid w:val="000F63AB"/>
    <w:rsid w:val="000F756F"/>
    <w:rsid w:val="000F7FAC"/>
    <w:rsid w:val="00100A14"/>
    <w:rsid w:val="00105E84"/>
    <w:rsid w:val="001079D6"/>
    <w:rsid w:val="00111E5E"/>
    <w:rsid w:val="00121CC8"/>
    <w:rsid w:val="0012214B"/>
    <w:rsid w:val="00133987"/>
    <w:rsid w:val="00134613"/>
    <w:rsid w:val="0014545D"/>
    <w:rsid w:val="0014672C"/>
    <w:rsid w:val="00164E63"/>
    <w:rsid w:val="00166367"/>
    <w:rsid w:val="00167AD4"/>
    <w:rsid w:val="00170DB3"/>
    <w:rsid w:val="00171E3D"/>
    <w:rsid w:val="00172FBE"/>
    <w:rsid w:val="0017604B"/>
    <w:rsid w:val="00181B6B"/>
    <w:rsid w:val="00186BAC"/>
    <w:rsid w:val="001909D2"/>
    <w:rsid w:val="00190F2A"/>
    <w:rsid w:val="00192E06"/>
    <w:rsid w:val="001931FD"/>
    <w:rsid w:val="001974D7"/>
    <w:rsid w:val="001A201A"/>
    <w:rsid w:val="001A5072"/>
    <w:rsid w:val="001B06BD"/>
    <w:rsid w:val="001B6195"/>
    <w:rsid w:val="001B7AA4"/>
    <w:rsid w:val="001C436E"/>
    <w:rsid w:val="001D1ECB"/>
    <w:rsid w:val="001D6685"/>
    <w:rsid w:val="001D6A2D"/>
    <w:rsid w:val="001E126A"/>
    <w:rsid w:val="001E2741"/>
    <w:rsid w:val="001E4F89"/>
    <w:rsid w:val="001E669D"/>
    <w:rsid w:val="001F51FB"/>
    <w:rsid w:val="001F5236"/>
    <w:rsid w:val="001F6379"/>
    <w:rsid w:val="0020030D"/>
    <w:rsid w:val="00204415"/>
    <w:rsid w:val="00207A6E"/>
    <w:rsid w:val="00210B77"/>
    <w:rsid w:val="00210EB1"/>
    <w:rsid w:val="0021443E"/>
    <w:rsid w:val="002144DE"/>
    <w:rsid w:val="00214ADF"/>
    <w:rsid w:val="00221D21"/>
    <w:rsid w:val="002232AE"/>
    <w:rsid w:val="00224B92"/>
    <w:rsid w:val="00227F3A"/>
    <w:rsid w:val="00232B07"/>
    <w:rsid w:val="002357E1"/>
    <w:rsid w:val="00242651"/>
    <w:rsid w:val="0024514E"/>
    <w:rsid w:val="00252897"/>
    <w:rsid w:val="00256281"/>
    <w:rsid w:val="00257B50"/>
    <w:rsid w:val="00261546"/>
    <w:rsid w:val="00262DBC"/>
    <w:rsid w:val="00273A08"/>
    <w:rsid w:val="00282833"/>
    <w:rsid w:val="002853BD"/>
    <w:rsid w:val="0028568C"/>
    <w:rsid w:val="00294B52"/>
    <w:rsid w:val="00294D4C"/>
    <w:rsid w:val="002A2127"/>
    <w:rsid w:val="002A6D48"/>
    <w:rsid w:val="002B0942"/>
    <w:rsid w:val="002B25C9"/>
    <w:rsid w:val="002B4239"/>
    <w:rsid w:val="002B6BC8"/>
    <w:rsid w:val="002B7C4A"/>
    <w:rsid w:val="002C4BDB"/>
    <w:rsid w:val="002C7CCD"/>
    <w:rsid w:val="002E0627"/>
    <w:rsid w:val="002E1729"/>
    <w:rsid w:val="002E6C7F"/>
    <w:rsid w:val="002E7D5F"/>
    <w:rsid w:val="00300596"/>
    <w:rsid w:val="00301304"/>
    <w:rsid w:val="00302E2E"/>
    <w:rsid w:val="00302EBF"/>
    <w:rsid w:val="00304A01"/>
    <w:rsid w:val="00306EDA"/>
    <w:rsid w:val="00311579"/>
    <w:rsid w:val="0031333B"/>
    <w:rsid w:val="0031482F"/>
    <w:rsid w:val="0031644C"/>
    <w:rsid w:val="003169A5"/>
    <w:rsid w:val="00320297"/>
    <w:rsid w:val="003210FF"/>
    <w:rsid w:val="00321DCF"/>
    <w:rsid w:val="00325DE3"/>
    <w:rsid w:val="00332964"/>
    <w:rsid w:val="00333549"/>
    <w:rsid w:val="0033416E"/>
    <w:rsid w:val="00336766"/>
    <w:rsid w:val="00343CDB"/>
    <w:rsid w:val="003465EF"/>
    <w:rsid w:val="0034689D"/>
    <w:rsid w:val="00355CAE"/>
    <w:rsid w:val="0035643F"/>
    <w:rsid w:val="00372025"/>
    <w:rsid w:val="003760B3"/>
    <w:rsid w:val="00376471"/>
    <w:rsid w:val="00376598"/>
    <w:rsid w:val="00376FC2"/>
    <w:rsid w:val="00380641"/>
    <w:rsid w:val="00391F5D"/>
    <w:rsid w:val="00392381"/>
    <w:rsid w:val="003951E0"/>
    <w:rsid w:val="003A4045"/>
    <w:rsid w:val="003A4178"/>
    <w:rsid w:val="003B10B9"/>
    <w:rsid w:val="003B3FA6"/>
    <w:rsid w:val="003B4C7E"/>
    <w:rsid w:val="003B7EDA"/>
    <w:rsid w:val="003C113F"/>
    <w:rsid w:val="003C541C"/>
    <w:rsid w:val="003C652E"/>
    <w:rsid w:val="003D6B06"/>
    <w:rsid w:val="003E0CF5"/>
    <w:rsid w:val="003E1F1E"/>
    <w:rsid w:val="003E2DAE"/>
    <w:rsid w:val="003E7CFE"/>
    <w:rsid w:val="003F2024"/>
    <w:rsid w:val="003F2FCE"/>
    <w:rsid w:val="003F6E44"/>
    <w:rsid w:val="004003D1"/>
    <w:rsid w:val="0040102B"/>
    <w:rsid w:val="00406BC6"/>
    <w:rsid w:val="004070EA"/>
    <w:rsid w:val="0041087D"/>
    <w:rsid w:val="00414C3D"/>
    <w:rsid w:val="00414F1E"/>
    <w:rsid w:val="0041733E"/>
    <w:rsid w:val="004227D7"/>
    <w:rsid w:val="004239F4"/>
    <w:rsid w:val="00423CD5"/>
    <w:rsid w:val="00427B76"/>
    <w:rsid w:val="004301A8"/>
    <w:rsid w:val="0043205F"/>
    <w:rsid w:val="004347B1"/>
    <w:rsid w:val="004369D2"/>
    <w:rsid w:val="004379F6"/>
    <w:rsid w:val="00440C26"/>
    <w:rsid w:val="0044424E"/>
    <w:rsid w:val="00445DD1"/>
    <w:rsid w:val="004502B6"/>
    <w:rsid w:val="0045488E"/>
    <w:rsid w:val="00455364"/>
    <w:rsid w:val="00455B3B"/>
    <w:rsid w:val="00455E6F"/>
    <w:rsid w:val="0045665D"/>
    <w:rsid w:val="00457E42"/>
    <w:rsid w:val="0046048D"/>
    <w:rsid w:val="004660D1"/>
    <w:rsid w:val="0047527A"/>
    <w:rsid w:val="00476074"/>
    <w:rsid w:val="004805FB"/>
    <w:rsid w:val="004806BF"/>
    <w:rsid w:val="0048291A"/>
    <w:rsid w:val="004918DC"/>
    <w:rsid w:val="00491EA3"/>
    <w:rsid w:val="004A1416"/>
    <w:rsid w:val="004A2933"/>
    <w:rsid w:val="004B0798"/>
    <w:rsid w:val="004B23BC"/>
    <w:rsid w:val="004B3850"/>
    <w:rsid w:val="004B597A"/>
    <w:rsid w:val="004B746F"/>
    <w:rsid w:val="004C2BBE"/>
    <w:rsid w:val="004E1D46"/>
    <w:rsid w:val="004E22FB"/>
    <w:rsid w:val="004E4E83"/>
    <w:rsid w:val="004E5669"/>
    <w:rsid w:val="004E610E"/>
    <w:rsid w:val="004E7AEA"/>
    <w:rsid w:val="004F0105"/>
    <w:rsid w:val="004F1EB8"/>
    <w:rsid w:val="004F1FAD"/>
    <w:rsid w:val="004F2C2B"/>
    <w:rsid w:val="004F34CE"/>
    <w:rsid w:val="004F7114"/>
    <w:rsid w:val="00500530"/>
    <w:rsid w:val="005006DC"/>
    <w:rsid w:val="005032C9"/>
    <w:rsid w:val="005053D8"/>
    <w:rsid w:val="00505ACC"/>
    <w:rsid w:val="00505D07"/>
    <w:rsid w:val="00516C26"/>
    <w:rsid w:val="00516CB8"/>
    <w:rsid w:val="005178AB"/>
    <w:rsid w:val="005256EE"/>
    <w:rsid w:val="00531AF4"/>
    <w:rsid w:val="00543C00"/>
    <w:rsid w:val="005440A6"/>
    <w:rsid w:val="00545FDC"/>
    <w:rsid w:val="00546475"/>
    <w:rsid w:val="00551803"/>
    <w:rsid w:val="0056218C"/>
    <w:rsid w:val="00565357"/>
    <w:rsid w:val="00572279"/>
    <w:rsid w:val="00574EB3"/>
    <w:rsid w:val="005805A0"/>
    <w:rsid w:val="00581AC6"/>
    <w:rsid w:val="005825A3"/>
    <w:rsid w:val="0058437E"/>
    <w:rsid w:val="00585032"/>
    <w:rsid w:val="00591CD9"/>
    <w:rsid w:val="005955D2"/>
    <w:rsid w:val="00596B60"/>
    <w:rsid w:val="005A1701"/>
    <w:rsid w:val="005A4284"/>
    <w:rsid w:val="005B6907"/>
    <w:rsid w:val="005C50CD"/>
    <w:rsid w:val="005C73D5"/>
    <w:rsid w:val="005D139C"/>
    <w:rsid w:val="005E522A"/>
    <w:rsid w:val="005E5829"/>
    <w:rsid w:val="005F17BC"/>
    <w:rsid w:val="005F4284"/>
    <w:rsid w:val="005F4C74"/>
    <w:rsid w:val="00600F7B"/>
    <w:rsid w:val="00602DB5"/>
    <w:rsid w:val="00603B90"/>
    <w:rsid w:val="00604DFF"/>
    <w:rsid w:val="00604FE3"/>
    <w:rsid w:val="00612616"/>
    <w:rsid w:val="0061303E"/>
    <w:rsid w:val="00613485"/>
    <w:rsid w:val="00616A66"/>
    <w:rsid w:val="00616B49"/>
    <w:rsid w:val="006260D5"/>
    <w:rsid w:val="0062697F"/>
    <w:rsid w:val="00632A12"/>
    <w:rsid w:val="006363C8"/>
    <w:rsid w:val="00644242"/>
    <w:rsid w:val="006463D7"/>
    <w:rsid w:val="006507F2"/>
    <w:rsid w:val="00652194"/>
    <w:rsid w:val="0065412B"/>
    <w:rsid w:val="00656127"/>
    <w:rsid w:val="00657C9C"/>
    <w:rsid w:val="00661B2B"/>
    <w:rsid w:val="0066397F"/>
    <w:rsid w:val="00687E19"/>
    <w:rsid w:val="00690847"/>
    <w:rsid w:val="00691E77"/>
    <w:rsid w:val="00692CE0"/>
    <w:rsid w:val="00695BEE"/>
    <w:rsid w:val="00697170"/>
    <w:rsid w:val="006A08E3"/>
    <w:rsid w:val="006A5D5D"/>
    <w:rsid w:val="006B074E"/>
    <w:rsid w:val="006B0D4C"/>
    <w:rsid w:val="006B2BD5"/>
    <w:rsid w:val="006B3095"/>
    <w:rsid w:val="006B3DB0"/>
    <w:rsid w:val="006B59BF"/>
    <w:rsid w:val="006B5FA1"/>
    <w:rsid w:val="006B7DB1"/>
    <w:rsid w:val="006C4EDA"/>
    <w:rsid w:val="006D0E3D"/>
    <w:rsid w:val="006D1026"/>
    <w:rsid w:val="006D184C"/>
    <w:rsid w:val="006E1F94"/>
    <w:rsid w:val="006E76D2"/>
    <w:rsid w:val="006E7F0F"/>
    <w:rsid w:val="006F284C"/>
    <w:rsid w:val="006F3F82"/>
    <w:rsid w:val="006F7227"/>
    <w:rsid w:val="00702366"/>
    <w:rsid w:val="00705D0C"/>
    <w:rsid w:val="00706F41"/>
    <w:rsid w:val="0071092C"/>
    <w:rsid w:val="007114CA"/>
    <w:rsid w:val="00713136"/>
    <w:rsid w:val="00715E54"/>
    <w:rsid w:val="007163BC"/>
    <w:rsid w:val="00716958"/>
    <w:rsid w:val="00717449"/>
    <w:rsid w:val="00727D71"/>
    <w:rsid w:val="00730AE3"/>
    <w:rsid w:val="00732666"/>
    <w:rsid w:val="00732DF8"/>
    <w:rsid w:val="00736BC2"/>
    <w:rsid w:val="00736C10"/>
    <w:rsid w:val="00737695"/>
    <w:rsid w:val="007448E4"/>
    <w:rsid w:val="00746576"/>
    <w:rsid w:val="007470B8"/>
    <w:rsid w:val="00754D46"/>
    <w:rsid w:val="007569D9"/>
    <w:rsid w:val="00757672"/>
    <w:rsid w:val="00761DFB"/>
    <w:rsid w:val="007653F1"/>
    <w:rsid w:val="00773D4E"/>
    <w:rsid w:val="00776BF9"/>
    <w:rsid w:val="007770D1"/>
    <w:rsid w:val="00782D2B"/>
    <w:rsid w:val="00784784"/>
    <w:rsid w:val="0079325E"/>
    <w:rsid w:val="0079373A"/>
    <w:rsid w:val="00794E11"/>
    <w:rsid w:val="00797393"/>
    <w:rsid w:val="007978AF"/>
    <w:rsid w:val="007B1587"/>
    <w:rsid w:val="007B2413"/>
    <w:rsid w:val="007B342D"/>
    <w:rsid w:val="007B4B82"/>
    <w:rsid w:val="007C0289"/>
    <w:rsid w:val="007C5285"/>
    <w:rsid w:val="007C6239"/>
    <w:rsid w:val="007C633B"/>
    <w:rsid w:val="007D3182"/>
    <w:rsid w:val="007D556D"/>
    <w:rsid w:val="007D6336"/>
    <w:rsid w:val="007D6BAB"/>
    <w:rsid w:val="007D6DC1"/>
    <w:rsid w:val="007E0E87"/>
    <w:rsid w:val="007E1150"/>
    <w:rsid w:val="007E352E"/>
    <w:rsid w:val="007E3937"/>
    <w:rsid w:val="007E6EE3"/>
    <w:rsid w:val="007F3FB5"/>
    <w:rsid w:val="007F42DD"/>
    <w:rsid w:val="0081198D"/>
    <w:rsid w:val="00814624"/>
    <w:rsid w:val="00816DCD"/>
    <w:rsid w:val="00823137"/>
    <w:rsid w:val="00824FCA"/>
    <w:rsid w:val="00825524"/>
    <w:rsid w:val="008320DF"/>
    <w:rsid w:val="0083211E"/>
    <w:rsid w:val="00836154"/>
    <w:rsid w:val="008424FB"/>
    <w:rsid w:val="00843BA4"/>
    <w:rsid w:val="00843FF1"/>
    <w:rsid w:val="00855928"/>
    <w:rsid w:val="008611B0"/>
    <w:rsid w:val="008625FA"/>
    <w:rsid w:val="0086433D"/>
    <w:rsid w:val="008667C9"/>
    <w:rsid w:val="00867462"/>
    <w:rsid w:val="00870D40"/>
    <w:rsid w:val="008751E6"/>
    <w:rsid w:val="00877657"/>
    <w:rsid w:val="00882425"/>
    <w:rsid w:val="0088304C"/>
    <w:rsid w:val="00883A1C"/>
    <w:rsid w:val="00884DDF"/>
    <w:rsid w:val="00893BCF"/>
    <w:rsid w:val="00896006"/>
    <w:rsid w:val="008A2A48"/>
    <w:rsid w:val="008A4659"/>
    <w:rsid w:val="008A7969"/>
    <w:rsid w:val="008B0ED2"/>
    <w:rsid w:val="008B78DB"/>
    <w:rsid w:val="008C013C"/>
    <w:rsid w:val="008C1E35"/>
    <w:rsid w:val="008C72B4"/>
    <w:rsid w:val="008D3A32"/>
    <w:rsid w:val="008D471D"/>
    <w:rsid w:val="008D5AA2"/>
    <w:rsid w:val="008D70AA"/>
    <w:rsid w:val="008D722D"/>
    <w:rsid w:val="008E0FD0"/>
    <w:rsid w:val="008E2092"/>
    <w:rsid w:val="008E5F84"/>
    <w:rsid w:val="008E7500"/>
    <w:rsid w:val="008F26E1"/>
    <w:rsid w:val="008F650F"/>
    <w:rsid w:val="008F71F2"/>
    <w:rsid w:val="009020F4"/>
    <w:rsid w:val="00903E6D"/>
    <w:rsid w:val="009051FE"/>
    <w:rsid w:val="009067F8"/>
    <w:rsid w:val="009109A3"/>
    <w:rsid w:val="009115C0"/>
    <w:rsid w:val="009134B0"/>
    <w:rsid w:val="0092022B"/>
    <w:rsid w:val="00922EAD"/>
    <w:rsid w:val="0092794B"/>
    <w:rsid w:val="009405B0"/>
    <w:rsid w:val="00941594"/>
    <w:rsid w:val="0094289E"/>
    <w:rsid w:val="00951750"/>
    <w:rsid w:val="00953856"/>
    <w:rsid w:val="009554D5"/>
    <w:rsid w:val="00964EA0"/>
    <w:rsid w:val="00966D95"/>
    <w:rsid w:val="00973BB0"/>
    <w:rsid w:val="00974ABF"/>
    <w:rsid w:val="00983E36"/>
    <w:rsid w:val="00987F2B"/>
    <w:rsid w:val="009902B9"/>
    <w:rsid w:val="00993755"/>
    <w:rsid w:val="0099377D"/>
    <w:rsid w:val="0099531D"/>
    <w:rsid w:val="0099648B"/>
    <w:rsid w:val="009A5040"/>
    <w:rsid w:val="009A516E"/>
    <w:rsid w:val="009B5BE6"/>
    <w:rsid w:val="009B5E1D"/>
    <w:rsid w:val="009B7CA5"/>
    <w:rsid w:val="009C1B75"/>
    <w:rsid w:val="009C5F0E"/>
    <w:rsid w:val="009D01B3"/>
    <w:rsid w:val="009D2F92"/>
    <w:rsid w:val="009D3740"/>
    <w:rsid w:val="009D4AD9"/>
    <w:rsid w:val="009D601B"/>
    <w:rsid w:val="009E1780"/>
    <w:rsid w:val="009E17B6"/>
    <w:rsid w:val="009E2B79"/>
    <w:rsid w:val="009E2F4A"/>
    <w:rsid w:val="009F2188"/>
    <w:rsid w:val="009F31B9"/>
    <w:rsid w:val="009F4D48"/>
    <w:rsid w:val="00A03245"/>
    <w:rsid w:val="00A03557"/>
    <w:rsid w:val="00A049D5"/>
    <w:rsid w:val="00A10051"/>
    <w:rsid w:val="00A1392A"/>
    <w:rsid w:val="00A20F36"/>
    <w:rsid w:val="00A229F5"/>
    <w:rsid w:val="00A2324A"/>
    <w:rsid w:val="00A25299"/>
    <w:rsid w:val="00A254E1"/>
    <w:rsid w:val="00A26980"/>
    <w:rsid w:val="00A30A96"/>
    <w:rsid w:val="00A30DAD"/>
    <w:rsid w:val="00A349F7"/>
    <w:rsid w:val="00A4732D"/>
    <w:rsid w:val="00A5194D"/>
    <w:rsid w:val="00A52987"/>
    <w:rsid w:val="00A53AE8"/>
    <w:rsid w:val="00A56A01"/>
    <w:rsid w:val="00A616E3"/>
    <w:rsid w:val="00A61BB8"/>
    <w:rsid w:val="00A61C21"/>
    <w:rsid w:val="00A6561C"/>
    <w:rsid w:val="00A70CDF"/>
    <w:rsid w:val="00A80D17"/>
    <w:rsid w:val="00A852E0"/>
    <w:rsid w:val="00A91DE0"/>
    <w:rsid w:val="00AA014E"/>
    <w:rsid w:val="00AA126C"/>
    <w:rsid w:val="00AA3D4F"/>
    <w:rsid w:val="00AB20B6"/>
    <w:rsid w:val="00AC0D38"/>
    <w:rsid w:val="00AC1E69"/>
    <w:rsid w:val="00AC207F"/>
    <w:rsid w:val="00AD0FE0"/>
    <w:rsid w:val="00AD7419"/>
    <w:rsid w:val="00AE1989"/>
    <w:rsid w:val="00AE3E4D"/>
    <w:rsid w:val="00AE6157"/>
    <w:rsid w:val="00AE701F"/>
    <w:rsid w:val="00AF6F3F"/>
    <w:rsid w:val="00B011D3"/>
    <w:rsid w:val="00B051EA"/>
    <w:rsid w:val="00B06BF5"/>
    <w:rsid w:val="00B0768D"/>
    <w:rsid w:val="00B1448C"/>
    <w:rsid w:val="00B17445"/>
    <w:rsid w:val="00B22F10"/>
    <w:rsid w:val="00B271A0"/>
    <w:rsid w:val="00B3274A"/>
    <w:rsid w:val="00B3299A"/>
    <w:rsid w:val="00B34131"/>
    <w:rsid w:val="00B36287"/>
    <w:rsid w:val="00B42CBE"/>
    <w:rsid w:val="00B4485A"/>
    <w:rsid w:val="00B44C21"/>
    <w:rsid w:val="00B476A9"/>
    <w:rsid w:val="00B53743"/>
    <w:rsid w:val="00B54853"/>
    <w:rsid w:val="00B56B11"/>
    <w:rsid w:val="00B6336D"/>
    <w:rsid w:val="00B64015"/>
    <w:rsid w:val="00B64398"/>
    <w:rsid w:val="00B65E51"/>
    <w:rsid w:val="00B72547"/>
    <w:rsid w:val="00B73C13"/>
    <w:rsid w:val="00B754B7"/>
    <w:rsid w:val="00B75858"/>
    <w:rsid w:val="00B85CDA"/>
    <w:rsid w:val="00B85F9B"/>
    <w:rsid w:val="00B8736D"/>
    <w:rsid w:val="00B90ED6"/>
    <w:rsid w:val="00B91A84"/>
    <w:rsid w:val="00B93317"/>
    <w:rsid w:val="00B95161"/>
    <w:rsid w:val="00BA1498"/>
    <w:rsid w:val="00BA3233"/>
    <w:rsid w:val="00BA3FAE"/>
    <w:rsid w:val="00BA695B"/>
    <w:rsid w:val="00BB0EE6"/>
    <w:rsid w:val="00BB3463"/>
    <w:rsid w:val="00BB6059"/>
    <w:rsid w:val="00BB72B9"/>
    <w:rsid w:val="00BD7294"/>
    <w:rsid w:val="00BE1213"/>
    <w:rsid w:val="00BE37A4"/>
    <w:rsid w:val="00BE45DE"/>
    <w:rsid w:val="00BE66B4"/>
    <w:rsid w:val="00BE7B36"/>
    <w:rsid w:val="00BE7B56"/>
    <w:rsid w:val="00BF6A91"/>
    <w:rsid w:val="00BF73CD"/>
    <w:rsid w:val="00C02AD9"/>
    <w:rsid w:val="00C05456"/>
    <w:rsid w:val="00C076A9"/>
    <w:rsid w:val="00C147E0"/>
    <w:rsid w:val="00C15BBB"/>
    <w:rsid w:val="00C22F75"/>
    <w:rsid w:val="00C27436"/>
    <w:rsid w:val="00C31FC0"/>
    <w:rsid w:val="00C36D90"/>
    <w:rsid w:val="00C37FF1"/>
    <w:rsid w:val="00C40250"/>
    <w:rsid w:val="00C41C55"/>
    <w:rsid w:val="00C4452E"/>
    <w:rsid w:val="00C450BF"/>
    <w:rsid w:val="00C50792"/>
    <w:rsid w:val="00C507CD"/>
    <w:rsid w:val="00C514AC"/>
    <w:rsid w:val="00C515B0"/>
    <w:rsid w:val="00C54A3D"/>
    <w:rsid w:val="00C64624"/>
    <w:rsid w:val="00C66A5A"/>
    <w:rsid w:val="00C75D40"/>
    <w:rsid w:val="00C76087"/>
    <w:rsid w:val="00C76CD2"/>
    <w:rsid w:val="00C775F1"/>
    <w:rsid w:val="00C85A4A"/>
    <w:rsid w:val="00C85EA4"/>
    <w:rsid w:val="00C860B4"/>
    <w:rsid w:val="00C86F09"/>
    <w:rsid w:val="00C912FE"/>
    <w:rsid w:val="00C95ABE"/>
    <w:rsid w:val="00CA0CD3"/>
    <w:rsid w:val="00CA1572"/>
    <w:rsid w:val="00CA2B5F"/>
    <w:rsid w:val="00CA5220"/>
    <w:rsid w:val="00CA6B87"/>
    <w:rsid w:val="00CB06DA"/>
    <w:rsid w:val="00CB254E"/>
    <w:rsid w:val="00CC2031"/>
    <w:rsid w:val="00CC39C9"/>
    <w:rsid w:val="00CC444B"/>
    <w:rsid w:val="00CD26CC"/>
    <w:rsid w:val="00CD62E6"/>
    <w:rsid w:val="00CE15CD"/>
    <w:rsid w:val="00CE51C3"/>
    <w:rsid w:val="00CE5341"/>
    <w:rsid w:val="00CF4F69"/>
    <w:rsid w:val="00D0218C"/>
    <w:rsid w:val="00D02FDF"/>
    <w:rsid w:val="00D03A7C"/>
    <w:rsid w:val="00D0585E"/>
    <w:rsid w:val="00D06408"/>
    <w:rsid w:val="00D074D0"/>
    <w:rsid w:val="00D11C69"/>
    <w:rsid w:val="00D14985"/>
    <w:rsid w:val="00D15589"/>
    <w:rsid w:val="00D21A01"/>
    <w:rsid w:val="00D22AE8"/>
    <w:rsid w:val="00D33525"/>
    <w:rsid w:val="00D37855"/>
    <w:rsid w:val="00D42D76"/>
    <w:rsid w:val="00D432AD"/>
    <w:rsid w:val="00D500C6"/>
    <w:rsid w:val="00D51069"/>
    <w:rsid w:val="00D529A9"/>
    <w:rsid w:val="00D544FE"/>
    <w:rsid w:val="00D5690E"/>
    <w:rsid w:val="00D617D1"/>
    <w:rsid w:val="00D648EB"/>
    <w:rsid w:val="00D71220"/>
    <w:rsid w:val="00D71D74"/>
    <w:rsid w:val="00D770B5"/>
    <w:rsid w:val="00D8279A"/>
    <w:rsid w:val="00D933E5"/>
    <w:rsid w:val="00D95363"/>
    <w:rsid w:val="00D9537D"/>
    <w:rsid w:val="00DA05ED"/>
    <w:rsid w:val="00DA7E4D"/>
    <w:rsid w:val="00DB0A37"/>
    <w:rsid w:val="00DB68A3"/>
    <w:rsid w:val="00DC0264"/>
    <w:rsid w:val="00DC45C0"/>
    <w:rsid w:val="00DC73D8"/>
    <w:rsid w:val="00DD5160"/>
    <w:rsid w:val="00DD52CC"/>
    <w:rsid w:val="00DE308B"/>
    <w:rsid w:val="00DE3A6A"/>
    <w:rsid w:val="00DE4463"/>
    <w:rsid w:val="00DE596C"/>
    <w:rsid w:val="00DE5EAE"/>
    <w:rsid w:val="00DF03A4"/>
    <w:rsid w:val="00DF1CDE"/>
    <w:rsid w:val="00DF6EE3"/>
    <w:rsid w:val="00E022DC"/>
    <w:rsid w:val="00E0354D"/>
    <w:rsid w:val="00E0386A"/>
    <w:rsid w:val="00E1097F"/>
    <w:rsid w:val="00E151FC"/>
    <w:rsid w:val="00E17A1E"/>
    <w:rsid w:val="00E208C5"/>
    <w:rsid w:val="00E23A70"/>
    <w:rsid w:val="00E32F84"/>
    <w:rsid w:val="00E35B05"/>
    <w:rsid w:val="00E37A7A"/>
    <w:rsid w:val="00E44B29"/>
    <w:rsid w:val="00E451BC"/>
    <w:rsid w:val="00E46C3E"/>
    <w:rsid w:val="00E47630"/>
    <w:rsid w:val="00E519CC"/>
    <w:rsid w:val="00E533B2"/>
    <w:rsid w:val="00E55B3B"/>
    <w:rsid w:val="00E55DA6"/>
    <w:rsid w:val="00E55E91"/>
    <w:rsid w:val="00E61273"/>
    <w:rsid w:val="00E62F60"/>
    <w:rsid w:val="00E64A5E"/>
    <w:rsid w:val="00E7776B"/>
    <w:rsid w:val="00E77A10"/>
    <w:rsid w:val="00E77D29"/>
    <w:rsid w:val="00E827E9"/>
    <w:rsid w:val="00E82CEB"/>
    <w:rsid w:val="00E834B8"/>
    <w:rsid w:val="00E85989"/>
    <w:rsid w:val="00E900FC"/>
    <w:rsid w:val="00E91F75"/>
    <w:rsid w:val="00E96961"/>
    <w:rsid w:val="00EA4419"/>
    <w:rsid w:val="00EA7525"/>
    <w:rsid w:val="00EB12E9"/>
    <w:rsid w:val="00EB4E44"/>
    <w:rsid w:val="00EB674C"/>
    <w:rsid w:val="00EB7999"/>
    <w:rsid w:val="00EC0891"/>
    <w:rsid w:val="00ED2BC8"/>
    <w:rsid w:val="00ED7098"/>
    <w:rsid w:val="00EE080A"/>
    <w:rsid w:val="00EE51DB"/>
    <w:rsid w:val="00F039D8"/>
    <w:rsid w:val="00F13DC0"/>
    <w:rsid w:val="00F14485"/>
    <w:rsid w:val="00F169F1"/>
    <w:rsid w:val="00F16F02"/>
    <w:rsid w:val="00F234E3"/>
    <w:rsid w:val="00F26A60"/>
    <w:rsid w:val="00F34F93"/>
    <w:rsid w:val="00F43A1A"/>
    <w:rsid w:val="00F43B05"/>
    <w:rsid w:val="00F45758"/>
    <w:rsid w:val="00F465B6"/>
    <w:rsid w:val="00F5104D"/>
    <w:rsid w:val="00F55077"/>
    <w:rsid w:val="00F63C06"/>
    <w:rsid w:val="00F64CB9"/>
    <w:rsid w:val="00F67181"/>
    <w:rsid w:val="00F70942"/>
    <w:rsid w:val="00F7499E"/>
    <w:rsid w:val="00F750A3"/>
    <w:rsid w:val="00F77628"/>
    <w:rsid w:val="00F8061A"/>
    <w:rsid w:val="00F80DC6"/>
    <w:rsid w:val="00F81ABF"/>
    <w:rsid w:val="00F838DD"/>
    <w:rsid w:val="00F91569"/>
    <w:rsid w:val="00F91808"/>
    <w:rsid w:val="00FA0BF9"/>
    <w:rsid w:val="00FA15DA"/>
    <w:rsid w:val="00FA2959"/>
    <w:rsid w:val="00FA2B25"/>
    <w:rsid w:val="00FA5456"/>
    <w:rsid w:val="00FB3B70"/>
    <w:rsid w:val="00FB597E"/>
    <w:rsid w:val="00FB5F8E"/>
    <w:rsid w:val="00FC0410"/>
    <w:rsid w:val="00FC1A34"/>
    <w:rsid w:val="00FC3EF7"/>
    <w:rsid w:val="00FC4B9F"/>
    <w:rsid w:val="00FC5921"/>
    <w:rsid w:val="00FC59A3"/>
    <w:rsid w:val="00FC6159"/>
    <w:rsid w:val="00FC6AA2"/>
    <w:rsid w:val="00FD061C"/>
    <w:rsid w:val="00FD4EBA"/>
    <w:rsid w:val="00FF342A"/>
    <w:rsid w:val="00FF7EB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649BA-8B89-486A-A031-C35D093C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6"/>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0">
    <w:name w:val="para2"/>
    <w:basedOn w:val="para2a"/>
    <w:rsid w:val="00D5690E"/>
  </w:style>
  <w:style w:type="paragraph" w:customStyle="1" w:styleId="para2a">
    <w:name w:val="para 2 (a)"/>
    <w:basedOn w:val="Normal"/>
    <w:qFormat/>
    <w:rsid w:val="00D5690E"/>
    <w:pPr>
      <w:spacing w:after="120"/>
      <w:ind w:firstLine="763"/>
    </w:pPr>
    <w:rPr>
      <w:rFonts w:eastAsia="MS Mincho" w:cs="Angsana New"/>
      <w:snapToGrid w:val="0"/>
      <w:szCs w:val="18"/>
    </w:rPr>
  </w:style>
  <w:style w:type="character" w:customStyle="1" w:styleId="Para1Char1">
    <w:name w:val="Para1 Char1"/>
    <w:link w:val="Para1"/>
    <w:locked/>
    <w:rsid w:val="007F3FB5"/>
    <w:rPr>
      <w:snapToGrid w:val="0"/>
      <w:sz w:val="22"/>
      <w:szCs w:val="18"/>
      <w:lang w:val="en-GB"/>
    </w:rPr>
  </w:style>
  <w:style w:type="character" w:customStyle="1" w:styleId="UnresolvedMention">
    <w:name w:val="Unresolved Mention"/>
    <w:basedOn w:val="Policepardfaut"/>
    <w:uiPriority w:val="99"/>
    <w:semiHidden/>
    <w:unhideWhenUsed/>
    <w:rsid w:val="006D10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35230">
      <w:bodyDiv w:val="1"/>
      <w:marLeft w:val="0"/>
      <w:marRight w:val="0"/>
      <w:marTop w:val="0"/>
      <w:marBottom w:val="0"/>
      <w:divBdr>
        <w:top w:val="none" w:sz="0" w:space="0" w:color="auto"/>
        <w:left w:val="none" w:sz="0" w:space="0" w:color="auto"/>
        <w:bottom w:val="none" w:sz="0" w:space="0" w:color="auto"/>
        <w:right w:val="none" w:sz="0" w:space="0" w:color="auto"/>
      </w:divBdr>
      <w:divsChild>
        <w:div w:id="300380567">
          <w:marLeft w:val="0"/>
          <w:marRight w:val="0"/>
          <w:marTop w:val="0"/>
          <w:marBottom w:val="0"/>
          <w:divBdr>
            <w:top w:val="none" w:sz="0" w:space="0" w:color="auto"/>
            <w:left w:val="none" w:sz="0" w:space="0" w:color="auto"/>
            <w:bottom w:val="none" w:sz="0" w:space="0" w:color="auto"/>
            <w:right w:val="none" w:sz="0" w:space="0" w:color="auto"/>
          </w:divBdr>
        </w:div>
        <w:div w:id="187684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hc.unesco.org/fr/actualites/1709/" TargetMode="External"/><Relationship Id="rId2" Type="http://schemas.openxmlformats.org/officeDocument/2006/relationships/hyperlink" Target="https://cites.org/sites/default/files/common/disc/sec/CITES-CMS-wp-fr.pdf" TargetMode="External"/><Relationship Id="rId1" Type="http://schemas.openxmlformats.org/officeDocument/2006/relationships/hyperlink" Target="https://www.ramsar.org/sites/default/files/documents/library/sc53_decisions_f.pdf" TargetMode="External"/><Relationship Id="rId4" Type="http://schemas.openxmlformats.org/officeDocument/2006/relationships/hyperlink" Target="http://www.fao.org/3/a-mu388f.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5616C"/>
    <w:rsid w:val="001B29AF"/>
    <w:rsid w:val="001B631B"/>
    <w:rsid w:val="00275EC5"/>
    <w:rsid w:val="0037757D"/>
    <w:rsid w:val="003B72A6"/>
    <w:rsid w:val="003D2492"/>
    <w:rsid w:val="004660F6"/>
    <w:rsid w:val="004956EF"/>
    <w:rsid w:val="004A69EC"/>
    <w:rsid w:val="004C578C"/>
    <w:rsid w:val="005479EB"/>
    <w:rsid w:val="00554C98"/>
    <w:rsid w:val="00614AE6"/>
    <w:rsid w:val="006171AE"/>
    <w:rsid w:val="006D6529"/>
    <w:rsid w:val="00740670"/>
    <w:rsid w:val="007958DF"/>
    <w:rsid w:val="007E501A"/>
    <w:rsid w:val="00803CB7"/>
    <w:rsid w:val="008155E2"/>
    <w:rsid w:val="0083264A"/>
    <w:rsid w:val="00960CE5"/>
    <w:rsid w:val="00A27574"/>
    <w:rsid w:val="00AF17F7"/>
    <w:rsid w:val="00B146DE"/>
    <w:rsid w:val="00B231C1"/>
    <w:rsid w:val="00B36C7B"/>
    <w:rsid w:val="00BB2CFE"/>
    <w:rsid w:val="00BE43B5"/>
    <w:rsid w:val="00D531A0"/>
    <w:rsid w:val="00D5481D"/>
    <w:rsid w:val="00D70061"/>
    <w:rsid w:val="00EB0687"/>
    <w:rsid w:val="00EC17B5"/>
    <w:rsid w:val="00F24749"/>
    <w:rsid w:val="00FF7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1FA3-3B61-4C2E-8160-CB905D95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TotalTime>
  <Pages>13</Pages>
  <Words>8149</Words>
  <Characters>44825</Characters>
  <Application>Microsoft Office Word</Application>
  <DocSecurity>0</DocSecurity>
  <Lines>373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execution des options pour accroitre les synergies entre les conventions relatives à la diversité biologique</vt:lpstr>
      <vt:lpstr>execution des options pour accroitre les synergies entre les conventions relatives à la diversité biologique</vt:lpstr>
    </vt:vector>
  </TitlesOfParts>
  <Company>Biodiversity</Company>
  <LinksUpToDate>false</LinksUpToDate>
  <CharactersWithSpaces>52869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execution des options pour accroitre les synergies entre les conventions relatives à la diversité biologique</dc:title>
  <dc:subject>CBD/SBI/2/10/Add.1</dc:subject>
  <dc:creator>SCBD</dc:creator>
  <cp:revision>5</cp:revision>
  <cp:lastPrinted>2018-05-30T18:43:00Z</cp:lastPrinted>
  <dcterms:created xsi:type="dcterms:W3CDTF">2018-06-17T11:57:00Z</dcterms:created>
  <dcterms:modified xsi:type="dcterms:W3CDTF">2018-06-18T19:03:00Z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CHARGE de l'Application</vt:lpwstr>
  </property>
</Properties>
</file>