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10207"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76"/>
        <w:gridCol w:w="5141"/>
        <w:gridCol w:w="4090"/>
      </w:tblGrid>
      <w:tr w:rsidR="0027598B" w:rsidTr="00E6320A">
        <w:trPr>
          <w:trHeight w:val="708"/>
        </w:trPr>
        <w:tc>
          <w:tcPr>
            <w:tcW w:w="976" w:type="dxa"/>
            <w:tcBorders>
              <w:top w:val="nil"/>
              <w:left w:val="nil"/>
              <w:bottom w:val="single" w:sz="12" w:space="0" w:color="000000"/>
              <w:right w:val="nil"/>
            </w:tcBorders>
            <w:shd w:val="clear" w:color="auto" w:fill="auto"/>
            <w:tcMar>
              <w:top w:w="80" w:type="dxa"/>
              <w:left w:w="80" w:type="dxa"/>
              <w:bottom w:w="80" w:type="dxa"/>
              <w:right w:w="80" w:type="dxa"/>
            </w:tcMar>
          </w:tcPr>
          <w:p w:rsidR="0027598B" w:rsidRDefault="00E6320A">
            <w:pPr>
              <w:pStyle w:val="Body"/>
              <w:suppressAutoHyphens/>
            </w:pPr>
            <w:r>
              <w:rPr>
                <w:noProof/>
                <w:lang w:val="fr-CA" w:eastAsia="fr-CA"/>
              </w:rPr>
              <w:drawing>
                <wp:inline distT="0" distB="0" distL="0" distR="0">
                  <wp:extent cx="476494" cy="403201"/>
                  <wp:effectExtent l="0" t="0" r="0" b="0"/>
                  <wp:docPr id="1073741825" name="officeArt object"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1073741825" name="Macintosh HD:Users:bilodeau:Desktop:logos:template 2017:un.emf" descr="Macintosh HD:Users:bilodeau:Desktop:logos:template 2017:un.emf"/>
                          <pic:cNvPicPr>
                            <a:picLocks noChangeAspect="1"/>
                          </pic:cNvPicPr>
                        </pic:nvPicPr>
                        <pic:blipFill>
                          <a:blip r:embed="rId8">
                            <a:extLst/>
                          </a:blip>
                          <a:stretch>
                            <a:fillRect/>
                          </a:stretch>
                        </pic:blipFill>
                        <pic:spPr>
                          <a:xfrm>
                            <a:off x="0" y="0"/>
                            <a:ext cx="476494" cy="403201"/>
                          </a:xfrm>
                          <a:prstGeom prst="rect">
                            <a:avLst/>
                          </a:prstGeom>
                          <a:ln w="12700" cap="flat">
                            <a:noFill/>
                            <a:miter lim="400000"/>
                          </a:ln>
                          <a:effectLst/>
                        </pic:spPr>
                      </pic:pic>
                    </a:graphicData>
                  </a:graphic>
                </wp:inline>
              </w:drawing>
            </w:r>
          </w:p>
        </w:tc>
        <w:tc>
          <w:tcPr>
            <w:tcW w:w="5141" w:type="dxa"/>
            <w:tcBorders>
              <w:top w:val="nil"/>
              <w:left w:val="nil"/>
              <w:bottom w:val="single" w:sz="12" w:space="0" w:color="000000"/>
              <w:right w:val="nil"/>
            </w:tcBorders>
            <w:shd w:val="clear" w:color="auto" w:fill="auto"/>
            <w:tcMar>
              <w:top w:w="80" w:type="dxa"/>
              <w:left w:w="80" w:type="dxa"/>
              <w:bottom w:w="80" w:type="dxa"/>
              <w:right w:w="80" w:type="dxa"/>
            </w:tcMar>
          </w:tcPr>
          <w:p w:rsidR="0027598B" w:rsidRDefault="00E6320A">
            <w:pPr>
              <w:pStyle w:val="Body"/>
              <w:suppressAutoHyphens/>
            </w:pPr>
            <w:r>
              <w:rPr>
                <w:noProof/>
                <w:lang w:val="fr-CA" w:eastAsia="fr-CA"/>
              </w:rPr>
              <w:drawing>
                <wp:inline distT="0" distB="0" distL="0" distR="0">
                  <wp:extent cx="343700" cy="403201"/>
                  <wp:effectExtent l="0" t="0" r="0" b="0"/>
                  <wp:docPr id="1073741826" name="officeArt object" descr="Macintosh HD:Users:bilodeau:Desktop:logos:template 2017:unep-old.emf"/>
                  <wp:cNvGraphicFramePr/>
                  <a:graphic xmlns:a="http://schemas.openxmlformats.org/drawingml/2006/main">
                    <a:graphicData uri="http://schemas.openxmlformats.org/drawingml/2006/picture">
                      <pic:pic xmlns:pic="http://schemas.openxmlformats.org/drawingml/2006/picture">
                        <pic:nvPicPr>
                          <pic:cNvPr id="1073741826" name="Macintosh HD:Users:bilodeau:Desktop:logos:template 2017:unep-old.emf" descr="Macintosh HD:Users:bilodeau:Desktop:logos:template 2017:unep-old.emf"/>
                          <pic:cNvPicPr>
                            <a:picLocks noChangeAspect="1"/>
                          </pic:cNvPicPr>
                        </pic:nvPicPr>
                        <pic:blipFill>
                          <a:blip r:embed="rId9">
                            <a:extLst/>
                          </a:blip>
                          <a:stretch>
                            <a:fillRect/>
                          </a:stretch>
                        </pic:blipFill>
                        <pic:spPr>
                          <a:xfrm>
                            <a:off x="0" y="0"/>
                            <a:ext cx="343700" cy="403201"/>
                          </a:xfrm>
                          <a:prstGeom prst="rect">
                            <a:avLst/>
                          </a:prstGeom>
                          <a:ln w="12700" cap="flat">
                            <a:noFill/>
                            <a:miter lim="400000"/>
                          </a:ln>
                          <a:effectLst/>
                        </pic:spPr>
                      </pic:pic>
                    </a:graphicData>
                  </a:graphic>
                </wp:inline>
              </w:drawing>
            </w:r>
          </w:p>
        </w:tc>
        <w:tc>
          <w:tcPr>
            <w:tcW w:w="4090" w:type="dxa"/>
            <w:tcBorders>
              <w:top w:val="nil"/>
              <w:left w:val="nil"/>
              <w:bottom w:val="single" w:sz="12" w:space="0" w:color="000000"/>
              <w:right w:val="nil"/>
            </w:tcBorders>
            <w:shd w:val="clear" w:color="auto" w:fill="auto"/>
            <w:tcMar>
              <w:top w:w="80" w:type="dxa"/>
              <w:left w:w="80" w:type="dxa"/>
              <w:bottom w:w="80" w:type="dxa"/>
              <w:right w:w="80" w:type="dxa"/>
            </w:tcMar>
          </w:tcPr>
          <w:p w:rsidR="0027598B" w:rsidRDefault="00E6320A">
            <w:pPr>
              <w:pStyle w:val="Body"/>
              <w:suppressAutoHyphens/>
              <w:jc w:val="right"/>
            </w:pPr>
            <w:r>
              <w:rPr>
                <w:rFonts w:ascii="Arial" w:hAnsi="Arial"/>
                <w:b/>
                <w:bCs/>
                <w:sz w:val="32"/>
                <w:szCs w:val="32"/>
                <w:lang w:val="en-US"/>
              </w:rPr>
              <w:t>CBD</w:t>
            </w:r>
          </w:p>
        </w:tc>
      </w:tr>
      <w:tr w:rsidR="0027598B" w:rsidRPr="00C81964" w:rsidTr="00E6320A">
        <w:trPr>
          <w:trHeight w:val="1971"/>
        </w:trPr>
        <w:tc>
          <w:tcPr>
            <w:tcW w:w="6117" w:type="dxa"/>
            <w:gridSpan w:val="2"/>
            <w:tcBorders>
              <w:top w:val="single" w:sz="12" w:space="0" w:color="000000"/>
              <w:left w:val="nil"/>
              <w:bottom w:val="single" w:sz="36" w:space="0" w:color="000000"/>
              <w:right w:val="nil"/>
            </w:tcBorders>
            <w:shd w:val="clear" w:color="auto" w:fill="auto"/>
            <w:tcMar>
              <w:top w:w="80" w:type="dxa"/>
              <w:left w:w="80" w:type="dxa"/>
              <w:bottom w:w="80" w:type="dxa"/>
              <w:right w:w="80" w:type="dxa"/>
            </w:tcMar>
            <w:vAlign w:val="center"/>
          </w:tcPr>
          <w:p w:rsidR="0027598B" w:rsidRPr="00C81964" w:rsidRDefault="00C81964">
            <w:pPr>
              <w:pStyle w:val="Body"/>
              <w:suppressAutoHyphens/>
              <w:rPr>
                <w:lang w:val="fr-CA"/>
              </w:rPr>
            </w:pPr>
            <w:r w:rsidRPr="00EA2E32">
              <w:rPr>
                <w:bCs/>
                <w:noProof/>
                <w:lang w:val="fr-CA" w:eastAsia="fr-CA"/>
              </w:rPr>
              <w:drawing>
                <wp:inline distT="0" distB="0" distL="0" distR="0" wp14:anchorId="74A221DF" wp14:editId="0AFA6585">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000000"/>
              <w:left w:val="nil"/>
              <w:bottom w:val="single" w:sz="36" w:space="0" w:color="000000"/>
              <w:right w:val="nil"/>
            </w:tcBorders>
            <w:shd w:val="clear" w:color="auto" w:fill="auto"/>
            <w:tcMar>
              <w:top w:w="80" w:type="dxa"/>
              <w:left w:w="1295" w:type="dxa"/>
              <w:bottom w:w="80" w:type="dxa"/>
              <w:right w:w="80" w:type="dxa"/>
            </w:tcMar>
          </w:tcPr>
          <w:p w:rsidR="0027598B" w:rsidRPr="00C81964" w:rsidRDefault="00E6320A" w:rsidP="00E6320A">
            <w:pPr>
              <w:pStyle w:val="Body"/>
              <w:suppressAutoHyphens/>
              <w:rPr>
                <w:lang w:val="fr-CA"/>
              </w:rPr>
            </w:pPr>
            <w:r w:rsidRPr="00C81964">
              <w:rPr>
                <w:lang w:val="fr-CA"/>
              </w:rPr>
              <w:t>Distr.</w:t>
            </w:r>
          </w:p>
          <w:p w:rsidR="0027598B" w:rsidRPr="00C81964" w:rsidRDefault="00C81964" w:rsidP="00E6320A">
            <w:pPr>
              <w:pStyle w:val="Body"/>
              <w:suppressAutoHyphens/>
              <w:rPr>
                <w:lang w:val="fr-CA"/>
              </w:rPr>
            </w:pPr>
            <w:r>
              <w:rPr>
                <w:caps/>
                <w:lang w:val="fr-CA"/>
              </w:rPr>
              <w:t>GÉNÉRALE</w:t>
            </w:r>
          </w:p>
          <w:p w:rsidR="0027598B" w:rsidRPr="00C81964" w:rsidRDefault="0027598B" w:rsidP="00E6320A">
            <w:pPr>
              <w:pStyle w:val="Body"/>
              <w:suppressAutoHyphens/>
              <w:rPr>
                <w:lang w:val="fr-CA"/>
              </w:rPr>
            </w:pPr>
          </w:p>
          <w:p w:rsidR="0027598B" w:rsidRPr="00C81964" w:rsidRDefault="00E6320A" w:rsidP="00E6320A">
            <w:pPr>
              <w:pStyle w:val="Body"/>
              <w:suppressAutoHyphens/>
              <w:rPr>
                <w:lang w:val="fr-CA"/>
              </w:rPr>
            </w:pPr>
            <w:r w:rsidRPr="00C81964">
              <w:rPr>
                <w:lang w:val="fr-CA"/>
              </w:rPr>
              <w:t>CBD/COP/14/10</w:t>
            </w:r>
          </w:p>
          <w:p w:rsidR="0027598B" w:rsidRPr="00C81964" w:rsidRDefault="00E6320A" w:rsidP="00E6320A">
            <w:pPr>
              <w:pStyle w:val="Body"/>
              <w:suppressAutoHyphens/>
              <w:rPr>
                <w:lang w:val="fr-CA"/>
              </w:rPr>
            </w:pPr>
            <w:r w:rsidRPr="00C81964">
              <w:rPr>
                <w:lang w:val="fr-CA"/>
              </w:rPr>
              <w:t xml:space="preserve">25 </w:t>
            </w:r>
            <w:r w:rsidR="00C81964">
              <w:rPr>
                <w:lang w:val="fr-CA"/>
              </w:rPr>
              <w:t>septembre</w:t>
            </w:r>
            <w:r w:rsidRPr="00C81964">
              <w:rPr>
                <w:lang w:val="fr-CA"/>
              </w:rPr>
              <w:t xml:space="preserve"> 2018</w:t>
            </w:r>
          </w:p>
          <w:p w:rsidR="0027598B" w:rsidRPr="00C81964" w:rsidRDefault="0027598B" w:rsidP="00E6320A">
            <w:pPr>
              <w:pStyle w:val="Body"/>
              <w:suppressAutoHyphens/>
              <w:rPr>
                <w:lang w:val="fr-CA"/>
              </w:rPr>
            </w:pPr>
          </w:p>
          <w:p w:rsidR="00C81964" w:rsidRDefault="00C81964" w:rsidP="00E6320A">
            <w:pPr>
              <w:pStyle w:val="Body"/>
              <w:suppressAutoHyphens/>
              <w:rPr>
                <w:lang w:val="fr-CA"/>
              </w:rPr>
            </w:pPr>
            <w:r>
              <w:rPr>
                <w:lang w:val="fr-CA"/>
              </w:rPr>
              <w:t>FRANÇAIS</w:t>
            </w:r>
          </w:p>
          <w:p w:rsidR="0027598B" w:rsidRPr="00C81964" w:rsidRDefault="00E6320A" w:rsidP="00C81964">
            <w:pPr>
              <w:pStyle w:val="Body"/>
              <w:suppressAutoHyphens/>
              <w:rPr>
                <w:lang w:val="fr-CA"/>
              </w:rPr>
            </w:pPr>
            <w:r w:rsidRPr="00C81964">
              <w:rPr>
                <w:lang w:val="fr-CA"/>
              </w:rPr>
              <w:t>ORIGINAL</w:t>
            </w:r>
            <w:r w:rsidR="00C81964">
              <w:rPr>
                <w:lang w:val="fr-CA"/>
              </w:rPr>
              <w:t xml:space="preserve"> </w:t>
            </w:r>
            <w:r w:rsidRPr="00C81964">
              <w:rPr>
                <w:lang w:val="fr-CA"/>
              </w:rPr>
              <w:t xml:space="preserve">: </w:t>
            </w:r>
            <w:r w:rsidR="00C81964">
              <w:rPr>
                <w:lang w:val="fr-CA"/>
              </w:rPr>
              <w:t>ANGLAIS</w:t>
            </w:r>
          </w:p>
        </w:tc>
      </w:tr>
    </w:tbl>
    <w:p w:rsidR="00C81964" w:rsidRPr="00EA2E32" w:rsidRDefault="00C81964" w:rsidP="00C81964">
      <w:pPr>
        <w:pStyle w:val="Cornernotation"/>
        <w:suppressLineNumbers/>
        <w:suppressAutoHyphens/>
        <w:kinsoku w:val="0"/>
        <w:overflowPunct w:val="0"/>
        <w:autoSpaceDE w:val="0"/>
        <w:autoSpaceDN w:val="0"/>
        <w:ind w:left="180" w:right="4422" w:hanging="180"/>
        <w:rPr>
          <w:lang w:val="fr-FR"/>
        </w:rPr>
      </w:pPr>
      <w:r w:rsidRPr="00EA2E32">
        <w:rPr>
          <w:lang w:val="fr-FR"/>
        </w:rPr>
        <w:t>CONFÉRENCE DES PARTIES À LA CONVENTION SUR LA DIVERSITÉ BIOLOGIQUE</w:t>
      </w:r>
    </w:p>
    <w:p w:rsidR="00C81964" w:rsidRPr="00EA2E32" w:rsidRDefault="00C81964" w:rsidP="00C81964">
      <w:pPr>
        <w:pStyle w:val="Cornernotation"/>
        <w:suppressLineNumbers/>
        <w:suppressAutoHyphens/>
        <w:kinsoku w:val="0"/>
        <w:overflowPunct w:val="0"/>
        <w:autoSpaceDE w:val="0"/>
        <w:autoSpaceDN w:val="0"/>
        <w:ind w:left="180" w:right="4422" w:hanging="180"/>
        <w:rPr>
          <w:lang w:val="fr-FR"/>
        </w:rPr>
      </w:pPr>
      <w:r w:rsidRPr="00EA2E32">
        <w:rPr>
          <w:lang w:val="fr-FR"/>
        </w:rPr>
        <w:t>Quatorzième réunion</w:t>
      </w:r>
    </w:p>
    <w:p w:rsidR="0027598B" w:rsidRPr="00C81964" w:rsidRDefault="00C81964" w:rsidP="00C81964">
      <w:pPr>
        <w:pStyle w:val="Cornernotation"/>
        <w:suppressAutoHyphens/>
        <w:ind w:left="180" w:right="4422" w:hanging="180"/>
        <w:rPr>
          <w:lang w:val="fr-CA"/>
        </w:rPr>
      </w:pPr>
      <w:r w:rsidRPr="00EA2E32">
        <w:rPr>
          <w:noProof/>
          <w:lang w:val="fr-FR"/>
        </w:rPr>
        <w:t>Sharm</w:t>
      </w:r>
      <w:r w:rsidRPr="00EA2E32">
        <w:rPr>
          <w:lang w:val="fr-FR"/>
        </w:rPr>
        <w:t xml:space="preserve"> El-Sheikh, Égypte, </w:t>
      </w:r>
      <w:r>
        <w:rPr>
          <w:lang w:val="fr-FR"/>
        </w:rPr>
        <w:t>17- 29</w:t>
      </w:r>
      <w:r w:rsidRPr="00EA2E32">
        <w:rPr>
          <w:lang w:val="fr-FR"/>
        </w:rPr>
        <w:t xml:space="preserve"> novembre </w:t>
      </w:r>
      <w:r w:rsidR="00E6320A" w:rsidRPr="00C81964">
        <w:rPr>
          <w:lang w:val="fr-CA"/>
        </w:rPr>
        <w:t>2018</w:t>
      </w:r>
    </w:p>
    <w:p w:rsidR="0027598B" w:rsidRPr="00C81964" w:rsidRDefault="00C81964" w:rsidP="00E6320A">
      <w:pPr>
        <w:pStyle w:val="Cornernotation"/>
        <w:suppressAutoHyphens/>
        <w:ind w:left="180" w:right="4422" w:hanging="180"/>
        <w:rPr>
          <w:lang w:val="fr-CA"/>
        </w:rPr>
      </w:pPr>
      <w:r>
        <w:rPr>
          <w:lang w:val="fr-CA"/>
        </w:rPr>
        <w:t>Point 28 de l’ordre du jour provisoire</w:t>
      </w:r>
      <w:r w:rsidR="00D87F7B" w:rsidRPr="00C81964">
        <w:rPr>
          <w:rStyle w:val="Appelnotedebasdep"/>
          <w:lang w:val="fr-CA"/>
        </w:rPr>
        <w:footnoteReference w:customMarkFollows="1" w:id="2"/>
        <w:t>*</w:t>
      </w:r>
    </w:p>
    <w:sdt>
      <w:sdtPr>
        <w:rPr>
          <w:b/>
          <w:bCs/>
          <w:kern w:val="22"/>
          <w:bdr w:val="none" w:sz="0" w:space="0" w:color="auto"/>
          <w:lang w:val="fr-CA"/>
        </w:rPr>
        <w:alias w:val="Title"/>
        <w:tag w:val=""/>
        <w:id w:val="-1037587754"/>
        <w:placeholder>
          <w:docPart w:val="8BE7B5F2D26F4BA6851B523AB5D62966"/>
        </w:placeholder>
        <w:dataBinding w:prefixMappings="xmlns:ns0='http://purl.org/dc/elements/1.1/' xmlns:ns1='http://schemas.openxmlformats.org/package/2006/metadata/core-properties' " w:xpath="/ns1:coreProperties[1]/ns0:title[1]" w:storeItemID="{6C3C8BC8-F283-45AE-878A-BAB7291924A1}"/>
        <w:text/>
      </w:sdtPr>
      <w:sdtContent>
        <w:p w:rsidR="0027598B" w:rsidRPr="00C81964" w:rsidRDefault="0054608E">
          <w:pPr>
            <w:pStyle w:val="Body"/>
            <w:suppressAutoHyphens/>
            <w:spacing w:before="120" w:after="240"/>
            <w:jc w:val="center"/>
            <w:rPr>
              <w:b/>
              <w:bCs/>
              <w:caps/>
              <w:lang w:val="fr-CA"/>
            </w:rPr>
          </w:pPr>
          <w:r>
            <w:rPr>
              <w:b/>
              <w:bCs/>
              <w:kern w:val="22"/>
              <w:bdr w:val="none" w:sz="0" w:space="0" w:color="auto"/>
              <w:lang w:val="fr-CA"/>
            </w:rPr>
            <w:t>RESPONSABILITÉ ET RÉPARATION</w:t>
          </w:r>
          <w:r w:rsidR="00D87F7B" w:rsidRPr="00C81964">
            <w:rPr>
              <w:b/>
              <w:bCs/>
              <w:kern w:val="22"/>
              <w:bdr w:val="none" w:sz="0" w:space="0" w:color="auto"/>
              <w:lang w:val="fr-CA"/>
            </w:rPr>
            <w:t xml:space="preserve"> (</w:t>
          </w:r>
          <w:r>
            <w:rPr>
              <w:b/>
              <w:bCs/>
              <w:kern w:val="22"/>
              <w:bdr w:val="none" w:sz="0" w:space="0" w:color="auto"/>
              <w:lang w:val="fr-CA"/>
            </w:rPr>
            <w:t>PARAGRAPHE 2 DE L’ARTICLE 14</w:t>
          </w:r>
          <w:r w:rsidR="00D87F7B" w:rsidRPr="00C81964">
            <w:rPr>
              <w:b/>
              <w:bCs/>
              <w:kern w:val="22"/>
              <w:bdr w:val="none" w:sz="0" w:space="0" w:color="auto"/>
              <w:lang w:val="fr-CA"/>
            </w:rPr>
            <w:t>)</w:t>
          </w:r>
        </w:p>
      </w:sdtContent>
    </w:sdt>
    <w:p w:rsidR="0027598B" w:rsidRPr="00C81964" w:rsidRDefault="0054608E">
      <w:pPr>
        <w:pStyle w:val="Para1"/>
        <w:keepNext/>
        <w:tabs>
          <w:tab w:val="left" w:pos="900"/>
        </w:tabs>
        <w:spacing w:before="200" w:after="200"/>
        <w:jc w:val="center"/>
        <w:rPr>
          <w:i/>
          <w:iCs/>
          <w:kern w:val="22"/>
          <w:lang w:val="fr-CA"/>
        </w:rPr>
      </w:pPr>
      <w:r>
        <w:rPr>
          <w:i/>
          <w:iCs/>
          <w:kern w:val="22"/>
          <w:lang w:val="fr-CA"/>
        </w:rPr>
        <w:t>Note de la Secrétaire exécutive</w:t>
      </w:r>
    </w:p>
    <w:p w:rsidR="0027598B" w:rsidRPr="00C81964" w:rsidRDefault="00E6320A" w:rsidP="00E6320A">
      <w:pPr>
        <w:pStyle w:val="Para1"/>
        <w:keepNext/>
        <w:tabs>
          <w:tab w:val="clear" w:pos="360"/>
          <w:tab w:val="left" w:pos="709"/>
        </w:tabs>
        <w:spacing w:before="200" w:after="200"/>
        <w:jc w:val="center"/>
        <w:rPr>
          <w:b/>
          <w:bCs/>
          <w:kern w:val="22"/>
          <w:lang w:val="fr-CA"/>
        </w:rPr>
      </w:pPr>
      <w:r w:rsidRPr="00C81964">
        <w:rPr>
          <w:b/>
          <w:bCs/>
          <w:kern w:val="22"/>
          <w:lang w:val="fr-CA"/>
        </w:rPr>
        <w:t>I.</w:t>
      </w:r>
      <w:r w:rsidRPr="00C81964">
        <w:rPr>
          <w:b/>
          <w:bCs/>
          <w:kern w:val="22"/>
          <w:lang w:val="fr-CA"/>
        </w:rPr>
        <w:tab/>
        <w:t>INTRODUCTION</w:t>
      </w:r>
    </w:p>
    <w:p w:rsidR="0027598B" w:rsidRPr="00D85657" w:rsidRDefault="006841EE" w:rsidP="00E6320A">
      <w:pPr>
        <w:pStyle w:val="Body"/>
        <w:numPr>
          <w:ilvl w:val="0"/>
          <w:numId w:val="2"/>
        </w:numPr>
        <w:spacing w:before="120" w:after="160"/>
        <w:ind w:left="0" w:firstLine="0"/>
        <w:rPr>
          <w:lang w:val="fr-CA"/>
        </w:rPr>
      </w:pPr>
      <w:r>
        <w:rPr>
          <w:kern w:val="22"/>
          <w:lang w:val="fr-CA"/>
        </w:rPr>
        <w:t>À</w:t>
      </w:r>
      <w:r w:rsidR="0054608E" w:rsidRPr="0054608E">
        <w:rPr>
          <w:kern w:val="22"/>
          <w:lang w:val="fr-CA"/>
        </w:rPr>
        <w:t xml:space="preserve"> sa douzième r</w:t>
      </w:r>
      <w:r w:rsidR="001A0AF4">
        <w:rPr>
          <w:kern w:val="22"/>
          <w:lang w:val="fr-CA"/>
        </w:rPr>
        <w:t>é</w:t>
      </w:r>
      <w:r w:rsidR="0054608E" w:rsidRPr="0054608E">
        <w:rPr>
          <w:kern w:val="22"/>
          <w:lang w:val="fr-CA"/>
        </w:rPr>
        <w:t xml:space="preserve">union, </w:t>
      </w:r>
      <w:r w:rsidR="001A0AF4" w:rsidRPr="0054608E">
        <w:rPr>
          <w:kern w:val="22"/>
          <w:lang w:val="fr-CA"/>
        </w:rPr>
        <w:t>d</w:t>
      </w:r>
      <w:r w:rsidR="001A0AF4">
        <w:rPr>
          <w:kern w:val="22"/>
          <w:lang w:val="fr-CA"/>
        </w:rPr>
        <w:t>é</w:t>
      </w:r>
      <w:r w:rsidR="001A0AF4" w:rsidRPr="0054608E">
        <w:rPr>
          <w:kern w:val="22"/>
          <w:lang w:val="fr-CA"/>
        </w:rPr>
        <w:t>cision XII/4</w:t>
      </w:r>
      <w:r w:rsidR="001A0AF4">
        <w:rPr>
          <w:kern w:val="22"/>
          <w:lang w:val="fr-CA"/>
        </w:rPr>
        <w:t xml:space="preserve">, </w:t>
      </w:r>
      <w:r>
        <w:rPr>
          <w:kern w:val="22"/>
          <w:lang w:val="fr-CA"/>
        </w:rPr>
        <w:t>l</w:t>
      </w:r>
      <w:r w:rsidRPr="0054608E">
        <w:rPr>
          <w:kern w:val="22"/>
          <w:lang w:val="fr-CA"/>
        </w:rPr>
        <w:t>a Conf</w:t>
      </w:r>
      <w:r>
        <w:rPr>
          <w:kern w:val="22"/>
          <w:lang w:val="fr-CA"/>
        </w:rPr>
        <w:t>érence des Parties s’est réjouie</w:t>
      </w:r>
      <w:r w:rsidRPr="0054608E">
        <w:rPr>
          <w:kern w:val="22"/>
          <w:lang w:val="fr-CA"/>
        </w:rPr>
        <w:t xml:space="preserve"> </w:t>
      </w:r>
      <w:r w:rsidR="0054608E" w:rsidRPr="0054608E">
        <w:rPr>
          <w:kern w:val="22"/>
          <w:lang w:val="fr-CA"/>
        </w:rPr>
        <w:t>des progr</w:t>
      </w:r>
      <w:r w:rsidR="0054608E">
        <w:rPr>
          <w:kern w:val="22"/>
          <w:lang w:val="fr-CA"/>
        </w:rPr>
        <w:t>ès</w:t>
      </w:r>
      <w:r w:rsidR="0054608E" w:rsidRPr="0054608E">
        <w:rPr>
          <w:kern w:val="22"/>
          <w:lang w:val="fr-CA"/>
        </w:rPr>
        <w:t xml:space="preserve"> </w:t>
      </w:r>
      <w:r w:rsidR="0054608E">
        <w:rPr>
          <w:kern w:val="22"/>
          <w:lang w:val="fr-CA"/>
        </w:rPr>
        <w:t>accomp</w:t>
      </w:r>
      <w:r w:rsidR="001A0AF4">
        <w:rPr>
          <w:kern w:val="22"/>
          <w:lang w:val="fr-CA"/>
        </w:rPr>
        <w:t xml:space="preserve">lis </w:t>
      </w:r>
      <w:r>
        <w:rPr>
          <w:kern w:val="22"/>
          <w:lang w:val="fr-CA"/>
        </w:rPr>
        <w:t>depuis sa huitième réunion</w:t>
      </w:r>
      <w:r>
        <w:rPr>
          <w:kern w:val="22"/>
          <w:lang w:val="fr-CA"/>
        </w:rPr>
        <w:t xml:space="preserve"> </w:t>
      </w:r>
      <w:r w:rsidR="0054608E" w:rsidRPr="0054608E">
        <w:rPr>
          <w:kern w:val="22"/>
          <w:lang w:val="fr-CA"/>
        </w:rPr>
        <w:t>dans certains secteurs d’</w:t>
      </w:r>
      <w:r w:rsidR="001A0AF4">
        <w:rPr>
          <w:kern w:val="22"/>
          <w:lang w:val="fr-CA"/>
        </w:rPr>
        <w:t>activité</w:t>
      </w:r>
      <w:r>
        <w:rPr>
          <w:kern w:val="22"/>
          <w:lang w:val="fr-CA"/>
        </w:rPr>
        <w:t>s en lien avec</w:t>
      </w:r>
      <w:r w:rsidR="0054608E" w:rsidRPr="0054608E">
        <w:rPr>
          <w:kern w:val="22"/>
          <w:lang w:val="fr-CA"/>
        </w:rPr>
        <w:t xml:space="preserve"> la responsabilité et de la réparation</w:t>
      </w:r>
      <w:r w:rsidR="00E6320A" w:rsidRPr="0054608E">
        <w:rPr>
          <w:kern w:val="22"/>
          <w:lang w:val="fr-CA"/>
        </w:rPr>
        <w:t>,</w:t>
      </w:r>
      <w:r w:rsidR="001A0AF4">
        <w:rPr>
          <w:kern w:val="22"/>
          <w:lang w:val="fr-CA"/>
        </w:rPr>
        <w:t xml:space="preserve"> notamment en ce qui concerne l’élaboration d’une orientation sur la res</w:t>
      </w:r>
      <w:r>
        <w:rPr>
          <w:kern w:val="22"/>
          <w:lang w:val="fr-CA"/>
        </w:rPr>
        <w:t xml:space="preserve">tauration des écosystèmes, et les </w:t>
      </w:r>
      <w:r w:rsidR="001A0AF4">
        <w:rPr>
          <w:kern w:val="22"/>
          <w:lang w:val="fr-CA"/>
        </w:rPr>
        <w:t xml:space="preserve">outils pour établir la valeur de la diversité biologique. </w:t>
      </w:r>
      <w:r w:rsidR="001A0AF4" w:rsidRPr="006104CB">
        <w:rPr>
          <w:kern w:val="22"/>
          <w:lang w:val="fr-CA"/>
        </w:rPr>
        <w:t>Elle a invité les P</w:t>
      </w:r>
      <w:r w:rsidR="006104CB">
        <w:rPr>
          <w:kern w:val="22"/>
          <w:lang w:val="fr-CA"/>
        </w:rPr>
        <w:t>a</w:t>
      </w:r>
      <w:r w:rsidR="001A0AF4" w:rsidRPr="006104CB">
        <w:rPr>
          <w:kern w:val="22"/>
          <w:lang w:val="fr-CA"/>
        </w:rPr>
        <w:t xml:space="preserve">rties à tenir compte de certains </w:t>
      </w:r>
      <w:r>
        <w:rPr>
          <w:kern w:val="22"/>
          <w:lang w:val="fr-CA"/>
        </w:rPr>
        <w:t>documents</w:t>
      </w:r>
      <w:r w:rsidR="001A0AF4" w:rsidRPr="006104CB">
        <w:rPr>
          <w:kern w:val="22"/>
          <w:lang w:val="fr-CA"/>
        </w:rPr>
        <w:t xml:space="preserve"> et rapports pertinents dans le cadre de leurs efforts </w:t>
      </w:r>
      <w:r>
        <w:rPr>
          <w:kern w:val="22"/>
          <w:lang w:val="fr-CA"/>
        </w:rPr>
        <w:t>pour</w:t>
      </w:r>
      <w:r w:rsidR="001A0AF4" w:rsidRPr="006104CB">
        <w:rPr>
          <w:kern w:val="22"/>
          <w:lang w:val="fr-CA"/>
        </w:rPr>
        <w:t xml:space="preserve"> élaborer ou</w:t>
      </w:r>
      <w:r w:rsidR="006104CB" w:rsidRPr="006104CB">
        <w:rPr>
          <w:kern w:val="22"/>
          <w:lang w:val="fr-CA"/>
        </w:rPr>
        <w:t xml:space="preserve"> modifier leurs politiques, lois, lignes dir</w:t>
      </w:r>
      <w:r w:rsidR="006104CB">
        <w:rPr>
          <w:kern w:val="22"/>
          <w:lang w:val="fr-CA"/>
        </w:rPr>
        <w:t>ectric</w:t>
      </w:r>
      <w:r w:rsidR="006104CB" w:rsidRPr="006104CB">
        <w:rPr>
          <w:kern w:val="22"/>
          <w:lang w:val="fr-CA"/>
        </w:rPr>
        <w:t>es ou mesures administratives</w:t>
      </w:r>
      <w:r>
        <w:rPr>
          <w:kern w:val="22"/>
          <w:lang w:val="fr-CA"/>
        </w:rPr>
        <w:t xml:space="preserve"> nationales</w:t>
      </w:r>
      <w:r w:rsidR="006104CB" w:rsidRPr="006104CB">
        <w:rPr>
          <w:kern w:val="22"/>
          <w:lang w:val="fr-CA"/>
        </w:rPr>
        <w:t xml:space="preserve"> en mati</w:t>
      </w:r>
      <w:r w:rsidR="006104CB">
        <w:rPr>
          <w:kern w:val="22"/>
          <w:lang w:val="fr-CA"/>
        </w:rPr>
        <w:t xml:space="preserve">ère de responsabilité et réparation des dommages causés à la diversité biologique, dont les </w:t>
      </w:r>
      <w:r w:rsidR="00D85657">
        <w:rPr>
          <w:kern w:val="22"/>
          <w:lang w:val="fr-CA"/>
        </w:rPr>
        <w:t>« Directives pour l’élaboration d’une législation nationale sur la responsabilité, l’intervention et l’indemnisation en cas de dommages causés à l’environnement par des activités dangereuses »</w:t>
      </w:r>
      <w:r w:rsidR="00E6320A" w:rsidRPr="00C81964">
        <w:rPr>
          <w:kern w:val="22"/>
          <w:vertAlign w:val="superscript"/>
          <w:lang w:val="fr-CA"/>
        </w:rPr>
        <w:footnoteReference w:id="3"/>
      </w:r>
      <w:r w:rsidR="00E6320A" w:rsidRPr="006104CB">
        <w:rPr>
          <w:kern w:val="22"/>
          <w:lang w:val="fr-CA"/>
        </w:rPr>
        <w:t xml:space="preserve"> </w:t>
      </w:r>
      <w:r w:rsidR="00D85657">
        <w:rPr>
          <w:kern w:val="22"/>
          <w:lang w:val="fr-CA"/>
        </w:rPr>
        <w:t>adoptées en 2010 par le Programme des Nations Unies pour l’environnement, et le rapport de synthèse du Secr</w:t>
      </w:r>
      <w:r w:rsidR="007F7264">
        <w:rPr>
          <w:kern w:val="22"/>
          <w:lang w:val="fr-CA"/>
        </w:rPr>
        <w:t>é</w:t>
      </w:r>
      <w:r w:rsidR="00D85657">
        <w:rPr>
          <w:kern w:val="22"/>
          <w:lang w:val="fr-CA"/>
        </w:rPr>
        <w:t xml:space="preserve">tariat sur les </w:t>
      </w:r>
      <w:r w:rsidR="007F7264">
        <w:rPr>
          <w:kern w:val="22"/>
          <w:lang w:val="fr-CA"/>
        </w:rPr>
        <w:t>informations techniques concernant les dommages causés à la diversité biologique et les méthodes d’évaluation et de restauration des dommages causés à la diversité biologique</w:t>
      </w:r>
      <w:r w:rsidR="007F7264">
        <w:rPr>
          <w:kern w:val="22"/>
          <w:vertAlign w:val="superscript"/>
        </w:rPr>
        <w:footnoteReference w:id="4"/>
      </w:r>
      <w:r w:rsidR="007F7264" w:rsidRPr="007F7264">
        <w:rPr>
          <w:kern w:val="22"/>
          <w:lang w:val="fr-CA"/>
        </w:rPr>
        <w:t xml:space="preserve">, </w:t>
      </w:r>
      <w:r w:rsidR="007F7264">
        <w:rPr>
          <w:kern w:val="22"/>
          <w:lang w:val="fr-CA"/>
        </w:rPr>
        <w:t>préparé</w:t>
      </w:r>
      <w:r w:rsidR="007F7264" w:rsidRPr="007F7264">
        <w:rPr>
          <w:kern w:val="22"/>
          <w:lang w:val="fr-CA"/>
        </w:rPr>
        <w:t xml:space="preserve"> </w:t>
      </w:r>
      <w:r w:rsidR="0025289B">
        <w:rPr>
          <w:kern w:val="22"/>
          <w:lang w:val="fr-CA"/>
        </w:rPr>
        <w:t xml:space="preserve">pour </w:t>
      </w:r>
      <w:r w:rsidR="007F7264">
        <w:rPr>
          <w:kern w:val="22"/>
          <w:lang w:val="fr-CA"/>
        </w:rPr>
        <w:t>la Co</w:t>
      </w:r>
      <w:r w:rsidR="007F7264" w:rsidRPr="007F7264">
        <w:rPr>
          <w:kern w:val="22"/>
          <w:lang w:val="fr-CA"/>
        </w:rPr>
        <w:t xml:space="preserve">nférence des Parties </w:t>
      </w:r>
      <w:r w:rsidR="0025289B">
        <w:rPr>
          <w:kern w:val="22"/>
          <w:lang w:val="fr-CA"/>
        </w:rPr>
        <w:t xml:space="preserve">et examiné par celle-ci </w:t>
      </w:r>
      <w:r w:rsidR="007F7264">
        <w:rPr>
          <w:kern w:val="22"/>
          <w:lang w:val="fr-CA"/>
        </w:rPr>
        <w:t>à sa neuvième réunion.</w:t>
      </w:r>
    </w:p>
    <w:p w:rsidR="0027598B" w:rsidRPr="00C81964" w:rsidRDefault="00F43DEB" w:rsidP="00E6320A">
      <w:pPr>
        <w:pStyle w:val="Body"/>
        <w:numPr>
          <w:ilvl w:val="0"/>
          <w:numId w:val="2"/>
        </w:numPr>
        <w:spacing w:before="120" w:after="160"/>
        <w:ind w:left="0" w:firstLine="0"/>
        <w:rPr>
          <w:lang w:val="fr-CA"/>
        </w:rPr>
      </w:pPr>
      <w:r>
        <w:rPr>
          <w:kern w:val="22"/>
          <w:lang w:val="fr-CA"/>
        </w:rPr>
        <w:t>La Conférence des Parties a décidé d’examiner le point plus en profondeur à sa quatorzième réunion, à partir de l’information</w:t>
      </w:r>
      <w:r w:rsidR="00241E93">
        <w:rPr>
          <w:kern w:val="22"/>
          <w:lang w:val="fr-CA"/>
        </w:rPr>
        <w:t xml:space="preserve"> que la Secrétaire exécutive fournira, </w:t>
      </w:r>
      <w:r w:rsidR="0025289B">
        <w:rPr>
          <w:kern w:val="22"/>
          <w:lang w:val="fr-CA"/>
        </w:rPr>
        <w:t>notamment</w:t>
      </w:r>
      <w:r w:rsidR="00241E93">
        <w:rPr>
          <w:kern w:val="22"/>
          <w:lang w:val="fr-CA"/>
        </w:rPr>
        <w:t xml:space="preserve"> l’information </w:t>
      </w:r>
      <w:r w:rsidR="0025289B">
        <w:rPr>
          <w:kern w:val="22"/>
          <w:lang w:val="fr-CA"/>
        </w:rPr>
        <w:t>potentielle</w:t>
      </w:r>
      <w:r w:rsidR="00241E93">
        <w:rPr>
          <w:kern w:val="22"/>
          <w:lang w:val="fr-CA"/>
        </w:rPr>
        <w:t xml:space="preserve"> sur les nouveaux développements dans l’adoption et la mise en œuvre des mesures </w:t>
      </w:r>
      <w:r w:rsidR="006A48DB">
        <w:rPr>
          <w:kern w:val="22"/>
          <w:lang w:val="fr-CA"/>
        </w:rPr>
        <w:t>d’intervention</w:t>
      </w:r>
      <w:r w:rsidR="00241E93">
        <w:rPr>
          <w:kern w:val="22"/>
          <w:lang w:val="fr-CA"/>
        </w:rPr>
        <w:t xml:space="preserve"> (dont la restauration et l’indemnisation) pour les dommages </w:t>
      </w:r>
      <w:r w:rsidR="0025289B">
        <w:rPr>
          <w:kern w:val="22"/>
          <w:lang w:val="fr-CA"/>
        </w:rPr>
        <w:t xml:space="preserve">causés </w:t>
      </w:r>
      <w:r w:rsidR="00241E93">
        <w:rPr>
          <w:kern w:val="22"/>
          <w:lang w:val="fr-CA"/>
        </w:rPr>
        <w:t>à l’environnement de manière générale, et la diversité biologique en particulier</w:t>
      </w:r>
      <w:r w:rsidR="00E6320A" w:rsidRPr="00C81964">
        <w:rPr>
          <w:kern w:val="22"/>
          <w:lang w:val="fr-CA"/>
        </w:rPr>
        <w:t>.</w:t>
      </w:r>
    </w:p>
    <w:p w:rsidR="0027598B" w:rsidRPr="00C81964" w:rsidRDefault="00241E93" w:rsidP="00E6320A">
      <w:pPr>
        <w:pStyle w:val="Body"/>
        <w:numPr>
          <w:ilvl w:val="0"/>
          <w:numId w:val="2"/>
        </w:numPr>
        <w:spacing w:before="120" w:after="120"/>
        <w:ind w:left="0" w:firstLine="0"/>
        <w:rPr>
          <w:lang w:val="fr-CA"/>
        </w:rPr>
      </w:pPr>
      <w:r>
        <w:rPr>
          <w:kern w:val="22"/>
          <w:lang w:val="fr-CA"/>
        </w:rPr>
        <w:t>En conséquence, le présent document contient de l’information sur certains développements récents</w:t>
      </w:r>
      <w:r w:rsidR="00AB2F6B">
        <w:rPr>
          <w:kern w:val="22"/>
          <w:lang w:val="fr-CA"/>
        </w:rPr>
        <w:t xml:space="preserve"> en lien avec les enjeux concernant les dommages causés à l’environnement en général, et la diversité biologique en particulier</w:t>
      </w:r>
      <w:r w:rsidR="00E6320A" w:rsidRPr="00C81964">
        <w:rPr>
          <w:kern w:val="22"/>
          <w:lang w:val="fr-CA"/>
        </w:rPr>
        <w:t>.</w:t>
      </w:r>
      <w:r w:rsidR="008A5BD4">
        <w:rPr>
          <w:kern w:val="22"/>
          <w:lang w:val="fr-CA"/>
        </w:rPr>
        <w:t xml:space="preserve"> La partie II présente un aperçu de certains développements concernant la responsabilité dans le contexte de la C</w:t>
      </w:r>
      <w:r w:rsidR="00E01C41">
        <w:rPr>
          <w:kern w:val="22"/>
          <w:lang w:val="fr-CA"/>
        </w:rPr>
        <w:t xml:space="preserve">onvention. La partie II résume ces développements et </w:t>
      </w:r>
      <w:r w:rsidR="00F37771">
        <w:rPr>
          <w:kern w:val="22"/>
          <w:lang w:val="fr-CA"/>
        </w:rPr>
        <w:t>présente</w:t>
      </w:r>
      <w:r w:rsidR="00E01C41">
        <w:rPr>
          <w:kern w:val="22"/>
          <w:lang w:val="fr-CA"/>
        </w:rPr>
        <w:t xml:space="preserve"> </w:t>
      </w:r>
      <w:r w:rsidR="008A5BD4">
        <w:rPr>
          <w:kern w:val="22"/>
          <w:lang w:val="fr-CA"/>
        </w:rPr>
        <w:t>un jugement de la Cour</w:t>
      </w:r>
      <w:r w:rsidR="00584372">
        <w:rPr>
          <w:kern w:val="22"/>
          <w:lang w:val="fr-CA"/>
        </w:rPr>
        <w:t xml:space="preserve"> internationale de Justic</w:t>
      </w:r>
      <w:r w:rsidR="008A5BD4">
        <w:rPr>
          <w:kern w:val="22"/>
          <w:lang w:val="fr-CA"/>
        </w:rPr>
        <w:t>e</w:t>
      </w:r>
      <w:r w:rsidR="00E01C41">
        <w:rPr>
          <w:kern w:val="22"/>
          <w:lang w:val="fr-CA"/>
        </w:rPr>
        <w:t xml:space="preserve"> daté du 2 février 2018</w:t>
      </w:r>
      <w:r w:rsidR="00584372">
        <w:rPr>
          <w:kern w:val="22"/>
          <w:lang w:val="fr-CA"/>
        </w:rPr>
        <w:t xml:space="preserve">, dans lequel la Cour prend note pour une première fois de </w:t>
      </w:r>
      <w:r w:rsidR="00051461">
        <w:rPr>
          <w:kern w:val="22"/>
          <w:lang w:val="fr-CA"/>
        </w:rPr>
        <w:t>la dégradation</w:t>
      </w:r>
      <w:r w:rsidR="00584372">
        <w:rPr>
          <w:kern w:val="22"/>
          <w:lang w:val="fr-CA"/>
        </w:rPr>
        <w:t xml:space="preserve"> et de la perte de capacité de l’environnement de fournir des biens et services </w:t>
      </w:r>
      <w:r w:rsidR="00E01C41">
        <w:rPr>
          <w:kern w:val="22"/>
          <w:lang w:val="fr-CA"/>
        </w:rPr>
        <w:t>susceptibles d’une indemnisation</w:t>
      </w:r>
      <w:r w:rsidR="00176D7F">
        <w:rPr>
          <w:kern w:val="22"/>
          <w:lang w:val="fr-CA"/>
        </w:rPr>
        <w:t xml:space="preserve"> en vertu du droit international.</w:t>
      </w:r>
    </w:p>
    <w:p w:rsidR="0027598B" w:rsidRPr="00176D7F" w:rsidRDefault="00176D7F" w:rsidP="00E6320A">
      <w:pPr>
        <w:pStyle w:val="Body"/>
        <w:numPr>
          <w:ilvl w:val="0"/>
          <w:numId w:val="2"/>
        </w:numPr>
        <w:spacing w:before="120" w:after="120"/>
        <w:ind w:left="0" w:firstLine="0"/>
        <w:rPr>
          <w:lang w:val="fr-CA"/>
        </w:rPr>
      </w:pPr>
      <w:r w:rsidRPr="00176D7F">
        <w:rPr>
          <w:kern w:val="22"/>
          <w:lang w:val="fr-CA"/>
        </w:rPr>
        <w:lastRenderedPageBreak/>
        <w:t>La partie III présente</w:t>
      </w:r>
      <w:r>
        <w:rPr>
          <w:kern w:val="22"/>
          <w:lang w:val="fr-CA"/>
        </w:rPr>
        <w:t xml:space="preserve"> de courtes observations extraites de l’examen des développements réce</w:t>
      </w:r>
      <w:r w:rsidR="00826F8F">
        <w:rPr>
          <w:kern w:val="22"/>
          <w:lang w:val="fr-CA"/>
        </w:rPr>
        <w:t>nts soulignés dans la partie II</w:t>
      </w:r>
      <w:r>
        <w:rPr>
          <w:kern w:val="22"/>
          <w:lang w:val="fr-CA"/>
        </w:rPr>
        <w:t xml:space="preserve"> et la partie IV propose des éléments pour un projet de décision</w:t>
      </w:r>
      <w:r w:rsidR="00E6320A" w:rsidRPr="00176D7F">
        <w:rPr>
          <w:kern w:val="22"/>
          <w:lang w:val="fr-CA"/>
        </w:rPr>
        <w:t>.</w:t>
      </w:r>
    </w:p>
    <w:p w:rsidR="0027598B" w:rsidRPr="00C81964" w:rsidRDefault="00E6320A" w:rsidP="00E6320A">
      <w:pPr>
        <w:pStyle w:val="Body"/>
        <w:spacing w:before="120" w:after="240"/>
        <w:ind w:left="1560" w:hanging="708"/>
        <w:jc w:val="left"/>
        <w:rPr>
          <w:b/>
          <w:bCs/>
          <w:lang w:val="fr-CA"/>
        </w:rPr>
      </w:pPr>
      <w:r w:rsidRPr="00C81964">
        <w:rPr>
          <w:b/>
          <w:bCs/>
          <w:lang w:val="fr-CA"/>
        </w:rPr>
        <w:t>II.</w:t>
      </w:r>
      <w:r w:rsidRPr="00C81964">
        <w:rPr>
          <w:b/>
          <w:bCs/>
          <w:lang w:val="fr-CA"/>
        </w:rPr>
        <w:tab/>
      </w:r>
      <w:r w:rsidR="00176D7F">
        <w:rPr>
          <w:b/>
          <w:bCs/>
          <w:lang w:val="fr-CA"/>
        </w:rPr>
        <w:t xml:space="preserve">CERTAINS DÉVELOPPEMENTS RÉCENTS PERTINENTS À LA QUESTION DE LA RESPONSABILITÉ ET </w:t>
      </w:r>
      <w:r w:rsidR="00F37771">
        <w:rPr>
          <w:b/>
          <w:bCs/>
          <w:lang w:val="fr-CA"/>
        </w:rPr>
        <w:t xml:space="preserve">LA </w:t>
      </w:r>
      <w:r w:rsidR="00176D7F">
        <w:rPr>
          <w:b/>
          <w:bCs/>
          <w:lang w:val="fr-CA"/>
        </w:rPr>
        <w:t>RÉPARATION POUR LES DOMMAGES CAUSÉS À L’ENVIRONNEMENT OU LA DIVERSITÉ BIOLOGIQUE</w:t>
      </w:r>
    </w:p>
    <w:p w:rsidR="0027598B" w:rsidRPr="00C81964" w:rsidRDefault="00E6320A">
      <w:pPr>
        <w:pStyle w:val="Titre2"/>
        <w:rPr>
          <w:i/>
          <w:iCs/>
          <w:lang w:val="fr-CA"/>
        </w:rPr>
      </w:pPr>
      <w:r w:rsidRPr="00C81964">
        <w:rPr>
          <w:lang w:val="fr-CA"/>
        </w:rPr>
        <w:t>A.</w:t>
      </w:r>
      <w:r w:rsidRPr="00C81964">
        <w:rPr>
          <w:lang w:val="fr-CA"/>
        </w:rPr>
        <w:tab/>
      </w:r>
      <w:r w:rsidR="000F6660">
        <w:rPr>
          <w:lang w:val="fr-CA"/>
        </w:rPr>
        <w:t xml:space="preserve">Entrée en vigueur du </w:t>
      </w:r>
      <w:r w:rsidR="00826F8F">
        <w:rPr>
          <w:lang w:val="fr-CA"/>
        </w:rPr>
        <w:t xml:space="preserve">Protocole additionnel de Nagoya – </w:t>
      </w:r>
      <w:r w:rsidR="000F6660">
        <w:rPr>
          <w:lang w:val="fr-CA"/>
        </w:rPr>
        <w:t>Kuala Lumpur</w:t>
      </w:r>
    </w:p>
    <w:p w:rsidR="0027598B" w:rsidRPr="00C81964" w:rsidRDefault="000F6660" w:rsidP="00E6320A">
      <w:pPr>
        <w:pStyle w:val="Body"/>
        <w:numPr>
          <w:ilvl w:val="0"/>
          <w:numId w:val="2"/>
        </w:numPr>
        <w:spacing w:before="120" w:after="120"/>
        <w:ind w:left="0" w:firstLine="0"/>
        <w:rPr>
          <w:lang w:val="fr-CA"/>
        </w:rPr>
      </w:pPr>
      <w:r>
        <w:rPr>
          <w:kern w:val="22"/>
          <w:lang w:val="fr-CA"/>
        </w:rPr>
        <w:t>Le Protocole additionnel de Nagoya-Kuala Lumpur sur la responsabili</w:t>
      </w:r>
      <w:r w:rsidR="006907F0">
        <w:rPr>
          <w:kern w:val="22"/>
          <w:lang w:val="fr-CA"/>
        </w:rPr>
        <w:t xml:space="preserve">té et la réparation a été adopté le 15 octobre 2010, à la cinquième </w:t>
      </w:r>
      <w:r w:rsidR="00826F8F">
        <w:rPr>
          <w:kern w:val="22"/>
          <w:lang w:val="fr-CA"/>
        </w:rPr>
        <w:t xml:space="preserve">réunion de la </w:t>
      </w:r>
      <w:r w:rsidR="006907F0">
        <w:rPr>
          <w:kern w:val="22"/>
          <w:lang w:val="fr-CA"/>
        </w:rPr>
        <w:t>Conférence des Parties siégeant en tant que réunion des Parties au Protocole de Cartagena sur la prévention des risques biotechnologiqu</w:t>
      </w:r>
      <w:r w:rsidR="00826F8F">
        <w:rPr>
          <w:kern w:val="22"/>
          <w:lang w:val="fr-CA"/>
        </w:rPr>
        <w:t>es, dans sa décision BS-V/11. Le</w:t>
      </w:r>
      <w:r w:rsidR="006907F0">
        <w:rPr>
          <w:kern w:val="22"/>
          <w:lang w:val="fr-CA"/>
        </w:rPr>
        <w:t xml:space="preserve"> Protocole additionnel est entré en vigueur le 5 mars 2018, quatre-vingt-dix jours après la date de dépôt (5 décembre 2017) du quarantième instrument d’acceptation, par le Japon.</w:t>
      </w:r>
    </w:p>
    <w:p w:rsidR="0027598B" w:rsidRPr="00524F12" w:rsidRDefault="00456A59" w:rsidP="00E6320A">
      <w:pPr>
        <w:pStyle w:val="Body"/>
        <w:numPr>
          <w:ilvl w:val="0"/>
          <w:numId w:val="2"/>
        </w:numPr>
        <w:spacing w:before="120" w:after="120"/>
        <w:ind w:left="0" w:firstLine="0"/>
        <w:rPr>
          <w:lang w:val="fr-CA"/>
        </w:rPr>
      </w:pPr>
      <w:r>
        <w:rPr>
          <w:kern w:val="22"/>
          <w:lang w:val="fr-CA"/>
        </w:rPr>
        <w:t>En vertu du</w:t>
      </w:r>
      <w:r w:rsidR="006907F0" w:rsidRPr="006907F0">
        <w:rPr>
          <w:kern w:val="22"/>
          <w:lang w:val="fr-CA"/>
        </w:rPr>
        <w:t xml:space="preserve"> Protocole additionnel</w:t>
      </w:r>
      <w:r>
        <w:rPr>
          <w:kern w:val="22"/>
          <w:lang w:val="fr-CA"/>
        </w:rPr>
        <w:t>,</w:t>
      </w:r>
      <w:r w:rsidR="006907F0">
        <w:rPr>
          <w:kern w:val="22"/>
          <w:lang w:val="fr-CA"/>
        </w:rPr>
        <w:t xml:space="preserve"> les Parties</w:t>
      </w:r>
      <w:r>
        <w:rPr>
          <w:kern w:val="22"/>
          <w:lang w:val="fr-CA"/>
        </w:rPr>
        <w:t xml:space="preserve"> devront obliger l’opérateur </w:t>
      </w:r>
      <w:r w:rsidR="00E824A5">
        <w:rPr>
          <w:kern w:val="22"/>
          <w:lang w:val="fr-CA"/>
        </w:rPr>
        <w:t>approprié</w:t>
      </w:r>
      <w:r>
        <w:rPr>
          <w:kern w:val="22"/>
          <w:lang w:val="fr-CA"/>
        </w:rPr>
        <w:t xml:space="preserve"> à prendre des mesures d’interventi</w:t>
      </w:r>
      <w:r w:rsidR="00F37771">
        <w:rPr>
          <w:kern w:val="22"/>
          <w:lang w:val="fr-CA"/>
        </w:rPr>
        <w:t>on lors de dommages causés par d</w:t>
      </w:r>
      <w:r>
        <w:rPr>
          <w:kern w:val="22"/>
          <w:lang w:val="fr-CA"/>
        </w:rPr>
        <w:t xml:space="preserve">es organismes vivants modifiés </w:t>
      </w:r>
      <w:r w:rsidR="00826F8F">
        <w:rPr>
          <w:kern w:val="22"/>
          <w:lang w:val="fr-CA"/>
        </w:rPr>
        <w:t>dans le contexte</w:t>
      </w:r>
      <w:r>
        <w:rPr>
          <w:kern w:val="22"/>
          <w:lang w:val="fr-CA"/>
        </w:rPr>
        <w:t xml:space="preserve"> d’un mouvement transfrontalier</w:t>
      </w:r>
      <w:r w:rsidR="00826F8F">
        <w:rPr>
          <w:kern w:val="22"/>
          <w:lang w:val="fr-CA"/>
        </w:rPr>
        <w:t>.</w:t>
      </w:r>
      <w:r w:rsidR="00E6320A" w:rsidRPr="00C81964">
        <w:rPr>
          <w:kern w:val="22"/>
          <w:vertAlign w:val="superscript"/>
          <w:lang w:val="fr-CA"/>
        </w:rPr>
        <w:footnoteReference w:id="5"/>
      </w:r>
      <w:r w:rsidR="00E6320A" w:rsidRPr="006907F0">
        <w:rPr>
          <w:kern w:val="22"/>
          <w:lang w:val="fr-CA"/>
        </w:rPr>
        <w:t xml:space="preserve"> </w:t>
      </w:r>
      <w:r w:rsidRPr="00407E86">
        <w:rPr>
          <w:kern w:val="22"/>
          <w:lang w:val="fr-CA"/>
        </w:rPr>
        <w:t xml:space="preserve">L’opérateur devra également appliquer ces mesures </w:t>
      </w:r>
      <w:r w:rsidR="00407E86" w:rsidRPr="00407E86">
        <w:rPr>
          <w:kern w:val="22"/>
          <w:lang w:val="fr-CA"/>
        </w:rPr>
        <w:t>lorsque l’absence de me</w:t>
      </w:r>
      <w:r w:rsidR="00407E86">
        <w:rPr>
          <w:kern w:val="22"/>
          <w:lang w:val="fr-CA"/>
        </w:rPr>
        <w:t xml:space="preserve">sures d’intervention </w:t>
      </w:r>
      <w:r w:rsidR="00E824A5">
        <w:rPr>
          <w:kern w:val="22"/>
          <w:lang w:val="fr-CA"/>
        </w:rPr>
        <w:t xml:space="preserve">prises en temps opportun </w:t>
      </w:r>
      <w:r w:rsidR="00407E86">
        <w:rPr>
          <w:kern w:val="22"/>
          <w:lang w:val="fr-CA"/>
        </w:rPr>
        <w:t xml:space="preserve">causera vraisemblablement des dommages. </w:t>
      </w:r>
      <w:r w:rsidR="00407E86" w:rsidRPr="00407E86">
        <w:rPr>
          <w:kern w:val="22"/>
          <w:lang w:val="fr-CA"/>
        </w:rPr>
        <w:t xml:space="preserve">Le Protocole additionnel </w:t>
      </w:r>
      <w:r w:rsidR="00826F8F">
        <w:rPr>
          <w:kern w:val="22"/>
          <w:lang w:val="fr-CA"/>
        </w:rPr>
        <w:t>confère un rôle central à</w:t>
      </w:r>
      <w:r w:rsidR="00407E86" w:rsidRPr="00407E86">
        <w:rPr>
          <w:kern w:val="22"/>
          <w:lang w:val="fr-CA"/>
        </w:rPr>
        <w:t xml:space="preserve"> «</w:t>
      </w:r>
      <w:r w:rsidR="00153590">
        <w:rPr>
          <w:kern w:val="22"/>
          <w:lang w:val="fr-CA"/>
        </w:rPr>
        <w:t> </w:t>
      </w:r>
      <w:r w:rsidR="00407E86" w:rsidRPr="00407E86">
        <w:rPr>
          <w:kern w:val="22"/>
          <w:lang w:val="fr-CA"/>
        </w:rPr>
        <w:t xml:space="preserve">l’autorité </w:t>
      </w:r>
      <w:r w:rsidR="00407E86">
        <w:rPr>
          <w:kern w:val="22"/>
          <w:lang w:val="fr-CA"/>
        </w:rPr>
        <w:t>compétent</w:t>
      </w:r>
      <w:r w:rsidR="00826F8F">
        <w:rPr>
          <w:kern w:val="22"/>
          <w:lang w:val="fr-CA"/>
        </w:rPr>
        <w:t>e »</w:t>
      </w:r>
      <w:r w:rsidR="00407E86" w:rsidRPr="00407E86">
        <w:rPr>
          <w:kern w:val="22"/>
          <w:lang w:val="fr-CA"/>
        </w:rPr>
        <w:t>. L’autorité co</w:t>
      </w:r>
      <w:r w:rsidR="00407E86">
        <w:rPr>
          <w:kern w:val="22"/>
          <w:lang w:val="fr-CA"/>
        </w:rPr>
        <w:t>mp</w:t>
      </w:r>
      <w:r w:rsidR="00407E86" w:rsidRPr="00407E86">
        <w:rPr>
          <w:kern w:val="22"/>
          <w:lang w:val="fr-CA"/>
        </w:rPr>
        <w:t>étente devra id</w:t>
      </w:r>
      <w:r w:rsidR="00210420">
        <w:rPr>
          <w:kern w:val="22"/>
          <w:lang w:val="fr-CA"/>
        </w:rPr>
        <w:t>entifier l’opérateur ayant causé</w:t>
      </w:r>
      <w:r w:rsidR="00407E86" w:rsidRPr="00407E86">
        <w:rPr>
          <w:kern w:val="22"/>
          <w:lang w:val="fr-CA"/>
        </w:rPr>
        <w:t xml:space="preserve"> les dommages, </w:t>
      </w:r>
      <w:r w:rsidR="00407E86">
        <w:rPr>
          <w:kern w:val="22"/>
          <w:lang w:val="fr-CA"/>
        </w:rPr>
        <w:t>évaluer ces dommages et déterminer les mesures d’intervention que devra prendre l’opérateur</w:t>
      </w:r>
      <w:r w:rsidR="00E6320A" w:rsidRPr="00407E86">
        <w:rPr>
          <w:kern w:val="22"/>
          <w:lang w:val="fr-CA"/>
        </w:rPr>
        <w:t>.</w:t>
      </w:r>
      <w:r w:rsidR="00E6320A" w:rsidRPr="00C81964">
        <w:rPr>
          <w:kern w:val="22"/>
          <w:vertAlign w:val="superscript"/>
          <w:lang w:val="fr-CA"/>
        </w:rPr>
        <w:footnoteReference w:id="6"/>
      </w:r>
      <w:r w:rsidR="00E6320A" w:rsidRPr="00407E86">
        <w:rPr>
          <w:kern w:val="22"/>
          <w:lang w:val="fr-CA"/>
        </w:rPr>
        <w:t xml:space="preserve"> </w:t>
      </w:r>
      <w:r w:rsidR="00E824A5" w:rsidRPr="00524F12">
        <w:rPr>
          <w:kern w:val="22"/>
          <w:lang w:val="fr-CA"/>
        </w:rPr>
        <w:t>Les mesures d’intervention consistent en toute mesure</w:t>
      </w:r>
      <w:r w:rsidR="00524F12" w:rsidRPr="00524F12">
        <w:rPr>
          <w:kern w:val="22"/>
          <w:lang w:val="fr-CA"/>
        </w:rPr>
        <w:t xml:space="preserve"> raisonnable prise pour prévenir, minimi</w:t>
      </w:r>
      <w:r w:rsidR="00524F12">
        <w:rPr>
          <w:kern w:val="22"/>
          <w:lang w:val="fr-CA"/>
        </w:rPr>
        <w:t>s</w:t>
      </w:r>
      <w:r w:rsidR="00524F12" w:rsidRPr="00524F12">
        <w:rPr>
          <w:kern w:val="22"/>
          <w:lang w:val="fr-CA"/>
        </w:rPr>
        <w:t>er,</w:t>
      </w:r>
      <w:r w:rsidR="00524F12">
        <w:rPr>
          <w:kern w:val="22"/>
          <w:lang w:val="fr-CA"/>
        </w:rPr>
        <w:t xml:space="preserve"> co</w:t>
      </w:r>
      <w:r w:rsidR="00524F12" w:rsidRPr="00524F12">
        <w:rPr>
          <w:kern w:val="22"/>
          <w:lang w:val="fr-CA"/>
        </w:rPr>
        <w:t>n</w:t>
      </w:r>
      <w:r w:rsidR="00524F12">
        <w:rPr>
          <w:kern w:val="22"/>
          <w:lang w:val="fr-CA"/>
        </w:rPr>
        <w:t>finer, atténuer ou autrement évi</w:t>
      </w:r>
      <w:r w:rsidR="00524F12" w:rsidRPr="00524F12">
        <w:rPr>
          <w:kern w:val="22"/>
          <w:lang w:val="fr-CA"/>
        </w:rPr>
        <w:t>ter le dommage, afin de restaurer la diversité biologique</w:t>
      </w:r>
      <w:r w:rsidR="00E6320A" w:rsidRPr="00524F12">
        <w:rPr>
          <w:kern w:val="22"/>
          <w:lang w:val="fr-CA"/>
        </w:rPr>
        <w:t>.</w:t>
      </w:r>
      <w:r w:rsidR="00E6320A" w:rsidRPr="00C81964">
        <w:rPr>
          <w:kern w:val="22"/>
          <w:vertAlign w:val="superscript"/>
          <w:lang w:val="fr-CA"/>
        </w:rPr>
        <w:footnoteReference w:id="7"/>
      </w:r>
    </w:p>
    <w:p w:rsidR="0027598B" w:rsidRPr="003A67E5" w:rsidRDefault="00524F12" w:rsidP="00E6320A">
      <w:pPr>
        <w:pStyle w:val="Body"/>
        <w:numPr>
          <w:ilvl w:val="0"/>
          <w:numId w:val="2"/>
        </w:numPr>
        <w:spacing w:before="120" w:after="120"/>
        <w:ind w:left="0" w:firstLine="0"/>
        <w:rPr>
          <w:lang w:val="fr-CA"/>
        </w:rPr>
      </w:pPr>
      <w:r w:rsidRPr="00524F12">
        <w:rPr>
          <w:kern w:val="22"/>
          <w:lang w:val="fr-CA"/>
        </w:rPr>
        <w:t>Le Protocole additionnel définit u</w:t>
      </w:r>
      <w:r>
        <w:rPr>
          <w:kern w:val="22"/>
          <w:lang w:val="fr-CA"/>
        </w:rPr>
        <w:t xml:space="preserve">n dommage comme étant un effet défavorable </w:t>
      </w:r>
      <w:r w:rsidR="003A67E5">
        <w:rPr>
          <w:kern w:val="22"/>
          <w:lang w:val="fr-CA"/>
        </w:rPr>
        <w:t xml:space="preserve">mesurable ou autrement observable et significatif </w:t>
      </w:r>
      <w:r>
        <w:rPr>
          <w:kern w:val="22"/>
          <w:lang w:val="fr-CA"/>
        </w:rPr>
        <w:t>sur la conservation et l’utilisation durable de la diversité biologique, en tenant compte des risques pour la santé humaine</w:t>
      </w:r>
      <w:r w:rsidR="00E6320A" w:rsidRPr="00524F12">
        <w:rPr>
          <w:kern w:val="22"/>
          <w:lang w:val="fr-CA"/>
        </w:rPr>
        <w:t>.</w:t>
      </w:r>
      <w:r w:rsidR="00E6320A" w:rsidRPr="00C81964">
        <w:rPr>
          <w:kern w:val="22"/>
          <w:vertAlign w:val="superscript"/>
          <w:lang w:val="fr-CA"/>
        </w:rPr>
        <w:footnoteReference w:id="8"/>
      </w:r>
      <w:r w:rsidR="00E6320A" w:rsidRPr="00524F12">
        <w:rPr>
          <w:kern w:val="22"/>
          <w:lang w:val="fr-CA"/>
        </w:rPr>
        <w:t xml:space="preserve"> </w:t>
      </w:r>
      <w:r w:rsidR="003A67E5" w:rsidRPr="003A67E5">
        <w:rPr>
          <w:kern w:val="22"/>
          <w:lang w:val="fr-CA"/>
        </w:rPr>
        <w:t>Les Parties doivent prévoir dans leur droit interne, des r</w:t>
      </w:r>
      <w:r w:rsidR="003A67E5">
        <w:rPr>
          <w:kern w:val="22"/>
          <w:lang w:val="fr-CA"/>
        </w:rPr>
        <w:t>ègles et procédures propres à remédier au dommage et offrant des mesures d’intervention</w:t>
      </w:r>
      <w:r w:rsidR="00E6320A" w:rsidRPr="003A67E5">
        <w:rPr>
          <w:kern w:val="22"/>
          <w:lang w:val="fr-CA"/>
        </w:rPr>
        <w:t>.</w:t>
      </w:r>
      <w:r w:rsidR="00E6320A" w:rsidRPr="00C81964">
        <w:rPr>
          <w:kern w:val="22"/>
          <w:vertAlign w:val="superscript"/>
          <w:lang w:val="fr-CA"/>
        </w:rPr>
        <w:footnoteReference w:id="9"/>
      </w:r>
    </w:p>
    <w:p w:rsidR="0027598B" w:rsidRPr="00076F8D" w:rsidRDefault="003A67E5" w:rsidP="00E6320A">
      <w:pPr>
        <w:pStyle w:val="Body"/>
        <w:numPr>
          <w:ilvl w:val="0"/>
          <w:numId w:val="2"/>
        </w:numPr>
        <w:ind w:left="0" w:firstLine="0"/>
        <w:rPr>
          <w:lang w:val="fr-CA"/>
        </w:rPr>
      </w:pPr>
      <w:r w:rsidRPr="003A67E5">
        <w:rPr>
          <w:kern w:val="22"/>
          <w:lang w:val="fr-CA"/>
        </w:rPr>
        <w:t>Le Protocole additionnel aborde l</w:t>
      </w:r>
      <w:r>
        <w:rPr>
          <w:kern w:val="22"/>
          <w:lang w:val="fr-CA"/>
        </w:rPr>
        <w:t xml:space="preserve">a </w:t>
      </w:r>
      <w:r w:rsidR="00C462B1">
        <w:rPr>
          <w:kern w:val="22"/>
          <w:lang w:val="fr-CA"/>
        </w:rPr>
        <w:t>ques</w:t>
      </w:r>
      <w:r>
        <w:rPr>
          <w:kern w:val="22"/>
          <w:lang w:val="fr-CA"/>
        </w:rPr>
        <w:t>tion d</w:t>
      </w:r>
      <w:r w:rsidR="00C462B1">
        <w:rPr>
          <w:kern w:val="22"/>
          <w:lang w:val="fr-CA"/>
        </w:rPr>
        <w:t>e la sécurité financière et pré</w:t>
      </w:r>
      <w:r>
        <w:rPr>
          <w:kern w:val="22"/>
          <w:lang w:val="fr-CA"/>
        </w:rPr>
        <w:t>voit</w:t>
      </w:r>
      <w:r w:rsidR="00C462B1">
        <w:rPr>
          <w:kern w:val="22"/>
          <w:lang w:val="fr-CA"/>
        </w:rPr>
        <w:t xml:space="preserve"> </w:t>
      </w:r>
      <w:r>
        <w:rPr>
          <w:kern w:val="22"/>
          <w:lang w:val="fr-CA"/>
        </w:rPr>
        <w:t>un processus</w:t>
      </w:r>
      <w:r w:rsidR="00C462B1">
        <w:rPr>
          <w:kern w:val="22"/>
          <w:lang w:val="fr-CA"/>
        </w:rPr>
        <w:t xml:space="preserve"> à cet égard. </w:t>
      </w:r>
      <w:r w:rsidR="00C462B1" w:rsidRPr="00C462B1">
        <w:rPr>
          <w:kern w:val="22"/>
          <w:lang w:val="fr-CA"/>
        </w:rPr>
        <w:t xml:space="preserve">La sécurité financière </w:t>
      </w:r>
      <w:r w:rsidR="00C462B1">
        <w:rPr>
          <w:kern w:val="22"/>
          <w:lang w:val="fr-CA"/>
        </w:rPr>
        <w:t>est axée sur</w:t>
      </w:r>
      <w:r w:rsidR="00C462B1" w:rsidRPr="00C462B1">
        <w:rPr>
          <w:kern w:val="22"/>
          <w:lang w:val="fr-CA"/>
        </w:rPr>
        <w:t xml:space="preserve"> une question fondamentale, à savoir s</w:t>
      </w:r>
      <w:r w:rsidR="00C462B1">
        <w:rPr>
          <w:kern w:val="22"/>
          <w:lang w:val="fr-CA"/>
        </w:rPr>
        <w:t>i l’opérateur doit offrir une garantie d’indemnisation ou une réparation adéquate pour les dommages au moyen d’instruments financiers tels qu’une assurance ou une autre forme de sécurité financière</w:t>
      </w:r>
      <w:r w:rsidR="00E6320A" w:rsidRPr="00C462B1">
        <w:rPr>
          <w:kern w:val="22"/>
          <w:lang w:val="fr-CA"/>
        </w:rPr>
        <w:t>.</w:t>
      </w:r>
      <w:r w:rsidR="00E6320A" w:rsidRPr="00C81964">
        <w:rPr>
          <w:kern w:val="22"/>
          <w:vertAlign w:val="superscript"/>
          <w:lang w:val="fr-CA"/>
        </w:rPr>
        <w:footnoteReference w:id="10"/>
      </w:r>
      <w:r w:rsidR="00E6320A" w:rsidRPr="00C462B1">
        <w:rPr>
          <w:kern w:val="22"/>
          <w:lang w:val="fr-CA"/>
        </w:rPr>
        <w:t xml:space="preserve"> </w:t>
      </w:r>
      <w:r w:rsidR="00076F8D" w:rsidRPr="00076F8D">
        <w:rPr>
          <w:kern w:val="22"/>
          <w:lang w:val="fr-CA"/>
        </w:rPr>
        <w:t xml:space="preserve">La Conférence des Parties siégeant en tant que </w:t>
      </w:r>
      <w:r w:rsidR="00076F8D">
        <w:rPr>
          <w:kern w:val="22"/>
          <w:lang w:val="fr-CA"/>
        </w:rPr>
        <w:t>ré</w:t>
      </w:r>
      <w:r w:rsidR="00210420">
        <w:rPr>
          <w:kern w:val="22"/>
          <w:lang w:val="fr-CA"/>
        </w:rPr>
        <w:t>union des P</w:t>
      </w:r>
      <w:r w:rsidR="00076F8D" w:rsidRPr="00076F8D">
        <w:rPr>
          <w:kern w:val="22"/>
          <w:lang w:val="fr-CA"/>
        </w:rPr>
        <w:t>arti</w:t>
      </w:r>
      <w:r w:rsidR="00076F8D">
        <w:rPr>
          <w:kern w:val="22"/>
          <w:lang w:val="fr-CA"/>
        </w:rPr>
        <w:t xml:space="preserve">es au </w:t>
      </w:r>
      <w:r w:rsidR="00210420">
        <w:rPr>
          <w:kern w:val="22"/>
          <w:lang w:val="fr-CA"/>
        </w:rPr>
        <w:t>Protocole de Cartagena devrait, à</w:t>
      </w:r>
      <w:r w:rsidR="00076F8D">
        <w:rPr>
          <w:kern w:val="22"/>
          <w:lang w:val="fr-CA"/>
        </w:rPr>
        <w:t xml:space="preserve"> sa neuvième réunion, demander au Secrétariat d’entreprendre une étude complète incluant la sécurité financière, comme le prévoit l’article 10 du Protocole additionnel</w:t>
      </w:r>
      <w:r w:rsidR="00E6320A" w:rsidRPr="00076F8D">
        <w:rPr>
          <w:kern w:val="22"/>
          <w:lang w:val="fr-CA"/>
        </w:rPr>
        <w:t>.</w:t>
      </w:r>
      <w:r w:rsidR="00E6320A" w:rsidRPr="00C81964">
        <w:rPr>
          <w:kern w:val="22"/>
          <w:vertAlign w:val="superscript"/>
          <w:lang w:val="fr-CA"/>
        </w:rPr>
        <w:footnoteReference w:id="11"/>
      </w:r>
    </w:p>
    <w:p w:rsidR="0027598B" w:rsidRPr="004B3B56" w:rsidRDefault="00E6320A">
      <w:pPr>
        <w:pStyle w:val="Titre2"/>
        <w:rPr>
          <w:b w:val="0"/>
          <w:bCs w:val="0"/>
          <w:lang w:val="fr-CA"/>
        </w:rPr>
      </w:pPr>
      <w:r w:rsidRPr="004B3B56">
        <w:rPr>
          <w:lang w:val="fr-CA"/>
        </w:rPr>
        <w:lastRenderedPageBreak/>
        <w:t>B.</w:t>
      </w:r>
      <w:r w:rsidRPr="004B3B56">
        <w:rPr>
          <w:lang w:val="fr-CA"/>
        </w:rPr>
        <w:tab/>
      </w:r>
      <w:r w:rsidR="004B3B56" w:rsidRPr="004B3B56">
        <w:rPr>
          <w:lang w:val="fr-CA"/>
        </w:rPr>
        <w:t>Programme de droit environnemental du Programme des Nations Unies pour l’environnement</w:t>
      </w:r>
    </w:p>
    <w:p w:rsidR="0027598B" w:rsidRPr="00C81964" w:rsidRDefault="004B3B56" w:rsidP="00D55143">
      <w:pPr>
        <w:pStyle w:val="Body"/>
        <w:numPr>
          <w:ilvl w:val="0"/>
          <w:numId w:val="3"/>
        </w:numPr>
        <w:tabs>
          <w:tab w:val="left" w:pos="720"/>
        </w:tabs>
        <w:spacing w:before="120" w:after="120"/>
        <w:ind w:left="0" w:firstLine="0"/>
        <w:rPr>
          <w:lang w:val="fr-CA"/>
        </w:rPr>
      </w:pPr>
      <w:r w:rsidRPr="004B3B56">
        <w:rPr>
          <w:kern w:val="22"/>
          <w:lang w:val="fr-CA"/>
        </w:rPr>
        <w:t>Au mois de septembre 2015, le Programme des Nations Unies pour l’environnement a convoqué une «</w:t>
      </w:r>
      <w:r w:rsidR="00153590">
        <w:rPr>
          <w:kern w:val="22"/>
          <w:lang w:val="fr-CA"/>
        </w:rPr>
        <w:t> </w:t>
      </w:r>
      <w:r w:rsidRPr="004B3B56">
        <w:rPr>
          <w:kern w:val="22"/>
          <w:lang w:val="fr-CA"/>
        </w:rPr>
        <w:t>r</w:t>
      </w:r>
      <w:r w:rsidR="00FE6589">
        <w:rPr>
          <w:kern w:val="22"/>
          <w:lang w:val="fr-CA"/>
        </w:rPr>
        <w:t>é</w:t>
      </w:r>
      <w:r w:rsidRPr="004B3B56">
        <w:rPr>
          <w:kern w:val="22"/>
          <w:lang w:val="fr-CA"/>
        </w:rPr>
        <w:t xml:space="preserve">union </w:t>
      </w:r>
      <w:r w:rsidR="00FE6589">
        <w:rPr>
          <w:kern w:val="22"/>
          <w:lang w:val="fr-CA"/>
        </w:rPr>
        <w:t>de</w:t>
      </w:r>
      <w:r w:rsidR="00D55143">
        <w:rPr>
          <w:kern w:val="22"/>
          <w:lang w:val="fr-CA"/>
        </w:rPr>
        <w:t>s</w:t>
      </w:r>
      <w:r w:rsidR="00FE6589">
        <w:rPr>
          <w:kern w:val="22"/>
          <w:lang w:val="fr-CA"/>
        </w:rPr>
        <w:t xml:space="preserve"> hauts fonctionnaires spécialisés en droit envir</w:t>
      </w:r>
      <w:r w:rsidRPr="004B3B56">
        <w:rPr>
          <w:kern w:val="22"/>
          <w:lang w:val="fr-CA"/>
        </w:rPr>
        <w:t>onnemental</w:t>
      </w:r>
      <w:r w:rsidR="00FE6589">
        <w:rPr>
          <w:kern w:val="22"/>
          <w:lang w:val="fr-CA"/>
        </w:rPr>
        <w:t xml:space="preserve"> sur l’examen à mi-mandat du quatrième programme pour le développement et l’examen périodique du droit environnemental ».</w:t>
      </w:r>
    </w:p>
    <w:p w:rsidR="0027598B" w:rsidRPr="00C81964" w:rsidRDefault="00A179CB" w:rsidP="00E6320A">
      <w:pPr>
        <w:pStyle w:val="Body"/>
        <w:numPr>
          <w:ilvl w:val="0"/>
          <w:numId w:val="2"/>
        </w:numPr>
        <w:spacing w:before="120" w:after="120"/>
        <w:ind w:left="0" w:firstLine="0"/>
        <w:rPr>
          <w:lang w:val="fr-CA"/>
        </w:rPr>
      </w:pPr>
      <w:r>
        <w:rPr>
          <w:kern w:val="22"/>
          <w:lang w:val="fr-CA"/>
        </w:rPr>
        <w:t xml:space="preserve">La réunion </w:t>
      </w:r>
      <w:r w:rsidR="0095385B">
        <w:rPr>
          <w:kern w:val="22"/>
          <w:lang w:val="fr-CA"/>
        </w:rPr>
        <w:t>s’est penchée, entre autres</w:t>
      </w:r>
      <w:r>
        <w:rPr>
          <w:kern w:val="22"/>
          <w:lang w:val="fr-CA"/>
        </w:rPr>
        <w:t xml:space="preserve">, </w:t>
      </w:r>
      <w:r w:rsidR="0095385B">
        <w:rPr>
          <w:kern w:val="22"/>
          <w:lang w:val="fr-CA"/>
        </w:rPr>
        <w:t xml:space="preserve">sur </w:t>
      </w:r>
      <w:r>
        <w:rPr>
          <w:kern w:val="22"/>
          <w:lang w:val="fr-CA"/>
        </w:rPr>
        <w:t>l’élaboration de</w:t>
      </w:r>
      <w:r w:rsidR="00D55143">
        <w:rPr>
          <w:kern w:val="22"/>
          <w:lang w:val="fr-CA"/>
        </w:rPr>
        <w:t>s</w:t>
      </w:r>
      <w:r>
        <w:rPr>
          <w:kern w:val="22"/>
          <w:lang w:val="fr-CA"/>
        </w:rPr>
        <w:t xml:space="preserve"> repères internationaux des régimes d’indemnisation en matière de responsabilité et réparation en association avec les industries d</w:t>
      </w:r>
      <w:r w:rsidR="00B335A4">
        <w:rPr>
          <w:kern w:val="22"/>
          <w:lang w:val="fr-CA"/>
        </w:rPr>
        <w:t>e l</w:t>
      </w:r>
      <w:r>
        <w:rPr>
          <w:kern w:val="22"/>
          <w:lang w:val="fr-CA"/>
        </w:rPr>
        <w:t xml:space="preserve">’extraction, en tant que secteur de concentration pour le développement plus </w:t>
      </w:r>
      <w:r w:rsidR="0095385B">
        <w:rPr>
          <w:kern w:val="22"/>
          <w:lang w:val="fr-CA"/>
        </w:rPr>
        <w:t>approfondi</w:t>
      </w:r>
      <w:r>
        <w:rPr>
          <w:kern w:val="22"/>
          <w:lang w:val="fr-CA"/>
        </w:rPr>
        <w:t xml:space="preserve"> du droit </w:t>
      </w:r>
      <w:r w:rsidR="00D55143">
        <w:rPr>
          <w:kern w:val="22"/>
          <w:lang w:val="fr-CA"/>
        </w:rPr>
        <w:t>environnemental</w:t>
      </w:r>
      <w:r>
        <w:rPr>
          <w:kern w:val="22"/>
          <w:lang w:val="fr-CA"/>
        </w:rPr>
        <w:t>. Dans se</w:t>
      </w:r>
      <w:r w:rsidR="0095385B">
        <w:rPr>
          <w:kern w:val="22"/>
          <w:lang w:val="fr-CA"/>
        </w:rPr>
        <w:t xml:space="preserve">s recommandations, la réunion prévoit, </w:t>
      </w:r>
      <w:r w:rsidR="00D55143">
        <w:rPr>
          <w:kern w:val="22"/>
          <w:lang w:val="fr-CA"/>
        </w:rPr>
        <w:t>parmi les</w:t>
      </w:r>
      <w:r w:rsidR="0095385B">
        <w:rPr>
          <w:kern w:val="22"/>
          <w:lang w:val="fr-CA"/>
        </w:rPr>
        <w:t xml:space="preserve"> instruments pertinents, l’élaboration de norm</w:t>
      </w:r>
      <w:r w:rsidR="001609D0">
        <w:rPr>
          <w:kern w:val="22"/>
          <w:lang w:val="fr-CA"/>
        </w:rPr>
        <w:t>es et de procédures internationales pour les industries d</w:t>
      </w:r>
      <w:r w:rsidR="00B335A4">
        <w:rPr>
          <w:kern w:val="22"/>
          <w:lang w:val="fr-CA"/>
        </w:rPr>
        <w:t>e l</w:t>
      </w:r>
      <w:r w:rsidR="001609D0">
        <w:rPr>
          <w:kern w:val="22"/>
          <w:lang w:val="fr-CA"/>
        </w:rPr>
        <w:t xml:space="preserve">’extraction, dont l’exploitation minière marine, et </w:t>
      </w:r>
      <w:r w:rsidR="00D55143">
        <w:rPr>
          <w:kern w:val="22"/>
          <w:lang w:val="fr-CA"/>
        </w:rPr>
        <w:t>la prise en compte d</w:t>
      </w:r>
      <w:r w:rsidR="001609D0">
        <w:rPr>
          <w:kern w:val="22"/>
          <w:lang w:val="fr-CA"/>
        </w:rPr>
        <w:t xml:space="preserve">es conséquences de ces industries sur l’environnement et les communautés locales, en tenant compte des liens avec les régimes d’indemnisation </w:t>
      </w:r>
      <w:r w:rsidR="00C96F55">
        <w:rPr>
          <w:kern w:val="22"/>
          <w:lang w:val="fr-CA"/>
        </w:rPr>
        <w:t>associés à</w:t>
      </w:r>
      <w:r w:rsidR="001609D0">
        <w:rPr>
          <w:kern w:val="22"/>
          <w:lang w:val="fr-CA"/>
        </w:rPr>
        <w:t xml:space="preserve"> la responsabilité et </w:t>
      </w:r>
      <w:r w:rsidR="00C96F55">
        <w:rPr>
          <w:kern w:val="22"/>
          <w:lang w:val="fr-CA"/>
        </w:rPr>
        <w:t>la réparation</w:t>
      </w:r>
      <w:r w:rsidR="00E6320A" w:rsidRPr="00C81964">
        <w:rPr>
          <w:kern w:val="22"/>
          <w:lang w:val="fr-CA"/>
        </w:rPr>
        <w:t>.</w:t>
      </w:r>
      <w:r w:rsidR="00E6320A" w:rsidRPr="00C81964">
        <w:rPr>
          <w:kern w:val="22"/>
          <w:vertAlign w:val="superscript"/>
          <w:lang w:val="fr-CA"/>
        </w:rPr>
        <w:footnoteReference w:id="12"/>
      </w:r>
    </w:p>
    <w:p w:rsidR="0027598B" w:rsidRPr="00C81964" w:rsidRDefault="00E6320A">
      <w:pPr>
        <w:pStyle w:val="Titre2"/>
        <w:rPr>
          <w:b w:val="0"/>
          <w:bCs w:val="0"/>
          <w:lang w:val="fr-CA"/>
        </w:rPr>
      </w:pPr>
      <w:r w:rsidRPr="00C81964">
        <w:rPr>
          <w:lang w:val="fr-CA"/>
        </w:rPr>
        <w:t>C.</w:t>
      </w:r>
      <w:r w:rsidRPr="00C81964">
        <w:rPr>
          <w:lang w:val="fr-CA"/>
        </w:rPr>
        <w:tab/>
      </w:r>
      <w:r w:rsidR="004E21C8">
        <w:rPr>
          <w:lang w:val="fr-CA"/>
        </w:rPr>
        <w:t>Pacte mondial pour l’environnement</w:t>
      </w:r>
    </w:p>
    <w:p w:rsidR="0027598B" w:rsidRPr="00C81964" w:rsidRDefault="004E21C8" w:rsidP="00E6320A">
      <w:pPr>
        <w:pStyle w:val="Body"/>
        <w:numPr>
          <w:ilvl w:val="0"/>
          <w:numId w:val="3"/>
        </w:numPr>
        <w:spacing w:before="120" w:after="120"/>
        <w:ind w:left="0" w:firstLine="0"/>
        <w:rPr>
          <w:lang w:val="fr-CA"/>
        </w:rPr>
      </w:pPr>
      <w:r w:rsidRPr="004E21C8">
        <w:rPr>
          <w:kern w:val="22"/>
          <w:lang w:val="fr-CA"/>
        </w:rPr>
        <w:t>E</w:t>
      </w:r>
      <w:r w:rsidR="00C96F55">
        <w:rPr>
          <w:kern w:val="22"/>
          <w:lang w:val="fr-CA"/>
        </w:rPr>
        <w:t>n</w:t>
      </w:r>
      <w:r w:rsidRPr="004E21C8">
        <w:rPr>
          <w:kern w:val="22"/>
          <w:lang w:val="fr-CA"/>
        </w:rPr>
        <w:t xml:space="preserve"> juin 2017, la Commission environnementale du</w:t>
      </w:r>
      <w:r w:rsidR="00E6320A" w:rsidRPr="004E21C8">
        <w:rPr>
          <w:kern w:val="22"/>
          <w:lang w:val="fr-CA"/>
        </w:rPr>
        <w:t xml:space="preserve"> </w:t>
      </w:r>
      <w:r w:rsidR="00E6320A" w:rsidRPr="004E21C8">
        <w:rPr>
          <w:i/>
          <w:iCs/>
          <w:kern w:val="22"/>
          <w:lang w:val="fr-CA"/>
        </w:rPr>
        <w:t>Club des juristes</w:t>
      </w:r>
      <w:r w:rsidR="00E6320A" w:rsidRPr="004E21C8">
        <w:rPr>
          <w:kern w:val="22"/>
          <w:lang w:val="fr-CA"/>
        </w:rPr>
        <w:t xml:space="preserve">, </w:t>
      </w:r>
      <w:r w:rsidRPr="004E21C8">
        <w:rPr>
          <w:kern w:val="22"/>
          <w:lang w:val="fr-CA"/>
        </w:rPr>
        <w:t xml:space="preserve">un </w:t>
      </w:r>
      <w:r>
        <w:rPr>
          <w:kern w:val="22"/>
          <w:lang w:val="fr-CA"/>
        </w:rPr>
        <w:t xml:space="preserve">groupe de réflexion français, a préparé, en consultation avec un réseau international d’experts juridiques, une ébauche </w:t>
      </w:r>
      <w:r w:rsidR="00C96F55">
        <w:rPr>
          <w:kern w:val="22"/>
          <w:lang w:val="fr-CA"/>
        </w:rPr>
        <w:t>du document appelé</w:t>
      </w:r>
      <w:r>
        <w:rPr>
          <w:kern w:val="22"/>
          <w:lang w:val="fr-CA"/>
        </w:rPr>
        <w:t xml:space="preserve"> «</w:t>
      </w:r>
      <w:r w:rsidR="00153590">
        <w:rPr>
          <w:kern w:val="22"/>
          <w:lang w:val="fr-CA"/>
        </w:rPr>
        <w:t> </w:t>
      </w:r>
      <w:r>
        <w:rPr>
          <w:kern w:val="22"/>
          <w:lang w:val="fr-CA"/>
        </w:rPr>
        <w:t>Pacte mondial sur l’environnement ». L</w:t>
      </w:r>
      <w:r w:rsidR="00F94E1A">
        <w:rPr>
          <w:kern w:val="22"/>
          <w:lang w:val="fr-CA"/>
        </w:rPr>
        <w:t>e gouvernement de la France a présenté officiellement l</w:t>
      </w:r>
      <w:r>
        <w:rPr>
          <w:kern w:val="22"/>
          <w:lang w:val="fr-CA"/>
        </w:rPr>
        <w:t xml:space="preserve">e projet de Pacte mondial </w:t>
      </w:r>
      <w:r w:rsidR="00F94E1A">
        <w:rPr>
          <w:kern w:val="22"/>
          <w:lang w:val="fr-CA"/>
        </w:rPr>
        <w:t>à la soixante-douzième session de l’Assemblée générale des Nations Unies, avec le soutien d</w:t>
      </w:r>
      <w:r w:rsidR="00C96F55">
        <w:rPr>
          <w:kern w:val="22"/>
          <w:lang w:val="fr-CA"/>
        </w:rPr>
        <w:t xml:space="preserve">e certains </w:t>
      </w:r>
      <w:r w:rsidR="00F94E1A">
        <w:rPr>
          <w:kern w:val="22"/>
          <w:lang w:val="fr-CA"/>
        </w:rPr>
        <w:t>autres gouvernements</w:t>
      </w:r>
      <w:r w:rsidR="00E6320A" w:rsidRPr="00C81964">
        <w:rPr>
          <w:kern w:val="22"/>
          <w:lang w:val="fr-CA"/>
        </w:rPr>
        <w:t>.</w:t>
      </w:r>
    </w:p>
    <w:p w:rsidR="0027598B" w:rsidRPr="00C81964" w:rsidRDefault="00F94E1A" w:rsidP="00E6320A">
      <w:pPr>
        <w:pStyle w:val="Body"/>
        <w:numPr>
          <w:ilvl w:val="0"/>
          <w:numId w:val="3"/>
        </w:numPr>
        <w:spacing w:before="120" w:after="120"/>
        <w:ind w:left="0" w:firstLine="0"/>
        <w:rPr>
          <w:lang w:val="fr-CA"/>
        </w:rPr>
      </w:pPr>
      <w:r>
        <w:rPr>
          <w:kern w:val="22"/>
          <w:lang w:val="fr-CA"/>
        </w:rPr>
        <w:t xml:space="preserve">L’ébauche du Pacte mondial comprend l’article 7 sur les dommages environnementaux. </w:t>
      </w:r>
      <w:r w:rsidR="006929E8">
        <w:rPr>
          <w:kern w:val="22"/>
          <w:lang w:val="fr-CA"/>
        </w:rPr>
        <w:t>En vertu de celui-ci</w:t>
      </w:r>
      <w:r>
        <w:rPr>
          <w:kern w:val="22"/>
          <w:lang w:val="fr-CA"/>
        </w:rPr>
        <w:t xml:space="preserve">, les Parties sont tenues de prendre les mesures nécessaires pour assurer une indemnisation adéquate pour les dommages </w:t>
      </w:r>
      <w:r w:rsidR="00F00F0F">
        <w:rPr>
          <w:kern w:val="22"/>
          <w:lang w:val="fr-CA"/>
        </w:rPr>
        <w:t>causés à l’environnement</w:t>
      </w:r>
      <w:r>
        <w:rPr>
          <w:kern w:val="22"/>
          <w:lang w:val="fr-CA"/>
        </w:rPr>
        <w:t>, d’</w:t>
      </w:r>
      <w:r w:rsidR="006929E8">
        <w:rPr>
          <w:kern w:val="22"/>
          <w:lang w:val="fr-CA"/>
        </w:rPr>
        <w:t>aviser</w:t>
      </w:r>
      <w:r w:rsidR="00B335A4">
        <w:rPr>
          <w:kern w:val="22"/>
          <w:lang w:val="fr-CA"/>
        </w:rPr>
        <w:t xml:space="preserve"> immédiatement les autres É</w:t>
      </w:r>
      <w:r>
        <w:rPr>
          <w:kern w:val="22"/>
          <w:lang w:val="fr-CA"/>
        </w:rPr>
        <w:t>tats de</w:t>
      </w:r>
      <w:r w:rsidR="006929E8">
        <w:rPr>
          <w:kern w:val="22"/>
          <w:lang w:val="fr-CA"/>
        </w:rPr>
        <w:t xml:space="preserve"> toute</w:t>
      </w:r>
      <w:r>
        <w:rPr>
          <w:kern w:val="22"/>
          <w:lang w:val="fr-CA"/>
        </w:rPr>
        <w:t xml:space="preserve"> </w:t>
      </w:r>
      <w:r w:rsidR="006929E8">
        <w:rPr>
          <w:kern w:val="22"/>
          <w:lang w:val="fr-CA"/>
        </w:rPr>
        <w:t>catastrophe naturelle</w:t>
      </w:r>
      <w:r>
        <w:rPr>
          <w:kern w:val="22"/>
          <w:lang w:val="fr-CA"/>
        </w:rPr>
        <w:t xml:space="preserve"> ou </w:t>
      </w:r>
      <w:r w:rsidR="00F00F0F">
        <w:rPr>
          <w:kern w:val="22"/>
          <w:lang w:val="fr-CA"/>
        </w:rPr>
        <w:t xml:space="preserve">de toute </w:t>
      </w:r>
      <w:r>
        <w:rPr>
          <w:kern w:val="22"/>
          <w:lang w:val="fr-CA"/>
        </w:rPr>
        <w:t>autre situation d’</w:t>
      </w:r>
      <w:r w:rsidR="006929E8">
        <w:rPr>
          <w:kern w:val="22"/>
          <w:lang w:val="fr-CA"/>
        </w:rPr>
        <w:t>urgence pouvant vrais</w:t>
      </w:r>
      <w:r>
        <w:rPr>
          <w:kern w:val="22"/>
          <w:lang w:val="fr-CA"/>
        </w:rPr>
        <w:t>e</w:t>
      </w:r>
      <w:r w:rsidR="006929E8">
        <w:rPr>
          <w:kern w:val="22"/>
          <w:lang w:val="fr-CA"/>
        </w:rPr>
        <w:t>m</w:t>
      </w:r>
      <w:r>
        <w:rPr>
          <w:kern w:val="22"/>
          <w:lang w:val="fr-CA"/>
        </w:rPr>
        <w:t xml:space="preserve">blablement avoir des </w:t>
      </w:r>
      <w:r w:rsidR="006929E8">
        <w:rPr>
          <w:kern w:val="22"/>
          <w:lang w:val="fr-CA"/>
        </w:rPr>
        <w:t>conséquences</w:t>
      </w:r>
      <w:r>
        <w:rPr>
          <w:kern w:val="22"/>
          <w:lang w:val="fr-CA"/>
        </w:rPr>
        <w:t xml:space="preserve"> néfastes sur l’environnement dans ces États, et de </w:t>
      </w:r>
      <w:r w:rsidR="006929E8">
        <w:rPr>
          <w:kern w:val="22"/>
          <w:lang w:val="fr-CA"/>
        </w:rPr>
        <w:t>collaborer</w:t>
      </w:r>
      <w:r>
        <w:rPr>
          <w:kern w:val="22"/>
          <w:lang w:val="fr-CA"/>
        </w:rPr>
        <w:t xml:space="preserve"> </w:t>
      </w:r>
      <w:r w:rsidR="00F00F0F">
        <w:rPr>
          <w:kern w:val="22"/>
          <w:lang w:val="fr-CA"/>
        </w:rPr>
        <w:t>rapidement</w:t>
      </w:r>
      <w:r>
        <w:rPr>
          <w:kern w:val="22"/>
          <w:lang w:val="fr-CA"/>
        </w:rPr>
        <w:t xml:space="preserve"> à aider les États </w:t>
      </w:r>
      <w:r w:rsidR="00F00F0F">
        <w:rPr>
          <w:kern w:val="22"/>
          <w:lang w:val="fr-CA"/>
        </w:rPr>
        <w:t>touchés</w:t>
      </w:r>
      <w:r w:rsidR="00E6320A" w:rsidRPr="00C81964">
        <w:rPr>
          <w:kern w:val="22"/>
          <w:lang w:val="fr-CA"/>
        </w:rPr>
        <w:t>.</w:t>
      </w:r>
      <w:r w:rsidR="00E6320A" w:rsidRPr="00C81964">
        <w:rPr>
          <w:kern w:val="22"/>
          <w:vertAlign w:val="superscript"/>
          <w:lang w:val="fr-CA"/>
        </w:rPr>
        <w:footnoteReference w:id="13"/>
      </w:r>
    </w:p>
    <w:p w:rsidR="0027598B" w:rsidRPr="00C81964" w:rsidRDefault="007D6121" w:rsidP="00E6320A">
      <w:pPr>
        <w:pStyle w:val="Body"/>
        <w:numPr>
          <w:ilvl w:val="0"/>
          <w:numId w:val="3"/>
        </w:numPr>
        <w:spacing w:before="120" w:after="120"/>
        <w:ind w:left="0" w:firstLine="0"/>
        <w:rPr>
          <w:lang w:val="fr-CA"/>
        </w:rPr>
      </w:pPr>
      <w:r>
        <w:rPr>
          <w:kern w:val="22"/>
          <w:lang w:val="fr-CA"/>
        </w:rPr>
        <w:t>L’Assemblée générale des Nations Unies a adopté la résolution 73/277 intitulée «</w:t>
      </w:r>
      <w:r w:rsidR="00153590">
        <w:rPr>
          <w:kern w:val="22"/>
          <w:lang w:val="fr-CA"/>
        </w:rPr>
        <w:t> </w:t>
      </w:r>
      <w:r>
        <w:rPr>
          <w:kern w:val="22"/>
          <w:lang w:val="fr-CA"/>
        </w:rPr>
        <w:t>Vers un pacte mondial pour l’environnement »</w:t>
      </w:r>
      <w:r w:rsidR="00BF0744">
        <w:rPr>
          <w:kern w:val="22"/>
          <w:lang w:val="fr-CA"/>
        </w:rPr>
        <w:t>,</w:t>
      </w:r>
      <w:r>
        <w:rPr>
          <w:kern w:val="22"/>
          <w:lang w:val="fr-CA"/>
        </w:rPr>
        <w:t xml:space="preserve"> dans laquelle elle </w:t>
      </w:r>
      <w:r w:rsidR="007A7742">
        <w:rPr>
          <w:kern w:val="22"/>
          <w:lang w:val="fr-CA"/>
        </w:rPr>
        <w:t>prie</w:t>
      </w:r>
      <w:r>
        <w:rPr>
          <w:kern w:val="22"/>
          <w:lang w:val="fr-CA"/>
        </w:rPr>
        <w:t xml:space="preserve"> notamment </w:t>
      </w:r>
      <w:r w:rsidR="007A7742">
        <w:rPr>
          <w:kern w:val="22"/>
          <w:lang w:val="fr-CA"/>
        </w:rPr>
        <w:t>le</w:t>
      </w:r>
      <w:r>
        <w:rPr>
          <w:kern w:val="22"/>
          <w:lang w:val="fr-CA"/>
        </w:rPr>
        <w:t xml:space="preserve"> Secrétaire géné</w:t>
      </w:r>
      <w:r w:rsidR="007A7742">
        <w:rPr>
          <w:kern w:val="22"/>
          <w:lang w:val="fr-CA"/>
        </w:rPr>
        <w:t>ral de lui présenter u</w:t>
      </w:r>
      <w:r>
        <w:rPr>
          <w:kern w:val="22"/>
          <w:lang w:val="fr-CA"/>
        </w:rPr>
        <w:t>n rapport sur les</w:t>
      </w:r>
      <w:r w:rsidR="009D4303">
        <w:rPr>
          <w:kern w:val="22"/>
          <w:lang w:val="fr-CA"/>
        </w:rPr>
        <w:t xml:space="preserve"> </w:t>
      </w:r>
      <w:r w:rsidR="00767E21">
        <w:rPr>
          <w:kern w:val="22"/>
          <w:lang w:val="fr-CA"/>
        </w:rPr>
        <w:t xml:space="preserve">lacunes en droit environnemental international et </w:t>
      </w:r>
      <w:r w:rsidR="009D4303">
        <w:rPr>
          <w:kern w:val="22"/>
          <w:lang w:val="fr-CA"/>
        </w:rPr>
        <w:t>d</w:t>
      </w:r>
      <w:r w:rsidR="00BF0744">
        <w:rPr>
          <w:kern w:val="22"/>
          <w:lang w:val="fr-CA"/>
        </w:rPr>
        <w:t>ans l</w:t>
      </w:r>
      <w:r w:rsidR="009D4303">
        <w:rPr>
          <w:kern w:val="22"/>
          <w:lang w:val="fr-CA"/>
        </w:rPr>
        <w:t>es textes relatifs à l’environnement</w:t>
      </w:r>
      <w:r w:rsidR="00767E21">
        <w:rPr>
          <w:kern w:val="22"/>
          <w:lang w:val="fr-CA"/>
        </w:rPr>
        <w:t xml:space="preserve">, en vue de renforcer leur </w:t>
      </w:r>
      <w:r w:rsidR="009D4303">
        <w:rPr>
          <w:kern w:val="22"/>
          <w:lang w:val="fr-CA"/>
        </w:rPr>
        <w:t>application;</w:t>
      </w:r>
      <w:r w:rsidR="00767E21">
        <w:rPr>
          <w:kern w:val="22"/>
          <w:lang w:val="fr-CA"/>
        </w:rPr>
        <w:t xml:space="preserve"> et a décidé de </w:t>
      </w:r>
      <w:r w:rsidR="009D4303">
        <w:rPr>
          <w:kern w:val="22"/>
          <w:lang w:val="fr-CA"/>
        </w:rPr>
        <w:t>créer</w:t>
      </w:r>
      <w:r w:rsidR="006D1279">
        <w:rPr>
          <w:kern w:val="22"/>
          <w:lang w:val="fr-CA"/>
        </w:rPr>
        <w:t>,</w:t>
      </w:r>
      <w:r w:rsidR="009D4303">
        <w:rPr>
          <w:kern w:val="22"/>
          <w:lang w:val="fr-CA"/>
        </w:rPr>
        <w:t xml:space="preserve"> sous ses auspices</w:t>
      </w:r>
      <w:r w:rsidR="006D1279">
        <w:rPr>
          <w:kern w:val="22"/>
          <w:lang w:val="fr-CA"/>
        </w:rPr>
        <w:t>,</w:t>
      </w:r>
      <w:r w:rsidR="00767E21">
        <w:rPr>
          <w:kern w:val="22"/>
          <w:lang w:val="fr-CA"/>
        </w:rPr>
        <w:t xml:space="preserve"> un groupe de travail spécial à composition non limit</w:t>
      </w:r>
      <w:r w:rsidR="009D4303">
        <w:rPr>
          <w:kern w:val="22"/>
          <w:lang w:val="fr-CA"/>
        </w:rPr>
        <w:t xml:space="preserve">ée </w:t>
      </w:r>
      <w:r w:rsidR="00767E21">
        <w:rPr>
          <w:kern w:val="22"/>
          <w:lang w:val="fr-CA"/>
        </w:rPr>
        <w:t xml:space="preserve">chargé d’examiner le </w:t>
      </w:r>
      <w:r w:rsidR="009D4303">
        <w:rPr>
          <w:kern w:val="22"/>
          <w:lang w:val="fr-CA"/>
        </w:rPr>
        <w:t>rapport</w:t>
      </w:r>
      <w:r w:rsidR="00767E21">
        <w:rPr>
          <w:kern w:val="22"/>
          <w:lang w:val="fr-CA"/>
        </w:rPr>
        <w:t xml:space="preserve"> du Secrétaire général et de débattre des moyens </w:t>
      </w:r>
      <w:r w:rsidR="009D4303">
        <w:rPr>
          <w:kern w:val="22"/>
          <w:lang w:val="fr-CA"/>
        </w:rPr>
        <w:t>de remédier aux lacunes du droit in</w:t>
      </w:r>
      <w:r w:rsidR="004B109C">
        <w:rPr>
          <w:kern w:val="22"/>
          <w:lang w:val="fr-CA"/>
        </w:rPr>
        <w:t>t</w:t>
      </w:r>
      <w:r w:rsidR="009D4303">
        <w:rPr>
          <w:kern w:val="22"/>
          <w:lang w:val="fr-CA"/>
        </w:rPr>
        <w:t xml:space="preserve">ernational de l’environnement et des textes </w:t>
      </w:r>
      <w:r w:rsidR="004B109C">
        <w:rPr>
          <w:kern w:val="22"/>
          <w:lang w:val="fr-CA"/>
        </w:rPr>
        <w:t>re</w:t>
      </w:r>
      <w:r w:rsidR="009D4303">
        <w:rPr>
          <w:kern w:val="22"/>
          <w:lang w:val="fr-CA"/>
        </w:rPr>
        <w:t>latifs à l’environnement</w:t>
      </w:r>
      <w:r w:rsidR="00BF0744">
        <w:rPr>
          <w:kern w:val="22"/>
          <w:lang w:val="fr-CA"/>
        </w:rPr>
        <w:t xml:space="preserve"> et, « </w:t>
      </w:r>
      <w:r w:rsidR="004B109C">
        <w:rPr>
          <w:kern w:val="22"/>
          <w:lang w:val="fr-CA"/>
        </w:rPr>
        <w:t xml:space="preserve">s’il le juge nécessaire, </w:t>
      </w:r>
      <w:r w:rsidR="006D1279">
        <w:rPr>
          <w:kern w:val="22"/>
          <w:lang w:val="fr-CA"/>
        </w:rPr>
        <w:t>du</w:t>
      </w:r>
      <w:r w:rsidR="004B109C">
        <w:rPr>
          <w:kern w:val="22"/>
          <w:lang w:val="fr-CA"/>
        </w:rPr>
        <w:t xml:space="preserve"> champ d’applicatio</w:t>
      </w:r>
      <w:r w:rsidR="006D1279">
        <w:rPr>
          <w:kern w:val="22"/>
          <w:lang w:val="fr-CA"/>
        </w:rPr>
        <w:t>n, d</w:t>
      </w:r>
      <w:r w:rsidR="004B109C">
        <w:rPr>
          <w:kern w:val="22"/>
          <w:lang w:val="fr-CA"/>
        </w:rPr>
        <w:t>es param</w:t>
      </w:r>
      <w:r w:rsidR="006D1279">
        <w:rPr>
          <w:kern w:val="22"/>
          <w:lang w:val="fr-CA"/>
        </w:rPr>
        <w:t>ètres et d</w:t>
      </w:r>
      <w:r w:rsidR="004B109C">
        <w:rPr>
          <w:kern w:val="22"/>
          <w:lang w:val="fr-CA"/>
        </w:rPr>
        <w:t xml:space="preserve">es possibilités d’élaboration, au premier semestre de 2019, des recommandations qui pourront notamment porter sur la tenue d’une conférence intergouvernementale dans la perspective de l’adoption d’un instrument international. » </w:t>
      </w:r>
      <w:r w:rsidR="00E6320A" w:rsidRPr="00C81964">
        <w:rPr>
          <w:kern w:val="22"/>
          <w:vertAlign w:val="superscript"/>
          <w:lang w:val="fr-CA"/>
        </w:rPr>
        <w:footnoteReference w:id="14"/>
      </w:r>
    </w:p>
    <w:p w:rsidR="0027598B" w:rsidRPr="00C81964" w:rsidRDefault="006D1279" w:rsidP="00E6320A">
      <w:pPr>
        <w:pStyle w:val="Body"/>
        <w:numPr>
          <w:ilvl w:val="0"/>
          <w:numId w:val="3"/>
        </w:numPr>
        <w:spacing w:before="120" w:after="120"/>
        <w:ind w:left="0" w:firstLine="0"/>
        <w:rPr>
          <w:lang w:val="fr-CA"/>
        </w:rPr>
      </w:pPr>
      <w:r>
        <w:rPr>
          <w:kern w:val="22"/>
          <w:lang w:val="fr-CA"/>
        </w:rPr>
        <w:t xml:space="preserve">La session d’organisation du groupe de travail s’est </w:t>
      </w:r>
      <w:r w:rsidR="00BF0744">
        <w:rPr>
          <w:kern w:val="22"/>
          <w:lang w:val="fr-CA"/>
        </w:rPr>
        <w:t>déroulée</w:t>
      </w:r>
      <w:r>
        <w:rPr>
          <w:kern w:val="22"/>
          <w:lang w:val="fr-CA"/>
        </w:rPr>
        <w:t xml:space="preserve"> à New York, du 5 au 7 septembre 2018, sous la direction des deux coprésidents nommés </w:t>
      </w:r>
      <w:r w:rsidR="00E24568">
        <w:rPr>
          <w:kern w:val="22"/>
          <w:lang w:val="fr-CA"/>
        </w:rPr>
        <w:t xml:space="preserve">plus tôt </w:t>
      </w:r>
      <w:r>
        <w:rPr>
          <w:kern w:val="22"/>
          <w:lang w:val="fr-CA"/>
        </w:rPr>
        <w:t>par le président de l’Assemblée générale</w:t>
      </w:r>
      <w:r w:rsidR="00E24568">
        <w:rPr>
          <w:kern w:val="22"/>
          <w:lang w:val="fr-CA"/>
        </w:rPr>
        <w:t xml:space="preserve"> afin de diriger le processus</w:t>
      </w:r>
      <w:r w:rsidR="00E6320A" w:rsidRPr="00C81964">
        <w:rPr>
          <w:kern w:val="22"/>
          <w:lang w:val="fr-CA"/>
        </w:rPr>
        <w:t>.</w:t>
      </w:r>
      <w:r w:rsidR="00E24568">
        <w:rPr>
          <w:kern w:val="22"/>
          <w:lang w:val="fr-CA"/>
        </w:rPr>
        <w:t xml:space="preserve"> </w:t>
      </w:r>
      <w:r w:rsidR="00F07466">
        <w:rPr>
          <w:kern w:val="22"/>
          <w:lang w:val="fr-CA"/>
        </w:rPr>
        <w:t>Le groupe de travail</w:t>
      </w:r>
      <w:r w:rsidR="00E24568">
        <w:rPr>
          <w:kern w:val="22"/>
          <w:lang w:val="fr-CA"/>
        </w:rPr>
        <w:t xml:space="preserve"> a décidé de tenir sa première session de fond</w:t>
      </w:r>
      <w:r w:rsidR="00F07466">
        <w:rPr>
          <w:kern w:val="22"/>
          <w:lang w:val="fr-CA"/>
        </w:rPr>
        <w:t>, qui mettrait l’accent sur le rapport sur l</w:t>
      </w:r>
      <w:r w:rsidR="00F07466">
        <w:rPr>
          <w:kern w:val="22"/>
          <w:lang w:val="fr-CA"/>
        </w:rPr>
        <w:t>es lacunes du Secrétaire général</w:t>
      </w:r>
      <w:r w:rsidR="00F07466">
        <w:rPr>
          <w:kern w:val="22"/>
          <w:lang w:val="fr-CA"/>
        </w:rPr>
        <w:t>,</w:t>
      </w:r>
      <w:r w:rsidR="00E24568">
        <w:rPr>
          <w:kern w:val="22"/>
          <w:lang w:val="fr-CA"/>
        </w:rPr>
        <w:t xml:space="preserve"> à Nairobi, du 14 au 18 janvier 2019, et a prévu deux séances subséquentes qui auront lieu respectivement la semaine du 18 mars et du 20 mais 2019.</w:t>
      </w:r>
    </w:p>
    <w:p w:rsidR="0027598B" w:rsidRPr="00E56EFB" w:rsidRDefault="00E6320A">
      <w:pPr>
        <w:pStyle w:val="Titre2"/>
        <w:rPr>
          <w:lang w:val="fr-CA"/>
        </w:rPr>
      </w:pPr>
      <w:r w:rsidRPr="00E56EFB">
        <w:rPr>
          <w:lang w:val="fr-CA"/>
        </w:rPr>
        <w:t>D.</w:t>
      </w:r>
      <w:r w:rsidRPr="00E56EFB">
        <w:rPr>
          <w:lang w:val="fr-CA"/>
        </w:rPr>
        <w:tab/>
      </w:r>
      <w:r w:rsidR="00E56EFB">
        <w:rPr>
          <w:lang w:val="fr-CA"/>
        </w:rPr>
        <w:t>Pertes et dommages associés aux impacts des changements climatiques</w:t>
      </w:r>
    </w:p>
    <w:p w:rsidR="0027598B" w:rsidRPr="00FB56A6" w:rsidRDefault="00C464F9" w:rsidP="00FB56A6">
      <w:pPr>
        <w:pStyle w:val="Body"/>
        <w:numPr>
          <w:ilvl w:val="0"/>
          <w:numId w:val="3"/>
        </w:numPr>
        <w:spacing w:before="120" w:after="120"/>
        <w:ind w:left="0" w:firstLine="0"/>
        <w:rPr>
          <w:lang w:val="fr-CA"/>
        </w:rPr>
      </w:pPr>
      <w:r>
        <w:rPr>
          <w:kern w:val="22"/>
          <w:lang w:val="fr-CA"/>
        </w:rPr>
        <w:t xml:space="preserve">Le Plan d’action de Bali, adopté par la Conférence des Parties à la Convention-cadre des Nations Unies sur la lutte aux changements climatiques, à sa treizième réunion, demandait en 2007 l’examen de la gestion des risques, ainsi que des stratégies et des moyens </w:t>
      </w:r>
      <w:r w:rsidR="00FB56A6">
        <w:rPr>
          <w:kern w:val="22"/>
          <w:lang w:val="fr-CA"/>
        </w:rPr>
        <w:t>d’examiner</w:t>
      </w:r>
      <w:r>
        <w:rPr>
          <w:kern w:val="22"/>
          <w:lang w:val="fr-CA"/>
        </w:rPr>
        <w:t xml:space="preserve"> les pertes et les dommages associés </w:t>
      </w:r>
      <w:r w:rsidR="000239C7">
        <w:rPr>
          <w:kern w:val="22"/>
          <w:lang w:val="fr-CA"/>
        </w:rPr>
        <w:t>aux i</w:t>
      </w:r>
      <w:r>
        <w:rPr>
          <w:kern w:val="22"/>
          <w:lang w:val="fr-CA"/>
        </w:rPr>
        <w:t>mpacts des</w:t>
      </w:r>
      <w:r w:rsidR="000239C7">
        <w:rPr>
          <w:kern w:val="22"/>
          <w:lang w:val="fr-CA"/>
        </w:rPr>
        <w:t xml:space="preserve"> changements </w:t>
      </w:r>
      <w:r>
        <w:rPr>
          <w:kern w:val="22"/>
          <w:lang w:val="fr-CA"/>
        </w:rPr>
        <w:t xml:space="preserve">climatiques. </w:t>
      </w:r>
      <w:r w:rsidR="000239C7">
        <w:rPr>
          <w:kern w:val="22"/>
          <w:lang w:val="fr-CA"/>
        </w:rPr>
        <w:t>Les négociations sur le</w:t>
      </w:r>
      <w:r w:rsidR="00FB56A6">
        <w:rPr>
          <w:kern w:val="22"/>
          <w:lang w:val="fr-CA"/>
        </w:rPr>
        <w:t>s</w:t>
      </w:r>
      <w:r w:rsidR="001929A5">
        <w:rPr>
          <w:kern w:val="22"/>
          <w:lang w:val="fr-CA"/>
        </w:rPr>
        <w:t xml:space="preserve"> changements</w:t>
      </w:r>
      <w:r w:rsidR="000239C7">
        <w:rPr>
          <w:kern w:val="22"/>
          <w:lang w:val="fr-CA"/>
        </w:rPr>
        <w:t xml:space="preserve"> climatiques qui ont suivi </w:t>
      </w:r>
      <w:r w:rsidR="000239C7">
        <w:rPr>
          <w:kern w:val="22"/>
          <w:lang w:val="fr-CA"/>
        </w:rPr>
        <w:lastRenderedPageBreak/>
        <w:t xml:space="preserve">le Plan d’action de Bali ont porté invariablement </w:t>
      </w:r>
      <w:r w:rsidR="00720BD4">
        <w:rPr>
          <w:kern w:val="22"/>
          <w:lang w:val="fr-CA"/>
        </w:rPr>
        <w:t xml:space="preserve">sur </w:t>
      </w:r>
      <w:r w:rsidR="001929A5">
        <w:rPr>
          <w:kern w:val="22"/>
          <w:lang w:val="fr-CA"/>
        </w:rPr>
        <w:t>les enjeux de la gestion des ri</w:t>
      </w:r>
      <w:r w:rsidR="00720BD4">
        <w:rPr>
          <w:kern w:val="22"/>
          <w:lang w:val="fr-CA"/>
        </w:rPr>
        <w:t xml:space="preserve">sques, dont </w:t>
      </w:r>
      <w:r w:rsidR="00DA7F99">
        <w:rPr>
          <w:kern w:val="22"/>
          <w:lang w:val="fr-CA"/>
        </w:rPr>
        <w:t>des propositions sur les moyens d’aborder les impacts négatifs des changements climatiques. Les débats ont mené</w:t>
      </w:r>
      <w:r w:rsidR="0008723A">
        <w:rPr>
          <w:kern w:val="22"/>
          <w:lang w:val="fr-CA"/>
        </w:rPr>
        <w:t xml:space="preserve"> à un projet de texte de négociation à la quinzième session de la Conférence </w:t>
      </w:r>
      <w:r w:rsidR="00FB56A6">
        <w:rPr>
          <w:kern w:val="22"/>
          <w:lang w:val="fr-CA"/>
        </w:rPr>
        <w:t xml:space="preserve">des </w:t>
      </w:r>
      <w:r w:rsidR="00FB56A6">
        <w:rPr>
          <w:lang w:val="fr-CA"/>
        </w:rPr>
        <w:t>P</w:t>
      </w:r>
      <w:r w:rsidR="0008723A" w:rsidRPr="00FB56A6">
        <w:rPr>
          <w:kern w:val="22"/>
          <w:lang w:val="fr-CA"/>
        </w:rPr>
        <w:t xml:space="preserve">arties, à Copenhague, en 2009, comprenant plusieurs </w:t>
      </w:r>
      <w:r w:rsidR="00FB56A6">
        <w:rPr>
          <w:kern w:val="22"/>
          <w:lang w:val="fr-CA"/>
        </w:rPr>
        <w:t xml:space="preserve">mentions importantes </w:t>
      </w:r>
      <w:r w:rsidR="00710199">
        <w:rPr>
          <w:kern w:val="22"/>
          <w:lang w:val="fr-CA"/>
        </w:rPr>
        <w:t>sur</w:t>
      </w:r>
      <w:r w:rsidR="0008723A" w:rsidRPr="00FB56A6">
        <w:rPr>
          <w:kern w:val="22"/>
          <w:lang w:val="fr-CA"/>
        </w:rPr>
        <w:t xml:space="preserve"> la réduction des risques et d</w:t>
      </w:r>
      <w:r w:rsidR="00710199">
        <w:rPr>
          <w:kern w:val="22"/>
          <w:lang w:val="fr-CA"/>
        </w:rPr>
        <w:t xml:space="preserve">es </w:t>
      </w:r>
      <w:r w:rsidR="0008723A" w:rsidRPr="00FB56A6">
        <w:rPr>
          <w:kern w:val="22"/>
          <w:lang w:val="fr-CA"/>
        </w:rPr>
        <w:t xml:space="preserve">outils spécifiques, tels que l’assurance, et l’examen des pertes et des dommages associés aux changements climatiques et aux </w:t>
      </w:r>
      <w:r w:rsidR="00710199">
        <w:rPr>
          <w:kern w:val="22"/>
          <w:lang w:val="fr-CA"/>
        </w:rPr>
        <w:t>phénomènes</w:t>
      </w:r>
      <w:r w:rsidR="0008723A" w:rsidRPr="00FB56A6">
        <w:rPr>
          <w:kern w:val="22"/>
          <w:lang w:val="fr-CA"/>
        </w:rPr>
        <w:t xml:space="preserve"> météorologiques extrêmes</w:t>
      </w:r>
      <w:r w:rsidR="00E6320A" w:rsidRPr="00FB56A6">
        <w:rPr>
          <w:kern w:val="22"/>
          <w:lang w:val="fr-CA"/>
        </w:rPr>
        <w:t>.</w:t>
      </w:r>
    </w:p>
    <w:p w:rsidR="0027598B" w:rsidRPr="00E56EFB" w:rsidRDefault="00FB56A6" w:rsidP="00E6320A">
      <w:pPr>
        <w:pStyle w:val="Body"/>
        <w:numPr>
          <w:ilvl w:val="0"/>
          <w:numId w:val="3"/>
        </w:numPr>
        <w:spacing w:before="120" w:after="120"/>
        <w:ind w:left="0" w:firstLine="0"/>
        <w:rPr>
          <w:lang w:val="fr-CA"/>
        </w:rPr>
      </w:pPr>
      <w:r>
        <w:rPr>
          <w:kern w:val="22"/>
          <w:lang w:val="fr-CA"/>
        </w:rPr>
        <w:t>Les conclusions des réunions de Canc</w:t>
      </w:r>
      <w:r w:rsidR="009D0B43">
        <w:rPr>
          <w:kern w:val="22"/>
          <w:lang w:val="fr-CA"/>
        </w:rPr>
        <w:t>ú</w:t>
      </w:r>
      <w:r>
        <w:rPr>
          <w:kern w:val="22"/>
          <w:lang w:val="fr-CA"/>
        </w:rPr>
        <w:t xml:space="preserve">n de 2010 ont reconnu la nécessité de resserrer la coopération et l’expertise internationales afin de comprendre et de réduire </w:t>
      </w:r>
      <w:r w:rsidR="00710199">
        <w:rPr>
          <w:kern w:val="22"/>
          <w:lang w:val="fr-CA"/>
        </w:rPr>
        <w:t>les pertes</w:t>
      </w:r>
      <w:r>
        <w:rPr>
          <w:kern w:val="22"/>
          <w:lang w:val="fr-CA"/>
        </w:rPr>
        <w:t xml:space="preserve"> et les dommages associés aux conséquences négatives des</w:t>
      </w:r>
      <w:r w:rsidR="00710199">
        <w:rPr>
          <w:kern w:val="22"/>
          <w:lang w:val="fr-CA"/>
        </w:rPr>
        <w:t xml:space="preserve"> changements</w:t>
      </w:r>
      <w:r>
        <w:rPr>
          <w:kern w:val="22"/>
          <w:lang w:val="fr-CA"/>
        </w:rPr>
        <w:t xml:space="preserve"> climatiques, dont les conséquences liées aux </w:t>
      </w:r>
      <w:r w:rsidR="00710199">
        <w:rPr>
          <w:kern w:val="22"/>
          <w:lang w:val="fr-CA"/>
        </w:rPr>
        <w:t>phénomènes</w:t>
      </w:r>
      <w:r>
        <w:rPr>
          <w:kern w:val="22"/>
          <w:lang w:val="fr-CA"/>
        </w:rPr>
        <w:t xml:space="preserve"> météorologiques extrêmes et aux phénomènes à évolution lente tels que l’élévatio</w:t>
      </w:r>
      <w:r w:rsidR="00BF1502">
        <w:rPr>
          <w:kern w:val="22"/>
          <w:lang w:val="fr-CA"/>
        </w:rPr>
        <w:t xml:space="preserve">n du niveau de la mer, la hausse des températures, l’acidification des océans, la retraite des glaciers et </w:t>
      </w:r>
      <w:r w:rsidR="004C1A67">
        <w:rPr>
          <w:kern w:val="22"/>
          <w:lang w:val="fr-CA"/>
        </w:rPr>
        <w:t>ses conséquences</w:t>
      </w:r>
      <w:r w:rsidR="00BF1502">
        <w:rPr>
          <w:kern w:val="22"/>
          <w:lang w:val="fr-CA"/>
        </w:rPr>
        <w:t>, la salinisation, la dégradation des terres et des forêts, l’appauvrissement de la diversité biologique et la désertification.</w:t>
      </w:r>
    </w:p>
    <w:p w:rsidR="0027598B" w:rsidRPr="00E56EFB" w:rsidRDefault="00BF1502" w:rsidP="00E6320A">
      <w:pPr>
        <w:pStyle w:val="Body"/>
        <w:numPr>
          <w:ilvl w:val="0"/>
          <w:numId w:val="3"/>
        </w:numPr>
        <w:spacing w:before="120" w:after="120"/>
        <w:ind w:left="0" w:firstLine="0"/>
        <w:rPr>
          <w:lang w:val="fr-CA"/>
        </w:rPr>
      </w:pPr>
      <w:r>
        <w:rPr>
          <w:kern w:val="22"/>
          <w:lang w:val="fr-CA"/>
        </w:rPr>
        <w:t>À sa dix-neuvième réunion, à Varsovie, la Conférence des Parties a établi le Mécanisme international de Varsovie relatif aux pertes et préjudices liés aux incidences</w:t>
      </w:r>
      <w:r w:rsidR="00C42027">
        <w:rPr>
          <w:kern w:val="22"/>
          <w:lang w:val="fr-CA"/>
        </w:rPr>
        <w:t xml:space="preserve"> des changements climatiques, afin d’aborder l</w:t>
      </w:r>
      <w:r w:rsidR="004C1A67">
        <w:rPr>
          <w:kern w:val="22"/>
          <w:lang w:val="fr-CA"/>
        </w:rPr>
        <w:t>a question d</w:t>
      </w:r>
      <w:r w:rsidR="00C42027">
        <w:rPr>
          <w:kern w:val="22"/>
          <w:lang w:val="fr-CA"/>
        </w:rPr>
        <w:t>es pertes et dommages associés aux impacts de</w:t>
      </w:r>
      <w:r w:rsidR="004C1A67">
        <w:rPr>
          <w:kern w:val="22"/>
          <w:lang w:val="fr-CA"/>
        </w:rPr>
        <w:t>s</w:t>
      </w:r>
      <w:r w:rsidR="003F1AD6">
        <w:rPr>
          <w:kern w:val="22"/>
          <w:lang w:val="fr-CA"/>
        </w:rPr>
        <w:t xml:space="preserve"> changements</w:t>
      </w:r>
      <w:r w:rsidR="00C42027">
        <w:rPr>
          <w:kern w:val="22"/>
          <w:lang w:val="fr-CA"/>
        </w:rPr>
        <w:t xml:space="preserve"> climatiques, </w:t>
      </w:r>
      <w:r w:rsidR="004C1A67">
        <w:rPr>
          <w:kern w:val="22"/>
          <w:lang w:val="fr-CA"/>
        </w:rPr>
        <w:t>dont</w:t>
      </w:r>
      <w:r w:rsidR="00C42027">
        <w:rPr>
          <w:kern w:val="22"/>
          <w:lang w:val="fr-CA"/>
        </w:rPr>
        <w:t xml:space="preserve"> les phénomènes météorologiques extrêmes</w:t>
      </w:r>
      <w:r w:rsidR="004C1A67">
        <w:rPr>
          <w:kern w:val="22"/>
          <w:lang w:val="fr-CA"/>
        </w:rPr>
        <w:t xml:space="preserve"> </w:t>
      </w:r>
      <w:r w:rsidR="00C42027">
        <w:rPr>
          <w:kern w:val="22"/>
          <w:lang w:val="fr-CA"/>
        </w:rPr>
        <w:t>et les phénomènes à évolution lente dans les pays en développement particulièrement vulnérables aux conséquences négatives des changements climatiques</w:t>
      </w:r>
      <w:r w:rsidR="00E6320A" w:rsidRPr="00E56EFB">
        <w:rPr>
          <w:kern w:val="22"/>
          <w:lang w:val="fr-CA"/>
        </w:rPr>
        <w:t>.</w:t>
      </w:r>
    </w:p>
    <w:p w:rsidR="0027598B" w:rsidRPr="009D052E" w:rsidRDefault="00F7521E" w:rsidP="00E6320A">
      <w:pPr>
        <w:pStyle w:val="Body"/>
        <w:numPr>
          <w:ilvl w:val="0"/>
          <w:numId w:val="2"/>
        </w:numPr>
        <w:spacing w:before="120" w:after="120"/>
        <w:ind w:left="0" w:firstLine="0"/>
        <w:rPr>
          <w:lang w:val="fr-CA"/>
        </w:rPr>
      </w:pPr>
      <w:r w:rsidRPr="00F7521E">
        <w:rPr>
          <w:kern w:val="22"/>
          <w:lang w:val="fr-CA"/>
        </w:rPr>
        <w:t>Le Mécanisme international de V</w:t>
      </w:r>
      <w:r>
        <w:rPr>
          <w:kern w:val="22"/>
          <w:lang w:val="fr-CA"/>
        </w:rPr>
        <w:t xml:space="preserve">arsovie a pour fonction de : a) accroître les connaissances et la compréhension des démarches de gestion des risques </w:t>
      </w:r>
      <w:r w:rsidR="004C1A67">
        <w:rPr>
          <w:kern w:val="22"/>
          <w:lang w:val="fr-CA"/>
        </w:rPr>
        <w:t xml:space="preserve">exhaustives </w:t>
      </w:r>
      <w:r>
        <w:rPr>
          <w:kern w:val="22"/>
          <w:lang w:val="fr-CA"/>
        </w:rPr>
        <w:t>afin de parer aux pertes et dommages associés aux conséquences négatives des changements climatiques, dont les phénomènes à évolution lente</w:t>
      </w:r>
      <w:r w:rsidR="00C643F1">
        <w:rPr>
          <w:kern w:val="22"/>
          <w:lang w:val="fr-CA"/>
        </w:rPr>
        <w:t>,</w:t>
      </w:r>
      <w:r>
        <w:rPr>
          <w:kern w:val="22"/>
          <w:lang w:val="fr-CA"/>
        </w:rPr>
        <w:t xml:space="preserve"> b) renforcer, le dialogue, la coordination, la cohérence et les synergies entre les</w:t>
      </w:r>
      <w:r w:rsidR="00B247D6">
        <w:rPr>
          <w:kern w:val="22"/>
          <w:lang w:val="fr-CA"/>
        </w:rPr>
        <w:t xml:space="preserve"> différents intervenants, et c)</w:t>
      </w:r>
      <w:r w:rsidR="009D0B43">
        <w:rPr>
          <w:kern w:val="22"/>
          <w:lang w:val="fr-CA"/>
        </w:rPr>
        <w:t xml:space="preserve"> </w:t>
      </w:r>
      <w:r>
        <w:rPr>
          <w:kern w:val="22"/>
          <w:lang w:val="fr-CA"/>
        </w:rPr>
        <w:t xml:space="preserve">accroître les mesures </w:t>
      </w:r>
      <w:r w:rsidR="00B247D6">
        <w:rPr>
          <w:kern w:val="22"/>
          <w:lang w:val="fr-CA"/>
        </w:rPr>
        <w:t>et le soutien</w:t>
      </w:r>
      <w:r>
        <w:rPr>
          <w:kern w:val="22"/>
          <w:lang w:val="fr-CA"/>
        </w:rPr>
        <w:t xml:space="preserve">, notamment </w:t>
      </w:r>
      <w:r w:rsidR="00B247D6">
        <w:rPr>
          <w:kern w:val="22"/>
          <w:lang w:val="fr-CA"/>
        </w:rPr>
        <w:t>au moyen de</w:t>
      </w:r>
      <w:r>
        <w:rPr>
          <w:kern w:val="22"/>
          <w:lang w:val="fr-CA"/>
        </w:rPr>
        <w:t xml:space="preserve"> contribution</w:t>
      </w:r>
      <w:r w:rsidR="00B247D6">
        <w:rPr>
          <w:kern w:val="22"/>
          <w:lang w:val="fr-CA"/>
        </w:rPr>
        <w:t>s</w:t>
      </w:r>
      <w:r>
        <w:rPr>
          <w:kern w:val="22"/>
          <w:lang w:val="fr-CA"/>
        </w:rPr>
        <w:t xml:space="preserve"> financière</w:t>
      </w:r>
      <w:r w:rsidR="00B247D6">
        <w:rPr>
          <w:kern w:val="22"/>
          <w:lang w:val="fr-CA"/>
        </w:rPr>
        <w:t>s</w:t>
      </w:r>
      <w:r>
        <w:rPr>
          <w:kern w:val="22"/>
          <w:lang w:val="fr-CA"/>
        </w:rPr>
        <w:t xml:space="preserve">, </w:t>
      </w:r>
      <w:r w:rsidR="00B247D6">
        <w:rPr>
          <w:kern w:val="22"/>
          <w:lang w:val="fr-CA"/>
        </w:rPr>
        <w:t xml:space="preserve">de </w:t>
      </w:r>
      <w:r>
        <w:rPr>
          <w:kern w:val="22"/>
          <w:lang w:val="fr-CA"/>
        </w:rPr>
        <w:t xml:space="preserve">la technologie et </w:t>
      </w:r>
      <w:r w:rsidR="00B247D6">
        <w:rPr>
          <w:kern w:val="22"/>
          <w:lang w:val="fr-CA"/>
        </w:rPr>
        <w:t>du</w:t>
      </w:r>
      <w:r>
        <w:rPr>
          <w:kern w:val="22"/>
          <w:lang w:val="fr-CA"/>
        </w:rPr>
        <w:t xml:space="preserve"> renforcement des capacités. </w:t>
      </w:r>
      <w:r w:rsidR="009D052E" w:rsidRPr="009D052E">
        <w:rPr>
          <w:kern w:val="22"/>
          <w:lang w:val="fr-CA"/>
        </w:rPr>
        <w:t xml:space="preserve">Le Comité exécutif du Mécanisme dirige la </w:t>
      </w:r>
      <w:r w:rsidR="009D052E">
        <w:rPr>
          <w:kern w:val="22"/>
          <w:lang w:val="fr-CA"/>
        </w:rPr>
        <w:t>réalisation</w:t>
      </w:r>
      <w:r w:rsidR="009D052E" w:rsidRPr="009D052E">
        <w:rPr>
          <w:kern w:val="22"/>
          <w:lang w:val="fr-CA"/>
        </w:rPr>
        <w:t xml:space="preserve"> de c</w:t>
      </w:r>
      <w:r w:rsidR="009D052E">
        <w:rPr>
          <w:kern w:val="22"/>
          <w:lang w:val="fr-CA"/>
        </w:rPr>
        <w:t>es fonctions grâce à son plan de travail, avec le soutien de groupe</w:t>
      </w:r>
      <w:r w:rsidR="00B247D6">
        <w:rPr>
          <w:kern w:val="22"/>
          <w:lang w:val="fr-CA"/>
        </w:rPr>
        <w:t>s</w:t>
      </w:r>
      <w:r w:rsidR="009D052E">
        <w:rPr>
          <w:kern w:val="22"/>
          <w:lang w:val="fr-CA"/>
        </w:rPr>
        <w:t xml:space="preserve"> d’experts thématiques</w:t>
      </w:r>
      <w:r w:rsidR="00E6320A" w:rsidRPr="009D052E">
        <w:rPr>
          <w:kern w:val="22"/>
          <w:lang w:val="fr-CA"/>
        </w:rPr>
        <w:t>.</w:t>
      </w:r>
      <w:r w:rsidR="00E6320A" w:rsidRPr="00E56EFB">
        <w:rPr>
          <w:kern w:val="22"/>
          <w:vertAlign w:val="superscript"/>
          <w:lang w:val="fr-CA"/>
        </w:rPr>
        <w:footnoteReference w:id="15"/>
      </w:r>
      <w:r w:rsidR="00E6320A" w:rsidRPr="009D052E">
        <w:rPr>
          <w:kern w:val="22"/>
          <w:lang w:val="fr-CA"/>
        </w:rPr>
        <w:t xml:space="preserve"> </w:t>
      </w:r>
      <w:r w:rsidR="009D052E" w:rsidRPr="009D052E">
        <w:rPr>
          <w:kern w:val="22"/>
          <w:lang w:val="fr-CA"/>
        </w:rPr>
        <w:t>Le Comité exécutif a notamment créé un centre d’échange</w:t>
      </w:r>
      <w:r w:rsidR="009D052E">
        <w:rPr>
          <w:kern w:val="22"/>
          <w:lang w:val="fr-CA"/>
        </w:rPr>
        <w:t xml:space="preserve"> sur le transfert des risques, qui tient lieu de centre de documentation sur l’assurance et sujets apparentés. Le Mécanisme</w:t>
      </w:r>
      <w:r w:rsidR="003F1AD6">
        <w:rPr>
          <w:kern w:val="22"/>
          <w:lang w:val="fr-CA"/>
        </w:rPr>
        <w:t xml:space="preserve"> international </w:t>
      </w:r>
      <w:r w:rsidR="009D052E">
        <w:rPr>
          <w:kern w:val="22"/>
          <w:lang w:val="fr-CA"/>
        </w:rPr>
        <w:t xml:space="preserve">de Varsovie </w:t>
      </w:r>
      <w:r w:rsidR="00B247D6">
        <w:rPr>
          <w:kern w:val="22"/>
          <w:lang w:val="fr-CA"/>
        </w:rPr>
        <w:t>est assujetti à</w:t>
      </w:r>
      <w:r w:rsidR="009D052E">
        <w:rPr>
          <w:kern w:val="22"/>
          <w:lang w:val="fr-CA"/>
        </w:rPr>
        <w:t xml:space="preserve"> l’autorité de la réunion des Parties à l’</w:t>
      </w:r>
      <w:r w:rsidR="001E64E7">
        <w:rPr>
          <w:kern w:val="22"/>
          <w:lang w:val="fr-CA"/>
        </w:rPr>
        <w:t>Accord, conformément à l’article 8 de l’Accord de Paris, et les secteurs de</w:t>
      </w:r>
      <w:r w:rsidR="00B247D6">
        <w:rPr>
          <w:kern w:val="22"/>
          <w:lang w:val="fr-CA"/>
        </w:rPr>
        <w:t>s</w:t>
      </w:r>
      <w:r w:rsidR="001E64E7">
        <w:rPr>
          <w:kern w:val="22"/>
          <w:lang w:val="fr-CA"/>
        </w:rPr>
        <w:t xml:space="preserve"> communication</w:t>
      </w:r>
      <w:r w:rsidR="009D0B43">
        <w:rPr>
          <w:kern w:val="22"/>
          <w:lang w:val="fr-CA"/>
        </w:rPr>
        <w:t>s</w:t>
      </w:r>
      <w:r w:rsidR="001E64E7">
        <w:rPr>
          <w:kern w:val="22"/>
          <w:lang w:val="fr-CA"/>
        </w:rPr>
        <w:t xml:space="preserve"> et de </w:t>
      </w:r>
      <w:r w:rsidR="00B247D6">
        <w:rPr>
          <w:kern w:val="22"/>
          <w:lang w:val="fr-CA"/>
        </w:rPr>
        <w:t xml:space="preserve">la </w:t>
      </w:r>
      <w:r w:rsidR="001E64E7">
        <w:rPr>
          <w:kern w:val="22"/>
          <w:lang w:val="fr-CA"/>
        </w:rPr>
        <w:t xml:space="preserve">facilitation en vue </w:t>
      </w:r>
      <w:r w:rsidR="00B247D6">
        <w:rPr>
          <w:kern w:val="22"/>
          <w:lang w:val="fr-CA"/>
        </w:rPr>
        <w:t>de favoriser</w:t>
      </w:r>
      <w:r w:rsidR="001E64E7">
        <w:rPr>
          <w:kern w:val="22"/>
          <w:lang w:val="fr-CA"/>
        </w:rPr>
        <w:t xml:space="preserve"> la compréhension, les actions et le soutien devrai</w:t>
      </w:r>
      <w:r w:rsidR="00613B12">
        <w:rPr>
          <w:kern w:val="22"/>
          <w:lang w:val="fr-CA"/>
        </w:rPr>
        <w:t>ent</w:t>
      </w:r>
      <w:r w:rsidR="001E64E7">
        <w:rPr>
          <w:kern w:val="22"/>
          <w:lang w:val="fr-CA"/>
        </w:rPr>
        <w:t xml:space="preserve"> comprendre</w:t>
      </w:r>
      <w:r w:rsidR="00613B12">
        <w:rPr>
          <w:kern w:val="22"/>
          <w:lang w:val="fr-CA"/>
        </w:rPr>
        <w:t>,</w:t>
      </w:r>
      <w:r w:rsidR="001E64E7">
        <w:rPr>
          <w:kern w:val="22"/>
          <w:lang w:val="fr-CA"/>
        </w:rPr>
        <w:t xml:space="preserve"> notamment</w:t>
      </w:r>
      <w:r w:rsidR="00613B12">
        <w:rPr>
          <w:kern w:val="22"/>
          <w:lang w:val="fr-CA"/>
        </w:rPr>
        <w:t>,</w:t>
      </w:r>
      <w:r w:rsidR="001E64E7">
        <w:rPr>
          <w:kern w:val="22"/>
          <w:lang w:val="fr-CA"/>
        </w:rPr>
        <w:t xml:space="preserve"> des organes offrant de l’assurance contre les risques, le regroupeme</w:t>
      </w:r>
      <w:r w:rsidR="003F1AD6">
        <w:rPr>
          <w:kern w:val="22"/>
          <w:lang w:val="fr-CA"/>
        </w:rPr>
        <w:t>n</w:t>
      </w:r>
      <w:r w:rsidR="001E64E7">
        <w:rPr>
          <w:kern w:val="22"/>
          <w:lang w:val="fr-CA"/>
        </w:rPr>
        <w:t>t des risques pour le climat et autres solutions fondées sur les assurances</w:t>
      </w:r>
      <w:r w:rsidR="00E6320A" w:rsidRPr="009D052E">
        <w:rPr>
          <w:kern w:val="22"/>
          <w:lang w:val="fr-CA"/>
        </w:rPr>
        <w:t>.</w:t>
      </w:r>
    </w:p>
    <w:p w:rsidR="0027598B" w:rsidRPr="00E56EFB" w:rsidRDefault="00DF377D" w:rsidP="00E6320A">
      <w:pPr>
        <w:pStyle w:val="Body"/>
        <w:numPr>
          <w:ilvl w:val="0"/>
          <w:numId w:val="2"/>
        </w:numPr>
        <w:spacing w:before="120" w:after="120"/>
        <w:ind w:left="0" w:firstLine="0"/>
        <w:rPr>
          <w:lang w:val="fr-CA"/>
        </w:rPr>
      </w:pPr>
      <w:r>
        <w:rPr>
          <w:kern w:val="22"/>
          <w:lang w:val="fr-CA"/>
        </w:rPr>
        <w:t>L’assurance climatique est une des stratégie</w:t>
      </w:r>
      <w:r w:rsidR="00613B12">
        <w:rPr>
          <w:kern w:val="22"/>
          <w:lang w:val="fr-CA"/>
        </w:rPr>
        <w:t>s</w:t>
      </w:r>
      <w:r>
        <w:rPr>
          <w:kern w:val="22"/>
          <w:lang w:val="fr-CA"/>
        </w:rPr>
        <w:t xml:space="preserve"> importante</w:t>
      </w:r>
      <w:r w:rsidR="00613B12">
        <w:rPr>
          <w:kern w:val="22"/>
          <w:lang w:val="fr-CA"/>
        </w:rPr>
        <w:t>s</w:t>
      </w:r>
      <w:r>
        <w:rPr>
          <w:kern w:val="22"/>
          <w:lang w:val="fr-CA"/>
        </w:rPr>
        <w:t xml:space="preserve"> visant à mieux préparer les pays </w:t>
      </w:r>
      <w:r w:rsidR="00613B12">
        <w:rPr>
          <w:kern w:val="22"/>
          <w:lang w:val="fr-CA"/>
        </w:rPr>
        <w:t>à faire face aux</w:t>
      </w:r>
      <w:r>
        <w:rPr>
          <w:kern w:val="22"/>
          <w:lang w:val="fr-CA"/>
        </w:rPr>
        <w:t xml:space="preserve"> changements climatiques. Un nombre croissant d’États prévoyaient inclure des stratégies d’assurance à leurs mesures pour réaliser les objectifs de l’Accord de Paris. À cet égard, le lancement </w:t>
      </w:r>
      <w:r w:rsidR="005972E2">
        <w:rPr>
          <w:kern w:val="22"/>
          <w:lang w:val="fr-CA"/>
        </w:rPr>
        <w:t>du partenariat mondial InsuResilience offrant des solutions fondées sur le soutien financier et les assurances contre les risques associés au</w:t>
      </w:r>
      <w:r w:rsidR="00613B12">
        <w:rPr>
          <w:kern w:val="22"/>
          <w:lang w:val="fr-CA"/>
        </w:rPr>
        <w:t>x</w:t>
      </w:r>
      <w:r w:rsidR="005972E2">
        <w:rPr>
          <w:kern w:val="22"/>
          <w:lang w:val="fr-CA"/>
        </w:rPr>
        <w:t xml:space="preserve"> </w:t>
      </w:r>
      <w:r w:rsidR="00613B12">
        <w:rPr>
          <w:kern w:val="22"/>
          <w:lang w:val="fr-CA"/>
        </w:rPr>
        <w:t>changements climatiques</w:t>
      </w:r>
      <w:r w:rsidR="005972E2">
        <w:rPr>
          <w:kern w:val="22"/>
          <w:lang w:val="fr-CA"/>
        </w:rPr>
        <w:t xml:space="preserve"> et aux catastrophes, qui réunit les pays du G20 et du V20 (les 20 pays vulnérables), sous la direction de l’Allemagne, a été considéré co</w:t>
      </w:r>
      <w:r w:rsidR="00C643F1">
        <w:rPr>
          <w:kern w:val="22"/>
          <w:lang w:val="fr-CA"/>
        </w:rPr>
        <w:t>mme une première étape important</w:t>
      </w:r>
      <w:r w:rsidR="005972E2">
        <w:rPr>
          <w:kern w:val="22"/>
          <w:lang w:val="fr-CA"/>
        </w:rPr>
        <w:t xml:space="preserve">e pour la protection des pays les moins avancés par la vingt-troisième </w:t>
      </w:r>
      <w:r w:rsidR="00000A95">
        <w:rPr>
          <w:kern w:val="22"/>
          <w:lang w:val="fr-CA"/>
        </w:rPr>
        <w:t>réunion de la Conférence des Parties.</w:t>
      </w:r>
      <w:r w:rsidR="005972E2">
        <w:rPr>
          <w:kern w:val="22"/>
          <w:lang w:val="fr-CA"/>
        </w:rPr>
        <w:t xml:space="preserve"> </w:t>
      </w:r>
      <w:r w:rsidR="00E6320A" w:rsidRPr="00E56EFB">
        <w:rPr>
          <w:kern w:val="22"/>
          <w:vertAlign w:val="superscript"/>
          <w:lang w:val="fr-CA"/>
        </w:rPr>
        <w:footnoteReference w:id="16"/>
      </w:r>
    </w:p>
    <w:p w:rsidR="0027598B" w:rsidRPr="00000A95" w:rsidRDefault="00E6320A">
      <w:pPr>
        <w:pStyle w:val="Titre2"/>
        <w:rPr>
          <w:lang w:val="fr-CA"/>
        </w:rPr>
      </w:pPr>
      <w:r w:rsidRPr="00000A95">
        <w:rPr>
          <w:lang w:val="fr-CA"/>
        </w:rPr>
        <w:lastRenderedPageBreak/>
        <w:t>E.</w:t>
      </w:r>
      <w:r w:rsidRPr="00000A95">
        <w:rPr>
          <w:lang w:val="fr-CA"/>
        </w:rPr>
        <w:tab/>
      </w:r>
      <w:r w:rsidR="00000A95">
        <w:rPr>
          <w:lang w:val="fr-CA"/>
        </w:rPr>
        <w:t>Jugement de la Cour internationale de Justice</w:t>
      </w:r>
    </w:p>
    <w:p w:rsidR="0027598B" w:rsidRPr="00000A95" w:rsidRDefault="00723AE6" w:rsidP="00E6320A">
      <w:pPr>
        <w:pStyle w:val="NormalWeb"/>
        <w:numPr>
          <w:ilvl w:val="0"/>
          <w:numId w:val="2"/>
        </w:numPr>
        <w:shd w:val="clear" w:color="auto" w:fill="FFFFFF"/>
        <w:spacing w:before="120" w:after="120"/>
        <w:ind w:left="0" w:firstLine="0"/>
        <w:jc w:val="both"/>
        <w:rPr>
          <w:sz w:val="22"/>
          <w:szCs w:val="22"/>
          <w:lang w:val="fr-CA"/>
        </w:rPr>
      </w:pPr>
      <w:r>
        <w:rPr>
          <w:sz w:val="22"/>
          <w:szCs w:val="22"/>
          <w:lang w:val="fr-CA"/>
        </w:rPr>
        <w:t>La Cour</w:t>
      </w:r>
      <w:r w:rsidR="004F034D">
        <w:rPr>
          <w:sz w:val="22"/>
          <w:szCs w:val="22"/>
          <w:lang w:val="fr-CA"/>
        </w:rPr>
        <w:t xml:space="preserve"> internationale</w:t>
      </w:r>
      <w:r>
        <w:rPr>
          <w:sz w:val="22"/>
          <w:szCs w:val="22"/>
          <w:lang w:val="fr-CA"/>
        </w:rPr>
        <w:t xml:space="preserve"> de Justice a re</w:t>
      </w:r>
      <w:r w:rsidR="004F034D">
        <w:rPr>
          <w:sz w:val="22"/>
          <w:szCs w:val="22"/>
          <w:lang w:val="fr-CA"/>
        </w:rPr>
        <w:t>ndu sa décision dans l’affaire</w:t>
      </w:r>
      <w:r>
        <w:rPr>
          <w:sz w:val="22"/>
          <w:szCs w:val="22"/>
          <w:lang w:val="fr-CA"/>
        </w:rPr>
        <w:t xml:space="preserve"> «</w:t>
      </w:r>
      <w:r w:rsidR="009D0B43">
        <w:rPr>
          <w:sz w:val="22"/>
          <w:szCs w:val="22"/>
          <w:lang w:val="fr-CA"/>
        </w:rPr>
        <w:t> </w:t>
      </w:r>
      <w:r>
        <w:rPr>
          <w:sz w:val="22"/>
          <w:szCs w:val="22"/>
          <w:lang w:val="fr-CA"/>
        </w:rPr>
        <w:t>Certaines activités</w:t>
      </w:r>
      <w:r w:rsidR="004F034D">
        <w:rPr>
          <w:sz w:val="22"/>
          <w:szCs w:val="22"/>
          <w:lang w:val="fr-CA"/>
        </w:rPr>
        <w:t xml:space="preserve"> menées par le Nicaragua dans la région frontalière (Costa Rica c. Nicaragua) et Indemnisation due par la République du Nicaragua à la République du Costa Rica » le 2 février 2018</w:t>
      </w:r>
      <w:r w:rsidR="00E6320A" w:rsidRPr="00000A95">
        <w:rPr>
          <w:sz w:val="22"/>
          <w:szCs w:val="22"/>
          <w:lang w:val="fr-CA"/>
        </w:rPr>
        <w:t>.</w:t>
      </w:r>
      <w:r w:rsidR="00E6320A" w:rsidRPr="00000A95">
        <w:rPr>
          <w:sz w:val="22"/>
          <w:szCs w:val="22"/>
          <w:vertAlign w:val="superscript"/>
          <w:lang w:val="fr-CA"/>
        </w:rPr>
        <w:footnoteReference w:id="17"/>
      </w:r>
    </w:p>
    <w:p w:rsidR="0027598B" w:rsidRPr="00000A95" w:rsidRDefault="004F034D" w:rsidP="00E6320A">
      <w:pPr>
        <w:pStyle w:val="NormalWeb"/>
        <w:numPr>
          <w:ilvl w:val="0"/>
          <w:numId w:val="2"/>
        </w:numPr>
        <w:shd w:val="clear" w:color="auto" w:fill="FFFFFF"/>
        <w:spacing w:before="120" w:after="120"/>
        <w:ind w:left="0" w:firstLine="0"/>
        <w:jc w:val="both"/>
        <w:rPr>
          <w:sz w:val="22"/>
          <w:szCs w:val="22"/>
          <w:lang w:val="fr-CA"/>
        </w:rPr>
      </w:pPr>
      <w:r>
        <w:rPr>
          <w:sz w:val="22"/>
          <w:szCs w:val="22"/>
          <w:lang w:val="fr-CA"/>
        </w:rPr>
        <w:t xml:space="preserve">Tout a commencé par un différend territorial entre le Costa Rica et le Nicaragua concernant une zone humide </w:t>
      </w:r>
      <w:r w:rsidR="00AE4862">
        <w:rPr>
          <w:sz w:val="22"/>
          <w:szCs w:val="22"/>
          <w:lang w:val="fr-CA"/>
        </w:rPr>
        <w:t>d’une superficie de plus de trois kilomètres</w:t>
      </w:r>
      <w:r>
        <w:rPr>
          <w:sz w:val="22"/>
          <w:szCs w:val="22"/>
          <w:lang w:val="fr-CA"/>
        </w:rPr>
        <w:t xml:space="preserve">. Le Costa Rica a intenté une action </w:t>
      </w:r>
      <w:r w:rsidR="00AE4862">
        <w:rPr>
          <w:sz w:val="22"/>
          <w:szCs w:val="22"/>
          <w:lang w:val="fr-CA"/>
        </w:rPr>
        <w:t xml:space="preserve">en justice </w:t>
      </w:r>
      <w:r>
        <w:rPr>
          <w:sz w:val="22"/>
          <w:szCs w:val="22"/>
          <w:lang w:val="fr-CA"/>
        </w:rPr>
        <w:t xml:space="preserve">contre le Nicaragua </w:t>
      </w:r>
      <w:r w:rsidR="00AE4862">
        <w:rPr>
          <w:sz w:val="22"/>
          <w:szCs w:val="22"/>
          <w:lang w:val="fr-CA"/>
        </w:rPr>
        <w:t>à</w:t>
      </w:r>
      <w:r>
        <w:rPr>
          <w:sz w:val="22"/>
          <w:szCs w:val="22"/>
          <w:lang w:val="fr-CA"/>
        </w:rPr>
        <w:t xml:space="preserve"> la Cour</w:t>
      </w:r>
      <w:r w:rsidR="007A6ADC">
        <w:rPr>
          <w:sz w:val="22"/>
          <w:szCs w:val="22"/>
          <w:lang w:val="fr-CA"/>
        </w:rPr>
        <w:t xml:space="preserve"> le 18 novembre 2010 alléguant une incursion illégale</w:t>
      </w:r>
      <w:r w:rsidR="00AE4862">
        <w:rPr>
          <w:sz w:val="22"/>
          <w:szCs w:val="22"/>
          <w:lang w:val="fr-CA"/>
        </w:rPr>
        <w:t xml:space="preserve"> et</w:t>
      </w:r>
      <w:r w:rsidR="007A6ADC">
        <w:rPr>
          <w:sz w:val="22"/>
          <w:szCs w:val="22"/>
          <w:lang w:val="fr-CA"/>
        </w:rPr>
        <w:t xml:space="preserve"> l’occupation et l’utilisation du territoire costaricain, </w:t>
      </w:r>
      <w:r w:rsidR="00AE4862">
        <w:rPr>
          <w:sz w:val="22"/>
          <w:szCs w:val="22"/>
          <w:lang w:val="fr-CA"/>
        </w:rPr>
        <w:t>et comprenant</w:t>
      </w:r>
      <w:r w:rsidR="007A6ADC">
        <w:rPr>
          <w:sz w:val="22"/>
          <w:szCs w:val="22"/>
          <w:lang w:val="fr-CA"/>
        </w:rPr>
        <w:t xml:space="preserve"> des accusations de dommages importants à des forêts tropicales et des zones humides protégées. L’allégation de dommages à l’environnement </w:t>
      </w:r>
      <w:r w:rsidR="00AE4862">
        <w:rPr>
          <w:sz w:val="22"/>
          <w:szCs w:val="22"/>
          <w:lang w:val="fr-CA"/>
        </w:rPr>
        <w:t>a découlé</w:t>
      </w:r>
      <w:r w:rsidR="007A6ADC">
        <w:rPr>
          <w:sz w:val="22"/>
          <w:szCs w:val="22"/>
          <w:lang w:val="fr-CA"/>
        </w:rPr>
        <w:t xml:space="preserve"> des activités d’excavation </w:t>
      </w:r>
      <w:r w:rsidR="00753B32">
        <w:rPr>
          <w:sz w:val="22"/>
          <w:szCs w:val="22"/>
          <w:lang w:val="fr-CA"/>
        </w:rPr>
        <w:t>entreprises par le Nicaragua, comprenant le retrait d’</w:t>
      </w:r>
      <w:r w:rsidR="00825501">
        <w:rPr>
          <w:sz w:val="22"/>
          <w:szCs w:val="22"/>
          <w:lang w:val="fr-CA"/>
        </w:rPr>
        <w:t>arbres et de végétati</w:t>
      </w:r>
      <w:r w:rsidR="00753B32">
        <w:rPr>
          <w:sz w:val="22"/>
          <w:szCs w:val="22"/>
          <w:lang w:val="fr-CA"/>
        </w:rPr>
        <w:t xml:space="preserve">on, </w:t>
      </w:r>
      <w:r w:rsidR="007A6ADC">
        <w:rPr>
          <w:sz w:val="22"/>
          <w:szCs w:val="22"/>
          <w:lang w:val="fr-CA"/>
        </w:rPr>
        <w:t>en vue de créer une voie navigable</w:t>
      </w:r>
      <w:r w:rsidR="00753B32">
        <w:rPr>
          <w:sz w:val="22"/>
          <w:szCs w:val="22"/>
          <w:lang w:val="fr-CA"/>
        </w:rPr>
        <w:t>.</w:t>
      </w:r>
    </w:p>
    <w:p w:rsidR="0027598B" w:rsidRPr="00753B32" w:rsidRDefault="00753B32" w:rsidP="00E6320A">
      <w:pPr>
        <w:pStyle w:val="NormalWeb"/>
        <w:numPr>
          <w:ilvl w:val="0"/>
          <w:numId w:val="2"/>
        </w:numPr>
        <w:shd w:val="clear" w:color="auto" w:fill="FFFFFF"/>
        <w:spacing w:before="120" w:after="120"/>
        <w:ind w:left="0" w:firstLine="0"/>
        <w:jc w:val="both"/>
        <w:rPr>
          <w:sz w:val="22"/>
          <w:szCs w:val="22"/>
          <w:lang w:val="fr-CA"/>
        </w:rPr>
      </w:pPr>
      <w:r w:rsidRPr="00753B32">
        <w:rPr>
          <w:sz w:val="22"/>
          <w:szCs w:val="22"/>
          <w:lang w:val="fr-CA"/>
        </w:rPr>
        <w:t xml:space="preserve">Le Nicaragua a répondu en intentant sa </w:t>
      </w:r>
      <w:r w:rsidR="00825501">
        <w:rPr>
          <w:sz w:val="22"/>
          <w:szCs w:val="22"/>
          <w:lang w:val="fr-CA"/>
        </w:rPr>
        <w:t>propre</w:t>
      </w:r>
      <w:r w:rsidRPr="00753B32">
        <w:rPr>
          <w:sz w:val="22"/>
          <w:szCs w:val="22"/>
          <w:lang w:val="fr-CA"/>
        </w:rPr>
        <w:t xml:space="preserve"> action en justice contre le Costa Rica en 2011, alléguant la violation de la souveraineté du Nicaragua et d’importants</w:t>
      </w:r>
      <w:r w:rsidR="00B34C3A">
        <w:rPr>
          <w:sz w:val="22"/>
          <w:szCs w:val="22"/>
          <w:lang w:val="fr-CA"/>
        </w:rPr>
        <w:t xml:space="preserve"> dommages environnementaux causé</w:t>
      </w:r>
      <w:r w:rsidRPr="00753B32">
        <w:rPr>
          <w:sz w:val="22"/>
          <w:szCs w:val="22"/>
          <w:lang w:val="fr-CA"/>
        </w:rPr>
        <w:t>s par des travaux de con</w:t>
      </w:r>
      <w:r w:rsidR="00825501">
        <w:rPr>
          <w:sz w:val="22"/>
          <w:szCs w:val="22"/>
          <w:lang w:val="fr-CA"/>
        </w:rPr>
        <w:t>s</w:t>
      </w:r>
      <w:r w:rsidRPr="00753B32">
        <w:rPr>
          <w:sz w:val="22"/>
          <w:szCs w:val="22"/>
          <w:lang w:val="fr-CA"/>
        </w:rPr>
        <w:t xml:space="preserve">truction </w:t>
      </w:r>
      <w:r w:rsidR="00825501">
        <w:rPr>
          <w:sz w:val="22"/>
          <w:szCs w:val="22"/>
          <w:lang w:val="fr-CA"/>
        </w:rPr>
        <w:t>d’une route</w:t>
      </w:r>
      <w:r w:rsidRPr="00753B32">
        <w:rPr>
          <w:sz w:val="22"/>
          <w:szCs w:val="22"/>
          <w:lang w:val="fr-CA"/>
        </w:rPr>
        <w:t xml:space="preserve"> par le Costa Rica le long de la fronti</w:t>
      </w:r>
      <w:r>
        <w:rPr>
          <w:sz w:val="22"/>
          <w:szCs w:val="22"/>
          <w:lang w:val="fr-CA"/>
        </w:rPr>
        <w:t>ère entre les deux pays</w:t>
      </w:r>
      <w:r w:rsidR="00E6320A" w:rsidRPr="00753B32">
        <w:rPr>
          <w:sz w:val="22"/>
          <w:szCs w:val="22"/>
          <w:lang w:val="fr-CA"/>
        </w:rPr>
        <w:t>.</w:t>
      </w:r>
    </w:p>
    <w:p w:rsidR="0027598B" w:rsidRPr="00000A95" w:rsidRDefault="00E63D25" w:rsidP="00E6320A">
      <w:pPr>
        <w:pStyle w:val="NormalWeb"/>
        <w:numPr>
          <w:ilvl w:val="0"/>
          <w:numId w:val="2"/>
        </w:numPr>
        <w:shd w:val="clear" w:color="auto" w:fill="FFFFFF"/>
        <w:spacing w:before="120" w:after="120"/>
        <w:ind w:left="0" w:firstLine="0"/>
        <w:jc w:val="both"/>
        <w:rPr>
          <w:sz w:val="22"/>
          <w:szCs w:val="22"/>
          <w:lang w:val="fr-CA"/>
        </w:rPr>
      </w:pPr>
      <w:r>
        <w:rPr>
          <w:sz w:val="22"/>
          <w:szCs w:val="22"/>
          <w:lang w:val="fr-CA"/>
        </w:rPr>
        <w:t>En 2013, la Cour a décidé de jumeler les deux dossiers</w:t>
      </w:r>
      <w:r w:rsidR="00B34C3A">
        <w:rPr>
          <w:sz w:val="22"/>
          <w:szCs w:val="22"/>
          <w:lang w:val="fr-CA"/>
        </w:rPr>
        <w:t xml:space="preserve">. </w:t>
      </w:r>
      <w:r w:rsidR="009D0B43">
        <w:rPr>
          <w:sz w:val="22"/>
          <w:szCs w:val="22"/>
          <w:lang w:val="fr-CA"/>
        </w:rPr>
        <w:t>Entre-</w:t>
      </w:r>
      <w:r w:rsidR="007B7A13">
        <w:rPr>
          <w:sz w:val="22"/>
          <w:szCs w:val="22"/>
          <w:lang w:val="fr-CA"/>
        </w:rPr>
        <w:t xml:space="preserve">temps, la Cour a émis un ordre provisoire empêchant les deux parties de participer à des activités pouvant aggraver ou étendre le litige. Malgré l’ordre provisoire la Cour, le Nicaragua a continué à </w:t>
      </w:r>
      <w:r w:rsidR="00B34C3A">
        <w:rPr>
          <w:sz w:val="22"/>
          <w:szCs w:val="22"/>
          <w:lang w:val="fr-CA"/>
        </w:rPr>
        <w:t>creuser</w:t>
      </w:r>
      <w:r w:rsidR="007B7A13">
        <w:rPr>
          <w:sz w:val="22"/>
          <w:szCs w:val="22"/>
          <w:lang w:val="fr-CA"/>
        </w:rPr>
        <w:t xml:space="preserve"> deux autres voies (</w:t>
      </w:r>
      <w:r w:rsidR="00B34C3A" w:rsidRPr="00B34C3A">
        <w:rPr>
          <w:i/>
          <w:sz w:val="22"/>
          <w:szCs w:val="22"/>
          <w:lang w:val="fr-CA"/>
        </w:rPr>
        <w:t>caño</w:t>
      </w:r>
      <w:r w:rsidR="00B34C3A" w:rsidRPr="00B34C3A">
        <w:rPr>
          <w:i/>
          <w:sz w:val="22"/>
          <w:szCs w:val="22"/>
          <w:lang w:val="fr-CA"/>
        </w:rPr>
        <w:t>s</w:t>
      </w:r>
      <w:r w:rsidR="007B7A13">
        <w:rPr>
          <w:sz w:val="22"/>
          <w:szCs w:val="22"/>
          <w:lang w:val="fr-CA"/>
        </w:rPr>
        <w:t xml:space="preserve">) sur le territoire en litige, ce qui a donné lieu </w:t>
      </w:r>
      <w:r w:rsidR="00D93F57">
        <w:rPr>
          <w:sz w:val="22"/>
          <w:szCs w:val="22"/>
          <w:lang w:val="fr-CA"/>
        </w:rPr>
        <w:t>à une autre aud</w:t>
      </w:r>
      <w:r w:rsidR="007B7A13">
        <w:rPr>
          <w:sz w:val="22"/>
          <w:szCs w:val="22"/>
          <w:lang w:val="fr-CA"/>
        </w:rPr>
        <w:t>ience devant la Cour en 2013. La Cour a émis un nouvel ordre permett</w:t>
      </w:r>
      <w:r w:rsidR="00D93F57">
        <w:rPr>
          <w:sz w:val="22"/>
          <w:szCs w:val="22"/>
          <w:lang w:val="fr-CA"/>
        </w:rPr>
        <w:t>ant au Costa Rica de prendre le</w:t>
      </w:r>
      <w:r w:rsidR="007B7A13">
        <w:rPr>
          <w:sz w:val="22"/>
          <w:szCs w:val="22"/>
          <w:lang w:val="fr-CA"/>
        </w:rPr>
        <w:t>s</w:t>
      </w:r>
      <w:r w:rsidR="00D93F57">
        <w:rPr>
          <w:sz w:val="22"/>
          <w:szCs w:val="22"/>
          <w:lang w:val="fr-CA"/>
        </w:rPr>
        <w:t xml:space="preserve"> </w:t>
      </w:r>
      <w:r w:rsidR="007B7A13">
        <w:rPr>
          <w:sz w:val="22"/>
          <w:szCs w:val="22"/>
          <w:lang w:val="fr-CA"/>
        </w:rPr>
        <w:t>mesures nécessaires pour prévenir les dommages irréversibles à l’environnement après avoir consulté le Secrétariat de la Convention de Ramsar sur les zones humides</w:t>
      </w:r>
      <w:r w:rsidR="00D93F57">
        <w:rPr>
          <w:sz w:val="22"/>
          <w:szCs w:val="22"/>
          <w:lang w:val="fr-CA"/>
        </w:rPr>
        <w:t xml:space="preserve"> d’importance internationale, particulièrement comme habitats des oiseaux d’eau</w:t>
      </w:r>
      <w:r w:rsidR="00E6320A" w:rsidRPr="00000A95">
        <w:rPr>
          <w:sz w:val="22"/>
          <w:szCs w:val="22"/>
          <w:lang w:val="fr-CA"/>
        </w:rPr>
        <w:t>.</w:t>
      </w:r>
      <w:r w:rsidR="00E6320A" w:rsidRPr="00000A95">
        <w:rPr>
          <w:sz w:val="22"/>
          <w:szCs w:val="22"/>
          <w:vertAlign w:val="superscript"/>
          <w:lang w:val="fr-CA"/>
        </w:rPr>
        <w:footnoteReference w:id="18"/>
      </w:r>
    </w:p>
    <w:p w:rsidR="0027598B" w:rsidRPr="005D139F" w:rsidRDefault="00A67D90" w:rsidP="00E6320A">
      <w:pPr>
        <w:pStyle w:val="NormalWeb"/>
        <w:numPr>
          <w:ilvl w:val="0"/>
          <w:numId w:val="3"/>
        </w:numPr>
        <w:shd w:val="clear" w:color="auto" w:fill="FFFFFF"/>
        <w:spacing w:before="120" w:after="120"/>
        <w:ind w:left="0" w:firstLine="0"/>
        <w:jc w:val="both"/>
        <w:rPr>
          <w:sz w:val="22"/>
          <w:szCs w:val="22"/>
          <w:lang w:val="fr-CA"/>
        </w:rPr>
      </w:pPr>
      <w:r>
        <w:rPr>
          <w:sz w:val="22"/>
          <w:szCs w:val="22"/>
          <w:lang w:val="fr-CA"/>
        </w:rPr>
        <w:t xml:space="preserve">En 2015, </w:t>
      </w:r>
      <w:r w:rsidR="00C56AED">
        <w:rPr>
          <w:sz w:val="22"/>
          <w:szCs w:val="22"/>
          <w:lang w:val="fr-CA"/>
        </w:rPr>
        <w:t>la Cour a réglé le litige de la souveraineté à la faveur du Costa Rica, rendant ainsi les activités du Nicaragua illégales en vertu du droit</w:t>
      </w:r>
      <w:r w:rsidR="00B34C3A">
        <w:rPr>
          <w:sz w:val="22"/>
          <w:szCs w:val="22"/>
          <w:lang w:val="fr-CA"/>
        </w:rPr>
        <w:t xml:space="preserve"> international</w:t>
      </w:r>
      <w:r w:rsidR="00C56AED">
        <w:rPr>
          <w:sz w:val="22"/>
          <w:szCs w:val="22"/>
          <w:lang w:val="fr-CA"/>
        </w:rPr>
        <w:t xml:space="preserve">. Cette décision a créé </w:t>
      </w:r>
      <w:r w:rsidR="00F20F99">
        <w:rPr>
          <w:sz w:val="22"/>
          <w:szCs w:val="22"/>
          <w:lang w:val="fr-CA"/>
        </w:rPr>
        <w:t xml:space="preserve">une </w:t>
      </w:r>
      <w:r w:rsidR="00C56AED">
        <w:rPr>
          <w:sz w:val="22"/>
          <w:szCs w:val="22"/>
          <w:lang w:val="fr-CA"/>
        </w:rPr>
        <w:t>obligation de réparation pour le Nicaragua. De nouvelles procédures d’indemnisation ont été entreprises car les parties ont été incapables d’en arriver à un accord en matière d’indemnisation pour les dommages dans les délais accordés par la Cour.</w:t>
      </w:r>
      <w:r w:rsidR="005D139F">
        <w:rPr>
          <w:sz w:val="22"/>
          <w:szCs w:val="22"/>
          <w:lang w:val="fr-CA"/>
        </w:rPr>
        <w:t xml:space="preserve"> Le Costa Rica demandait à être indemnisé pour deux catégories de dommages : les dommages quantifiables que le Nicaragua a causés à l’environnement en </w:t>
      </w:r>
      <w:r w:rsidR="005D139F" w:rsidRPr="005D139F">
        <w:rPr>
          <w:sz w:val="22"/>
          <w:szCs w:val="22"/>
          <w:lang w:val="fr-CA"/>
        </w:rPr>
        <w:t xml:space="preserve">creusant le </w:t>
      </w:r>
      <w:r w:rsidR="005D139F" w:rsidRPr="005D139F">
        <w:rPr>
          <w:i/>
          <w:sz w:val="22"/>
          <w:szCs w:val="22"/>
          <w:lang w:val="fr-CA"/>
        </w:rPr>
        <w:t>caño</w:t>
      </w:r>
      <w:r w:rsidR="005D139F" w:rsidRPr="005D139F">
        <w:rPr>
          <w:sz w:val="22"/>
          <w:szCs w:val="22"/>
          <w:lang w:val="fr-CA"/>
        </w:rPr>
        <w:t xml:space="preserve"> de 2010 et le </w:t>
      </w:r>
      <w:r w:rsidR="005D139F" w:rsidRPr="005D139F">
        <w:rPr>
          <w:i/>
          <w:sz w:val="22"/>
          <w:szCs w:val="22"/>
          <w:lang w:val="fr-CA"/>
        </w:rPr>
        <w:t>caño</w:t>
      </w:r>
      <w:r w:rsidR="005D139F" w:rsidRPr="005D139F">
        <w:rPr>
          <w:sz w:val="22"/>
          <w:szCs w:val="22"/>
          <w:lang w:val="fr-CA"/>
        </w:rPr>
        <w:t xml:space="preserve"> oriental de </w:t>
      </w:r>
      <w:r w:rsidR="005D139F">
        <w:rPr>
          <w:sz w:val="22"/>
          <w:szCs w:val="22"/>
          <w:lang w:val="fr-CA"/>
        </w:rPr>
        <w:t>2013, et b) les frais et dépenses occasionnés</w:t>
      </w:r>
      <w:r w:rsidR="00170551">
        <w:rPr>
          <w:sz w:val="22"/>
          <w:szCs w:val="22"/>
          <w:lang w:val="fr-CA"/>
        </w:rPr>
        <w:t xml:space="preserve"> par les activités ill</w:t>
      </w:r>
      <w:r w:rsidR="00454E36">
        <w:rPr>
          <w:sz w:val="22"/>
          <w:szCs w:val="22"/>
          <w:lang w:val="fr-CA"/>
        </w:rPr>
        <w:t>icites du Nicaragua, notamment l</w:t>
      </w:r>
      <w:r w:rsidR="00170551">
        <w:rPr>
          <w:sz w:val="22"/>
          <w:szCs w:val="22"/>
          <w:lang w:val="fr-CA"/>
        </w:rPr>
        <w:t>es dépenses liées aux mesures de surveillance ou de remise en état rendues nécessaires par les dommages causés à l’environnement (paragraphe 36). Le Nicaragua a répliqué que le Costa Rica n’avait droit à une indemnisation que pour les « dommages matériels », qui sont limités aux dommages causés à des biens ou à d’autres intérêts du Costa Rica, pouvant être évaluée en termes financiers (paragraphe 37).</w:t>
      </w:r>
    </w:p>
    <w:p w:rsidR="0027598B" w:rsidRPr="00000A95" w:rsidRDefault="00C8084C" w:rsidP="00E6320A">
      <w:pPr>
        <w:pStyle w:val="NormalWeb"/>
        <w:numPr>
          <w:ilvl w:val="0"/>
          <w:numId w:val="3"/>
        </w:numPr>
        <w:shd w:val="clear" w:color="auto" w:fill="FFFFFF"/>
        <w:spacing w:before="0" w:after="120"/>
        <w:ind w:left="0" w:firstLine="0"/>
        <w:jc w:val="both"/>
        <w:rPr>
          <w:sz w:val="22"/>
          <w:szCs w:val="22"/>
          <w:lang w:val="fr-CA"/>
        </w:rPr>
      </w:pPr>
      <w:r w:rsidRPr="00C8084C">
        <w:rPr>
          <w:sz w:val="22"/>
          <w:szCs w:val="22"/>
          <w:lang w:val="fr-CA"/>
        </w:rPr>
        <w:t xml:space="preserve">Le Costa Rica a </w:t>
      </w:r>
      <w:r w:rsidRPr="00D301F9">
        <w:rPr>
          <w:sz w:val="22"/>
          <w:szCs w:val="22"/>
          <w:lang w:val="fr-CA"/>
        </w:rPr>
        <w:t xml:space="preserve">soutenu que l’approche par écosystème est appuyée par les pratiques internationales et nationales. Il a indiqué que les </w:t>
      </w:r>
      <w:r w:rsidR="00D301F9" w:rsidRPr="00D301F9">
        <w:rPr>
          <w:kern w:val="22"/>
          <w:sz w:val="22"/>
          <w:szCs w:val="22"/>
          <w:lang w:val="fr-CA"/>
        </w:rPr>
        <w:t>Directives pour l’élaboration d’une législation nationale sur la responsabilité, l’intervention et l’indemnisation en cas de dommages causés à l’environneme</w:t>
      </w:r>
      <w:r w:rsidR="00D301F9">
        <w:rPr>
          <w:kern w:val="22"/>
          <w:sz w:val="22"/>
          <w:szCs w:val="22"/>
          <w:lang w:val="fr-CA"/>
        </w:rPr>
        <w:t xml:space="preserve">nt par des activités dangereuses </w:t>
      </w:r>
      <w:r w:rsidR="00994276">
        <w:rPr>
          <w:kern w:val="22"/>
          <w:sz w:val="22"/>
          <w:szCs w:val="22"/>
          <w:lang w:val="fr-CA"/>
        </w:rPr>
        <w:t xml:space="preserve">reconnaissent que les dommages peuvent </w:t>
      </w:r>
      <w:r w:rsidR="008D0987">
        <w:rPr>
          <w:kern w:val="22"/>
          <w:sz w:val="22"/>
          <w:szCs w:val="22"/>
          <w:lang w:val="fr-CA"/>
        </w:rPr>
        <w:t xml:space="preserve">être </w:t>
      </w:r>
      <w:r w:rsidR="00994276">
        <w:rPr>
          <w:kern w:val="22"/>
          <w:sz w:val="22"/>
          <w:szCs w:val="22"/>
          <w:lang w:val="fr-CA"/>
        </w:rPr>
        <w:t xml:space="preserve">calculés à partir de facteurs tels que </w:t>
      </w:r>
      <w:r w:rsidR="008D0987">
        <w:rPr>
          <w:kern w:val="22"/>
          <w:sz w:val="22"/>
          <w:szCs w:val="22"/>
          <w:lang w:val="fr-CA"/>
        </w:rPr>
        <w:t>l</w:t>
      </w:r>
      <w:r w:rsidR="00051461">
        <w:rPr>
          <w:kern w:val="22"/>
          <w:sz w:val="22"/>
          <w:szCs w:val="22"/>
          <w:lang w:val="fr-CA"/>
        </w:rPr>
        <w:t>a dégradation</w:t>
      </w:r>
      <w:r w:rsidR="00994276">
        <w:rPr>
          <w:sz w:val="22"/>
          <w:szCs w:val="22"/>
          <w:lang w:val="fr-CA"/>
        </w:rPr>
        <w:t xml:space="preserve"> ou la perte de la capacité de l’environnement d’offrir des biens et services. </w:t>
      </w:r>
      <w:r w:rsidR="00994276" w:rsidRPr="00994276">
        <w:rPr>
          <w:sz w:val="22"/>
          <w:szCs w:val="22"/>
          <w:lang w:val="fr-CA"/>
        </w:rPr>
        <w:t>Le Costa Rica a aussi souligné la décision XII/14 de la Conférence des Parties à la Convention sur la divers</w:t>
      </w:r>
      <w:r w:rsidR="008D0987">
        <w:rPr>
          <w:sz w:val="22"/>
          <w:szCs w:val="22"/>
          <w:lang w:val="fr-CA"/>
        </w:rPr>
        <w:t>ité biologique, qui invite les P</w:t>
      </w:r>
      <w:r w:rsidR="00994276" w:rsidRPr="00994276">
        <w:rPr>
          <w:sz w:val="22"/>
          <w:szCs w:val="22"/>
          <w:lang w:val="fr-CA"/>
        </w:rPr>
        <w:t>arties</w:t>
      </w:r>
      <w:r w:rsidR="00534D8D">
        <w:rPr>
          <w:sz w:val="22"/>
          <w:szCs w:val="22"/>
          <w:lang w:val="fr-CA"/>
        </w:rPr>
        <w:t xml:space="preserve"> à tenir compte, selon qu’il convient, des directives et d’un «</w:t>
      </w:r>
      <w:r w:rsidR="009D0B43">
        <w:rPr>
          <w:sz w:val="22"/>
          <w:szCs w:val="22"/>
          <w:lang w:val="fr-CA"/>
        </w:rPr>
        <w:t> </w:t>
      </w:r>
      <w:r w:rsidR="00534D8D">
        <w:rPr>
          <w:sz w:val="22"/>
          <w:szCs w:val="22"/>
          <w:lang w:val="fr-CA"/>
        </w:rPr>
        <w:t>rapport de synthèse »</w:t>
      </w:r>
      <w:r w:rsidRPr="00994276">
        <w:rPr>
          <w:sz w:val="22"/>
          <w:szCs w:val="22"/>
          <w:lang w:val="fr-CA"/>
        </w:rPr>
        <w:t xml:space="preserve"> </w:t>
      </w:r>
      <w:r w:rsidR="00D90C6E" w:rsidRPr="00534D8D">
        <w:rPr>
          <w:sz w:val="22"/>
          <w:szCs w:val="22"/>
          <w:lang w:val="fr-CA"/>
        </w:rPr>
        <w:t xml:space="preserve">(UNEP/CBD/COP/9/20/Add.1) </w:t>
      </w:r>
      <w:r w:rsidR="00534D8D">
        <w:rPr>
          <w:sz w:val="22"/>
          <w:szCs w:val="22"/>
          <w:lang w:val="fr-CA"/>
        </w:rPr>
        <w:t>sur les informations techniques, selon lequel les règles de responsabilité et de réparation peuvent aussi concerner l’incapacité de l’écosyst</w:t>
      </w:r>
      <w:r w:rsidR="00D90C6E">
        <w:rPr>
          <w:sz w:val="22"/>
          <w:szCs w:val="22"/>
          <w:lang w:val="fr-CA"/>
        </w:rPr>
        <w:t>è</w:t>
      </w:r>
      <w:r w:rsidR="00534D8D">
        <w:rPr>
          <w:sz w:val="22"/>
          <w:szCs w:val="22"/>
          <w:lang w:val="fr-CA"/>
        </w:rPr>
        <w:t xml:space="preserve">me </w:t>
      </w:r>
      <w:r w:rsidR="00D90C6E">
        <w:rPr>
          <w:sz w:val="22"/>
          <w:szCs w:val="22"/>
          <w:lang w:val="fr-CA"/>
        </w:rPr>
        <w:t>à offrir des biens et services réels ou poten</w:t>
      </w:r>
      <w:r w:rsidR="004A5537">
        <w:rPr>
          <w:sz w:val="22"/>
          <w:szCs w:val="22"/>
          <w:lang w:val="fr-CA"/>
        </w:rPr>
        <w:t>tiels (paragraphe 46)</w:t>
      </w:r>
      <w:r w:rsidR="00E6320A" w:rsidRPr="00000A95">
        <w:rPr>
          <w:sz w:val="22"/>
          <w:szCs w:val="22"/>
          <w:lang w:val="fr-CA"/>
        </w:rPr>
        <w:t>.</w:t>
      </w:r>
    </w:p>
    <w:p w:rsidR="0027598B" w:rsidRPr="00000A95" w:rsidRDefault="004A5537" w:rsidP="00E6320A">
      <w:pPr>
        <w:pStyle w:val="NormalWeb"/>
        <w:numPr>
          <w:ilvl w:val="0"/>
          <w:numId w:val="3"/>
        </w:numPr>
        <w:shd w:val="clear" w:color="auto" w:fill="FFFFFF"/>
        <w:spacing w:before="120" w:after="120"/>
        <w:ind w:left="0" w:firstLine="0"/>
        <w:jc w:val="both"/>
        <w:rPr>
          <w:sz w:val="22"/>
          <w:szCs w:val="22"/>
          <w:lang w:val="fr-CA"/>
        </w:rPr>
      </w:pPr>
      <w:r>
        <w:rPr>
          <w:sz w:val="22"/>
          <w:szCs w:val="22"/>
          <w:lang w:val="fr-CA"/>
        </w:rPr>
        <w:lastRenderedPageBreak/>
        <w:t>La Cour a abordé la question de l’indemnisation en cernant les principes légaux du droit international</w:t>
      </w:r>
      <w:r w:rsidR="00E6320A" w:rsidRPr="00000A95">
        <w:rPr>
          <w:sz w:val="22"/>
          <w:szCs w:val="22"/>
          <w:lang w:val="fr-CA"/>
        </w:rPr>
        <w:t xml:space="preserve"> </w:t>
      </w:r>
      <w:r>
        <w:rPr>
          <w:sz w:val="22"/>
          <w:szCs w:val="22"/>
          <w:lang w:val="fr-CA"/>
        </w:rPr>
        <w:t xml:space="preserve">sur la détermination de l’indemnisation. Le premier principe de droit international relevé par la Cour reconnaît que le manquement </w:t>
      </w:r>
      <w:r w:rsidR="00727BE3">
        <w:rPr>
          <w:sz w:val="22"/>
          <w:szCs w:val="22"/>
          <w:lang w:val="fr-CA"/>
        </w:rPr>
        <w:t>à</w:t>
      </w:r>
      <w:r>
        <w:rPr>
          <w:sz w:val="22"/>
          <w:szCs w:val="22"/>
          <w:lang w:val="fr-CA"/>
        </w:rPr>
        <w:t xml:space="preserve"> une obligation </w:t>
      </w:r>
      <w:r w:rsidR="00727BE3">
        <w:rPr>
          <w:sz w:val="22"/>
          <w:szCs w:val="22"/>
          <w:lang w:val="fr-CA"/>
        </w:rPr>
        <w:t xml:space="preserve">entraîne une </w:t>
      </w:r>
      <w:r>
        <w:rPr>
          <w:sz w:val="22"/>
          <w:szCs w:val="22"/>
          <w:lang w:val="fr-CA"/>
        </w:rPr>
        <w:t>obligation de</w:t>
      </w:r>
      <w:r w:rsidR="00727BE3">
        <w:rPr>
          <w:sz w:val="22"/>
          <w:szCs w:val="22"/>
          <w:lang w:val="fr-CA"/>
        </w:rPr>
        <w:t xml:space="preserve"> réparation dans une forme adéquate. La Cour n’a jamais auparavant statué sur une demande </w:t>
      </w:r>
      <w:r w:rsidR="00727BE3" w:rsidRPr="00727BE3">
        <w:rPr>
          <w:sz w:val="22"/>
          <w:szCs w:val="22"/>
          <w:lang w:val="fr-CA"/>
        </w:rPr>
        <w:t xml:space="preserve">d’indemnisation pour dommages environnementaux. </w:t>
      </w:r>
      <w:r w:rsidR="008D0987">
        <w:rPr>
          <w:sz w:val="22"/>
          <w:szCs w:val="22"/>
          <w:lang w:val="fr-CA"/>
        </w:rPr>
        <w:t>La Cour a toutefois précisé qu’</w:t>
      </w:r>
      <w:r w:rsidR="00727BE3" w:rsidRPr="00727BE3">
        <w:rPr>
          <w:sz w:val="22"/>
          <w:szCs w:val="22"/>
          <w:lang w:val="fr-CA"/>
        </w:rPr>
        <w:t>« </w:t>
      </w:r>
      <w:r w:rsidR="008D0987">
        <w:rPr>
          <w:sz w:val="22"/>
          <w:szCs w:val="22"/>
          <w:lang w:val="fr-CA"/>
        </w:rPr>
        <w:t>i</w:t>
      </w:r>
      <w:r w:rsidR="00727BE3" w:rsidRPr="00DB254C">
        <w:rPr>
          <w:sz w:val="22"/>
          <w:szCs w:val="22"/>
          <w:lang w:val="fr-CA"/>
        </w:rPr>
        <w:t xml:space="preserve">l est cependant conforme aux principes du droit international régissant les conséquences de faits internationalement illicites, et notamment au principe de la réparation intégrale, de conclure que les dommages environnementaux ouvrent en eux-mêmes droit à indemnisation, en </w:t>
      </w:r>
      <w:r w:rsidR="00DB254C" w:rsidRPr="00DB254C">
        <w:rPr>
          <w:sz w:val="22"/>
          <w:szCs w:val="22"/>
          <w:lang w:val="fr-CA"/>
        </w:rPr>
        <w:t>sus de dépenses engagées par l’É</w:t>
      </w:r>
      <w:r w:rsidR="00727BE3" w:rsidRPr="00DB254C">
        <w:rPr>
          <w:sz w:val="22"/>
          <w:szCs w:val="22"/>
          <w:lang w:val="fr-CA"/>
        </w:rPr>
        <w:t>tat lésé en conséquence de tels dommages »</w:t>
      </w:r>
      <w:r w:rsidR="00727BE3" w:rsidRPr="00727BE3">
        <w:rPr>
          <w:sz w:val="22"/>
          <w:szCs w:val="22"/>
          <w:lang w:val="fr-CA"/>
        </w:rPr>
        <w:t>.</w:t>
      </w:r>
      <w:r w:rsidR="00727BE3">
        <w:rPr>
          <w:sz w:val="22"/>
          <w:szCs w:val="22"/>
          <w:lang w:val="fr-CA"/>
        </w:rPr>
        <w:t xml:space="preserve"> </w:t>
      </w:r>
      <w:r w:rsidR="00E6320A" w:rsidRPr="00000A95">
        <w:rPr>
          <w:sz w:val="22"/>
          <w:szCs w:val="22"/>
          <w:lang w:val="fr-CA"/>
        </w:rPr>
        <w:t>(para</w:t>
      </w:r>
      <w:r w:rsidR="00727BE3">
        <w:rPr>
          <w:sz w:val="22"/>
          <w:szCs w:val="22"/>
          <w:lang w:val="fr-CA"/>
        </w:rPr>
        <w:t>graphe</w:t>
      </w:r>
      <w:r w:rsidR="00E6320A" w:rsidRPr="00000A95">
        <w:rPr>
          <w:sz w:val="22"/>
          <w:szCs w:val="22"/>
          <w:lang w:val="fr-CA"/>
        </w:rPr>
        <w:t xml:space="preserve"> 41).</w:t>
      </w:r>
    </w:p>
    <w:p w:rsidR="0027598B" w:rsidRPr="00001993" w:rsidRDefault="00DB254C" w:rsidP="00E6320A">
      <w:pPr>
        <w:pStyle w:val="Paragraphedeliste"/>
        <w:numPr>
          <w:ilvl w:val="0"/>
          <w:numId w:val="3"/>
        </w:numPr>
        <w:spacing w:before="120" w:after="120"/>
        <w:ind w:left="0" w:firstLine="0"/>
        <w:rPr>
          <w:lang w:val="fr-CA"/>
        </w:rPr>
      </w:pPr>
      <w:r>
        <w:rPr>
          <w:lang w:val="fr-CA"/>
        </w:rPr>
        <w:t xml:space="preserve">La Cour a constaté qu’aucune des Parties n’a nié le fait que les dommages à l’environnement étaient </w:t>
      </w:r>
      <w:r w:rsidR="00EE08FD">
        <w:rPr>
          <w:lang w:val="fr-CA"/>
        </w:rPr>
        <w:t>susceptibles à une indemnisation</w:t>
      </w:r>
      <w:r>
        <w:rPr>
          <w:lang w:val="fr-CA"/>
        </w:rPr>
        <w:t xml:space="preserve"> en vertu du droit international. La Cour était donc d’avis que « </w:t>
      </w:r>
      <w:r w:rsidRPr="00DB254C">
        <w:rPr>
          <w:lang w:val="fr-CA"/>
        </w:rPr>
        <w:t>la dégradation ou la perte consécutive de la capacité de celui-ci d</w:t>
      </w:r>
      <w:r w:rsidR="00EE08FD">
        <w:rPr>
          <w:lang w:val="fr-CA"/>
        </w:rPr>
        <w:t>e fournir des biens et services</w:t>
      </w:r>
      <w:r w:rsidRPr="00DB254C">
        <w:rPr>
          <w:lang w:val="fr-CA"/>
        </w:rPr>
        <w:t xml:space="preserve"> sont susceptibles d’indemnisation en droit international</w:t>
      </w:r>
      <w:r>
        <w:rPr>
          <w:lang w:val="fr-CA"/>
        </w:rPr>
        <w:t> </w:t>
      </w:r>
      <w:r w:rsidR="00D368EE">
        <w:rPr>
          <w:lang w:val="fr-CA"/>
        </w:rPr>
        <w:t xml:space="preserve">». </w:t>
      </w:r>
      <w:r w:rsidRPr="00001993">
        <w:rPr>
          <w:lang w:val="fr-CA"/>
        </w:rPr>
        <w:t>Selon la Cour, cette indemnisation</w:t>
      </w:r>
      <w:r w:rsidR="00001993">
        <w:rPr>
          <w:lang w:val="fr-CA"/>
        </w:rPr>
        <w:t xml:space="preserve"> «</w:t>
      </w:r>
      <w:r w:rsidR="009D0B43">
        <w:rPr>
          <w:lang w:val="fr-CA"/>
        </w:rPr>
        <w:t> </w:t>
      </w:r>
      <w:r w:rsidR="00001993" w:rsidRPr="00001993">
        <w:rPr>
          <w:lang w:val="fr-CA"/>
        </w:rPr>
        <w:t>peut comprendre une indemnité pour la dégradation ou la perte de biens et services environnementaux subie pendant la période précédant la reconstitution, et une indemnité pour la restauration de l’environnement endommagé</w:t>
      </w:r>
      <w:r w:rsidR="00001993">
        <w:rPr>
          <w:lang w:val="fr-CA"/>
        </w:rPr>
        <w:t> » (paragraphe</w:t>
      </w:r>
      <w:r w:rsidR="00FC6952">
        <w:rPr>
          <w:lang w:val="fr-CA"/>
        </w:rPr>
        <w:t> </w:t>
      </w:r>
      <w:r w:rsidR="00001993">
        <w:rPr>
          <w:lang w:val="fr-CA"/>
        </w:rPr>
        <w:t xml:space="preserve">42). </w:t>
      </w:r>
      <w:r w:rsidR="00D368EE" w:rsidRPr="00001993">
        <w:rPr>
          <w:lang w:val="fr-CA"/>
        </w:rPr>
        <w:t xml:space="preserve">Le principe important suivant </w:t>
      </w:r>
      <w:r w:rsidR="00FC6952">
        <w:rPr>
          <w:lang w:val="fr-CA"/>
        </w:rPr>
        <w:t>concernait le</w:t>
      </w:r>
      <w:r w:rsidR="00D368EE">
        <w:rPr>
          <w:lang w:val="fr-CA"/>
        </w:rPr>
        <w:t xml:space="preserve"> lien de causalité</w:t>
      </w:r>
      <w:r w:rsidR="00D368EE" w:rsidRPr="00001993">
        <w:rPr>
          <w:lang w:val="fr-CA"/>
        </w:rPr>
        <w:t xml:space="preserve">. </w:t>
      </w:r>
      <w:r w:rsidR="00D368EE">
        <w:rPr>
          <w:lang w:val="fr-CA"/>
        </w:rPr>
        <w:t xml:space="preserve">Selon la Cour, pour accorder une indemnisation, la Cour doit être en mesure d’établir le lien de causalité entre le fait illicite et le préjudice subi (paragraphe 32). La Cour a précisé que </w:t>
      </w:r>
      <w:r w:rsidR="00652040" w:rsidRPr="00652040">
        <w:rPr>
          <w:lang w:val="fr-CA"/>
        </w:rPr>
        <w:t xml:space="preserve">le dommage </w:t>
      </w:r>
      <w:r w:rsidR="00652040">
        <w:rPr>
          <w:lang w:val="fr-CA"/>
        </w:rPr>
        <w:t>p</w:t>
      </w:r>
      <w:r w:rsidR="006F59FB">
        <w:rPr>
          <w:lang w:val="fr-CA"/>
        </w:rPr>
        <w:t>ouvai</w:t>
      </w:r>
      <w:r w:rsidR="00652040">
        <w:rPr>
          <w:lang w:val="fr-CA"/>
        </w:rPr>
        <w:t>t être</w:t>
      </w:r>
      <w:r w:rsidR="00652040" w:rsidRPr="00652040">
        <w:rPr>
          <w:lang w:val="fr-CA"/>
        </w:rPr>
        <w:t xml:space="preserve"> attribuable à plusieurs causes concomitantes, ou encore que l’état des connaissances scientifiques ne permet</w:t>
      </w:r>
      <w:r w:rsidR="006F59FB">
        <w:rPr>
          <w:lang w:val="fr-CA"/>
        </w:rPr>
        <w:t>tait</w:t>
      </w:r>
      <w:r w:rsidR="00652040" w:rsidRPr="00652040">
        <w:rPr>
          <w:lang w:val="fr-CA"/>
        </w:rPr>
        <w:t xml:space="preserve"> pas de le</w:t>
      </w:r>
      <w:r w:rsidR="00652040">
        <w:rPr>
          <w:lang w:val="fr-CA"/>
        </w:rPr>
        <w:t>s</w:t>
      </w:r>
      <w:r w:rsidR="00652040" w:rsidRPr="00652040">
        <w:rPr>
          <w:lang w:val="fr-CA"/>
        </w:rPr>
        <w:t xml:space="preserve"> relier avec certitude au fait illicite par un lien de causalité</w:t>
      </w:r>
      <w:r w:rsidR="00652040">
        <w:rPr>
          <w:lang w:val="fr-CA"/>
        </w:rPr>
        <w:t xml:space="preserve"> (paragraphe 34).</w:t>
      </w:r>
    </w:p>
    <w:p w:rsidR="0027598B" w:rsidRPr="00000A95" w:rsidRDefault="00652040" w:rsidP="00E6320A">
      <w:pPr>
        <w:pStyle w:val="Paragraphedeliste"/>
        <w:numPr>
          <w:ilvl w:val="0"/>
          <w:numId w:val="3"/>
        </w:numPr>
        <w:spacing w:before="120" w:after="120"/>
        <w:ind w:left="0" w:firstLine="0"/>
        <w:rPr>
          <w:lang w:val="fr-CA"/>
        </w:rPr>
      </w:pPr>
      <w:r w:rsidRPr="00652040">
        <w:rPr>
          <w:lang w:val="fr-CA"/>
        </w:rPr>
        <w:t>À la lumière des agissements illic</w:t>
      </w:r>
      <w:r>
        <w:rPr>
          <w:lang w:val="fr-CA"/>
        </w:rPr>
        <w:t>i</w:t>
      </w:r>
      <w:r w:rsidRPr="00652040">
        <w:rPr>
          <w:lang w:val="fr-CA"/>
        </w:rPr>
        <w:t>tes du Nicaragua</w:t>
      </w:r>
      <w:r>
        <w:rPr>
          <w:lang w:val="fr-CA"/>
        </w:rPr>
        <w:t xml:space="preserve"> dans le territoire en litige, la Cour a conclu que le Nicaragua avait une obligation de réparation complète des dommages environnementaux causés par ses gestes illicites. Dans sa détermination de l’indemnisation pour les dommages environnementaux, la Cour a évalué</w:t>
      </w:r>
      <w:r w:rsidR="00AF6E37">
        <w:rPr>
          <w:lang w:val="fr-CA"/>
        </w:rPr>
        <w:t xml:space="preserve"> le coût de la restauration de l’environnement endommagé ainsi que </w:t>
      </w:r>
      <w:r w:rsidR="00E94631">
        <w:rPr>
          <w:lang w:val="fr-CA"/>
        </w:rPr>
        <w:t>la dégradation</w:t>
      </w:r>
      <w:r w:rsidR="00AF6E37">
        <w:rPr>
          <w:lang w:val="fr-CA"/>
        </w:rPr>
        <w:t xml:space="preserve"> ou la perte des biens et services environnementaux avant la récupération. Dans une lettre datée du 22 mars 2018, le Nicaragua a informé le </w:t>
      </w:r>
      <w:r w:rsidR="00E94631">
        <w:rPr>
          <w:lang w:val="fr-CA"/>
        </w:rPr>
        <w:t>registraire de la Cour qu’il</w:t>
      </w:r>
      <w:r w:rsidR="00AF6E37">
        <w:rPr>
          <w:lang w:val="fr-CA"/>
        </w:rPr>
        <w:t xml:space="preserve"> avait versé l’indemnisation déterminée par la Cour au Costa Rica le 8 mars 2018</w:t>
      </w:r>
      <w:r w:rsidR="00E6320A" w:rsidRPr="00000A95">
        <w:rPr>
          <w:lang w:val="fr-CA"/>
        </w:rPr>
        <w:t>.</w:t>
      </w:r>
      <w:r w:rsidR="00E6320A" w:rsidRPr="00000A95">
        <w:rPr>
          <w:vertAlign w:val="superscript"/>
          <w:lang w:val="fr-CA"/>
        </w:rPr>
        <w:footnoteReference w:id="19"/>
      </w:r>
    </w:p>
    <w:p w:rsidR="0027598B" w:rsidRPr="00AF6E37" w:rsidRDefault="00E6320A">
      <w:pPr>
        <w:pStyle w:val="Titre2"/>
        <w:rPr>
          <w:lang w:val="fr-CA"/>
        </w:rPr>
      </w:pPr>
      <w:r w:rsidRPr="00AF6E37">
        <w:rPr>
          <w:lang w:val="fr-CA"/>
        </w:rPr>
        <w:t>F.</w:t>
      </w:r>
      <w:r w:rsidRPr="00AF6E37">
        <w:rPr>
          <w:lang w:val="fr-CA"/>
        </w:rPr>
        <w:tab/>
      </w:r>
      <w:r w:rsidR="00BB768C">
        <w:rPr>
          <w:lang w:val="fr-CA"/>
        </w:rPr>
        <w:t>Dommages écologiques, assurance et mesures nationales</w:t>
      </w:r>
    </w:p>
    <w:p w:rsidR="0027598B" w:rsidRPr="00AF6E37" w:rsidRDefault="00BB768C" w:rsidP="00E6320A">
      <w:pPr>
        <w:pStyle w:val="Body"/>
        <w:numPr>
          <w:ilvl w:val="0"/>
          <w:numId w:val="3"/>
        </w:numPr>
        <w:spacing w:before="120" w:after="120"/>
        <w:ind w:left="0" w:firstLine="0"/>
        <w:rPr>
          <w:lang w:val="fr-CA"/>
        </w:rPr>
      </w:pPr>
      <w:r>
        <w:rPr>
          <w:kern w:val="22"/>
          <w:lang w:val="fr-CA"/>
        </w:rPr>
        <w:t xml:space="preserve">Il est de plus en plus reconnu que l’assurance </w:t>
      </w:r>
      <w:r w:rsidR="006F59FB">
        <w:rPr>
          <w:kern w:val="22"/>
          <w:lang w:val="fr-CA"/>
        </w:rPr>
        <w:t>procure</w:t>
      </w:r>
      <w:r>
        <w:rPr>
          <w:kern w:val="22"/>
          <w:lang w:val="fr-CA"/>
        </w:rPr>
        <w:t xml:space="preserve"> de nombreux avantages pour l’amélioration de l’environnement en </w:t>
      </w:r>
      <w:r w:rsidR="006F59FB">
        <w:rPr>
          <w:kern w:val="22"/>
          <w:lang w:val="fr-CA"/>
        </w:rPr>
        <w:t>offrant</w:t>
      </w:r>
      <w:r>
        <w:rPr>
          <w:kern w:val="22"/>
          <w:lang w:val="fr-CA"/>
        </w:rPr>
        <w:t xml:space="preserve"> une protection contre les risques liés à la perte de biens et services écosystémiques. Cependant, il est généralement reconnu que la nature de cette assurance </w:t>
      </w:r>
      <w:r w:rsidR="005A0228">
        <w:rPr>
          <w:kern w:val="22"/>
          <w:lang w:val="fr-CA"/>
        </w:rPr>
        <w:t xml:space="preserve">et les risques découlant de l’appauvrissement de la diversité biologique </w:t>
      </w:r>
      <w:r w:rsidR="00752EB2">
        <w:rPr>
          <w:kern w:val="22"/>
          <w:lang w:val="fr-CA"/>
        </w:rPr>
        <w:t>créent</w:t>
      </w:r>
      <w:r w:rsidR="005A0228">
        <w:rPr>
          <w:kern w:val="22"/>
          <w:lang w:val="fr-CA"/>
        </w:rPr>
        <w:t xml:space="preserve"> plusieurs obstacles</w:t>
      </w:r>
      <w:r w:rsidR="00752EB2">
        <w:rPr>
          <w:kern w:val="22"/>
          <w:lang w:val="fr-CA"/>
        </w:rPr>
        <w:t xml:space="preserve"> importants</w:t>
      </w:r>
      <w:r w:rsidR="005A0228">
        <w:rPr>
          <w:kern w:val="22"/>
          <w:lang w:val="fr-CA"/>
        </w:rPr>
        <w:t>. Le marché de l’assurance connaît plusieurs difficultés à caractériser, comprendre et quantifier uniformément les dommages écologiques.</w:t>
      </w:r>
    </w:p>
    <w:p w:rsidR="0027598B" w:rsidRPr="00AF6E37" w:rsidRDefault="005A0228" w:rsidP="00E6320A">
      <w:pPr>
        <w:pStyle w:val="Body"/>
        <w:numPr>
          <w:ilvl w:val="0"/>
          <w:numId w:val="2"/>
        </w:numPr>
        <w:spacing w:before="120" w:after="120"/>
        <w:ind w:left="0" w:firstLine="0"/>
        <w:rPr>
          <w:lang w:val="fr-CA"/>
        </w:rPr>
      </w:pPr>
      <w:r w:rsidRPr="005A0228">
        <w:rPr>
          <w:kern w:val="22"/>
          <w:lang w:val="fr-CA"/>
        </w:rPr>
        <w:t>Les dommages à la b</w:t>
      </w:r>
      <w:r>
        <w:rPr>
          <w:kern w:val="22"/>
          <w:lang w:val="fr-CA"/>
        </w:rPr>
        <w:t xml:space="preserve">iodiversité ont été qualifiés </w:t>
      </w:r>
      <w:r w:rsidR="00752EB2">
        <w:rPr>
          <w:kern w:val="22"/>
          <w:lang w:val="fr-CA"/>
        </w:rPr>
        <w:t>d</w:t>
      </w:r>
      <w:r w:rsidR="00337E21">
        <w:rPr>
          <w:kern w:val="22"/>
          <w:lang w:val="fr-CA"/>
        </w:rPr>
        <w:t>e fondamentalement intangibles,</w:t>
      </w:r>
      <w:r w:rsidR="008C5C6A">
        <w:rPr>
          <w:kern w:val="22"/>
          <w:lang w:val="fr-CA"/>
        </w:rPr>
        <w:t xml:space="preserve"> même si les dommages sous-jacents réels </w:t>
      </w:r>
      <w:r w:rsidR="00752EB2">
        <w:rPr>
          <w:kern w:val="22"/>
          <w:lang w:val="fr-CA"/>
        </w:rPr>
        <w:t xml:space="preserve">causés </w:t>
      </w:r>
      <w:r w:rsidR="008C5C6A">
        <w:rPr>
          <w:kern w:val="22"/>
          <w:lang w:val="fr-CA"/>
        </w:rPr>
        <w:t>à la faune et la flore sont tangibles</w:t>
      </w:r>
      <w:r w:rsidR="00E6320A" w:rsidRPr="005A0228">
        <w:rPr>
          <w:kern w:val="22"/>
          <w:lang w:val="fr-CA"/>
        </w:rPr>
        <w:t>.</w:t>
      </w:r>
      <w:r w:rsidR="00E6320A" w:rsidRPr="00AF6E37">
        <w:rPr>
          <w:kern w:val="22"/>
          <w:vertAlign w:val="superscript"/>
          <w:lang w:val="fr-CA"/>
        </w:rPr>
        <w:footnoteReference w:id="20"/>
      </w:r>
      <w:r w:rsidR="00E6320A" w:rsidRPr="005A0228">
        <w:rPr>
          <w:kern w:val="22"/>
          <w:lang w:val="fr-CA"/>
        </w:rPr>
        <w:t xml:space="preserve"> </w:t>
      </w:r>
      <w:r w:rsidR="008C5C6A" w:rsidRPr="008C5C6A">
        <w:rPr>
          <w:kern w:val="22"/>
          <w:lang w:val="fr-CA"/>
        </w:rPr>
        <w:t xml:space="preserve">L’aspect tangible des dommages écologiques </w:t>
      </w:r>
      <w:r w:rsidR="00337E21">
        <w:rPr>
          <w:kern w:val="22"/>
          <w:lang w:val="fr-CA"/>
        </w:rPr>
        <w:t>comprend</w:t>
      </w:r>
      <w:r w:rsidR="008A50D5">
        <w:rPr>
          <w:kern w:val="22"/>
          <w:lang w:val="fr-CA"/>
        </w:rPr>
        <w:t xml:space="preserve"> les domma</w:t>
      </w:r>
      <w:r w:rsidR="008C5C6A" w:rsidRPr="008C5C6A">
        <w:rPr>
          <w:kern w:val="22"/>
          <w:lang w:val="fr-CA"/>
        </w:rPr>
        <w:t xml:space="preserve">ges définis et quantifiables subis par le bien public tel que l’eau, le sol, l’air, et la faune et la flore. </w:t>
      </w:r>
      <w:r w:rsidR="008C5C6A">
        <w:rPr>
          <w:kern w:val="22"/>
          <w:lang w:val="fr-CA"/>
        </w:rPr>
        <w:t xml:space="preserve">L’aspect intangible </w:t>
      </w:r>
      <w:r w:rsidR="00752EB2">
        <w:rPr>
          <w:kern w:val="22"/>
          <w:lang w:val="fr-CA"/>
        </w:rPr>
        <w:t>concerne</w:t>
      </w:r>
      <w:r w:rsidR="008A50D5">
        <w:rPr>
          <w:kern w:val="22"/>
          <w:lang w:val="fr-CA"/>
        </w:rPr>
        <w:t xml:space="preserve"> surtout</w:t>
      </w:r>
      <w:r w:rsidR="008C5C6A">
        <w:rPr>
          <w:kern w:val="22"/>
          <w:lang w:val="fr-CA"/>
        </w:rPr>
        <w:t xml:space="preserve"> les </w:t>
      </w:r>
      <w:r w:rsidR="00E902DA">
        <w:rPr>
          <w:kern w:val="22"/>
          <w:lang w:val="fr-CA"/>
        </w:rPr>
        <w:t xml:space="preserve">dommages aux </w:t>
      </w:r>
      <w:r w:rsidR="008C5C6A">
        <w:rPr>
          <w:kern w:val="22"/>
          <w:lang w:val="fr-CA"/>
        </w:rPr>
        <w:t>valeurs intrinsèques telles qu’un paysage en particulier, une zone riche en diversité biologique ou la qualité de vie</w:t>
      </w:r>
      <w:r w:rsidR="00E6320A" w:rsidRPr="00AF6E37">
        <w:rPr>
          <w:kern w:val="22"/>
          <w:lang w:val="fr-CA"/>
        </w:rPr>
        <w:t>.</w:t>
      </w:r>
      <w:r w:rsidR="008A50D5">
        <w:rPr>
          <w:kern w:val="22"/>
          <w:lang w:val="fr-CA"/>
        </w:rPr>
        <w:t xml:space="preserve"> Ces dommages sont difficiles à quantifier et </w:t>
      </w:r>
      <w:r w:rsidR="00E902DA">
        <w:rPr>
          <w:kern w:val="22"/>
          <w:lang w:val="fr-CA"/>
        </w:rPr>
        <w:t>il est encore plus difficile d’offrir une assurance-</w:t>
      </w:r>
      <w:r w:rsidR="008A50D5">
        <w:rPr>
          <w:kern w:val="22"/>
          <w:lang w:val="fr-CA"/>
        </w:rPr>
        <w:t xml:space="preserve">responsabilité </w:t>
      </w:r>
      <w:r w:rsidR="00E902DA">
        <w:rPr>
          <w:kern w:val="22"/>
          <w:lang w:val="fr-CA"/>
        </w:rPr>
        <w:t>contre</w:t>
      </w:r>
      <w:r w:rsidR="008A50D5">
        <w:rPr>
          <w:kern w:val="22"/>
          <w:lang w:val="fr-CA"/>
        </w:rPr>
        <w:t xml:space="preserve"> la perte ou des d</w:t>
      </w:r>
      <w:r w:rsidR="00E902DA">
        <w:rPr>
          <w:kern w:val="22"/>
          <w:lang w:val="fr-CA"/>
        </w:rPr>
        <w:t>ommages aux aspects intangibles</w:t>
      </w:r>
      <w:r w:rsidR="008A50D5">
        <w:rPr>
          <w:kern w:val="22"/>
          <w:lang w:val="fr-CA"/>
        </w:rPr>
        <w:t>.</w:t>
      </w:r>
    </w:p>
    <w:p w:rsidR="0027598B" w:rsidRPr="00AF6E37" w:rsidRDefault="008A50D5" w:rsidP="00E6320A">
      <w:pPr>
        <w:pStyle w:val="Body"/>
        <w:numPr>
          <w:ilvl w:val="0"/>
          <w:numId w:val="3"/>
        </w:numPr>
        <w:spacing w:before="120" w:after="120"/>
        <w:ind w:left="0" w:firstLine="0"/>
        <w:rPr>
          <w:lang w:val="fr-CA"/>
        </w:rPr>
      </w:pPr>
      <w:r>
        <w:rPr>
          <w:kern w:val="22"/>
          <w:lang w:val="fr-CA"/>
        </w:rPr>
        <w:t xml:space="preserve">Plusieurs gouvernements nationaux consacrent plus </w:t>
      </w:r>
      <w:r w:rsidR="00E902DA">
        <w:rPr>
          <w:kern w:val="22"/>
          <w:lang w:val="fr-CA"/>
        </w:rPr>
        <w:t>de plus en plus d’efforts</w:t>
      </w:r>
      <w:r>
        <w:rPr>
          <w:kern w:val="22"/>
          <w:lang w:val="fr-CA"/>
        </w:rPr>
        <w:t xml:space="preserve"> à examiner les moyens d’abor</w:t>
      </w:r>
      <w:r w:rsidR="002E7C1E">
        <w:rPr>
          <w:kern w:val="22"/>
          <w:lang w:val="fr-CA"/>
        </w:rPr>
        <w:t>der la questi</w:t>
      </w:r>
      <w:r>
        <w:rPr>
          <w:kern w:val="22"/>
          <w:lang w:val="fr-CA"/>
        </w:rPr>
        <w:t xml:space="preserve">on des dommages et de la perte au-delà des </w:t>
      </w:r>
      <w:r w:rsidR="00E902DA">
        <w:rPr>
          <w:kern w:val="22"/>
          <w:lang w:val="fr-CA"/>
        </w:rPr>
        <w:t xml:space="preserve">catégories de </w:t>
      </w:r>
      <w:r>
        <w:rPr>
          <w:kern w:val="22"/>
          <w:lang w:val="fr-CA"/>
        </w:rPr>
        <w:t>dommages habituel</w:t>
      </w:r>
      <w:r w:rsidR="00E902DA">
        <w:rPr>
          <w:kern w:val="22"/>
          <w:lang w:val="fr-CA"/>
        </w:rPr>
        <w:t>le</w:t>
      </w:r>
      <w:r>
        <w:rPr>
          <w:kern w:val="22"/>
          <w:lang w:val="fr-CA"/>
        </w:rPr>
        <w:t xml:space="preserve">s : dommages subis par les personnes ou les biens et la perte économique. Certains territoires règlent les demandes d’indemnisation pour les dommages environnementaux </w:t>
      </w:r>
      <w:r w:rsidR="00E902DA">
        <w:rPr>
          <w:kern w:val="22"/>
          <w:lang w:val="fr-CA"/>
        </w:rPr>
        <w:t xml:space="preserve">en ayant recours aux fonds d’intervention </w:t>
      </w:r>
      <w:r>
        <w:rPr>
          <w:kern w:val="22"/>
          <w:lang w:val="fr-CA"/>
        </w:rPr>
        <w:t xml:space="preserve">environnementale. </w:t>
      </w:r>
      <w:r w:rsidR="002E7C1E">
        <w:rPr>
          <w:kern w:val="22"/>
          <w:lang w:val="fr-CA"/>
        </w:rPr>
        <w:t xml:space="preserve">Sans doute inspirées par les négociations et l’adoption du Protocole additionnel de </w:t>
      </w:r>
      <w:r w:rsidR="002E7C1E">
        <w:rPr>
          <w:kern w:val="22"/>
          <w:lang w:val="fr-CA"/>
        </w:rPr>
        <w:lastRenderedPageBreak/>
        <w:t>Nagoya –</w:t>
      </w:r>
      <w:r w:rsidR="00337E21">
        <w:rPr>
          <w:kern w:val="22"/>
          <w:lang w:val="fr-CA"/>
        </w:rPr>
        <w:t xml:space="preserve"> Kuala Lumpur, certain</w:t>
      </w:r>
      <w:r w:rsidR="002E7C1E">
        <w:rPr>
          <w:kern w:val="22"/>
          <w:lang w:val="fr-CA"/>
        </w:rPr>
        <w:t>s stratégies et plans d’action</w:t>
      </w:r>
      <w:r w:rsidR="001C0C40">
        <w:rPr>
          <w:kern w:val="22"/>
          <w:lang w:val="fr-CA"/>
        </w:rPr>
        <w:t xml:space="preserve"> nationaux</w:t>
      </w:r>
      <w:r w:rsidR="002E7C1E">
        <w:rPr>
          <w:kern w:val="22"/>
          <w:lang w:val="fr-CA"/>
        </w:rPr>
        <w:t xml:space="preserve"> pour</w:t>
      </w:r>
      <w:r w:rsidR="001C0C40">
        <w:rPr>
          <w:kern w:val="22"/>
          <w:lang w:val="fr-CA"/>
        </w:rPr>
        <w:t xml:space="preserve"> la diversité biologique adopté</w:t>
      </w:r>
      <w:r w:rsidR="002E7C1E">
        <w:rPr>
          <w:kern w:val="22"/>
          <w:lang w:val="fr-CA"/>
        </w:rPr>
        <w:t>s ou actualisés après 2010 comprennent désormais des points sur la conservation et l’utilisation durable de la diversité biologique.</w:t>
      </w:r>
    </w:p>
    <w:p w:rsidR="0027598B" w:rsidRPr="00AF6E37" w:rsidRDefault="00F94763" w:rsidP="00E6320A">
      <w:pPr>
        <w:pStyle w:val="Body"/>
        <w:numPr>
          <w:ilvl w:val="0"/>
          <w:numId w:val="3"/>
        </w:numPr>
        <w:spacing w:before="120" w:after="120"/>
        <w:ind w:left="0" w:firstLine="0"/>
        <w:rPr>
          <w:lang w:val="fr-CA"/>
        </w:rPr>
      </w:pPr>
      <w:r>
        <w:rPr>
          <w:kern w:val="22"/>
          <w:lang w:val="fr-CA"/>
        </w:rPr>
        <w:t xml:space="preserve">Certains </w:t>
      </w:r>
      <w:r w:rsidR="007E242A">
        <w:rPr>
          <w:kern w:val="22"/>
          <w:lang w:val="fr-CA"/>
        </w:rPr>
        <w:t xml:space="preserve">gouvernements </w:t>
      </w:r>
      <w:r>
        <w:rPr>
          <w:kern w:val="22"/>
          <w:lang w:val="fr-CA"/>
        </w:rPr>
        <w:t xml:space="preserve">ont adopté ou modifié des lois. Par exemple, la France </w:t>
      </w:r>
      <w:r w:rsidR="00EA3C25">
        <w:rPr>
          <w:kern w:val="22"/>
          <w:lang w:val="fr-CA"/>
        </w:rPr>
        <w:t xml:space="preserve">a modifié son Code civil afin de présenter un nouveau régime d’indemnisation en cas de responsabilité environnementale. La loi 2016-1087 du 8 août 2016 sur la restauration de diversité biologique, </w:t>
      </w:r>
      <w:r w:rsidR="00337E21">
        <w:rPr>
          <w:kern w:val="22"/>
          <w:lang w:val="fr-CA"/>
        </w:rPr>
        <w:t>de la nature et d</w:t>
      </w:r>
      <w:r w:rsidR="00EA3C25">
        <w:rPr>
          <w:kern w:val="22"/>
          <w:lang w:val="fr-CA"/>
        </w:rPr>
        <w:t>es paysages</w:t>
      </w:r>
      <w:r w:rsidR="00E6320A" w:rsidRPr="00AF6E37">
        <w:rPr>
          <w:kern w:val="22"/>
          <w:vertAlign w:val="superscript"/>
          <w:lang w:val="fr-CA"/>
        </w:rPr>
        <w:footnoteReference w:id="21"/>
      </w:r>
      <w:r w:rsidR="00E6320A" w:rsidRPr="00AF6E37">
        <w:rPr>
          <w:kern w:val="22"/>
          <w:lang w:val="fr-CA"/>
        </w:rPr>
        <w:t xml:space="preserve"> </w:t>
      </w:r>
      <w:r w:rsidR="00EA3C25">
        <w:rPr>
          <w:kern w:val="22"/>
          <w:lang w:val="fr-CA"/>
        </w:rPr>
        <w:t xml:space="preserve">offre une description plus </w:t>
      </w:r>
      <w:r w:rsidR="007E242A">
        <w:rPr>
          <w:kern w:val="22"/>
          <w:lang w:val="fr-CA"/>
        </w:rPr>
        <w:t>vaste</w:t>
      </w:r>
      <w:r w:rsidR="00EA3C25">
        <w:rPr>
          <w:kern w:val="22"/>
          <w:lang w:val="fr-CA"/>
        </w:rPr>
        <w:t xml:space="preserve"> des dommages </w:t>
      </w:r>
      <w:r w:rsidR="007E242A">
        <w:rPr>
          <w:kern w:val="22"/>
          <w:lang w:val="fr-CA"/>
        </w:rPr>
        <w:t>causés à l’environnement</w:t>
      </w:r>
      <w:r w:rsidR="00EA3C25">
        <w:rPr>
          <w:kern w:val="22"/>
          <w:lang w:val="fr-CA"/>
        </w:rPr>
        <w:t xml:space="preserve">. Elle </w:t>
      </w:r>
      <w:r w:rsidR="007E242A">
        <w:rPr>
          <w:kern w:val="22"/>
          <w:lang w:val="fr-CA"/>
        </w:rPr>
        <w:t>a présenté</w:t>
      </w:r>
      <w:r w:rsidR="00EA3C25">
        <w:rPr>
          <w:kern w:val="22"/>
          <w:lang w:val="fr-CA"/>
        </w:rPr>
        <w:t xml:space="preserve"> la nouvelle législation dans les articles 1246-1252 et 2226-1 du Code civil</w:t>
      </w:r>
      <w:r w:rsidR="007E242A">
        <w:rPr>
          <w:kern w:val="22"/>
          <w:lang w:val="fr-CA"/>
        </w:rPr>
        <w:t xml:space="preserve">, qui portent sur </w:t>
      </w:r>
      <w:r w:rsidR="006D5F79">
        <w:rPr>
          <w:kern w:val="22"/>
          <w:lang w:val="fr-CA"/>
        </w:rPr>
        <w:t xml:space="preserve">la responsabilité environnementale. Selon les nouvelles lois, la responsabilité peut découler de dommages importants aux éléments des fonctions des écosystèmes ou aux bienfaits collectifs </w:t>
      </w:r>
      <w:r w:rsidR="00921427">
        <w:rPr>
          <w:kern w:val="22"/>
          <w:lang w:val="fr-CA"/>
        </w:rPr>
        <w:t>que</w:t>
      </w:r>
      <w:r w:rsidR="006D5F79">
        <w:rPr>
          <w:kern w:val="22"/>
          <w:lang w:val="fr-CA"/>
        </w:rPr>
        <w:t xml:space="preserve"> les êtres humains tirent de l’environnement (article 1247). La loi est entrée en vigueur le jour de sa publication, le 9 août 2016</w:t>
      </w:r>
      <w:r w:rsidR="00E6320A" w:rsidRPr="00AF6E37">
        <w:rPr>
          <w:kern w:val="22"/>
          <w:lang w:val="fr-CA"/>
        </w:rPr>
        <w:t>.</w:t>
      </w:r>
    </w:p>
    <w:p w:rsidR="0027598B" w:rsidRPr="00AF6E37" w:rsidRDefault="007E242A" w:rsidP="00E6320A">
      <w:pPr>
        <w:pStyle w:val="Body"/>
        <w:numPr>
          <w:ilvl w:val="0"/>
          <w:numId w:val="3"/>
        </w:numPr>
        <w:spacing w:before="120" w:after="120"/>
        <w:ind w:left="0" w:firstLine="0"/>
        <w:rPr>
          <w:b/>
          <w:bCs/>
          <w:kern w:val="22"/>
          <w:lang w:val="fr-CA"/>
        </w:rPr>
      </w:pPr>
      <w:r>
        <w:rPr>
          <w:kern w:val="22"/>
          <w:lang w:val="fr-CA"/>
        </w:rPr>
        <w:t>En revanche</w:t>
      </w:r>
      <w:r w:rsidR="00921427">
        <w:rPr>
          <w:kern w:val="22"/>
          <w:lang w:val="fr-CA"/>
        </w:rPr>
        <w:t xml:space="preserve">, la diversité biologique </w:t>
      </w:r>
      <w:r w:rsidR="006E79BE">
        <w:rPr>
          <w:kern w:val="22"/>
          <w:lang w:val="fr-CA"/>
        </w:rPr>
        <w:t>comme telle</w:t>
      </w:r>
      <w:r w:rsidR="00921427">
        <w:rPr>
          <w:kern w:val="22"/>
          <w:lang w:val="fr-CA"/>
        </w:rPr>
        <w:t xml:space="preserve"> est considérée c</w:t>
      </w:r>
      <w:r w:rsidR="006E79BE">
        <w:rPr>
          <w:kern w:val="22"/>
          <w:lang w:val="fr-CA"/>
        </w:rPr>
        <w:t>omme une solution naturelle ou u</w:t>
      </w:r>
      <w:r w:rsidR="00921427">
        <w:rPr>
          <w:kern w:val="22"/>
          <w:lang w:val="fr-CA"/>
        </w:rPr>
        <w:t>ne assurance pour prévenir ou atténuer les conséquences des changements climatiques et des ph</w:t>
      </w:r>
      <w:r w:rsidR="006E79BE">
        <w:rPr>
          <w:kern w:val="22"/>
          <w:lang w:val="fr-CA"/>
        </w:rPr>
        <w:t>é</w:t>
      </w:r>
      <w:r w:rsidR="00921427">
        <w:rPr>
          <w:kern w:val="22"/>
          <w:lang w:val="fr-CA"/>
        </w:rPr>
        <w:t>nomènes météorologiques extrêmes. Certains pays, tels que le Canada, investissent dans le</w:t>
      </w:r>
      <w:r w:rsidR="006E79BE">
        <w:rPr>
          <w:kern w:val="22"/>
          <w:lang w:val="fr-CA"/>
        </w:rPr>
        <w:t>s infrastructures naturelles, c’</w:t>
      </w:r>
      <w:r w:rsidR="00921427">
        <w:rPr>
          <w:kern w:val="22"/>
          <w:lang w:val="fr-CA"/>
        </w:rPr>
        <w:t>est-à-dire un réseau stratégique et géré de terres naturelles, telles que les for</w:t>
      </w:r>
      <w:r w:rsidR="006E79BE">
        <w:rPr>
          <w:kern w:val="22"/>
          <w:lang w:val="fr-CA"/>
        </w:rPr>
        <w:t>êts, les terres humides et autre</w:t>
      </w:r>
      <w:r w:rsidR="00921427">
        <w:rPr>
          <w:kern w:val="22"/>
          <w:lang w:val="fr-CA"/>
        </w:rPr>
        <w:t>s espaces ouverts, qui conservent ou améliorent les valeurs et fonctions des écosyst</w:t>
      </w:r>
      <w:r w:rsidR="006E79BE">
        <w:rPr>
          <w:kern w:val="22"/>
          <w:lang w:val="fr-CA"/>
        </w:rPr>
        <w:t>èm</w:t>
      </w:r>
      <w:r w:rsidR="00921427">
        <w:rPr>
          <w:kern w:val="22"/>
          <w:lang w:val="fr-CA"/>
        </w:rPr>
        <w:t xml:space="preserve">es et offrent des bienfaits connexes aux populations humaines </w:t>
      </w:r>
      <w:r>
        <w:rPr>
          <w:kern w:val="22"/>
          <w:lang w:val="fr-CA"/>
        </w:rPr>
        <w:t>en tant que</w:t>
      </w:r>
      <w:r w:rsidR="00921427">
        <w:rPr>
          <w:kern w:val="22"/>
          <w:lang w:val="fr-CA"/>
        </w:rPr>
        <w:t xml:space="preserve"> partie intégrante de</w:t>
      </w:r>
      <w:r w:rsidR="006E79BE">
        <w:rPr>
          <w:kern w:val="22"/>
          <w:lang w:val="fr-CA"/>
        </w:rPr>
        <w:t>s engagements en matière d’adaptation climatique et de réduction des catastrophes.</w:t>
      </w:r>
      <w:r w:rsidR="00E6320A" w:rsidRPr="00AF6E37">
        <w:rPr>
          <w:kern w:val="22"/>
          <w:vertAlign w:val="superscript"/>
          <w:lang w:val="fr-CA"/>
        </w:rPr>
        <w:footnoteReference w:id="22"/>
      </w:r>
    </w:p>
    <w:p w:rsidR="0027598B" w:rsidRPr="00AF6E37" w:rsidRDefault="00E6320A">
      <w:pPr>
        <w:pStyle w:val="Body"/>
        <w:spacing w:before="120" w:after="120"/>
        <w:ind w:left="90"/>
        <w:jc w:val="center"/>
        <w:rPr>
          <w:b/>
          <w:bCs/>
          <w:kern w:val="22"/>
          <w:lang w:val="fr-CA"/>
        </w:rPr>
      </w:pPr>
      <w:r w:rsidRPr="00AF6E37">
        <w:rPr>
          <w:b/>
          <w:bCs/>
          <w:kern w:val="22"/>
          <w:lang w:val="fr-CA"/>
        </w:rPr>
        <w:t>III.</w:t>
      </w:r>
      <w:r w:rsidRPr="00AF6E37">
        <w:rPr>
          <w:b/>
          <w:bCs/>
          <w:kern w:val="22"/>
          <w:lang w:val="fr-CA"/>
        </w:rPr>
        <w:tab/>
      </w:r>
      <w:r w:rsidRPr="00AF6E37">
        <w:rPr>
          <w:b/>
          <w:bCs/>
          <w:lang w:val="fr-CA"/>
        </w:rPr>
        <w:t>OBSERVATIONS</w:t>
      </w:r>
    </w:p>
    <w:p w:rsidR="0027598B" w:rsidRPr="00AF6E37" w:rsidRDefault="00E6320A">
      <w:pPr>
        <w:pStyle w:val="Body"/>
        <w:numPr>
          <w:ilvl w:val="0"/>
          <w:numId w:val="3"/>
        </w:numPr>
        <w:spacing w:before="120" w:after="120"/>
        <w:rPr>
          <w:lang w:val="fr-CA"/>
        </w:rPr>
      </w:pPr>
      <w:r w:rsidRPr="00AF6E37">
        <w:rPr>
          <w:kern w:val="22"/>
          <w:lang w:val="fr-CA"/>
        </w:rPr>
        <w:tab/>
      </w:r>
      <w:r w:rsidR="006E79BE">
        <w:rPr>
          <w:kern w:val="22"/>
          <w:lang w:val="fr-CA"/>
        </w:rPr>
        <w:t>Les récents développements soulignés ci-dessus révèlent que</w:t>
      </w:r>
      <w:r w:rsidR="009D0B43">
        <w:rPr>
          <w:kern w:val="22"/>
          <w:lang w:val="fr-CA"/>
        </w:rPr>
        <w:t> </w:t>
      </w:r>
      <w:r w:rsidRPr="00AF6E37">
        <w:rPr>
          <w:kern w:val="22"/>
          <w:lang w:val="fr-CA"/>
        </w:rPr>
        <w:t>:</w:t>
      </w:r>
    </w:p>
    <w:p w:rsidR="0027598B" w:rsidRPr="00AF6E37" w:rsidRDefault="006E79BE">
      <w:pPr>
        <w:pStyle w:val="Body"/>
        <w:spacing w:before="120" w:after="120"/>
        <w:ind w:firstLine="709"/>
        <w:rPr>
          <w:kern w:val="22"/>
          <w:lang w:val="fr-CA"/>
        </w:rPr>
      </w:pPr>
      <w:r w:rsidRPr="006E79BE">
        <w:rPr>
          <w:kern w:val="22"/>
          <w:lang w:val="fr-CA"/>
        </w:rPr>
        <w:t>a)</w:t>
      </w:r>
      <w:r w:rsidRPr="006E79BE">
        <w:rPr>
          <w:kern w:val="22"/>
          <w:lang w:val="fr-CA"/>
        </w:rPr>
        <w:tab/>
        <w:t xml:space="preserve">La question de la responsabilité et </w:t>
      </w:r>
      <w:r w:rsidR="0054334B">
        <w:rPr>
          <w:kern w:val="22"/>
          <w:lang w:val="fr-CA"/>
        </w:rPr>
        <w:t xml:space="preserve">de </w:t>
      </w:r>
      <w:r w:rsidRPr="006E79BE">
        <w:rPr>
          <w:kern w:val="22"/>
          <w:lang w:val="fr-CA"/>
        </w:rPr>
        <w:t xml:space="preserve">la </w:t>
      </w:r>
      <w:r>
        <w:rPr>
          <w:kern w:val="22"/>
          <w:lang w:val="fr-CA"/>
        </w:rPr>
        <w:t>ré</w:t>
      </w:r>
      <w:r w:rsidRPr="006E79BE">
        <w:rPr>
          <w:kern w:val="22"/>
          <w:lang w:val="fr-CA"/>
        </w:rPr>
        <w:t xml:space="preserve">paration </w:t>
      </w:r>
      <w:r>
        <w:rPr>
          <w:kern w:val="22"/>
          <w:lang w:val="fr-CA"/>
        </w:rPr>
        <w:t>en matière de dommages</w:t>
      </w:r>
      <w:r w:rsidRPr="006E79BE">
        <w:rPr>
          <w:kern w:val="22"/>
          <w:lang w:val="fr-CA"/>
        </w:rPr>
        <w:t xml:space="preserve"> </w:t>
      </w:r>
      <w:r w:rsidR="0054334B">
        <w:rPr>
          <w:kern w:val="22"/>
          <w:lang w:val="fr-CA"/>
        </w:rPr>
        <w:t>à l’environnement</w:t>
      </w:r>
      <w:r w:rsidRPr="006E79BE">
        <w:rPr>
          <w:kern w:val="22"/>
          <w:lang w:val="fr-CA"/>
        </w:rPr>
        <w:t xml:space="preserve"> est litigieuse</w:t>
      </w:r>
      <w:r w:rsidR="00930CB8">
        <w:rPr>
          <w:kern w:val="22"/>
          <w:lang w:val="fr-CA"/>
        </w:rPr>
        <w:t xml:space="preserve">, surtout au niveau international, car les dommages environnementaux/écologiques ne sont pas classés dans les catégories </w:t>
      </w:r>
      <w:r w:rsidR="0054334B">
        <w:rPr>
          <w:kern w:val="22"/>
          <w:lang w:val="fr-CA"/>
        </w:rPr>
        <w:t xml:space="preserve">habituelles </w:t>
      </w:r>
      <w:r w:rsidR="00930CB8">
        <w:rPr>
          <w:kern w:val="22"/>
          <w:lang w:val="fr-CA"/>
        </w:rPr>
        <w:t xml:space="preserve">de dommages et </w:t>
      </w:r>
      <w:r w:rsidR="0054334B">
        <w:rPr>
          <w:kern w:val="22"/>
          <w:lang w:val="fr-CA"/>
        </w:rPr>
        <w:t>de pertes</w:t>
      </w:r>
      <w:r w:rsidR="00E6320A" w:rsidRPr="00AF6E37">
        <w:rPr>
          <w:kern w:val="22"/>
          <w:lang w:val="fr-CA"/>
        </w:rPr>
        <w:t>;</w:t>
      </w:r>
    </w:p>
    <w:p w:rsidR="0027598B" w:rsidRPr="00AF6E37" w:rsidRDefault="00E6320A">
      <w:pPr>
        <w:pStyle w:val="Body"/>
        <w:spacing w:before="120" w:after="120"/>
        <w:ind w:firstLine="709"/>
        <w:rPr>
          <w:kern w:val="22"/>
          <w:lang w:val="fr-CA"/>
        </w:rPr>
      </w:pPr>
      <w:r w:rsidRPr="00AF6E37">
        <w:rPr>
          <w:kern w:val="22"/>
          <w:lang w:val="fr-CA"/>
        </w:rPr>
        <w:t>b)</w:t>
      </w:r>
      <w:r w:rsidRPr="00AF6E37">
        <w:rPr>
          <w:kern w:val="22"/>
          <w:lang w:val="fr-CA"/>
        </w:rPr>
        <w:tab/>
      </w:r>
      <w:r w:rsidR="00930CB8">
        <w:rPr>
          <w:kern w:val="22"/>
          <w:lang w:val="fr-CA"/>
        </w:rPr>
        <w:t>Néanmoins, les pays font des efforts et s’engagent à régler la question, notamment au moyen de réglementations garantissant que les mesures nécessaires pour corriger l’environnement ou les écosystèmes endommagés seront prises</w:t>
      </w:r>
      <w:r w:rsidRPr="00AF6E37">
        <w:rPr>
          <w:kern w:val="22"/>
          <w:lang w:val="fr-CA"/>
        </w:rPr>
        <w:t>;</w:t>
      </w:r>
    </w:p>
    <w:p w:rsidR="0027598B" w:rsidRPr="00AF6E37" w:rsidRDefault="00E6320A">
      <w:pPr>
        <w:pStyle w:val="Body"/>
        <w:spacing w:before="120" w:after="120"/>
        <w:ind w:firstLine="709"/>
        <w:rPr>
          <w:kern w:val="22"/>
          <w:lang w:val="fr-CA"/>
        </w:rPr>
      </w:pPr>
      <w:r w:rsidRPr="00AF6E37">
        <w:rPr>
          <w:kern w:val="22"/>
          <w:lang w:val="fr-CA"/>
        </w:rPr>
        <w:t>c)</w:t>
      </w:r>
      <w:r w:rsidRPr="00AF6E37">
        <w:rPr>
          <w:kern w:val="22"/>
          <w:lang w:val="fr-CA"/>
        </w:rPr>
        <w:tab/>
      </w:r>
      <w:r w:rsidR="00930CB8">
        <w:rPr>
          <w:kern w:val="22"/>
          <w:lang w:val="fr-CA"/>
        </w:rPr>
        <w:t>La démarche administrative</w:t>
      </w:r>
      <w:r w:rsidR="0045045B">
        <w:rPr>
          <w:kern w:val="22"/>
          <w:lang w:val="fr-CA"/>
        </w:rPr>
        <w:t>,</w:t>
      </w:r>
      <w:r w:rsidR="00930CB8">
        <w:rPr>
          <w:kern w:val="22"/>
          <w:lang w:val="fr-CA"/>
        </w:rPr>
        <w:t xml:space="preserve"> où une autorité compétente devrait être l</w:t>
      </w:r>
      <w:r w:rsidR="006A48DB">
        <w:rPr>
          <w:kern w:val="22"/>
          <w:lang w:val="fr-CA"/>
        </w:rPr>
        <w:t>a première répondante dans l’éventualité de dommages</w:t>
      </w:r>
      <w:r w:rsidR="0054334B">
        <w:rPr>
          <w:kern w:val="22"/>
          <w:lang w:val="fr-CA"/>
        </w:rPr>
        <w:t>,</w:t>
      </w:r>
      <w:r w:rsidR="006A48DB">
        <w:rPr>
          <w:kern w:val="22"/>
          <w:lang w:val="fr-CA"/>
        </w:rPr>
        <w:t xml:space="preserve"> et l’accent mis sur des mesures d’intervention qui accordent la priorité à la prévention et les mesures de restauration</w:t>
      </w:r>
      <w:r w:rsidR="0054334B">
        <w:rPr>
          <w:kern w:val="22"/>
          <w:lang w:val="fr-CA"/>
        </w:rPr>
        <w:t>,</w:t>
      </w:r>
      <w:r w:rsidR="006A48DB">
        <w:rPr>
          <w:kern w:val="22"/>
          <w:lang w:val="fr-CA"/>
        </w:rPr>
        <w:t xml:space="preserve"> semblent gagner en popularité. L’entrée en vigueur du Protocole additionnel de Nagoya – Kuala Lumpur sur la responsabilité et la réparation peut corroborer ces observations ou conclusions</w:t>
      </w:r>
      <w:r w:rsidRPr="00AF6E37">
        <w:rPr>
          <w:kern w:val="22"/>
          <w:lang w:val="fr-CA"/>
        </w:rPr>
        <w:t>;</w:t>
      </w:r>
    </w:p>
    <w:p w:rsidR="0027598B" w:rsidRPr="00AF6E37" w:rsidRDefault="00E6320A">
      <w:pPr>
        <w:pStyle w:val="Body"/>
        <w:spacing w:before="120" w:after="120"/>
        <w:ind w:firstLine="709"/>
        <w:rPr>
          <w:kern w:val="22"/>
          <w:lang w:val="fr-CA"/>
        </w:rPr>
      </w:pPr>
      <w:r w:rsidRPr="00AF6E37">
        <w:rPr>
          <w:kern w:val="22"/>
          <w:lang w:val="fr-CA"/>
        </w:rPr>
        <w:t>d)</w:t>
      </w:r>
      <w:r w:rsidRPr="00AF6E37">
        <w:rPr>
          <w:kern w:val="22"/>
          <w:lang w:val="fr-CA"/>
        </w:rPr>
        <w:tab/>
      </w:r>
      <w:r w:rsidR="005611E9">
        <w:rPr>
          <w:kern w:val="22"/>
          <w:lang w:val="fr-CA"/>
        </w:rPr>
        <w:t xml:space="preserve">L’évaluation </w:t>
      </w:r>
      <w:r w:rsidR="0054334B">
        <w:rPr>
          <w:kern w:val="22"/>
          <w:lang w:val="fr-CA"/>
        </w:rPr>
        <w:t>par la Cour internationale de Justice</w:t>
      </w:r>
      <w:r w:rsidR="0054334B">
        <w:rPr>
          <w:kern w:val="22"/>
          <w:lang w:val="fr-CA"/>
        </w:rPr>
        <w:t xml:space="preserve"> </w:t>
      </w:r>
      <w:r w:rsidR="005611E9">
        <w:rPr>
          <w:kern w:val="22"/>
          <w:lang w:val="fr-CA"/>
        </w:rPr>
        <w:t>d’une demande d’indemnisation pou</w:t>
      </w:r>
      <w:r w:rsidR="0054334B">
        <w:rPr>
          <w:kern w:val="22"/>
          <w:lang w:val="fr-CA"/>
        </w:rPr>
        <w:t>r des dommages environnementaux</w:t>
      </w:r>
      <w:r w:rsidR="005611E9">
        <w:rPr>
          <w:kern w:val="22"/>
          <w:lang w:val="fr-CA"/>
        </w:rPr>
        <w:t xml:space="preserve"> et la reconnaissance par celle-ci que </w:t>
      </w:r>
      <w:r w:rsidR="00051461">
        <w:rPr>
          <w:kern w:val="22"/>
          <w:lang w:val="fr-CA"/>
        </w:rPr>
        <w:t>la dégradation</w:t>
      </w:r>
      <w:r w:rsidR="005611E9">
        <w:rPr>
          <w:kern w:val="22"/>
          <w:lang w:val="fr-CA"/>
        </w:rPr>
        <w:t xml:space="preserve"> ou la perte de capacité </w:t>
      </w:r>
      <w:r w:rsidR="0045045B">
        <w:rPr>
          <w:kern w:val="22"/>
          <w:lang w:val="fr-CA"/>
        </w:rPr>
        <w:t>de</w:t>
      </w:r>
      <w:r w:rsidR="005611E9">
        <w:rPr>
          <w:kern w:val="22"/>
          <w:lang w:val="fr-CA"/>
        </w:rPr>
        <w:t xml:space="preserve"> l’environnement de fournir les biens et services qui en découle est susceptible d’indemnisation en vertu du droit</w:t>
      </w:r>
      <w:r w:rsidR="00A23A9D">
        <w:rPr>
          <w:kern w:val="22"/>
          <w:lang w:val="fr-CA"/>
        </w:rPr>
        <w:t xml:space="preserve"> international</w:t>
      </w:r>
      <w:r w:rsidR="00A23A9D">
        <w:rPr>
          <w:rFonts w:ascii="Calibri" w:hAnsi="Calibri"/>
          <w:kern w:val="22"/>
          <w:lang w:val="fr-CA"/>
        </w:rPr>
        <w:t>,</w:t>
      </w:r>
      <w:r w:rsidR="005611E9">
        <w:rPr>
          <w:kern w:val="22"/>
          <w:lang w:val="fr-CA"/>
        </w:rPr>
        <w:t xml:space="preserve"> représentent des étapes importantes dans l’avancement du débat</w:t>
      </w:r>
      <w:r w:rsidR="00A23A9D">
        <w:rPr>
          <w:kern w:val="22"/>
          <w:lang w:val="fr-CA"/>
        </w:rPr>
        <w:t>, tout comme les mesures législatives ou judiciaires, nationales et internationales</w:t>
      </w:r>
      <w:r w:rsidR="002964A3">
        <w:rPr>
          <w:kern w:val="22"/>
          <w:lang w:val="fr-CA"/>
        </w:rPr>
        <w:t>,</w:t>
      </w:r>
      <w:r w:rsidR="00A23A9D">
        <w:rPr>
          <w:kern w:val="22"/>
          <w:lang w:val="fr-CA"/>
        </w:rPr>
        <w:t xml:space="preserve"> concernant la responsabilité et les interventions en cas de dommages </w:t>
      </w:r>
      <w:r w:rsidR="002964A3">
        <w:rPr>
          <w:kern w:val="22"/>
          <w:lang w:val="fr-CA"/>
        </w:rPr>
        <w:t>à l’environnement</w:t>
      </w:r>
      <w:r w:rsidR="00A23A9D">
        <w:rPr>
          <w:kern w:val="22"/>
          <w:lang w:val="fr-CA"/>
        </w:rPr>
        <w:t>, surtout les dommages à la diversité biologique</w:t>
      </w:r>
      <w:r w:rsidRPr="00AF6E37">
        <w:rPr>
          <w:kern w:val="22"/>
          <w:lang w:val="fr-CA"/>
        </w:rPr>
        <w:t>;</w:t>
      </w:r>
    </w:p>
    <w:p w:rsidR="0027598B" w:rsidRPr="00AF6E37" w:rsidRDefault="00E6320A">
      <w:pPr>
        <w:pStyle w:val="Body"/>
        <w:spacing w:before="120" w:after="120"/>
        <w:ind w:firstLine="709"/>
        <w:rPr>
          <w:kern w:val="22"/>
          <w:lang w:val="fr-CA"/>
        </w:rPr>
      </w:pPr>
      <w:r w:rsidRPr="00AF6E37">
        <w:rPr>
          <w:kern w:val="22"/>
          <w:lang w:val="fr-CA"/>
        </w:rPr>
        <w:t>e)</w:t>
      </w:r>
      <w:r w:rsidRPr="00AF6E37">
        <w:rPr>
          <w:kern w:val="22"/>
          <w:lang w:val="fr-CA"/>
        </w:rPr>
        <w:tab/>
      </w:r>
      <w:r w:rsidR="00A23A9D">
        <w:rPr>
          <w:kern w:val="22"/>
          <w:lang w:val="fr-CA"/>
        </w:rPr>
        <w:t>Les efforts déployés pour fixer la valeur des écosystèmes et de la diversité biologique et établir une cer</w:t>
      </w:r>
      <w:r w:rsidR="00F64661">
        <w:rPr>
          <w:kern w:val="22"/>
          <w:lang w:val="fr-CA"/>
        </w:rPr>
        <w:t>t</w:t>
      </w:r>
      <w:r w:rsidR="00A23A9D">
        <w:rPr>
          <w:kern w:val="22"/>
          <w:lang w:val="fr-CA"/>
        </w:rPr>
        <w:t>aine forme de mécanisme de sécurité, dont l’assurance contre les dommages écologiques et à la diversité biologique, sont toujours en cours dans certains territoires. La diversité biologique et les écosyst</w:t>
      </w:r>
      <w:r w:rsidR="00F64661">
        <w:rPr>
          <w:kern w:val="22"/>
          <w:lang w:val="fr-CA"/>
        </w:rPr>
        <w:t>èmes résistants sont recon</w:t>
      </w:r>
      <w:r w:rsidR="00A23A9D">
        <w:rPr>
          <w:kern w:val="22"/>
          <w:lang w:val="fr-CA"/>
        </w:rPr>
        <w:t>nus comme des solutions naturelles ou une assurance pour la prévention ou l’a</w:t>
      </w:r>
      <w:r w:rsidR="00F64661">
        <w:rPr>
          <w:kern w:val="22"/>
          <w:lang w:val="fr-CA"/>
        </w:rPr>
        <w:t>t</w:t>
      </w:r>
      <w:r w:rsidR="00A23A9D">
        <w:rPr>
          <w:kern w:val="22"/>
          <w:lang w:val="fr-CA"/>
        </w:rPr>
        <w:t>ténuation des dangers associés aux changements climatiques et aux phénomènes météoro</w:t>
      </w:r>
      <w:r w:rsidR="00F64661">
        <w:rPr>
          <w:kern w:val="22"/>
          <w:lang w:val="fr-CA"/>
        </w:rPr>
        <w:t>l</w:t>
      </w:r>
      <w:r w:rsidR="00A23A9D">
        <w:rPr>
          <w:kern w:val="22"/>
          <w:lang w:val="fr-CA"/>
        </w:rPr>
        <w:t>ogiques extrêmes</w:t>
      </w:r>
      <w:r w:rsidRPr="00AF6E37">
        <w:rPr>
          <w:kern w:val="22"/>
          <w:lang w:val="fr-CA"/>
        </w:rPr>
        <w:t>.</w:t>
      </w:r>
    </w:p>
    <w:p w:rsidR="0027598B" w:rsidRPr="00AF6E37" w:rsidRDefault="00F64661" w:rsidP="00E6320A">
      <w:pPr>
        <w:pStyle w:val="Body"/>
        <w:numPr>
          <w:ilvl w:val="0"/>
          <w:numId w:val="4"/>
        </w:numPr>
        <w:spacing w:before="120" w:after="120"/>
        <w:ind w:left="0" w:firstLine="0"/>
        <w:rPr>
          <w:b/>
          <w:bCs/>
          <w:lang w:val="fr-CA"/>
        </w:rPr>
      </w:pPr>
      <w:r>
        <w:rPr>
          <w:kern w:val="22"/>
          <w:lang w:val="fr-CA"/>
        </w:rPr>
        <w:lastRenderedPageBreak/>
        <w:t>Ces développements pourraient constituer une bonne base pour l’examen de la question de la responsabilité et la réparation</w:t>
      </w:r>
      <w:r w:rsidR="0045045B">
        <w:rPr>
          <w:kern w:val="22"/>
          <w:lang w:val="fr-CA"/>
        </w:rPr>
        <w:t>, tel</w:t>
      </w:r>
      <w:r>
        <w:rPr>
          <w:kern w:val="22"/>
          <w:lang w:val="fr-CA"/>
        </w:rPr>
        <w:t xml:space="preserve"> que l’envisage le paragraphe 2 de l’article 14 de la Convention sur la diversité biologique, et pourraient encourager les Parties à prendre des mesures plus significatives dans leur </w:t>
      </w:r>
      <w:r w:rsidR="00B122AB">
        <w:rPr>
          <w:kern w:val="22"/>
          <w:lang w:val="fr-CA"/>
        </w:rPr>
        <w:t>examen de la questi</w:t>
      </w:r>
      <w:r>
        <w:rPr>
          <w:kern w:val="22"/>
          <w:lang w:val="fr-CA"/>
        </w:rPr>
        <w:t xml:space="preserve">on, notamment la restauration et </w:t>
      </w:r>
      <w:r w:rsidR="00B122AB">
        <w:rPr>
          <w:kern w:val="22"/>
          <w:lang w:val="fr-CA"/>
        </w:rPr>
        <w:t>l’indemnisation pour</w:t>
      </w:r>
      <w:r>
        <w:rPr>
          <w:kern w:val="22"/>
          <w:lang w:val="fr-CA"/>
        </w:rPr>
        <w:t xml:space="preserve"> les dommages causé</w:t>
      </w:r>
      <w:r w:rsidR="00FC6952">
        <w:rPr>
          <w:kern w:val="22"/>
          <w:lang w:val="fr-CA"/>
        </w:rPr>
        <w:t>s</w:t>
      </w:r>
      <w:r>
        <w:rPr>
          <w:kern w:val="22"/>
          <w:lang w:val="fr-CA"/>
        </w:rPr>
        <w:t xml:space="preserve"> à la diversité biologique</w:t>
      </w:r>
      <w:r w:rsidR="00E6320A" w:rsidRPr="00AF6E37">
        <w:rPr>
          <w:kern w:val="22"/>
          <w:lang w:val="fr-CA"/>
        </w:rPr>
        <w:t>.</w:t>
      </w:r>
    </w:p>
    <w:p w:rsidR="0027598B" w:rsidRPr="00AF6E37" w:rsidRDefault="00E6320A">
      <w:pPr>
        <w:pStyle w:val="Paragraphedeliste"/>
        <w:spacing w:before="120" w:after="120"/>
        <w:ind w:left="90"/>
        <w:jc w:val="center"/>
        <w:rPr>
          <w:b/>
          <w:bCs/>
          <w:kern w:val="22"/>
          <w:lang w:val="fr-CA"/>
        </w:rPr>
      </w:pPr>
      <w:r w:rsidRPr="00AF6E37">
        <w:rPr>
          <w:b/>
          <w:bCs/>
          <w:lang w:val="fr-CA"/>
        </w:rPr>
        <w:t>IV.</w:t>
      </w:r>
      <w:r w:rsidRPr="00AF6E37">
        <w:rPr>
          <w:b/>
          <w:bCs/>
          <w:lang w:val="fr-CA"/>
        </w:rPr>
        <w:tab/>
      </w:r>
      <w:r w:rsidR="00B122AB">
        <w:rPr>
          <w:b/>
          <w:bCs/>
          <w:lang w:val="fr-CA"/>
        </w:rPr>
        <w:t>ÉLÉMENTS PROPOSÉS D’UN PROJET DE DÉCISION</w:t>
      </w:r>
    </w:p>
    <w:p w:rsidR="0027598B" w:rsidRPr="00AF6E37" w:rsidRDefault="00B122AB" w:rsidP="00E6320A">
      <w:pPr>
        <w:pStyle w:val="Body"/>
        <w:numPr>
          <w:ilvl w:val="0"/>
          <w:numId w:val="3"/>
        </w:numPr>
        <w:spacing w:before="120" w:after="120"/>
        <w:ind w:left="0" w:firstLine="0"/>
        <w:rPr>
          <w:lang w:val="fr-CA"/>
        </w:rPr>
      </w:pPr>
      <w:r>
        <w:rPr>
          <w:kern w:val="22"/>
          <w:lang w:val="fr-CA"/>
        </w:rPr>
        <w:t>À la lumière de l’information résumée dans la partie II et des observations de la partie III ci-dessus, la Conférence des Parties pourrait souhaiter</w:t>
      </w:r>
      <w:r w:rsidR="009D0B43">
        <w:rPr>
          <w:kern w:val="22"/>
          <w:lang w:val="fr-CA"/>
        </w:rPr>
        <w:t> </w:t>
      </w:r>
      <w:r w:rsidR="00E6320A" w:rsidRPr="00AF6E37">
        <w:rPr>
          <w:kern w:val="22"/>
          <w:lang w:val="fr-CA"/>
        </w:rPr>
        <w:t>:</w:t>
      </w:r>
    </w:p>
    <w:p w:rsidR="0027598B" w:rsidRPr="00AF6E37" w:rsidRDefault="00B122AB">
      <w:pPr>
        <w:pStyle w:val="Body"/>
        <w:tabs>
          <w:tab w:val="left" w:pos="720"/>
        </w:tabs>
        <w:spacing w:before="120" w:after="120"/>
        <w:rPr>
          <w:kern w:val="22"/>
          <w:lang w:val="fr-CA"/>
        </w:rPr>
      </w:pPr>
      <w:r>
        <w:rPr>
          <w:kern w:val="22"/>
          <w:lang w:val="fr-CA"/>
        </w:rPr>
        <w:tab/>
      </w:r>
      <w:r w:rsidR="00E6320A" w:rsidRPr="00AF6E37">
        <w:rPr>
          <w:kern w:val="22"/>
          <w:lang w:val="fr-CA"/>
        </w:rPr>
        <w:t xml:space="preserve">a) </w:t>
      </w:r>
      <w:r w:rsidR="00E6320A" w:rsidRPr="00AF6E37">
        <w:rPr>
          <w:kern w:val="22"/>
          <w:lang w:val="fr-CA"/>
        </w:rPr>
        <w:tab/>
      </w:r>
      <w:r>
        <w:rPr>
          <w:kern w:val="22"/>
          <w:lang w:val="fr-CA"/>
        </w:rPr>
        <w:t>Se réjouir de l’entrée en vigueur du Protocole additionnel de Nagoya – Kuala Lumpur sur la responsabilité et la réparation</w:t>
      </w:r>
      <w:r w:rsidR="00E6320A" w:rsidRPr="00AF6E37">
        <w:rPr>
          <w:kern w:val="22"/>
          <w:lang w:val="fr-CA"/>
        </w:rPr>
        <w:t>;</w:t>
      </w:r>
    </w:p>
    <w:p w:rsidR="0027598B" w:rsidRPr="00AF6E37" w:rsidRDefault="00B122AB">
      <w:pPr>
        <w:pStyle w:val="Body"/>
        <w:tabs>
          <w:tab w:val="left" w:pos="720"/>
        </w:tabs>
        <w:spacing w:before="120" w:after="120"/>
        <w:rPr>
          <w:kern w:val="22"/>
          <w:lang w:val="fr-CA"/>
        </w:rPr>
      </w:pPr>
      <w:r>
        <w:rPr>
          <w:kern w:val="22"/>
          <w:lang w:val="fr-CA"/>
        </w:rPr>
        <w:tab/>
      </w:r>
      <w:r w:rsidR="00E6320A" w:rsidRPr="00AF6E37">
        <w:rPr>
          <w:kern w:val="22"/>
          <w:lang w:val="fr-CA"/>
        </w:rPr>
        <w:t xml:space="preserve">b) </w:t>
      </w:r>
      <w:r w:rsidR="00E6320A" w:rsidRPr="00AF6E37">
        <w:rPr>
          <w:kern w:val="22"/>
          <w:lang w:val="fr-CA"/>
        </w:rPr>
        <w:tab/>
      </w:r>
      <w:r>
        <w:rPr>
          <w:kern w:val="22"/>
          <w:lang w:val="fr-CA"/>
        </w:rPr>
        <w:t xml:space="preserve">Prendre note du point de vue de la Cour internationale de Justice énoncé dans son jugement du 2 février 2018, à savoir que </w:t>
      </w:r>
      <w:r w:rsidR="00051461">
        <w:rPr>
          <w:kern w:val="22"/>
          <w:lang w:val="fr-CA"/>
        </w:rPr>
        <w:t>la dégradation</w:t>
      </w:r>
      <w:r>
        <w:rPr>
          <w:kern w:val="22"/>
          <w:lang w:val="fr-CA"/>
        </w:rPr>
        <w:t xml:space="preserve"> et la perte de capacité de l’environnement de fournir des biens et services est susceptible d’indemnisation en vertu du droit international</w:t>
      </w:r>
      <w:r w:rsidR="00E6320A" w:rsidRPr="00AF6E37">
        <w:rPr>
          <w:kern w:val="22"/>
          <w:lang w:val="fr-CA"/>
        </w:rPr>
        <w:t>;</w:t>
      </w:r>
    </w:p>
    <w:p w:rsidR="0027598B" w:rsidRPr="00AF6E37" w:rsidRDefault="00B122AB">
      <w:pPr>
        <w:pStyle w:val="Body"/>
        <w:tabs>
          <w:tab w:val="left" w:pos="720"/>
        </w:tabs>
        <w:spacing w:before="120" w:after="120"/>
        <w:rPr>
          <w:kern w:val="22"/>
          <w:lang w:val="fr-CA"/>
        </w:rPr>
      </w:pPr>
      <w:r>
        <w:rPr>
          <w:kern w:val="22"/>
          <w:lang w:val="fr-CA"/>
        </w:rPr>
        <w:tab/>
      </w:r>
      <w:r w:rsidR="00E6320A" w:rsidRPr="00AF6E37">
        <w:rPr>
          <w:kern w:val="22"/>
          <w:lang w:val="fr-CA"/>
        </w:rPr>
        <w:t>c)</w:t>
      </w:r>
      <w:r w:rsidR="00E6320A" w:rsidRPr="00AF6E37">
        <w:rPr>
          <w:kern w:val="22"/>
          <w:lang w:val="fr-CA"/>
        </w:rPr>
        <w:tab/>
      </w:r>
      <w:r>
        <w:rPr>
          <w:kern w:val="22"/>
          <w:lang w:val="fr-CA"/>
        </w:rPr>
        <w:t xml:space="preserve">Inviter les Parties à </w:t>
      </w:r>
      <w:r w:rsidR="00DC5CD6">
        <w:rPr>
          <w:kern w:val="22"/>
          <w:lang w:val="fr-CA"/>
        </w:rPr>
        <w:t xml:space="preserve">poursuivre leurs efforts pour régler la question de la responsabilité et la réparation </w:t>
      </w:r>
      <w:r w:rsidR="002964A3">
        <w:rPr>
          <w:kern w:val="22"/>
          <w:lang w:val="fr-CA"/>
        </w:rPr>
        <w:t>concernant les</w:t>
      </w:r>
      <w:r w:rsidR="00DC5CD6">
        <w:rPr>
          <w:kern w:val="22"/>
          <w:lang w:val="fr-CA"/>
        </w:rPr>
        <w:t xml:space="preserve"> dommages </w:t>
      </w:r>
      <w:r w:rsidR="002964A3">
        <w:rPr>
          <w:kern w:val="22"/>
          <w:lang w:val="fr-CA"/>
        </w:rPr>
        <w:t xml:space="preserve">causés </w:t>
      </w:r>
      <w:r w:rsidR="00DC5CD6">
        <w:rPr>
          <w:kern w:val="22"/>
          <w:lang w:val="fr-CA"/>
        </w:rPr>
        <w:t>à l’environnement au moyen de politiques nationales, de lois, de stratégies et plans d’action nationaux pour la diversité biologique et de l’offre d’instruments de sécurité financière appropriés tels que l’assurance et des fonds d’indemnisation environnementale</w:t>
      </w:r>
      <w:bookmarkStart w:id="0" w:name="_GoBack"/>
      <w:bookmarkEnd w:id="0"/>
      <w:r w:rsidR="00E6320A" w:rsidRPr="00AF6E37">
        <w:rPr>
          <w:kern w:val="22"/>
          <w:lang w:val="fr-CA"/>
        </w:rPr>
        <w:t>;</w:t>
      </w:r>
    </w:p>
    <w:p w:rsidR="0027598B" w:rsidRPr="00AF6E37" w:rsidRDefault="00B122AB">
      <w:pPr>
        <w:pStyle w:val="Body"/>
        <w:tabs>
          <w:tab w:val="left" w:pos="720"/>
        </w:tabs>
        <w:spacing w:before="120" w:after="120"/>
        <w:rPr>
          <w:kern w:val="22"/>
          <w:lang w:val="fr-CA"/>
        </w:rPr>
      </w:pPr>
      <w:r>
        <w:rPr>
          <w:kern w:val="22"/>
          <w:lang w:val="fr-CA"/>
        </w:rPr>
        <w:tab/>
      </w:r>
      <w:r w:rsidR="00E6320A" w:rsidRPr="00AF6E37">
        <w:rPr>
          <w:kern w:val="22"/>
          <w:lang w:val="fr-CA"/>
        </w:rPr>
        <w:t>d)</w:t>
      </w:r>
      <w:r w:rsidR="00E6320A" w:rsidRPr="00AF6E37">
        <w:rPr>
          <w:kern w:val="22"/>
          <w:lang w:val="fr-CA"/>
        </w:rPr>
        <w:tab/>
      </w:r>
      <w:r w:rsidR="00DC5CD6">
        <w:rPr>
          <w:kern w:val="22"/>
          <w:lang w:val="fr-CA"/>
        </w:rPr>
        <w:t>Décider d’examiner cette question plus en profondeur à sa seizième réunion en tenant compte de tous les nouveaux développement</w:t>
      </w:r>
      <w:r w:rsidR="00FC6952">
        <w:rPr>
          <w:kern w:val="22"/>
          <w:lang w:val="fr-CA"/>
        </w:rPr>
        <w:t>s</w:t>
      </w:r>
      <w:r w:rsidR="00DC5CD6">
        <w:rPr>
          <w:kern w:val="22"/>
          <w:lang w:val="fr-CA"/>
        </w:rPr>
        <w:t xml:space="preserve"> nationaux, régionaux et internationaux en matière de responsabilité et réparation pour les dommages causés à la diversité biologique, notamment la restauration et l’indemnisation</w:t>
      </w:r>
      <w:r w:rsidR="00E6320A" w:rsidRPr="00AF6E37">
        <w:rPr>
          <w:kern w:val="22"/>
          <w:lang w:val="fr-CA"/>
        </w:rPr>
        <w:t>.</w:t>
      </w:r>
    </w:p>
    <w:p w:rsidR="0027598B" w:rsidRPr="00AF6E37" w:rsidRDefault="0027598B">
      <w:pPr>
        <w:pStyle w:val="Body"/>
        <w:suppressAutoHyphens/>
        <w:spacing w:before="140" w:after="140"/>
        <w:rPr>
          <w:b/>
          <w:bCs/>
          <w:lang w:val="fr-CA"/>
        </w:rPr>
      </w:pPr>
    </w:p>
    <w:p w:rsidR="0027598B" w:rsidRDefault="00E6320A">
      <w:pPr>
        <w:pStyle w:val="bodytextnoindent"/>
        <w:suppressAutoHyphens/>
        <w:jc w:val="center"/>
      </w:pPr>
      <w:r>
        <w:rPr>
          <w:kern w:val="22"/>
        </w:rPr>
        <w:t>__________</w:t>
      </w:r>
    </w:p>
    <w:sectPr w:rsidR="0027598B">
      <w:headerReference w:type="even" r:id="rId11"/>
      <w:headerReference w:type="default" r:id="rId12"/>
      <w:pgSz w:w="12240" w:h="15840"/>
      <w:pgMar w:top="567" w:right="1389" w:bottom="1134" w:left="1389" w:header="46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C45" w:rsidRDefault="00ED0C45">
      <w:r>
        <w:separator/>
      </w:r>
    </w:p>
  </w:endnote>
  <w:endnote w:type="continuationSeparator" w:id="0">
    <w:p w:rsidR="00ED0C45" w:rsidRDefault="00ED0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C45" w:rsidRDefault="00ED0C45">
      <w:r>
        <w:separator/>
      </w:r>
    </w:p>
  </w:footnote>
  <w:footnote w:type="continuationSeparator" w:id="0">
    <w:p w:rsidR="00ED0C45" w:rsidRDefault="00ED0C45">
      <w:r>
        <w:continuationSeparator/>
      </w:r>
    </w:p>
  </w:footnote>
  <w:footnote w:type="continuationNotice" w:id="1">
    <w:p w:rsidR="00ED0C45" w:rsidRDefault="00ED0C45"/>
  </w:footnote>
  <w:footnote w:id="2">
    <w:p w:rsidR="00930CB8" w:rsidRPr="00E6320A" w:rsidRDefault="00930CB8" w:rsidP="00E6320A">
      <w:pPr>
        <w:pStyle w:val="Notedebasdepage"/>
        <w:ind w:firstLine="0"/>
        <w:rPr>
          <w:lang w:val="en-CA"/>
        </w:rPr>
      </w:pPr>
      <w:r>
        <w:rPr>
          <w:rStyle w:val="Appelnotedebasdep"/>
        </w:rPr>
        <w:t>*</w:t>
      </w:r>
      <w:r>
        <w:t xml:space="preserve"> </w:t>
      </w:r>
      <w:r>
        <w:rPr>
          <w:lang w:val="en-CA"/>
        </w:rPr>
        <w:t>CBD/COP/14/1.</w:t>
      </w:r>
    </w:p>
  </w:footnote>
  <w:footnote w:id="3">
    <w:p w:rsidR="00930CB8" w:rsidRDefault="00930CB8">
      <w:pPr>
        <w:pStyle w:val="Notedebasdepage"/>
        <w:ind w:firstLine="0"/>
      </w:pPr>
      <w:r>
        <w:rPr>
          <w:kern w:val="22"/>
          <w:sz w:val="22"/>
          <w:szCs w:val="22"/>
          <w:vertAlign w:val="superscript"/>
        </w:rPr>
        <w:footnoteRef/>
      </w:r>
      <w:r>
        <w:t xml:space="preserve"> </w:t>
      </w:r>
      <w:r w:rsidR="00E01C41">
        <w:t>Annexe à la décision</w:t>
      </w:r>
      <w:r>
        <w:t xml:space="preserve"> SS.XI/5 B, Proceedings of the Governing Council/Global Ministerial Environment Forum at its eleventh special session, UNEP/GCSS.XI/11 (3 </w:t>
      </w:r>
      <w:r w:rsidR="00E01C41">
        <w:t>mars</w:t>
      </w:r>
      <w:r>
        <w:t xml:space="preserve"> 2010).</w:t>
      </w:r>
    </w:p>
  </w:footnote>
  <w:footnote w:id="4">
    <w:p w:rsidR="00930CB8" w:rsidRPr="00D55143" w:rsidRDefault="00930CB8" w:rsidP="007F7264">
      <w:pPr>
        <w:pStyle w:val="Notedebasdepage"/>
        <w:ind w:firstLine="0"/>
        <w:rPr>
          <w:lang w:val="fr-CA"/>
        </w:rPr>
      </w:pPr>
      <w:r>
        <w:rPr>
          <w:kern w:val="22"/>
          <w:sz w:val="22"/>
          <w:szCs w:val="22"/>
          <w:vertAlign w:val="superscript"/>
        </w:rPr>
        <w:footnoteRef/>
      </w:r>
      <w:r w:rsidRPr="00D55143">
        <w:rPr>
          <w:lang w:val="fr-CA"/>
        </w:rPr>
        <w:t xml:space="preserve"> UNEP/CBD/COP/9/20/Add.1, 20 </w:t>
      </w:r>
      <w:r w:rsidR="00E01C41" w:rsidRPr="00D55143">
        <w:rPr>
          <w:lang w:val="fr-CA"/>
        </w:rPr>
        <w:t>mars</w:t>
      </w:r>
      <w:r w:rsidRPr="00D55143">
        <w:rPr>
          <w:lang w:val="fr-CA"/>
        </w:rPr>
        <w:t xml:space="preserve"> 2008, https://www.cbd.int/doc/meetings/cop/cop-09/official/cop-09-20-add1-fr.pdf </w:t>
      </w:r>
    </w:p>
  </w:footnote>
  <w:footnote w:id="5">
    <w:p w:rsidR="00930CB8" w:rsidRPr="00D9201F" w:rsidRDefault="00930CB8">
      <w:pPr>
        <w:pStyle w:val="Notedebasdepage"/>
        <w:ind w:firstLine="0"/>
        <w:rPr>
          <w:lang w:val="fr-CA"/>
        </w:rPr>
      </w:pPr>
      <w:r>
        <w:rPr>
          <w:kern w:val="22"/>
          <w:sz w:val="22"/>
          <w:szCs w:val="22"/>
          <w:vertAlign w:val="superscript"/>
        </w:rPr>
        <w:footnoteRef/>
      </w:r>
      <w:r w:rsidRPr="00D9201F">
        <w:rPr>
          <w:lang w:val="fr-CA"/>
        </w:rPr>
        <w:t xml:space="preserve"> </w:t>
      </w:r>
      <w:r>
        <w:rPr>
          <w:lang w:val="fr-CA"/>
        </w:rPr>
        <w:t>P</w:t>
      </w:r>
      <w:r w:rsidRPr="00D9201F">
        <w:rPr>
          <w:lang w:val="fr-CA"/>
        </w:rPr>
        <w:t xml:space="preserve">rotocole additionnel de Nagoya – Kuala Lumpur sur la responsabilité et </w:t>
      </w:r>
      <w:r w:rsidR="00D55143">
        <w:rPr>
          <w:lang w:val="fr-CA"/>
        </w:rPr>
        <w:t xml:space="preserve">la </w:t>
      </w:r>
      <w:r w:rsidRPr="00D9201F">
        <w:rPr>
          <w:lang w:val="fr-CA"/>
        </w:rPr>
        <w:t>réparation (</w:t>
      </w:r>
      <w:r>
        <w:rPr>
          <w:lang w:val="fr-CA"/>
        </w:rPr>
        <w:t>Protocole addi</w:t>
      </w:r>
      <w:r w:rsidR="00D55143">
        <w:rPr>
          <w:lang w:val="fr-CA"/>
        </w:rPr>
        <w:t>tionnel), paragraphe 1, article </w:t>
      </w:r>
      <w:r>
        <w:rPr>
          <w:lang w:val="fr-CA"/>
        </w:rPr>
        <w:t xml:space="preserve">5 </w:t>
      </w:r>
    </w:p>
  </w:footnote>
  <w:footnote w:id="6">
    <w:p w:rsidR="00930CB8" w:rsidRPr="00F569B9" w:rsidRDefault="00930CB8">
      <w:pPr>
        <w:pStyle w:val="Notedebasdepage"/>
        <w:ind w:firstLine="0"/>
        <w:rPr>
          <w:lang w:val="fr-CA"/>
        </w:rPr>
      </w:pPr>
      <w:r>
        <w:rPr>
          <w:kern w:val="22"/>
          <w:sz w:val="22"/>
          <w:szCs w:val="22"/>
          <w:vertAlign w:val="superscript"/>
        </w:rPr>
        <w:footnoteRef/>
      </w:r>
      <w:r>
        <w:t xml:space="preserve"> Ibid., </w:t>
      </w:r>
      <w:r w:rsidRPr="00F569B9">
        <w:rPr>
          <w:lang w:val="fr-CA"/>
        </w:rPr>
        <w:t>paragraphe 2, article 5.</w:t>
      </w:r>
    </w:p>
  </w:footnote>
  <w:footnote w:id="7">
    <w:p w:rsidR="00930CB8" w:rsidRPr="00F569B9" w:rsidRDefault="00930CB8">
      <w:pPr>
        <w:pStyle w:val="Notedebasdepage"/>
        <w:ind w:firstLine="0"/>
        <w:rPr>
          <w:lang w:val="fr-CA"/>
        </w:rPr>
      </w:pPr>
      <w:r w:rsidRPr="00F569B9">
        <w:rPr>
          <w:kern w:val="22"/>
          <w:sz w:val="22"/>
          <w:szCs w:val="22"/>
          <w:vertAlign w:val="superscript"/>
          <w:lang w:val="fr-CA"/>
        </w:rPr>
        <w:footnoteRef/>
      </w:r>
      <w:r w:rsidRPr="00F569B9">
        <w:rPr>
          <w:lang w:val="fr-CA"/>
        </w:rPr>
        <w:t xml:space="preserve"> Ibid., paragraphe 2 d), article 2</w:t>
      </w:r>
    </w:p>
  </w:footnote>
  <w:footnote w:id="8">
    <w:p w:rsidR="00930CB8" w:rsidRPr="00F569B9" w:rsidRDefault="00930CB8">
      <w:pPr>
        <w:pStyle w:val="Notedebasdepage"/>
        <w:ind w:firstLine="0"/>
        <w:rPr>
          <w:lang w:val="fr-CA"/>
        </w:rPr>
      </w:pPr>
      <w:r w:rsidRPr="00F569B9">
        <w:rPr>
          <w:kern w:val="22"/>
          <w:sz w:val="22"/>
          <w:szCs w:val="22"/>
          <w:vertAlign w:val="superscript"/>
          <w:lang w:val="fr-CA"/>
        </w:rPr>
        <w:footnoteRef/>
      </w:r>
      <w:r w:rsidRPr="00F569B9">
        <w:rPr>
          <w:lang w:val="fr-CA"/>
        </w:rPr>
        <w:t xml:space="preserve"> Ibid., paragraphe 2 b), article 2</w:t>
      </w:r>
    </w:p>
  </w:footnote>
  <w:footnote w:id="9">
    <w:p w:rsidR="00930CB8" w:rsidRPr="00F569B9" w:rsidRDefault="00930CB8">
      <w:pPr>
        <w:pStyle w:val="Notedebasdepage"/>
        <w:ind w:firstLine="0"/>
        <w:rPr>
          <w:lang w:val="fr-CA"/>
        </w:rPr>
      </w:pPr>
      <w:r w:rsidRPr="00F569B9">
        <w:rPr>
          <w:kern w:val="22"/>
          <w:sz w:val="22"/>
          <w:szCs w:val="22"/>
          <w:vertAlign w:val="superscript"/>
          <w:lang w:val="fr-CA"/>
        </w:rPr>
        <w:footnoteRef/>
      </w:r>
      <w:r w:rsidRPr="00F569B9">
        <w:rPr>
          <w:lang w:val="fr-CA"/>
        </w:rPr>
        <w:t xml:space="preserve"> Ibid., article 12.</w:t>
      </w:r>
    </w:p>
  </w:footnote>
  <w:footnote w:id="10">
    <w:p w:rsidR="00930CB8" w:rsidRPr="00F569B9" w:rsidRDefault="00930CB8">
      <w:pPr>
        <w:pStyle w:val="Notedebasdepage"/>
        <w:ind w:firstLine="0"/>
        <w:rPr>
          <w:lang w:val="fr-CA"/>
        </w:rPr>
      </w:pPr>
      <w:r w:rsidRPr="00F569B9">
        <w:rPr>
          <w:kern w:val="22"/>
          <w:sz w:val="22"/>
          <w:szCs w:val="22"/>
          <w:vertAlign w:val="superscript"/>
          <w:lang w:val="fr-CA"/>
        </w:rPr>
        <w:footnoteRef/>
      </w:r>
      <w:r w:rsidRPr="00F569B9">
        <w:rPr>
          <w:lang w:val="fr-CA"/>
        </w:rPr>
        <w:t xml:space="preserve"> Pour plus de renseignements sur la sécurité financière et autres questions portant sur la responsabilité et la réparation, en général, et le Protocole additionnel de Nagoya-Kuala Lumpur en par</w:t>
      </w:r>
      <w:r w:rsidR="00B335A4">
        <w:rPr>
          <w:lang w:val="fr-CA"/>
        </w:rPr>
        <w:t>ticulier, consultez</w:t>
      </w:r>
      <w:r w:rsidRPr="00F569B9">
        <w:rPr>
          <w:lang w:val="fr-CA"/>
        </w:rPr>
        <w:t xml:space="preserve"> le cahier technique 3 sur la prévention des risques biotechnologiques : </w:t>
      </w:r>
      <w:r w:rsidRPr="00F569B9">
        <w:rPr>
          <w:i/>
          <w:iCs/>
          <w:lang w:val="fr-CA"/>
        </w:rPr>
        <w:t>Review of Issues, Instruments and Practices Relevant to Liability and Redress for Damage Resulting from Transboundary Movements of Living Modified Organisms</w:t>
      </w:r>
      <w:r w:rsidRPr="00F569B9">
        <w:rPr>
          <w:lang w:val="fr-CA"/>
        </w:rPr>
        <w:t xml:space="preserve">, Montreal: SCBD, 2012. p. 21 http://bch.cbd.int/protocol/cpb_technicalseries/cpb-ts-03-en.pdf     </w:t>
      </w:r>
    </w:p>
  </w:footnote>
  <w:footnote w:id="11">
    <w:p w:rsidR="00930CB8" w:rsidRPr="00F569B9" w:rsidRDefault="00930CB8">
      <w:pPr>
        <w:pStyle w:val="Notedebasdepage"/>
        <w:ind w:firstLine="0"/>
        <w:rPr>
          <w:lang w:val="fr-CA"/>
        </w:rPr>
      </w:pPr>
      <w:r w:rsidRPr="00F569B9">
        <w:rPr>
          <w:kern w:val="22"/>
          <w:sz w:val="22"/>
          <w:szCs w:val="22"/>
          <w:vertAlign w:val="superscript"/>
          <w:lang w:val="fr-CA"/>
        </w:rPr>
        <w:footnoteRef/>
      </w:r>
      <w:r w:rsidRPr="00F569B9">
        <w:rPr>
          <w:lang w:val="fr-CA"/>
        </w:rPr>
        <w:t xml:space="preserve"> Point 19 de l’ordre du jour provisoire de la neuvième réunion de la Conférence des Parties siégeant en tant que réunion des Parties au Protocole de Cartagena sur la prévention des risques biotechnologiques. Voir également CBD/CP/MOP/9/11, https://www.cbd.int/conferences/2018/cp-mop-09/documents </w:t>
      </w:r>
    </w:p>
  </w:footnote>
  <w:footnote w:id="12">
    <w:p w:rsidR="00930CB8" w:rsidRPr="006929E8" w:rsidRDefault="00930CB8">
      <w:pPr>
        <w:pStyle w:val="Notedebasdepage"/>
        <w:ind w:firstLine="0"/>
        <w:rPr>
          <w:lang w:val="fr-CA"/>
        </w:rPr>
      </w:pPr>
      <w:r>
        <w:rPr>
          <w:kern w:val="22"/>
          <w:sz w:val="22"/>
          <w:szCs w:val="22"/>
          <w:vertAlign w:val="superscript"/>
        </w:rPr>
        <w:footnoteRef/>
      </w:r>
      <w:r w:rsidRPr="006929E8">
        <w:rPr>
          <w:lang w:val="fr-CA"/>
        </w:rPr>
        <w:t xml:space="preserve"> Rapport de la </w:t>
      </w:r>
      <w:r>
        <w:rPr>
          <w:lang w:val="fr-CA"/>
        </w:rPr>
        <w:t>ré</w:t>
      </w:r>
      <w:r w:rsidRPr="006929E8">
        <w:rPr>
          <w:lang w:val="fr-CA"/>
        </w:rPr>
        <w:t xml:space="preserve">union des hauts fonctionnaires </w:t>
      </w:r>
      <w:r>
        <w:rPr>
          <w:lang w:val="fr-CA"/>
        </w:rPr>
        <w:t>spécialisés en droit environnemental</w:t>
      </w:r>
      <w:r w:rsidRPr="006929E8">
        <w:rPr>
          <w:lang w:val="fr-CA"/>
        </w:rPr>
        <w:t xml:space="preserve"> sur l’examen </w:t>
      </w:r>
      <w:r>
        <w:rPr>
          <w:lang w:val="fr-CA"/>
        </w:rPr>
        <w:t xml:space="preserve">à mi-mandat du quatrième Programme pour le développement et l’examen périodique du droit environnemental, UNEP/Env.Law/MTV4/MR/1/5, annexe 3 , http://undocs.org/UNEP/Env.Law/MTV4/MR/1/5 </w:t>
      </w:r>
    </w:p>
  </w:footnote>
  <w:footnote w:id="13">
    <w:p w:rsidR="00930CB8" w:rsidRPr="007D6121" w:rsidRDefault="00930CB8">
      <w:pPr>
        <w:pStyle w:val="Notedebasdepage"/>
        <w:ind w:firstLine="0"/>
        <w:rPr>
          <w:lang w:val="fr-CA"/>
        </w:rPr>
      </w:pPr>
      <w:r>
        <w:rPr>
          <w:kern w:val="22"/>
          <w:sz w:val="22"/>
          <w:szCs w:val="22"/>
          <w:vertAlign w:val="superscript"/>
        </w:rPr>
        <w:footnoteRef/>
      </w:r>
      <w:r w:rsidRPr="007D6121">
        <w:rPr>
          <w:lang w:val="fr-CA"/>
        </w:rPr>
        <w:t xml:space="preserve"> http://pactenvironment.emediaweb.fr/wp-content/uploads/2017/07/Global-Pact-for-the-Environment-project-24-June-2017.pdf</w:t>
      </w:r>
    </w:p>
  </w:footnote>
  <w:footnote w:id="14">
    <w:p w:rsidR="00930CB8" w:rsidRDefault="00930CB8">
      <w:pPr>
        <w:pStyle w:val="Notedebasdepage"/>
        <w:ind w:firstLine="0"/>
      </w:pPr>
      <w:r>
        <w:rPr>
          <w:kern w:val="22"/>
          <w:sz w:val="22"/>
          <w:szCs w:val="22"/>
          <w:vertAlign w:val="superscript"/>
        </w:rPr>
        <w:footnoteRef/>
      </w:r>
      <w:r>
        <w:t xml:space="preserve"> https://www.unenvironment.org/events/conference/towards-global-pact-environment</w:t>
      </w:r>
    </w:p>
  </w:footnote>
  <w:footnote w:id="15">
    <w:p w:rsidR="00930CB8" w:rsidRPr="003F1AD6" w:rsidRDefault="00930CB8">
      <w:pPr>
        <w:pStyle w:val="Notedebasdepage"/>
        <w:ind w:firstLine="0"/>
        <w:rPr>
          <w:lang w:val="fr-CA"/>
        </w:rPr>
      </w:pPr>
      <w:r>
        <w:rPr>
          <w:kern w:val="22"/>
          <w:sz w:val="22"/>
          <w:szCs w:val="22"/>
          <w:vertAlign w:val="superscript"/>
        </w:rPr>
        <w:footnoteRef/>
      </w:r>
      <w:r w:rsidRPr="003F1AD6">
        <w:rPr>
          <w:lang w:val="fr-CA"/>
        </w:rPr>
        <w:t xml:space="preserve"> M</w:t>
      </w:r>
      <w:r>
        <w:rPr>
          <w:lang w:val="fr-CA"/>
        </w:rPr>
        <w:t>é</w:t>
      </w:r>
      <w:r w:rsidRPr="003F1AD6">
        <w:rPr>
          <w:lang w:val="fr-CA"/>
        </w:rPr>
        <w:t>canismes pour aborder</w:t>
      </w:r>
      <w:r>
        <w:rPr>
          <w:lang w:val="fr-CA"/>
        </w:rPr>
        <w:t xml:space="preserve"> les pertes et les dommages associés aux</w:t>
      </w:r>
      <w:r w:rsidR="00F20F99">
        <w:rPr>
          <w:lang w:val="fr-CA"/>
        </w:rPr>
        <w:t xml:space="preserve"> changements</w:t>
      </w:r>
      <w:r>
        <w:rPr>
          <w:lang w:val="fr-CA"/>
        </w:rPr>
        <w:t xml:space="preserve"> climatiques dans les pays en développement </w:t>
      </w:r>
      <w:hyperlink r:id="rId1" w:history="1">
        <w:r w:rsidRPr="00592BF8">
          <w:rPr>
            <w:rStyle w:val="Lienhypertexte"/>
            <w:u w:color="0000FF"/>
            <w:lang w:val="fr-CA"/>
          </w:rPr>
          <w:t>https://unfccc.int/topics/adaptation-and-resilience/workstreams/approaches-to-address-loss-and-damage-associated-with-climate-change-impacts-in-developing-countries#eq-3</w:t>
        </w:r>
      </w:hyperlink>
      <w:r>
        <w:rPr>
          <w:rStyle w:val="Hyperlink0"/>
          <w:lang w:val="fr-CA"/>
        </w:rPr>
        <w:t xml:space="preserve"> </w:t>
      </w:r>
    </w:p>
  </w:footnote>
  <w:footnote w:id="16">
    <w:p w:rsidR="00930CB8" w:rsidRDefault="00930CB8">
      <w:pPr>
        <w:pStyle w:val="Notedebasdepage"/>
        <w:ind w:firstLine="0"/>
      </w:pPr>
      <w:r>
        <w:rPr>
          <w:kern w:val="22"/>
          <w:sz w:val="22"/>
          <w:szCs w:val="22"/>
          <w:vertAlign w:val="superscript"/>
        </w:rPr>
        <w:footnoteRef/>
      </w:r>
      <w:r>
        <w:t xml:space="preserve"> Giulio Corsi, COP23: A Critical Assessment of the Conference’s Outcomes, January 2018, </w:t>
      </w:r>
      <w:hyperlink r:id="rId2" w:history="1">
        <w:r w:rsidRPr="00592BF8">
          <w:rPr>
            <w:rStyle w:val="Lienhypertexte"/>
            <w:u w:color="0000FF"/>
          </w:rPr>
          <w:t>http://climate.org/wp-content/uploads/2018/01/Corsi-COP23.pdf</w:t>
        </w:r>
      </w:hyperlink>
      <w:r>
        <w:rPr>
          <w:rStyle w:val="Hyperlink0"/>
        </w:rPr>
        <w:t xml:space="preserve"> </w:t>
      </w:r>
    </w:p>
  </w:footnote>
  <w:footnote w:id="17">
    <w:p w:rsidR="00930CB8" w:rsidRPr="00D93F57" w:rsidRDefault="00930CB8">
      <w:pPr>
        <w:pStyle w:val="Notedebasdepage"/>
        <w:ind w:firstLine="0"/>
        <w:rPr>
          <w:lang w:val="fr-CA"/>
        </w:rPr>
      </w:pPr>
      <w:r>
        <w:rPr>
          <w:sz w:val="22"/>
          <w:szCs w:val="22"/>
          <w:vertAlign w:val="superscript"/>
        </w:rPr>
        <w:footnoteRef/>
      </w:r>
      <w:r>
        <w:t xml:space="preserve"> </w:t>
      </w:r>
      <w:r w:rsidRPr="00D93F57">
        <w:rPr>
          <w:lang w:val="fr-CA"/>
        </w:rPr>
        <w:t xml:space="preserve">Cour internationale de Justice, </w:t>
      </w:r>
      <w:r>
        <w:rPr>
          <w:lang w:val="fr-CA"/>
        </w:rPr>
        <w:t>Certaines activités menées par le Nicaragua dans la région frontalière (Costa Rica c. Nicaragua) Indemnisation due par la République du Nicaragua à la République du Costa Rica. Année</w:t>
      </w:r>
      <w:r w:rsidRPr="00D93F57">
        <w:rPr>
          <w:lang w:val="fr-CA"/>
        </w:rPr>
        <w:t xml:space="preserve"> 2018, </w:t>
      </w:r>
      <w:r>
        <w:rPr>
          <w:lang w:val="fr-CA"/>
        </w:rPr>
        <w:t>2 février</w:t>
      </w:r>
      <w:r w:rsidRPr="00D93F57">
        <w:rPr>
          <w:lang w:val="fr-CA"/>
        </w:rPr>
        <w:t xml:space="preserve"> 2018, </w:t>
      </w:r>
      <w:r>
        <w:rPr>
          <w:lang w:val="fr-CA"/>
        </w:rPr>
        <w:t>Liste générale n</w:t>
      </w:r>
      <w:r w:rsidRPr="00384867">
        <w:rPr>
          <w:vertAlign w:val="superscript"/>
          <w:lang w:val="fr-CA"/>
        </w:rPr>
        <w:t>o</w:t>
      </w:r>
      <w:r>
        <w:rPr>
          <w:lang w:val="fr-CA"/>
        </w:rPr>
        <w:t> </w:t>
      </w:r>
      <w:r w:rsidRPr="00D93F57">
        <w:rPr>
          <w:lang w:val="fr-CA"/>
        </w:rPr>
        <w:t xml:space="preserve">150,  </w:t>
      </w:r>
      <w:r w:rsidRPr="00D93F57">
        <w:rPr>
          <w:rStyle w:val="Hyperlink0"/>
          <w:lang w:val="fr-CA"/>
        </w:rPr>
        <w:t>https://www.icj-cij.org/files/case-related/150/150-20180202-JUD-01-00-FR.pdf</w:t>
      </w:r>
    </w:p>
  </w:footnote>
  <w:footnote w:id="18">
    <w:p w:rsidR="00930CB8" w:rsidRPr="00D93F57" w:rsidRDefault="00930CB8" w:rsidP="00E6320A">
      <w:pPr>
        <w:pStyle w:val="Notedebasdepage"/>
        <w:ind w:firstLine="0"/>
        <w:rPr>
          <w:lang w:val="fr-CA"/>
        </w:rPr>
      </w:pPr>
      <w:r w:rsidRPr="00D93F57">
        <w:rPr>
          <w:sz w:val="22"/>
          <w:szCs w:val="22"/>
          <w:vertAlign w:val="superscript"/>
          <w:lang w:val="fr-CA"/>
        </w:rPr>
        <w:footnoteRef/>
      </w:r>
      <w:r w:rsidRPr="00D93F57">
        <w:rPr>
          <w:lang w:val="fr-CA"/>
        </w:rPr>
        <w:t xml:space="preserve"> </w:t>
      </w:r>
      <w:r>
        <w:rPr>
          <w:lang w:val="fr-CA"/>
        </w:rPr>
        <w:t>La région présumée touchée par les activités du Nicaragua est située dans la zone humide du nord-est des Caraïbes, une zone humide protégée en vertu de la Convention de Ramsar. Ainsi, une mission consultative de Ramsar a été impliquée et son rapport a été remis à la Cour</w:t>
      </w:r>
      <w:r w:rsidR="008D0987">
        <w:rPr>
          <w:lang w:val="fr-CA"/>
        </w:rPr>
        <w:t>.</w:t>
      </w:r>
    </w:p>
  </w:footnote>
  <w:footnote w:id="19">
    <w:p w:rsidR="00930CB8" w:rsidRPr="00AF6E37" w:rsidRDefault="00930CB8">
      <w:pPr>
        <w:pStyle w:val="Notedebasdepage"/>
        <w:ind w:firstLine="0"/>
        <w:rPr>
          <w:lang w:val="fr-CA"/>
        </w:rPr>
      </w:pPr>
      <w:r>
        <w:rPr>
          <w:sz w:val="22"/>
          <w:szCs w:val="22"/>
          <w:vertAlign w:val="superscript"/>
        </w:rPr>
        <w:footnoteRef/>
      </w:r>
      <w:r w:rsidRPr="00AF6E37">
        <w:rPr>
          <w:lang w:val="fr-CA"/>
        </w:rPr>
        <w:t xml:space="preserve"> Cour international de Justice, communiqué de presse, 23 mars 2018</w:t>
      </w:r>
    </w:p>
    <w:p w:rsidR="00930CB8" w:rsidRPr="00BB768C" w:rsidRDefault="00930CB8">
      <w:pPr>
        <w:pStyle w:val="Notedebasdepage"/>
        <w:ind w:firstLine="0"/>
        <w:rPr>
          <w:lang w:val="fr-CA"/>
        </w:rPr>
      </w:pPr>
      <w:r>
        <w:rPr>
          <w:lang w:val="fr-CA"/>
        </w:rPr>
        <w:t xml:space="preserve"> </w:t>
      </w:r>
      <w:r w:rsidRPr="00BB768C">
        <w:rPr>
          <w:rStyle w:val="Hyperlink0"/>
          <w:lang w:val="fr-CA"/>
        </w:rPr>
        <w:t>https://www.icj-cij.org/files/case-related/150/150-20180323-PRE-01-00-FR.pdf</w:t>
      </w:r>
    </w:p>
  </w:footnote>
  <w:footnote w:id="20">
    <w:p w:rsidR="00930CB8" w:rsidRDefault="00930CB8">
      <w:pPr>
        <w:pStyle w:val="Notedebasdepage"/>
        <w:ind w:firstLine="0"/>
      </w:pPr>
      <w:r>
        <w:rPr>
          <w:kern w:val="22"/>
          <w:sz w:val="22"/>
          <w:szCs w:val="22"/>
          <w:vertAlign w:val="superscript"/>
        </w:rPr>
        <w:footnoteRef/>
      </w:r>
      <w:r>
        <w:t xml:space="preserve"> Swiss Reinsurance Company, Centre for Global Dialogue, </w:t>
      </w:r>
      <w:r>
        <w:rPr>
          <w:i/>
          <w:iCs/>
        </w:rPr>
        <w:t xml:space="preserve">The insurability of ecological damage, </w:t>
      </w:r>
      <w:r>
        <w:t>2004, p.33</w:t>
      </w:r>
    </w:p>
  </w:footnote>
  <w:footnote w:id="21">
    <w:p w:rsidR="00930CB8" w:rsidRDefault="00930CB8">
      <w:pPr>
        <w:pStyle w:val="Notedebasdepage"/>
        <w:ind w:firstLine="0"/>
      </w:pPr>
      <w:r>
        <w:rPr>
          <w:kern w:val="22"/>
          <w:sz w:val="22"/>
          <w:szCs w:val="22"/>
          <w:vertAlign w:val="superscript"/>
        </w:rPr>
        <w:footnoteRef/>
      </w:r>
      <w:r>
        <w:t xml:space="preserve"> ECOLEX, </w:t>
      </w:r>
      <w:hyperlink r:id="rId3" w:history="1">
        <w:r w:rsidRPr="00F94763">
          <w:rPr>
            <w:rStyle w:val="Lienhypertexte"/>
            <w:u w:color="0000FF"/>
          </w:rPr>
          <w:t>https://www.ecolex.org/details/legislation/loi-n-2016-1087-du-8-aout-2016-pour-la-reconquete-de-la-biodiversite-de-la-nature-et-des-paysages-lex-faoc159133/?q=France+2016+environment&amp;type=legislation&amp;xdate_min=&amp;xdate_max</w:t>
        </w:r>
        <w:r w:rsidRPr="00F94763">
          <w:rPr>
            <w:rStyle w:val="Lienhypertexte"/>
          </w:rPr>
          <w:t>=</w:t>
        </w:r>
      </w:hyperlink>
    </w:p>
  </w:footnote>
  <w:footnote w:id="22">
    <w:p w:rsidR="00930CB8" w:rsidRDefault="00930CB8">
      <w:pPr>
        <w:pStyle w:val="Notedebasdepage"/>
        <w:ind w:firstLine="0"/>
      </w:pPr>
      <w:r>
        <w:rPr>
          <w:kern w:val="22"/>
          <w:sz w:val="22"/>
          <w:szCs w:val="22"/>
          <w:vertAlign w:val="superscript"/>
        </w:rPr>
        <w:footnoteRef/>
      </w:r>
      <w:r>
        <w:t xml:space="preserve"> Insurance Bureau of Canada et al, Combatting Canada’s Rising Flood Costs: Natural infrastructure is an underutilized option, September 2018, p.23 </w:t>
      </w:r>
      <w:hyperlink r:id="rId4" w:history="1">
        <w:r>
          <w:rPr>
            <w:rStyle w:val="Hyperlink2"/>
          </w:rPr>
          <w:t>http://assets.ibc.ca/Documents/Resources/IBC-Natural-Infrastructure-Report-2018.pdf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CB8" w:rsidRDefault="00930CB8">
    <w:pPr>
      <w:pStyle w:val="En-tte"/>
    </w:pPr>
    <w:r>
      <w:t>CBD/COP/14/10</w:t>
    </w:r>
  </w:p>
  <w:p w:rsidR="00930CB8" w:rsidRDefault="00930CB8" w:rsidP="00E6320A">
    <w:pPr>
      <w:pStyle w:val="En-tte"/>
      <w:spacing w:after="240"/>
    </w:pPr>
    <w:r>
      <w:t xml:space="preserve">Page </w:t>
    </w:r>
    <w:r>
      <w:fldChar w:fldCharType="begin"/>
    </w:r>
    <w:r>
      <w:instrText xml:space="preserve"> PAGE </w:instrText>
    </w:r>
    <w:r>
      <w:fldChar w:fldCharType="separate"/>
    </w:r>
    <w:r w:rsidR="00C36D30">
      <w:rPr>
        <w:noProof/>
      </w:rPr>
      <w:t>8</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CB8" w:rsidRDefault="00930CB8">
    <w:pPr>
      <w:pStyle w:val="En-tte"/>
      <w:jc w:val="right"/>
    </w:pPr>
    <w:r>
      <w:t>CBD/COP/14/10</w:t>
    </w:r>
  </w:p>
  <w:p w:rsidR="00930CB8" w:rsidRDefault="00930CB8" w:rsidP="00E6320A">
    <w:pPr>
      <w:pStyle w:val="En-tte"/>
      <w:spacing w:after="240"/>
      <w:jc w:val="right"/>
    </w:pPr>
    <w:r>
      <w:t xml:space="preserve">Page </w:t>
    </w:r>
    <w:r>
      <w:fldChar w:fldCharType="begin"/>
    </w:r>
    <w:r>
      <w:instrText xml:space="preserve"> PAGE </w:instrText>
    </w:r>
    <w:r>
      <w:fldChar w:fldCharType="separate"/>
    </w:r>
    <w:r w:rsidR="00C36D30">
      <w:rPr>
        <w:noProof/>
      </w:rPr>
      <w:t>7</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E60B7"/>
    <w:multiLevelType w:val="hybridMultilevel"/>
    <w:tmpl w:val="4DCAC8B0"/>
    <w:numStyleLink w:val="ImportedStyle3"/>
  </w:abstractNum>
  <w:abstractNum w:abstractNumId="1" w15:restartNumberingAfterBreak="0">
    <w:nsid w:val="5DB95CC4"/>
    <w:multiLevelType w:val="hybridMultilevel"/>
    <w:tmpl w:val="4DCAC8B0"/>
    <w:styleLink w:val="ImportedStyle3"/>
    <w:lvl w:ilvl="0" w:tplc="C04E08A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AB8C16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8C2C48A">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CB224F2">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9C2DBA6">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D8A1D72">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954E458">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F10C4D0">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F7A9A4A">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0"/>
    <w:lvlOverride w:ilvl="0">
      <w:lvl w:ilvl="0" w:tplc="9000B66C">
        <w:start w:val="1"/>
        <w:numFmt w:val="decimal"/>
        <w:lvlText w:val="%1."/>
        <w:lvlJc w:val="left"/>
        <w:pPr>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BFD61216">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0764DC2">
        <w:start w:val="1"/>
        <w:numFmt w:val="lowerRoman"/>
        <w:lvlText w:val="(%3)"/>
        <w:lvlJc w:val="left"/>
        <w:pPr>
          <w:tabs>
            <w:tab w:val="left" w:pos="450"/>
          </w:tabs>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F8006DE">
        <w:start w:val="1"/>
        <w:numFmt w:val="lowerRoman"/>
        <w:lvlText w:val="(%4)"/>
        <w:lvlJc w:val="left"/>
        <w:pPr>
          <w:tabs>
            <w:tab w:val="left" w:pos="450"/>
          </w:tabs>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9AC7864">
        <w:start w:val="1"/>
        <w:numFmt w:val="lowerLetter"/>
        <w:lvlText w:val="(%5)"/>
        <w:lvlJc w:val="left"/>
        <w:pPr>
          <w:tabs>
            <w:tab w:val="left" w:pos="450"/>
          </w:tabs>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31B085E2">
        <w:start w:val="1"/>
        <w:numFmt w:val="lowerRoman"/>
        <w:lvlText w:val="(%6)"/>
        <w:lvlJc w:val="left"/>
        <w:pPr>
          <w:tabs>
            <w:tab w:val="left" w:pos="450"/>
          </w:tabs>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A6523438">
        <w:start w:val="1"/>
        <w:numFmt w:val="decimal"/>
        <w:lvlText w:val="%7."/>
        <w:lvlJc w:val="left"/>
        <w:pPr>
          <w:tabs>
            <w:tab w:val="left" w:pos="450"/>
          </w:tabs>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9C5CE362">
        <w:start w:val="1"/>
        <w:numFmt w:val="lowerLetter"/>
        <w:lvlText w:val="%8."/>
        <w:lvlJc w:val="left"/>
        <w:pPr>
          <w:tabs>
            <w:tab w:val="left" w:pos="450"/>
          </w:tabs>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150A644">
        <w:start w:val="1"/>
        <w:numFmt w:val="lowerRoman"/>
        <w:lvlText w:val="%9."/>
        <w:lvlJc w:val="left"/>
        <w:pPr>
          <w:tabs>
            <w:tab w:val="left" w:pos="450"/>
          </w:tabs>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0"/>
    <w:lvlOverride w:ilvl="0">
      <w:lvl w:ilvl="0" w:tplc="9000B66C">
        <w:start w:val="1"/>
        <w:numFmt w:val="decimal"/>
        <w:lvlText w:val="%1."/>
        <w:lvlJc w:val="left"/>
        <w:pPr>
          <w:ind w:left="3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BFD61216">
        <w:start w:val="1"/>
        <w:numFmt w:val="lowerLetter"/>
        <w:lvlText w:val="(%2)"/>
        <w:lvlJc w:val="left"/>
        <w:pPr>
          <w:ind w:left="720" w:hanging="63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0764DC2">
        <w:start w:val="1"/>
        <w:numFmt w:val="lowerRoman"/>
        <w:lvlText w:val="(%3)"/>
        <w:lvlJc w:val="left"/>
        <w:pPr>
          <w:tabs>
            <w:tab w:val="left" w:pos="450"/>
          </w:tabs>
          <w:ind w:left="1440" w:hanging="3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F8006DE">
        <w:start w:val="1"/>
        <w:numFmt w:val="lowerRoman"/>
        <w:lvlText w:val="(%4)"/>
        <w:lvlJc w:val="left"/>
        <w:pPr>
          <w:tabs>
            <w:tab w:val="left" w:pos="450"/>
          </w:tabs>
          <w:ind w:left="1620"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9AC7864">
        <w:start w:val="1"/>
        <w:numFmt w:val="lowerLetter"/>
        <w:lvlText w:val="(%5)"/>
        <w:lvlJc w:val="left"/>
        <w:pPr>
          <w:tabs>
            <w:tab w:val="left" w:pos="450"/>
          </w:tabs>
          <w:ind w:left="180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31B085E2">
        <w:start w:val="1"/>
        <w:numFmt w:val="lowerRoman"/>
        <w:lvlText w:val="(%6)"/>
        <w:lvlJc w:val="left"/>
        <w:pPr>
          <w:tabs>
            <w:tab w:val="left" w:pos="450"/>
          </w:tabs>
          <w:ind w:left="21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A6523438">
        <w:start w:val="1"/>
        <w:numFmt w:val="decimal"/>
        <w:lvlText w:val="%7."/>
        <w:lvlJc w:val="left"/>
        <w:pPr>
          <w:tabs>
            <w:tab w:val="left" w:pos="450"/>
          </w:tabs>
          <w:ind w:left="252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9C5CE362">
        <w:start w:val="1"/>
        <w:numFmt w:val="lowerLetter"/>
        <w:lvlText w:val="%8."/>
        <w:lvlJc w:val="left"/>
        <w:pPr>
          <w:tabs>
            <w:tab w:val="left" w:pos="450"/>
          </w:tabs>
          <w:ind w:left="288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150A644">
        <w:start w:val="1"/>
        <w:numFmt w:val="lowerRoman"/>
        <w:lvlText w:val="%9."/>
        <w:lvlJc w:val="left"/>
        <w:pPr>
          <w:tabs>
            <w:tab w:val="left" w:pos="450"/>
          </w:tabs>
          <w:ind w:left="324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98B"/>
    <w:rsid w:val="00000A95"/>
    <w:rsid w:val="00001993"/>
    <w:rsid w:val="000239C7"/>
    <w:rsid w:val="00051461"/>
    <w:rsid w:val="00076F8D"/>
    <w:rsid w:val="0008723A"/>
    <w:rsid w:val="000F6660"/>
    <w:rsid w:val="00116292"/>
    <w:rsid w:val="00153590"/>
    <w:rsid w:val="001609D0"/>
    <w:rsid w:val="00170551"/>
    <w:rsid w:val="00176D7F"/>
    <w:rsid w:val="001929A5"/>
    <w:rsid w:val="001A0AF4"/>
    <w:rsid w:val="001A56E7"/>
    <w:rsid w:val="001C0C40"/>
    <w:rsid w:val="001E64E7"/>
    <w:rsid w:val="00210420"/>
    <w:rsid w:val="00241E93"/>
    <w:rsid w:val="0025289B"/>
    <w:rsid w:val="0027598B"/>
    <w:rsid w:val="002964A3"/>
    <w:rsid w:val="002E7C1E"/>
    <w:rsid w:val="00337E21"/>
    <w:rsid w:val="00384867"/>
    <w:rsid w:val="003A67E5"/>
    <w:rsid w:val="003F1AD6"/>
    <w:rsid w:val="00407E86"/>
    <w:rsid w:val="0045045B"/>
    <w:rsid w:val="0045438C"/>
    <w:rsid w:val="00454E36"/>
    <w:rsid w:val="00456A59"/>
    <w:rsid w:val="004727C5"/>
    <w:rsid w:val="004A5537"/>
    <w:rsid w:val="004B109C"/>
    <w:rsid w:val="004B3B56"/>
    <w:rsid w:val="004C1A67"/>
    <w:rsid w:val="004E21C8"/>
    <w:rsid w:val="004F034D"/>
    <w:rsid w:val="00524F12"/>
    <w:rsid w:val="00534D8D"/>
    <w:rsid w:val="0054334B"/>
    <w:rsid w:val="0054608E"/>
    <w:rsid w:val="005611E9"/>
    <w:rsid w:val="00584372"/>
    <w:rsid w:val="005972E2"/>
    <w:rsid w:val="005A0228"/>
    <w:rsid w:val="005D139F"/>
    <w:rsid w:val="006104CB"/>
    <w:rsid w:val="00613B12"/>
    <w:rsid w:val="00652040"/>
    <w:rsid w:val="006841EE"/>
    <w:rsid w:val="006907F0"/>
    <w:rsid w:val="006929E8"/>
    <w:rsid w:val="006A48DB"/>
    <w:rsid w:val="006D1279"/>
    <w:rsid w:val="006D5F79"/>
    <w:rsid w:val="006E79BE"/>
    <w:rsid w:val="006F59FB"/>
    <w:rsid w:val="00710199"/>
    <w:rsid w:val="00720BD4"/>
    <w:rsid w:val="00723AE6"/>
    <w:rsid w:val="00727BE3"/>
    <w:rsid w:val="00752EB2"/>
    <w:rsid w:val="00753B32"/>
    <w:rsid w:val="00767E21"/>
    <w:rsid w:val="00792D4A"/>
    <w:rsid w:val="007A6ADC"/>
    <w:rsid w:val="007A7742"/>
    <w:rsid w:val="007B7A13"/>
    <w:rsid w:val="007D6121"/>
    <w:rsid w:val="007E242A"/>
    <w:rsid w:val="007F7264"/>
    <w:rsid w:val="00825501"/>
    <w:rsid w:val="00826F8F"/>
    <w:rsid w:val="008A50D5"/>
    <w:rsid w:val="008A5BD4"/>
    <w:rsid w:val="008C5C6A"/>
    <w:rsid w:val="008D0987"/>
    <w:rsid w:val="00921427"/>
    <w:rsid w:val="00930CB8"/>
    <w:rsid w:val="0095385B"/>
    <w:rsid w:val="00994276"/>
    <w:rsid w:val="009D052E"/>
    <w:rsid w:val="009D0B43"/>
    <w:rsid w:val="009D4303"/>
    <w:rsid w:val="00A156D3"/>
    <w:rsid w:val="00A179CB"/>
    <w:rsid w:val="00A23A9D"/>
    <w:rsid w:val="00A31437"/>
    <w:rsid w:val="00A67D90"/>
    <w:rsid w:val="00AB2F6B"/>
    <w:rsid w:val="00AE4862"/>
    <w:rsid w:val="00AF6E37"/>
    <w:rsid w:val="00B02696"/>
    <w:rsid w:val="00B122AB"/>
    <w:rsid w:val="00B247D6"/>
    <w:rsid w:val="00B335A4"/>
    <w:rsid w:val="00B34C3A"/>
    <w:rsid w:val="00B86695"/>
    <w:rsid w:val="00BB768C"/>
    <w:rsid w:val="00BF0744"/>
    <w:rsid w:val="00BF1502"/>
    <w:rsid w:val="00C00A02"/>
    <w:rsid w:val="00C36D30"/>
    <w:rsid w:val="00C42027"/>
    <w:rsid w:val="00C462B1"/>
    <w:rsid w:val="00C464F9"/>
    <w:rsid w:val="00C508D2"/>
    <w:rsid w:val="00C56AED"/>
    <w:rsid w:val="00C643F1"/>
    <w:rsid w:val="00C8084C"/>
    <w:rsid w:val="00C81964"/>
    <w:rsid w:val="00C96F55"/>
    <w:rsid w:val="00D301F9"/>
    <w:rsid w:val="00D368EE"/>
    <w:rsid w:val="00D55143"/>
    <w:rsid w:val="00D85657"/>
    <w:rsid w:val="00D87F7B"/>
    <w:rsid w:val="00D90C6E"/>
    <w:rsid w:val="00D9201F"/>
    <w:rsid w:val="00D93F57"/>
    <w:rsid w:val="00DA7F99"/>
    <w:rsid w:val="00DB254C"/>
    <w:rsid w:val="00DC5CD6"/>
    <w:rsid w:val="00DF377D"/>
    <w:rsid w:val="00E01C41"/>
    <w:rsid w:val="00E24568"/>
    <w:rsid w:val="00E56EFB"/>
    <w:rsid w:val="00E6320A"/>
    <w:rsid w:val="00E63D25"/>
    <w:rsid w:val="00E824A5"/>
    <w:rsid w:val="00E902DA"/>
    <w:rsid w:val="00E94631"/>
    <w:rsid w:val="00EA3C25"/>
    <w:rsid w:val="00ED0C45"/>
    <w:rsid w:val="00EE08FD"/>
    <w:rsid w:val="00EE6CD4"/>
    <w:rsid w:val="00F00F0F"/>
    <w:rsid w:val="00F07466"/>
    <w:rsid w:val="00F20F99"/>
    <w:rsid w:val="00F37771"/>
    <w:rsid w:val="00F43DEB"/>
    <w:rsid w:val="00F569B9"/>
    <w:rsid w:val="00F64661"/>
    <w:rsid w:val="00F7521E"/>
    <w:rsid w:val="00F94763"/>
    <w:rsid w:val="00F94E1A"/>
    <w:rsid w:val="00FB56A6"/>
    <w:rsid w:val="00FC6952"/>
    <w:rsid w:val="00FE65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FA110C-50B5-49F4-894B-4C367B2A9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itre2">
    <w:name w:val="heading 2"/>
    <w:next w:val="Body"/>
    <w:pPr>
      <w:keepNext/>
      <w:tabs>
        <w:tab w:val="left" w:pos="720"/>
      </w:tabs>
      <w:spacing w:before="120" w:after="120"/>
      <w:jc w:val="center"/>
      <w:outlineLvl w:val="1"/>
    </w:pPr>
    <w:rPr>
      <w:rFonts w:cs="Arial Unicode MS"/>
      <w:b/>
      <w:bCs/>
      <w:color w:val="000000"/>
      <w:sz w:val="22"/>
      <w:szCs w:val="22"/>
      <w:u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paragraph" w:styleId="En-tte">
    <w:name w:val="header"/>
    <w:link w:val="En-tteCar"/>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pPr>
      <w:jc w:val="both"/>
    </w:pPr>
    <w:rPr>
      <w:rFonts w:eastAsia="Times New Roman"/>
      <w:color w:val="000000"/>
      <w:sz w:val="22"/>
      <w:szCs w:val="22"/>
      <w:u w:color="000000"/>
    </w:rPr>
  </w:style>
  <w:style w:type="paragraph" w:customStyle="1" w:styleId="Cornernotation">
    <w:name w:val="Corner notation"/>
    <w:pPr>
      <w:ind w:left="170" w:right="3119" w:hanging="170"/>
    </w:pPr>
    <w:rPr>
      <w:rFonts w:cs="Arial Unicode MS"/>
      <w:color w:val="000000"/>
      <w:sz w:val="22"/>
      <w:szCs w:val="22"/>
      <w:u w:color="000000"/>
      <w:lang w:val="en-US"/>
    </w:rPr>
  </w:style>
  <w:style w:type="paragraph" w:styleId="Notedebasdepage">
    <w:name w:val="footnote text"/>
    <w:pPr>
      <w:keepLines/>
      <w:spacing w:after="60"/>
      <w:ind w:firstLine="720"/>
      <w:jc w:val="both"/>
    </w:pPr>
    <w:rPr>
      <w:rFonts w:cs="Arial Unicode MS"/>
      <w:color w:val="000000"/>
      <w:sz w:val="18"/>
      <w:szCs w:val="18"/>
      <w:u w:color="000000"/>
      <w:lang w:val="en-US"/>
    </w:rPr>
  </w:style>
  <w:style w:type="paragraph" w:customStyle="1" w:styleId="Para1">
    <w:name w:val="Para1"/>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pPr>
      <w:numPr>
        <w:numId w:val="1"/>
      </w:numPr>
    </w:pPr>
  </w:style>
  <w:style w:type="character" w:customStyle="1" w:styleId="Hyperlink0">
    <w:name w:val="Hyperlink.0"/>
    <w:basedOn w:val="Lienhypertexte"/>
    <w:rPr>
      <w:color w:val="0000FF"/>
      <w:sz w:val="18"/>
      <w:szCs w:val="18"/>
      <w:u w:val="single" w:color="0000FF"/>
    </w:rPr>
  </w:style>
  <w:style w:type="character" w:customStyle="1" w:styleId="Hyperlink1">
    <w:name w:val="Hyperlink.1"/>
    <w:basedOn w:val="Hyperlink0"/>
    <w:rPr>
      <w:color w:val="0000FF"/>
      <w:sz w:val="18"/>
      <w:szCs w:val="18"/>
      <w:u w:val="single" w:color="0000FF"/>
      <w:lang w:val="en-US"/>
    </w:rPr>
  </w:style>
  <w:style w:type="character" w:customStyle="1" w:styleId="Hyperlink2">
    <w:name w:val="Hyperlink.2"/>
    <w:basedOn w:val="Hyperlink0"/>
    <w:rPr>
      <w:color w:val="0000FF"/>
      <w:sz w:val="18"/>
      <w:szCs w:val="18"/>
      <w:u w:val="single" w:color="0000FF"/>
      <w:lang w:val="en-US"/>
    </w:rPr>
  </w:style>
  <w:style w:type="paragraph" w:styleId="NormalWeb">
    <w:name w:val="Normal (Web)"/>
    <w:pPr>
      <w:spacing w:before="100" w:after="100"/>
    </w:pPr>
    <w:rPr>
      <w:rFonts w:eastAsia="Times New Roman"/>
      <w:color w:val="000000"/>
      <w:sz w:val="24"/>
      <w:szCs w:val="24"/>
      <w:u w:color="000000"/>
      <w:lang w:val="en-US"/>
    </w:rPr>
  </w:style>
  <w:style w:type="paragraph" w:styleId="Paragraphedeliste">
    <w:name w:val="List Paragraph"/>
    <w:pPr>
      <w:ind w:left="720"/>
      <w:jc w:val="both"/>
    </w:pPr>
    <w:rPr>
      <w:rFonts w:eastAsia="Times New Roman"/>
      <w:color w:val="000000"/>
      <w:sz w:val="22"/>
      <w:szCs w:val="22"/>
      <w:u w:color="000000"/>
      <w:lang w:val="en-US"/>
    </w:rPr>
  </w:style>
  <w:style w:type="paragraph" w:customStyle="1" w:styleId="bodytextnoindent">
    <w:name w:val="body text (no indent)"/>
    <w:pPr>
      <w:spacing w:before="140" w:after="140"/>
      <w:ind w:left="720" w:hanging="720"/>
      <w:jc w:val="both"/>
    </w:pPr>
    <w:rPr>
      <w:rFonts w:cs="Arial Unicode MS"/>
      <w:color w:val="000000"/>
      <w:sz w:val="22"/>
      <w:szCs w:val="22"/>
      <w:u w:color="000000"/>
      <w:lang w:val="en-US"/>
    </w:rPr>
  </w:style>
  <w:style w:type="paragraph" w:styleId="Textedebulles">
    <w:name w:val="Balloon Text"/>
    <w:basedOn w:val="Normal"/>
    <w:link w:val="TextedebullesCar"/>
    <w:uiPriority w:val="99"/>
    <w:semiHidden/>
    <w:unhideWhenUsed/>
    <w:rsid w:val="00A156D3"/>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56D3"/>
    <w:rPr>
      <w:rFonts w:ascii="Segoe UI" w:hAnsi="Segoe UI" w:cs="Segoe UI"/>
      <w:sz w:val="18"/>
      <w:szCs w:val="18"/>
      <w:lang w:val="en-US" w:eastAsia="en-US"/>
    </w:rPr>
  </w:style>
  <w:style w:type="character" w:styleId="Textedelespacerserv">
    <w:name w:val="Placeholder Text"/>
    <w:basedOn w:val="Policepardfaut"/>
    <w:uiPriority w:val="99"/>
    <w:semiHidden/>
    <w:rsid w:val="00D87F7B"/>
    <w:rPr>
      <w:color w:val="808080"/>
    </w:rPr>
  </w:style>
  <w:style w:type="character" w:styleId="Appelnotedebasdep">
    <w:name w:val="footnote reference"/>
    <w:basedOn w:val="Policepardfaut"/>
    <w:uiPriority w:val="99"/>
    <w:semiHidden/>
    <w:unhideWhenUsed/>
    <w:rsid w:val="00D87F7B"/>
    <w:rPr>
      <w:vertAlign w:val="superscript"/>
    </w:rPr>
  </w:style>
  <w:style w:type="character" w:customStyle="1" w:styleId="En-tteCar">
    <w:name w:val="En-tête Car"/>
    <w:basedOn w:val="Policepardfaut"/>
    <w:link w:val="En-tte"/>
    <w:rsid w:val="00C81964"/>
    <w:rPr>
      <w:rFonts w:cs="Arial Unicode MS"/>
      <w:color w:val="000000"/>
      <w:sz w:val="22"/>
      <w:szCs w:val="22"/>
      <w:u w:color="000000"/>
      <w:lang w:val="en-US"/>
    </w:rPr>
  </w:style>
  <w:style w:type="paragraph" w:styleId="Notedefin">
    <w:name w:val="endnote text"/>
    <w:basedOn w:val="Normal"/>
    <w:link w:val="NotedefinCar"/>
    <w:uiPriority w:val="99"/>
    <w:semiHidden/>
    <w:unhideWhenUsed/>
    <w:rsid w:val="00F43DEB"/>
    <w:rPr>
      <w:sz w:val="20"/>
      <w:szCs w:val="20"/>
    </w:rPr>
  </w:style>
  <w:style w:type="character" w:customStyle="1" w:styleId="NotedefinCar">
    <w:name w:val="Note de fin Car"/>
    <w:basedOn w:val="Policepardfaut"/>
    <w:link w:val="Notedefin"/>
    <w:uiPriority w:val="99"/>
    <w:semiHidden/>
    <w:rsid w:val="00F43DEB"/>
    <w:rPr>
      <w:lang w:val="en-US" w:eastAsia="en-US"/>
    </w:rPr>
  </w:style>
  <w:style w:type="character" w:styleId="Appeldenotedefin">
    <w:name w:val="endnote reference"/>
    <w:basedOn w:val="Policepardfaut"/>
    <w:uiPriority w:val="99"/>
    <w:semiHidden/>
    <w:unhideWhenUsed/>
    <w:rsid w:val="00F43DEB"/>
    <w:rPr>
      <w:vertAlign w:val="superscript"/>
    </w:rPr>
  </w:style>
  <w:style w:type="character" w:styleId="Lienhypertextesuivivisit">
    <w:name w:val="FollowedHyperlink"/>
    <w:basedOn w:val="Policepardfaut"/>
    <w:uiPriority w:val="99"/>
    <w:semiHidden/>
    <w:unhideWhenUsed/>
    <w:rsid w:val="001A56E7"/>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ecolex.org/fr/details/legislation/loi-n-2016-1087-du-8-aout-2016-pour-la-reconquete-de-la-biodiversite-de-la-nature-et-des-paysages-lex-faoc159133/?type=legislation&amp;q=France+2016+environment" TargetMode="External"/><Relationship Id="rId2" Type="http://schemas.openxmlformats.org/officeDocument/2006/relationships/hyperlink" Target="http://climate.org/wp-content/uploads/2018/01/Corsi-COP23.pdf" TargetMode="External"/><Relationship Id="rId1" Type="http://schemas.openxmlformats.org/officeDocument/2006/relationships/hyperlink" Target="https://unfccc.int/topics/adaptation-and-resilience/workstreams/approaches-to-address-loss-and-damage-associated-with-climate-change-impacts-in-developing-countries#eq-3" TargetMode="External"/><Relationship Id="rId4" Type="http://schemas.openxmlformats.org/officeDocument/2006/relationships/hyperlink" Target="http://assets.ibc.ca/Documents/Resources/IBC-Natural-Infrastructure-Report-2018.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BE7B5F2D26F4BA6851B523AB5D62966"/>
        <w:category>
          <w:name w:val="General"/>
          <w:gallery w:val="placeholder"/>
        </w:category>
        <w:types>
          <w:type w:val="bbPlcHdr"/>
        </w:types>
        <w:behaviors>
          <w:behavior w:val="content"/>
        </w:behaviors>
        <w:guid w:val="{F1283A8D-0300-4BEE-A090-3419FE4EAFB6}"/>
      </w:docPartPr>
      <w:docPartBody>
        <w:p w:rsidR="003B4BBC" w:rsidRDefault="00E42652">
          <w:r w:rsidRPr="00724B3C">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652"/>
    <w:rsid w:val="003B4BBC"/>
    <w:rsid w:val="00E426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4265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3F0CC-ED61-4D57-BF43-E609B5C01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1669</TotalTime>
  <Pages>8</Pages>
  <Words>4230</Words>
  <Characters>23271</Characters>
  <Application>Microsoft Office Word</Application>
  <DocSecurity>0</DocSecurity>
  <Lines>193</Lines>
  <Paragraphs>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RESPONSABILITÉ ET RÉPARATION (PARAGRAPHE 2 DE L’ARTICLE 14)</vt:lpstr>
      <vt:lpstr>LIABILITY AND REDRESS (ARTICLE 14, PARAGRAPH 2)</vt:lpstr>
    </vt:vector>
  </TitlesOfParts>
  <Company/>
  <LinksUpToDate>false</LinksUpToDate>
  <CharactersWithSpaces>27447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RESPONSABILITÉ ET RÉPARATION (PARAGRAPHE 2 DE L’ARTICLE 14)</dc:title>
  <dc:creator>Veronique Lefebvre</dc:creator>
  <cp:lastModifiedBy>Louise</cp:lastModifiedBy>
  <cp:revision>16</cp:revision>
  <cp:lastPrinted>2018-10-11T15:22:00Z</cp:lastPrinted>
  <dcterms:created xsi:type="dcterms:W3CDTF">2018-10-10T08:32:00Z</dcterms:created>
  <dcterms:modified xsi:type="dcterms:W3CDTF">2018-10-11T17:45:00Z</dcterms:modified>
</cp:coreProperties>
</file>