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AF5854" w:rsidTr="00F90FA0">
        <w:trPr>
          <w:trHeight w:val="709"/>
        </w:trPr>
        <w:tc>
          <w:tcPr>
            <w:tcW w:w="976" w:type="dxa"/>
            <w:tcBorders>
              <w:bottom w:val="single" w:sz="12" w:space="0" w:color="auto"/>
            </w:tcBorders>
          </w:tcPr>
          <w:p w:rsidR="00207A6E" w:rsidRPr="00C91779" w:rsidRDefault="00207A6E" w:rsidP="00C91779">
            <w:pPr>
              <w:suppressLineNumbers/>
              <w:suppressAutoHyphens/>
              <w:kinsoku w:val="0"/>
              <w:overflowPunct w:val="0"/>
              <w:autoSpaceDE w:val="0"/>
              <w:autoSpaceDN w:val="0"/>
              <w:adjustRightInd w:val="0"/>
              <w:snapToGrid w:val="0"/>
              <w:rPr>
                <w:snapToGrid w:val="0"/>
                <w:kern w:val="22"/>
              </w:rPr>
            </w:pPr>
            <w:r w:rsidRPr="00C91779">
              <w:rPr>
                <w:noProof/>
                <w:snapToGrid w:val="0"/>
                <w:kern w:val="22"/>
                <w:lang w:val="fr-FR" w:eastAsia="fr-FR" w:bidi="bn-BD"/>
              </w:rPr>
              <w:drawing>
                <wp:inline distT="0" distB="0" distL="0" distR="0" wp14:anchorId="3C227610" wp14:editId="11180E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C91779" w:rsidRDefault="00207A6E" w:rsidP="00C91779">
            <w:pPr>
              <w:suppressLineNumbers/>
              <w:suppressAutoHyphens/>
              <w:kinsoku w:val="0"/>
              <w:overflowPunct w:val="0"/>
              <w:autoSpaceDE w:val="0"/>
              <w:autoSpaceDN w:val="0"/>
              <w:adjustRightInd w:val="0"/>
              <w:snapToGrid w:val="0"/>
              <w:rPr>
                <w:snapToGrid w:val="0"/>
                <w:kern w:val="22"/>
              </w:rPr>
            </w:pPr>
            <w:r w:rsidRPr="00C91779">
              <w:rPr>
                <w:noProof/>
                <w:snapToGrid w:val="0"/>
                <w:kern w:val="22"/>
                <w:lang w:val="fr-FR" w:eastAsia="fr-FR" w:bidi="bn-BD"/>
              </w:rPr>
              <w:drawing>
                <wp:inline distT="0" distB="0" distL="0" distR="0" wp14:anchorId="62F77B34" wp14:editId="4B3E65DD">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C91779" w:rsidRDefault="00207A6E" w:rsidP="00C91779">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C91779">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3550EC" w:rsidTr="009554D5">
        <w:trPr>
          <w:trHeight w:val="1693"/>
        </w:trPr>
        <w:tc>
          <w:tcPr>
            <w:tcW w:w="6227" w:type="dxa"/>
            <w:tcBorders>
              <w:top w:val="nil"/>
              <w:bottom w:val="single" w:sz="36" w:space="0" w:color="000000"/>
            </w:tcBorders>
          </w:tcPr>
          <w:p w:rsidR="00F16F02" w:rsidRPr="003550EC" w:rsidRDefault="00F16F02" w:rsidP="00C91779">
            <w:pPr>
              <w:suppressLineNumbers/>
              <w:suppressAutoHyphens/>
              <w:kinsoku w:val="0"/>
              <w:overflowPunct w:val="0"/>
              <w:autoSpaceDE w:val="0"/>
              <w:autoSpaceDN w:val="0"/>
              <w:adjustRightInd w:val="0"/>
              <w:snapToGrid w:val="0"/>
              <w:rPr>
                <w:snapToGrid w:val="0"/>
                <w:kern w:val="22"/>
                <w:lang w:val="fr-FR"/>
              </w:rPr>
            </w:pPr>
          </w:p>
          <w:p w:rsidR="00F16F02" w:rsidRPr="003550EC" w:rsidRDefault="003550EC" w:rsidP="00C91779">
            <w:pPr>
              <w:suppressLineNumbers/>
              <w:suppressAutoHyphens/>
              <w:kinsoku w:val="0"/>
              <w:overflowPunct w:val="0"/>
              <w:autoSpaceDE w:val="0"/>
              <w:autoSpaceDN w:val="0"/>
              <w:adjustRightInd w:val="0"/>
              <w:snapToGrid w:val="0"/>
              <w:rPr>
                <w:snapToGrid w:val="0"/>
                <w:kern w:val="22"/>
                <w:lang w:val="fr-FR"/>
              </w:rPr>
            </w:pPr>
            <w:r w:rsidRPr="003550EC">
              <w:rPr>
                <w:rFonts w:ascii="Univers" w:hAnsi="Univers"/>
                <w:noProof/>
                <w:kern w:val="22"/>
                <w:sz w:val="32"/>
                <w:lang w:val="fr-FR" w:eastAsia="fr-FR" w:bidi="bn-BD"/>
              </w:rPr>
              <w:drawing>
                <wp:inline distT="0" distB="0" distL="0" distR="0" wp14:anchorId="33D69F4F" wp14:editId="4BAA733D">
                  <wp:extent cx="2790825" cy="1065530"/>
                  <wp:effectExtent l="0" t="0" r="9525"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065530"/>
                          </a:xfrm>
                          <a:prstGeom prst="rect">
                            <a:avLst/>
                          </a:prstGeom>
                          <a:noFill/>
                          <a:ln>
                            <a:noFill/>
                          </a:ln>
                        </pic:spPr>
                      </pic:pic>
                    </a:graphicData>
                  </a:graphic>
                </wp:inline>
              </w:drawing>
            </w:r>
          </w:p>
          <w:p w:rsidR="00F16F02" w:rsidRPr="003550EC" w:rsidRDefault="00F16F02" w:rsidP="00C91779">
            <w:pPr>
              <w:suppressLineNumbers/>
              <w:suppressAutoHyphens/>
              <w:kinsoku w:val="0"/>
              <w:overflowPunct w:val="0"/>
              <w:autoSpaceDE w:val="0"/>
              <w:autoSpaceDN w:val="0"/>
              <w:adjustRightInd w:val="0"/>
              <w:snapToGrid w:val="0"/>
              <w:rPr>
                <w:rFonts w:ascii="Univers" w:hAnsi="Univers"/>
                <w:snapToGrid w:val="0"/>
                <w:kern w:val="22"/>
                <w:sz w:val="32"/>
                <w:lang w:val="fr-FR"/>
              </w:rPr>
            </w:pPr>
          </w:p>
        </w:tc>
        <w:tc>
          <w:tcPr>
            <w:tcW w:w="1144" w:type="dxa"/>
            <w:tcBorders>
              <w:top w:val="nil"/>
              <w:bottom w:val="single" w:sz="36" w:space="0" w:color="000000"/>
            </w:tcBorders>
          </w:tcPr>
          <w:p w:rsidR="00F16F02" w:rsidRPr="003550EC" w:rsidRDefault="00F16F02" w:rsidP="00C91779">
            <w:pPr>
              <w:pStyle w:val="En-tte"/>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lang w:val="fr-FR"/>
              </w:rPr>
            </w:pPr>
          </w:p>
        </w:tc>
        <w:tc>
          <w:tcPr>
            <w:tcW w:w="2977" w:type="dxa"/>
            <w:tcBorders>
              <w:top w:val="nil"/>
              <w:bottom w:val="single" w:sz="36" w:space="0" w:color="000000"/>
            </w:tcBorders>
          </w:tcPr>
          <w:p w:rsidR="00F16F02" w:rsidRPr="003550EC" w:rsidRDefault="00F16F02" w:rsidP="00C91779">
            <w:pPr>
              <w:suppressLineNumbers/>
              <w:suppressAutoHyphens/>
              <w:kinsoku w:val="0"/>
              <w:overflowPunct w:val="0"/>
              <w:autoSpaceDE w:val="0"/>
              <w:autoSpaceDN w:val="0"/>
              <w:adjustRightInd w:val="0"/>
              <w:snapToGrid w:val="0"/>
              <w:ind w:left="63"/>
              <w:rPr>
                <w:snapToGrid w:val="0"/>
                <w:kern w:val="22"/>
                <w:szCs w:val="22"/>
                <w:lang w:val="fr-FR"/>
              </w:rPr>
            </w:pPr>
            <w:proofErr w:type="spellStart"/>
            <w:r w:rsidRPr="003550EC">
              <w:rPr>
                <w:snapToGrid w:val="0"/>
                <w:kern w:val="22"/>
                <w:szCs w:val="22"/>
                <w:lang w:val="fr-FR"/>
              </w:rPr>
              <w:t>Distr</w:t>
            </w:r>
            <w:proofErr w:type="spellEnd"/>
            <w:r w:rsidRPr="003550EC">
              <w:rPr>
                <w:snapToGrid w:val="0"/>
                <w:kern w:val="22"/>
                <w:szCs w:val="22"/>
                <w:lang w:val="fr-FR"/>
              </w:rPr>
              <w:t>.</w:t>
            </w:r>
          </w:p>
          <w:p w:rsidR="00F16F02" w:rsidRPr="003550EC" w:rsidRDefault="003550EC" w:rsidP="00C91779">
            <w:pPr>
              <w:suppressLineNumbers/>
              <w:suppressAutoHyphens/>
              <w:kinsoku w:val="0"/>
              <w:overflowPunct w:val="0"/>
              <w:autoSpaceDE w:val="0"/>
              <w:autoSpaceDN w:val="0"/>
              <w:adjustRightInd w:val="0"/>
              <w:snapToGrid w:val="0"/>
              <w:ind w:left="63"/>
              <w:rPr>
                <w:snapToGrid w:val="0"/>
                <w:kern w:val="22"/>
                <w:szCs w:val="22"/>
                <w:lang w:val="fr-FR"/>
              </w:rPr>
            </w:pPr>
            <w:r>
              <w:rPr>
                <w:snapToGrid w:val="0"/>
                <w:kern w:val="22"/>
                <w:szCs w:val="22"/>
                <w:lang w:val="fr-FR"/>
              </w:rPr>
              <w:t>GÉNÉ</w:t>
            </w:r>
            <w:r w:rsidR="00F16F02" w:rsidRPr="003550EC">
              <w:rPr>
                <w:snapToGrid w:val="0"/>
                <w:kern w:val="22"/>
                <w:szCs w:val="22"/>
                <w:lang w:val="fr-FR"/>
              </w:rPr>
              <w:t>RAL</w:t>
            </w:r>
            <w:r>
              <w:rPr>
                <w:snapToGrid w:val="0"/>
                <w:kern w:val="22"/>
                <w:szCs w:val="22"/>
                <w:lang w:val="fr-FR"/>
              </w:rPr>
              <w:t>E</w:t>
            </w:r>
          </w:p>
          <w:p w:rsidR="00F16F02" w:rsidRPr="003550EC" w:rsidRDefault="00F16F02" w:rsidP="00C91779">
            <w:pPr>
              <w:suppressLineNumbers/>
              <w:suppressAutoHyphens/>
              <w:kinsoku w:val="0"/>
              <w:overflowPunct w:val="0"/>
              <w:autoSpaceDE w:val="0"/>
              <w:autoSpaceDN w:val="0"/>
              <w:adjustRightInd w:val="0"/>
              <w:snapToGrid w:val="0"/>
              <w:ind w:left="63"/>
              <w:rPr>
                <w:snapToGrid w:val="0"/>
                <w:kern w:val="22"/>
                <w:szCs w:val="22"/>
                <w:lang w:val="fr-FR"/>
              </w:rPr>
            </w:pPr>
          </w:p>
          <w:sdt>
            <w:sdtPr>
              <w:rPr>
                <w:snapToGrid w:val="0"/>
                <w:kern w:val="22"/>
                <w:szCs w:val="22"/>
                <w:lang w:val="fr-FR"/>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3550EC" w:rsidRDefault="00D51069" w:rsidP="00C91779">
                <w:pPr>
                  <w:suppressLineNumbers/>
                  <w:suppressAutoHyphens/>
                  <w:kinsoku w:val="0"/>
                  <w:overflowPunct w:val="0"/>
                  <w:autoSpaceDE w:val="0"/>
                  <w:autoSpaceDN w:val="0"/>
                  <w:adjustRightInd w:val="0"/>
                  <w:snapToGrid w:val="0"/>
                  <w:ind w:left="63"/>
                  <w:rPr>
                    <w:snapToGrid w:val="0"/>
                    <w:kern w:val="22"/>
                    <w:szCs w:val="22"/>
                    <w:lang w:val="fr-FR"/>
                  </w:rPr>
                </w:pPr>
                <w:r w:rsidRPr="003550EC">
                  <w:rPr>
                    <w:snapToGrid w:val="0"/>
                    <w:kern w:val="22"/>
                    <w:szCs w:val="22"/>
                    <w:lang w:val="fr-FR"/>
                  </w:rPr>
                  <w:t>CBD/SB</w:t>
                </w:r>
                <w:r w:rsidR="00843FF1" w:rsidRPr="003550EC">
                  <w:rPr>
                    <w:snapToGrid w:val="0"/>
                    <w:kern w:val="22"/>
                    <w:szCs w:val="22"/>
                    <w:lang w:val="fr-FR"/>
                  </w:rPr>
                  <w:t>I/</w:t>
                </w:r>
                <w:r w:rsidR="002E0627" w:rsidRPr="003550EC">
                  <w:rPr>
                    <w:snapToGrid w:val="0"/>
                    <w:kern w:val="22"/>
                    <w:szCs w:val="22"/>
                    <w:lang w:val="fr-FR"/>
                  </w:rPr>
                  <w:t>2/</w:t>
                </w:r>
                <w:r w:rsidR="004B3C27" w:rsidRPr="003550EC">
                  <w:rPr>
                    <w:snapToGrid w:val="0"/>
                    <w:kern w:val="22"/>
                    <w:szCs w:val="22"/>
                    <w:lang w:val="fr-FR"/>
                  </w:rPr>
                  <w:t>2/Add.3</w:t>
                </w:r>
              </w:p>
            </w:sdtContent>
          </w:sdt>
          <w:p w:rsidR="00F16F02" w:rsidRPr="003550EC" w:rsidRDefault="00D15589" w:rsidP="00C91779">
            <w:pPr>
              <w:suppressLineNumbers/>
              <w:suppressAutoHyphens/>
              <w:kinsoku w:val="0"/>
              <w:overflowPunct w:val="0"/>
              <w:autoSpaceDE w:val="0"/>
              <w:autoSpaceDN w:val="0"/>
              <w:adjustRightInd w:val="0"/>
              <w:snapToGrid w:val="0"/>
              <w:ind w:left="63"/>
              <w:rPr>
                <w:snapToGrid w:val="0"/>
                <w:kern w:val="22"/>
                <w:szCs w:val="22"/>
                <w:lang w:val="fr-FR"/>
              </w:rPr>
            </w:pPr>
            <w:r w:rsidRPr="003550EC">
              <w:rPr>
                <w:snapToGrid w:val="0"/>
                <w:kern w:val="22"/>
                <w:szCs w:val="22"/>
                <w:lang w:val="fr-FR"/>
              </w:rPr>
              <w:t>1</w:t>
            </w:r>
            <w:r w:rsidR="00102A65" w:rsidRPr="003550EC">
              <w:rPr>
                <w:snapToGrid w:val="0"/>
                <w:kern w:val="22"/>
                <w:szCs w:val="22"/>
                <w:lang w:val="fr-FR"/>
              </w:rPr>
              <w:t>6</w:t>
            </w:r>
            <w:r w:rsidR="003550EC">
              <w:rPr>
                <w:snapToGrid w:val="0"/>
                <w:kern w:val="22"/>
                <w:szCs w:val="22"/>
                <w:lang w:val="fr-FR"/>
              </w:rPr>
              <w:t xml:space="preserve"> avril </w:t>
            </w:r>
            <w:r w:rsidRPr="003550EC">
              <w:rPr>
                <w:snapToGrid w:val="0"/>
                <w:kern w:val="22"/>
                <w:szCs w:val="22"/>
                <w:lang w:val="fr-FR"/>
              </w:rPr>
              <w:t>2018</w:t>
            </w:r>
          </w:p>
          <w:p w:rsidR="003550EC" w:rsidRDefault="003550EC" w:rsidP="00C91779">
            <w:pPr>
              <w:suppressLineNumbers/>
              <w:suppressAutoHyphens/>
              <w:kinsoku w:val="0"/>
              <w:overflowPunct w:val="0"/>
              <w:autoSpaceDE w:val="0"/>
              <w:autoSpaceDN w:val="0"/>
              <w:adjustRightInd w:val="0"/>
              <w:snapToGrid w:val="0"/>
              <w:ind w:left="63"/>
              <w:rPr>
                <w:snapToGrid w:val="0"/>
                <w:kern w:val="22"/>
                <w:szCs w:val="22"/>
                <w:lang w:val="fr-FR"/>
              </w:rPr>
            </w:pPr>
          </w:p>
          <w:p w:rsidR="00F16F02" w:rsidRPr="003550EC" w:rsidRDefault="003550EC" w:rsidP="00C91779">
            <w:pPr>
              <w:suppressLineNumbers/>
              <w:suppressAutoHyphens/>
              <w:kinsoku w:val="0"/>
              <w:overflowPunct w:val="0"/>
              <w:autoSpaceDE w:val="0"/>
              <w:autoSpaceDN w:val="0"/>
              <w:adjustRightInd w:val="0"/>
              <w:snapToGrid w:val="0"/>
              <w:ind w:left="63"/>
              <w:rPr>
                <w:snapToGrid w:val="0"/>
                <w:kern w:val="22"/>
                <w:szCs w:val="22"/>
                <w:lang w:val="fr-FR"/>
              </w:rPr>
            </w:pPr>
            <w:r>
              <w:rPr>
                <w:snapToGrid w:val="0"/>
                <w:kern w:val="22"/>
                <w:szCs w:val="22"/>
                <w:lang w:val="fr-FR"/>
              </w:rPr>
              <w:t>FRANÇAIS</w:t>
            </w:r>
          </w:p>
          <w:p w:rsidR="00F16F02" w:rsidRPr="003550EC" w:rsidRDefault="00F16F02" w:rsidP="003550EC">
            <w:pPr>
              <w:suppressLineNumbers/>
              <w:suppressAutoHyphens/>
              <w:kinsoku w:val="0"/>
              <w:overflowPunct w:val="0"/>
              <w:autoSpaceDE w:val="0"/>
              <w:autoSpaceDN w:val="0"/>
              <w:adjustRightInd w:val="0"/>
              <w:snapToGrid w:val="0"/>
              <w:ind w:left="63"/>
              <w:rPr>
                <w:snapToGrid w:val="0"/>
                <w:kern w:val="22"/>
                <w:szCs w:val="22"/>
                <w:u w:val="single"/>
                <w:lang w:val="fr-FR"/>
              </w:rPr>
            </w:pPr>
            <w:r w:rsidRPr="003550EC">
              <w:rPr>
                <w:snapToGrid w:val="0"/>
                <w:kern w:val="22"/>
                <w:szCs w:val="22"/>
                <w:lang w:val="fr-FR"/>
              </w:rPr>
              <w:t>ORIGINAL</w:t>
            </w:r>
            <w:r w:rsidR="003550EC">
              <w:rPr>
                <w:snapToGrid w:val="0"/>
                <w:kern w:val="22"/>
                <w:szCs w:val="22"/>
                <w:lang w:val="fr-FR"/>
              </w:rPr>
              <w:t> : ANGLAIS</w:t>
            </w:r>
          </w:p>
        </w:tc>
      </w:tr>
    </w:tbl>
    <w:bookmarkStart w:id="0" w:name="Meeting"/>
    <w:p w:rsidR="00CA6B87" w:rsidRPr="003550EC" w:rsidRDefault="00D0645B" w:rsidP="00C91779">
      <w:pPr>
        <w:pStyle w:val="meetingname"/>
        <w:suppressLineNumbers/>
        <w:suppressAutoHyphens/>
        <w:kinsoku w:val="0"/>
        <w:overflowPunct w:val="0"/>
        <w:autoSpaceDE w:val="0"/>
        <w:autoSpaceDN w:val="0"/>
        <w:adjustRightInd w:val="0"/>
        <w:snapToGrid w:val="0"/>
        <w:ind w:right="4398"/>
        <w:rPr>
          <w:kern w:val="22"/>
          <w:szCs w:val="22"/>
          <w:lang w:val="fr-FR"/>
        </w:rPr>
      </w:pPr>
      <w:sdt>
        <w:sdtPr>
          <w:rPr>
            <w:kern w:val="22"/>
            <w:szCs w:val="22"/>
            <w:lang w:val="fr-FR"/>
          </w:rPr>
          <w:alias w:val="Meeting"/>
          <w:tag w:val="Meeting"/>
          <w:id w:val="1412045910"/>
          <w:placeholder>
            <w:docPart w:val="DefaultPlaceholder_1082065158"/>
          </w:placeholder>
          <w:text/>
        </w:sdtPr>
        <w:sdtEndPr/>
        <w:sdtContent>
          <w:r w:rsidR="00D94E7F">
            <w:rPr>
              <w:kern w:val="22"/>
              <w:szCs w:val="22"/>
              <w:lang w:val="fr-FR"/>
            </w:rPr>
            <w:t>ORGANE SUBSIDIAIRE CHARG</w:t>
          </w:r>
          <w:r w:rsidR="00D94E7F" w:rsidRPr="0089655C">
            <w:rPr>
              <w:kern w:val="22"/>
              <w:szCs w:val="22"/>
              <w:lang w:val="fr-FR"/>
            </w:rPr>
            <w:t>É</w:t>
          </w:r>
          <w:r w:rsidR="00D94E7F">
            <w:rPr>
              <w:kern w:val="22"/>
              <w:szCs w:val="22"/>
              <w:lang w:val="fr-FR"/>
            </w:rPr>
            <w:t xml:space="preserve"> DE L’APPLICATION</w:t>
          </w:r>
        </w:sdtContent>
      </w:sdt>
      <w:bookmarkEnd w:id="0"/>
    </w:p>
    <w:p w:rsidR="00D51069" w:rsidRPr="003550EC" w:rsidRDefault="003550EC" w:rsidP="00C91779">
      <w:pPr>
        <w:suppressLineNumbers/>
        <w:suppressAutoHyphens/>
        <w:kinsoku w:val="0"/>
        <w:overflowPunct w:val="0"/>
        <w:autoSpaceDE w:val="0"/>
        <w:autoSpaceDN w:val="0"/>
        <w:adjustRightInd w:val="0"/>
        <w:snapToGrid w:val="0"/>
        <w:rPr>
          <w:snapToGrid w:val="0"/>
          <w:kern w:val="22"/>
          <w:szCs w:val="22"/>
          <w:lang w:val="fr-FR" w:eastAsia="nb-NO"/>
        </w:rPr>
      </w:pPr>
      <w:r w:rsidRPr="003550EC">
        <w:rPr>
          <w:snapToGrid w:val="0"/>
          <w:kern w:val="22"/>
          <w:szCs w:val="22"/>
          <w:lang w:val="fr-FR" w:eastAsia="nb-NO"/>
        </w:rPr>
        <w:t>Deuxième réunion</w:t>
      </w:r>
    </w:p>
    <w:p w:rsidR="00CA6B87" w:rsidRPr="003550EC" w:rsidRDefault="00D94E7F" w:rsidP="00C91779">
      <w:pPr>
        <w:suppressLineNumbers/>
        <w:suppressAutoHyphens/>
        <w:kinsoku w:val="0"/>
        <w:overflowPunct w:val="0"/>
        <w:autoSpaceDE w:val="0"/>
        <w:autoSpaceDN w:val="0"/>
        <w:adjustRightInd w:val="0"/>
        <w:snapToGrid w:val="0"/>
        <w:rPr>
          <w:snapToGrid w:val="0"/>
          <w:kern w:val="22"/>
          <w:szCs w:val="22"/>
          <w:lang w:val="fr-FR" w:eastAsia="nb-NO"/>
        </w:rPr>
      </w:pPr>
      <w:r>
        <w:rPr>
          <w:snapToGrid w:val="0"/>
          <w:kern w:val="22"/>
          <w:szCs w:val="22"/>
          <w:lang w:val="fr-FR" w:eastAsia="nb-NO"/>
        </w:rPr>
        <w:t>Montré</w:t>
      </w:r>
      <w:r w:rsidR="00D51069" w:rsidRPr="003550EC">
        <w:rPr>
          <w:snapToGrid w:val="0"/>
          <w:kern w:val="22"/>
          <w:szCs w:val="22"/>
          <w:lang w:val="fr-FR" w:eastAsia="nb-NO"/>
        </w:rPr>
        <w:t>al</w:t>
      </w:r>
      <w:r w:rsidR="00CA6B87" w:rsidRPr="003550EC">
        <w:rPr>
          <w:snapToGrid w:val="0"/>
          <w:kern w:val="22"/>
          <w:szCs w:val="22"/>
          <w:lang w:val="fr-FR" w:eastAsia="nb-NO"/>
        </w:rPr>
        <w:t xml:space="preserve">, </w:t>
      </w:r>
      <w:r w:rsidR="00D51069" w:rsidRPr="003550EC">
        <w:rPr>
          <w:snapToGrid w:val="0"/>
          <w:kern w:val="22"/>
          <w:szCs w:val="22"/>
          <w:lang w:val="fr-FR" w:eastAsia="nb-NO"/>
        </w:rPr>
        <w:t xml:space="preserve">Canada, </w:t>
      </w:r>
      <w:r w:rsidR="002E0627" w:rsidRPr="003550EC">
        <w:rPr>
          <w:snapToGrid w:val="0"/>
          <w:kern w:val="22"/>
          <w:szCs w:val="22"/>
          <w:lang w:val="fr-FR" w:eastAsia="nb-NO"/>
        </w:rPr>
        <w:t>9-13</w:t>
      </w:r>
      <w:r>
        <w:rPr>
          <w:snapToGrid w:val="0"/>
          <w:kern w:val="22"/>
          <w:szCs w:val="22"/>
          <w:lang w:val="fr-FR" w:eastAsia="nb-NO"/>
        </w:rPr>
        <w:t xml:space="preserve"> juillet </w:t>
      </w:r>
      <w:r w:rsidR="00D15589" w:rsidRPr="003550EC">
        <w:rPr>
          <w:snapToGrid w:val="0"/>
          <w:kern w:val="22"/>
          <w:szCs w:val="22"/>
          <w:lang w:val="fr-FR" w:eastAsia="nb-NO"/>
        </w:rPr>
        <w:t>2018</w:t>
      </w:r>
    </w:p>
    <w:p w:rsidR="00CA6B87" w:rsidRPr="003550EC" w:rsidRDefault="00D94E7F" w:rsidP="00C91779">
      <w:pPr>
        <w:suppressLineNumbers/>
        <w:suppressAutoHyphens/>
        <w:kinsoku w:val="0"/>
        <w:overflowPunct w:val="0"/>
        <w:autoSpaceDE w:val="0"/>
        <w:autoSpaceDN w:val="0"/>
        <w:adjustRightInd w:val="0"/>
        <w:snapToGrid w:val="0"/>
        <w:rPr>
          <w:snapToGrid w:val="0"/>
          <w:kern w:val="22"/>
          <w:szCs w:val="22"/>
          <w:lang w:val="fr-FR" w:eastAsia="nb-NO"/>
        </w:rPr>
      </w:pPr>
      <w:r>
        <w:rPr>
          <w:snapToGrid w:val="0"/>
          <w:kern w:val="22"/>
          <w:szCs w:val="22"/>
          <w:lang w:val="fr-FR" w:eastAsia="nb-NO"/>
        </w:rPr>
        <w:t>Point </w:t>
      </w:r>
      <w:r w:rsidR="00102A65" w:rsidRPr="003550EC">
        <w:rPr>
          <w:snapToGrid w:val="0"/>
          <w:kern w:val="22"/>
          <w:szCs w:val="22"/>
          <w:lang w:val="fr-FR" w:eastAsia="nb-NO"/>
        </w:rPr>
        <w:t xml:space="preserve">3 </w:t>
      </w:r>
      <w:r>
        <w:rPr>
          <w:snapToGrid w:val="0"/>
          <w:kern w:val="22"/>
          <w:szCs w:val="22"/>
          <w:lang w:val="fr-FR" w:eastAsia="nb-NO"/>
        </w:rPr>
        <w:t>de l’ordre du jour provisoire</w:t>
      </w:r>
      <w:r w:rsidR="00D51069" w:rsidRPr="003550EC">
        <w:rPr>
          <w:rStyle w:val="Appelnotedebasdep"/>
          <w:snapToGrid w:val="0"/>
          <w:kern w:val="22"/>
          <w:sz w:val="22"/>
          <w:szCs w:val="22"/>
          <w:u w:val="none"/>
          <w:lang w:val="fr-FR" w:eastAsia="nb-NO"/>
        </w:rPr>
        <w:footnoteReference w:customMarkFollows="1" w:id="1"/>
        <w:t>*</w:t>
      </w:r>
    </w:p>
    <w:p w:rsidR="00406BC6" w:rsidRPr="00C91779" w:rsidRDefault="00D0645B" w:rsidP="00C91779">
      <w:pPr>
        <w:pStyle w:val="Titre1"/>
        <w:suppressLineNumbers/>
        <w:suppressAutoHyphens/>
        <w:kinsoku w:val="0"/>
        <w:overflowPunct w:val="0"/>
        <w:autoSpaceDE w:val="0"/>
        <w:autoSpaceDN w:val="0"/>
        <w:adjustRightInd w:val="0"/>
        <w:snapToGrid w:val="0"/>
        <w:rPr>
          <w:snapToGrid w:val="0"/>
          <w:kern w:val="22"/>
          <w:szCs w:val="22"/>
        </w:rPr>
      </w:pPr>
      <w:sdt>
        <w:sdtPr>
          <w:rPr>
            <w:snapToGrid w:val="0"/>
            <w:kern w:val="22"/>
            <w:szCs w:val="22"/>
            <w:lang w:val="fr-FR"/>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4C1E80" w:rsidRPr="00D94E7F">
            <w:rPr>
              <w:snapToGrid w:val="0"/>
              <w:kern w:val="22"/>
              <w:szCs w:val="22"/>
              <w:lang w:val="fr-FR"/>
            </w:rPr>
            <w:t>É</w:t>
          </w:r>
          <w:r w:rsidR="004C1E80">
            <w:rPr>
              <w:snapToGrid w:val="0"/>
              <w:kern w:val="22"/>
              <w:szCs w:val="22"/>
              <w:lang w:val="fr-FR"/>
            </w:rPr>
            <w:t xml:space="preserve">tat d’avancement du plan d’action </w:t>
          </w:r>
          <w:r w:rsidR="009E6D2C">
            <w:rPr>
              <w:snapToGrid w:val="0"/>
              <w:kern w:val="22"/>
              <w:szCs w:val="22"/>
              <w:lang w:val="fr-FR"/>
            </w:rPr>
            <w:t xml:space="preserve">2015-2020 </w:t>
          </w:r>
          <w:r w:rsidR="004C1E80">
            <w:rPr>
              <w:snapToGrid w:val="0"/>
              <w:kern w:val="22"/>
              <w:szCs w:val="22"/>
              <w:lang w:val="fr-FR"/>
            </w:rPr>
            <w:t>pour l’</w:t>
          </w:r>
          <w:r w:rsidR="004C1E80" w:rsidRPr="0008705D">
            <w:rPr>
              <w:snapToGrid w:val="0"/>
              <w:kern w:val="22"/>
              <w:szCs w:val="22"/>
              <w:lang w:val="fr-FR"/>
            </w:rPr>
            <w:t>É</w:t>
          </w:r>
          <w:r w:rsidR="004C1E80">
            <w:rPr>
              <w:snapToGrid w:val="0"/>
              <w:kern w:val="22"/>
              <w:szCs w:val="22"/>
              <w:lang w:val="fr-FR"/>
            </w:rPr>
            <w:t>galit</w:t>
          </w:r>
          <w:r w:rsidR="004C1E80" w:rsidRPr="003A7EF9">
            <w:rPr>
              <w:snapToGrid w:val="0"/>
              <w:kern w:val="22"/>
              <w:szCs w:val="22"/>
              <w:lang w:val="fr-FR"/>
            </w:rPr>
            <w:t>É</w:t>
          </w:r>
          <w:r w:rsidR="004C1E80">
            <w:rPr>
              <w:snapToGrid w:val="0"/>
              <w:kern w:val="22"/>
              <w:szCs w:val="22"/>
              <w:lang w:val="fr-FR"/>
            </w:rPr>
            <w:t xml:space="preserve"> entre les sexes</w:t>
          </w:r>
        </w:sdtContent>
      </w:sdt>
    </w:p>
    <w:p w:rsidR="00C85EA4" w:rsidRPr="00D94E7F" w:rsidRDefault="00D94E7F" w:rsidP="00C91779">
      <w:pPr>
        <w:pStyle w:val="Titre2"/>
        <w:suppressLineNumbers/>
        <w:suppressAutoHyphens/>
        <w:kinsoku w:val="0"/>
        <w:overflowPunct w:val="0"/>
        <w:autoSpaceDE w:val="0"/>
        <w:autoSpaceDN w:val="0"/>
        <w:adjustRightInd w:val="0"/>
        <w:snapToGrid w:val="0"/>
        <w:rPr>
          <w:b w:val="0"/>
          <w:i/>
          <w:snapToGrid w:val="0"/>
          <w:kern w:val="22"/>
          <w:szCs w:val="22"/>
          <w:lang w:val="fr-FR"/>
        </w:rPr>
      </w:pPr>
      <w:r w:rsidRPr="00D94E7F">
        <w:rPr>
          <w:b w:val="0"/>
          <w:i/>
          <w:snapToGrid w:val="0"/>
          <w:kern w:val="22"/>
          <w:szCs w:val="22"/>
          <w:lang w:val="fr-FR"/>
        </w:rPr>
        <w:t>Note du Secrétaire exécutif</w:t>
      </w:r>
    </w:p>
    <w:p w:rsidR="005D46C1" w:rsidRPr="00D94E7F" w:rsidRDefault="005D46C1" w:rsidP="00C91779">
      <w:pPr>
        <w:pStyle w:val="Titre1"/>
        <w:suppressLineNumbers/>
        <w:suppressAutoHyphens/>
        <w:kinsoku w:val="0"/>
        <w:overflowPunct w:val="0"/>
        <w:autoSpaceDE w:val="0"/>
        <w:autoSpaceDN w:val="0"/>
        <w:adjustRightInd w:val="0"/>
        <w:snapToGrid w:val="0"/>
        <w:spacing w:before="120"/>
        <w:rPr>
          <w:b w:val="0"/>
          <w:snapToGrid w:val="0"/>
          <w:kern w:val="22"/>
          <w:szCs w:val="22"/>
          <w:lang w:val="fr-FR"/>
        </w:rPr>
      </w:pPr>
      <w:r w:rsidRPr="00D94E7F">
        <w:rPr>
          <w:caps w:val="0"/>
          <w:snapToGrid w:val="0"/>
          <w:kern w:val="22"/>
          <w:szCs w:val="22"/>
          <w:lang w:val="fr-FR"/>
        </w:rPr>
        <w:t>INTRODUCTION</w:t>
      </w:r>
    </w:p>
    <w:p w:rsidR="005D46C1" w:rsidRPr="00C91779" w:rsidRDefault="00BB501E" w:rsidP="00326406">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lang w:val="fr-FR"/>
        </w:rPr>
        <w:t xml:space="preserve">À </w:t>
      </w:r>
      <w:r w:rsidR="00D0645B">
        <w:rPr>
          <w:kern w:val="22"/>
          <w:szCs w:val="22"/>
          <w:lang w:val="fr-FR"/>
        </w:rPr>
        <w:t>s</w:t>
      </w:r>
      <w:bookmarkStart w:id="1" w:name="_GoBack"/>
      <w:bookmarkEnd w:id="1"/>
      <w:r w:rsidR="00C53402">
        <w:rPr>
          <w:kern w:val="22"/>
          <w:szCs w:val="22"/>
          <w:lang w:val="fr-FR"/>
        </w:rPr>
        <w:t>a</w:t>
      </w:r>
      <w:r w:rsidR="00D94E7F" w:rsidRPr="00082862">
        <w:rPr>
          <w:kern w:val="22"/>
          <w:szCs w:val="22"/>
          <w:lang w:val="fr-FR"/>
        </w:rPr>
        <w:t xml:space="preserve"> douzième réunion, la Conférence des Parties a adopté la décision </w:t>
      </w:r>
      <w:hyperlink r:id="rId12" w:history="1">
        <w:r w:rsidR="00D94E7F" w:rsidRPr="00082862">
          <w:rPr>
            <w:rStyle w:val="Lienhypertexte"/>
            <w:kern w:val="22"/>
            <w:szCs w:val="22"/>
            <w:lang w:val="fr-FR"/>
          </w:rPr>
          <w:t>XII/7</w:t>
        </w:r>
      </w:hyperlink>
      <w:r w:rsidR="00082862" w:rsidRPr="00082862">
        <w:rPr>
          <w:lang w:val="fr-FR"/>
        </w:rPr>
        <w:t xml:space="preserve"> </w:t>
      </w:r>
      <w:r w:rsidR="004C1E80">
        <w:rPr>
          <w:kern w:val="22"/>
          <w:szCs w:val="22"/>
          <w:lang w:val="fr-FR"/>
        </w:rPr>
        <w:t xml:space="preserve">qui </w:t>
      </w:r>
      <w:r w:rsidR="00286B55">
        <w:rPr>
          <w:kern w:val="22"/>
          <w:szCs w:val="22"/>
          <w:lang w:val="fr-FR"/>
        </w:rPr>
        <w:t>rappelle</w:t>
      </w:r>
      <w:r w:rsidR="004C1E80">
        <w:rPr>
          <w:kern w:val="22"/>
          <w:szCs w:val="22"/>
          <w:lang w:val="fr-FR"/>
        </w:rPr>
        <w:t xml:space="preserve"> qu’e</w:t>
      </w:r>
      <w:r w:rsidR="00082862" w:rsidRPr="00082862">
        <w:rPr>
          <w:kern w:val="22"/>
          <w:szCs w:val="22"/>
          <w:lang w:val="fr-FR"/>
        </w:rPr>
        <w:t>lle accueille avec satisfaction le Plan d’action 2015-2020 pour l’égalité entre les sexes au titre de la Convention sur la diversité biologique.</w:t>
      </w:r>
      <w:r w:rsidR="00BB3AA3" w:rsidRPr="00C91779">
        <w:rPr>
          <w:kern w:val="22"/>
          <w:szCs w:val="22"/>
        </w:rPr>
        <w:t xml:space="preserve"> </w:t>
      </w:r>
      <w:r w:rsidR="00082862" w:rsidRPr="00326406">
        <w:rPr>
          <w:kern w:val="22"/>
          <w:szCs w:val="22"/>
          <w:lang w:val="fr-FR"/>
        </w:rPr>
        <w:t xml:space="preserve">Le Plan </w:t>
      </w:r>
      <w:r w:rsidR="00326406" w:rsidRPr="00326406">
        <w:rPr>
          <w:kern w:val="22"/>
          <w:szCs w:val="22"/>
          <w:lang w:val="fr-FR"/>
        </w:rPr>
        <w:t xml:space="preserve">définit les actions détaillées que les Parties peuvent </w:t>
      </w:r>
      <w:r w:rsidR="004C1E80">
        <w:rPr>
          <w:kern w:val="22"/>
          <w:szCs w:val="22"/>
          <w:lang w:val="fr-FR"/>
        </w:rPr>
        <w:t>entre</w:t>
      </w:r>
      <w:r w:rsidR="00326406" w:rsidRPr="00326406">
        <w:rPr>
          <w:kern w:val="22"/>
          <w:szCs w:val="22"/>
          <w:lang w:val="fr-FR"/>
        </w:rPr>
        <w:t xml:space="preserve">prendre pour intégrer des considérations </w:t>
      </w:r>
      <w:proofErr w:type="spellStart"/>
      <w:r w:rsidR="00326406" w:rsidRPr="00326406">
        <w:rPr>
          <w:kern w:val="22"/>
          <w:szCs w:val="22"/>
          <w:lang w:val="fr-FR"/>
        </w:rPr>
        <w:t>sexospécifiques</w:t>
      </w:r>
      <w:proofErr w:type="spellEnd"/>
      <w:r w:rsidR="00326406" w:rsidRPr="00326406">
        <w:rPr>
          <w:kern w:val="22"/>
          <w:szCs w:val="22"/>
          <w:lang w:val="fr-FR"/>
        </w:rPr>
        <w:t xml:space="preserve"> dans les travaux </w:t>
      </w:r>
      <w:r w:rsidR="004C1E80">
        <w:rPr>
          <w:kern w:val="22"/>
          <w:szCs w:val="22"/>
          <w:lang w:val="fr-FR"/>
        </w:rPr>
        <w:t>de</w:t>
      </w:r>
      <w:r w:rsidR="00326406" w:rsidRPr="00326406">
        <w:rPr>
          <w:kern w:val="22"/>
          <w:szCs w:val="22"/>
          <w:lang w:val="fr-FR"/>
        </w:rPr>
        <w:t xml:space="preserve"> mise en œuvre de la Convention, </w:t>
      </w:r>
      <w:r w:rsidR="004C1E80">
        <w:rPr>
          <w:kern w:val="22"/>
          <w:szCs w:val="22"/>
          <w:lang w:val="fr-FR"/>
        </w:rPr>
        <w:t>et fixe le cadre d</w:t>
      </w:r>
      <w:r w:rsidR="00326406" w:rsidRPr="00326406">
        <w:rPr>
          <w:kern w:val="22"/>
          <w:szCs w:val="22"/>
          <w:lang w:val="fr-FR"/>
        </w:rPr>
        <w:t>es mesures à prendre par le Secrétariat.</w:t>
      </w:r>
    </w:p>
    <w:p w:rsidR="00BB3AA3" w:rsidRPr="00C91779" w:rsidRDefault="00326406" w:rsidP="00873679">
      <w:pPr>
        <w:pStyle w:val="Para1"/>
        <w:suppressLineNumbers/>
        <w:tabs>
          <w:tab w:val="clear" w:pos="360"/>
        </w:tabs>
        <w:suppressAutoHyphens/>
        <w:kinsoku w:val="0"/>
        <w:overflowPunct w:val="0"/>
        <w:autoSpaceDE w:val="0"/>
        <w:autoSpaceDN w:val="0"/>
        <w:adjustRightInd w:val="0"/>
        <w:snapToGrid w:val="0"/>
        <w:spacing w:before="0" w:after="0"/>
        <w:rPr>
          <w:kern w:val="22"/>
          <w:szCs w:val="22"/>
        </w:rPr>
      </w:pPr>
      <w:r w:rsidRPr="00EC0A85">
        <w:rPr>
          <w:kern w:val="22"/>
          <w:szCs w:val="22"/>
          <w:lang w:val="fr-FR"/>
        </w:rPr>
        <w:t>Trois ans après son adoption, le Plan</w:t>
      </w:r>
      <w:r w:rsidR="004C1E80">
        <w:rPr>
          <w:kern w:val="22"/>
          <w:szCs w:val="22"/>
          <w:lang w:val="fr-FR"/>
        </w:rPr>
        <w:t xml:space="preserve"> est à mi-parcours. Cette échéance</w:t>
      </w:r>
      <w:r w:rsidR="00286B55">
        <w:rPr>
          <w:kern w:val="22"/>
          <w:szCs w:val="22"/>
          <w:lang w:val="fr-FR"/>
        </w:rPr>
        <w:t xml:space="preserve"> offre l’</w:t>
      </w:r>
      <w:r w:rsidR="00EC0A85" w:rsidRPr="00EC0A85">
        <w:rPr>
          <w:kern w:val="22"/>
          <w:szCs w:val="22"/>
          <w:lang w:val="fr-FR"/>
        </w:rPr>
        <w:t>occasion d’examiner les informations</w:t>
      </w:r>
      <w:r w:rsidR="004C1E80">
        <w:rPr>
          <w:kern w:val="22"/>
          <w:szCs w:val="22"/>
          <w:lang w:val="fr-FR"/>
        </w:rPr>
        <w:t xml:space="preserve"> qui existent</w:t>
      </w:r>
      <w:r w:rsidR="00EC0A85" w:rsidRPr="00EC0A85">
        <w:rPr>
          <w:kern w:val="22"/>
          <w:szCs w:val="22"/>
          <w:lang w:val="fr-FR"/>
        </w:rPr>
        <w:t xml:space="preserve"> sur les progrès accomplis par les </w:t>
      </w:r>
      <w:r w:rsidR="004C1E80">
        <w:rPr>
          <w:kern w:val="22"/>
          <w:szCs w:val="22"/>
          <w:lang w:val="fr-FR"/>
        </w:rPr>
        <w:t>Parties et le Secrétariat dans l</w:t>
      </w:r>
      <w:r w:rsidR="00EC0A85" w:rsidRPr="00EC0A85">
        <w:rPr>
          <w:kern w:val="22"/>
          <w:szCs w:val="22"/>
          <w:lang w:val="fr-FR"/>
        </w:rPr>
        <w:t xml:space="preserve">a mise en œuvre. </w:t>
      </w:r>
      <w:r w:rsidR="00EC0A85" w:rsidRPr="00B948C8">
        <w:rPr>
          <w:kern w:val="22"/>
          <w:szCs w:val="22"/>
          <w:lang w:val="fr-FR"/>
        </w:rPr>
        <w:t>Le présent document</w:t>
      </w:r>
      <w:r w:rsidR="00B948C8" w:rsidRPr="00B948C8">
        <w:rPr>
          <w:kern w:val="22"/>
          <w:szCs w:val="22"/>
          <w:lang w:val="fr-FR"/>
        </w:rPr>
        <w:t xml:space="preserve"> analyse les actions </w:t>
      </w:r>
      <w:r w:rsidR="004C1E80">
        <w:rPr>
          <w:kern w:val="22"/>
          <w:szCs w:val="22"/>
          <w:lang w:val="fr-FR"/>
        </w:rPr>
        <w:t>entreprises</w:t>
      </w:r>
      <w:r w:rsidR="00B948C8" w:rsidRPr="00B948C8">
        <w:rPr>
          <w:kern w:val="22"/>
          <w:szCs w:val="22"/>
          <w:lang w:val="fr-FR"/>
        </w:rPr>
        <w:t xml:space="preserve"> par les Parties et le Secrétariat, et </w:t>
      </w:r>
      <w:r w:rsidR="00B948C8">
        <w:rPr>
          <w:kern w:val="22"/>
          <w:szCs w:val="22"/>
          <w:lang w:val="fr-FR"/>
        </w:rPr>
        <w:t>énumère l</w:t>
      </w:r>
      <w:r w:rsidR="00B948C8" w:rsidRPr="00B948C8">
        <w:rPr>
          <w:kern w:val="22"/>
          <w:szCs w:val="22"/>
          <w:lang w:val="fr-FR"/>
        </w:rPr>
        <w:t>es propositions de recommandations</w:t>
      </w:r>
      <w:r w:rsidR="004C1E80">
        <w:rPr>
          <w:kern w:val="22"/>
          <w:szCs w:val="22"/>
          <w:lang w:val="fr-FR"/>
        </w:rPr>
        <w:t xml:space="preserve"> qui ont été faites</w:t>
      </w:r>
      <w:r w:rsidR="00B948C8" w:rsidRPr="00B948C8">
        <w:rPr>
          <w:kern w:val="22"/>
          <w:szCs w:val="22"/>
          <w:lang w:val="fr-FR"/>
        </w:rPr>
        <w:t xml:space="preserve">, notamment </w:t>
      </w:r>
      <w:r w:rsidR="004C1E80">
        <w:rPr>
          <w:kern w:val="22"/>
          <w:szCs w:val="22"/>
          <w:lang w:val="fr-FR"/>
        </w:rPr>
        <w:t>au sujet de l</w:t>
      </w:r>
      <w:r w:rsidR="00C7196C">
        <w:rPr>
          <w:kern w:val="22"/>
          <w:szCs w:val="22"/>
          <w:lang w:val="fr-FR"/>
        </w:rPr>
        <w:t>’élaboration du C</w:t>
      </w:r>
      <w:r w:rsidR="00B948C8" w:rsidRPr="00B948C8">
        <w:rPr>
          <w:kern w:val="22"/>
          <w:szCs w:val="22"/>
          <w:lang w:val="fr-FR"/>
        </w:rPr>
        <w:t>adre de la diversité biologique pour l’après-2020.</w:t>
      </w:r>
      <w:r w:rsidR="00BB3AA3" w:rsidRPr="00C91779">
        <w:rPr>
          <w:kern w:val="22"/>
          <w:szCs w:val="22"/>
        </w:rPr>
        <w:t xml:space="preserve"> </w:t>
      </w:r>
      <w:r w:rsidR="00B948C8" w:rsidRPr="00873679">
        <w:rPr>
          <w:kern w:val="22"/>
          <w:szCs w:val="22"/>
          <w:lang w:val="fr-FR"/>
        </w:rPr>
        <w:t xml:space="preserve">Les activités entreprises par les Parties et le Secrétariat sont </w:t>
      </w:r>
      <w:r w:rsidR="004C1E80">
        <w:rPr>
          <w:kern w:val="22"/>
          <w:szCs w:val="22"/>
          <w:lang w:val="fr-FR"/>
        </w:rPr>
        <w:t>détaillées</w:t>
      </w:r>
      <w:r w:rsidR="00B948C8" w:rsidRPr="00873679">
        <w:rPr>
          <w:kern w:val="22"/>
          <w:szCs w:val="22"/>
          <w:lang w:val="fr-FR"/>
        </w:rPr>
        <w:t xml:space="preserve"> dans un document d’information</w:t>
      </w:r>
      <w:r w:rsidR="00873679" w:rsidRPr="00873679">
        <w:rPr>
          <w:kern w:val="22"/>
          <w:szCs w:val="22"/>
          <w:lang w:val="fr-FR"/>
        </w:rPr>
        <w:t xml:space="preserve"> connexe (CBD/SBI/2/INF/11).</w:t>
      </w:r>
    </w:p>
    <w:p w:rsidR="002C6E53" w:rsidRPr="00C91779" w:rsidRDefault="00873679" w:rsidP="00F90FA0">
      <w:pPr>
        <w:pStyle w:val="Para1"/>
        <w:suppressLineNumbers/>
        <w:tabs>
          <w:tab w:val="clear" w:pos="360"/>
        </w:tabs>
        <w:suppressAutoHyphens/>
        <w:kinsoku w:val="0"/>
        <w:overflowPunct w:val="0"/>
        <w:autoSpaceDE w:val="0"/>
        <w:autoSpaceDN w:val="0"/>
        <w:adjustRightInd w:val="0"/>
        <w:snapToGrid w:val="0"/>
        <w:rPr>
          <w:kern w:val="22"/>
          <w:szCs w:val="22"/>
        </w:rPr>
      </w:pPr>
      <w:r w:rsidRPr="000D147A">
        <w:rPr>
          <w:kern w:val="22"/>
          <w:szCs w:val="22"/>
          <w:lang w:val="fr-FR"/>
        </w:rPr>
        <w:t>Le Plan d’action 2015-2020 pour l’égalité entre les sexes complète le premier Plan</w:t>
      </w:r>
      <w:r w:rsidR="00BC5377">
        <w:rPr>
          <w:kern w:val="22"/>
          <w:szCs w:val="22"/>
          <w:lang w:val="fr-FR"/>
        </w:rPr>
        <w:t xml:space="preserve"> qui avait été</w:t>
      </w:r>
      <w:r w:rsidR="000D147A" w:rsidRPr="000D147A">
        <w:rPr>
          <w:kern w:val="22"/>
          <w:szCs w:val="22"/>
          <w:lang w:val="fr-FR"/>
        </w:rPr>
        <w:t xml:space="preserve"> </w:t>
      </w:r>
      <w:r w:rsidRPr="000D147A">
        <w:rPr>
          <w:kern w:val="22"/>
          <w:szCs w:val="22"/>
          <w:lang w:val="fr-FR"/>
        </w:rPr>
        <w:t xml:space="preserve">accueilli avec satisfaction par la Conférence des Parties dans sa décision </w:t>
      </w:r>
      <w:hyperlink r:id="rId13" w:history="1">
        <w:r w:rsidRPr="000D147A">
          <w:rPr>
            <w:rStyle w:val="Lienhypertexte"/>
            <w:kern w:val="22"/>
            <w:szCs w:val="22"/>
            <w:lang w:val="fr-FR"/>
          </w:rPr>
          <w:t>IX/24</w:t>
        </w:r>
      </w:hyperlink>
      <w:r w:rsidRPr="000D147A">
        <w:rPr>
          <w:kern w:val="22"/>
          <w:szCs w:val="22"/>
          <w:lang w:val="fr-FR"/>
        </w:rPr>
        <w:t xml:space="preserve"> </w:t>
      </w:r>
      <w:r w:rsidR="000D147A" w:rsidRPr="000D147A">
        <w:rPr>
          <w:kern w:val="22"/>
          <w:szCs w:val="22"/>
          <w:lang w:val="fr-FR"/>
        </w:rPr>
        <w:t>en mai 2008</w:t>
      </w:r>
      <w:r w:rsidR="00BC5377">
        <w:rPr>
          <w:kern w:val="22"/>
          <w:szCs w:val="22"/>
          <w:lang w:val="fr-FR"/>
        </w:rPr>
        <w:t>,</w:t>
      </w:r>
      <w:r w:rsidR="000D147A" w:rsidRPr="000D147A">
        <w:rPr>
          <w:kern w:val="22"/>
          <w:szCs w:val="22"/>
          <w:lang w:val="fr-FR"/>
        </w:rPr>
        <w:t xml:space="preserve"> </w:t>
      </w:r>
      <w:r w:rsidRPr="000D147A">
        <w:rPr>
          <w:kern w:val="22"/>
          <w:szCs w:val="22"/>
          <w:lang w:val="fr-FR"/>
        </w:rPr>
        <w:t>au titre de la Convention.</w:t>
      </w:r>
      <w:r w:rsidR="000D147A" w:rsidRPr="000D147A">
        <w:rPr>
          <w:kern w:val="22"/>
          <w:szCs w:val="22"/>
          <w:lang w:val="fr-FR"/>
        </w:rPr>
        <w:t xml:space="preserve"> Le Plan </w:t>
      </w:r>
      <w:r w:rsidR="00AB2F11" w:rsidRPr="000D147A">
        <w:rPr>
          <w:kern w:val="22"/>
          <w:szCs w:val="22"/>
          <w:lang w:val="fr-FR"/>
        </w:rPr>
        <w:t xml:space="preserve">d’action 2015-2020 </w:t>
      </w:r>
      <w:r w:rsidR="00AB2F11">
        <w:rPr>
          <w:kern w:val="22"/>
          <w:szCs w:val="22"/>
          <w:lang w:val="fr-FR"/>
        </w:rPr>
        <w:t>a été mis à jour</w:t>
      </w:r>
      <w:r w:rsidR="000D147A" w:rsidRPr="000D147A">
        <w:rPr>
          <w:kern w:val="22"/>
          <w:szCs w:val="22"/>
          <w:lang w:val="fr-FR"/>
        </w:rPr>
        <w:t xml:space="preserve"> afin </w:t>
      </w:r>
      <w:r w:rsidR="00AB2F11">
        <w:rPr>
          <w:kern w:val="22"/>
          <w:szCs w:val="22"/>
          <w:lang w:val="fr-FR"/>
        </w:rPr>
        <w:t>d’être</w:t>
      </w:r>
      <w:r w:rsidR="000D147A" w:rsidRPr="000D147A">
        <w:rPr>
          <w:kern w:val="22"/>
          <w:szCs w:val="22"/>
          <w:lang w:val="fr-FR"/>
        </w:rPr>
        <w:t xml:space="preserve"> cohérent avec le Plan stratégique 2011-2020 pour la diversité biologique et </w:t>
      </w:r>
      <w:r w:rsidR="000D147A" w:rsidRPr="000D147A">
        <w:rPr>
          <w:szCs w:val="22"/>
          <w:lang w:val="fr-FR"/>
        </w:rPr>
        <w:t>ses Objecti</w:t>
      </w:r>
      <w:r w:rsidR="00AB2F11">
        <w:rPr>
          <w:szCs w:val="22"/>
          <w:lang w:val="fr-FR"/>
        </w:rPr>
        <w:t>fs d’Aichi pour la biodiversité. Il énumère également l</w:t>
      </w:r>
      <w:r w:rsidR="000D147A" w:rsidRPr="000D147A">
        <w:rPr>
          <w:szCs w:val="22"/>
          <w:lang w:val="fr-FR"/>
        </w:rPr>
        <w:t>es mesures que pourraient prendre les Parties.</w:t>
      </w:r>
      <w:r w:rsidR="00217741">
        <w:rPr>
          <w:szCs w:val="22"/>
          <w:lang w:val="fr-FR"/>
        </w:rPr>
        <w:t xml:space="preserve"> </w:t>
      </w:r>
      <w:r w:rsidR="00F90FA0" w:rsidRPr="00F90FA0">
        <w:rPr>
          <w:kern w:val="22"/>
          <w:szCs w:val="22"/>
          <w:lang w:val="fr-FR"/>
        </w:rPr>
        <w:t xml:space="preserve">Ses quatre objectifs stratégiques </w:t>
      </w:r>
      <w:r w:rsidR="00AB2F11">
        <w:rPr>
          <w:kern w:val="22"/>
          <w:szCs w:val="22"/>
          <w:lang w:val="fr-FR"/>
        </w:rPr>
        <w:t xml:space="preserve">sont restés </w:t>
      </w:r>
      <w:r w:rsidR="00F90FA0" w:rsidRPr="00F90FA0">
        <w:rPr>
          <w:kern w:val="22"/>
          <w:szCs w:val="22"/>
          <w:lang w:val="fr-FR"/>
        </w:rPr>
        <w:t>inchangés :</w:t>
      </w:r>
      <w:r w:rsidR="005D46C1" w:rsidRPr="00C91779">
        <w:rPr>
          <w:kern w:val="22"/>
          <w:szCs w:val="22"/>
        </w:rPr>
        <w:t xml:space="preserve"> </w:t>
      </w:r>
      <w:r w:rsidR="00F90FA0" w:rsidRPr="00F90FA0">
        <w:rPr>
          <w:kern w:val="22"/>
          <w:szCs w:val="22"/>
          <w:lang w:val="fr-FR"/>
        </w:rPr>
        <w:t>a) </w:t>
      </w:r>
      <w:r w:rsidR="00F90FA0" w:rsidRPr="00F90FA0">
        <w:rPr>
          <w:szCs w:val="22"/>
          <w:lang w:val="fr-FR" w:eastAsia="x-none"/>
        </w:rPr>
        <w:t xml:space="preserve">intégrer une perspective </w:t>
      </w:r>
      <w:proofErr w:type="spellStart"/>
      <w:r w:rsidR="00F90FA0" w:rsidRPr="00F90FA0">
        <w:rPr>
          <w:szCs w:val="22"/>
          <w:lang w:val="fr-FR" w:eastAsia="x-none"/>
        </w:rPr>
        <w:t>sexospécifique</w:t>
      </w:r>
      <w:proofErr w:type="spellEnd"/>
      <w:r w:rsidR="00F90FA0" w:rsidRPr="00F90FA0">
        <w:rPr>
          <w:szCs w:val="22"/>
          <w:lang w:val="fr-FR" w:eastAsia="x-none"/>
        </w:rPr>
        <w:t xml:space="preserve"> dans l’application de la Convention et les travaux associés des Parties et du Secrétariat</w:t>
      </w:r>
      <w:r w:rsidR="00AB2F11">
        <w:rPr>
          <w:szCs w:val="22"/>
          <w:lang w:val="fr-FR" w:eastAsia="x-none"/>
        </w:rPr>
        <w:t> ;</w:t>
      </w:r>
      <w:r w:rsidR="002A7336">
        <w:rPr>
          <w:szCs w:val="22"/>
          <w:lang w:val="fr-FR" w:eastAsia="x-none"/>
        </w:rPr>
        <w:t xml:space="preserve"> b) promouvoir l’égalité d</w:t>
      </w:r>
      <w:r w:rsidR="00F90FA0" w:rsidRPr="00F90FA0">
        <w:rPr>
          <w:szCs w:val="22"/>
          <w:lang w:val="fr-FR" w:eastAsia="x-none"/>
        </w:rPr>
        <w:t>es sexes dans la réalisation des objectifs de la Convention, du Plan stratégique 2011-2020 pour la diversité biologique et des Objectifs d’Aichi pour la biodiversité</w:t>
      </w:r>
      <w:r w:rsidR="00AB2F11">
        <w:rPr>
          <w:szCs w:val="22"/>
          <w:lang w:val="fr-FR" w:eastAsia="x-none"/>
        </w:rPr>
        <w:t> ; c) </w:t>
      </w:r>
      <w:r w:rsidR="00F90FA0" w:rsidRPr="00F90FA0">
        <w:rPr>
          <w:szCs w:val="22"/>
          <w:lang w:val="fr-FR" w:eastAsia="x-none"/>
        </w:rPr>
        <w:t>démontrer les avantages de l’</w:t>
      </w:r>
      <w:r w:rsidR="002A7336">
        <w:rPr>
          <w:szCs w:val="22"/>
          <w:lang w:val="fr-FR" w:eastAsia="x-none"/>
        </w:rPr>
        <w:t>intégration de l’égalité d</w:t>
      </w:r>
      <w:r w:rsidR="00F90FA0" w:rsidRPr="00F90FA0">
        <w:rPr>
          <w:szCs w:val="22"/>
          <w:lang w:val="fr-FR" w:eastAsia="x-none"/>
        </w:rPr>
        <w:t>es sexes dans la réalisation des objectifs de la Convention</w:t>
      </w:r>
      <w:r w:rsidR="00F90FA0" w:rsidRPr="00F90FA0">
        <w:rPr>
          <w:kern w:val="22"/>
          <w:szCs w:val="22"/>
          <w:lang w:val="fr-FR"/>
        </w:rPr>
        <w:t>; et d) a</w:t>
      </w:r>
      <w:r w:rsidR="00F90FA0" w:rsidRPr="00F90FA0">
        <w:rPr>
          <w:szCs w:val="22"/>
          <w:lang w:val="fr-FR" w:eastAsia="x-none"/>
        </w:rPr>
        <w:t xml:space="preserve">ccroître l’efficacité des travaux effectués </w:t>
      </w:r>
      <w:r w:rsidR="00AB2F11">
        <w:rPr>
          <w:szCs w:val="22"/>
          <w:lang w:val="fr-FR" w:eastAsia="x-none"/>
        </w:rPr>
        <w:t>au titre</w:t>
      </w:r>
      <w:r w:rsidR="00F90FA0" w:rsidRPr="00F90FA0">
        <w:rPr>
          <w:szCs w:val="22"/>
          <w:lang w:val="fr-FR" w:eastAsia="x-none"/>
        </w:rPr>
        <w:t xml:space="preserve"> de la Convention</w:t>
      </w:r>
      <w:r w:rsidR="00F90FA0" w:rsidRPr="00F90FA0">
        <w:rPr>
          <w:kern w:val="22"/>
          <w:szCs w:val="22"/>
          <w:lang w:val="fr-FR"/>
        </w:rPr>
        <w:t>.</w:t>
      </w:r>
    </w:p>
    <w:p w:rsidR="00B37586" w:rsidRPr="00C91779" w:rsidRDefault="00F90FA0" w:rsidP="00404203">
      <w:pPr>
        <w:pStyle w:val="Para1"/>
        <w:suppressLineNumbers/>
        <w:tabs>
          <w:tab w:val="clear" w:pos="360"/>
        </w:tabs>
        <w:suppressAutoHyphens/>
        <w:kinsoku w:val="0"/>
        <w:overflowPunct w:val="0"/>
        <w:autoSpaceDE w:val="0"/>
        <w:autoSpaceDN w:val="0"/>
        <w:adjustRightInd w:val="0"/>
        <w:snapToGrid w:val="0"/>
        <w:rPr>
          <w:kern w:val="22"/>
          <w:szCs w:val="22"/>
        </w:rPr>
      </w:pPr>
      <w:r w:rsidRPr="00D627B2">
        <w:rPr>
          <w:kern w:val="22"/>
          <w:szCs w:val="22"/>
          <w:lang w:val="fr-FR"/>
        </w:rPr>
        <w:t>Le présent examen</w:t>
      </w:r>
      <w:r w:rsidR="00D627B2" w:rsidRPr="00D627B2">
        <w:rPr>
          <w:kern w:val="22"/>
          <w:szCs w:val="22"/>
          <w:lang w:val="fr-FR"/>
        </w:rPr>
        <w:t xml:space="preserve"> </w:t>
      </w:r>
      <w:r w:rsidR="00A55DE5">
        <w:rPr>
          <w:kern w:val="22"/>
          <w:szCs w:val="22"/>
          <w:lang w:val="fr-FR"/>
        </w:rPr>
        <w:t>de l’état d’avancement</w:t>
      </w:r>
      <w:r w:rsidRPr="00D627B2">
        <w:rPr>
          <w:kern w:val="22"/>
          <w:szCs w:val="22"/>
          <w:lang w:val="fr-FR"/>
        </w:rPr>
        <w:t xml:space="preserve"> du Plan d’action 2015-2020 pour l’égalité entre les sexes </w:t>
      </w:r>
      <w:r w:rsidR="00A55DE5">
        <w:rPr>
          <w:kern w:val="22"/>
          <w:szCs w:val="22"/>
          <w:lang w:val="fr-FR"/>
        </w:rPr>
        <w:t>cible</w:t>
      </w:r>
      <w:r w:rsidRPr="00D627B2">
        <w:rPr>
          <w:kern w:val="22"/>
          <w:szCs w:val="22"/>
          <w:lang w:val="fr-FR"/>
        </w:rPr>
        <w:t xml:space="preserve"> les actions entreprises par les Parties, les parties prenantes et le Secrétariat</w:t>
      </w:r>
      <w:r w:rsidR="00A55DE5">
        <w:rPr>
          <w:kern w:val="22"/>
          <w:szCs w:val="22"/>
          <w:lang w:val="fr-FR"/>
        </w:rPr>
        <w:t xml:space="preserve"> sur la base de</w:t>
      </w:r>
      <w:r w:rsidR="00BC5377">
        <w:rPr>
          <w:kern w:val="22"/>
          <w:szCs w:val="22"/>
          <w:lang w:val="fr-FR"/>
        </w:rPr>
        <w:t xml:space="preserve"> ce</w:t>
      </w:r>
      <w:r w:rsidR="00A55DE5">
        <w:rPr>
          <w:kern w:val="22"/>
          <w:szCs w:val="22"/>
          <w:lang w:val="fr-FR"/>
        </w:rPr>
        <w:t>s quatre objectifs</w:t>
      </w:r>
      <w:r w:rsidR="00454AA7" w:rsidRPr="00D627B2">
        <w:rPr>
          <w:kern w:val="22"/>
          <w:szCs w:val="22"/>
          <w:lang w:val="fr-FR"/>
        </w:rPr>
        <w:t>.</w:t>
      </w:r>
      <w:r w:rsidR="00606302" w:rsidRPr="00C91779">
        <w:rPr>
          <w:kern w:val="22"/>
          <w:szCs w:val="22"/>
        </w:rPr>
        <w:t xml:space="preserve"> </w:t>
      </w:r>
      <w:r w:rsidR="00D627B2" w:rsidRPr="00D627B2">
        <w:rPr>
          <w:kern w:val="22"/>
          <w:szCs w:val="22"/>
          <w:lang w:val="fr-FR"/>
        </w:rPr>
        <w:t xml:space="preserve">Étant donné que les sixièmes rapports nationaux sur la mise en œuvre de la Convention sont attendus par le Secrétariat au plus tard le 31 décembre 2018, </w:t>
      </w:r>
      <w:r w:rsidR="00A55DE5">
        <w:rPr>
          <w:kern w:val="22"/>
          <w:szCs w:val="22"/>
          <w:lang w:val="fr-FR"/>
        </w:rPr>
        <w:t xml:space="preserve">le présent examen exclut </w:t>
      </w:r>
      <w:r w:rsidR="00BC5377">
        <w:rPr>
          <w:kern w:val="22"/>
          <w:szCs w:val="22"/>
          <w:lang w:val="fr-FR"/>
        </w:rPr>
        <w:t>lesdites</w:t>
      </w:r>
      <w:r w:rsidR="00A55DE5">
        <w:rPr>
          <w:kern w:val="22"/>
          <w:szCs w:val="22"/>
          <w:lang w:val="fr-FR"/>
        </w:rPr>
        <w:t xml:space="preserve"> actions</w:t>
      </w:r>
      <w:r w:rsidR="00D627B2" w:rsidRPr="00D627B2">
        <w:rPr>
          <w:kern w:val="22"/>
          <w:szCs w:val="22"/>
          <w:lang w:val="fr-FR"/>
        </w:rPr>
        <w:t>.</w:t>
      </w:r>
      <w:r w:rsidR="002C6E53" w:rsidRPr="00C91779">
        <w:rPr>
          <w:kern w:val="22"/>
          <w:szCs w:val="22"/>
        </w:rPr>
        <w:t xml:space="preserve"> </w:t>
      </w:r>
      <w:r w:rsidR="00A55DE5">
        <w:rPr>
          <w:kern w:val="22"/>
          <w:szCs w:val="22"/>
          <w:lang w:val="fr-FR"/>
        </w:rPr>
        <w:t>Il</w:t>
      </w:r>
      <w:r w:rsidR="00D627B2" w:rsidRPr="00404203">
        <w:rPr>
          <w:kern w:val="22"/>
          <w:szCs w:val="22"/>
          <w:lang w:val="fr-FR"/>
        </w:rPr>
        <w:t xml:space="preserve"> reprend </w:t>
      </w:r>
      <w:r w:rsidR="00A55DE5">
        <w:rPr>
          <w:kern w:val="22"/>
          <w:szCs w:val="22"/>
          <w:lang w:val="fr-FR"/>
        </w:rPr>
        <w:t>en revanche certains éléments d’</w:t>
      </w:r>
      <w:r w:rsidR="00D627B2" w:rsidRPr="00404203">
        <w:rPr>
          <w:kern w:val="22"/>
          <w:szCs w:val="22"/>
          <w:lang w:val="fr-FR"/>
        </w:rPr>
        <w:t>examens conduits par le Secrétariat</w:t>
      </w:r>
      <w:r w:rsidR="00404203" w:rsidRPr="00404203">
        <w:rPr>
          <w:kern w:val="22"/>
          <w:szCs w:val="22"/>
          <w:lang w:val="fr-FR"/>
        </w:rPr>
        <w:t xml:space="preserve"> </w:t>
      </w:r>
      <w:r w:rsidR="00A55DE5">
        <w:rPr>
          <w:kern w:val="22"/>
          <w:szCs w:val="22"/>
          <w:lang w:val="fr-FR"/>
        </w:rPr>
        <w:t>sur l</w:t>
      </w:r>
      <w:r w:rsidR="00404203" w:rsidRPr="00404203">
        <w:rPr>
          <w:kern w:val="22"/>
          <w:szCs w:val="22"/>
          <w:lang w:val="fr-FR"/>
        </w:rPr>
        <w:t xml:space="preserve">es actions entreprises par les Parties et les parties prenantes </w:t>
      </w:r>
      <w:r w:rsidR="00A55DE5">
        <w:rPr>
          <w:kern w:val="22"/>
          <w:szCs w:val="22"/>
          <w:lang w:val="fr-FR"/>
        </w:rPr>
        <w:t>dans le cadre de la mise en œuvre du</w:t>
      </w:r>
      <w:r w:rsidR="00404203" w:rsidRPr="00404203">
        <w:rPr>
          <w:kern w:val="22"/>
          <w:szCs w:val="22"/>
          <w:lang w:val="fr-FR"/>
        </w:rPr>
        <w:t xml:space="preserve"> Plan d’action.</w:t>
      </w:r>
    </w:p>
    <w:p w:rsidR="00B37586" w:rsidRPr="00404203" w:rsidRDefault="00404203" w:rsidP="00404203">
      <w:pPr>
        <w:pStyle w:val="Titre1"/>
        <w:numPr>
          <w:ilvl w:val="0"/>
          <w:numId w:val="66"/>
        </w:numPr>
        <w:suppressLineNumbers/>
        <w:tabs>
          <w:tab w:val="left" w:pos="360"/>
        </w:tabs>
        <w:suppressAutoHyphens/>
        <w:kinsoku w:val="0"/>
        <w:overflowPunct w:val="0"/>
        <w:autoSpaceDE w:val="0"/>
        <w:autoSpaceDN w:val="0"/>
        <w:adjustRightInd w:val="0"/>
        <w:snapToGrid w:val="0"/>
        <w:spacing w:before="0" w:after="0"/>
        <w:ind w:left="0" w:firstLine="0"/>
        <w:rPr>
          <w:b w:val="0"/>
          <w:snapToGrid w:val="0"/>
          <w:kern w:val="22"/>
          <w:szCs w:val="22"/>
        </w:rPr>
      </w:pPr>
      <w:r w:rsidRPr="00282B64">
        <w:rPr>
          <w:caps w:val="0"/>
          <w:snapToGrid w:val="0"/>
          <w:kern w:val="22"/>
          <w:szCs w:val="22"/>
          <w:lang w:val="fr-FR"/>
        </w:rPr>
        <w:lastRenderedPageBreak/>
        <w:t>ACTIONS QUE</w:t>
      </w:r>
      <w:r w:rsidR="00282B64" w:rsidRPr="00282B64">
        <w:rPr>
          <w:caps w:val="0"/>
          <w:snapToGrid w:val="0"/>
          <w:kern w:val="22"/>
          <w:szCs w:val="22"/>
          <w:lang w:val="fr-FR"/>
        </w:rPr>
        <w:t xml:space="preserve"> POURRAIENT PRENDRE</w:t>
      </w:r>
      <w:r w:rsidRPr="00282B64">
        <w:rPr>
          <w:caps w:val="0"/>
          <w:snapToGrid w:val="0"/>
          <w:kern w:val="22"/>
          <w:szCs w:val="22"/>
          <w:lang w:val="fr-FR"/>
        </w:rPr>
        <w:t xml:space="preserve"> LES PARTIES ET LES PARTIES PRENANTES</w:t>
      </w:r>
    </w:p>
    <w:p w:rsidR="00B37586" w:rsidRPr="00C91779" w:rsidRDefault="00282B64" w:rsidP="006647C7">
      <w:pPr>
        <w:pStyle w:val="Para1"/>
        <w:suppressLineNumbers/>
        <w:tabs>
          <w:tab w:val="clear" w:pos="360"/>
        </w:tabs>
        <w:suppressAutoHyphens/>
        <w:kinsoku w:val="0"/>
        <w:overflowPunct w:val="0"/>
        <w:autoSpaceDE w:val="0"/>
        <w:autoSpaceDN w:val="0"/>
        <w:adjustRightInd w:val="0"/>
        <w:snapToGrid w:val="0"/>
        <w:rPr>
          <w:kern w:val="22"/>
          <w:szCs w:val="22"/>
        </w:rPr>
      </w:pPr>
      <w:r w:rsidRPr="00282B64">
        <w:rPr>
          <w:kern w:val="22"/>
          <w:szCs w:val="22"/>
          <w:lang w:val="fr-FR"/>
        </w:rPr>
        <w:t>Comme indiqué précédemment, le Plan d’action pour l’égalité entre les sexes recense plusieurs actions que pourraient prendre les Part</w:t>
      </w:r>
      <w:r w:rsidR="00981701">
        <w:rPr>
          <w:kern w:val="22"/>
          <w:szCs w:val="22"/>
          <w:lang w:val="fr-FR"/>
        </w:rPr>
        <w:t>ies, notamment l’intégration de</w:t>
      </w:r>
      <w:r w:rsidRPr="00282B64">
        <w:rPr>
          <w:kern w:val="22"/>
          <w:szCs w:val="22"/>
          <w:lang w:val="fr-FR"/>
        </w:rPr>
        <w:t xml:space="preserve"> considérations </w:t>
      </w:r>
      <w:proofErr w:type="spellStart"/>
      <w:r w:rsidR="00981701">
        <w:rPr>
          <w:kern w:val="22"/>
          <w:szCs w:val="22"/>
          <w:lang w:val="fr-FR"/>
        </w:rPr>
        <w:t>sexospécifiques</w:t>
      </w:r>
      <w:proofErr w:type="spellEnd"/>
      <w:r w:rsidRPr="00282B64">
        <w:rPr>
          <w:kern w:val="22"/>
          <w:szCs w:val="22"/>
          <w:lang w:val="fr-FR"/>
        </w:rPr>
        <w:t xml:space="preserve"> dans les stratégies et plans d’action nationaux pour la diversité biologique</w:t>
      </w:r>
      <w:r w:rsidR="00981701">
        <w:rPr>
          <w:kern w:val="22"/>
          <w:szCs w:val="22"/>
          <w:lang w:val="fr-FR"/>
        </w:rPr>
        <w:t>, et la mise en conformité avec les Conventions concernées</w:t>
      </w:r>
      <w:r w:rsidRPr="00282B64">
        <w:rPr>
          <w:kern w:val="22"/>
          <w:szCs w:val="22"/>
          <w:lang w:val="fr-FR"/>
        </w:rPr>
        <w:t>.</w:t>
      </w:r>
      <w:r w:rsidR="00FF2FAF" w:rsidRPr="00C91779">
        <w:rPr>
          <w:kern w:val="22"/>
          <w:szCs w:val="22"/>
        </w:rPr>
        <w:t xml:space="preserve"> </w:t>
      </w:r>
      <w:r w:rsidRPr="002E4181">
        <w:rPr>
          <w:kern w:val="22"/>
          <w:szCs w:val="22"/>
          <w:lang w:val="fr-FR"/>
        </w:rPr>
        <w:t xml:space="preserve">Le Secrétariat a </w:t>
      </w:r>
      <w:r w:rsidR="00981701">
        <w:rPr>
          <w:kern w:val="22"/>
          <w:szCs w:val="22"/>
          <w:lang w:val="fr-FR"/>
        </w:rPr>
        <w:t>fait</w:t>
      </w:r>
      <w:r w:rsidR="002E4181" w:rsidRPr="002E4181">
        <w:rPr>
          <w:kern w:val="22"/>
          <w:szCs w:val="22"/>
          <w:lang w:val="fr-FR"/>
        </w:rPr>
        <w:t xml:space="preserve"> l’inventaire des progrès accomplis dans la mise en œuvre des actions </w:t>
      </w:r>
      <w:r w:rsidR="00981701">
        <w:rPr>
          <w:kern w:val="22"/>
          <w:szCs w:val="22"/>
          <w:lang w:val="fr-FR"/>
        </w:rPr>
        <w:t>de</w:t>
      </w:r>
      <w:r w:rsidR="002E4181" w:rsidRPr="002E4181">
        <w:rPr>
          <w:kern w:val="22"/>
          <w:szCs w:val="22"/>
          <w:lang w:val="fr-FR"/>
        </w:rPr>
        <w:t xml:space="preserve">s Parties, et les </w:t>
      </w:r>
      <w:r w:rsidR="00981701">
        <w:rPr>
          <w:kern w:val="22"/>
          <w:szCs w:val="22"/>
          <w:lang w:val="fr-FR"/>
        </w:rPr>
        <w:t>a examinés</w:t>
      </w:r>
      <w:r w:rsidR="002E4181" w:rsidRPr="002E4181">
        <w:rPr>
          <w:kern w:val="22"/>
          <w:szCs w:val="22"/>
          <w:lang w:val="fr-FR"/>
        </w:rPr>
        <w:t>.</w:t>
      </w:r>
      <w:r w:rsidR="00BF790B" w:rsidRPr="00C91779">
        <w:rPr>
          <w:kern w:val="22"/>
          <w:szCs w:val="22"/>
        </w:rPr>
        <w:t xml:space="preserve"> </w:t>
      </w:r>
      <w:r w:rsidR="00981701">
        <w:rPr>
          <w:kern w:val="22"/>
          <w:szCs w:val="22"/>
          <w:lang w:val="fr-FR"/>
        </w:rPr>
        <w:t xml:space="preserve">Il a ainsi </w:t>
      </w:r>
      <w:r w:rsidR="00802AB7">
        <w:rPr>
          <w:kern w:val="22"/>
          <w:szCs w:val="22"/>
          <w:lang w:val="fr-FR"/>
        </w:rPr>
        <w:t>évalué</w:t>
      </w:r>
      <w:r w:rsidR="00981701">
        <w:rPr>
          <w:kern w:val="22"/>
          <w:szCs w:val="22"/>
          <w:lang w:val="fr-FR"/>
        </w:rPr>
        <w:t xml:space="preserve"> l</w:t>
      </w:r>
      <w:r w:rsidR="002E4181" w:rsidRPr="006647C7">
        <w:rPr>
          <w:kern w:val="22"/>
          <w:szCs w:val="22"/>
          <w:lang w:val="fr-FR"/>
        </w:rPr>
        <w:t xml:space="preserve">es présentations </w:t>
      </w:r>
      <w:r w:rsidR="006647C7">
        <w:rPr>
          <w:kern w:val="22"/>
          <w:szCs w:val="22"/>
          <w:lang w:val="fr-FR"/>
        </w:rPr>
        <w:t xml:space="preserve">reçues au sujet </w:t>
      </w:r>
      <w:r w:rsidR="00981701">
        <w:rPr>
          <w:kern w:val="22"/>
          <w:szCs w:val="22"/>
          <w:lang w:val="fr-FR"/>
        </w:rPr>
        <w:t>de l’état d’avancement du</w:t>
      </w:r>
      <w:r w:rsidR="002E4181" w:rsidRPr="006647C7">
        <w:rPr>
          <w:kern w:val="22"/>
          <w:szCs w:val="22"/>
          <w:lang w:val="fr-FR"/>
        </w:rPr>
        <w:t xml:space="preserve"> Plan d’action</w:t>
      </w:r>
      <w:r w:rsidR="00327D08">
        <w:rPr>
          <w:kern w:val="22"/>
          <w:szCs w:val="22"/>
          <w:lang w:val="fr-FR"/>
        </w:rPr>
        <w:t xml:space="preserve"> pour l’égalité entre les sexes</w:t>
      </w:r>
      <w:r w:rsidR="00802AB7">
        <w:rPr>
          <w:kern w:val="22"/>
          <w:szCs w:val="22"/>
          <w:lang w:val="fr-FR"/>
        </w:rPr>
        <w:t xml:space="preserve">, ainsi que </w:t>
      </w:r>
      <w:r w:rsidR="00327D08">
        <w:rPr>
          <w:kern w:val="22"/>
          <w:szCs w:val="22"/>
          <w:lang w:val="fr-FR"/>
        </w:rPr>
        <w:t>les stratégies et l</w:t>
      </w:r>
      <w:r w:rsidR="002E4181" w:rsidRPr="006647C7">
        <w:rPr>
          <w:kern w:val="22"/>
          <w:szCs w:val="22"/>
          <w:lang w:val="fr-FR"/>
        </w:rPr>
        <w:t xml:space="preserve">es plans d’action nationaux pour la diversité biologique </w:t>
      </w:r>
      <w:r w:rsidR="00327D08">
        <w:rPr>
          <w:kern w:val="22"/>
          <w:szCs w:val="22"/>
          <w:lang w:val="fr-FR"/>
        </w:rPr>
        <w:t>reçus</w:t>
      </w:r>
      <w:r w:rsidR="002E4181" w:rsidRPr="006647C7">
        <w:rPr>
          <w:kern w:val="22"/>
          <w:szCs w:val="22"/>
          <w:lang w:val="fr-FR"/>
        </w:rPr>
        <w:t xml:space="preserve"> depuis la dixième réunion de la Conférence des Parties ; et </w:t>
      </w:r>
      <w:r w:rsidR="00327D08">
        <w:rPr>
          <w:kern w:val="22"/>
          <w:szCs w:val="22"/>
          <w:lang w:val="fr-FR"/>
        </w:rPr>
        <w:t>analysé l</w:t>
      </w:r>
      <w:r w:rsidR="002E4181" w:rsidRPr="006647C7">
        <w:rPr>
          <w:kern w:val="22"/>
          <w:szCs w:val="22"/>
          <w:lang w:val="fr-FR"/>
        </w:rPr>
        <w:t xml:space="preserve">es résultats produits par l’enquête </w:t>
      </w:r>
      <w:r w:rsidR="001C2E59">
        <w:rPr>
          <w:kern w:val="22"/>
          <w:szCs w:val="22"/>
          <w:lang w:val="fr-FR"/>
        </w:rPr>
        <w:t>sur les besoins conjoints de renforcement des</w:t>
      </w:r>
      <w:r w:rsidR="006647C7" w:rsidRPr="006647C7">
        <w:rPr>
          <w:kern w:val="22"/>
          <w:szCs w:val="22"/>
          <w:lang w:val="fr-FR"/>
        </w:rPr>
        <w:t xml:space="preserve"> capacités </w:t>
      </w:r>
      <w:r w:rsidR="001C2E59">
        <w:rPr>
          <w:kern w:val="22"/>
          <w:szCs w:val="22"/>
          <w:lang w:val="fr-FR"/>
        </w:rPr>
        <w:t>à intégrer</w:t>
      </w:r>
      <w:r w:rsidR="006647C7" w:rsidRPr="006647C7">
        <w:rPr>
          <w:kern w:val="22"/>
          <w:szCs w:val="22"/>
          <w:lang w:val="fr-FR"/>
        </w:rPr>
        <w:t xml:space="preserve"> des considérations </w:t>
      </w:r>
      <w:proofErr w:type="spellStart"/>
      <w:r w:rsidR="000553DA">
        <w:rPr>
          <w:kern w:val="22"/>
          <w:szCs w:val="22"/>
          <w:lang w:val="fr-FR"/>
        </w:rPr>
        <w:t>sexospécifiques</w:t>
      </w:r>
      <w:proofErr w:type="spellEnd"/>
      <w:r w:rsidR="006F02B4">
        <w:rPr>
          <w:kern w:val="22"/>
          <w:szCs w:val="22"/>
          <w:lang w:val="fr-FR"/>
        </w:rPr>
        <w:t xml:space="preserve"> </w:t>
      </w:r>
      <w:r w:rsidR="001C2E59">
        <w:rPr>
          <w:kern w:val="22"/>
          <w:szCs w:val="22"/>
          <w:lang w:val="fr-FR"/>
        </w:rPr>
        <w:t>dans la mise en œuvre</w:t>
      </w:r>
      <w:r w:rsidR="006F02B4">
        <w:rPr>
          <w:kern w:val="22"/>
          <w:szCs w:val="22"/>
          <w:lang w:val="fr-FR"/>
        </w:rPr>
        <w:t xml:space="preserve"> des C</w:t>
      </w:r>
      <w:r w:rsidR="006647C7" w:rsidRPr="006647C7">
        <w:rPr>
          <w:kern w:val="22"/>
          <w:szCs w:val="22"/>
          <w:lang w:val="fr-FR"/>
        </w:rPr>
        <w:t>onventions de Rio.</w:t>
      </w:r>
    </w:p>
    <w:p w:rsidR="00B37586" w:rsidRPr="00C91779" w:rsidRDefault="006647C7" w:rsidP="006647C7">
      <w:pPr>
        <w:pStyle w:val="Titre2"/>
        <w:suppressLineNumbers/>
        <w:tabs>
          <w:tab w:val="left" w:pos="360"/>
        </w:tabs>
        <w:suppressAutoHyphens/>
        <w:kinsoku w:val="0"/>
        <w:overflowPunct w:val="0"/>
        <w:autoSpaceDE w:val="0"/>
        <w:autoSpaceDN w:val="0"/>
        <w:adjustRightInd w:val="0"/>
        <w:snapToGrid w:val="0"/>
        <w:rPr>
          <w:b w:val="0"/>
          <w:snapToGrid w:val="0"/>
          <w:kern w:val="22"/>
          <w:szCs w:val="22"/>
        </w:rPr>
      </w:pPr>
      <w:r w:rsidRPr="006647C7">
        <w:rPr>
          <w:snapToGrid w:val="0"/>
          <w:kern w:val="22"/>
          <w:szCs w:val="22"/>
          <w:lang w:val="fr-FR"/>
        </w:rPr>
        <w:t>A.</w:t>
      </w:r>
      <w:r w:rsidR="00B35669" w:rsidRPr="00C91779">
        <w:rPr>
          <w:snapToGrid w:val="0"/>
          <w:kern w:val="22"/>
          <w:szCs w:val="22"/>
        </w:rPr>
        <w:tab/>
      </w:r>
      <w:r w:rsidRPr="006647C7">
        <w:rPr>
          <w:snapToGrid w:val="0"/>
          <w:kern w:val="22"/>
          <w:szCs w:val="22"/>
          <w:lang w:val="fr-FR"/>
        </w:rPr>
        <w:t xml:space="preserve">Présentations reçues au sujet </w:t>
      </w:r>
      <w:r w:rsidR="002316AE">
        <w:rPr>
          <w:snapToGrid w:val="0"/>
          <w:kern w:val="22"/>
          <w:szCs w:val="22"/>
          <w:lang w:val="fr-FR"/>
        </w:rPr>
        <w:t>de l’état d’avancement</w:t>
      </w:r>
      <w:r w:rsidRPr="006647C7">
        <w:rPr>
          <w:snapToGrid w:val="0"/>
          <w:kern w:val="22"/>
          <w:szCs w:val="22"/>
          <w:lang w:val="fr-FR"/>
        </w:rPr>
        <w:t xml:space="preserve"> du Plan d’action pour l’égalité entre les sexes</w:t>
      </w:r>
    </w:p>
    <w:p w:rsidR="00AC41F7" w:rsidRPr="00C91779" w:rsidRDefault="002316AE" w:rsidP="000553DA">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lang w:val="fr-FR"/>
        </w:rPr>
        <w:t xml:space="preserve">Dans la notification </w:t>
      </w:r>
      <w:r w:rsidR="006647C7" w:rsidRPr="000553DA">
        <w:rPr>
          <w:kern w:val="22"/>
          <w:szCs w:val="22"/>
          <w:lang w:val="fr-FR"/>
        </w:rPr>
        <w:t>qu’il a adressé</w:t>
      </w:r>
      <w:r>
        <w:rPr>
          <w:kern w:val="22"/>
          <w:szCs w:val="22"/>
          <w:lang w:val="fr-FR"/>
        </w:rPr>
        <w:t>e</w:t>
      </w:r>
      <w:r w:rsidR="006647C7" w:rsidRPr="000553DA">
        <w:rPr>
          <w:kern w:val="22"/>
          <w:szCs w:val="22"/>
          <w:lang w:val="fr-FR"/>
        </w:rPr>
        <w:t xml:space="preserve"> </w:t>
      </w:r>
      <w:r>
        <w:rPr>
          <w:kern w:val="22"/>
          <w:szCs w:val="22"/>
          <w:lang w:val="fr-FR"/>
        </w:rPr>
        <w:t xml:space="preserve">le </w:t>
      </w:r>
      <w:r w:rsidRPr="000553DA">
        <w:rPr>
          <w:kern w:val="22"/>
          <w:szCs w:val="22"/>
          <w:lang w:val="fr-FR"/>
        </w:rPr>
        <w:t xml:space="preserve">28 novembre 2017 </w:t>
      </w:r>
      <w:r w:rsidR="006647C7" w:rsidRPr="000553DA">
        <w:rPr>
          <w:kern w:val="22"/>
          <w:szCs w:val="22"/>
          <w:lang w:val="fr-FR"/>
        </w:rPr>
        <w:t>aux Parties, aux autres gouvernements, aux peuples autochtones, aux communautés locales et aux organisations compétentes, le Secrétariat a demandé à être informé des progrès accomplis dans la mise en œuvre du Plan d’action 2015-2020 pour l’égalité entre les sexes</w:t>
      </w:r>
      <w:r w:rsidR="000553DA" w:rsidRPr="000553DA">
        <w:rPr>
          <w:kern w:val="22"/>
          <w:szCs w:val="22"/>
          <w:lang w:val="fr-FR"/>
        </w:rPr>
        <w:t xml:space="preserve">, et de tout </w:t>
      </w:r>
      <w:r w:rsidR="000553DA">
        <w:rPr>
          <w:kern w:val="22"/>
          <w:szCs w:val="22"/>
          <w:lang w:val="fr-FR"/>
        </w:rPr>
        <w:t xml:space="preserve">autre </w:t>
      </w:r>
      <w:r w:rsidR="000553DA" w:rsidRPr="000553DA">
        <w:rPr>
          <w:kern w:val="22"/>
          <w:szCs w:val="22"/>
          <w:lang w:val="fr-FR"/>
        </w:rPr>
        <w:t xml:space="preserve">effort </w:t>
      </w:r>
      <w:r w:rsidR="00460DC9">
        <w:rPr>
          <w:kern w:val="22"/>
          <w:szCs w:val="22"/>
          <w:lang w:val="fr-FR"/>
        </w:rPr>
        <w:t>entrepris</w:t>
      </w:r>
      <w:r w:rsidR="000553DA" w:rsidRPr="000553DA">
        <w:rPr>
          <w:kern w:val="22"/>
          <w:szCs w:val="22"/>
          <w:lang w:val="fr-FR"/>
        </w:rPr>
        <w:t xml:space="preserve"> pour intégrer des considérations </w:t>
      </w:r>
      <w:proofErr w:type="spellStart"/>
      <w:r w:rsidR="000553DA" w:rsidRPr="000553DA">
        <w:rPr>
          <w:kern w:val="22"/>
          <w:szCs w:val="22"/>
          <w:lang w:val="fr-FR"/>
        </w:rPr>
        <w:t>sexospécifiques</w:t>
      </w:r>
      <w:proofErr w:type="spellEnd"/>
      <w:r w:rsidR="00B37586" w:rsidRPr="00C91779">
        <w:rPr>
          <w:rStyle w:val="Appelnotedebasdep"/>
          <w:kern w:val="22"/>
          <w:sz w:val="22"/>
          <w:szCs w:val="22"/>
          <w:u w:val="none"/>
          <w:vertAlign w:val="superscript"/>
        </w:rPr>
        <w:footnoteReference w:id="2"/>
      </w:r>
      <w:r w:rsidR="009E6D2C">
        <w:rPr>
          <w:kern w:val="22"/>
          <w:szCs w:val="22"/>
          <w:lang w:val="fr-FR"/>
        </w:rPr>
        <w:t>.</w:t>
      </w:r>
      <w:r w:rsidR="00B37586" w:rsidRPr="00C91779">
        <w:rPr>
          <w:kern w:val="22"/>
          <w:szCs w:val="22"/>
        </w:rPr>
        <w:t xml:space="preserve"> </w:t>
      </w:r>
      <w:r w:rsidR="00460DC9">
        <w:rPr>
          <w:kern w:val="22"/>
          <w:szCs w:val="22"/>
          <w:lang w:val="fr-FR"/>
        </w:rPr>
        <w:t>L</w:t>
      </w:r>
      <w:r w:rsidR="000553DA" w:rsidRPr="000553DA">
        <w:rPr>
          <w:kern w:val="22"/>
          <w:szCs w:val="22"/>
          <w:lang w:val="fr-FR"/>
        </w:rPr>
        <w:t xml:space="preserve">es présentations </w:t>
      </w:r>
      <w:r w:rsidR="00460DC9">
        <w:rPr>
          <w:kern w:val="22"/>
          <w:szCs w:val="22"/>
          <w:lang w:val="fr-FR"/>
        </w:rPr>
        <w:t>devaient être remises entre le</w:t>
      </w:r>
      <w:r w:rsidR="000553DA" w:rsidRPr="000553DA">
        <w:rPr>
          <w:kern w:val="22"/>
          <w:szCs w:val="22"/>
          <w:lang w:val="fr-FR"/>
        </w:rPr>
        <w:t xml:space="preserve"> 28 novembre </w:t>
      </w:r>
      <w:r w:rsidR="00460DC9">
        <w:rPr>
          <w:kern w:val="22"/>
          <w:szCs w:val="22"/>
          <w:lang w:val="fr-FR"/>
        </w:rPr>
        <w:t>et le</w:t>
      </w:r>
      <w:r w:rsidR="000553DA" w:rsidRPr="000553DA">
        <w:rPr>
          <w:kern w:val="22"/>
          <w:szCs w:val="22"/>
          <w:lang w:val="fr-FR"/>
        </w:rPr>
        <w:t xml:space="preserve"> 31 janvier 2018. Onze présentations au total ont été reçues de cinq Parties</w:t>
      </w:r>
      <w:r w:rsidR="000553DA" w:rsidRPr="000553DA">
        <w:rPr>
          <w:rStyle w:val="Appelnotedebasdep"/>
          <w:kern w:val="22"/>
          <w:sz w:val="22"/>
          <w:szCs w:val="22"/>
          <w:u w:val="none"/>
          <w:vertAlign w:val="superscript"/>
          <w:lang w:val="fr-FR"/>
        </w:rPr>
        <w:footnoteReference w:id="3"/>
      </w:r>
      <w:r w:rsidR="000553DA" w:rsidRPr="000553DA">
        <w:rPr>
          <w:kern w:val="22"/>
          <w:szCs w:val="22"/>
          <w:lang w:val="fr-FR"/>
        </w:rPr>
        <w:t xml:space="preserve"> et de sept organisations</w:t>
      </w:r>
      <w:r w:rsidR="00B37586" w:rsidRPr="00C91779">
        <w:rPr>
          <w:rStyle w:val="Appelnotedebasdep"/>
          <w:kern w:val="22"/>
          <w:sz w:val="22"/>
          <w:szCs w:val="22"/>
          <w:u w:val="none"/>
          <w:vertAlign w:val="superscript"/>
        </w:rPr>
        <w:footnoteReference w:id="4"/>
      </w:r>
      <w:r w:rsidR="009B6908">
        <w:rPr>
          <w:kern w:val="22"/>
          <w:szCs w:val="22"/>
          <w:lang w:val="fr-FR"/>
        </w:rPr>
        <w:t>.</w:t>
      </w:r>
    </w:p>
    <w:p w:rsidR="00B37586" w:rsidRPr="00C91779" w:rsidRDefault="00460DC9" w:rsidP="001D23FA">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lang w:val="fr-FR"/>
        </w:rPr>
        <w:t>C</w:t>
      </w:r>
      <w:r w:rsidR="000553DA" w:rsidRPr="000553DA">
        <w:rPr>
          <w:kern w:val="22"/>
          <w:szCs w:val="22"/>
          <w:lang w:val="fr-FR"/>
        </w:rPr>
        <w:t xml:space="preserve">es présentations ont mis en avant les politiques et plans nationaux qui fixent le cadre de l’intégration des considérations </w:t>
      </w:r>
      <w:proofErr w:type="spellStart"/>
      <w:r w:rsidR="003C0423">
        <w:rPr>
          <w:kern w:val="22"/>
          <w:szCs w:val="22"/>
          <w:lang w:val="fr-FR"/>
        </w:rPr>
        <w:t>sexospécifiques</w:t>
      </w:r>
      <w:proofErr w:type="spellEnd"/>
      <w:r w:rsidR="000553DA" w:rsidRPr="000553DA">
        <w:rPr>
          <w:kern w:val="22"/>
          <w:szCs w:val="22"/>
          <w:lang w:val="fr-FR"/>
        </w:rPr>
        <w:t xml:space="preserve"> dans les priorités nationales et internationales.</w:t>
      </w:r>
      <w:r w:rsidR="00B37586" w:rsidRPr="00C91779">
        <w:rPr>
          <w:kern w:val="22"/>
          <w:szCs w:val="22"/>
        </w:rPr>
        <w:t xml:space="preserve"> </w:t>
      </w:r>
      <w:r w:rsidR="000553DA" w:rsidRPr="000553DA">
        <w:rPr>
          <w:kern w:val="22"/>
          <w:szCs w:val="22"/>
          <w:lang w:val="fr-FR"/>
        </w:rPr>
        <w:t xml:space="preserve">Un exemple est fourni par l’objectif national que l’Éthiopie s’est fixé dans sa stratégie et son plan d’action national pour la diversité biologique, à savoir l’amélioration de l’accès des femmes aux ressources de la biodiversité et aux services écosystémiques, et </w:t>
      </w:r>
      <w:r w:rsidR="003C0423">
        <w:rPr>
          <w:kern w:val="22"/>
          <w:szCs w:val="22"/>
          <w:lang w:val="fr-FR"/>
        </w:rPr>
        <w:t>de</w:t>
      </w:r>
      <w:r w:rsidR="000553DA" w:rsidRPr="000553DA">
        <w:rPr>
          <w:kern w:val="22"/>
          <w:szCs w:val="22"/>
          <w:lang w:val="fr-FR"/>
        </w:rPr>
        <w:t xml:space="preserve"> leur </w:t>
      </w:r>
      <w:r w:rsidR="003C0423">
        <w:rPr>
          <w:kern w:val="22"/>
          <w:szCs w:val="22"/>
          <w:lang w:val="fr-FR"/>
        </w:rPr>
        <w:t>aptitude à les administrer</w:t>
      </w:r>
      <w:r w:rsidR="000553DA" w:rsidRPr="000553DA">
        <w:rPr>
          <w:kern w:val="22"/>
          <w:szCs w:val="22"/>
          <w:lang w:val="fr-FR"/>
        </w:rPr>
        <w:t>.</w:t>
      </w:r>
      <w:r w:rsidR="00B37586" w:rsidRPr="00C91779">
        <w:rPr>
          <w:kern w:val="22"/>
          <w:szCs w:val="22"/>
        </w:rPr>
        <w:t xml:space="preserve"> </w:t>
      </w:r>
      <w:r w:rsidR="000553DA" w:rsidRPr="00945414">
        <w:rPr>
          <w:kern w:val="22"/>
          <w:szCs w:val="22"/>
          <w:lang w:val="fr-FR"/>
        </w:rPr>
        <w:t xml:space="preserve">Le Brésil a mis en évidence </w:t>
      </w:r>
      <w:r w:rsidR="00945414" w:rsidRPr="00945414">
        <w:rPr>
          <w:kern w:val="22"/>
          <w:szCs w:val="22"/>
          <w:lang w:val="fr-FR"/>
        </w:rPr>
        <w:t>s</w:t>
      </w:r>
      <w:r w:rsidR="000553DA" w:rsidRPr="00945414">
        <w:rPr>
          <w:kern w:val="22"/>
          <w:szCs w:val="22"/>
          <w:lang w:val="fr-FR"/>
        </w:rPr>
        <w:t xml:space="preserve">a </w:t>
      </w:r>
      <w:r w:rsidR="00945414" w:rsidRPr="00945414">
        <w:rPr>
          <w:kern w:val="22"/>
          <w:szCs w:val="22"/>
          <w:lang w:val="fr-FR"/>
        </w:rPr>
        <w:t>S</w:t>
      </w:r>
      <w:r w:rsidR="000553DA" w:rsidRPr="00945414">
        <w:rPr>
          <w:kern w:val="22"/>
          <w:szCs w:val="22"/>
          <w:lang w:val="fr-FR"/>
        </w:rPr>
        <w:t>tratégie nationale pour la conservation des espèces menacées</w:t>
      </w:r>
      <w:r w:rsidR="00945414" w:rsidRPr="00945414">
        <w:rPr>
          <w:kern w:val="22"/>
          <w:szCs w:val="22"/>
          <w:lang w:val="fr-FR"/>
        </w:rPr>
        <w:t>, qui encourage la participation des femmes à tous les niveaux des activités de planification et d’exécution.</w:t>
      </w:r>
      <w:r w:rsidR="0014476C" w:rsidRPr="00C91779">
        <w:rPr>
          <w:kern w:val="22"/>
          <w:szCs w:val="22"/>
        </w:rPr>
        <w:t xml:space="preserve"> </w:t>
      </w:r>
      <w:r w:rsidR="00945414" w:rsidRPr="00945414">
        <w:rPr>
          <w:kern w:val="22"/>
          <w:szCs w:val="22"/>
          <w:lang w:val="fr-FR"/>
        </w:rPr>
        <w:t>Les présentations ont également recensé diverses initiatives pertinentes</w:t>
      </w:r>
      <w:r w:rsidR="003C0423">
        <w:rPr>
          <w:kern w:val="22"/>
          <w:szCs w:val="22"/>
          <w:lang w:val="fr-FR"/>
        </w:rPr>
        <w:t>,</w:t>
      </w:r>
      <w:r w:rsidR="00945414" w:rsidRPr="00945414">
        <w:rPr>
          <w:kern w:val="22"/>
          <w:szCs w:val="22"/>
          <w:lang w:val="fr-FR"/>
        </w:rPr>
        <w:t xml:space="preserve"> actuellement mises en œuvre et susceptibles d’accroître l’efficacité des efforts déployés collectivement pour </w:t>
      </w:r>
      <w:r w:rsidR="003C0423">
        <w:rPr>
          <w:kern w:val="22"/>
          <w:szCs w:val="22"/>
          <w:lang w:val="fr-FR"/>
        </w:rPr>
        <w:t>améliorer l</w:t>
      </w:r>
      <w:r w:rsidR="00945414" w:rsidRPr="00945414">
        <w:rPr>
          <w:kern w:val="22"/>
          <w:szCs w:val="22"/>
          <w:lang w:val="fr-FR"/>
        </w:rPr>
        <w:t xml:space="preserve">es liens existant entre l’égalité des sexes et la </w:t>
      </w:r>
      <w:r w:rsidR="000A4182" w:rsidRPr="000A4182">
        <w:rPr>
          <w:kern w:val="22"/>
          <w:szCs w:val="22"/>
          <w:lang w:val="fr-FR"/>
        </w:rPr>
        <w:t>biodiversité</w:t>
      </w:r>
      <w:r w:rsidR="00945414" w:rsidRPr="00945414">
        <w:rPr>
          <w:kern w:val="22"/>
          <w:szCs w:val="22"/>
          <w:lang w:val="fr-FR"/>
        </w:rPr>
        <w:t>.</w:t>
      </w:r>
      <w:r w:rsidR="00B37586" w:rsidRPr="00C91779">
        <w:rPr>
          <w:kern w:val="22"/>
          <w:szCs w:val="22"/>
        </w:rPr>
        <w:t xml:space="preserve"> </w:t>
      </w:r>
      <w:r w:rsidR="00945414" w:rsidRPr="001D23FA">
        <w:rPr>
          <w:kern w:val="22"/>
          <w:szCs w:val="22"/>
          <w:lang w:val="fr-FR"/>
        </w:rPr>
        <w:t xml:space="preserve">L’Organisation </w:t>
      </w:r>
      <w:r w:rsidR="003C0423">
        <w:rPr>
          <w:kern w:val="22"/>
          <w:szCs w:val="22"/>
          <w:lang w:val="fr-FR"/>
        </w:rPr>
        <w:t xml:space="preserve">des Nations Unies </w:t>
      </w:r>
      <w:r w:rsidR="00945414" w:rsidRPr="001D23FA">
        <w:rPr>
          <w:kern w:val="22"/>
          <w:szCs w:val="22"/>
          <w:lang w:val="fr-FR"/>
        </w:rPr>
        <w:t>pour l’alimentation et l’agriculture rassemble par exemple une série de données sur l’emploi dans l’aquaculture et la pêche, au moyen de statistiques ventilées par sexe</w:t>
      </w:r>
      <w:r w:rsidR="003C0423">
        <w:rPr>
          <w:kern w:val="22"/>
          <w:szCs w:val="22"/>
          <w:lang w:val="fr-FR"/>
        </w:rPr>
        <w:t>. Elle</w:t>
      </w:r>
      <w:r w:rsidR="00945414" w:rsidRPr="001D23FA">
        <w:rPr>
          <w:kern w:val="22"/>
          <w:szCs w:val="22"/>
          <w:lang w:val="fr-FR"/>
        </w:rPr>
        <w:t xml:space="preserve"> prévoit de les rendre publiques en 2018. L’</w:t>
      </w:r>
      <w:hyperlink r:id="rId14" w:history="1">
        <w:r w:rsidR="00945414" w:rsidRPr="001D23FA">
          <w:rPr>
            <w:rStyle w:val="Lienhypertexte"/>
            <w:kern w:val="22"/>
            <w:szCs w:val="22"/>
            <w:lang w:val="fr-FR"/>
          </w:rPr>
          <w:t>Union internationale pour la conservation de la nature</w:t>
        </w:r>
      </w:hyperlink>
      <w:r w:rsidR="00AB649F">
        <w:rPr>
          <w:kern w:val="22"/>
          <w:szCs w:val="22"/>
          <w:lang w:val="fr-FR"/>
        </w:rPr>
        <w:t xml:space="preserve"> (UICN) e</w:t>
      </w:r>
      <w:r w:rsidR="00945414" w:rsidRPr="001D23FA">
        <w:rPr>
          <w:kern w:val="22"/>
          <w:szCs w:val="22"/>
          <w:lang w:val="fr-FR"/>
        </w:rPr>
        <w:t xml:space="preserve">t le </w:t>
      </w:r>
      <w:hyperlink r:id="rId15" w:history="1">
        <w:r w:rsidR="00945414" w:rsidRPr="001D23FA">
          <w:rPr>
            <w:rStyle w:val="Lienhypertexte"/>
            <w:kern w:val="22"/>
            <w:szCs w:val="22"/>
            <w:lang w:val="fr-FR"/>
          </w:rPr>
          <w:t>Programme des Nations Unies pour l'environnement</w:t>
        </w:r>
      </w:hyperlink>
      <w:r w:rsidR="00945414" w:rsidRPr="001D23FA">
        <w:rPr>
          <w:kern w:val="22"/>
          <w:szCs w:val="22"/>
          <w:lang w:val="fr-FR"/>
        </w:rPr>
        <w:t xml:space="preserve"> </w:t>
      </w:r>
      <w:r w:rsidR="003C0423">
        <w:rPr>
          <w:kern w:val="22"/>
          <w:szCs w:val="22"/>
          <w:lang w:val="fr-FR"/>
        </w:rPr>
        <w:t xml:space="preserve">(ONU-Environnement) </w:t>
      </w:r>
      <w:r w:rsidR="00945414" w:rsidRPr="001D23FA">
        <w:rPr>
          <w:kern w:val="22"/>
          <w:szCs w:val="22"/>
          <w:lang w:val="fr-FR"/>
        </w:rPr>
        <w:t xml:space="preserve">collaborent à l’identification des </w:t>
      </w:r>
      <w:r w:rsidR="001D23FA" w:rsidRPr="001D23FA">
        <w:rPr>
          <w:kern w:val="22"/>
          <w:szCs w:val="22"/>
          <w:lang w:val="fr-FR"/>
        </w:rPr>
        <w:t>données et informations insuffisantes</w:t>
      </w:r>
      <w:r w:rsidR="003C0423">
        <w:rPr>
          <w:kern w:val="22"/>
          <w:szCs w:val="22"/>
          <w:lang w:val="fr-FR"/>
        </w:rPr>
        <w:t> ;</w:t>
      </w:r>
      <w:r w:rsidR="001D23FA" w:rsidRPr="001D23FA">
        <w:rPr>
          <w:kern w:val="22"/>
          <w:szCs w:val="22"/>
          <w:lang w:val="fr-FR"/>
        </w:rPr>
        <w:t xml:space="preserve"> </w:t>
      </w:r>
      <w:r w:rsidR="00831900">
        <w:rPr>
          <w:kern w:val="22"/>
          <w:szCs w:val="22"/>
          <w:lang w:val="fr-FR"/>
        </w:rPr>
        <w:t>analyse</w:t>
      </w:r>
      <w:r w:rsidR="00802AB7">
        <w:rPr>
          <w:kern w:val="22"/>
          <w:szCs w:val="22"/>
          <w:lang w:val="fr-FR"/>
        </w:rPr>
        <w:t>nt</w:t>
      </w:r>
      <w:r w:rsidR="001D23FA" w:rsidRPr="001D23FA">
        <w:rPr>
          <w:kern w:val="22"/>
          <w:szCs w:val="22"/>
          <w:lang w:val="fr-FR"/>
        </w:rPr>
        <w:t xml:space="preserve"> </w:t>
      </w:r>
      <w:r w:rsidR="003C0423">
        <w:rPr>
          <w:kern w:val="22"/>
          <w:szCs w:val="22"/>
          <w:lang w:val="fr-FR"/>
        </w:rPr>
        <w:t>plusieurs</w:t>
      </w:r>
      <w:r w:rsidR="00831900">
        <w:rPr>
          <w:kern w:val="22"/>
          <w:szCs w:val="22"/>
          <w:lang w:val="fr-FR"/>
        </w:rPr>
        <w:t xml:space="preserve"> études de cas nationales</w:t>
      </w:r>
      <w:r w:rsidR="003C0423">
        <w:rPr>
          <w:kern w:val="22"/>
          <w:szCs w:val="22"/>
          <w:lang w:val="fr-FR"/>
        </w:rPr>
        <w:t xml:space="preserve"> ; </w:t>
      </w:r>
      <w:r w:rsidR="001D23FA" w:rsidRPr="001D23FA">
        <w:rPr>
          <w:kern w:val="22"/>
          <w:szCs w:val="22"/>
          <w:lang w:val="fr-FR"/>
        </w:rPr>
        <w:t xml:space="preserve">et formulent des recommandations sur l’amélioration des stratégies adoptées par les pays pour collecter des statistiques sur l’égalité des sexes et l’environnement, et </w:t>
      </w:r>
      <w:r w:rsidR="00831900">
        <w:rPr>
          <w:kern w:val="22"/>
          <w:szCs w:val="22"/>
          <w:lang w:val="fr-FR"/>
        </w:rPr>
        <w:t xml:space="preserve">le renforcement des </w:t>
      </w:r>
      <w:r w:rsidR="001D23FA" w:rsidRPr="001D23FA">
        <w:rPr>
          <w:kern w:val="22"/>
          <w:szCs w:val="22"/>
          <w:lang w:val="fr-FR"/>
        </w:rPr>
        <w:t>capacité</w:t>
      </w:r>
      <w:r w:rsidR="00831900">
        <w:rPr>
          <w:kern w:val="22"/>
          <w:szCs w:val="22"/>
          <w:lang w:val="fr-FR"/>
        </w:rPr>
        <w:t>s</w:t>
      </w:r>
      <w:r w:rsidR="001D23FA" w:rsidRPr="001D23FA">
        <w:rPr>
          <w:kern w:val="22"/>
          <w:szCs w:val="22"/>
          <w:lang w:val="fr-FR"/>
        </w:rPr>
        <w:t xml:space="preserve"> dans ce domaine. Ces recommandations ont amélioré </w:t>
      </w:r>
      <w:r w:rsidR="00802AB7">
        <w:rPr>
          <w:kern w:val="22"/>
          <w:szCs w:val="22"/>
          <w:lang w:val="fr-FR"/>
        </w:rPr>
        <w:t>d</w:t>
      </w:r>
      <w:r w:rsidR="00831900">
        <w:rPr>
          <w:kern w:val="22"/>
          <w:szCs w:val="22"/>
          <w:lang w:val="fr-FR"/>
        </w:rPr>
        <w:t>es</w:t>
      </w:r>
      <w:r w:rsidR="001D23FA" w:rsidRPr="001D23FA">
        <w:rPr>
          <w:kern w:val="22"/>
          <w:szCs w:val="22"/>
          <w:lang w:val="fr-FR"/>
        </w:rPr>
        <w:t xml:space="preserve"> efforts </w:t>
      </w:r>
      <w:r w:rsidR="00831900">
        <w:rPr>
          <w:kern w:val="22"/>
          <w:szCs w:val="22"/>
          <w:lang w:val="fr-FR"/>
        </w:rPr>
        <w:t>déployés</w:t>
      </w:r>
      <w:r w:rsidR="001D23FA" w:rsidRPr="001D23FA">
        <w:rPr>
          <w:kern w:val="22"/>
          <w:szCs w:val="22"/>
          <w:lang w:val="fr-FR"/>
        </w:rPr>
        <w:t xml:space="preserve"> dans le cadre d’une stratégie ou d’un plan d’action national pour la diversité biologique, ou d’une initiative pour la biodiversité.</w:t>
      </w:r>
    </w:p>
    <w:p w:rsidR="00B37586" w:rsidRPr="00C91779" w:rsidRDefault="001D23FA" w:rsidP="00A758F9">
      <w:pPr>
        <w:pStyle w:val="Para1"/>
        <w:suppressLineNumbers/>
        <w:tabs>
          <w:tab w:val="clear" w:pos="360"/>
        </w:tabs>
        <w:suppressAutoHyphens/>
        <w:kinsoku w:val="0"/>
        <w:overflowPunct w:val="0"/>
        <w:autoSpaceDE w:val="0"/>
        <w:autoSpaceDN w:val="0"/>
        <w:adjustRightInd w:val="0"/>
        <w:snapToGrid w:val="0"/>
        <w:rPr>
          <w:kern w:val="22"/>
          <w:szCs w:val="22"/>
        </w:rPr>
      </w:pPr>
      <w:r w:rsidRPr="00602679">
        <w:rPr>
          <w:kern w:val="22"/>
          <w:szCs w:val="22"/>
          <w:lang w:val="fr-FR"/>
        </w:rPr>
        <w:t xml:space="preserve">Les présentations ont </w:t>
      </w:r>
      <w:r w:rsidR="005D054B">
        <w:rPr>
          <w:kern w:val="22"/>
          <w:szCs w:val="22"/>
          <w:lang w:val="fr-FR"/>
        </w:rPr>
        <w:t>exposé</w:t>
      </w:r>
      <w:r w:rsidRPr="00602679">
        <w:rPr>
          <w:kern w:val="22"/>
          <w:szCs w:val="22"/>
          <w:lang w:val="fr-FR"/>
        </w:rPr>
        <w:t xml:space="preserve"> les actions</w:t>
      </w:r>
      <w:r w:rsidR="00602679" w:rsidRPr="00602679">
        <w:rPr>
          <w:kern w:val="22"/>
          <w:szCs w:val="22"/>
          <w:lang w:val="fr-FR"/>
        </w:rPr>
        <w:t xml:space="preserve"> entreprises pour mettre en application les connaissances des femmes </w:t>
      </w:r>
      <w:r w:rsidR="00602679">
        <w:rPr>
          <w:kern w:val="22"/>
          <w:szCs w:val="22"/>
          <w:lang w:val="fr-FR"/>
        </w:rPr>
        <w:t>relatives à la</w:t>
      </w:r>
      <w:r w:rsidR="00602679" w:rsidRPr="00602679">
        <w:rPr>
          <w:kern w:val="22"/>
          <w:szCs w:val="22"/>
          <w:lang w:val="fr-FR"/>
        </w:rPr>
        <w:t xml:space="preserve"> </w:t>
      </w:r>
      <w:r w:rsidR="000A4182" w:rsidRPr="000A4182">
        <w:rPr>
          <w:kern w:val="22"/>
          <w:szCs w:val="22"/>
          <w:lang w:val="fr-FR"/>
        </w:rPr>
        <w:t>biodiversité</w:t>
      </w:r>
      <w:r w:rsidR="00602679" w:rsidRPr="00602679">
        <w:rPr>
          <w:kern w:val="22"/>
          <w:szCs w:val="22"/>
          <w:lang w:val="fr-FR"/>
        </w:rPr>
        <w:t xml:space="preserve"> et permettre </w:t>
      </w:r>
      <w:r w:rsidR="005D054B">
        <w:rPr>
          <w:kern w:val="22"/>
          <w:szCs w:val="22"/>
          <w:lang w:val="fr-FR"/>
        </w:rPr>
        <w:t>aux</w:t>
      </w:r>
      <w:r w:rsidR="00602679">
        <w:rPr>
          <w:kern w:val="22"/>
          <w:szCs w:val="22"/>
          <w:lang w:val="fr-FR"/>
        </w:rPr>
        <w:t xml:space="preserve"> femmes </w:t>
      </w:r>
      <w:r w:rsidR="00602679" w:rsidRPr="00602679">
        <w:rPr>
          <w:kern w:val="22"/>
          <w:szCs w:val="22"/>
          <w:lang w:val="fr-FR"/>
        </w:rPr>
        <w:t>d’exercer des responsabilités environnemental</w:t>
      </w:r>
      <w:r w:rsidR="005D054B">
        <w:rPr>
          <w:kern w:val="22"/>
          <w:szCs w:val="22"/>
          <w:lang w:val="fr-FR"/>
        </w:rPr>
        <w:t>es, notamment :</w:t>
      </w:r>
      <w:r w:rsidR="00B37586" w:rsidRPr="00C91779">
        <w:rPr>
          <w:kern w:val="22"/>
          <w:szCs w:val="22"/>
        </w:rPr>
        <w:t xml:space="preserve"> </w:t>
      </w:r>
      <w:r w:rsidR="009553A5">
        <w:rPr>
          <w:kern w:val="22"/>
          <w:szCs w:val="22"/>
          <w:lang w:val="fr-FR"/>
        </w:rPr>
        <w:t>a) en assurant leur</w:t>
      </w:r>
      <w:r w:rsidR="00602679" w:rsidRPr="0076229C">
        <w:rPr>
          <w:kern w:val="22"/>
          <w:szCs w:val="22"/>
          <w:lang w:val="fr-FR"/>
        </w:rPr>
        <w:t xml:space="preserve"> participation aux programmes de conservation et d’amélioration </w:t>
      </w:r>
      <w:r w:rsidR="009553A5">
        <w:rPr>
          <w:kern w:val="22"/>
          <w:szCs w:val="22"/>
          <w:lang w:val="fr-FR"/>
        </w:rPr>
        <w:t>menés sur site ; b) en garantissant</w:t>
      </w:r>
      <w:r w:rsidR="00602679" w:rsidRPr="0076229C">
        <w:rPr>
          <w:kern w:val="22"/>
          <w:szCs w:val="22"/>
          <w:lang w:val="fr-FR"/>
        </w:rPr>
        <w:t xml:space="preserve"> la participation équitable des femmes à la gouvernance communautaire de la </w:t>
      </w:r>
      <w:r w:rsidR="000A4182" w:rsidRPr="000A4182">
        <w:rPr>
          <w:kern w:val="22"/>
          <w:szCs w:val="22"/>
          <w:lang w:val="fr-FR"/>
        </w:rPr>
        <w:t>biodiversité</w:t>
      </w:r>
      <w:r w:rsidR="000A4182">
        <w:rPr>
          <w:kern w:val="22"/>
          <w:szCs w:val="22"/>
          <w:lang w:val="fr-FR"/>
        </w:rPr>
        <w:t> ;</w:t>
      </w:r>
      <w:r w:rsidR="00602679" w:rsidRPr="0076229C">
        <w:rPr>
          <w:kern w:val="22"/>
          <w:szCs w:val="22"/>
          <w:lang w:val="fr-FR"/>
        </w:rPr>
        <w:t xml:space="preserve"> et c) </w:t>
      </w:r>
      <w:r w:rsidR="009553A5">
        <w:rPr>
          <w:kern w:val="22"/>
          <w:szCs w:val="22"/>
          <w:lang w:val="fr-FR"/>
        </w:rPr>
        <w:t>en organisant</w:t>
      </w:r>
      <w:r w:rsidR="00602679" w:rsidRPr="0076229C">
        <w:rPr>
          <w:kern w:val="22"/>
          <w:szCs w:val="22"/>
          <w:lang w:val="fr-FR"/>
        </w:rPr>
        <w:t xml:space="preserve"> des formations sur l’importance de l’accès aux ressources génétiques et aux connaissances traditionnelles, </w:t>
      </w:r>
      <w:r w:rsidR="009553A5">
        <w:rPr>
          <w:kern w:val="22"/>
          <w:szCs w:val="22"/>
          <w:lang w:val="fr-FR"/>
        </w:rPr>
        <w:t xml:space="preserve">et </w:t>
      </w:r>
      <w:r w:rsidR="00602679" w:rsidRPr="0076229C">
        <w:rPr>
          <w:kern w:val="22"/>
          <w:szCs w:val="22"/>
          <w:lang w:val="fr-FR"/>
        </w:rPr>
        <w:t>du partage de leurs bénéfices,</w:t>
      </w:r>
      <w:r w:rsidR="0076229C" w:rsidRPr="0076229C">
        <w:rPr>
          <w:kern w:val="22"/>
          <w:szCs w:val="22"/>
          <w:lang w:val="fr-FR"/>
        </w:rPr>
        <w:t xml:space="preserve"> </w:t>
      </w:r>
      <w:r w:rsidR="009553A5">
        <w:rPr>
          <w:kern w:val="22"/>
          <w:szCs w:val="22"/>
          <w:lang w:val="fr-FR"/>
        </w:rPr>
        <w:t xml:space="preserve">ainsi que sur </w:t>
      </w:r>
      <w:r w:rsidR="0076229C" w:rsidRPr="0076229C">
        <w:rPr>
          <w:kern w:val="22"/>
          <w:szCs w:val="22"/>
          <w:lang w:val="fr-FR"/>
        </w:rPr>
        <w:t>les connaissances des femmes et les pratiques de conservation.</w:t>
      </w:r>
      <w:r w:rsidR="00B37586" w:rsidRPr="00C91779">
        <w:rPr>
          <w:kern w:val="22"/>
          <w:szCs w:val="22"/>
        </w:rPr>
        <w:t xml:space="preserve"> </w:t>
      </w:r>
      <w:r w:rsidR="0076229C" w:rsidRPr="0076229C">
        <w:rPr>
          <w:kern w:val="22"/>
          <w:szCs w:val="22"/>
          <w:lang w:val="fr-FR"/>
        </w:rPr>
        <w:t xml:space="preserve">Les </w:t>
      </w:r>
      <w:r w:rsidR="009553A5">
        <w:rPr>
          <w:kern w:val="22"/>
          <w:szCs w:val="22"/>
          <w:lang w:val="fr-FR"/>
        </w:rPr>
        <w:t>besoins recensé</w:t>
      </w:r>
      <w:r w:rsidR="0076229C" w:rsidRPr="0076229C">
        <w:rPr>
          <w:kern w:val="22"/>
          <w:szCs w:val="22"/>
          <w:lang w:val="fr-FR"/>
        </w:rPr>
        <w:t xml:space="preserve">s incluent notamment </w:t>
      </w:r>
      <w:r w:rsidR="0076229C" w:rsidRPr="0076229C">
        <w:rPr>
          <w:kern w:val="22"/>
          <w:szCs w:val="22"/>
          <w:lang w:val="fr-FR"/>
        </w:rPr>
        <w:lastRenderedPageBreak/>
        <w:t>a) le recensement des connaissances traditionnelles sur les problématiques hommes-femmes</w:t>
      </w:r>
      <w:r w:rsidR="00B614EC">
        <w:rPr>
          <w:kern w:val="22"/>
          <w:szCs w:val="22"/>
          <w:lang w:val="fr-FR"/>
        </w:rPr>
        <w:t>,</w:t>
      </w:r>
      <w:r w:rsidR="0076229C" w:rsidRPr="0076229C">
        <w:rPr>
          <w:kern w:val="22"/>
          <w:szCs w:val="22"/>
          <w:lang w:val="fr-FR"/>
        </w:rPr>
        <w:t xml:space="preserve"> ainsi que l’</w:t>
      </w:r>
      <w:r w:rsidR="00B614EC">
        <w:rPr>
          <w:kern w:val="22"/>
          <w:szCs w:val="22"/>
          <w:lang w:val="fr-FR"/>
        </w:rPr>
        <w:t>élaboration et la diffusion d’</w:t>
      </w:r>
      <w:r w:rsidR="0076229C" w:rsidRPr="0076229C">
        <w:rPr>
          <w:kern w:val="22"/>
          <w:szCs w:val="22"/>
          <w:lang w:val="fr-FR"/>
        </w:rPr>
        <w:t xml:space="preserve">études de cas expliquant les liens </w:t>
      </w:r>
      <w:r w:rsidR="00B614EC">
        <w:rPr>
          <w:kern w:val="22"/>
          <w:szCs w:val="22"/>
          <w:lang w:val="fr-FR"/>
        </w:rPr>
        <w:t>qui existent</w:t>
      </w:r>
      <w:r w:rsidR="0076229C" w:rsidRPr="0076229C">
        <w:rPr>
          <w:kern w:val="22"/>
          <w:szCs w:val="22"/>
          <w:lang w:val="fr-FR"/>
        </w:rPr>
        <w:t xml:space="preserve"> entre l’égalité </w:t>
      </w:r>
      <w:r w:rsidR="00B614EC">
        <w:rPr>
          <w:kern w:val="22"/>
          <w:szCs w:val="22"/>
          <w:lang w:val="fr-FR"/>
        </w:rPr>
        <w:t>de</w:t>
      </w:r>
      <w:r w:rsidR="0076229C" w:rsidRPr="0076229C">
        <w:rPr>
          <w:kern w:val="22"/>
          <w:szCs w:val="22"/>
          <w:lang w:val="fr-FR"/>
        </w:rPr>
        <w:t xml:space="preserve">s sexes et la </w:t>
      </w:r>
      <w:r w:rsidR="000A4182" w:rsidRPr="000A4182">
        <w:rPr>
          <w:kern w:val="22"/>
          <w:szCs w:val="22"/>
          <w:lang w:val="fr-FR"/>
        </w:rPr>
        <w:t>biodiversité</w:t>
      </w:r>
      <w:r w:rsidR="000A4182">
        <w:rPr>
          <w:kern w:val="22"/>
          <w:szCs w:val="22"/>
          <w:lang w:val="fr-FR"/>
        </w:rPr>
        <w:t> ;</w:t>
      </w:r>
      <w:r w:rsidR="0076229C" w:rsidRPr="0076229C">
        <w:rPr>
          <w:kern w:val="22"/>
          <w:szCs w:val="22"/>
          <w:lang w:val="fr-FR"/>
        </w:rPr>
        <w:t xml:space="preserve"> b) la conduite d’évaluations </w:t>
      </w:r>
      <w:r w:rsidR="00B614EC">
        <w:rPr>
          <w:kern w:val="22"/>
          <w:szCs w:val="22"/>
          <w:lang w:val="fr-FR"/>
        </w:rPr>
        <w:t>indépendantes</w:t>
      </w:r>
      <w:r w:rsidR="0076229C" w:rsidRPr="0076229C">
        <w:rPr>
          <w:kern w:val="22"/>
          <w:szCs w:val="22"/>
          <w:lang w:val="fr-FR"/>
        </w:rPr>
        <w:t xml:space="preserve"> </w:t>
      </w:r>
      <w:r w:rsidR="00D02EE4">
        <w:rPr>
          <w:kern w:val="22"/>
          <w:szCs w:val="22"/>
          <w:lang w:val="fr-FR"/>
        </w:rPr>
        <w:t>pour</w:t>
      </w:r>
      <w:r w:rsidR="0076229C" w:rsidRPr="0076229C">
        <w:rPr>
          <w:kern w:val="22"/>
          <w:szCs w:val="22"/>
          <w:lang w:val="fr-FR"/>
        </w:rPr>
        <w:t xml:space="preserve"> le Plan d’action pour l’égalité entre les sexes ; et c) les </w:t>
      </w:r>
      <w:r w:rsidR="00B614EC">
        <w:rPr>
          <w:kern w:val="22"/>
          <w:szCs w:val="22"/>
          <w:lang w:val="fr-FR"/>
        </w:rPr>
        <w:t>moyens d’intégrer d</w:t>
      </w:r>
      <w:r w:rsidR="0076229C" w:rsidRPr="0076229C">
        <w:rPr>
          <w:kern w:val="22"/>
          <w:szCs w:val="22"/>
          <w:lang w:val="fr-FR"/>
        </w:rPr>
        <w:t xml:space="preserve">es considérations </w:t>
      </w:r>
      <w:proofErr w:type="spellStart"/>
      <w:r w:rsidR="0076229C" w:rsidRPr="0076229C">
        <w:rPr>
          <w:kern w:val="22"/>
          <w:szCs w:val="22"/>
          <w:lang w:val="fr-FR"/>
        </w:rPr>
        <w:t>sexospé</w:t>
      </w:r>
      <w:r w:rsidR="00C7196C">
        <w:rPr>
          <w:kern w:val="22"/>
          <w:szCs w:val="22"/>
          <w:lang w:val="fr-FR"/>
        </w:rPr>
        <w:t>cifiques</w:t>
      </w:r>
      <w:proofErr w:type="spellEnd"/>
      <w:r w:rsidR="00C7196C">
        <w:rPr>
          <w:kern w:val="22"/>
          <w:szCs w:val="22"/>
          <w:lang w:val="fr-FR"/>
        </w:rPr>
        <w:t xml:space="preserve"> dans l’élaboration du C</w:t>
      </w:r>
      <w:r w:rsidR="0076229C" w:rsidRPr="0076229C">
        <w:rPr>
          <w:kern w:val="22"/>
          <w:szCs w:val="22"/>
          <w:lang w:val="fr-FR"/>
        </w:rPr>
        <w:t>adre de la diversité biologique pour l’après-2020.</w:t>
      </w:r>
      <w:r w:rsidR="00B37586" w:rsidRPr="00C91779">
        <w:rPr>
          <w:kern w:val="22"/>
          <w:szCs w:val="22"/>
        </w:rPr>
        <w:t xml:space="preserve"> </w:t>
      </w:r>
      <w:r w:rsidR="00A758F9" w:rsidRPr="00A758F9">
        <w:rPr>
          <w:kern w:val="22"/>
          <w:szCs w:val="22"/>
          <w:lang w:val="fr-FR"/>
        </w:rPr>
        <w:t>Il a été proposé que</w:t>
      </w:r>
      <w:r w:rsidR="0076229C" w:rsidRPr="00A758F9">
        <w:rPr>
          <w:kern w:val="22"/>
          <w:szCs w:val="22"/>
          <w:lang w:val="fr-FR"/>
        </w:rPr>
        <w:t xml:space="preserve"> de</w:t>
      </w:r>
      <w:r w:rsidR="00A758F9" w:rsidRPr="00A758F9">
        <w:rPr>
          <w:kern w:val="22"/>
          <w:szCs w:val="22"/>
          <w:lang w:val="fr-FR"/>
        </w:rPr>
        <w:t>s</w:t>
      </w:r>
      <w:r w:rsidR="0076229C" w:rsidRPr="00A758F9">
        <w:rPr>
          <w:kern w:val="22"/>
          <w:szCs w:val="22"/>
          <w:lang w:val="fr-FR"/>
        </w:rPr>
        <w:t xml:space="preserve"> liens plus explicites </w:t>
      </w:r>
      <w:r w:rsidR="00A758F9" w:rsidRPr="00A758F9">
        <w:rPr>
          <w:kern w:val="22"/>
          <w:szCs w:val="22"/>
          <w:lang w:val="fr-FR"/>
        </w:rPr>
        <w:t xml:space="preserve">soient </w:t>
      </w:r>
      <w:r w:rsidR="00862FD2">
        <w:rPr>
          <w:kern w:val="22"/>
          <w:szCs w:val="22"/>
          <w:lang w:val="fr-FR"/>
        </w:rPr>
        <w:t>noués</w:t>
      </w:r>
      <w:r w:rsidR="00A758F9" w:rsidRPr="00A758F9">
        <w:rPr>
          <w:kern w:val="22"/>
          <w:szCs w:val="22"/>
          <w:lang w:val="fr-FR"/>
        </w:rPr>
        <w:t xml:space="preserve"> </w:t>
      </w:r>
      <w:r w:rsidR="0076229C" w:rsidRPr="00A758F9">
        <w:rPr>
          <w:kern w:val="22"/>
          <w:szCs w:val="22"/>
          <w:lang w:val="fr-FR"/>
        </w:rPr>
        <w:t xml:space="preserve">entre les </w:t>
      </w:r>
      <w:r w:rsidR="00862FD2">
        <w:rPr>
          <w:kern w:val="22"/>
          <w:szCs w:val="22"/>
          <w:lang w:val="fr-FR"/>
        </w:rPr>
        <w:t>mesures prises</w:t>
      </w:r>
      <w:r w:rsidR="0076229C" w:rsidRPr="00A758F9">
        <w:rPr>
          <w:kern w:val="22"/>
          <w:szCs w:val="22"/>
          <w:lang w:val="fr-FR"/>
        </w:rPr>
        <w:t xml:space="preserve"> au titre du Plan d’action</w:t>
      </w:r>
      <w:r w:rsidR="00A758F9" w:rsidRPr="00A758F9">
        <w:rPr>
          <w:kern w:val="22"/>
          <w:szCs w:val="22"/>
          <w:lang w:val="fr-FR"/>
        </w:rPr>
        <w:t xml:space="preserve"> et celles </w:t>
      </w:r>
      <w:r w:rsidR="00862FD2">
        <w:rPr>
          <w:kern w:val="22"/>
          <w:szCs w:val="22"/>
          <w:lang w:val="fr-FR"/>
        </w:rPr>
        <w:t>prises</w:t>
      </w:r>
      <w:r w:rsidR="00A758F9" w:rsidRPr="00A758F9">
        <w:rPr>
          <w:kern w:val="22"/>
          <w:szCs w:val="22"/>
          <w:lang w:val="fr-FR"/>
        </w:rPr>
        <w:t xml:space="preserve"> au titre des </w:t>
      </w:r>
      <w:r w:rsidR="00862FD2">
        <w:rPr>
          <w:kern w:val="22"/>
          <w:szCs w:val="22"/>
          <w:lang w:val="fr-FR"/>
        </w:rPr>
        <w:t>O</w:t>
      </w:r>
      <w:r w:rsidR="00A758F9" w:rsidRPr="00A758F9">
        <w:rPr>
          <w:kern w:val="22"/>
          <w:szCs w:val="22"/>
          <w:lang w:val="fr-FR"/>
        </w:rPr>
        <w:t>bjectifs de développement durable</w:t>
      </w:r>
      <w:r w:rsidR="00A758F9" w:rsidRPr="00A758F9">
        <w:rPr>
          <w:rStyle w:val="Appelnotedebasdep"/>
          <w:kern w:val="22"/>
          <w:sz w:val="22"/>
          <w:szCs w:val="22"/>
          <w:u w:val="none"/>
          <w:vertAlign w:val="superscript"/>
          <w:lang w:val="fr-FR"/>
        </w:rPr>
        <w:footnoteReference w:id="5"/>
      </w:r>
      <w:r w:rsidR="00D02EE4">
        <w:rPr>
          <w:kern w:val="22"/>
          <w:szCs w:val="22"/>
          <w:lang w:val="fr-FR"/>
        </w:rPr>
        <w:t>,</w:t>
      </w:r>
      <w:r w:rsidR="00A758F9" w:rsidRPr="00A758F9">
        <w:rPr>
          <w:kern w:val="22"/>
          <w:szCs w:val="22"/>
          <w:lang w:val="fr-FR"/>
        </w:rPr>
        <w:t xml:space="preserve"> afin de faciliter la mise en œuvre du Plan d’action.</w:t>
      </w:r>
    </w:p>
    <w:p w:rsidR="00B37586" w:rsidRPr="00C91779" w:rsidRDefault="00A758F9" w:rsidP="00A758F9">
      <w:pPr>
        <w:pStyle w:val="Titre2"/>
        <w:suppressLineNumbers/>
        <w:tabs>
          <w:tab w:val="left" w:pos="360"/>
        </w:tabs>
        <w:suppressAutoHyphens/>
        <w:kinsoku w:val="0"/>
        <w:overflowPunct w:val="0"/>
        <w:autoSpaceDE w:val="0"/>
        <w:autoSpaceDN w:val="0"/>
        <w:adjustRightInd w:val="0"/>
        <w:snapToGrid w:val="0"/>
        <w:rPr>
          <w:b w:val="0"/>
          <w:snapToGrid w:val="0"/>
          <w:kern w:val="22"/>
          <w:szCs w:val="22"/>
        </w:rPr>
      </w:pPr>
      <w:r w:rsidRPr="00A758F9">
        <w:rPr>
          <w:snapToGrid w:val="0"/>
          <w:kern w:val="22"/>
          <w:szCs w:val="22"/>
          <w:lang w:val="fr-FR"/>
        </w:rPr>
        <w:t>B.</w:t>
      </w:r>
      <w:r w:rsidR="00B35669" w:rsidRPr="00C91779">
        <w:rPr>
          <w:snapToGrid w:val="0"/>
          <w:kern w:val="22"/>
          <w:szCs w:val="22"/>
        </w:rPr>
        <w:tab/>
      </w:r>
      <w:r w:rsidRPr="00A758F9">
        <w:rPr>
          <w:snapToGrid w:val="0"/>
          <w:kern w:val="22"/>
          <w:szCs w:val="22"/>
          <w:lang w:val="fr-FR"/>
        </w:rPr>
        <w:t>Examen des stratégies et plans d’action nationaux pour la diversité biologique</w:t>
      </w:r>
      <w:r w:rsidR="00862FD2">
        <w:rPr>
          <w:snapToGrid w:val="0"/>
          <w:kern w:val="22"/>
          <w:szCs w:val="22"/>
          <w:lang w:val="fr-FR"/>
        </w:rPr>
        <w:t xml:space="preserve"> mis en œuvre après l’adoption du Protocole de Nagoya</w:t>
      </w:r>
    </w:p>
    <w:p w:rsidR="00B37586" w:rsidRPr="00C91779" w:rsidRDefault="00A758F9" w:rsidP="00AB56FF">
      <w:pPr>
        <w:pStyle w:val="Para1"/>
        <w:suppressLineNumbers/>
        <w:tabs>
          <w:tab w:val="clear" w:pos="360"/>
        </w:tabs>
        <w:suppressAutoHyphens/>
        <w:kinsoku w:val="0"/>
        <w:overflowPunct w:val="0"/>
        <w:autoSpaceDE w:val="0"/>
        <w:autoSpaceDN w:val="0"/>
        <w:adjustRightInd w:val="0"/>
        <w:snapToGrid w:val="0"/>
        <w:rPr>
          <w:kern w:val="22"/>
          <w:szCs w:val="22"/>
        </w:rPr>
      </w:pPr>
      <w:r w:rsidRPr="00AB649F">
        <w:rPr>
          <w:kern w:val="22"/>
          <w:szCs w:val="22"/>
          <w:lang w:val="fr-FR"/>
        </w:rPr>
        <w:t xml:space="preserve">Le Secrétariat a procédé à l’examen des stratégies et plans d’action nationaux pour la diversité biologique </w:t>
      </w:r>
      <w:r w:rsidR="00862FD2">
        <w:rPr>
          <w:kern w:val="22"/>
          <w:szCs w:val="22"/>
          <w:lang w:val="fr-FR"/>
        </w:rPr>
        <w:t>révisés et</w:t>
      </w:r>
      <w:r w:rsidRPr="00AB649F">
        <w:rPr>
          <w:kern w:val="22"/>
          <w:szCs w:val="22"/>
          <w:lang w:val="fr-FR"/>
        </w:rPr>
        <w:t xml:space="preserve"> reçus </w:t>
      </w:r>
      <w:r w:rsidR="00862FD2">
        <w:rPr>
          <w:kern w:val="22"/>
          <w:szCs w:val="22"/>
          <w:lang w:val="fr-FR"/>
        </w:rPr>
        <w:t>durant</w:t>
      </w:r>
      <w:r w:rsidRPr="00AB649F">
        <w:rPr>
          <w:kern w:val="22"/>
          <w:szCs w:val="22"/>
          <w:lang w:val="fr-FR"/>
        </w:rPr>
        <w:t xml:space="preserve"> la période située entre la dixième réunion de la Conférence des Parties (novembre 2010) et le </w:t>
      </w:r>
      <w:r w:rsidR="00862FD2">
        <w:rPr>
          <w:kern w:val="22"/>
          <w:szCs w:val="22"/>
          <w:lang w:val="fr-FR"/>
        </w:rPr>
        <w:t>15 février 2018</w:t>
      </w:r>
      <w:r w:rsidRPr="00AB649F">
        <w:rPr>
          <w:kern w:val="22"/>
          <w:szCs w:val="22"/>
          <w:lang w:val="fr-FR"/>
        </w:rPr>
        <w:t>, afin d’évaluer</w:t>
      </w:r>
      <w:r w:rsidR="00AB649F" w:rsidRPr="00AB649F">
        <w:rPr>
          <w:kern w:val="22"/>
          <w:szCs w:val="22"/>
          <w:lang w:val="fr-FR"/>
        </w:rPr>
        <w:t xml:space="preserve"> leur </w:t>
      </w:r>
      <w:r w:rsidR="00AB649F">
        <w:rPr>
          <w:kern w:val="22"/>
          <w:szCs w:val="22"/>
          <w:lang w:val="fr-FR"/>
        </w:rPr>
        <w:t>propension à intégrer</w:t>
      </w:r>
      <w:r w:rsidR="00AB649F" w:rsidRPr="00AB649F">
        <w:rPr>
          <w:kern w:val="22"/>
          <w:szCs w:val="22"/>
          <w:lang w:val="fr-FR"/>
        </w:rPr>
        <w:t xml:space="preserve"> des considérations </w:t>
      </w:r>
      <w:proofErr w:type="spellStart"/>
      <w:r w:rsidR="00AB649F" w:rsidRPr="00AB649F">
        <w:rPr>
          <w:kern w:val="22"/>
          <w:szCs w:val="22"/>
          <w:lang w:val="fr-FR"/>
        </w:rPr>
        <w:t>sexospécifiques</w:t>
      </w:r>
      <w:proofErr w:type="spellEnd"/>
      <w:r w:rsidR="00AB649F" w:rsidRPr="00AB649F">
        <w:rPr>
          <w:kern w:val="22"/>
          <w:szCs w:val="22"/>
          <w:lang w:val="fr-FR"/>
        </w:rPr>
        <w:t>.</w:t>
      </w:r>
      <w:r w:rsidR="00B37586" w:rsidRPr="00C91779">
        <w:rPr>
          <w:kern w:val="22"/>
          <w:szCs w:val="22"/>
        </w:rPr>
        <w:t xml:space="preserve"> </w:t>
      </w:r>
      <w:r w:rsidR="00AB649F" w:rsidRPr="00AB649F">
        <w:rPr>
          <w:kern w:val="22"/>
          <w:szCs w:val="22"/>
          <w:lang w:val="fr-FR"/>
        </w:rPr>
        <w:t xml:space="preserve">Cet examen a produit des résultats similaires à ceux de l’examen précédemment conduit par le Bureau mondial du genre de l’UICN </w:t>
      </w:r>
      <w:r w:rsidR="00862FD2">
        <w:rPr>
          <w:kern w:val="22"/>
          <w:szCs w:val="22"/>
          <w:lang w:val="fr-FR"/>
        </w:rPr>
        <w:t>au sujet d</w:t>
      </w:r>
      <w:r w:rsidR="00AB649F" w:rsidRPr="00AB649F">
        <w:rPr>
          <w:kern w:val="22"/>
          <w:szCs w:val="22"/>
          <w:lang w:val="fr-FR"/>
        </w:rPr>
        <w:t xml:space="preserve">es stratégies et plans d’action nationaux reçus par le Secrétariat de 1993 à </w:t>
      </w:r>
      <w:r w:rsidR="00993C65">
        <w:rPr>
          <w:kern w:val="22"/>
          <w:szCs w:val="22"/>
          <w:lang w:val="fr-FR"/>
        </w:rPr>
        <w:t>mai</w:t>
      </w:r>
      <w:r w:rsidR="00AB649F" w:rsidRPr="00AB649F">
        <w:rPr>
          <w:kern w:val="22"/>
          <w:szCs w:val="22"/>
          <w:lang w:val="fr-FR"/>
        </w:rPr>
        <w:t xml:space="preserve"> 2016</w:t>
      </w:r>
      <w:r w:rsidR="00B37586" w:rsidRPr="00C91779">
        <w:rPr>
          <w:rStyle w:val="Appelnotedebasdep"/>
          <w:kern w:val="22"/>
          <w:sz w:val="22"/>
          <w:szCs w:val="22"/>
          <w:u w:val="none"/>
          <w:vertAlign w:val="superscript"/>
        </w:rPr>
        <w:footnoteReference w:id="6"/>
      </w:r>
      <w:r w:rsidR="009B6908">
        <w:rPr>
          <w:kern w:val="22"/>
          <w:szCs w:val="22"/>
          <w:lang w:val="fr-FR"/>
        </w:rPr>
        <w:t>.</w:t>
      </w:r>
      <w:r w:rsidR="00B37586" w:rsidRPr="00C91779">
        <w:rPr>
          <w:kern w:val="22"/>
          <w:szCs w:val="22"/>
        </w:rPr>
        <w:t xml:space="preserve"> </w:t>
      </w:r>
      <w:r w:rsidR="00AB649F" w:rsidRPr="00AB56FF">
        <w:rPr>
          <w:kern w:val="22"/>
          <w:szCs w:val="22"/>
          <w:lang w:val="fr-FR"/>
        </w:rPr>
        <w:t xml:space="preserve">L’examen </w:t>
      </w:r>
      <w:r w:rsidR="00F173E8">
        <w:rPr>
          <w:kern w:val="22"/>
          <w:szCs w:val="22"/>
          <w:lang w:val="fr-FR"/>
        </w:rPr>
        <w:t>effectué</w:t>
      </w:r>
      <w:r w:rsidR="00AB649F" w:rsidRPr="00AB56FF">
        <w:rPr>
          <w:kern w:val="22"/>
          <w:szCs w:val="22"/>
          <w:lang w:val="fr-FR"/>
        </w:rPr>
        <w:t xml:space="preserve"> par le Secrétariat a révélé que moins de la moitié des stratégies et plans d’actions nationaux mis en œuvre après l’adoption </w:t>
      </w:r>
      <w:r w:rsidR="001341C0">
        <w:rPr>
          <w:kern w:val="22"/>
          <w:szCs w:val="22"/>
          <w:lang w:val="fr-FR"/>
        </w:rPr>
        <w:t>du Protocole de Nagoya incluai</w:t>
      </w:r>
      <w:r w:rsidR="00AB649F" w:rsidRPr="00AB56FF">
        <w:rPr>
          <w:kern w:val="22"/>
          <w:szCs w:val="22"/>
          <w:lang w:val="fr-FR"/>
        </w:rPr>
        <w:t>t une référence aux problématiques d</w:t>
      </w:r>
      <w:r w:rsidR="00F173E8">
        <w:rPr>
          <w:kern w:val="22"/>
          <w:szCs w:val="22"/>
          <w:lang w:val="fr-FR"/>
        </w:rPr>
        <w:t>e l’égalité entre les sexes ou de</w:t>
      </w:r>
      <w:r w:rsidR="00AB649F" w:rsidRPr="00AB56FF">
        <w:rPr>
          <w:kern w:val="22"/>
          <w:szCs w:val="22"/>
          <w:lang w:val="fr-FR"/>
        </w:rPr>
        <w:t xml:space="preserve"> la condition féminine, et qu</w:t>
      </w:r>
      <w:r w:rsidR="001341C0">
        <w:rPr>
          <w:kern w:val="22"/>
          <w:szCs w:val="22"/>
          <w:lang w:val="fr-FR"/>
        </w:rPr>
        <w:t>’un tiers des plans tenai</w:t>
      </w:r>
      <w:r w:rsidR="00AB649F" w:rsidRPr="00AB56FF">
        <w:rPr>
          <w:kern w:val="22"/>
          <w:szCs w:val="22"/>
          <w:lang w:val="fr-FR"/>
        </w:rPr>
        <w:t xml:space="preserve">t compte de considérations </w:t>
      </w:r>
      <w:proofErr w:type="spellStart"/>
      <w:r w:rsidR="00AB649F" w:rsidRPr="00AB56FF">
        <w:rPr>
          <w:kern w:val="22"/>
          <w:szCs w:val="22"/>
          <w:lang w:val="fr-FR"/>
        </w:rPr>
        <w:t>sexospécifiques</w:t>
      </w:r>
      <w:proofErr w:type="spellEnd"/>
      <w:r w:rsidR="00AB56FF" w:rsidRPr="00AB56FF">
        <w:rPr>
          <w:kern w:val="22"/>
          <w:szCs w:val="22"/>
          <w:lang w:val="fr-FR"/>
        </w:rPr>
        <w:t xml:space="preserve"> dans</w:t>
      </w:r>
      <w:r w:rsidR="00F173E8">
        <w:rPr>
          <w:kern w:val="22"/>
          <w:szCs w:val="22"/>
          <w:lang w:val="fr-FR"/>
        </w:rPr>
        <w:t xml:space="preserve"> l</w:t>
      </w:r>
      <w:r w:rsidR="00AB56FF" w:rsidRPr="00AB56FF">
        <w:rPr>
          <w:kern w:val="22"/>
          <w:szCs w:val="22"/>
          <w:lang w:val="fr-FR"/>
        </w:rPr>
        <w:t>es mesures ou buts nationaux relevant d’un objectif national.</w:t>
      </w:r>
      <w:r w:rsidR="00B37586" w:rsidRPr="00C91779">
        <w:rPr>
          <w:kern w:val="22"/>
          <w:szCs w:val="22"/>
        </w:rPr>
        <w:t xml:space="preserve"> </w:t>
      </w:r>
      <w:r w:rsidR="00AB56FF" w:rsidRPr="00AB56FF">
        <w:rPr>
          <w:kern w:val="22"/>
          <w:szCs w:val="22"/>
          <w:lang w:val="fr-FR"/>
        </w:rPr>
        <w:t xml:space="preserve">La </w:t>
      </w:r>
      <w:r w:rsidR="001341C0">
        <w:rPr>
          <w:kern w:val="22"/>
          <w:szCs w:val="22"/>
          <w:lang w:val="fr-FR"/>
        </w:rPr>
        <w:t>majorité des actions concernai</w:t>
      </w:r>
      <w:r w:rsidR="00AB56FF" w:rsidRPr="00AB56FF">
        <w:rPr>
          <w:kern w:val="22"/>
          <w:szCs w:val="22"/>
          <w:lang w:val="fr-FR"/>
        </w:rPr>
        <w:t xml:space="preserve">t la </w:t>
      </w:r>
      <w:r w:rsidR="00F173E8">
        <w:rPr>
          <w:kern w:val="22"/>
          <w:szCs w:val="22"/>
          <w:lang w:val="fr-FR"/>
        </w:rPr>
        <w:t xml:space="preserve">sensibilisation et la participation </w:t>
      </w:r>
      <w:r w:rsidR="00AB56FF" w:rsidRPr="00AB56FF">
        <w:rPr>
          <w:kern w:val="22"/>
          <w:szCs w:val="22"/>
          <w:lang w:val="fr-FR"/>
        </w:rPr>
        <w:t xml:space="preserve">des femmes aux questions relatives à la conservation de la </w:t>
      </w:r>
      <w:r w:rsidR="000A4182" w:rsidRPr="000A4182">
        <w:rPr>
          <w:kern w:val="22"/>
          <w:szCs w:val="22"/>
          <w:lang w:val="fr-FR"/>
        </w:rPr>
        <w:t>biodiversité</w:t>
      </w:r>
      <w:r w:rsidR="00AB56FF" w:rsidRPr="00AB56FF">
        <w:rPr>
          <w:kern w:val="22"/>
          <w:szCs w:val="22"/>
          <w:lang w:val="fr-FR"/>
        </w:rPr>
        <w:t>.</w:t>
      </w:r>
    </w:p>
    <w:p w:rsidR="00B37586" w:rsidRPr="00C91779" w:rsidRDefault="00AB56FF" w:rsidP="006A241A">
      <w:pPr>
        <w:pStyle w:val="Para1"/>
        <w:suppressLineNumbers/>
        <w:tabs>
          <w:tab w:val="clear" w:pos="360"/>
        </w:tabs>
        <w:suppressAutoHyphens/>
        <w:kinsoku w:val="0"/>
        <w:overflowPunct w:val="0"/>
        <w:autoSpaceDE w:val="0"/>
        <w:autoSpaceDN w:val="0"/>
        <w:adjustRightInd w:val="0"/>
        <w:snapToGrid w:val="0"/>
        <w:spacing w:before="0" w:after="0"/>
        <w:rPr>
          <w:kern w:val="22"/>
          <w:szCs w:val="22"/>
        </w:rPr>
      </w:pPr>
      <w:r w:rsidRPr="00AB56FF">
        <w:rPr>
          <w:kern w:val="22"/>
          <w:szCs w:val="22"/>
          <w:lang w:val="fr-FR"/>
        </w:rPr>
        <w:t xml:space="preserve">Les </w:t>
      </w:r>
      <w:r w:rsidR="00A11DA9" w:rsidRPr="00AB56FF">
        <w:rPr>
          <w:kern w:val="22"/>
          <w:szCs w:val="22"/>
          <w:lang w:val="fr-FR"/>
        </w:rPr>
        <w:t>stratégies et plans d’action nationaux pour la diversité biologique</w:t>
      </w:r>
      <w:r w:rsidR="00A11DA9">
        <w:rPr>
          <w:kern w:val="22"/>
          <w:szCs w:val="22"/>
          <w:lang w:val="fr-FR"/>
        </w:rPr>
        <w:t xml:space="preserve"> ont principalement classé les </w:t>
      </w:r>
      <w:r w:rsidRPr="00AB56FF">
        <w:rPr>
          <w:kern w:val="22"/>
          <w:szCs w:val="22"/>
          <w:lang w:val="fr-FR"/>
        </w:rPr>
        <w:t xml:space="preserve">femmes </w:t>
      </w:r>
      <w:r w:rsidR="00A11DA9">
        <w:rPr>
          <w:kern w:val="22"/>
          <w:szCs w:val="22"/>
          <w:lang w:val="fr-FR"/>
        </w:rPr>
        <w:t>parmi les</w:t>
      </w:r>
      <w:r w:rsidRPr="00AB56FF">
        <w:rPr>
          <w:kern w:val="22"/>
          <w:szCs w:val="22"/>
          <w:lang w:val="fr-FR"/>
        </w:rPr>
        <w:t xml:space="preserve"> groupe</w:t>
      </w:r>
      <w:r w:rsidR="00A11DA9">
        <w:rPr>
          <w:kern w:val="22"/>
          <w:szCs w:val="22"/>
          <w:lang w:val="fr-FR"/>
        </w:rPr>
        <w:t>s</w:t>
      </w:r>
      <w:r w:rsidRPr="00AB56FF">
        <w:rPr>
          <w:kern w:val="22"/>
          <w:szCs w:val="22"/>
          <w:lang w:val="fr-FR"/>
        </w:rPr>
        <w:t xml:space="preserve"> vulnérable</w:t>
      </w:r>
      <w:r w:rsidR="00A11DA9">
        <w:rPr>
          <w:kern w:val="22"/>
          <w:szCs w:val="22"/>
          <w:lang w:val="fr-FR"/>
        </w:rPr>
        <w:t>s,</w:t>
      </w:r>
      <w:r w:rsidRPr="00AB56FF">
        <w:rPr>
          <w:kern w:val="22"/>
          <w:szCs w:val="22"/>
          <w:lang w:val="fr-FR"/>
        </w:rPr>
        <w:t xml:space="preserve"> au même titre que les jeunes, et les femmes rurales, </w:t>
      </w:r>
      <w:r w:rsidR="00A11DA9">
        <w:rPr>
          <w:kern w:val="22"/>
          <w:szCs w:val="22"/>
          <w:lang w:val="fr-FR"/>
        </w:rPr>
        <w:t>parmi les</w:t>
      </w:r>
      <w:r w:rsidRPr="00AB56FF">
        <w:rPr>
          <w:kern w:val="22"/>
          <w:szCs w:val="22"/>
          <w:lang w:val="fr-FR"/>
        </w:rPr>
        <w:t xml:space="preserve"> groupe</w:t>
      </w:r>
      <w:r w:rsidR="00A11DA9">
        <w:rPr>
          <w:kern w:val="22"/>
          <w:szCs w:val="22"/>
          <w:lang w:val="fr-FR"/>
        </w:rPr>
        <w:t>s</w:t>
      </w:r>
      <w:r w:rsidRPr="00AB56FF">
        <w:rPr>
          <w:kern w:val="22"/>
          <w:szCs w:val="22"/>
          <w:lang w:val="fr-FR"/>
        </w:rPr>
        <w:t xml:space="preserve"> particulièrement vulnérable</w:t>
      </w:r>
      <w:r w:rsidR="00A11DA9">
        <w:rPr>
          <w:kern w:val="22"/>
          <w:szCs w:val="22"/>
          <w:lang w:val="fr-FR"/>
        </w:rPr>
        <w:t>s</w:t>
      </w:r>
      <w:r w:rsidRPr="00AB56FF">
        <w:rPr>
          <w:kern w:val="22"/>
          <w:szCs w:val="22"/>
          <w:lang w:val="fr-FR"/>
        </w:rPr>
        <w:t xml:space="preserve"> ou group</w:t>
      </w:r>
      <w:r>
        <w:rPr>
          <w:kern w:val="22"/>
          <w:szCs w:val="22"/>
          <w:lang w:val="fr-FR"/>
        </w:rPr>
        <w:t>e</w:t>
      </w:r>
      <w:r w:rsidR="00A11DA9">
        <w:rPr>
          <w:kern w:val="22"/>
          <w:szCs w:val="22"/>
          <w:lang w:val="fr-FR"/>
        </w:rPr>
        <w:t>s</w:t>
      </w:r>
      <w:r>
        <w:rPr>
          <w:kern w:val="22"/>
          <w:szCs w:val="22"/>
          <w:lang w:val="fr-FR"/>
        </w:rPr>
        <w:t>-</w:t>
      </w:r>
      <w:r w:rsidRPr="00AB56FF">
        <w:rPr>
          <w:kern w:val="22"/>
          <w:szCs w:val="22"/>
          <w:lang w:val="fr-FR"/>
        </w:rPr>
        <w:t>cible</w:t>
      </w:r>
      <w:r w:rsidR="00A11DA9">
        <w:rPr>
          <w:kern w:val="22"/>
          <w:szCs w:val="22"/>
          <w:lang w:val="fr-FR"/>
        </w:rPr>
        <w:t>s</w:t>
      </w:r>
      <w:r w:rsidRPr="00AB56FF">
        <w:rPr>
          <w:kern w:val="22"/>
          <w:szCs w:val="22"/>
          <w:lang w:val="fr-FR"/>
        </w:rPr>
        <w:t>.</w:t>
      </w:r>
      <w:r w:rsidR="00B37586" w:rsidRPr="00C91779">
        <w:rPr>
          <w:kern w:val="22"/>
          <w:szCs w:val="22"/>
        </w:rPr>
        <w:t xml:space="preserve"> </w:t>
      </w:r>
      <w:r w:rsidRPr="00AB56FF">
        <w:rPr>
          <w:kern w:val="22"/>
          <w:szCs w:val="22"/>
          <w:lang w:val="fr-FR"/>
        </w:rPr>
        <w:t xml:space="preserve">La présence insuffisante des femmes parmi les parties prenantes a été considérée comme un obstacle à la conservation de la </w:t>
      </w:r>
      <w:r w:rsidR="000A4182" w:rsidRPr="000A4182">
        <w:rPr>
          <w:kern w:val="22"/>
          <w:szCs w:val="22"/>
          <w:lang w:val="fr-FR"/>
        </w:rPr>
        <w:t>biodiversité</w:t>
      </w:r>
      <w:r w:rsidRPr="00AB56FF">
        <w:rPr>
          <w:kern w:val="22"/>
          <w:szCs w:val="22"/>
          <w:lang w:val="fr-FR"/>
        </w:rPr>
        <w:t xml:space="preserve">, ou une cause </w:t>
      </w:r>
      <w:r w:rsidR="00A11DA9">
        <w:rPr>
          <w:kern w:val="22"/>
          <w:szCs w:val="22"/>
          <w:lang w:val="fr-FR"/>
        </w:rPr>
        <w:t xml:space="preserve">indirecte </w:t>
      </w:r>
      <w:r w:rsidRPr="00AB56FF">
        <w:rPr>
          <w:kern w:val="22"/>
          <w:szCs w:val="22"/>
          <w:lang w:val="fr-FR"/>
        </w:rPr>
        <w:t>de son appauvrissement, dans quelque 21 % d</w:t>
      </w:r>
      <w:r w:rsidR="00A11DA9">
        <w:rPr>
          <w:kern w:val="22"/>
          <w:szCs w:val="22"/>
          <w:lang w:val="fr-FR"/>
        </w:rPr>
        <w:t>es stratégies et plans d’action</w:t>
      </w:r>
      <w:r w:rsidRPr="00AB56FF">
        <w:rPr>
          <w:kern w:val="22"/>
          <w:szCs w:val="22"/>
          <w:lang w:val="fr-FR"/>
        </w:rPr>
        <w:t>.</w:t>
      </w:r>
      <w:r w:rsidR="00B37586" w:rsidRPr="00C91779">
        <w:rPr>
          <w:kern w:val="22"/>
          <w:szCs w:val="22"/>
        </w:rPr>
        <w:t xml:space="preserve"> </w:t>
      </w:r>
      <w:r w:rsidRPr="005468D5">
        <w:rPr>
          <w:kern w:val="22"/>
          <w:szCs w:val="22"/>
          <w:lang w:val="fr-FR"/>
        </w:rPr>
        <w:t>Si ces derniers n’ont pas tous recensé les actions destinées à résoudre ces difficultés</w:t>
      </w:r>
      <w:r w:rsidR="00A11DA9">
        <w:rPr>
          <w:kern w:val="22"/>
          <w:szCs w:val="22"/>
          <w:lang w:val="fr-FR"/>
        </w:rPr>
        <w:t xml:space="preserve"> </w:t>
      </w:r>
      <w:proofErr w:type="spellStart"/>
      <w:r w:rsidR="00A11DA9">
        <w:rPr>
          <w:kern w:val="22"/>
          <w:szCs w:val="22"/>
          <w:lang w:val="fr-FR"/>
        </w:rPr>
        <w:t>sexospécifiques</w:t>
      </w:r>
      <w:proofErr w:type="spellEnd"/>
      <w:r w:rsidRPr="005468D5">
        <w:rPr>
          <w:kern w:val="22"/>
          <w:szCs w:val="22"/>
          <w:lang w:val="fr-FR"/>
        </w:rPr>
        <w:t>, ils ont pris acte de l’inciden</w:t>
      </w:r>
      <w:r w:rsidR="00EF2F88">
        <w:rPr>
          <w:kern w:val="22"/>
          <w:szCs w:val="22"/>
          <w:lang w:val="fr-FR"/>
        </w:rPr>
        <w:t>ce exercée par l’égalité d</w:t>
      </w:r>
      <w:r w:rsidRPr="005468D5">
        <w:rPr>
          <w:kern w:val="22"/>
          <w:szCs w:val="22"/>
          <w:lang w:val="fr-FR"/>
        </w:rPr>
        <w:t xml:space="preserve">es sexes sur les objectifs </w:t>
      </w:r>
      <w:r w:rsidR="005468D5" w:rsidRPr="005468D5">
        <w:rPr>
          <w:kern w:val="22"/>
          <w:szCs w:val="22"/>
          <w:lang w:val="fr-FR"/>
        </w:rPr>
        <w:t>relatifs à la</w:t>
      </w:r>
      <w:r w:rsidRPr="005468D5">
        <w:rPr>
          <w:kern w:val="22"/>
          <w:szCs w:val="22"/>
          <w:lang w:val="fr-FR"/>
        </w:rPr>
        <w:t xml:space="preserve"> </w:t>
      </w:r>
      <w:r w:rsidR="000A4182" w:rsidRPr="000A4182">
        <w:rPr>
          <w:kern w:val="22"/>
          <w:szCs w:val="22"/>
          <w:lang w:val="fr-FR"/>
        </w:rPr>
        <w:t>biodiversité</w:t>
      </w:r>
      <w:r w:rsidR="005468D5" w:rsidRPr="005468D5">
        <w:rPr>
          <w:kern w:val="22"/>
          <w:szCs w:val="22"/>
          <w:lang w:val="fr-FR"/>
        </w:rPr>
        <w:t xml:space="preserve">, ce qui constitue une avancée dans l’intégration des </w:t>
      </w:r>
      <w:r w:rsidR="00A11DA9">
        <w:rPr>
          <w:kern w:val="22"/>
          <w:szCs w:val="22"/>
          <w:lang w:val="fr-FR"/>
        </w:rPr>
        <w:t>problématiques hommes-femmes</w:t>
      </w:r>
      <w:r w:rsidR="005468D5" w:rsidRPr="005468D5">
        <w:rPr>
          <w:kern w:val="22"/>
          <w:szCs w:val="22"/>
          <w:lang w:val="fr-FR"/>
        </w:rPr>
        <w:t xml:space="preserve">, étant entendu que de nombreux plans </w:t>
      </w:r>
      <w:r w:rsidR="00A11DA9">
        <w:rPr>
          <w:kern w:val="22"/>
          <w:szCs w:val="22"/>
          <w:lang w:val="fr-FR"/>
        </w:rPr>
        <w:t>n’établissent pas</w:t>
      </w:r>
      <w:r w:rsidR="005468D5" w:rsidRPr="005468D5">
        <w:rPr>
          <w:kern w:val="22"/>
          <w:szCs w:val="22"/>
          <w:lang w:val="fr-FR"/>
        </w:rPr>
        <w:t xml:space="preserve"> ce lien clairement.</w:t>
      </w:r>
      <w:r w:rsidR="00B37586" w:rsidRPr="00C91779">
        <w:rPr>
          <w:kern w:val="22"/>
          <w:szCs w:val="22"/>
        </w:rPr>
        <w:t xml:space="preserve"> </w:t>
      </w:r>
      <w:r w:rsidR="005468D5" w:rsidRPr="000A2CDA">
        <w:rPr>
          <w:kern w:val="22"/>
          <w:szCs w:val="22"/>
          <w:lang w:val="fr-FR"/>
        </w:rPr>
        <w:t xml:space="preserve">Plusieurs pays ayant recensé les actions entreprises </w:t>
      </w:r>
      <w:r w:rsidR="000A2CDA" w:rsidRPr="000A2CDA">
        <w:rPr>
          <w:kern w:val="22"/>
          <w:szCs w:val="22"/>
          <w:lang w:val="fr-FR"/>
        </w:rPr>
        <w:t>dans le domaine de</w:t>
      </w:r>
      <w:r w:rsidR="005468D5" w:rsidRPr="000A2CDA">
        <w:rPr>
          <w:kern w:val="22"/>
          <w:szCs w:val="22"/>
          <w:lang w:val="fr-FR"/>
        </w:rPr>
        <w:t xml:space="preserve"> l’égalité </w:t>
      </w:r>
      <w:r w:rsidR="00A11DA9">
        <w:rPr>
          <w:kern w:val="22"/>
          <w:szCs w:val="22"/>
          <w:lang w:val="fr-FR"/>
        </w:rPr>
        <w:t>d</w:t>
      </w:r>
      <w:r w:rsidR="005468D5" w:rsidRPr="000A2CDA">
        <w:rPr>
          <w:kern w:val="22"/>
          <w:szCs w:val="22"/>
          <w:lang w:val="fr-FR"/>
        </w:rPr>
        <w:t>es sexes ont souligné la nécessité</w:t>
      </w:r>
      <w:r w:rsidR="000A2CDA" w:rsidRPr="000A2CDA">
        <w:rPr>
          <w:kern w:val="22"/>
          <w:szCs w:val="22"/>
          <w:lang w:val="fr-FR"/>
        </w:rPr>
        <w:t xml:space="preserve"> </w:t>
      </w:r>
      <w:r w:rsidR="00A11DA9">
        <w:rPr>
          <w:kern w:val="22"/>
          <w:szCs w:val="22"/>
          <w:lang w:val="fr-FR"/>
        </w:rPr>
        <w:t>d’améliorer</w:t>
      </w:r>
      <w:r w:rsidR="000A2CDA" w:rsidRPr="000A2CDA">
        <w:rPr>
          <w:kern w:val="22"/>
          <w:szCs w:val="22"/>
          <w:lang w:val="fr-FR"/>
        </w:rPr>
        <w:t xml:space="preserve"> l’information et les connaissan</w:t>
      </w:r>
      <w:r w:rsidR="00A11DA9">
        <w:rPr>
          <w:kern w:val="22"/>
          <w:szCs w:val="22"/>
          <w:lang w:val="fr-FR"/>
        </w:rPr>
        <w:t>ces à son sujet</w:t>
      </w:r>
      <w:r w:rsidR="000A2CDA" w:rsidRPr="000A2CDA">
        <w:rPr>
          <w:kern w:val="22"/>
          <w:szCs w:val="22"/>
          <w:lang w:val="fr-FR"/>
        </w:rPr>
        <w:t>.</w:t>
      </w:r>
      <w:r w:rsidR="00C51BE8" w:rsidRPr="00C91779">
        <w:rPr>
          <w:kern w:val="22"/>
          <w:szCs w:val="22"/>
        </w:rPr>
        <w:t xml:space="preserve"> </w:t>
      </w:r>
      <w:r w:rsidR="00A11DA9">
        <w:rPr>
          <w:kern w:val="22"/>
          <w:szCs w:val="22"/>
          <w:lang w:val="fr-FR"/>
        </w:rPr>
        <w:t xml:space="preserve">La Jamaïque a constaté </w:t>
      </w:r>
      <w:r w:rsidR="000A2CDA" w:rsidRPr="006A241A">
        <w:rPr>
          <w:kern w:val="22"/>
          <w:szCs w:val="22"/>
          <w:lang w:val="fr-FR"/>
        </w:rPr>
        <w:t>que les écarts existant entre les hommes et les femmes restent mal compris sur son territoire, notamment le</w:t>
      </w:r>
      <w:r w:rsidR="00276BA9">
        <w:rPr>
          <w:kern w:val="22"/>
          <w:szCs w:val="22"/>
          <w:lang w:val="fr-FR"/>
        </w:rPr>
        <w:t>ur</w:t>
      </w:r>
      <w:r w:rsidR="000A2CDA" w:rsidRPr="006A241A">
        <w:rPr>
          <w:kern w:val="22"/>
          <w:szCs w:val="22"/>
          <w:lang w:val="fr-FR"/>
        </w:rPr>
        <w:t xml:space="preserve">s rôles </w:t>
      </w:r>
      <w:r w:rsidR="00A11DA9">
        <w:rPr>
          <w:kern w:val="22"/>
          <w:szCs w:val="22"/>
          <w:lang w:val="fr-FR"/>
        </w:rPr>
        <w:t>et le</w:t>
      </w:r>
      <w:r w:rsidR="00276BA9">
        <w:rPr>
          <w:kern w:val="22"/>
          <w:szCs w:val="22"/>
          <w:lang w:val="fr-FR"/>
        </w:rPr>
        <w:t>ur</w:t>
      </w:r>
      <w:r w:rsidR="00A11DA9">
        <w:rPr>
          <w:kern w:val="22"/>
          <w:szCs w:val="22"/>
          <w:lang w:val="fr-FR"/>
        </w:rPr>
        <w:t xml:space="preserve">s attentes </w:t>
      </w:r>
      <w:r w:rsidR="000A2CDA" w:rsidRPr="006A241A">
        <w:rPr>
          <w:kern w:val="22"/>
          <w:szCs w:val="22"/>
          <w:lang w:val="fr-FR"/>
        </w:rPr>
        <w:t>dans l</w:t>
      </w:r>
      <w:r w:rsidR="00276BA9">
        <w:rPr>
          <w:kern w:val="22"/>
          <w:szCs w:val="22"/>
          <w:lang w:val="fr-FR"/>
        </w:rPr>
        <w:t>e domaine de l</w:t>
      </w:r>
      <w:r w:rsidR="000A2CDA" w:rsidRPr="006A241A">
        <w:rPr>
          <w:kern w:val="22"/>
          <w:szCs w:val="22"/>
          <w:lang w:val="fr-FR"/>
        </w:rPr>
        <w:t>a</w:t>
      </w:r>
      <w:r w:rsidR="006A241A" w:rsidRPr="006A241A">
        <w:rPr>
          <w:kern w:val="22"/>
          <w:szCs w:val="22"/>
          <w:lang w:val="fr-FR"/>
        </w:rPr>
        <w:t xml:space="preserve"> conservation de la</w:t>
      </w:r>
      <w:r w:rsidR="000A2CDA" w:rsidRPr="006A241A">
        <w:rPr>
          <w:kern w:val="22"/>
          <w:szCs w:val="22"/>
          <w:lang w:val="fr-FR"/>
        </w:rPr>
        <w:t xml:space="preserve"> </w:t>
      </w:r>
      <w:r w:rsidR="000A4182" w:rsidRPr="000A4182">
        <w:rPr>
          <w:kern w:val="22"/>
          <w:szCs w:val="22"/>
          <w:lang w:val="fr-FR"/>
        </w:rPr>
        <w:t>biodiversité</w:t>
      </w:r>
      <w:r w:rsidR="006A241A" w:rsidRPr="006A241A">
        <w:rPr>
          <w:kern w:val="22"/>
          <w:szCs w:val="22"/>
          <w:lang w:val="fr-FR"/>
        </w:rPr>
        <w:t>.</w:t>
      </w:r>
      <w:r w:rsidR="00B37586" w:rsidRPr="00C91779">
        <w:rPr>
          <w:kern w:val="22"/>
          <w:szCs w:val="22"/>
        </w:rPr>
        <w:t xml:space="preserve"> </w:t>
      </w:r>
      <w:r w:rsidR="006A241A" w:rsidRPr="006A241A">
        <w:rPr>
          <w:kern w:val="22"/>
          <w:szCs w:val="22"/>
          <w:lang w:val="fr-FR"/>
        </w:rPr>
        <w:t xml:space="preserve">Le Brésil s’efforce d’améliorer les recherches scientifiques et les bases de données existantes </w:t>
      </w:r>
      <w:r w:rsidR="00276BA9">
        <w:rPr>
          <w:kern w:val="22"/>
          <w:szCs w:val="22"/>
          <w:lang w:val="fr-FR"/>
        </w:rPr>
        <w:t>qu’il</w:t>
      </w:r>
      <w:r w:rsidR="006A241A" w:rsidRPr="006A241A">
        <w:rPr>
          <w:kern w:val="22"/>
          <w:szCs w:val="22"/>
          <w:lang w:val="fr-FR"/>
        </w:rPr>
        <w:t xml:space="preserve"> </w:t>
      </w:r>
      <w:r w:rsidR="00276BA9">
        <w:rPr>
          <w:kern w:val="22"/>
          <w:szCs w:val="22"/>
          <w:lang w:val="fr-FR"/>
        </w:rPr>
        <w:t>estime</w:t>
      </w:r>
      <w:r w:rsidR="006A241A" w:rsidRPr="006A241A">
        <w:rPr>
          <w:kern w:val="22"/>
          <w:szCs w:val="22"/>
          <w:lang w:val="fr-FR"/>
        </w:rPr>
        <w:t xml:space="preserve"> essentielles à la résolution des inégalités hommes-femmes.</w:t>
      </w:r>
    </w:p>
    <w:p w:rsidR="00B37586" w:rsidRPr="00C91779" w:rsidRDefault="006A241A" w:rsidP="006F02B4">
      <w:pPr>
        <w:pStyle w:val="Para1"/>
        <w:suppressLineNumbers/>
        <w:tabs>
          <w:tab w:val="clear" w:pos="360"/>
        </w:tabs>
        <w:suppressAutoHyphens/>
        <w:kinsoku w:val="0"/>
        <w:overflowPunct w:val="0"/>
        <w:autoSpaceDE w:val="0"/>
        <w:autoSpaceDN w:val="0"/>
        <w:adjustRightInd w:val="0"/>
        <w:snapToGrid w:val="0"/>
        <w:rPr>
          <w:kern w:val="22"/>
          <w:szCs w:val="22"/>
        </w:rPr>
      </w:pPr>
      <w:r w:rsidRPr="006F02B4">
        <w:rPr>
          <w:kern w:val="22"/>
          <w:szCs w:val="22"/>
          <w:lang w:val="fr-FR"/>
        </w:rPr>
        <w:t xml:space="preserve">Dans l’ensemble, </w:t>
      </w:r>
      <w:r w:rsidR="00276BA9">
        <w:rPr>
          <w:kern w:val="22"/>
          <w:szCs w:val="22"/>
          <w:lang w:val="fr-FR"/>
        </w:rPr>
        <w:t xml:space="preserve">et </w:t>
      </w:r>
      <w:r w:rsidRPr="006F02B4">
        <w:rPr>
          <w:kern w:val="22"/>
          <w:szCs w:val="22"/>
          <w:lang w:val="fr-FR"/>
        </w:rPr>
        <w:t xml:space="preserve">notamment parmi les pays ayant </w:t>
      </w:r>
      <w:r w:rsidR="00EF2F88">
        <w:rPr>
          <w:kern w:val="22"/>
          <w:szCs w:val="22"/>
          <w:lang w:val="fr-FR"/>
        </w:rPr>
        <w:t>pris pour principe</w:t>
      </w:r>
      <w:r w:rsidRPr="006F02B4">
        <w:rPr>
          <w:kern w:val="22"/>
          <w:szCs w:val="22"/>
          <w:lang w:val="fr-FR"/>
        </w:rPr>
        <w:t xml:space="preserve"> l’égalité </w:t>
      </w:r>
      <w:r w:rsidR="00EF2F88">
        <w:rPr>
          <w:kern w:val="22"/>
          <w:szCs w:val="22"/>
          <w:lang w:val="fr-FR"/>
        </w:rPr>
        <w:t>des sexes,</w:t>
      </w:r>
      <w:r w:rsidR="00AC4563">
        <w:rPr>
          <w:kern w:val="22"/>
          <w:szCs w:val="22"/>
          <w:lang w:val="fr-FR"/>
        </w:rPr>
        <w:t xml:space="preserve"> ou souligné le caractère nuisible de </w:t>
      </w:r>
      <w:r w:rsidRPr="006F02B4">
        <w:rPr>
          <w:kern w:val="22"/>
          <w:szCs w:val="22"/>
          <w:lang w:val="fr-FR"/>
        </w:rPr>
        <w:t xml:space="preserve">l’insuffisante présence des femmes parmi les parties prenantes </w:t>
      </w:r>
      <w:r w:rsidR="00AC4563">
        <w:rPr>
          <w:kern w:val="22"/>
          <w:szCs w:val="22"/>
          <w:lang w:val="fr-FR"/>
        </w:rPr>
        <w:t xml:space="preserve">pour </w:t>
      </w:r>
      <w:r w:rsidRPr="006F02B4">
        <w:rPr>
          <w:kern w:val="22"/>
          <w:szCs w:val="22"/>
          <w:lang w:val="fr-FR"/>
        </w:rPr>
        <w:t xml:space="preserve">la conservation de la </w:t>
      </w:r>
      <w:r w:rsidR="000A4182" w:rsidRPr="000A4182">
        <w:rPr>
          <w:kern w:val="22"/>
          <w:szCs w:val="22"/>
          <w:lang w:val="fr-FR"/>
        </w:rPr>
        <w:t>biodiversité</w:t>
      </w:r>
      <w:r w:rsidRPr="006F02B4">
        <w:rPr>
          <w:kern w:val="22"/>
          <w:szCs w:val="22"/>
          <w:lang w:val="fr-FR"/>
        </w:rPr>
        <w:t xml:space="preserve">, </w:t>
      </w:r>
      <w:r w:rsidR="00AC4563">
        <w:rPr>
          <w:kern w:val="22"/>
          <w:szCs w:val="22"/>
          <w:lang w:val="fr-FR"/>
        </w:rPr>
        <w:t xml:space="preserve">les </w:t>
      </w:r>
      <w:r w:rsidR="006F02B4" w:rsidRPr="006F02B4">
        <w:rPr>
          <w:kern w:val="22"/>
          <w:szCs w:val="22"/>
          <w:lang w:val="fr-FR"/>
        </w:rPr>
        <w:t xml:space="preserve">informations </w:t>
      </w:r>
      <w:r w:rsidR="00AC4563">
        <w:rPr>
          <w:kern w:val="22"/>
          <w:szCs w:val="22"/>
          <w:lang w:val="fr-FR"/>
        </w:rPr>
        <w:t xml:space="preserve">sont rares </w:t>
      </w:r>
      <w:r w:rsidR="006F02B4" w:rsidRPr="006F02B4">
        <w:rPr>
          <w:kern w:val="22"/>
          <w:szCs w:val="22"/>
          <w:lang w:val="fr-FR"/>
        </w:rPr>
        <w:t xml:space="preserve">sur les stratégies et </w:t>
      </w:r>
      <w:r w:rsidR="00AC4563">
        <w:rPr>
          <w:kern w:val="22"/>
          <w:szCs w:val="22"/>
          <w:lang w:val="fr-FR"/>
        </w:rPr>
        <w:t xml:space="preserve">les </w:t>
      </w:r>
      <w:r w:rsidR="006F02B4" w:rsidRPr="006F02B4">
        <w:rPr>
          <w:kern w:val="22"/>
          <w:szCs w:val="22"/>
          <w:lang w:val="fr-FR"/>
        </w:rPr>
        <w:t xml:space="preserve">actions entreprises pour intégrer des considérations </w:t>
      </w:r>
      <w:proofErr w:type="spellStart"/>
      <w:r w:rsidR="006F02B4" w:rsidRPr="006F02B4">
        <w:rPr>
          <w:kern w:val="22"/>
          <w:szCs w:val="22"/>
          <w:lang w:val="fr-FR"/>
        </w:rPr>
        <w:t>sexospécifiques</w:t>
      </w:r>
      <w:proofErr w:type="spellEnd"/>
      <w:r w:rsidR="006F02B4" w:rsidRPr="006F02B4">
        <w:rPr>
          <w:kern w:val="22"/>
          <w:szCs w:val="22"/>
          <w:lang w:val="fr-FR"/>
        </w:rPr>
        <w:t xml:space="preserve"> dans les stratégies et plans d’action nation</w:t>
      </w:r>
      <w:r w:rsidR="00AC4563">
        <w:rPr>
          <w:kern w:val="22"/>
          <w:szCs w:val="22"/>
          <w:lang w:val="fr-FR"/>
        </w:rPr>
        <w:t xml:space="preserve">aux. Elles le sont également sur la participation des </w:t>
      </w:r>
      <w:r w:rsidR="00854160">
        <w:rPr>
          <w:kern w:val="22"/>
          <w:szCs w:val="22"/>
          <w:lang w:val="fr-FR"/>
        </w:rPr>
        <w:t xml:space="preserve">organisations </w:t>
      </w:r>
      <w:r w:rsidR="006F02B4" w:rsidRPr="006F02B4">
        <w:rPr>
          <w:kern w:val="22"/>
          <w:szCs w:val="22"/>
          <w:lang w:val="fr-FR"/>
        </w:rPr>
        <w:t>de femmes ou de</w:t>
      </w:r>
      <w:r w:rsidR="00AC4563">
        <w:rPr>
          <w:kern w:val="22"/>
          <w:szCs w:val="22"/>
          <w:lang w:val="fr-FR"/>
        </w:rPr>
        <w:t>s</w:t>
      </w:r>
      <w:r w:rsidR="006F02B4" w:rsidRPr="006F02B4">
        <w:rPr>
          <w:kern w:val="22"/>
          <w:szCs w:val="22"/>
          <w:lang w:val="fr-FR"/>
        </w:rPr>
        <w:t xml:space="preserve"> ministères de la condition féminine à l’ex</w:t>
      </w:r>
      <w:r w:rsidR="00EF2F88">
        <w:rPr>
          <w:kern w:val="22"/>
          <w:szCs w:val="22"/>
          <w:lang w:val="fr-FR"/>
        </w:rPr>
        <w:t>amen ou</w:t>
      </w:r>
      <w:r w:rsidR="00AC4563">
        <w:rPr>
          <w:kern w:val="22"/>
          <w:szCs w:val="22"/>
          <w:lang w:val="fr-FR"/>
        </w:rPr>
        <w:t xml:space="preserve"> à la mise en œuvre</w:t>
      </w:r>
      <w:r w:rsidR="006F02B4" w:rsidRPr="006F02B4">
        <w:rPr>
          <w:kern w:val="22"/>
          <w:szCs w:val="22"/>
          <w:lang w:val="fr-FR"/>
        </w:rPr>
        <w:t>.</w:t>
      </w:r>
      <w:r w:rsidR="00C3137B" w:rsidRPr="00C91779">
        <w:rPr>
          <w:kern w:val="22"/>
          <w:szCs w:val="22"/>
        </w:rPr>
        <w:t xml:space="preserve"> </w:t>
      </w:r>
      <w:r w:rsidR="006F02B4" w:rsidRPr="006F02B4">
        <w:rPr>
          <w:kern w:val="22"/>
          <w:szCs w:val="22"/>
          <w:lang w:val="fr-FR"/>
        </w:rPr>
        <w:t xml:space="preserve">Les stratégies et plans d’action nationaux révisés ont également montré que l’attention portée aux problématiques hommes-femmes </w:t>
      </w:r>
      <w:r w:rsidR="00AC4563">
        <w:rPr>
          <w:kern w:val="22"/>
          <w:szCs w:val="22"/>
          <w:lang w:val="fr-FR"/>
        </w:rPr>
        <w:t>n’a pas augmenté</w:t>
      </w:r>
      <w:r w:rsidR="006F02B4" w:rsidRPr="006F02B4">
        <w:rPr>
          <w:kern w:val="22"/>
          <w:szCs w:val="22"/>
          <w:lang w:val="fr-FR"/>
        </w:rPr>
        <w:t xml:space="preserve"> de novembre 2010 à février 2018.</w:t>
      </w:r>
    </w:p>
    <w:p w:rsidR="00B37586" w:rsidRPr="00C91779" w:rsidRDefault="006F02B4" w:rsidP="006F02B4">
      <w:pPr>
        <w:pStyle w:val="Titre2"/>
        <w:suppressLineNumbers/>
        <w:tabs>
          <w:tab w:val="left" w:pos="360"/>
        </w:tabs>
        <w:suppressAutoHyphens/>
        <w:kinsoku w:val="0"/>
        <w:overflowPunct w:val="0"/>
        <w:autoSpaceDE w:val="0"/>
        <w:autoSpaceDN w:val="0"/>
        <w:adjustRightInd w:val="0"/>
        <w:snapToGrid w:val="0"/>
        <w:rPr>
          <w:b w:val="0"/>
          <w:snapToGrid w:val="0"/>
          <w:kern w:val="22"/>
          <w:szCs w:val="22"/>
        </w:rPr>
      </w:pPr>
      <w:r w:rsidRPr="006F02B4">
        <w:rPr>
          <w:snapToGrid w:val="0"/>
          <w:kern w:val="22"/>
          <w:szCs w:val="22"/>
          <w:lang w:val="fr-FR"/>
        </w:rPr>
        <w:lastRenderedPageBreak/>
        <w:t>C.</w:t>
      </w:r>
      <w:r w:rsidR="002F216D" w:rsidRPr="00AF5854">
        <w:rPr>
          <w:snapToGrid w:val="0"/>
          <w:kern w:val="22"/>
          <w:szCs w:val="22"/>
        </w:rPr>
        <w:tab/>
      </w:r>
      <w:r w:rsidRPr="006F02B4">
        <w:rPr>
          <w:snapToGrid w:val="0"/>
          <w:kern w:val="22"/>
          <w:szCs w:val="22"/>
          <w:lang w:val="fr-FR"/>
        </w:rPr>
        <w:t xml:space="preserve">Enquête </w:t>
      </w:r>
      <w:r w:rsidRPr="006F02B4">
        <w:rPr>
          <w:kern w:val="22"/>
          <w:szCs w:val="22"/>
          <w:lang w:val="fr-FR"/>
        </w:rPr>
        <w:t xml:space="preserve">relative aux </w:t>
      </w:r>
      <w:r w:rsidR="009B190D">
        <w:rPr>
          <w:kern w:val="22"/>
          <w:szCs w:val="22"/>
          <w:lang w:val="fr-FR"/>
        </w:rPr>
        <w:t xml:space="preserve">besoins conjoints de renforcement des capacités à intégrer </w:t>
      </w:r>
      <w:r w:rsidRPr="006F02B4">
        <w:rPr>
          <w:kern w:val="22"/>
          <w:szCs w:val="22"/>
          <w:lang w:val="fr-FR"/>
        </w:rPr>
        <w:t xml:space="preserve">des considérations </w:t>
      </w:r>
      <w:proofErr w:type="spellStart"/>
      <w:r w:rsidRPr="006F02B4">
        <w:rPr>
          <w:kern w:val="22"/>
          <w:szCs w:val="22"/>
          <w:lang w:val="fr-FR"/>
        </w:rPr>
        <w:t>sexospécifiques</w:t>
      </w:r>
      <w:proofErr w:type="spellEnd"/>
      <w:r w:rsidRPr="006F02B4">
        <w:rPr>
          <w:kern w:val="22"/>
          <w:szCs w:val="22"/>
          <w:lang w:val="fr-FR"/>
        </w:rPr>
        <w:t xml:space="preserve"> </w:t>
      </w:r>
      <w:r w:rsidR="009B190D">
        <w:rPr>
          <w:kern w:val="22"/>
          <w:szCs w:val="22"/>
          <w:lang w:val="fr-FR"/>
        </w:rPr>
        <w:t xml:space="preserve">dans la mise en œuvre </w:t>
      </w:r>
      <w:r w:rsidRPr="006F02B4">
        <w:rPr>
          <w:kern w:val="22"/>
          <w:szCs w:val="22"/>
          <w:lang w:val="fr-FR"/>
        </w:rPr>
        <w:t>des Conventions de Rio</w:t>
      </w:r>
    </w:p>
    <w:p w:rsidR="00FF2FAF" w:rsidRPr="00C91779" w:rsidRDefault="006F02B4" w:rsidP="005F0D96">
      <w:pPr>
        <w:pStyle w:val="Para1"/>
        <w:suppressLineNumbers/>
        <w:tabs>
          <w:tab w:val="clear" w:pos="360"/>
        </w:tabs>
        <w:suppressAutoHyphens/>
        <w:kinsoku w:val="0"/>
        <w:overflowPunct w:val="0"/>
        <w:autoSpaceDE w:val="0"/>
        <w:autoSpaceDN w:val="0"/>
        <w:adjustRightInd w:val="0"/>
        <w:snapToGrid w:val="0"/>
        <w:rPr>
          <w:kern w:val="22"/>
          <w:szCs w:val="22"/>
        </w:rPr>
      </w:pPr>
      <w:r w:rsidRPr="005F0D96">
        <w:rPr>
          <w:kern w:val="22"/>
          <w:szCs w:val="22"/>
          <w:lang w:val="fr-FR"/>
        </w:rPr>
        <w:t xml:space="preserve">En partenariat avec la </w:t>
      </w:r>
      <w:hyperlink r:id="rId16" w:history="1">
        <w:r w:rsidRPr="005F0D96">
          <w:rPr>
            <w:rStyle w:val="Lienhypertexte"/>
            <w:kern w:val="22"/>
            <w:szCs w:val="22"/>
            <w:lang w:val="fr-FR"/>
          </w:rPr>
          <w:t>Convention-cadre des Nations Unies sur les changements climatiques</w:t>
        </w:r>
      </w:hyperlink>
      <w:r w:rsidRPr="005F0D96">
        <w:rPr>
          <w:kern w:val="22"/>
          <w:szCs w:val="22"/>
          <w:lang w:val="fr-FR"/>
        </w:rPr>
        <w:t xml:space="preserve"> et</w:t>
      </w:r>
      <w:r w:rsidR="005F0D96" w:rsidRPr="005F0D96">
        <w:rPr>
          <w:kern w:val="22"/>
          <w:szCs w:val="22"/>
          <w:lang w:val="fr-FR"/>
        </w:rPr>
        <w:t xml:space="preserve"> la </w:t>
      </w:r>
      <w:hyperlink r:id="rId17" w:history="1">
        <w:r w:rsidR="005F0D96">
          <w:rPr>
            <w:rStyle w:val="Lienhypertexte"/>
            <w:kern w:val="22"/>
            <w:szCs w:val="22"/>
            <w:lang w:val="fr-FR"/>
          </w:rPr>
          <w:t>Convention des Nations Unies sur la lutte contre la désertification</w:t>
        </w:r>
      </w:hyperlink>
      <w:r w:rsidR="005F0D96" w:rsidRPr="005F0D96">
        <w:rPr>
          <w:kern w:val="22"/>
          <w:szCs w:val="22"/>
          <w:lang w:val="fr-FR"/>
        </w:rPr>
        <w:t>, le Secrétariat</w:t>
      </w:r>
      <w:r w:rsidR="009B190D">
        <w:rPr>
          <w:kern w:val="22"/>
          <w:szCs w:val="22"/>
          <w:lang w:val="fr-FR"/>
        </w:rPr>
        <w:t xml:space="preserve"> a conduit une enquête sur les</w:t>
      </w:r>
      <w:r w:rsidR="005F0D96">
        <w:rPr>
          <w:kern w:val="22"/>
          <w:szCs w:val="22"/>
          <w:lang w:val="fr-FR"/>
        </w:rPr>
        <w:t xml:space="preserve"> </w:t>
      </w:r>
      <w:r w:rsidR="009B190D">
        <w:rPr>
          <w:kern w:val="22"/>
          <w:szCs w:val="22"/>
          <w:lang w:val="fr-FR"/>
        </w:rPr>
        <w:t>capacités</w:t>
      </w:r>
      <w:r w:rsidR="005F0D96">
        <w:rPr>
          <w:kern w:val="22"/>
          <w:szCs w:val="22"/>
          <w:lang w:val="fr-FR"/>
        </w:rPr>
        <w:t xml:space="preserve"> </w:t>
      </w:r>
      <w:r w:rsidR="009B190D">
        <w:rPr>
          <w:kern w:val="22"/>
          <w:szCs w:val="22"/>
          <w:lang w:val="fr-FR"/>
        </w:rPr>
        <w:t xml:space="preserve">à intégrer des considérations </w:t>
      </w:r>
      <w:proofErr w:type="spellStart"/>
      <w:r w:rsidR="009B190D">
        <w:rPr>
          <w:kern w:val="22"/>
          <w:szCs w:val="22"/>
          <w:lang w:val="fr-FR"/>
        </w:rPr>
        <w:t>sexospécifiques</w:t>
      </w:r>
      <w:proofErr w:type="spellEnd"/>
      <w:r w:rsidR="009B190D">
        <w:rPr>
          <w:kern w:val="22"/>
          <w:szCs w:val="22"/>
          <w:lang w:val="fr-FR"/>
        </w:rPr>
        <w:t xml:space="preserve"> qui nécessite</w:t>
      </w:r>
      <w:r w:rsidR="005F0D96">
        <w:rPr>
          <w:kern w:val="22"/>
          <w:szCs w:val="22"/>
          <w:lang w:val="fr-FR"/>
        </w:rPr>
        <w:t>nt d’être renforcées parmi les Parties et les parties prenantes</w:t>
      </w:r>
      <w:r w:rsidR="00EF2F88">
        <w:rPr>
          <w:kern w:val="22"/>
          <w:szCs w:val="22"/>
          <w:lang w:val="fr-FR"/>
        </w:rPr>
        <w:t>,</w:t>
      </w:r>
      <w:r w:rsidR="005F0D96">
        <w:rPr>
          <w:kern w:val="22"/>
          <w:szCs w:val="22"/>
          <w:lang w:val="fr-FR"/>
        </w:rPr>
        <w:t xml:space="preserve"> du 4 octobre au 15 décembre 2017</w:t>
      </w:r>
      <w:r w:rsidR="00B37586" w:rsidRPr="00C91779">
        <w:rPr>
          <w:rStyle w:val="Appelnotedebasdep"/>
          <w:kern w:val="22"/>
          <w:sz w:val="22"/>
          <w:szCs w:val="22"/>
          <w:u w:val="none"/>
          <w:vertAlign w:val="superscript"/>
        </w:rPr>
        <w:footnoteReference w:id="7"/>
      </w:r>
      <w:r w:rsidR="009B6908">
        <w:rPr>
          <w:kern w:val="22"/>
          <w:szCs w:val="22"/>
          <w:lang w:val="fr-FR"/>
        </w:rPr>
        <w:t>.</w:t>
      </w:r>
      <w:r w:rsidR="00B37586" w:rsidRPr="00C91779">
        <w:rPr>
          <w:kern w:val="22"/>
          <w:szCs w:val="22"/>
        </w:rPr>
        <w:t xml:space="preserve"> </w:t>
      </w:r>
      <w:r w:rsidR="005F0D96" w:rsidRPr="005F0D96">
        <w:rPr>
          <w:kern w:val="22"/>
          <w:szCs w:val="22"/>
          <w:lang w:val="fr-FR"/>
        </w:rPr>
        <w:t>Cette enquête et la notification correspondante ont été publiées en anglais, en français et en espagnol.</w:t>
      </w:r>
    </w:p>
    <w:p w:rsidR="00B37586" w:rsidRPr="00C91779" w:rsidRDefault="005F0D96" w:rsidP="0099613C">
      <w:pPr>
        <w:pStyle w:val="Para1"/>
        <w:suppressLineNumbers/>
        <w:tabs>
          <w:tab w:val="clear" w:pos="360"/>
        </w:tabs>
        <w:suppressAutoHyphens/>
        <w:kinsoku w:val="0"/>
        <w:overflowPunct w:val="0"/>
        <w:autoSpaceDE w:val="0"/>
        <w:autoSpaceDN w:val="0"/>
        <w:adjustRightInd w:val="0"/>
        <w:snapToGrid w:val="0"/>
        <w:rPr>
          <w:kern w:val="22"/>
          <w:szCs w:val="22"/>
        </w:rPr>
      </w:pPr>
      <w:r w:rsidRPr="0081279B">
        <w:rPr>
          <w:kern w:val="22"/>
          <w:szCs w:val="22"/>
          <w:lang w:val="fr-FR"/>
        </w:rPr>
        <w:t>L’enquête a suscité de nombreuses réponses</w:t>
      </w:r>
      <w:r w:rsidRPr="0081279B">
        <w:rPr>
          <w:rStyle w:val="Appelnotedebasdep"/>
          <w:kern w:val="22"/>
          <w:sz w:val="22"/>
          <w:szCs w:val="22"/>
          <w:u w:val="none"/>
          <w:vertAlign w:val="superscript"/>
          <w:lang w:val="fr-FR"/>
        </w:rPr>
        <w:footnoteReference w:id="8"/>
      </w:r>
      <w:r w:rsidRPr="0081279B">
        <w:rPr>
          <w:kern w:val="22"/>
          <w:szCs w:val="22"/>
          <w:lang w:val="fr-FR"/>
        </w:rPr>
        <w:t xml:space="preserve"> et montré </w:t>
      </w:r>
      <w:r w:rsidR="0081279B" w:rsidRPr="0081279B">
        <w:rPr>
          <w:kern w:val="22"/>
          <w:szCs w:val="22"/>
          <w:lang w:val="fr-FR"/>
        </w:rPr>
        <w:t xml:space="preserve">que les institutions gouvernementales nationales de la majorité des répondants accordaient une </w:t>
      </w:r>
      <w:r w:rsidR="009B190D">
        <w:rPr>
          <w:kern w:val="22"/>
          <w:szCs w:val="22"/>
          <w:lang w:val="fr-FR"/>
        </w:rPr>
        <w:t>certaine</w:t>
      </w:r>
      <w:r w:rsidR="0081279B" w:rsidRPr="0081279B">
        <w:rPr>
          <w:kern w:val="22"/>
          <w:szCs w:val="22"/>
          <w:lang w:val="fr-FR"/>
        </w:rPr>
        <w:t xml:space="preserve"> importance à</w:t>
      </w:r>
      <w:r w:rsidRPr="0081279B">
        <w:rPr>
          <w:kern w:val="22"/>
          <w:szCs w:val="22"/>
          <w:lang w:val="fr-FR"/>
        </w:rPr>
        <w:t xml:space="preserve"> l’intégration de considérations </w:t>
      </w:r>
      <w:proofErr w:type="spellStart"/>
      <w:r w:rsidRPr="0081279B">
        <w:rPr>
          <w:kern w:val="22"/>
          <w:szCs w:val="22"/>
          <w:lang w:val="fr-FR"/>
        </w:rPr>
        <w:t>sexospécifiques</w:t>
      </w:r>
      <w:proofErr w:type="spellEnd"/>
      <w:r w:rsidR="0081279B" w:rsidRPr="0081279B">
        <w:rPr>
          <w:kern w:val="22"/>
          <w:szCs w:val="22"/>
          <w:lang w:val="fr-FR"/>
        </w:rPr>
        <w:t>.</w:t>
      </w:r>
      <w:r w:rsidR="00B37586" w:rsidRPr="00C91779">
        <w:rPr>
          <w:kern w:val="22"/>
          <w:szCs w:val="22"/>
        </w:rPr>
        <w:t xml:space="preserve"> </w:t>
      </w:r>
      <w:r w:rsidR="0081279B" w:rsidRPr="0081279B">
        <w:rPr>
          <w:kern w:val="22"/>
          <w:szCs w:val="22"/>
          <w:lang w:val="fr-FR"/>
        </w:rPr>
        <w:t xml:space="preserve">Les </w:t>
      </w:r>
      <w:r w:rsidR="009B190D">
        <w:rPr>
          <w:kern w:val="22"/>
          <w:szCs w:val="22"/>
          <w:lang w:val="fr-FR"/>
        </w:rPr>
        <w:t>besoins</w:t>
      </w:r>
      <w:r w:rsidR="0081279B" w:rsidRPr="0081279B">
        <w:rPr>
          <w:kern w:val="22"/>
          <w:szCs w:val="22"/>
          <w:lang w:val="fr-FR"/>
        </w:rPr>
        <w:t xml:space="preserve"> prioritaires des organisations concernent l’amélioration des compétences et des connaissances des personnels</w:t>
      </w:r>
      <w:r w:rsidR="00365144">
        <w:rPr>
          <w:kern w:val="22"/>
          <w:szCs w:val="22"/>
          <w:lang w:val="fr-FR"/>
        </w:rPr>
        <w:t>,</w:t>
      </w:r>
      <w:r w:rsidR="0081279B" w:rsidRPr="0081279B">
        <w:rPr>
          <w:kern w:val="22"/>
          <w:szCs w:val="22"/>
          <w:lang w:val="fr-FR"/>
        </w:rPr>
        <w:t xml:space="preserve"> et la mise à disposition d’outils, de directives et de méthodes.</w:t>
      </w:r>
      <w:r w:rsidR="00B37586" w:rsidRPr="00C91779">
        <w:rPr>
          <w:kern w:val="22"/>
          <w:szCs w:val="22"/>
        </w:rPr>
        <w:t xml:space="preserve"> </w:t>
      </w:r>
      <w:r w:rsidR="0099613C" w:rsidRPr="0099613C">
        <w:rPr>
          <w:kern w:val="22"/>
          <w:szCs w:val="22"/>
          <w:lang w:val="fr-FR"/>
        </w:rPr>
        <w:t xml:space="preserve">Les possibilités recensées dans le domaine du renforcement des capacités </w:t>
      </w:r>
      <w:r w:rsidR="00365144">
        <w:rPr>
          <w:kern w:val="22"/>
          <w:szCs w:val="22"/>
          <w:lang w:val="fr-FR"/>
        </w:rPr>
        <w:t xml:space="preserve">effectué </w:t>
      </w:r>
      <w:r w:rsidR="0099613C" w:rsidRPr="0099613C">
        <w:rPr>
          <w:kern w:val="22"/>
          <w:szCs w:val="22"/>
          <w:lang w:val="fr-FR"/>
        </w:rPr>
        <w:t>au titre des Conventions de Rio incluent :</w:t>
      </w:r>
      <w:r w:rsidR="00B37586" w:rsidRPr="00C91779">
        <w:rPr>
          <w:kern w:val="22"/>
          <w:szCs w:val="22"/>
        </w:rPr>
        <w:t xml:space="preserve"> </w:t>
      </w:r>
      <w:r w:rsidR="0099613C" w:rsidRPr="0099613C">
        <w:rPr>
          <w:kern w:val="22"/>
          <w:szCs w:val="22"/>
          <w:lang w:val="fr-FR"/>
        </w:rPr>
        <w:t xml:space="preserve">l’amélioration de la sensibilisation aux liens existant entre l’égalité des sexes et la </w:t>
      </w:r>
      <w:r w:rsidR="000A4182" w:rsidRPr="000A4182">
        <w:rPr>
          <w:kern w:val="22"/>
          <w:szCs w:val="22"/>
          <w:lang w:val="fr-FR"/>
        </w:rPr>
        <w:t>biodiversité</w:t>
      </w:r>
      <w:r w:rsidR="0099613C" w:rsidRPr="0099613C">
        <w:rPr>
          <w:kern w:val="22"/>
          <w:szCs w:val="22"/>
          <w:lang w:val="fr-FR"/>
        </w:rPr>
        <w:t>/l’environnement, ou de leur compréhension ; le développement intégral de la femme et sa participation à la Convention ; l’analyse des contextes régionaux/nationaux/locaux en vue de la</w:t>
      </w:r>
      <w:r w:rsidR="00365144">
        <w:rPr>
          <w:kern w:val="22"/>
          <w:szCs w:val="22"/>
          <w:lang w:val="fr-FR"/>
        </w:rPr>
        <w:t xml:space="preserve"> mise en œuvre ; et la consolidation/la création </w:t>
      </w:r>
      <w:r w:rsidR="0099613C" w:rsidRPr="0099613C">
        <w:rPr>
          <w:kern w:val="22"/>
          <w:szCs w:val="22"/>
          <w:lang w:val="fr-FR"/>
        </w:rPr>
        <w:t xml:space="preserve">de </w:t>
      </w:r>
      <w:r w:rsidR="00365144">
        <w:rPr>
          <w:kern w:val="22"/>
          <w:szCs w:val="22"/>
          <w:lang w:val="fr-FR"/>
        </w:rPr>
        <w:t>synergies parmi les Conventions</w:t>
      </w:r>
      <w:r w:rsidR="0099613C" w:rsidRPr="0099613C">
        <w:rPr>
          <w:kern w:val="22"/>
          <w:szCs w:val="22"/>
          <w:lang w:val="fr-FR"/>
        </w:rPr>
        <w:t>.</w:t>
      </w:r>
      <w:r w:rsidR="00B37586" w:rsidRPr="00C91779">
        <w:rPr>
          <w:kern w:val="22"/>
          <w:szCs w:val="22"/>
        </w:rPr>
        <w:t xml:space="preserve"> </w:t>
      </w:r>
      <w:r w:rsidR="0099613C" w:rsidRPr="0099613C">
        <w:rPr>
          <w:kern w:val="22"/>
          <w:szCs w:val="22"/>
          <w:lang w:val="fr-FR"/>
        </w:rPr>
        <w:t xml:space="preserve">Les </w:t>
      </w:r>
      <w:r w:rsidR="00365144">
        <w:rPr>
          <w:kern w:val="22"/>
          <w:szCs w:val="22"/>
          <w:lang w:val="fr-FR"/>
        </w:rPr>
        <w:t>besoins en</w:t>
      </w:r>
      <w:r w:rsidR="0099613C" w:rsidRPr="0099613C">
        <w:rPr>
          <w:kern w:val="22"/>
          <w:szCs w:val="22"/>
          <w:lang w:val="fr-FR"/>
        </w:rPr>
        <w:t xml:space="preserve"> formation concernent l’</w:t>
      </w:r>
      <w:r w:rsidR="00F84774">
        <w:rPr>
          <w:kern w:val="22"/>
          <w:szCs w:val="22"/>
          <w:lang w:val="fr-FR"/>
        </w:rPr>
        <w:t>intégration de l’égalité d</w:t>
      </w:r>
      <w:r w:rsidR="0099613C" w:rsidRPr="0099613C">
        <w:rPr>
          <w:kern w:val="22"/>
          <w:szCs w:val="22"/>
          <w:lang w:val="fr-FR"/>
        </w:rPr>
        <w:t>es sexes dans la conception et la gestion de projets, et l</w:t>
      </w:r>
      <w:r w:rsidR="00F84774">
        <w:rPr>
          <w:kern w:val="22"/>
          <w:szCs w:val="22"/>
          <w:lang w:val="fr-FR"/>
        </w:rPr>
        <w:t>’élaboration et l’évaluation de</w:t>
      </w:r>
      <w:r w:rsidR="0099613C" w:rsidRPr="0099613C">
        <w:rPr>
          <w:kern w:val="22"/>
          <w:szCs w:val="22"/>
          <w:lang w:val="fr-FR"/>
        </w:rPr>
        <w:t xml:space="preserve"> politiques.</w:t>
      </w:r>
      <w:r w:rsidR="00B37586" w:rsidRPr="00C91779">
        <w:rPr>
          <w:kern w:val="22"/>
          <w:szCs w:val="22"/>
        </w:rPr>
        <w:t xml:space="preserve"> </w:t>
      </w:r>
      <w:r w:rsidR="0099613C" w:rsidRPr="0099613C">
        <w:rPr>
          <w:kern w:val="22"/>
          <w:szCs w:val="22"/>
          <w:lang w:val="fr-FR"/>
        </w:rPr>
        <w:t xml:space="preserve">Il a également été proposé de mettre en place des bases de données ou des plateformes </w:t>
      </w:r>
      <w:r w:rsidR="00365144">
        <w:rPr>
          <w:kern w:val="22"/>
          <w:szCs w:val="22"/>
          <w:lang w:val="fr-FR"/>
        </w:rPr>
        <w:t>sur les</w:t>
      </w:r>
      <w:r w:rsidR="0099613C" w:rsidRPr="0099613C">
        <w:rPr>
          <w:kern w:val="22"/>
          <w:szCs w:val="22"/>
          <w:lang w:val="fr-FR"/>
        </w:rPr>
        <w:t xml:space="preserve"> liens </w:t>
      </w:r>
      <w:r w:rsidR="00365144">
        <w:rPr>
          <w:kern w:val="22"/>
          <w:szCs w:val="22"/>
          <w:lang w:val="fr-FR"/>
        </w:rPr>
        <w:t>qui existe</w:t>
      </w:r>
      <w:r w:rsidR="0099613C" w:rsidRPr="0099613C">
        <w:rPr>
          <w:kern w:val="22"/>
          <w:szCs w:val="22"/>
          <w:lang w:val="fr-FR"/>
        </w:rPr>
        <w:t xml:space="preserve">nt entre l’égalité des sexes, la </w:t>
      </w:r>
      <w:r w:rsidR="000A4182" w:rsidRPr="000A4182">
        <w:rPr>
          <w:kern w:val="22"/>
          <w:szCs w:val="22"/>
          <w:lang w:val="fr-FR"/>
        </w:rPr>
        <w:t>biodiversité</w:t>
      </w:r>
      <w:r w:rsidR="000A4182">
        <w:rPr>
          <w:kern w:val="22"/>
          <w:szCs w:val="22"/>
          <w:lang w:val="fr-FR"/>
        </w:rPr>
        <w:t xml:space="preserve"> </w:t>
      </w:r>
      <w:r w:rsidR="00F84774">
        <w:rPr>
          <w:kern w:val="22"/>
          <w:szCs w:val="22"/>
          <w:lang w:val="fr-FR"/>
        </w:rPr>
        <w:t xml:space="preserve">et </w:t>
      </w:r>
      <w:r w:rsidR="00365144">
        <w:rPr>
          <w:kern w:val="22"/>
          <w:szCs w:val="22"/>
          <w:lang w:val="fr-FR"/>
        </w:rPr>
        <w:t>l</w:t>
      </w:r>
      <w:r w:rsidR="0099613C" w:rsidRPr="0099613C">
        <w:rPr>
          <w:kern w:val="22"/>
          <w:szCs w:val="22"/>
          <w:lang w:val="fr-FR"/>
        </w:rPr>
        <w:t>es changements climatiques.</w:t>
      </w:r>
    </w:p>
    <w:p w:rsidR="00CA2E78" w:rsidRPr="00C91779" w:rsidRDefault="0099613C" w:rsidP="0099613C">
      <w:pPr>
        <w:pStyle w:val="Titre1"/>
        <w:numPr>
          <w:ilvl w:val="0"/>
          <w:numId w:val="66"/>
        </w:numPr>
        <w:suppressLineNumbers/>
        <w:tabs>
          <w:tab w:val="left" w:pos="360"/>
        </w:tabs>
        <w:suppressAutoHyphens/>
        <w:kinsoku w:val="0"/>
        <w:overflowPunct w:val="0"/>
        <w:autoSpaceDE w:val="0"/>
        <w:autoSpaceDN w:val="0"/>
        <w:adjustRightInd w:val="0"/>
        <w:snapToGrid w:val="0"/>
        <w:spacing w:before="120"/>
        <w:ind w:left="0" w:firstLine="0"/>
        <w:rPr>
          <w:b w:val="0"/>
          <w:snapToGrid w:val="0"/>
          <w:kern w:val="22"/>
          <w:szCs w:val="22"/>
        </w:rPr>
      </w:pPr>
      <w:r w:rsidRPr="0099613C">
        <w:rPr>
          <w:snapToGrid w:val="0"/>
          <w:kern w:val="22"/>
          <w:szCs w:val="22"/>
          <w:lang w:val="fr-FR"/>
        </w:rPr>
        <w:t>ACTIONS ENTREPRISES PAR LE SECRÉTARIAT</w:t>
      </w:r>
    </w:p>
    <w:p w:rsidR="000F7A9F" w:rsidRPr="00C91779" w:rsidRDefault="0099613C" w:rsidP="0099613C">
      <w:pPr>
        <w:pStyle w:val="Para1"/>
        <w:suppressLineNumbers/>
        <w:tabs>
          <w:tab w:val="clear" w:pos="360"/>
        </w:tabs>
        <w:suppressAutoHyphens/>
        <w:kinsoku w:val="0"/>
        <w:overflowPunct w:val="0"/>
        <w:autoSpaceDE w:val="0"/>
        <w:autoSpaceDN w:val="0"/>
        <w:adjustRightInd w:val="0"/>
        <w:snapToGrid w:val="0"/>
        <w:rPr>
          <w:kern w:val="22"/>
          <w:szCs w:val="22"/>
        </w:rPr>
      </w:pPr>
      <w:r w:rsidRPr="0099613C">
        <w:rPr>
          <w:kern w:val="22"/>
          <w:szCs w:val="22"/>
          <w:lang w:val="fr-FR"/>
        </w:rPr>
        <w:t>Des actions ont été ent</w:t>
      </w:r>
      <w:r w:rsidR="00365144">
        <w:rPr>
          <w:kern w:val="22"/>
          <w:szCs w:val="22"/>
          <w:lang w:val="fr-FR"/>
        </w:rPr>
        <w:t>reprises par le Secrétariat et s</w:t>
      </w:r>
      <w:r w:rsidRPr="0099613C">
        <w:rPr>
          <w:kern w:val="22"/>
          <w:szCs w:val="22"/>
          <w:lang w:val="fr-FR"/>
        </w:rPr>
        <w:t>es partenaires à l’échelle nationale, régionale et internationale.</w:t>
      </w:r>
    </w:p>
    <w:p w:rsidR="005B25A1" w:rsidRPr="002F3E73" w:rsidRDefault="0099613C" w:rsidP="0099613C">
      <w:pPr>
        <w:pStyle w:val="Titre2"/>
        <w:suppressLineNumbers/>
        <w:tabs>
          <w:tab w:val="left" w:pos="360"/>
        </w:tabs>
        <w:suppressAutoHyphens/>
        <w:kinsoku w:val="0"/>
        <w:overflowPunct w:val="0"/>
        <w:autoSpaceDE w:val="0"/>
        <w:autoSpaceDN w:val="0"/>
        <w:adjustRightInd w:val="0"/>
        <w:snapToGrid w:val="0"/>
        <w:rPr>
          <w:snapToGrid w:val="0"/>
          <w:kern w:val="22"/>
          <w:szCs w:val="22"/>
        </w:rPr>
      </w:pPr>
      <w:r w:rsidRPr="0099613C">
        <w:rPr>
          <w:snapToGrid w:val="0"/>
          <w:kern w:val="22"/>
          <w:szCs w:val="22"/>
          <w:lang w:val="fr-FR"/>
        </w:rPr>
        <w:t>A.</w:t>
      </w:r>
      <w:r w:rsidR="00810440" w:rsidRPr="002F3E73">
        <w:rPr>
          <w:snapToGrid w:val="0"/>
          <w:kern w:val="22"/>
          <w:szCs w:val="22"/>
        </w:rPr>
        <w:tab/>
      </w:r>
      <w:r w:rsidRPr="0099613C">
        <w:rPr>
          <w:snapToGrid w:val="0"/>
          <w:kern w:val="22"/>
          <w:szCs w:val="22"/>
          <w:lang w:val="fr-FR"/>
        </w:rPr>
        <w:t>À l’échelle nationale</w:t>
      </w:r>
    </w:p>
    <w:p w:rsidR="00806D90" w:rsidRPr="00C91779" w:rsidRDefault="00182F34" w:rsidP="00D56440">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lang w:val="fr-FR"/>
        </w:rPr>
        <w:t xml:space="preserve">Grâce à un </w:t>
      </w:r>
      <w:r w:rsidR="0099613C" w:rsidRPr="00854160">
        <w:rPr>
          <w:kern w:val="22"/>
          <w:szCs w:val="22"/>
          <w:lang w:val="fr-FR"/>
        </w:rPr>
        <w:t>appui financier du Gouvernement japonais</w:t>
      </w:r>
      <w:r>
        <w:rPr>
          <w:kern w:val="22"/>
          <w:szCs w:val="22"/>
          <w:lang w:val="fr-FR"/>
        </w:rPr>
        <w:t xml:space="preserve"> fourni</w:t>
      </w:r>
      <w:r w:rsidR="0099613C" w:rsidRPr="00854160">
        <w:rPr>
          <w:kern w:val="22"/>
          <w:szCs w:val="22"/>
          <w:lang w:val="fr-FR"/>
        </w:rPr>
        <w:t xml:space="preserve"> </w:t>
      </w:r>
      <w:r>
        <w:rPr>
          <w:kern w:val="22"/>
          <w:szCs w:val="22"/>
          <w:lang w:val="fr-FR"/>
        </w:rPr>
        <w:t>par le</w:t>
      </w:r>
      <w:r w:rsidR="0099613C" w:rsidRPr="00854160">
        <w:rPr>
          <w:kern w:val="22"/>
          <w:szCs w:val="22"/>
          <w:lang w:val="fr-FR"/>
        </w:rPr>
        <w:t xml:space="preserve"> </w:t>
      </w:r>
      <w:hyperlink r:id="rId18" w:history="1">
        <w:r w:rsidR="0099613C" w:rsidRPr="00854160">
          <w:rPr>
            <w:rStyle w:val="Lienhypertexte"/>
            <w:kern w:val="22"/>
            <w:szCs w:val="22"/>
            <w:lang w:val="fr-FR"/>
          </w:rPr>
          <w:t>Fonds du Japon pour la biodiversité</w:t>
        </w:r>
      </w:hyperlink>
      <w:r w:rsidR="0099613C" w:rsidRPr="00854160">
        <w:rPr>
          <w:kern w:val="22"/>
          <w:szCs w:val="22"/>
          <w:lang w:val="fr-FR"/>
        </w:rPr>
        <w:t xml:space="preserve">, le Secrétariat a collaboré avec </w:t>
      </w:r>
      <w:r w:rsidR="00A33B4E" w:rsidRPr="00854160">
        <w:rPr>
          <w:kern w:val="22"/>
          <w:szCs w:val="22"/>
          <w:lang w:val="fr-FR"/>
        </w:rPr>
        <w:t xml:space="preserve">le Bureau mondial du genre de l’UICN </w:t>
      </w:r>
      <w:r w:rsidR="00854160" w:rsidRPr="00854160">
        <w:rPr>
          <w:kern w:val="22"/>
          <w:szCs w:val="22"/>
          <w:lang w:val="fr-FR"/>
        </w:rPr>
        <w:t>à la réalisation d’un projet pilote sur le renforcement des capacités des pays en développement Parties</w:t>
      </w:r>
      <w:r>
        <w:rPr>
          <w:kern w:val="22"/>
          <w:szCs w:val="22"/>
          <w:lang w:val="fr-FR"/>
        </w:rPr>
        <w:t>. Ces derniers devaient être à même d’intégrer</w:t>
      </w:r>
      <w:r w:rsidR="00F84774">
        <w:rPr>
          <w:kern w:val="22"/>
          <w:szCs w:val="22"/>
          <w:lang w:val="fr-FR"/>
        </w:rPr>
        <w:t xml:space="preserve"> l’égalité d</w:t>
      </w:r>
      <w:r w:rsidR="00854160" w:rsidRPr="00854160">
        <w:rPr>
          <w:kern w:val="22"/>
          <w:szCs w:val="22"/>
          <w:lang w:val="fr-FR"/>
        </w:rPr>
        <w:t>es sexes dans le</w:t>
      </w:r>
      <w:r>
        <w:rPr>
          <w:kern w:val="22"/>
          <w:szCs w:val="22"/>
          <w:lang w:val="fr-FR"/>
        </w:rPr>
        <w:t>ur</w:t>
      </w:r>
      <w:r w:rsidR="00854160" w:rsidRPr="00854160">
        <w:rPr>
          <w:kern w:val="22"/>
          <w:szCs w:val="22"/>
          <w:lang w:val="fr-FR"/>
        </w:rPr>
        <w:t>s stratégies et plans d’action nationaux pour la diversité biologique révisés.</w:t>
      </w:r>
      <w:r w:rsidR="00CA2E78" w:rsidRPr="00C91779">
        <w:rPr>
          <w:kern w:val="22"/>
          <w:szCs w:val="22"/>
        </w:rPr>
        <w:t xml:space="preserve"> </w:t>
      </w:r>
      <w:r>
        <w:rPr>
          <w:kern w:val="22"/>
          <w:szCs w:val="22"/>
          <w:lang w:val="fr-FR"/>
        </w:rPr>
        <w:t>L</w:t>
      </w:r>
      <w:r w:rsidR="00854160" w:rsidRPr="00854160">
        <w:rPr>
          <w:kern w:val="22"/>
          <w:szCs w:val="22"/>
          <w:lang w:val="fr-FR"/>
        </w:rPr>
        <w:t xml:space="preserve">e Mexique, l’Ouganda et le Brésil </w:t>
      </w:r>
      <w:r>
        <w:rPr>
          <w:kern w:val="22"/>
          <w:szCs w:val="22"/>
          <w:lang w:val="fr-FR"/>
        </w:rPr>
        <w:t>ont été choisis comme</w:t>
      </w:r>
      <w:r w:rsidR="00854160" w:rsidRPr="00854160">
        <w:rPr>
          <w:kern w:val="22"/>
          <w:szCs w:val="22"/>
          <w:lang w:val="fr-FR"/>
        </w:rPr>
        <w:t xml:space="preserve"> pays-pilotes.</w:t>
      </w:r>
      <w:r w:rsidR="00806D90" w:rsidRPr="00C91779">
        <w:rPr>
          <w:kern w:val="22"/>
          <w:szCs w:val="22"/>
        </w:rPr>
        <w:t xml:space="preserve"> </w:t>
      </w:r>
      <w:r w:rsidR="00854160" w:rsidRPr="00811E12">
        <w:rPr>
          <w:kern w:val="22"/>
          <w:szCs w:val="22"/>
          <w:lang w:val="fr-FR"/>
        </w:rPr>
        <w:t>Des organisations de femmes et des parties prenantes chargées des problématiques hommes-femmes</w:t>
      </w:r>
      <w:r w:rsidR="00811E12" w:rsidRPr="00811E12">
        <w:rPr>
          <w:kern w:val="22"/>
          <w:szCs w:val="22"/>
          <w:lang w:val="fr-FR"/>
        </w:rPr>
        <w:t xml:space="preserve"> ont été associées à l’examen conjointement entrepris pour </w:t>
      </w:r>
      <w:r w:rsidR="007A0868">
        <w:rPr>
          <w:kern w:val="22"/>
          <w:szCs w:val="22"/>
          <w:lang w:val="fr-FR"/>
        </w:rPr>
        <w:t>évaluer les projets de révision</w:t>
      </w:r>
      <w:r w:rsidR="00811E12" w:rsidRPr="00811E12">
        <w:rPr>
          <w:kern w:val="22"/>
          <w:szCs w:val="22"/>
          <w:lang w:val="fr-FR"/>
        </w:rPr>
        <w:t xml:space="preserve"> et </w:t>
      </w:r>
      <w:r w:rsidR="00811E12">
        <w:rPr>
          <w:kern w:val="22"/>
          <w:szCs w:val="22"/>
          <w:lang w:val="fr-FR"/>
        </w:rPr>
        <w:t>y</w:t>
      </w:r>
      <w:r w:rsidR="00811E12" w:rsidRPr="00811E12">
        <w:rPr>
          <w:kern w:val="22"/>
          <w:szCs w:val="22"/>
          <w:lang w:val="fr-FR"/>
        </w:rPr>
        <w:t xml:space="preserve"> contribu</w:t>
      </w:r>
      <w:r w:rsidR="00811E12">
        <w:rPr>
          <w:kern w:val="22"/>
          <w:szCs w:val="22"/>
          <w:lang w:val="fr-FR"/>
        </w:rPr>
        <w:t>er</w:t>
      </w:r>
      <w:r w:rsidR="00811E12" w:rsidRPr="00811E12">
        <w:rPr>
          <w:kern w:val="22"/>
          <w:szCs w:val="22"/>
          <w:lang w:val="fr-FR"/>
        </w:rPr>
        <w:t>.</w:t>
      </w:r>
      <w:r w:rsidR="00217741">
        <w:rPr>
          <w:kern w:val="22"/>
          <w:szCs w:val="22"/>
          <w:lang w:val="fr-FR"/>
        </w:rPr>
        <w:t xml:space="preserve"> </w:t>
      </w:r>
      <w:r w:rsidR="00811E12" w:rsidRPr="00D56440">
        <w:rPr>
          <w:kern w:val="22"/>
          <w:szCs w:val="22"/>
          <w:lang w:val="fr-FR"/>
        </w:rPr>
        <w:t xml:space="preserve">Cet exercice a </w:t>
      </w:r>
      <w:r w:rsidR="00D56440" w:rsidRPr="00D56440">
        <w:rPr>
          <w:kern w:val="22"/>
          <w:szCs w:val="22"/>
          <w:lang w:val="fr-FR"/>
        </w:rPr>
        <w:t>permis de</w:t>
      </w:r>
      <w:r w:rsidR="00811E12" w:rsidRPr="00D56440">
        <w:rPr>
          <w:kern w:val="22"/>
          <w:szCs w:val="22"/>
          <w:lang w:val="fr-FR"/>
        </w:rPr>
        <w:t xml:space="preserve"> sensibiliser et</w:t>
      </w:r>
      <w:r w:rsidR="00D56440" w:rsidRPr="00D56440">
        <w:rPr>
          <w:kern w:val="22"/>
          <w:szCs w:val="22"/>
          <w:lang w:val="fr-FR"/>
        </w:rPr>
        <w:t xml:space="preserve"> d’</w:t>
      </w:r>
      <w:r w:rsidR="007A0868">
        <w:rPr>
          <w:kern w:val="22"/>
          <w:szCs w:val="22"/>
          <w:lang w:val="fr-FR"/>
        </w:rPr>
        <w:t>informer les représentants d’</w:t>
      </w:r>
      <w:r w:rsidR="00811E12" w:rsidRPr="00D56440">
        <w:rPr>
          <w:kern w:val="22"/>
          <w:szCs w:val="22"/>
          <w:lang w:val="fr-FR"/>
        </w:rPr>
        <w:t>organisations</w:t>
      </w:r>
      <w:r w:rsidR="007A0868">
        <w:rPr>
          <w:kern w:val="22"/>
          <w:szCs w:val="22"/>
          <w:lang w:val="fr-FR"/>
        </w:rPr>
        <w:t xml:space="preserve"> de femmes et de</w:t>
      </w:r>
      <w:r w:rsidR="00811E12" w:rsidRPr="00D56440">
        <w:rPr>
          <w:kern w:val="22"/>
          <w:szCs w:val="22"/>
          <w:lang w:val="fr-FR"/>
        </w:rPr>
        <w:t xml:space="preserve"> parties prenantes </w:t>
      </w:r>
      <w:r w:rsidR="00A72DEC">
        <w:rPr>
          <w:kern w:val="22"/>
          <w:szCs w:val="22"/>
          <w:lang w:val="fr-FR"/>
        </w:rPr>
        <w:t>n’ayant</w:t>
      </w:r>
      <w:r w:rsidR="00D56440" w:rsidRPr="00D56440">
        <w:rPr>
          <w:kern w:val="22"/>
          <w:szCs w:val="22"/>
          <w:lang w:val="fr-FR"/>
        </w:rPr>
        <w:t xml:space="preserve"> pas contribué activement aux processus suivis </w:t>
      </w:r>
      <w:r w:rsidR="00A72DEC">
        <w:rPr>
          <w:kern w:val="22"/>
          <w:szCs w:val="22"/>
          <w:lang w:val="fr-FR"/>
        </w:rPr>
        <w:t>au titre</w:t>
      </w:r>
      <w:r w:rsidR="00D56440" w:rsidRPr="00D56440">
        <w:rPr>
          <w:kern w:val="22"/>
          <w:szCs w:val="22"/>
          <w:lang w:val="fr-FR"/>
        </w:rPr>
        <w:t xml:space="preserve"> de la Convention.</w:t>
      </w:r>
      <w:r w:rsidR="00CA2E78" w:rsidRPr="00C91779">
        <w:rPr>
          <w:kern w:val="22"/>
          <w:szCs w:val="22"/>
        </w:rPr>
        <w:t xml:space="preserve"> </w:t>
      </w:r>
      <w:r w:rsidR="00D56440" w:rsidRPr="00D56440">
        <w:rPr>
          <w:kern w:val="22"/>
          <w:szCs w:val="22"/>
          <w:lang w:val="fr-FR"/>
        </w:rPr>
        <w:t xml:space="preserve">Les stratégies et plans d’action nationaux révisés des trois pays pilotes ont inclus des recommandations sur les contributions </w:t>
      </w:r>
      <w:r w:rsidR="009C4373">
        <w:rPr>
          <w:kern w:val="22"/>
          <w:szCs w:val="22"/>
          <w:lang w:val="fr-FR"/>
        </w:rPr>
        <w:t>relatives à</w:t>
      </w:r>
      <w:r w:rsidR="00A72DEC">
        <w:rPr>
          <w:kern w:val="22"/>
          <w:szCs w:val="22"/>
          <w:lang w:val="fr-FR"/>
        </w:rPr>
        <w:t xml:space="preserve"> l’égalité d</w:t>
      </w:r>
      <w:r w:rsidR="00D56440" w:rsidRPr="00D56440">
        <w:rPr>
          <w:kern w:val="22"/>
          <w:szCs w:val="22"/>
          <w:lang w:val="fr-FR"/>
        </w:rPr>
        <w:t>es sexes, et présenté une réflexion approfondie sur les problématiques hommes-femmes.</w:t>
      </w:r>
    </w:p>
    <w:p w:rsidR="00CA2E78" w:rsidRPr="00C91779" w:rsidRDefault="00D56440" w:rsidP="00D56440">
      <w:pPr>
        <w:pStyle w:val="Para1"/>
        <w:suppressLineNumbers/>
        <w:tabs>
          <w:tab w:val="clear" w:pos="360"/>
        </w:tabs>
        <w:suppressAutoHyphens/>
        <w:kinsoku w:val="0"/>
        <w:overflowPunct w:val="0"/>
        <w:autoSpaceDE w:val="0"/>
        <w:autoSpaceDN w:val="0"/>
        <w:adjustRightInd w:val="0"/>
        <w:snapToGrid w:val="0"/>
        <w:rPr>
          <w:kern w:val="22"/>
          <w:szCs w:val="22"/>
        </w:rPr>
      </w:pPr>
      <w:r w:rsidRPr="00D56440">
        <w:rPr>
          <w:kern w:val="22"/>
          <w:szCs w:val="22"/>
          <w:lang w:val="fr-FR"/>
        </w:rPr>
        <w:t>La procédure suivie pour le projet pilote a été détaillée et complétée par des observations initiales</w:t>
      </w:r>
      <w:r w:rsidR="00A72DEC">
        <w:rPr>
          <w:kern w:val="22"/>
          <w:szCs w:val="22"/>
          <w:lang w:val="fr-FR"/>
        </w:rPr>
        <w:t xml:space="preserve"> dans une publication conjointe. Cette dernière </w:t>
      </w:r>
      <w:r w:rsidRPr="00D56440">
        <w:rPr>
          <w:kern w:val="22"/>
          <w:szCs w:val="22"/>
          <w:lang w:val="fr-FR"/>
        </w:rPr>
        <w:t>a été rendue publique à la treizième réunion de la Conférence des Parties à la Convention</w:t>
      </w:r>
      <w:r w:rsidR="00CA2E78" w:rsidRPr="00C91779">
        <w:rPr>
          <w:rStyle w:val="Appelnotedebasdep"/>
          <w:kern w:val="22"/>
          <w:sz w:val="22"/>
          <w:szCs w:val="22"/>
          <w:u w:val="none"/>
          <w:vertAlign w:val="superscript"/>
        </w:rPr>
        <w:footnoteReference w:id="9"/>
      </w:r>
      <w:proofErr w:type="gramStart"/>
      <w:r w:rsidR="002F6A0C" w:rsidRPr="00C91779">
        <w:rPr>
          <w:kern w:val="22"/>
          <w:szCs w:val="22"/>
          <w:vertAlign w:val="superscript"/>
        </w:rPr>
        <w:t>,</w:t>
      </w:r>
      <w:r w:rsidR="00CA2E78" w:rsidRPr="00C91779">
        <w:rPr>
          <w:rStyle w:val="Appelnotedebasdep"/>
          <w:kern w:val="22"/>
          <w:sz w:val="22"/>
          <w:szCs w:val="22"/>
          <w:u w:val="none"/>
          <w:vertAlign w:val="superscript"/>
        </w:rPr>
        <w:footnoteReference w:id="10"/>
      </w:r>
      <w:r w:rsidR="009B6908">
        <w:rPr>
          <w:kern w:val="22"/>
          <w:szCs w:val="22"/>
        </w:rPr>
        <w:t>.</w:t>
      </w:r>
      <w:proofErr w:type="gramEnd"/>
    </w:p>
    <w:p w:rsidR="00CA2E78" w:rsidRPr="00C91779" w:rsidRDefault="009773EC" w:rsidP="00993C65">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lang w:val="fr-FR"/>
        </w:rPr>
        <w:lastRenderedPageBreak/>
        <w:t>L’</w:t>
      </w:r>
      <w:r w:rsidR="005F64E5">
        <w:rPr>
          <w:kern w:val="22"/>
          <w:szCs w:val="22"/>
          <w:lang w:val="fr-FR"/>
        </w:rPr>
        <w:t>UICN a</w:t>
      </w:r>
      <w:r w:rsidR="00D56440" w:rsidRPr="00993C65">
        <w:rPr>
          <w:kern w:val="22"/>
          <w:szCs w:val="22"/>
          <w:lang w:val="fr-FR"/>
        </w:rPr>
        <w:t xml:space="preserve">, dans le cadre de cette initiative, </w:t>
      </w:r>
      <w:r w:rsidR="005F64E5" w:rsidRPr="00993C65">
        <w:rPr>
          <w:kern w:val="22"/>
          <w:szCs w:val="22"/>
          <w:lang w:val="fr-FR"/>
        </w:rPr>
        <w:t>évalué</w:t>
      </w:r>
      <w:r w:rsidR="005F64E5">
        <w:rPr>
          <w:kern w:val="22"/>
          <w:szCs w:val="22"/>
          <w:lang w:val="fr-FR"/>
        </w:rPr>
        <w:t xml:space="preserve"> </w:t>
      </w:r>
      <w:r w:rsidR="00D56440" w:rsidRPr="00993C65">
        <w:rPr>
          <w:kern w:val="22"/>
          <w:szCs w:val="22"/>
          <w:lang w:val="fr-FR"/>
        </w:rPr>
        <w:t xml:space="preserve">le niveau d’intégration des considérations </w:t>
      </w:r>
      <w:proofErr w:type="spellStart"/>
      <w:r w:rsidR="00D56440" w:rsidRPr="00993C65">
        <w:rPr>
          <w:kern w:val="22"/>
          <w:szCs w:val="22"/>
          <w:lang w:val="fr-FR"/>
        </w:rPr>
        <w:t>sexospécifiques</w:t>
      </w:r>
      <w:proofErr w:type="spellEnd"/>
      <w:r w:rsidR="00D56440" w:rsidRPr="00993C65">
        <w:rPr>
          <w:kern w:val="22"/>
          <w:szCs w:val="22"/>
          <w:lang w:val="fr-FR"/>
        </w:rPr>
        <w:t xml:space="preserve"> dans les stratégies et plans d’action nationaux pour la diversité biologique</w:t>
      </w:r>
      <w:r w:rsidR="00993C65" w:rsidRPr="00993C65">
        <w:rPr>
          <w:kern w:val="22"/>
          <w:szCs w:val="22"/>
          <w:lang w:val="fr-FR"/>
        </w:rPr>
        <w:t xml:space="preserve"> reçus par le Secrétariat de 1993 à mai 2016, et </w:t>
      </w:r>
      <w:r>
        <w:rPr>
          <w:kern w:val="22"/>
          <w:szCs w:val="22"/>
          <w:lang w:val="fr-FR"/>
        </w:rPr>
        <w:t xml:space="preserve">dans </w:t>
      </w:r>
      <w:r w:rsidR="00993C65" w:rsidRPr="00993C65">
        <w:rPr>
          <w:kern w:val="22"/>
          <w:szCs w:val="22"/>
          <w:lang w:val="fr-FR"/>
        </w:rPr>
        <w:t xml:space="preserve">les cinquièmes rapports nationaux adressés au Secrétariat en octobre 2016. Ses évaluations ont recensé </w:t>
      </w:r>
      <w:r w:rsidR="000B33CF">
        <w:rPr>
          <w:kern w:val="22"/>
          <w:szCs w:val="22"/>
          <w:lang w:val="fr-FR"/>
        </w:rPr>
        <w:t>l’existence de</w:t>
      </w:r>
      <w:r w:rsidR="00993C65" w:rsidRPr="00993C65">
        <w:rPr>
          <w:kern w:val="22"/>
          <w:szCs w:val="22"/>
          <w:lang w:val="fr-FR"/>
        </w:rPr>
        <w:t xml:space="preserve"> références à l’égalité entre les sexes ou aux femmes dans 56 % des stratégies et plans d’action nationaux, et 67 % des cinquièmes rapports nationaux.</w:t>
      </w:r>
      <w:r w:rsidR="00CA2E78" w:rsidRPr="00C91779">
        <w:rPr>
          <w:kern w:val="22"/>
          <w:szCs w:val="22"/>
        </w:rPr>
        <w:t xml:space="preserve"> </w:t>
      </w:r>
      <w:r w:rsidR="00993C65" w:rsidRPr="00993C65">
        <w:rPr>
          <w:kern w:val="22"/>
          <w:szCs w:val="22"/>
          <w:lang w:val="fr-FR"/>
        </w:rPr>
        <w:t>Deux fiches d’information ont été rédigées sur ces évaluations (l’une pour les stratégies et plans d’action nationaux</w:t>
      </w:r>
      <w:r w:rsidR="00993C65" w:rsidRPr="00993C65">
        <w:rPr>
          <w:rStyle w:val="Appelnotedebasdep"/>
          <w:kern w:val="22"/>
          <w:sz w:val="22"/>
          <w:szCs w:val="22"/>
          <w:u w:val="none"/>
          <w:vertAlign w:val="superscript"/>
          <w:lang w:val="fr-FR"/>
        </w:rPr>
        <w:footnoteReference w:id="11"/>
      </w:r>
      <w:r w:rsidR="00993C65" w:rsidRPr="00993C65">
        <w:rPr>
          <w:kern w:val="22"/>
          <w:szCs w:val="22"/>
          <w:lang w:val="fr-FR"/>
        </w:rPr>
        <w:t xml:space="preserve"> et l’autre pour les cinquièmes rapports nationaux</w:t>
      </w:r>
      <w:r w:rsidR="00993C65" w:rsidRPr="00993C65">
        <w:rPr>
          <w:rStyle w:val="Appelnotedebasdep"/>
          <w:kern w:val="22"/>
          <w:sz w:val="22"/>
          <w:szCs w:val="22"/>
          <w:u w:val="none"/>
          <w:vertAlign w:val="superscript"/>
          <w:lang w:val="fr-FR"/>
        </w:rPr>
        <w:footnoteReference w:id="12"/>
      </w:r>
      <w:r w:rsidR="00993C65" w:rsidRPr="00993C65">
        <w:rPr>
          <w:kern w:val="22"/>
          <w:szCs w:val="22"/>
          <w:lang w:val="fr-FR"/>
        </w:rPr>
        <w:t>) et des résultats détaillés ont été fournis à leur sujet dans les documents établis en préparation de la treizième réunion de la Conférence des Parties</w:t>
      </w:r>
      <w:r w:rsidR="00CA2E78" w:rsidRPr="00C91779">
        <w:rPr>
          <w:rStyle w:val="Appelnotedebasdep"/>
          <w:kern w:val="22"/>
          <w:sz w:val="22"/>
          <w:szCs w:val="22"/>
          <w:u w:val="none"/>
          <w:vertAlign w:val="superscript"/>
        </w:rPr>
        <w:footnoteReference w:id="13"/>
      </w:r>
      <w:r>
        <w:rPr>
          <w:kern w:val="22"/>
          <w:szCs w:val="22"/>
          <w:lang w:val="fr-FR"/>
        </w:rPr>
        <w:t>.</w:t>
      </w:r>
      <w:r w:rsidR="00217741">
        <w:rPr>
          <w:kern w:val="22"/>
          <w:szCs w:val="22"/>
        </w:rPr>
        <w:t xml:space="preserve"> </w:t>
      </w:r>
      <w:r w:rsidR="00993C65" w:rsidRPr="00993C65">
        <w:rPr>
          <w:kern w:val="22"/>
          <w:szCs w:val="22"/>
          <w:lang w:val="fr-FR"/>
        </w:rPr>
        <w:t xml:space="preserve">L’UICN a également publié un document complet </w:t>
      </w:r>
      <w:r w:rsidR="00912424">
        <w:rPr>
          <w:kern w:val="22"/>
          <w:szCs w:val="22"/>
          <w:lang w:val="fr-FR"/>
        </w:rPr>
        <w:t>à leur sujet</w:t>
      </w:r>
      <w:r w:rsidR="00CA2E78" w:rsidRPr="00C91779">
        <w:rPr>
          <w:rStyle w:val="Appelnotedebasdep"/>
          <w:kern w:val="22"/>
          <w:sz w:val="22"/>
          <w:szCs w:val="22"/>
          <w:u w:val="none"/>
          <w:vertAlign w:val="superscript"/>
        </w:rPr>
        <w:footnoteReference w:id="14"/>
      </w:r>
      <w:r>
        <w:rPr>
          <w:kern w:val="22"/>
          <w:szCs w:val="22"/>
          <w:lang w:val="fr-FR"/>
        </w:rPr>
        <w:t>.</w:t>
      </w:r>
    </w:p>
    <w:p w:rsidR="005B25A1" w:rsidRPr="002F3E73" w:rsidRDefault="00993C65" w:rsidP="00993C65">
      <w:pPr>
        <w:pStyle w:val="Titre2"/>
        <w:suppressLineNumbers/>
        <w:tabs>
          <w:tab w:val="left" w:pos="360"/>
        </w:tabs>
        <w:suppressAutoHyphens/>
        <w:kinsoku w:val="0"/>
        <w:overflowPunct w:val="0"/>
        <w:autoSpaceDE w:val="0"/>
        <w:autoSpaceDN w:val="0"/>
        <w:adjustRightInd w:val="0"/>
        <w:snapToGrid w:val="0"/>
        <w:rPr>
          <w:bCs w:val="0"/>
          <w:snapToGrid w:val="0"/>
          <w:kern w:val="22"/>
          <w:szCs w:val="22"/>
        </w:rPr>
      </w:pPr>
      <w:r w:rsidRPr="00993C65">
        <w:rPr>
          <w:bCs w:val="0"/>
          <w:snapToGrid w:val="0"/>
          <w:kern w:val="22"/>
          <w:szCs w:val="22"/>
          <w:lang w:val="fr-FR"/>
        </w:rPr>
        <w:t>B.</w:t>
      </w:r>
      <w:r w:rsidR="00B35669" w:rsidRPr="002F3E73">
        <w:rPr>
          <w:bCs w:val="0"/>
          <w:snapToGrid w:val="0"/>
          <w:kern w:val="22"/>
          <w:szCs w:val="22"/>
        </w:rPr>
        <w:tab/>
      </w:r>
      <w:r w:rsidRPr="00993C65">
        <w:rPr>
          <w:bCs w:val="0"/>
          <w:snapToGrid w:val="0"/>
          <w:kern w:val="22"/>
          <w:szCs w:val="22"/>
          <w:lang w:val="fr-FR"/>
        </w:rPr>
        <w:t>À l’échelle régionale</w:t>
      </w:r>
    </w:p>
    <w:p w:rsidR="002C2D04" w:rsidRPr="00C91779" w:rsidRDefault="00993C65" w:rsidP="00EF2203">
      <w:pPr>
        <w:pStyle w:val="Para1"/>
        <w:suppressLineNumbers/>
        <w:tabs>
          <w:tab w:val="clear" w:pos="360"/>
        </w:tabs>
        <w:suppressAutoHyphens/>
        <w:kinsoku w:val="0"/>
        <w:overflowPunct w:val="0"/>
        <w:autoSpaceDE w:val="0"/>
        <w:autoSpaceDN w:val="0"/>
        <w:adjustRightInd w:val="0"/>
        <w:snapToGrid w:val="0"/>
        <w:rPr>
          <w:kern w:val="22"/>
          <w:szCs w:val="22"/>
        </w:rPr>
      </w:pPr>
      <w:r w:rsidRPr="00730FAD">
        <w:rPr>
          <w:kern w:val="22"/>
          <w:szCs w:val="22"/>
          <w:lang w:val="fr-FR"/>
        </w:rPr>
        <w:t xml:space="preserve">En collaboration avec le </w:t>
      </w:r>
      <w:hyperlink r:id="rId19" w:history="1">
        <w:r w:rsidRPr="00730FAD">
          <w:rPr>
            <w:rStyle w:val="Lienhypertexte"/>
            <w:kern w:val="22"/>
            <w:szCs w:val="22"/>
            <w:lang w:val="fr-FR"/>
          </w:rPr>
          <w:t>Bureau régional pour l'Asie et le Pacifique du Programme des Nations Unies pour l'environnement</w:t>
        </w:r>
      </w:hyperlink>
      <w:r w:rsidRPr="00730FAD">
        <w:rPr>
          <w:kern w:val="22"/>
          <w:szCs w:val="22"/>
          <w:lang w:val="fr-FR"/>
        </w:rPr>
        <w:t>, avec l’aide</w:t>
      </w:r>
      <w:r w:rsidR="007D069A">
        <w:rPr>
          <w:kern w:val="22"/>
          <w:szCs w:val="22"/>
          <w:lang w:val="fr-FR"/>
        </w:rPr>
        <w:t xml:space="preserve"> d’autres partenaires régionaux</w:t>
      </w:r>
      <w:r w:rsidRPr="00730FAD">
        <w:rPr>
          <w:kern w:val="22"/>
          <w:szCs w:val="22"/>
          <w:lang w:val="fr-FR"/>
        </w:rPr>
        <w:t xml:space="preserve"> et grâce à un appui financier du Gouvernement suédois, le Secrétariat a entrepris d’élaborer des </w:t>
      </w:r>
      <w:r w:rsidR="00730FAD" w:rsidRPr="00730FAD">
        <w:rPr>
          <w:kern w:val="22"/>
          <w:szCs w:val="22"/>
          <w:lang w:val="fr-FR"/>
        </w:rPr>
        <w:t>matériels</w:t>
      </w:r>
      <w:r w:rsidRPr="00730FAD">
        <w:rPr>
          <w:kern w:val="22"/>
          <w:szCs w:val="22"/>
          <w:lang w:val="fr-FR"/>
        </w:rPr>
        <w:t xml:space="preserve"> de formation sur l’égalité entre les sexes</w:t>
      </w:r>
      <w:r w:rsidR="00730FAD" w:rsidRPr="00730FAD">
        <w:rPr>
          <w:kern w:val="22"/>
          <w:szCs w:val="22"/>
          <w:lang w:val="fr-FR"/>
        </w:rPr>
        <w:t xml:space="preserve"> et la </w:t>
      </w:r>
      <w:r w:rsidR="000A4182" w:rsidRPr="000A4182">
        <w:rPr>
          <w:kern w:val="22"/>
          <w:szCs w:val="22"/>
          <w:lang w:val="fr-FR"/>
        </w:rPr>
        <w:t>biodiversité</w:t>
      </w:r>
      <w:r w:rsidR="000A4182">
        <w:rPr>
          <w:kern w:val="22"/>
          <w:szCs w:val="22"/>
          <w:lang w:val="fr-FR"/>
        </w:rPr>
        <w:t xml:space="preserve"> </w:t>
      </w:r>
      <w:r w:rsidR="007D069A">
        <w:rPr>
          <w:kern w:val="22"/>
          <w:szCs w:val="22"/>
          <w:lang w:val="fr-FR"/>
        </w:rPr>
        <w:t>en se centrant sur</w:t>
      </w:r>
      <w:r w:rsidR="00730FAD" w:rsidRPr="00730FAD">
        <w:rPr>
          <w:kern w:val="22"/>
          <w:szCs w:val="22"/>
          <w:lang w:val="fr-FR"/>
        </w:rPr>
        <w:t xml:space="preserve"> la région de l’Asie du Sud-Est et du Pacifique.</w:t>
      </w:r>
      <w:r w:rsidR="00CA2E78" w:rsidRPr="00C91779">
        <w:rPr>
          <w:kern w:val="22"/>
          <w:szCs w:val="22"/>
        </w:rPr>
        <w:t xml:space="preserve"> </w:t>
      </w:r>
      <w:r w:rsidR="00730FAD" w:rsidRPr="00730FAD">
        <w:rPr>
          <w:kern w:val="22"/>
          <w:szCs w:val="22"/>
          <w:lang w:val="fr-FR"/>
        </w:rPr>
        <w:t xml:space="preserve">Un </w:t>
      </w:r>
      <w:hyperlink r:id="rId20" w:history="1">
        <w:r w:rsidR="00730FAD" w:rsidRPr="00730FAD">
          <w:rPr>
            <w:rStyle w:val="Lienhypertexte"/>
            <w:kern w:val="22"/>
            <w:szCs w:val="22"/>
            <w:lang w:val="fr-FR"/>
          </w:rPr>
          <w:t>atelier</w:t>
        </w:r>
      </w:hyperlink>
      <w:r w:rsidR="00730FAD" w:rsidRPr="00730FAD">
        <w:rPr>
          <w:kern w:val="22"/>
          <w:szCs w:val="22"/>
          <w:lang w:val="fr-FR"/>
        </w:rPr>
        <w:t xml:space="preserve"> a eu lieu à Bangkok du 28 au 30 novembre 2017, en présence de spécialistes de l’égalité </w:t>
      </w:r>
      <w:r w:rsidR="000B33CF">
        <w:rPr>
          <w:kern w:val="22"/>
          <w:szCs w:val="22"/>
          <w:lang w:val="fr-FR"/>
        </w:rPr>
        <w:t>d</w:t>
      </w:r>
      <w:r w:rsidR="00730FAD" w:rsidRPr="00730FAD">
        <w:rPr>
          <w:kern w:val="22"/>
          <w:szCs w:val="22"/>
          <w:lang w:val="fr-FR"/>
        </w:rPr>
        <w:t xml:space="preserve">es sexes, de l’environnement et de la </w:t>
      </w:r>
      <w:r w:rsidR="000A4182" w:rsidRPr="000A4182">
        <w:rPr>
          <w:kern w:val="22"/>
          <w:szCs w:val="22"/>
          <w:lang w:val="fr-FR"/>
        </w:rPr>
        <w:t>biodiversité</w:t>
      </w:r>
      <w:r w:rsidR="007D069A">
        <w:rPr>
          <w:kern w:val="22"/>
          <w:szCs w:val="22"/>
          <w:lang w:val="fr-FR"/>
        </w:rPr>
        <w:t xml:space="preserve"> de</w:t>
      </w:r>
      <w:r w:rsidR="00730FAD" w:rsidRPr="00730FAD">
        <w:rPr>
          <w:kern w:val="22"/>
          <w:szCs w:val="22"/>
          <w:lang w:val="fr-FR"/>
        </w:rPr>
        <w:t xml:space="preserve"> la région, notamment des correspondants nationaux de la Convention.</w:t>
      </w:r>
      <w:r w:rsidR="00CA2E78" w:rsidRPr="00C91779">
        <w:rPr>
          <w:kern w:val="22"/>
          <w:szCs w:val="22"/>
        </w:rPr>
        <w:t xml:space="preserve"> </w:t>
      </w:r>
      <w:r w:rsidR="007D069A">
        <w:rPr>
          <w:kern w:val="22"/>
          <w:szCs w:val="22"/>
          <w:lang w:val="fr-FR"/>
        </w:rPr>
        <w:t>L’</w:t>
      </w:r>
      <w:r w:rsidR="00730FAD" w:rsidRPr="00EF2203">
        <w:rPr>
          <w:kern w:val="22"/>
          <w:szCs w:val="22"/>
          <w:lang w:val="fr-FR"/>
        </w:rPr>
        <w:t xml:space="preserve">atelier a suscité </w:t>
      </w:r>
      <w:r w:rsidR="00EF2203" w:rsidRPr="00EF2203">
        <w:rPr>
          <w:kern w:val="22"/>
          <w:szCs w:val="22"/>
          <w:lang w:val="fr-FR"/>
        </w:rPr>
        <w:t xml:space="preserve">plusieurs </w:t>
      </w:r>
      <w:r w:rsidR="00730FAD" w:rsidRPr="00EF2203">
        <w:rPr>
          <w:kern w:val="22"/>
          <w:szCs w:val="22"/>
          <w:lang w:val="fr-FR"/>
        </w:rPr>
        <w:t>engagements</w:t>
      </w:r>
      <w:r w:rsidR="007D069A">
        <w:rPr>
          <w:kern w:val="22"/>
          <w:szCs w:val="22"/>
          <w:lang w:val="fr-FR"/>
        </w:rPr>
        <w:t xml:space="preserve"> et contributions</w:t>
      </w:r>
      <w:r w:rsidR="00EF2203" w:rsidRPr="00EF2203">
        <w:rPr>
          <w:kern w:val="22"/>
          <w:szCs w:val="22"/>
          <w:lang w:val="fr-FR"/>
        </w:rPr>
        <w:t xml:space="preserve"> </w:t>
      </w:r>
      <w:r w:rsidR="007D069A">
        <w:rPr>
          <w:kern w:val="22"/>
          <w:szCs w:val="22"/>
          <w:lang w:val="fr-FR"/>
        </w:rPr>
        <w:t>pour l’élaboration de</w:t>
      </w:r>
      <w:r w:rsidR="00730FAD" w:rsidRPr="00EF2203">
        <w:rPr>
          <w:kern w:val="22"/>
          <w:szCs w:val="22"/>
          <w:lang w:val="fr-FR"/>
        </w:rPr>
        <w:t xml:space="preserve"> matériels de formation</w:t>
      </w:r>
      <w:r w:rsidR="00EF2203" w:rsidRPr="00EF2203">
        <w:rPr>
          <w:kern w:val="22"/>
          <w:szCs w:val="22"/>
          <w:lang w:val="fr-FR"/>
        </w:rPr>
        <w:t> ;</w:t>
      </w:r>
      <w:r w:rsidR="00730FAD" w:rsidRPr="00EF2203">
        <w:rPr>
          <w:kern w:val="22"/>
          <w:szCs w:val="22"/>
          <w:lang w:val="fr-FR"/>
        </w:rPr>
        <w:t xml:space="preserve"> </w:t>
      </w:r>
      <w:r w:rsidR="007D069A">
        <w:rPr>
          <w:kern w:val="22"/>
          <w:szCs w:val="22"/>
          <w:lang w:val="fr-FR"/>
        </w:rPr>
        <w:t>mieux fait</w:t>
      </w:r>
      <w:r w:rsidR="00EF2203" w:rsidRPr="00EF2203">
        <w:rPr>
          <w:kern w:val="22"/>
          <w:szCs w:val="22"/>
          <w:lang w:val="fr-FR"/>
        </w:rPr>
        <w:t xml:space="preserve"> comprendre</w:t>
      </w:r>
      <w:r w:rsidR="00730FAD" w:rsidRPr="00EF2203">
        <w:rPr>
          <w:kern w:val="22"/>
          <w:szCs w:val="22"/>
          <w:lang w:val="fr-FR"/>
        </w:rPr>
        <w:t xml:space="preserve"> </w:t>
      </w:r>
      <w:r w:rsidR="00EF2203" w:rsidRPr="00EF2203">
        <w:rPr>
          <w:kern w:val="22"/>
          <w:szCs w:val="22"/>
          <w:lang w:val="fr-FR"/>
        </w:rPr>
        <w:t>l</w:t>
      </w:r>
      <w:r w:rsidR="00730FAD" w:rsidRPr="00EF2203">
        <w:rPr>
          <w:kern w:val="22"/>
          <w:szCs w:val="22"/>
          <w:lang w:val="fr-FR"/>
        </w:rPr>
        <w:t xml:space="preserve">es liens existant entre l’égalité des sexes et la </w:t>
      </w:r>
      <w:r w:rsidR="000A4182" w:rsidRPr="000A4182">
        <w:rPr>
          <w:kern w:val="22"/>
          <w:szCs w:val="22"/>
          <w:lang w:val="fr-FR"/>
        </w:rPr>
        <w:t>biodiversité</w:t>
      </w:r>
      <w:r w:rsidR="000A4182">
        <w:rPr>
          <w:kern w:val="22"/>
          <w:szCs w:val="22"/>
          <w:lang w:val="fr-FR"/>
        </w:rPr>
        <w:t> ;</w:t>
      </w:r>
      <w:r w:rsidR="00EF2203" w:rsidRPr="00EF2203">
        <w:rPr>
          <w:kern w:val="22"/>
          <w:szCs w:val="22"/>
          <w:lang w:val="fr-FR"/>
        </w:rPr>
        <w:t xml:space="preserve"> et </w:t>
      </w:r>
      <w:r w:rsidR="00FA1EE3">
        <w:rPr>
          <w:kern w:val="22"/>
          <w:szCs w:val="22"/>
          <w:lang w:val="fr-FR"/>
        </w:rPr>
        <w:t>donné</w:t>
      </w:r>
      <w:r w:rsidR="00EF2203" w:rsidRPr="00EF2203">
        <w:rPr>
          <w:kern w:val="22"/>
          <w:szCs w:val="22"/>
          <w:lang w:val="fr-FR"/>
        </w:rPr>
        <w:t xml:space="preserve"> lieu à des actions collectives sur le renforcement des capacités à planifier et à mettre en œuvre des </w:t>
      </w:r>
      <w:r w:rsidR="003E0954">
        <w:rPr>
          <w:kern w:val="22"/>
          <w:szCs w:val="22"/>
          <w:lang w:val="fr-FR"/>
        </w:rPr>
        <w:t xml:space="preserve">mesures </w:t>
      </w:r>
      <w:r w:rsidR="00EF2203" w:rsidRPr="00EF2203">
        <w:rPr>
          <w:kern w:val="22"/>
          <w:szCs w:val="22"/>
          <w:lang w:val="fr-FR"/>
        </w:rPr>
        <w:t xml:space="preserve">soucieuses de l’égalité hommes-femmes dans </w:t>
      </w:r>
      <w:r w:rsidR="003E0954">
        <w:rPr>
          <w:kern w:val="22"/>
          <w:szCs w:val="22"/>
          <w:lang w:val="fr-FR"/>
        </w:rPr>
        <w:t>la conservation</w:t>
      </w:r>
      <w:r w:rsidR="00EF2203" w:rsidRPr="00EF2203">
        <w:rPr>
          <w:kern w:val="22"/>
          <w:szCs w:val="22"/>
          <w:lang w:val="fr-FR"/>
        </w:rPr>
        <w:t xml:space="preserve"> de la </w:t>
      </w:r>
      <w:r w:rsidR="000A4182" w:rsidRPr="000A4182">
        <w:rPr>
          <w:kern w:val="22"/>
          <w:szCs w:val="22"/>
          <w:lang w:val="fr-FR"/>
        </w:rPr>
        <w:t>biodiversité</w:t>
      </w:r>
      <w:r w:rsidR="00EF2203" w:rsidRPr="00EF2203">
        <w:rPr>
          <w:kern w:val="22"/>
          <w:szCs w:val="22"/>
          <w:lang w:val="fr-FR"/>
        </w:rPr>
        <w:t>.</w:t>
      </w:r>
      <w:r w:rsidR="00CA2E78" w:rsidRPr="00C91779">
        <w:rPr>
          <w:kern w:val="22"/>
          <w:szCs w:val="22"/>
        </w:rPr>
        <w:t xml:space="preserve"> </w:t>
      </w:r>
      <w:r w:rsidR="003E0954">
        <w:rPr>
          <w:kern w:val="22"/>
          <w:szCs w:val="22"/>
          <w:lang w:val="fr-FR"/>
        </w:rPr>
        <w:t>Suite</w:t>
      </w:r>
      <w:r w:rsidR="00EF2203" w:rsidRPr="00EF2203">
        <w:rPr>
          <w:kern w:val="22"/>
          <w:szCs w:val="22"/>
          <w:lang w:val="fr-FR"/>
        </w:rPr>
        <w:t xml:space="preserve"> à </w:t>
      </w:r>
      <w:r w:rsidR="003E0954">
        <w:rPr>
          <w:kern w:val="22"/>
          <w:szCs w:val="22"/>
          <w:lang w:val="fr-FR"/>
        </w:rPr>
        <w:t>la</w:t>
      </w:r>
      <w:r w:rsidR="00EF2203" w:rsidRPr="00EF2203">
        <w:rPr>
          <w:kern w:val="22"/>
          <w:szCs w:val="22"/>
          <w:lang w:val="fr-FR"/>
        </w:rPr>
        <w:t xml:space="preserve"> collaboration nouée avec le Bureau régional et d’autres partenaires régionaux, cette initiative a </w:t>
      </w:r>
      <w:r w:rsidR="003E0954">
        <w:rPr>
          <w:kern w:val="22"/>
          <w:szCs w:val="22"/>
          <w:lang w:val="fr-FR"/>
        </w:rPr>
        <w:t>consolidé</w:t>
      </w:r>
      <w:r w:rsidR="00EF2203" w:rsidRPr="00EF2203">
        <w:rPr>
          <w:kern w:val="22"/>
          <w:szCs w:val="22"/>
          <w:lang w:val="fr-FR"/>
        </w:rPr>
        <w:t xml:space="preserve"> les liens institutionnels existants, et </w:t>
      </w:r>
      <w:r w:rsidR="003E0954">
        <w:rPr>
          <w:kern w:val="22"/>
          <w:szCs w:val="22"/>
          <w:lang w:val="fr-FR"/>
        </w:rPr>
        <w:t>recensé</w:t>
      </w:r>
      <w:r w:rsidR="00EF2203" w:rsidRPr="00EF2203">
        <w:rPr>
          <w:kern w:val="22"/>
          <w:szCs w:val="22"/>
          <w:lang w:val="fr-FR"/>
        </w:rPr>
        <w:t xml:space="preserve"> les possibilités d’intégrer les matériels de formation et les résultats produits par l’atelier dans les prochaines activités régionales.</w:t>
      </w:r>
    </w:p>
    <w:p w:rsidR="005B25A1" w:rsidRPr="00C91779" w:rsidRDefault="003E0954" w:rsidP="005E2BF7">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lang w:val="fr-FR"/>
        </w:rPr>
        <w:t>L’</w:t>
      </w:r>
      <w:r w:rsidR="00EF2203" w:rsidRPr="00B7265D">
        <w:rPr>
          <w:kern w:val="22"/>
          <w:szCs w:val="22"/>
          <w:lang w:val="fr-FR"/>
        </w:rPr>
        <w:t>initiative a enfin fait prévaloir la nécessité d’adopter une approche régionale</w:t>
      </w:r>
      <w:r w:rsidR="00B7265D" w:rsidRPr="00B7265D">
        <w:rPr>
          <w:kern w:val="22"/>
          <w:szCs w:val="22"/>
          <w:lang w:val="fr-FR"/>
        </w:rPr>
        <w:t xml:space="preserve"> dans le cadre de laquelle les institutions régionales </w:t>
      </w:r>
      <w:r w:rsidR="004F32C8">
        <w:rPr>
          <w:kern w:val="22"/>
          <w:szCs w:val="22"/>
          <w:lang w:val="fr-FR"/>
        </w:rPr>
        <w:t>pourront diriger et</w:t>
      </w:r>
      <w:r w:rsidR="00B7265D" w:rsidRPr="00B7265D">
        <w:rPr>
          <w:kern w:val="22"/>
          <w:szCs w:val="22"/>
          <w:lang w:val="fr-FR"/>
        </w:rPr>
        <w:t xml:space="preserve"> poursuivre les échanges engagés ; </w:t>
      </w:r>
      <w:r w:rsidR="004F32C8">
        <w:rPr>
          <w:kern w:val="22"/>
          <w:szCs w:val="22"/>
          <w:lang w:val="fr-FR"/>
        </w:rPr>
        <w:t>encourager</w:t>
      </w:r>
      <w:r w:rsidR="00B7265D" w:rsidRPr="00B7265D">
        <w:rPr>
          <w:kern w:val="22"/>
          <w:szCs w:val="22"/>
          <w:lang w:val="fr-FR"/>
        </w:rPr>
        <w:t xml:space="preserve"> les </w:t>
      </w:r>
      <w:r w:rsidR="004F32C8">
        <w:rPr>
          <w:kern w:val="22"/>
          <w:szCs w:val="22"/>
          <w:lang w:val="fr-FR"/>
        </w:rPr>
        <w:t>possibilités</w:t>
      </w:r>
      <w:r w:rsidR="00B7265D" w:rsidRPr="00B7265D">
        <w:rPr>
          <w:kern w:val="22"/>
          <w:szCs w:val="22"/>
          <w:lang w:val="fr-FR"/>
        </w:rPr>
        <w:t xml:space="preserve"> d’apprentissage parmi les différen</w:t>
      </w:r>
      <w:r w:rsidR="004F32C8">
        <w:rPr>
          <w:kern w:val="22"/>
          <w:szCs w:val="22"/>
          <w:lang w:val="fr-FR"/>
        </w:rPr>
        <w:t>ts acteurs et pays ; et tirer</w:t>
      </w:r>
      <w:r w:rsidR="00B7265D" w:rsidRPr="00B7265D">
        <w:rPr>
          <w:kern w:val="22"/>
          <w:szCs w:val="22"/>
          <w:lang w:val="fr-FR"/>
        </w:rPr>
        <w:t xml:space="preserve"> parti des rares ressources affectées à l’égalité entre les sexes et à la</w:t>
      </w:r>
      <w:r w:rsidR="004F32C8">
        <w:rPr>
          <w:kern w:val="22"/>
          <w:szCs w:val="22"/>
          <w:lang w:val="fr-FR"/>
        </w:rPr>
        <w:t xml:space="preserve"> conservation de la</w:t>
      </w:r>
      <w:r w:rsidR="00B7265D" w:rsidRPr="00B7265D">
        <w:rPr>
          <w:kern w:val="22"/>
          <w:szCs w:val="22"/>
          <w:lang w:val="fr-FR"/>
        </w:rPr>
        <w:t xml:space="preserve"> </w:t>
      </w:r>
      <w:r w:rsidR="008F065A" w:rsidRPr="000A4182">
        <w:rPr>
          <w:kern w:val="22"/>
          <w:szCs w:val="22"/>
          <w:lang w:val="fr-FR"/>
        </w:rPr>
        <w:t>biodiversité</w:t>
      </w:r>
      <w:r w:rsidR="00B7265D" w:rsidRPr="00B7265D">
        <w:rPr>
          <w:kern w:val="22"/>
          <w:szCs w:val="22"/>
          <w:lang w:val="fr-FR"/>
        </w:rPr>
        <w:t>.</w:t>
      </w:r>
      <w:r w:rsidR="002C2D04" w:rsidRPr="00C91779">
        <w:rPr>
          <w:kern w:val="22"/>
          <w:szCs w:val="22"/>
        </w:rPr>
        <w:t xml:space="preserve"> </w:t>
      </w:r>
      <w:r w:rsidR="004F32C8">
        <w:rPr>
          <w:kern w:val="22"/>
          <w:szCs w:val="22"/>
          <w:lang w:val="fr-FR"/>
        </w:rPr>
        <w:t xml:space="preserve">Le </w:t>
      </w:r>
      <w:hyperlink r:id="rId21" w:history="1">
        <w:r w:rsidR="004F32C8">
          <w:rPr>
            <w:rStyle w:val="Lienhypertexte"/>
            <w:kern w:val="22"/>
            <w:szCs w:val="22"/>
            <w:lang w:val="fr-FR"/>
          </w:rPr>
          <w:t>Centre pour la biodiversité de l'ASEAN</w:t>
        </w:r>
      </w:hyperlink>
      <w:r w:rsidR="005E2BF7" w:rsidRPr="005E2BF7">
        <w:rPr>
          <w:kern w:val="22"/>
          <w:szCs w:val="22"/>
          <w:lang w:val="fr-FR"/>
        </w:rPr>
        <w:t>, qui est un partenaire régional essentiel, s’est associé à cette initiative</w:t>
      </w:r>
      <w:r w:rsidR="004F32C8">
        <w:rPr>
          <w:kern w:val="22"/>
          <w:szCs w:val="22"/>
          <w:lang w:val="fr-FR"/>
        </w:rPr>
        <w:t xml:space="preserve"> pour </w:t>
      </w:r>
      <w:r w:rsidR="005E2BF7" w:rsidRPr="005E2BF7">
        <w:rPr>
          <w:kern w:val="22"/>
          <w:szCs w:val="22"/>
          <w:lang w:val="fr-FR"/>
        </w:rPr>
        <w:t>l’appuyer et renforcer sa capacité à intégrer les problématiques hommes-femmes dans ses travaux.</w:t>
      </w:r>
    </w:p>
    <w:p w:rsidR="00630E63" w:rsidRPr="002F3E73" w:rsidRDefault="005E2BF7" w:rsidP="005E2BF7">
      <w:pPr>
        <w:pStyle w:val="Titre2"/>
        <w:suppressLineNumbers/>
        <w:tabs>
          <w:tab w:val="left" w:pos="360"/>
        </w:tabs>
        <w:suppressAutoHyphens/>
        <w:kinsoku w:val="0"/>
        <w:overflowPunct w:val="0"/>
        <w:autoSpaceDE w:val="0"/>
        <w:autoSpaceDN w:val="0"/>
        <w:adjustRightInd w:val="0"/>
        <w:snapToGrid w:val="0"/>
        <w:rPr>
          <w:bCs w:val="0"/>
          <w:snapToGrid w:val="0"/>
          <w:kern w:val="22"/>
          <w:szCs w:val="22"/>
        </w:rPr>
      </w:pPr>
      <w:r w:rsidRPr="005E2BF7">
        <w:rPr>
          <w:bCs w:val="0"/>
          <w:snapToGrid w:val="0"/>
          <w:kern w:val="22"/>
          <w:szCs w:val="22"/>
          <w:lang w:val="fr-FR"/>
        </w:rPr>
        <w:t>C.</w:t>
      </w:r>
      <w:r w:rsidR="00B35669" w:rsidRPr="002F3E73">
        <w:rPr>
          <w:bCs w:val="0"/>
          <w:snapToGrid w:val="0"/>
          <w:kern w:val="22"/>
          <w:szCs w:val="22"/>
        </w:rPr>
        <w:tab/>
      </w:r>
      <w:r w:rsidRPr="005E2BF7">
        <w:rPr>
          <w:bCs w:val="0"/>
          <w:snapToGrid w:val="0"/>
          <w:kern w:val="22"/>
          <w:szCs w:val="22"/>
          <w:lang w:val="fr-FR"/>
        </w:rPr>
        <w:t>À l’échelle mondiale</w:t>
      </w:r>
    </w:p>
    <w:p w:rsidR="001F1D52" w:rsidRPr="00C91779" w:rsidRDefault="00C37427" w:rsidP="00D85F9C">
      <w:pPr>
        <w:pStyle w:val="Para1"/>
        <w:suppressLineNumbers/>
        <w:tabs>
          <w:tab w:val="clear" w:pos="360"/>
        </w:tabs>
        <w:suppressAutoHyphens/>
        <w:kinsoku w:val="0"/>
        <w:overflowPunct w:val="0"/>
        <w:autoSpaceDE w:val="0"/>
        <w:autoSpaceDN w:val="0"/>
        <w:adjustRightInd w:val="0"/>
        <w:snapToGrid w:val="0"/>
        <w:spacing w:before="0" w:after="0"/>
        <w:rPr>
          <w:kern w:val="22"/>
          <w:szCs w:val="22"/>
        </w:rPr>
      </w:pPr>
      <w:r w:rsidRPr="00C37427">
        <w:rPr>
          <w:kern w:val="22"/>
          <w:szCs w:val="22"/>
          <w:lang w:val="fr-FR"/>
        </w:rPr>
        <w:t>Le Secrétariat a conçu divers matériels et initiatives d’intérêt mondial sur le renforcement des capacités</w:t>
      </w:r>
      <w:r w:rsidR="0070588B">
        <w:rPr>
          <w:kern w:val="22"/>
          <w:szCs w:val="22"/>
          <w:lang w:val="fr-FR"/>
        </w:rPr>
        <w:t>,</w:t>
      </w:r>
      <w:r w:rsidRPr="00C37427">
        <w:rPr>
          <w:kern w:val="22"/>
          <w:szCs w:val="22"/>
          <w:lang w:val="fr-FR"/>
        </w:rPr>
        <w:t xml:space="preserve"> en collaboration avec </w:t>
      </w:r>
      <w:r w:rsidR="0070588B">
        <w:rPr>
          <w:kern w:val="22"/>
          <w:szCs w:val="22"/>
          <w:lang w:val="fr-FR"/>
        </w:rPr>
        <w:t>des</w:t>
      </w:r>
      <w:r w:rsidRPr="00C37427">
        <w:rPr>
          <w:kern w:val="22"/>
          <w:szCs w:val="22"/>
          <w:lang w:val="fr-FR"/>
        </w:rPr>
        <w:t xml:space="preserve"> partenaires internationaux majeurs.</w:t>
      </w:r>
      <w:r w:rsidR="00CA2E78" w:rsidRPr="00C91779">
        <w:rPr>
          <w:kern w:val="22"/>
          <w:szCs w:val="22"/>
        </w:rPr>
        <w:t xml:space="preserve"> </w:t>
      </w:r>
      <w:r w:rsidR="0070588B">
        <w:rPr>
          <w:kern w:val="22"/>
          <w:szCs w:val="22"/>
          <w:lang w:val="fr-FR"/>
        </w:rPr>
        <w:t>Les</w:t>
      </w:r>
      <w:r w:rsidRPr="00D85F9C">
        <w:rPr>
          <w:kern w:val="22"/>
          <w:szCs w:val="22"/>
          <w:lang w:val="fr-FR"/>
        </w:rPr>
        <w:t xml:space="preserve"> appuis financiers </w:t>
      </w:r>
      <w:r w:rsidR="00DE377F" w:rsidRPr="00D85F9C">
        <w:rPr>
          <w:kern w:val="22"/>
          <w:szCs w:val="22"/>
          <w:lang w:val="fr-FR"/>
        </w:rPr>
        <w:t>fournis par l</w:t>
      </w:r>
      <w:r w:rsidRPr="00D85F9C">
        <w:rPr>
          <w:kern w:val="22"/>
          <w:szCs w:val="22"/>
          <w:lang w:val="fr-FR"/>
        </w:rPr>
        <w:t xml:space="preserve">es gouvernements canadien et </w:t>
      </w:r>
      <w:r w:rsidR="00DE377F" w:rsidRPr="00D85F9C">
        <w:rPr>
          <w:kern w:val="22"/>
          <w:szCs w:val="22"/>
          <w:lang w:val="fr-FR"/>
        </w:rPr>
        <w:t>j</w:t>
      </w:r>
      <w:r w:rsidRPr="00D85F9C">
        <w:rPr>
          <w:kern w:val="22"/>
          <w:szCs w:val="22"/>
          <w:lang w:val="fr-FR"/>
        </w:rPr>
        <w:t>aponais</w:t>
      </w:r>
      <w:r w:rsidR="00DE377F" w:rsidRPr="00D85F9C">
        <w:rPr>
          <w:kern w:val="22"/>
          <w:szCs w:val="22"/>
          <w:lang w:val="fr-FR"/>
        </w:rPr>
        <w:t xml:space="preserve"> ont permis </w:t>
      </w:r>
      <w:r w:rsidR="0070588B">
        <w:rPr>
          <w:kern w:val="22"/>
          <w:szCs w:val="22"/>
          <w:lang w:val="fr-FR"/>
        </w:rPr>
        <w:t>de produire des</w:t>
      </w:r>
      <w:r w:rsidR="00DE377F" w:rsidRPr="00D85F9C">
        <w:rPr>
          <w:kern w:val="22"/>
          <w:szCs w:val="22"/>
          <w:lang w:val="fr-FR"/>
        </w:rPr>
        <w:t xml:space="preserve"> matériels tels que le </w:t>
      </w:r>
      <w:r w:rsidR="00D85F9C" w:rsidRPr="00D85F9C">
        <w:rPr>
          <w:kern w:val="22"/>
          <w:szCs w:val="22"/>
          <w:lang w:val="fr-FR"/>
        </w:rPr>
        <w:t>Guide de poche sur le Plan d’action 2015-2020 pour l’égalité entre les sexes, qui résume le plan et cite des exemples d’actions entreprises par les Parties.</w:t>
      </w:r>
      <w:r w:rsidR="00CA2E78" w:rsidRPr="00C91779">
        <w:rPr>
          <w:kern w:val="22"/>
          <w:szCs w:val="22"/>
        </w:rPr>
        <w:t xml:space="preserve"> </w:t>
      </w:r>
      <w:r w:rsidR="00D85F9C" w:rsidRPr="00D85F9C">
        <w:rPr>
          <w:kern w:val="22"/>
          <w:szCs w:val="22"/>
          <w:lang w:val="fr-FR"/>
        </w:rPr>
        <w:t>Ce document</w:t>
      </w:r>
      <w:r w:rsidR="0070588B">
        <w:rPr>
          <w:kern w:val="22"/>
          <w:szCs w:val="22"/>
          <w:lang w:val="fr-FR"/>
        </w:rPr>
        <w:t xml:space="preserve"> </w:t>
      </w:r>
      <w:r w:rsidR="00D85F9C" w:rsidRPr="00D85F9C">
        <w:rPr>
          <w:kern w:val="22"/>
          <w:szCs w:val="22"/>
          <w:lang w:val="fr-FR"/>
        </w:rPr>
        <w:t>est aujourd’hui disponible sur le site Web de la Convention dans les six langues officielles de l’ONU</w:t>
      </w:r>
      <w:r w:rsidR="00CA2E78" w:rsidRPr="00C91779">
        <w:rPr>
          <w:rStyle w:val="Appelnotedebasdep"/>
          <w:kern w:val="22"/>
          <w:sz w:val="22"/>
          <w:szCs w:val="22"/>
          <w:u w:val="none"/>
          <w:vertAlign w:val="superscript"/>
        </w:rPr>
        <w:footnoteReference w:id="15"/>
      </w:r>
      <w:r w:rsidR="0070588B">
        <w:rPr>
          <w:kern w:val="22"/>
          <w:szCs w:val="22"/>
          <w:lang w:val="fr-FR"/>
        </w:rPr>
        <w:t>. Il</w:t>
      </w:r>
      <w:r w:rsidR="00CA2E78" w:rsidRPr="00C91779">
        <w:rPr>
          <w:kern w:val="22"/>
          <w:szCs w:val="22"/>
        </w:rPr>
        <w:t xml:space="preserve"> </w:t>
      </w:r>
      <w:r w:rsidR="00D85F9C" w:rsidRPr="00D85F9C">
        <w:rPr>
          <w:kern w:val="22"/>
          <w:szCs w:val="22"/>
          <w:lang w:val="fr-FR"/>
        </w:rPr>
        <w:t>a permis au Secrétariat d’élaborer une série de matériels sur l’intégration des</w:t>
      </w:r>
      <w:r w:rsidR="0070588B">
        <w:rPr>
          <w:kern w:val="22"/>
          <w:szCs w:val="22"/>
          <w:lang w:val="fr-FR"/>
        </w:rPr>
        <w:t xml:space="preserve"> problématiques </w:t>
      </w:r>
      <w:proofErr w:type="spellStart"/>
      <w:r w:rsidR="0070588B">
        <w:rPr>
          <w:kern w:val="22"/>
          <w:szCs w:val="22"/>
          <w:lang w:val="fr-FR"/>
        </w:rPr>
        <w:t>sexospécifiques</w:t>
      </w:r>
      <w:proofErr w:type="spellEnd"/>
      <w:r w:rsidR="00D85F9C" w:rsidRPr="00D85F9C">
        <w:rPr>
          <w:kern w:val="22"/>
          <w:szCs w:val="22"/>
          <w:lang w:val="fr-FR"/>
        </w:rPr>
        <w:t xml:space="preserve"> ainsi qu’un guide sur les liens existant entre l’égalité des sexes et les Objectif</w:t>
      </w:r>
      <w:r w:rsidR="00DE3356">
        <w:rPr>
          <w:kern w:val="22"/>
          <w:szCs w:val="22"/>
          <w:lang w:val="fr-FR"/>
        </w:rPr>
        <w:t>s d’Aichi pour la biodiversité qui</w:t>
      </w:r>
      <w:r w:rsidR="00D85F9C" w:rsidRPr="00D85F9C">
        <w:rPr>
          <w:kern w:val="22"/>
          <w:szCs w:val="22"/>
          <w:lang w:val="fr-FR"/>
        </w:rPr>
        <w:t xml:space="preserve"> sera publié </w:t>
      </w:r>
      <w:r w:rsidR="00622820">
        <w:rPr>
          <w:kern w:val="22"/>
          <w:szCs w:val="22"/>
          <w:lang w:val="fr-FR"/>
        </w:rPr>
        <w:t xml:space="preserve">avant </w:t>
      </w:r>
      <w:r w:rsidR="00894179">
        <w:rPr>
          <w:kern w:val="22"/>
          <w:szCs w:val="22"/>
          <w:lang w:val="fr-FR"/>
        </w:rPr>
        <w:t>la fin de</w:t>
      </w:r>
      <w:r w:rsidR="00D85F9C" w:rsidRPr="00D85F9C">
        <w:rPr>
          <w:kern w:val="22"/>
          <w:szCs w:val="22"/>
          <w:lang w:val="fr-FR"/>
        </w:rPr>
        <w:t xml:space="preserve"> 2018.</w:t>
      </w:r>
    </w:p>
    <w:p w:rsidR="00630E63" w:rsidRPr="00C91779" w:rsidRDefault="00D85F9C" w:rsidP="00B40F75">
      <w:pPr>
        <w:pStyle w:val="Para1"/>
        <w:suppressLineNumbers/>
        <w:tabs>
          <w:tab w:val="clear" w:pos="360"/>
        </w:tabs>
        <w:suppressAutoHyphens/>
        <w:kinsoku w:val="0"/>
        <w:overflowPunct w:val="0"/>
        <w:autoSpaceDE w:val="0"/>
        <w:autoSpaceDN w:val="0"/>
        <w:adjustRightInd w:val="0"/>
        <w:snapToGrid w:val="0"/>
        <w:rPr>
          <w:kern w:val="22"/>
          <w:szCs w:val="22"/>
        </w:rPr>
      </w:pPr>
      <w:r w:rsidRPr="0008041B">
        <w:rPr>
          <w:kern w:val="22"/>
          <w:szCs w:val="22"/>
          <w:lang w:val="fr-FR"/>
        </w:rPr>
        <w:t xml:space="preserve">En collaboration avec le </w:t>
      </w:r>
      <w:hyperlink r:id="rId22" w:history="1">
        <w:r w:rsidRPr="0008041B">
          <w:rPr>
            <w:rStyle w:val="Lienhypertexte"/>
            <w:kern w:val="22"/>
            <w:szCs w:val="22"/>
            <w:lang w:val="fr-FR"/>
          </w:rPr>
          <w:t>Fonds pour l'environnement mondial</w:t>
        </w:r>
      </w:hyperlink>
      <w:r w:rsidR="0008041B">
        <w:rPr>
          <w:kern w:val="22"/>
          <w:szCs w:val="22"/>
          <w:lang w:val="fr-FR"/>
        </w:rPr>
        <w:t xml:space="preserve"> (</w:t>
      </w:r>
      <w:r w:rsidRPr="0008041B">
        <w:rPr>
          <w:kern w:val="22"/>
          <w:szCs w:val="22"/>
          <w:lang w:val="fr-FR"/>
        </w:rPr>
        <w:t>F</w:t>
      </w:r>
      <w:r w:rsidR="0008041B">
        <w:rPr>
          <w:kern w:val="22"/>
          <w:szCs w:val="22"/>
          <w:lang w:val="fr-FR"/>
        </w:rPr>
        <w:t>EM</w:t>
      </w:r>
      <w:r w:rsidRPr="0008041B">
        <w:rPr>
          <w:kern w:val="22"/>
          <w:szCs w:val="22"/>
          <w:lang w:val="fr-FR"/>
        </w:rPr>
        <w:t>), son Programme de microfinancements et l’</w:t>
      </w:r>
      <w:hyperlink r:id="rId23" w:history="1">
        <w:r w:rsidRPr="0008041B">
          <w:rPr>
            <w:rStyle w:val="Lienhypertexte"/>
            <w:kern w:val="22"/>
            <w:szCs w:val="22"/>
            <w:lang w:val="fr-FR"/>
          </w:rPr>
          <w:t>Institut des Nations Unies pour la formation et la recherche</w:t>
        </w:r>
      </w:hyperlink>
      <w:r w:rsidRPr="0008041B">
        <w:rPr>
          <w:kern w:val="22"/>
          <w:szCs w:val="22"/>
          <w:lang w:val="fr-FR"/>
        </w:rPr>
        <w:t xml:space="preserve"> (UNITAR), le Secrétariat a contribué à la mise au point d’un module en ligne sur l’égalité entre les sexes et la </w:t>
      </w:r>
      <w:r w:rsidR="008F065A" w:rsidRPr="000A4182">
        <w:rPr>
          <w:kern w:val="22"/>
          <w:szCs w:val="22"/>
          <w:lang w:val="fr-FR"/>
        </w:rPr>
        <w:t>biodiversité</w:t>
      </w:r>
      <w:r w:rsidR="0008041B" w:rsidRPr="0008041B">
        <w:rPr>
          <w:kern w:val="22"/>
          <w:szCs w:val="22"/>
          <w:lang w:val="fr-FR"/>
        </w:rPr>
        <w:t>. Ce module</w:t>
      </w:r>
      <w:r w:rsidR="0008041B">
        <w:rPr>
          <w:kern w:val="22"/>
          <w:szCs w:val="22"/>
          <w:lang w:val="fr-FR"/>
        </w:rPr>
        <w:t>, qui</w:t>
      </w:r>
      <w:r w:rsidR="0008041B" w:rsidRPr="0008041B">
        <w:rPr>
          <w:kern w:val="22"/>
          <w:szCs w:val="22"/>
          <w:lang w:val="fr-FR"/>
        </w:rPr>
        <w:t xml:space="preserve"> sera intégré à un cours libre d’accès sur les problématiques </w:t>
      </w:r>
      <w:proofErr w:type="spellStart"/>
      <w:r w:rsidR="0008041B" w:rsidRPr="0008041B">
        <w:rPr>
          <w:kern w:val="22"/>
          <w:szCs w:val="22"/>
          <w:lang w:val="fr-FR"/>
        </w:rPr>
        <w:t>sexospécifiques</w:t>
      </w:r>
      <w:proofErr w:type="spellEnd"/>
      <w:r w:rsidR="0008041B" w:rsidRPr="0008041B">
        <w:rPr>
          <w:kern w:val="22"/>
          <w:szCs w:val="22"/>
          <w:lang w:val="fr-FR"/>
        </w:rPr>
        <w:t xml:space="preserve"> et environnementales</w:t>
      </w:r>
      <w:r w:rsidR="0008041B">
        <w:rPr>
          <w:kern w:val="22"/>
          <w:szCs w:val="22"/>
          <w:lang w:val="fr-FR"/>
        </w:rPr>
        <w:t>,</w:t>
      </w:r>
      <w:r w:rsidR="00CA2E78" w:rsidRPr="00C91779">
        <w:rPr>
          <w:kern w:val="22"/>
          <w:szCs w:val="22"/>
        </w:rPr>
        <w:t xml:space="preserve"> </w:t>
      </w:r>
      <w:r w:rsidR="0008041B" w:rsidRPr="00B40F75">
        <w:rPr>
          <w:kern w:val="22"/>
          <w:szCs w:val="22"/>
          <w:lang w:val="fr-FR"/>
        </w:rPr>
        <w:t xml:space="preserve">devrait être disponible en ligne </w:t>
      </w:r>
      <w:r w:rsidR="00C31BB1">
        <w:rPr>
          <w:kern w:val="22"/>
          <w:szCs w:val="22"/>
          <w:lang w:val="fr-FR"/>
        </w:rPr>
        <w:t xml:space="preserve">avant </w:t>
      </w:r>
      <w:r w:rsidR="00894179">
        <w:rPr>
          <w:kern w:val="22"/>
          <w:szCs w:val="22"/>
          <w:lang w:val="fr-FR"/>
        </w:rPr>
        <w:t>la fin de</w:t>
      </w:r>
      <w:r w:rsidR="0008041B" w:rsidRPr="00B40F75">
        <w:rPr>
          <w:kern w:val="22"/>
          <w:szCs w:val="22"/>
          <w:lang w:val="fr-FR"/>
        </w:rPr>
        <w:t xml:space="preserve"> 2018. Le Secrétariat participe </w:t>
      </w:r>
      <w:r w:rsidR="0008041B" w:rsidRPr="00B40F75">
        <w:rPr>
          <w:kern w:val="22"/>
          <w:szCs w:val="22"/>
          <w:lang w:val="fr-FR"/>
        </w:rPr>
        <w:lastRenderedPageBreak/>
        <w:t>également au Partenariat du FEM sur l’égalité des sexes</w:t>
      </w:r>
      <w:r w:rsidR="00491D72">
        <w:rPr>
          <w:kern w:val="22"/>
          <w:szCs w:val="22"/>
          <w:lang w:val="fr-FR"/>
        </w:rPr>
        <w:t>,</w:t>
      </w:r>
      <w:r w:rsidR="0008041B" w:rsidRPr="00B40F75">
        <w:rPr>
          <w:kern w:val="22"/>
          <w:szCs w:val="22"/>
          <w:lang w:val="fr-FR"/>
        </w:rPr>
        <w:t xml:space="preserve"> qui repose sur un réseau de correspondants </w:t>
      </w:r>
      <w:r w:rsidR="00491D72">
        <w:rPr>
          <w:kern w:val="22"/>
          <w:szCs w:val="22"/>
          <w:lang w:val="fr-FR"/>
        </w:rPr>
        <w:t>chargés</w:t>
      </w:r>
      <w:r w:rsidR="00B40F75" w:rsidRPr="00B40F75">
        <w:rPr>
          <w:kern w:val="22"/>
          <w:szCs w:val="22"/>
          <w:lang w:val="fr-FR"/>
        </w:rPr>
        <w:t xml:space="preserve"> des Conventions</w:t>
      </w:r>
      <w:r w:rsidR="00894179">
        <w:rPr>
          <w:kern w:val="22"/>
          <w:szCs w:val="22"/>
          <w:lang w:val="fr-FR"/>
        </w:rPr>
        <w:t>,</w:t>
      </w:r>
      <w:r w:rsidR="0008041B" w:rsidRPr="00B40F75">
        <w:rPr>
          <w:kern w:val="22"/>
          <w:szCs w:val="22"/>
          <w:lang w:val="fr-FR"/>
        </w:rPr>
        <w:t xml:space="preserve"> </w:t>
      </w:r>
      <w:r w:rsidR="00491D72">
        <w:rPr>
          <w:kern w:val="22"/>
          <w:szCs w:val="22"/>
          <w:lang w:val="fr-FR"/>
        </w:rPr>
        <w:t>qu’il finance, ou d’</w:t>
      </w:r>
      <w:r w:rsidR="00B40F75" w:rsidRPr="00B40F75">
        <w:rPr>
          <w:kern w:val="22"/>
          <w:szCs w:val="22"/>
          <w:lang w:val="fr-FR"/>
        </w:rPr>
        <w:t>organismes de mise en œuvre</w:t>
      </w:r>
      <w:r w:rsidR="00491D72">
        <w:rPr>
          <w:kern w:val="22"/>
          <w:szCs w:val="22"/>
          <w:lang w:val="fr-FR"/>
        </w:rPr>
        <w:t>,</w:t>
      </w:r>
      <w:r w:rsidR="00B40F75" w:rsidRPr="00B40F75">
        <w:rPr>
          <w:kern w:val="22"/>
          <w:szCs w:val="22"/>
          <w:lang w:val="fr-FR"/>
        </w:rPr>
        <w:t xml:space="preserve"> et intègre des considérations </w:t>
      </w:r>
      <w:proofErr w:type="spellStart"/>
      <w:r w:rsidR="00B40F75" w:rsidRPr="00B40F75">
        <w:rPr>
          <w:kern w:val="22"/>
          <w:szCs w:val="22"/>
          <w:lang w:val="fr-FR"/>
        </w:rPr>
        <w:t>sexospécifiques</w:t>
      </w:r>
      <w:proofErr w:type="spellEnd"/>
      <w:r w:rsidR="00B40F75" w:rsidRPr="00B40F75">
        <w:rPr>
          <w:kern w:val="22"/>
          <w:szCs w:val="22"/>
          <w:lang w:val="fr-FR"/>
        </w:rPr>
        <w:t xml:space="preserve"> dans les programmes du FEM.</w:t>
      </w:r>
      <w:r w:rsidR="001F1D52" w:rsidRPr="00C91779">
        <w:rPr>
          <w:kern w:val="22"/>
          <w:szCs w:val="22"/>
        </w:rPr>
        <w:t xml:space="preserve"> </w:t>
      </w:r>
      <w:r w:rsidR="00B40F75" w:rsidRPr="00B40F75">
        <w:rPr>
          <w:kern w:val="22"/>
          <w:szCs w:val="22"/>
          <w:lang w:val="fr-FR"/>
        </w:rPr>
        <w:t>Les actions entreprises au titre de ce Partenariat incluent des contributions à l’élaboration de la nouvelle stratégie du FEM sur l’égalité des sexes, adoptée par son Conseil en novembre 2017</w:t>
      </w:r>
      <w:r w:rsidR="00B40F75" w:rsidRPr="00B40F75">
        <w:rPr>
          <w:rStyle w:val="Appelnotedebasdep"/>
          <w:kern w:val="22"/>
          <w:sz w:val="22"/>
          <w:szCs w:val="22"/>
          <w:u w:val="none"/>
          <w:vertAlign w:val="superscript"/>
          <w:lang w:val="fr-FR"/>
        </w:rPr>
        <w:footnoteReference w:id="16"/>
      </w:r>
      <w:r w:rsidR="00491D72">
        <w:rPr>
          <w:kern w:val="22"/>
          <w:szCs w:val="22"/>
          <w:lang w:val="fr-FR"/>
        </w:rPr>
        <w:t xml:space="preserve">, et </w:t>
      </w:r>
      <w:r w:rsidR="00B40F75" w:rsidRPr="00B40F75">
        <w:rPr>
          <w:kern w:val="22"/>
          <w:szCs w:val="22"/>
          <w:lang w:val="fr-FR"/>
        </w:rPr>
        <w:t>la rédaction des directives les concernant.</w:t>
      </w:r>
    </w:p>
    <w:p w:rsidR="000454C9" w:rsidRPr="002F3E73" w:rsidRDefault="00B40F75" w:rsidP="00B40F75">
      <w:pPr>
        <w:pStyle w:val="Titre1"/>
        <w:numPr>
          <w:ilvl w:val="0"/>
          <w:numId w:val="66"/>
        </w:numPr>
        <w:suppressLineNumbers/>
        <w:tabs>
          <w:tab w:val="left" w:pos="450"/>
        </w:tabs>
        <w:suppressAutoHyphens/>
        <w:kinsoku w:val="0"/>
        <w:overflowPunct w:val="0"/>
        <w:autoSpaceDE w:val="0"/>
        <w:autoSpaceDN w:val="0"/>
        <w:adjustRightInd w:val="0"/>
        <w:snapToGrid w:val="0"/>
        <w:spacing w:before="120"/>
        <w:ind w:left="0" w:firstLine="0"/>
        <w:rPr>
          <w:bCs/>
          <w:snapToGrid w:val="0"/>
          <w:kern w:val="22"/>
          <w:szCs w:val="22"/>
        </w:rPr>
      </w:pPr>
      <w:r w:rsidRPr="00B40F75">
        <w:rPr>
          <w:bCs/>
          <w:caps w:val="0"/>
          <w:snapToGrid w:val="0"/>
          <w:kern w:val="22"/>
          <w:szCs w:val="22"/>
          <w:lang w:val="fr-FR"/>
        </w:rPr>
        <w:t>CONSTATATIONS ET CONSIDÉRATIONS INITIALES</w:t>
      </w:r>
    </w:p>
    <w:p w:rsidR="000454C9" w:rsidRPr="00C91779" w:rsidRDefault="00B40F75" w:rsidP="00AD4A1A">
      <w:pPr>
        <w:pStyle w:val="Para1"/>
        <w:suppressLineNumbers/>
        <w:tabs>
          <w:tab w:val="clear" w:pos="360"/>
        </w:tabs>
        <w:suppressAutoHyphens/>
        <w:kinsoku w:val="0"/>
        <w:overflowPunct w:val="0"/>
        <w:autoSpaceDE w:val="0"/>
        <w:autoSpaceDN w:val="0"/>
        <w:adjustRightInd w:val="0"/>
        <w:snapToGrid w:val="0"/>
        <w:rPr>
          <w:kern w:val="22"/>
          <w:szCs w:val="22"/>
        </w:rPr>
      </w:pPr>
      <w:r w:rsidRPr="00AD4A1A">
        <w:rPr>
          <w:kern w:val="22"/>
          <w:szCs w:val="22"/>
          <w:lang w:val="fr-FR"/>
        </w:rPr>
        <w:t>Les thématiques</w:t>
      </w:r>
      <w:r w:rsidR="00AD4A1A" w:rsidRPr="00AD4A1A">
        <w:rPr>
          <w:kern w:val="22"/>
          <w:szCs w:val="22"/>
          <w:lang w:val="fr-FR"/>
        </w:rPr>
        <w:t xml:space="preserve"> les plus couramment recensées </w:t>
      </w:r>
      <w:r w:rsidR="00894179">
        <w:rPr>
          <w:kern w:val="22"/>
          <w:szCs w:val="22"/>
          <w:lang w:val="fr-FR"/>
        </w:rPr>
        <w:t>par</w:t>
      </w:r>
      <w:r w:rsidR="00AD4A1A" w:rsidRPr="00AD4A1A">
        <w:rPr>
          <w:kern w:val="22"/>
          <w:szCs w:val="22"/>
          <w:lang w:val="fr-FR"/>
        </w:rPr>
        <w:t xml:space="preserve"> l’analyse des actions </w:t>
      </w:r>
      <w:r w:rsidR="0008430F">
        <w:rPr>
          <w:kern w:val="22"/>
          <w:szCs w:val="22"/>
          <w:lang w:val="fr-FR"/>
        </w:rPr>
        <w:t>du Secrétariat, d</w:t>
      </w:r>
      <w:r w:rsidR="00AD4A1A" w:rsidRPr="00AD4A1A">
        <w:rPr>
          <w:kern w:val="22"/>
          <w:szCs w:val="22"/>
          <w:lang w:val="fr-FR"/>
        </w:rPr>
        <w:t>es Parti</w:t>
      </w:r>
      <w:r w:rsidR="0008430F">
        <w:rPr>
          <w:kern w:val="22"/>
          <w:szCs w:val="22"/>
          <w:lang w:val="fr-FR"/>
        </w:rPr>
        <w:t>es et d</w:t>
      </w:r>
      <w:r w:rsidR="00AD4A1A" w:rsidRPr="00AD4A1A">
        <w:rPr>
          <w:kern w:val="22"/>
          <w:szCs w:val="22"/>
          <w:lang w:val="fr-FR"/>
        </w:rPr>
        <w:t>es parties prenantes concernent l’importance du renforcement des capacités, l’apprentissage mutuel et l’identification de personnalités sensibilisées aux pro</w:t>
      </w:r>
      <w:r w:rsidR="00894179">
        <w:rPr>
          <w:kern w:val="22"/>
          <w:szCs w:val="22"/>
          <w:lang w:val="fr-FR"/>
        </w:rPr>
        <w:t>blématiques de l’égalité d</w:t>
      </w:r>
      <w:r w:rsidR="00AD4A1A" w:rsidRPr="00AD4A1A">
        <w:rPr>
          <w:kern w:val="22"/>
          <w:szCs w:val="22"/>
          <w:lang w:val="fr-FR"/>
        </w:rPr>
        <w:t xml:space="preserve">es sexes et de la </w:t>
      </w:r>
      <w:r w:rsidR="008F065A" w:rsidRPr="000A4182">
        <w:rPr>
          <w:kern w:val="22"/>
          <w:szCs w:val="22"/>
          <w:lang w:val="fr-FR"/>
        </w:rPr>
        <w:t>biodiversité</w:t>
      </w:r>
      <w:r w:rsidR="0008430F">
        <w:rPr>
          <w:kern w:val="22"/>
          <w:szCs w:val="22"/>
          <w:lang w:val="fr-FR"/>
        </w:rPr>
        <w:t>,</w:t>
      </w:r>
      <w:r w:rsidR="008F065A">
        <w:rPr>
          <w:kern w:val="22"/>
          <w:szCs w:val="22"/>
          <w:lang w:val="fr-FR"/>
        </w:rPr>
        <w:t xml:space="preserve"> </w:t>
      </w:r>
      <w:r w:rsidR="00AD4A1A" w:rsidRPr="00AD4A1A">
        <w:rPr>
          <w:kern w:val="22"/>
          <w:szCs w:val="22"/>
          <w:lang w:val="fr-FR"/>
        </w:rPr>
        <w:t xml:space="preserve">et désireuses de les </w:t>
      </w:r>
      <w:r w:rsidR="0008430F">
        <w:rPr>
          <w:kern w:val="22"/>
          <w:szCs w:val="22"/>
          <w:lang w:val="fr-FR"/>
        </w:rPr>
        <w:t xml:space="preserve">résoudre. Ces personnalités </w:t>
      </w:r>
      <w:r w:rsidR="00894179">
        <w:rPr>
          <w:kern w:val="22"/>
          <w:szCs w:val="22"/>
          <w:lang w:val="fr-FR"/>
        </w:rPr>
        <w:t>devraient</w:t>
      </w:r>
      <w:r w:rsidR="0008430F">
        <w:rPr>
          <w:kern w:val="22"/>
          <w:szCs w:val="22"/>
          <w:lang w:val="fr-FR"/>
        </w:rPr>
        <w:t xml:space="preserve"> disposer</w:t>
      </w:r>
      <w:r w:rsidR="00AD4A1A" w:rsidRPr="00AD4A1A">
        <w:rPr>
          <w:kern w:val="22"/>
          <w:szCs w:val="22"/>
          <w:lang w:val="fr-FR"/>
        </w:rPr>
        <w:t xml:space="preserve"> d’outils, de ressources et de structures collaboratives </w:t>
      </w:r>
      <w:r w:rsidR="0008430F">
        <w:rPr>
          <w:kern w:val="22"/>
          <w:szCs w:val="22"/>
          <w:lang w:val="fr-FR"/>
        </w:rPr>
        <w:t>appropriés</w:t>
      </w:r>
      <w:r w:rsidR="00AD4A1A" w:rsidRPr="00AD4A1A">
        <w:rPr>
          <w:kern w:val="22"/>
          <w:szCs w:val="22"/>
          <w:lang w:val="fr-FR"/>
        </w:rPr>
        <w:t>.</w:t>
      </w:r>
    </w:p>
    <w:p w:rsidR="000454C9" w:rsidRPr="00C91779" w:rsidRDefault="00AD4A1A" w:rsidP="00C43E8C">
      <w:pPr>
        <w:pStyle w:val="Para1"/>
        <w:suppressLineNumbers/>
        <w:tabs>
          <w:tab w:val="clear" w:pos="360"/>
        </w:tabs>
        <w:suppressAutoHyphens/>
        <w:kinsoku w:val="0"/>
        <w:overflowPunct w:val="0"/>
        <w:autoSpaceDE w:val="0"/>
        <w:autoSpaceDN w:val="0"/>
        <w:adjustRightInd w:val="0"/>
        <w:snapToGrid w:val="0"/>
        <w:rPr>
          <w:kern w:val="22"/>
          <w:szCs w:val="22"/>
        </w:rPr>
      </w:pPr>
      <w:r w:rsidRPr="000A4182">
        <w:rPr>
          <w:kern w:val="22"/>
          <w:szCs w:val="22"/>
          <w:lang w:val="fr-FR"/>
        </w:rPr>
        <w:t>Les actions entreprises par le Secrétariat incluent l’organisation de procédures participatives pour l’élaboration de stratégies et plans d’action nationaux pour la diversité biologique</w:t>
      </w:r>
      <w:r w:rsidR="00894179">
        <w:rPr>
          <w:kern w:val="22"/>
          <w:szCs w:val="22"/>
          <w:lang w:val="fr-FR"/>
        </w:rPr>
        <w:t xml:space="preserve"> </w:t>
      </w:r>
      <w:r w:rsidRPr="000A4182">
        <w:rPr>
          <w:kern w:val="22"/>
          <w:szCs w:val="22"/>
          <w:lang w:val="fr-FR"/>
        </w:rPr>
        <w:t>soucie</w:t>
      </w:r>
      <w:r w:rsidR="00807FAF">
        <w:rPr>
          <w:kern w:val="22"/>
          <w:szCs w:val="22"/>
          <w:lang w:val="fr-FR"/>
        </w:rPr>
        <w:t>ux de l’égalité entre les sexes</w:t>
      </w:r>
      <w:r w:rsidRPr="000A4182">
        <w:rPr>
          <w:kern w:val="22"/>
          <w:szCs w:val="22"/>
          <w:lang w:val="fr-FR"/>
        </w:rPr>
        <w:t xml:space="preserve"> et susceptibles de servir de références</w:t>
      </w:r>
      <w:r w:rsidR="00807FAF">
        <w:rPr>
          <w:kern w:val="22"/>
          <w:szCs w:val="22"/>
          <w:lang w:val="fr-FR"/>
        </w:rPr>
        <w:t> ;</w:t>
      </w:r>
      <w:r w:rsidRPr="000A4182">
        <w:rPr>
          <w:kern w:val="22"/>
          <w:szCs w:val="22"/>
          <w:lang w:val="fr-FR"/>
        </w:rPr>
        <w:t xml:space="preserve"> </w:t>
      </w:r>
      <w:r w:rsidR="00894179">
        <w:rPr>
          <w:kern w:val="22"/>
          <w:szCs w:val="22"/>
          <w:lang w:val="fr-FR"/>
        </w:rPr>
        <w:t xml:space="preserve">et </w:t>
      </w:r>
      <w:r w:rsidRPr="000A4182">
        <w:rPr>
          <w:kern w:val="22"/>
          <w:szCs w:val="22"/>
          <w:lang w:val="fr-FR"/>
        </w:rPr>
        <w:t>la mise au point de ressources utiles au renforcement des capacités et à l’information</w:t>
      </w:r>
      <w:r w:rsidR="00807FAF">
        <w:rPr>
          <w:kern w:val="22"/>
          <w:szCs w:val="22"/>
          <w:lang w:val="fr-FR"/>
        </w:rPr>
        <w:t xml:space="preserve"> ainsi que </w:t>
      </w:r>
      <w:r w:rsidRPr="000A4182">
        <w:rPr>
          <w:kern w:val="22"/>
          <w:szCs w:val="22"/>
          <w:lang w:val="fr-FR"/>
        </w:rPr>
        <w:t xml:space="preserve">d’outils de formation à l’échelle régionale. </w:t>
      </w:r>
      <w:r w:rsidR="00807FAF">
        <w:rPr>
          <w:kern w:val="22"/>
          <w:szCs w:val="22"/>
          <w:lang w:val="fr-FR"/>
        </w:rPr>
        <w:t>Ces actions</w:t>
      </w:r>
      <w:r w:rsidR="000A4182" w:rsidRPr="000A4182">
        <w:rPr>
          <w:kern w:val="22"/>
          <w:szCs w:val="22"/>
          <w:lang w:val="fr-FR"/>
        </w:rPr>
        <w:t xml:space="preserve"> ont permis d’associer diverses parties prenantes ayant, pour la plupart d’entre elles, </w:t>
      </w:r>
      <w:r w:rsidR="00211AAF">
        <w:rPr>
          <w:kern w:val="22"/>
          <w:szCs w:val="22"/>
          <w:lang w:val="fr-FR"/>
        </w:rPr>
        <w:t>contribué</w:t>
      </w:r>
      <w:r w:rsidR="000A4182" w:rsidRPr="000A4182">
        <w:rPr>
          <w:kern w:val="22"/>
          <w:szCs w:val="22"/>
          <w:lang w:val="fr-FR"/>
        </w:rPr>
        <w:t xml:space="preserve"> aux procédures de la Convention, et de trouver les occasions et les moyens d’accroître leur engagement.</w:t>
      </w:r>
      <w:r w:rsidR="000454C9" w:rsidRPr="00C91779">
        <w:rPr>
          <w:kern w:val="22"/>
          <w:szCs w:val="22"/>
        </w:rPr>
        <w:t xml:space="preserve"> </w:t>
      </w:r>
      <w:r w:rsidR="000A4182" w:rsidRPr="008F065A">
        <w:rPr>
          <w:kern w:val="22"/>
          <w:szCs w:val="22"/>
          <w:lang w:val="fr-FR"/>
        </w:rPr>
        <w:t xml:space="preserve">La vigilance et l’activisme des organisations de femmes et des spécialistes des liens existant entre l’égalité des sexes et l’environnement pourraient </w:t>
      </w:r>
      <w:r w:rsidR="00211AAF">
        <w:rPr>
          <w:kern w:val="22"/>
          <w:szCs w:val="22"/>
          <w:lang w:val="fr-FR"/>
        </w:rPr>
        <w:t>accroître</w:t>
      </w:r>
      <w:r w:rsidR="000A4182" w:rsidRPr="008F065A">
        <w:rPr>
          <w:kern w:val="22"/>
          <w:szCs w:val="22"/>
          <w:lang w:val="fr-FR"/>
        </w:rPr>
        <w:t xml:space="preserve"> l’incidence des efforts déployés dans la conservation et l’utilisation durable de la biodiversité.</w:t>
      </w:r>
      <w:r w:rsidR="000454C9" w:rsidRPr="00C91779">
        <w:rPr>
          <w:kern w:val="22"/>
          <w:szCs w:val="22"/>
        </w:rPr>
        <w:t xml:space="preserve"> </w:t>
      </w:r>
      <w:r w:rsidR="00211AAF">
        <w:rPr>
          <w:kern w:val="22"/>
          <w:szCs w:val="22"/>
          <w:lang w:val="fr-FR"/>
        </w:rPr>
        <w:t>Cet engagement pourrait</w:t>
      </w:r>
      <w:r w:rsidR="008F065A" w:rsidRPr="00C43E8C">
        <w:rPr>
          <w:kern w:val="22"/>
          <w:szCs w:val="22"/>
          <w:lang w:val="fr-FR"/>
        </w:rPr>
        <w:t xml:space="preserve"> </w:t>
      </w:r>
      <w:r w:rsidR="00211AAF">
        <w:rPr>
          <w:kern w:val="22"/>
          <w:szCs w:val="22"/>
          <w:lang w:val="fr-FR"/>
        </w:rPr>
        <w:t xml:space="preserve">en effet </w:t>
      </w:r>
      <w:r w:rsidR="008F065A" w:rsidRPr="00C43E8C">
        <w:rPr>
          <w:kern w:val="22"/>
          <w:szCs w:val="22"/>
          <w:lang w:val="fr-FR"/>
        </w:rPr>
        <w:t>tirer parti des synergies existantes</w:t>
      </w:r>
      <w:r w:rsidR="00C43E8C" w:rsidRPr="00C43E8C">
        <w:rPr>
          <w:kern w:val="22"/>
          <w:szCs w:val="22"/>
          <w:lang w:val="fr-FR"/>
        </w:rPr>
        <w:t>, ce qui</w:t>
      </w:r>
      <w:r w:rsidR="008F065A" w:rsidRPr="00C43E8C">
        <w:rPr>
          <w:kern w:val="22"/>
          <w:szCs w:val="22"/>
          <w:lang w:val="fr-FR"/>
        </w:rPr>
        <w:t xml:space="preserve"> facilite</w:t>
      </w:r>
      <w:r w:rsidR="00211AAF">
        <w:rPr>
          <w:kern w:val="22"/>
          <w:szCs w:val="22"/>
          <w:lang w:val="fr-FR"/>
        </w:rPr>
        <w:t>rait</w:t>
      </w:r>
      <w:r w:rsidR="008F065A" w:rsidRPr="00C43E8C">
        <w:rPr>
          <w:kern w:val="22"/>
          <w:szCs w:val="22"/>
          <w:lang w:val="fr-FR"/>
        </w:rPr>
        <w:t xml:space="preserve"> l</w:t>
      </w:r>
      <w:r w:rsidR="00211AAF">
        <w:rPr>
          <w:kern w:val="22"/>
          <w:szCs w:val="22"/>
          <w:lang w:val="fr-FR"/>
        </w:rPr>
        <w:t xml:space="preserve">e respect </w:t>
      </w:r>
      <w:r w:rsidR="00211AAF" w:rsidRPr="00C43E8C">
        <w:rPr>
          <w:kern w:val="22"/>
          <w:szCs w:val="22"/>
          <w:lang w:val="fr-FR"/>
        </w:rPr>
        <w:t>de l’égalité entre les sexes</w:t>
      </w:r>
      <w:r w:rsidR="00211AAF">
        <w:rPr>
          <w:kern w:val="22"/>
          <w:szCs w:val="22"/>
          <w:lang w:val="fr-FR"/>
        </w:rPr>
        <w:t xml:space="preserve"> dans l</w:t>
      </w:r>
      <w:r w:rsidR="008F065A" w:rsidRPr="00C43E8C">
        <w:rPr>
          <w:kern w:val="22"/>
          <w:szCs w:val="22"/>
          <w:lang w:val="fr-FR"/>
        </w:rPr>
        <w:t>a mise en œuvre des stratégies et plans d’action nationa</w:t>
      </w:r>
      <w:r w:rsidR="00211AAF">
        <w:rPr>
          <w:kern w:val="22"/>
          <w:szCs w:val="22"/>
          <w:lang w:val="fr-FR"/>
        </w:rPr>
        <w:t>ux pour la diversité biologique</w:t>
      </w:r>
      <w:r w:rsidR="008F065A" w:rsidRPr="00C43E8C">
        <w:rPr>
          <w:kern w:val="22"/>
          <w:szCs w:val="22"/>
          <w:lang w:val="fr-FR"/>
        </w:rPr>
        <w:t>, et optimiser</w:t>
      </w:r>
      <w:r w:rsidR="00211AAF">
        <w:rPr>
          <w:kern w:val="22"/>
          <w:szCs w:val="22"/>
          <w:lang w:val="fr-FR"/>
        </w:rPr>
        <w:t>ait</w:t>
      </w:r>
      <w:r w:rsidR="00C43E8C" w:rsidRPr="00C43E8C">
        <w:rPr>
          <w:kern w:val="22"/>
          <w:szCs w:val="22"/>
          <w:lang w:val="fr-FR"/>
        </w:rPr>
        <w:t xml:space="preserve"> </w:t>
      </w:r>
      <w:r w:rsidR="00211AAF">
        <w:rPr>
          <w:kern w:val="22"/>
          <w:szCs w:val="22"/>
          <w:lang w:val="fr-FR"/>
        </w:rPr>
        <w:t>les recours aux</w:t>
      </w:r>
      <w:r w:rsidR="00C43E8C" w:rsidRPr="00C43E8C">
        <w:rPr>
          <w:kern w:val="22"/>
          <w:szCs w:val="22"/>
          <w:lang w:val="fr-FR"/>
        </w:rPr>
        <w:t xml:space="preserve"> sources de financement inhabituelles.</w:t>
      </w:r>
      <w:r w:rsidR="000454C9" w:rsidRPr="00C91779">
        <w:rPr>
          <w:kern w:val="22"/>
          <w:szCs w:val="22"/>
        </w:rPr>
        <w:t xml:space="preserve"> </w:t>
      </w:r>
      <w:r w:rsidR="00C43E8C" w:rsidRPr="00C43E8C">
        <w:rPr>
          <w:kern w:val="22"/>
          <w:szCs w:val="22"/>
          <w:lang w:val="fr-FR"/>
        </w:rPr>
        <w:t xml:space="preserve">L’appui fourni à l’engagement et aux </w:t>
      </w:r>
      <w:r w:rsidR="00211AAF">
        <w:rPr>
          <w:kern w:val="22"/>
          <w:szCs w:val="22"/>
          <w:lang w:val="fr-FR"/>
        </w:rPr>
        <w:t>responsabilités</w:t>
      </w:r>
      <w:r w:rsidR="00C43E8C" w:rsidRPr="00C43E8C">
        <w:rPr>
          <w:kern w:val="22"/>
          <w:szCs w:val="22"/>
          <w:lang w:val="fr-FR"/>
        </w:rPr>
        <w:t xml:space="preserve"> des partenaires régionaux soucieux des problématiques hommes-femmes </w:t>
      </w:r>
      <w:r w:rsidR="00211AAF">
        <w:rPr>
          <w:kern w:val="22"/>
          <w:szCs w:val="22"/>
          <w:lang w:val="fr-FR"/>
        </w:rPr>
        <w:t>améliorerait</w:t>
      </w:r>
      <w:r w:rsidR="00C43E8C" w:rsidRPr="00C43E8C">
        <w:rPr>
          <w:kern w:val="22"/>
          <w:szCs w:val="22"/>
          <w:lang w:val="fr-FR"/>
        </w:rPr>
        <w:t xml:space="preserve"> également la coordination, l’échange d’informations et l’apprentissage, et tirer</w:t>
      </w:r>
      <w:r w:rsidR="00211AAF">
        <w:rPr>
          <w:kern w:val="22"/>
          <w:szCs w:val="22"/>
          <w:lang w:val="fr-FR"/>
        </w:rPr>
        <w:t>ait</w:t>
      </w:r>
      <w:r w:rsidR="00C43E8C" w:rsidRPr="00C43E8C">
        <w:rPr>
          <w:kern w:val="22"/>
          <w:szCs w:val="22"/>
          <w:lang w:val="fr-FR"/>
        </w:rPr>
        <w:t xml:space="preserve"> parti des bons résultats produits.</w:t>
      </w:r>
    </w:p>
    <w:p w:rsidR="000454C9" w:rsidRPr="00C91779" w:rsidRDefault="00C43E8C" w:rsidP="002B7AA3">
      <w:pPr>
        <w:pStyle w:val="Para1"/>
        <w:suppressLineNumbers/>
        <w:tabs>
          <w:tab w:val="clear" w:pos="360"/>
        </w:tabs>
        <w:suppressAutoHyphens/>
        <w:kinsoku w:val="0"/>
        <w:overflowPunct w:val="0"/>
        <w:autoSpaceDE w:val="0"/>
        <w:autoSpaceDN w:val="0"/>
        <w:adjustRightInd w:val="0"/>
        <w:snapToGrid w:val="0"/>
        <w:rPr>
          <w:kern w:val="22"/>
          <w:szCs w:val="22"/>
        </w:rPr>
      </w:pPr>
      <w:r w:rsidRPr="002B7AA3">
        <w:rPr>
          <w:kern w:val="22"/>
          <w:szCs w:val="22"/>
          <w:lang w:val="fr-FR"/>
        </w:rPr>
        <w:t>Les présentations adressées par les Parties et les parties prenantes sur l’état d’avancement du Plan d’action</w:t>
      </w:r>
      <w:r w:rsidR="002B7AA3" w:rsidRPr="002B7AA3">
        <w:rPr>
          <w:kern w:val="22"/>
          <w:szCs w:val="22"/>
          <w:lang w:val="fr-FR"/>
        </w:rPr>
        <w:t xml:space="preserve"> exposent les ef</w:t>
      </w:r>
      <w:r w:rsidR="009E0AA0">
        <w:rPr>
          <w:kern w:val="22"/>
          <w:szCs w:val="22"/>
          <w:lang w:val="fr-FR"/>
        </w:rPr>
        <w:t>forts accomplis pour résoudre de</w:t>
      </w:r>
      <w:r w:rsidR="002B7AA3" w:rsidRPr="002B7AA3">
        <w:rPr>
          <w:kern w:val="22"/>
          <w:szCs w:val="22"/>
          <w:lang w:val="fr-FR"/>
        </w:rPr>
        <w:t xml:space="preserve">s problématiques hommes-femmes. Elles mettent en évidence les plans et cadres nationaux qui accroissent l’attention portée à l’égalité entre les sexes, ainsi que les initiatives susceptibles de mieux faire comprendre les liens entre la parité et la biodiversité, </w:t>
      </w:r>
      <w:r w:rsidR="009E0AA0">
        <w:rPr>
          <w:kern w:val="22"/>
          <w:szCs w:val="22"/>
          <w:lang w:val="fr-FR"/>
        </w:rPr>
        <w:t>ou</w:t>
      </w:r>
      <w:r w:rsidR="002B7AA3" w:rsidRPr="002B7AA3">
        <w:rPr>
          <w:kern w:val="22"/>
          <w:szCs w:val="22"/>
          <w:lang w:val="fr-FR"/>
        </w:rPr>
        <w:t xml:space="preserve"> de renforcer les capacités les concernant.</w:t>
      </w:r>
    </w:p>
    <w:p w:rsidR="000454C9" w:rsidRPr="00C91779" w:rsidRDefault="002B7AA3" w:rsidP="00FF0A76">
      <w:pPr>
        <w:pStyle w:val="Para1"/>
        <w:suppressLineNumbers/>
        <w:tabs>
          <w:tab w:val="clear" w:pos="360"/>
        </w:tabs>
        <w:suppressAutoHyphens/>
        <w:kinsoku w:val="0"/>
        <w:overflowPunct w:val="0"/>
        <w:autoSpaceDE w:val="0"/>
        <w:autoSpaceDN w:val="0"/>
        <w:adjustRightInd w:val="0"/>
        <w:snapToGrid w:val="0"/>
        <w:rPr>
          <w:kern w:val="22"/>
          <w:szCs w:val="22"/>
        </w:rPr>
      </w:pPr>
      <w:r w:rsidRPr="002B7AA3">
        <w:rPr>
          <w:kern w:val="22"/>
          <w:szCs w:val="22"/>
          <w:lang w:val="fr-FR"/>
        </w:rPr>
        <w:t>L’examen des stratégies et plans d’action nationaux pour la diversité biologique mis en œuvre après l’adoption du Protocole de Nagoya montre que de nombreuses Parties admettent que l</w:t>
      </w:r>
      <w:r w:rsidR="006F14E6">
        <w:rPr>
          <w:kern w:val="22"/>
          <w:szCs w:val="22"/>
          <w:lang w:val="fr-FR"/>
        </w:rPr>
        <w:t>a recherche de l’égalité d</w:t>
      </w:r>
      <w:r w:rsidRPr="002B7AA3">
        <w:rPr>
          <w:kern w:val="22"/>
          <w:szCs w:val="22"/>
          <w:lang w:val="fr-FR"/>
        </w:rPr>
        <w:t xml:space="preserve">es sexes contribue d’une certaine façon à la réalisation des objectifs fixés pour la biodiversité. Des obstacles </w:t>
      </w:r>
      <w:r w:rsidR="000A112A">
        <w:rPr>
          <w:kern w:val="22"/>
          <w:szCs w:val="22"/>
          <w:lang w:val="fr-FR"/>
        </w:rPr>
        <w:t>freinent</w:t>
      </w:r>
      <w:r w:rsidRPr="002B7AA3">
        <w:rPr>
          <w:kern w:val="22"/>
          <w:szCs w:val="22"/>
          <w:lang w:val="fr-FR"/>
        </w:rPr>
        <w:t xml:space="preserve"> toutefois l’intégration de considérations </w:t>
      </w:r>
      <w:proofErr w:type="spellStart"/>
      <w:r w:rsidRPr="002B7AA3">
        <w:rPr>
          <w:kern w:val="22"/>
          <w:szCs w:val="22"/>
          <w:lang w:val="fr-FR"/>
        </w:rPr>
        <w:t>sexospécifiques</w:t>
      </w:r>
      <w:proofErr w:type="spellEnd"/>
      <w:r w:rsidRPr="002B7AA3">
        <w:rPr>
          <w:kern w:val="22"/>
          <w:szCs w:val="22"/>
          <w:lang w:val="fr-FR"/>
        </w:rPr>
        <w:t xml:space="preserve"> dans les stratégies et </w:t>
      </w:r>
      <w:r w:rsidR="004A1DCD">
        <w:rPr>
          <w:kern w:val="22"/>
          <w:szCs w:val="22"/>
          <w:lang w:val="fr-FR"/>
        </w:rPr>
        <w:t>les actions entreprises, ainsi que</w:t>
      </w:r>
      <w:r w:rsidRPr="002B7AA3">
        <w:rPr>
          <w:kern w:val="22"/>
          <w:szCs w:val="22"/>
          <w:lang w:val="fr-FR"/>
        </w:rPr>
        <w:t xml:space="preserve"> la participation de</w:t>
      </w:r>
      <w:r w:rsidR="004A1DCD">
        <w:rPr>
          <w:kern w:val="22"/>
          <w:szCs w:val="22"/>
          <w:lang w:val="fr-FR"/>
        </w:rPr>
        <w:t>s</w:t>
      </w:r>
      <w:r w:rsidRPr="002B7AA3">
        <w:rPr>
          <w:kern w:val="22"/>
          <w:szCs w:val="22"/>
          <w:lang w:val="fr-FR"/>
        </w:rPr>
        <w:t xml:space="preserve"> représentants de femmes dans les procédures de planification et de mise en œuvre.</w:t>
      </w:r>
      <w:r w:rsidR="000454C9" w:rsidRPr="00C91779">
        <w:rPr>
          <w:kern w:val="22"/>
          <w:szCs w:val="22"/>
        </w:rPr>
        <w:t xml:space="preserve"> </w:t>
      </w:r>
      <w:r w:rsidRPr="00FF0A76">
        <w:rPr>
          <w:kern w:val="22"/>
          <w:szCs w:val="22"/>
          <w:lang w:val="fr-FR"/>
        </w:rPr>
        <w:t>Les demandes de renforcement des capacités</w:t>
      </w:r>
      <w:r w:rsidR="00FF0A76" w:rsidRPr="00FF0A76">
        <w:rPr>
          <w:kern w:val="22"/>
          <w:szCs w:val="22"/>
          <w:lang w:val="fr-FR"/>
        </w:rPr>
        <w:t xml:space="preserve"> révèlent qu’une compréhension insuffisante des moyens d’intégrer les problématiques homm</w:t>
      </w:r>
      <w:r w:rsidR="004A1DCD">
        <w:rPr>
          <w:kern w:val="22"/>
          <w:szCs w:val="22"/>
          <w:lang w:val="fr-FR"/>
        </w:rPr>
        <w:t>es-femmes contribue à limiter leur</w:t>
      </w:r>
      <w:r w:rsidR="00FF0A76" w:rsidRPr="00FF0A76">
        <w:rPr>
          <w:kern w:val="22"/>
          <w:szCs w:val="22"/>
          <w:lang w:val="fr-FR"/>
        </w:rPr>
        <w:t xml:space="preserve"> prise en compte dans les procédures de planification et de mise en œuvre.</w:t>
      </w:r>
      <w:r w:rsidR="000454C9" w:rsidRPr="00C91779">
        <w:rPr>
          <w:kern w:val="22"/>
          <w:szCs w:val="22"/>
        </w:rPr>
        <w:t xml:space="preserve"> </w:t>
      </w:r>
      <w:r w:rsidR="00FF0A76" w:rsidRPr="00FF0A76">
        <w:rPr>
          <w:kern w:val="22"/>
          <w:szCs w:val="22"/>
          <w:lang w:val="fr-FR"/>
        </w:rPr>
        <w:t xml:space="preserve">L’enquête conduite au titre des Conventions de Rio sur les </w:t>
      </w:r>
      <w:r w:rsidR="004A1DCD">
        <w:rPr>
          <w:kern w:val="22"/>
          <w:szCs w:val="22"/>
          <w:lang w:val="fr-FR"/>
        </w:rPr>
        <w:t>besoins conjoints</w:t>
      </w:r>
      <w:r w:rsidR="00FF0A76" w:rsidRPr="00FF0A76">
        <w:rPr>
          <w:kern w:val="22"/>
          <w:szCs w:val="22"/>
          <w:lang w:val="fr-FR"/>
        </w:rPr>
        <w:t xml:space="preserve"> de renforcement des capacités met en évidence les problématiques de la sensibilisation aux liens existant entre l’égalité des sexes et la biodiversité/l’environnement, ou de leur compréhension ; la nécessité d’améliorer les compétences et les connaissances des personnels ; et la mise à disposition d’outils et de directives.</w:t>
      </w:r>
      <w:r w:rsidR="000454C9" w:rsidRPr="00C91779">
        <w:rPr>
          <w:kern w:val="22"/>
          <w:szCs w:val="22"/>
        </w:rPr>
        <w:t xml:space="preserve"> </w:t>
      </w:r>
      <w:r w:rsidR="00FF0A76" w:rsidRPr="00FF0A76">
        <w:rPr>
          <w:kern w:val="22"/>
          <w:szCs w:val="22"/>
          <w:lang w:val="fr-FR"/>
        </w:rPr>
        <w:t xml:space="preserve">Toute </w:t>
      </w:r>
      <w:r w:rsidR="004A1DCD">
        <w:rPr>
          <w:kern w:val="22"/>
          <w:szCs w:val="22"/>
          <w:lang w:val="fr-FR"/>
        </w:rPr>
        <w:t>méconnaissance</w:t>
      </w:r>
      <w:r w:rsidR="00FF0A76" w:rsidRPr="00FF0A76">
        <w:rPr>
          <w:kern w:val="22"/>
          <w:szCs w:val="22"/>
          <w:lang w:val="fr-FR"/>
        </w:rPr>
        <w:t xml:space="preserve"> de la manière de résoudre les problématiques hommes-femmes, ou de l’incidence des inégalités hommes-femmes sur la réalisation des objectifs fixés pour la diversité biologique, peut dissuader les responsables politiques d’affecter les ressources nécessaires à ces questions dans les stratégies et plans d’action nationaux pour la diversité biologique, et les procédures conduites au titre de la Convention.</w:t>
      </w:r>
    </w:p>
    <w:p w:rsidR="00905D7F" w:rsidRPr="00D050CC" w:rsidRDefault="00FF0A76" w:rsidP="00C7196C">
      <w:pPr>
        <w:pStyle w:val="Titre1"/>
        <w:suppressLineNumbers/>
        <w:tabs>
          <w:tab w:val="left" w:pos="450"/>
        </w:tabs>
        <w:suppressAutoHyphens/>
        <w:kinsoku w:val="0"/>
        <w:overflowPunct w:val="0"/>
        <w:autoSpaceDE w:val="0"/>
        <w:autoSpaceDN w:val="0"/>
        <w:adjustRightInd w:val="0"/>
        <w:snapToGrid w:val="0"/>
        <w:spacing w:before="120"/>
        <w:rPr>
          <w:snapToGrid w:val="0"/>
          <w:kern w:val="22"/>
          <w:szCs w:val="22"/>
        </w:rPr>
      </w:pPr>
      <w:r w:rsidRPr="00FF0A76">
        <w:rPr>
          <w:caps w:val="0"/>
          <w:snapToGrid w:val="0"/>
          <w:kern w:val="22"/>
          <w:szCs w:val="22"/>
          <w:lang w:val="fr-FR"/>
        </w:rPr>
        <w:lastRenderedPageBreak/>
        <w:t>IV.</w:t>
      </w:r>
      <w:r w:rsidR="00781121" w:rsidRPr="00D050CC">
        <w:rPr>
          <w:caps w:val="0"/>
          <w:snapToGrid w:val="0"/>
          <w:kern w:val="22"/>
          <w:szCs w:val="22"/>
        </w:rPr>
        <w:tab/>
      </w:r>
      <w:r w:rsidRPr="00C7196C">
        <w:rPr>
          <w:caps w:val="0"/>
          <w:snapToGrid w:val="0"/>
          <w:kern w:val="22"/>
          <w:szCs w:val="22"/>
          <w:lang w:val="fr-FR"/>
        </w:rPr>
        <w:t>CONSIDÉRATIONS</w:t>
      </w:r>
      <w:r w:rsidR="00C7196C" w:rsidRPr="00C7196C">
        <w:rPr>
          <w:caps w:val="0"/>
          <w:snapToGrid w:val="0"/>
          <w:kern w:val="22"/>
          <w:szCs w:val="22"/>
          <w:lang w:val="fr-FR"/>
        </w:rPr>
        <w:t xml:space="preserve"> </w:t>
      </w:r>
      <w:r w:rsidR="00B415E5">
        <w:rPr>
          <w:caps w:val="0"/>
          <w:snapToGrid w:val="0"/>
          <w:kern w:val="22"/>
          <w:szCs w:val="22"/>
          <w:lang w:val="fr-FR"/>
        </w:rPr>
        <w:t>S</w:t>
      </w:r>
      <w:r w:rsidR="00C7196C" w:rsidRPr="00C7196C">
        <w:rPr>
          <w:caps w:val="0"/>
          <w:snapToGrid w:val="0"/>
          <w:kern w:val="22"/>
          <w:szCs w:val="22"/>
          <w:lang w:val="fr-FR"/>
        </w:rPr>
        <w:t>UR LE CADRE DE LA DIVERSITÉ BIOLOGIQUE POUR L’APRÈS-2020</w:t>
      </w:r>
    </w:p>
    <w:p w:rsidR="005172AD" w:rsidRPr="00C91779" w:rsidRDefault="00DA3C55" w:rsidP="00C7196C">
      <w:pPr>
        <w:pStyle w:val="Para1"/>
        <w:suppressLineNumbers/>
        <w:tabs>
          <w:tab w:val="clear" w:pos="360"/>
        </w:tabs>
        <w:suppressAutoHyphens/>
        <w:kinsoku w:val="0"/>
        <w:overflowPunct w:val="0"/>
        <w:autoSpaceDE w:val="0"/>
        <w:autoSpaceDN w:val="0"/>
        <w:adjustRightInd w:val="0"/>
        <w:snapToGrid w:val="0"/>
        <w:rPr>
          <w:kern w:val="22"/>
          <w:szCs w:val="22"/>
        </w:rPr>
      </w:pPr>
      <w:r>
        <w:rPr>
          <w:kern w:val="22"/>
          <w:szCs w:val="22"/>
          <w:lang w:val="fr-FR"/>
        </w:rPr>
        <w:t>La phase d’élaboration du C</w:t>
      </w:r>
      <w:r w:rsidR="00C7196C" w:rsidRPr="00C7196C">
        <w:rPr>
          <w:kern w:val="22"/>
          <w:szCs w:val="22"/>
          <w:lang w:val="fr-FR"/>
        </w:rPr>
        <w:t>adre de la diversité biologique pour l’après-2020</w:t>
      </w:r>
      <w:r>
        <w:rPr>
          <w:kern w:val="22"/>
          <w:szCs w:val="22"/>
          <w:lang w:val="fr-FR"/>
        </w:rPr>
        <w:t xml:space="preserve"> offre l’occasion d’intégrer des </w:t>
      </w:r>
      <w:r w:rsidR="00C7196C" w:rsidRPr="00C7196C">
        <w:rPr>
          <w:kern w:val="22"/>
          <w:szCs w:val="22"/>
          <w:lang w:val="fr-FR"/>
        </w:rPr>
        <w:t xml:space="preserve">considérations </w:t>
      </w:r>
      <w:proofErr w:type="spellStart"/>
      <w:r w:rsidR="00C7196C" w:rsidRPr="00C7196C">
        <w:rPr>
          <w:kern w:val="22"/>
          <w:szCs w:val="22"/>
          <w:lang w:val="fr-FR"/>
        </w:rPr>
        <w:t>sexospécifiques</w:t>
      </w:r>
      <w:proofErr w:type="spellEnd"/>
      <w:r w:rsidR="00C7196C" w:rsidRPr="00C7196C">
        <w:rPr>
          <w:kern w:val="22"/>
          <w:szCs w:val="22"/>
          <w:lang w:val="fr-FR"/>
        </w:rPr>
        <w:t xml:space="preserve"> dans le contexte de la Convention.</w:t>
      </w:r>
      <w:r w:rsidR="00B223AB" w:rsidRPr="00C91779">
        <w:rPr>
          <w:kern w:val="22"/>
          <w:szCs w:val="22"/>
        </w:rPr>
        <w:t xml:space="preserve"> </w:t>
      </w:r>
      <w:r w:rsidR="00C7196C" w:rsidRPr="00C7196C">
        <w:rPr>
          <w:kern w:val="22"/>
          <w:szCs w:val="22"/>
          <w:lang w:val="fr-FR"/>
        </w:rPr>
        <w:t xml:space="preserve">Le Plan stratégique 2011-2020 pour la diversité biologique et les Objectifs d’Aichi pour la biodiversité font peu référence aux problématiques hommes-femmes et limitent </w:t>
      </w:r>
      <w:r>
        <w:rPr>
          <w:kern w:val="22"/>
          <w:szCs w:val="22"/>
          <w:lang w:val="fr-FR"/>
        </w:rPr>
        <w:t>la possibilité</w:t>
      </w:r>
      <w:r w:rsidR="00C7196C" w:rsidRPr="00C7196C">
        <w:rPr>
          <w:kern w:val="22"/>
          <w:szCs w:val="22"/>
          <w:lang w:val="fr-FR"/>
        </w:rPr>
        <w:t xml:space="preserve"> d’encourager les actions de mise en œuvre </w:t>
      </w:r>
      <w:r>
        <w:rPr>
          <w:kern w:val="22"/>
          <w:szCs w:val="22"/>
          <w:lang w:val="fr-FR"/>
        </w:rPr>
        <w:t>dans ce domaine</w:t>
      </w:r>
      <w:r w:rsidR="00C7196C" w:rsidRPr="00C7196C">
        <w:rPr>
          <w:kern w:val="22"/>
          <w:szCs w:val="22"/>
          <w:lang w:val="fr-FR"/>
        </w:rPr>
        <w:t>.</w:t>
      </w:r>
      <w:r w:rsidR="005172AD" w:rsidRPr="00C91779">
        <w:rPr>
          <w:kern w:val="22"/>
          <w:szCs w:val="22"/>
        </w:rPr>
        <w:t xml:space="preserve"> </w:t>
      </w:r>
      <w:r w:rsidR="00C7196C" w:rsidRPr="00C7196C">
        <w:rPr>
          <w:kern w:val="22"/>
          <w:szCs w:val="22"/>
          <w:lang w:val="fr-FR"/>
        </w:rPr>
        <w:t xml:space="preserve">L’attention portée aux dimensions </w:t>
      </w:r>
      <w:proofErr w:type="spellStart"/>
      <w:r w:rsidR="00C7196C" w:rsidRPr="00C7196C">
        <w:rPr>
          <w:kern w:val="22"/>
          <w:szCs w:val="22"/>
          <w:lang w:val="fr-FR"/>
        </w:rPr>
        <w:t>sexospécifiques</w:t>
      </w:r>
      <w:proofErr w:type="spellEnd"/>
      <w:r w:rsidR="00C7196C" w:rsidRPr="00C7196C">
        <w:rPr>
          <w:kern w:val="22"/>
          <w:szCs w:val="22"/>
          <w:lang w:val="fr-FR"/>
        </w:rPr>
        <w:t xml:space="preserve"> par le Cadre pour l’après-2020 offre </w:t>
      </w:r>
      <w:r>
        <w:rPr>
          <w:kern w:val="22"/>
          <w:szCs w:val="22"/>
          <w:lang w:val="fr-FR"/>
        </w:rPr>
        <w:t xml:space="preserve">également </w:t>
      </w:r>
      <w:r w:rsidR="00C7196C" w:rsidRPr="00C7196C">
        <w:rPr>
          <w:kern w:val="22"/>
          <w:szCs w:val="22"/>
          <w:lang w:val="fr-FR"/>
        </w:rPr>
        <w:t xml:space="preserve">l’occasion de faciliter la réalisation des objectifs relatifs à l’égalité </w:t>
      </w:r>
      <w:r>
        <w:rPr>
          <w:kern w:val="22"/>
          <w:szCs w:val="22"/>
          <w:lang w:val="fr-FR"/>
        </w:rPr>
        <w:t>de</w:t>
      </w:r>
      <w:r w:rsidR="00C7196C" w:rsidRPr="00C7196C">
        <w:rPr>
          <w:kern w:val="22"/>
          <w:szCs w:val="22"/>
          <w:lang w:val="fr-FR"/>
        </w:rPr>
        <w:t xml:space="preserve">s sexes et à la </w:t>
      </w:r>
      <w:r>
        <w:rPr>
          <w:kern w:val="22"/>
          <w:szCs w:val="22"/>
          <w:lang w:val="fr-FR"/>
        </w:rPr>
        <w:t>biodiversité</w:t>
      </w:r>
      <w:r w:rsidR="00C7196C" w:rsidRPr="00C7196C">
        <w:rPr>
          <w:kern w:val="22"/>
          <w:szCs w:val="22"/>
          <w:lang w:val="fr-FR"/>
        </w:rPr>
        <w:t>.</w:t>
      </w:r>
    </w:p>
    <w:p w:rsidR="00F95F8D" w:rsidRPr="00C91779" w:rsidRDefault="00C7196C" w:rsidP="009A2943">
      <w:pPr>
        <w:pStyle w:val="Para1"/>
        <w:suppressLineNumbers/>
        <w:tabs>
          <w:tab w:val="clear" w:pos="360"/>
        </w:tabs>
        <w:suppressAutoHyphens/>
        <w:kinsoku w:val="0"/>
        <w:overflowPunct w:val="0"/>
        <w:autoSpaceDE w:val="0"/>
        <w:autoSpaceDN w:val="0"/>
        <w:adjustRightInd w:val="0"/>
        <w:snapToGrid w:val="0"/>
        <w:rPr>
          <w:kern w:val="22"/>
          <w:szCs w:val="22"/>
        </w:rPr>
      </w:pPr>
      <w:r w:rsidRPr="008C47D5">
        <w:rPr>
          <w:kern w:val="22"/>
          <w:szCs w:val="22"/>
          <w:lang w:val="fr-FR"/>
        </w:rPr>
        <w:t xml:space="preserve">Le Secrétariat a organisé une réunion en marge de la vingt-et-unième réunion de l’Organe subsidiaire chargé de fournir des avis scientifiques, techniques et technologiques, le 13 décembre 2017, sous la forme d’une consultation informelle/d’un atelier, </w:t>
      </w:r>
      <w:r w:rsidR="004B61B0">
        <w:rPr>
          <w:kern w:val="22"/>
          <w:szCs w:val="22"/>
          <w:lang w:val="fr-FR"/>
        </w:rPr>
        <w:t>au sujet du</w:t>
      </w:r>
      <w:r w:rsidRPr="008C47D5">
        <w:rPr>
          <w:kern w:val="22"/>
          <w:szCs w:val="22"/>
          <w:lang w:val="fr-FR"/>
        </w:rPr>
        <w:t xml:space="preserve"> Plan d’action de la Convention pour l’égalité entre les sexes</w:t>
      </w:r>
      <w:r w:rsidR="004B61B0">
        <w:rPr>
          <w:kern w:val="22"/>
          <w:szCs w:val="22"/>
          <w:lang w:val="fr-FR"/>
        </w:rPr>
        <w:t>,</w:t>
      </w:r>
      <w:r w:rsidR="008C47D5" w:rsidRPr="008C47D5">
        <w:rPr>
          <w:kern w:val="22"/>
          <w:szCs w:val="22"/>
          <w:lang w:val="fr-FR"/>
        </w:rPr>
        <w:t xml:space="preserve"> dans le contexte du Cadre de la diversité biologique pour l’après-2020.</w:t>
      </w:r>
      <w:r w:rsidR="00F95F8D" w:rsidRPr="00C91779">
        <w:rPr>
          <w:kern w:val="22"/>
          <w:szCs w:val="22"/>
        </w:rPr>
        <w:t xml:space="preserve"> </w:t>
      </w:r>
      <w:r w:rsidR="008C47D5" w:rsidRPr="008C47D5">
        <w:rPr>
          <w:kern w:val="22"/>
          <w:szCs w:val="22"/>
          <w:lang w:val="fr-FR"/>
        </w:rPr>
        <w:t>La réunion a rassemblé des représentants de Parties et d’organisations ayant le statut d’observateur</w:t>
      </w:r>
      <w:r w:rsidR="00766349">
        <w:rPr>
          <w:kern w:val="22"/>
          <w:szCs w:val="22"/>
          <w:lang w:val="fr-FR"/>
        </w:rPr>
        <w:t>s</w:t>
      </w:r>
      <w:r w:rsidR="008C47D5" w:rsidRPr="008C47D5">
        <w:rPr>
          <w:kern w:val="22"/>
          <w:szCs w:val="22"/>
          <w:lang w:val="fr-FR"/>
        </w:rPr>
        <w:t>, et a</w:t>
      </w:r>
      <w:r w:rsidR="004B61B0">
        <w:rPr>
          <w:kern w:val="22"/>
          <w:szCs w:val="22"/>
          <w:lang w:val="fr-FR"/>
        </w:rPr>
        <w:t xml:space="preserve">pporté des informations utiles </w:t>
      </w:r>
      <w:r w:rsidR="00A643E8">
        <w:rPr>
          <w:kern w:val="22"/>
          <w:szCs w:val="22"/>
          <w:lang w:val="fr-FR"/>
        </w:rPr>
        <w:t>à l’évaluation</w:t>
      </w:r>
      <w:r w:rsidR="008C47D5" w:rsidRPr="008C47D5">
        <w:rPr>
          <w:kern w:val="22"/>
          <w:szCs w:val="22"/>
          <w:lang w:val="fr-FR"/>
        </w:rPr>
        <w:t xml:space="preserve"> des moyens </w:t>
      </w:r>
      <w:r w:rsidR="00A643E8">
        <w:rPr>
          <w:kern w:val="22"/>
          <w:szCs w:val="22"/>
          <w:lang w:val="fr-FR"/>
        </w:rPr>
        <w:t>accroissant</w:t>
      </w:r>
      <w:r w:rsidR="008C47D5" w:rsidRPr="008C47D5">
        <w:rPr>
          <w:kern w:val="22"/>
          <w:szCs w:val="22"/>
          <w:lang w:val="fr-FR"/>
        </w:rPr>
        <w:t xml:space="preserve"> l’attention portée à l’égalité </w:t>
      </w:r>
      <w:r w:rsidR="00A643E8">
        <w:rPr>
          <w:kern w:val="22"/>
          <w:szCs w:val="22"/>
          <w:lang w:val="fr-FR"/>
        </w:rPr>
        <w:t>d</w:t>
      </w:r>
      <w:r w:rsidR="008C47D5" w:rsidRPr="008C47D5">
        <w:rPr>
          <w:kern w:val="22"/>
          <w:szCs w:val="22"/>
          <w:lang w:val="fr-FR"/>
        </w:rPr>
        <w:t xml:space="preserve">es sexes </w:t>
      </w:r>
      <w:r w:rsidR="00A643E8">
        <w:rPr>
          <w:kern w:val="22"/>
          <w:szCs w:val="22"/>
          <w:lang w:val="fr-FR"/>
        </w:rPr>
        <w:t>au titre</w:t>
      </w:r>
      <w:r w:rsidR="008C47D5" w:rsidRPr="008C47D5">
        <w:rPr>
          <w:kern w:val="22"/>
          <w:szCs w:val="22"/>
          <w:lang w:val="fr-FR"/>
        </w:rPr>
        <w:t xml:space="preserve"> de la Convention.</w:t>
      </w:r>
      <w:r w:rsidR="00F95F8D" w:rsidRPr="00C91779">
        <w:rPr>
          <w:kern w:val="22"/>
          <w:szCs w:val="22"/>
        </w:rPr>
        <w:t xml:space="preserve"> </w:t>
      </w:r>
      <w:r w:rsidR="008C47D5" w:rsidRPr="008C47D5">
        <w:rPr>
          <w:kern w:val="22"/>
          <w:szCs w:val="22"/>
          <w:lang w:val="fr-FR"/>
        </w:rPr>
        <w:t xml:space="preserve">Les propositions formulées </w:t>
      </w:r>
      <w:r w:rsidR="000B14DB">
        <w:rPr>
          <w:kern w:val="22"/>
          <w:szCs w:val="22"/>
          <w:lang w:val="fr-FR"/>
        </w:rPr>
        <w:t>à cette occasion</w:t>
      </w:r>
      <w:r w:rsidR="008C47D5" w:rsidRPr="008C47D5">
        <w:rPr>
          <w:kern w:val="22"/>
          <w:szCs w:val="22"/>
          <w:lang w:val="fr-FR"/>
        </w:rPr>
        <w:t xml:space="preserve"> incluent :</w:t>
      </w:r>
      <w:r w:rsidR="00F95F8D" w:rsidRPr="00C91779">
        <w:rPr>
          <w:kern w:val="22"/>
          <w:szCs w:val="22"/>
        </w:rPr>
        <w:t xml:space="preserve"> </w:t>
      </w:r>
      <w:r w:rsidR="008C47D5" w:rsidRPr="008C47D5">
        <w:rPr>
          <w:kern w:val="22"/>
          <w:szCs w:val="22"/>
          <w:lang w:val="fr-FR"/>
        </w:rPr>
        <w:t xml:space="preserve">a) la mise en conformité du nouveau/prochain Plan d’action </w:t>
      </w:r>
      <w:r w:rsidR="000B14DB">
        <w:rPr>
          <w:kern w:val="22"/>
          <w:szCs w:val="22"/>
          <w:lang w:val="fr-FR"/>
        </w:rPr>
        <w:t>pour l’après-</w:t>
      </w:r>
      <w:r w:rsidR="008C47D5" w:rsidRPr="008C47D5">
        <w:rPr>
          <w:kern w:val="22"/>
          <w:szCs w:val="22"/>
          <w:lang w:val="fr-FR"/>
        </w:rPr>
        <w:t>2020 avec le Cadre de la diversité biologique pour l’ap</w:t>
      </w:r>
      <w:r w:rsidR="000B14DB">
        <w:rPr>
          <w:kern w:val="22"/>
          <w:szCs w:val="22"/>
          <w:lang w:val="fr-FR"/>
        </w:rPr>
        <w:t>rès-2020 ; b) le recensement d’</w:t>
      </w:r>
      <w:r w:rsidR="008C47D5" w:rsidRPr="008C47D5">
        <w:rPr>
          <w:kern w:val="22"/>
          <w:szCs w:val="22"/>
          <w:lang w:val="fr-FR"/>
        </w:rPr>
        <w:t xml:space="preserve">objectifs </w:t>
      </w:r>
      <w:r w:rsidR="000B14DB">
        <w:rPr>
          <w:kern w:val="22"/>
          <w:szCs w:val="22"/>
          <w:lang w:val="fr-FR"/>
        </w:rPr>
        <w:t>précis et faciles à réaliser</w:t>
      </w:r>
      <w:r w:rsidR="008C47D5" w:rsidRPr="008C47D5">
        <w:rPr>
          <w:kern w:val="22"/>
          <w:szCs w:val="22"/>
          <w:lang w:val="fr-FR"/>
        </w:rPr>
        <w:t xml:space="preserve"> qui seront préférés aux objectifs généraux, et leur reconnaissance par les pays ; c) la possibilité de désigner des</w:t>
      </w:r>
      <w:r w:rsidR="00A245E6">
        <w:rPr>
          <w:kern w:val="22"/>
          <w:szCs w:val="22"/>
          <w:lang w:val="fr-FR"/>
        </w:rPr>
        <w:t xml:space="preserve"> correspondants nationaux pour d</w:t>
      </w:r>
      <w:r w:rsidR="008C47D5" w:rsidRPr="008C47D5">
        <w:rPr>
          <w:kern w:val="22"/>
          <w:szCs w:val="22"/>
          <w:lang w:val="fr-FR"/>
        </w:rPr>
        <w:t xml:space="preserve">es problématiques hommes-femmes ; et d) l’identification des lacunes et </w:t>
      </w:r>
      <w:r w:rsidR="000B14DB">
        <w:rPr>
          <w:kern w:val="22"/>
          <w:szCs w:val="22"/>
          <w:lang w:val="fr-FR"/>
        </w:rPr>
        <w:t xml:space="preserve">des </w:t>
      </w:r>
      <w:r w:rsidR="008C47D5" w:rsidRPr="008C47D5">
        <w:rPr>
          <w:kern w:val="22"/>
          <w:szCs w:val="22"/>
          <w:lang w:val="fr-FR"/>
        </w:rPr>
        <w:t>enseignements tirés du Plan d’action</w:t>
      </w:r>
      <w:r w:rsidR="000B14DB">
        <w:rPr>
          <w:kern w:val="22"/>
          <w:szCs w:val="22"/>
          <w:lang w:val="fr-FR"/>
        </w:rPr>
        <w:t>,</w:t>
      </w:r>
      <w:r w:rsidR="008C47D5" w:rsidRPr="008C47D5">
        <w:rPr>
          <w:kern w:val="22"/>
          <w:szCs w:val="22"/>
          <w:lang w:val="fr-FR"/>
        </w:rPr>
        <w:t xml:space="preserve"> et leur prise en compte </w:t>
      </w:r>
      <w:r w:rsidR="000B14DB">
        <w:rPr>
          <w:kern w:val="22"/>
          <w:szCs w:val="22"/>
          <w:lang w:val="fr-FR"/>
        </w:rPr>
        <w:t>dans</w:t>
      </w:r>
      <w:r w:rsidR="008C47D5" w:rsidRPr="008C47D5">
        <w:rPr>
          <w:kern w:val="22"/>
          <w:szCs w:val="22"/>
          <w:lang w:val="fr-FR"/>
        </w:rPr>
        <w:t xml:space="preserve"> la procédure d’élaboration du Cadre pour l’après-2020.</w:t>
      </w:r>
      <w:r w:rsidR="00F95F8D" w:rsidRPr="00C91779">
        <w:rPr>
          <w:kern w:val="22"/>
          <w:szCs w:val="22"/>
        </w:rPr>
        <w:t xml:space="preserve"> </w:t>
      </w:r>
      <w:r w:rsidR="0007768E" w:rsidRPr="009A2943">
        <w:rPr>
          <w:kern w:val="22"/>
          <w:szCs w:val="22"/>
          <w:lang w:val="fr-FR"/>
        </w:rPr>
        <w:t xml:space="preserve">Les autres </w:t>
      </w:r>
      <w:r w:rsidR="00746DFC">
        <w:rPr>
          <w:kern w:val="22"/>
          <w:szCs w:val="22"/>
          <w:lang w:val="fr-FR"/>
        </w:rPr>
        <w:t>besoins</w:t>
      </w:r>
      <w:r w:rsidR="0007768E" w:rsidRPr="009A2943">
        <w:rPr>
          <w:kern w:val="22"/>
          <w:szCs w:val="22"/>
          <w:lang w:val="fr-FR"/>
        </w:rPr>
        <w:t xml:space="preserve"> concernent l’explication des termes et des messa</w:t>
      </w:r>
      <w:r w:rsidR="00223E86">
        <w:rPr>
          <w:kern w:val="22"/>
          <w:szCs w:val="22"/>
          <w:lang w:val="fr-FR"/>
        </w:rPr>
        <w:t>ges relatifs à l’égalité d</w:t>
      </w:r>
      <w:r w:rsidR="0007768E" w:rsidRPr="009A2943">
        <w:rPr>
          <w:kern w:val="22"/>
          <w:szCs w:val="22"/>
          <w:lang w:val="fr-FR"/>
        </w:rPr>
        <w:t>es sexes et à ses liens avec la biodiversité</w:t>
      </w:r>
      <w:r w:rsidR="009A2943" w:rsidRPr="009A2943">
        <w:rPr>
          <w:kern w:val="22"/>
          <w:szCs w:val="22"/>
          <w:lang w:val="fr-FR"/>
        </w:rPr>
        <w:t xml:space="preserve">, </w:t>
      </w:r>
      <w:r w:rsidR="00223E86">
        <w:rPr>
          <w:kern w:val="22"/>
          <w:szCs w:val="22"/>
          <w:lang w:val="fr-FR"/>
        </w:rPr>
        <w:t>qui doit atténuer l</w:t>
      </w:r>
      <w:r w:rsidR="0007768E" w:rsidRPr="009A2943">
        <w:rPr>
          <w:kern w:val="22"/>
          <w:szCs w:val="22"/>
          <w:lang w:val="fr-FR"/>
        </w:rPr>
        <w:t>es réticences</w:t>
      </w:r>
      <w:r w:rsidR="009A2943" w:rsidRPr="009A2943">
        <w:rPr>
          <w:kern w:val="22"/>
          <w:szCs w:val="22"/>
          <w:lang w:val="fr-FR"/>
        </w:rPr>
        <w:t xml:space="preserve"> </w:t>
      </w:r>
      <w:r w:rsidR="00223E86">
        <w:rPr>
          <w:kern w:val="22"/>
          <w:szCs w:val="22"/>
          <w:lang w:val="fr-FR"/>
        </w:rPr>
        <w:t>envers le</w:t>
      </w:r>
      <w:r w:rsidR="009A2943" w:rsidRPr="009A2943">
        <w:rPr>
          <w:kern w:val="22"/>
          <w:szCs w:val="22"/>
          <w:lang w:val="fr-FR"/>
        </w:rPr>
        <w:t xml:space="preserve"> terme « genre » ; </w:t>
      </w:r>
      <w:r w:rsidR="00223E86">
        <w:rPr>
          <w:kern w:val="22"/>
          <w:szCs w:val="22"/>
          <w:lang w:val="fr-FR"/>
        </w:rPr>
        <w:t>l’amélioration de la terminologie ;</w:t>
      </w:r>
      <w:r w:rsidR="009A2943" w:rsidRPr="009A2943">
        <w:rPr>
          <w:kern w:val="22"/>
          <w:szCs w:val="22"/>
          <w:lang w:val="fr-FR"/>
        </w:rPr>
        <w:t xml:space="preserve"> et la prestation de formations et d’appuis aux personnes </w:t>
      </w:r>
      <w:r w:rsidR="00223E86">
        <w:rPr>
          <w:kern w:val="22"/>
          <w:szCs w:val="22"/>
          <w:lang w:val="fr-FR"/>
        </w:rPr>
        <w:t>mettant</w:t>
      </w:r>
      <w:r w:rsidR="009A2943" w:rsidRPr="009A2943">
        <w:rPr>
          <w:kern w:val="22"/>
          <w:szCs w:val="22"/>
          <w:lang w:val="fr-FR"/>
        </w:rPr>
        <w:t xml:space="preserve"> en œuvre les activités relatives à la biodiversité</w:t>
      </w:r>
      <w:r w:rsidR="00223E86">
        <w:rPr>
          <w:kern w:val="22"/>
          <w:szCs w:val="22"/>
          <w:lang w:val="fr-FR"/>
        </w:rPr>
        <w:t>, afin qu’elles puissent mieux</w:t>
      </w:r>
      <w:r w:rsidR="009A2943" w:rsidRPr="009A2943">
        <w:rPr>
          <w:kern w:val="22"/>
          <w:szCs w:val="22"/>
          <w:lang w:val="fr-FR"/>
        </w:rPr>
        <w:t xml:space="preserve"> gérer les problématiques hommes-femmes.</w:t>
      </w:r>
    </w:p>
    <w:p w:rsidR="005D46C1" w:rsidRPr="00C91779" w:rsidRDefault="009A2943" w:rsidP="008978AC">
      <w:pPr>
        <w:pStyle w:val="Para1"/>
        <w:suppressLineNumbers/>
        <w:tabs>
          <w:tab w:val="clear" w:pos="360"/>
        </w:tabs>
        <w:suppressAutoHyphens/>
        <w:kinsoku w:val="0"/>
        <w:overflowPunct w:val="0"/>
        <w:autoSpaceDE w:val="0"/>
        <w:autoSpaceDN w:val="0"/>
        <w:adjustRightInd w:val="0"/>
        <w:snapToGrid w:val="0"/>
        <w:rPr>
          <w:kern w:val="22"/>
          <w:szCs w:val="22"/>
        </w:rPr>
      </w:pPr>
      <w:r w:rsidRPr="009A2943">
        <w:rPr>
          <w:kern w:val="22"/>
          <w:szCs w:val="22"/>
          <w:lang w:val="fr-FR"/>
        </w:rPr>
        <w:t xml:space="preserve">Des demandes </w:t>
      </w:r>
      <w:r w:rsidR="00223E86" w:rsidRPr="009A2943">
        <w:rPr>
          <w:kern w:val="22"/>
          <w:szCs w:val="22"/>
          <w:lang w:val="fr-FR"/>
        </w:rPr>
        <w:t xml:space="preserve">ont également été formulées </w:t>
      </w:r>
      <w:r w:rsidR="00223E86">
        <w:rPr>
          <w:kern w:val="22"/>
          <w:szCs w:val="22"/>
          <w:lang w:val="fr-FR"/>
        </w:rPr>
        <w:t>pour accroître l’</w:t>
      </w:r>
      <w:r w:rsidRPr="009A2943">
        <w:rPr>
          <w:kern w:val="22"/>
          <w:szCs w:val="22"/>
          <w:lang w:val="fr-FR"/>
        </w:rPr>
        <w:t>attention portée aux problématiques hommes-femmes</w:t>
      </w:r>
      <w:r w:rsidR="00A245E6">
        <w:rPr>
          <w:kern w:val="22"/>
          <w:szCs w:val="22"/>
          <w:lang w:val="fr-FR"/>
        </w:rPr>
        <w:t>,</w:t>
      </w:r>
      <w:r w:rsidRPr="009A2943">
        <w:rPr>
          <w:kern w:val="22"/>
          <w:szCs w:val="22"/>
          <w:lang w:val="fr-FR"/>
        </w:rPr>
        <w:t xml:space="preserve"> dans les présentations reçues des Parties et de parties prenantes en réponse aux notifications</w:t>
      </w:r>
      <w:r w:rsidRPr="009A2943">
        <w:rPr>
          <w:rStyle w:val="Appelnotedebasdep"/>
          <w:kern w:val="22"/>
          <w:sz w:val="22"/>
          <w:szCs w:val="22"/>
          <w:u w:val="none"/>
          <w:vertAlign w:val="superscript"/>
          <w:lang w:val="fr-FR"/>
        </w:rPr>
        <w:footnoteReference w:id="17"/>
      </w:r>
      <w:r w:rsidRPr="009A2943">
        <w:rPr>
          <w:kern w:val="22"/>
          <w:szCs w:val="22"/>
          <w:lang w:val="fr-FR"/>
        </w:rPr>
        <w:t xml:space="preserve"> qui leur avaient été adressées pour solliciter leur contribution à l’élaboration du Cadre de la diversité biologique pour l’après-2020.</w:t>
      </w:r>
      <w:r w:rsidR="00F95F8D" w:rsidRPr="00C91779">
        <w:rPr>
          <w:kern w:val="22"/>
          <w:szCs w:val="22"/>
        </w:rPr>
        <w:t xml:space="preserve"> </w:t>
      </w:r>
      <w:r w:rsidRPr="009A2943">
        <w:rPr>
          <w:kern w:val="22"/>
          <w:szCs w:val="22"/>
          <w:lang w:val="fr-FR"/>
        </w:rPr>
        <w:t xml:space="preserve">Des demandes ont été formulées pour que l’égalité entre les sexes devienne une </w:t>
      </w:r>
      <w:r w:rsidR="00A245E6">
        <w:rPr>
          <w:kern w:val="22"/>
          <w:szCs w:val="22"/>
          <w:lang w:val="fr-FR"/>
        </w:rPr>
        <w:t>thématique</w:t>
      </w:r>
      <w:r w:rsidRPr="009A2943">
        <w:rPr>
          <w:kern w:val="22"/>
          <w:szCs w:val="22"/>
          <w:lang w:val="fr-FR"/>
        </w:rPr>
        <w:t xml:space="preserve"> transversale et soit intégrée </w:t>
      </w:r>
      <w:r w:rsidR="00223E86">
        <w:rPr>
          <w:kern w:val="22"/>
          <w:szCs w:val="22"/>
          <w:lang w:val="fr-FR"/>
        </w:rPr>
        <w:t xml:space="preserve">au Cadre </w:t>
      </w:r>
      <w:r w:rsidRPr="009A2943">
        <w:rPr>
          <w:kern w:val="22"/>
          <w:szCs w:val="22"/>
          <w:lang w:val="fr-FR"/>
        </w:rPr>
        <w:t>sous la forme d’un objectif distinct.</w:t>
      </w:r>
      <w:r w:rsidR="00F95F8D" w:rsidRPr="00C91779">
        <w:rPr>
          <w:kern w:val="22"/>
          <w:szCs w:val="22"/>
        </w:rPr>
        <w:t xml:space="preserve"> </w:t>
      </w:r>
      <w:r w:rsidRPr="009A2943">
        <w:rPr>
          <w:kern w:val="22"/>
          <w:szCs w:val="22"/>
          <w:lang w:val="fr-FR"/>
        </w:rPr>
        <w:t xml:space="preserve">Des questions ont en outre été posées sur la manière </w:t>
      </w:r>
      <w:r w:rsidR="00223E86">
        <w:rPr>
          <w:kern w:val="22"/>
          <w:szCs w:val="22"/>
          <w:lang w:val="fr-FR"/>
        </w:rPr>
        <w:t>d’intégrer</w:t>
      </w:r>
      <w:r w:rsidRPr="009A2943">
        <w:rPr>
          <w:kern w:val="22"/>
          <w:szCs w:val="22"/>
          <w:lang w:val="fr-FR"/>
        </w:rPr>
        <w:t xml:space="preserve"> </w:t>
      </w:r>
      <w:r w:rsidR="00223E86">
        <w:rPr>
          <w:kern w:val="22"/>
          <w:szCs w:val="22"/>
          <w:lang w:val="fr-FR"/>
        </w:rPr>
        <w:t>l’égalité d</w:t>
      </w:r>
      <w:r w:rsidR="00223E86" w:rsidRPr="009A2943">
        <w:rPr>
          <w:kern w:val="22"/>
          <w:szCs w:val="22"/>
          <w:lang w:val="fr-FR"/>
        </w:rPr>
        <w:t>es sexes</w:t>
      </w:r>
      <w:r w:rsidR="00223E86">
        <w:rPr>
          <w:kern w:val="22"/>
          <w:szCs w:val="22"/>
          <w:lang w:val="fr-FR"/>
        </w:rPr>
        <w:t xml:space="preserve"> à </w:t>
      </w:r>
      <w:r w:rsidRPr="009A2943">
        <w:rPr>
          <w:kern w:val="22"/>
          <w:szCs w:val="22"/>
          <w:lang w:val="fr-FR"/>
        </w:rPr>
        <w:t>la p</w:t>
      </w:r>
      <w:r w:rsidR="00223E86">
        <w:rPr>
          <w:kern w:val="22"/>
          <w:szCs w:val="22"/>
          <w:lang w:val="fr-FR"/>
        </w:rPr>
        <w:t>rocédure d’élaboration du Cadre</w:t>
      </w:r>
      <w:r w:rsidRPr="009A2943">
        <w:rPr>
          <w:kern w:val="22"/>
          <w:szCs w:val="22"/>
          <w:lang w:val="fr-FR"/>
        </w:rPr>
        <w:t>.</w:t>
      </w:r>
      <w:r w:rsidR="00F95F8D" w:rsidRPr="00C91779">
        <w:rPr>
          <w:kern w:val="22"/>
          <w:szCs w:val="22"/>
        </w:rPr>
        <w:t xml:space="preserve"> </w:t>
      </w:r>
      <w:r w:rsidR="008978AC" w:rsidRPr="008978AC">
        <w:rPr>
          <w:kern w:val="22"/>
          <w:szCs w:val="22"/>
          <w:lang w:val="fr-FR"/>
        </w:rPr>
        <w:t xml:space="preserve">Il a enfin été demandé </w:t>
      </w:r>
      <w:r w:rsidRPr="008978AC">
        <w:rPr>
          <w:kern w:val="22"/>
          <w:szCs w:val="22"/>
          <w:lang w:val="fr-FR"/>
        </w:rPr>
        <w:t xml:space="preserve">que les outils et méthodes </w:t>
      </w:r>
      <w:proofErr w:type="spellStart"/>
      <w:r w:rsidR="008978AC" w:rsidRPr="008978AC">
        <w:rPr>
          <w:kern w:val="22"/>
          <w:szCs w:val="22"/>
          <w:lang w:val="fr-FR"/>
        </w:rPr>
        <w:t>sexospécifiques</w:t>
      </w:r>
      <w:proofErr w:type="spellEnd"/>
      <w:r w:rsidR="008978AC" w:rsidRPr="008978AC">
        <w:rPr>
          <w:kern w:val="22"/>
          <w:szCs w:val="22"/>
          <w:lang w:val="fr-FR"/>
        </w:rPr>
        <w:t xml:space="preserve"> </w:t>
      </w:r>
      <w:r w:rsidRPr="008978AC">
        <w:rPr>
          <w:kern w:val="22"/>
          <w:szCs w:val="22"/>
          <w:lang w:val="fr-FR"/>
        </w:rPr>
        <w:t>adaptés aux cultures locales,</w:t>
      </w:r>
      <w:r w:rsidR="00AA1420">
        <w:rPr>
          <w:kern w:val="22"/>
          <w:szCs w:val="22"/>
          <w:lang w:val="fr-FR"/>
        </w:rPr>
        <w:t xml:space="preserve"> ainsi que</w:t>
      </w:r>
      <w:r w:rsidR="008978AC" w:rsidRPr="008978AC">
        <w:rPr>
          <w:kern w:val="22"/>
          <w:szCs w:val="22"/>
          <w:lang w:val="fr-FR"/>
        </w:rPr>
        <w:t xml:space="preserve"> les langues autochtones</w:t>
      </w:r>
      <w:r w:rsidR="00AA1420">
        <w:rPr>
          <w:kern w:val="22"/>
          <w:szCs w:val="22"/>
          <w:lang w:val="fr-FR"/>
        </w:rPr>
        <w:t>, soient pris en considération dans</w:t>
      </w:r>
      <w:r w:rsidR="008978AC" w:rsidRPr="008978AC">
        <w:rPr>
          <w:kern w:val="22"/>
          <w:szCs w:val="22"/>
          <w:lang w:val="fr-FR"/>
        </w:rPr>
        <w:t xml:space="preserve"> l’élaboration du Cadre, afin d’encourager l’intégration des problématiques hommes-femmes à tous les niveaux de la procédure</w:t>
      </w:r>
      <w:r w:rsidR="00AA1420">
        <w:rPr>
          <w:kern w:val="22"/>
          <w:szCs w:val="22"/>
          <w:lang w:val="fr-FR"/>
        </w:rPr>
        <w:t xml:space="preserve"> préparatoire</w:t>
      </w:r>
      <w:r w:rsidR="008978AC" w:rsidRPr="008978AC">
        <w:rPr>
          <w:kern w:val="22"/>
          <w:szCs w:val="22"/>
          <w:lang w:val="fr-FR"/>
        </w:rPr>
        <w:t>.</w:t>
      </w:r>
    </w:p>
    <w:p w:rsidR="000454C9" w:rsidRPr="00C91779" w:rsidRDefault="008978AC" w:rsidP="008978AC">
      <w:pPr>
        <w:pStyle w:val="Titre1"/>
        <w:suppressLineNumbers/>
        <w:tabs>
          <w:tab w:val="left" w:pos="360"/>
        </w:tabs>
        <w:suppressAutoHyphens/>
        <w:kinsoku w:val="0"/>
        <w:overflowPunct w:val="0"/>
        <w:autoSpaceDE w:val="0"/>
        <w:autoSpaceDN w:val="0"/>
        <w:adjustRightInd w:val="0"/>
        <w:snapToGrid w:val="0"/>
        <w:spacing w:before="120"/>
        <w:rPr>
          <w:kern w:val="22"/>
          <w:szCs w:val="22"/>
        </w:rPr>
      </w:pPr>
      <w:r w:rsidRPr="008978AC">
        <w:rPr>
          <w:caps w:val="0"/>
          <w:snapToGrid w:val="0"/>
          <w:kern w:val="22"/>
          <w:szCs w:val="22"/>
          <w:lang w:val="fr-FR"/>
        </w:rPr>
        <w:t>V.</w:t>
      </w:r>
      <w:r w:rsidR="00781121" w:rsidRPr="00C91779">
        <w:rPr>
          <w:caps w:val="0"/>
          <w:snapToGrid w:val="0"/>
          <w:kern w:val="22"/>
          <w:szCs w:val="22"/>
        </w:rPr>
        <w:tab/>
      </w:r>
      <w:r w:rsidRPr="008978AC">
        <w:rPr>
          <w:caps w:val="0"/>
          <w:snapToGrid w:val="0"/>
          <w:kern w:val="22"/>
          <w:szCs w:val="22"/>
          <w:lang w:val="fr-FR"/>
        </w:rPr>
        <w:t>CONCLUSION</w:t>
      </w:r>
    </w:p>
    <w:p w:rsidR="006816A2" w:rsidRPr="00C91779" w:rsidRDefault="006F1807" w:rsidP="006F1807">
      <w:pPr>
        <w:pStyle w:val="Para1"/>
        <w:suppressLineNumbers/>
        <w:tabs>
          <w:tab w:val="clear" w:pos="360"/>
        </w:tabs>
        <w:suppressAutoHyphens/>
        <w:kinsoku w:val="0"/>
        <w:overflowPunct w:val="0"/>
        <w:autoSpaceDE w:val="0"/>
        <w:autoSpaceDN w:val="0"/>
        <w:adjustRightInd w:val="0"/>
        <w:snapToGrid w:val="0"/>
        <w:rPr>
          <w:kern w:val="22"/>
          <w:szCs w:val="22"/>
        </w:rPr>
      </w:pPr>
      <w:r w:rsidRPr="006F1807">
        <w:rPr>
          <w:kern w:val="22"/>
          <w:szCs w:val="22"/>
          <w:lang w:val="fr-FR"/>
        </w:rPr>
        <w:t>L’élan en faveur de l’intégration des problématiques hommes-femmes</w:t>
      </w:r>
      <w:r w:rsidR="00C26344">
        <w:rPr>
          <w:kern w:val="22"/>
          <w:szCs w:val="22"/>
          <w:lang w:val="fr-FR"/>
        </w:rPr>
        <w:t>,</w:t>
      </w:r>
      <w:r w:rsidRPr="006F1807">
        <w:rPr>
          <w:kern w:val="22"/>
          <w:szCs w:val="22"/>
          <w:lang w:val="fr-FR"/>
        </w:rPr>
        <w:t xml:space="preserve"> mis en évidence dans les actions et les analyses examinées, fait écho à l’attention qui lui est portée à l’échelle internationale dans le cadre du développement durable, notamment des Objectifs de développement durable</w:t>
      </w:r>
      <w:r w:rsidR="00C26344">
        <w:rPr>
          <w:kern w:val="22"/>
          <w:szCs w:val="22"/>
          <w:lang w:val="fr-FR"/>
        </w:rPr>
        <w:t>. L’</w:t>
      </w:r>
      <w:r w:rsidRPr="006F1807">
        <w:rPr>
          <w:kern w:val="22"/>
          <w:szCs w:val="22"/>
          <w:lang w:val="fr-FR"/>
        </w:rPr>
        <w:t xml:space="preserve">égalité des sexes </w:t>
      </w:r>
      <w:r w:rsidR="00C26344">
        <w:rPr>
          <w:kern w:val="22"/>
          <w:szCs w:val="22"/>
          <w:lang w:val="fr-FR"/>
        </w:rPr>
        <w:t>est en effet classée parmi les objectifs distincts et l</w:t>
      </w:r>
      <w:r w:rsidRPr="006F1807">
        <w:rPr>
          <w:kern w:val="22"/>
          <w:szCs w:val="22"/>
          <w:lang w:val="fr-FR"/>
        </w:rPr>
        <w:t xml:space="preserve">es </w:t>
      </w:r>
      <w:r w:rsidR="00A245E6">
        <w:rPr>
          <w:kern w:val="22"/>
          <w:szCs w:val="22"/>
          <w:lang w:val="fr-FR"/>
        </w:rPr>
        <w:t>thématiques</w:t>
      </w:r>
      <w:r w:rsidRPr="006F1807">
        <w:rPr>
          <w:kern w:val="22"/>
          <w:szCs w:val="22"/>
          <w:lang w:val="fr-FR"/>
        </w:rPr>
        <w:t xml:space="preserve"> transversales.</w:t>
      </w:r>
    </w:p>
    <w:p w:rsidR="006816A2" w:rsidRPr="00C91779" w:rsidRDefault="006F1807" w:rsidP="00364306">
      <w:pPr>
        <w:pStyle w:val="Para1"/>
        <w:suppressLineNumbers/>
        <w:tabs>
          <w:tab w:val="clear" w:pos="360"/>
        </w:tabs>
        <w:suppressAutoHyphens/>
        <w:kinsoku w:val="0"/>
        <w:overflowPunct w:val="0"/>
        <w:autoSpaceDE w:val="0"/>
        <w:autoSpaceDN w:val="0"/>
        <w:adjustRightInd w:val="0"/>
        <w:snapToGrid w:val="0"/>
        <w:rPr>
          <w:kern w:val="22"/>
          <w:szCs w:val="22"/>
        </w:rPr>
      </w:pPr>
      <w:r w:rsidRPr="006F1807">
        <w:rPr>
          <w:kern w:val="22"/>
          <w:szCs w:val="22"/>
          <w:lang w:val="fr-FR"/>
        </w:rPr>
        <w:t>Les objectifs du Plan d’action pour l’égalité entre les sexes montrent clairement que des actions sont entreprises pour intégrer des</w:t>
      </w:r>
      <w:r w:rsidR="00C26344">
        <w:rPr>
          <w:kern w:val="22"/>
          <w:szCs w:val="22"/>
          <w:lang w:val="fr-FR"/>
        </w:rPr>
        <w:t xml:space="preserve"> considérations </w:t>
      </w:r>
      <w:proofErr w:type="spellStart"/>
      <w:r w:rsidR="00C26344">
        <w:rPr>
          <w:kern w:val="22"/>
          <w:szCs w:val="22"/>
          <w:lang w:val="fr-FR"/>
        </w:rPr>
        <w:t>sexospécifiques</w:t>
      </w:r>
      <w:proofErr w:type="spellEnd"/>
      <w:r w:rsidRPr="006F1807">
        <w:rPr>
          <w:kern w:val="22"/>
          <w:szCs w:val="22"/>
          <w:lang w:val="fr-FR"/>
        </w:rPr>
        <w:t xml:space="preserve"> et encourager la parité dans la mise en œuvre.</w:t>
      </w:r>
      <w:r w:rsidR="006816A2" w:rsidRPr="00C91779">
        <w:rPr>
          <w:kern w:val="22"/>
          <w:szCs w:val="22"/>
        </w:rPr>
        <w:t xml:space="preserve"> </w:t>
      </w:r>
      <w:r w:rsidRPr="006F1807">
        <w:rPr>
          <w:kern w:val="22"/>
          <w:szCs w:val="22"/>
          <w:lang w:val="fr-FR"/>
        </w:rPr>
        <w:t>Il reste toutefois beaucoup à faire pour intégrer ces considérations et mieux défendre l’utilité des stratégies et</w:t>
      </w:r>
      <w:r w:rsidR="00C26344">
        <w:rPr>
          <w:kern w:val="22"/>
          <w:szCs w:val="22"/>
          <w:lang w:val="fr-FR"/>
        </w:rPr>
        <w:t xml:space="preserve"> des</w:t>
      </w:r>
      <w:r w:rsidRPr="006F1807">
        <w:rPr>
          <w:kern w:val="22"/>
          <w:szCs w:val="22"/>
          <w:lang w:val="fr-FR"/>
        </w:rPr>
        <w:t xml:space="preserve"> actions soucieuses de l’égalité entre les sexes dans la réalisation des objectifs relat</w:t>
      </w:r>
      <w:r w:rsidR="005D3BE4">
        <w:rPr>
          <w:kern w:val="22"/>
          <w:szCs w:val="22"/>
          <w:lang w:val="fr-FR"/>
        </w:rPr>
        <w:t>ifs à la diversité biologique. L</w:t>
      </w:r>
      <w:r w:rsidRPr="006F1807">
        <w:rPr>
          <w:kern w:val="22"/>
          <w:szCs w:val="22"/>
          <w:lang w:val="fr-FR"/>
        </w:rPr>
        <w:t xml:space="preserve">’objectif </w:t>
      </w:r>
      <w:r w:rsidR="005D3BE4">
        <w:rPr>
          <w:kern w:val="22"/>
          <w:szCs w:val="22"/>
          <w:lang w:val="fr-FR"/>
        </w:rPr>
        <w:t>est en effet</w:t>
      </w:r>
      <w:r w:rsidRPr="006F1807">
        <w:rPr>
          <w:kern w:val="22"/>
          <w:szCs w:val="22"/>
          <w:lang w:val="fr-FR"/>
        </w:rPr>
        <w:t xml:space="preserve"> d’accroître l’engagement et l’investissement dans ce domaine.</w:t>
      </w:r>
      <w:r w:rsidR="006816A2" w:rsidRPr="00C91779">
        <w:rPr>
          <w:kern w:val="22"/>
          <w:szCs w:val="22"/>
        </w:rPr>
        <w:t xml:space="preserve"> </w:t>
      </w:r>
      <w:r w:rsidRPr="00364306">
        <w:rPr>
          <w:kern w:val="22"/>
          <w:szCs w:val="22"/>
          <w:lang w:val="fr-FR"/>
        </w:rPr>
        <w:lastRenderedPageBreak/>
        <w:t>Les activités de renforcement des capacités et d’apprentissage mutuel sont essentielles à la concrétisation de résultats tangibles</w:t>
      </w:r>
      <w:r w:rsidR="00364306" w:rsidRPr="00364306">
        <w:rPr>
          <w:kern w:val="22"/>
          <w:szCs w:val="22"/>
          <w:lang w:val="fr-FR"/>
        </w:rPr>
        <w:t xml:space="preserve"> </w:t>
      </w:r>
      <w:r w:rsidR="00A245E6">
        <w:rPr>
          <w:kern w:val="22"/>
          <w:szCs w:val="22"/>
          <w:lang w:val="fr-FR"/>
        </w:rPr>
        <w:t>pour</w:t>
      </w:r>
      <w:r w:rsidR="00364306" w:rsidRPr="00364306">
        <w:rPr>
          <w:kern w:val="22"/>
          <w:szCs w:val="22"/>
          <w:lang w:val="fr-FR"/>
        </w:rPr>
        <w:t xml:space="preserve"> la parité et la biodiversité. Des ressources </w:t>
      </w:r>
      <w:r w:rsidR="00A245E6">
        <w:rPr>
          <w:kern w:val="22"/>
          <w:szCs w:val="22"/>
          <w:lang w:val="fr-FR"/>
        </w:rPr>
        <w:t>devraient</w:t>
      </w:r>
      <w:r w:rsidR="00364306" w:rsidRPr="00364306">
        <w:rPr>
          <w:kern w:val="22"/>
          <w:szCs w:val="22"/>
          <w:lang w:val="fr-FR"/>
        </w:rPr>
        <w:t xml:space="preserve"> leur être affectées.</w:t>
      </w:r>
    </w:p>
    <w:p w:rsidR="006816A2" w:rsidRPr="00C91779" w:rsidRDefault="00364306" w:rsidP="009042F7">
      <w:pPr>
        <w:pStyle w:val="Para1"/>
        <w:suppressLineNumbers/>
        <w:tabs>
          <w:tab w:val="clear" w:pos="360"/>
        </w:tabs>
        <w:suppressAutoHyphens/>
        <w:kinsoku w:val="0"/>
        <w:overflowPunct w:val="0"/>
        <w:autoSpaceDE w:val="0"/>
        <w:autoSpaceDN w:val="0"/>
        <w:adjustRightInd w:val="0"/>
        <w:snapToGrid w:val="0"/>
        <w:rPr>
          <w:kern w:val="22"/>
          <w:szCs w:val="22"/>
        </w:rPr>
      </w:pPr>
      <w:r w:rsidRPr="00364306">
        <w:rPr>
          <w:kern w:val="22"/>
          <w:szCs w:val="22"/>
          <w:lang w:val="fr-FR"/>
        </w:rPr>
        <w:t xml:space="preserve">Les analyses présentées mettent également en évidence les occasions </w:t>
      </w:r>
      <w:r w:rsidR="005D3BE4">
        <w:rPr>
          <w:kern w:val="22"/>
          <w:szCs w:val="22"/>
          <w:lang w:val="fr-FR"/>
        </w:rPr>
        <w:t xml:space="preserve">qui existent </w:t>
      </w:r>
      <w:r w:rsidRPr="00364306">
        <w:rPr>
          <w:kern w:val="22"/>
          <w:szCs w:val="22"/>
          <w:lang w:val="fr-FR"/>
        </w:rPr>
        <w:t>de promouvoir des programmes sur la biodiversi</w:t>
      </w:r>
      <w:r w:rsidR="00AF24FF">
        <w:rPr>
          <w:kern w:val="22"/>
          <w:szCs w:val="22"/>
          <w:lang w:val="fr-FR"/>
        </w:rPr>
        <w:t>té soucieux de l’égalité d</w:t>
      </w:r>
      <w:r w:rsidRPr="00364306">
        <w:rPr>
          <w:kern w:val="22"/>
          <w:szCs w:val="22"/>
          <w:lang w:val="fr-FR"/>
        </w:rPr>
        <w:t>es sexes.</w:t>
      </w:r>
      <w:r w:rsidR="00217741">
        <w:rPr>
          <w:kern w:val="22"/>
          <w:szCs w:val="22"/>
          <w:lang w:val="fr-FR"/>
        </w:rPr>
        <w:t xml:space="preserve"> </w:t>
      </w:r>
      <w:r w:rsidRPr="009E0315">
        <w:rPr>
          <w:kern w:val="22"/>
          <w:szCs w:val="22"/>
          <w:lang w:val="fr-FR"/>
        </w:rPr>
        <w:t>Les plans et stratégies nationaux et régionaux de mise en œuvre des Objectifs de développement durable</w:t>
      </w:r>
      <w:r w:rsidR="009E0315" w:rsidRPr="009E0315">
        <w:rPr>
          <w:kern w:val="22"/>
          <w:szCs w:val="22"/>
          <w:lang w:val="fr-FR"/>
        </w:rPr>
        <w:t xml:space="preserve"> offrent </w:t>
      </w:r>
      <w:r w:rsidR="00AF24FF">
        <w:rPr>
          <w:kern w:val="22"/>
          <w:szCs w:val="22"/>
          <w:lang w:val="fr-FR"/>
        </w:rPr>
        <w:t>l’occasion</w:t>
      </w:r>
      <w:r w:rsidR="009E0315" w:rsidRPr="009E0315">
        <w:rPr>
          <w:kern w:val="22"/>
          <w:szCs w:val="22"/>
          <w:lang w:val="fr-FR"/>
        </w:rPr>
        <w:t xml:space="preserve"> d’entreprendre des actions pour l’égalité </w:t>
      </w:r>
      <w:r w:rsidR="00AF24FF">
        <w:rPr>
          <w:kern w:val="22"/>
          <w:szCs w:val="22"/>
          <w:lang w:val="fr-FR"/>
        </w:rPr>
        <w:t>hommes-femmes</w:t>
      </w:r>
      <w:r w:rsidR="009E0315" w:rsidRPr="009E0315">
        <w:rPr>
          <w:kern w:val="22"/>
          <w:szCs w:val="22"/>
          <w:lang w:val="fr-FR"/>
        </w:rPr>
        <w:t xml:space="preserve"> et la biodiversité, notamment la concrétisation de l’accès équitable à la terre et aux ressources naturelles</w:t>
      </w:r>
      <w:r w:rsidR="006816A2" w:rsidRPr="00C91779">
        <w:rPr>
          <w:rStyle w:val="Appelnotedebasdep"/>
          <w:kern w:val="22"/>
          <w:sz w:val="22"/>
          <w:szCs w:val="22"/>
          <w:u w:val="none"/>
          <w:vertAlign w:val="superscript"/>
        </w:rPr>
        <w:footnoteReference w:id="18"/>
      </w:r>
      <w:r w:rsidR="005C5C8D">
        <w:rPr>
          <w:kern w:val="22"/>
          <w:szCs w:val="22"/>
          <w:lang w:val="fr-FR"/>
        </w:rPr>
        <w:t>.</w:t>
      </w:r>
      <w:r w:rsidR="006816A2" w:rsidRPr="00C91779">
        <w:rPr>
          <w:kern w:val="22"/>
          <w:szCs w:val="22"/>
        </w:rPr>
        <w:t xml:space="preserve"> </w:t>
      </w:r>
      <w:r w:rsidR="009E0315" w:rsidRPr="009042F7">
        <w:rPr>
          <w:kern w:val="22"/>
          <w:szCs w:val="22"/>
          <w:lang w:val="fr-FR"/>
        </w:rPr>
        <w:t>Les premiers plans d’action pour l’égalité entre les sexes</w:t>
      </w:r>
      <w:r w:rsidR="00AF24FF">
        <w:rPr>
          <w:kern w:val="22"/>
          <w:szCs w:val="22"/>
          <w:lang w:val="fr-FR"/>
        </w:rPr>
        <w:t>,</w:t>
      </w:r>
      <w:r w:rsidR="009E0315" w:rsidRPr="009042F7">
        <w:rPr>
          <w:kern w:val="22"/>
          <w:szCs w:val="22"/>
          <w:lang w:val="fr-FR"/>
        </w:rPr>
        <w:t xml:space="preserve"> adoptés au titre de la </w:t>
      </w:r>
      <w:r w:rsidR="009042F7" w:rsidRPr="009042F7">
        <w:rPr>
          <w:kern w:val="22"/>
          <w:szCs w:val="22"/>
          <w:lang w:val="fr-FR"/>
        </w:rPr>
        <w:t>Convention-cadre des Nations Unies sur les changements climatiques et de la Convention des Nations Unies sur la lutte contre la désertification</w:t>
      </w:r>
      <w:r w:rsidR="009042F7" w:rsidRPr="009042F7">
        <w:rPr>
          <w:rStyle w:val="Appelnotedebasdep"/>
          <w:kern w:val="22"/>
          <w:sz w:val="22"/>
          <w:szCs w:val="22"/>
          <w:u w:val="none"/>
          <w:vertAlign w:val="superscript"/>
          <w:lang w:val="fr-FR"/>
        </w:rPr>
        <w:footnoteReference w:id="19"/>
      </w:r>
      <w:r w:rsidR="00AF24FF">
        <w:rPr>
          <w:kern w:val="22"/>
          <w:szCs w:val="22"/>
          <w:lang w:val="fr-FR"/>
        </w:rPr>
        <w:t>,</w:t>
      </w:r>
      <w:r w:rsidR="009E0315" w:rsidRPr="009042F7">
        <w:rPr>
          <w:kern w:val="22"/>
          <w:szCs w:val="22"/>
          <w:lang w:val="fr-FR"/>
        </w:rPr>
        <w:t xml:space="preserve"> </w:t>
      </w:r>
      <w:r w:rsidR="00AF24FF">
        <w:rPr>
          <w:kern w:val="22"/>
          <w:szCs w:val="22"/>
          <w:lang w:val="fr-FR"/>
        </w:rPr>
        <w:t>permettent</w:t>
      </w:r>
      <w:r w:rsidR="009042F7" w:rsidRPr="009042F7">
        <w:rPr>
          <w:kern w:val="22"/>
          <w:szCs w:val="22"/>
          <w:lang w:val="fr-FR"/>
        </w:rPr>
        <w:t xml:space="preserve"> de cibler et d’harmoniser les actions </w:t>
      </w:r>
      <w:r w:rsidR="00AF24FF">
        <w:rPr>
          <w:kern w:val="22"/>
          <w:szCs w:val="22"/>
          <w:lang w:val="fr-FR"/>
        </w:rPr>
        <w:t>concrétisant</w:t>
      </w:r>
      <w:r w:rsidR="009042F7" w:rsidRPr="009042F7">
        <w:rPr>
          <w:kern w:val="22"/>
          <w:szCs w:val="22"/>
          <w:lang w:val="fr-FR"/>
        </w:rPr>
        <w:t xml:space="preserve"> les objectifs communs aux Conventions de Rio.</w:t>
      </w:r>
      <w:r w:rsidR="006816A2" w:rsidRPr="00C91779">
        <w:rPr>
          <w:kern w:val="22"/>
          <w:szCs w:val="22"/>
        </w:rPr>
        <w:t xml:space="preserve"> </w:t>
      </w:r>
      <w:r w:rsidR="009042F7" w:rsidRPr="009042F7">
        <w:rPr>
          <w:kern w:val="22"/>
          <w:szCs w:val="22"/>
          <w:lang w:val="fr-FR"/>
        </w:rPr>
        <w:t xml:space="preserve">Les problématiques hommes-femmes étant </w:t>
      </w:r>
      <w:r w:rsidR="00AF24FF">
        <w:rPr>
          <w:kern w:val="22"/>
          <w:szCs w:val="22"/>
          <w:lang w:val="fr-FR"/>
        </w:rPr>
        <w:t>mieux</w:t>
      </w:r>
      <w:r w:rsidR="009042F7" w:rsidRPr="009042F7">
        <w:rPr>
          <w:kern w:val="22"/>
          <w:szCs w:val="22"/>
          <w:lang w:val="fr-FR"/>
        </w:rPr>
        <w:t xml:space="preserve"> prises en considération dans la lutte contre les changements climatiques, il est essentiel que les liens existant entre l’égalité des sexes et la biodiversité soient intégrés aux mesures d’atténuation et d’adaptation.</w:t>
      </w:r>
    </w:p>
    <w:p w:rsidR="00E850EC" w:rsidRPr="00C91779" w:rsidRDefault="009042F7" w:rsidP="00F35D9B">
      <w:pPr>
        <w:pStyle w:val="Para1"/>
        <w:suppressLineNumbers/>
        <w:tabs>
          <w:tab w:val="clear" w:pos="360"/>
        </w:tabs>
        <w:suppressAutoHyphens/>
        <w:kinsoku w:val="0"/>
        <w:overflowPunct w:val="0"/>
        <w:autoSpaceDE w:val="0"/>
        <w:autoSpaceDN w:val="0"/>
        <w:adjustRightInd w:val="0"/>
        <w:snapToGrid w:val="0"/>
        <w:rPr>
          <w:kern w:val="22"/>
          <w:szCs w:val="22"/>
        </w:rPr>
      </w:pPr>
      <w:r w:rsidRPr="009042F7">
        <w:rPr>
          <w:kern w:val="22"/>
          <w:szCs w:val="22"/>
          <w:lang w:val="fr-FR"/>
        </w:rPr>
        <w:t xml:space="preserve">Les contributions des Parties et des parties prenantes à l’élaboration du Cadre de la diversité biologique pour l’après-2020 soulignent la nécessité de </w:t>
      </w:r>
      <w:r w:rsidR="00BE7964">
        <w:rPr>
          <w:kern w:val="22"/>
          <w:szCs w:val="22"/>
          <w:lang w:val="fr-FR"/>
        </w:rPr>
        <w:t>mieux aborder</w:t>
      </w:r>
      <w:r w:rsidRPr="009042F7">
        <w:rPr>
          <w:kern w:val="22"/>
          <w:szCs w:val="22"/>
          <w:lang w:val="fr-FR"/>
        </w:rPr>
        <w:t xml:space="preserve"> les problématiques hommes-femmes dans la procédure engagée et la mise en œuvre.</w:t>
      </w:r>
      <w:r w:rsidR="00181343" w:rsidRPr="00C91779">
        <w:rPr>
          <w:kern w:val="22"/>
          <w:szCs w:val="22"/>
        </w:rPr>
        <w:t xml:space="preserve"> </w:t>
      </w:r>
      <w:r w:rsidRPr="009042F7">
        <w:rPr>
          <w:kern w:val="22"/>
          <w:szCs w:val="22"/>
          <w:lang w:val="fr-FR"/>
        </w:rPr>
        <w:t>L’examen du Plan d’action 2015-2020 a été reconnu comme une étape importante de l’identification des problématiques nécessitant d’être prises en compte d</w:t>
      </w:r>
      <w:r w:rsidR="004E7973">
        <w:rPr>
          <w:kern w:val="22"/>
          <w:szCs w:val="22"/>
          <w:lang w:val="fr-FR"/>
        </w:rPr>
        <w:t>ans le Plan révisé ou actualisé</w:t>
      </w:r>
      <w:r w:rsidRPr="009042F7">
        <w:rPr>
          <w:kern w:val="22"/>
          <w:szCs w:val="22"/>
          <w:lang w:val="fr-FR"/>
        </w:rPr>
        <w:t xml:space="preserve"> et le Cadre pour l’après-2020.</w:t>
      </w:r>
      <w:r w:rsidR="00DA58D0" w:rsidRPr="00C91779">
        <w:rPr>
          <w:kern w:val="22"/>
          <w:szCs w:val="22"/>
        </w:rPr>
        <w:t xml:space="preserve"> </w:t>
      </w:r>
      <w:r w:rsidRPr="00F35D9B">
        <w:rPr>
          <w:kern w:val="22"/>
          <w:szCs w:val="22"/>
          <w:lang w:val="fr-FR"/>
        </w:rPr>
        <w:t xml:space="preserve">L’élaboration d’un plan d’action ou d’une stratégie de suivi </w:t>
      </w:r>
      <w:r w:rsidR="00BE7964">
        <w:rPr>
          <w:kern w:val="22"/>
          <w:szCs w:val="22"/>
          <w:lang w:val="fr-FR"/>
        </w:rPr>
        <w:t>po</w:t>
      </w:r>
      <w:r w:rsidRPr="00F35D9B">
        <w:rPr>
          <w:kern w:val="22"/>
          <w:szCs w:val="22"/>
          <w:lang w:val="fr-FR"/>
        </w:rPr>
        <w:t xml:space="preserve">ur l’égalité entre les sexes </w:t>
      </w:r>
      <w:r w:rsidR="00BE7964">
        <w:rPr>
          <w:kern w:val="22"/>
          <w:szCs w:val="22"/>
          <w:lang w:val="fr-FR"/>
        </w:rPr>
        <w:t>pour l’après-</w:t>
      </w:r>
      <w:r w:rsidRPr="00F35D9B">
        <w:rPr>
          <w:kern w:val="22"/>
          <w:szCs w:val="22"/>
          <w:lang w:val="fr-FR"/>
        </w:rPr>
        <w:t xml:space="preserve">2020 </w:t>
      </w:r>
      <w:r w:rsidR="00BE7964">
        <w:rPr>
          <w:kern w:val="22"/>
          <w:szCs w:val="22"/>
          <w:lang w:val="fr-FR"/>
        </w:rPr>
        <w:t>donnera</w:t>
      </w:r>
      <w:r w:rsidRPr="00F35D9B">
        <w:rPr>
          <w:kern w:val="22"/>
          <w:szCs w:val="22"/>
          <w:lang w:val="fr-FR"/>
        </w:rPr>
        <w:t xml:space="preserve"> également </w:t>
      </w:r>
      <w:r w:rsidR="00BE7964">
        <w:rPr>
          <w:kern w:val="22"/>
          <w:szCs w:val="22"/>
          <w:lang w:val="fr-FR"/>
        </w:rPr>
        <w:t xml:space="preserve">l’occasion </w:t>
      </w:r>
      <w:r w:rsidRPr="00F35D9B">
        <w:rPr>
          <w:kern w:val="22"/>
          <w:szCs w:val="22"/>
          <w:lang w:val="fr-FR"/>
        </w:rPr>
        <w:t xml:space="preserve">de prendre en </w:t>
      </w:r>
      <w:r w:rsidR="00BE7964">
        <w:rPr>
          <w:kern w:val="22"/>
          <w:szCs w:val="22"/>
          <w:lang w:val="fr-FR"/>
        </w:rPr>
        <w:t>compte</w:t>
      </w:r>
      <w:r w:rsidRPr="00F35D9B">
        <w:rPr>
          <w:kern w:val="22"/>
          <w:szCs w:val="22"/>
          <w:lang w:val="fr-FR"/>
        </w:rPr>
        <w:t xml:space="preserve"> les efforts accomplis en ce sens, </w:t>
      </w:r>
      <w:r w:rsidR="00F35D9B" w:rsidRPr="00F35D9B">
        <w:rPr>
          <w:kern w:val="22"/>
          <w:szCs w:val="22"/>
          <w:lang w:val="fr-FR"/>
        </w:rPr>
        <w:t>le plan actuel arrivant à expiration en 2020. Il sera essentiel d’intégrer les problématiques hommes-f</w:t>
      </w:r>
      <w:r w:rsidR="00BE7964">
        <w:rPr>
          <w:kern w:val="22"/>
          <w:szCs w:val="22"/>
          <w:lang w:val="fr-FR"/>
        </w:rPr>
        <w:t>emmes à toutes les étapes de l</w:t>
      </w:r>
      <w:r w:rsidR="00F35D9B" w:rsidRPr="00F35D9B">
        <w:rPr>
          <w:kern w:val="22"/>
          <w:szCs w:val="22"/>
          <w:lang w:val="fr-FR"/>
        </w:rPr>
        <w:t>’élaboration du Cadre, comme cela a été recommandé, afin de mettre en conformité la procédure d’élaboration du nouveau plan d’action révisé avec celle du Cadre pour l’après-2020.</w:t>
      </w:r>
      <w:r w:rsidR="00DA58D0" w:rsidRPr="00C91779">
        <w:rPr>
          <w:kern w:val="22"/>
          <w:szCs w:val="22"/>
        </w:rPr>
        <w:t xml:space="preserve"> </w:t>
      </w:r>
      <w:r w:rsidR="00F35D9B" w:rsidRPr="00F35D9B">
        <w:rPr>
          <w:kern w:val="22"/>
          <w:szCs w:val="22"/>
          <w:lang w:val="fr-FR"/>
        </w:rPr>
        <w:t xml:space="preserve">L’élaboration du Cadre de la diversité biologique pour l’après-2020 offre ainsi </w:t>
      </w:r>
      <w:r w:rsidR="00BE7964">
        <w:rPr>
          <w:kern w:val="22"/>
          <w:szCs w:val="22"/>
          <w:lang w:val="fr-FR"/>
        </w:rPr>
        <w:t>l’</w:t>
      </w:r>
      <w:r w:rsidR="00F35D9B" w:rsidRPr="00F35D9B">
        <w:rPr>
          <w:kern w:val="22"/>
          <w:szCs w:val="22"/>
          <w:lang w:val="fr-FR"/>
        </w:rPr>
        <w:t xml:space="preserve">occasion d’accroître l’attention portée à l’égalité </w:t>
      </w:r>
      <w:r w:rsidR="004E7973">
        <w:rPr>
          <w:kern w:val="22"/>
          <w:szCs w:val="22"/>
          <w:lang w:val="fr-FR"/>
        </w:rPr>
        <w:t>d</w:t>
      </w:r>
      <w:r w:rsidR="00F35D9B" w:rsidRPr="00F35D9B">
        <w:rPr>
          <w:kern w:val="22"/>
          <w:szCs w:val="22"/>
          <w:lang w:val="fr-FR"/>
        </w:rPr>
        <w:t>es sexes dans les travaux de mise en œuvre de la Convention.</w:t>
      </w:r>
    </w:p>
    <w:p w:rsidR="00D15589" w:rsidRPr="00DD24C2" w:rsidRDefault="00CA6B87"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r w:rsidRPr="00AF5854">
        <w:rPr>
          <w:snapToGrid w:val="0"/>
          <w:kern w:val="22"/>
          <w:szCs w:val="22"/>
        </w:rPr>
        <w:t>__________</w:t>
      </w:r>
    </w:p>
    <w:p w:rsidR="00736BC2" w:rsidRPr="00DD24C2" w:rsidRDefault="00736BC2"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p>
    <w:p w:rsidR="00B97F10" w:rsidRPr="00DD24C2" w:rsidRDefault="00B97F10"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p>
    <w:sectPr w:rsidR="00B97F10" w:rsidRPr="00DD24C2" w:rsidSect="00CA1572">
      <w:headerReference w:type="even" r:id="rId24"/>
      <w:headerReference w:type="default" r:id="rId25"/>
      <w:footerReference w:type="even" r:id="rId26"/>
      <w:footerReference w:type="default" r:id="rId2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2C" w:rsidRDefault="009E6D2C">
      <w:r>
        <w:separator/>
      </w:r>
    </w:p>
  </w:endnote>
  <w:endnote w:type="continuationSeparator" w:id="0">
    <w:p w:rsidR="009E6D2C" w:rsidRDefault="009E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2C" w:rsidRDefault="009E6D2C" w:rsidP="00C91779">
    <w:pPr>
      <w:pStyle w:val="Pieddepage"/>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2C" w:rsidRDefault="009E6D2C" w:rsidP="00C91779">
    <w:pPr>
      <w:pStyle w:val="Pieddepage"/>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2C" w:rsidRDefault="009E6D2C">
      <w:r>
        <w:separator/>
      </w:r>
    </w:p>
  </w:footnote>
  <w:footnote w:type="continuationSeparator" w:id="0">
    <w:p w:rsidR="009E6D2C" w:rsidRDefault="009E6D2C">
      <w:r>
        <w:continuationSeparator/>
      </w:r>
    </w:p>
  </w:footnote>
  <w:footnote w:id="1">
    <w:p w:rsidR="009E6D2C" w:rsidRPr="009E6D2C"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9E6D2C">
        <w:rPr>
          <w:rStyle w:val="Appelnotedebasdep"/>
          <w:kern w:val="18"/>
          <w:szCs w:val="18"/>
          <w:u w:val="none"/>
          <w:lang w:val="fr-FR"/>
        </w:rPr>
        <w:t>*</w:t>
      </w:r>
      <w:r w:rsidRPr="009E6D2C">
        <w:rPr>
          <w:kern w:val="18"/>
          <w:szCs w:val="18"/>
          <w:lang w:val="fr-FR"/>
        </w:rPr>
        <w:t xml:space="preserve"> </w:t>
      </w:r>
      <w:hyperlink r:id="rId1" w:history="1">
        <w:r w:rsidRPr="009E6D2C">
          <w:rPr>
            <w:rStyle w:val="Lienhypertexte"/>
            <w:kern w:val="18"/>
            <w:szCs w:val="18"/>
            <w:lang w:val="fr-FR"/>
          </w:rPr>
          <w:t>CBD/SBI/2/1</w:t>
        </w:r>
      </w:hyperlink>
      <w:r w:rsidRPr="009E6D2C">
        <w:rPr>
          <w:kern w:val="18"/>
          <w:szCs w:val="18"/>
          <w:lang w:val="fr-FR"/>
        </w:rPr>
        <w:t xml:space="preserve"> (en anglais).</w:t>
      </w:r>
    </w:p>
  </w:footnote>
  <w:footnote w:id="2">
    <w:p w:rsidR="009E6D2C" w:rsidRPr="009E6D2C"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9E6D2C">
        <w:rPr>
          <w:rStyle w:val="Appelnotedebasdep"/>
          <w:kern w:val="18"/>
          <w:szCs w:val="18"/>
          <w:u w:val="none"/>
          <w:vertAlign w:val="superscript"/>
          <w:lang w:val="fr-FR"/>
        </w:rPr>
        <w:footnoteRef/>
      </w:r>
      <w:r w:rsidRPr="009E6D2C">
        <w:rPr>
          <w:kern w:val="18"/>
          <w:szCs w:val="18"/>
          <w:lang w:val="fr-FR"/>
        </w:rPr>
        <w:t xml:space="preserve"> </w:t>
      </w:r>
      <w:hyperlink r:id="rId2" w:history="1">
        <w:proofErr w:type="spellStart"/>
        <w:r w:rsidRPr="009E6D2C">
          <w:rPr>
            <w:rStyle w:val="Lienhypertexte"/>
            <w:kern w:val="18"/>
            <w:szCs w:val="18"/>
            <w:lang w:val="fr-FR"/>
          </w:rPr>
          <w:t>Ref</w:t>
        </w:r>
        <w:proofErr w:type="spellEnd"/>
        <w:r w:rsidRPr="009E6D2C">
          <w:rPr>
            <w:rStyle w:val="Lienhypertexte"/>
            <w:kern w:val="18"/>
            <w:szCs w:val="18"/>
            <w:lang w:val="fr-FR"/>
          </w:rPr>
          <w:t>: SCBD/MCO/AF/NP/TM/87003 (2017-130)</w:t>
        </w:r>
      </w:hyperlink>
      <w:r w:rsidRPr="009E6D2C">
        <w:rPr>
          <w:rStyle w:val="Lienhypertexte"/>
          <w:kern w:val="18"/>
          <w:szCs w:val="18"/>
          <w:u w:val="none"/>
          <w:lang w:val="fr-FR"/>
        </w:rPr>
        <w:t xml:space="preserve"> </w:t>
      </w:r>
      <w:r w:rsidRPr="009E6D2C">
        <w:rPr>
          <w:rStyle w:val="Lienhypertexte"/>
          <w:color w:val="auto"/>
          <w:kern w:val="18"/>
          <w:szCs w:val="18"/>
          <w:u w:val="none"/>
          <w:lang w:val="fr-FR"/>
        </w:rPr>
        <w:t>(en anglais).</w:t>
      </w:r>
    </w:p>
  </w:footnote>
  <w:footnote w:id="3">
    <w:p w:rsidR="009E6D2C" w:rsidRPr="009E6D2C" w:rsidRDefault="009E6D2C" w:rsidP="000553DA">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9E6D2C">
        <w:rPr>
          <w:rStyle w:val="Appelnotedebasdep"/>
          <w:kern w:val="18"/>
          <w:szCs w:val="18"/>
          <w:u w:val="none"/>
          <w:vertAlign w:val="superscript"/>
          <w:lang w:val="fr-FR"/>
        </w:rPr>
        <w:footnoteRef/>
      </w:r>
      <w:r w:rsidR="009B6908">
        <w:rPr>
          <w:kern w:val="18"/>
          <w:szCs w:val="18"/>
          <w:lang w:val="fr-FR"/>
        </w:rPr>
        <w:t xml:space="preserve"> Brésil, Éthiopie, Irak</w:t>
      </w:r>
      <w:r w:rsidRPr="009E6D2C">
        <w:rPr>
          <w:kern w:val="18"/>
          <w:szCs w:val="18"/>
          <w:lang w:val="fr-FR"/>
        </w:rPr>
        <w:t xml:space="preserve">, </w:t>
      </w:r>
      <w:r w:rsidR="009B6908">
        <w:rPr>
          <w:kern w:val="18"/>
          <w:szCs w:val="18"/>
          <w:lang w:val="fr-FR"/>
        </w:rPr>
        <w:t>Suède et</w:t>
      </w:r>
      <w:r w:rsidRPr="009E6D2C">
        <w:rPr>
          <w:kern w:val="18"/>
          <w:szCs w:val="18"/>
          <w:lang w:val="fr-FR"/>
        </w:rPr>
        <w:t xml:space="preserve"> Venezuela.</w:t>
      </w:r>
    </w:p>
  </w:footnote>
  <w:footnote w:id="4">
    <w:p w:rsidR="009E6D2C" w:rsidRPr="009E6D2C"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9E6D2C">
        <w:rPr>
          <w:rStyle w:val="Appelnotedebasdep"/>
          <w:kern w:val="18"/>
          <w:szCs w:val="18"/>
          <w:u w:val="none"/>
          <w:vertAlign w:val="superscript"/>
          <w:lang w:val="fr-FR"/>
        </w:rPr>
        <w:footnoteRef/>
      </w:r>
      <w:r w:rsidRPr="009E6D2C">
        <w:rPr>
          <w:kern w:val="18"/>
          <w:szCs w:val="18"/>
          <w:lang w:val="fr-FR"/>
        </w:rPr>
        <w:t xml:space="preserve"> </w:t>
      </w:r>
      <w:r w:rsidR="00675989">
        <w:rPr>
          <w:kern w:val="18"/>
          <w:szCs w:val="18"/>
          <w:lang w:val="fr-FR"/>
        </w:rPr>
        <w:t xml:space="preserve">Organisation </w:t>
      </w:r>
      <w:r w:rsidRPr="009E6D2C">
        <w:rPr>
          <w:kern w:val="18"/>
          <w:szCs w:val="18"/>
          <w:lang w:val="fr-FR"/>
        </w:rPr>
        <w:t xml:space="preserve">Andes </w:t>
      </w:r>
      <w:r w:rsidRPr="009E6D2C">
        <w:rPr>
          <w:noProof/>
          <w:kern w:val="18"/>
          <w:szCs w:val="18"/>
          <w:lang w:val="fr-FR"/>
        </w:rPr>
        <w:t>Chinchasuyu</w:t>
      </w:r>
      <w:r w:rsidRPr="009E6D2C">
        <w:rPr>
          <w:kern w:val="18"/>
          <w:szCs w:val="18"/>
          <w:lang w:val="fr-FR"/>
        </w:rPr>
        <w:t xml:space="preserve"> </w:t>
      </w:r>
      <w:r w:rsidR="009B6908">
        <w:rPr>
          <w:kern w:val="18"/>
          <w:szCs w:val="18"/>
          <w:lang w:val="fr-FR"/>
        </w:rPr>
        <w:t>et</w:t>
      </w:r>
      <w:r w:rsidRPr="009E6D2C">
        <w:rPr>
          <w:kern w:val="18"/>
          <w:szCs w:val="18"/>
          <w:lang w:val="fr-FR"/>
        </w:rPr>
        <w:t xml:space="preserve"> </w:t>
      </w:r>
      <w:proofErr w:type="spellStart"/>
      <w:r w:rsidRPr="009E6D2C">
        <w:rPr>
          <w:kern w:val="18"/>
          <w:szCs w:val="18"/>
          <w:lang w:val="fr-FR"/>
        </w:rPr>
        <w:t>Red</w:t>
      </w:r>
      <w:proofErr w:type="spellEnd"/>
      <w:r w:rsidRPr="009E6D2C">
        <w:rPr>
          <w:kern w:val="18"/>
          <w:szCs w:val="18"/>
          <w:lang w:val="fr-FR"/>
        </w:rPr>
        <w:t xml:space="preserve"> de </w:t>
      </w:r>
      <w:proofErr w:type="spellStart"/>
      <w:r w:rsidRPr="009E6D2C">
        <w:rPr>
          <w:kern w:val="18"/>
          <w:szCs w:val="18"/>
          <w:lang w:val="fr-FR"/>
        </w:rPr>
        <w:t>Mujeres</w:t>
      </w:r>
      <w:proofErr w:type="spellEnd"/>
      <w:r w:rsidRPr="009E6D2C">
        <w:rPr>
          <w:kern w:val="18"/>
          <w:szCs w:val="18"/>
          <w:lang w:val="fr-FR"/>
        </w:rPr>
        <w:t xml:space="preserve"> </w:t>
      </w:r>
      <w:proofErr w:type="spellStart"/>
      <w:r w:rsidRPr="009E6D2C">
        <w:rPr>
          <w:kern w:val="18"/>
          <w:szCs w:val="18"/>
          <w:lang w:val="fr-FR"/>
        </w:rPr>
        <w:t>Indígenas</w:t>
      </w:r>
      <w:proofErr w:type="spellEnd"/>
      <w:r w:rsidRPr="009E6D2C">
        <w:rPr>
          <w:kern w:val="18"/>
          <w:szCs w:val="18"/>
          <w:lang w:val="fr-FR"/>
        </w:rPr>
        <w:t xml:space="preserve"> Sobre </w:t>
      </w:r>
      <w:proofErr w:type="spellStart"/>
      <w:r w:rsidRPr="009E6D2C">
        <w:rPr>
          <w:kern w:val="18"/>
          <w:szCs w:val="18"/>
          <w:lang w:val="fr-FR"/>
        </w:rPr>
        <w:t>Biodiversidad</w:t>
      </w:r>
      <w:proofErr w:type="spellEnd"/>
      <w:r w:rsidRPr="009E6D2C">
        <w:rPr>
          <w:kern w:val="18"/>
          <w:szCs w:val="18"/>
          <w:lang w:val="fr-FR"/>
        </w:rPr>
        <w:t xml:space="preserve"> para </w:t>
      </w:r>
      <w:proofErr w:type="spellStart"/>
      <w:r w:rsidRPr="009E6D2C">
        <w:rPr>
          <w:kern w:val="18"/>
          <w:szCs w:val="18"/>
          <w:lang w:val="fr-FR"/>
        </w:rPr>
        <w:t>América</w:t>
      </w:r>
      <w:proofErr w:type="spellEnd"/>
      <w:r w:rsidRPr="009E6D2C">
        <w:rPr>
          <w:kern w:val="18"/>
          <w:szCs w:val="18"/>
          <w:lang w:val="fr-FR"/>
        </w:rPr>
        <w:t xml:space="preserve"> Latina y el Caribe (RMIB-LAC) (</w:t>
      </w:r>
      <w:r w:rsidR="00675989">
        <w:rPr>
          <w:kern w:val="18"/>
          <w:szCs w:val="18"/>
          <w:lang w:val="fr-FR"/>
        </w:rPr>
        <w:t>qui ont</w:t>
      </w:r>
      <w:r w:rsidR="009B6908">
        <w:rPr>
          <w:kern w:val="18"/>
          <w:szCs w:val="18"/>
          <w:lang w:val="fr-FR"/>
        </w:rPr>
        <w:t xml:space="preserve"> adressé une présentation conjointe</w:t>
      </w:r>
      <w:r w:rsidRPr="009E6D2C">
        <w:rPr>
          <w:kern w:val="18"/>
          <w:szCs w:val="18"/>
          <w:lang w:val="fr-FR"/>
        </w:rPr>
        <w:t>), Coalition</w:t>
      </w:r>
      <w:r w:rsidR="009B6908">
        <w:rPr>
          <w:kern w:val="18"/>
          <w:szCs w:val="18"/>
          <w:lang w:val="fr-FR"/>
        </w:rPr>
        <w:t xml:space="preserve"> mondiale des forêts (</w:t>
      </w:r>
      <w:r w:rsidRPr="009E6D2C">
        <w:rPr>
          <w:kern w:val="18"/>
          <w:szCs w:val="18"/>
          <w:lang w:val="fr-FR"/>
        </w:rPr>
        <w:t>C</w:t>
      </w:r>
      <w:r w:rsidR="009B6908">
        <w:rPr>
          <w:kern w:val="18"/>
          <w:szCs w:val="18"/>
          <w:lang w:val="fr-FR"/>
        </w:rPr>
        <w:t>MF</w:t>
      </w:r>
      <w:r w:rsidRPr="009E6D2C">
        <w:rPr>
          <w:kern w:val="18"/>
          <w:szCs w:val="18"/>
          <w:lang w:val="fr-FR"/>
        </w:rPr>
        <w:t>), Consortium</w:t>
      </w:r>
      <w:r w:rsidR="009B6908">
        <w:rPr>
          <w:kern w:val="18"/>
          <w:szCs w:val="18"/>
          <w:lang w:val="fr-FR"/>
        </w:rPr>
        <w:t xml:space="preserve"> APAC</w:t>
      </w:r>
      <w:r w:rsidRPr="009E6D2C">
        <w:rPr>
          <w:kern w:val="18"/>
          <w:szCs w:val="18"/>
          <w:lang w:val="fr-FR"/>
        </w:rPr>
        <w:t xml:space="preserve">, </w:t>
      </w:r>
      <w:r w:rsidR="009B6908">
        <w:rPr>
          <w:kern w:val="18"/>
          <w:szCs w:val="18"/>
          <w:lang w:val="fr-FR"/>
        </w:rPr>
        <w:t>Organisation internationale du Travail</w:t>
      </w:r>
      <w:r w:rsidRPr="009E6D2C">
        <w:rPr>
          <w:kern w:val="18"/>
          <w:szCs w:val="18"/>
          <w:lang w:val="fr-FR"/>
        </w:rPr>
        <w:t xml:space="preserve"> (</w:t>
      </w:r>
      <w:r w:rsidR="009B6908">
        <w:rPr>
          <w:kern w:val="18"/>
          <w:szCs w:val="18"/>
          <w:lang w:val="fr-FR"/>
        </w:rPr>
        <w:t>OIT</w:t>
      </w:r>
      <w:r w:rsidRPr="009E6D2C">
        <w:rPr>
          <w:kern w:val="18"/>
          <w:szCs w:val="18"/>
          <w:lang w:val="fr-FR"/>
        </w:rPr>
        <w:t xml:space="preserve">), Union </w:t>
      </w:r>
      <w:r w:rsidR="009B6908">
        <w:rPr>
          <w:kern w:val="18"/>
          <w:szCs w:val="18"/>
          <w:lang w:val="fr-FR"/>
        </w:rPr>
        <w:t>internationale pour la conservation de la n</w:t>
      </w:r>
      <w:r w:rsidRPr="009E6D2C">
        <w:rPr>
          <w:kern w:val="18"/>
          <w:szCs w:val="18"/>
          <w:lang w:val="fr-FR"/>
        </w:rPr>
        <w:t>a</w:t>
      </w:r>
      <w:r w:rsidR="009B6908">
        <w:rPr>
          <w:kern w:val="18"/>
          <w:szCs w:val="18"/>
          <w:lang w:val="fr-FR"/>
        </w:rPr>
        <w:t>ture (</w:t>
      </w:r>
      <w:r w:rsidRPr="009E6D2C">
        <w:rPr>
          <w:kern w:val="18"/>
          <w:szCs w:val="18"/>
          <w:lang w:val="fr-FR"/>
        </w:rPr>
        <w:t>U</w:t>
      </w:r>
      <w:r w:rsidR="009B6908">
        <w:rPr>
          <w:kern w:val="18"/>
          <w:szCs w:val="18"/>
          <w:lang w:val="fr-FR"/>
        </w:rPr>
        <w:t>ICN) et Organis</w:t>
      </w:r>
      <w:r w:rsidRPr="009E6D2C">
        <w:rPr>
          <w:kern w:val="18"/>
          <w:szCs w:val="18"/>
          <w:lang w:val="fr-FR"/>
        </w:rPr>
        <w:t xml:space="preserve">ation </w:t>
      </w:r>
      <w:r w:rsidR="009B6908">
        <w:rPr>
          <w:kern w:val="18"/>
          <w:szCs w:val="18"/>
          <w:lang w:val="fr-FR"/>
        </w:rPr>
        <w:t>des Nations Unies pour l’alimentation et l’agriculture.</w:t>
      </w:r>
    </w:p>
  </w:footnote>
  <w:footnote w:id="5">
    <w:p w:rsidR="009E6D2C" w:rsidRPr="009B6908" w:rsidRDefault="009E6D2C" w:rsidP="00A758F9">
      <w:pPr>
        <w:pStyle w:val="Notedebasdepage"/>
        <w:suppressLineNumbers/>
        <w:suppressAutoHyphens/>
        <w:kinsoku w:val="0"/>
        <w:overflowPunct w:val="0"/>
        <w:autoSpaceDE w:val="0"/>
        <w:autoSpaceDN w:val="0"/>
        <w:adjustRightInd w:val="0"/>
        <w:snapToGrid w:val="0"/>
        <w:ind w:firstLine="0"/>
        <w:jc w:val="left"/>
        <w:rPr>
          <w:kern w:val="18"/>
          <w:lang w:val="fr-FR"/>
        </w:rPr>
      </w:pPr>
      <w:r w:rsidRPr="009B6908">
        <w:rPr>
          <w:rStyle w:val="Appelnotedebasdep"/>
          <w:kern w:val="18"/>
          <w:u w:val="none"/>
          <w:vertAlign w:val="superscript"/>
          <w:lang w:val="fr-FR"/>
        </w:rPr>
        <w:footnoteRef/>
      </w:r>
      <w:r w:rsidRPr="009B6908">
        <w:rPr>
          <w:kern w:val="18"/>
          <w:lang w:val="fr-FR"/>
        </w:rPr>
        <w:t xml:space="preserve"> </w:t>
      </w:r>
      <w:r w:rsidR="009B6908" w:rsidRPr="009B6908">
        <w:rPr>
          <w:kern w:val="18"/>
          <w:lang w:val="fr-FR"/>
        </w:rPr>
        <w:t>Voir la résolution</w:t>
      </w:r>
      <w:r w:rsidRPr="009B6908">
        <w:rPr>
          <w:kern w:val="18"/>
          <w:lang w:val="fr-FR"/>
        </w:rPr>
        <w:t xml:space="preserve"> </w:t>
      </w:r>
      <w:hyperlink r:id="rId3" w:history="1">
        <w:r w:rsidRPr="009B6908">
          <w:rPr>
            <w:rStyle w:val="Lienhypertexte"/>
            <w:kern w:val="18"/>
            <w:lang w:val="fr-FR"/>
          </w:rPr>
          <w:t>70/1</w:t>
        </w:r>
      </w:hyperlink>
      <w:r w:rsidRPr="009B6908">
        <w:rPr>
          <w:kern w:val="18"/>
          <w:lang w:val="fr-FR"/>
        </w:rPr>
        <w:t xml:space="preserve"> </w:t>
      </w:r>
      <w:r w:rsidR="009B6908" w:rsidRPr="009B6908">
        <w:rPr>
          <w:kern w:val="18"/>
          <w:lang w:val="fr-FR"/>
        </w:rPr>
        <w:t xml:space="preserve">de l’Assemblée générale intitulée « Transformer notre monde : le Programme de développement durable à l’horizon </w:t>
      </w:r>
      <w:r w:rsidRPr="009B6908">
        <w:rPr>
          <w:kern w:val="18"/>
          <w:lang w:val="fr-FR"/>
        </w:rPr>
        <w:t>2030</w:t>
      </w:r>
      <w:r w:rsidR="009B6908" w:rsidRPr="009B6908">
        <w:rPr>
          <w:kern w:val="18"/>
          <w:lang w:val="fr-FR"/>
        </w:rPr>
        <w:t> »</w:t>
      </w:r>
      <w:r w:rsidRPr="009B6908">
        <w:rPr>
          <w:kern w:val="18"/>
          <w:lang w:val="fr-FR"/>
        </w:rPr>
        <w:t>.</w:t>
      </w:r>
    </w:p>
  </w:footnote>
  <w:footnote w:id="6">
    <w:p w:rsidR="009E6D2C" w:rsidRPr="009B6908"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9B6908">
        <w:rPr>
          <w:rStyle w:val="Appelnotedebasdep"/>
          <w:kern w:val="18"/>
          <w:szCs w:val="18"/>
          <w:u w:val="none"/>
          <w:vertAlign w:val="superscript"/>
          <w:lang w:val="fr-FR"/>
        </w:rPr>
        <w:footnoteRef/>
      </w:r>
      <w:r w:rsidRPr="009B6908">
        <w:rPr>
          <w:kern w:val="18"/>
          <w:szCs w:val="18"/>
          <w:lang w:val="fr-FR"/>
        </w:rPr>
        <w:t xml:space="preserve"> </w:t>
      </w:r>
      <w:r w:rsidR="009B6908" w:rsidRPr="009B6908">
        <w:rPr>
          <w:lang w:val="fr-FR"/>
        </w:rPr>
        <w:t xml:space="preserve">Voir </w:t>
      </w:r>
      <w:r w:rsidRPr="009B6908">
        <w:rPr>
          <w:lang w:val="fr-FR"/>
        </w:rPr>
        <w:t>U</w:t>
      </w:r>
      <w:r w:rsidR="009B6908" w:rsidRPr="009B6908">
        <w:rPr>
          <w:lang w:val="fr-FR"/>
        </w:rPr>
        <w:t>I</w:t>
      </w:r>
      <w:r w:rsidRPr="009B6908">
        <w:rPr>
          <w:lang w:val="fr-FR"/>
        </w:rPr>
        <w:t>CN</w:t>
      </w:r>
      <w:r w:rsidR="009B6908" w:rsidRPr="009B6908">
        <w:rPr>
          <w:lang w:val="fr-FR"/>
        </w:rPr>
        <w:t xml:space="preserve">, </w:t>
      </w:r>
      <w:hyperlink r:id="rId4" w:history="1">
        <w:r w:rsidRPr="009B6908">
          <w:rPr>
            <w:rStyle w:val="Lienhypertexte"/>
            <w:kern w:val="18"/>
            <w:szCs w:val="18"/>
            <w:lang w:val="fr-FR"/>
          </w:rPr>
          <w:t xml:space="preserve">“Inclusion and </w:t>
        </w:r>
        <w:proofErr w:type="spellStart"/>
        <w:r w:rsidRPr="009B6908">
          <w:rPr>
            <w:rStyle w:val="Lienhypertexte"/>
            <w:kern w:val="18"/>
            <w:szCs w:val="18"/>
            <w:lang w:val="fr-FR"/>
          </w:rPr>
          <w:t>characterization</w:t>
        </w:r>
        <w:proofErr w:type="spellEnd"/>
        <w:r w:rsidRPr="009B6908">
          <w:rPr>
            <w:rStyle w:val="Lienhypertexte"/>
            <w:kern w:val="18"/>
            <w:szCs w:val="18"/>
            <w:lang w:val="fr-FR"/>
          </w:rPr>
          <w:t xml:space="preserve"> of </w:t>
        </w:r>
        <w:proofErr w:type="spellStart"/>
        <w:r w:rsidRPr="009B6908">
          <w:rPr>
            <w:rStyle w:val="Lienhypertexte"/>
            <w:kern w:val="18"/>
            <w:szCs w:val="18"/>
            <w:lang w:val="fr-FR"/>
          </w:rPr>
          <w:t>women</w:t>
        </w:r>
        <w:proofErr w:type="spellEnd"/>
        <w:r w:rsidRPr="009B6908">
          <w:rPr>
            <w:rStyle w:val="Lienhypertexte"/>
            <w:kern w:val="18"/>
            <w:szCs w:val="18"/>
            <w:lang w:val="fr-FR"/>
          </w:rPr>
          <w:t xml:space="preserve"> and </w:t>
        </w:r>
        <w:proofErr w:type="spellStart"/>
        <w:r w:rsidRPr="009B6908">
          <w:rPr>
            <w:rStyle w:val="Lienhypertexte"/>
            <w:kern w:val="18"/>
            <w:szCs w:val="18"/>
            <w:lang w:val="fr-FR"/>
          </w:rPr>
          <w:t>gender</w:t>
        </w:r>
        <w:proofErr w:type="spellEnd"/>
        <w:r w:rsidRPr="009B6908">
          <w:rPr>
            <w:rStyle w:val="Lienhypertexte"/>
            <w:kern w:val="18"/>
            <w:szCs w:val="18"/>
            <w:lang w:val="fr-FR"/>
          </w:rPr>
          <w:t xml:space="preserve"> </w:t>
        </w:r>
        <w:proofErr w:type="spellStart"/>
        <w:r w:rsidRPr="009B6908">
          <w:rPr>
            <w:rStyle w:val="Lienhypertexte"/>
            <w:kern w:val="18"/>
            <w:szCs w:val="18"/>
            <w:lang w:val="fr-FR"/>
          </w:rPr>
          <w:t>equality</w:t>
        </w:r>
        <w:proofErr w:type="spellEnd"/>
        <w:r w:rsidRPr="009B6908">
          <w:rPr>
            <w:rStyle w:val="Lienhypertexte"/>
            <w:kern w:val="18"/>
            <w:szCs w:val="18"/>
            <w:lang w:val="fr-FR"/>
          </w:rPr>
          <w:t xml:space="preserve"> </w:t>
        </w:r>
        <w:proofErr w:type="spellStart"/>
        <w:r w:rsidRPr="009B6908">
          <w:rPr>
            <w:rStyle w:val="Lienhypertexte"/>
            <w:kern w:val="18"/>
            <w:szCs w:val="18"/>
            <w:lang w:val="fr-FR"/>
          </w:rPr>
          <w:t>considerations</w:t>
        </w:r>
        <w:proofErr w:type="spellEnd"/>
        <w:r w:rsidRPr="009B6908">
          <w:rPr>
            <w:rStyle w:val="Lienhypertexte"/>
            <w:kern w:val="18"/>
            <w:szCs w:val="18"/>
            <w:lang w:val="fr-FR"/>
          </w:rPr>
          <w:t xml:space="preserve"> in National </w:t>
        </w:r>
        <w:proofErr w:type="spellStart"/>
        <w:r w:rsidRPr="009B6908">
          <w:rPr>
            <w:rStyle w:val="Lienhypertexte"/>
            <w:kern w:val="18"/>
            <w:szCs w:val="18"/>
            <w:lang w:val="fr-FR"/>
          </w:rPr>
          <w:t>Biodiversity</w:t>
        </w:r>
        <w:proofErr w:type="spellEnd"/>
        <w:r w:rsidRPr="009B6908">
          <w:rPr>
            <w:rStyle w:val="Lienhypertexte"/>
            <w:kern w:val="18"/>
            <w:szCs w:val="18"/>
            <w:lang w:val="fr-FR"/>
          </w:rPr>
          <w:t xml:space="preserve"> </w:t>
        </w:r>
        <w:proofErr w:type="spellStart"/>
        <w:r w:rsidRPr="009B6908">
          <w:rPr>
            <w:rStyle w:val="Lienhypertexte"/>
            <w:kern w:val="18"/>
            <w:szCs w:val="18"/>
            <w:lang w:val="fr-FR"/>
          </w:rPr>
          <w:t>Strategies</w:t>
        </w:r>
        <w:proofErr w:type="spellEnd"/>
        <w:r w:rsidRPr="009B6908">
          <w:rPr>
            <w:rStyle w:val="Lienhypertexte"/>
            <w:kern w:val="18"/>
            <w:szCs w:val="18"/>
            <w:lang w:val="fr-FR"/>
          </w:rPr>
          <w:t xml:space="preserve"> and Action Plans (</w:t>
        </w:r>
        <w:proofErr w:type="spellStart"/>
        <w:r w:rsidRPr="009B6908">
          <w:rPr>
            <w:rStyle w:val="Lienhypertexte"/>
            <w:kern w:val="18"/>
            <w:szCs w:val="18"/>
            <w:lang w:val="fr-FR"/>
          </w:rPr>
          <w:t>NBSAPs</w:t>
        </w:r>
        <w:proofErr w:type="spellEnd"/>
        <w:r w:rsidRPr="009B6908">
          <w:rPr>
            <w:rStyle w:val="Lienhypertexte"/>
            <w:kern w:val="18"/>
            <w:szCs w:val="18"/>
            <w:lang w:val="fr-FR"/>
          </w:rPr>
          <w:t>)”</w:t>
        </w:r>
      </w:hyperlink>
      <w:r w:rsidRPr="009B6908">
        <w:rPr>
          <w:rStyle w:val="Lienhypertexte"/>
          <w:kern w:val="18"/>
          <w:szCs w:val="18"/>
          <w:lang w:val="fr-FR"/>
        </w:rPr>
        <w:t xml:space="preserve">, EGI </w:t>
      </w:r>
      <w:proofErr w:type="spellStart"/>
      <w:r w:rsidRPr="009B6908">
        <w:rPr>
          <w:rStyle w:val="Lienhypertexte"/>
          <w:kern w:val="18"/>
          <w:szCs w:val="18"/>
          <w:lang w:val="fr-FR"/>
        </w:rPr>
        <w:t>Fact</w:t>
      </w:r>
      <w:r w:rsidR="00E80CA5">
        <w:rPr>
          <w:rStyle w:val="Lienhypertexte"/>
          <w:kern w:val="18"/>
          <w:szCs w:val="18"/>
          <w:lang w:val="fr-FR"/>
        </w:rPr>
        <w:t>sheet</w:t>
      </w:r>
      <w:proofErr w:type="spellEnd"/>
      <w:r w:rsidR="00E80CA5">
        <w:rPr>
          <w:rStyle w:val="Lienhypertexte"/>
          <w:kern w:val="18"/>
          <w:szCs w:val="18"/>
          <w:lang w:val="fr-FR"/>
        </w:rPr>
        <w:t xml:space="preserve"> </w:t>
      </w:r>
      <w:r w:rsidR="00E80CA5" w:rsidRPr="009B6908">
        <w:rPr>
          <w:lang w:val="fr-FR"/>
        </w:rPr>
        <w:t>(en anglais)</w:t>
      </w:r>
      <w:r w:rsidR="00AC4563">
        <w:rPr>
          <w:lang w:val="fr-FR"/>
        </w:rPr>
        <w:t xml:space="preserve">, </w:t>
      </w:r>
      <w:r w:rsidR="009B6908" w:rsidRPr="009B6908">
        <w:rPr>
          <w:lang w:val="fr-FR"/>
        </w:rPr>
        <w:t>décembre</w:t>
      </w:r>
      <w:r w:rsidRPr="009B6908">
        <w:rPr>
          <w:lang w:val="fr-FR"/>
        </w:rPr>
        <w:t xml:space="preserve"> 2016</w:t>
      </w:r>
      <w:r w:rsidR="009B6908">
        <w:rPr>
          <w:lang w:val="fr-FR"/>
        </w:rPr>
        <w:t>.</w:t>
      </w:r>
    </w:p>
  </w:footnote>
  <w:footnote w:id="7">
    <w:p w:rsidR="009E6D2C" w:rsidRPr="009B6908"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9B6908">
        <w:rPr>
          <w:rStyle w:val="Appelnotedebasdep"/>
          <w:kern w:val="18"/>
          <w:szCs w:val="18"/>
          <w:u w:val="none"/>
          <w:vertAlign w:val="superscript"/>
          <w:lang w:val="fr-FR"/>
        </w:rPr>
        <w:footnoteRef/>
      </w:r>
      <w:r w:rsidRPr="009B6908">
        <w:rPr>
          <w:kern w:val="18"/>
          <w:szCs w:val="18"/>
          <w:lang w:val="fr-FR"/>
        </w:rPr>
        <w:t xml:space="preserve"> </w:t>
      </w:r>
      <w:hyperlink r:id="rId5" w:history="1">
        <w:r w:rsidRPr="009B6908">
          <w:rPr>
            <w:rStyle w:val="Lienhypertexte"/>
            <w:kern w:val="18"/>
            <w:szCs w:val="18"/>
            <w:lang w:val="fr-FR"/>
          </w:rPr>
          <w:t>https://www.cbd.int/doc/notifications/2017/ntf-2017-100-gender-fr.pdf</w:t>
        </w:r>
      </w:hyperlink>
    </w:p>
  </w:footnote>
  <w:footnote w:id="8">
    <w:p w:rsidR="009E6D2C" w:rsidRPr="009B6908" w:rsidRDefault="009E6D2C" w:rsidP="005F0D96">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9B6908">
        <w:rPr>
          <w:rStyle w:val="Appelnotedebasdep"/>
          <w:kern w:val="18"/>
          <w:szCs w:val="18"/>
          <w:u w:val="none"/>
          <w:vertAlign w:val="superscript"/>
          <w:lang w:val="fr-FR"/>
        </w:rPr>
        <w:footnoteRef/>
      </w:r>
      <w:r w:rsidR="009B6908">
        <w:rPr>
          <w:kern w:val="18"/>
          <w:szCs w:val="18"/>
          <w:lang w:val="fr-FR"/>
        </w:rPr>
        <w:t xml:space="preserve"> L’enqu</w:t>
      </w:r>
      <w:r w:rsidR="00E80CA5">
        <w:rPr>
          <w:kern w:val="18"/>
          <w:szCs w:val="18"/>
          <w:lang w:val="fr-FR"/>
        </w:rPr>
        <w:t xml:space="preserve">ête a mobilisé 368 répondants au total (277 anglophones, 36 francophones et 55 hispanophones), 220 d’entre eux (157 anglophones, 25 francophones et 38 hispanophones) estimant que la Convention sur la diversité biologique est utile à leurs travaux, ce qui </w:t>
      </w:r>
      <w:r w:rsidR="00A72DEC">
        <w:rPr>
          <w:kern w:val="18"/>
          <w:szCs w:val="18"/>
          <w:lang w:val="fr-FR"/>
        </w:rPr>
        <w:t>constitue</w:t>
      </w:r>
      <w:r w:rsidR="009C4373">
        <w:rPr>
          <w:kern w:val="18"/>
          <w:szCs w:val="18"/>
          <w:lang w:val="fr-FR"/>
        </w:rPr>
        <w:t xml:space="preserve"> un</w:t>
      </w:r>
      <w:r w:rsidR="00E80CA5">
        <w:rPr>
          <w:kern w:val="18"/>
          <w:szCs w:val="18"/>
          <w:lang w:val="fr-FR"/>
        </w:rPr>
        <w:t xml:space="preserve"> nombre </w:t>
      </w:r>
      <w:r w:rsidR="00A72DEC">
        <w:rPr>
          <w:kern w:val="18"/>
          <w:szCs w:val="18"/>
          <w:lang w:val="fr-FR"/>
        </w:rPr>
        <w:t>record</w:t>
      </w:r>
      <w:r w:rsidR="00E80CA5">
        <w:rPr>
          <w:kern w:val="18"/>
          <w:szCs w:val="18"/>
          <w:lang w:val="fr-FR"/>
        </w:rPr>
        <w:t xml:space="preserve"> de répondants pour l’ensemble des</w:t>
      </w:r>
      <w:r w:rsidR="00A72DEC">
        <w:rPr>
          <w:kern w:val="18"/>
          <w:szCs w:val="18"/>
          <w:lang w:val="fr-FR"/>
        </w:rPr>
        <w:t xml:space="preserve"> enquêtes relatives aux</w:t>
      </w:r>
      <w:r w:rsidR="00E80CA5">
        <w:rPr>
          <w:kern w:val="18"/>
          <w:szCs w:val="18"/>
          <w:lang w:val="fr-FR"/>
        </w:rPr>
        <w:t xml:space="preserve"> Conventions</w:t>
      </w:r>
      <w:r w:rsidRPr="009B6908">
        <w:rPr>
          <w:kern w:val="18"/>
          <w:szCs w:val="18"/>
          <w:lang w:val="fr-FR"/>
        </w:rPr>
        <w:t>.</w:t>
      </w:r>
    </w:p>
  </w:footnote>
  <w:footnote w:id="9">
    <w:p w:rsidR="009E6D2C" w:rsidRPr="009B6908"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9B6908">
        <w:rPr>
          <w:rStyle w:val="Appelnotedebasdep"/>
          <w:kern w:val="18"/>
          <w:szCs w:val="18"/>
          <w:u w:val="none"/>
          <w:vertAlign w:val="superscript"/>
          <w:lang w:val="fr-FR"/>
        </w:rPr>
        <w:footnoteRef/>
      </w:r>
      <w:r w:rsidRPr="009B6908">
        <w:rPr>
          <w:kern w:val="18"/>
          <w:szCs w:val="18"/>
          <w:lang w:val="fr-FR"/>
        </w:rPr>
        <w:t xml:space="preserve"> Union </w:t>
      </w:r>
      <w:r w:rsidR="00E80CA5">
        <w:rPr>
          <w:kern w:val="18"/>
          <w:szCs w:val="18"/>
          <w:lang w:val="fr-FR"/>
        </w:rPr>
        <w:t>internationale pour la c</w:t>
      </w:r>
      <w:r w:rsidRPr="009B6908">
        <w:rPr>
          <w:kern w:val="18"/>
          <w:szCs w:val="18"/>
          <w:lang w:val="fr-FR"/>
        </w:rPr>
        <w:t xml:space="preserve">onservation </w:t>
      </w:r>
      <w:r w:rsidR="00E80CA5">
        <w:rPr>
          <w:kern w:val="18"/>
          <w:szCs w:val="18"/>
          <w:lang w:val="fr-FR"/>
        </w:rPr>
        <w:t>de la n</w:t>
      </w:r>
      <w:r w:rsidRPr="009B6908">
        <w:rPr>
          <w:kern w:val="18"/>
          <w:szCs w:val="18"/>
          <w:lang w:val="fr-FR"/>
        </w:rPr>
        <w:t xml:space="preserve">ature </w:t>
      </w:r>
      <w:r w:rsidR="00E80CA5">
        <w:rPr>
          <w:kern w:val="18"/>
          <w:szCs w:val="18"/>
          <w:lang w:val="fr-FR"/>
        </w:rPr>
        <w:t>et</w:t>
      </w:r>
      <w:r w:rsidRPr="009B6908">
        <w:rPr>
          <w:kern w:val="18"/>
          <w:szCs w:val="18"/>
          <w:lang w:val="fr-FR"/>
        </w:rPr>
        <w:t xml:space="preserve"> Convention </w:t>
      </w:r>
      <w:r w:rsidR="00E80CA5">
        <w:rPr>
          <w:kern w:val="18"/>
          <w:szCs w:val="18"/>
          <w:lang w:val="fr-FR"/>
        </w:rPr>
        <w:t>sur la diversité biologique</w:t>
      </w:r>
      <w:r w:rsidRPr="009B6908">
        <w:rPr>
          <w:kern w:val="18"/>
          <w:szCs w:val="18"/>
          <w:lang w:val="fr-FR"/>
        </w:rPr>
        <w:t xml:space="preserve">, </w:t>
      </w:r>
      <w:hyperlink r:id="rId6" w:history="1">
        <w:proofErr w:type="spellStart"/>
        <w:r w:rsidRPr="009B6908">
          <w:rPr>
            <w:rStyle w:val="Lienhypertexte"/>
            <w:i/>
            <w:iCs/>
            <w:kern w:val="18"/>
            <w:szCs w:val="18"/>
            <w:lang w:val="fr-FR"/>
          </w:rPr>
          <w:t>Integrating</w:t>
        </w:r>
        <w:proofErr w:type="spellEnd"/>
        <w:r w:rsidRPr="009B6908">
          <w:rPr>
            <w:rStyle w:val="Lienhypertexte"/>
            <w:i/>
            <w:iCs/>
            <w:kern w:val="18"/>
            <w:szCs w:val="18"/>
            <w:lang w:val="fr-FR"/>
          </w:rPr>
          <w:t xml:space="preserve"> </w:t>
        </w:r>
        <w:proofErr w:type="spellStart"/>
        <w:r w:rsidRPr="009B6908">
          <w:rPr>
            <w:rStyle w:val="Lienhypertexte"/>
            <w:i/>
            <w:iCs/>
            <w:kern w:val="18"/>
            <w:szCs w:val="18"/>
            <w:lang w:val="fr-FR"/>
          </w:rPr>
          <w:t>Gender</w:t>
        </w:r>
        <w:proofErr w:type="spellEnd"/>
        <w:r w:rsidRPr="009B6908">
          <w:rPr>
            <w:rStyle w:val="Lienhypertexte"/>
            <w:i/>
            <w:iCs/>
            <w:kern w:val="18"/>
            <w:szCs w:val="18"/>
            <w:lang w:val="fr-FR"/>
          </w:rPr>
          <w:t xml:space="preserve"> </w:t>
        </w:r>
        <w:proofErr w:type="spellStart"/>
        <w:r w:rsidRPr="009B6908">
          <w:rPr>
            <w:rStyle w:val="Lienhypertexte"/>
            <w:i/>
            <w:iCs/>
            <w:kern w:val="18"/>
            <w:szCs w:val="18"/>
            <w:lang w:val="fr-FR"/>
          </w:rPr>
          <w:t>Considerations</w:t>
        </w:r>
        <w:proofErr w:type="spellEnd"/>
        <w:r w:rsidRPr="009B6908">
          <w:rPr>
            <w:rStyle w:val="Lienhypertexte"/>
            <w:i/>
            <w:iCs/>
            <w:kern w:val="18"/>
            <w:szCs w:val="18"/>
            <w:lang w:val="fr-FR"/>
          </w:rPr>
          <w:t xml:space="preserve"> in National </w:t>
        </w:r>
        <w:proofErr w:type="spellStart"/>
        <w:r w:rsidRPr="009B6908">
          <w:rPr>
            <w:rStyle w:val="Lienhypertexte"/>
            <w:i/>
            <w:iCs/>
            <w:kern w:val="18"/>
            <w:szCs w:val="18"/>
            <w:lang w:val="fr-FR"/>
          </w:rPr>
          <w:t>Biodiversity</w:t>
        </w:r>
        <w:proofErr w:type="spellEnd"/>
        <w:r w:rsidRPr="009B6908">
          <w:rPr>
            <w:rStyle w:val="Lienhypertexte"/>
            <w:i/>
            <w:iCs/>
            <w:kern w:val="18"/>
            <w:szCs w:val="18"/>
            <w:lang w:val="fr-FR"/>
          </w:rPr>
          <w:t xml:space="preserve"> </w:t>
        </w:r>
        <w:proofErr w:type="spellStart"/>
        <w:r w:rsidRPr="009B6908">
          <w:rPr>
            <w:rStyle w:val="Lienhypertexte"/>
            <w:i/>
            <w:iCs/>
            <w:kern w:val="18"/>
            <w:szCs w:val="18"/>
            <w:lang w:val="fr-FR"/>
          </w:rPr>
          <w:t>Strategies</w:t>
        </w:r>
        <w:proofErr w:type="spellEnd"/>
        <w:r w:rsidRPr="009B6908">
          <w:rPr>
            <w:rStyle w:val="Lienhypertexte"/>
            <w:i/>
            <w:iCs/>
            <w:kern w:val="18"/>
            <w:szCs w:val="18"/>
            <w:lang w:val="fr-FR"/>
          </w:rPr>
          <w:t xml:space="preserve"> and Action Plans: Pilot Project </w:t>
        </w:r>
        <w:proofErr w:type="spellStart"/>
        <w:r w:rsidRPr="009B6908">
          <w:rPr>
            <w:rStyle w:val="Lienhypertexte"/>
            <w:i/>
            <w:iCs/>
            <w:kern w:val="18"/>
            <w:szCs w:val="18"/>
            <w:lang w:val="fr-FR"/>
          </w:rPr>
          <w:t>Process</w:t>
        </w:r>
        <w:proofErr w:type="spellEnd"/>
        <w:r w:rsidRPr="009B6908">
          <w:rPr>
            <w:rStyle w:val="Lienhypertexte"/>
            <w:i/>
            <w:iCs/>
            <w:kern w:val="18"/>
            <w:szCs w:val="18"/>
            <w:lang w:val="fr-FR"/>
          </w:rPr>
          <w:t xml:space="preserve"> and Initial </w:t>
        </w:r>
        <w:proofErr w:type="spellStart"/>
        <w:r w:rsidRPr="009B6908">
          <w:rPr>
            <w:rStyle w:val="Lienhypertexte"/>
            <w:i/>
            <w:iCs/>
            <w:kern w:val="18"/>
            <w:szCs w:val="18"/>
            <w:lang w:val="fr-FR"/>
          </w:rPr>
          <w:t>Considerations</w:t>
        </w:r>
        <w:proofErr w:type="spellEnd"/>
      </w:hyperlink>
      <w:r w:rsidR="00E80CA5">
        <w:rPr>
          <w:kern w:val="18"/>
          <w:szCs w:val="18"/>
          <w:lang w:val="fr-FR"/>
        </w:rPr>
        <w:t xml:space="preserve"> </w:t>
      </w:r>
      <w:r w:rsidR="00E80CA5" w:rsidRPr="009B6908">
        <w:rPr>
          <w:lang w:val="fr-FR"/>
        </w:rPr>
        <w:t>(en anglais)</w:t>
      </w:r>
      <w:r w:rsidR="00E80CA5">
        <w:rPr>
          <w:lang w:val="fr-FR"/>
        </w:rPr>
        <w:t>, novembre</w:t>
      </w:r>
      <w:r w:rsidRPr="009B6908">
        <w:rPr>
          <w:kern w:val="18"/>
          <w:szCs w:val="18"/>
          <w:lang w:val="fr-FR"/>
        </w:rPr>
        <w:t xml:space="preserve"> 2016.</w:t>
      </w:r>
    </w:p>
  </w:footnote>
  <w:footnote w:id="10">
    <w:p w:rsidR="009E6D2C" w:rsidRPr="005C5C8D"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5C5C8D">
        <w:rPr>
          <w:rStyle w:val="Appelnotedebasdep"/>
          <w:kern w:val="18"/>
          <w:szCs w:val="18"/>
          <w:u w:val="none"/>
          <w:vertAlign w:val="superscript"/>
          <w:lang w:val="fr-FR"/>
        </w:rPr>
        <w:footnoteRef/>
      </w:r>
      <w:r w:rsidR="00E80CA5" w:rsidRPr="005C5C8D">
        <w:rPr>
          <w:kern w:val="18"/>
          <w:szCs w:val="18"/>
          <w:lang w:val="fr-FR"/>
        </w:rPr>
        <w:t xml:space="preserve"> Un</w:t>
      </w:r>
      <w:r w:rsidRPr="005C5C8D">
        <w:rPr>
          <w:kern w:val="18"/>
          <w:szCs w:val="18"/>
          <w:lang w:val="fr-FR"/>
        </w:rPr>
        <w:t xml:space="preserve"> r</w:t>
      </w:r>
      <w:r w:rsidR="00E80CA5" w:rsidRPr="005C5C8D">
        <w:rPr>
          <w:kern w:val="18"/>
          <w:szCs w:val="18"/>
          <w:lang w:val="fr-FR"/>
        </w:rPr>
        <w:t>ap</w:t>
      </w:r>
      <w:r w:rsidRPr="005C5C8D">
        <w:rPr>
          <w:kern w:val="18"/>
          <w:szCs w:val="18"/>
          <w:lang w:val="fr-FR"/>
        </w:rPr>
        <w:t xml:space="preserve">port </w:t>
      </w:r>
      <w:r w:rsidR="00E80CA5" w:rsidRPr="005C5C8D">
        <w:rPr>
          <w:kern w:val="18"/>
          <w:szCs w:val="18"/>
          <w:lang w:val="fr-FR"/>
        </w:rPr>
        <w:t>sur la procédure pilote conduite au Mexique figure dans le Rapport intermédiaire sur la mise en œuvre du Plan d’action 2015-2020 pour l’égalité entre les sexes</w:t>
      </w:r>
      <w:r w:rsidR="00A72DEC">
        <w:rPr>
          <w:kern w:val="18"/>
          <w:szCs w:val="18"/>
          <w:lang w:val="fr-FR"/>
        </w:rPr>
        <w:t xml:space="preserve">, </w:t>
      </w:r>
      <w:r w:rsidR="00E80CA5" w:rsidRPr="005C5C8D">
        <w:rPr>
          <w:kern w:val="18"/>
          <w:szCs w:val="18"/>
          <w:lang w:val="fr-FR"/>
        </w:rPr>
        <w:t xml:space="preserve">présenté à la première session de l’Organe subsidiaire chargé de l’application </w:t>
      </w:r>
      <w:r w:rsidRPr="005C5C8D">
        <w:rPr>
          <w:kern w:val="18"/>
          <w:szCs w:val="18"/>
          <w:lang w:val="fr-FR"/>
        </w:rPr>
        <w:t>(</w:t>
      </w:r>
      <w:hyperlink r:id="rId7" w:history="1">
        <w:r w:rsidRPr="005C5C8D">
          <w:rPr>
            <w:rStyle w:val="Lienhypertexte"/>
            <w:kern w:val="18"/>
            <w:szCs w:val="18"/>
            <w:lang w:val="fr-FR"/>
          </w:rPr>
          <w:t>UNEP/CBD/SBI/1/INF/14</w:t>
        </w:r>
      </w:hyperlink>
      <w:r w:rsidRPr="005C5C8D">
        <w:rPr>
          <w:kern w:val="18"/>
          <w:szCs w:val="18"/>
          <w:lang w:val="fr-FR"/>
        </w:rPr>
        <w:t>)</w:t>
      </w:r>
      <w:r w:rsidR="00E80CA5" w:rsidRPr="005C5C8D">
        <w:rPr>
          <w:kern w:val="18"/>
          <w:szCs w:val="18"/>
          <w:lang w:val="fr-FR"/>
        </w:rPr>
        <w:t xml:space="preserve"> (en anglais)</w:t>
      </w:r>
      <w:r w:rsidRPr="005C5C8D">
        <w:rPr>
          <w:kern w:val="18"/>
          <w:szCs w:val="18"/>
          <w:lang w:val="fr-FR"/>
        </w:rPr>
        <w:t>.</w:t>
      </w:r>
    </w:p>
  </w:footnote>
  <w:footnote w:id="11">
    <w:p w:rsidR="009E6D2C" w:rsidRPr="005C5C8D" w:rsidRDefault="009E6D2C" w:rsidP="00993C65">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5C5C8D">
        <w:rPr>
          <w:rStyle w:val="Appelnotedebasdep"/>
          <w:kern w:val="18"/>
          <w:szCs w:val="18"/>
          <w:u w:val="none"/>
          <w:vertAlign w:val="superscript"/>
          <w:lang w:val="fr-FR"/>
        </w:rPr>
        <w:footnoteRef/>
      </w:r>
      <w:r w:rsidRPr="005C5C8D">
        <w:rPr>
          <w:kern w:val="18"/>
          <w:szCs w:val="18"/>
          <w:lang w:val="fr-FR"/>
        </w:rPr>
        <w:t xml:space="preserve"> </w:t>
      </w:r>
      <w:hyperlink r:id="rId8" w:history="1">
        <w:r w:rsidRPr="005C5C8D">
          <w:rPr>
            <w:rStyle w:val="Lienhypertexte"/>
            <w:kern w:val="18"/>
            <w:szCs w:val="18"/>
            <w:lang w:val="fr-FR"/>
          </w:rPr>
          <w:t>https://www.cbd.int/gender/doc/gender-nbsaps-factsheet.pdf</w:t>
        </w:r>
      </w:hyperlink>
      <w:r w:rsidR="00E80CA5" w:rsidRPr="005C5C8D">
        <w:rPr>
          <w:rStyle w:val="Lienhypertexte"/>
          <w:kern w:val="18"/>
          <w:szCs w:val="18"/>
          <w:lang w:val="fr-FR"/>
        </w:rPr>
        <w:t xml:space="preserve"> </w:t>
      </w:r>
      <w:r w:rsidR="00E80CA5" w:rsidRPr="005C5C8D">
        <w:rPr>
          <w:kern w:val="18"/>
          <w:szCs w:val="18"/>
          <w:lang w:val="fr-FR"/>
        </w:rPr>
        <w:t>(en anglais)</w:t>
      </w:r>
    </w:p>
  </w:footnote>
  <w:footnote w:id="12">
    <w:p w:rsidR="009E6D2C" w:rsidRPr="005C5C8D" w:rsidRDefault="009E6D2C" w:rsidP="00993C65">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5C5C8D">
        <w:rPr>
          <w:rStyle w:val="Appelnotedebasdep"/>
          <w:kern w:val="18"/>
          <w:szCs w:val="18"/>
          <w:u w:val="none"/>
          <w:vertAlign w:val="superscript"/>
          <w:lang w:val="fr-FR"/>
        </w:rPr>
        <w:footnoteRef/>
      </w:r>
      <w:r w:rsidRPr="005C5C8D">
        <w:rPr>
          <w:kern w:val="18"/>
          <w:szCs w:val="18"/>
          <w:lang w:val="fr-FR"/>
        </w:rPr>
        <w:t xml:space="preserve"> </w:t>
      </w:r>
      <w:hyperlink r:id="rId9" w:history="1">
        <w:r w:rsidRPr="005C5C8D">
          <w:rPr>
            <w:rStyle w:val="Lienhypertexte"/>
            <w:kern w:val="18"/>
            <w:szCs w:val="18"/>
            <w:lang w:val="fr-FR"/>
          </w:rPr>
          <w:t>https://www.cbd.int/gender/doc/gender-5th-national-report-factsheet.pdf</w:t>
        </w:r>
      </w:hyperlink>
      <w:r w:rsidR="00E80CA5" w:rsidRPr="005C5C8D">
        <w:rPr>
          <w:rStyle w:val="Lienhypertexte"/>
          <w:kern w:val="18"/>
          <w:szCs w:val="18"/>
          <w:lang w:val="fr-FR"/>
        </w:rPr>
        <w:t xml:space="preserve"> </w:t>
      </w:r>
      <w:r w:rsidR="00E80CA5" w:rsidRPr="005C5C8D">
        <w:rPr>
          <w:kern w:val="18"/>
          <w:szCs w:val="18"/>
          <w:lang w:val="fr-FR"/>
        </w:rPr>
        <w:t>(en anglais)</w:t>
      </w:r>
    </w:p>
  </w:footnote>
  <w:footnote w:id="13">
    <w:p w:rsidR="009E6D2C" w:rsidRPr="005C5C8D"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5C5C8D">
        <w:rPr>
          <w:rStyle w:val="Appelnotedebasdep"/>
          <w:kern w:val="18"/>
          <w:szCs w:val="18"/>
          <w:u w:val="none"/>
          <w:vertAlign w:val="superscript"/>
          <w:lang w:val="fr-FR"/>
        </w:rPr>
        <w:footnoteRef/>
      </w:r>
      <w:r w:rsidRPr="005C5C8D">
        <w:rPr>
          <w:kern w:val="18"/>
          <w:szCs w:val="18"/>
          <w:lang w:val="fr-FR"/>
        </w:rPr>
        <w:t xml:space="preserve"> </w:t>
      </w:r>
      <w:hyperlink r:id="rId10" w:history="1">
        <w:r w:rsidR="005C5C8D" w:rsidRPr="005C5C8D">
          <w:rPr>
            <w:lang w:val="fr-FR"/>
          </w:rPr>
          <w:t>Voir</w:t>
        </w:r>
      </w:hyperlink>
      <w:r w:rsidRPr="005C5C8D">
        <w:rPr>
          <w:lang w:val="fr-FR"/>
        </w:rPr>
        <w:t xml:space="preserve"> </w:t>
      </w:r>
      <w:r w:rsidRPr="005C5C8D">
        <w:rPr>
          <w:rStyle w:val="Lienhypertexte"/>
          <w:kern w:val="18"/>
          <w:szCs w:val="18"/>
          <w:lang w:val="fr-FR"/>
        </w:rPr>
        <w:t>UNEP/CBD/COP/13/8/Add.3</w:t>
      </w:r>
      <w:r w:rsidRPr="005C5C8D">
        <w:rPr>
          <w:kern w:val="18"/>
          <w:szCs w:val="18"/>
          <w:lang w:val="fr-FR"/>
        </w:rPr>
        <w:t xml:space="preserve"> </w:t>
      </w:r>
      <w:r w:rsidR="005C5C8D" w:rsidRPr="005C5C8D">
        <w:rPr>
          <w:kern w:val="18"/>
          <w:szCs w:val="18"/>
          <w:lang w:val="fr-FR"/>
        </w:rPr>
        <w:t>et</w:t>
      </w:r>
      <w:r w:rsidRPr="005C5C8D">
        <w:rPr>
          <w:kern w:val="18"/>
          <w:szCs w:val="18"/>
          <w:lang w:val="fr-FR"/>
        </w:rPr>
        <w:t xml:space="preserve"> </w:t>
      </w:r>
      <w:hyperlink r:id="rId11" w:history="1">
        <w:r w:rsidRPr="005C5C8D">
          <w:rPr>
            <w:rStyle w:val="Lienhypertexte"/>
            <w:kern w:val="18"/>
            <w:szCs w:val="18"/>
            <w:lang w:val="fr-FR"/>
          </w:rPr>
          <w:t>UNEP/CBD/COP/13/INF/46</w:t>
        </w:r>
      </w:hyperlink>
      <w:r w:rsidR="005C5C8D" w:rsidRPr="005C5C8D">
        <w:rPr>
          <w:kern w:val="18"/>
          <w:szCs w:val="18"/>
          <w:lang w:val="fr-FR"/>
        </w:rPr>
        <w:t xml:space="preserve"> (en anglais)</w:t>
      </w:r>
    </w:p>
  </w:footnote>
  <w:footnote w:id="14">
    <w:p w:rsidR="009E6D2C" w:rsidRPr="005C5C8D"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5C5C8D">
        <w:rPr>
          <w:rStyle w:val="Appelnotedebasdep"/>
          <w:kern w:val="18"/>
          <w:szCs w:val="18"/>
          <w:u w:val="none"/>
          <w:vertAlign w:val="superscript"/>
          <w:lang w:val="fr-FR"/>
        </w:rPr>
        <w:footnoteRef/>
      </w:r>
      <w:r w:rsidRPr="005C5C8D">
        <w:rPr>
          <w:kern w:val="18"/>
          <w:szCs w:val="18"/>
          <w:lang w:val="fr-FR"/>
        </w:rPr>
        <w:t xml:space="preserve"> Union </w:t>
      </w:r>
      <w:r w:rsidR="005C5C8D" w:rsidRPr="005C5C8D">
        <w:rPr>
          <w:kern w:val="18"/>
          <w:szCs w:val="18"/>
          <w:lang w:val="fr-FR"/>
        </w:rPr>
        <w:t>internationale pour la c</w:t>
      </w:r>
      <w:r w:rsidRPr="005C5C8D">
        <w:rPr>
          <w:kern w:val="18"/>
          <w:szCs w:val="18"/>
          <w:lang w:val="fr-FR"/>
        </w:rPr>
        <w:t xml:space="preserve">onservation </w:t>
      </w:r>
      <w:r w:rsidR="005C5C8D" w:rsidRPr="005C5C8D">
        <w:rPr>
          <w:kern w:val="18"/>
          <w:szCs w:val="18"/>
          <w:lang w:val="fr-FR"/>
        </w:rPr>
        <w:t>de la n</w:t>
      </w:r>
      <w:r w:rsidRPr="005C5C8D">
        <w:rPr>
          <w:kern w:val="18"/>
          <w:szCs w:val="18"/>
          <w:lang w:val="fr-FR"/>
        </w:rPr>
        <w:t>ature,</w:t>
      </w:r>
      <w:r w:rsidRPr="005C5C8D" w:rsidDel="00A91F80">
        <w:rPr>
          <w:kern w:val="18"/>
          <w:szCs w:val="18"/>
          <w:lang w:val="fr-FR"/>
        </w:rPr>
        <w:t xml:space="preserve"> </w:t>
      </w:r>
      <w:proofErr w:type="spellStart"/>
      <w:r w:rsidRPr="005C5C8D">
        <w:rPr>
          <w:rStyle w:val="Lienhypertexte"/>
          <w:i/>
          <w:iCs/>
          <w:kern w:val="18"/>
          <w:szCs w:val="18"/>
          <w:lang w:val="fr-FR"/>
        </w:rPr>
        <w:t>Gender</w:t>
      </w:r>
      <w:proofErr w:type="spellEnd"/>
      <w:r w:rsidRPr="005C5C8D">
        <w:rPr>
          <w:rStyle w:val="Lienhypertexte"/>
          <w:i/>
          <w:iCs/>
          <w:kern w:val="18"/>
          <w:szCs w:val="18"/>
          <w:lang w:val="fr-FR"/>
        </w:rPr>
        <w:t xml:space="preserve"> and </w:t>
      </w:r>
      <w:proofErr w:type="spellStart"/>
      <w:r w:rsidRPr="005C5C8D">
        <w:rPr>
          <w:rStyle w:val="Lienhypertexte"/>
          <w:i/>
          <w:iCs/>
          <w:kern w:val="18"/>
          <w:szCs w:val="18"/>
          <w:lang w:val="fr-FR"/>
        </w:rPr>
        <w:t>Biodiversity</w:t>
      </w:r>
      <w:proofErr w:type="spellEnd"/>
      <w:r w:rsidRPr="005C5C8D">
        <w:rPr>
          <w:rStyle w:val="Lienhypertexte"/>
          <w:i/>
          <w:iCs/>
          <w:kern w:val="18"/>
          <w:szCs w:val="18"/>
          <w:lang w:val="fr-FR"/>
        </w:rPr>
        <w:t xml:space="preserve">: </w:t>
      </w:r>
      <w:proofErr w:type="spellStart"/>
      <w:r w:rsidRPr="005C5C8D">
        <w:rPr>
          <w:rStyle w:val="Lienhypertexte"/>
          <w:i/>
          <w:iCs/>
          <w:kern w:val="18"/>
          <w:szCs w:val="18"/>
          <w:lang w:val="fr-FR"/>
        </w:rPr>
        <w:t>Analysis</w:t>
      </w:r>
      <w:proofErr w:type="spellEnd"/>
      <w:r w:rsidRPr="005C5C8D">
        <w:rPr>
          <w:rStyle w:val="Lienhypertexte"/>
          <w:i/>
          <w:iCs/>
          <w:kern w:val="18"/>
          <w:szCs w:val="18"/>
          <w:lang w:val="fr-FR"/>
        </w:rPr>
        <w:t xml:space="preserve"> of </w:t>
      </w:r>
      <w:proofErr w:type="spellStart"/>
      <w:r w:rsidRPr="005C5C8D">
        <w:rPr>
          <w:rStyle w:val="Lienhypertexte"/>
          <w:i/>
          <w:iCs/>
          <w:kern w:val="18"/>
          <w:szCs w:val="18"/>
          <w:lang w:val="fr-FR"/>
        </w:rPr>
        <w:t>Women</w:t>
      </w:r>
      <w:proofErr w:type="spellEnd"/>
      <w:r w:rsidRPr="005C5C8D">
        <w:rPr>
          <w:rStyle w:val="Lienhypertexte"/>
          <w:i/>
          <w:iCs/>
          <w:kern w:val="18"/>
          <w:szCs w:val="18"/>
          <w:lang w:val="fr-FR"/>
        </w:rPr>
        <w:t xml:space="preserve"> and </w:t>
      </w:r>
      <w:proofErr w:type="spellStart"/>
      <w:r w:rsidRPr="005C5C8D">
        <w:rPr>
          <w:rStyle w:val="Lienhypertexte"/>
          <w:i/>
          <w:iCs/>
          <w:kern w:val="18"/>
          <w:szCs w:val="18"/>
          <w:lang w:val="fr-FR"/>
        </w:rPr>
        <w:t>Gender</w:t>
      </w:r>
      <w:proofErr w:type="spellEnd"/>
      <w:r w:rsidRPr="005C5C8D">
        <w:rPr>
          <w:rStyle w:val="Lienhypertexte"/>
          <w:i/>
          <w:iCs/>
          <w:kern w:val="18"/>
          <w:szCs w:val="18"/>
          <w:lang w:val="fr-FR"/>
        </w:rPr>
        <w:t xml:space="preserve"> </w:t>
      </w:r>
      <w:proofErr w:type="spellStart"/>
      <w:r w:rsidRPr="005C5C8D">
        <w:rPr>
          <w:rStyle w:val="Lienhypertexte"/>
          <w:i/>
          <w:iCs/>
          <w:kern w:val="18"/>
          <w:szCs w:val="18"/>
          <w:lang w:val="fr-FR"/>
        </w:rPr>
        <w:t>Equality</w:t>
      </w:r>
      <w:proofErr w:type="spellEnd"/>
      <w:r w:rsidRPr="005C5C8D">
        <w:rPr>
          <w:rStyle w:val="Lienhypertexte"/>
          <w:i/>
          <w:iCs/>
          <w:kern w:val="18"/>
          <w:szCs w:val="18"/>
          <w:lang w:val="fr-FR"/>
        </w:rPr>
        <w:t xml:space="preserve"> </w:t>
      </w:r>
      <w:proofErr w:type="spellStart"/>
      <w:r w:rsidRPr="005C5C8D">
        <w:rPr>
          <w:rStyle w:val="Lienhypertexte"/>
          <w:i/>
          <w:iCs/>
          <w:kern w:val="18"/>
          <w:szCs w:val="18"/>
          <w:lang w:val="fr-FR"/>
        </w:rPr>
        <w:t>Considerations</w:t>
      </w:r>
      <w:proofErr w:type="spellEnd"/>
      <w:r w:rsidRPr="005C5C8D">
        <w:rPr>
          <w:rStyle w:val="Lienhypertexte"/>
          <w:i/>
          <w:iCs/>
          <w:kern w:val="18"/>
          <w:szCs w:val="18"/>
          <w:lang w:val="fr-FR"/>
        </w:rPr>
        <w:t xml:space="preserve"> in National </w:t>
      </w:r>
      <w:proofErr w:type="spellStart"/>
      <w:r w:rsidRPr="005C5C8D">
        <w:rPr>
          <w:rStyle w:val="Lienhypertexte"/>
          <w:i/>
          <w:iCs/>
          <w:kern w:val="18"/>
          <w:szCs w:val="18"/>
          <w:lang w:val="fr-FR"/>
        </w:rPr>
        <w:t>Biodiversity</w:t>
      </w:r>
      <w:proofErr w:type="spellEnd"/>
      <w:r w:rsidRPr="005C5C8D">
        <w:rPr>
          <w:rStyle w:val="Lienhypertexte"/>
          <w:i/>
          <w:iCs/>
          <w:kern w:val="18"/>
          <w:szCs w:val="18"/>
          <w:lang w:val="fr-FR"/>
        </w:rPr>
        <w:t xml:space="preserve"> </w:t>
      </w:r>
      <w:proofErr w:type="spellStart"/>
      <w:r w:rsidRPr="005C5C8D">
        <w:rPr>
          <w:rStyle w:val="Lienhypertexte"/>
          <w:i/>
          <w:iCs/>
          <w:kern w:val="18"/>
          <w:szCs w:val="18"/>
          <w:lang w:val="fr-FR"/>
        </w:rPr>
        <w:t>Strategies</w:t>
      </w:r>
      <w:proofErr w:type="spellEnd"/>
      <w:r w:rsidRPr="005C5C8D">
        <w:rPr>
          <w:rStyle w:val="Lienhypertexte"/>
          <w:i/>
          <w:iCs/>
          <w:kern w:val="18"/>
          <w:szCs w:val="18"/>
          <w:lang w:val="fr-FR"/>
        </w:rPr>
        <w:t xml:space="preserve"> and Action Plans (</w:t>
      </w:r>
      <w:proofErr w:type="spellStart"/>
      <w:r w:rsidRPr="005C5C8D">
        <w:rPr>
          <w:rStyle w:val="Lienhypertexte"/>
          <w:i/>
          <w:iCs/>
          <w:kern w:val="18"/>
          <w:szCs w:val="18"/>
          <w:lang w:val="fr-FR"/>
        </w:rPr>
        <w:t>NBSAPs</w:t>
      </w:r>
      <w:proofErr w:type="spellEnd"/>
      <w:r w:rsidRPr="005C5C8D">
        <w:rPr>
          <w:rStyle w:val="Lienhypertexte"/>
          <w:i/>
          <w:iCs/>
          <w:kern w:val="18"/>
          <w:szCs w:val="18"/>
          <w:lang w:val="fr-FR"/>
        </w:rPr>
        <w:t>)</w:t>
      </w:r>
      <w:r w:rsidRPr="005C5C8D">
        <w:rPr>
          <w:rStyle w:val="Lienhypertexte"/>
          <w:kern w:val="18"/>
          <w:szCs w:val="18"/>
          <w:lang w:val="fr-FR"/>
        </w:rPr>
        <w:t xml:space="preserve">, </w:t>
      </w:r>
      <w:r w:rsidR="005C5C8D" w:rsidRPr="00C31BB1">
        <w:rPr>
          <w:lang w:val="fr-FR"/>
        </w:rPr>
        <w:t>janvier</w:t>
      </w:r>
      <w:r w:rsidRPr="005C5C8D">
        <w:rPr>
          <w:lang w:val="fr-FR"/>
        </w:rPr>
        <w:t xml:space="preserve"> 2017</w:t>
      </w:r>
      <w:r w:rsidR="005C5C8D">
        <w:rPr>
          <w:lang w:val="fr-FR"/>
        </w:rPr>
        <w:t xml:space="preserve"> (</w:t>
      </w:r>
      <w:r w:rsidR="005C5C8D" w:rsidRPr="005C5C8D">
        <w:rPr>
          <w:kern w:val="18"/>
          <w:szCs w:val="18"/>
          <w:lang w:val="fr-FR"/>
        </w:rPr>
        <w:t>en anglais</w:t>
      </w:r>
      <w:r w:rsidR="005C5C8D">
        <w:rPr>
          <w:kern w:val="18"/>
          <w:szCs w:val="18"/>
          <w:lang w:val="fr-FR"/>
        </w:rPr>
        <w:t>).</w:t>
      </w:r>
    </w:p>
  </w:footnote>
  <w:footnote w:id="15">
    <w:p w:rsidR="009E6D2C" w:rsidRPr="005C5C8D"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5C5C8D">
        <w:rPr>
          <w:rStyle w:val="Appelnotedebasdep"/>
          <w:kern w:val="18"/>
          <w:szCs w:val="18"/>
          <w:u w:val="none"/>
          <w:vertAlign w:val="superscript"/>
          <w:lang w:val="fr-FR"/>
        </w:rPr>
        <w:footnoteRef/>
      </w:r>
      <w:r w:rsidRPr="005C5C8D">
        <w:rPr>
          <w:kern w:val="18"/>
          <w:szCs w:val="18"/>
          <w:lang w:val="fr-FR"/>
        </w:rPr>
        <w:t xml:space="preserve"> </w:t>
      </w:r>
      <w:hyperlink r:id="rId12" w:history="1">
        <w:r w:rsidR="005C5C8D">
          <w:rPr>
            <w:rStyle w:val="Lienhypertexte"/>
            <w:rFonts w:cstheme="minorBidi"/>
            <w:kern w:val="18"/>
            <w:szCs w:val="18"/>
            <w:lang w:val="fr-FR"/>
          </w:rPr>
          <w:t>https://www.cbd.int/gender/doc/CBD-GenderPlanofAction-FR-WEB.pdf</w:t>
        </w:r>
      </w:hyperlink>
      <w:r w:rsidR="005C5C8D" w:rsidRPr="00C31BB1">
        <w:rPr>
          <w:rStyle w:val="Lienhypertexte"/>
          <w:rFonts w:cstheme="minorBidi"/>
          <w:color w:val="auto"/>
          <w:kern w:val="18"/>
          <w:szCs w:val="18"/>
          <w:u w:val="none"/>
          <w:lang w:val="fr-FR"/>
        </w:rPr>
        <w:t> </w:t>
      </w:r>
      <w:r w:rsidRPr="005C5C8D">
        <w:rPr>
          <w:kern w:val="18"/>
          <w:szCs w:val="18"/>
          <w:lang w:val="fr-FR"/>
        </w:rPr>
        <w:t xml:space="preserve">; </w:t>
      </w:r>
      <w:hyperlink r:id="rId13" w:history="1">
        <w:r w:rsidRPr="005C5C8D">
          <w:rPr>
            <w:rStyle w:val="Lienhypertexte"/>
            <w:rFonts w:cstheme="minorBidi"/>
            <w:kern w:val="18"/>
            <w:szCs w:val="18"/>
            <w:lang w:val="fr-FR"/>
          </w:rPr>
          <w:t>https://www.cbd.int/gender/</w:t>
        </w:r>
      </w:hyperlink>
    </w:p>
  </w:footnote>
  <w:footnote w:id="16">
    <w:p w:rsidR="009E6D2C" w:rsidRPr="00C91779" w:rsidRDefault="009E6D2C" w:rsidP="00B40F75">
      <w:pPr>
        <w:pStyle w:val="Notedebasdepage"/>
        <w:suppressLineNumbers/>
        <w:suppressAutoHyphens/>
        <w:kinsoku w:val="0"/>
        <w:overflowPunct w:val="0"/>
        <w:autoSpaceDE w:val="0"/>
        <w:autoSpaceDN w:val="0"/>
        <w:adjustRightInd w:val="0"/>
        <w:snapToGrid w:val="0"/>
        <w:ind w:firstLine="0"/>
        <w:jc w:val="left"/>
        <w:rPr>
          <w:kern w:val="18"/>
          <w:szCs w:val="18"/>
        </w:rPr>
      </w:pPr>
      <w:r w:rsidRPr="00C91779">
        <w:rPr>
          <w:rStyle w:val="Appelnotedebasdep"/>
          <w:kern w:val="18"/>
          <w:szCs w:val="18"/>
          <w:u w:val="none"/>
          <w:vertAlign w:val="superscript"/>
        </w:rPr>
        <w:footnoteRef/>
      </w:r>
      <w:r w:rsidRPr="00C91779">
        <w:rPr>
          <w:kern w:val="18"/>
          <w:szCs w:val="18"/>
        </w:rPr>
        <w:t xml:space="preserve"> </w:t>
      </w:r>
      <w:hyperlink r:id="rId14" w:history="1">
        <w:r w:rsidRPr="00C91779">
          <w:rPr>
            <w:rStyle w:val="Lienhypertexte"/>
            <w:kern w:val="18"/>
            <w:szCs w:val="18"/>
          </w:rPr>
          <w:t>https://www.thegef.org/council-meeting-documents/policy-gender-equality</w:t>
        </w:r>
      </w:hyperlink>
      <w:r w:rsidR="005C5C8D" w:rsidRPr="005C5C8D">
        <w:rPr>
          <w:rStyle w:val="Lienhypertexte"/>
          <w:kern w:val="18"/>
          <w:szCs w:val="18"/>
          <w:u w:val="none"/>
        </w:rPr>
        <w:t xml:space="preserve"> </w:t>
      </w:r>
      <w:r w:rsidR="005C5C8D">
        <w:rPr>
          <w:kern w:val="18"/>
          <w:szCs w:val="18"/>
          <w:lang w:val="fr-FR"/>
        </w:rPr>
        <w:t>(e</w:t>
      </w:r>
      <w:r w:rsidR="005C5C8D" w:rsidRPr="005C5C8D">
        <w:rPr>
          <w:kern w:val="18"/>
          <w:szCs w:val="18"/>
          <w:lang w:val="fr-FR"/>
        </w:rPr>
        <w:t>n anglais</w:t>
      </w:r>
      <w:r w:rsidR="005C5C8D">
        <w:rPr>
          <w:kern w:val="18"/>
          <w:szCs w:val="18"/>
          <w:lang w:val="fr-FR"/>
        </w:rPr>
        <w:t>)</w:t>
      </w:r>
    </w:p>
  </w:footnote>
  <w:footnote w:id="17">
    <w:p w:rsidR="009E6D2C" w:rsidRPr="00C91779" w:rsidRDefault="009E6D2C" w:rsidP="009A2943">
      <w:pPr>
        <w:pStyle w:val="Notedebasdepage"/>
        <w:suppressLineNumbers/>
        <w:suppressAutoHyphens/>
        <w:kinsoku w:val="0"/>
        <w:overflowPunct w:val="0"/>
        <w:autoSpaceDE w:val="0"/>
        <w:autoSpaceDN w:val="0"/>
        <w:adjustRightInd w:val="0"/>
        <w:snapToGrid w:val="0"/>
        <w:ind w:firstLine="0"/>
        <w:jc w:val="left"/>
        <w:rPr>
          <w:kern w:val="18"/>
          <w:szCs w:val="18"/>
        </w:rPr>
      </w:pPr>
      <w:r w:rsidRPr="00C91779">
        <w:rPr>
          <w:rStyle w:val="Appelnotedebasdep"/>
          <w:kern w:val="18"/>
          <w:szCs w:val="18"/>
          <w:u w:val="none"/>
          <w:vertAlign w:val="superscript"/>
        </w:rPr>
        <w:footnoteRef/>
      </w:r>
      <w:r w:rsidRPr="00C91779">
        <w:rPr>
          <w:kern w:val="18"/>
          <w:szCs w:val="18"/>
        </w:rPr>
        <w:t xml:space="preserve"> </w:t>
      </w:r>
      <w:hyperlink r:id="rId15" w:history="1">
        <w:r w:rsidRPr="00C91779">
          <w:rPr>
            <w:rStyle w:val="Lienhypertexte"/>
            <w:kern w:val="18"/>
            <w:szCs w:val="18"/>
          </w:rPr>
          <w:t>https://www.cbd.int/doc/notifications/2017/ntf-2017-052-post2020-en.pdf</w:t>
        </w:r>
      </w:hyperlink>
      <w:r w:rsidRPr="00C91779">
        <w:rPr>
          <w:rStyle w:val="Lienhypertexte"/>
          <w:kern w:val="18"/>
          <w:szCs w:val="18"/>
        </w:rPr>
        <w:t xml:space="preserve">; </w:t>
      </w:r>
      <w:hyperlink r:id="rId16" w:history="1">
        <w:r w:rsidRPr="00C91779">
          <w:rPr>
            <w:rStyle w:val="Lienhypertexte"/>
            <w:kern w:val="18"/>
            <w:szCs w:val="18"/>
          </w:rPr>
          <w:t>https://www.cbd.int/doc/notifications/2017/ntf-2017-124-post2020-en.pdf</w:t>
        </w:r>
      </w:hyperlink>
      <w:r w:rsidR="005C5C8D">
        <w:rPr>
          <w:rStyle w:val="Lienhypertexte"/>
          <w:kern w:val="18"/>
          <w:szCs w:val="18"/>
        </w:rPr>
        <w:t xml:space="preserve"> </w:t>
      </w:r>
      <w:r w:rsidR="005C5C8D">
        <w:rPr>
          <w:kern w:val="18"/>
          <w:szCs w:val="18"/>
          <w:lang w:val="fr-FR"/>
        </w:rPr>
        <w:t>(e</w:t>
      </w:r>
      <w:r w:rsidR="005C5C8D" w:rsidRPr="005C5C8D">
        <w:rPr>
          <w:kern w:val="18"/>
          <w:szCs w:val="18"/>
          <w:lang w:val="fr-FR"/>
        </w:rPr>
        <w:t>n anglais</w:t>
      </w:r>
      <w:r w:rsidR="005C5C8D">
        <w:rPr>
          <w:kern w:val="18"/>
          <w:szCs w:val="18"/>
          <w:lang w:val="fr-FR"/>
        </w:rPr>
        <w:t>)</w:t>
      </w:r>
    </w:p>
  </w:footnote>
  <w:footnote w:id="18">
    <w:p w:rsidR="009E6D2C" w:rsidRPr="005C5C8D" w:rsidRDefault="009E6D2C" w:rsidP="00C91779">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5C5C8D">
        <w:rPr>
          <w:rStyle w:val="Appelnotedebasdep"/>
          <w:kern w:val="18"/>
          <w:szCs w:val="18"/>
          <w:u w:val="none"/>
          <w:vertAlign w:val="superscript"/>
          <w:lang w:val="fr-FR"/>
        </w:rPr>
        <w:footnoteRef/>
      </w:r>
      <w:r w:rsidRPr="005C5C8D">
        <w:rPr>
          <w:kern w:val="18"/>
          <w:szCs w:val="18"/>
          <w:lang w:val="fr-FR"/>
        </w:rPr>
        <w:t xml:space="preserve"> </w:t>
      </w:r>
      <w:r w:rsidR="005C5C8D" w:rsidRPr="005C5C8D">
        <w:rPr>
          <w:kern w:val="18"/>
          <w:szCs w:val="18"/>
          <w:lang w:val="fr-FR"/>
        </w:rPr>
        <w:t>Cibles </w:t>
      </w:r>
      <w:r w:rsidR="005C5C8D">
        <w:rPr>
          <w:kern w:val="18"/>
          <w:szCs w:val="18"/>
          <w:lang w:val="fr-FR"/>
        </w:rPr>
        <w:t>1.4, 2.3 et </w:t>
      </w:r>
      <w:r w:rsidRPr="005C5C8D">
        <w:rPr>
          <w:kern w:val="18"/>
          <w:szCs w:val="18"/>
          <w:lang w:val="fr-FR"/>
        </w:rPr>
        <w:t xml:space="preserve">5.a </w:t>
      </w:r>
      <w:r w:rsidR="005C5C8D">
        <w:rPr>
          <w:kern w:val="18"/>
          <w:szCs w:val="18"/>
          <w:lang w:val="fr-FR"/>
        </w:rPr>
        <w:t>des Objectifs de développement durable</w:t>
      </w:r>
      <w:r w:rsidRPr="005C5C8D">
        <w:rPr>
          <w:kern w:val="18"/>
          <w:szCs w:val="18"/>
          <w:lang w:val="fr-FR"/>
        </w:rPr>
        <w:t>.</w:t>
      </w:r>
    </w:p>
  </w:footnote>
  <w:footnote w:id="19">
    <w:p w:rsidR="009E6D2C" w:rsidRPr="005C5C8D" w:rsidRDefault="009E6D2C" w:rsidP="009042F7">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sidRPr="005C5C8D">
        <w:rPr>
          <w:rStyle w:val="Appelnotedebasdep"/>
          <w:kern w:val="18"/>
          <w:szCs w:val="18"/>
          <w:u w:val="none"/>
          <w:vertAlign w:val="superscript"/>
          <w:lang w:val="fr-FR"/>
        </w:rPr>
        <w:footnoteRef/>
      </w:r>
      <w:r w:rsidR="005C5C8D">
        <w:rPr>
          <w:kern w:val="18"/>
          <w:szCs w:val="18"/>
          <w:lang w:val="fr-FR"/>
        </w:rPr>
        <w:t xml:space="preserve"> Le Plan d’action de la CNUCC a été adopté à la vingt-troisième </w:t>
      </w:r>
      <w:r w:rsidRPr="005C5C8D">
        <w:rPr>
          <w:kern w:val="18"/>
          <w:szCs w:val="18"/>
          <w:lang w:val="fr-FR"/>
        </w:rPr>
        <w:t xml:space="preserve">session </w:t>
      </w:r>
      <w:r w:rsidR="005C5C8D">
        <w:rPr>
          <w:kern w:val="18"/>
          <w:szCs w:val="18"/>
          <w:lang w:val="fr-FR"/>
        </w:rPr>
        <w:t>de la Confé</w:t>
      </w:r>
      <w:r w:rsidRPr="005C5C8D">
        <w:rPr>
          <w:kern w:val="18"/>
          <w:szCs w:val="18"/>
          <w:lang w:val="fr-FR"/>
        </w:rPr>
        <w:t xml:space="preserve">rence </w:t>
      </w:r>
      <w:r w:rsidR="005C5C8D">
        <w:rPr>
          <w:kern w:val="18"/>
          <w:szCs w:val="18"/>
          <w:lang w:val="fr-FR"/>
        </w:rPr>
        <w:t>des</w:t>
      </w:r>
      <w:r w:rsidRPr="005C5C8D">
        <w:rPr>
          <w:kern w:val="18"/>
          <w:szCs w:val="18"/>
          <w:lang w:val="fr-FR"/>
        </w:rPr>
        <w:t xml:space="preserve"> Parties</w:t>
      </w:r>
      <w:r w:rsidR="005C5C8D">
        <w:rPr>
          <w:kern w:val="18"/>
          <w:szCs w:val="18"/>
          <w:lang w:val="fr-FR"/>
        </w:rPr>
        <w:t xml:space="preserve"> tenue à</w:t>
      </w:r>
      <w:r w:rsidRPr="005C5C8D">
        <w:rPr>
          <w:kern w:val="18"/>
          <w:szCs w:val="18"/>
          <w:lang w:val="fr-FR"/>
        </w:rPr>
        <w:t xml:space="preserve"> Bonn </w:t>
      </w:r>
      <w:r w:rsidR="005C5C8D">
        <w:rPr>
          <w:kern w:val="18"/>
          <w:szCs w:val="18"/>
          <w:lang w:val="fr-FR"/>
        </w:rPr>
        <w:t>du</w:t>
      </w:r>
      <w:r w:rsidRPr="005C5C8D">
        <w:rPr>
          <w:kern w:val="18"/>
          <w:szCs w:val="18"/>
          <w:lang w:val="fr-FR"/>
        </w:rPr>
        <w:t xml:space="preserve"> 6</w:t>
      </w:r>
      <w:r w:rsidR="005C5C8D">
        <w:rPr>
          <w:kern w:val="18"/>
          <w:szCs w:val="18"/>
          <w:lang w:val="fr-FR"/>
        </w:rPr>
        <w:t xml:space="preserve"> au </w:t>
      </w:r>
      <w:r w:rsidRPr="005C5C8D">
        <w:rPr>
          <w:kern w:val="18"/>
          <w:szCs w:val="18"/>
          <w:lang w:val="fr-FR"/>
        </w:rPr>
        <w:t>17</w:t>
      </w:r>
      <w:r w:rsidR="005C5C8D">
        <w:rPr>
          <w:kern w:val="18"/>
          <w:szCs w:val="18"/>
          <w:lang w:val="fr-FR"/>
        </w:rPr>
        <w:t xml:space="preserve"> novembre </w:t>
      </w:r>
      <w:r w:rsidRPr="005C5C8D">
        <w:rPr>
          <w:kern w:val="18"/>
          <w:szCs w:val="18"/>
          <w:lang w:val="fr-FR"/>
        </w:rPr>
        <w:t>2017</w:t>
      </w:r>
      <w:r w:rsidR="00B643A2">
        <w:rPr>
          <w:kern w:val="18"/>
          <w:szCs w:val="18"/>
          <w:lang w:val="fr-FR"/>
        </w:rPr>
        <w:t>, et c</w:t>
      </w:r>
      <w:r w:rsidR="005C5C8D">
        <w:rPr>
          <w:kern w:val="18"/>
          <w:szCs w:val="18"/>
          <w:lang w:val="fr-FR"/>
        </w:rPr>
        <w:t xml:space="preserve">elui de </w:t>
      </w:r>
      <w:r w:rsidR="00B643A2">
        <w:rPr>
          <w:kern w:val="18"/>
          <w:szCs w:val="18"/>
          <w:lang w:val="fr-FR"/>
        </w:rPr>
        <w:t xml:space="preserve">la CNULD, </w:t>
      </w:r>
      <w:r w:rsidR="005C5C8D">
        <w:rPr>
          <w:kern w:val="18"/>
          <w:szCs w:val="18"/>
          <w:lang w:val="fr-FR"/>
        </w:rPr>
        <w:t>à la treizième session de Confé</w:t>
      </w:r>
      <w:r w:rsidR="005C5C8D" w:rsidRPr="005C5C8D">
        <w:rPr>
          <w:kern w:val="18"/>
          <w:szCs w:val="18"/>
          <w:lang w:val="fr-FR"/>
        </w:rPr>
        <w:t xml:space="preserve">rence </w:t>
      </w:r>
      <w:r w:rsidR="005C5C8D">
        <w:rPr>
          <w:kern w:val="18"/>
          <w:szCs w:val="18"/>
          <w:lang w:val="fr-FR"/>
        </w:rPr>
        <w:t>des</w:t>
      </w:r>
      <w:r w:rsidR="005C5C8D" w:rsidRPr="005C5C8D">
        <w:rPr>
          <w:kern w:val="18"/>
          <w:szCs w:val="18"/>
          <w:lang w:val="fr-FR"/>
        </w:rPr>
        <w:t xml:space="preserve"> Parties</w:t>
      </w:r>
      <w:r w:rsidR="005C5C8D">
        <w:rPr>
          <w:kern w:val="18"/>
          <w:szCs w:val="18"/>
          <w:lang w:val="fr-FR"/>
        </w:rPr>
        <w:t xml:space="preserve"> tenue Ordos (Chine) du </w:t>
      </w:r>
      <w:r w:rsidRPr="005C5C8D">
        <w:rPr>
          <w:kern w:val="18"/>
          <w:szCs w:val="18"/>
          <w:lang w:val="fr-FR"/>
        </w:rPr>
        <w:t>6</w:t>
      </w:r>
      <w:r w:rsidR="005C5C8D">
        <w:rPr>
          <w:kern w:val="18"/>
          <w:szCs w:val="18"/>
          <w:lang w:val="fr-FR"/>
        </w:rPr>
        <w:t> au</w:t>
      </w:r>
      <w:r w:rsidRPr="005C5C8D">
        <w:rPr>
          <w:kern w:val="18"/>
          <w:szCs w:val="18"/>
          <w:lang w:val="fr-FR"/>
        </w:rPr>
        <w:t xml:space="preserve"> 16</w:t>
      </w:r>
      <w:r w:rsidR="005C5C8D">
        <w:rPr>
          <w:kern w:val="18"/>
          <w:szCs w:val="18"/>
          <w:lang w:val="fr-FR"/>
        </w:rPr>
        <w:t xml:space="preserve"> septembre </w:t>
      </w:r>
      <w:r w:rsidRPr="005C5C8D">
        <w:rPr>
          <w:kern w:val="18"/>
          <w:szCs w:val="18"/>
          <w:lang w:val="fr-FR"/>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9E6D2C" w:rsidRDefault="009E6D2C" w:rsidP="00C91779">
        <w:pPr>
          <w:pStyle w:val="En-tte"/>
          <w:suppressLineNumbers/>
          <w:tabs>
            <w:tab w:val="clear" w:pos="4320"/>
            <w:tab w:val="clear" w:pos="8640"/>
          </w:tabs>
          <w:suppressAutoHyphens/>
          <w:kinsoku w:val="0"/>
          <w:overflowPunct w:val="0"/>
          <w:autoSpaceDE w:val="0"/>
          <w:autoSpaceDN w:val="0"/>
          <w:jc w:val="left"/>
          <w:rPr>
            <w:noProof/>
            <w:kern w:val="22"/>
          </w:rPr>
        </w:pPr>
        <w:r>
          <w:rPr>
            <w:noProof/>
            <w:kern w:val="22"/>
          </w:rPr>
          <w:t>CBD/SBI/2/2/Add.3</w:t>
        </w:r>
      </w:p>
    </w:sdtContent>
  </w:sdt>
  <w:p w:rsidR="009E6D2C" w:rsidRPr="005440A6" w:rsidRDefault="009E6D2C" w:rsidP="00C91779">
    <w:pPr>
      <w:pStyle w:val="En-tte"/>
      <w:suppressLineNumbers/>
      <w:tabs>
        <w:tab w:val="clear" w:pos="4320"/>
        <w:tab w:val="clear" w:pos="8640"/>
      </w:tabs>
      <w:suppressAutoHyphen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B501E">
      <w:rPr>
        <w:noProof/>
        <w:kern w:val="22"/>
      </w:rPr>
      <w:t>8</w:t>
    </w:r>
    <w:r w:rsidRPr="005440A6">
      <w:rPr>
        <w:noProof/>
        <w:kern w:val="22"/>
      </w:rPr>
      <w:fldChar w:fldCharType="end"/>
    </w:r>
  </w:p>
  <w:p w:rsidR="009E6D2C" w:rsidRPr="005440A6" w:rsidRDefault="009E6D2C" w:rsidP="00C91779">
    <w:pPr>
      <w:pStyle w:val="En-tte"/>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9E6D2C" w:rsidRPr="005440A6" w:rsidRDefault="009E6D2C" w:rsidP="00C91779">
        <w:pPr>
          <w:pStyle w:val="En-tte"/>
          <w:suppressLineNumbers/>
          <w:tabs>
            <w:tab w:val="clear" w:pos="4320"/>
            <w:tab w:val="clear" w:pos="8640"/>
          </w:tabs>
          <w:suppressAutoHyphens/>
          <w:kinsoku w:val="0"/>
          <w:overflowPunct w:val="0"/>
          <w:autoSpaceDE w:val="0"/>
          <w:autoSpaceDN w:val="0"/>
          <w:adjustRightInd w:val="0"/>
          <w:snapToGrid w:val="0"/>
          <w:jc w:val="right"/>
          <w:rPr>
            <w:noProof/>
            <w:kern w:val="22"/>
          </w:rPr>
        </w:pPr>
        <w:r>
          <w:rPr>
            <w:noProof/>
            <w:kern w:val="22"/>
          </w:rPr>
          <w:t>CBD/SBI/2/2/Add.3</w:t>
        </w:r>
      </w:p>
    </w:sdtContent>
  </w:sdt>
  <w:p w:rsidR="009E6D2C" w:rsidRPr="005440A6" w:rsidRDefault="009E6D2C" w:rsidP="00C91779">
    <w:pPr>
      <w:pStyle w:val="En-tte"/>
      <w:suppressLineNumbers/>
      <w:tabs>
        <w:tab w:val="clear" w:pos="4320"/>
        <w:tab w:val="clear" w:pos="8640"/>
      </w:tabs>
      <w:suppressAutoHyphens/>
      <w:kinsoku w:val="0"/>
      <w:overflowPunct w:val="0"/>
      <w:autoSpaceDE w:val="0"/>
      <w:autoSpaceDN w:val="0"/>
      <w:adjustRightInd w:val="0"/>
      <w:snapToGrid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B501E">
      <w:rPr>
        <w:noProof/>
        <w:kern w:val="22"/>
      </w:rPr>
      <w:t>7</w:t>
    </w:r>
    <w:r w:rsidRPr="005440A6">
      <w:rPr>
        <w:noProof/>
        <w:kern w:val="22"/>
      </w:rPr>
      <w:fldChar w:fldCharType="end"/>
    </w:r>
  </w:p>
  <w:p w:rsidR="009E6D2C" w:rsidRPr="005440A6" w:rsidRDefault="009E6D2C" w:rsidP="00C91779">
    <w:pPr>
      <w:pStyle w:val="En-tte"/>
      <w:suppressLineNumbers/>
      <w:tabs>
        <w:tab w:val="clear" w:pos="4320"/>
        <w:tab w:val="clear" w:pos="8640"/>
      </w:tabs>
      <w:suppressAutoHyphen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05pt;height:408.3pt;visibility:visible;mso-wrap-style:squar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5662E"/>
    <w:multiLevelType w:val="hybridMultilevel"/>
    <w:tmpl w:val="5C82584A"/>
    <w:lvl w:ilvl="0" w:tplc="AA40024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B2E2413"/>
    <w:multiLevelType w:val="hybridMultilevel"/>
    <w:tmpl w:val="87C40B40"/>
    <w:lvl w:ilvl="0" w:tplc="04090015">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E29F2"/>
    <w:multiLevelType w:val="hybridMultilevel"/>
    <w:tmpl w:val="C8C251B2"/>
    <w:lvl w:ilvl="0" w:tplc="CAB40D4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45F5489"/>
    <w:multiLevelType w:val="hybridMultilevel"/>
    <w:tmpl w:val="8682A014"/>
    <w:lvl w:ilvl="0" w:tplc="C44639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A2300"/>
    <w:multiLevelType w:val="hybridMultilevel"/>
    <w:tmpl w:val="62A26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E43C91"/>
    <w:multiLevelType w:val="singleLevel"/>
    <w:tmpl w:val="7174E9C0"/>
    <w:lvl w:ilvl="0">
      <w:start w:val="1"/>
      <w:numFmt w:val="decimal"/>
      <w:lvlText w:val="%1."/>
      <w:lvlJc w:val="left"/>
      <w:pPr>
        <w:tabs>
          <w:tab w:val="num" w:pos="360"/>
        </w:tabs>
        <w:ind w:left="0" w:firstLine="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4A6EF01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3CA3E99"/>
    <w:multiLevelType w:val="hybridMultilevel"/>
    <w:tmpl w:val="E8C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322478"/>
    <w:multiLevelType w:val="hybridMultilevel"/>
    <w:tmpl w:val="E8C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1">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901BFD"/>
    <w:multiLevelType w:val="hybridMultilevel"/>
    <w:tmpl w:val="418AD438"/>
    <w:lvl w:ilvl="0" w:tplc="4B9AA6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ED0ABC"/>
    <w:multiLevelType w:val="hybridMultilevel"/>
    <w:tmpl w:val="2054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693789"/>
    <w:multiLevelType w:val="hybridMultilevel"/>
    <w:tmpl w:val="E9EA6D66"/>
    <w:lvl w:ilvl="0" w:tplc="8410FE5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33"/>
  </w:num>
  <w:num w:numId="5">
    <w:abstractNumId w:val="15"/>
  </w:num>
  <w:num w:numId="6">
    <w:abstractNumId w:val="24"/>
  </w:num>
  <w:num w:numId="7">
    <w:abstractNumId w:val="20"/>
  </w:num>
  <w:num w:numId="8">
    <w:abstractNumId w:val="18"/>
  </w:num>
  <w:num w:numId="9">
    <w:abstractNumId w:val="24"/>
  </w:num>
  <w:num w:numId="10">
    <w:abstractNumId w:val="23"/>
  </w:num>
  <w:num w:numId="11">
    <w:abstractNumId w:val="19"/>
  </w:num>
  <w:num w:numId="12">
    <w:abstractNumId w:val="10"/>
  </w:num>
  <w:num w:numId="13">
    <w:abstractNumId w:val="22"/>
  </w:num>
  <w:num w:numId="14">
    <w:abstractNumId w:val="2"/>
  </w:num>
  <w:num w:numId="15">
    <w:abstractNumId w:val="36"/>
  </w:num>
  <w:num w:numId="16">
    <w:abstractNumId w:val="27"/>
  </w:num>
  <w:num w:numId="17">
    <w:abstractNumId w:val="9"/>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7"/>
  </w:num>
  <w:num w:numId="21">
    <w:abstractNumId w:val="29"/>
  </w:num>
  <w:num w:numId="22">
    <w:abstractNumId w:val="25"/>
  </w:num>
  <w:num w:numId="23">
    <w:abstractNumId w:val="11"/>
  </w:num>
  <w:num w:numId="24">
    <w:abstractNumId w:val="31"/>
  </w:num>
  <w:num w:numId="25">
    <w:abstractNumId w:val="32"/>
  </w:num>
  <w:num w:numId="26">
    <w:abstractNumId w:val="21"/>
  </w:num>
  <w:num w:numId="27">
    <w:abstractNumId w:val="24"/>
  </w:num>
  <w:num w:numId="28">
    <w:abstractNumId w:val="24"/>
  </w:num>
  <w:num w:numId="29">
    <w:abstractNumId w:val="24"/>
  </w:num>
  <w:num w:numId="30">
    <w:abstractNumId w:val="24"/>
  </w:num>
  <w:num w:numId="31">
    <w:abstractNumId w:val="3"/>
  </w:num>
  <w:num w:numId="32">
    <w:abstractNumId w:val="5"/>
  </w:num>
  <w:num w:numId="33">
    <w:abstractNumId w:val="6"/>
  </w:num>
  <w:num w:numId="34">
    <w:abstractNumId w:val="0"/>
  </w:num>
  <w:num w:numId="35">
    <w:abstractNumId w:val="30"/>
  </w:num>
  <w:num w:numId="36">
    <w:abstractNumId w:val="34"/>
  </w:num>
  <w:num w:numId="37">
    <w:abstractNumId w:val="1"/>
  </w:num>
  <w:num w:numId="38">
    <w:abstractNumId w:val="28"/>
  </w:num>
  <w:num w:numId="39">
    <w:abstractNumId w:val="16"/>
  </w:num>
  <w:num w:numId="40">
    <w:abstractNumId w:val="26"/>
  </w:num>
  <w:num w:numId="41">
    <w:abstractNumId w:val="17"/>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37"/>
  </w:num>
  <w:num w:numId="67">
    <w:abstractNumId w:val="4"/>
  </w:num>
  <w:num w:numId="68">
    <w:abstractNumId w:val="35"/>
  </w:num>
  <w:num w:numId="69">
    <w:abstractNumId w:val="8"/>
  </w:num>
  <w:num w:numId="70">
    <w:abstractNumId w:val="24"/>
  </w:num>
  <w:num w:numId="71">
    <w:abstractNumId w:val="24"/>
  </w:num>
  <w:num w:numId="72">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12045"/>
    <w:rsid w:val="00020235"/>
    <w:rsid w:val="000219AC"/>
    <w:rsid w:val="0002408A"/>
    <w:rsid w:val="000270A2"/>
    <w:rsid w:val="00031D24"/>
    <w:rsid w:val="00037873"/>
    <w:rsid w:val="000454C9"/>
    <w:rsid w:val="0004657D"/>
    <w:rsid w:val="000514AE"/>
    <w:rsid w:val="00054381"/>
    <w:rsid w:val="000553DA"/>
    <w:rsid w:val="000703C8"/>
    <w:rsid w:val="00070749"/>
    <w:rsid w:val="000711E1"/>
    <w:rsid w:val="00073708"/>
    <w:rsid w:val="0007768E"/>
    <w:rsid w:val="0008041B"/>
    <w:rsid w:val="00082862"/>
    <w:rsid w:val="000835D1"/>
    <w:rsid w:val="00084201"/>
    <w:rsid w:val="0008430F"/>
    <w:rsid w:val="00096050"/>
    <w:rsid w:val="000A112A"/>
    <w:rsid w:val="000A2CDA"/>
    <w:rsid w:val="000A4182"/>
    <w:rsid w:val="000A6A37"/>
    <w:rsid w:val="000B14DB"/>
    <w:rsid w:val="000B33CF"/>
    <w:rsid w:val="000B4C92"/>
    <w:rsid w:val="000B57CE"/>
    <w:rsid w:val="000D147A"/>
    <w:rsid w:val="000D5BB0"/>
    <w:rsid w:val="000E21D4"/>
    <w:rsid w:val="000E637D"/>
    <w:rsid w:val="000E7E6A"/>
    <w:rsid w:val="000F63AB"/>
    <w:rsid w:val="000F7A9F"/>
    <w:rsid w:val="00102A65"/>
    <w:rsid w:val="0012214B"/>
    <w:rsid w:val="001267AD"/>
    <w:rsid w:val="001341C0"/>
    <w:rsid w:val="00141343"/>
    <w:rsid w:val="00142E7F"/>
    <w:rsid w:val="0014476C"/>
    <w:rsid w:val="00154FAF"/>
    <w:rsid w:val="00164F5A"/>
    <w:rsid w:val="00166367"/>
    <w:rsid w:val="00173C20"/>
    <w:rsid w:val="001768A2"/>
    <w:rsid w:val="00177203"/>
    <w:rsid w:val="00181343"/>
    <w:rsid w:val="00182F34"/>
    <w:rsid w:val="0018302C"/>
    <w:rsid w:val="00192E06"/>
    <w:rsid w:val="00197FAF"/>
    <w:rsid w:val="001A5072"/>
    <w:rsid w:val="001A7D01"/>
    <w:rsid w:val="001C2E59"/>
    <w:rsid w:val="001C44F2"/>
    <w:rsid w:val="001D23FA"/>
    <w:rsid w:val="001D6956"/>
    <w:rsid w:val="001D7FDA"/>
    <w:rsid w:val="001E422D"/>
    <w:rsid w:val="001E770D"/>
    <w:rsid w:val="001F1D52"/>
    <w:rsid w:val="001F6379"/>
    <w:rsid w:val="00200B64"/>
    <w:rsid w:val="00204415"/>
    <w:rsid w:val="002051C7"/>
    <w:rsid w:val="00207A6E"/>
    <w:rsid w:val="00211AAF"/>
    <w:rsid w:val="00217741"/>
    <w:rsid w:val="00217F74"/>
    <w:rsid w:val="00223E86"/>
    <w:rsid w:val="00224B92"/>
    <w:rsid w:val="002316AE"/>
    <w:rsid w:val="002357E1"/>
    <w:rsid w:val="002367E2"/>
    <w:rsid w:val="002445E9"/>
    <w:rsid w:val="0025090E"/>
    <w:rsid w:val="00252897"/>
    <w:rsid w:val="00252E93"/>
    <w:rsid w:val="00276BA9"/>
    <w:rsid w:val="00282B64"/>
    <w:rsid w:val="00286B55"/>
    <w:rsid w:val="002A1950"/>
    <w:rsid w:val="002A277A"/>
    <w:rsid w:val="002A53D7"/>
    <w:rsid w:val="002A599C"/>
    <w:rsid w:val="002A7336"/>
    <w:rsid w:val="002B0942"/>
    <w:rsid w:val="002B7AA3"/>
    <w:rsid w:val="002C2D04"/>
    <w:rsid w:val="002C4BDB"/>
    <w:rsid w:val="002C6E53"/>
    <w:rsid w:val="002D5A61"/>
    <w:rsid w:val="002E0627"/>
    <w:rsid w:val="002E4181"/>
    <w:rsid w:val="002F216D"/>
    <w:rsid w:val="002F3E73"/>
    <w:rsid w:val="002F6275"/>
    <w:rsid w:val="002F66E7"/>
    <w:rsid w:val="002F6A0C"/>
    <w:rsid w:val="003002DF"/>
    <w:rsid w:val="003106D1"/>
    <w:rsid w:val="00314962"/>
    <w:rsid w:val="003210FF"/>
    <w:rsid w:val="00322DFC"/>
    <w:rsid w:val="00325DE3"/>
    <w:rsid w:val="00326406"/>
    <w:rsid w:val="003268CB"/>
    <w:rsid w:val="00327D08"/>
    <w:rsid w:val="00335872"/>
    <w:rsid w:val="00336766"/>
    <w:rsid w:val="00351958"/>
    <w:rsid w:val="003550EC"/>
    <w:rsid w:val="00362C71"/>
    <w:rsid w:val="00364306"/>
    <w:rsid w:val="00365144"/>
    <w:rsid w:val="00380404"/>
    <w:rsid w:val="00384943"/>
    <w:rsid w:val="00392950"/>
    <w:rsid w:val="003A5B09"/>
    <w:rsid w:val="003B0EF1"/>
    <w:rsid w:val="003B10B9"/>
    <w:rsid w:val="003B3F50"/>
    <w:rsid w:val="003C0423"/>
    <w:rsid w:val="003C113F"/>
    <w:rsid w:val="003C169F"/>
    <w:rsid w:val="003E0954"/>
    <w:rsid w:val="003E25F6"/>
    <w:rsid w:val="003E2DAE"/>
    <w:rsid w:val="003E47AE"/>
    <w:rsid w:val="003E5A82"/>
    <w:rsid w:val="003F6E44"/>
    <w:rsid w:val="00400BC6"/>
    <w:rsid w:val="0040168C"/>
    <w:rsid w:val="00401F4B"/>
    <w:rsid w:val="00402BC3"/>
    <w:rsid w:val="00403DAF"/>
    <w:rsid w:val="00404203"/>
    <w:rsid w:val="00406BC6"/>
    <w:rsid w:val="00430F10"/>
    <w:rsid w:val="00432428"/>
    <w:rsid w:val="004375B4"/>
    <w:rsid w:val="0044424E"/>
    <w:rsid w:val="00451E09"/>
    <w:rsid w:val="00454AA7"/>
    <w:rsid w:val="00460DC9"/>
    <w:rsid w:val="004763C6"/>
    <w:rsid w:val="0048173C"/>
    <w:rsid w:val="00491D72"/>
    <w:rsid w:val="0049659D"/>
    <w:rsid w:val="004A1DCD"/>
    <w:rsid w:val="004A2735"/>
    <w:rsid w:val="004A3488"/>
    <w:rsid w:val="004B3C27"/>
    <w:rsid w:val="004B597A"/>
    <w:rsid w:val="004B61B0"/>
    <w:rsid w:val="004C1E80"/>
    <w:rsid w:val="004C7396"/>
    <w:rsid w:val="004D0165"/>
    <w:rsid w:val="004D6FA6"/>
    <w:rsid w:val="004E7973"/>
    <w:rsid w:val="004F32C8"/>
    <w:rsid w:val="00500530"/>
    <w:rsid w:val="00501E7D"/>
    <w:rsid w:val="005032C9"/>
    <w:rsid w:val="0051396E"/>
    <w:rsid w:val="00516C26"/>
    <w:rsid w:val="005172AD"/>
    <w:rsid w:val="00531383"/>
    <w:rsid w:val="00542D7B"/>
    <w:rsid w:val="00542FFF"/>
    <w:rsid w:val="005440A6"/>
    <w:rsid w:val="005468D5"/>
    <w:rsid w:val="00550E94"/>
    <w:rsid w:val="005955D2"/>
    <w:rsid w:val="005A0C33"/>
    <w:rsid w:val="005A4099"/>
    <w:rsid w:val="005A4284"/>
    <w:rsid w:val="005B25A1"/>
    <w:rsid w:val="005C5C8D"/>
    <w:rsid w:val="005C69CF"/>
    <w:rsid w:val="005D054B"/>
    <w:rsid w:val="005D139C"/>
    <w:rsid w:val="005D3BE4"/>
    <w:rsid w:val="005D420C"/>
    <w:rsid w:val="005D46C1"/>
    <w:rsid w:val="005D506F"/>
    <w:rsid w:val="005D5CEA"/>
    <w:rsid w:val="005E2BF7"/>
    <w:rsid w:val="005E4E31"/>
    <w:rsid w:val="005E6848"/>
    <w:rsid w:val="005F0D96"/>
    <w:rsid w:val="005F4C74"/>
    <w:rsid w:val="005F64E5"/>
    <w:rsid w:val="005F6AEE"/>
    <w:rsid w:val="00602679"/>
    <w:rsid w:val="00606302"/>
    <w:rsid w:val="00622820"/>
    <w:rsid w:val="006260D5"/>
    <w:rsid w:val="00630E63"/>
    <w:rsid w:val="00642488"/>
    <w:rsid w:val="00646A7B"/>
    <w:rsid w:val="006507F2"/>
    <w:rsid w:val="00653B4B"/>
    <w:rsid w:val="0066107D"/>
    <w:rsid w:val="006647C7"/>
    <w:rsid w:val="00665B74"/>
    <w:rsid w:val="00666145"/>
    <w:rsid w:val="00667B74"/>
    <w:rsid w:val="00675989"/>
    <w:rsid w:val="006816A2"/>
    <w:rsid w:val="006840E1"/>
    <w:rsid w:val="00684B52"/>
    <w:rsid w:val="00685DBB"/>
    <w:rsid w:val="00690847"/>
    <w:rsid w:val="006936A6"/>
    <w:rsid w:val="006A1C6B"/>
    <w:rsid w:val="006A241A"/>
    <w:rsid w:val="006B074E"/>
    <w:rsid w:val="006B2BD5"/>
    <w:rsid w:val="006B41E0"/>
    <w:rsid w:val="006D0E3D"/>
    <w:rsid w:val="006D6C0A"/>
    <w:rsid w:val="006E48AE"/>
    <w:rsid w:val="006F02B4"/>
    <w:rsid w:val="006F14E6"/>
    <w:rsid w:val="006F1807"/>
    <w:rsid w:val="006F284C"/>
    <w:rsid w:val="006F7227"/>
    <w:rsid w:val="006F7E12"/>
    <w:rsid w:val="00702366"/>
    <w:rsid w:val="0070399F"/>
    <w:rsid w:val="0070588B"/>
    <w:rsid w:val="00715034"/>
    <w:rsid w:val="007163BC"/>
    <w:rsid w:val="00717E7B"/>
    <w:rsid w:val="00730AE3"/>
    <w:rsid w:val="00730FAD"/>
    <w:rsid w:val="00736BC2"/>
    <w:rsid w:val="00740B4A"/>
    <w:rsid w:val="007412A0"/>
    <w:rsid w:val="00746DFC"/>
    <w:rsid w:val="0076229C"/>
    <w:rsid w:val="00766349"/>
    <w:rsid w:val="00772DF8"/>
    <w:rsid w:val="0077573D"/>
    <w:rsid w:val="00777AAD"/>
    <w:rsid w:val="00781121"/>
    <w:rsid w:val="0079325E"/>
    <w:rsid w:val="007A0868"/>
    <w:rsid w:val="007A2EC7"/>
    <w:rsid w:val="007B1587"/>
    <w:rsid w:val="007B75ED"/>
    <w:rsid w:val="007B7652"/>
    <w:rsid w:val="007C5285"/>
    <w:rsid w:val="007C633B"/>
    <w:rsid w:val="007D069A"/>
    <w:rsid w:val="007D3182"/>
    <w:rsid w:val="007D43B3"/>
    <w:rsid w:val="007E3051"/>
    <w:rsid w:val="008010B4"/>
    <w:rsid w:val="00802AB7"/>
    <w:rsid w:val="00806D90"/>
    <w:rsid w:val="00807FAF"/>
    <w:rsid w:val="00810440"/>
    <w:rsid w:val="00810E87"/>
    <w:rsid w:val="00811E12"/>
    <w:rsid w:val="0081279B"/>
    <w:rsid w:val="00824F73"/>
    <w:rsid w:val="00825524"/>
    <w:rsid w:val="00831900"/>
    <w:rsid w:val="0083211E"/>
    <w:rsid w:val="00832E0B"/>
    <w:rsid w:val="008421E2"/>
    <w:rsid w:val="008424CE"/>
    <w:rsid w:val="00843FF1"/>
    <w:rsid w:val="00845B36"/>
    <w:rsid w:val="008478EE"/>
    <w:rsid w:val="00847C71"/>
    <w:rsid w:val="00854160"/>
    <w:rsid w:val="008551D5"/>
    <w:rsid w:val="00856DE8"/>
    <w:rsid w:val="00862FD2"/>
    <w:rsid w:val="00870D40"/>
    <w:rsid w:val="00872DD8"/>
    <w:rsid w:val="00873679"/>
    <w:rsid w:val="00875339"/>
    <w:rsid w:val="00883427"/>
    <w:rsid w:val="00892BA7"/>
    <w:rsid w:val="00894179"/>
    <w:rsid w:val="008958E0"/>
    <w:rsid w:val="008975E0"/>
    <w:rsid w:val="008978AC"/>
    <w:rsid w:val="008A0740"/>
    <w:rsid w:val="008A1559"/>
    <w:rsid w:val="008A4A75"/>
    <w:rsid w:val="008B2DF3"/>
    <w:rsid w:val="008B34E5"/>
    <w:rsid w:val="008B513F"/>
    <w:rsid w:val="008C013C"/>
    <w:rsid w:val="008C1E35"/>
    <w:rsid w:val="008C452A"/>
    <w:rsid w:val="008C47D5"/>
    <w:rsid w:val="008D5AA2"/>
    <w:rsid w:val="008E1430"/>
    <w:rsid w:val="008E5F84"/>
    <w:rsid w:val="008E7500"/>
    <w:rsid w:val="008F065A"/>
    <w:rsid w:val="008F541C"/>
    <w:rsid w:val="00900CC3"/>
    <w:rsid w:val="009042F7"/>
    <w:rsid w:val="00905D7F"/>
    <w:rsid w:val="009067F8"/>
    <w:rsid w:val="00912424"/>
    <w:rsid w:val="00922EAD"/>
    <w:rsid w:val="0092794B"/>
    <w:rsid w:val="00931693"/>
    <w:rsid w:val="00932874"/>
    <w:rsid w:val="00932EE9"/>
    <w:rsid w:val="009418A8"/>
    <w:rsid w:val="00943096"/>
    <w:rsid w:val="00945414"/>
    <w:rsid w:val="00946D7B"/>
    <w:rsid w:val="00950C41"/>
    <w:rsid w:val="00953856"/>
    <w:rsid w:val="009553A5"/>
    <w:rsid w:val="009554D5"/>
    <w:rsid w:val="00956106"/>
    <w:rsid w:val="00975D03"/>
    <w:rsid w:val="009773EC"/>
    <w:rsid w:val="00981701"/>
    <w:rsid w:val="009845EA"/>
    <w:rsid w:val="009853F2"/>
    <w:rsid w:val="00987A8F"/>
    <w:rsid w:val="0099165B"/>
    <w:rsid w:val="00993C65"/>
    <w:rsid w:val="0099613C"/>
    <w:rsid w:val="009975B3"/>
    <w:rsid w:val="009A1A65"/>
    <w:rsid w:val="009A2943"/>
    <w:rsid w:val="009B0011"/>
    <w:rsid w:val="009B190D"/>
    <w:rsid w:val="009B1B5A"/>
    <w:rsid w:val="009B5E1D"/>
    <w:rsid w:val="009B6908"/>
    <w:rsid w:val="009B7E28"/>
    <w:rsid w:val="009C4373"/>
    <w:rsid w:val="009C6B05"/>
    <w:rsid w:val="009D024F"/>
    <w:rsid w:val="009D2F92"/>
    <w:rsid w:val="009E0315"/>
    <w:rsid w:val="009E0AA0"/>
    <w:rsid w:val="009E2B79"/>
    <w:rsid w:val="009E51C9"/>
    <w:rsid w:val="009E535E"/>
    <w:rsid w:val="009E650C"/>
    <w:rsid w:val="009E6D2C"/>
    <w:rsid w:val="00A02A40"/>
    <w:rsid w:val="00A0631F"/>
    <w:rsid w:val="00A10051"/>
    <w:rsid w:val="00A11DA9"/>
    <w:rsid w:val="00A12234"/>
    <w:rsid w:val="00A16EE9"/>
    <w:rsid w:val="00A20F36"/>
    <w:rsid w:val="00A245E6"/>
    <w:rsid w:val="00A30DAD"/>
    <w:rsid w:val="00A33B4E"/>
    <w:rsid w:val="00A36A69"/>
    <w:rsid w:val="00A36B52"/>
    <w:rsid w:val="00A54BC9"/>
    <w:rsid w:val="00A55DE5"/>
    <w:rsid w:val="00A5658B"/>
    <w:rsid w:val="00A643E8"/>
    <w:rsid w:val="00A72DEC"/>
    <w:rsid w:val="00A758F9"/>
    <w:rsid w:val="00A81081"/>
    <w:rsid w:val="00A91F80"/>
    <w:rsid w:val="00A97FB0"/>
    <w:rsid w:val="00AA014E"/>
    <w:rsid w:val="00AA1420"/>
    <w:rsid w:val="00AB2F11"/>
    <w:rsid w:val="00AB56FF"/>
    <w:rsid w:val="00AB649F"/>
    <w:rsid w:val="00AB70B2"/>
    <w:rsid w:val="00AC1E69"/>
    <w:rsid w:val="00AC41F7"/>
    <w:rsid w:val="00AC4563"/>
    <w:rsid w:val="00AD4A1A"/>
    <w:rsid w:val="00AE137F"/>
    <w:rsid w:val="00AE58DA"/>
    <w:rsid w:val="00AE7E8F"/>
    <w:rsid w:val="00AF24FF"/>
    <w:rsid w:val="00AF28C0"/>
    <w:rsid w:val="00AF5854"/>
    <w:rsid w:val="00AF655B"/>
    <w:rsid w:val="00B1354A"/>
    <w:rsid w:val="00B223AB"/>
    <w:rsid w:val="00B228C6"/>
    <w:rsid w:val="00B259D9"/>
    <w:rsid w:val="00B271A0"/>
    <w:rsid w:val="00B3299A"/>
    <w:rsid w:val="00B35669"/>
    <w:rsid w:val="00B37069"/>
    <w:rsid w:val="00B37586"/>
    <w:rsid w:val="00B40F75"/>
    <w:rsid w:val="00B415E5"/>
    <w:rsid w:val="00B4527A"/>
    <w:rsid w:val="00B56B11"/>
    <w:rsid w:val="00B614EC"/>
    <w:rsid w:val="00B61C88"/>
    <w:rsid w:val="00B643A2"/>
    <w:rsid w:val="00B65D9E"/>
    <w:rsid w:val="00B7265D"/>
    <w:rsid w:val="00B75BF8"/>
    <w:rsid w:val="00B8035B"/>
    <w:rsid w:val="00B853C6"/>
    <w:rsid w:val="00B85F9B"/>
    <w:rsid w:val="00B86643"/>
    <w:rsid w:val="00B948C8"/>
    <w:rsid w:val="00B97F10"/>
    <w:rsid w:val="00BA1498"/>
    <w:rsid w:val="00BA1B2A"/>
    <w:rsid w:val="00BA3233"/>
    <w:rsid w:val="00BA7293"/>
    <w:rsid w:val="00BB0FC8"/>
    <w:rsid w:val="00BB3AA3"/>
    <w:rsid w:val="00BB501E"/>
    <w:rsid w:val="00BC4300"/>
    <w:rsid w:val="00BC5377"/>
    <w:rsid w:val="00BD36C1"/>
    <w:rsid w:val="00BE092D"/>
    <w:rsid w:val="00BE37A4"/>
    <w:rsid w:val="00BE45DE"/>
    <w:rsid w:val="00BE7964"/>
    <w:rsid w:val="00BF0A53"/>
    <w:rsid w:val="00BF790B"/>
    <w:rsid w:val="00C00A5E"/>
    <w:rsid w:val="00C05456"/>
    <w:rsid w:val="00C06D6B"/>
    <w:rsid w:val="00C076A9"/>
    <w:rsid w:val="00C10C32"/>
    <w:rsid w:val="00C12C22"/>
    <w:rsid w:val="00C14820"/>
    <w:rsid w:val="00C15BBB"/>
    <w:rsid w:val="00C17C1A"/>
    <w:rsid w:val="00C26344"/>
    <w:rsid w:val="00C3137B"/>
    <w:rsid w:val="00C31BB1"/>
    <w:rsid w:val="00C31FC0"/>
    <w:rsid w:val="00C37427"/>
    <w:rsid w:val="00C37FF1"/>
    <w:rsid w:val="00C43E8C"/>
    <w:rsid w:val="00C507CD"/>
    <w:rsid w:val="00C51BE8"/>
    <w:rsid w:val="00C53402"/>
    <w:rsid w:val="00C576F4"/>
    <w:rsid w:val="00C600D7"/>
    <w:rsid w:val="00C642AE"/>
    <w:rsid w:val="00C70700"/>
    <w:rsid w:val="00C7196C"/>
    <w:rsid w:val="00C749C7"/>
    <w:rsid w:val="00C85EA4"/>
    <w:rsid w:val="00C906AA"/>
    <w:rsid w:val="00C9096D"/>
    <w:rsid w:val="00C912FE"/>
    <w:rsid w:val="00C91779"/>
    <w:rsid w:val="00C92AA8"/>
    <w:rsid w:val="00C94394"/>
    <w:rsid w:val="00CA0B85"/>
    <w:rsid w:val="00CA1572"/>
    <w:rsid w:val="00CA2E78"/>
    <w:rsid w:val="00CA6B87"/>
    <w:rsid w:val="00CB5EE6"/>
    <w:rsid w:val="00CC2031"/>
    <w:rsid w:val="00CD6FFC"/>
    <w:rsid w:val="00CE0A06"/>
    <w:rsid w:val="00CE167C"/>
    <w:rsid w:val="00CE51C3"/>
    <w:rsid w:val="00CF4F69"/>
    <w:rsid w:val="00CF5FD1"/>
    <w:rsid w:val="00D02EE4"/>
    <w:rsid w:val="00D050CC"/>
    <w:rsid w:val="00D0645B"/>
    <w:rsid w:val="00D15589"/>
    <w:rsid w:val="00D22AE8"/>
    <w:rsid w:val="00D2453A"/>
    <w:rsid w:val="00D34281"/>
    <w:rsid w:val="00D356BB"/>
    <w:rsid w:val="00D432AD"/>
    <w:rsid w:val="00D46621"/>
    <w:rsid w:val="00D47AC7"/>
    <w:rsid w:val="00D51069"/>
    <w:rsid w:val="00D51FC1"/>
    <w:rsid w:val="00D56440"/>
    <w:rsid w:val="00D5648D"/>
    <w:rsid w:val="00D57E6F"/>
    <w:rsid w:val="00D627B2"/>
    <w:rsid w:val="00D73DBE"/>
    <w:rsid w:val="00D75733"/>
    <w:rsid w:val="00D76B2B"/>
    <w:rsid w:val="00D7795C"/>
    <w:rsid w:val="00D835CC"/>
    <w:rsid w:val="00D84741"/>
    <w:rsid w:val="00D85F9C"/>
    <w:rsid w:val="00D94E7F"/>
    <w:rsid w:val="00D9537D"/>
    <w:rsid w:val="00D9611E"/>
    <w:rsid w:val="00DA09C9"/>
    <w:rsid w:val="00DA2439"/>
    <w:rsid w:val="00DA3C55"/>
    <w:rsid w:val="00DA58D0"/>
    <w:rsid w:val="00DA5E67"/>
    <w:rsid w:val="00DB5EF9"/>
    <w:rsid w:val="00DC12A6"/>
    <w:rsid w:val="00DC15A3"/>
    <w:rsid w:val="00DC3620"/>
    <w:rsid w:val="00DD24C2"/>
    <w:rsid w:val="00DD52CC"/>
    <w:rsid w:val="00DE25A9"/>
    <w:rsid w:val="00DE308B"/>
    <w:rsid w:val="00DE3356"/>
    <w:rsid w:val="00DE377F"/>
    <w:rsid w:val="00E061E4"/>
    <w:rsid w:val="00E11FC2"/>
    <w:rsid w:val="00E130A6"/>
    <w:rsid w:val="00E22E4A"/>
    <w:rsid w:val="00E25D49"/>
    <w:rsid w:val="00E37A7A"/>
    <w:rsid w:val="00E41032"/>
    <w:rsid w:val="00E4217A"/>
    <w:rsid w:val="00E43093"/>
    <w:rsid w:val="00E46540"/>
    <w:rsid w:val="00E47630"/>
    <w:rsid w:val="00E518DD"/>
    <w:rsid w:val="00E53778"/>
    <w:rsid w:val="00E55B3B"/>
    <w:rsid w:val="00E55E91"/>
    <w:rsid w:val="00E642EA"/>
    <w:rsid w:val="00E70ED2"/>
    <w:rsid w:val="00E80CA5"/>
    <w:rsid w:val="00E850EC"/>
    <w:rsid w:val="00E8697F"/>
    <w:rsid w:val="00E918E3"/>
    <w:rsid w:val="00E9205F"/>
    <w:rsid w:val="00E94300"/>
    <w:rsid w:val="00EA7525"/>
    <w:rsid w:val="00EC0891"/>
    <w:rsid w:val="00EC0A85"/>
    <w:rsid w:val="00EC4579"/>
    <w:rsid w:val="00ED2988"/>
    <w:rsid w:val="00EE51DB"/>
    <w:rsid w:val="00EF2203"/>
    <w:rsid w:val="00EF2F88"/>
    <w:rsid w:val="00EF3230"/>
    <w:rsid w:val="00F028C4"/>
    <w:rsid w:val="00F06953"/>
    <w:rsid w:val="00F13DC0"/>
    <w:rsid w:val="00F13F8B"/>
    <w:rsid w:val="00F14485"/>
    <w:rsid w:val="00F16F02"/>
    <w:rsid w:val="00F173E8"/>
    <w:rsid w:val="00F26A60"/>
    <w:rsid w:val="00F27634"/>
    <w:rsid w:val="00F27B8C"/>
    <w:rsid w:val="00F33389"/>
    <w:rsid w:val="00F34D34"/>
    <w:rsid w:val="00F359C5"/>
    <w:rsid w:val="00F35D9B"/>
    <w:rsid w:val="00F37119"/>
    <w:rsid w:val="00F410EC"/>
    <w:rsid w:val="00F465B6"/>
    <w:rsid w:val="00F54B6C"/>
    <w:rsid w:val="00F642E3"/>
    <w:rsid w:val="00F64CB9"/>
    <w:rsid w:val="00F64D67"/>
    <w:rsid w:val="00F65015"/>
    <w:rsid w:val="00F660E6"/>
    <w:rsid w:val="00F67181"/>
    <w:rsid w:val="00F72934"/>
    <w:rsid w:val="00F77628"/>
    <w:rsid w:val="00F838DD"/>
    <w:rsid w:val="00F84774"/>
    <w:rsid w:val="00F90FA0"/>
    <w:rsid w:val="00F95F8D"/>
    <w:rsid w:val="00FA1EE3"/>
    <w:rsid w:val="00FA4136"/>
    <w:rsid w:val="00FB3B70"/>
    <w:rsid w:val="00FB5D48"/>
    <w:rsid w:val="00FB78B6"/>
    <w:rsid w:val="00FC031E"/>
    <w:rsid w:val="00FC3CA0"/>
    <w:rsid w:val="00FC6159"/>
    <w:rsid w:val="00FD061C"/>
    <w:rsid w:val="00FD4E03"/>
    <w:rsid w:val="00FE5C22"/>
    <w:rsid w:val="00FE742F"/>
    <w:rsid w:val="00FF0A76"/>
    <w:rsid w:val="00FF2FA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rsid w:val="00D9611E"/>
    <w:pPr>
      <w:keepNext/>
      <w:spacing w:before="240" w:after="120"/>
      <w:jc w:val="center"/>
      <w:outlineLvl w:val="0"/>
    </w:pPr>
    <w:rPr>
      <w:b/>
      <w:caps/>
    </w:rPr>
  </w:style>
  <w:style w:type="paragraph" w:styleId="Titre2">
    <w:name w:val="heading 2"/>
    <w:basedOn w:val="Normal"/>
    <w:next w:val="Normal"/>
    <w:qFormat/>
    <w:rsid w:val="00D9611E"/>
    <w:pPr>
      <w:keepNext/>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D9611E"/>
    <w:pPr>
      <w:numPr>
        <w:numId w:val="6"/>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50EC"/>
    <w:pPr>
      <w:spacing w:before="100" w:beforeAutospacing="1" w:after="100" w:afterAutospacing="1"/>
      <w:jc w:val="left"/>
    </w:pPr>
    <w:rPr>
      <w:sz w:val="24"/>
      <w:lang w:val="en-US"/>
    </w:rPr>
  </w:style>
  <w:style w:type="character" w:customStyle="1" w:styleId="UnresolvedMention1">
    <w:name w:val="Unresolved Mention1"/>
    <w:basedOn w:val="Policepardfaut"/>
    <w:uiPriority w:val="99"/>
    <w:semiHidden/>
    <w:unhideWhenUsed/>
    <w:rsid w:val="00D9611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rsid w:val="00D9611E"/>
    <w:pPr>
      <w:keepNext/>
      <w:spacing w:before="240" w:after="120"/>
      <w:jc w:val="center"/>
      <w:outlineLvl w:val="0"/>
    </w:pPr>
    <w:rPr>
      <w:b/>
      <w:caps/>
    </w:rPr>
  </w:style>
  <w:style w:type="paragraph" w:styleId="Titre2">
    <w:name w:val="heading 2"/>
    <w:basedOn w:val="Normal"/>
    <w:next w:val="Normal"/>
    <w:qFormat/>
    <w:rsid w:val="00D9611E"/>
    <w:pPr>
      <w:keepNext/>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D9611E"/>
    <w:pPr>
      <w:numPr>
        <w:numId w:val="6"/>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50EC"/>
    <w:pPr>
      <w:spacing w:before="100" w:beforeAutospacing="1" w:after="100" w:afterAutospacing="1"/>
      <w:jc w:val="left"/>
    </w:pPr>
    <w:rPr>
      <w:sz w:val="24"/>
      <w:lang w:val="en-US"/>
    </w:rPr>
  </w:style>
  <w:style w:type="character" w:customStyle="1" w:styleId="UnresolvedMention1">
    <w:name w:val="Unresolved Mention1"/>
    <w:basedOn w:val="Policepardfaut"/>
    <w:uiPriority w:val="99"/>
    <w:semiHidden/>
    <w:unhideWhenUsed/>
    <w:rsid w:val="00D96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122">
      <w:bodyDiv w:val="1"/>
      <w:marLeft w:val="0"/>
      <w:marRight w:val="0"/>
      <w:marTop w:val="0"/>
      <w:marBottom w:val="0"/>
      <w:divBdr>
        <w:top w:val="none" w:sz="0" w:space="0" w:color="auto"/>
        <w:left w:val="none" w:sz="0" w:space="0" w:color="auto"/>
        <w:bottom w:val="none" w:sz="0" w:space="0" w:color="auto"/>
        <w:right w:val="none" w:sz="0" w:space="0" w:color="auto"/>
      </w:divBdr>
      <w:divsChild>
        <w:div w:id="1403794493">
          <w:marLeft w:val="0"/>
          <w:marRight w:val="0"/>
          <w:marTop w:val="0"/>
          <w:marBottom w:val="0"/>
          <w:divBdr>
            <w:top w:val="none" w:sz="0" w:space="0" w:color="auto"/>
            <w:left w:val="none" w:sz="0" w:space="0" w:color="auto"/>
            <w:bottom w:val="none" w:sz="0" w:space="0" w:color="auto"/>
            <w:right w:val="none" w:sz="0" w:space="0" w:color="auto"/>
          </w:divBdr>
        </w:div>
        <w:div w:id="286664434">
          <w:marLeft w:val="0"/>
          <w:marRight w:val="0"/>
          <w:marTop w:val="0"/>
          <w:marBottom w:val="0"/>
          <w:divBdr>
            <w:top w:val="none" w:sz="0" w:space="0" w:color="auto"/>
            <w:left w:val="none" w:sz="0" w:space="0" w:color="auto"/>
            <w:bottom w:val="none" w:sz="0" w:space="0" w:color="auto"/>
            <w:right w:val="none" w:sz="0" w:space="0" w:color="auto"/>
          </w:divBdr>
        </w:div>
        <w:div w:id="436292447">
          <w:marLeft w:val="0"/>
          <w:marRight w:val="0"/>
          <w:marTop w:val="0"/>
          <w:marBottom w:val="0"/>
          <w:divBdr>
            <w:top w:val="none" w:sz="0" w:space="0" w:color="auto"/>
            <w:left w:val="none" w:sz="0" w:space="0" w:color="auto"/>
            <w:bottom w:val="none" w:sz="0" w:space="0" w:color="auto"/>
            <w:right w:val="none" w:sz="0" w:space="0" w:color="auto"/>
          </w:divBdr>
        </w:div>
        <w:div w:id="630357185">
          <w:marLeft w:val="0"/>
          <w:marRight w:val="0"/>
          <w:marTop w:val="0"/>
          <w:marBottom w:val="0"/>
          <w:divBdr>
            <w:top w:val="none" w:sz="0" w:space="0" w:color="auto"/>
            <w:left w:val="none" w:sz="0" w:space="0" w:color="auto"/>
            <w:bottom w:val="none" w:sz="0" w:space="0" w:color="auto"/>
            <w:right w:val="none" w:sz="0" w:space="0" w:color="auto"/>
          </w:divBdr>
        </w:div>
        <w:div w:id="488252255">
          <w:marLeft w:val="0"/>
          <w:marRight w:val="0"/>
          <w:marTop w:val="0"/>
          <w:marBottom w:val="0"/>
          <w:divBdr>
            <w:top w:val="none" w:sz="0" w:space="0" w:color="auto"/>
            <w:left w:val="none" w:sz="0" w:space="0" w:color="auto"/>
            <w:bottom w:val="none" w:sz="0" w:space="0" w:color="auto"/>
            <w:right w:val="none" w:sz="0" w:space="0" w:color="auto"/>
          </w:divBdr>
        </w:div>
      </w:divsChild>
    </w:div>
    <w:div w:id="315838723">
      <w:bodyDiv w:val="1"/>
      <w:marLeft w:val="0"/>
      <w:marRight w:val="0"/>
      <w:marTop w:val="0"/>
      <w:marBottom w:val="0"/>
      <w:divBdr>
        <w:top w:val="none" w:sz="0" w:space="0" w:color="auto"/>
        <w:left w:val="none" w:sz="0" w:space="0" w:color="auto"/>
        <w:bottom w:val="none" w:sz="0" w:space="0" w:color="auto"/>
        <w:right w:val="none" w:sz="0" w:space="0" w:color="auto"/>
      </w:divBdr>
      <w:divsChild>
        <w:div w:id="1641182782">
          <w:marLeft w:val="0"/>
          <w:marRight w:val="0"/>
          <w:marTop w:val="0"/>
          <w:marBottom w:val="0"/>
          <w:divBdr>
            <w:top w:val="none" w:sz="0" w:space="0" w:color="auto"/>
            <w:left w:val="none" w:sz="0" w:space="0" w:color="auto"/>
            <w:bottom w:val="none" w:sz="0" w:space="0" w:color="auto"/>
            <w:right w:val="none" w:sz="0" w:space="0" w:color="auto"/>
          </w:divBdr>
        </w:div>
        <w:div w:id="1486553225">
          <w:marLeft w:val="0"/>
          <w:marRight w:val="0"/>
          <w:marTop w:val="0"/>
          <w:marBottom w:val="0"/>
          <w:divBdr>
            <w:top w:val="none" w:sz="0" w:space="0" w:color="auto"/>
            <w:left w:val="none" w:sz="0" w:space="0" w:color="auto"/>
            <w:bottom w:val="none" w:sz="0" w:space="0" w:color="auto"/>
            <w:right w:val="none" w:sz="0" w:space="0" w:color="auto"/>
          </w:divBdr>
        </w:div>
        <w:div w:id="54356511">
          <w:marLeft w:val="0"/>
          <w:marRight w:val="0"/>
          <w:marTop w:val="0"/>
          <w:marBottom w:val="0"/>
          <w:divBdr>
            <w:top w:val="none" w:sz="0" w:space="0" w:color="auto"/>
            <w:left w:val="none" w:sz="0" w:space="0" w:color="auto"/>
            <w:bottom w:val="none" w:sz="0" w:space="0" w:color="auto"/>
            <w:right w:val="none" w:sz="0" w:space="0" w:color="auto"/>
          </w:divBdr>
        </w:div>
        <w:div w:id="1604266263">
          <w:marLeft w:val="0"/>
          <w:marRight w:val="0"/>
          <w:marTop w:val="0"/>
          <w:marBottom w:val="0"/>
          <w:divBdr>
            <w:top w:val="none" w:sz="0" w:space="0" w:color="auto"/>
            <w:left w:val="none" w:sz="0" w:space="0" w:color="auto"/>
            <w:bottom w:val="none" w:sz="0" w:space="0" w:color="auto"/>
            <w:right w:val="none" w:sz="0" w:space="0" w:color="auto"/>
          </w:divBdr>
        </w:div>
        <w:div w:id="1488745083">
          <w:marLeft w:val="0"/>
          <w:marRight w:val="0"/>
          <w:marTop w:val="0"/>
          <w:marBottom w:val="0"/>
          <w:divBdr>
            <w:top w:val="none" w:sz="0" w:space="0" w:color="auto"/>
            <w:left w:val="none" w:sz="0" w:space="0" w:color="auto"/>
            <w:bottom w:val="none" w:sz="0" w:space="0" w:color="auto"/>
            <w:right w:val="none" w:sz="0" w:space="0" w:color="auto"/>
          </w:divBdr>
        </w:div>
        <w:div w:id="311299120">
          <w:marLeft w:val="0"/>
          <w:marRight w:val="0"/>
          <w:marTop w:val="0"/>
          <w:marBottom w:val="0"/>
          <w:divBdr>
            <w:top w:val="none" w:sz="0" w:space="0" w:color="auto"/>
            <w:left w:val="none" w:sz="0" w:space="0" w:color="auto"/>
            <w:bottom w:val="none" w:sz="0" w:space="0" w:color="auto"/>
            <w:right w:val="none" w:sz="0" w:space="0" w:color="auto"/>
          </w:divBdr>
        </w:div>
        <w:div w:id="737558866">
          <w:marLeft w:val="0"/>
          <w:marRight w:val="0"/>
          <w:marTop w:val="0"/>
          <w:marBottom w:val="0"/>
          <w:divBdr>
            <w:top w:val="none" w:sz="0" w:space="0" w:color="auto"/>
            <w:left w:val="none" w:sz="0" w:space="0" w:color="auto"/>
            <w:bottom w:val="none" w:sz="0" w:space="0" w:color="auto"/>
            <w:right w:val="none" w:sz="0" w:space="0" w:color="auto"/>
          </w:divBdr>
        </w:div>
      </w:divsChild>
    </w:div>
    <w:div w:id="994260596">
      <w:bodyDiv w:val="1"/>
      <w:marLeft w:val="0"/>
      <w:marRight w:val="0"/>
      <w:marTop w:val="0"/>
      <w:marBottom w:val="0"/>
      <w:divBdr>
        <w:top w:val="none" w:sz="0" w:space="0" w:color="auto"/>
        <w:left w:val="none" w:sz="0" w:space="0" w:color="auto"/>
        <w:bottom w:val="none" w:sz="0" w:space="0" w:color="auto"/>
        <w:right w:val="none" w:sz="0" w:space="0" w:color="auto"/>
      </w:divBdr>
      <w:divsChild>
        <w:div w:id="257057497">
          <w:marLeft w:val="0"/>
          <w:marRight w:val="0"/>
          <w:marTop w:val="0"/>
          <w:marBottom w:val="0"/>
          <w:divBdr>
            <w:top w:val="none" w:sz="0" w:space="0" w:color="auto"/>
            <w:left w:val="none" w:sz="0" w:space="0" w:color="auto"/>
            <w:bottom w:val="none" w:sz="0" w:space="0" w:color="auto"/>
            <w:right w:val="none" w:sz="0" w:space="0" w:color="auto"/>
          </w:divBdr>
        </w:div>
        <w:div w:id="843865195">
          <w:marLeft w:val="0"/>
          <w:marRight w:val="0"/>
          <w:marTop w:val="0"/>
          <w:marBottom w:val="0"/>
          <w:divBdr>
            <w:top w:val="none" w:sz="0" w:space="0" w:color="auto"/>
            <w:left w:val="none" w:sz="0" w:space="0" w:color="auto"/>
            <w:bottom w:val="none" w:sz="0" w:space="0" w:color="auto"/>
            <w:right w:val="none" w:sz="0" w:space="0" w:color="auto"/>
          </w:divBdr>
        </w:div>
        <w:div w:id="294222362">
          <w:marLeft w:val="0"/>
          <w:marRight w:val="0"/>
          <w:marTop w:val="0"/>
          <w:marBottom w:val="0"/>
          <w:divBdr>
            <w:top w:val="none" w:sz="0" w:space="0" w:color="auto"/>
            <w:left w:val="none" w:sz="0" w:space="0" w:color="auto"/>
            <w:bottom w:val="none" w:sz="0" w:space="0" w:color="auto"/>
            <w:right w:val="none" w:sz="0" w:space="0" w:color="auto"/>
          </w:divBdr>
        </w:div>
        <w:div w:id="1705444774">
          <w:marLeft w:val="0"/>
          <w:marRight w:val="0"/>
          <w:marTop w:val="0"/>
          <w:marBottom w:val="0"/>
          <w:divBdr>
            <w:top w:val="none" w:sz="0" w:space="0" w:color="auto"/>
            <w:left w:val="none" w:sz="0" w:space="0" w:color="auto"/>
            <w:bottom w:val="none" w:sz="0" w:space="0" w:color="auto"/>
            <w:right w:val="none" w:sz="0" w:space="0" w:color="auto"/>
          </w:divBdr>
        </w:div>
        <w:div w:id="904872880">
          <w:marLeft w:val="0"/>
          <w:marRight w:val="0"/>
          <w:marTop w:val="0"/>
          <w:marBottom w:val="0"/>
          <w:divBdr>
            <w:top w:val="none" w:sz="0" w:space="0" w:color="auto"/>
            <w:left w:val="none" w:sz="0" w:space="0" w:color="auto"/>
            <w:bottom w:val="none" w:sz="0" w:space="0" w:color="auto"/>
            <w:right w:val="none" w:sz="0" w:space="0" w:color="auto"/>
          </w:divBdr>
        </w:div>
        <w:div w:id="1326978061">
          <w:marLeft w:val="0"/>
          <w:marRight w:val="0"/>
          <w:marTop w:val="0"/>
          <w:marBottom w:val="0"/>
          <w:divBdr>
            <w:top w:val="none" w:sz="0" w:space="0" w:color="auto"/>
            <w:left w:val="none" w:sz="0" w:space="0" w:color="auto"/>
            <w:bottom w:val="none" w:sz="0" w:space="0" w:color="auto"/>
            <w:right w:val="none" w:sz="0" w:space="0" w:color="auto"/>
          </w:divBdr>
        </w:div>
      </w:divsChild>
    </w:div>
    <w:div w:id="1669478348">
      <w:bodyDiv w:val="1"/>
      <w:marLeft w:val="0"/>
      <w:marRight w:val="0"/>
      <w:marTop w:val="0"/>
      <w:marBottom w:val="0"/>
      <w:divBdr>
        <w:top w:val="none" w:sz="0" w:space="0" w:color="auto"/>
        <w:left w:val="none" w:sz="0" w:space="0" w:color="auto"/>
        <w:bottom w:val="none" w:sz="0" w:space="0" w:color="auto"/>
        <w:right w:val="none" w:sz="0" w:space="0" w:color="auto"/>
      </w:divBdr>
      <w:divsChild>
        <w:div w:id="1962878276">
          <w:marLeft w:val="0"/>
          <w:marRight w:val="0"/>
          <w:marTop w:val="0"/>
          <w:marBottom w:val="0"/>
          <w:divBdr>
            <w:top w:val="none" w:sz="0" w:space="0" w:color="auto"/>
            <w:left w:val="none" w:sz="0" w:space="0" w:color="auto"/>
            <w:bottom w:val="none" w:sz="0" w:space="0" w:color="auto"/>
            <w:right w:val="none" w:sz="0" w:space="0" w:color="auto"/>
          </w:divBdr>
        </w:div>
        <w:div w:id="873343887">
          <w:marLeft w:val="0"/>
          <w:marRight w:val="0"/>
          <w:marTop w:val="0"/>
          <w:marBottom w:val="0"/>
          <w:divBdr>
            <w:top w:val="none" w:sz="0" w:space="0" w:color="auto"/>
            <w:left w:val="none" w:sz="0" w:space="0" w:color="auto"/>
            <w:bottom w:val="none" w:sz="0" w:space="0" w:color="auto"/>
            <w:right w:val="none" w:sz="0" w:space="0" w:color="auto"/>
          </w:divBdr>
        </w:div>
        <w:div w:id="529883365">
          <w:marLeft w:val="0"/>
          <w:marRight w:val="0"/>
          <w:marTop w:val="0"/>
          <w:marBottom w:val="0"/>
          <w:divBdr>
            <w:top w:val="none" w:sz="0" w:space="0" w:color="auto"/>
            <w:left w:val="none" w:sz="0" w:space="0" w:color="auto"/>
            <w:bottom w:val="none" w:sz="0" w:space="0" w:color="auto"/>
            <w:right w:val="none" w:sz="0" w:space="0" w:color="auto"/>
          </w:divBdr>
        </w:div>
        <w:div w:id="1299068574">
          <w:marLeft w:val="0"/>
          <w:marRight w:val="0"/>
          <w:marTop w:val="0"/>
          <w:marBottom w:val="0"/>
          <w:divBdr>
            <w:top w:val="none" w:sz="0" w:space="0" w:color="auto"/>
            <w:left w:val="none" w:sz="0" w:space="0" w:color="auto"/>
            <w:bottom w:val="none" w:sz="0" w:space="0" w:color="auto"/>
            <w:right w:val="none" w:sz="0" w:space="0" w:color="auto"/>
          </w:divBdr>
        </w:div>
      </w:divsChild>
    </w:div>
    <w:div w:id="1820338074">
      <w:bodyDiv w:val="1"/>
      <w:marLeft w:val="0"/>
      <w:marRight w:val="0"/>
      <w:marTop w:val="0"/>
      <w:marBottom w:val="0"/>
      <w:divBdr>
        <w:top w:val="none" w:sz="0" w:space="0" w:color="auto"/>
        <w:left w:val="none" w:sz="0" w:space="0" w:color="auto"/>
        <w:bottom w:val="none" w:sz="0" w:space="0" w:color="auto"/>
        <w:right w:val="none" w:sz="0" w:space="0" w:color="auto"/>
      </w:divBdr>
      <w:divsChild>
        <w:div w:id="760031341">
          <w:marLeft w:val="0"/>
          <w:marRight w:val="0"/>
          <w:marTop w:val="0"/>
          <w:marBottom w:val="0"/>
          <w:divBdr>
            <w:top w:val="none" w:sz="0" w:space="0" w:color="auto"/>
            <w:left w:val="none" w:sz="0" w:space="0" w:color="auto"/>
            <w:bottom w:val="none" w:sz="0" w:space="0" w:color="auto"/>
            <w:right w:val="none" w:sz="0" w:space="0" w:color="auto"/>
          </w:divBdr>
        </w:div>
        <w:div w:id="1988435262">
          <w:marLeft w:val="0"/>
          <w:marRight w:val="0"/>
          <w:marTop w:val="0"/>
          <w:marBottom w:val="0"/>
          <w:divBdr>
            <w:top w:val="none" w:sz="0" w:space="0" w:color="auto"/>
            <w:left w:val="none" w:sz="0" w:space="0" w:color="auto"/>
            <w:bottom w:val="none" w:sz="0" w:space="0" w:color="auto"/>
            <w:right w:val="none" w:sz="0" w:space="0" w:color="auto"/>
          </w:divBdr>
        </w:div>
        <w:div w:id="1440949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09/cop-09-dec-24-fr.pdf" TargetMode="External"/><Relationship Id="rId18" Type="http://schemas.openxmlformats.org/officeDocument/2006/relationships/hyperlink" Target="https://www.cbd.int/j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eanbiodiversity.org/" TargetMode="External"/><Relationship Id="rId7" Type="http://schemas.openxmlformats.org/officeDocument/2006/relationships/footnotes" Target="footnotes.xml"/><Relationship Id="rId12" Type="http://schemas.openxmlformats.org/officeDocument/2006/relationships/hyperlink" Target="https://www.cbd.int/doc/decisions/cop-12/cop-12-dec-07-fr.pdf" TargetMode="External"/><Relationship Id="rId17" Type="http://schemas.openxmlformats.org/officeDocument/2006/relationships/hyperlink" Target="https://www.unccd.i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nfccc.int/" TargetMode="External"/><Relationship Id="rId20" Type="http://schemas.openxmlformats.org/officeDocument/2006/relationships/hyperlink" Target="https://www.unenvironment.org/fr/node/2016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unenvironment.org/" TargetMode="External"/><Relationship Id="rId23" Type="http://schemas.openxmlformats.org/officeDocument/2006/relationships/hyperlink" Target="http://www.unitar.org/"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unenvironment.org/fr/regions/asie-et-le-pacifique"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iucn.org/" TargetMode="External"/><Relationship Id="rId22" Type="http://schemas.openxmlformats.org/officeDocument/2006/relationships/hyperlink" Target="https://www.thegef.org/"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ender/doc/gender-nbsaps-factsheet.pdf" TargetMode="External"/><Relationship Id="rId13" Type="http://schemas.openxmlformats.org/officeDocument/2006/relationships/hyperlink" Target="https://www.cbd.int/gender/" TargetMode="External"/><Relationship Id="rId3" Type="http://schemas.openxmlformats.org/officeDocument/2006/relationships/hyperlink" Target="http://www.un.org/ga/search/view_doc.asp?symbol=A/RES/70/1&amp;Lang=E" TargetMode="External"/><Relationship Id="rId7" Type="http://schemas.openxmlformats.org/officeDocument/2006/relationships/hyperlink" Target="https://www.cbd.int/doc/meetings/sbi/sbi-01/information/sbi-01-inf-14-en.pdf" TargetMode="External"/><Relationship Id="rId12" Type="http://schemas.openxmlformats.org/officeDocument/2006/relationships/hyperlink" Target="https://www.cbd.int/gender/doc/CBD-GenderPlanofAction-FR-WEB.pdf" TargetMode="External"/><Relationship Id="rId2" Type="http://schemas.openxmlformats.org/officeDocument/2006/relationships/hyperlink" Target="https://www.cbd.int/doc/notifications/2017/ntf-2017-130-gender-en.pdf" TargetMode="External"/><Relationship Id="rId16" Type="http://schemas.openxmlformats.org/officeDocument/2006/relationships/hyperlink" Target="https://www.cbd.int/doc/notifications/2017/ntf-2017-124-post2020-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bd.int/gender/doc/pilot-project-integ-gender-nbsaps.pdf" TargetMode="External"/><Relationship Id="rId11" Type="http://schemas.openxmlformats.org/officeDocument/2006/relationships/hyperlink" Target="https://www.cbd.int/doc/c/2264/25e0/a31ae6a436ce636242a5fa36/cop-13-inf-46-en.pdf" TargetMode="External"/><Relationship Id="rId5" Type="http://schemas.openxmlformats.org/officeDocument/2006/relationships/hyperlink" Target="https://www.cbd.int/doc/notifications/2017/ntf-2017-100-gender-fr.pdf" TargetMode="External"/><Relationship Id="rId15" Type="http://schemas.openxmlformats.org/officeDocument/2006/relationships/hyperlink" Target="https://www.cbd.int/doc/notifications/2017/ntf-2017-052-post2020-en.pdf" TargetMode="External"/><Relationship Id="rId10" Type="http://schemas.openxmlformats.org/officeDocument/2006/relationships/hyperlink" Target="https://www.cbd.int/doc/meetings/cop/cop-13/official/cop-13-08-add3-en.pdf" TargetMode="External"/><Relationship Id="rId4" Type="http://schemas.openxmlformats.org/officeDocument/2006/relationships/hyperlink" Target="https://www.cbd.int/gender/doc/gender-nbsaps-factsheet.pdf" TargetMode="External"/><Relationship Id="rId9" Type="http://schemas.openxmlformats.org/officeDocument/2006/relationships/hyperlink" Target="https://www.cbd.int/gender/doc/gender-5th-national-report-factsheet.pdf" TargetMode="External"/><Relationship Id="rId14" Type="http://schemas.openxmlformats.org/officeDocument/2006/relationships/hyperlink" Target="https://www.thegef.org/council-meeting-documents/policy-gender-equal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edelespacerserv"/>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2F4F1F"/>
    <w:rsid w:val="0037757D"/>
    <w:rsid w:val="004A69EC"/>
    <w:rsid w:val="006B62AD"/>
    <w:rsid w:val="007E501A"/>
    <w:rsid w:val="0083264A"/>
    <w:rsid w:val="00A27574"/>
    <w:rsid w:val="00A5141D"/>
    <w:rsid w:val="00B36C7B"/>
    <w:rsid w:val="00BB2CFE"/>
    <w:rsid w:val="00CF6F36"/>
    <w:rsid w:val="00D5481D"/>
    <w:rsid w:val="00E27EF5"/>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5141D"/>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063638D51374E5B94D0A11E9BFA16CB">
    <w:name w:val="1063638D51374E5B94D0A11E9BFA16CB"/>
    <w:rsid w:val="00A5141D"/>
    <w:rPr>
      <w:szCs w:val="28"/>
      <w:lang w:val="fr-FR" w:eastAsia="fr-FR" w:bidi="bn-B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5141D"/>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1063638D51374E5B94D0A11E9BFA16CB">
    <w:name w:val="1063638D51374E5B94D0A11E9BFA16CB"/>
    <w:rsid w:val="00A5141D"/>
    <w:rPr>
      <w:szCs w:val="28"/>
      <w:lang w:val="fr-FR" w:eastAsia="fr-FR" w:bidi="bn-B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B1403-2E61-4E97-85DD-E757A177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316</TotalTime>
  <Pages>8</Pages>
  <Words>4750</Words>
  <Characters>26128</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État d’avancement du plan d’action 2015-2020 pour l’ÉgalitÉ entre les sexes</vt:lpstr>
      <vt:lpstr>Progress in the implementation of the 2015-2020 Gender Plan of Action</vt:lpstr>
    </vt:vector>
  </TitlesOfParts>
  <Company>Biodiversity</Company>
  <LinksUpToDate>false</LinksUpToDate>
  <CharactersWithSpaces>30817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État d’avancement du plan d’action 2015-2020 pour l’ÉgalitÉ entre les sexes</dc:title>
  <dc:subject>CBD/SBI/2/2/Add.3</dc:subject>
  <dc:creator>SCBD</dc:creator>
  <cp:lastModifiedBy>Anne</cp:lastModifiedBy>
  <cp:revision>84</cp:revision>
  <cp:lastPrinted>2018-03-23T18:14:00Z</cp:lastPrinted>
  <dcterms:created xsi:type="dcterms:W3CDTF">2018-05-26T11:21:00Z</dcterms:created>
  <dcterms:modified xsi:type="dcterms:W3CDTF">2018-05-28T10:25:00Z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vt:lpwstr>
  </property>
</Properties>
</file>