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AD15B5" w:rsidRPr="00C16AB3" w14:paraId="6A671D7E" w14:textId="77777777" w:rsidTr="008E51D3">
        <w:trPr>
          <w:trHeight w:val="851"/>
        </w:trPr>
        <w:tc>
          <w:tcPr>
            <w:tcW w:w="800" w:type="dxa"/>
            <w:tcBorders>
              <w:bottom w:val="single" w:sz="12" w:space="0" w:color="auto"/>
            </w:tcBorders>
          </w:tcPr>
          <w:p w14:paraId="041AC4B1" w14:textId="77777777" w:rsidR="00AD15B5" w:rsidRPr="005025F2" w:rsidRDefault="00AD15B5" w:rsidP="005F3F9A">
            <w:pPr>
              <w:suppressLineNumbers/>
              <w:suppressAutoHyphens/>
              <w:rPr>
                <w:kern w:val="22"/>
              </w:rPr>
            </w:pPr>
            <w:r w:rsidRPr="00F5491E">
              <w:rPr>
                <w:noProof/>
                <w:kern w:val="22"/>
                <w:lang w:eastAsia="en-CA"/>
              </w:rPr>
              <w:drawing>
                <wp:anchor distT="0" distB="0" distL="114300" distR="114300" simplePos="0" relativeHeight="251658241" behindDoc="0" locked="0" layoutInCell="1" allowOverlap="1" wp14:anchorId="58FAA64F" wp14:editId="22CB0356">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1F86AC8" w14:textId="77777777" w:rsidR="00AD15B5" w:rsidRPr="005025F2" w:rsidRDefault="00AD15B5" w:rsidP="005F3F9A">
            <w:pPr>
              <w:suppressLineNumbers/>
              <w:suppressAutoHyphens/>
              <w:rPr>
                <w:kern w:val="22"/>
              </w:rPr>
            </w:pPr>
            <w:r w:rsidRPr="00F5491E">
              <w:rPr>
                <w:noProof/>
                <w:lang w:eastAsia="en-CA"/>
              </w:rPr>
              <w:drawing>
                <wp:anchor distT="0" distB="0" distL="114300" distR="114300" simplePos="0" relativeHeight="251658240" behindDoc="0" locked="0" layoutInCell="1" allowOverlap="1" wp14:anchorId="614BBD87" wp14:editId="31B2C23B">
                  <wp:simplePos x="0" y="0"/>
                  <wp:positionH relativeFrom="column">
                    <wp:posOffset>119380</wp:posOffset>
                  </wp:positionH>
                  <wp:positionV relativeFrom="page">
                    <wp:posOffset>-86995</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2254224" w14:textId="77777777" w:rsidR="00AD15B5" w:rsidRPr="00C16AB3" w:rsidRDefault="00AD15B5" w:rsidP="005F3F9A">
            <w:pPr>
              <w:suppressLineNumbers/>
              <w:suppressAutoHyphens/>
              <w:jc w:val="right"/>
              <w:rPr>
                <w:rFonts w:ascii="Arial" w:hAnsi="Arial" w:cs="Arial"/>
                <w:b/>
                <w:kern w:val="22"/>
                <w:sz w:val="32"/>
                <w:szCs w:val="32"/>
              </w:rPr>
            </w:pPr>
            <w:r w:rsidRPr="00C16AB3">
              <w:rPr>
                <w:rFonts w:ascii="Arial" w:hAnsi="Arial" w:cs="Arial"/>
                <w:b/>
                <w:kern w:val="22"/>
                <w:sz w:val="32"/>
                <w:szCs w:val="32"/>
              </w:rPr>
              <w:t>CBD</w:t>
            </w:r>
          </w:p>
        </w:tc>
      </w:tr>
      <w:tr w:rsidR="00AD15B5" w:rsidRPr="00C16AB3" w14:paraId="6EE81857" w14:textId="77777777" w:rsidTr="008E51D3">
        <w:tc>
          <w:tcPr>
            <w:tcW w:w="5941" w:type="dxa"/>
            <w:gridSpan w:val="2"/>
            <w:tcBorders>
              <w:top w:val="single" w:sz="12" w:space="0" w:color="auto"/>
              <w:bottom w:val="single" w:sz="36" w:space="0" w:color="auto"/>
            </w:tcBorders>
            <w:vAlign w:val="center"/>
          </w:tcPr>
          <w:p w14:paraId="10E35062" w14:textId="77777777" w:rsidR="00AD15B5" w:rsidRPr="005025F2" w:rsidRDefault="00AD15B5" w:rsidP="005F3F9A">
            <w:pPr>
              <w:suppressLineNumbers/>
              <w:suppressAutoHyphens/>
              <w:rPr>
                <w:kern w:val="22"/>
              </w:rPr>
            </w:pPr>
            <w:r w:rsidRPr="00F5491E">
              <w:rPr>
                <w:noProof/>
                <w:kern w:val="22"/>
                <w:lang w:eastAsia="en-CA"/>
              </w:rPr>
              <w:drawing>
                <wp:inline distT="0" distB="0" distL="0" distR="0" wp14:anchorId="31D21146" wp14:editId="62ED7AFA">
                  <wp:extent cx="2887853" cy="1080000"/>
                  <wp:effectExtent l="0" t="0" r="8255" b="12700"/>
                  <wp:docPr id="6"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B8F6F67" w14:textId="77777777" w:rsidR="00AD15B5" w:rsidRPr="00C16AB3" w:rsidRDefault="00AD15B5" w:rsidP="005F3F9A">
            <w:pPr>
              <w:suppressLineNumbers/>
              <w:suppressAutoHyphens/>
              <w:ind w:left="1215"/>
              <w:rPr>
                <w:kern w:val="22"/>
                <w:szCs w:val="22"/>
              </w:rPr>
            </w:pPr>
            <w:r w:rsidRPr="00C16AB3">
              <w:rPr>
                <w:kern w:val="22"/>
                <w:szCs w:val="22"/>
              </w:rPr>
              <w:t>Distr.</w:t>
            </w:r>
          </w:p>
          <w:p w14:paraId="48B1BE46" w14:textId="77777777" w:rsidR="00AD15B5" w:rsidRPr="00C16AB3" w:rsidRDefault="00AD15B5" w:rsidP="005F3F9A">
            <w:pPr>
              <w:suppressLineNumbers/>
              <w:suppressAutoHyphens/>
              <w:ind w:left="1215"/>
              <w:rPr>
                <w:kern w:val="22"/>
                <w:szCs w:val="22"/>
              </w:rPr>
            </w:pPr>
            <w:r w:rsidRPr="00C16AB3">
              <w:rPr>
                <w:kern w:val="22"/>
                <w:szCs w:val="22"/>
              </w:rPr>
              <w:t>GENERAL</w:t>
            </w:r>
          </w:p>
          <w:p w14:paraId="65DD6702" w14:textId="77777777" w:rsidR="00AD15B5" w:rsidRPr="00C16AB3" w:rsidRDefault="00AD15B5" w:rsidP="005F3F9A">
            <w:pPr>
              <w:suppressLineNumbers/>
              <w:suppressAutoHyphens/>
              <w:ind w:left="1215"/>
              <w:rPr>
                <w:kern w:val="22"/>
                <w:szCs w:val="22"/>
              </w:rPr>
            </w:pPr>
          </w:p>
          <w:bookmarkStart w:id="0" w:name="_Hlk82676226" w:displacedByCustomXml="next"/>
          <w:sdt>
            <w:sdtPr>
              <w:rPr>
                <w:kern w:val="22"/>
                <w:szCs w:val="22"/>
              </w:rPr>
              <w:alias w:val="Subject"/>
              <w:tag w:val=""/>
              <w:id w:val="475568643"/>
              <w:placeholder>
                <w:docPart w:val="4BFC2725F4D34E609C1F5397B8284F5F"/>
              </w:placeholder>
              <w:dataBinding w:prefixMappings="xmlns:ns0='http://purl.org/dc/elements/1.1/' xmlns:ns1='http://schemas.openxmlformats.org/package/2006/metadata/core-properties' " w:xpath="/ns1:coreProperties[1]/ns0:subject[1]" w:storeItemID="{6C3C8BC8-F283-45AE-878A-BAB7291924A1}"/>
              <w:text/>
            </w:sdtPr>
            <w:sdtEndPr/>
            <w:sdtContent>
              <w:p w14:paraId="79C5A0EC" w14:textId="60107E27" w:rsidR="00AD15B5" w:rsidRPr="005025F2" w:rsidRDefault="00AD15B5" w:rsidP="005F3F9A">
                <w:pPr>
                  <w:suppressLineNumbers/>
                  <w:suppressAutoHyphens/>
                  <w:ind w:left="1215"/>
                  <w:rPr>
                    <w:kern w:val="22"/>
                    <w:szCs w:val="22"/>
                  </w:rPr>
                </w:pPr>
                <w:r w:rsidRPr="005025F2">
                  <w:rPr>
                    <w:kern w:val="22"/>
                    <w:szCs w:val="22"/>
                  </w:rPr>
                  <w:t>CBD/CP/MOP/10/</w:t>
                </w:r>
                <w:r w:rsidR="00A45F85" w:rsidRPr="005025F2">
                  <w:rPr>
                    <w:kern w:val="22"/>
                    <w:szCs w:val="22"/>
                  </w:rPr>
                  <w:t>2</w:t>
                </w:r>
              </w:p>
            </w:sdtContent>
          </w:sdt>
          <w:bookmarkEnd w:id="0" w:displacedByCustomXml="prev"/>
          <w:p w14:paraId="2DBB7ED6" w14:textId="3EC9E138" w:rsidR="00AD15B5" w:rsidRPr="00C16AB3" w:rsidRDefault="00F632F1" w:rsidP="005F3F9A">
            <w:pPr>
              <w:suppressLineNumbers/>
              <w:suppressAutoHyphens/>
              <w:ind w:left="1215"/>
              <w:rPr>
                <w:kern w:val="22"/>
                <w:szCs w:val="22"/>
              </w:rPr>
            </w:pPr>
            <w:r w:rsidRPr="003443B2">
              <w:rPr>
                <w:kern w:val="22"/>
                <w:szCs w:val="22"/>
              </w:rPr>
              <w:t>1</w:t>
            </w:r>
            <w:r w:rsidR="004C1BFA">
              <w:rPr>
                <w:kern w:val="22"/>
                <w:szCs w:val="22"/>
              </w:rPr>
              <w:t>6</w:t>
            </w:r>
            <w:r w:rsidR="00AD15B5" w:rsidRPr="00C16AB3">
              <w:rPr>
                <w:kern w:val="22"/>
                <w:szCs w:val="22"/>
              </w:rPr>
              <w:t xml:space="preserve"> </w:t>
            </w:r>
            <w:r w:rsidR="000069C6">
              <w:rPr>
                <w:kern w:val="22"/>
                <w:szCs w:val="22"/>
              </w:rPr>
              <w:t>September</w:t>
            </w:r>
            <w:r w:rsidR="00AD15B5" w:rsidRPr="00C16AB3">
              <w:rPr>
                <w:kern w:val="22"/>
                <w:szCs w:val="22"/>
              </w:rPr>
              <w:t xml:space="preserve"> 202</w:t>
            </w:r>
            <w:r w:rsidR="000069C6">
              <w:rPr>
                <w:kern w:val="22"/>
                <w:szCs w:val="22"/>
              </w:rPr>
              <w:t>1</w:t>
            </w:r>
          </w:p>
          <w:p w14:paraId="0CFDB063" w14:textId="77777777" w:rsidR="00AD15B5" w:rsidRPr="00C16AB3" w:rsidRDefault="00AD15B5" w:rsidP="005F3F9A">
            <w:pPr>
              <w:suppressLineNumbers/>
              <w:suppressAutoHyphens/>
              <w:ind w:left="1215"/>
              <w:rPr>
                <w:kern w:val="22"/>
                <w:szCs w:val="22"/>
              </w:rPr>
            </w:pPr>
          </w:p>
          <w:p w14:paraId="7B6474DE" w14:textId="4C85FB4F" w:rsidR="00AD15B5" w:rsidRPr="00C16AB3" w:rsidRDefault="00AD15B5" w:rsidP="005F3F9A">
            <w:pPr>
              <w:suppressLineNumbers/>
              <w:suppressAutoHyphens/>
              <w:ind w:left="1215"/>
              <w:rPr>
                <w:kern w:val="22"/>
                <w:szCs w:val="22"/>
              </w:rPr>
            </w:pPr>
            <w:r w:rsidRPr="00C16AB3">
              <w:rPr>
                <w:kern w:val="22"/>
                <w:szCs w:val="22"/>
              </w:rPr>
              <w:t>ORIGINA</w:t>
            </w:r>
            <w:r w:rsidR="00B445CA" w:rsidRPr="00C16AB3">
              <w:rPr>
                <w:kern w:val="22"/>
                <w:szCs w:val="22"/>
              </w:rPr>
              <w:t>L</w:t>
            </w:r>
            <w:r w:rsidRPr="00C16AB3">
              <w:rPr>
                <w:kern w:val="22"/>
                <w:szCs w:val="22"/>
              </w:rPr>
              <w:t>: ENGLISH</w:t>
            </w:r>
          </w:p>
          <w:p w14:paraId="57E45D9C" w14:textId="77777777" w:rsidR="00AD15B5" w:rsidRPr="00C16AB3" w:rsidRDefault="00AD15B5" w:rsidP="005F3F9A">
            <w:pPr>
              <w:suppressLineNumbers/>
              <w:suppressAutoHyphens/>
              <w:rPr>
                <w:kern w:val="22"/>
              </w:rPr>
            </w:pPr>
          </w:p>
        </w:tc>
      </w:tr>
    </w:tbl>
    <w:p w14:paraId="31BB7B48" w14:textId="77777777" w:rsidR="00391A45" w:rsidRPr="00C16AB3" w:rsidRDefault="00391A45" w:rsidP="000F539C">
      <w:pPr>
        <w:pStyle w:val="Cornernotation"/>
        <w:ind w:left="142" w:right="3831" w:hanging="142"/>
        <w:rPr>
          <w:kern w:val="22"/>
          <w:szCs w:val="22"/>
        </w:rPr>
      </w:pPr>
      <w:r w:rsidRPr="005025F2">
        <w:rPr>
          <w:kern w:val="22"/>
          <w:szCs w:val="22"/>
        </w:rPr>
        <w:t>CONFERENCE OF THE PARTIES SERVING AS THE MEETING OF THE PARTIES TO THE CARTAGENA PROTOCOL ON BIOSAFETY</w:t>
      </w:r>
    </w:p>
    <w:p w14:paraId="00754703" w14:textId="539B3170" w:rsidR="00391A45" w:rsidRPr="00C16AB3" w:rsidRDefault="00AD15B5" w:rsidP="00F5491E">
      <w:pPr>
        <w:pStyle w:val="Cornernotation"/>
        <w:ind w:left="284" w:right="5816" w:hanging="284"/>
        <w:rPr>
          <w:kern w:val="22"/>
          <w:szCs w:val="22"/>
        </w:rPr>
      </w:pPr>
      <w:r w:rsidRPr="00C16AB3">
        <w:rPr>
          <w:kern w:val="22"/>
          <w:szCs w:val="22"/>
        </w:rPr>
        <w:t>Tenth</w:t>
      </w:r>
      <w:r w:rsidR="00391A45" w:rsidRPr="00C16AB3">
        <w:rPr>
          <w:kern w:val="22"/>
          <w:szCs w:val="22"/>
        </w:rPr>
        <w:t xml:space="preserve"> meeting</w:t>
      </w:r>
    </w:p>
    <w:p w14:paraId="4DC9FDA4" w14:textId="6A82081B" w:rsidR="00C9161D" w:rsidRPr="005025F2" w:rsidRDefault="00514335" w:rsidP="00F5491E">
      <w:pPr>
        <w:ind w:left="284" w:right="5816" w:hanging="284"/>
        <w:jc w:val="left"/>
        <w:rPr>
          <w:kern w:val="22"/>
        </w:rPr>
      </w:pPr>
      <w:r w:rsidRPr="00F5491E">
        <w:rPr>
          <w:kern w:val="22"/>
        </w:rPr>
        <w:t>Kunming, China, 11-15 October 2021 and 25 April to 8 May 2022</w:t>
      </w:r>
    </w:p>
    <w:p w14:paraId="68E13656" w14:textId="397BA963" w:rsidR="00AD15B5" w:rsidRPr="00C16AB3" w:rsidRDefault="00334C65" w:rsidP="00F5491E">
      <w:pPr>
        <w:spacing w:after="240"/>
        <w:jc w:val="left"/>
        <w:rPr>
          <w:kern w:val="22"/>
        </w:rPr>
      </w:pPr>
      <w:r w:rsidRPr="003443B2">
        <w:rPr>
          <w:kern w:val="22"/>
        </w:rPr>
        <w:t>Item</w:t>
      </w:r>
      <w:r w:rsidR="00772D25" w:rsidRPr="003443B2">
        <w:rPr>
          <w:kern w:val="22"/>
        </w:rPr>
        <w:t xml:space="preserve"> 5</w:t>
      </w:r>
      <w:r w:rsidRPr="00C16AB3">
        <w:rPr>
          <w:kern w:val="22"/>
        </w:rPr>
        <w:t xml:space="preserve"> of the provisional agenda</w:t>
      </w:r>
      <w:r w:rsidR="00772D25" w:rsidRPr="00C16AB3">
        <w:rPr>
          <w:rStyle w:val="FootnoteReference"/>
          <w:kern w:val="22"/>
        </w:rPr>
        <w:footnoteReference w:customMarkFollows="1" w:id="2"/>
        <w:t>*</w:t>
      </w:r>
    </w:p>
    <w:p w14:paraId="59144AF4" w14:textId="4B06D6C5" w:rsidR="00C9161D" w:rsidRPr="002C2D29" w:rsidRDefault="007469F0" w:rsidP="00172AF6">
      <w:pPr>
        <w:spacing w:before="120" w:after="240"/>
        <w:jc w:val="center"/>
        <w:rPr>
          <w:rFonts w:ascii="Times New Roman Bold" w:hAnsi="Times New Roman Bold" w:cs="Times New Roman Bold"/>
          <w:b/>
          <w:caps/>
          <w:kern w:val="22"/>
        </w:rPr>
      </w:pPr>
      <w:sdt>
        <w:sdtPr>
          <w:rPr>
            <w:rFonts w:ascii="Times New Roman Bold" w:hAnsi="Times New Roman Bold" w:cs="Times New Roman Bold"/>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36A40" w:rsidRPr="00A36A40">
            <w:rPr>
              <w:rFonts w:ascii="Times New Roman Bold" w:hAnsi="Times New Roman Bold" w:cs="Times New Roman Bold"/>
              <w:b/>
              <w:caps/>
              <w:kern w:val="22"/>
              <w:szCs w:val="22"/>
            </w:rPr>
            <w:t>Report of the Compliance Committee under the Cartagena Protocol on Biosafety on the work of its sixteenth and seventeenth meetings</w:t>
          </w:r>
        </w:sdtContent>
      </w:sdt>
    </w:p>
    <w:p w14:paraId="4CD23882" w14:textId="606A31EF" w:rsidR="00B65A39" w:rsidRPr="00F5491E" w:rsidRDefault="00481094" w:rsidP="00E6339C">
      <w:pPr>
        <w:pStyle w:val="Para1"/>
        <w:tabs>
          <w:tab w:val="clear" w:pos="360"/>
        </w:tabs>
        <w:rPr>
          <w:kern w:val="22"/>
        </w:rPr>
      </w:pPr>
      <w:r w:rsidRPr="00F5491E">
        <w:rPr>
          <w:kern w:val="22"/>
        </w:rPr>
        <w:t>The Compliance Committee held two meetings d</w:t>
      </w:r>
      <w:r w:rsidR="00391A45" w:rsidRPr="00F5491E">
        <w:rPr>
          <w:kern w:val="22"/>
        </w:rPr>
        <w:t xml:space="preserve">uring the intersessional period that followed the </w:t>
      </w:r>
      <w:r w:rsidR="00AD15B5" w:rsidRPr="00F5491E">
        <w:rPr>
          <w:kern w:val="22"/>
        </w:rPr>
        <w:t>nin</w:t>
      </w:r>
      <w:r w:rsidR="00391A45" w:rsidRPr="00F5491E">
        <w:rPr>
          <w:kern w:val="22"/>
        </w:rPr>
        <w:t xml:space="preserve">th meeting of the </w:t>
      </w:r>
      <w:r w:rsidR="00A57F79" w:rsidRPr="00F5491E">
        <w:rPr>
          <w:rFonts w:eastAsia="SimSun"/>
          <w:kern w:val="22"/>
          <w:lang w:eastAsia="zh-CN"/>
        </w:rPr>
        <w:t>Conference of the Parties serving as the</w:t>
      </w:r>
      <w:r w:rsidR="00A57F79" w:rsidRPr="00F5491E">
        <w:rPr>
          <w:kern w:val="22"/>
        </w:rPr>
        <w:t xml:space="preserve"> meeting </w:t>
      </w:r>
      <w:r w:rsidR="00391A45" w:rsidRPr="00F5491E">
        <w:rPr>
          <w:kern w:val="22"/>
        </w:rPr>
        <w:t xml:space="preserve">Parties to the </w:t>
      </w:r>
      <w:r w:rsidR="00363A11" w:rsidRPr="00F5491E">
        <w:rPr>
          <w:kern w:val="22"/>
        </w:rPr>
        <w:t xml:space="preserve">Cartagena </w:t>
      </w:r>
      <w:r w:rsidR="00391A45" w:rsidRPr="00F5491E">
        <w:rPr>
          <w:kern w:val="22"/>
        </w:rPr>
        <w:t>Protocol</w:t>
      </w:r>
      <w:r w:rsidR="0058513A" w:rsidRPr="00F5491E">
        <w:rPr>
          <w:kern w:val="22"/>
        </w:rPr>
        <w:t>.</w:t>
      </w:r>
      <w:r w:rsidR="00391A45" w:rsidRPr="00F5491E">
        <w:rPr>
          <w:kern w:val="22"/>
        </w:rPr>
        <w:t xml:space="preserve"> </w:t>
      </w:r>
      <w:r w:rsidR="0058513A" w:rsidRPr="00F5491E">
        <w:rPr>
          <w:kern w:val="22"/>
        </w:rPr>
        <w:t>I</w:t>
      </w:r>
      <w:r w:rsidR="00391A45" w:rsidRPr="00F5491E">
        <w:rPr>
          <w:kern w:val="22"/>
        </w:rPr>
        <w:t xml:space="preserve">ts </w:t>
      </w:r>
      <w:r w:rsidR="00AD15B5" w:rsidRPr="00F5491E">
        <w:rPr>
          <w:kern w:val="22"/>
        </w:rPr>
        <w:t>six</w:t>
      </w:r>
      <w:r w:rsidR="00391A45" w:rsidRPr="00F5491E">
        <w:rPr>
          <w:kern w:val="22"/>
        </w:rPr>
        <w:t>teenth</w:t>
      </w:r>
      <w:r w:rsidR="00661A0D" w:rsidRPr="00F5491E">
        <w:rPr>
          <w:kern w:val="22"/>
        </w:rPr>
        <w:t xml:space="preserve"> meeting</w:t>
      </w:r>
      <w:r w:rsidR="0058513A" w:rsidRPr="00F5491E">
        <w:rPr>
          <w:kern w:val="22"/>
        </w:rPr>
        <w:t xml:space="preserve"> was held at the offices of the Secretariat in Montreal, Canada, </w:t>
      </w:r>
      <w:r w:rsidR="00391A45" w:rsidRPr="00F5491E">
        <w:rPr>
          <w:kern w:val="22"/>
        </w:rPr>
        <w:t xml:space="preserve">from </w:t>
      </w:r>
      <w:r w:rsidR="00AD15B5" w:rsidRPr="00A36A40">
        <w:rPr>
          <w:kern w:val="22"/>
          <w:szCs w:val="22"/>
        </w:rPr>
        <w:t>29 to 31 May 2019</w:t>
      </w:r>
      <w:r w:rsidR="0058513A" w:rsidRPr="00A36A40">
        <w:rPr>
          <w:kern w:val="22"/>
          <w:szCs w:val="22"/>
        </w:rPr>
        <w:t xml:space="preserve">. </w:t>
      </w:r>
      <w:r w:rsidR="0058513A" w:rsidRPr="00F5491E">
        <w:rPr>
          <w:kern w:val="22"/>
        </w:rPr>
        <w:t>I</w:t>
      </w:r>
      <w:r w:rsidR="00391A45" w:rsidRPr="00F5491E">
        <w:rPr>
          <w:kern w:val="22"/>
        </w:rPr>
        <w:t xml:space="preserve">ts </w:t>
      </w:r>
      <w:r w:rsidR="00AD15B5" w:rsidRPr="00F5491E">
        <w:rPr>
          <w:kern w:val="22"/>
        </w:rPr>
        <w:t>seven</w:t>
      </w:r>
      <w:r w:rsidR="00391A45" w:rsidRPr="00F5491E">
        <w:rPr>
          <w:kern w:val="22"/>
        </w:rPr>
        <w:t>teenth</w:t>
      </w:r>
      <w:r w:rsidR="00661A0D" w:rsidRPr="00F5491E">
        <w:rPr>
          <w:kern w:val="22"/>
        </w:rPr>
        <w:t xml:space="preserve"> meeting</w:t>
      </w:r>
      <w:r w:rsidR="0058513A" w:rsidRPr="00F5491E">
        <w:rPr>
          <w:kern w:val="22"/>
        </w:rPr>
        <w:t xml:space="preserve"> was held</w:t>
      </w:r>
      <w:r w:rsidR="00391A45" w:rsidRPr="00F5491E">
        <w:rPr>
          <w:kern w:val="22"/>
        </w:rPr>
        <w:t xml:space="preserve"> from </w:t>
      </w:r>
      <w:r w:rsidR="00AD15B5" w:rsidRPr="00F5491E">
        <w:rPr>
          <w:kern w:val="22"/>
        </w:rPr>
        <w:t>15 to 17 April 2020</w:t>
      </w:r>
      <w:r w:rsidR="0058513A" w:rsidRPr="00F5491E">
        <w:rPr>
          <w:kern w:val="22"/>
        </w:rPr>
        <w:t>.</w:t>
      </w:r>
      <w:r w:rsidR="000A1CC8" w:rsidRPr="00F5491E">
        <w:rPr>
          <w:kern w:val="22"/>
        </w:rPr>
        <w:t xml:space="preserve"> </w:t>
      </w:r>
      <w:r w:rsidR="00C709D5" w:rsidRPr="00F5491E">
        <w:rPr>
          <w:kern w:val="22"/>
        </w:rPr>
        <w:t xml:space="preserve">The meeting was </w:t>
      </w:r>
      <w:r w:rsidR="00E7005B" w:rsidRPr="00F5491E">
        <w:rPr>
          <w:kern w:val="22"/>
        </w:rPr>
        <w:t>conducted</w:t>
      </w:r>
      <w:r w:rsidR="00C709D5" w:rsidRPr="00F5491E">
        <w:rPr>
          <w:kern w:val="22"/>
        </w:rPr>
        <w:t xml:space="preserve"> </w:t>
      </w:r>
      <w:r w:rsidR="00AD15B5" w:rsidRPr="00F5491E">
        <w:rPr>
          <w:kern w:val="22"/>
        </w:rPr>
        <w:t>online due to challenges posed by the COVID-19 pandemic</w:t>
      </w:r>
      <w:r w:rsidR="00391A45" w:rsidRPr="00F5491E">
        <w:rPr>
          <w:kern w:val="22"/>
        </w:rPr>
        <w:t xml:space="preserve">. </w:t>
      </w:r>
      <w:r w:rsidR="00D01C79" w:rsidRPr="00F5491E">
        <w:rPr>
          <w:kern w:val="22"/>
        </w:rPr>
        <w:t>In this context, t</w:t>
      </w:r>
      <w:r w:rsidR="00467521" w:rsidRPr="00F5491E">
        <w:rPr>
          <w:kern w:val="22"/>
        </w:rPr>
        <w:t xml:space="preserve">he Committee </w:t>
      </w:r>
      <w:r w:rsidR="00A35D9A" w:rsidRPr="00F5491E">
        <w:rPr>
          <w:kern w:val="22"/>
        </w:rPr>
        <w:t xml:space="preserve">recalled </w:t>
      </w:r>
      <w:r w:rsidR="006A06EC" w:rsidRPr="00F5491E">
        <w:rPr>
          <w:kern w:val="22"/>
        </w:rPr>
        <w:t>r</w:t>
      </w:r>
      <w:r w:rsidR="00A35D9A" w:rsidRPr="00F5491E">
        <w:rPr>
          <w:kern w:val="22"/>
        </w:rPr>
        <w:t xml:space="preserve">ule 15 of the </w:t>
      </w:r>
      <w:r w:rsidR="006A06EC" w:rsidRPr="00F5491E">
        <w:rPr>
          <w:kern w:val="22"/>
        </w:rPr>
        <w:t>r</w:t>
      </w:r>
      <w:r w:rsidR="00A35D9A" w:rsidRPr="00F5491E">
        <w:rPr>
          <w:kern w:val="22"/>
        </w:rPr>
        <w:t xml:space="preserve">ules of </w:t>
      </w:r>
      <w:r w:rsidR="006A06EC" w:rsidRPr="00F5491E">
        <w:rPr>
          <w:kern w:val="22"/>
        </w:rPr>
        <w:t>p</w:t>
      </w:r>
      <w:r w:rsidR="00A35D9A" w:rsidRPr="00F5491E">
        <w:rPr>
          <w:kern w:val="22"/>
        </w:rPr>
        <w:t>rocedure for the meetings of the Committee</w:t>
      </w:r>
      <w:r w:rsidR="00425192" w:rsidRPr="00F5491E">
        <w:rPr>
          <w:kern w:val="22"/>
        </w:rPr>
        <w:t xml:space="preserve">. It </w:t>
      </w:r>
      <w:r w:rsidR="00B54D87" w:rsidRPr="00F5491E">
        <w:rPr>
          <w:kern w:val="22"/>
        </w:rPr>
        <w:t xml:space="preserve">considered that the alternate arrangements </w:t>
      </w:r>
      <w:r w:rsidR="006A06EC" w:rsidRPr="00F5491E">
        <w:rPr>
          <w:kern w:val="22"/>
        </w:rPr>
        <w:t>for its online meeting provided for</w:t>
      </w:r>
      <w:r w:rsidR="00B54D87" w:rsidRPr="00F5491E">
        <w:rPr>
          <w:kern w:val="22"/>
        </w:rPr>
        <w:t xml:space="preserve"> live sessions that would allow the members to engage directly with one another and contribute to the discussions in a similar way as in a face-to-face setting. Against this background</w:t>
      </w:r>
      <w:r w:rsidR="00181B29" w:rsidRPr="00F5491E">
        <w:rPr>
          <w:kern w:val="22"/>
        </w:rPr>
        <w:t xml:space="preserve"> and</w:t>
      </w:r>
      <w:r w:rsidR="00467521" w:rsidRPr="00F5491E">
        <w:rPr>
          <w:kern w:val="22"/>
        </w:rPr>
        <w:t xml:space="preserve"> </w:t>
      </w:r>
      <w:r w:rsidR="00FF764E" w:rsidRPr="00F5491E">
        <w:rPr>
          <w:kern w:val="22"/>
        </w:rPr>
        <w:t>considering</w:t>
      </w:r>
      <w:r w:rsidR="00467521" w:rsidRPr="00F5491E">
        <w:rPr>
          <w:kern w:val="22"/>
        </w:rPr>
        <w:t xml:space="preserve"> the exceptional circumstances,</w:t>
      </w:r>
      <w:r w:rsidR="00181B29" w:rsidRPr="00F5491E">
        <w:rPr>
          <w:kern w:val="22"/>
        </w:rPr>
        <w:t xml:space="preserve"> it agreed that</w:t>
      </w:r>
      <w:r w:rsidR="00467521" w:rsidRPr="00F5491E">
        <w:rPr>
          <w:kern w:val="22"/>
        </w:rPr>
        <w:t xml:space="preserve"> the </w:t>
      </w:r>
      <w:r w:rsidR="00AA00CD" w:rsidRPr="00F5491E">
        <w:rPr>
          <w:kern w:val="22"/>
        </w:rPr>
        <w:t xml:space="preserve">alternative arrangements </w:t>
      </w:r>
      <w:r w:rsidR="003776F6" w:rsidRPr="00F5491E">
        <w:rPr>
          <w:kern w:val="22"/>
        </w:rPr>
        <w:t>were</w:t>
      </w:r>
      <w:r w:rsidR="00447A51" w:rsidRPr="00F5491E">
        <w:rPr>
          <w:kern w:val="22"/>
        </w:rPr>
        <w:t xml:space="preserve"> suitable and </w:t>
      </w:r>
      <w:r w:rsidR="00467521" w:rsidRPr="00F5491E">
        <w:rPr>
          <w:kern w:val="22"/>
        </w:rPr>
        <w:t>would allow the Committee to adopt its report, including recommendations to the Conference of the Parties serving as the meeting of the Parties.</w:t>
      </w:r>
    </w:p>
    <w:p w14:paraId="73591C9C" w14:textId="6632FAF3" w:rsidR="00391A45" w:rsidRPr="00F5491E" w:rsidRDefault="00391A45" w:rsidP="00BB762C">
      <w:pPr>
        <w:pStyle w:val="Para1"/>
        <w:tabs>
          <w:tab w:val="clear" w:pos="360"/>
        </w:tabs>
        <w:rPr>
          <w:kern w:val="22"/>
        </w:rPr>
      </w:pPr>
      <w:r w:rsidRPr="00F5491E">
        <w:rPr>
          <w:rFonts w:eastAsia="SimSun"/>
          <w:kern w:val="22"/>
          <w:lang w:eastAsia="zh-CN"/>
        </w:rPr>
        <w:t>The present document contains a consolidated report of the discussions and outcomes of the two meetings.</w:t>
      </w:r>
    </w:p>
    <w:p w14:paraId="3CAB94AB" w14:textId="6503A864" w:rsidR="00391A45" w:rsidRPr="00F5491E" w:rsidRDefault="00391A45" w:rsidP="00D85053">
      <w:pPr>
        <w:pStyle w:val="Para1"/>
        <w:tabs>
          <w:tab w:val="clear" w:pos="360"/>
        </w:tabs>
        <w:rPr>
          <w:snapToGrid/>
          <w:kern w:val="22"/>
          <w:szCs w:val="22"/>
          <w:lang w:eastAsia="en-CA"/>
        </w:rPr>
      </w:pPr>
      <w:r w:rsidRPr="005025F2">
        <w:rPr>
          <w:rFonts w:eastAsia="SimSun"/>
          <w:kern w:val="22"/>
          <w:szCs w:val="22"/>
          <w:lang w:eastAsia="zh-CN"/>
        </w:rPr>
        <w:t xml:space="preserve">At its </w:t>
      </w:r>
      <w:r w:rsidR="00AD15B5" w:rsidRPr="00F5491E">
        <w:rPr>
          <w:rFonts w:eastAsia="SimSun"/>
          <w:kern w:val="22"/>
          <w:szCs w:val="22"/>
          <w:lang w:eastAsia="zh-CN"/>
        </w:rPr>
        <w:t>six</w:t>
      </w:r>
      <w:r w:rsidRPr="00F5491E">
        <w:rPr>
          <w:rFonts w:eastAsia="SimSun"/>
          <w:kern w:val="22"/>
          <w:szCs w:val="22"/>
          <w:lang w:eastAsia="zh-CN"/>
        </w:rPr>
        <w:t>teenth meeting</w:t>
      </w:r>
      <w:r w:rsidRPr="00414B98">
        <w:rPr>
          <w:rFonts w:eastAsia="SimSun"/>
          <w:kern w:val="22"/>
          <w:szCs w:val="22"/>
          <w:lang w:eastAsia="zh-CN"/>
        </w:rPr>
        <w:t>,</w:t>
      </w:r>
      <w:r w:rsidRPr="00C16AB3">
        <w:rPr>
          <w:rFonts w:eastAsia="SimSun"/>
          <w:kern w:val="22"/>
          <w:szCs w:val="22"/>
          <w:lang w:eastAsia="zh-CN"/>
        </w:rPr>
        <w:t xml:space="preserve"> the Committee considered the outcomes of the </w:t>
      </w:r>
      <w:r w:rsidR="00AD15B5" w:rsidRPr="00C16AB3">
        <w:rPr>
          <w:rFonts w:eastAsia="SimSun"/>
          <w:kern w:val="22"/>
          <w:szCs w:val="22"/>
          <w:lang w:eastAsia="zh-CN"/>
        </w:rPr>
        <w:t>nin</w:t>
      </w:r>
      <w:r w:rsidRPr="00C16AB3">
        <w:rPr>
          <w:rFonts w:eastAsia="SimSun"/>
          <w:kern w:val="22"/>
          <w:szCs w:val="22"/>
          <w:lang w:eastAsia="zh-CN"/>
        </w:rPr>
        <w:t xml:space="preserve">th meeting of the </w:t>
      </w:r>
      <w:r w:rsidR="006A5C03" w:rsidRPr="00C16AB3">
        <w:rPr>
          <w:rFonts w:eastAsia="SimSun"/>
          <w:kern w:val="22"/>
          <w:szCs w:val="22"/>
          <w:lang w:eastAsia="zh-CN"/>
        </w:rPr>
        <w:t xml:space="preserve">Conference of the Parties serving as the </w:t>
      </w:r>
      <w:r w:rsidRPr="00C16AB3">
        <w:rPr>
          <w:rFonts w:eastAsia="SimSun"/>
          <w:kern w:val="22"/>
          <w:szCs w:val="22"/>
          <w:lang w:eastAsia="zh-CN"/>
        </w:rPr>
        <w:t>meeting of the Parties to the Cartagena Protocol</w:t>
      </w:r>
      <w:r w:rsidR="00035BA6" w:rsidRPr="00C16AB3">
        <w:rPr>
          <w:rFonts w:eastAsia="SimSun"/>
          <w:kern w:val="22"/>
          <w:szCs w:val="22"/>
          <w:lang w:eastAsia="zh-CN"/>
        </w:rPr>
        <w:t xml:space="preserve">. It </w:t>
      </w:r>
      <w:r w:rsidR="00035BA6" w:rsidRPr="00F5491E">
        <w:rPr>
          <w:kern w:val="22"/>
        </w:rPr>
        <w:t>welcomed the positive consideration of most of its recommendations by the meeting of the Parties and reviewed some specific outcomes that were relevant to the work of the Committe</w:t>
      </w:r>
      <w:r w:rsidR="00C167BD" w:rsidRPr="00F5491E">
        <w:rPr>
          <w:kern w:val="22"/>
        </w:rPr>
        <w:t>e</w:t>
      </w:r>
      <w:r w:rsidRPr="001E6EC7">
        <w:rPr>
          <w:rFonts w:eastAsia="SimSun"/>
          <w:kern w:val="22"/>
          <w:szCs w:val="22"/>
          <w:lang w:eastAsia="zh-CN"/>
        </w:rPr>
        <w:t>:</w:t>
      </w:r>
    </w:p>
    <w:p w14:paraId="3E55CA34" w14:textId="60D0C192" w:rsidR="00DC78E8" w:rsidRPr="003443B2" w:rsidRDefault="002A5A18" w:rsidP="00DC78E8">
      <w:pPr>
        <w:pStyle w:val="Para1"/>
        <w:numPr>
          <w:ilvl w:val="1"/>
          <w:numId w:val="2"/>
        </w:numPr>
        <w:tabs>
          <w:tab w:val="clear" w:pos="1440"/>
        </w:tabs>
        <w:rPr>
          <w:b/>
          <w:snapToGrid/>
          <w:kern w:val="22"/>
          <w:szCs w:val="22"/>
          <w:lang w:eastAsia="en-CA"/>
        </w:rPr>
      </w:pPr>
      <w:r w:rsidRPr="00C16AB3">
        <w:rPr>
          <w:rFonts w:eastAsia="SimSun"/>
          <w:kern w:val="22"/>
          <w:szCs w:val="22"/>
          <w:lang w:eastAsia="zh-CN"/>
        </w:rPr>
        <w:t>With regard to</w:t>
      </w:r>
      <w:r w:rsidR="00391A45" w:rsidRPr="00C16AB3">
        <w:rPr>
          <w:rFonts w:eastAsia="SimSun"/>
          <w:kern w:val="22"/>
          <w:szCs w:val="22"/>
          <w:lang w:eastAsia="zh-CN"/>
        </w:rPr>
        <w:t xml:space="preserve"> </w:t>
      </w:r>
      <w:hyperlink r:id="rId15" w:history="1">
        <w:r w:rsidR="00DC78E8" w:rsidRPr="00F5491E">
          <w:rPr>
            <w:rStyle w:val="Hyperlink"/>
            <w:color w:val="auto"/>
            <w:kern w:val="22"/>
            <w:sz w:val="22"/>
            <w:u w:val="none"/>
          </w:rPr>
          <w:t xml:space="preserve">decision </w:t>
        </w:r>
        <w:r w:rsidR="00DC78E8" w:rsidRPr="00F5491E">
          <w:rPr>
            <w:rStyle w:val="Hyperlink"/>
            <w:kern w:val="22"/>
            <w:sz w:val="22"/>
          </w:rPr>
          <w:t>CP-9/1</w:t>
        </w:r>
      </w:hyperlink>
      <w:r w:rsidR="00DC78E8" w:rsidRPr="00F5491E">
        <w:rPr>
          <w:kern w:val="22"/>
        </w:rPr>
        <w:t xml:space="preserve"> on compliance, </w:t>
      </w:r>
      <w:r w:rsidR="00171BB1" w:rsidRPr="00F5491E">
        <w:rPr>
          <w:kern w:val="22"/>
        </w:rPr>
        <w:t xml:space="preserve">the Committee recalled its recommendation to the </w:t>
      </w:r>
      <w:r w:rsidR="00AD3A7E" w:rsidRPr="00F5491E">
        <w:rPr>
          <w:kern w:val="22"/>
        </w:rPr>
        <w:t xml:space="preserve">Conference of the Parties serving as the </w:t>
      </w:r>
      <w:r w:rsidR="00171BB1" w:rsidRPr="00F5491E">
        <w:rPr>
          <w:kern w:val="22"/>
        </w:rPr>
        <w:t xml:space="preserve">meeting of the Parties to caution certain Parties </w:t>
      </w:r>
      <w:r w:rsidR="00AD3A7E" w:rsidRPr="00F5491E">
        <w:rPr>
          <w:kern w:val="22"/>
        </w:rPr>
        <w:t>for non</w:t>
      </w:r>
      <w:r w:rsidR="009D4BB1" w:rsidRPr="00F5491E">
        <w:rPr>
          <w:kern w:val="22"/>
        </w:rPr>
        <w:noBreakHyphen/>
      </w:r>
      <w:r w:rsidR="00AD3A7E" w:rsidRPr="00F5491E">
        <w:rPr>
          <w:kern w:val="22"/>
        </w:rPr>
        <w:t xml:space="preserve">compliance with the obligation to submit national reports. </w:t>
      </w:r>
      <w:r w:rsidR="00CB28EB" w:rsidRPr="00F5491E">
        <w:rPr>
          <w:kern w:val="22"/>
        </w:rPr>
        <w:t>T</w:t>
      </w:r>
      <w:r w:rsidR="00C864B6" w:rsidRPr="00F5491E">
        <w:rPr>
          <w:kern w:val="22"/>
        </w:rPr>
        <w:t xml:space="preserve">he </w:t>
      </w:r>
      <w:r w:rsidR="00DC78E8" w:rsidRPr="00F5491E">
        <w:rPr>
          <w:kern w:val="22"/>
        </w:rPr>
        <w:t xml:space="preserve">Committee recalled </w:t>
      </w:r>
      <w:r w:rsidR="00C864B6" w:rsidRPr="00F5491E">
        <w:rPr>
          <w:kern w:val="22"/>
        </w:rPr>
        <w:t>its</w:t>
      </w:r>
      <w:r w:rsidR="00DC78E8" w:rsidRPr="00F5491E">
        <w:rPr>
          <w:kern w:val="22"/>
        </w:rPr>
        <w:t xml:space="preserve"> lengthy and careful deliberations and </w:t>
      </w:r>
      <w:r w:rsidR="0017359B" w:rsidRPr="00F5491E">
        <w:rPr>
          <w:kern w:val="22"/>
        </w:rPr>
        <w:t xml:space="preserve">the </w:t>
      </w:r>
      <w:r w:rsidR="00DC78E8" w:rsidRPr="00F5491E">
        <w:rPr>
          <w:kern w:val="22"/>
        </w:rPr>
        <w:t xml:space="preserve">incremental nature of the process that had preceded </w:t>
      </w:r>
      <w:r w:rsidR="00D61C9B" w:rsidRPr="00F5491E">
        <w:rPr>
          <w:kern w:val="22"/>
        </w:rPr>
        <w:t>its</w:t>
      </w:r>
      <w:r w:rsidR="00DC78E8" w:rsidRPr="00F5491E">
        <w:rPr>
          <w:kern w:val="22"/>
        </w:rPr>
        <w:t xml:space="preserve"> recommendation </w:t>
      </w:r>
      <w:r w:rsidR="00EE433E" w:rsidRPr="00F5491E">
        <w:rPr>
          <w:kern w:val="22"/>
        </w:rPr>
        <w:t xml:space="preserve">and </w:t>
      </w:r>
      <w:r w:rsidR="00DC78E8" w:rsidRPr="00F5491E">
        <w:rPr>
          <w:kern w:val="22"/>
        </w:rPr>
        <w:t xml:space="preserve">stressed the importance of conveying </w:t>
      </w:r>
      <w:r w:rsidR="00F75EA7" w:rsidRPr="00F5491E">
        <w:rPr>
          <w:kern w:val="22"/>
        </w:rPr>
        <w:t>its extensive e</w:t>
      </w:r>
      <w:r w:rsidR="00DC78E8" w:rsidRPr="00F5491E">
        <w:rPr>
          <w:kern w:val="22"/>
        </w:rPr>
        <w:t xml:space="preserve">fforts to the </w:t>
      </w:r>
      <w:r w:rsidR="00AD3A7E" w:rsidRPr="00F5491E">
        <w:rPr>
          <w:kern w:val="22"/>
        </w:rPr>
        <w:t xml:space="preserve">meeting of the </w:t>
      </w:r>
      <w:r w:rsidR="00DC78E8" w:rsidRPr="00F5491E">
        <w:rPr>
          <w:kern w:val="22"/>
        </w:rPr>
        <w:t xml:space="preserve">Parties to the Protocol </w:t>
      </w:r>
      <w:r w:rsidR="00C62224" w:rsidRPr="00F5491E">
        <w:rPr>
          <w:kern w:val="22"/>
        </w:rPr>
        <w:t xml:space="preserve">to provide </w:t>
      </w:r>
      <w:r w:rsidR="00FB4B3B" w:rsidRPr="00F5491E">
        <w:rPr>
          <w:kern w:val="22"/>
        </w:rPr>
        <w:t xml:space="preserve">the necessary </w:t>
      </w:r>
      <w:r w:rsidR="00C62224" w:rsidRPr="00F5491E">
        <w:rPr>
          <w:kern w:val="22"/>
        </w:rPr>
        <w:t xml:space="preserve">context </w:t>
      </w:r>
      <w:r w:rsidR="00DC78E8" w:rsidRPr="00F5491E">
        <w:rPr>
          <w:kern w:val="22"/>
        </w:rPr>
        <w:t xml:space="preserve">when recommending a caution. </w:t>
      </w:r>
      <w:r w:rsidR="008763AB" w:rsidRPr="00F5491E">
        <w:rPr>
          <w:kern w:val="22"/>
        </w:rPr>
        <w:t>It noted with regret that the Conference of the Parties serving as the meeting of the Parties to the Protocol had not taken up the recommendation by the Committee to caution Montenegro</w:t>
      </w:r>
      <w:r w:rsidR="00B53754" w:rsidRPr="00F5491E">
        <w:rPr>
          <w:kern w:val="22"/>
        </w:rPr>
        <w:t>.</w:t>
      </w:r>
      <w:r w:rsidR="002E65FA" w:rsidRPr="00F5491E">
        <w:rPr>
          <w:kern w:val="22"/>
        </w:rPr>
        <w:t xml:space="preserve"> The Committee held the view that the recommendation had nevertheless been very useful in contributing to the submission of the third national reports by Greece, the Marshall Islands and Turkmenistan</w:t>
      </w:r>
      <w:r w:rsidR="00391A45" w:rsidRPr="005025F2">
        <w:rPr>
          <w:rFonts w:eastAsia="SimSun"/>
          <w:kern w:val="22"/>
          <w:szCs w:val="22"/>
          <w:lang w:eastAsia="zh-CN"/>
        </w:rPr>
        <w:t>;</w:t>
      </w:r>
    </w:p>
    <w:p w14:paraId="180F9DF0" w14:textId="421F27B3" w:rsidR="00DC78E8" w:rsidRPr="005025F2" w:rsidRDefault="00DC78E8" w:rsidP="00DC78E8">
      <w:pPr>
        <w:pStyle w:val="Para1"/>
        <w:numPr>
          <w:ilvl w:val="1"/>
          <w:numId w:val="2"/>
        </w:numPr>
        <w:tabs>
          <w:tab w:val="clear" w:pos="1440"/>
        </w:tabs>
        <w:rPr>
          <w:b/>
          <w:snapToGrid/>
          <w:kern w:val="22"/>
          <w:szCs w:val="22"/>
          <w:lang w:eastAsia="en-CA"/>
        </w:rPr>
      </w:pPr>
      <w:r w:rsidRPr="003443B2">
        <w:rPr>
          <w:snapToGrid/>
          <w:kern w:val="22"/>
          <w:szCs w:val="22"/>
          <w:lang w:eastAsia="en-CA"/>
        </w:rPr>
        <w:lastRenderedPageBreak/>
        <w:t>Conc</w:t>
      </w:r>
      <w:r w:rsidRPr="00C16AB3">
        <w:rPr>
          <w:snapToGrid/>
          <w:kern w:val="22"/>
          <w:szCs w:val="22"/>
          <w:lang w:eastAsia="en-CA"/>
        </w:rPr>
        <w:t>erning</w:t>
      </w:r>
      <w:r w:rsidRPr="00C16AB3">
        <w:rPr>
          <w:b/>
          <w:snapToGrid/>
          <w:kern w:val="22"/>
          <w:szCs w:val="22"/>
          <w:lang w:eastAsia="en-CA"/>
        </w:rPr>
        <w:t xml:space="preserve"> </w:t>
      </w:r>
      <w:r w:rsidR="00391A45" w:rsidRPr="00C16AB3">
        <w:rPr>
          <w:rFonts w:eastAsia="SimSun"/>
          <w:kern w:val="22"/>
          <w:lang w:eastAsia="zh-CN"/>
        </w:rPr>
        <w:t xml:space="preserve">decision </w:t>
      </w:r>
      <w:hyperlink r:id="rId16" w:history="1">
        <w:r w:rsidRPr="00F5491E">
          <w:rPr>
            <w:rStyle w:val="Hyperlink"/>
            <w:kern w:val="22"/>
            <w:sz w:val="22"/>
          </w:rPr>
          <w:t>CP-9/2</w:t>
        </w:r>
      </w:hyperlink>
      <w:r w:rsidRPr="00F5491E">
        <w:rPr>
          <w:kern w:val="22"/>
        </w:rPr>
        <w:t xml:space="preserve"> on operation and activities of the Biosafety Clearing-House (BCH), the Committee reiterated the central role of the BCH and its fundamental importance for the work of the Committee in promoting compliance with the Protocol</w:t>
      </w:r>
      <w:r w:rsidR="00E348EA" w:rsidRPr="00F5491E">
        <w:rPr>
          <w:kern w:val="22"/>
        </w:rPr>
        <w:t>.</w:t>
      </w:r>
    </w:p>
    <w:p w14:paraId="23A5FC42" w14:textId="3CFBFA8E" w:rsidR="00DE6E14" w:rsidRPr="005025F2" w:rsidRDefault="00391A45" w:rsidP="003818EB">
      <w:pPr>
        <w:pStyle w:val="Para1"/>
        <w:tabs>
          <w:tab w:val="clear" w:pos="360"/>
        </w:tabs>
        <w:rPr>
          <w:snapToGrid/>
          <w:kern w:val="22"/>
          <w:lang w:eastAsia="en-CA"/>
        </w:rPr>
      </w:pPr>
      <w:r w:rsidRPr="003443B2">
        <w:rPr>
          <w:rFonts w:eastAsia="SimSun"/>
          <w:kern w:val="22"/>
          <w:lang w:eastAsia="zh-CN"/>
        </w:rPr>
        <w:t>The Committee reviewed complian</w:t>
      </w:r>
      <w:r w:rsidRPr="00C16AB3">
        <w:rPr>
          <w:rFonts w:eastAsia="SimSun"/>
          <w:kern w:val="22"/>
          <w:lang w:eastAsia="zh-CN"/>
        </w:rPr>
        <w:t xml:space="preserve">ce on the basis of </w:t>
      </w:r>
      <w:r w:rsidR="0007014D" w:rsidRPr="00F5491E">
        <w:rPr>
          <w:kern w:val="22"/>
        </w:rPr>
        <w:t xml:space="preserve">information on the Biosafety </w:t>
      </w:r>
      <w:proofErr w:type="gramStart"/>
      <w:r w:rsidR="0007014D" w:rsidRPr="00F5491E">
        <w:rPr>
          <w:kern w:val="22"/>
        </w:rPr>
        <w:t>Clearing-House</w:t>
      </w:r>
      <w:proofErr w:type="gramEnd"/>
      <w:r w:rsidR="0007014D" w:rsidRPr="00F5491E">
        <w:rPr>
          <w:kern w:val="22"/>
        </w:rPr>
        <w:t xml:space="preserve">. </w:t>
      </w:r>
      <w:r w:rsidR="00BD1A51" w:rsidRPr="00F5491E">
        <w:rPr>
          <w:kern w:val="22"/>
        </w:rPr>
        <w:t>It considered information on the compliance by Parties with their obligation to designate national focal point</w:t>
      </w:r>
      <w:r w:rsidR="00DE6E14" w:rsidRPr="00F5491E">
        <w:rPr>
          <w:kern w:val="22"/>
        </w:rPr>
        <w:t>s</w:t>
      </w:r>
      <w:r w:rsidR="00BD1A51" w:rsidRPr="00F5491E">
        <w:rPr>
          <w:kern w:val="22"/>
        </w:rPr>
        <w:t>, competent national authorit</w:t>
      </w:r>
      <w:r w:rsidR="00DE6E14" w:rsidRPr="00F5491E">
        <w:rPr>
          <w:kern w:val="22"/>
        </w:rPr>
        <w:t>ies</w:t>
      </w:r>
      <w:r w:rsidR="00BD1A51" w:rsidRPr="00F5491E">
        <w:rPr>
          <w:kern w:val="22"/>
        </w:rPr>
        <w:t xml:space="preserve"> and point</w:t>
      </w:r>
      <w:r w:rsidR="00DE6E14" w:rsidRPr="00F5491E">
        <w:rPr>
          <w:kern w:val="22"/>
        </w:rPr>
        <w:t>s</w:t>
      </w:r>
      <w:r w:rsidR="00BD1A51" w:rsidRPr="00F5491E">
        <w:rPr>
          <w:kern w:val="22"/>
        </w:rPr>
        <w:t xml:space="preserve"> of contact for the purpose of receiving notifications under Article 17 of the Protocol.</w:t>
      </w:r>
      <w:r w:rsidR="00DE6E14" w:rsidRPr="00F5491E">
        <w:rPr>
          <w:kern w:val="22"/>
        </w:rPr>
        <w:t xml:space="preserve"> The Committee agreed on follow-up actions with Parties </w:t>
      </w:r>
      <w:r w:rsidR="004702AE" w:rsidRPr="00F5491E">
        <w:rPr>
          <w:kern w:val="22"/>
        </w:rPr>
        <w:t>that were not in compliance with one or more of these obligations.</w:t>
      </w:r>
    </w:p>
    <w:p w14:paraId="59EFE58A" w14:textId="77777777" w:rsidR="00C167BD" w:rsidRPr="005025F2" w:rsidRDefault="00391A45" w:rsidP="00C167BD">
      <w:pPr>
        <w:pStyle w:val="Para1"/>
        <w:tabs>
          <w:tab w:val="clear" w:pos="360"/>
        </w:tabs>
        <w:spacing w:before="0" w:after="240"/>
        <w:rPr>
          <w:snapToGrid/>
          <w:kern w:val="22"/>
          <w:lang w:eastAsia="en-CA"/>
        </w:rPr>
      </w:pPr>
      <w:r w:rsidRPr="003443B2">
        <w:rPr>
          <w:snapToGrid/>
          <w:kern w:val="22"/>
          <w:lang w:eastAsia="en-CA"/>
        </w:rPr>
        <w:t xml:space="preserve">In the context of its review of general issues of compliance, the Committee </w:t>
      </w:r>
      <w:r w:rsidR="00C167BD" w:rsidRPr="00F5491E">
        <w:rPr>
          <w:kern w:val="22"/>
        </w:rPr>
        <w:t>welcomed the high rate of submission of third national reports and noted the positive effects of the continuous efforts of the Committee to support Parties in preparing and submitting their national report.</w:t>
      </w:r>
    </w:p>
    <w:p w14:paraId="3E50E0A3" w14:textId="6D69556A" w:rsidR="00391A45" w:rsidRPr="005025F2" w:rsidRDefault="00C167BD" w:rsidP="00C167BD">
      <w:pPr>
        <w:pStyle w:val="Para1"/>
        <w:tabs>
          <w:tab w:val="clear" w:pos="360"/>
        </w:tabs>
        <w:spacing w:before="0" w:after="240"/>
        <w:rPr>
          <w:snapToGrid/>
          <w:kern w:val="22"/>
          <w:lang w:eastAsia="en-CA"/>
        </w:rPr>
      </w:pPr>
      <w:r w:rsidRPr="00F5491E">
        <w:rPr>
          <w:kern w:val="22"/>
        </w:rPr>
        <w:t>The Committee considered the results of activities carried out to support Parties in addressing inconsistencies between information provided in the third national reports and in the BCH</w:t>
      </w:r>
      <w:r w:rsidR="003618A1" w:rsidRPr="00F5491E">
        <w:rPr>
          <w:kern w:val="22"/>
        </w:rPr>
        <w:t xml:space="preserve">. </w:t>
      </w:r>
      <w:r w:rsidR="00F063C8" w:rsidRPr="00F5491E">
        <w:rPr>
          <w:kern w:val="22"/>
        </w:rPr>
        <w:t>The Committee noted that Parties, in general, appeared to be responding positively to communications from the Secretariat and most appeared to be acting diligently to address or clarify any inconsistencies in their country records, which contributed to ensuring the completeness and accuracy of the BCH.</w:t>
      </w:r>
      <w:r w:rsidR="003618A1" w:rsidRPr="00F5491E">
        <w:rPr>
          <w:kern w:val="22"/>
        </w:rPr>
        <w:t xml:space="preserve"> It requested the Secretariat to continue following up with Parties concerned, as necessary.</w:t>
      </w:r>
    </w:p>
    <w:p w14:paraId="0DB9918A" w14:textId="41F1ABB6" w:rsidR="00D71BF9" w:rsidRPr="005025F2" w:rsidRDefault="00D71BF9" w:rsidP="00C167BD">
      <w:pPr>
        <w:pStyle w:val="Para1"/>
        <w:tabs>
          <w:tab w:val="clear" w:pos="360"/>
        </w:tabs>
        <w:spacing w:before="0" w:after="240"/>
        <w:rPr>
          <w:snapToGrid/>
          <w:kern w:val="22"/>
          <w:lang w:eastAsia="en-CA"/>
        </w:rPr>
      </w:pPr>
      <w:r w:rsidRPr="00F5491E">
        <w:rPr>
          <w:kern w:val="22"/>
        </w:rPr>
        <w:t xml:space="preserve">In its review of individual cases of non-compliance, the Committee considered the ongoing </w:t>
      </w:r>
      <w:r w:rsidR="00E614B1" w:rsidRPr="00F5491E">
        <w:rPr>
          <w:kern w:val="22"/>
        </w:rPr>
        <w:t>non</w:t>
      </w:r>
      <w:r w:rsidR="00A35618" w:rsidRPr="00F5491E">
        <w:rPr>
          <w:kern w:val="22"/>
        </w:rPr>
        <w:noBreakHyphen/>
      </w:r>
      <w:r w:rsidR="00E614B1" w:rsidRPr="00F5491E">
        <w:rPr>
          <w:kern w:val="22"/>
        </w:rPr>
        <w:t>compliance by</w:t>
      </w:r>
      <w:r w:rsidRPr="00F5491E">
        <w:rPr>
          <w:kern w:val="22"/>
        </w:rPr>
        <w:t xml:space="preserve"> </w:t>
      </w:r>
      <w:r w:rsidR="00E614B1" w:rsidRPr="00F5491E">
        <w:rPr>
          <w:kern w:val="22"/>
        </w:rPr>
        <w:t>Montenegro</w:t>
      </w:r>
      <w:r w:rsidRPr="00F5491E">
        <w:rPr>
          <w:kern w:val="22"/>
        </w:rPr>
        <w:t xml:space="preserve"> </w:t>
      </w:r>
      <w:r w:rsidR="00EE665E" w:rsidRPr="00F5491E">
        <w:rPr>
          <w:kern w:val="22"/>
        </w:rPr>
        <w:t>with its reporting obligation</w:t>
      </w:r>
      <w:r w:rsidRPr="00F5491E">
        <w:rPr>
          <w:kern w:val="22"/>
        </w:rPr>
        <w:t xml:space="preserve"> and decided on follow</w:t>
      </w:r>
      <w:r w:rsidR="00BB0EBF" w:rsidRPr="00F5491E">
        <w:rPr>
          <w:kern w:val="22"/>
        </w:rPr>
        <w:noBreakHyphen/>
      </w:r>
      <w:r w:rsidRPr="00F5491E">
        <w:rPr>
          <w:kern w:val="22"/>
        </w:rPr>
        <w:t>up action</w:t>
      </w:r>
      <w:r w:rsidR="000A24FB" w:rsidRPr="00F5491E">
        <w:rPr>
          <w:kern w:val="22"/>
        </w:rPr>
        <w:t>s</w:t>
      </w:r>
      <w:r w:rsidRPr="00F5491E">
        <w:rPr>
          <w:kern w:val="22"/>
        </w:rPr>
        <w:t xml:space="preserve"> to support the Party to complete and submit its report without further delay.</w:t>
      </w:r>
    </w:p>
    <w:p w14:paraId="5D0675F0" w14:textId="6F552AA6" w:rsidR="00D71BF9" w:rsidRPr="005025F2" w:rsidRDefault="00633D39" w:rsidP="00C167BD">
      <w:pPr>
        <w:pStyle w:val="Para1"/>
        <w:tabs>
          <w:tab w:val="clear" w:pos="360"/>
        </w:tabs>
        <w:spacing w:before="0" w:after="240"/>
        <w:rPr>
          <w:snapToGrid/>
          <w:kern w:val="22"/>
          <w:lang w:eastAsia="en-CA"/>
        </w:rPr>
      </w:pPr>
      <w:r w:rsidRPr="00F5491E">
        <w:rPr>
          <w:kern w:val="22"/>
        </w:rPr>
        <w:t xml:space="preserve">Furthermore, </w:t>
      </w:r>
      <w:r w:rsidR="00D71BF9" w:rsidRPr="00F5491E">
        <w:rPr>
          <w:kern w:val="22"/>
        </w:rPr>
        <w:t>the Committee considered the outcome of follow-up actions by the Secretariat and the Chair of the Committee to support compliance by certain Parties</w:t>
      </w:r>
      <w:r w:rsidR="003B45D4" w:rsidRPr="00F5491E">
        <w:rPr>
          <w:kern w:val="22"/>
        </w:rPr>
        <w:t xml:space="preserve"> that reported not </w:t>
      </w:r>
      <w:r w:rsidR="000A24FB" w:rsidRPr="00F5491E">
        <w:rPr>
          <w:kern w:val="22"/>
        </w:rPr>
        <w:t xml:space="preserve">to </w:t>
      </w:r>
      <w:r w:rsidR="003B45D4" w:rsidRPr="00F5491E">
        <w:rPr>
          <w:kern w:val="22"/>
        </w:rPr>
        <w:t>hav</w:t>
      </w:r>
      <w:r w:rsidR="000A24FB" w:rsidRPr="00F5491E">
        <w:rPr>
          <w:kern w:val="22"/>
        </w:rPr>
        <w:t>e</w:t>
      </w:r>
      <w:r w:rsidR="003B45D4" w:rsidRPr="00F5491E">
        <w:rPr>
          <w:kern w:val="22"/>
        </w:rPr>
        <w:t xml:space="preserve"> taken any measures</w:t>
      </w:r>
      <w:r w:rsidR="00830F11" w:rsidRPr="00F5491E">
        <w:rPr>
          <w:kern w:val="22"/>
        </w:rPr>
        <w:t xml:space="preserve">, or </w:t>
      </w:r>
      <w:r w:rsidR="000A24FB" w:rsidRPr="00F5491E">
        <w:rPr>
          <w:kern w:val="22"/>
        </w:rPr>
        <w:t xml:space="preserve">only to </w:t>
      </w:r>
      <w:r w:rsidR="00830F11" w:rsidRPr="00F5491E">
        <w:rPr>
          <w:kern w:val="22"/>
        </w:rPr>
        <w:t>have taken draft or temporary measures</w:t>
      </w:r>
      <w:r w:rsidR="003B45D4" w:rsidRPr="00F5491E">
        <w:rPr>
          <w:kern w:val="22"/>
        </w:rPr>
        <w:t xml:space="preserve"> to implement their </w:t>
      </w:r>
      <w:r w:rsidR="00AD225C" w:rsidRPr="00F5491E">
        <w:rPr>
          <w:kern w:val="22"/>
        </w:rPr>
        <w:t xml:space="preserve">obligations under the </w:t>
      </w:r>
      <w:r w:rsidR="000A24FB" w:rsidRPr="00F5491E">
        <w:rPr>
          <w:kern w:val="22"/>
        </w:rPr>
        <w:t>Protocol</w:t>
      </w:r>
      <w:r w:rsidR="003B45D4" w:rsidRPr="00F5491E">
        <w:rPr>
          <w:kern w:val="22"/>
        </w:rPr>
        <w:t xml:space="preserve"> </w:t>
      </w:r>
      <w:r w:rsidR="00AD225C" w:rsidRPr="00F5491E">
        <w:rPr>
          <w:kern w:val="22"/>
        </w:rPr>
        <w:t>in accordance with</w:t>
      </w:r>
      <w:r w:rsidR="003B45D4" w:rsidRPr="00F5491E">
        <w:rPr>
          <w:kern w:val="22"/>
        </w:rPr>
        <w:t xml:space="preserve"> Article 2, paragraph 1</w:t>
      </w:r>
      <w:r w:rsidR="0010553B" w:rsidRPr="00F5491E">
        <w:rPr>
          <w:kern w:val="22"/>
        </w:rPr>
        <w:t xml:space="preserve">. </w:t>
      </w:r>
      <w:r w:rsidR="00C4198C" w:rsidRPr="00F5491E">
        <w:rPr>
          <w:kern w:val="22"/>
        </w:rPr>
        <w:t>The Committee recalled that t</w:t>
      </w:r>
      <w:r w:rsidR="0010553B" w:rsidRPr="00F5491E">
        <w:rPr>
          <w:kern w:val="22"/>
        </w:rPr>
        <w:t xml:space="preserve">hese Parties </w:t>
      </w:r>
      <w:r w:rsidR="0032438F" w:rsidRPr="00F5491E">
        <w:rPr>
          <w:kern w:val="22"/>
        </w:rPr>
        <w:t>had been</w:t>
      </w:r>
      <w:r w:rsidR="0010553B" w:rsidRPr="00F5491E">
        <w:rPr>
          <w:kern w:val="22"/>
        </w:rPr>
        <w:t xml:space="preserve"> identified by the Committee at its fifteenth </w:t>
      </w:r>
      <w:r w:rsidR="006D6FE3" w:rsidRPr="00F5491E">
        <w:rPr>
          <w:kern w:val="22"/>
        </w:rPr>
        <w:t xml:space="preserve">meeting </w:t>
      </w:r>
      <w:r w:rsidR="0032438F" w:rsidRPr="00F5491E">
        <w:rPr>
          <w:kern w:val="22"/>
        </w:rPr>
        <w:t>and had been requested to dev</w:t>
      </w:r>
      <w:r w:rsidR="003A12BF" w:rsidRPr="00F5491E">
        <w:rPr>
          <w:kern w:val="22"/>
        </w:rPr>
        <w:t xml:space="preserve">elop a compliance action plan. </w:t>
      </w:r>
      <w:r w:rsidR="00D71BF9" w:rsidRPr="00F5491E">
        <w:rPr>
          <w:kern w:val="22"/>
        </w:rPr>
        <w:t xml:space="preserve">In this regard, </w:t>
      </w:r>
      <w:r w:rsidR="007B0795" w:rsidRPr="00F5491E">
        <w:rPr>
          <w:kern w:val="22"/>
        </w:rPr>
        <w:t>the Committee</w:t>
      </w:r>
      <w:r w:rsidR="00D71BF9" w:rsidRPr="00F5491E">
        <w:rPr>
          <w:kern w:val="22"/>
        </w:rPr>
        <w:t xml:space="preserve"> considered the compliance action plans </w:t>
      </w:r>
      <w:r w:rsidR="007B0795" w:rsidRPr="00F5491E">
        <w:rPr>
          <w:kern w:val="22"/>
        </w:rPr>
        <w:t xml:space="preserve">received </w:t>
      </w:r>
      <w:r w:rsidR="00D71BF9" w:rsidRPr="00F5491E">
        <w:rPr>
          <w:kern w:val="22"/>
        </w:rPr>
        <w:t>by four Parties</w:t>
      </w:r>
      <w:r w:rsidR="00683B29" w:rsidRPr="00F5491E">
        <w:rPr>
          <w:kern w:val="22"/>
        </w:rPr>
        <w:t xml:space="preserve">. It </w:t>
      </w:r>
      <w:r w:rsidR="00D71BF9" w:rsidRPr="00F5491E">
        <w:rPr>
          <w:kern w:val="22"/>
        </w:rPr>
        <w:t>agreed on follow-up</w:t>
      </w:r>
      <w:r w:rsidR="00D85053" w:rsidRPr="00F5491E">
        <w:rPr>
          <w:kern w:val="22"/>
        </w:rPr>
        <w:t xml:space="preserve"> actions</w:t>
      </w:r>
      <w:r w:rsidR="00FD0CD0" w:rsidRPr="00F5491E">
        <w:rPr>
          <w:kern w:val="22"/>
        </w:rPr>
        <w:t xml:space="preserve"> </w:t>
      </w:r>
      <w:r w:rsidR="00A151A8" w:rsidRPr="00F5491E">
        <w:rPr>
          <w:kern w:val="22"/>
        </w:rPr>
        <w:t xml:space="preserve">concerning these four Parties as well as </w:t>
      </w:r>
      <w:proofErr w:type="gramStart"/>
      <w:r w:rsidR="005264CB" w:rsidRPr="00F5491E">
        <w:rPr>
          <w:kern w:val="22"/>
        </w:rPr>
        <w:t>with regard to</w:t>
      </w:r>
      <w:proofErr w:type="gramEnd"/>
      <w:r w:rsidR="005264CB" w:rsidRPr="00F5491E">
        <w:rPr>
          <w:kern w:val="22"/>
        </w:rPr>
        <w:t xml:space="preserve"> </w:t>
      </w:r>
      <w:r w:rsidR="00A151A8" w:rsidRPr="00F5491E">
        <w:rPr>
          <w:kern w:val="22"/>
        </w:rPr>
        <w:t xml:space="preserve">the other Parties that had </w:t>
      </w:r>
      <w:r w:rsidR="005264CB" w:rsidRPr="00F5491E">
        <w:rPr>
          <w:kern w:val="22"/>
        </w:rPr>
        <w:t>not submitted a compliance action plan, as requested</w:t>
      </w:r>
      <w:r w:rsidR="00D71BF9" w:rsidRPr="00F5491E">
        <w:rPr>
          <w:kern w:val="22"/>
        </w:rPr>
        <w:t>.</w:t>
      </w:r>
    </w:p>
    <w:p w14:paraId="031C06DA" w14:textId="347EC3F1" w:rsidR="00D71BF9" w:rsidRPr="005025F2" w:rsidRDefault="00D7009E" w:rsidP="00C167BD">
      <w:pPr>
        <w:pStyle w:val="Para1"/>
        <w:tabs>
          <w:tab w:val="clear" w:pos="360"/>
        </w:tabs>
        <w:spacing w:before="0" w:after="240"/>
        <w:rPr>
          <w:snapToGrid/>
          <w:kern w:val="22"/>
          <w:lang w:eastAsia="en-CA"/>
        </w:rPr>
      </w:pPr>
      <w:r w:rsidRPr="00F5491E">
        <w:rPr>
          <w:kern w:val="22"/>
        </w:rPr>
        <w:t>Finally, t</w:t>
      </w:r>
      <w:r w:rsidR="00D71BF9" w:rsidRPr="00F5491E">
        <w:rPr>
          <w:kern w:val="22"/>
        </w:rPr>
        <w:t>he Committee also c</w:t>
      </w:r>
      <w:r w:rsidR="00D85053" w:rsidRPr="00F5491E">
        <w:rPr>
          <w:kern w:val="22"/>
        </w:rPr>
        <w:t>onsidered</w:t>
      </w:r>
      <w:r w:rsidR="00D71BF9" w:rsidRPr="00F5491E">
        <w:rPr>
          <w:kern w:val="22"/>
        </w:rPr>
        <w:t xml:space="preserve"> the </w:t>
      </w:r>
      <w:r w:rsidR="00D85053" w:rsidRPr="00F5491E">
        <w:rPr>
          <w:kern w:val="22"/>
        </w:rPr>
        <w:t xml:space="preserve">process for the </w:t>
      </w:r>
      <w:r w:rsidR="00D71BF9" w:rsidRPr="00F5491E">
        <w:rPr>
          <w:kern w:val="22"/>
        </w:rPr>
        <w:t>fourth assessment and review of the Prot</w:t>
      </w:r>
      <w:r w:rsidR="00D85053" w:rsidRPr="00F5491E">
        <w:rPr>
          <w:kern w:val="22"/>
        </w:rPr>
        <w:t>ocol and final evaluation of the</w:t>
      </w:r>
      <w:r w:rsidR="00D71BF9" w:rsidRPr="00F5491E">
        <w:rPr>
          <w:kern w:val="22"/>
        </w:rPr>
        <w:t xml:space="preserve"> </w:t>
      </w:r>
      <w:hyperlink r:id="rId17" w:history="1">
        <w:r w:rsidR="00D71BF9" w:rsidRPr="00F5491E">
          <w:rPr>
            <w:rStyle w:val="Hyperlink"/>
            <w:kern w:val="22"/>
            <w:sz w:val="22"/>
          </w:rPr>
          <w:t>Strategic Plan</w:t>
        </w:r>
        <w:r w:rsidR="00D85053" w:rsidRPr="00F5491E">
          <w:rPr>
            <w:rStyle w:val="Hyperlink"/>
            <w:kern w:val="22"/>
            <w:sz w:val="22"/>
          </w:rPr>
          <w:t xml:space="preserve"> for the Cartagena Protocol on Biosafety</w:t>
        </w:r>
      </w:hyperlink>
      <w:r w:rsidR="00D71BF9" w:rsidRPr="00F5491E">
        <w:rPr>
          <w:kern w:val="22"/>
        </w:rPr>
        <w:t xml:space="preserve"> </w:t>
      </w:r>
      <w:r w:rsidR="00D85053" w:rsidRPr="00F5491E">
        <w:rPr>
          <w:kern w:val="22"/>
        </w:rPr>
        <w:t xml:space="preserve">and agreed that the scope of the Committee’s input would focus on </w:t>
      </w:r>
      <w:r w:rsidR="00F44531" w:rsidRPr="00F5491E">
        <w:rPr>
          <w:kern w:val="22"/>
        </w:rPr>
        <w:t>o</w:t>
      </w:r>
      <w:r w:rsidR="00D85053" w:rsidRPr="00F5491E">
        <w:rPr>
          <w:kern w:val="22"/>
        </w:rPr>
        <w:t xml:space="preserve">perational </w:t>
      </w:r>
      <w:r w:rsidR="00F44531" w:rsidRPr="00F5491E">
        <w:rPr>
          <w:kern w:val="22"/>
        </w:rPr>
        <w:t>o</w:t>
      </w:r>
      <w:r w:rsidR="00D85053" w:rsidRPr="00F5491E">
        <w:rPr>
          <w:kern w:val="22"/>
        </w:rPr>
        <w:t>bjective 3.1 of the Strategic Plan and the experience that the Committee had gained in implementing its supportive role of assisting Parties in complying with their obligations.</w:t>
      </w:r>
    </w:p>
    <w:p w14:paraId="7BB6F9C9" w14:textId="7E2FD74E" w:rsidR="008A5130" w:rsidRPr="00C16AB3" w:rsidRDefault="00391A45"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C16AB3">
        <w:rPr>
          <w:snapToGrid/>
          <w:kern w:val="22"/>
          <w:szCs w:val="22"/>
          <w:lang w:eastAsia="en-CA"/>
        </w:rPr>
        <w:t xml:space="preserve">At its </w:t>
      </w:r>
      <w:r w:rsidR="00AD15B5" w:rsidRPr="00F5491E">
        <w:rPr>
          <w:bCs/>
          <w:snapToGrid/>
          <w:kern w:val="22"/>
          <w:szCs w:val="22"/>
          <w:lang w:eastAsia="en-CA"/>
        </w:rPr>
        <w:t>seven</w:t>
      </w:r>
      <w:r w:rsidRPr="00F5491E">
        <w:rPr>
          <w:bCs/>
          <w:snapToGrid/>
          <w:kern w:val="22"/>
          <w:szCs w:val="22"/>
          <w:lang w:eastAsia="en-CA"/>
        </w:rPr>
        <w:t>teenth meeting,</w:t>
      </w:r>
      <w:r w:rsidRPr="00C16AB3">
        <w:rPr>
          <w:snapToGrid/>
          <w:kern w:val="22"/>
          <w:szCs w:val="22"/>
          <w:lang w:eastAsia="en-CA"/>
        </w:rPr>
        <w:t xml:space="preserve"> the Committee reviewed </w:t>
      </w:r>
      <w:r w:rsidR="004B1995" w:rsidRPr="00C16AB3">
        <w:rPr>
          <w:snapToGrid/>
          <w:kern w:val="22"/>
          <w:szCs w:val="22"/>
          <w:lang w:eastAsia="en-CA"/>
        </w:rPr>
        <w:t xml:space="preserve">compliance with the obligation to submit </w:t>
      </w:r>
      <w:r w:rsidR="00931329" w:rsidRPr="00C16AB3">
        <w:rPr>
          <w:snapToGrid/>
          <w:kern w:val="22"/>
          <w:szCs w:val="22"/>
          <w:lang w:eastAsia="en-CA"/>
        </w:rPr>
        <w:t xml:space="preserve">national reports. It noted that 101 complete fourth national reports had been submitted to the BCH and that seven Parties had submitted their report offline. </w:t>
      </w:r>
      <w:r w:rsidR="00011218" w:rsidRPr="00C16AB3">
        <w:rPr>
          <w:kern w:val="22"/>
          <w:szCs w:val="22"/>
        </w:rPr>
        <w:t xml:space="preserve">The Committee expressed its disappointment over the low </w:t>
      </w:r>
      <w:r w:rsidR="00192A22" w:rsidRPr="00C16AB3">
        <w:rPr>
          <w:kern w:val="22"/>
          <w:szCs w:val="22"/>
        </w:rPr>
        <w:t>number of fourth national reports that had been submitted</w:t>
      </w:r>
      <w:r w:rsidR="00786A55" w:rsidRPr="00C16AB3">
        <w:rPr>
          <w:kern w:val="22"/>
          <w:szCs w:val="22"/>
        </w:rPr>
        <w:t xml:space="preserve">. </w:t>
      </w:r>
      <w:r w:rsidR="000D16E9" w:rsidRPr="00C16AB3">
        <w:rPr>
          <w:kern w:val="22"/>
          <w:szCs w:val="22"/>
        </w:rPr>
        <w:t xml:space="preserve">The Committee noted with concern that </w:t>
      </w:r>
      <w:r w:rsidR="00146FC0" w:rsidRPr="00C16AB3">
        <w:rPr>
          <w:kern w:val="22"/>
          <w:szCs w:val="22"/>
        </w:rPr>
        <w:t xml:space="preserve">of the </w:t>
      </w:r>
      <w:r w:rsidR="000D16E9" w:rsidRPr="00C16AB3">
        <w:rPr>
          <w:kern w:val="22"/>
          <w:szCs w:val="22"/>
        </w:rPr>
        <w:t>Parties that had not submitted their fourth national report</w:t>
      </w:r>
      <w:r w:rsidR="00146FC0" w:rsidRPr="00C16AB3">
        <w:rPr>
          <w:kern w:val="22"/>
          <w:szCs w:val="22"/>
        </w:rPr>
        <w:t xml:space="preserve">, eleven Parties </w:t>
      </w:r>
      <w:r w:rsidR="000D16E9" w:rsidRPr="00C16AB3">
        <w:rPr>
          <w:kern w:val="22"/>
          <w:szCs w:val="22"/>
        </w:rPr>
        <w:t>had also not submitted their third national report</w:t>
      </w:r>
      <w:r w:rsidR="00011218" w:rsidRPr="00C16AB3">
        <w:rPr>
          <w:kern w:val="22"/>
          <w:szCs w:val="22"/>
        </w:rPr>
        <w:t xml:space="preserve">. </w:t>
      </w:r>
      <w:r w:rsidR="00370B65" w:rsidRPr="00C16AB3">
        <w:rPr>
          <w:kern w:val="22"/>
          <w:szCs w:val="22"/>
        </w:rPr>
        <w:t>The Committee decided on follow-up actions.</w:t>
      </w:r>
    </w:p>
    <w:p w14:paraId="5A840125" w14:textId="42F09124" w:rsidR="00A268AF" w:rsidRPr="00C16AB3" w:rsidRDefault="00567A3A" w:rsidP="00235197">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C16AB3">
        <w:rPr>
          <w:kern w:val="22"/>
          <w:szCs w:val="22"/>
        </w:rPr>
        <w:t xml:space="preserve">The Committee considered a number of possible factors that might have contributed to the low number of fourth national reports submitted, including delayed access to </w:t>
      </w:r>
      <w:r w:rsidR="00E9779F" w:rsidRPr="00C16AB3">
        <w:rPr>
          <w:kern w:val="22"/>
          <w:szCs w:val="22"/>
        </w:rPr>
        <w:t>financial support</w:t>
      </w:r>
      <w:r w:rsidRPr="00C16AB3">
        <w:rPr>
          <w:kern w:val="22"/>
          <w:szCs w:val="22"/>
        </w:rPr>
        <w:t xml:space="preserve">, lack of dedicated human resources at the national level, as well as a lack of priority for and awareness of biosafety issues. </w:t>
      </w:r>
      <w:r w:rsidR="00A268AF" w:rsidRPr="00C16AB3">
        <w:rPr>
          <w:kern w:val="22"/>
          <w:szCs w:val="22"/>
        </w:rPr>
        <w:t xml:space="preserve">The Committee noted that the early availability of </w:t>
      </w:r>
      <w:r w:rsidR="00C10572" w:rsidRPr="00C16AB3">
        <w:rPr>
          <w:kern w:val="22"/>
          <w:szCs w:val="22"/>
        </w:rPr>
        <w:t xml:space="preserve">financial support from the </w:t>
      </w:r>
      <w:r w:rsidR="00732DB2" w:rsidRPr="00C16AB3">
        <w:rPr>
          <w:kern w:val="22"/>
          <w:szCs w:val="22"/>
        </w:rPr>
        <w:t xml:space="preserve">Global Environment Facility </w:t>
      </w:r>
      <w:r w:rsidR="00A268AF" w:rsidRPr="00C16AB3">
        <w:rPr>
          <w:kern w:val="22"/>
          <w:szCs w:val="22"/>
        </w:rPr>
        <w:t>would be even more important if the synchroni</w:t>
      </w:r>
      <w:r w:rsidR="0061112E" w:rsidRPr="00C16AB3">
        <w:rPr>
          <w:kern w:val="22"/>
          <w:szCs w:val="22"/>
        </w:rPr>
        <w:t>z</w:t>
      </w:r>
      <w:r w:rsidR="00A268AF" w:rsidRPr="00C16AB3">
        <w:rPr>
          <w:kern w:val="22"/>
          <w:szCs w:val="22"/>
        </w:rPr>
        <w:t xml:space="preserve">ed reporting </w:t>
      </w:r>
      <w:r w:rsidR="009E2053" w:rsidRPr="00C16AB3">
        <w:rPr>
          <w:kern w:val="22"/>
          <w:szCs w:val="22"/>
        </w:rPr>
        <w:t xml:space="preserve">cycle </w:t>
      </w:r>
      <w:r w:rsidR="00AE103D" w:rsidRPr="00C16AB3">
        <w:rPr>
          <w:kern w:val="22"/>
          <w:szCs w:val="22"/>
        </w:rPr>
        <w:t xml:space="preserve">planned for 2023 </w:t>
      </w:r>
      <w:r w:rsidR="00392DE3" w:rsidRPr="00C16AB3">
        <w:rPr>
          <w:kern w:val="22"/>
          <w:szCs w:val="22"/>
        </w:rPr>
        <w:t xml:space="preserve">would </w:t>
      </w:r>
      <w:r w:rsidR="00A268AF" w:rsidRPr="00C16AB3">
        <w:rPr>
          <w:kern w:val="22"/>
          <w:szCs w:val="22"/>
        </w:rPr>
        <w:t>lead to an earlier submission deadline for the fifth national report. It was noted that earmarked funding for reporting under the Protocol would be important.</w:t>
      </w:r>
    </w:p>
    <w:p w14:paraId="337A3191" w14:textId="21FCE1BB" w:rsidR="00E9605F" w:rsidRPr="00C16AB3" w:rsidRDefault="007D692A" w:rsidP="00480362">
      <w:pPr>
        <w:pStyle w:val="Para1"/>
        <w:tabs>
          <w:tab w:val="clear" w:pos="360"/>
        </w:tabs>
        <w:rPr>
          <w:kern w:val="22"/>
          <w:szCs w:val="22"/>
        </w:rPr>
      </w:pPr>
      <w:r w:rsidRPr="00C16AB3">
        <w:rPr>
          <w:kern w:val="22"/>
          <w:szCs w:val="22"/>
        </w:rPr>
        <w:lastRenderedPageBreak/>
        <w:t>The Committee considered its input to the fourth assessment and review of the Protocol and the final evaluation of the Strategic Plan</w:t>
      </w:r>
      <w:r w:rsidR="000B5C43" w:rsidRPr="00C16AB3">
        <w:rPr>
          <w:kern w:val="22"/>
          <w:szCs w:val="22"/>
        </w:rPr>
        <w:t>.</w:t>
      </w:r>
      <w:r w:rsidR="0071112E" w:rsidRPr="00C16AB3">
        <w:rPr>
          <w:kern w:val="22"/>
          <w:szCs w:val="22"/>
        </w:rPr>
        <w:t xml:space="preserve"> It requested the Executive Secretary to transmit its conclusions to the Subsidiary Body on Implementation for consideration at its third meeting.</w:t>
      </w:r>
      <w:r w:rsidR="000B5C43" w:rsidRPr="00C16AB3">
        <w:rPr>
          <w:kern w:val="22"/>
          <w:szCs w:val="22"/>
        </w:rPr>
        <w:t xml:space="preserve"> </w:t>
      </w:r>
      <w:r w:rsidR="000B5C43" w:rsidRPr="00F5491E">
        <w:rPr>
          <w:kern w:val="22"/>
        </w:rPr>
        <w:t xml:space="preserve">It noted considerable variations regarding progress on indicators related to Parties’ compliance with key obligations under the Protocol. </w:t>
      </w:r>
      <w:r w:rsidR="00CA132E" w:rsidRPr="00F5491E">
        <w:rPr>
          <w:kern w:val="22"/>
        </w:rPr>
        <w:t>It w</w:t>
      </w:r>
      <w:r w:rsidR="00CA132E" w:rsidRPr="005025F2">
        <w:rPr>
          <w:kern w:val="22"/>
          <w:szCs w:val="22"/>
        </w:rPr>
        <w:t>elcomed progress made</w:t>
      </w:r>
      <w:r w:rsidR="003F7485" w:rsidRPr="003443B2">
        <w:rPr>
          <w:kern w:val="22"/>
          <w:szCs w:val="22"/>
        </w:rPr>
        <w:t xml:space="preserve"> and recognized that its work had contributed to the </w:t>
      </w:r>
      <w:r w:rsidR="001F3FF9" w:rsidRPr="00C16AB3">
        <w:rPr>
          <w:kern w:val="22"/>
          <w:szCs w:val="22"/>
        </w:rPr>
        <w:t xml:space="preserve">advances </w:t>
      </w:r>
      <w:r w:rsidR="003F7485" w:rsidRPr="00C16AB3">
        <w:rPr>
          <w:kern w:val="22"/>
          <w:szCs w:val="22"/>
        </w:rPr>
        <w:t>towards achieving operational objective 3.1.</w:t>
      </w:r>
      <w:r w:rsidR="001F3FF9" w:rsidRPr="00C16AB3">
        <w:rPr>
          <w:kern w:val="22"/>
          <w:szCs w:val="22"/>
        </w:rPr>
        <w:t xml:space="preserve"> </w:t>
      </w:r>
      <w:r w:rsidR="004208DE" w:rsidRPr="00C16AB3">
        <w:rPr>
          <w:kern w:val="22"/>
          <w:szCs w:val="22"/>
        </w:rPr>
        <w:t>Nevertheless, the Committee</w:t>
      </w:r>
      <w:r w:rsidR="00CA132E" w:rsidRPr="00C16AB3">
        <w:rPr>
          <w:kern w:val="22"/>
          <w:szCs w:val="22"/>
        </w:rPr>
        <w:t xml:space="preserve"> </w:t>
      </w:r>
      <w:r w:rsidR="00203A55" w:rsidRPr="00C16AB3">
        <w:rPr>
          <w:kern w:val="22"/>
          <w:szCs w:val="22"/>
        </w:rPr>
        <w:t xml:space="preserve">noted with concern that </w:t>
      </w:r>
      <w:proofErr w:type="gramStart"/>
      <w:r w:rsidR="00203A55" w:rsidRPr="00C16AB3">
        <w:rPr>
          <w:kern w:val="22"/>
          <w:szCs w:val="22"/>
        </w:rPr>
        <w:t>a large number of</w:t>
      </w:r>
      <w:proofErr w:type="gramEnd"/>
      <w:r w:rsidR="00203A55" w:rsidRPr="00C16AB3">
        <w:rPr>
          <w:kern w:val="22"/>
          <w:szCs w:val="22"/>
        </w:rPr>
        <w:t xml:space="preserve"> Parties </w:t>
      </w:r>
      <w:r w:rsidR="005F00D7" w:rsidRPr="00C16AB3">
        <w:rPr>
          <w:kern w:val="22"/>
          <w:szCs w:val="22"/>
        </w:rPr>
        <w:t>were</w:t>
      </w:r>
      <w:r w:rsidR="00203A55" w:rsidRPr="00C16AB3">
        <w:rPr>
          <w:kern w:val="22"/>
          <w:szCs w:val="22"/>
        </w:rPr>
        <w:t xml:space="preserve"> not in full compliance with key obligations under the Protocol</w:t>
      </w:r>
      <w:r w:rsidR="00B0758B" w:rsidRPr="00C16AB3">
        <w:rPr>
          <w:kern w:val="22"/>
          <w:szCs w:val="22"/>
        </w:rPr>
        <w:t xml:space="preserve">. </w:t>
      </w:r>
      <w:r w:rsidR="007D7112" w:rsidRPr="00C16AB3">
        <w:rPr>
          <w:kern w:val="22"/>
          <w:szCs w:val="22"/>
        </w:rPr>
        <w:t xml:space="preserve">The Committee recognized that there </w:t>
      </w:r>
      <w:r w:rsidR="005F00D7" w:rsidRPr="00C16AB3">
        <w:rPr>
          <w:kern w:val="22"/>
          <w:szCs w:val="22"/>
        </w:rPr>
        <w:t>were</w:t>
      </w:r>
      <w:r w:rsidR="007D7112" w:rsidRPr="00C16AB3">
        <w:rPr>
          <w:kern w:val="22"/>
          <w:szCs w:val="22"/>
        </w:rPr>
        <w:t xml:space="preserve"> </w:t>
      </w:r>
      <w:proofErr w:type="gramStart"/>
      <w:r w:rsidR="007D7112" w:rsidRPr="00C16AB3">
        <w:rPr>
          <w:kern w:val="22"/>
          <w:szCs w:val="22"/>
        </w:rPr>
        <w:t>a number of</w:t>
      </w:r>
      <w:proofErr w:type="gramEnd"/>
      <w:r w:rsidR="007D7112" w:rsidRPr="00C16AB3">
        <w:rPr>
          <w:kern w:val="22"/>
          <w:szCs w:val="22"/>
        </w:rPr>
        <w:t xml:space="preserve"> challenges that Parties face</w:t>
      </w:r>
      <w:r w:rsidR="005F00D7" w:rsidRPr="00C16AB3">
        <w:rPr>
          <w:kern w:val="22"/>
          <w:szCs w:val="22"/>
        </w:rPr>
        <w:t>d</w:t>
      </w:r>
      <w:r w:rsidR="007D7112" w:rsidRPr="00C16AB3">
        <w:rPr>
          <w:kern w:val="22"/>
          <w:szCs w:val="22"/>
        </w:rPr>
        <w:t xml:space="preserve"> in complying with their obligations</w:t>
      </w:r>
      <w:r w:rsidR="00FC3349" w:rsidRPr="00C16AB3">
        <w:rPr>
          <w:kern w:val="22"/>
          <w:szCs w:val="22"/>
        </w:rPr>
        <w:t xml:space="preserve"> and that there </w:t>
      </w:r>
      <w:r w:rsidR="005F00D7" w:rsidRPr="00C16AB3">
        <w:rPr>
          <w:kern w:val="22"/>
          <w:szCs w:val="22"/>
        </w:rPr>
        <w:t>wa</w:t>
      </w:r>
      <w:r w:rsidR="00FC3349" w:rsidRPr="00C16AB3">
        <w:rPr>
          <w:kern w:val="22"/>
          <w:szCs w:val="22"/>
        </w:rPr>
        <w:t xml:space="preserve">s a need to </w:t>
      </w:r>
      <w:r w:rsidR="006E28EC" w:rsidRPr="00C16AB3">
        <w:rPr>
          <w:kern w:val="22"/>
          <w:szCs w:val="22"/>
        </w:rPr>
        <w:t xml:space="preserve">further </w:t>
      </w:r>
      <w:r w:rsidR="00FC3349" w:rsidRPr="00C16AB3">
        <w:rPr>
          <w:kern w:val="22"/>
          <w:szCs w:val="22"/>
        </w:rPr>
        <w:t>analyse these challenges</w:t>
      </w:r>
      <w:r w:rsidR="007D7112" w:rsidRPr="00C16AB3">
        <w:rPr>
          <w:kern w:val="22"/>
          <w:szCs w:val="22"/>
        </w:rPr>
        <w:t>.</w:t>
      </w:r>
    </w:p>
    <w:p w14:paraId="250E04AC" w14:textId="6F4A0682" w:rsidR="00480362" w:rsidRPr="00C16AB3" w:rsidRDefault="00E9605F" w:rsidP="00480362">
      <w:pPr>
        <w:pStyle w:val="Para1"/>
        <w:tabs>
          <w:tab w:val="clear" w:pos="360"/>
        </w:tabs>
        <w:rPr>
          <w:kern w:val="22"/>
          <w:szCs w:val="22"/>
        </w:rPr>
      </w:pPr>
      <w:r w:rsidRPr="00C16AB3">
        <w:rPr>
          <w:kern w:val="22"/>
          <w:szCs w:val="22"/>
        </w:rPr>
        <w:t xml:space="preserve">The Committee was of the view that a reference to the </w:t>
      </w:r>
      <w:r w:rsidR="00530E07" w:rsidRPr="00C16AB3">
        <w:rPr>
          <w:kern w:val="22"/>
          <w:szCs w:val="22"/>
        </w:rPr>
        <w:t>i</w:t>
      </w:r>
      <w:r w:rsidRPr="00C16AB3">
        <w:rPr>
          <w:kern w:val="22"/>
          <w:szCs w:val="22"/>
        </w:rPr>
        <w:t xml:space="preserve">mplementation </w:t>
      </w:r>
      <w:r w:rsidR="00530E07" w:rsidRPr="00C16AB3">
        <w:rPr>
          <w:kern w:val="22"/>
          <w:szCs w:val="22"/>
        </w:rPr>
        <w:t>p</w:t>
      </w:r>
      <w:r w:rsidRPr="00C16AB3">
        <w:rPr>
          <w:kern w:val="22"/>
          <w:szCs w:val="22"/>
        </w:rPr>
        <w:t xml:space="preserve">lan for the Cartagena Protocol and the </w:t>
      </w:r>
      <w:r w:rsidR="00530E07" w:rsidRPr="00C16AB3">
        <w:rPr>
          <w:kern w:val="22"/>
          <w:szCs w:val="22"/>
        </w:rPr>
        <w:t>c</w:t>
      </w:r>
      <w:r w:rsidRPr="00C16AB3">
        <w:rPr>
          <w:kern w:val="22"/>
          <w:szCs w:val="22"/>
        </w:rPr>
        <w:t>apacity-</w:t>
      </w:r>
      <w:r w:rsidR="00530E07" w:rsidRPr="00C16AB3">
        <w:rPr>
          <w:kern w:val="22"/>
          <w:szCs w:val="22"/>
        </w:rPr>
        <w:t>b</w:t>
      </w:r>
      <w:r w:rsidRPr="00C16AB3">
        <w:rPr>
          <w:kern w:val="22"/>
          <w:szCs w:val="22"/>
        </w:rPr>
        <w:t xml:space="preserve">uilding </w:t>
      </w:r>
      <w:r w:rsidR="00530E07" w:rsidRPr="00C16AB3">
        <w:rPr>
          <w:kern w:val="22"/>
          <w:szCs w:val="22"/>
        </w:rPr>
        <w:t>a</w:t>
      </w:r>
      <w:r w:rsidRPr="00C16AB3">
        <w:rPr>
          <w:kern w:val="22"/>
          <w:szCs w:val="22"/>
        </w:rPr>
        <w:t xml:space="preserve">ction </w:t>
      </w:r>
      <w:r w:rsidR="00530E07" w:rsidRPr="00C16AB3">
        <w:rPr>
          <w:kern w:val="22"/>
          <w:szCs w:val="22"/>
        </w:rPr>
        <w:t>p</w:t>
      </w:r>
      <w:r w:rsidRPr="00C16AB3">
        <w:rPr>
          <w:kern w:val="22"/>
          <w:szCs w:val="22"/>
        </w:rPr>
        <w:t>lan should be included in the post-2020 global biodiversity framework, recogni</w:t>
      </w:r>
      <w:r w:rsidR="00530E07" w:rsidRPr="00C16AB3">
        <w:rPr>
          <w:kern w:val="22"/>
          <w:szCs w:val="22"/>
        </w:rPr>
        <w:t>z</w:t>
      </w:r>
      <w:r w:rsidRPr="00C16AB3">
        <w:rPr>
          <w:kern w:val="22"/>
          <w:szCs w:val="22"/>
        </w:rPr>
        <w:t xml:space="preserve">ing that the Protocol </w:t>
      </w:r>
      <w:r w:rsidR="006802DA" w:rsidRPr="00C16AB3">
        <w:rPr>
          <w:kern w:val="22"/>
          <w:szCs w:val="22"/>
        </w:rPr>
        <w:t>is</w:t>
      </w:r>
      <w:r w:rsidRPr="00C16AB3">
        <w:rPr>
          <w:kern w:val="22"/>
          <w:szCs w:val="22"/>
        </w:rPr>
        <w:t xml:space="preserve"> relevant to the achievement of the three objectives of the Convention on Biological Diversity.</w:t>
      </w:r>
    </w:p>
    <w:p w14:paraId="3CD88CD5" w14:textId="475D0DDE" w:rsidR="00011218" w:rsidRPr="00C16AB3" w:rsidRDefault="00DB23FA" w:rsidP="00011218">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C16AB3">
        <w:rPr>
          <w:kern w:val="22"/>
          <w:szCs w:val="22"/>
        </w:rPr>
        <w:t xml:space="preserve">The Committee also considered general issues </w:t>
      </w:r>
      <w:r w:rsidR="002536D2" w:rsidRPr="00C16AB3">
        <w:rPr>
          <w:kern w:val="22"/>
          <w:szCs w:val="22"/>
        </w:rPr>
        <w:t xml:space="preserve">of compliance. </w:t>
      </w:r>
      <w:r w:rsidR="00260CB0" w:rsidRPr="00C16AB3">
        <w:rPr>
          <w:kern w:val="22"/>
          <w:szCs w:val="22"/>
        </w:rPr>
        <w:t xml:space="preserve">The Committee considered an update on intersessional follow-up on </w:t>
      </w:r>
      <w:r w:rsidR="00882745" w:rsidRPr="00C16AB3">
        <w:rPr>
          <w:kern w:val="22"/>
          <w:szCs w:val="22"/>
        </w:rPr>
        <w:t xml:space="preserve">compliance with </w:t>
      </w:r>
      <w:r w:rsidR="00260CB0" w:rsidRPr="00C16AB3">
        <w:rPr>
          <w:kern w:val="22"/>
          <w:szCs w:val="22"/>
        </w:rPr>
        <w:t xml:space="preserve">the </w:t>
      </w:r>
      <w:r w:rsidR="00991C04" w:rsidRPr="00C16AB3">
        <w:rPr>
          <w:kern w:val="22"/>
          <w:szCs w:val="22"/>
        </w:rPr>
        <w:t>obligation to designate national focal points, competent national authorities and contact points for receiving notifications under Article</w:t>
      </w:r>
      <w:r w:rsidR="00E866D0">
        <w:rPr>
          <w:kern w:val="22"/>
          <w:szCs w:val="22"/>
        </w:rPr>
        <w:t> </w:t>
      </w:r>
      <w:r w:rsidR="00991C04" w:rsidRPr="00C16AB3">
        <w:rPr>
          <w:kern w:val="22"/>
          <w:szCs w:val="22"/>
        </w:rPr>
        <w:t>17.</w:t>
      </w:r>
    </w:p>
    <w:p w14:paraId="13993A3A" w14:textId="57E9CD12" w:rsidR="00871E71" w:rsidRPr="00C16AB3" w:rsidRDefault="003040BF" w:rsidP="00871E71">
      <w:pPr>
        <w:pStyle w:val="Para1"/>
        <w:suppressLineNumbers/>
        <w:tabs>
          <w:tab w:val="clear" w:pos="360"/>
          <w:tab w:val="left" w:pos="709"/>
          <w:tab w:val="num" w:pos="3763"/>
        </w:tabs>
        <w:suppressAutoHyphens/>
        <w:kinsoku w:val="0"/>
        <w:overflowPunct w:val="0"/>
        <w:autoSpaceDE w:val="0"/>
        <w:autoSpaceDN w:val="0"/>
        <w:adjustRightInd w:val="0"/>
        <w:snapToGrid w:val="0"/>
        <w:rPr>
          <w:kern w:val="22"/>
          <w:szCs w:val="22"/>
        </w:rPr>
      </w:pPr>
      <w:r w:rsidRPr="00C16AB3">
        <w:rPr>
          <w:kern w:val="22"/>
        </w:rPr>
        <w:t xml:space="preserve">In reviewing </w:t>
      </w:r>
      <w:r w:rsidR="001D32F9" w:rsidRPr="00C16AB3">
        <w:rPr>
          <w:kern w:val="22"/>
        </w:rPr>
        <w:t xml:space="preserve">individual cases of non-compliance, </w:t>
      </w:r>
      <w:r w:rsidR="00AC4891" w:rsidRPr="00C16AB3">
        <w:rPr>
          <w:kern w:val="22"/>
        </w:rPr>
        <w:t xml:space="preserve">the Committee welcomed the submission by Montenegro of its fourth national report. </w:t>
      </w:r>
      <w:r w:rsidR="00711C13" w:rsidRPr="00C16AB3">
        <w:rPr>
          <w:kern w:val="22"/>
        </w:rPr>
        <w:t xml:space="preserve">With regard to individual cases of non-compliance with the obligation to </w:t>
      </w:r>
      <w:r w:rsidR="0033349A" w:rsidRPr="00C16AB3">
        <w:rPr>
          <w:kern w:val="22"/>
        </w:rPr>
        <w:t xml:space="preserve">take the necessary </w:t>
      </w:r>
      <w:r w:rsidR="005438FC" w:rsidRPr="00C16AB3">
        <w:rPr>
          <w:kern w:val="22"/>
        </w:rPr>
        <w:t>legal, administrative and other measures to implement the Protocol</w:t>
      </w:r>
      <w:r w:rsidR="00894800" w:rsidRPr="00C16AB3">
        <w:rPr>
          <w:kern w:val="22"/>
        </w:rPr>
        <w:t xml:space="preserve"> </w:t>
      </w:r>
      <w:r w:rsidR="00E450B3" w:rsidRPr="00C16AB3">
        <w:rPr>
          <w:kern w:val="22"/>
        </w:rPr>
        <w:t>in accordance with</w:t>
      </w:r>
      <w:r w:rsidR="00894800" w:rsidRPr="00C16AB3">
        <w:rPr>
          <w:kern w:val="22"/>
        </w:rPr>
        <w:t xml:space="preserve"> Article 2, paragraph 1, of the Protocol</w:t>
      </w:r>
      <w:r w:rsidR="005438FC" w:rsidRPr="00C16AB3">
        <w:rPr>
          <w:kern w:val="22"/>
        </w:rPr>
        <w:t>, the Committee considered an update on progress in relation to the development of compliance action plans</w:t>
      </w:r>
      <w:r w:rsidR="00871E71" w:rsidRPr="00C16AB3">
        <w:rPr>
          <w:kern w:val="22"/>
        </w:rPr>
        <w:t xml:space="preserve">. </w:t>
      </w:r>
      <w:r w:rsidR="00871E71" w:rsidRPr="00C16AB3">
        <w:rPr>
          <w:kern w:val="22"/>
          <w:szCs w:val="22"/>
        </w:rPr>
        <w:t xml:space="preserve">The Committee agreed to </w:t>
      </w:r>
      <w:r w:rsidR="004649A2" w:rsidRPr="00C16AB3">
        <w:rPr>
          <w:kern w:val="22"/>
          <w:szCs w:val="22"/>
        </w:rPr>
        <w:t>a number of</w:t>
      </w:r>
      <w:r w:rsidR="00D843CB" w:rsidRPr="00C16AB3">
        <w:rPr>
          <w:kern w:val="22"/>
          <w:szCs w:val="22"/>
        </w:rPr>
        <w:t xml:space="preserve"> </w:t>
      </w:r>
      <w:proofErr w:type="gramStart"/>
      <w:r w:rsidR="004649A2" w:rsidRPr="00C16AB3">
        <w:rPr>
          <w:kern w:val="22"/>
          <w:szCs w:val="22"/>
        </w:rPr>
        <w:t>follow</w:t>
      </w:r>
      <w:proofErr w:type="gramEnd"/>
      <w:r w:rsidR="00465242" w:rsidRPr="00C16AB3">
        <w:rPr>
          <w:kern w:val="22"/>
          <w:szCs w:val="22"/>
        </w:rPr>
        <w:noBreakHyphen/>
      </w:r>
      <w:r w:rsidR="004649A2" w:rsidRPr="00C16AB3">
        <w:rPr>
          <w:kern w:val="22"/>
          <w:szCs w:val="22"/>
        </w:rPr>
        <w:t xml:space="preserve">up </w:t>
      </w:r>
      <w:r w:rsidR="00D843CB" w:rsidRPr="00C16AB3">
        <w:rPr>
          <w:kern w:val="22"/>
          <w:szCs w:val="22"/>
        </w:rPr>
        <w:t xml:space="preserve">actions, and </w:t>
      </w:r>
      <w:r w:rsidR="00812131" w:rsidRPr="00C16AB3">
        <w:rPr>
          <w:kern w:val="22"/>
          <w:szCs w:val="22"/>
        </w:rPr>
        <w:t xml:space="preserve">also agreed </w:t>
      </w:r>
      <w:r w:rsidR="00D843CB" w:rsidRPr="00C16AB3">
        <w:rPr>
          <w:kern w:val="22"/>
          <w:szCs w:val="22"/>
        </w:rPr>
        <w:t xml:space="preserve">to </w:t>
      </w:r>
      <w:r w:rsidR="00AE157E" w:rsidRPr="00C16AB3">
        <w:rPr>
          <w:kern w:val="22"/>
          <w:szCs w:val="22"/>
        </w:rPr>
        <w:t xml:space="preserve">prioritize consideration of this matter </w:t>
      </w:r>
      <w:r w:rsidR="00871E71" w:rsidRPr="00C16AB3">
        <w:rPr>
          <w:kern w:val="22"/>
          <w:szCs w:val="22"/>
        </w:rPr>
        <w:t xml:space="preserve">at its next </w:t>
      </w:r>
      <w:r w:rsidR="00BF6878" w:rsidRPr="00C16AB3">
        <w:rPr>
          <w:kern w:val="22"/>
          <w:szCs w:val="22"/>
        </w:rPr>
        <w:t>meeting</w:t>
      </w:r>
      <w:r w:rsidR="00871E71" w:rsidRPr="00C16AB3">
        <w:rPr>
          <w:kern w:val="22"/>
          <w:szCs w:val="22"/>
        </w:rPr>
        <w:t>.</w:t>
      </w:r>
    </w:p>
    <w:p w14:paraId="612EEAB2" w14:textId="5A8D12AB" w:rsidR="00391A45" w:rsidRPr="003443B2" w:rsidRDefault="00391A45" w:rsidP="00391A45">
      <w:pPr>
        <w:pStyle w:val="Para1"/>
        <w:tabs>
          <w:tab w:val="clear" w:pos="360"/>
        </w:tabs>
        <w:rPr>
          <w:kern w:val="22"/>
          <w:szCs w:val="22"/>
        </w:rPr>
      </w:pPr>
      <w:r w:rsidRPr="00C16AB3">
        <w:rPr>
          <w:rFonts w:eastAsia="SimSun"/>
          <w:kern w:val="22"/>
          <w:szCs w:val="22"/>
          <w:lang w:eastAsia="zh-CN"/>
        </w:rPr>
        <w:t>The full text of the reports of th</w:t>
      </w:r>
      <w:r w:rsidR="00D85053" w:rsidRPr="00C16AB3">
        <w:rPr>
          <w:rFonts w:eastAsia="SimSun"/>
          <w:kern w:val="22"/>
          <w:szCs w:val="22"/>
          <w:lang w:eastAsia="zh-CN"/>
        </w:rPr>
        <w:t>e Committee on the work of its six</w:t>
      </w:r>
      <w:r w:rsidRPr="00C16AB3">
        <w:rPr>
          <w:rFonts w:eastAsia="SimSun"/>
          <w:kern w:val="22"/>
          <w:szCs w:val="22"/>
          <w:lang w:eastAsia="zh-CN"/>
        </w:rPr>
        <w:t xml:space="preserve">teenth </w:t>
      </w:r>
      <w:r w:rsidR="001E587D" w:rsidRPr="00F5491E">
        <w:rPr>
          <w:kern w:val="22"/>
          <w:szCs w:val="22"/>
        </w:rPr>
        <w:t>(</w:t>
      </w:r>
      <w:hyperlink r:id="rId18" w:history="1">
        <w:r w:rsidR="00D85053" w:rsidRPr="00F5491E">
          <w:rPr>
            <w:rStyle w:val="Hyperlink"/>
            <w:kern w:val="22"/>
            <w:sz w:val="22"/>
            <w:szCs w:val="22"/>
          </w:rPr>
          <w:t>CBD/CP/CC/16/7</w:t>
        </w:r>
      </w:hyperlink>
      <w:r w:rsidR="001E587D" w:rsidRPr="00F5491E">
        <w:rPr>
          <w:kern w:val="22"/>
          <w:szCs w:val="22"/>
        </w:rPr>
        <w:t xml:space="preserve">) </w:t>
      </w:r>
      <w:r w:rsidR="00D85053" w:rsidRPr="005025F2">
        <w:rPr>
          <w:rFonts w:eastAsia="SimSun"/>
          <w:kern w:val="22"/>
          <w:szCs w:val="22"/>
          <w:lang w:eastAsia="zh-CN"/>
        </w:rPr>
        <w:t>and seven</w:t>
      </w:r>
      <w:r w:rsidRPr="003443B2">
        <w:rPr>
          <w:rFonts w:eastAsia="SimSun"/>
          <w:kern w:val="22"/>
          <w:szCs w:val="22"/>
          <w:lang w:eastAsia="zh-CN"/>
        </w:rPr>
        <w:t xml:space="preserve">teenth </w:t>
      </w:r>
      <w:r w:rsidR="001E587D" w:rsidRPr="00F5491E">
        <w:rPr>
          <w:kern w:val="22"/>
          <w:szCs w:val="22"/>
        </w:rPr>
        <w:t>(</w:t>
      </w:r>
      <w:hyperlink r:id="rId19" w:history="1">
        <w:r w:rsidR="00D85053" w:rsidRPr="00F5491E">
          <w:rPr>
            <w:rStyle w:val="Hyperlink"/>
            <w:kern w:val="22"/>
            <w:sz w:val="22"/>
            <w:szCs w:val="22"/>
          </w:rPr>
          <w:t>CBD/CP/CC/17/6</w:t>
        </w:r>
      </w:hyperlink>
      <w:r w:rsidR="001E587D" w:rsidRPr="00F5491E">
        <w:rPr>
          <w:kern w:val="22"/>
          <w:szCs w:val="22"/>
        </w:rPr>
        <w:t xml:space="preserve">) </w:t>
      </w:r>
      <w:r w:rsidRPr="005025F2">
        <w:rPr>
          <w:rFonts w:eastAsia="SimSun"/>
          <w:kern w:val="22"/>
          <w:szCs w:val="22"/>
          <w:lang w:eastAsia="zh-CN"/>
        </w:rPr>
        <w:t>meetings as well as the working documents fo</w:t>
      </w:r>
      <w:r w:rsidRPr="003443B2">
        <w:rPr>
          <w:rFonts w:eastAsia="SimSun"/>
          <w:kern w:val="22"/>
          <w:szCs w:val="22"/>
          <w:lang w:eastAsia="zh-CN"/>
        </w:rPr>
        <w:t xml:space="preserve">r each meeting are available on the Secretariat’s </w:t>
      </w:r>
      <w:hyperlink r:id="rId20" w:history="1">
        <w:r w:rsidRPr="00F5491E">
          <w:rPr>
            <w:rStyle w:val="Hyperlink"/>
            <w:rFonts w:eastAsia="SimSun"/>
            <w:kern w:val="22"/>
            <w:sz w:val="22"/>
          </w:rPr>
          <w:t>website</w:t>
        </w:r>
      </w:hyperlink>
      <w:r w:rsidR="004B4CF2" w:rsidRPr="005025F2">
        <w:rPr>
          <w:rFonts w:eastAsia="SimSun"/>
          <w:kern w:val="22"/>
          <w:szCs w:val="22"/>
          <w:lang w:eastAsia="zh-CN"/>
        </w:rPr>
        <w:t>.</w:t>
      </w:r>
    </w:p>
    <w:p w14:paraId="2B2FF839" w14:textId="77777777" w:rsidR="00391A45" w:rsidRPr="00C16AB3" w:rsidRDefault="00391A45" w:rsidP="00391A45">
      <w:pPr>
        <w:pStyle w:val="Para1"/>
        <w:numPr>
          <w:ilvl w:val="0"/>
          <w:numId w:val="0"/>
        </w:numPr>
        <w:rPr>
          <w:kern w:val="22"/>
          <w:szCs w:val="22"/>
        </w:rPr>
      </w:pPr>
    </w:p>
    <w:p w14:paraId="6A527174" w14:textId="11BFDD65" w:rsidR="00391A45" w:rsidRPr="005025F2" w:rsidRDefault="00D85053" w:rsidP="00D85053">
      <w:pPr>
        <w:pStyle w:val="Para1"/>
        <w:numPr>
          <w:ilvl w:val="0"/>
          <w:numId w:val="0"/>
        </w:numPr>
        <w:ind w:firstLine="360"/>
        <w:outlineLvl w:val="0"/>
        <w:rPr>
          <w:kern w:val="22"/>
          <w:szCs w:val="22"/>
        </w:rPr>
        <w:sectPr w:rsidR="00391A45" w:rsidRPr="005025F2" w:rsidSect="00F5491E">
          <w:headerReference w:type="even" r:id="rId21"/>
          <w:headerReference w:type="default" r:id="rId22"/>
          <w:footerReference w:type="even" r:id="rId23"/>
          <w:footerReference w:type="default" r:id="rId24"/>
          <w:footerReference w:type="first" r:id="rId25"/>
          <w:pgSz w:w="12240" w:h="15840" w:code="1"/>
          <w:pgMar w:top="1021" w:right="1440" w:bottom="1140" w:left="1440" w:header="459" w:footer="720" w:gutter="0"/>
          <w:cols w:space="720"/>
          <w:titlePg/>
          <w:docGrid w:linePitch="299"/>
        </w:sectPr>
      </w:pPr>
      <w:r w:rsidRPr="00F5491E">
        <w:rPr>
          <w:kern w:val="22"/>
        </w:rPr>
        <w:t xml:space="preserve"> </w:t>
      </w:r>
      <w:r w:rsidR="00391A45" w:rsidRPr="005025F2">
        <w:rPr>
          <w:kern w:val="22"/>
          <w:szCs w:val="22"/>
        </w:rPr>
        <w:br w:type="page"/>
      </w:r>
    </w:p>
    <w:p w14:paraId="77D76BAB" w14:textId="77777777" w:rsidR="00391A45" w:rsidRPr="00C16AB3" w:rsidRDefault="00391A45" w:rsidP="00391A45">
      <w:pPr>
        <w:pStyle w:val="Para1"/>
        <w:numPr>
          <w:ilvl w:val="0"/>
          <w:numId w:val="0"/>
        </w:numPr>
        <w:jc w:val="center"/>
        <w:outlineLvl w:val="0"/>
        <w:rPr>
          <w:i/>
          <w:kern w:val="22"/>
          <w:szCs w:val="22"/>
        </w:rPr>
      </w:pPr>
      <w:r w:rsidRPr="005025F2">
        <w:rPr>
          <w:i/>
          <w:kern w:val="22"/>
          <w:szCs w:val="22"/>
        </w:rPr>
        <w:lastRenderedPageBreak/>
        <w:t>Annex</w:t>
      </w:r>
    </w:p>
    <w:p w14:paraId="1E4A7AFB" w14:textId="1FC28F34" w:rsidR="00391A45" w:rsidRPr="00C1217F" w:rsidRDefault="00345EF4" w:rsidP="00F5491E">
      <w:pPr>
        <w:pStyle w:val="Para1"/>
        <w:numPr>
          <w:ilvl w:val="0"/>
          <w:numId w:val="0"/>
        </w:numPr>
        <w:jc w:val="center"/>
        <w:outlineLvl w:val="0"/>
        <w:rPr>
          <w:b/>
          <w:caps/>
          <w:kern w:val="22"/>
          <w:szCs w:val="22"/>
        </w:rPr>
      </w:pPr>
      <w:r w:rsidRPr="00C1217F">
        <w:rPr>
          <w:b/>
          <w:caps/>
          <w:snapToGrid/>
          <w:kern w:val="22"/>
          <w:szCs w:val="22"/>
        </w:rPr>
        <w:t xml:space="preserve">Recommendations of the Compliance Committee to the Conference of the Parties </w:t>
      </w:r>
      <w:r w:rsidR="00B65640" w:rsidRPr="00C1217F">
        <w:rPr>
          <w:b/>
          <w:caps/>
          <w:snapToGrid/>
          <w:kern w:val="22"/>
          <w:szCs w:val="22"/>
        </w:rPr>
        <w:t>s</w:t>
      </w:r>
      <w:r w:rsidRPr="00C1217F">
        <w:rPr>
          <w:b/>
          <w:caps/>
          <w:snapToGrid/>
          <w:kern w:val="22"/>
          <w:szCs w:val="22"/>
        </w:rPr>
        <w:t xml:space="preserve">erving as the </w:t>
      </w:r>
      <w:r w:rsidR="00B65640" w:rsidRPr="00C1217F">
        <w:rPr>
          <w:b/>
          <w:caps/>
          <w:snapToGrid/>
          <w:kern w:val="22"/>
          <w:szCs w:val="22"/>
        </w:rPr>
        <w:t>m</w:t>
      </w:r>
      <w:r w:rsidRPr="00C1217F">
        <w:rPr>
          <w:b/>
          <w:caps/>
          <w:snapToGrid/>
          <w:kern w:val="22"/>
          <w:szCs w:val="22"/>
        </w:rPr>
        <w:t xml:space="preserve">eeting of the Parties to the Cartagena </w:t>
      </w:r>
      <w:r w:rsidR="00D85053" w:rsidRPr="00C1217F">
        <w:rPr>
          <w:b/>
          <w:caps/>
          <w:snapToGrid/>
          <w:kern w:val="22"/>
          <w:szCs w:val="22"/>
        </w:rPr>
        <w:t>Protocol on Biosafety at its ten</w:t>
      </w:r>
      <w:r w:rsidRPr="00C1217F">
        <w:rPr>
          <w:b/>
          <w:caps/>
          <w:snapToGrid/>
          <w:kern w:val="22"/>
          <w:szCs w:val="22"/>
        </w:rPr>
        <w:t>th meeting</w:t>
      </w:r>
      <w:r w:rsidR="00391A45" w:rsidRPr="00C1217F">
        <w:rPr>
          <w:rStyle w:val="FootnoteReference"/>
          <w:caps/>
          <w:snapToGrid/>
          <w:kern w:val="22"/>
          <w:szCs w:val="22"/>
        </w:rPr>
        <w:footnoteReference w:id="3"/>
      </w:r>
    </w:p>
    <w:p w14:paraId="2A5CAC67" w14:textId="3917AA7E" w:rsidR="00391A45" w:rsidRPr="00C16AB3" w:rsidRDefault="00391A45" w:rsidP="00391A45">
      <w:pPr>
        <w:spacing w:after="120"/>
        <w:ind w:firstLine="720"/>
        <w:rPr>
          <w:kern w:val="22"/>
          <w:szCs w:val="22"/>
        </w:rPr>
      </w:pPr>
      <w:r w:rsidRPr="00C16AB3">
        <w:rPr>
          <w:kern w:val="22"/>
          <w:szCs w:val="22"/>
        </w:rPr>
        <w:t>The Compliance Committee recommends that the Conference of the Parties serving as the meeting of the Parties to the Cartagena Protocol</w:t>
      </w:r>
      <w:r w:rsidR="00D85053" w:rsidRPr="00C16AB3">
        <w:rPr>
          <w:kern w:val="22"/>
          <w:szCs w:val="22"/>
        </w:rPr>
        <w:t xml:space="preserve"> on Biosafety decide, at its ten</w:t>
      </w:r>
      <w:r w:rsidRPr="00C16AB3">
        <w:rPr>
          <w:kern w:val="22"/>
          <w:szCs w:val="22"/>
        </w:rPr>
        <w:t>th meeting, to:</w:t>
      </w:r>
    </w:p>
    <w:p w14:paraId="257FCE5A" w14:textId="3F6D1A0F" w:rsidR="00391A45" w:rsidRPr="00F5491E" w:rsidRDefault="00391A45" w:rsidP="00F5491E">
      <w:pPr>
        <w:pStyle w:val="ListParagraph"/>
        <w:numPr>
          <w:ilvl w:val="0"/>
          <w:numId w:val="43"/>
        </w:numPr>
        <w:spacing w:after="120"/>
        <w:ind w:left="0" w:firstLine="0"/>
        <w:jc w:val="center"/>
        <w:outlineLvl w:val="1"/>
        <w:rPr>
          <w:b/>
          <w:kern w:val="22"/>
          <w:szCs w:val="22"/>
        </w:rPr>
      </w:pPr>
      <w:r w:rsidRPr="00F5491E">
        <w:rPr>
          <w:b/>
          <w:kern w:val="22"/>
          <w:szCs w:val="22"/>
        </w:rPr>
        <w:t>Compliance</w:t>
      </w:r>
    </w:p>
    <w:p w14:paraId="3CDEC16E" w14:textId="0D4CDA3A" w:rsidR="00D85053" w:rsidRPr="00F5491E" w:rsidRDefault="00391A45" w:rsidP="00FF084B">
      <w:pPr>
        <w:pStyle w:val="Para1"/>
        <w:numPr>
          <w:ilvl w:val="0"/>
          <w:numId w:val="37"/>
        </w:numPr>
        <w:tabs>
          <w:tab w:val="clear" w:pos="360"/>
        </w:tabs>
        <w:ind w:firstLine="567"/>
        <w:rPr>
          <w:kern w:val="22"/>
        </w:rPr>
      </w:pPr>
      <w:r w:rsidRPr="00F5491E">
        <w:rPr>
          <w:kern w:val="22"/>
        </w:rPr>
        <w:t xml:space="preserve">Remind Parties </w:t>
      </w:r>
      <w:r w:rsidR="00D85053" w:rsidRPr="00F5491E">
        <w:rPr>
          <w:kern w:val="22"/>
        </w:rPr>
        <w:t>of rule II, paragraph 4, of the procedures and mechanisms on compliance, and urge them to ensure that members are elected on the understanding that they will serve a full four-year term;</w:t>
      </w:r>
    </w:p>
    <w:p w14:paraId="030E0405" w14:textId="578D8837" w:rsidR="00D85053" w:rsidRPr="005025F2" w:rsidRDefault="00391A45" w:rsidP="00FF084B">
      <w:pPr>
        <w:pStyle w:val="Para1"/>
        <w:tabs>
          <w:tab w:val="clear" w:pos="360"/>
        </w:tabs>
        <w:ind w:firstLine="567"/>
        <w:rPr>
          <w:kern w:val="22"/>
        </w:rPr>
      </w:pPr>
      <w:r w:rsidRPr="005025F2">
        <w:rPr>
          <w:kern w:val="22"/>
        </w:rPr>
        <w:t xml:space="preserve">Also </w:t>
      </w:r>
      <w:r w:rsidR="00D85053" w:rsidRPr="00F5491E">
        <w:rPr>
          <w:kern w:val="22"/>
        </w:rPr>
        <w:t>remind Parties of their obligation to designate a national focal point for the Cartagena Protocol, and one or more competent national authorities, and to notify the Secretariat accordingly, as per Article 19 of the Protocol;</w:t>
      </w:r>
    </w:p>
    <w:p w14:paraId="15CF1BED" w14:textId="6BAF8CDB" w:rsidR="00D85053" w:rsidRPr="005025F2" w:rsidRDefault="00D85053" w:rsidP="00FF084B">
      <w:pPr>
        <w:pStyle w:val="Para1"/>
        <w:tabs>
          <w:tab w:val="clear" w:pos="360"/>
        </w:tabs>
        <w:ind w:firstLine="567"/>
        <w:rPr>
          <w:kern w:val="22"/>
        </w:rPr>
      </w:pPr>
      <w:r w:rsidRPr="005025F2">
        <w:rPr>
          <w:kern w:val="22"/>
        </w:rPr>
        <w:t>Further r</w:t>
      </w:r>
      <w:r w:rsidRPr="00F5491E">
        <w:rPr>
          <w:kern w:val="22"/>
        </w:rPr>
        <w:t xml:space="preserve">emind Parties of their obligation to designate a national focal point for the Biosafety </w:t>
      </w:r>
      <w:proofErr w:type="gramStart"/>
      <w:r w:rsidRPr="00F5491E">
        <w:rPr>
          <w:kern w:val="22"/>
        </w:rPr>
        <w:t>Clearing-House</w:t>
      </w:r>
      <w:proofErr w:type="gramEnd"/>
      <w:r w:rsidRPr="00F5491E">
        <w:rPr>
          <w:kern w:val="22"/>
        </w:rPr>
        <w:t>, in line with decision BS-I/3 and decision II/7 of the Conference of the Parties;</w:t>
      </w:r>
    </w:p>
    <w:p w14:paraId="1901B697" w14:textId="5F87EBBB" w:rsidR="00D85053" w:rsidRPr="005025F2" w:rsidRDefault="00386DC2" w:rsidP="00FF084B">
      <w:pPr>
        <w:pStyle w:val="Para1"/>
        <w:tabs>
          <w:tab w:val="clear" w:pos="360"/>
        </w:tabs>
        <w:ind w:firstLine="567"/>
        <w:rPr>
          <w:kern w:val="22"/>
        </w:rPr>
      </w:pPr>
      <w:r w:rsidRPr="005025F2">
        <w:rPr>
          <w:kern w:val="22"/>
        </w:rPr>
        <w:t>R</w:t>
      </w:r>
      <w:r w:rsidR="00D85053" w:rsidRPr="00F5491E">
        <w:rPr>
          <w:kern w:val="22"/>
        </w:rPr>
        <w:t xml:space="preserve">emind Parties of their obligation to make available in the </w:t>
      </w:r>
      <w:r w:rsidR="00B67401" w:rsidRPr="00F5491E">
        <w:rPr>
          <w:kern w:val="22"/>
        </w:rPr>
        <w:t xml:space="preserve">Biosafety </w:t>
      </w:r>
      <w:proofErr w:type="gramStart"/>
      <w:r w:rsidR="00B67401" w:rsidRPr="00F5491E">
        <w:rPr>
          <w:kern w:val="22"/>
        </w:rPr>
        <w:t>Clearing-House</w:t>
      </w:r>
      <w:proofErr w:type="gramEnd"/>
      <w:r w:rsidR="00B67401" w:rsidRPr="00F5491E">
        <w:rPr>
          <w:kern w:val="22"/>
        </w:rPr>
        <w:t xml:space="preserve"> </w:t>
      </w:r>
      <w:r w:rsidR="00D85053" w:rsidRPr="00F5491E">
        <w:rPr>
          <w:kern w:val="22"/>
        </w:rPr>
        <w:t>the relevant details setting out their point of contact for the purposes of receiving notifications under Article 17 of the Protocol and to urge them to do so as soon as possible</w:t>
      </w:r>
      <w:r w:rsidR="007705DA" w:rsidRPr="00F5491E">
        <w:rPr>
          <w:kern w:val="22"/>
        </w:rPr>
        <w:t>;</w:t>
      </w:r>
    </w:p>
    <w:p w14:paraId="3442F52D" w14:textId="5A3B4B35" w:rsidR="00FF084B" w:rsidRPr="00F5491E" w:rsidRDefault="00FF084B" w:rsidP="00FF084B">
      <w:pPr>
        <w:pStyle w:val="Para1"/>
        <w:numPr>
          <w:ilvl w:val="0"/>
          <w:numId w:val="29"/>
        </w:numPr>
        <w:tabs>
          <w:tab w:val="clear" w:pos="360"/>
        </w:tabs>
        <w:ind w:firstLine="567"/>
        <w:rPr>
          <w:kern w:val="22"/>
        </w:rPr>
      </w:pPr>
      <w:r w:rsidRPr="00F5491E">
        <w:rPr>
          <w:kern w:val="22"/>
        </w:rPr>
        <w:t>Urge Parties and invite other Governments to provide voluntary funds in support of the four Parties</w:t>
      </w:r>
      <w:r w:rsidRPr="00F5491E">
        <w:rPr>
          <w:kern w:val="22"/>
          <w:vertAlign w:val="superscript"/>
        </w:rPr>
        <w:footnoteReference w:id="4"/>
      </w:r>
      <w:r w:rsidRPr="00F5491E">
        <w:rPr>
          <w:kern w:val="22"/>
        </w:rPr>
        <w:t xml:space="preserve"> that have developed compliance action plans, as well as any additional Parties that develop and implement compliance action plans at the request of the Committee</w:t>
      </w:r>
      <w:r w:rsidR="000A52EE" w:rsidRPr="00F5491E">
        <w:rPr>
          <w:kern w:val="22"/>
        </w:rPr>
        <w:t>;</w:t>
      </w:r>
    </w:p>
    <w:p w14:paraId="5F6CCFAE" w14:textId="3B9B8959" w:rsidR="008D39DD" w:rsidRPr="00C16AB3" w:rsidRDefault="00FF084B" w:rsidP="00F5491E">
      <w:pPr>
        <w:pStyle w:val="BodyText"/>
        <w:ind w:firstLine="0"/>
        <w:jc w:val="center"/>
        <w:outlineLvl w:val="1"/>
        <w:rPr>
          <w:b/>
          <w:kern w:val="22"/>
          <w:szCs w:val="22"/>
        </w:rPr>
      </w:pPr>
      <w:r w:rsidRPr="005025F2">
        <w:rPr>
          <w:b/>
          <w:kern w:val="22"/>
          <w:szCs w:val="22"/>
        </w:rPr>
        <w:t>B</w:t>
      </w:r>
      <w:r w:rsidR="0094563D" w:rsidRPr="005025F2">
        <w:rPr>
          <w:b/>
          <w:kern w:val="22"/>
          <w:szCs w:val="22"/>
        </w:rPr>
        <w:t>.</w:t>
      </w:r>
      <w:r w:rsidR="00C16AB3" w:rsidRPr="005025F2">
        <w:rPr>
          <w:b/>
          <w:kern w:val="22"/>
          <w:szCs w:val="22"/>
        </w:rPr>
        <w:tab/>
      </w:r>
      <w:r w:rsidR="0094563D" w:rsidRPr="00C16AB3">
        <w:rPr>
          <w:b/>
          <w:kern w:val="22"/>
          <w:szCs w:val="22"/>
        </w:rPr>
        <w:t>Monitoring and reporting</w:t>
      </w:r>
    </w:p>
    <w:p w14:paraId="71432BA9" w14:textId="58F0FC37" w:rsidR="00850A2A" w:rsidRPr="00F5491E" w:rsidRDefault="00850A2A" w:rsidP="00FF084B">
      <w:pPr>
        <w:pStyle w:val="Para1"/>
        <w:numPr>
          <w:ilvl w:val="0"/>
          <w:numId w:val="29"/>
        </w:numPr>
        <w:tabs>
          <w:tab w:val="clear" w:pos="360"/>
        </w:tabs>
        <w:ind w:firstLine="567"/>
        <w:rPr>
          <w:kern w:val="22"/>
        </w:rPr>
      </w:pPr>
      <w:r w:rsidRPr="00F5491E">
        <w:rPr>
          <w:kern w:val="22"/>
        </w:rPr>
        <w:t>Welcome the 1</w:t>
      </w:r>
      <w:r w:rsidR="00EA2F1D">
        <w:rPr>
          <w:kern w:val="22"/>
        </w:rPr>
        <w:t>14</w:t>
      </w:r>
      <w:r w:rsidRPr="00F5491E">
        <w:rPr>
          <w:kern w:val="22"/>
        </w:rPr>
        <w:t xml:space="preserve"> complete fourth national reports submitted;</w:t>
      </w:r>
      <w:r w:rsidRPr="00F5491E">
        <w:rPr>
          <w:kern w:val="22"/>
          <w:vertAlign w:val="superscript"/>
        </w:rPr>
        <w:footnoteReference w:id="5"/>
      </w:r>
    </w:p>
    <w:p w14:paraId="38EEDA9F" w14:textId="32FC6AFB" w:rsidR="00850A2A" w:rsidRPr="00F5491E" w:rsidRDefault="00850A2A" w:rsidP="00FF084B">
      <w:pPr>
        <w:pStyle w:val="Para1"/>
        <w:numPr>
          <w:ilvl w:val="0"/>
          <w:numId w:val="29"/>
        </w:numPr>
        <w:tabs>
          <w:tab w:val="clear" w:pos="360"/>
        </w:tabs>
        <w:ind w:firstLine="567"/>
        <w:rPr>
          <w:kern w:val="22"/>
        </w:rPr>
      </w:pPr>
      <w:r w:rsidRPr="00F5491E">
        <w:rPr>
          <w:kern w:val="22"/>
        </w:rPr>
        <w:t xml:space="preserve">Express concern about the low </w:t>
      </w:r>
      <w:r w:rsidR="00274AA6" w:rsidRPr="005025F2">
        <w:rPr>
          <w:kern w:val="22"/>
          <w:szCs w:val="22"/>
        </w:rPr>
        <w:t>number of fourth national reports submitted</w:t>
      </w:r>
      <w:r w:rsidRPr="00F5491E">
        <w:rPr>
          <w:kern w:val="22"/>
        </w:rPr>
        <w:t>;</w:t>
      </w:r>
    </w:p>
    <w:p w14:paraId="6F469793" w14:textId="60D085E0" w:rsidR="00707EF0" w:rsidRPr="00C16AB3" w:rsidRDefault="00707EF0" w:rsidP="00635929">
      <w:pPr>
        <w:pStyle w:val="Para1"/>
        <w:numPr>
          <w:ilvl w:val="0"/>
          <w:numId w:val="29"/>
        </w:numPr>
        <w:tabs>
          <w:tab w:val="clear" w:pos="360"/>
        </w:tabs>
        <w:ind w:firstLine="567"/>
        <w:rPr>
          <w:kern w:val="22"/>
          <w:szCs w:val="22"/>
        </w:rPr>
      </w:pPr>
      <w:r w:rsidRPr="005025F2">
        <w:rPr>
          <w:kern w:val="22"/>
          <w:szCs w:val="22"/>
        </w:rPr>
        <w:t xml:space="preserve">Also express concern about delays in the project to be submitted to the Global Environment </w:t>
      </w:r>
      <w:r w:rsidRPr="00C16AB3">
        <w:rPr>
          <w:kern w:val="22"/>
          <w:szCs w:val="22"/>
        </w:rPr>
        <w:t xml:space="preserve">Facility to support eligible Parties in the preparation of their fourth national reports, noting that such funding was not available before the deadline for the submission of fourth national reports, which </w:t>
      </w:r>
      <w:r w:rsidR="00FD3EFA" w:rsidRPr="00C16AB3">
        <w:rPr>
          <w:kern w:val="22"/>
          <w:szCs w:val="22"/>
        </w:rPr>
        <w:t>is one of the factors that may have affected the submission rate</w:t>
      </w:r>
      <w:r w:rsidRPr="00C16AB3">
        <w:rPr>
          <w:kern w:val="22"/>
          <w:szCs w:val="22"/>
        </w:rPr>
        <w:t>;</w:t>
      </w:r>
    </w:p>
    <w:p w14:paraId="17B17EDD" w14:textId="30089E80" w:rsidR="00850A2A" w:rsidRPr="00F5491E" w:rsidRDefault="00850A2A" w:rsidP="00FF084B">
      <w:pPr>
        <w:pStyle w:val="Para1"/>
        <w:numPr>
          <w:ilvl w:val="0"/>
          <w:numId w:val="29"/>
        </w:numPr>
        <w:tabs>
          <w:tab w:val="clear" w:pos="360"/>
        </w:tabs>
        <w:ind w:firstLine="567"/>
        <w:rPr>
          <w:kern w:val="22"/>
        </w:rPr>
      </w:pPr>
      <w:r w:rsidRPr="00F5491E">
        <w:rPr>
          <w:kern w:val="22"/>
        </w:rPr>
        <w:t>Urge Parties that have not yet submitted their fourth national report to do so as soon as possible;</w:t>
      </w:r>
      <w:r w:rsidRPr="00F5491E">
        <w:rPr>
          <w:kern w:val="22"/>
          <w:vertAlign w:val="superscript"/>
        </w:rPr>
        <w:footnoteReference w:id="6"/>
      </w:r>
    </w:p>
    <w:p w14:paraId="0F5CA999" w14:textId="55B56A24" w:rsidR="00850A2A" w:rsidRPr="00F5491E" w:rsidRDefault="00850A2A" w:rsidP="00FF084B">
      <w:pPr>
        <w:pStyle w:val="Para1"/>
        <w:numPr>
          <w:ilvl w:val="0"/>
          <w:numId w:val="29"/>
        </w:numPr>
        <w:tabs>
          <w:tab w:val="clear" w:pos="360"/>
        </w:tabs>
        <w:ind w:firstLine="567"/>
        <w:rPr>
          <w:kern w:val="22"/>
        </w:rPr>
      </w:pPr>
      <w:r w:rsidRPr="00F5491E">
        <w:rPr>
          <w:kern w:val="22"/>
        </w:rPr>
        <w:t>Note with concern that, of the Parties that have not yet submitted their fourth national report, some Parties have also not submitted their third national report;</w:t>
      </w:r>
      <w:r w:rsidRPr="00F5491E">
        <w:rPr>
          <w:kern w:val="22"/>
          <w:vertAlign w:val="superscript"/>
        </w:rPr>
        <w:footnoteReference w:id="7"/>
      </w:r>
    </w:p>
    <w:p w14:paraId="70E306BB" w14:textId="77777777" w:rsidR="00850A2A" w:rsidRPr="00F5491E" w:rsidRDefault="00850A2A" w:rsidP="00FF084B">
      <w:pPr>
        <w:pStyle w:val="Para1"/>
        <w:numPr>
          <w:ilvl w:val="0"/>
          <w:numId w:val="29"/>
        </w:numPr>
        <w:tabs>
          <w:tab w:val="clear" w:pos="360"/>
        </w:tabs>
        <w:ind w:firstLine="567"/>
        <w:rPr>
          <w:kern w:val="22"/>
        </w:rPr>
      </w:pPr>
      <w:r w:rsidRPr="00F5491E">
        <w:rPr>
          <w:kern w:val="22"/>
        </w:rPr>
        <w:lastRenderedPageBreak/>
        <w:t>Urge Parties that have submitted an incomplete fourth national report to provide the missing information as soon as possible;</w:t>
      </w:r>
    </w:p>
    <w:p w14:paraId="0D5FB73F" w14:textId="7A40404D" w:rsidR="002766CD" w:rsidRPr="00C16AB3" w:rsidRDefault="00FF084B" w:rsidP="00F5491E">
      <w:pPr>
        <w:pStyle w:val="Para1"/>
        <w:numPr>
          <w:ilvl w:val="0"/>
          <w:numId w:val="0"/>
        </w:numPr>
        <w:ind w:left="1418" w:right="249" w:hanging="709"/>
        <w:jc w:val="left"/>
        <w:outlineLvl w:val="1"/>
        <w:rPr>
          <w:b/>
          <w:kern w:val="22"/>
          <w:szCs w:val="22"/>
        </w:rPr>
      </w:pPr>
      <w:r w:rsidRPr="005025F2">
        <w:rPr>
          <w:b/>
          <w:kern w:val="22"/>
          <w:szCs w:val="22"/>
        </w:rPr>
        <w:t>C</w:t>
      </w:r>
      <w:r w:rsidR="002766CD" w:rsidRPr="003443B2">
        <w:rPr>
          <w:b/>
          <w:kern w:val="22"/>
          <w:szCs w:val="22"/>
        </w:rPr>
        <w:t>.</w:t>
      </w:r>
      <w:r w:rsidR="00347278" w:rsidRPr="00C16AB3">
        <w:rPr>
          <w:b/>
          <w:kern w:val="22"/>
          <w:szCs w:val="22"/>
        </w:rPr>
        <w:tab/>
      </w:r>
      <w:r w:rsidR="002766CD" w:rsidRPr="00C16AB3">
        <w:rPr>
          <w:b/>
          <w:kern w:val="22"/>
          <w:szCs w:val="22"/>
        </w:rPr>
        <w:t>Assessment and review of the effectiveness of the Protocol and final evaluation of the Strategic Plan for the Cartagena Protocol</w:t>
      </w:r>
    </w:p>
    <w:p w14:paraId="2D3FE2F7" w14:textId="125574C9" w:rsidR="00635AB3" w:rsidRPr="00F5491E" w:rsidRDefault="00635AB3" w:rsidP="00FF084B">
      <w:pPr>
        <w:pStyle w:val="Para1"/>
        <w:numPr>
          <w:ilvl w:val="0"/>
          <w:numId w:val="29"/>
        </w:numPr>
        <w:tabs>
          <w:tab w:val="clear" w:pos="360"/>
        </w:tabs>
        <w:ind w:firstLine="567"/>
        <w:rPr>
          <w:kern w:val="22"/>
        </w:rPr>
      </w:pPr>
      <w:r w:rsidRPr="00F5491E">
        <w:rPr>
          <w:kern w:val="22"/>
        </w:rPr>
        <w:t>Welcome progress made by Parties in complying with their obligations under the Protocol, including the obligations concerning: (</w:t>
      </w:r>
      <w:r w:rsidR="005D52EF" w:rsidRPr="00F5491E">
        <w:rPr>
          <w:kern w:val="22"/>
        </w:rPr>
        <w:t>a</w:t>
      </w:r>
      <w:r w:rsidRPr="00F5491E">
        <w:rPr>
          <w:kern w:val="22"/>
        </w:rPr>
        <w:t>) making certain information available to the Biosafety Clearing</w:t>
      </w:r>
      <w:r w:rsidRPr="00F5491E">
        <w:rPr>
          <w:kern w:val="22"/>
        </w:rPr>
        <w:noBreakHyphen/>
        <w:t>House, and; (</w:t>
      </w:r>
      <w:r w:rsidR="005D52EF" w:rsidRPr="00F5491E">
        <w:rPr>
          <w:kern w:val="22"/>
        </w:rPr>
        <w:t>b</w:t>
      </w:r>
      <w:r w:rsidRPr="00F5491E">
        <w:rPr>
          <w:kern w:val="22"/>
        </w:rPr>
        <w:t>) the designation of national focal points and competent national authorities;</w:t>
      </w:r>
    </w:p>
    <w:p w14:paraId="06F2FA0C" w14:textId="5C3A3BF2" w:rsidR="00635AB3" w:rsidRPr="00F5491E" w:rsidRDefault="00635AB3" w:rsidP="00FF084B">
      <w:pPr>
        <w:pStyle w:val="Para1"/>
        <w:numPr>
          <w:ilvl w:val="0"/>
          <w:numId w:val="29"/>
        </w:numPr>
        <w:tabs>
          <w:tab w:val="clear" w:pos="360"/>
        </w:tabs>
        <w:ind w:firstLine="567"/>
        <w:rPr>
          <w:kern w:val="22"/>
        </w:rPr>
      </w:pPr>
      <w:r w:rsidRPr="00F5491E">
        <w:rPr>
          <w:kern w:val="22"/>
        </w:rPr>
        <w:t>Note with concern that a large number of Parties are not in full compliance with key obligations under the Protocol, including: (</w:t>
      </w:r>
      <w:r w:rsidR="005D52EF" w:rsidRPr="00F5491E">
        <w:rPr>
          <w:kern w:val="22"/>
        </w:rPr>
        <w:t>a</w:t>
      </w:r>
      <w:r w:rsidRPr="00F5491E">
        <w:rPr>
          <w:kern w:val="22"/>
        </w:rPr>
        <w:t>) the obligation to take the necessary legal, administrative and other measures to implement the Protocol, and (</w:t>
      </w:r>
      <w:r w:rsidR="005D52EF" w:rsidRPr="00F5491E">
        <w:rPr>
          <w:kern w:val="22"/>
        </w:rPr>
        <w:t>b</w:t>
      </w:r>
      <w:r w:rsidRPr="00F5491E">
        <w:rPr>
          <w:kern w:val="22"/>
        </w:rPr>
        <w:t>) the obligation to submit a national report in a timely manner;</w:t>
      </w:r>
    </w:p>
    <w:p w14:paraId="326F4972" w14:textId="0DEFCFF3" w:rsidR="00635AB3" w:rsidRPr="00F5491E" w:rsidRDefault="00635AB3" w:rsidP="00FF084B">
      <w:pPr>
        <w:pStyle w:val="Para1"/>
        <w:numPr>
          <w:ilvl w:val="0"/>
          <w:numId w:val="29"/>
        </w:numPr>
        <w:tabs>
          <w:tab w:val="clear" w:pos="360"/>
        </w:tabs>
        <w:ind w:firstLine="567"/>
        <w:rPr>
          <w:kern w:val="22"/>
        </w:rPr>
      </w:pPr>
      <w:r w:rsidRPr="00F5491E">
        <w:rPr>
          <w:kern w:val="22"/>
        </w:rPr>
        <w:t>Recognize the need for Parties to have in place monitoring and enforcement systems for the implementation of the Protocol;</w:t>
      </w:r>
    </w:p>
    <w:p w14:paraId="72615EE5" w14:textId="77777777" w:rsidR="00635AB3" w:rsidRPr="00F5491E" w:rsidRDefault="00635AB3" w:rsidP="00FF084B">
      <w:pPr>
        <w:pStyle w:val="Para1"/>
        <w:numPr>
          <w:ilvl w:val="0"/>
          <w:numId w:val="29"/>
        </w:numPr>
        <w:tabs>
          <w:tab w:val="clear" w:pos="360"/>
        </w:tabs>
        <w:ind w:firstLine="567"/>
        <w:rPr>
          <w:kern w:val="22"/>
        </w:rPr>
      </w:pPr>
      <w:r w:rsidRPr="00F5491E">
        <w:rPr>
          <w:kern w:val="22"/>
        </w:rPr>
        <w:t>Urge Parties that have not yet completely done so to put in place legal, administrative and other measures to implement their obligations under the Protocol;</w:t>
      </w:r>
    </w:p>
    <w:p w14:paraId="1C827825" w14:textId="44094810" w:rsidR="00635AB3" w:rsidRPr="00F5491E" w:rsidRDefault="00635AB3" w:rsidP="00FF084B">
      <w:pPr>
        <w:pStyle w:val="Para1"/>
        <w:numPr>
          <w:ilvl w:val="0"/>
          <w:numId w:val="29"/>
        </w:numPr>
        <w:tabs>
          <w:tab w:val="clear" w:pos="360"/>
        </w:tabs>
        <w:ind w:firstLine="567"/>
        <w:rPr>
          <w:kern w:val="22"/>
        </w:rPr>
      </w:pPr>
      <w:r w:rsidRPr="00F5491E">
        <w:rPr>
          <w:kern w:val="22"/>
        </w:rPr>
        <w:t xml:space="preserve">Also urge Parties that have not yet completely done so to make all required information available to the </w:t>
      </w:r>
      <w:r w:rsidR="00814552" w:rsidRPr="00F5491E">
        <w:rPr>
          <w:kern w:val="22"/>
        </w:rPr>
        <w:t xml:space="preserve">Biosafety Clearing-House </w:t>
      </w:r>
      <w:r w:rsidRPr="00F5491E">
        <w:rPr>
          <w:kern w:val="22"/>
        </w:rPr>
        <w:t>and keep their records up-to-date, focusing in particular on information related to: (</w:t>
      </w:r>
      <w:r w:rsidR="005D52EF" w:rsidRPr="00F5491E">
        <w:rPr>
          <w:kern w:val="22"/>
        </w:rPr>
        <w:t>a</w:t>
      </w:r>
      <w:r w:rsidRPr="00F5491E">
        <w:rPr>
          <w:kern w:val="22"/>
        </w:rPr>
        <w:t>) national legislation, regulation and guidelines; (</w:t>
      </w:r>
      <w:r w:rsidR="005D52EF" w:rsidRPr="00F5491E">
        <w:rPr>
          <w:kern w:val="22"/>
        </w:rPr>
        <w:t>b</w:t>
      </w:r>
      <w:r w:rsidRPr="00F5491E">
        <w:rPr>
          <w:kern w:val="22"/>
        </w:rPr>
        <w:t>) summaries of risk assessments; (</w:t>
      </w:r>
      <w:r w:rsidR="005D52EF" w:rsidRPr="00F5491E">
        <w:rPr>
          <w:kern w:val="22"/>
        </w:rPr>
        <w:t>c</w:t>
      </w:r>
      <w:r w:rsidRPr="00F5491E">
        <w:rPr>
          <w:kern w:val="22"/>
        </w:rPr>
        <w:t>) final decisions regarding the importation or release of living modified organisms; (</w:t>
      </w:r>
      <w:r w:rsidR="005D52EF" w:rsidRPr="00F5491E">
        <w:rPr>
          <w:kern w:val="22"/>
        </w:rPr>
        <w:t>d</w:t>
      </w:r>
      <w:r w:rsidRPr="00F5491E">
        <w:rPr>
          <w:kern w:val="22"/>
        </w:rPr>
        <w:t>) national focal points, national points of contact and competent national authorities; (</w:t>
      </w:r>
      <w:r w:rsidR="005D52EF" w:rsidRPr="00F5491E">
        <w:rPr>
          <w:kern w:val="22"/>
        </w:rPr>
        <w:t>e</w:t>
      </w:r>
      <w:r w:rsidRPr="00F5491E">
        <w:rPr>
          <w:kern w:val="22"/>
        </w:rPr>
        <w:t>) information on bilateral, regional or multilateral agreements or arrangements it has entered, and; (</w:t>
      </w:r>
      <w:r w:rsidR="005D52EF" w:rsidRPr="00F5491E">
        <w:rPr>
          <w:kern w:val="22"/>
        </w:rPr>
        <w:t>f</w:t>
      </w:r>
      <w:r w:rsidRPr="00F5491E">
        <w:rPr>
          <w:kern w:val="22"/>
        </w:rPr>
        <w:t>) information concerning illegal transboundary movements of living modified organisms;</w:t>
      </w:r>
    </w:p>
    <w:p w14:paraId="5447EE25" w14:textId="77777777" w:rsidR="00635AB3" w:rsidRPr="00F5491E" w:rsidRDefault="00635AB3" w:rsidP="00FF084B">
      <w:pPr>
        <w:pStyle w:val="Para1"/>
        <w:numPr>
          <w:ilvl w:val="0"/>
          <w:numId w:val="29"/>
        </w:numPr>
        <w:tabs>
          <w:tab w:val="clear" w:pos="360"/>
        </w:tabs>
        <w:ind w:firstLine="567"/>
        <w:rPr>
          <w:kern w:val="22"/>
        </w:rPr>
      </w:pPr>
      <w:r w:rsidRPr="00F5491E">
        <w:rPr>
          <w:kern w:val="22"/>
        </w:rPr>
        <w:t>Request the Executive Secretary to:</w:t>
      </w:r>
    </w:p>
    <w:p w14:paraId="6687DEF3" w14:textId="2EDA7618" w:rsidR="00635AB3" w:rsidRPr="00F5491E" w:rsidRDefault="00814552" w:rsidP="00F5491E">
      <w:pPr>
        <w:pStyle w:val="Para3"/>
        <w:numPr>
          <w:ilvl w:val="0"/>
          <w:numId w:val="33"/>
        </w:numPr>
        <w:tabs>
          <w:tab w:val="clear" w:pos="1980"/>
          <w:tab w:val="left" w:pos="1418"/>
        </w:tabs>
        <w:ind w:left="0" w:firstLine="709"/>
        <w:rPr>
          <w:snapToGrid w:val="0"/>
          <w:kern w:val="22"/>
        </w:rPr>
      </w:pPr>
      <w:r w:rsidRPr="00F5491E">
        <w:rPr>
          <w:snapToGrid w:val="0"/>
          <w:kern w:val="22"/>
        </w:rPr>
        <w:t>D</w:t>
      </w:r>
      <w:r w:rsidR="00635AB3" w:rsidRPr="00F5491E">
        <w:rPr>
          <w:snapToGrid w:val="0"/>
          <w:kern w:val="22"/>
        </w:rPr>
        <w:t>evelop an online survey on the national limitations and challenges in fulfilling (</w:t>
      </w:r>
      <w:proofErr w:type="spellStart"/>
      <w:r w:rsidR="00BE1EB8" w:rsidRPr="00F5491E">
        <w:rPr>
          <w:snapToGrid w:val="0"/>
          <w:kern w:val="22"/>
        </w:rPr>
        <w:t>i</w:t>
      </w:r>
      <w:proofErr w:type="spellEnd"/>
      <w:r w:rsidR="00635AB3" w:rsidRPr="00F5491E">
        <w:rPr>
          <w:snapToGrid w:val="0"/>
          <w:kern w:val="22"/>
        </w:rPr>
        <w:t>) the obligation to take the necessary legal, administrative and other measures to implement the Protocol, and (</w:t>
      </w:r>
      <w:r w:rsidR="00BE1EB8" w:rsidRPr="00F5491E">
        <w:rPr>
          <w:snapToGrid w:val="0"/>
          <w:kern w:val="22"/>
        </w:rPr>
        <w:t>ii</w:t>
      </w:r>
      <w:r w:rsidR="00635AB3" w:rsidRPr="00F5491E">
        <w:rPr>
          <w:snapToGrid w:val="0"/>
          <w:kern w:val="22"/>
        </w:rPr>
        <w:t xml:space="preserve">) the obligation to submit a national report in a timely manner; </w:t>
      </w:r>
    </w:p>
    <w:p w14:paraId="0581047F" w14:textId="0DF13FDA" w:rsidR="00635AB3" w:rsidRPr="00F5491E" w:rsidRDefault="00814552" w:rsidP="00F5491E">
      <w:pPr>
        <w:pStyle w:val="Para3"/>
        <w:numPr>
          <w:ilvl w:val="0"/>
          <w:numId w:val="33"/>
        </w:numPr>
        <w:tabs>
          <w:tab w:val="clear" w:pos="1980"/>
          <w:tab w:val="left" w:pos="1418"/>
          <w:tab w:val="num" w:pos="5747"/>
        </w:tabs>
        <w:ind w:left="0" w:firstLine="709"/>
        <w:rPr>
          <w:snapToGrid w:val="0"/>
          <w:kern w:val="22"/>
        </w:rPr>
      </w:pPr>
      <w:r w:rsidRPr="00F5491E">
        <w:rPr>
          <w:snapToGrid w:val="0"/>
          <w:kern w:val="22"/>
        </w:rPr>
        <w:t>I</w:t>
      </w:r>
      <w:r w:rsidR="00635AB3" w:rsidRPr="00F5491E">
        <w:rPr>
          <w:snapToGrid w:val="0"/>
          <w:kern w:val="22"/>
        </w:rPr>
        <w:t>nvite all Parties to complete the survey;</w:t>
      </w:r>
    </w:p>
    <w:p w14:paraId="4196250C" w14:textId="7B2B4C75" w:rsidR="00635AB3" w:rsidRPr="00F5491E" w:rsidRDefault="00814552" w:rsidP="00F5491E">
      <w:pPr>
        <w:pStyle w:val="Para3"/>
        <w:numPr>
          <w:ilvl w:val="0"/>
          <w:numId w:val="33"/>
        </w:numPr>
        <w:tabs>
          <w:tab w:val="clear" w:pos="1980"/>
          <w:tab w:val="left" w:pos="1418"/>
          <w:tab w:val="num" w:pos="5747"/>
        </w:tabs>
        <w:ind w:left="0" w:firstLine="709"/>
        <w:rPr>
          <w:snapToGrid w:val="0"/>
          <w:kern w:val="22"/>
        </w:rPr>
      </w:pPr>
      <w:r w:rsidRPr="00F5491E">
        <w:rPr>
          <w:snapToGrid w:val="0"/>
          <w:kern w:val="22"/>
        </w:rPr>
        <w:t>C</w:t>
      </w:r>
      <w:r w:rsidR="00635AB3" w:rsidRPr="00F5491E">
        <w:rPr>
          <w:snapToGrid w:val="0"/>
          <w:kern w:val="22"/>
        </w:rPr>
        <w:t xml:space="preserve">ompile the findings and submit these for consideration by the Committee, at its eighteenth meeting; </w:t>
      </w:r>
    </w:p>
    <w:p w14:paraId="10418590" w14:textId="795E6F40" w:rsidR="00635AB3" w:rsidRPr="00F5491E" w:rsidRDefault="00635AB3" w:rsidP="00FF084B">
      <w:pPr>
        <w:pStyle w:val="Para1"/>
        <w:numPr>
          <w:ilvl w:val="0"/>
          <w:numId w:val="29"/>
        </w:numPr>
        <w:tabs>
          <w:tab w:val="clear" w:pos="360"/>
        </w:tabs>
        <w:ind w:firstLine="567"/>
        <w:rPr>
          <w:kern w:val="22"/>
        </w:rPr>
      </w:pPr>
      <w:r w:rsidRPr="00F5491E">
        <w:rPr>
          <w:kern w:val="22"/>
        </w:rPr>
        <w:t>Recognize that the post-2020 global biodiversity framework can contribute to the implementation of and compliance with the Cartagena Protocol on Biosafety and acknowledge the relevance of the Protocol and its post</w:t>
      </w:r>
      <w:r w:rsidR="002507D0" w:rsidRPr="00F5491E">
        <w:rPr>
          <w:kern w:val="22"/>
        </w:rPr>
        <w:t>-</w:t>
      </w:r>
      <w:r w:rsidRPr="00F5491E">
        <w:rPr>
          <w:kern w:val="22"/>
        </w:rPr>
        <w:t xml:space="preserve">2020 </w:t>
      </w:r>
      <w:r w:rsidR="002507D0" w:rsidRPr="00F5491E">
        <w:rPr>
          <w:kern w:val="22"/>
        </w:rPr>
        <w:t>i</w:t>
      </w:r>
      <w:r w:rsidRPr="00F5491E">
        <w:rPr>
          <w:kern w:val="22"/>
        </w:rPr>
        <w:t xml:space="preserve">mplementation </w:t>
      </w:r>
      <w:r w:rsidR="002507D0" w:rsidRPr="00F5491E">
        <w:rPr>
          <w:kern w:val="22"/>
        </w:rPr>
        <w:t>p</w:t>
      </w:r>
      <w:r w:rsidRPr="00F5491E">
        <w:rPr>
          <w:kern w:val="22"/>
        </w:rPr>
        <w:t xml:space="preserve">lan and </w:t>
      </w:r>
      <w:r w:rsidR="002507D0" w:rsidRPr="00F5491E">
        <w:rPr>
          <w:kern w:val="22"/>
        </w:rPr>
        <w:t>c</w:t>
      </w:r>
      <w:r w:rsidRPr="00F5491E">
        <w:rPr>
          <w:kern w:val="22"/>
        </w:rPr>
        <w:t>apacity</w:t>
      </w:r>
      <w:r w:rsidR="002507D0" w:rsidRPr="00F5491E">
        <w:rPr>
          <w:kern w:val="22"/>
        </w:rPr>
        <w:t>-b</w:t>
      </w:r>
      <w:r w:rsidRPr="00F5491E">
        <w:rPr>
          <w:kern w:val="22"/>
        </w:rPr>
        <w:t xml:space="preserve">uilding </w:t>
      </w:r>
      <w:r w:rsidR="002507D0" w:rsidRPr="00F5491E">
        <w:rPr>
          <w:kern w:val="22"/>
        </w:rPr>
        <w:t>a</w:t>
      </w:r>
      <w:r w:rsidRPr="00F5491E">
        <w:rPr>
          <w:kern w:val="22"/>
        </w:rPr>
        <w:t xml:space="preserve">ction </w:t>
      </w:r>
      <w:r w:rsidR="002507D0" w:rsidRPr="00F5491E">
        <w:rPr>
          <w:kern w:val="22"/>
        </w:rPr>
        <w:t>p</w:t>
      </w:r>
      <w:r w:rsidRPr="00F5491E">
        <w:rPr>
          <w:kern w:val="22"/>
        </w:rPr>
        <w:t>lan to the achievement of the three objective</w:t>
      </w:r>
      <w:r w:rsidR="004177E3" w:rsidRPr="00F5491E">
        <w:rPr>
          <w:kern w:val="22"/>
        </w:rPr>
        <w:t>s</w:t>
      </w:r>
      <w:r w:rsidRPr="00F5491E">
        <w:rPr>
          <w:kern w:val="22"/>
        </w:rPr>
        <w:t xml:space="preserve"> of the Convention on Biological Diversity;</w:t>
      </w:r>
    </w:p>
    <w:p w14:paraId="3CADA514" w14:textId="1178B528" w:rsidR="00635AB3" w:rsidRPr="00F5491E" w:rsidRDefault="00F920AC" w:rsidP="00F920AC">
      <w:pPr>
        <w:pStyle w:val="Para1"/>
        <w:numPr>
          <w:ilvl w:val="0"/>
          <w:numId w:val="29"/>
        </w:numPr>
        <w:tabs>
          <w:tab w:val="clear" w:pos="360"/>
        </w:tabs>
        <w:ind w:firstLine="567"/>
        <w:rPr>
          <w:kern w:val="22"/>
        </w:rPr>
      </w:pPr>
      <w:r w:rsidRPr="00F5491E">
        <w:rPr>
          <w:kern w:val="22"/>
        </w:rPr>
        <w:t>Welcome the Committee’s supportive role, carried out pursuant to decision BS-V/1, as a contribution to the progress reported towards achieving operational objective 3.1 on compliance;</w:t>
      </w:r>
    </w:p>
    <w:p w14:paraId="6CA2B9D8" w14:textId="77777777" w:rsidR="00635AB3" w:rsidRPr="00F5491E" w:rsidRDefault="00635AB3" w:rsidP="00FF084B">
      <w:pPr>
        <w:pStyle w:val="Para1"/>
        <w:numPr>
          <w:ilvl w:val="0"/>
          <w:numId w:val="29"/>
        </w:numPr>
        <w:tabs>
          <w:tab w:val="clear" w:pos="360"/>
        </w:tabs>
        <w:ind w:firstLine="567"/>
        <w:rPr>
          <w:kern w:val="22"/>
        </w:rPr>
      </w:pPr>
      <w:r w:rsidRPr="00F5491E">
        <w:rPr>
          <w:kern w:val="22"/>
        </w:rPr>
        <w:t>Request the Secretariat, as appropriate and following guidance provided by the Committee, to continue following up with Parties that have not yet fully complied with their obligations under the Protocol, and request Parties to collaborate fully in this regard;</w:t>
      </w:r>
    </w:p>
    <w:p w14:paraId="601C002F" w14:textId="6958ED68" w:rsidR="00635AB3" w:rsidRPr="00F5491E" w:rsidRDefault="00635AB3" w:rsidP="00C512F1">
      <w:pPr>
        <w:pStyle w:val="Para1"/>
        <w:numPr>
          <w:ilvl w:val="0"/>
          <w:numId w:val="29"/>
        </w:numPr>
        <w:tabs>
          <w:tab w:val="clear" w:pos="360"/>
        </w:tabs>
        <w:ind w:firstLine="567"/>
        <w:rPr>
          <w:kern w:val="22"/>
        </w:rPr>
      </w:pPr>
      <w:r w:rsidRPr="00F5491E">
        <w:rPr>
          <w:kern w:val="22"/>
        </w:rPr>
        <w:t>Welcome the Committee’s input to the fourth assessment and review of the Protocol and final evaluation of the Strategic Plan for the Cartagena Protocol, and request the Committee to continue providing input to the fifth assessment and review and evaluation process of the follow-up to the Strategic Plan for the Cartagena Protocol, as appropriate</w:t>
      </w:r>
      <w:r w:rsidR="00532EC0" w:rsidRPr="00F5491E">
        <w:rPr>
          <w:kern w:val="22"/>
        </w:rPr>
        <w:t>;</w:t>
      </w:r>
    </w:p>
    <w:p w14:paraId="7D43C404" w14:textId="36DEF4CB" w:rsidR="0006055A" w:rsidRPr="00C16AB3" w:rsidRDefault="00C512F1" w:rsidP="00F5491E">
      <w:pPr>
        <w:pStyle w:val="Para1"/>
        <w:numPr>
          <w:ilvl w:val="0"/>
          <w:numId w:val="0"/>
        </w:numPr>
        <w:jc w:val="center"/>
        <w:outlineLvl w:val="1"/>
        <w:rPr>
          <w:b/>
          <w:kern w:val="22"/>
          <w:szCs w:val="22"/>
        </w:rPr>
      </w:pPr>
      <w:r w:rsidRPr="005025F2">
        <w:rPr>
          <w:b/>
          <w:kern w:val="22"/>
          <w:szCs w:val="22"/>
        </w:rPr>
        <w:t>D</w:t>
      </w:r>
      <w:r w:rsidR="002766CD" w:rsidRPr="003443B2">
        <w:rPr>
          <w:b/>
          <w:kern w:val="22"/>
          <w:szCs w:val="22"/>
        </w:rPr>
        <w:t>.</w:t>
      </w:r>
      <w:r w:rsidR="00E57760" w:rsidRPr="00C16AB3">
        <w:rPr>
          <w:b/>
          <w:kern w:val="22"/>
          <w:szCs w:val="22"/>
        </w:rPr>
        <w:tab/>
      </w:r>
      <w:r w:rsidR="002766CD" w:rsidRPr="00C16AB3">
        <w:rPr>
          <w:b/>
          <w:kern w:val="22"/>
          <w:szCs w:val="22"/>
        </w:rPr>
        <w:t>Matters related to the financial mechanism and resources</w:t>
      </w:r>
    </w:p>
    <w:p w14:paraId="4D08C2AD" w14:textId="0B207870" w:rsidR="00222BB2" w:rsidRPr="00C16AB3" w:rsidRDefault="00222BB2" w:rsidP="00222BB2">
      <w:pPr>
        <w:pStyle w:val="Para1"/>
        <w:numPr>
          <w:ilvl w:val="0"/>
          <w:numId w:val="29"/>
        </w:numPr>
        <w:tabs>
          <w:tab w:val="clear" w:pos="360"/>
        </w:tabs>
        <w:ind w:firstLine="567"/>
        <w:rPr>
          <w:kern w:val="22"/>
          <w:szCs w:val="22"/>
        </w:rPr>
      </w:pPr>
      <w:bookmarkStart w:id="1" w:name="_Hlk34743170"/>
      <w:r w:rsidRPr="00C16AB3">
        <w:rPr>
          <w:kern w:val="22"/>
          <w:szCs w:val="22"/>
        </w:rPr>
        <w:t xml:space="preserve">Recommend that the Conference of the Parties, in adopting its guidance to the financial mechanism with respect to support for the implementation of the Protocol, invite the Global Environment </w:t>
      </w:r>
      <w:r w:rsidRPr="00C16AB3">
        <w:rPr>
          <w:kern w:val="22"/>
          <w:szCs w:val="22"/>
        </w:rPr>
        <w:lastRenderedPageBreak/>
        <w:t>Facility to make funds available in a timely manner to support eligible Parties in preparing and submitting their fifth national reports</w:t>
      </w:r>
      <w:r w:rsidR="001C3C07" w:rsidRPr="00C16AB3">
        <w:rPr>
          <w:kern w:val="22"/>
          <w:szCs w:val="22"/>
        </w:rPr>
        <w:t>;</w:t>
      </w:r>
      <w:bookmarkEnd w:id="1"/>
    </w:p>
    <w:p w14:paraId="020B2C58" w14:textId="7D10E6B1" w:rsidR="00FF084B" w:rsidRPr="00F5491E" w:rsidRDefault="00FF084B" w:rsidP="00FF084B">
      <w:pPr>
        <w:pStyle w:val="Para1"/>
        <w:numPr>
          <w:ilvl w:val="0"/>
          <w:numId w:val="29"/>
        </w:numPr>
        <w:tabs>
          <w:tab w:val="clear" w:pos="360"/>
        </w:tabs>
        <w:ind w:firstLine="567"/>
        <w:rPr>
          <w:kern w:val="22"/>
        </w:rPr>
      </w:pPr>
      <w:r w:rsidRPr="00F5491E">
        <w:rPr>
          <w:kern w:val="22"/>
        </w:rPr>
        <w:t>Recommend that the Conference of the Parties, in adopting its guidance to the financial mechanism with respect to support for the implementation of the Cartagena Protocol, invite the Global Environment Facility to make funding available to support Parties in implementing compliance action plans regarding the achievement of compliance with the Protocol</w:t>
      </w:r>
      <w:r w:rsidR="001C3C07" w:rsidRPr="00F5491E">
        <w:rPr>
          <w:kern w:val="22"/>
        </w:rPr>
        <w:t>;</w:t>
      </w:r>
      <w:r w:rsidRPr="00F5491E">
        <w:rPr>
          <w:kern w:val="22"/>
        </w:rPr>
        <w:t xml:space="preserve"> </w:t>
      </w:r>
    </w:p>
    <w:p w14:paraId="505FA071" w14:textId="365D714F" w:rsidR="002749E0" w:rsidRPr="00F5491E" w:rsidRDefault="002749E0" w:rsidP="002749E0">
      <w:pPr>
        <w:pStyle w:val="Para1"/>
        <w:numPr>
          <w:ilvl w:val="0"/>
          <w:numId w:val="29"/>
        </w:numPr>
        <w:tabs>
          <w:tab w:val="clear" w:pos="360"/>
        </w:tabs>
        <w:ind w:firstLine="567"/>
        <w:rPr>
          <w:kern w:val="22"/>
        </w:rPr>
      </w:pPr>
      <w:r w:rsidRPr="00F5491E">
        <w:rPr>
          <w:kern w:val="22"/>
        </w:rPr>
        <w:t>Recommend that the Conference of the Parties, in adopting its guidance to the financial mechanism, with respect to support for the implementation of the Cartagena Protocol on Biosafety, invite the Global Environment Facility to make specific funding available to eligible Parties to: (</w:t>
      </w:r>
      <w:proofErr w:type="spellStart"/>
      <w:r w:rsidRPr="00F5491E">
        <w:rPr>
          <w:kern w:val="22"/>
        </w:rPr>
        <w:t>i</w:t>
      </w:r>
      <w:proofErr w:type="spellEnd"/>
      <w:r w:rsidRPr="00F5491E">
        <w:rPr>
          <w:kern w:val="22"/>
        </w:rPr>
        <w:t>) put in place legal, administrative and other measures for the implementation of the Protocol; and (ii) support eligible Parties in implementing compliance action plans regarding the achievement of compliance with the Protocol</w:t>
      </w:r>
      <w:r w:rsidR="00B46773" w:rsidRPr="00F5491E">
        <w:rPr>
          <w:kern w:val="22"/>
        </w:rPr>
        <w:t>.</w:t>
      </w:r>
    </w:p>
    <w:p w14:paraId="00161E26" w14:textId="184C509F" w:rsidR="00B3369F" w:rsidRPr="003443B2" w:rsidRDefault="00C22A80" w:rsidP="00087D95">
      <w:pPr>
        <w:jc w:val="center"/>
        <w:rPr>
          <w:kern w:val="22"/>
        </w:rPr>
      </w:pPr>
      <w:r w:rsidRPr="005025F2">
        <w:rPr>
          <w:kern w:val="22"/>
        </w:rPr>
        <w:t>__________</w:t>
      </w:r>
    </w:p>
    <w:sectPr w:rsidR="00B3369F" w:rsidRPr="003443B2" w:rsidSect="00534681">
      <w:headerReference w:type="even" r:id="rId26"/>
      <w:headerReference w:type="default" r:id="rId2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EC48" w14:textId="77777777" w:rsidR="003047C7" w:rsidRDefault="003047C7" w:rsidP="00CF1848">
      <w:r>
        <w:separator/>
      </w:r>
    </w:p>
  </w:endnote>
  <w:endnote w:type="continuationSeparator" w:id="0">
    <w:p w14:paraId="4B36D6E4" w14:textId="77777777" w:rsidR="003047C7" w:rsidRDefault="003047C7" w:rsidP="00CF1848">
      <w:r>
        <w:continuationSeparator/>
      </w:r>
    </w:p>
  </w:endnote>
  <w:endnote w:type="continuationNotice" w:id="1">
    <w:p w14:paraId="2AF5BF40" w14:textId="77777777" w:rsidR="003047C7" w:rsidRDefault="0030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7880" w14:textId="77777777" w:rsidR="00391A45" w:rsidRPr="00693712" w:rsidRDefault="00391A45" w:rsidP="00D7122E">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8235" w14:textId="77777777" w:rsidR="00391A45" w:rsidRDefault="00391A45" w:rsidP="00D7122E">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40C5" w14:textId="77777777" w:rsidR="00391A45" w:rsidRDefault="00391A45" w:rsidP="00D7122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5449" w14:textId="77777777" w:rsidR="003047C7" w:rsidRDefault="003047C7" w:rsidP="00CF1848">
      <w:r>
        <w:separator/>
      </w:r>
    </w:p>
  </w:footnote>
  <w:footnote w:type="continuationSeparator" w:id="0">
    <w:p w14:paraId="6226A89D" w14:textId="77777777" w:rsidR="003047C7" w:rsidRDefault="003047C7" w:rsidP="00CF1848">
      <w:r>
        <w:continuationSeparator/>
      </w:r>
    </w:p>
  </w:footnote>
  <w:footnote w:type="continuationNotice" w:id="1">
    <w:p w14:paraId="5220B2DD" w14:textId="77777777" w:rsidR="003047C7" w:rsidRDefault="003047C7"/>
  </w:footnote>
  <w:footnote w:id="2">
    <w:p w14:paraId="581E0A50" w14:textId="685232A3" w:rsidR="00772D25" w:rsidRPr="00F5491E" w:rsidRDefault="00772D25" w:rsidP="00F5491E">
      <w:pPr>
        <w:pStyle w:val="FootnoteText"/>
        <w:suppressLineNumbers/>
        <w:suppressAutoHyphens/>
        <w:ind w:firstLine="0"/>
        <w:jc w:val="left"/>
        <w:rPr>
          <w:szCs w:val="18"/>
        </w:rPr>
      </w:pPr>
      <w:r w:rsidRPr="00F5491E">
        <w:rPr>
          <w:rStyle w:val="FootnoteReference"/>
          <w:sz w:val="18"/>
          <w:szCs w:val="18"/>
        </w:rPr>
        <w:t>*</w:t>
      </w:r>
      <w:r w:rsidRPr="00F5491E">
        <w:rPr>
          <w:szCs w:val="18"/>
        </w:rPr>
        <w:t xml:space="preserve"> CBD/CP/MOP/10/1/Rev.1.</w:t>
      </w:r>
    </w:p>
  </w:footnote>
  <w:footnote w:id="3">
    <w:p w14:paraId="76C8677A" w14:textId="64354753" w:rsidR="00391A45" w:rsidRPr="00E866D0" w:rsidRDefault="00391A45" w:rsidP="00F5491E">
      <w:pPr>
        <w:pStyle w:val="FootnoteText"/>
        <w:suppressLineNumbers/>
        <w:suppressAutoHyphens/>
        <w:ind w:firstLine="0"/>
        <w:jc w:val="left"/>
        <w:rPr>
          <w:kern w:val="18"/>
          <w:szCs w:val="18"/>
        </w:rPr>
      </w:pPr>
      <w:r w:rsidRPr="00E543B7">
        <w:rPr>
          <w:rStyle w:val="FootnoteReference"/>
          <w:kern w:val="18"/>
          <w:sz w:val="18"/>
          <w:szCs w:val="18"/>
        </w:rPr>
        <w:footnoteRef/>
      </w:r>
      <w:r w:rsidRPr="00E543B7">
        <w:rPr>
          <w:kern w:val="18"/>
          <w:szCs w:val="18"/>
        </w:rPr>
        <w:t xml:space="preserve"> Following the practice adopted at the earlier meetings of the Conference of the Parties serving as the meeting of the Parties to the Protocol, recommendations may be </w:t>
      </w:r>
      <w:r w:rsidR="00DB5EC1" w:rsidRPr="00E543B7">
        <w:rPr>
          <w:kern w:val="18"/>
          <w:szCs w:val="18"/>
        </w:rPr>
        <w:t xml:space="preserve">allocated </w:t>
      </w:r>
      <w:r w:rsidRPr="001F254D">
        <w:rPr>
          <w:kern w:val="18"/>
          <w:szCs w:val="18"/>
        </w:rPr>
        <w:t>to the relevant agenda items where their consideration might be more appropriate.</w:t>
      </w:r>
    </w:p>
  </w:footnote>
  <w:footnote w:id="4">
    <w:p w14:paraId="07C48256" w14:textId="7D0937AF" w:rsidR="00FF084B" w:rsidRPr="00F5491E" w:rsidRDefault="00FF084B" w:rsidP="00F5491E">
      <w:pPr>
        <w:pStyle w:val="FootnoteText"/>
        <w:suppressLineNumbers/>
        <w:suppressAutoHyphens/>
        <w:ind w:firstLine="0"/>
        <w:jc w:val="left"/>
        <w:rPr>
          <w:kern w:val="18"/>
        </w:rPr>
      </w:pPr>
      <w:r w:rsidRPr="00F5491E">
        <w:rPr>
          <w:rStyle w:val="FootnoteReference"/>
          <w:rFonts w:eastAsiaTheme="majorEastAsia"/>
          <w:kern w:val="18"/>
          <w:sz w:val="18"/>
          <w:szCs w:val="18"/>
        </w:rPr>
        <w:footnoteRef/>
      </w:r>
      <w:r w:rsidRPr="00F5491E">
        <w:rPr>
          <w:kern w:val="18"/>
        </w:rPr>
        <w:t xml:space="preserve"> Barbados, Kyrgyzstan, Morocco and Oman</w:t>
      </w:r>
      <w:r w:rsidR="00A52F80" w:rsidRPr="00F5491E">
        <w:rPr>
          <w:kern w:val="18"/>
        </w:rPr>
        <w:t>.</w:t>
      </w:r>
    </w:p>
  </w:footnote>
  <w:footnote w:id="5">
    <w:p w14:paraId="50861DF5" w14:textId="05526D53" w:rsidR="00850A2A" w:rsidRPr="00414B98" w:rsidRDefault="00850A2A" w:rsidP="00F5491E">
      <w:pPr>
        <w:pStyle w:val="FootnoteText"/>
        <w:suppressLineNumbers/>
        <w:suppressAutoHyphens/>
        <w:ind w:firstLine="0"/>
        <w:jc w:val="left"/>
        <w:rPr>
          <w:kern w:val="18"/>
          <w:szCs w:val="18"/>
        </w:rPr>
      </w:pPr>
      <w:r w:rsidRPr="00F5491E">
        <w:rPr>
          <w:rStyle w:val="FootnoteReference"/>
          <w:rFonts w:eastAsiaTheme="majorEastAsia"/>
          <w:snapToGrid w:val="0"/>
          <w:kern w:val="18"/>
          <w:sz w:val="18"/>
          <w:szCs w:val="18"/>
        </w:rPr>
        <w:footnoteRef/>
      </w:r>
      <w:r w:rsidRPr="00E543B7">
        <w:rPr>
          <w:kern w:val="18"/>
          <w:szCs w:val="18"/>
        </w:rPr>
        <w:t xml:space="preserve"> </w:t>
      </w:r>
      <w:r w:rsidR="008C56AE" w:rsidRPr="00E543B7">
        <w:rPr>
          <w:kern w:val="18"/>
          <w:szCs w:val="18"/>
        </w:rPr>
        <w:t xml:space="preserve">Number to be updated to reflect number of reports received by the time of </w:t>
      </w:r>
      <w:r w:rsidR="00513BFF" w:rsidRPr="001F254D">
        <w:rPr>
          <w:kern w:val="18"/>
          <w:szCs w:val="18"/>
        </w:rPr>
        <w:t xml:space="preserve">part </w:t>
      </w:r>
      <w:r w:rsidR="004E47DF" w:rsidRPr="001F254D">
        <w:rPr>
          <w:kern w:val="18"/>
          <w:szCs w:val="18"/>
        </w:rPr>
        <w:t xml:space="preserve">II of </w:t>
      </w:r>
      <w:r w:rsidR="008C56AE" w:rsidRPr="00E866D0">
        <w:rPr>
          <w:kern w:val="18"/>
          <w:szCs w:val="18"/>
        </w:rPr>
        <w:t>the tenth meeting of the Conference of the Parties serving as the meeting of the Parties to the C</w:t>
      </w:r>
      <w:r w:rsidR="008C56AE" w:rsidRPr="00414B98">
        <w:rPr>
          <w:kern w:val="18"/>
          <w:szCs w:val="18"/>
        </w:rPr>
        <w:t>artagena Protocol.</w:t>
      </w:r>
    </w:p>
  </w:footnote>
  <w:footnote w:id="6">
    <w:p w14:paraId="44381ABE" w14:textId="7DAC4E45" w:rsidR="00850A2A" w:rsidRPr="00DA125C" w:rsidRDefault="00850A2A" w:rsidP="00F5491E">
      <w:pPr>
        <w:pStyle w:val="FootnoteText"/>
        <w:suppressLineNumbers/>
        <w:suppressAutoHyphens/>
        <w:ind w:firstLine="0"/>
        <w:jc w:val="left"/>
        <w:rPr>
          <w:kern w:val="18"/>
          <w:szCs w:val="18"/>
        </w:rPr>
      </w:pPr>
      <w:r w:rsidRPr="00F5491E">
        <w:rPr>
          <w:rStyle w:val="FootnoteReference"/>
          <w:rFonts w:eastAsiaTheme="majorEastAsia"/>
          <w:snapToGrid w:val="0"/>
          <w:kern w:val="18"/>
          <w:sz w:val="18"/>
          <w:szCs w:val="18"/>
        </w:rPr>
        <w:footnoteRef/>
      </w:r>
      <w:r w:rsidRPr="00E543B7">
        <w:rPr>
          <w:kern w:val="18"/>
          <w:szCs w:val="18"/>
        </w:rPr>
        <w:t xml:space="preserve"> Afghanistan, Albania, </w:t>
      </w:r>
      <w:r w:rsidRPr="001F254D">
        <w:rPr>
          <w:kern w:val="18"/>
          <w:szCs w:val="18"/>
        </w:rPr>
        <w:t xml:space="preserve">Angola, </w:t>
      </w:r>
      <w:r w:rsidRPr="00E866D0">
        <w:rPr>
          <w:kern w:val="18"/>
          <w:szCs w:val="18"/>
        </w:rPr>
        <w:t xml:space="preserve">Azerbaijan, </w:t>
      </w:r>
      <w:r w:rsidRPr="00414B98">
        <w:rPr>
          <w:kern w:val="18"/>
          <w:szCs w:val="18"/>
        </w:rPr>
        <w:t xml:space="preserve">Bahrain, Belize, Bolivia, Cabo Verde, </w:t>
      </w:r>
      <w:r w:rsidRPr="00DA125C">
        <w:rPr>
          <w:kern w:val="18"/>
          <w:szCs w:val="18"/>
        </w:rPr>
        <w:t xml:space="preserve">Comoros, Democratic People's Republic of Korea, Djibouti, Dominica, Fiji, Gambia, Guinea, Honduras, Jordan, Kiribati, Kyrgyzstan, Lebanon, Libya, Maldives, Marshall Islands, Mauritania, Mauritius, Mongolia, Nauru, Niue, Palau, Papua New Guinea, Qatar, Saint Vincent and the Grenadines, Samoa, Saudi Arabia, Serbia, Seychelles, Somalia, Sri Lanka, Syrian Arab Republic, Tajikistan, Togo, Trinidad and Tobago, Tunisia, Yemen and Zimbabwe. </w:t>
      </w:r>
      <w:r w:rsidR="001E76C7" w:rsidRPr="00DA125C">
        <w:rPr>
          <w:kern w:val="18"/>
          <w:szCs w:val="18"/>
        </w:rPr>
        <w:t>[List to be updated at part II of the tenth meeting</w:t>
      </w:r>
      <w:r w:rsidR="001E76C7" w:rsidRPr="006D291D">
        <w:rPr>
          <w:kern w:val="18"/>
          <w:szCs w:val="18"/>
        </w:rPr>
        <w:t xml:space="preserve"> of the </w:t>
      </w:r>
      <w:r w:rsidR="00415BD8" w:rsidRPr="00E866D0">
        <w:rPr>
          <w:kern w:val="18"/>
          <w:szCs w:val="18"/>
        </w:rPr>
        <w:t xml:space="preserve">Conference of the </w:t>
      </w:r>
      <w:r w:rsidR="001E76C7" w:rsidRPr="00414B98">
        <w:rPr>
          <w:kern w:val="18"/>
          <w:szCs w:val="18"/>
        </w:rPr>
        <w:t xml:space="preserve">Parties </w:t>
      </w:r>
      <w:r w:rsidR="001F2A12" w:rsidRPr="00414B98">
        <w:rPr>
          <w:kern w:val="18"/>
          <w:szCs w:val="18"/>
        </w:rPr>
        <w:t xml:space="preserve">serving as the meeting of the Parties </w:t>
      </w:r>
      <w:r w:rsidR="001E76C7" w:rsidRPr="00DA125C">
        <w:rPr>
          <w:kern w:val="18"/>
          <w:szCs w:val="18"/>
        </w:rPr>
        <w:t xml:space="preserve">to </w:t>
      </w:r>
      <w:r w:rsidR="001F2A12" w:rsidRPr="00DA125C">
        <w:rPr>
          <w:kern w:val="18"/>
          <w:szCs w:val="18"/>
        </w:rPr>
        <w:t>the Cartagena Protocol</w:t>
      </w:r>
      <w:r w:rsidR="001E76C7" w:rsidRPr="00DA125C">
        <w:rPr>
          <w:kern w:val="18"/>
          <w:szCs w:val="18"/>
        </w:rPr>
        <w:t>]</w:t>
      </w:r>
    </w:p>
  </w:footnote>
  <w:footnote w:id="7">
    <w:p w14:paraId="3766C397" w14:textId="1C1A0D84" w:rsidR="00850A2A" w:rsidRPr="001F254D" w:rsidRDefault="00850A2A" w:rsidP="00F5491E">
      <w:pPr>
        <w:pStyle w:val="FootnoteText"/>
        <w:suppressLineNumbers/>
        <w:suppressAutoHyphens/>
        <w:ind w:firstLine="0"/>
        <w:jc w:val="left"/>
        <w:rPr>
          <w:kern w:val="18"/>
          <w:szCs w:val="18"/>
        </w:rPr>
      </w:pPr>
      <w:r w:rsidRPr="00F5491E">
        <w:rPr>
          <w:rStyle w:val="FootnoteReference"/>
          <w:rFonts w:eastAsiaTheme="majorEastAsia"/>
          <w:snapToGrid w:val="0"/>
          <w:kern w:val="18"/>
          <w:sz w:val="18"/>
          <w:szCs w:val="18"/>
        </w:rPr>
        <w:footnoteRef/>
      </w:r>
      <w:r w:rsidRPr="00E543B7">
        <w:rPr>
          <w:kern w:val="18"/>
          <w:szCs w:val="18"/>
        </w:rPr>
        <w:t xml:space="preserve"> Azerbaijan, Belize, Libya, Nauru, Papua New Guinea, Qatar, Saudi Arabia, Seychelles and Syrian Arab Republic.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118681069"/>
      <w:placeholder>
        <w:docPart w:val="4D7D1B30FC3C4D85AC821BD4587F0C5B"/>
      </w:placeholder>
      <w:dataBinding w:prefixMappings="xmlns:ns0='http://purl.org/dc/elements/1.1/' xmlns:ns1='http://schemas.openxmlformats.org/package/2006/metadata/core-properties' " w:xpath="/ns1:coreProperties[1]/ns0:subject[1]" w:storeItemID="{6C3C8BC8-F283-45AE-878A-BAB7291924A1}"/>
      <w:text/>
    </w:sdtPr>
    <w:sdtEndPr/>
    <w:sdtContent>
      <w:p w14:paraId="23CF2CEA" w14:textId="56EB8BFA" w:rsidR="00391A45" w:rsidRPr="00A45F85" w:rsidRDefault="00A45F85" w:rsidP="00D7122E">
        <w:pPr>
          <w:jc w:val="left"/>
          <w:rPr>
            <w:noProof/>
            <w:kern w:val="22"/>
            <w:lang w:val="fr-FR"/>
          </w:rPr>
        </w:pPr>
        <w:r>
          <w:rPr>
            <w:noProof/>
            <w:kern w:val="22"/>
            <w:lang w:val="fr-FR"/>
          </w:rPr>
          <w:t>CBD/CP/MOP/10/2</w:t>
        </w:r>
      </w:p>
    </w:sdtContent>
  </w:sdt>
  <w:p w14:paraId="7804C339" w14:textId="091C63BB" w:rsidR="00391A45" w:rsidRPr="00A45F85" w:rsidRDefault="00391A45" w:rsidP="00F5491E">
    <w:pPr>
      <w:pStyle w:val="Header"/>
      <w:tabs>
        <w:tab w:val="clear" w:pos="4320"/>
        <w:tab w:val="clear" w:pos="8640"/>
      </w:tabs>
      <w:spacing w:after="240"/>
      <w:jc w:val="left"/>
      <w:rPr>
        <w:noProof/>
        <w:kern w:val="22"/>
        <w:lang w:val="fr-FR"/>
      </w:rPr>
    </w:pPr>
    <w:r w:rsidRPr="00A45F85">
      <w:rPr>
        <w:noProof/>
        <w:kern w:val="22"/>
        <w:lang w:val="fr-FR"/>
      </w:rPr>
      <w:t xml:space="preserve">Page </w:t>
    </w:r>
    <w:r w:rsidRPr="00745642">
      <w:rPr>
        <w:noProof/>
        <w:kern w:val="22"/>
      </w:rPr>
      <w:fldChar w:fldCharType="begin"/>
    </w:r>
    <w:r w:rsidRPr="00A45F85">
      <w:rPr>
        <w:noProof/>
        <w:kern w:val="22"/>
        <w:lang w:val="fr-FR"/>
      </w:rPr>
      <w:instrText xml:space="preserve"> PAGE   \* MERGEFORMAT </w:instrText>
    </w:r>
    <w:r w:rsidRPr="00745642">
      <w:rPr>
        <w:noProof/>
        <w:kern w:val="22"/>
      </w:rPr>
      <w:fldChar w:fldCharType="separate"/>
    </w:r>
    <w:r w:rsidR="00D85053" w:rsidRPr="00A45F85">
      <w:rPr>
        <w:noProof/>
        <w:kern w:val="22"/>
        <w:lang w:val="fr-FR"/>
      </w:rPr>
      <w:t>2</w:t>
    </w:r>
    <w:r w:rsidRPr="00745642">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2138364639"/>
      <w:placeholder>
        <w:docPart w:val="5B638A896FDE44C182E6F4C321F292E9"/>
      </w:placeholder>
      <w:dataBinding w:prefixMappings="xmlns:ns0='http://purl.org/dc/elements/1.1/' xmlns:ns1='http://schemas.openxmlformats.org/package/2006/metadata/core-properties' " w:xpath="/ns1:coreProperties[1]/ns0:subject[1]" w:storeItemID="{6C3C8BC8-F283-45AE-878A-BAB7291924A1}"/>
      <w:text/>
    </w:sdtPr>
    <w:sdtEndPr/>
    <w:sdtContent>
      <w:p w14:paraId="61B4537F" w14:textId="5237A5E3" w:rsidR="00391A45" w:rsidRPr="00A45F85" w:rsidRDefault="00A45F85" w:rsidP="00D7122E">
        <w:pPr>
          <w:jc w:val="right"/>
          <w:rPr>
            <w:noProof/>
            <w:kern w:val="22"/>
            <w:lang w:val="fr-FR"/>
          </w:rPr>
        </w:pPr>
        <w:r>
          <w:rPr>
            <w:noProof/>
            <w:kern w:val="22"/>
            <w:lang w:val="fr-FR"/>
          </w:rPr>
          <w:t>CBD/CP/MOP/10/2</w:t>
        </w:r>
      </w:p>
    </w:sdtContent>
  </w:sdt>
  <w:p w14:paraId="76EC4646" w14:textId="5C112190" w:rsidR="00391A45" w:rsidRPr="00A45F85" w:rsidRDefault="00391A45" w:rsidP="00F5491E">
    <w:pPr>
      <w:pStyle w:val="Header"/>
      <w:tabs>
        <w:tab w:val="clear" w:pos="4320"/>
        <w:tab w:val="clear" w:pos="8640"/>
      </w:tabs>
      <w:spacing w:after="240"/>
      <w:jc w:val="right"/>
      <w:rPr>
        <w:noProof/>
        <w:kern w:val="22"/>
        <w:lang w:val="fr-FR"/>
      </w:rPr>
    </w:pPr>
    <w:r w:rsidRPr="00A45F85">
      <w:rPr>
        <w:noProof/>
        <w:kern w:val="22"/>
        <w:lang w:val="fr-FR"/>
      </w:rPr>
      <w:t xml:space="preserve">Page </w:t>
    </w:r>
    <w:r w:rsidRPr="00745642">
      <w:rPr>
        <w:noProof/>
        <w:kern w:val="22"/>
      </w:rPr>
      <w:fldChar w:fldCharType="begin"/>
    </w:r>
    <w:r w:rsidRPr="00A45F85">
      <w:rPr>
        <w:noProof/>
        <w:kern w:val="22"/>
        <w:lang w:val="fr-FR"/>
      </w:rPr>
      <w:instrText xml:space="preserve"> PAGE   \* MERGEFORMAT </w:instrText>
    </w:r>
    <w:r w:rsidRPr="00745642">
      <w:rPr>
        <w:noProof/>
        <w:kern w:val="22"/>
      </w:rPr>
      <w:fldChar w:fldCharType="separate"/>
    </w:r>
    <w:r w:rsidR="00D85053" w:rsidRPr="00A45F85">
      <w:rPr>
        <w:noProof/>
        <w:kern w:val="22"/>
        <w:lang w:val="fr-FR"/>
      </w:rPr>
      <w:t>3</w:t>
    </w:r>
    <w:r w:rsidRPr="00745642">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67EA2C5" w14:textId="2F5AE093" w:rsidR="00534681" w:rsidRPr="00A45F85" w:rsidRDefault="00A45F85" w:rsidP="00087D95">
        <w:pPr>
          <w:pStyle w:val="Header"/>
          <w:tabs>
            <w:tab w:val="clear" w:pos="4320"/>
            <w:tab w:val="clear" w:pos="8640"/>
          </w:tabs>
          <w:jc w:val="left"/>
          <w:rPr>
            <w:noProof/>
            <w:lang w:val="fr-FR"/>
          </w:rPr>
        </w:pPr>
        <w:r>
          <w:rPr>
            <w:noProof/>
            <w:lang w:val="fr-FR"/>
          </w:rPr>
          <w:t>CBD/CP/MOP/10/2</w:t>
        </w:r>
      </w:p>
    </w:sdtContent>
  </w:sdt>
  <w:p w14:paraId="670CCEB0" w14:textId="64EE42EF" w:rsidR="00534681" w:rsidRPr="00A45F85" w:rsidRDefault="00534681" w:rsidP="00F5491E">
    <w:pPr>
      <w:pStyle w:val="Header"/>
      <w:tabs>
        <w:tab w:val="clear" w:pos="4320"/>
        <w:tab w:val="clear" w:pos="8640"/>
      </w:tabs>
      <w:spacing w:after="240"/>
      <w:jc w:val="left"/>
      <w:rPr>
        <w:noProof/>
        <w:lang w:val="fr-FR"/>
      </w:rPr>
    </w:pPr>
    <w:r w:rsidRPr="00A45F85">
      <w:rPr>
        <w:noProof/>
        <w:lang w:val="fr-FR"/>
      </w:rPr>
      <w:t xml:space="preserve">Page </w:t>
    </w:r>
    <w:r>
      <w:rPr>
        <w:noProof/>
      </w:rPr>
      <w:fldChar w:fldCharType="begin"/>
    </w:r>
    <w:r w:rsidRPr="00A45F85">
      <w:rPr>
        <w:noProof/>
        <w:lang w:val="fr-FR"/>
      </w:rPr>
      <w:instrText xml:space="preserve"> PAGE   \* MERGEFORMAT </w:instrText>
    </w:r>
    <w:r>
      <w:rPr>
        <w:noProof/>
      </w:rPr>
      <w:fldChar w:fldCharType="separate"/>
    </w:r>
    <w:r w:rsidR="00D85053" w:rsidRPr="00A45F85">
      <w:rPr>
        <w:noProof/>
        <w:lang w:val="fr-FR"/>
      </w:rPr>
      <w:t>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ACA6E0A" w14:textId="09F8B82A" w:rsidR="009505C9" w:rsidRPr="00A45F85" w:rsidRDefault="00A45F85" w:rsidP="00087D95">
        <w:pPr>
          <w:pStyle w:val="Header"/>
          <w:tabs>
            <w:tab w:val="clear" w:pos="4320"/>
            <w:tab w:val="clear" w:pos="8640"/>
          </w:tabs>
          <w:jc w:val="right"/>
          <w:rPr>
            <w:noProof/>
            <w:lang w:val="fr-FR"/>
          </w:rPr>
        </w:pPr>
        <w:r>
          <w:rPr>
            <w:noProof/>
            <w:lang w:val="fr-FR"/>
          </w:rPr>
          <w:t>CBD/CP/MOP/10/2</w:t>
        </w:r>
      </w:p>
    </w:sdtContent>
  </w:sdt>
  <w:p w14:paraId="22EC65A7" w14:textId="77777777" w:rsidR="009505C9" w:rsidRPr="00A45F85" w:rsidRDefault="009505C9" w:rsidP="00087D95">
    <w:pPr>
      <w:pStyle w:val="Header"/>
      <w:tabs>
        <w:tab w:val="clear" w:pos="4320"/>
        <w:tab w:val="clear" w:pos="8640"/>
      </w:tabs>
      <w:jc w:val="right"/>
      <w:rPr>
        <w:noProof/>
        <w:lang w:val="fr-FR"/>
      </w:rPr>
    </w:pPr>
    <w:r w:rsidRPr="00A45F85">
      <w:rPr>
        <w:noProof/>
        <w:lang w:val="fr-FR"/>
      </w:rPr>
      <w:t xml:space="preserve">Page </w:t>
    </w:r>
    <w:r>
      <w:rPr>
        <w:noProof/>
      </w:rPr>
      <w:fldChar w:fldCharType="begin"/>
    </w:r>
    <w:r w:rsidRPr="00A45F85">
      <w:rPr>
        <w:noProof/>
        <w:lang w:val="fr-FR"/>
      </w:rPr>
      <w:instrText xml:space="preserve"> PAGE   \* MERGEFORMAT </w:instrText>
    </w:r>
    <w:r>
      <w:rPr>
        <w:noProof/>
      </w:rPr>
      <w:fldChar w:fldCharType="separate"/>
    </w:r>
    <w:r w:rsidR="00D85053" w:rsidRPr="00A45F85">
      <w:rPr>
        <w:noProof/>
        <w:lang w:val="fr-FR"/>
      </w:rPr>
      <w:t>3</w:t>
    </w:r>
    <w:r>
      <w:rPr>
        <w:noProof/>
      </w:rPr>
      <w:fldChar w:fldCharType="end"/>
    </w:r>
  </w:p>
  <w:p w14:paraId="62048059" w14:textId="77777777" w:rsidR="009505C9" w:rsidRPr="00A45F85" w:rsidRDefault="009505C9" w:rsidP="00087D95">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4C"/>
    <w:multiLevelType w:val="hybridMultilevel"/>
    <w:tmpl w:val="89DE8B26"/>
    <w:lvl w:ilvl="0" w:tplc="F89AE9DE">
      <w:start w:val="1"/>
      <w:numFmt w:val="lowerLetter"/>
      <w:lvlText w:val="(%1)"/>
      <w:lvlJc w:val="left"/>
      <w:pPr>
        <w:ind w:left="2347" w:hanging="360"/>
      </w:pPr>
      <w:rPr>
        <w:rFonts w:hint="default"/>
        <w:b w:val="0"/>
        <w:i w:val="0"/>
      </w:rPr>
    </w:lvl>
    <w:lvl w:ilvl="1" w:tplc="10090019">
      <w:start w:val="1"/>
      <w:numFmt w:val="lowerLetter"/>
      <w:lvlText w:val="%2."/>
      <w:lvlJc w:val="left"/>
      <w:pPr>
        <w:ind w:left="3067" w:hanging="360"/>
      </w:pPr>
    </w:lvl>
    <w:lvl w:ilvl="2" w:tplc="1009001B" w:tentative="1">
      <w:start w:val="1"/>
      <w:numFmt w:val="lowerRoman"/>
      <w:lvlText w:val="%3."/>
      <w:lvlJc w:val="right"/>
      <w:pPr>
        <w:ind w:left="3787" w:hanging="180"/>
      </w:pPr>
    </w:lvl>
    <w:lvl w:ilvl="3" w:tplc="1009000F" w:tentative="1">
      <w:start w:val="1"/>
      <w:numFmt w:val="decimal"/>
      <w:lvlText w:val="%4."/>
      <w:lvlJc w:val="left"/>
      <w:pPr>
        <w:ind w:left="4507" w:hanging="360"/>
      </w:pPr>
    </w:lvl>
    <w:lvl w:ilvl="4" w:tplc="10090019" w:tentative="1">
      <w:start w:val="1"/>
      <w:numFmt w:val="lowerLetter"/>
      <w:lvlText w:val="%5."/>
      <w:lvlJc w:val="left"/>
      <w:pPr>
        <w:ind w:left="5227" w:hanging="360"/>
      </w:pPr>
    </w:lvl>
    <w:lvl w:ilvl="5" w:tplc="1009001B" w:tentative="1">
      <w:start w:val="1"/>
      <w:numFmt w:val="lowerRoman"/>
      <w:lvlText w:val="%6."/>
      <w:lvlJc w:val="right"/>
      <w:pPr>
        <w:ind w:left="5947" w:hanging="180"/>
      </w:pPr>
    </w:lvl>
    <w:lvl w:ilvl="6" w:tplc="1009000F" w:tentative="1">
      <w:start w:val="1"/>
      <w:numFmt w:val="decimal"/>
      <w:lvlText w:val="%7."/>
      <w:lvlJc w:val="left"/>
      <w:pPr>
        <w:ind w:left="6667" w:hanging="360"/>
      </w:pPr>
    </w:lvl>
    <w:lvl w:ilvl="7" w:tplc="10090019" w:tentative="1">
      <w:start w:val="1"/>
      <w:numFmt w:val="lowerLetter"/>
      <w:lvlText w:val="%8."/>
      <w:lvlJc w:val="left"/>
      <w:pPr>
        <w:ind w:left="7387" w:hanging="360"/>
      </w:pPr>
    </w:lvl>
    <w:lvl w:ilvl="8" w:tplc="1009001B" w:tentative="1">
      <w:start w:val="1"/>
      <w:numFmt w:val="lowerRoman"/>
      <w:lvlText w:val="%9."/>
      <w:lvlJc w:val="right"/>
      <w:pPr>
        <w:ind w:left="8107" w:hanging="180"/>
      </w:pPr>
    </w:lvl>
  </w:abstractNum>
  <w:abstractNum w:abstractNumId="1" w15:restartNumberingAfterBreak="0">
    <w:nsid w:val="045E356B"/>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7DAB"/>
    <w:multiLevelType w:val="hybridMultilevel"/>
    <w:tmpl w:val="430A5A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6E1EEBE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F2122"/>
    <w:multiLevelType w:val="hybridMultilevel"/>
    <w:tmpl w:val="8C46C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5D1CF2"/>
    <w:multiLevelType w:val="hybridMultilevel"/>
    <w:tmpl w:val="558EA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9"/>
  </w:num>
  <w:num w:numId="5">
    <w:abstractNumId w:val="8"/>
  </w:num>
  <w:num w:numId="6">
    <w:abstractNumId w:val="2"/>
  </w:num>
  <w:num w:numId="7">
    <w:abstractNumId w:val="5"/>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16"/>
  </w:num>
  <w:num w:numId="20">
    <w:abstractNumId w:val="9"/>
  </w:num>
  <w:num w:numId="21">
    <w:abstractNumId w:val="10"/>
  </w:num>
  <w:num w:numId="22">
    <w:abstractNumId w:val="8"/>
  </w:num>
  <w:num w:numId="23">
    <w:abstractNumId w:val="1"/>
  </w:num>
  <w:num w:numId="24">
    <w:abstractNumId w:val="8"/>
  </w:num>
  <w:num w:numId="25">
    <w:abstractNumId w:val="17"/>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0"/>
  </w:num>
  <w:num w:numId="34">
    <w:abstractNumId w:val="8"/>
  </w:num>
  <w:num w:numId="35">
    <w:abstractNumId w:val="9"/>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9"/>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B58"/>
    <w:rsid w:val="000069C6"/>
    <w:rsid w:val="000079C0"/>
    <w:rsid w:val="00011218"/>
    <w:rsid w:val="00015ED7"/>
    <w:rsid w:val="000171CA"/>
    <w:rsid w:val="0002173C"/>
    <w:rsid w:val="00031C69"/>
    <w:rsid w:val="00031D3E"/>
    <w:rsid w:val="00035BA6"/>
    <w:rsid w:val="0003705B"/>
    <w:rsid w:val="00037B5E"/>
    <w:rsid w:val="000525A2"/>
    <w:rsid w:val="00053DF6"/>
    <w:rsid w:val="0006055A"/>
    <w:rsid w:val="0006577C"/>
    <w:rsid w:val="000661B4"/>
    <w:rsid w:val="000669BB"/>
    <w:rsid w:val="0007014D"/>
    <w:rsid w:val="000716A5"/>
    <w:rsid w:val="000717C4"/>
    <w:rsid w:val="00087D95"/>
    <w:rsid w:val="000906E6"/>
    <w:rsid w:val="000A1CC8"/>
    <w:rsid w:val="000A24FB"/>
    <w:rsid w:val="000A52EE"/>
    <w:rsid w:val="000A5A6F"/>
    <w:rsid w:val="000A5D79"/>
    <w:rsid w:val="000B3E16"/>
    <w:rsid w:val="000B501F"/>
    <w:rsid w:val="000B5C43"/>
    <w:rsid w:val="000C3326"/>
    <w:rsid w:val="000D05CC"/>
    <w:rsid w:val="000D0FE4"/>
    <w:rsid w:val="000D100E"/>
    <w:rsid w:val="000D16E9"/>
    <w:rsid w:val="000D5D8D"/>
    <w:rsid w:val="000E0539"/>
    <w:rsid w:val="000E673A"/>
    <w:rsid w:val="000F0868"/>
    <w:rsid w:val="000F0A7F"/>
    <w:rsid w:val="000F539C"/>
    <w:rsid w:val="000F74F5"/>
    <w:rsid w:val="00105372"/>
    <w:rsid w:val="0010553B"/>
    <w:rsid w:val="0011328C"/>
    <w:rsid w:val="00120E96"/>
    <w:rsid w:val="00131E7A"/>
    <w:rsid w:val="00141515"/>
    <w:rsid w:val="001443F4"/>
    <w:rsid w:val="00146FC0"/>
    <w:rsid w:val="0016778C"/>
    <w:rsid w:val="00171BB1"/>
    <w:rsid w:val="00171E20"/>
    <w:rsid w:val="00172AF6"/>
    <w:rsid w:val="0017359B"/>
    <w:rsid w:val="00176CEE"/>
    <w:rsid w:val="00181B29"/>
    <w:rsid w:val="00186694"/>
    <w:rsid w:val="00192A22"/>
    <w:rsid w:val="00196E19"/>
    <w:rsid w:val="00197CC1"/>
    <w:rsid w:val="001B2FA4"/>
    <w:rsid w:val="001B6D38"/>
    <w:rsid w:val="001C3C07"/>
    <w:rsid w:val="001C7B3F"/>
    <w:rsid w:val="001D0FE9"/>
    <w:rsid w:val="001D32F9"/>
    <w:rsid w:val="001D4CE2"/>
    <w:rsid w:val="001D4FF4"/>
    <w:rsid w:val="001D515D"/>
    <w:rsid w:val="001E4E8E"/>
    <w:rsid w:val="001E587D"/>
    <w:rsid w:val="001E6EC7"/>
    <w:rsid w:val="001E7381"/>
    <w:rsid w:val="001E76C7"/>
    <w:rsid w:val="001F254D"/>
    <w:rsid w:val="001F2A12"/>
    <w:rsid w:val="001F3FF9"/>
    <w:rsid w:val="00203A55"/>
    <w:rsid w:val="00212A0C"/>
    <w:rsid w:val="00216F05"/>
    <w:rsid w:val="00220175"/>
    <w:rsid w:val="00222BB2"/>
    <w:rsid w:val="00227D1D"/>
    <w:rsid w:val="00231E34"/>
    <w:rsid w:val="00235197"/>
    <w:rsid w:val="002507D0"/>
    <w:rsid w:val="002536D2"/>
    <w:rsid w:val="00260CB0"/>
    <w:rsid w:val="00264940"/>
    <w:rsid w:val="00272ED0"/>
    <w:rsid w:val="002749E0"/>
    <w:rsid w:val="00274AA6"/>
    <w:rsid w:val="002766CD"/>
    <w:rsid w:val="002A5A18"/>
    <w:rsid w:val="002A5D28"/>
    <w:rsid w:val="002B1366"/>
    <w:rsid w:val="002C2543"/>
    <w:rsid w:val="002C2C8C"/>
    <w:rsid w:val="002C2D29"/>
    <w:rsid w:val="002D23BF"/>
    <w:rsid w:val="002E6190"/>
    <w:rsid w:val="002E65FA"/>
    <w:rsid w:val="002F0624"/>
    <w:rsid w:val="00300384"/>
    <w:rsid w:val="00303696"/>
    <w:rsid w:val="003040BF"/>
    <w:rsid w:val="003047C7"/>
    <w:rsid w:val="00322966"/>
    <w:rsid w:val="00323C1D"/>
    <w:rsid w:val="00323C4E"/>
    <w:rsid w:val="0032438F"/>
    <w:rsid w:val="0033219B"/>
    <w:rsid w:val="0033349A"/>
    <w:rsid w:val="00333D3B"/>
    <w:rsid w:val="00334C65"/>
    <w:rsid w:val="0034223B"/>
    <w:rsid w:val="003443B2"/>
    <w:rsid w:val="00345EF4"/>
    <w:rsid w:val="00346EDA"/>
    <w:rsid w:val="00347278"/>
    <w:rsid w:val="003618A1"/>
    <w:rsid w:val="00363706"/>
    <w:rsid w:val="00363A11"/>
    <w:rsid w:val="00370B65"/>
    <w:rsid w:val="00372F74"/>
    <w:rsid w:val="003758CE"/>
    <w:rsid w:val="003776F6"/>
    <w:rsid w:val="00381875"/>
    <w:rsid w:val="003818EB"/>
    <w:rsid w:val="00386DC2"/>
    <w:rsid w:val="003919E7"/>
    <w:rsid w:val="00391A45"/>
    <w:rsid w:val="00392DE3"/>
    <w:rsid w:val="003A12BF"/>
    <w:rsid w:val="003A5A36"/>
    <w:rsid w:val="003A6C59"/>
    <w:rsid w:val="003B45D4"/>
    <w:rsid w:val="003B5529"/>
    <w:rsid w:val="003B79FF"/>
    <w:rsid w:val="003D2F50"/>
    <w:rsid w:val="003F7224"/>
    <w:rsid w:val="003F7485"/>
    <w:rsid w:val="00410F0F"/>
    <w:rsid w:val="00414B98"/>
    <w:rsid w:val="00415BD8"/>
    <w:rsid w:val="004177E3"/>
    <w:rsid w:val="004208DE"/>
    <w:rsid w:val="00425192"/>
    <w:rsid w:val="00427D21"/>
    <w:rsid w:val="00430A26"/>
    <w:rsid w:val="00433E09"/>
    <w:rsid w:val="00445C1A"/>
    <w:rsid w:val="00447A51"/>
    <w:rsid w:val="004644C2"/>
    <w:rsid w:val="004649A2"/>
    <w:rsid w:val="00465242"/>
    <w:rsid w:val="00467521"/>
    <w:rsid w:val="00467F9C"/>
    <w:rsid w:val="004702AE"/>
    <w:rsid w:val="004733AE"/>
    <w:rsid w:val="00480362"/>
    <w:rsid w:val="00481094"/>
    <w:rsid w:val="00484AEC"/>
    <w:rsid w:val="004A74FA"/>
    <w:rsid w:val="004B1995"/>
    <w:rsid w:val="004B4CF2"/>
    <w:rsid w:val="004C04BF"/>
    <w:rsid w:val="004C1BFA"/>
    <w:rsid w:val="004C1D80"/>
    <w:rsid w:val="004C33F6"/>
    <w:rsid w:val="004D552A"/>
    <w:rsid w:val="004E0031"/>
    <w:rsid w:val="004E28AF"/>
    <w:rsid w:val="004E3435"/>
    <w:rsid w:val="004E374E"/>
    <w:rsid w:val="004E47DF"/>
    <w:rsid w:val="004E6864"/>
    <w:rsid w:val="004F1B5B"/>
    <w:rsid w:val="004F4C51"/>
    <w:rsid w:val="005025F2"/>
    <w:rsid w:val="005105A4"/>
    <w:rsid w:val="00513BFF"/>
    <w:rsid w:val="00514335"/>
    <w:rsid w:val="005264CB"/>
    <w:rsid w:val="00530E07"/>
    <w:rsid w:val="00532EC0"/>
    <w:rsid w:val="00534681"/>
    <w:rsid w:val="005438FC"/>
    <w:rsid w:val="005451A3"/>
    <w:rsid w:val="005502EC"/>
    <w:rsid w:val="005560C6"/>
    <w:rsid w:val="00561770"/>
    <w:rsid w:val="0056535A"/>
    <w:rsid w:val="00567A3A"/>
    <w:rsid w:val="005709CE"/>
    <w:rsid w:val="0058513A"/>
    <w:rsid w:val="0058726C"/>
    <w:rsid w:val="005908C4"/>
    <w:rsid w:val="00594727"/>
    <w:rsid w:val="005952C2"/>
    <w:rsid w:val="005A1D08"/>
    <w:rsid w:val="005B29CB"/>
    <w:rsid w:val="005D3C08"/>
    <w:rsid w:val="005D52EF"/>
    <w:rsid w:val="005D56F0"/>
    <w:rsid w:val="005E0B51"/>
    <w:rsid w:val="005F00D7"/>
    <w:rsid w:val="005F042E"/>
    <w:rsid w:val="005F2EF6"/>
    <w:rsid w:val="005F3F9A"/>
    <w:rsid w:val="0060024E"/>
    <w:rsid w:val="00604741"/>
    <w:rsid w:val="0061112E"/>
    <w:rsid w:val="006122BA"/>
    <w:rsid w:val="00621397"/>
    <w:rsid w:val="00630A06"/>
    <w:rsid w:val="00630D71"/>
    <w:rsid w:val="006313A4"/>
    <w:rsid w:val="00633D39"/>
    <w:rsid w:val="00635929"/>
    <w:rsid w:val="00635AB3"/>
    <w:rsid w:val="00641CF7"/>
    <w:rsid w:val="00645A46"/>
    <w:rsid w:val="006463AE"/>
    <w:rsid w:val="00651EFF"/>
    <w:rsid w:val="00653733"/>
    <w:rsid w:val="00661A0D"/>
    <w:rsid w:val="00665280"/>
    <w:rsid w:val="00670C15"/>
    <w:rsid w:val="006737D7"/>
    <w:rsid w:val="006802DA"/>
    <w:rsid w:val="00680547"/>
    <w:rsid w:val="0068134E"/>
    <w:rsid w:val="00681A31"/>
    <w:rsid w:val="00681B62"/>
    <w:rsid w:val="00681C92"/>
    <w:rsid w:val="006829D2"/>
    <w:rsid w:val="00683B29"/>
    <w:rsid w:val="006853EE"/>
    <w:rsid w:val="006A06EC"/>
    <w:rsid w:val="006A5C03"/>
    <w:rsid w:val="006A71C7"/>
    <w:rsid w:val="006B0CB1"/>
    <w:rsid w:val="006B2290"/>
    <w:rsid w:val="006C05A1"/>
    <w:rsid w:val="006D6FE3"/>
    <w:rsid w:val="006D7654"/>
    <w:rsid w:val="006E28EC"/>
    <w:rsid w:val="006F1737"/>
    <w:rsid w:val="006F5683"/>
    <w:rsid w:val="00701CA9"/>
    <w:rsid w:val="00707EF0"/>
    <w:rsid w:val="007101F9"/>
    <w:rsid w:val="0071112E"/>
    <w:rsid w:val="00711C13"/>
    <w:rsid w:val="00711D80"/>
    <w:rsid w:val="00714E2E"/>
    <w:rsid w:val="00715F32"/>
    <w:rsid w:val="00717D88"/>
    <w:rsid w:val="00721570"/>
    <w:rsid w:val="0072218C"/>
    <w:rsid w:val="00723847"/>
    <w:rsid w:val="007269BB"/>
    <w:rsid w:val="007304B4"/>
    <w:rsid w:val="00732DB2"/>
    <w:rsid w:val="00734C35"/>
    <w:rsid w:val="0074030B"/>
    <w:rsid w:val="00743CBF"/>
    <w:rsid w:val="00743FB6"/>
    <w:rsid w:val="0074698F"/>
    <w:rsid w:val="007469F0"/>
    <w:rsid w:val="007509D1"/>
    <w:rsid w:val="007564DA"/>
    <w:rsid w:val="00756613"/>
    <w:rsid w:val="007705DA"/>
    <w:rsid w:val="00772D25"/>
    <w:rsid w:val="00780AA8"/>
    <w:rsid w:val="00786A55"/>
    <w:rsid w:val="007917D3"/>
    <w:rsid w:val="0079211F"/>
    <w:rsid w:val="00792EB7"/>
    <w:rsid w:val="00793765"/>
    <w:rsid w:val="007942D3"/>
    <w:rsid w:val="007A7328"/>
    <w:rsid w:val="007B0795"/>
    <w:rsid w:val="007B25F4"/>
    <w:rsid w:val="007B2EBF"/>
    <w:rsid w:val="007B6C09"/>
    <w:rsid w:val="007C00F1"/>
    <w:rsid w:val="007C2CFC"/>
    <w:rsid w:val="007C3B40"/>
    <w:rsid w:val="007D692A"/>
    <w:rsid w:val="007D7112"/>
    <w:rsid w:val="007D7D48"/>
    <w:rsid w:val="007E09DA"/>
    <w:rsid w:val="007E4BAC"/>
    <w:rsid w:val="00812131"/>
    <w:rsid w:val="00814204"/>
    <w:rsid w:val="00814552"/>
    <w:rsid w:val="0081500D"/>
    <w:rsid w:val="008178B6"/>
    <w:rsid w:val="00830F11"/>
    <w:rsid w:val="00835E94"/>
    <w:rsid w:val="0083706A"/>
    <w:rsid w:val="00837BDB"/>
    <w:rsid w:val="00840499"/>
    <w:rsid w:val="008408EF"/>
    <w:rsid w:val="00850A2A"/>
    <w:rsid w:val="00854F7B"/>
    <w:rsid w:val="0086212B"/>
    <w:rsid w:val="00865B74"/>
    <w:rsid w:val="00871E71"/>
    <w:rsid w:val="008730CB"/>
    <w:rsid w:val="008763AB"/>
    <w:rsid w:val="00882745"/>
    <w:rsid w:val="00894800"/>
    <w:rsid w:val="008A01E9"/>
    <w:rsid w:val="008A0BB1"/>
    <w:rsid w:val="008A5130"/>
    <w:rsid w:val="008B0C6C"/>
    <w:rsid w:val="008B50DF"/>
    <w:rsid w:val="008C141B"/>
    <w:rsid w:val="008C1693"/>
    <w:rsid w:val="008C316A"/>
    <w:rsid w:val="008C4D41"/>
    <w:rsid w:val="008C56AE"/>
    <w:rsid w:val="008D0A94"/>
    <w:rsid w:val="008D39DD"/>
    <w:rsid w:val="008D7E33"/>
    <w:rsid w:val="008E1501"/>
    <w:rsid w:val="008E51D3"/>
    <w:rsid w:val="008E65A7"/>
    <w:rsid w:val="00911921"/>
    <w:rsid w:val="00921131"/>
    <w:rsid w:val="00922354"/>
    <w:rsid w:val="00922D20"/>
    <w:rsid w:val="009231F2"/>
    <w:rsid w:val="009272E8"/>
    <w:rsid w:val="00927687"/>
    <w:rsid w:val="00930BA1"/>
    <w:rsid w:val="00931329"/>
    <w:rsid w:val="009315F4"/>
    <w:rsid w:val="0093169E"/>
    <w:rsid w:val="00935CA5"/>
    <w:rsid w:val="00935CCA"/>
    <w:rsid w:val="00936BEE"/>
    <w:rsid w:val="00940BDB"/>
    <w:rsid w:val="00943877"/>
    <w:rsid w:val="0094563D"/>
    <w:rsid w:val="00947037"/>
    <w:rsid w:val="009505C9"/>
    <w:rsid w:val="009630EB"/>
    <w:rsid w:val="00965011"/>
    <w:rsid w:val="00973F48"/>
    <w:rsid w:val="0098391E"/>
    <w:rsid w:val="00983CCB"/>
    <w:rsid w:val="00991C04"/>
    <w:rsid w:val="00996390"/>
    <w:rsid w:val="00996399"/>
    <w:rsid w:val="00997957"/>
    <w:rsid w:val="009B57A4"/>
    <w:rsid w:val="009C0169"/>
    <w:rsid w:val="009C3077"/>
    <w:rsid w:val="009C4645"/>
    <w:rsid w:val="009C73AF"/>
    <w:rsid w:val="009D21D5"/>
    <w:rsid w:val="009D4BB1"/>
    <w:rsid w:val="009E19D8"/>
    <w:rsid w:val="009E2053"/>
    <w:rsid w:val="009E2CF8"/>
    <w:rsid w:val="009F4C28"/>
    <w:rsid w:val="00A151A8"/>
    <w:rsid w:val="00A268AF"/>
    <w:rsid w:val="00A26E08"/>
    <w:rsid w:val="00A34278"/>
    <w:rsid w:val="00A35618"/>
    <w:rsid w:val="00A35D9A"/>
    <w:rsid w:val="00A36A40"/>
    <w:rsid w:val="00A36B51"/>
    <w:rsid w:val="00A44C0A"/>
    <w:rsid w:val="00A45F85"/>
    <w:rsid w:val="00A52F80"/>
    <w:rsid w:val="00A57F79"/>
    <w:rsid w:val="00A606DF"/>
    <w:rsid w:val="00A775D1"/>
    <w:rsid w:val="00A9627B"/>
    <w:rsid w:val="00AA00CD"/>
    <w:rsid w:val="00AA7541"/>
    <w:rsid w:val="00AB401B"/>
    <w:rsid w:val="00AC4891"/>
    <w:rsid w:val="00AC7FDE"/>
    <w:rsid w:val="00AD11C2"/>
    <w:rsid w:val="00AD15B5"/>
    <w:rsid w:val="00AD197E"/>
    <w:rsid w:val="00AD225C"/>
    <w:rsid w:val="00AD3A7E"/>
    <w:rsid w:val="00AD66EF"/>
    <w:rsid w:val="00AE103D"/>
    <w:rsid w:val="00AE157E"/>
    <w:rsid w:val="00AE6E7D"/>
    <w:rsid w:val="00B002E8"/>
    <w:rsid w:val="00B06016"/>
    <w:rsid w:val="00B0758B"/>
    <w:rsid w:val="00B1264D"/>
    <w:rsid w:val="00B13948"/>
    <w:rsid w:val="00B20780"/>
    <w:rsid w:val="00B239B6"/>
    <w:rsid w:val="00B27E17"/>
    <w:rsid w:val="00B3369F"/>
    <w:rsid w:val="00B41900"/>
    <w:rsid w:val="00B43ECC"/>
    <w:rsid w:val="00B445CA"/>
    <w:rsid w:val="00B46773"/>
    <w:rsid w:val="00B5121E"/>
    <w:rsid w:val="00B53754"/>
    <w:rsid w:val="00B53790"/>
    <w:rsid w:val="00B549C4"/>
    <w:rsid w:val="00B54D87"/>
    <w:rsid w:val="00B565FB"/>
    <w:rsid w:val="00B65640"/>
    <w:rsid w:val="00B65A39"/>
    <w:rsid w:val="00B6737D"/>
    <w:rsid w:val="00B67401"/>
    <w:rsid w:val="00B766B0"/>
    <w:rsid w:val="00B80A39"/>
    <w:rsid w:val="00B87D60"/>
    <w:rsid w:val="00BA0526"/>
    <w:rsid w:val="00BA3AE8"/>
    <w:rsid w:val="00BB0EBF"/>
    <w:rsid w:val="00BB3C56"/>
    <w:rsid w:val="00BB762C"/>
    <w:rsid w:val="00BC3E08"/>
    <w:rsid w:val="00BC6343"/>
    <w:rsid w:val="00BD1A51"/>
    <w:rsid w:val="00BD665E"/>
    <w:rsid w:val="00BE1EB8"/>
    <w:rsid w:val="00BE3193"/>
    <w:rsid w:val="00BE477C"/>
    <w:rsid w:val="00BE516D"/>
    <w:rsid w:val="00BE743E"/>
    <w:rsid w:val="00BF0F15"/>
    <w:rsid w:val="00BF6878"/>
    <w:rsid w:val="00C03EAB"/>
    <w:rsid w:val="00C10572"/>
    <w:rsid w:val="00C1217F"/>
    <w:rsid w:val="00C157EF"/>
    <w:rsid w:val="00C167BD"/>
    <w:rsid w:val="00C16AB3"/>
    <w:rsid w:val="00C22A80"/>
    <w:rsid w:val="00C2339A"/>
    <w:rsid w:val="00C24856"/>
    <w:rsid w:val="00C4198C"/>
    <w:rsid w:val="00C47D55"/>
    <w:rsid w:val="00C512F1"/>
    <w:rsid w:val="00C62207"/>
    <w:rsid w:val="00C62224"/>
    <w:rsid w:val="00C62520"/>
    <w:rsid w:val="00C709D5"/>
    <w:rsid w:val="00C71444"/>
    <w:rsid w:val="00C864B6"/>
    <w:rsid w:val="00C91076"/>
    <w:rsid w:val="00C9161D"/>
    <w:rsid w:val="00CA132E"/>
    <w:rsid w:val="00CA2A48"/>
    <w:rsid w:val="00CB28EB"/>
    <w:rsid w:val="00CB3C79"/>
    <w:rsid w:val="00CB6CDA"/>
    <w:rsid w:val="00CB6E0A"/>
    <w:rsid w:val="00CD0C5B"/>
    <w:rsid w:val="00CD2DDB"/>
    <w:rsid w:val="00CD2F8E"/>
    <w:rsid w:val="00CD4714"/>
    <w:rsid w:val="00CD6426"/>
    <w:rsid w:val="00CE23BC"/>
    <w:rsid w:val="00CF1848"/>
    <w:rsid w:val="00D01C79"/>
    <w:rsid w:val="00D05B73"/>
    <w:rsid w:val="00D12044"/>
    <w:rsid w:val="00D170B8"/>
    <w:rsid w:val="00D20A16"/>
    <w:rsid w:val="00D20E61"/>
    <w:rsid w:val="00D30E3D"/>
    <w:rsid w:val="00D31C1C"/>
    <w:rsid w:val="00D31F5F"/>
    <w:rsid w:val="00D403BD"/>
    <w:rsid w:val="00D4105F"/>
    <w:rsid w:val="00D43F09"/>
    <w:rsid w:val="00D4540C"/>
    <w:rsid w:val="00D47AC4"/>
    <w:rsid w:val="00D50454"/>
    <w:rsid w:val="00D61C9B"/>
    <w:rsid w:val="00D6761F"/>
    <w:rsid w:val="00D7009E"/>
    <w:rsid w:val="00D7122E"/>
    <w:rsid w:val="00D71BF9"/>
    <w:rsid w:val="00D73336"/>
    <w:rsid w:val="00D7402A"/>
    <w:rsid w:val="00D74F8F"/>
    <w:rsid w:val="00D76A18"/>
    <w:rsid w:val="00D843CB"/>
    <w:rsid w:val="00D85053"/>
    <w:rsid w:val="00D86667"/>
    <w:rsid w:val="00D917C4"/>
    <w:rsid w:val="00DA125C"/>
    <w:rsid w:val="00DA2404"/>
    <w:rsid w:val="00DA4D2E"/>
    <w:rsid w:val="00DB23FA"/>
    <w:rsid w:val="00DB5EC1"/>
    <w:rsid w:val="00DB6CDA"/>
    <w:rsid w:val="00DC78E8"/>
    <w:rsid w:val="00DD118C"/>
    <w:rsid w:val="00DD3023"/>
    <w:rsid w:val="00DD31E1"/>
    <w:rsid w:val="00DD4DA5"/>
    <w:rsid w:val="00DD7F73"/>
    <w:rsid w:val="00DE6E14"/>
    <w:rsid w:val="00E02E52"/>
    <w:rsid w:val="00E11B91"/>
    <w:rsid w:val="00E22858"/>
    <w:rsid w:val="00E348EA"/>
    <w:rsid w:val="00E450B3"/>
    <w:rsid w:val="00E543B7"/>
    <w:rsid w:val="00E54BCD"/>
    <w:rsid w:val="00E57760"/>
    <w:rsid w:val="00E614B1"/>
    <w:rsid w:val="00E6339C"/>
    <w:rsid w:val="00E64714"/>
    <w:rsid w:val="00E66235"/>
    <w:rsid w:val="00E7005B"/>
    <w:rsid w:val="00E7195B"/>
    <w:rsid w:val="00E72F26"/>
    <w:rsid w:val="00E747BA"/>
    <w:rsid w:val="00E8316C"/>
    <w:rsid w:val="00E83C24"/>
    <w:rsid w:val="00E866D0"/>
    <w:rsid w:val="00E86F14"/>
    <w:rsid w:val="00E87A5F"/>
    <w:rsid w:val="00E9318D"/>
    <w:rsid w:val="00E95EBB"/>
    <w:rsid w:val="00E9605F"/>
    <w:rsid w:val="00E9779F"/>
    <w:rsid w:val="00EA0016"/>
    <w:rsid w:val="00EA02F6"/>
    <w:rsid w:val="00EA2F1D"/>
    <w:rsid w:val="00EA3ECF"/>
    <w:rsid w:val="00EB5B08"/>
    <w:rsid w:val="00EB7D1D"/>
    <w:rsid w:val="00EE3C5A"/>
    <w:rsid w:val="00EE433E"/>
    <w:rsid w:val="00EE665E"/>
    <w:rsid w:val="00EF2230"/>
    <w:rsid w:val="00EF7ACF"/>
    <w:rsid w:val="00F0091D"/>
    <w:rsid w:val="00F0566B"/>
    <w:rsid w:val="00F063C8"/>
    <w:rsid w:val="00F16FFB"/>
    <w:rsid w:val="00F20A57"/>
    <w:rsid w:val="00F34628"/>
    <w:rsid w:val="00F37F73"/>
    <w:rsid w:val="00F44531"/>
    <w:rsid w:val="00F512C2"/>
    <w:rsid w:val="00F53054"/>
    <w:rsid w:val="00F53A83"/>
    <w:rsid w:val="00F53D82"/>
    <w:rsid w:val="00F5491E"/>
    <w:rsid w:val="00F55736"/>
    <w:rsid w:val="00F632F1"/>
    <w:rsid w:val="00F657CC"/>
    <w:rsid w:val="00F74128"/>
    <w:rsid w:val="00F75EA7"/>
    <w:rsid w:val="00F76274"/>
    <w:rsid w:val="00F81035"/>
    <w:rsid w:val="00F91C22"/>
    <w:rsid w:val="00F920AC"/>
    <w:rsid w:val="00F94774"/>
    <w:rsid w:val="00F97B13"/>
    <w:rsid w:val="00FA596A"/>
    <w:rsid w:val="00FB3E7B"/>
    <w:rsid w:val="00FB4B3B"/>
    <w:rsid w:val="00FB7E33"/>
    <w:rsid w:val="00FC1E5F"/>
    <w:rsid w:val="00FC3349"/>
    <w:rsid w:val="00FC53DB"/>
    <w:rsid w:val="00FC59F7"/>
    <w:rsid w:val="00FC66D4"/>
    <w:rsid w:val="00FD0CD0"/>
    <w:rsid w:val="00FD3EFA"/>
    <w:rsid w:val="00FD4B16"/>
    <w:rsid w:val="00FE65B9"/>
    <w:rsid w:val="00FF084B"/>
    <w:rsid w:val="00FF764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D8B1A4"/>
  <w15:docId w15:val="{0FA21206-D519-446E-A8B6-B47BECCD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606D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D471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D4714"/>
    <w:rPr>
      <w:rFonts w:ascii="Times New Roman" w:eastAsia="Times New Roman" w:hAnsi="Times New Roman" w:cs="Times New Roman"/>
      <w:b/>
      <w:bCs/>
      <w:sz w:val="20"/>
      <w:szCs w:val="20"/>
      <w:lang w:val="en-GB"/>
    </w:rPr>
  </w:style>
  <w:style w:type="paragraph" w:styleId="Revision">
    <w:name w:val="Revision"/>
    <w:hidden/>
    <w:uiPriority w:val="99"/>
    <w:semiHidden/>
    <w:rsid w:val="00F53054"/>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AD15B5"/>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0D16E9"/>
    <w:pPr>
      <w:spacing w:after="160" w:line="240" w:lineRule="exact"/>
      <w:jc w:val="left"/>
    </w:pPr>
    <w:rPr>
      <w:rFonts w:asciiTheme="minorHAnsi" w:eastAsiaTheme="minorEastAsia" w:hAnsiTheme="minorHAnsi" w:cstheme="minorBidi"/>
      <w:vertAlign w:val="superscript"/>
      <w:lang w:val="fr-CA"/>
    </w:rPr>
  </w:style>
  <w:style w:type="paragraph" w:customStyle="1" w:styleId="Para10">
    <w:name w:val="Para 1"/>
    <w:basedOn w:val="Normal"/>
    <w:rsid w:val="00B43ECC"/>
    <w:pPr>
      <w:tabs>
        <w:tab w:val="num" w:pos="3763"/>
      </w:tabs>
      <w:ind w:left="3403"/>
    </w:pPr>
  </w:style>
  <w:style w:type="character" w:styleId="UnresolvedMention">
    <w:name w:val="Unresolved Mention"/>
    <w:basedOn w:val="DefaultParagraphFont"/>
    <w:uiPriority w:val="99"/>
    <w:semiHidden/>
    <w:unhideWhenUsed/>
    <w:rsid w:val="0074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83433">
      <w:bodyDiv w:val="1"/>
      <w:marLeft w:val="0"/>
      <w:marRight w:val="0"/>
      <w:marTop w:val="0"/>
      <w:marBottom w:val="0"/>
      <w:divBdr>
        <w:top w:val="none" w:sz="0" w:space="0" w:color="auto"/>
        <w:left w:val="none" w:sz="0" w:space="0" w:color="auto"/>
        <w:bottom w:val="none" w:sz="0" w:space="0" w:color="auto"/>
        <w:right w:val="none" w:sz="0" w:space="0" w:color="auto"/>
      </w:divBdr>
    </w:div>
    <w:div w:id="68055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03cc/3d71/1b1c6b4a0920ece03ce4aefb/cp-cc-16-07-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bch.cbd.int/protocol/issues/cpb_stplan.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p-mop-09/cp-mop-09-dec-02-en.pdf" TargetMode="External"/><Relationship Id="rId20" Type="http://schemas.openxmlformats.org/officeDocument/2006/relationships/hyperlink" Target="https://bch.cbd.int/protocol/cpb_art34_info.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p-mop-09/cp-mop-09-dec-01-en.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679b/5453/3b1a3616b09ba37af014ca24/cp-cc-17-06-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4D7D1B30FC3C4D85AC821BD4587F0C5B"/>
        <w:category>
          <w:name w:val="General"/>
          <w:gallery w:val="placeholder"/>
        </w:category>
        <w:types>
          <w:type w:val="bbPlcHdr"/>
        </w:types>
        <w:behaviors>
          <w:behavior w:val="content"/>
        </w:behaviors>
        <w:guid w:val="{663AB8FD-8A47-4578-A7D0-85B9BC1FF4FB}"/>
      </w:docPartPr>
      <w:docPartBody>
        <w:p w:rsidR="00BB0A77" w:rsidRDefault="000203B2">
          <w:r w:rsidRPr="002F08F4">
            <w:rPr>
              <w:rStyle w:val="PlaceholderText"/>
            </w:rPr>
            <w:t>[Subject]</w:t>
          </w:r>
        </w:p>
      </w:docPartBody>
    </w:docPart>
    <w:docPart>
      <w:docPartPr>
        <w:name w:val="5B638A896FDE44C182E6F4C321F292E9"/>
        <w:category>
          <w:name w:val="General"/>
          <w:gallery w:val="placeholder"/>
        </w:category>
        <w:types>
          <w:type w:val="bbPlcHdr"/>
        </w:types>
        <w:behaviors>
          <w:behavior w:val="content"/>
        </w:behaviors>
        <w:guid w:val="{F934AB30-DFAD-43FB-81CD-CF7126AFDCE3}"/>
      </w:docPartPr>
      <w:docPartBody>
        <w:p w:rsidR="00BB0A77" w:rsidRDefault="000203B2">
          <w:r w:rsidRPr="002F08F4">
            <w:rPr>
              <w:rStyle w:val="PlaceholderText"/>
            </w:rPr>
            <w:t>[Subject]</w:t>
          </w:r>
        </w:p>
      </w:docPartBody>
    </w:docPart>
    <w:docPart>
      <w:docPartPr>
        <w:name w:val="4BFC2725F4D34E609C1F5397B8284F5F"/>
        <w:category>
          <w:name w:val="General"/>
          <w:gallery w:val="placeholder"/>
        </w:category>
        <w:types>
          <w:type w:val="bbPlcHdr"/>
        </w:types>
        <w:behaviors>
          <w:behavior w:val="content"/>
        </w:behaviors>
        <w:guid w:val="{C0A5E306-1C1A-4340-BA71-9085B586B884}"/>
      </w:docPartPr>
      <w:docPartBody>
        <w:p w:rsidR="006A79E6" w:rsidRDefault="004B056B" w:rsidP="004B056B">
          <w:pPr>
            <w:pStyle w:val="4BFC2725F4D34E609C1F5397B8284F5F"/>
          </w:pPr>
          <w:r w:rsidRPr="00F002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03B2"/>
    <w:rsid w:val="000973F2"/>
    <w:rsid w:val="002768CC"/>
    <w:rsid w:val="0037389A"/>
    <w:rsid w:val="004B056B"/>
    <w:rsid w:val="00500A2B"/>
    <w:rsid w:val="00534735"/>
    <w:rsid w:val="0058288D"/>
    <w:rsid w:val="006801B3"/>
    <w:rsid w:val="006A79E6"/>
    <w:rsid w:val="00770D55"/>
    <w:rsid w:val="00810A55"/>
    <w:rsid w:val="008C6619"/>
    <w:rsid w:val="008D420E"/>
    <w:rsid w:val="009723F0"/>
    <w:rsid w:val="0098642F"/>
    <w:rsid w:val="009B1E4B"/>
    <w:rsid w:val="00A05EC6"/>
    <w:rsid w:val="00BB0A77"/>
    <w:rsid w:val="00EC68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56B"/>
    <w:rPr>
      <w:color w:val="808080"/>
    </w:rPr>
  </w:style>
  <w:style w:type="paragraph" w:customStyle="1" w:styleId="4BFC2725F4D34E609C1F5397B8284F5F">
    <w:name w:val="4BFC2725F4D34E609C1F5397B8284F5F"/>
    <w:rsid w:val="004B05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9AE10-0EB8-427E-975A-F86B30E9E94E}">
  <ds:schemaRefs>
    <ds:schemaRef ds:uri="http://schemas.openxmlformats.org/officeDocument/2006/bibliography"/>
  </ds:schemaRefs>
</ds:datastoreItem>
</file>

<file path=customXml/itemProps3.xml><?xml version="1.0" encoding="utf-8"?>
<ds:datastoreItem xmlns:ds="http://schemas.openxmlformats.org/officeDocument/2006/customXml" ds:itemID="{DE4D9088-111C-46D7-82AE-A92131740818}">
  <ds:schemaRefs>
    <ds:schemaRef ds:uri="http://schemas.microsoft.com/sharepoint/v3/contenttype/forms"/>
  </ds:schemaRefs>
</ds:datastoreItem>
</file>

<file path=customXml/itemProps4.xml><?xml version="1.0" encoding="utf-8"?>
<ds:datastoreItem xmlns:ds="http://schemas.openxmlformats.org/officeDocument/2006/customXml" ds:itemID="{B4DB2446-9CD1-4178-8D0E-5AA94D80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60B5D8-859C-44B5-BFB7-71A810626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Report of the Compliance Committee under the Cartagena Protocol on Biosafety on the work of its sixteenth and seventeenth meetings</vt:lpstr>
    </vt:vector>
  </TitlesOfParts>
  <Company>SCBD</Company>
  <LinksUpToDate>false</LinksUpToDate>
  <CharactersWithSpaces>17023</CharactersWithSpaces>
  <SharedDoc>false</SharedDoc>
  <HLinks>
    <vt:vector size="36" baseType="variant">
      <vt:variant>
        <vt:i4>6029399</vt:i4>
      </vt:variant>
      <vt:variant>
        <vt:i4>15</vt:i4>
      </vt:variant>
      <vt:variant>
        <vt:i4>0</vt:i4>
      </vt:variant>
      <vt:variant>
        <vt:i4>5</vt:i4>
      </vt:variant>
      <vt:variant>
        <vt:lpwstr>https://bch.cbd.int/protocol/cpb_art34_info.shtml</vt:lpwstr>
      </vt:variant>
      <vt:variant>
        <vt:lpwstr/>
      </vt:variant>
      <vt:variant>
        <vt:i4>2752567</vt:i4>
      </vt:variant>
      <vt:variant>
        <vt:i4>12</vt:i4>
      </vt:variant>
      <vt:variant>
        <vt:i4>0</vt:i4>
      </vt:variant>
      <vt:variant>
        <vt:i4>5</vt:i4>
      </vt:variant>
      <vt:variant>
        <vt:lpwstr>https://www.cbd.int/doc/c/679b/5453/3b1a3616b09ba37af014ca24/cp-cc-17-06-en.pdf</vt:lpwstr>
      </vt:variant>
      <vt:variant>
        <vt:lpwstr/>
      </vt:variant>
      <vt:variant>
        <vt:i4>7340130</vt:i4>
      </vt:variant>
      <vt:variant>
        <vt:i4>9</vt:i4>
      </vt:variant>
      <vt:variant>
        <vt:i4>0</vt:i4>
      </vt:variant>
      <vt:variant>
        <vt:i4>5</vt:i4>
      </vt:variant>
      <vt:variant>
        <vt:lpwstr>https://www.cbd.int/doc/c/03cc/3d71/1b1c6b4a0920ece03ce4aefb/cp-cc-16-07-en.pdf</vt:lpwstr>
      </vt:variant>
      <vt:variant>
        <vt:lpwstr/>
      </vt:variant>
      <vt:variant>
        <vt:i4>3801181</vt:i4>
      </vt:variant>
      <vt:variant>
        <vt:i4>6</vt:i4>
      </vt:variant>
      <vt:variant>
        <vt:i4>0</vt:i4>
      </vt:variant>
      <vt:variant>
        <vt:i4>5</vt:i4>
      </vt:variant>
      <vt:variant>
        <vt:lpwstr>https://bch.cbd.int/protocol/issues/cpb_stplan.shtml</vt:lpwstr>
      </vt:variant>
      <vt:variant>
        <vt:lpwstr/>
      </vt:variant>
      <vt:variant>
        <vt:i4>7733297</vt:i4>
      </vt:variant>
      <vt:variant>
        <vt:i4>3</vt:i4>
      </vt:variant>
      <vt:variant>
        <vt:i4>0</vt:i4>
      </vt:variant>
      <vt:variant>
        <vt:i4>5</vt:i4>
      </vt:variant>
      <vt:variant>
        <vt:lpwstr>https://www.cbd.int/doc/decisions/cp-mop-09/cp-mop-09-dec-02-en.pdf</vt:lpwstr>
      </vt:variant>
      <vt:variant>
        <vt:lpwstr/>
      </vt:variant>
      <vt:variant>
        <vt:i4>7667761</vt:i4>
      </vt:variant>
      <vt:variant>
        <vt:i4>0</vt:i4>
      </vt:variant>
      <vt:variant>
        <vt:i4>0</vt:i4>
      </vt:variant>
      <vt:variant>
        <vt:i4>5</vt:i4>
      </vt:variant>
      <vt:variant>
        <vt:lpwstr>https://www.cbd.int/doc/decisions/cp-mop-09/cp-mop-09-dec-01-en.pdf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Cartagena Protocol on Biosafety on the work of its sixteenth and seventeenth meetings</dc:title>
  <dc:subject>CBD/CP/MOP/10/2</dc:subject>
  <dc:creator>SCBD</dc:creator>
  <cp:keywords>Conference of the Parties serving as the meeting of the Parties to the Cartagena Protocol on Biosafety, Tenth meeting, Kunming, China, 11-15 October 2021 and 25 April to 8 May 2022</cp:keywords>
  <cp:lastModifiedBy>Veronique Lefebvre</cp:lastModifiedBy>
  <cp:revision>7</cp:revision>
  <dcterms:created xsi:type="dcterms:W3CDTF">2021-09-16T19:58:00Z</dcterms:created>
  <dcterms:modified xsi:type="dcterms:W3CDTF">2021-09-17T15:19:00Z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