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502800" w:rsidRPr="00CF1CEB">
        <w:trPr>
          <w:trHeight w:val="709"/>
        </w:trPr>
        <w:tc>
          <w:tcPr>
            <w:tcW w:w="976" w:type="dxa"/>
            <w:tcBorders>
              <w:bottom w:val="single" w:sz="12" w:space="0" w:color="auto"/>
            </w:tcBorders>
          </w:tcPr>
          <w:p w:rsidR="00502800" w:rsidRPr="00CF1CEB" w:rsidRDefault="00502800" w:rsidP="00F54401">
            <w:pPr>
              <w:rPr>
                <w:lang w:val="es-ES"/>
              </w:rPr>
            </w:pPr>
            <w:r w:rsidRPr="00CF1CEB">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502800" w:rsidRPr="00CF1CEB" w:rsidRDefault="00502800" w:rsidP="00F54401">
            <w:pPr>
              <w:rPr>
                <w:lang w:val="es-ES"/>
              </w:rPr>
            </w:pPr>
            <w:r w:rsidRPr="00CF1CEB">
              <w:rPr>
                <w:lang w:val="es-ES" w:eastAsia="es-UY"/>
              </w:rPr>
              <w:pict>
                <v:shape id="Picture 3" o:spid="_x0000_i1026" type="#_x0000_t75" alt="Macintosh HD:Users:bilodeau:Desktop:logos:template 2017:unep-old.emf" style="width:26.25pt;height:30.75pt;visibility:visible">
                  <v:imagedata r:id="rId8" o:title=""/>
                </v:shape>
              </w:pict>
            </w:r>
          </w:p>
        </w:tc>
        <w:tc>
          <w:tcPr>
            <w:tcW w:w="4090" w:type="dxa"/>
            <w:tcBorders>
              <w:bottom w:val="single" w:sz="12" w:space="0" w:color="auto"/>
            </w:tcBorders>
          </w:tcPr>
          <w:p w:rsidR="00502800" w:rsidRPr="00CF1CEB" w:rsidRDefault="00502800" w:rsidP="00D226A2">
            <w:pPr>
              <w:jc w:val="right"/>
              <w:rPr>
                <w:rFonts w:ascii="Arial" w:hAnsi="Arial" w:cs="Arial"/>
                <w:b/>
                <w:bCs/>
                <w:sz w:val="32"/>
                <w:szCs w:val="32"/>
                <w:lang w:val="es-ES"/>
              </w:rPr>
            </w:pPr>
            <w:r w:rsidRPr="00CF1CEB">
              <w:rPr>
                <w:rFonts w:ascii="Arial" w:hAnsi="Arial" w:cs="Arial"/>
                <w:b/>
                <w:bCs/>
                <w:sz w:val="32"/>
                <w:szCs w:val="32"/>
                <w:lang w:val="es-ES"/>
              </w:rPr>
              <w:t>CBD</w:t>
            </w:r>
          </w:p>
        </w:tc>
      </w:tr>
      <w:tr w:rsidR="00502800" w:rsidRPr="00CF1CEB">
        <w:tc>
          <w:tcPr>
            <w:tcW w:w="6117" w:type="dxa"/>
            <w:gridSpan w:val="2"/>
            <w:tcBorders>
              <w:top w:val="single" w:sz="12" w:space="0" w:color="auto"/>
              <w:bottom w:val="single" w:sz="36" w:space="0" w:color="auto"/>
            </w:tcBorders>
            <w:vAlign w:val="center"/>
          </w:tcPr>
          <w:p w:rsidR="00502800" w:rsidRPr="00CF1CEB" w:rsidRDefault="00502800" w:rsidP="00F54401">
            <w:pPr>
              <w:rPr>
                <w:lang w:val="es-ES"/>
              </w:rPr>
            </w:pPr>
            <w:r w:rsidRPr="00CF1CEB">
              <w:rPr>
                <w:kern w:val="22"/>
                <w:lang w:val="es-ES"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502800" w:rsidRPr="00CF1CEB" w:rsidRDefault="00502800" w:rsidP="00D226A2">
            <w:pPr>
              <w:ind w:left="1215"/>
              <w:rPr>
                <w:lang w:val="es-ES"/>
              </w:rPr>
            </w:pPr>
            <w:r w:rsidRPr="00CF1CEB">
              <w:rPr>
                <w:lang w:val="es-ES"/>
              </w:rPr>
              <w:t>Distr.</w:t>
            </w:r>
          </w:p>
          <w:p w:rsidR="00502800" w:rsidRPr="00CF1CEB" w:rsidRDefault="00502800" w:rsidP="00D226A2">
            <w:pPr>
              <w:ind w:left="1215"/>
              <w:rPr>
                <w:lang w:val="es-ES"/>
              </w:rPr>
            </w:pPr>
            <w:r w:rsidRPr="00CF1CEB">
              <w:rPr>
                <w:caps/>
                <w:lang w:val="es-ES"/>
              </w:rPr>
              <w:t>LIMITADA</w:t>
            </w:r>
          </w:p>
          <w:p w:rsidR="00502800" w:rsidRPr="00CF1CEB" w:rsidRDefault="00502800" w:rsidP="00D226A2">
            <w:pPr>
              <w:ind w:left="1215"/>
              <w:rPr>
                <w:lang w:val="es-ES"/>
              </w:rPr>
            </w:pPr>
          </w:p>
          <w:p w:rsidR="00502800" w:rsidRPr="00CF1CEB" w:rsidRDefault="00502800" w:rsidP="00D226A2">
            <w:pPr>
              <w:ind w:left="1215"/>
              <w:rPr>
                <w:lang w:val="es-ES"/>
              </w:rPr>
            </w:pPr>
            <w:r w:rsidRPr="00CF1CEB">
              <w:rPr>
                <w:lang w:val="es-ES"/>
              </w:rPr>
              <w:t>CBD/COP/14/L.13</w:t>
            </w:r>
          </w:p>
          <w:p w:rsidR="00502800" w:rsidRPr="00CF1CEB" w:rsidRDefault="00502800" w:rsidP="00D226A2">
            <w:pPr>
              <w:ind w:left="1215"/>
              <w:rPr>
                <w:lang w:val="es-ES"/>
              </w:rPr>
            </w:pPr>
            <w:r w:rsidRPr="00CF1CEB">
              <w:rPr>
                <w:lang w:val="es-ES"/>
              </w:rPr>
              <w:t>25 de noviembre de 2018</w:t>
            </w:r>
          </w:p>
          <w:p w:rsidR="00502800" w:rsidRPr="00CF1CEB" w:rsidRDefault="00502800" w:rsidP="00D226A2">
            <w:pPr>
              <w:ind w:left="1215"/>
              <w:rPr>
                <w:lang w:val="es-ES"/>
              </w:rPr>
            </w:pPr>
          </w:p>
          <w:p w:rsidR="00502800" w:rsidRPr="00CF1CEB" w:rsidRDefault="00502800" w:rsidP="00D226A2">
            <w:pPr>
              <w:ind w:left="1215"/>
              <w:rPr>
                <w:lang w:val="es-ES"/>
              </w:rPr>
            </w:pPr>
            <w:r w:rsidRPr="00CF1CEB">
              <w:rPr>
                <w:lang w:val="es-ES"/>
              </w:rPr>
              <w:t>ESPAÑOL</w:t>
            </w:r>
          </w:p>
          <w:p w:rsidR="00502800" w:rsidRPr="00CF1CEB" w:rsidRDefault="00502800" w:rsidP="00D226A2">
            <w:pPr>
              <w:ind w:left="1215"/>
              <w:rPr>
                <w:lang w:val="es-ES"/>
              </w:rPr>
            </w:pPr>
            <w:r w:rsidRPr="00CF1CEB">
              <w:rPr>
                <w:lang w:val="es-ES"/>
              </w:rPr>
              <w:t>ORIGINAL: INGLÉS</w:t>
            </w:r>
          </w:p>
          <w:p w:rsidR="00502800" w:rsidRPr="00CF1CEB" w:rsidRDefault="00502800" w:rsidP="00F54401">
            <w:pPr>
              <w:rPr>
                <w:lang w:val="es-ES"/>
              </w:rPr>
            </w:pPr>
          </w:p>
        </w:tc>
      </w:tr>
    </w:tbl>
    <w:p w:rsidR="00502800" w:rsidRPr="00CF1CEB" w:rsidRDefault="00502800" w:rsidP="00FE4270">
      <w:pPr>
        <w:pStyle w:val="NoSpacing"/>
        <w:ind w:left="142" w:right="4682" w:hanging="142"/>
        <w:rPr>
          <w:rFonts w:ascii="Times New Roman" w:hAnsi="Times New Roman" w:cs="Times New Roman"/>
          <w:lang w:val="es-ES"/>
        </w:rPr>
      </w:pPr>
      <w:r w:rsidRPr="00CF1CEB">
        <w:rPr>
          <w:rFonts w:ascii="Times New Roman" w:hAnsi="Times New Roman" w:cs="Times New Roman"/>
          <w:lang w:val="es-ES"/>
        </w:rPr>
        <w:t>CONFERENCIA DE LAS PARTES EN EL CONVENIO SOBRE LA DIVERSIDAD BIOLÓGICA</w:t>
      </w:r>
    </w:p>
    <w:p w:rsidR="00502800" w:rsidRPr="00CF1CEB" w:rsidRDefault="00502800" w:rsidP="00FE4270">
      <w:pPr>
        <w:pStyle w:val="NoSpacing"/>
        <w:rPr>
          <w:rFonts w:ascii="Times New Roman" w:hAnsi="Times New Roman" w:cs="Times New Roman"/>
          <w:lang w:val="es-ES"/>
        </w:rPr>
      </w:pPr>
      <w:r w:rsidRPr="00CF1CEB">
        <w:rPr>
          <w:rFonts w:ascii="Times New Roman" w:hAnsi="Times New Roman" w:cs="Times New Roman"/>
          <w:lang w:val="es-ES"/>
        </w:rPr>
        <w:t>Decimocuarta reunión</w:t>
      </w:r>
    </w:p>
    <w:p w:rsidR="00502800" w:rsidRPr="00CF1CEB" w:rsidRDefault="00502800" w:rsidP="00FE4270">
      <w:pPr>
        <w:pStyle w:val="NoSpacing"/>
        <w:rPr>
          <w:rFonts w:ascii="Times New Roman" w:hAnsi="Times New Roman" w:cs="Times New Roman"/>
          <w:lang w:val="es-ES"/>
        </w:rPr>
      </w:pPr>
      <w:r w:rsidRPr="00CF1CEB">
        <w:rPr>
          <w:rFonts w:ascii="Times New Roman" w:hAnsi="Times New Roman" w:cs="Times New Roman"/>
          <w:lang w:val="es-ES"/>
        </w:rPr>
        <w:t>Sharm-El-Sheikh, Egipto, 17 a 29 de noviembre de 2018</w:t>
      </w:r>
    </w:p>
    <w:p w:rsidR="00502800" w:rsidRPr="00CF1CEB" w:rsidRDefault="00502800" w:rsidP="00C9161D">
      <w:pPr>
        <w:rPr>
          <w:lang w:val="es-ES"/>
        </w:rPr>
      </w:pPr>
      <w:r w:rsidRPr="00CF1CEB">
        <w:rPr>
          <w:lang w:val="es-ES"/>
        </w:rPr>
        <w:t xml:space="preserve">Tema </w:t>
      </w:r>
      <w:bookmarkStart w:id="0" w:name="_GoBack"/>
      <w:bookmarkEnd w:id="0"/>
      <w:r w:rsidRPr="00CF1CEB">
        <w:rPr>
          <w:lang w:val="es-ES"/>
        </w:rPr>
        <w:t>12 del programa</w:t>
      </w:r>
    </w:p>
    <w:p w:rsidR="00502800" w:rsidRPr="00CF1CEB" w:rsidRDefault="00502800" w:rsidP="00C9535D">
      <w:pPr>
        <w:spacing w:before="240" w:after="120"/>
        <w:jc w:val="center"/>
        <w:rPr>
          <w:rFonts w:ascii="Times New Roman Bold" w:hAnsi="Times New Roman Bold" w:cs="Times New Roman Bold"/>
          <w:b/>
          <w:bCs/>
          <w:caps/>
          <w:kern w:val="22"/>
          <w:lang w:val="es-ES"/>
        </w:rPr>
      </w:pPr>
      <w:bookmarkStart w:id="1" w:name="_Hlk513725519"/>
      <w:r w:rsidRPr="00CF1CEB">
        <w:rPr>
          <w:rFonts w:ascii="Times New Roman Bold" w:hAnsi="Times New Roman Bold" w:cs="Times New Roman Bold"/>
          <w:b/>
          <w:bCs/>
          <w:caps/>
          <w:kern w:val="22"/>
          <w:lang w:val="es-ES"/>
        </w:rPr>
        <w:t>MECANISMOS DE REVISIÓN</w:t>
      </w:r>
    </w:p>
    <w:p w:rsidR="00502800" w:rsidRPr="00CF1CEB" w:rsidRDefault="00502800" w:rsidP="00C9535D">
      <w:pPr>
        <w:spacing w:before="120" w:after="240"/>
        <w:jc w:val="center"/>
        <w:rPr>
          <w:b/>
          <w:bCs/>
          <w:caps/>
          <w:lang w:val="es-ES"/>
        </w:rPr>
      </w:pPr>
      <w:r w:rsidRPr="00CF1CEB">
        <w:rPr>
          <w:b/>
          <w:bCs/>
          <w:lang w:val="es-ES"/>
        </w:rPr>
        <w:t>Proyecto de decisión presentado por el Presidente del Grupo de Trabajo I</w:t>
      </w:r>
    </w:p>
    <w:p w:rsidR="00502800" w:rsidRPr="00CF1CEB" w:rsidRDefault="00502800" w:rsidP="00C9535D">
      <w:pPr>
        <w:pStyle w:val="Para1"/>
        <w:numPr>
          <w:ilvl w:val="0"/>
          <w:numId w:val="0"/>
        </w:numPr>
        <w:suppressLineNumbers/>
        <w:suppressAutoHyphens/>
        <w:kinsoku w:val="0"/>
        <w:overflowPunct w:val="0"/>
        <w:autoSpaceDE w:val="0"/>
        <w:autoSpaceDN w:val="0"/>
        <w:ind w:left="709"/>
        <w:rPr>
          <w:i/>
          <w:iCs/>
          <w:kern w:val="22"/>
          <w:lang w:val="es-ES"/>
        </w:rPr>
      </w:pPr>
      <w:r w:rsidRPr="00CF1CEB">
        <w:rPr>
          <w:i/>
          <w:iCs/>
          <w:kern w:val="22"/>
          <w:lang w:val="es-ES"/>
        </w:rPr>
        <w:t>La Conferencia de las Partes,</w:t>
      </w:r>
    </w:p>
    <w:p w:rsidR="00502800" w:rsidRPr="00CF1CEB" w:rsidRDefault="00502800" w:rsidP="00C9535D">
      <w:pPr>
        <w:pStyle w:val="yiv7494691127gmail-para1"/>
        <w:suppressLineNumbers/>
        <w:suppressAutoHyphens/>
        <w:kinsoku w:val="0"/>
        <w:overflowPunct w:val="0"/>
        <w:autoSpaceDE w:val="0"/>
        <w:autoSpaceDN w:val="0"/>
        <w:spacing w:before="120" w:beforeAutospacing="0" w:after="120" w:afterAutospacing="0"/>
        <w:ind w:firstLine="720"/>
        <w:rPr>
          <w:kern w:val="22"/>
          <w:lang w:val="es-ES" w:eastAsia="en-US"/>
        </w:rPr>
      </w:pPr>
      <w:r w:rsidRPr="00CF1CEB">
        <w:rPr>
          <w:i/>
          <w:iCs/>
          <w:kern w:val="22"/>
          <w:lang w:val="es-ES" w:eastAsia="en-US"/>
        </w:rPr>
        <w:t>Recordando</w:t>
      </w:r>
      <w:r w:rsidRPr="00CF1CEB">
        <w:rPr>
          <w:kern w:val="22"/>
          <w:lang w:val="es-ES" w:eastAsia="en-US"/>
        </w:rPr>
        <w:t xml:space="preserve"> la decisión XIII/25,</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i/>
          <w:iCs/>
          <w:kern w:val="22"/>
          <w:lang w:val="es-ES"/>
        </w:rPr>
        <w:t>Reconociendo</w:t>
      </w:r>
      <w:r w:rsidRPr="00CF1CEB">
        <w:rPr>
          <w:kern w:val="22"/>
          <w:lang w:val="es-ES"/>
        </w:rPr>
        <w:t xml:space="preserve"> que es necesario fortalecer la aplicación por las Partes y los compromisos subyacentes a fin de encauzar a la comunidad mundial hacia la realización de la Visión 2050 planteada en el Plan Estratégico para la Diversidad Biológica 2011-2020</w:t>
      </w:r>
      <w:r w:rsidRPr="00BB69C6">
        <w:rPr>
          <w:rStyle w:val="FootnoteReference"/>
          <w:kern w:val="22"/>
          <w:sz w:val="18"/>
          <w:szCs w:val="18"/>
          <w:lang w:val="es-ES"/>
        </w:rPr>
        <w:footnoteReference w:id="1"/>
      </w:r>
      <w:r w:rsidRPr="00CF1CEB">
        <w:rPr>
          <w:kern w:val="22"/>
          <w:lang w:val="es-ES"/>
        </w:rPr>
        <w:t>,</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i/>
          <w:iCs/>
          <w:kern w:val="22"/>
          <w:lang w:val="es-ES"/>
        </w:rPr>
        <w:t>Destacando</w:t>
      </w:r>
      <w:r w:rsidRPr="00CF1CEB">
        <w:rPr>
          <w:kern w:val="22"/>
          <w:lang w:val="es-ES"/>
        </w:rPr>
        <w:t xml:space="preserve"> que los informes nacionales, según lo previsto en el artículo 26 del Convenio, siguen siendo un </w:t>
      </w:r>
      <w:r>
        <w:rPr>
          <w:kern w:val="22"/>
          <w:lang w:val="es-ES"/>
        </w:rPr>
        <w:t>elemento</w:t>
      </w:r>
      <w:r w:rsidRPr="00CF1CEB">
        <w:rPr>
          <w:kern w:val="22"/>
          <w:lang w:val="es-ES"/>
        </w:rPr>
        <w:t xml:space="preserve"> central para revisar los progresos realizados en la aplicación como parte del enfoque de revisión multidimensional,</w:t>
      </w:r>
    </w:p>
    <w:p w:rsidR="00502800" w:rsidRPr="00CF1CEB" w:rsidRDefault="00502800" w:rsidP="00C9535D">
      <w:pPr>
        <w:pStyle w:val="yiv7494691127gmail-para1"/>
        <w:suppressLineNumbers/>
        <w:suppressAutoHyphens/>
        <w:kinsoku w:val="0"/>
        <w:overflowPunct w:val="0"/>
        <w:autoSpaceDE w:val="0"/>
        <w:autoSpaceDN w:val="0"/>
        <w:spacing w:before="120" w:beforeAutospacing="0" w:after="120" w:afterAutospacing="0"/>
        <w:ind w:firstLine="720"/>
        <w:rPr>
          <w:kern w:val="22"/>
          <w:lang w:val="es-ES" w:eastAsia="en-US"/>
        </w:rPr>
      </w:pPr>
      <w:r w:rsidRPr="00CF1CEB">
        <w:rPr>
          <w:i/>
          <w:iCs/>
          <w:kern w:val="22"/>
          <w:lang w:val="es-ES"/>
        </w:rPr>
        <w:t>Reconociendo</w:t>
      </w:r>
      <w:r w:rsidRPr="00CF1CEB">
        <w:rPr>
          <w:kern w:val="22"/>
          <w:lang w:val="es-ES"/>
        </w:rPr>
        <w:t xml:space="preserve"> que los elementos del enfoque de revisión multidimensional en el ámbito del Convenio deben ser técnicamente idóneos, objetivos, transparentes, colaborativos y constructivos y buscar facilitar mayores esfuerzos por las Partes</w:t>
      </w:r>
      <w:r w:rsidRPr="00CF1CEB">
        <w:rPr>
          <w:kern w:val="22"/>
          <w:lang w:val="es-ES" w:eastAsia="en-US"/>
        </w:rPr>
        <w:t>,</w:t>
      </w:r>
    </w:p>
    <w:p w:rsidR="00502800" w:rsidRPr="00CF1CEB" w:rsidRDefault="00502800" w:rsidP="00C9535D">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es-ES"/>
        </w:rPr>
      </w:pPr>
      <w:r w:rsidRPr="00CF1CEB">
        <w:rPr>
          <w:i/>
          <w:iCs/>
          <w:kern w:val="22"/>
          <w:lang w:val="es-ES"/>
        </w:rPr>
        <w:t xml:space="preserve">Reconociendo </w:t>
      </w:r>
      <w:r w:rsidRPr="00CF1CEB">
        <w:rPr>
          <w:kern w:val="22"/>
          <w:lang w:val="es-ES"/>
        </w:rPr>
        <w:t>que las revisiones deben tener en cuenta las necesidades y circunstancias específicas de las Partes y observando las diferencias nacionales en enfoques y visiones,</w:t>
      </w:r>
    </w:p>
    <w:p w:rsidR="00502800" w:rsidRPr="00CF1CEB" w:rsidRDefault="00502800" w:rsidP="00C9535D">
      <w:pPr>
        <w:pStyle w:val="yiv7494691127gmail-para1"/>
        <w:suppressLineNumbers/>
        <w:suppressAutoHyphens/>
        <w:kinsoku w:val="0"/>
        <w:overflowPunct w:val="0"/>
        <w:autoSpaceDE w:val="0"/>
        <w:autoSpaceDN w:val="0"/>
        <w:spacing w:before="120" w:beforeAutospacing="0" w:after="120" w:afterAutospacing="0"/>
        <w:ind w:firstLine="720"/>
        <w:rPr>
          <w:kern w:val="22"/>
          <w:lang w:val="es-ES" w:eastAsia="en-US"/>
        </w:rPr>
      </w:pPr>
      <w:r w:rsidRPr="00CF1CEB">
        <w:rPr>
          <w:i/>
          <w:iCs/>
          <w:kern w:val="22"/>
          <w:lang w:val="es-ES"/>
        </w:rPr>
        <w:t>Observando</w:t>
      </w:r>
      <w:r w:rsidRPr="00CF1CEB">
        <w:rPr>
          <w:kern w:val="22"/>
          <w:lang w:val="es-ES"/>
        </w:rPr>
        <w:t xml:space="preserve"> la importancia de dar participación a los titulares de los conocimientos tradicionales en los mecanismos de revisión en el ámbito del Convenio</w:t>
      </w:r>
      <w:r w:rsidRPr="00CF1CEB">
        <w:rPr>
          <w:kern w:val="22"/>
          <w:lang w:val="es-ES" w:eastAsia="en-US"/>
        </w:rPr>
        <w:t>,</w:t>
      </w:r>
    </w:p>
    <w:p w:rsidR="00502800" w:rsidRPr="00CF1CEB" w:rsidRDefault="00502800" w:rsidP="00C9535D">
      <w:pPr>
        <w:suppressLineNumbers/>
        <w:tabs>
          <w:tab w:val="left" w:pos="360"/>
        </w:tabs>
        <w:suppressAutoHyphens/>
        <w:kinsoku w:val="0"/>
        <w:overflowPunct w:val="0"/>
        <w:autoSpaceDE w:val="0"/>
        <w:autoSpaceDN w:val="0"/>
        <w:spacing w:before="120" w:after="120"/>
        <w:ind w:firstLine="709"/>
        <w:rPr>
          <w:kern w:val="22"/>
          <w:lang w:val="es-ES"/>
        </w:rPr>
      </w:pPr>
      <w:r w:rsidRPr="00CF1CEB">
        <w:rPr>
          <w:kern w:val="22"/>
          <w:lang w:val="es-ES"/>
        </w:rPr>
        <w:t>1.</w:t>
      </w:r>
      <w:r w:rsidRPr="00CF1CEB">
        <w:rPr>
          <w:kern w:val="22"/>
          <w:lang w:val="es-ES"/>
        </w:rPr>
        <w:tab/>
      </w:r>
      <w:r w:rsidRPr="00CF1CEB">
        <w:rPr>
          <w:i/>
          <w:iCs/>
          <w:kern w:val="22"/>
          <w:lang w:val="es-ES"/>
        </w:rPr>
        <w:t>Reconoce</w:t>
      </w:r>
      <w:r w:rsidRPr="00CF1CEB">
        <w:rPr>
          <w:kern w:val="22"/>
          <w:lang w:val="es-ES"/>
        </w:rPr>
        <w:t xml:space="preserve"> que el proceso voluntario de revisión por pares tiene como objetivo ayudar a las Partes a mejorar sus capacidades individuales y colectivas para aplicar más eficazmente el Convenio mediante lo siguiente:</w:t>
      </w:r>
    </w:p>
    <w:p w:rsidR="00502800" w:rsidRPr="00CF1CEB" w:rsidRDefault="00502800" w:rsidP="00C9535D">
      <w:pPr>
        <w:pStyle w:val="Para1"/>
        <w:numPr>
          <w:ilvl w:val="0"/>
          <w:numId w:val="0"/>
        </w:numPr>
        <w:suppressLineNumbers/>
        <w:tabs>
          <w:tab w:val="left" w:pos="1440"/>
        </w:tabs>
        <w:suppressAutoHyphens/>
        <w:kinsoku w:val="0"/>
        <w:overflowPunct w:val="0"/>
        <w:autoSpaceDE w:val="0"/>
        <w:autoSpaceDN w:val="0"/>
        <w:ind w:firstLine="720"/>
        <w:rPr>
          <w:kern w:val="22"/>
          <w:lang w:val="es-ES"/>
        </w:rPr>
      </w:pPr>
      <w:r w:rsidRPr="00CF1CEB">
        <w:rPr>
          <w:kern w:val="22"/>
          <w:lang w:val="es-ES"/>
        </w:rPr>
        <w:t xml:space="preserve"> a)</w:t>
      </w:r>
      <w:r w:rsidRPr="00CF1CEB">
        <w:rPr>
          <w:kern w:val="22"/>
          <w:lang w:val="es-ES"/>
        </w:rPr>
        <w:tab/>
        <w:t>Evaluando la elaboración y aplicación de estrategias y planes de acción nacionales en materia de biodiversidad y formulando recomendaciones específicas para las Partes que son objeto de revisión;</w:t>
      </w:r>
    </w:p>
    <w:p w:rsidR="00502800" w:rsidRPr="00CF1CEB" w:rsidRDefault="00502800" w:rsidP="00C9535D">
      <w:pPr>
        <w:pStyle w:val="Para1"/>
        <w:numPr>
          <w:ilvl w:val="0"/>
          <w:numId w:val="0"/>
        </w:numPr>
        <w:suppressLineNumbers/>
        <w:suppressAutoHyphens/>
        <w:kinsoku w:val="0"/>
        <w:overflowPunct w:val="0"/>
        <w:autoSpaceDE w:val="0"/>
        <w:autoSpaceDN w:val="0"/>
        <w:ind w:firstLine="720"/>
        <w:rPr>
          <w:kern w:val="22"/>
          <w:lang w:val="es-ES"/>
        </w:rPr>
      </w:pPr>
      <w:r w:rsidRPr="00CF1CEB">
        <w:rPr>
          <w:kern w:val="22"/>
          <w:lang w:val="es-ES"/>
        </w:rPr>
        <w:t xml:space="preserve"> b)</w:t>
      </w:r>
      <w:r w:rsidRPr="00CF1CEB">
        <w:rPr>
          <w:kern w:val="22"/>
          <w:lang w:val="es-ES"/>
        </w:rPr>
        <w:tab/>
        <w:t>Brindando oportunidades para el aprendizaje entre pares para las Partes que intervienen directamente y para otras Partes;</w:t>
      </w:r>
    </w:p>
    <w:p w:rsidR="00502800" w:rsidRPr="00CF1CEB" w:rsidRDefault="00502800" w:rsidP="00C9535D">
      <w:pPr>
        <w:pStyle w:val="Para1"/>
        <w:numPr>
          <w:ilvl w:val="0"/>
          <w:numId w:val="0"/>
        </w:numPr>
        <w:suppressLineNumbers/>
        <w:suppressAutoHyphens/>
        <w:kinsoku w:val="0"/>
        <w:overflowPunct w:val="0"/>
        <w:autoSpaceDE w:val="0"/>
        <w:autoSpaceDN w:val="0"/>
        <w:ind w:firstLine="720"/>
        <w:rPr>
          <w:kern w:val="22"/>
          <w:lang w:val="es-ES"/>
        </w:rPr>
      </w:pPr>
      <w:r w:rsidRPr="00CF1CEB">
        <w:rPr>
          <w:kern w:val="22"/>
          <w:lang w:val="es-ES"/>
        </w:rPr>
        <w:t xml:space="preserve"> c)</w:t>
      </w:r>
      <w:r w:rsidRPr="00CF1CEB">
        <w:rPr>
          <w:kern w:val="22"/>
          <w:lang w:val="es-ES"/>
        </w:rPr>
        <w:tab/>
        <w:t>Aumentando la transparencia y la rendición de cuentas ante el público y otras Partes con respecto a la elaboración y la aplicación de estrategias y planes de acción nacionales en materia de biodiversidad;</w:t>
      </w:r>
    </w:p>
    <w:p w:rsidR="00502800" w:rsidRPr="00CF1CEB" w:rsidRDefault="00502800" w:rsidP="00C9535D">
      <w:pPr>
        <w:suppressLineNumbers/>
        <w:tabs>
          <w:tab w:val="left" w:pos="360"/>
        </w:tabs>
        <w:suppressAutoHyphens/>
        <w:kinsoku w:val="0"/>
        <w:overflowPunct w:val="0"/>
        <w:autoSpaceDE w:val="0"/>
        <w:autoSpaceDN w:val="0"/>
        <w:spacing w:before="120" w:after="120"/>
        <w:ind w:firstLine="709"/>
        <w:rPr>
          <w:kern w:val="22"/>
          <w:lang w:val="es-ES"/>
        </w:rPr>
      </w:pPr>
      <w:r w:rsidRPr="00CF1CEB">
        <w:rPr>
          <w:kern w:val="22"/>
          <w:lang w:val="es-ES"/>
        </w:rPr>
        <w:t>2.</w:t>
      </w:r>
      <w:r w:rsidRPr="00CF1CEB">
        <w:rPr>
          <w:kern w:val="22"/>
          <w:lang w:val="es-ES"/>
        </w:rPr>
        <w:tab/>
      </w:r>
      <w:r w:rsidRPr="00CF1CEB">
        <w:rPr>
          <w:i/>
          <w:iCs/>
          <w:kern w:val="22"/>
          <w:lang w:val="es-ES"/>
        </w:rPr>
        <w:t>Acoge con satisfacción</w:t>
      </w:r>
      <w:r w:rsidRPr="00CF1CEB">
        <w:rPr>
          <w:kern w:val="22"/>
          <w:lang w:val="es-ES"/>
        </w:rPr>
        <w:t xml:space="preserve"> los progresos realizados en la formulación de un mecanismo voluntario de revisión por pares y el resultado positivo de la fase experimental iniciada con arreglo a la decisión XIII/25;</w:t>
      </w:r>
    </w:p>
    <w:p w:rsidR="00502800" w:rsidRPr="00CF1CEB" w:rsidRDefault="00502800" w:rsidP="00C9535D">
      <w:pPr>
        <w:suppressLineNumbers/>
        <w:tabs>
          <w:tab w:val="left" w:pos="360"/>
        </w:tabs>
        <w:suppressAutoHyphens/>
        <w:kinsoku w:val="0"/>
        <w:overflowPunct w:val="0"/>
        <w:autoSpaceDE w:val="0"/>
        <w:autoSpaceDN w:val="0"/>
        <w:spacing w:before="120" w:after="120"/>
        <w:ind w:firstLine="709"/>
        <w:rPr>
          <w:kern w:val="22"/>
          <w:lang w:val="es-ES"/>
        </w:rPr>
      </w:pPr>
      <w:r w:rsidRPr="00CF1CEB">
        <w:rPr>
          <w:kern w:val="22"/>
          <w:lang w:val="es-ES"/>
        </w:rPr>
        <w:t>3.</w:t>
      </w:r>
      <w:r w:rsidRPr="00CF1CEB">
        <w:rPr>
          <w:kern w:val="22"/>
          <w:lang w:val="es-ES"/>
        </w:rPr>
        <w:tab/>
      </w:r>
      <w:r w:rsidRPr="00CF1CEB">
        <w:rPr>
          <w:i/>
          <w:iCs/>
          <w:kern w:val="22"/>
          <w:lang w:val="es-ES"/>
        </w:rPr>
        <w:t>Decide</w:t>
      </w:r>
      <w:r w:rsidRPr="00CF1CEB">
        <w:rPr>
          <w:kern w:val="22"/>
          <w:lang w:val="es-ES"/>
        </w:rPr>
        <w:t xml:space="preserve"> incluir la revisión voluntaria por pares como elemento del enfoque de revisión multidimensional en el ámbito del Convenio y </w:t>
      </w:r>
      <w:r w:rsidRPr="00CF1CEB">
        <w:rPr>
          <w:i/>
          <w:iCs/>
          <w:kern w:val="22"/>
          <w:lang w:val="es-ES"/>
        </w:rPr>
        <w:t>pide</w:t>
      </w:r>
      <w:r w:rsidRPr="00CF1CEB">
        <w:rPr>
          <w:kern w:val="22"/>
          <w:lang w:val="es-ES"/>
        </w:rPr>
        <w:t xml:space="preserve"> a la Secretaria Ejecutiva que facilite su puesta en práctica;</w:t>
      </w:r>
    </w:p>
    <w:p w:rsidR="00502800" w:rsidRPr="00CF1CEB" w:rsidRDefault="00502800" w:rsidP="00C9535D">
      <w:pPr>
        <w:suppressLineNumbers/>
        <w:tabs>
          <w:tab w:val="left" w:pos="360"/>
        </w:tabs>
        <w:suppressAutoHyphens/>
        <w:kinsoku w:val="0"/>
        <w:overflowPunct w:val="0"/>
        <w:autoSpaceDE w:val="0"/>
        <w:autoSpaceDN w:val="0"/>
        <w:spacing w:before="120" w:after="120"/>
        <w:ind w:firstLine="709"/>
        <w:rPr>
          <w:i/>
          <w:iCs/>
          <w:kern w:val="22"/>
          <w:lang w:val="es-ES"/>
        </w:rPr>
      </w:pPr>
      <w:r w:rsidRPr="00CF1CEB">
        <w:rPr>
          <w:kern w:val="22"/>
          <w:lang w:val="es-ES"/>
        </w:rPr>
        <w:t>4.</w:t>
      </w:r>
      <w:r w:rsidRPr="00CF1CEB">
        <w:rPr>
          <w:kern w:val="22"/>
          <w:lang w:val="es-ES"/>
        </w:rPr>
        <w:tab/>
      </w:r>
      <w:r w:rsidRPr="00CF1CEB">
        <w:rPr>
          <w:i/>
          <w:iCs/>
          <w:kern w:val="22"/>
          <w:lang w:val="es-ES"/>
        </w:rPr>
        <w:t xml:space="preserve">Pide </w:t>
      </w:r>
      <w:r w:rsidRPr="00CF1CEB">
        <w:rPr>
          <w:kern w:val="22"/>
          <w:lang w:val="es-ES"/>
        </w:rPr>
        <w:t>a la Secretaria Ejecutiva que, con sujeción a la disponibilidad de recursos:</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kern w:val="22"/>
          <w:lang w:val="es-ES"/>
        </w:rPr>
        <w:t xml:space="preserve"> a)</w:t>
      </w:r>
      <w:r w:rsidRPr="00CF1CEB">
        <w:rPr>
          <w:kern w:val="22"/>
          <w:lang w:val="es-ES"/>
        </w:rPr>
        <w:tab/>
      </w:r>
      <w:r w:rsidRPr="00CF1CEB">
        <w:rPr>
          <w:lang w:val="es-ES"/>
        </w:rPr>
        <w:t>Continúe elaborando, sobre la base de los elementos del enfoque de revisión multidimensional descritos en las notas de la Secretaria Ejecutiva sobre este tema</w:t>
      </w:r>
      <w:r w:rsidRPr="00BB69C6">
        <w:rPr>
          <w:rStyle w:val="FootnoteReference"/>
          <w:kern w:val="22"/>
          <w:sz w:val="18"/>
          <w:szCs w:val="18"/>
          <w:lang w:val="es-ES"/>
        </w:rPr>
        <w:footnoteReference w:id="2"/>
      </w:r>
      <w:r w:rsidRPr="00CF1CEB">
        <w:rPr>
          <w:lang w:val="es-ES"/>
        </w:rPr>
        <w:t>,</w:t>
      </w:r>
      <w:r w:rsidRPr="00CF1CEB">
        <w:rPr>
          <w:kern w:val="22"/>
          <w:lang w:val="es-ES"/>
        </w:rPr>
        <w:t xml:space="preserve"> </w:t>
      </w:r>
      <w:r w:rsidRPr="00CF1CEB">
        <w:rPr>
          <w:lang w:val="es-ES"/>
        </w:rPr>
        <w:t>para consideración del Órgano Subsidiario sobre la Aplicación en su tercera reunión,</w:t>
      </w:r>
      <w:r w:rsidRPr="00CF1CEB">
        <w:rPr>
          <w:kern w:val="22"/>
          <w:lang w:val="es-ES"/>
        </w:rPr>
        <w:t xml:space="preserve"> </w:t>
      </w:r>
      <w:r w:rsidRPr="00CF1CEB">
        <w:rPr>
          <w:lang w:val="es-ES"/>
        </w:rPr>
        <w:t>opciones para mejorar los mecanismos de revisión con el fin de fortalecer la aplicación del Convenio, incluido un análisis de puntos fuertes y débiles y una indicación de los posibles costos, beneficios y cargas para las Partes, otros interesados directos y la Secretaría, teniendo también en cuenta mejores prácticas y lecciones aprendidas en otros procesos así como los comentarios recibidos en la segunda reunión del Órgano Subsidiario sobre la Aplicación</w:t>
      </w:r>
      <w:r w:rsidRPr="00CF1CEB">
        <w:rPr>
          <w:kern w:val="22"/>
          <w:lang w:val="es-ES"/>
        </w:rPr>
        <w:t>;</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kern w:val="22"/>
          <w:lang w:val="es-ES"/>
        </w:rPr>
        <w:t xml:space="preserve"> b)</w:t>
      </w:r>
      <w:r w:rsidRPr="00CF1CEB">
        <w:rPr>
          <w:kern w:val="22"/>
          <w:lang w:val="es-ES"/>
        </w:rPr>
        <w:tab/>
        <w:t>Prepare y organice la puesta a prueba de un proceso de revisión dirigido por las Partes a través de un foro de composición abierta en la tercera reunión del Órgano Subsidiario sobre la Aplicación, entre otras cosas elaborando una orientación para la presentación voluntaria de informes de revisión en el foro de composición abierta;</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kern w:val="22"/>
          <w:lang w:val="es-ES"/>
        </w:rPr>
        <w:t xml:space="preserve"> c)</w:t>
      </w:r>
      <w:r w:rsidRPr="00CF1CEB">
        <w:rPr>
          <w:kern w:val="22"/>
          <w:lang w:val="es-ES"/>
        </w:rPr>
        <w:tab/>
        <w:t>Invite a las Partes a presentar, con carácter voluntario, informes de revisión para poner a prueba el foro de composición abierta en la tercera reunión del Órgano Subsidiario sobre la Aplicación;</w:t>
      </w:r>
    </w:p>
    <w:p w:rsidR="00502800" w:rsidRPr="00CF1CEB" w:rsidRDefault="00502800" w:rsidP="00C9535D">
      <w:pPr>
        <w:pStyle w:val="Para1"/>
        <w:numPr>
          <w:ilvl w:val="0"/>
          <w:numId w:val="0"/>
        </w:numPr>
        <w:suppressLineNumbers/>
        <w:suppressAutoHyphens/>
        <w:kinsoku w:val="0"/>
        <w:overflowPunct w:val="0"/>
        <w:autoSpaceDE w:val="0"/>
        <w:autoSpaceDN w:val="0"/>
        <w:ind w:firstLine="720"/>
        <w:rPr>
          <w:i/>
          <w:iCs/>
          <w:kern w:val="22"/>
          <w:lang w:val="es-ES"/>
        </w:rPr>
      </w:pPr>
      <w:r w:rsidRPr="00CF1CEB">
        <w:rPr>
          <w:kern w:val="22"/>
          <w:lang w:val="es-ES"/>
        </w:rPr>
        <w:t xml:space="preserve"> d)</w:t>
      </w:r>
      <w:r w:rsidRPr="00CF1CEB">
        <w:rPr>
          <w:kern w:val="22"/>
          <w:lang w:val="es-ES"/>
        </w:rPr>
        <w:tab/>
        <w:t xml:space="preserve">Siga consultando a las Partes y otros interesados directos </w:t>
      </w:r>
      <w:r w:rsidRPr="00CF1CEB">
        <w:rPr>
          <w:kern w:val="22"/>
          <w:lang w:val="es-ES"/>
        </w:rPr>
        <w:t xml:space="preserve">[y al grupo de trabajo de composición abierta para el desarrollo del marco de la diversidad biológica posterior a 2020 que se estableció </w:t>
      </w:r>
      <w:r>
        <w:rPr>
          <w:kern w:val="22"/>
          <w:lang w:val="es-ES"/>
        </w:rPr>
        <w:t>a través de</w:t>
      </w:r>
      <w:r w:rsidRPr="00CF1CEB">
        <w:rPr>
          <w:kern w:val="22"/>
          <w:lang w:val="es-ES"/>
        </w:rPr>
        <w:t xml:space="preserve"> la decisión 14/-] </w:t>
      </w:r>
      <w:r w:rsidRPr="00CF1CEB">
        <w:rPr>
          <w:kern w:val="22"/>
          <w:lang w:val="es-ES"/>
        </w:rPr>
        <w:t>con el fin de explorar posibles modalidades para aplicar enfoques destinados a mejorar la revisión de la aplicación en el proceso de elaboración del marco mundial de la diversidad biológica posterior a 2020, y que informe sobre los progresos al Órgano Subsidiario sobre la Aplicación en su tercera reunión;</w:t>
      </w:r>
    </w:p>
    <w:p w:rsidR="00502800" w:rsidRPr="00CF1CEB" w:rsidRDefault="00502800" w:rsidP="00C9535D">
      <w:pPr>
        <w:suppressLineNumbers/>
        <w:suppressAutoHyphens/>
        <w:kinsoku w:val="0"/>
        <w:overflowPunct w:val="0"/>
        <w:autoSpaceDE w:val="0"/>
        <w:autoSpaceDN w:val="0"/>
        <w:spacing w:before="120" w:after="120"/>
        <w:ind w:firstLine="720"/>
        <w:rPr>
          <w:kern w:val="22"/>
          <w:lang w:val="es-ES"/>
        </w:rPr>
      </w:pPr>
      <w:r w:rsidRPr="00CF1CEB">
        <w:rPr>
          <w:kern w:val="22"/>
          <w:lang w:val="es-ES"/>
        </w:rPr>
        <w:t xml:space="preserve"> e)</w:t>
      </w:r>
      <w:r w:rsidRPr="00CF1CEB">
        <w:rPr>
          <w:kern w:val="22"/>
          <w:lang w:val="es-ES"/>
        </w:rPr>
        <w:tab/>
        <w:t>Explore posibles modalidades para aplicar tales enfoques destinados a mejorar la revisión de la aplicación para que sean consideradas por el Órgano Subsidiario sobre la Aplicación en su tercera reunión;</w:t>
      </w:r>
    </w:p>
    <w:p w:rsidR="00502800" w:rsidRPr="00CF1CEB" w:rsidRDefault="00502800" w:rsidP="00C9535D">
      <w:pPr>
        <w:pStyle w:val="Para1"/>
        <w:numPr>
          <w:ilvl w:val="0"/>
          <w:numId w:val="0"/>
        </w:numPr>
        <w:suppressLineNumbers/>
        <w:suppressAutoHyphens/>
        <w:kinsoku w:val="0"/>
        <w:overflowPunct w:val="0"/>
        <w:autoSpaceDE w:val="0"/>
        <w:autoSpaceDN w:val="0"/>
        <w:ind w:firstLine="720"/>
        <w:rPr>
          <w:lang w:val="es-ES"/>
        </w:rPr>
      </w:pPr>
      <w:r w:rsidRPr="00CF1CEB">
        <w:rPr>
          <w:lang w:val="es-ES"/>
        </w:rPr>
        <w:t xml:space="preserve"> f)</w:t>
      </w:r>
      <w:r w:rsidRPr="00CF1CEB">
        <w:rPr>
          <w:lang w:val="es-ES"/>
        </w:rPr>
        <w:tab/>
        <w:t>Facilite más revisiones voluntarias por pares e invite a las Partes a que se ofrezcan voluntariamente para una revisión y propongan candidatos para los equipos de revisión</w:t>
      </w:r>
      <w:r w:rsidRPr="00CF1CEB">
        <w:rPr>
          <w:lang w:val="es-ES"/>
        </w:rPr>
        <w:t>.</w:t>
      </w:r>
    </w:p>
    <w:bookmarkEnd w:id="1"/>
    <w:p w:rsidR="00502800" w:rsidRPr="00CF1CEB" w:rsidRDefault="00502800" w:rsidP="00180B53">
      <w:pPr>
        <w:pStyle w:val="Para1"/>
        <w:numPr>
          <w:ilvl w:val="0"/>
          <w:numId w:val="0"/>
        </w:numPr>
        <w:tabs>
          <w:tab w:val="left" w:pos="720"/>
        </w:tabs>
        <w:kinsoku w:val="0"/>
        <w:overflowPunct w:val="0"/>
        <w:autoSpaceDE w:val="0"/>
        <w:autoSpaceDN w:val="0"/>
        <w:snapToGrid w:val="0"/>
        <w:rPr>
          <w:kern w:val="22"/>
          <w:lang w:val="es-ES"/>
        </w:rPr>
      </w:pPr>
    </w:p>
    <w:p w:rsidR="00502800" w:rsidRPr="00CF1CEB" w:rsidRDefault="00502800" w:rsidP="00F761C8">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2"/>
          <w:sz w:val="22"/>
          <w:szCs w:val="22"/>
          <w:lang w:val="es-ES"/>
        </w:rPr>
      </w:pPr>
      <w:r w:rsidRPr="00CF1CEB">
        <w:rPr>
          <w:rFonts w:ascii="Times New Roman" w:hAnsi="Times New Roman" w:cs="Times New Roman"/>
          <w:kern w:val="22"/>
          <w:sz w:val="22"/>
          <w:szCs w:val="22"/>
          <w:lang w:val="es-ES"/>
        </w:rPr>
        <w:t>__________</w:t>
      </w:r>
    </w:p>
    <w:sectPr w:rsidR="00502800" w:rsidRPr="00CF1CEB" w:rsidSect="009C200D">
      <w:headerReference w:type="even" r:id="rId10"/>
      <w:headerReference w:type="default" r:id="rId1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800" w:rsidRDefault="00502800" w:rsidP="00CF1848">
      <w:r>
        <w:separator/>
      </w:r>
    </w:p>
  </w:endnote>
  <w:endnote w:type="continuationSeparator" w:id="0">
    <w:p w:rsidR="00502800" w:rsidRDefault="00502800"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800" w:rsidRDefault="00502800" w:rsidP="00CF1848">
      <w:r>
        <w:separator/>
      </w:r>
    </w:p>
  </w:footnote>
  <w:footnote w:type="continuationSeparator" w:id="0">
    <w:p w:rsidR="00502800" w:rsidRDefault="00502800" w:rsidP="00CF1848">
      <w:r>
        <w:continuationSeparator/>
      </w:r>
    </w:p>
  </w:footnote>
  <w:footnote w:id="1">
    <w:p w:rsidR="00502800" w:rsidRDefault="00502800" w:rsidP="00C9535D">
      <w:pPr>
        <w:pStyle w:val="FootnoteText"/>
        <w:kinsoku w:val="0"/>
        <w:overflowPunct w:val="0"/>
        <w:autoSpaceDE w:val="0"/>
        <w:autoSpaceDN w:val="0"/>
        <w:ind w:firstLine="0"/>
      </w:pPr>
      <w:r w:rsidRPr="002C6B33">
        <w:rPr>
          <w:rStyle w:val="FootnoteReference"/>
          <w:sz w:val="18"/>
          <w:szCs w:val="18"/>
        </w:rPr>
        <w:footnoteRef/>
      </w:r>
      <w:r w:rsidRPr="00C16C5D">
        <w:rPr>
          <w:lang w:val="es-ES"/>
        </w:rPr>
        <w:t xml:space="preserve"> Decisión X/2, anexo.</w:t>
      </w:r>
    </w:p>
  </w:footnote>
  <w:footnote w:id="2">
    <w:p w:rsidR="00502800" w:rsidRDefault="00502800" w:rsidP="00C9535D">
      <w:pPr>
        <w:pStyle w:val="FootnoteText"/>
        <w:kinsoku w:val="0"/>
        <w:overflowPunct w:val="0"/>
        <w:autoSpaceDE w:val="0"/>
        <w:autoSpaceDN w:val="0"/>
        <w:ind w:firstLine="0"/>
        <w:jc w:val="left"/>
      </w:pPr>
      <w:r w:rsidRPr="00CF1CEB">
        <w:rPr>
          <w:rStyle w:val="FootnoteReference"/>
          <w:sz w:val="18"/>
          <w:szCs w:val="18"/>
        </w:rPr>
        <w:footnoteRef/>
      </w:r>
      <w:r w:rsidRPr="00CF1CEB">
        <w:rPr>
          <w:lang w:val="es-ES"/>
        </w:rPr>
        <w:t xml:space="preserve"> </w:t>
      </w:r>
      <w:r w:rsidRPr="00C16C5D">
        <w:rPr>
          <w:lang w:val="es-ES"/>
        </w:rPr>
        <w:t>Descritos en UNEP/CBD/SBI/1/10/Add.3 y</w:t>
      </w:r>
      <w:r w:rsidRPr="00C16C5D">
        <w:rPr>
          <w:b/>
          <w:bCs/>
          <w:lang w:val="es-ES"/>
        </w:rPr>
        <w:t xml:space="preserve"> </w:t>
      </w:r>
      <w:r w:rsidRPr="00C16C5D">
        <w:rPr>
          <w:lang w:val="es-ES"/>
        </w:rPr>
        <w:t>CBD/SBI/2/11.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00" w:rsidRPr="00F761C8" w:rsidRDefault="00502800" w:rsidP="00F761C8">
    <w:pPr>
      <w:pStyle w:val="Header"/>
      <w:tabs>
        <w:tab w:val="clear" w:pos="4320"/>
        <w:tab w:val="clear" w:pos="8640"/>
      </w:tabs>
      <w:jc w:val="left"/>
      <w:rPr>
        <w:noProof/>
        <w:kern w:val="22"/>
      </w:rPr>
    </w:pPr>
    <w:r>
      <w:rPr>
        <w:noProof/>
        <w:kern w:val="22"/>
      </w:rPr>
      <w:t>CBD/COP/14/L.13</w:t>
    </w:r>
  </w:p>
  <w:p w:rsidR="00502800" w:rsidRPr="00F761C8" w:rsidRDefault="00502800" w:rsidP="00F761C8">
    <w:pPr>
      <w:pStyle w:val="Header"/>
      <w:tabs>
        <w:tab w:val="clear" w:pos="4320"/>
        <w:tab w:val="clear" w:pos="8640"/>
      </w:tabs>
      <w:jc w:val="left"/>
      <w:rPr>
        <w:noProof/>
        <w:kern w:val="22"/>
      </w:rPr>
    </w:pPr>
    <w:r w:rsidRPr="00F761C8">
      <w:rPr>
        <w:noProof/>
        <w:kern w:val="22"/>
      </w:rPr>
      <w:t>P</w:t>
    </w:r>
    <w:r>
      <w:rPr>
        <w:noProof/>
        <w:kern w:val="22"/>
      </w:rPr>
      <w:t>ágina</w:t>
    </w:r>
    <w:r w:rsidRPr="00F761C8">
      <w:rPr>
        <w:noProof/>
        <w:kern w:val="22"/>
      </w:rPr>
      <w:t xml:space="preserve"> </w:t>
    </w:r>
    <w:r w:rsidRPr="00F761C8">
      <w:rPr>
        <w:noProof/>
        <w:kern w:val="22"/>
      </w:rPr>
      <w:fldChar w:fldCharType="begin"/>
    </w:r>
    <w:r w:rsidRPr="00F761C8">
      <w:rPr>
        <w:noProof/>
        <w:kern w:val="22"/>
      </w:rPr>
      <w:instrText xml:space="preserve"> PAGE   \* MERGEFORMAT </w:instrText>
    </w:r>
    <w:r w:rsidRPr="00F761C8">
      <w:rPr>
        <w:noProof/>
        <w:kern w:val="22"/>
      </w:rPr>
      <w:fldChar w:fldCharType="separate"/>
    </w:r>
    <w:r>
      <w:rPr>
        <w:noProof/>
        <w:kern w:val="22"/>
      </w:rPr>
      <w:t>2</w:t>
    </w:r>
    <w:r w:rsidRPr="00F761C8">
      <w:rPr>
        <w:noProof/>
        <w:kern w:val="22"/>
      </w:rPr>
      <w:fldChar w:fldCharType="end"/>
    </w:r>
  </w:p>
  <w:p w:rsidR="00502800" w:rsidRPr="00F761C8" w:rsidRDefault="00502800" w:rsidP="00F761C8">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00" w:rsidRPr="00000614" w:rsidRDefault="00502800" w:rsidP="009505C9">
    <w:pPr>
      <w:pStyle w:val="Header"/>
      <w:jc w:val="right"/>
      <w:rPr>
        <w:lang w:val="fr-FR"/>
      </w:rPr>
    </w:pPr>
    <w:r>
      <w:rPr>
        <w:lang w:val="fr-FR"/>
      </w:rPr>
      <w:t>CBD/COP/14/L.13</w:t>
    </w:r>
  </w:p>
  <w:p w:rsidR="00502800" w:rsidRPr="00000614" w:rsidRDefault="00502800" w:rsidP="009505C9">
    <w:pPr>
      <w:pStyle w:val="Header"/>
      <w:jc w:val="right"/>
      <w:rPr>
        <w:lang w:val="fr-FR"/>
      </w:rPr>
    </w:pPr>
    <w:r w:rsidRPr="00000614">
      <w:rPr>
        <w:lang w:val="fr-FR"/>
      </w:rPr>
      <w:t xml:space="preserve">Page </w:t>
    </w:r>
    <w:r w:rsidRPr="00000614">
      <w:rPr>
        <w:lang w:val="fr-FR"/>
      </w:rPr>
      <w:fldChar w:fldCharType="begin"/>
    </w:r>
    <w:r w:rsidRPr="00000614">
      <w:rPr>
        <w:lang w:val="fr-FR"/>
      </w:rPr>
      <w:instrText xml:space="preserve"> PAGE   \* MERGEFORMAT </w:instrText>
    </w:r>
    <w:r w:rsidRPr="00000614">
      <w:rPr>
        <w:lang w:val="fr-FR"/>
      </w:rPr>
      <w:fldChar w:fldCharType="separate"/>
    </w:r>
    <w:r>
      <w:rPr>
        <w:noProof/>
        <w:lang w:val="fr-FR"/>
      </w:rPr>
      <w:t>3</w:t>
    </w:r>
    <w:r w:rsidRPr="00000614">
      <w:rPr>
        <w:lang w:val="fr-FR"/>
      </w:rPr>
      <w:fldChar w:fldCharType="end"/>
    </w:r>
  </w:p>
  <w:p w:rsidR="00502800" w:rsidRPr="00000614" w:rsidRDefault="00502800">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06BDB"/>
    <w:rsid w:val="000114DA"/>
    <w:rsid w:val="00014254"/>
    <w:rsid w:val="00046FA1"/>
    <w:rsid w:val="000512B6"/>
    <w:rsid w:val="00060B74"/>
    <w:rsid w:val="0007772D"/>
    <w:rsid w:val="000B4CA8"/>
    <w:rsid w:val="000E673A"/>
    <w:rsid w:val="000F05DA"/>
    <w:rsid w:val="000F6126"/>
    <w:rsid w:val="000F74F5"/>
    <w:rsid w:val="00105372"/>
    <w:rsid w:val="00131E7A"/>
    <w:rsid w:val="00135CB3"/>
    <w:rsid w:val="0015619B"/>
    <w:rsid w:val="00172AF6"/>
    <w:rsid w:val="00176CEE"/>
    <w:rsid w:val="00177B0D"/>
    <w:rsid w:val="00180B53"/>
    <w:rsid w:val="00183F86"/>
    <w:rsid w:val="001A071E"/>
    <w:rsid w:val="001A6239"/>
    <w:rsid w:val="002079D1"/>
    <w:rsid w:val="00216EFF"/>
    <w:rsid w:val="00242C60"/>
    <w:rsid w:val="002540C7"/>
    <w:rsid w:val="00277DC7"/>
    <w:rsid w:val="002C3252"/>
    <w:rsid w:val="002C6B33"/>
    <w:rsid w:val="002F0A77"/>
    <w:rsid w:val="00347FF9"/>
    <w:rsid w:val="00372F74"/>
    <w:rsid w:val="0038156C"/>
    <w:rsid w:val="003B5CE3"/>
    <w:rsid w:val="003C5D4B"/>
    <w:rsid w:val="003D3030"/>
    <w:rsid w:val="003D708B"/>
    <w:rsid w:val="003E0411"/>
    <w:rsid w:val="003F7224"/>
    <w:rsid w:val="00405146"/>
    <w:rsid w:val="0042412C"/>
    <w:rsid w:val="00427D21"/>
    <w:rsid w:val="004644C2"/>
    <w:rsid w:val="00467F9C"/>
    <w:rsid w:val="0047645E"/>
    <w:rsid w:val="00476FDC"/>
    <w:rsid w:val="0048059E"/>
    <w:rsid w:val="0048775C"/>
    <w:rsid w:val="004A6E32"/>
    <w:rsid w:val="004F5FEA"/>
    <w:rsid w:val="00501F5F"/>
    <w:rsid w:val="00502800"/>
    <w:rsid w:val="0050593C"/>
    <w:rsid w:val="00531FC1"/>
    <w:rsid w:val="00532B7E"/>
    <w:rsid w:val="00534681"/>
    <w:rsid w:val="005468BC"/>
    <w:rsid w:val="00553588"/>
    <w:rsid w:val="006122BA"/>
    <w:rsid w:val="0061445E"/>
    <w:rsid w:val="00640694"/>
    <w:rsid w:val="006425FD"/>
    <w:rsid w:val="00650524"/>
    <w:rsid w:val="00660B51"/>
    <w:rsid w:val="006630D9"/>
    <w:rsid w:val="0068528E"/>
    <w:rsid w:val="006B2290"/>
    <w:rsid w:val="006E3202"/>
    <w:rsid w:val="00717D88"/>
    <w:rsid w:val="00771AE9"/>
    <w:rsid w:val="0079426E"/>
    <w:rsid w:val="007942D3"/>
    <w:rsid w:val="007B6C09"/>
    <w:rsid w:val="007D6C12"/>
    <w:rsid w:val="007E09DA"/>
    <w:rsid w:val="007E76BC"/>
    <w:rsid w:val="008178B6"/>
    <w:rsid w:val="00861C10"/>
    <w:rsid w:val="00865B74"/>
    <w:rsid w:val="00882B03"/>
    <w:rsid w:val="008D5974"/>
    <w:rsid w:val="008E7BDC"/>
    <w:rsid w:val="00924765"/>
    <w:rsid w:val="00930BA1"/>
    <w:rsid w:val="0093169E"/>
    <w:rsid w:val="009505C9"/>
    <w:rsid w:val="00985868"/>
    <w:rsid w:val="00994DC4"/>
    <w:rsid w:val="009A6450"/>
    <w:rsid w:val="009B19F9"/>
    <w:rsid w:val="009C200D"/>
    <w:rsid w:val="009C2794"/>
    <w:rsid w:val="009C3853"/>
    <w:rsid w:val="009D397C"/>
    <w:rsid w:val="009F6C90"/>
    <w:rsid w:val="00A543CA"/>
    <w:rsid w:val="00AA69AD"/>
    <w:rsid w:val="00B1511B"/>
    <w:rsid w:val="00B3369F"/>
    <w:rsid w:val="00B538CD"/>
    <w:rsid w:val="00BA0DE7"/>
    <w:rsid w:val="00BA3912"/>
    <w:rsid w:val="00BB69C6"/>
    <w:rsid w:val="00BF20A5"/>
    <w:rsid w:val="00C16C5D"/>
    <w:rsid w:val="00C2279C"/>
    <w:rsid w:val="00C545B9"/>
    <w:rsid w:val="00C860A4"/>
    <w:rsid w:val="00C9161D"/>
    <w:rsid w:val="00C9535D"/>
    <w:rsid w:val="00CA2718"/>
    <w:rsid w:val="00CF1848"/>
    <w:rsid w:val="00CF1CEB"/>
    <w:rsid w:val="00CF5AC1"/>
    <w:rsid w:val="00D12044"/>
    <w:rsid w:val="00D226A2"/>
    <w:rsid w:val="00D5132D"/>
    <w:rsid w:val="00D56A59"/>
    <w:rsid w:val="00D76A18"/>
    <w:rsid w:val="00D879D0"/>
    <w:rsid w:val="00DA39D2"/>
    <w:rsid w:val="00DC01D0"/>
    <w:rsid w:val="00DD118C"/>
    <w:rsid w:val="00E0250D"/>
    <w:rsid w:val="00E47837"/>
    <w:rsid w:val="00E66235"/>
    <w:rsid w:val="00E83C24"/>
    <w:rsid w:val="00E9318D"/>
    <w:rsid w:val="00F0077D"/>
    <w:rsid w:val="00F17352"/>
    <w:rsid w:val="00F54401"/>
    <w:rsid w:val="00F60E21"/>
    <w:rsid w:val="00F7468B"/>
    <w:rsid w:val="00F761C8"/>
    <w:rsid w:val="00F94031"/>
    <w:rsid w:val="00F94774"/>
    <w:rsid w:val="00FB0760"/>
    <w:rsid w:val="00FC53DB"/>
    <w:rsid w:val="00FD1F10"/>
    <w:rsid w:val="00FD7A33"/>
    <w:rsid w:val="00FD7EFC"/>
    <w:rsid w:val="00FE4270"/>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9379E4"/>
    <w:rPr>
      <w:rFonts w:ascii="Times New Roman" w:hAnsi="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eastAsia="Times New Roman" w:hAnsi="Calibri" w:cs="Calibri"/>
      <w:sz w:val="22"/>
      <w:szCs w:val="22"/>
      <w:lang w:val="en-US" w:eastAsia="en-US"/>
    </w:rPr>
  </w:style>
  <w:style w:type="paragraph" w:customStyle="1" w:styleId="StylePara1HeadingsCSTimesNewRoman">
    <w:name w:val="Style Para1 + +Headings CS (Times New Roman)"/>
    <w:basedOn w:val="Para1"/>
    <w:uiPriority w:val="99"/>
    <w:rsid w:val="00FD7A33"/>
    <w:pPr>
      <w:numPr>
        <w:numId w:val="0"/>
      </w:numPr>
    </w:pPr>
  </w:style>
  <w:style w:type="paragraph" w:styleId="NormalWeb">
    <w:name w:val="Normal (Web)"/>
    <w:basedOn w:val="Normal"/>
    <w:uiPriority w:val="99"/>
    <w:rsid w:val="00FD7A33"/>
    <w:pPr>
      <w:spacing w:before="100" w:beforeAutospacing="1" w:after="100" w:afterAutospacing="1"/>
    </w:pPr>
    <w:rPr>
      <w:rFonts w:ascii="Verdana" w:hAnsi="Verdana" w:cs="Verdana"/>
      <w:color w:val="00000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D7A33"/>
    <w:pPr>
      <w:spacing w:after="160" w:line="240" w:lineRule="exact"/>
    </w:pPr>
    <w:rPr>
      <w:rFonts w:ascii="Cambria" w:hAnsi="Cambria" w:cs="Cambria"/>
      <w:vertAlign w:val="superscript"/>
      <w:lang w:val="es-UY" w:eastAsia="ja-JP"/>
    </w:rPr>
  </w:style>
  <w:style w:type="character" w:customStyle="1" w:styleId="ListParagraphChar">
    <w:name w:val="List Paragraph Char"/>
    <w:basedOn w:val="DefaultParagraphFont"/>
    <w:link w:val="ListParagraph"/>
    <w:uiPriority w:val="99"/>
    <w:locked/>
    <w:rsid w:val="00FD7A33"/>
    <w:rPr>
      <w:rFonts w:ascii="Times New Roman" w:hAnsi="Times New Roman" w:cs="Times New Roman"/>
      <w:sz w:val="22"/>
      <w:szCs w:val="22"/>
      <w:lang w:val="en-GB"/>
    </w:rPr>
  </w:style>
  <w:style w:type="paragraph" w:customStyle="1" w:styleId="sub-item">
    <w:name w:val="sub-item"/>
    <w:basedOn w:val="Heading2"/>
    <w:uiPriority w:val="99"/>
    <w:rsid w:val="00FD7A33"/>
    <w:pPr>
      <w:spacing w:before="240"/>
      <w:ind w:firstLine="709"/>
      <w:jc w:val="left"/>
      <w:outlineLvl w:val="0"/>
    </w:pPr>
    <w:rPr>
      <w:lang w:val="en-CA" w:eastAsia="en-CA"/>
    </w:rPr>
  </w:style>
  <w:style w:type="paragraph" w:styleId="CommentSubject">
    <w:name w:val="annotation subject"/>
    <w:basedOn w:val="CommentText"/>
    <w:next w:val="CommentText"/>
    <w:link w:val="CommentSubjectChar"/>
    <w:uiPriority w:val="99"/>
    <w:semiHidden/>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A543CA"/>
    <w:rPr>
      <w:b/>
      <w:bCs/>
      <w:sz w:val="20"/>
      <w:szCs w:val="20"/>
    </w:rPr>
  </w:style>
  <w:style w:type="character" w:styleId="Strong">
    <w:name w:val="Strong"/>
    <w:basedOn w:val="DefaultParagraphFont"/>
    <w:uiPriority w:val="99"/>
    <w:qFormat/>
    <w:rsid w:val="009A6450"/>
    <w:rPr>
      <w:b/>
      <w:bCs/>
    </w:rPr>
  </w:style>
  <w:style w:type="paragraph" w:customStyle="1" w:styleId="yiv7494691127gmail-para1">
    <w:name w:val="yiv7494691127gmail-para1"/>
    <w:basedOn w:val="Normal"/>
    <w:uiPriority w:val="99"/>
    <w:rsid w:val="00180B53"/>
    <w:pPr>
      <w:spacing w:before="100" w:beforeAutospacing="1" w:after="100" w:afterAutospacing="1"/>
    </w:pPr>
    <w:rPr>
      <w:lang w:val="es-MX" w:eastAsia="es-MX"/>
    </w:rPr>
  </w:style>
</w:styles>
</file>

<file path=word/webSettings.xml><?xml version="1.0" encoding="utf-8"?>
<w:webSettings xmlns:r="http://schemas.openxmlformats.org/officeDocument/2006/relationships" xmlns:w="http://schemas.openxmlformats.org/wordprocessingml/2006/main">
  <w:divs>
    <w:div w:id="2107382102">
      <w:marLeft w:val="0"/>
      <w:marRight w:val="0"/>
      <w:marTop w:val="0"/>
      <w:marBottom w:val="0"/>
      <w:divBdr>
        <w:top w:val="none" w:sz="0" w:space="0" w:color="auto"/>
        <w:left w:val="none" w:sz="0" w:space="0" w:color="auto"/>
        <w:bottom w:val="none" w:sz="0" w:space="0" w:color="auto"/>
        <w:right w:val="none" w:sz="0" w:space="0" w:color="auto"/>
      </w:divBdr>
    </w:div>
    <w:div w:id="2107382104">
      <w:marLeft w:val="0"/>
      <w:marRight w:val="0"/>
      <w:marTop w:val="0"/>
      <w:marBottom w:val="0"/>
      <w:divBdr>
        <w:top w:val="none" w:sz="0" w:space="0" w:color="auto"/>
        <w:left w:val="none" w:sz="0" w:space="0" w:color="auto"/>
        <w:bottom w:val="none" w:sz="0" w:space="0" w:color="auto"/>
        <w:right w:val="none" w:sz="0" w:space="0" w:color="auto"/>
      </w:divBdr>
    </w:div>
    <w:div w:id="2107382105">
      <w:marLeft w:val="0"/>
      <w:marRight w:val="0"/>
      <w:marTop w:val="0"/>
      <w:marBottom w:val="0"/>
      <w:divBdr>
        <w:top w:val="none" w:sz="0" w:space="0" w:color="auto"/>
        <w:left w:val="none" w:sz="0" w:space="0" w:color="auto"/>
        <w:bottom w:val="none" w:sz="0" w:space="0" w:color="auto"/>
        <w:right w:val="none" w:sz="0" w:space="0" w:color="auto"/>
      </w:divBdr>
      <w:divsChild>
        <w:div w:id="2107382100">
          <w:marLeft w:val="0"/>
          <w:marRight w:val="0"/>
          <w:marTop w:val="0"/>
          <w:marBottom w:val="0"/>
          <w:divBdr>
            <w:top w:val="none" w:sz="0" w:space="0" w:color="auto"/>
            <w:left w:val="none" w:sz="0" w:space="0" w:color="auto"/>
            <w:bottom w:val="none" w:sz="0" w:space="0" w:color="auto"/>
            <w:right w:val="none" w:sz="0" w:space="0" w:color="auto"/>
          </w:divBdr>
        </w:div>
        <w:div w:id="2107382101">
          <w:marLeft w:val="0"/>
          <w:marRight w:val="0"/>
          <w:marTop w:val="0"/>
          <w:marBottom w:val="0"/>
          <w:divBdr>
            <w:top w:val="none" w:sz="0" w:space="0" w:color="auto"/>
            <w:left w:val="none" w:sz="0" w:space="0" w:color="auto"/>
            <w:bottom w:val="none" w:sz="0" w:space="0" w:color="auto"/>
            <w:right w:val="none" w:sz="0" w:space="0" w:color="auto"/>
          </w:divBdr>
          <w:divsChild>
            <w:div w:id="2107382099">
              <w:marLeft w:val="0"/>
              <w:marRight w:val="0"/>
              <w:marTop w:val="0"/>
              <w:marBottom w:val="0"/>
              <w:divBdr>
                <w:top w:val="none" w:sz="0" w:space="0" w:color="auto"/>
                <w:left w:val="none" w:sz="0" w:space="0" w:color="auto"/>
                <w:bottom w:val="none" w:sz="0" w:space="0" w:color="auto"/>
                <w:right w:val="none" w:sz="0" w:space="0" w:color="auto"/>
              </w:divBdr>
              <w:divsChild>
                <w:div w:id="2107382106">
                  <w:marLeft w:val="0"/>
                  <w:marRight w:val="0"/>
                  <w:marTop w:val="0"/>
                  <w:marBottom w:val="0"/>
                  <w:divBdr>
                    <w:top w:val="none" w:sz="0" w:space="0" w:color="auto"/>
                    <w:left w:val="none" w:sz="0" w:space="0" w:color="auto"/>
                    <w:bottom w:val="none" w:sz="0" w:space="0" w:color="auto"/>
                    <w:right w:val="none" w:sz="0" w:space="0" w:color="auto"/>
                  </w:divBdr>
                  <w:divsChild>
                    <w:div w:id="2107382112">
                      <w:marLeft w:val="0"/>
                      <w:marRight w:val="0"/>
                      <w:marTop w:val="0"/>
                      <w:marBottom w:val="0"/>
                      <w:divBdr>
                        <w:top w:val="none" w:sz="0" w:space="0" w:color="auto"/>
                        <w:left w:val="none" w:sz="0" w:space="0" w:color="auto"/>
                        <w:bottom w:val="none" w:sz="0" w:space="0" w:color="auto"/>
                        <w:right w:val="none" w:sz="0" w:space="0" w:color="auto"/>
                      </w:divBdr>
                      <w:divsChild>
                        <w:div w:id="2107382109">
                          <w:marLeft w:val="0"/>
                          <w:marRight w:val="0"/>
                          <w:marTop w:val="0"/>
                          <w:marBottom w:val="0"/>
                          <w:divBdr>
                            <w:top w:val="none" w:sz="0" w:space="0" w:color="auto"/>
                            <w:left w:val="none" w:sz="0" w:space="0" w:color="auto"/>
                            <w:bottom w:val="none" w:sz="0" w:space="0" w:color="auto"/>
                            <w:right w:val="none" w:sz="0" w:space="0" w:color="auto"/>
                          </w:divBdr>
                          <w:divsChild>
                            <w:div w:id="21073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382114">
          <w:marLeft w:val="0"/>
          <w:marRight w:val="0"/>
          <w:marTop w:val="0"/>
          <w:marBottom w:val="0"/>
          <w:divBdr>
            <w:top w:val="none" w:sz="0" w:space="0" w:color="auto"/>
            <w:left w:val="none" w:sz="0" w:space="0" w:color="auto"/>
            <w:bottom w:val="none" w:sz="0" w:space="0" w:color="auto"/>
            <w:right w:val="none" w:sz="0" w:space="0" w:color="auto"/>
          </w:divBdr>
          <w:divsChild>
            <w:div w:id="2107382113">
              <w:marLeft w:val="0"/>
              <w:marRight w:val="0"/>
              <w:marTop w:val="0"/>
              <w:marBottom w:val="0"/>
              <w:divBdr>
                <w:top w:val="none" w:sz="0" w:space="0" w:color="auto"/>
                <w:left w:val="none" w:sz="0" w:space="0" w:color="auto"/>
                <w:bottom w:val="none" w:sz="0" w:space="0" w:color="auto"/>
                <w:right w:val="none" w:sz="0" w:space="0" w:color="auto"/>
              </w:divBdr>
              <w:divsChild>
                <w:div w:id="2107382103">
                  <w:marLeft w:val="0"/>
                  <w:marRight w:val="0"/>
                  <w:marTop w:val="0"/>
                  <w:marBottom w:val="0"/>
                  <w:divBdr>
                    <w:top w:val="none" w:sz="0" w:space="0" w:color="auto"/>
                    <w:left w:val="none" w:sz="0" w:space="0" w:color="auto"/>
                    <w:bottom w:val="none" w:sz="0" w:space="0" w:color="auto"/>
                    <w:right w:val="none" w:sz="0" w:space="0" w:color="auto"/>
                  </w:divBdr>
                  <w:divsChild>
                    <w:div w:id="2107382108">
                      <w:marLeft w:val="0"/>
                      <w:marRight w:val="0"/>
                      <w:marTop w:val="0"/>
                      <w:marBottom w:val="0"/>
                      <w:divBdr>
                        <w:top w:val="none" w:sz="0" w:space="0" w:color="auto"/>
                        <w:left w:val="none" w:sz="0" w:space="0" w:color="auto"/>
                        <w:bottom w:val="none" w:sz="0" w:space="0" w:color="auto"/>
                        <w:right w:val="none" w:sz="0" w:space="0" w:color="auto"/>
                      </w:divBdr>
                      <w:divsChild>
                        <w:div w:id="21073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382107">
      <w:marLeft w:val="0"/>
      <w:marRight w:val="0"/>
      <w:marTop w:val="0"/>
      <w:marBottom w:val="0"/>
      <w:divBdr>
        <w:top w:val="none" w:sz="0" w:space="0" w:color="auto"/>
        <w:left w:val="none" w:sz="0" w:space="0" w:color="auto"/>
        <w:bottom w:val="none" w:sz="0" w:space="0" w:color="auto"/>
        <w:right w:val="none" w:sz="0" w:space="0" w:color="auto"/>
      </w:divBdr>
    </w:div>
    <w:div w:id="21073821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2</Pages>
  <Words>754</Words>
  <Characters>4151</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mechanisms</dc:title>
  <dc:subject>CBD/COP/14/L.13</dc:subject>
  <dc:creator>COP 14/WG 1</dc:creator>
  <cp:keywords>Mechanisms for national reporting, assessment and review</cp:keywords>
  <dc:description/>
  <cp:lastModifiedBy>rosario</cp:lastModifiedBy>
  <cp:revision>10</cp:revision>
  <cp:lastPrinted>2018-11-25T13:56:00Z</cp:lastPrinted>
  <dcterms:created xsi:type="dcterms:W3CDTF">2018-11-25T17:15:00Z</dcterms:created>
  <dcterms:modified xsi:type="dcterms:W3CDTF">2018-11-25T17:33:00Z</dcterms:modified>
</cp:coreProperties>
</file>